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3F56" w14:textId="53DED533" w:rsidR="00EB439F" w:rsidRDefault="00EB439F" w:rsidP="00500C34">
      <w:pPr>
        <w:suppressAutoHyphens/>
        <w:autoSpaceDN w:val="0"/>
        <w:spacing w:after="0" w:line="240" w:lineRule="auto"/>
        <w:textAlignment w:val="baseline"/>
        <w:rPr>
          <w:rFonts w:ascii="Times New Roman" w:eastAsia="Calibri" w:hAnsi="Times New Roman" w:cs="Times New Roman"/>
          <w:b/>
          <w:sz w:val="28"/>
          <w:szCs w:val="28"/>
          <w:u w:val="single"/>
          <w:lang w:val="en-ZA"/>
        </w:rPr>
      </w:pPr>
    </w:p>
    <w:p w14:paraId="26A5EDAE" w14:textId="77777777" w:rsidR="00500C34" w:rsidRDefault="00500C34" w:rsidP="00500C34">
      <w:pPr>
        <w:suppressAutoHyphens/>
        <w:autoSpaceDN w:val="0"/>
        <w:spacing w:after="0" w:line="240" w:lineRule="auto"/>
        <w:textAlignment w:val="baseline"/>
        <w:rPr>
          <w:rFonts w:ascii="Times New Roman" w:eastAsia="Calibri" w:hAnsi="Times New Roman" w:cs="Times New Roman"/>
          <w:b/>
          <w:sz w:val="28"/>
          <w:szCs w:val="28"/>
          <w:u w:val="single"/>
          <w:lang w:val="en-ZA"/>
        </w:rPr>
      </w:pPr>
    </w:p>
    <w:p w14:paraId="20F7BF14" w14:textId="77777777" w:rsidR="00EB439F" w:rsidRDefault="00EB439F" w:rsidP="00554D5D">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134EE37A" w14:textId="0743921E" w:rsidR="00EB439F" w:rsidRDefault="00EB439F" w:rsidP="00554D5D">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7CF24529" w14:textId="72117DA8" w:rsidR="007E2A7C" w:rsidRDefault="007E2A7C" w:rsidP="00554D5D">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240E95A3" w14:textId="77777777" w:rsidR="00BB0E09" w:rsidRDefault="00BB0E09" w:rsidP="00554D5D">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558B875F" w14:textId="77777777" w:rsidR="00EB439F" w:rsidRDefault="00EB439F" w:rsidP="00554D5D">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p>
    <w:p w14:paraId="2CB40CD0" w14:textId="5479890D" w:rsidR="00554D5D" w:rsidRPr="00554D5D" w:rsidRDefault="00554D5D" w:rsidP="00554D5D">
      <w:pPr>
        <w:suppressAutoHyphens/>
        <w:autoSpaceDN w:val="0"/>
        <w:spacing w:after="0" w:line="240" w:lineRule="auto"/>
        <w:jc w:val="center"/>
        <w:textAlignment w:val="baseline"/>
        <w:rPr>
          <w:rFonts w:ascii="Times New Roman" w:eastAsia="Calibri" w:hAnsi="Times New Roman" w:cs="Times New Roman"/>
          <w:b/>
          <w:sz w:val="28"/>
          <w:szCs w:val="28"/>
          <w:u w:val="single"/>
          <w:lang w:val="en-ZA"/>
        </w:rPr>
      </w:pPr>
      <w:r w:rsidRPr="00554D5D">
        <w:rPr>
          <w:rFonts w:ascii="Times New Roman" w:eastAsia="Calibri" w:hAnsi="Times New Roman" w:cs="Times New Roman"/>
          <w:b/>
          <w:sz w:val="28"/>
          <w:szCs w:val="28"/>
          <w:u w:val="single"/>
          <w:lang w:val="en-ZA"/>
        </w:rPr>
        <w:t xml:space="preserve">IN THE HIGH COURT OF LESOTHO </w:t>
      </w:r>
    </w:p>
    <w:p w14:paraId="125C4B87" w14:textId="77777777" w:rsidR="00554D5D" w:rsidRPr="00554D5D" w:rsidRDefault="00554D5D" w:rsidP="00554D5D">
      <w:pPr>
        <w:suppressAutoHyphens/>
        <w:autoSpaceDN w:val="0"/>
        <w:spacing w:after="0" w:line="240" w:lineRule="auto"/>
        <w:jc w:val="center"/>
        <w:textAlignment w:val="baseline"/>
        <w:rPr>
          <w:rFonts w:ascii="Times New Roman" w:eastAsia="Calibri" w:hAnsi="Times New Roman" w:cs="Times New Roman"/>
          <w:b/>
          <w:sz w:val="28"/>
          <w:szCs w:val="28"/>
          <w:lang w:val="en-ZA"/>
        </w:rPr>
      </w:pPr>
      <w:r w:rsidRPr="00554D5D">
        <w:rPr>
          <w:rFonts w:ascii="Times New Roman" w:eastAsia="Calibri" w:hAnsi="Times New Roman" w:cs="Times New Roman"/>
          <w:b/>
          <w:sz w:val="28"/>
          <w:szCs w:val="28"/>
          <w:lang w:val="en-ZA"/>
        </w:rPr>
        <w:t>(Commercial Court Division)</w:t>
      </w:r>
    </w:p>
    <w:p w14:paraId="79CA23DA" w14:textId="77777777" w:rsidR="00554D5D" w:rsidRPr="00554D5D" w:rsidRDefault="00554D5D" w:rsidP="00554D5D">
      <w:pPr>
        <w:suppressAutoHyphens/>
        <w:autoSpaceDN w:val="0"/>
        <w:spacing w:after="0" w:line="240" w:lineRule="auto"/>
        <w:jc w:val="center"/>
        <w:textAlignment w:val="baseline"/>
        <w:rPr>
          <w:rFonts w:ascii="Times New Roman" w:eastAsia="Calibri" w:hAnsi="Times New Roman" w:cs="Times New Roman"/>
          <w:b/>
          <w:sz w:val="28"/>
          <w:szCs w:val="28"/>
          <w:lang w:val="en-ZA"/>
        </w:rPr>
      </w:pPr>
    </w:p>
    <w:p w14:paraId="5ACE49AC" w14:textId="4535F0F7" w:rsidR="00554D5D" w:rsidRDefault="00554D5D" w:rsidP="00554D5D">
      <w:pPr>
        <w:suppressAutoHyphens/>
        <w:autoSpaceDN w:val="0"/>
        <w:spacing w:before="120" w:after="240" w:line="240" w:lineRule="auto"/>
        <w:textAlignment w:val="baseline"/>
        <w:rPr>
          <w:rFonts w:ascii="Times New Roman" w:eastAsia="Calibri" w:hAnsi="Times New Roman" w:cs="Times New Roman"/>
          <w:b/>
          <w:sz w:val="28"/>
          <w:szCs w:val="28"/>
          <w:lang w:val="en-ZA"/>
        </w:rPr>
      </w:pPr>
      <w:r w:rsidRPr="00554D5D">
        <w:rPr>
          <w:rFonts w:ascii="Times New Roman" w:eastAsia="Calibri" w:hAnsi="Times New Roman" w:cs="Times New Roman"/>
          <w:b/>
          <w:sz w:val="28"/>
          <w:szCs w:val="28"/>
          <w:lang w:val="en-ZA"/>
        </w:rPr>
        <w:t>HELD AT MASERU</w:t>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00242C7C">
        <w:rPr>
          <w:rFonts w:ascii="Times New Roman" w:eastAsia="Calibri" w:hAnsi="Times New Roman" w:cs="Times New Roman"/>
          <w:b/>
          <w:sz w:val="28"/>
          <w:szCs w:val="28"/>
          <w:lang w:val="en-ZA"/>
        </w:rPr>
        <w:t xml:space="preserve">            </w:t>
      </w:r>
      <w:r w:rsidRPr="00554D5D">
        <w:rPr>
          <w:rFonts w:ascii="Times New Roman" w:eastAsia="Calibri" w:hAnsi="Times New Roman" w:cs="Times New Roman"/>
          <w:b/>
          <w:sz w:val="28"/>
          <w:szCs w:val="28"/>
          <w:lang w:val="en-ZA"/>
        </w:rPr>
        <w:t>CCA/005</w:t>
      </w:r>
      <w:r>
        <w:rPr>
          <w:rFonts w:ascii="Times New Roman" w:eastAsia="Calibri" w:hAnsi="Times New Roman" w:cs="Times New Roman"/>
          <w:b/>
          <w:sz w:val="28"/>
          <w:szCs w:val="28"/>
          <w:lang w:val="en-ZA"/>
        </w:rPr>
        <w:t>3</w:t>
      </w:r>
      <w:r w:rsidRPr="00554D5D">
        <w:rPr>
          <w:rFonts w:ascii="Times New Roman" w:eastAsia="Calibri" w:hAnsi="Times New Roman" w:cs="Times New Roman"/>
          <w:b/>
          <w:sz w:val="28"/>
          <w:szCs w:val="28"/>
          <w:lang w:val="en-ZA"/>
        </w:rPr>
        <w:t>/2021</w:t>
      </w:r>
    </w:p>
    <w:p w14:paraId="3C4E5288" w14:textId="77777777" w:rsidR="00554D5D" w:rsidRPr="00554D5D" w:rsidRDefault="00554D5D" w:rsidP="00554D5D">
      <w:pPr>
        <w:suppressAutoHyphens/>
        <w:autoSpaceDN w:val="0"/>
        <w:spacing w:before="120" w:after="240" w:line="240" w:lineRule="auto"/>
        <w:textAlignment w:val="baseline"/>
        <w:rPr>
          <w:rFonts w:ascii="Times New Roman" w:eastAsia="Calibri" w:hAnsi="Times New Roman" w:cs="Times New Roman"/>
          <w:b/>
          <w:sz w:val="28"/>
          <w:szCs w:val="28"/>
          <w:lang w:val="en-ZA"/>
        </w:rPr>
      </w:pPr>
    </w:p>
    <w:p w14:paraId="36ED1F7B" w14:textId="23C0ECAC" w:rsidR="00554D5D" w:rsidRDefault="00554D5D" w:rsidP="00554D5D">
      <w:pPr>
        <w:suppressAutoHyphens/>
        <w:autoSpaceDN w:val="0"/>
        <w:spacing w:before="120" w:after="240" w:line="240" w:lineRule="auto"/>
        <w:textAlignment w:val="baseline"/>
        <w:rPr>
          <w:rFonts w:ascii="Times New Roman" w:eastAsia="Calibri" w:hAnsi="Times New Roman" w:cs="Times New Roman"/>
          <w:sz w:val="28"/>
          <w:szCs w:val="28"/>
          <w:lang w:val="en-ZA"/>
        </w:rPr>
      </w:pPr>
      <w:r w:rsidRPr="00554D5D">
        <w:rPr>
          <w:rFonts w:ascii="Times New Roman" w:eastAsia="Calibri" w:hAnsi="Times New Roman" w:cs="Times New Roman"/>
          <w:sz w:val="28"/>
          <w:szCs w:val="28"/>
          <w:lang w:val="en-ZA"/>
        </w:rPr>
        <w:t xml:space="preserve">In the matter between: </w:t>
      </w:r>
    </w:p>
    <w:p w14:paraId="3B443DFA" w14:textId="77777777" w:rsidR="00554D5D" w:rsidRPr="00554D5D" w:rsidRDefault="00554D5D" w:rsidP="00554D5D">
      <w:pPr>
        <w:suppressAutoHyphens/>
        <w:autoSpaceDN w:val="0"/>
        <w:spacing w:before="120" w:after="240" w:line="240" w:lineRule="auto"/>
        <w:textAlignment w:val="baseline"/>
        <w:rPr>
          <w:rFonts w:ascii="Times New Roman" w:eastAsia="Calibri" w:hAnsi="Times New Roman" w:cs="Times New Roman"/>
          <w:sz w:val="28"/>
          <w:szCs w:val="28"/>
          <w:lang w:val="en-ZA"/>
        </w:rPr>
      </w:pPr>
    </w:p>
    <w:p w14:paraId="41DD7CE9" w14:textId="758CC139" w:rsidR="00554D5D" w:rsidRPr="00554D5D" w:rsidRDefault="00554D5D" w:rsidP="00554D5D">
      <w:pPr>
        <w:suppressAutoHyphens/>
        <w:autoSpaceDN w:val="0"/>
        <w:spacing w:before="120" w:after="240" w:line="240" w:lineRule="auto"/>
        <w:textAlignment w:val="baseline"/>
        <w:rPr>
          <w:rFonts w:ascii="Times New Roman" w:eastAsia="Calibri" w:hAnsi="Times New Roman" w:cs="Times New Roman"/>
          <w:b/>
          <w:bCs/>
          <w:sz w:val="28"/>
          <w:szCs w:val="28"/>
          <w:lang w:val="en-ZA"/>
        </w:rPr>
      </w:pPr>
      <w:r>
        <w:rPr>
          <w:rFonts w:ascii="Times New Roman" w:eastAsia="Calibri" w:hAnsi="Times New Roman" w:cs="Times New Roman"/>
          <w:b/>
          <w:bCs/>
          <w:sz w:val="28"/>
          <w:szCs w:val="28"/>
          <w:lang w:val="en-ZA"/>
        </w:rPr>
        <w:t>HA SEOTSANYANA (PTY) LTD</w:t>
      </w:r>
      <w:r>
        <w:rPr>
          <w:rFonts w:ascii="Times New Roman" w:eastAsia="Calibri" w:hAnsi="Times New Roman" w:cs="Times New Roman"/>
          <w:b/>
          <w:bCs/>
          <w:sz w:val="28"/>
          <w:szCs w:val="28"/>
          <w:lang w:val="en-ZA"/>
        </w:rPr>
        <w:tab/>
      </w:r>
      <w:r>
        <w:rPr>
          <w:rFonts w:ascii="Times New Roman" w:eastAsia="Calibri" w:hAnsi="Times New Roman" w:cs="Times New Roman"/>
          <w:b/>
          <w:bCs/>
          <w:sz w:val="28"/>
          <w:szCs w:val="28"/>
          <w:lang w:val="en-ZA"/>
        </w:rPr>
        <w:tab/>
      </w:r>
      <w:r>
        <w:rPr>
          <w:rFonts w:ascii="Times New Roman" w:eastAsia="Calibri" w:hAnsi="Times New Roman" w:cs="Times New Roman"/>
          <w:b/>
          <w:bCs/>
          <w:sz w:val="28"/>
          <w:szCs w:val="28"/>
          <w:lang w:val="en-ZA"/>
        </w:rPr>
        <w:tab/>
      </w:r>
      <w:r>
        <w:rPr>
          <w:rFonts w:ascii="Times New Roman" w:eastAsia="Calibri" w:hAnsi="Times New Roman" w:cs="Times New Roman"/>
          <w:b/>
          <w:bCs/>
          <w:sz w:val="28"/>
          <w:szCs w:val="28"/>
          <w:lang w:val="en-ZA"/>
        </w:rPr>
        <w:tab/>
      </w:r>
      <w:r>
        <w:rPr>
          <w:rFonts w:ascii="Times New Roman" w:eastAsia="Calibri" w:hAnsi="Times New Roman" w:cs="Times New Roman"/>
          <w:b/>
          <w:bCs/>
          <w:sz w:val="28"/>
          <w:szCs w:val="28"/>
          <w:lang w:val="en-ZA"/>
        </w:rPr>
        <w:tab/>
        <w:t>APPL</w:t>
      </w:r>
      <w:r w:rsidRPr="00554D5D">
        <w:rPr>
          <w:rFonts w:ascii="Times New Roman" w:eastAsia="Calibri" w:hAnsi="Times New Roman" w:cs="Times New Roman"/>
          <w:b/>
          <w:bCs/>
          <w:sz w:val="28"/>
          <w:szCs w:val="28"/>
          <w:lang w:val="en-ZA"/>
        </w:rPr>
        <w:t>ICANT</w:t>
      </w:r>
      <w:r w:rsidRPr="00554D5D">
        <w:rPr>
          <w:rFonts w:ascii="Times New Roman" w:eastAsia="Calibri" w:hAnsi="Times New Roman" w:cs="Times New Roman"/>
          <w:b/>
          <w:bCs/>
          <w:sz w:val="28"/>
          <w:szCs w:val="28"/>
          <w:lang w:val="en-ZA"/>
        </w:rPr>
        <w:tab/>
      </w:r>
    </w:p>
    <w:p w14:paraId="690DDE91" w14:textId="219B2ADC" w:rsidR="00554D5D" w:rsidRDefault="00554D5D" w:rsidP="00554D5D">
      <w:pPr>
        <w:suppressAutoHyphens/>
        <w:autoSpaceDN w:val="0"/>
        <w:spacing w:before="120" w:after="240" w:line="240" w:lineRule="auto"/>
        <w:jc w:val="both"/>
        <w:textAlignment w:val="baseline"/>
        <w:rPr>
          <w:rFonts w:ascii="Times New Roman" w:eastAsia="Calibri" w:hAnsi="Times New Roman" w:cs="Times New Roman"/>
          <w:sz w:val="28"/>
          <w:szCs w:val="28"/>
          <w:lang w:val="en-ZA"/>
        </w:rPr>
      </w:pPr>
      <w:r w:rsidRPr="00554D5D">
        <w:rPr>
          <w:rFonts w:ascii="Times New Roman" w:eastAsia="Calibri" w:hAnsi="Times New Roman" w:cs="Times New Roman"/>
          <w:sz w:val="28"/>
          <w:szCs w:val="28"/>
          <w:lang w:val="en-ZA"/>
        </w:rPr>
        <w:t>And</w:t>
      </w:r>
    </w:p>
    <w:p w14:paraId="58C808AC" w14:textId="77777777" w:rsidR="00554D5D" w:rsidRPr="00554D5D" w:rsidRDefault="00554D5D" w:rsidP="00554D5D">
      <w:pPr>
        <w:suppressAutoHyphens/>
        <w:autoSpaceDN w:val="0"/>
        <w:spacing w:before="120" w:after="240" w:line="240" w:lineRule="auto"/>
        <w:jc w:val="both"/>
        <w:textAlignment w:val="baseline"/>
        <w:rPr>
          <w:rFonts w:ascii="Times New Roman" w:eastAsia="Calibri" w:hAnsi="Times New Roman" w:cs="Times New Roman"/>
          <w:sz w:val="28"/>
          <w:szCs w:val="28"/>
          <w:lang w:val="en-ZA"/>
        </w:rPr>
      </w:pPr>
    </w:p>
    <w:p w14:paraId="54205E68" w14:textId="461436C3" w:rsidR="00554D5D" w:rsidRPr="00554D5D" w:rsidRDefault="00554D5D" w:rsidP="00554D5D">
      <w:pPr>
        <w:suppressAutoHyphens/>
        <w:autoSpaceDN w:val="0"/>
        <w:spacing w:after="0" w:line="240" w:lineRule="auto"/>
        <w:jc w:val="both"/>
        <w:textAlignment w:val="baseline"/>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LITJOTJELA MALL (PTY) LTD</w:t>
      </w:r>
      <w:r w:rsidRPr="00554D5D">
        <w:rPr>
          <w:rFonts w:ascii="Times New Roman" w:eastAsia="Calibri" w:hAnsi="Times New Roman" w:cs="Times New Roman"/>
          <w:b/>
          <w:sz w:val="28"/>
          <w:szCs w:val="28"/>
          <w:lang w:val="en-ZA"/>
        </w:rPr>
        <w:t xml:space="preserve"> </w:t>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r>
      <w:r w:rsidRPr="00554D5D">
        <w:rPr>
          <w:rFonts w:ascii="Times New Roman" w:eastAsia="Calibri" w:hAnsi="Times New Roman" w:cs="Times New Roman"/>
          <w:b/>
          <w:sz w:val="28"/>
          <w:szCs w:val="28"/>
          <w:lang w:val="en-ZA"/>
        </w:rPr>
        <w:tab/>
        <w:t>RESPONDENT</w:t>
      </w:r>
    </w:p>
    <w:p w14:paraId="78D28DAD" w14:textId="77777777" w:rsidR="00554D5D" w:rsidRPr="00554D5D" w:rsidRDefault="00554D5D" w:rsidP="00554D5D">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615471D8" w14:textId="77777777" w:rsidR="00554D5D" w:rsidRPr="00554D5D" w:rsidRDefault="00554D5D" w:rsidP="00554D5D">
      <w:pPr>
        <w:suppressAutoHyphens/>
        <w:autoSpaceDN w:val="0"/>
        <w:spacing w:after="0" w:line="240" w:lineRule="auto"/>
        <w:jc w:val="both"/>
        <w:textAlignment w:val="baseline"/>
        <w:rPr>
          <w:rFonts w:ascii="Times New Roman" w:eastAsia="Calibri" w:hAnsi="Times New Roman" w:cs="Times New Roman"/>
          <w:b/>
          <w:sz w:val="28"/>
          <w:szCs w:val="28"/>
          <w:lang w:val="en-ZA"/>
        </w:rPr>
      </w:pPr>
    </w:p>
    <w:p w14:paraId="7FA062FA" w14:textId="516346FC" w:rsidR="00554D5D" w:rsidRDefault="00554D5D" w:rsidP="00554D5D">
      <w:pPr>
        <w:suppressAutoHyphens/>
        <w:autoSpaceDN w:val="0"/>
        <w:spacing w:after="0" w:line="240" w:lineRule="auto"/>
        <w:jc w:val="both"/>
        <w:textAlignment w:val="baseline"/>
        <w:rPr>
          <w:rFonts w:ascii="Times New Roman" w:eastAsia="Calibri" w:hAnsi="Times New Roman" w:cs="Times New Roman"/>
          <w:bCs/>
          <w:sz w:val="28"/>
          <w:szCs w:val="28"/>
          <w:lang w:val="en-ZA"/>
        </w:rPr>
      </w:pPr>
      <w:r w:rsidRPr="00554D5D">
        <w:rPr>
          <w:rFonts w:ascii="Times New Roman" w:eastAsia="Calibri" w:hAnsi="Times New Roman" w:cs="Times New Roman"/>
          <w:b/>
          <w:sz w:val="28"/>
          <w:szCs w:val="28"/>
          <w:lang w:val="en-ZA"/>
        </w:rPr>
        <w:t>Neutral citation:</w:t>
      </w:r>
      <w:r w:rsidR="0031081F">
        <w:rPr>
          <w:rFonts w:ascii="Times New Roman" w:eastAsia="Calibri" w:hAnsi="Times New Roman" w:cs="Times New Roman"/>
          <w:b/>
          <w:sz w:val="28"/>
          <w:szCs w:val="28"/>
          <w:lang w:val="en-ZA"/>
        </w:rPr>
        <w:t xml:space="preserve"> </w:t>
      </w:r>
      <w:r w:rsidR="0031081F" w:rsidRPr="00946D1D">
        <w:rPr>
          <w:rFonts w:ascii="Times New Roman" w:eastAsia="Calibri" w:hAnsi="Times New Roman" w:cs="Times New Roman"/>
          <w:bCs/>
          <w:sz w:val="28"/>
          <w:szCs w:val="28"/>
          <w:lang w:val="en-ZA"/>
        </w:rPr>
        <w:t xml:space="preserve">Ha </w:t>
      </w:r>
      <w:proofErr w:type="spellStart"/>
      <w:r w:rsidR="0031081F" w:rsidRPr="00946D1D">
        <w:rPr>
          <w:rFonts w:ascii="Times New Roman" w:eastAsia="Calibri" w:hAnsi="Times New Roman" w:cs="Times New Roman"/>
          <w:bCs/>
          <w:sz w:val="28"/>
          <w:szCs w:val="28"/>
          <w:lang w:val="en-ZA"/>
        </w:rPr>
        <w:t>Seotsanyana</w:t>
      </w:r>
      <w:proofErr w:type="spellEnd"/>
      <w:r w:rsidR="0031081F" w:rsidRPr="00946D1D">
        <w:rPr>
          <w:rFonts w:ascii="Times New Roman" w:eastAsia="Calibri" w:hAnsi="Times New Roman" w:cs="Times New Roman"/>
          <w:bCs/>
          <w:sz w:val="28"/>
          <w:szCs w:val="28"/>
          <w:lang w:val="en-ZA"/>
        </w:rPr>
        <w:t xml:space="preserve"> (Pty) Ltd v </w:t>
      </w:r>
      <w:proofErr w:type="spellStart"/>
      <w:r w:rsidR="0031081F" w:rsidRPr="00946D1D">
        <w:rPr>
          <w:rFonts w:ascii="Times New Roman" w:eastAsia="Calibri" w:hAnsi="Times New Roman" w:cs="Times New Roman"/>
          <w:bCs/>
          <w:sz w:val="28"/>
          <w:szCs w:val="28"/>
          <w:lang w:val="en-ZA"/>
        </w:rPr>
        <w:t>Litjotjela</w:t>
      </w:r>
      <w:proofErr w:type="spellEnd"/>
      <w:r w:rsidR="0031081F" w:rsidRPr="00946D1D">
        <w:rPr>
          <w:rFonts w:ascii="Times New Roman" w:eastAsia="Calibri" w:hAnsi="Times New Roman" w:cs="Times New Roman"/>
          <w:bCs/>
          <w:sz w:val="28"/>
          <w:szCs w:val="28"/>
          <w:lang w:val="en-ZA"/>
        </w:rPr>
        <w:t xml:space="preserve"> Mall (Pty) Ltd [2023] LSHC</w:t>
      </w:r>
      <w:r w:rsidR="000266B3">
        <w:rPr>
          <w:rFonts w:ascii="Times New Roman" w:eastAsia="Calibri" w:hAnsi="Times New Roman" w:cs="Times New Roman"/>
          <w:bCs/>
          <w:sz w:val="28"/>
          <w:szCs w:val="28"/>
          <w:lang w:val="en-ZA"/>
        </w:rPr>
        <w:t xml:space="preserve"> 42</w:t>
      </w:r>
      <w:r w:rsidR="0031081F" w:rsidRPr="00946D1D">
        <w:rPr>
          <w:rFonts w:ascii="Times New Roman" w:eastAsia="Calibri" w:hAnsi="Times New Roman" w:cs="Times New Roman"/>
          <w:bCs/>
          <w:sz w:val="28"/>
          <w:szCs w:val="28"/>
          <w:lang w:val="en-ZA"/>
        </w:rPr>
        <w:t xml:space="preserve"> COM (28</w:t>
      </w:r>
      <w:r w:rsidR="0031081F" w:rsidRPr="00946D1D">
        <w:rPr>
          <w:rFonts w:ascii="Times New Roman" w:eastAsia="Calibri" w:hAnsi="Times New Roman" w:cs="Times New Roman"/>
          <w:bCs/>
          <w:sz w:val="28"/>
          <w:szCs w:val="28"/>
          <w:vertAlign w:val="superscript"/>
          <w:lang w:val="en-ZA"/>
        </w:rPr>
        <w:t>th</w:t>
      </w:r>
      <w:r w:rsidR="0031081F" w:rsidRPr="00946D1D">
        <w:rPr>
          <w:rFonts w:ascii="Times New Roman" w:eastAsia="Calibri" w:hAnsi="Times New Roman" w:cs="Times New Roman"/>
          <w:bCs/>
          <w:sz w:val="28"/>
          <w:szCs w:val="28"/>
          <w:lang w:val="en-ZA"/>
        </w:rPr>
        <w:t xml:space="preserve"> </w:t>
      </w:r>
      <w:proofErr w:type="gramStart"/>
      <w:r w:rsidR="0031081F" w:rsidRPr="00946D1D">
        <w:rPr>
          <w:rFonts w:ascii="Times New Roman" w:eastAsia="Calibri" w:hAnsi="Times New Roman" w:cs="Times New Roman"/>
          <w:bCs/>
          <w:sz w:val="28"/>
          <w:szCs w:val="28"/>
          <w:lang w:val="en-ZA"/>
        </w:rPr>
        <w:t>February,</w:t>
      </w:r>
      <w:proofErr w:type="gramEnd"/>
      <w:r w:rsidR="0031081F" w:rsidRPr="00946D1D">
        <w:rPr>
          <w:rFonts w:ascii="Times New Roman" w:eastAsia="Calibri" w:hAnsi="Times New Roman" w:cs="Times New Roman"/>
          <w:bCs/>
          <w:sz w:val="28"/>
          <w:szCs w:val="28"/>
          <w:lang w:val="en-ZA"/>
        </w:rPr>
        <w:t xml:space="preserve"> 2023)</w:t>
      </w:r>
      <w:r w:rsidRPr="00946D1D">
        <w:rPr>
          <w:rFonts w:ascii="Times New Roman" w:eastAsia="Calibri" w:hAnsi="Times New Roman" w:cs="Times New Roman"/>
          <w:bCs/>
          <w:sz w:val="28"/>
          <w:szCs w:val="28"/>
          <w:lang w:val="en-ZA"/>
        </w:rPr>
        <w:t xml:space="preserve"> </w:t>
      </w:r>
    </w:p>
    <w:p w14:paraId="0819CB97" w14:textId="77777777" w:rsidR="00587BB4" w:rsidRPr="00946D1D" w:rsidRDefault="00587BB4" w:rsidP="00554D5D">
      <w:pPr>
        <w:suppressAutoHyphens/>
        <w:autoSpaceDN w:val="0"/>
        <w:spacing w:after="0" w:line="240" w:lineRule="auto"/>
        <w:jc w:val="both"/>
        <w:textAlignment w:val="baseline"/>
        <w:rPr>
          <w:rFonts w:ascii="Times New Roman" w:eastAsia="Calibri" w:hAnsi="Times New Roman" w:cs="Times New Roman"/>
          <w:bCs/>
          <w:sz w:val="28"/>
          <w:szCs w:val="28"/>
          <w:lang w:val="en-ZA"/>
        </w:rPr>
      </w:pPr>
    </w:p>
    <w:p w14:paraId="47020628" w14:textId="77777777" w:rsidR="00554D5D" w:rsidRPr="00554D5D" w:rsidRDefault="00554D5D" w:rsidP="00554D5D">
      <w:pPr>
        <w:widowControl w:val="0"/>
        <w:autoSpaceDE w:val="0"/>
        <w:autoSpaceDN w:val="0"/>
        <w:adjustRightInd w:val="0"/>
        <w:spacing w:after="0" w:line="240" w:lineRule="auto"/>
        <w:rPr>
          <w:rFonts w:ascii="Times New Roman" w:eastAsia="Calibri" w:hAnsi="Times New Roman" w:cs="Times New Roman"/>
          <w:sz w:val="28"/>
          <w:szCs w:val="28"/>
          <w:lang w:val="en-ZA"/>
        </w:rPr>
      </w:pPr>
      <w:r w:rsidRPr="00946D1D">
        <w:rPr>
          <w:rFonts w:ascii="Times New Roman" w:eastAsia="Calibri" w:hAnsi="Times New Roman" w:cs="Times New Roman"/>
          <w:bCs/>
          <w:sz w:val="28"/>
          <w:szCs w:val="28"/>
          <w:lang w:val="en-ZA"/>
        </w:rPr>
        <w:tab/>
      </w:r>
      <w:r w:rsidRPr="00946D1D">
        <w:rPr>
          <w:rFonts w:ascii="Times New Roman" w:eastAsia="Calibri" w:hAnsi="Times New Roman" w:cs="Times New Roman"/>
          <w:bCs/>
          <w:sz w:val="28"/>
          <w:szCs w:val="28"/>
          <w:lang w:val="en-ZA"/>
        </w:rPr>
        <w:tab/>
      </w:r>
      <w:r w:rsidRPr="00946D1D">
        <w:rPr>
          <w:rFonts w:ascii="Times New Roman" w:eastAsia="Calibri" w:hAnsi="Times New Roman" w:cs="Times New Roman"/>
          <w:bCs/>
          <w:sz w:val="28"/>
          <w:szCs w:val="28"/>
          <w:lang w:val="en-ZA"/>
        </w:rPr>
        <w:tab/>
      </w:r>
      <w:r w:rsidRPr="00946D1D">
        <w:rPr>
          <w:rFonts w:ascii="Times New Roman" w:eastAsia="Calibri" w:hAnsi="Times New Roman" w:cs="Times New Roman"/>
          <w:bCs/>
          <w:sz w:val="28"/>
          <w:szCs w:val="28"/>
          <w:lang w:val="en-ZA"/>
        </w:rPr>
        <w:tab/>
      </w:r>
      <w:r w:rsidRPr="00554D5D">
        <w:rPr>
          <w:rFonts w:ascii="Times New Roman" w:eastAsia="Calibri" w:hAnsi="Times New Roman" w:cs="Times New Roman"/>
          <w:sz w:val="28"/>
          <w:szCs w:val="28"/>
          <w:lang w:val="en-ZA"/>
        </w:rPr>
        <w:tab/>
      </w:r>
    </w:p>
    <w:p w14:paraId="33B317C1" w14:textId="77777777" w:rsidR="00554D5D" w:rsidRPr="00554D5D" w:rsidRDefault="00554D5D" w:rsidP="00897B07">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r w:rsidRPr="00554D5D">
        <w:rPr>
          <w:rFonts w:ascii="Times New Roman" w:eastAsia="Calibri" w:hAnsi="Times New Roman" w:cs="Times New Roman"/>
          <w:b/>
          <w:iCs/>
          <w:sz w:val="28"/>
          <w:szCs w:val="28"/>
          <w:lang w:val="en-ZA"/>
        </w:rPr>
        <w:t>CORAM:</w:t>
      </w:r>
      <w:r w:rsidRPr="00554D5D">
        <w:rPr>
          <w:rFonts w:ascii="Times New Roman" w:eastAsia="Calibri" w:hAnsi="Times New Roman" w:cs="Times New Roman"/>
          <w:b/>
          <w:iCs/>
          <w:sz w:val="28"/>
          <w:szCs w:val="28"/>
          <w:lang w:val="en-ZA"/>
        </w:rPr>
        <w:tab/>
      </w:r>
      <w:r w:rsidRPr="00554D5D">
        <w:rPr>
          <w:rFonts w:ascii="Times New Roman" w:eastAsia="Calibri" w:hAnsi="Times New Roman" w:cs="Times New Roman"/>
          <w:b/>
          <w:iCs/>
          <w:sz w:val="28"/>
          <w:szCs w:val="28"/>
          <w:lang w:val="en-ZA"/>
        </w:rPr>
        <w:tab/>
        <w:t>MATHABA J</w:t>
      </w:r>
    </w:p>
    <w:p w14:paraId="78A31E2D" w14:textId="2C6881BB" w:rsidR="00554D5D" w:rsidRPr="00554D5D" w:rsidRDefault="00554D5D" w:rsidP="00897B07">
      <w:pPr>
        <w:tabs>
          <w:tab w:val="left" w:pos="1134"/>
        </w:tabs>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554D5D">
        <w:rPr>
          <w:rFonts w:ascii="Times New Roman" w:eastAsia="Calibri" w:hAnsi="Times New Roman" w:cs="Times New Roman"/>
          <w:b/>
          <w:iCs/>
          <w:sz w:val="28"/>
          <w:szCs w:val="28"/>
          <w:lang w:val="en-ZA"/>
        </w:rPr>
        <w:t xml:space="preserve">Heard On: </w:t>
      </w:r>
      <w:r w:rsidRPr="00554D5D">
        <w:rPr>
          <w:rFonts w:ascii="Times New Roman" w:eastAsia="Calibri" w:hAnsi="Times New Roman" w:cs="Times New Roman"/>
          <w:b/>
          <w:iCs/>
          <w:sz w:val="28"/>
          <w:szCs w:val="28"/>
          <w:lang w:val="en-ZA"/>
        </w:rPr>
        <w:tab/>
      </w:r>
      <w:r w:rsidRPr="00554D5D">
        <w:rPr>
          <w:rFonts w:ascii="Times New Roman" w:eastAsia="Calibri" w:hAnsi="Times New Roman" w:cs="Times New Roman"/>
          <w:b/>
          <w:iCs/>
          <w:sz w:val="28"/>
          <w:szCs w:val="28"/>
          <w:lang w:val="en-ZA"/>
        </w:rPr>
        <w:tab/>
      </w:r>
      <w:r>
        <w:rPr>
          <w:rFonts w:ascii="Times New Roman" w:eastAsia="Calibri" w:hAnsi="Times New Roman" w:cs="Times New Roman"/>
          <w:b/>
          <w:iCs/>
          <w:sz w:val="28"/>
          <w:szCs w:val="28"/>
          <w:lang w:val="en-ZA"/>
        </w:rPr>
        <w:t>7</w:t>
      </w:r>
      <w:r>
        <w:rPr>
          <w:rFonts w:ascii="Times New Roman" w:eastAsia="Calibri" w:hAnsi="Times New Roman" w:cs="Times New Roman"/>
          <w:b/>
          <w:iCs/>
          <w:sz w:val="28"/>
          <w:szCs w:val="28"/>
          <w:vertAlign w:val="superscript"/>
          <w:lang w:val="en-ZA"/>
        </w:rPr>
        <w:t xml:space="preserve">th </w:t>
      </w:r>
      <w:proofErr w:type="gramStart"/>
      <w:r>
        <w:rPr>
          <w:rFonts w:ascii="Times New Roman" w:eastAsia="Calibri" w:hAnsi="Times New Roman" w:cs="Times New Roman"/>
          <w:b/>
          <w:sz w:val="28"/>
          <w:szCs w:val="28"/>
          <w:lang w:val="en-ZA"/>
        </w:rPr>
        <w:t>November</w:t>
      </w:r>
      <w:r w:rsidR="00F32896">
        <w:rPr>
          <w:rFonts w:ascii="Times New Roman" w:eastAsia="Calibri" w:hAnsi="Times New Roman" w:cs="Times New Roman"/>
          <w:b/>
          <w:sz w:val="28"/>
          <w:szCs w:val="28"/>
          <w:lang w:val="en-ZA"/>
        </w:rPr>
        <w:t>,</w:t>
      </w:r>
      <w:proofErr w:type="gramEnd"/>
      <w:r>
        <w:rPr>
          <w:rFonts w:ascii="Times New Roman" w:eastAsia="Calibri" w:hAnsi="Times New Roman" w:cs="Times New Roman"/>
          <w:b/>
          <w:sz w:val="28"/>
          <w:szCs w:val="28"/>
          <w:lang w:val="en-ZA"/>
        </w:rPr>
        <w:t xml:space="preserve"> 2022</w:t>
      </w:r>
    </w:p>
    <w:p w14:paraId="385094EC" w14:textId="77777777" w:rsidR="00F12981" w:rsidRDefault="00554D5D" w:rsidP="00897B07">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r w:rsidRPr="00554D5D">
        <w:rPr>
          <w:rFonts w:ascii="Times New Roman" w:eastAsia="Calibri" w:hAnsi="Times New Roman" w:cs="Times New Roman"/>
          <w:b/>
          <w:iCs/>
          <w:sz w:val="28"/>
          <w:szCs w:val="28"/>
          <w:lang w:val="en-ZA"/>
        </w:rPr>
        <w:t>Delivered On:</w:t>
      </w:r>
      <w:r w:rsidR="00803D7E">
        <w:rPr>
          <w:rFonts w:ascii="Times New Roman" w:eastAsia="Calibri" w:hAnsi="Times New Roman" w:cs="Times New Roman"/>
          <w:b/>
          <w:iCs/>
          <w:sz w:val="28"/>
          <w:szCs w:val="28"/>
          <w:lang w:val="en-ZA"/>
        </w:rPr>
        <w:tab/>
        <w:t>28</w:t>
      </w:r>
      <w:r w:rsidR="00803D7E" w:rsidRPr="00D54234">
        <w:rPr>
          <w:rFonts w:ascii="Times New Roman" w:eastAsia="Calibri" w:hAnsi="Times New Roman" w:cs="Times New Roman"/>
          <w:b/>
          <w:iCs/>
          <w:sz w:val="28"/>
          <w:szCs w:val="28"/>
          <w:vertAlign w:val="superscript"/>
          <w:lang w:val="en-ZA"/>
        </w:rPr>
        <w:t>th</w:t>
      </w:r>
      <w:r w:rsidR="00803D7E">
        <w:rPr>
          <w:rFonts w:ascii="Times New Roman" w:eastAsia="Calibri" w:hAnsi="Times New Roman" w:cs="Times New Roman"/>
          <w:b/>
          <w:iCs/>
          <w:sz w:val="28"/>
          <w:szCs w:val="28"/>
          <w:lang w:val="en-ZA"/>
        </w:rPr>
        <w:t xml:space="preserve"> </w:t>
      </w:r>
      <w:proofErr w:type="gramStart"/>
      <w:r w:rsidR="00803D7E">
        <w:rPr>
          <w:rFonts w:ascii="Times New Roman" w:eastAsia="Calibri" w:hAnsi="Times New Roman" w:cs="Times New Roman"/>
          <w:b/>
          <w:iCs/>
          <w:sz w:val="28"/>
          <w:szCs w:val="28"/>
          <w:lang w:val="en-ZA"/>
        </w:rPr>
        <w:t>February,</w:t>
      </w:r>
      <w:proofErr w:type="gramEnd"/>
      <w:r w:rsidR="00803D7E">
        <w:rPr>
          <w:rFonts w:ascii="Times New Roman" w:eastAsia="Calibri" w:hAnsi="Times New Roman" w:cs="Times New Roman"/>
          <w:b/>
          <w:iCs/>
          <w:sz w:val="28"/>
          <w:szCs w:val="28"/>
          <w:lang w:val="en-ZA"/>
        </w:rPr>
        <w:t xml:space="preserve"> 2023</w:t>
      </w:r>
    </w:p>
    <w:p w14:paraId="672CF30A" w14:textId="59DAC1FB" w:rsidR="00BB0E09" w:rsidRDefault="00554D5D" w:rsidP="00897B07">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r w:rsidRPr="00554D5D">
        <w:rPr>
          <w:rFonts w:ascii="Times New Roman" w:eastAsia="Calibri" w:hAnsi="Times New Roman" w:cs="Times New Roman"/>
          <w:b/>
          <w:iCs/>
          <w:sz w:val="28"/>
          <w:szCs w:val="28"/>
          <w:lang w:val="en-ZA"/>
        </w:rPr>
        <w:tab/>
      </w:r>
    </w:p>
    <w:p w14:paraId="61135CDF" w14:textId="77777777" w:rsidR="00164901" w:rsidRPr="00554D5D" w:rsidRDefault="00164901" w:rsidP="00897B07">
      <w:pPr>
        <w:tabs>
          <w:tab w:val="left" w:pos="1134"/>
        </w:tabs>
        <w:suppressAutoHyphens/>
        <w:autoSpaceDN w:val="0"/>
        <w:spacing w:after="0" w:line="240" w:lineRule="auto"/>
        <w:jc w:val="both"/>
        <w:textAlignment w:val="baseline"/>
        <w:rPr>
          <w:rFonts w:ascii="Times New Roman" w:eastAsia="Calibri" w:hAnsi="Times New Roman" w:cs="Times New Roman"/>
          <w:b/>
          <w:iCs/>
          <w:sz w:val="28"/>
          <w:szCs w:val="28"/>
          <w:lang w:val="en-ZA"/>
        </w:rPr>
      </w:pPr>
    </w:p>
    <w:p w14:paraId="4232C8BC" w14:textId="70FE5EB2" w:rsidR="00554D5D" w:rsidRDefault="00554D5D" w:rsidP="00BB0E09">
      <w:pPr>
        <w:widowControl w:val="0"/>
        <w:tabs>
          <w:tab w:val="left" w:pos="720"/>
        </w:tabs>
        <w:autoSpaceDE w:val="0"/>
        <w:autoSpaceDN w:val="0"/>
        <w:adjustRightInd w:val="0"/>
        <w:spacing w:after="0" w:line="360" w:lineRule="auto"/>
        <w:jc w:val="center"/>
        <w:rPr>
          <w:rFonts w:ascii="Times New Roman" w:eastAsia="Times New Roman" w:hAnsi="Times New Roman" w:cs="Times New Roman"/>
          <w:b/>
          <w:bCs/>
          <w:iCs/>
          <w:sz w:val="28"/>
          <w:szCs w:val="28"/>
          <w:lang w:eastAsia="en-GB"/>
        </w:rPr>
      </w:pPr>
      <w:r w:rsidRPr="00554D5D">
        <w:rPr>
          <w:rFonts w:ascii="Times New Roman" w:eastAsia="Times New Roman" w:hAnsi="Times New Roman" w:cs="Times New Roman"/>
          <w:b/>
          <w:bCs/>
          <w:iCs/>
          <w:sz w:val="28"/>
          <w:szCs w:val="28"/>
          <w:lang w:eastAsia="en-GB"/>
        </w:rPr>
        <w:t>SUMMARY</w:t>
      </w:r>
    </w:p>
    <w:p w14:paraId="6983D1F7" w14:textId="77777777" w:rsidR="00BB0E09" w:rsidRPr="00BB0E09" w:rsidRDefault="00BB0E09" w:rsidP="00BB0E09">
      <w:pPr>
        <w:widowControl w:val="0"/>
        <w:tabs>
          <w:tab w:val="left" w:pos="720"/>
        </w:tabs>
        <w:autoSpaceDE w:val="0"/>
        <w:autoSpaceDN w:val="0"/>
        <w:adjustRightInd w:val="0"/>
        <w:spacing w:after="0" w:line="360" w:lineRule="auto"/>
        <w:jc w:val="center"/>
        <w:rPr>
          <w:rFonts w:ascii="Times New Roman" w:eastAsia="Times New Roman" w:hAnsi="Times New Roman" w:cs="Times New Roman"/>
          <w:b/>
          <w:bCs/>
          <w:iCs/>
          <w:sz w:val="28"/>
          <w:szCs w:val="28"/>
          <w:lang w:eastAsia="en-GB"/>
        </w:rPr>
      </w:pPr>
    </w:p>
    <w:p w14:paraId="314BAB24" w14:textId="7115FA4C" w:rsidR="00554D5D" w:rsidRPr="00D54234" w:rsidRDefault="00AD7636" w:rsidP="00D54234">
      <w:pPr>
        <w:widowControl w:val="0"/>
        <w:autoSpaceDE w:val="0"/>
        <w:autoSpaceDN w:val="0"/>
        <w:adjustRightInd w:val="0"/>
        <w:spacing w:after="0" w:line="240" w:lineRule="auto"/>
        <w:jc w:val="both"/>
        <w:rPr>
          <w:rFonts w:ascii="Times New Roman" w:eastAsia="Times New Roman" w:hAnsi="Times New Roman" w:cs="Times New Roman"/>
          <w:i/>
          <w:iCs/>
          <w:sz w:val="28"/>
          <w:szCs w:val="28"/>
          <w:lang w:val="en-US" w:eastAsia="en-GB"/>
        </w:rPr>
      </w:pPr>
      <w:r w:rsidRPr="00D54234">
        <w:rPr>
          <w:rFonts w:ascii="Times New Roman" w:eastAsia="Times New Roman" w:hAnsi="Times New Roman" w:cs="Times New Roman"/>
          <w:i/>
          <w:iCs/>
          <w:sz w:val="28"/>
          <w:szCs w:val="28"/>
          <w:lang w:val="en-US" w:eastAsia="en-GB"/>
        </w:rPr>
        <w:t>Interdict – To restrain the respondent from interfering with applicant’s possession of certain land</w:t>
      </w:r>
      <w:r w:rsidR="00005A15">
        <w:rPr>
          <w:rFonts w:ascii="Times New Roman" w:eastAsia="Times New Roman" w:hAnsi="Times New Roman" w:cs="Times New Roman"/>
          <w:i/>
          <w:iCs/>
          <w:sz w:val="28"/>
          <w:szCs w:val="28"/>
          <w:lang w:val="en-US" w:eastAsia="en-GB"/>
        </w:rPr>
        <w:t xml:space="preserve"> </w:t>
      </w:r>
      <w:r w:rsidRPr="00D54234">
        <w:rPr>
          <w:rFonts w:ascii="Times New Roman" w:eastAsia="Times New Roman" w:hAnsi="Times New Roman" w:cs="Times New Roman"/>
          <w:i/>
          <w:iCs/>
          <w:sz w:val="28"/>
          <w:szCs w:val="28"/>
          <w:lang w:val="en-US" w:eastAsia="en-GB"/>
        </w:rPr>
        <w:t xml:space="preserve"> – Applicant relying on unregistered sub</w:t>
      </w:r>
      <w:r w:rsidR="00005A15">
        <w:rPr>
          <w:rFonts w:ascii="Times New Roman" w:eastAsia="Times New Roman" w:hAnsi="Times New Roman" w:cs="Times New Roman"/>
          <w:i/>
          <w:iCs/>
          <w:sz w:val="28"/>
          <w:szCs w:val="28"/>
          <w:lang w:val="en-US" w:eastAsia="en-GB"/>
        </w:rPr>
        <w:t xml:space="preserve"> </w:t>
      </w:r>
      <w:r w:rsidRPr="00D54234">
        <w:rPr>
          <w:rFonts w:ascii="Times New Roman" w:eastAsia="Times New Roman" w:hAnsi="Times New Roman" w:cs="Times New Roman"/>
          <w:i/>
          <w:iCs/>
          <w:sz w:val="28"/>
          <w:szCs w:val="28"/>
          <w:lang w:val="en-US" w:eastAsia="en-GB"/>
        </w:rPr>
        <w:t xml:space="preserve"> – lease agreement and</w:t>
      </w:r>
      <w:r w:rsidR="00DF0D29">
        <w:rPr>
          <w:rFonts w:ascii="Times New Roman" w:eastAsia="Times New Roman" w:hAnsi="Times New Roman" w:cs="Times New Roman"/>
          <w:i/>
          <w:iCs/>
          <w:sz w:val="28"/>
          <w:szCs w:val="28"/>
          <w:lang w:val="en-US" w:eastAsia="en-GB"/>
        </w:rPr>
        <w:t xml:space="preserve"> is</w:t>
      </w:r>
      <w:r w:rsidRPr="00D54234">
        <w:rPr>
          <w:rFonts w:ascii="Times New Roman" w:eastAsia="Times New Roman" w:hAnsi="Times New Roman" w:cs="Times New Roman"/>
          <w:i/>
          <w:iCs/>
          <w:sz w:val="28"/>
          <w:szCs w:val="28"/>
          <w:lang w:val="en-US" w:eastAsia="en-GB"/>
        </w:rPr>
        <w:t xml:space="preserve"> asserting a right of lien as a bona fide occupier</w:t>
      </w:r>
      <w:r w:rsidR="00005A15">
        <w:rPr>
          <w:rFonts w:ascii="Times New Roman" w:eastAsia="Times New Roman" w:hAnsi="Times New Roman" w:cs="Times New Roman"/>
          <w:i/>
          <w:iCs/>
          <w:sz w:val="28"/>
          <w:szCs w:val="28"/>
          <w:lang w:val="en-US" w:eastAsia="en-GB"/>
        </w:rPr>
        <w:t xml:space="preserve"> </w:t>
      </w:r>
      <w:r w:rsidRPr="00D54234">
        <w:rPr>
          <w:rFonts w:ascii="Times New Roman" w:eastAsia="Times New Roman" w:hAnsi="Times New Roman" w:cs="Times New Roman"/>
          <w:i/>
          <w:iCs/>
          <w:sz w:val="28"/>
          <w:szCs w:val="28"/>
          <w:lang w:val="en-US" w:eastAsia="en-GB"/>
        </w:rPr>
        <w:t xml:space="preserve"> –</w:t>
      </w:r>
      <w:r w:rsidR="00005A15">
        <w:rPr>
          <w:rFonts w:ascii="Times New Roman" w:eastAsia="Times New Roman" w:hAnsi="Times New Roman" w:cs="Times New Roman"/>
          <w:i/>
          <w:iCs/>
          <w:sz w:val="28"/>
          <w:szCs w:val="28"/>
          <w:lang w:val="en-US" w:eastAsia="en-GB"/>
        </w:rPr>
        <w:t xml:space="preserve"> </w:t>
      </w:r>
      <w:r w:rsidRPr="00D54234">
        <w:rPr>
          <w:rFonts w:ascii="Times New Roman" w:eastAsia="Times New Roman" w:hAnsi="Times New Roman" w:cs="Times New Roman"/>
          <w:i/>
          <w:iCs/>
          <w:sz w:val="28"/>
          <w:szCs w:val="28"/>
          <w:lang w:val="en-US" w:eastAsia="en-GB"/>
        </w:rPr>
        <w:t xml:space="preserve"> </w:t>
      </w:r>
      <w:r w:rsidR="005214B9">
        <w:rPr>
          <w:rFonts w:ascii="Times New Roman" w:eastAsia="Times New Roman" w:hAnsi="Times New Roman" w:cs="Times New Roman"/>
          <w:i/>
          <w:iCs/>
          <w:sz w:val="28"/>
          <w:szCs w:val="28"/>
          <w:lang w:val="en-US" w:eastAsia="en-GB"/>
        </w:rPr>
        <w:t>L</w:t>
      </w:r>
      <w:r w:rsidR="00DD03E4">
        <w:rPr>
          <w:rFonts w:ascii="Times New Roman" w:eastAsia="Times New Roman" w:hAnsi="Times New Roman" w:cs="Times New Roman"/>
          <w:i/>
          <w:iCs/>
          <w:sz w:val="28"/>
          <w:szCs w:val="28"/>
          <w:lang w:val="en-US" w:eastAsia="en-GB"/>
        </w:rPr>
        <w:t>ong term u</w:t>
      </w:r>
      <w:r w:rsidRPr="00D54234">
        <w:rPr>
          <w:rFonts w:ascii="Times New Roman" w:eastAsia="Times New Roman" w:hAnsi="Times New Roman" w:cs="Times New Roman"/>
          <w:i/>
          <w:iCs/>
          <w:sz w:val="28"/>
          <w:szCs w:val="28"/>
          <w:lang w:val="en-US" w:eastAsia="en-GB"/>
        </w:rPr>
        <w:t>nregistered sub</w:t>
      </w:r>
      <w:r w:rsidR="0000257C">
        <w:rPr>
          <w:rFonts w:ascii="Times New Roman" w:eastAsia="Times New Roman" w:hAnsi="Times New Roman" w:cs="Times New Roman"/>
          <w:i/>
          <w:iCs/>
          <w:sz w:val="28"/>
          <w:szCs w:val="28"/>
          <w:lang w:val="en-US" w:eastAsia="en-GB"/>
        </w:rPr>
        <w:t xml:space="preserve"> </w:t>
      </w:r>
      <w:r w:rsidRPr="00D54234">
        <w:rPr>
          <w:rFonts w:ascii="Times New Roman" w:eastAsia="Times New Roman" w:hAnsi="Times New Roman" w:cs="Times New Roman"/>
          <w:i/>
          <w:iCs/>
          <w:sz w:val="28"/>
          <w:szCs w:val="28"/>
          <w:lang w:val="en-US" w:eastAsia="en-GB"/>
        </w:rPr>
        <w:t xml:space="preserve">-lease agreement null and void and </w:t>
      </w:r>
      <w:r w:rsidR="003112C0" w:rsidRPr="00D54234">
        <w:rPr>
          <w:rFonts w:ascii="Times New Roman" w:eastAsia="Times New Roman" w:hAnsi="Times New Roman" w:cs="Times New Roman"/>
          <w:i/>
          <w:iCs/>
          <w:sz w:val="28"/>
          <w:szCs w:val="28"/>
          <w:lang w:val="en-US" w:eastAsia="en-GB"/>
        </w:rPr>
        <w:t>cannot be a source of rights</w:t>
      </w:r>
      <w:r w:rsidR="00C37CA2">
        <w:rPr>
          <w:rFonts w:ascii="Times New Roman" w:eastAsia="Times New Roman" w:hAnsi="Times New Roman" w:cs="Times New Roman"/>
          <w:i/>
          <w:iCs/>
          <w:sz w:val="28"/>
          <w:szCs w:val="28"/>
          <w:lang w:val="en-US" w:eastAsia="en-GB"/>
        </w:rPr>
        <w:t xml:space="preserve"> </w:t>
      </w:r>
      <w:r w:rsidR="003112C0" w:rsidRPr="00D54234">
        <w:rPr>
          <w:rFonts w:ascii="Times New Roman" w:eastAsia="Times New Roman" w:hAnsi="Times New Roman" w:cs="Times New Roman"/>
          <w:i/>
          <w:iCs/>
          <w:sz w:val="28"/>
          <w:szCs w:val="28"/>
          <w:lang w:val="en-US" w:eastAsia="en-GB"/>
        </w:rPr>
        <w:t xml:space="preserve"> </w:t>
      </w:r>
      <w:r w:rsidR="00F734D7" w:rsidRPr="00D54234">
        <w:rPr>
          <w:rFonts w:ascii="Times New Roman" w:eastAsia="Times New Roman" w:hAnsi="Times New Roman" w:cs="Times New Roman"/>
          <w:i/>
          <w:iCs/>
          <w:sz w:val="28"/>
          <w:szCs w:val="28"/>
          <w:lang w:val="en-US" w:eastAsia="en-GB"/>
        </w:rPr>
        <w:t>–</w:t>
      </w:r>
      <w:r w:rsidR="00C37CA2">
        <w:rPr>
          <w:rFonts w:ascii="Times New Roman" w:eastAsia="Times New Roman" w:hAnsi="Times New Roman" w:cs="Times New Roman"/>
          <w:i/>
          <w:iCs/>
          <w:sz w:val="28"/>
          <w:szCs w:val="28"/>
          <w:lang w:val="en-US" w:eastAsia="en-GB"/>
        </w:rPr>
        <w:t xml:space="preserve"> </w:t>
      </w:r>
      <w:r w:rsidRPr="00D54234">
        <w:rPr>
          <w:rFonts w:ascii="Times New Roman" w:eastAsia="Times New Roman" w:hAnsi="Times New Roman" w:cs="Times New Roman"/>
          <w:i/>
          <w:iCs/>
          <w:sz w:val="28"/>
          <w:szCs w:val="28"/>
          <w:lang w:val="en-US" w:eastAsia="en-GB"/>
        </w:rPr>
        <w:t xml:space="preserve"> </w:t>
      </w:r>
      <w:r w:rsidR="000450FB" w:rsidRPr="00D54234">
        <w:rPr>
          <w:rFonts w:ascii="Times New Roman" w:eastAsia="Times New Roman" w:hAnsi="Times New Roman" w:cs="Times New Roman"/>
          <w:i/>
          <w:iCs/>
          <w:sz w:val="28"/>
          <w:szCs w:val="28"/>
          <w:lang w:val="en-US" w:eastAsia="en-GB"/>
        </w:rPr>
        <w:t xml:space="preserve">Applicant failing </w:t>
      </w:r>
      <w:r w:rsidR="000450FB" w:rsidRPr="00D54234">
        <w:rPr>
          <w:rFonts w:ascii="Times New Roman" w:eastAsia="Times New Roman" w:hAnsi="Times New Roman" w:cs="Times New Roman"/>
          <w:i/>
          <w:iCs/>
          <w:sz w:val="28"/>
          <w:szCs w:val="28"/>
          <w:lang w:val="en-US" w:eastAsia="en-GB"/>
        </w:rPr>
        <w:lastRenderedPageBreak/>
        <w:t>to disclose q</w:t>
      </w:r>
      <w:r w:rsidR="00F734D7" w:rsidRPr="00D54234">
        <w:rPr>
          <w:rFonts w:ascii="Times New Roman" w:eastAsia="Times New Roman" w:hAnsi="Times New Roman" w:cs="Times New Roman"/>
          <w:i/>
          <w:iCs/>
          <w:sz w:val="28"/>
          <w:szCs w:val="28"/>
          <w:lang w:val="en-US" w:eastAsia="en-GB"/>
        </w:rPr>
        <w:t xml:space="preserve">uantum of alleged enrichment or increase in the value of property </w:t>
      </w:r>
      <w:r w:rsidR="000450FB" w:rsidRPr="00D54234">
        <w:rPr>
          <w:rFonts w:ascii="Times New Roman" w:eastAsia="Times New Roman" w:hAnsi="Times New Roman" w:cs="Times New Roman"/>
          <w:i/>
          <w:iCs/>
          <w:sz w:val="28"/>
          <w:szCs w:val="28"/>
          <w:lang w:val="en-US" w:eastAsia="en-GB"/>
        </w:rPr>
        <w:t xml:space="preserve">and </w:t>
      </w:r>
      <w:r w:rsidR="00F734D7" w:rsidRPr="00D54234">
        <w:rPr>
          <w:rFonts w:ascii="Times New Roman" w:eastAsia="Times New Roman" w:hAnsi="Times New Roman" w:cs="Times New Roman"/>
          <w:i/>
          <w:iCs/>
          <w:sz w:val="28"/>
          <w:szCs w:val="28"/>
          <w:lang w:val="en-US" w:eastAsia="en-GB"/>
        </w:rPr>
        <w:t>evidence of</w:t>
      </w:r>
      <w:r w:rsidR="00F734D7">
        <w:rPr>
          <w:rFonts w:ascii="Times New Roman" w:eastAsia="Times New Roman" w:hAnsi="Times New Roman" w:cs="Times New Roman"/>
          <w:sz w:val="28"/>
          <w:szCs w:val="28"/>
          <w:lang w:val="en-US" w:eastAsia="en-GB"/>
        </w:rPr>
        <w:t xml:space="preserve"> </w:t>
      </w:r>
      <w:r w:rsidR="00F734D7" w:rsidRPr="00D54234">
        <w:rPr>
          <w:rFonts w:ascii="Times New Roman" w:eastAsia="Times New Roman" w:hAnsi="Times New Roman" w:cs="Times New Roman"/>
          <w:i/>
          <w:iCs/>
          <w:sz w:val="28"/>
          <w:szCs w:val="28"/>
          <w:lang w:val="en-US" w:eastAsia="en-GB"/>
        </w:rPr>
        <w:t xml:space="preserve">impoverishment </w:t>
      </w:r>
      <w:r w:rsidR="000450FB" w:rsidRPr="00D54234">
        <w:rPr>
          <w:rFonts w:ascii="Times New Roman" w:eastAsia="Times New Roman" w:hAnsi="Times New Roman" w:cs="Times New Roman"/>
          <w:i/>
          <w:iCs/>
          <w:sz w:val="28"/>
          <w:szCs w:val="28"/>
          <w:lang w:val="en-US" w:eastAsia="en-GB"/>
        </w:rPr>
        <w:t xml:space="preserve">– A claim for lien not substantiated </w:t>
      </w:r>
      <w:r w:rsidR="008D41B6">
        <w:rPr>
          <w:rFonts w:ascii="Times New Roman" w:eastAsia="Times New Roman" w:hAnsi="Times New Roman" w:cs="Times New Roman"/>
          <w:i/>
          <w:iCs/>
          <w:sz w:val="28"/>
          <w:szCs w:val="28"/>
          <w:lang w:val="en-US" w:eastAsia="en-GB"/>
        </w:rPr>
        <w:t>–</w:t>
      </w:r>
      <w:r w:rsidR="000450FB" w:rsidRPr="00D54234">
        <w:rPr>
          <w:rFonts w:ascii="Times New Roman" w:eastAsia="Times New Roman" w:hAnsi="Times New Roman" w:cs="Times New Roman"/>
          <w:i/>
          <w:iCs/>
          <w:sz w:val="28"/>
          <w:szCs w:val="28"/>
          <w:lang w:val="en-US" w:eastAsia="en-GB"/>
        </w:rPr>
        <w:t xml:space="preserve"> </w:t>
      </w:r>
      <w:r w:rsidR="008D41B6">
        <w:rPr>
          <w:rFonts w:ascii="Times New Roman" w:eastAsia="Times New Roman" w:hAnsi="Times New Roman" w:cs="Times New Roman"/>
          <w:i/>
          <w:iCs/>
          <w:sz w:val="28"/>
          <w:szCs w:val="28"/>
          <w:lang w:val="en-US" w:eastAsia="en-GB"/>
        </w:rPr>
        <w:t>Applicant’s possession interfered with – Requirements of interdict proved -</w:t>
      </w:r>
      <w:r w:rsidR="000450FB" w:rsidRPr="00D54234">
        <w:rPr>
          <w:rFonts w:ascii="Times New Roman" w:eastAsia="Times New Roman" w:hAnsi="Times New Roman" w:cs="Times New Roman"/>
          <w:i/>
          <w:iCs/>
          <w:sz w:val="28"/>
          <w:szCs w:val="28"/>
          <w:lang w:val="en-US" w:eastAsia="en-GB"/>
        </w:rPr>
        <w:t xml:space="preserve"> </w:t>
      </w:r>
      <w:r w:rsidR="008D41B6">
        <w:rPr>
          <w:rFonts w:ascii="Times New Roman" w:eastAsia="Times New Roman" w:hAnsi="Times New Roman" w:cs="Times New Roman"/>
          <w:i/>
          <w:iCs/>
          <w:sz w:val="28"/>
          <w:szCs w:val="28"/>
          <w:lang w:val="en-US" w:eastAsia="en-GB"/>
        </w:rPr>
        <w:t xml:space="preserve">Respondent restrained from taking possession of the premises unless it is by due process of law. </w:t>
      </w:r>
    </w:p>
    <w:p w14:paraId="480624BC" w14:textId="24AA0ABD" w:rsidR="00AD7636" w:rsidRDefault="00AD7636" w:rsidP="00554D5D">
      <w:pPr>
        <w:widowControl w:val="0"/>
        <w:autoSpaceDE w:val="0"/>
        <w:autoSpaceDN w:val="0"/>
        <w:adjustRightInd w:val="0"/>
        <w:spacing w:after="0" w:line="240" w:lineRule="auto"/>
        <w:rPr>
          <w:rFonts w:ascii="Times New Roman" w:eastAsia="Times New Roman" w:hAnsi="Times New Roman" w:cs="Times New Roman"/>
          <w:i/>
          <w:iCs/>
          <w:sz w:val="28"/>
          <w:szCs w:val="28"/>
          <w:lang w:val="en-US" w:eastAsia="en-GB"/>
        </w:rPr>
      </w:pPr>
    </w:p>
    <w:p w14:paraId="2A6AB95F" w14:textId="55193319" w:rsidR="008D41B6" w:rsidRDefault="008D41B6" w:rsidP="00554D5D">
      <w:pPr>
        <w:widowControl w:val="0"/>
        <w:autoSpaceDE w:val="0"/>
        <w:autoSpaceDN w:val="0"/>
        <w:adjustRightInd w:val="0"/>
        <w:spacing w:after="0" w:line="240" w:lineRule="auto"/>
        <w:rPr>
          <w:rFonts w:ascii="Times New Roman" w:eastAsia="Times New Roman" w:hAnsi="Times New Roman" w:cs="Times New Roman"/>
          <w:i/>
          <w:iCs/>
          <w:sz w:val="28"/>
          <w:szCs w:val="28"/>
          <w:lang w:val="en-US" w:eastAsia="en-GB"/>
        </w:rPr>
      </w:pPr>
    </w:p>
    <w:p w14:paraId="42CA3281" w14:textId="77777777" w:rsidR="00E4195E" w:rsidRPr="00D54234" w:rsidRDefault="00E4195E" w:rsidP="00554D5D">
      <w:pPr>
        <w:widowControl w:val="0"/>
        <w:autoSpaceDE w:val="0"/>
        <w:autoSpaceDN w:val="0"/>
        <w:adjustRightInd w:val="0"/>
        <w:spacing w:after="0" w:line="240" w:lineRule="auto"/>
        <w:rPr>
          <w:rFonts w:ascii="Times New Roman" w:eastAsia="Times New Roman" w:hAnsi="Times New Roman" w:cs="Times New Roman"/>
          <w:i/>
          <w:iCs/>
          <w:sz w:val="28"/>
          <w:szCs w:val="28"/>
          <w:lang w:val="en-US" w:eastAsia="en-GB"/>
        </w:rPr>
      </w:pPr>
    </w:p>
    <w:p w14:paraId="3EF14B8F" w14:textId="77777777" w:rsidR="00554D5D" w:rsidRPr="00554D5D" w:rsidRDefault="00554D5D" w:rsidP="00554D5D">
      <w:pPr>
        <w:widowControl w:val="0"/>
        <w:tabs>
          <w:tab w:val="left" w:pos="720"/>
        </w:tabs>
        <w:autoSpaceDE w:val="0"/>
        <w:autoSpaceDN w:val="0"/>
        <w:adjustRightInd w:val="0"/>
        <w:spacing w:after="0" w:line="360" w:lineRule="auto"/>
        <w:jc w:val="both"/>
        <w:rPr>
          <w:rFonts w:ascii="Times New Roman" w:eastAsia="Times New Roman" w:hAnsi="Times New Roman" w:cs="Times New Roman"/>
          <w:b/>
          <w:bCs/>
          <w:sz w:val="28"/>
          <w:szCs w:val="28"/>
          <w:lang w:eastAsia="en-GB"/>
        </w:rPr>
      </w:pPr>
      <w:r w:rsidRPr="00554D5D">
        <w:rPr>
          <w:rFonts w:ascii="Times New Roman" w:eastAsia="Times New Roman" w:hAnsi="Times New Roman" w:cs="Times New Roman"/>
          <w:b/>
          <w:bCs/>
          <w:sz w:val="28"/>
          <w:szCs w:val="28"/>
          <w:u w:val="single"/>
          <w:lang w:eastAsia="en-GB"/>
        </w:rPr>
        <w:t>ANNOTATIONS</w:t>
      </w:r>
      <w:r w:rsidRPr="00554D5D">
        <w:rPr>
          <w:rFonts w:ascii="Times New Roman" w:eastAsia="Times New Roman" w:hAnsi="Times New Roman" w:cs="Times New Roman"/>
          <w:b/>
          <w:bCs/>
          <w:sz w:val="28"/>
          <w:szCs w:val="28"/>
          <w:lang w:eastAsia="en-GB"/>
        </w:rPr>
        <w:t>:</w:t>
      </w:r>
    </w:p>
    <w:p w14:paraId="49EC91BA" w14:textId="77777777" w:rsidR="00554D5D" w:rsidRPr="00554D5D" w:rsidRDefault="00554D5D" w:rsidP="00554D5D">
      <w:pPr>
        <w:widowControl w:val="0"/>
        <w:autoSpaceDE w:val="0"/>
        <w:autoSpaceDN w:val="0"/>
        <w:adjustRightInd w:val="0"/>
        <w:spacing w:after="0" w:line="240" w:lineRule="auto"/>
        <w:rPr>
          <w:rFonts w:ascii="Times New Roman" w:eastAsia="Times New Roman" w:hAnsi="Times New Roman" w:cs="Times New Roman"/>
          <w:b/>
          <w:sz w:val="24"/>
          <w:szCs w:val="24"/>
          <w:lang w:eastAsia="en-GB"/>
        </w:rPr>
      </w:pPr>
    </w:p>
    <w:p w14:paraId="798B883F" w14:textId="3FBD543B" w:rsidR="005763BA" w:rsidRDefault="00554D5D" w:rsidP="00554D5D">
      <w:pPr>
        <w:widowControl w:val="0"/>
        <w:tabs>
          <w:tab w:val="left" w:pos="720"/>
        </w:tabs>
        <w:autoSpaceDE w:val="0"/>
        <w:autoSpaceDN w:val="0"/>
        <w:adjustRightInd w:val="0"/>
        <w:spacing w:after="0" w:line="360" w:lineRule="auto"/>
        <w:jc w:val="both"/>
        <w:rPr>
          <w:rFonts w:ascii="Times New Roman" w:eastAsia="Times New Roman" w:hAnsi="Times New Roman" w:cs="Times New Roman"/>
          <w:b/>
          <w:bCs/>
          <w:sz w:val="28"/>
          <w:szCs w:val="28"/>
          <w:u w:val="single"/>
          <w:lang w:eastAsia="en-GB"/>
        </w:rPr>
      </w:pPr>
      <w:r w:rsidRPr="00554D5D">
        <w:rPr>
          <w:rFonts w:ascii="Times New Roman" w:eastAsia="Times New Roman" w:hAnsi="Times New Roman" w:cs="Times New Roman"/>
          <w:b/>
          <w:bCs/>
          <w:sz w:val="28"/>
          <w:szCs w:val="28"/>
          <w:u w:val="single"/>
          <w:lang w:eastAsia="en-GB"/>
        </w:rPr>
        <w:t xml:space="preserve">Statutes </w:t>
      </w:r>
    </w:p>
    <w:p w14:paraId="5D552DA1" w14:textId="3C374039" w:rsidR="00F21F05" w:rsidRPr="00E83E07" w:rsidRDefault="00F21F05" w:rsidP="00E83E07">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Deeds Registry Act No.12 of 1967</w:t>
      </w:r>
    </w:p>
    <w:p w14:paraId="369871D7" w14:textId="053EAB2A" w:rsidR="005763BA" w:rsidRDefault="005763BA" w:rsidP="005763BA">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Land Act</w:t>
      </w:r>
      <w:r w:rsidR="00F21F05">
        <w:rPr>
          <w:rFonts w:ascii="Times New Roman" w:hAnsi="Times New Roman" w:cs="Times New Roman"/>
          <w:sz w:val="28"/>
          <w:szCs w:val="28"/>
        </w:rPr>
        <w:t xml:space="preserve"> No.17 of</w:t>
      </w:r>
      <w:r>
        <w:rPr>
          <w:rFonts w:ascii="Times New Roman" w:hAnsi="Times New Roman" w:cs="Times New Roman"/>
          <w:sz w:val="28"/>
          <w:szCs w:val="28"/>
        </w:rPr>
        <w:t xml:space="preserve"> 1979</w:t>
      </w:r>
      <w:r w:rsidRPr="005763BA">
        <w:rPr>
          <w:rFonts w:ascii="Times New Roman" w:hAnsi="Times New Roman" w:cs="Times New Roman"/>
          <w:sz w:val="28"/>
          <w:szCs w:val="28"/>
        </w:rPr>
        <w:t xml:space="preserve"> </w:t>
      </w:r>
    </w:p>
    <w:p w14:paraId="1AA4737D" w14:textId="06C187B5" w:rsidR="00554D5D" w:rsidRDefault="00554D5D" w:rsidP="00554D5D">
      <w:pPr>
        <w:widowControl w:val="0"/>
        <w:tabs>
          <w:tab w:val="left" w:pos="720"/>
        </w:tabs>
        <w:autoSpaceDE w:val="0"/>
        <w:autoSpaceDN w:val="0"/>
        <w:adjustRightInd w:val="0"/>
        <w:spacing w:after="0" w:line="360" w:lineRule="auto"/>
        <w:jc w:val="both"/>
        <w:rPr>
          <w:rFonts w:ascii="Times New Roman" w:eastAsia="Times New Roman" w:hAnsi="Times New Roman" w:cs="Times New Roman"/>
          <w:b/>
          <w:bCs/>
          <w:sz w:val="28"/>
          <w:szCs w:val="28"/>
          <w:u w:val="single"/>
          <w:lang w:eastAsia="en-GB"/>
        </w:rPr>
      </w:pPr>
      <w:r w:rsidRPr="00554D5D">
        <w:rPr>
          <w:rFonts w:ascii="Times New Roman" w:eastAsia="Times New Roman" w:hAnsi="Times New Roman" w:cs="Times New Roman"/>
          <w:b/>
          <w:bCs/>
          <w:sz w:val="28"/>
          <w:szCs w:val="28"/>
          <w:u w:val="single"/>
          <w:lang w:eastAsia="en-GB"/>
        </w:rPr>
        <w:t>Cited Cases</w:t>
      </w:r>
    </w:p>
    <w:p w14:paraId="497FE4E6" w14:textId="77777777" w:rsidR="00A836AF" w:rsidRPr="00554D5D" w:rsidRDefault="00A836AF" w:rsidP="00554D5D">
      <w:pPr>
        <w:widowControl w:val="0"/>
        <w:tabs>
          <w:tab w:val="left" w:pos="720"/>
        </w:tabs>
        <w:autoSpaceDE w:val="0"/>
        <w:autoSpaceDN w:val="0"/>
        <w:adjustRightInd w:val="0"/>
        <w:spacing w:after="0" w:line="360" w:lineRule="auto"/>
        <w:jc w:val="both"/>
        <w:rPr>
          <w:rFonts w:ascii="Times New Roman" w:eastAsia="Times New Roman" w:hAnsi="Times New Roman" w:cs="Times New Roman"/>
          <w:b/>
          <w:bCs/>
          <w:sz w:val="28"/>
          <w:szCs w:val="28"/>
          <w:u w:val="single"/>
          <w:lang w:eastAsia="en-GB"/>
        </w:rPr>
      </w:pPr>
    </w:p>
    <w:p w14:paraId="6BCA9679" w14:textId="0908639F" w:rsidR="00E81E6D" w:rsidRDefault="006C22BB" w:rsidP="00231E58">
      <w:pPr>
        <w:pStyle w:val="FootnoteText"/>
        <w:spacing w:line="480" w:lineRule="auto"/>
        <w:rPr>
          <w:rFonts w:ascii="Times New Roman" w:hAnsi="Times New Roman" w:cs="Times New Roman"/>
          <w:sz w:val="28"/>
          <w:szCs w:val="28"/>
        </w:rPr>
      </w:pPr>
      <w:r w:rsidRPr="00D54234">
        <w:rPr>
          <w:rFonts w:ascii="Times New Roman" w:hAnsi="Times New Roman" w:cs="Times New Roman"/>
          <w:b/>
          <w:bCs/>
          <w:sz w:val="28"/>
          <w:szCs w:val="28"/>
          <w:u w:val="single"/>
        </w:rPr>
        <w:t>Lesotho</w:t>
      </w:r>
      <w:r w:rsidR="00231E58" w:rsidRPr="00631554">
        <w:rPr>
          <w:rFonts w:ascii="Times New Roman" w:hAnsi="Times New Roman" w:cs="Times New Roman"/>
          <w:sz w:val="28"/>
          <w:szCs w:val="28"/>
        </w:rPr>
        <w:t xml:space="preserve"> </w:t>
      </w:r>
    </w:p>
    <w:p w14:paraId="011964E7" w14:textId="0D977DF9" w:rsidR="00231E58" w:rsidRDefault="00231E58" w:rsidP="003B6971">
      <w:pPr>
        <w:pStyle w:val="FootnoteText"/>
        <w:rPr>
          <w:rFonts w:ascii="Times New Roman" w:hAnsi="Times New Roman" w:cs="Times New Roman"/>
          <w:sz w:val="28"/>
          <w:szCs w:val="28"/>
        </w:rPr>
      </w:pPr>
      <w:r w:rsidRPr="00631554">
        <w:rPr>
          <w:rFonts w:ascii="Times New Roman" w:hAnsi="Times New Roman" w:cs="Times New Roman"/>
          <w:sz w:val="28"/>
          <w:szCs w:val="28"/>
        </w:rPr>
        <w:t xml:space="preserve">Attorney General &amp; Another v. Swissbourgh Diamonds Mines (Pty) Ltd &amp; Others LLR &amp; LB 1995 – 1996 173 </w:t>
      </w:r>
    </w:p>
    <w:p w14:paraId="07C863A5" w14:textId="77777777" w:rsidR="003B6971" w:rsidRPr="00D54234" w:rsidRDefault="003B6971" w:rsidP="003B6971">
      <w:pPr>
        <w:pStyle w:val="FootnoteText"/>
        <w:rPr>
          <w:rFonts w:ascii="Times New Roman" w:hAnsi="Times New Roman" w:cs="Times New Roman"/>
          <w:sz w:val="28"/>
          <w:szCs w:val="28"/>
        </w:rPr>
      </w:pPr>
    </w:p>
    <w:p w14:paraId="076BAEE9" w14:textId="282D8570" w:rsidR="00B46DA4" w:rsidRDefault="00A00387"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r w:rsidRPr="00D54234">
        <w:rPr>
          <w:rFonts w:ascii="Times New Roman" w:hAnsi="Times New Roman" w:cs="Times New Roman"/>
          <w:bCs/>
          <w:sz w:val="28"/>
          <w:szCs w:val="28"/>
        </w:rPr>
        <w:t xml:space="preserve">C &amp; S Properties (Pty) Ltd v. </w:t>
      </w:r>
      <w:proofErr w:type="spellStart"/>
      <w:r w:rsidRPr="00D54234">
        <w:rPr>
          <w:rFonts w:ascii="Times New Roman" w:hAnsi="Times New Roman" w:cs="Times New Roman"/>
          <w:bCs/>
          <w:sz w:val="28"/>
          <w:szCs w:val="28"/>
        </w:rPr>
        <w:t>Dr.</w:t>
      </w:r>
      <w:proofErr w:type="spellEnd"/>
      <w:r w:rsidRPr="00D54234">
        <w:rPr>
          <w:rFonts w:ascii="Times New Roman" w:hAnsi="Times New Roman" w:cs="Times New Roman"/>
          <w:bCs/>
          <w:sz w:val="28"/>
          <w:szCs w:val="28"/>
        </w:rPr>
        <w:t xml:space="preserve"> </w:t>
      </w:r>
      <w:proofErr w:type="spellStart"/>
      <w:r w:rsidRPr="00D54234">
        <w:rPr>
          <w:rFonts w:ascii="Times New Roman" w:hAnsi="Times New Roman" w:cs="Times New Roman"/>
          <w:bCs/>
          <w:sz w:val="28"/>
          <w:szCs w:val="28"/>
        </w:rPr>
        <w:t>Mamphono</w:t>
      </w:r>
      <w:proofErr w:type="spellEnd"/>
      <w:r w:rsidRPr="00D54234">
        <w:rPr>
          <w:rFonts w:ascii="Times New Roman" w:hAnsi="Times New Roman" w:cs="Times New Roman"/>
          <w:bCs/>
          <w:sz w:val="28"/>
          <w:szCs w:val="28"/>
        </w:rPr>
        <w:t xml:space="preserve"> </w:t>
      </w:r>
      <w:proofErr w:type="spellStart"/>
      <w:r w:rsidRPr="00D54234">
        <w:rPr>
          <w:rFonts w:ascii="Times New Roman" w:hAnsi="Times New Roman" w:cs="Times New Roman"/>
          <w:bCs/>
          <w:sz w:val="28"/>
          <w:szCs w:val="28"/>
        </w:rPr>
        <w:t>Khaketla</w:t>
      </w:r>
      <w:proofErr w:type="spellEnd"/>
      <w:r w:rsidR="00B757C7">
        <w:rPr>
          <w:rFonts w:ascii="Times New Roman" w:hAnsi="Times New Roman" w:cs="Times New Roman"/>
          <w:bCs/>
          <w:sz w:val="28"/>
          <w:szCs w:val="28"/>
        </w:rPr>
        <w:t xml:space="preserve"> </w:t>
      </w:r>
      <w:r w:rsidR="006C22BB" w:rsidRPr="00D54234">
        <w:rPr>
          <w:rFonts w:ascii="Times New Roman" w:hAnsi="Times New Roman" w:cs="Times New Roman"/>
          <w:sz w:val="28"/>
          <w:szCs w:val="28"/>
        </w:rPr>
        <w:t>(C of A (CIV) 64/2011 [2012] LSCA 26 (27 April 2012)</w:t>
      </w:r>
    </w:p>
    <w:p w14:paraId="7564F001" w14:textId="77777777" w:rsidR="003B6971"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11A1C5BD" w14:textId="70AC9B93" w:rsidR="00231E58" w:rsidRDefault="00231E58"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r w:rsidRPr="00631554">
        <w:rPr>
          <w:rFonts w:ascii="Times New Roman" w:hAnsi="Times New Roman" w:cs="Times New Roman"/>
          <w:bCs/>
          <w:sz w:val="28"/>
          <w:szCs w:val="28"/>
        </w:rPr>
        <w:t xml:space="preserve">Constituency Committee BNP Mafeteng and Others v. Issa </w:t>
      </w:r>
      <w:r w:rsidRPr="00631554">
        <w:rPr>
          <w:rFonts w:ascii="Times New Roman" w:hAnsi="Times New Roman" w:cs="Times New Roman"/>
          <w:sz w:val="28"/>
          <w:szCs w:val="28"/>
        </w:rPr>
        <w:t>C of A (CIV) 16 of 2011 [2011] LSCA 24 (21 October 2011</w:t>
      </w:r>
      <w:r w:rsidR="00AD7636">
        <w:rPr>
          <w:rFonts w:ascii="Times New Roman" w:hAnsi="Times New Roman" w:cs="Times New Roman"/>
          <w:sz w:val="28"/>
          <w:szCs w:val="28"/>
        </w:rPr>
        <w:t>)</w:t>
      </w:r>
    </w:p>
    <w:p w14:paraId="28D95076" w14:textId="77777777" w:rsidR="003B6971"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00E2FFC5" w14:textId="08361C3A" w:rsidR="00A4605E" w:rsidRDefault="00A4605E">
      <w:pPr>
        <w:widowControl w:val="0"/>
        <w:tabs>
          <w:tab w:val="left" w:pos="720"/>
        </w:tabs>
        <w:autoSpaceDE w:val="0"/>
        <w:autoSpaceDN w:val="0"/>
        <w:adjustRightInd w:val="0"/>
        <w:spacing w:after="0" w:line="480" w:lineRule="auto"/>
        <w:jc w:val="both"/>
        <w:rPr>
          <w:rFonts w:ascii="Times New Roman" w:hAnsi="Times New Roman" w:cs="Times New Roman"/>
          <w:sz w:val="28"/>
          <w:szCs w:val="28"/>
        </w:rPr>
      </w:pPr>
      <w:r w:rsidRPr="00631554">
        <w:rPr>
          <w:rFonts w:ascii="Times New Roman" w:hAnsi="Times New Roman" w:cs="Times New Roman"/>
          <w:bCs/>
          <w:sz w:val="28"/>
          <w:szCs w:val="28"/>
        </w:rPr>
        <w:t xml:space="preserve">Joy To </w:t>
      </w:r>
      <w:proofErr w:type="gramStart"/>
      <w:r w:rsidRPr="00631554">
        <w:rPr>
          <w:rFonts w:ascii="Times New Roman" w:hAnsi="Times New Roman" w:cs="Times New Roman"/>
          <w:bCs/>
          <w:sz w:val="28"/>
          <w:szCs w:val="28"/>
        </w:rPr>
        <w:t>The</w:t>
      </w:r>
      <w:proofErr w:type="gramEnd"/>
      <w:r w:rsidRPr="00631554">
        <w:rPr>
          <w:rFonts w:ascii="Times New Roman" w:hAnsi="Times New Roman" w:cs="Times New Roman"/>
          <w:bCs/>
          <w:sz w:val="28"/>
          <w:szCs w:val="28"/>
        </w:rPr>
        <w:t xml:space="preserve"> World v. </w:t>
      </w:r>
      <w:proofErr w:type="spellStart"/>
      <w:r w:rsidR="006E30E5" w:rsidRPr="00631554">
        <w:rPr>
          <w:rFonts w:ascii="Times New Roman" w:hAnsi="Times New Roman" w:cs="Times New Roman"/>
          <w:bCs/>
          <w:sz w:val="28"/>
          <w:szCs w:val="28"/>
        </w:rPr>
        <w:t>Malefane</w:t>
      </w:r>
      <w:proofErr w:type="spellEnd"/>
      <w:r w:rsidR="006E30E5" w:rsidRPr="00631554">
        <w:rPr>
          <w:rFonts w:ascii="Times New Roman" w:hAnsi="Times New Roman" w:cs="Times New Roman"/>
          <w:bCs/>
          <w:sz w:val="28"/>
          <w:szCs w:val="28"/>
        </w:rPr>
        <w:t xml:space="preserve"> LAC</w:t>
      </w:r>
      <w:r w:rsidRPr="00631554">
        <w:rPr>
          <w:rFonts w:ascii="Times New Roman" w:hAnsi="Times New Roman" w:cs="Times New Roman"/>
          <w:sz w:val="28"/>
          <w:szCs w:val="28"/>
        </w:rPr>
        <w:t xml:space="preserve"> (1995 – 1999) 313</w:t>
      </w:r>
    </w:p>
    <w:p w14:paraId="1EE598CA" w14:textId="73AABDE3" w:rsidR="008A2C30" w:rsidRDefault="008A2C30"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Joy To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World v. </w:t>
      </w:r>
      <w:proofErr w:type="spellStart"/>
      <w:r>
        <w:rPr>
          <w:rFonts w:ascii="Times New Roman" w:hAnsi="Times New Roman" w:cs="Times New Roman"/>
          <w:sz w:val="28"/>
          <w:szCs w:val="28"/>
        </w:rPr>
        <w:t>Malefane</w:t>
      </w:r>
      <w:proofErr w:type="spellEnd"/>
      <w:r>
        <w:rPr>
          <w:rFonts w:ascii="Times New Roman" w:hAnsi="Times New Roman" w:cs="Times New Roman"/>
          <w:sz w:val="28"/>
          <w:szCs w:val="28"/>
        </w:rPr>
        <w:t xml:space="preserve"> and Others </w:t>
      </w:r>
      <w:r w:rsidRPr="00D54234">
        <w:rPr>
          <w:rFonts w:ascii="Times New Roman" w:hAnsi="Times New Roman" w:cs="Times New Roman"/>
          <w:sz w:val="28"/>
          <w:szCs w:val="28"/>
        </w:rPr>
        <w:t>C of A (CIV) 16</w:t>
      </w:r>
      <w:r w:rsidR="00AD7636">
        <w:rPr>
          <w:rFonts w:ascii="Times New Roman" w:hAnsi="Times New Roman" w:cs="Times New Roman"/>
          <w:sz w:val="28"/>
          <w:szCs w:val="28"/>
        </w:rPr>
        <w:t xml:space="preserve"> of 20</w:t>
      </w:r>
      <w:r w:rsidRPr="00D54234">
        <w:rPr>
          <w:rFonts w:ascii="Times New Roman" w:hAnsi="Times New Roman" w:cs="Times New Roman"/>
          <w:sz w:val="28"/>
          <w:szCs w:val="28"/>
        </w:rPr>
        <w:t>13 [2013] LSCA 17 (18 October 2013)</w:t>
      </w:r>
    </w:p>
    <w:p w14:paraId="7843B42F" w14:textId="77777777" w:rsidR="003B6971" w:rsidRPr="00590716"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67F6515B" w14:textId="5890245C" w:rsidR="006D3A1B" w:rsidRDefault="00231E58"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631554">
        <w:rPr>
          <w:rFonts w:ascii="Times New Roman" w:hAnsi="Times New Roman" w:cs="Times New Roman"/>
          <w:bCs/>
          <w:sz w:val="28"/>
          <w:szCs w:val="28"/>
        </w:rPr>
        <w:t>Lehlohonolo</w:t>
      </w:r>
      <w:proofErr w:type="spellEnd"/>
      <w:r w:rsidRPr="00631554">
        <w:rPr>
          <w:rFonts w:ascii="Times New Roman" w:hAnsi="Times New Roman" w:cs="Times New Roman"/>
          <w:bCs/>
          <w:sz w:val="28"/>
          <w:szCs w:val="28"/>
        </w:rPr>
        <w:t xml:space="preserve"> </w:t>
      </w:r>
      <w:proofErr w:type="spellStart"/>
      <w:r w:rsidRPr="00631554">
        <w:rPr>
          <w:rFonts w:ascii="Times New Roman" w:hAnsi="Times New Roman" w:cs="Times New Roman"/>
          <w:bCs/>
          <w:sz w:val="28"/>
          <w:szCs w:val="28"/>
        </w:rPr>
        <w:t>Mangoejane</w:t>
      </w:r>
      <w:proofErr w:type="spellEnd"/>
      <w:r w:rsidRPr="00631554">
        <w:rPr>
          <w:rFonts w:ascii="Times New Roman" w:hAnsi="Times New Roman" w:cs="Times New Roman"/>
          <w:bCs/>
          <w:sz w:val="28"/>
          <w:szCs w:val="28"/>
        </w:rPr>
        <w:t xml:space="preserve"> and One v</w:t>
      </w:r>
      <w:r w:rsidR="0012091D">
        <w:rPr>
          <w:rFonts w:ascii="Times New Roman" w:hAnsi="Times New Roman" w:cs="Times New Roman"/>
          <w:bCs/>
          <w:sz w:val="28"/>
          <w:szCs w:val="28"/>
        </w:rPr>
        <w:t>.</w:t>
      </w:r>
      <w:r w:rsidRPr="00631554">
        <w:rPr>
          <w:rFonts w:ascii="Times New Roman" w:hAnsi="Times New Roman" w:cs="Times New Roman"/>
          <w:bCs/>
          <w:sz w:val="28"/>
          <w:szCs w:val="28"/>
        </w:rPr>
        <w:t xml:space="preserve"> </w:t>
      </w:r>
      <w:proofErr w:type="spellStart"/>
      <w:r w:rsidRPr="00631554">
        <w:rPr>
          <w:rFonts w:ascii="Times New Roman" w:hAnsi="Times New Roman" w:cs="Times New Roman"/>
          <w:bCs/>
          <w:sz w:val="28"/>
          <w:szCs w:val="28"/>
        </w:rPr>
        <w:t>Seabata</w:t>
      </w:r>
      <w:proofErr w:type="spellEnd"/>
      <w:r w:rsidRPr="00631554">
        <w:rPr>
          <w:rFonts w:ascii="Times New Roman" w:hAnsi="Times New Roman" w:cs="Times New Roman"/>
          <w:bCs/>
          <w:sz w:val="28"/>
          <w:szCs w:val="28"/>
        </w:rPr>
        <w:t xml:space="preserve"> </w:t>
      </w:r>
      <w:proofErr w:type="spellStart"/>
      <w:r w:rsidR="006E30E5" w:rsidRPr="00631554">
        <w:rPr>
          <w:rFonts w:ascii="Times New Roman" w:hAnsi="Times New Roman" w:cs="Times New Roman"/>
          <w:bCs/>
          <w:sz w:val="28"/>
          <w:szCs w:val="28"/>
        </w:rPr>
        <w:t>Mangoejane</w:t>
      </w:r>
      <w:proofErr w:type="spellEnd"/>
      <w:r w:rsidR="006E30E5" w:rsidRPr="00631554">
        <w:rPr>
          <w:rFonts w:ascii="Times New Roman" w:hAnsi="Times New Roman" w:cs="Times New Roman"/>
          <w:bCs/>
          <w:sz w:val="28"/>
          <w:szCs w:val="28"/>
        </w:rPr>
        <w:t xml:space="preserve"> </w:t>
      </w:r>
      <w:r w:rsidR="006E30E5" w:rsidRPr="00631554">
        <w:rPr>
          <w:rFonts w:ascii="Times New Roman" w:hAnsi="Times New Roman" w:cs="Times New Roman"/>
          <w:sz w:val="28"/>
          <w:szCs w:val="28"/>
        </w:rPr>
        <w:t>C</w:t>
      </w:r>
      <w:r w:rsidRPr="00631554">
        <w:rPr>
          <w:rFonts w:ascii="Times New Roman" w:hAnsi="Times New Roman" w:cs="Times New Roman"/>
          <w:sz w:val="28"/>
          <w:szCs w:val="28"/>
        </w:rPr>
        <w:t xml:space="preserve"> of A (CIV)  43</w:t>
      </w:r>
      <w:r w:rsidR="00AD7636">
        <w:rPr>
          <w:rFonts w:ascii="Times New Roman" w:hAnsi="Times New Roman" w:cs="Times New Roman"/>
          <w:sz w:val="28"/>
          <w:szCs w:val="28"/>
        </w:rPr>
        <w:t xml:space="preserve"> of </w:t>
      </w:r>
      <w:r w:rsidRPr="00631554">
        <w:rPr>
          <w:rFonts w:ascii="Times New Roman" w:hAnsi="Times New Roman" w:cs="Times New Roman"/>
          <w:sz w:val="28"/>
          <w:szCs w:val="28"/>
        </w:rPr>
        <w:t>2017</w:t>
      </w:r>
      <w:r w:rsidR="00AD7636">
        <w:rPr>
          <w:rFonts w:ascii="Times New Roman" w:hAnsi="Times New Roman" w:cs="Times New Roman"/>
          <w:sz w:val="28"/>
          <w:szCs w:val="28"/>
        </w:rPr>
        <w:t xml:space="preserve"> [2018] LSCA 15 (07 December 2018)</w:t>
      </w:r>
    </w:p>
    <w:p w14:paraId="52DD1FB4" w14:textId="77777777" w:rsidR="003B6971"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5639FF68" w14:textId="0B5C9F0E" w:rsidR="00231E58" w:rsidRDefault="006D3A1B"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631554">
        <w:rPr>
          <w:rFonts w:ascii="Times New Roman" w:hAnsi="Times New Roman" w:cs="Times New Roman"/>
          <w:sz w:val="28"/>
          <w:szCs w:val="28"/>
        </w:rPr>
        <w:t>Leloli</w:t>
      </w:r>
      <w:proofErr w:type="spellEnd"/>
      <w:r w:rsidRPr="00631554">
        <w:rPr>
          <w:rFonts w:ascii="Times New Roman" w:hAnsi="Times New Roman" w:cs="Times New Roman"/>
          <w:sz w:val="28"/>
          <w:szCs w:val="28"/>
        </w:rPr>
        <w:t xml:space="preserve"> Trading (Pty) Ltd v. Mafeteng District Council [2022] LSCH </w:t>
      </w:r>
      <w:r w:rsidR="00BE237C">
        <w:rPr>
          <w:rFonts w:ascii="Times New Roman" w:hAnsi="Times New Roman" w:cs="Times New Roman"/>
          <w:sz w:val="28"/>
          <w:szCs w:val="28"/>
        </w:rPr>
        <w:t>11 COM (9 February 2022)</w:t>
      </w:r>
    </w:p>
    <w:p w14:paraId="7B4E9541" w14:textId="10C0CF29" w:rsidR="003B6971"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6026E8BE" w14:textId="2CCFBEC1" w:rsidR="003B6971" w:rsidRDefault="00231E58" w:rsidP="003B6971">
      <w:pPr>
        <w:widowControl w:val="0"/>
        <w:tabs>
          <w:tab w:val="left" w:pos="720"/>
        </w:tabs>
        <w:autoSpaceDE w:val="0"/>
        <w:autoSpaceDN w:val="0"/>
        <w:adjustRightInd w:val="0"/>
        <w:spacing w:after="0" w:line="240" w:lineRule="auto"/>
        <w:jc w:val="both"/>
        <w:rPr>
          <w:rFonts w:ascii="Times New Roman" w:hAnsi="Times New Roman" w:cs="Times New Roman"/>
          <w:bCs/>
          <w:sz w:val="28"/>
          <w:szCs w:val="28"/>
        </w:rPr>
      </w:pPr>
      <w:proofErr w:type="spellStart"/>
      <w:r w:rsidRPr="00631554">
        <w:rPr>
          <w:rFonts w:ascii="Times New Roman" w:hAnsi="Times New Roman" w:cs="Times New Roman"/>
          <w:sz w:val="28"/>
          <w:szCs w:val="28"/>
        </w:rPr>
        <w:t>Makototo</w:t>
      </w:r>
      <w:proofErr w:type="spellEnd"/>
      <w:r w:rsidRPr="00631554">
        <w:rPr>
          <w:rFonts w:ascii="Times New Roman" w:hAnsi="Times New Roman" w:cs="Times New Roman"/>
          <w:sz w:val="28"/>
          <w:szCs w:val="28"/>
        </w:rPr>
        <w:t xml:space="preserve"> and Another v. Lesotho Development and Construction (Pty) Ltd C of A (CIV) 57/2013) [2014] LSCA 28</w:t>
      </w:r>
      <w:r w:rsidR="00BE237C">
        <w:rPr>
          <w:rFonts w:ascii="Times New Roman" w:hAnsi="Times New Roman" w:cs="Times New Roman"/>
          <w:sz w:val="28"/>
          <w:szCs w:val="28"/>
        </w:rPr>
        <w:t xml:space="preserve"> </w:t>
      </w:r>
      <w:r w:rsidRPr="00631554">
        <w:rPr>
          <w:rFonts w:ascii="Times New Roman" w:hAnsi="Times New Roman" w:cs="Times New Roman"/>
          <w:sz w:val="28"/>
          <w:szCs w:val="28"/>
        </w:rPr>
        <w:t>(24 October 2014)</w:t>
      </w:r>
      <w:r w:rsidRPr="00631554">
        <w:rPr>
          <w:rFonts w:ascii="Times New Roman" w:hAnsi="Times New Roman" w:cs="Times New Roman"/>
          <w:bCs/>
          <w:sz w:val="28"/>
          <w:szCs w:val="28"/>
        </w:rPr>
        <w:t xml:space="preserve"> </w:t>
      </w:r>
    </w:p>
    <w:p w14:paraId="38D5CA14" w14:textId="77777777" w:rsidR="0012091D" w:rsidRPr="00D54234" w:rsidRDefault="0012091D" w:rsidP="003B6971">
      <w:pPr>
        <w:widowControl w:val="0"/>
        <w:tabs>
          <w:tab w:val="left" w:pos="720"/>
        </w:tabs>
        <w:autoSpaceDE w:val="0"/>
        <w:autoSpaceDN w:val="0"/>
        <w:adjustRightInd w:val="0"/>
        <w:spacing w:after="0" w:line="240" w:lineRule="auto"/>
        <w:jc w:val="both"/>
        <w:rPr>
          <w:rFonts w:ascii="Times New Roman" w:hAnsi="Times New Roman" w:cs="Times New Roman"/>
          <w:bCs/>
          <w:sz w:val="28"/>
          <w:szCs w:val="28"/>
        </w:rPr>
      </w:pPr>
    </w:p>
    <w:p w14:paraId="500C3544" w14:textId="788726F9" w:rsidR="00B46DA4" w:rsidRDefault="00837544"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D54234">
        <w:rPr>
          <w:rFonts w:ascii="Times New Roman" w:hAnsi="Times New Roman" w:cs="Times New Roman"/>
          <w:bCs/>
          <w:sz w:val="28"/>
          <w:szCs w:val="28"/>
        </w:rPr>
        <w:lastRenderedPageBreak/>
        <w:t>Molomo</w:t>
      </w:r>
      <w:proofErr w:type="spellEnd"/>
      <w:r w:rsidRPr="00D54234">
        <w:rPr>
          <w:rFonts w:ascii="Times New Roman" w:hAnsi="Times New Roman" w:cs="Times New Roman"/>
          <w:bCs/>
          <w:sz w:val="28"/>
          <w:szCs w:val="28"/>
        </w:rPr>
        <w:t xml:space="preserve"> Filling Station and Another v. Mendi Group (Pty) Ltd and Others </w:t>
      </w:r>
      <w:r w:rsidRPr="00D54234">
        <w:rPr>
          <w:rFonts w:ascii="Times New Roman" w:hAnsi="Times New Roman" w:cs="Times New Roman"/>
          <w:sz w:val="28"/>
          <w:szCs w:val="28"/>
        </w:rPr>
        <w:t xml:space="preserve">C of A (CIV) No.83/2019 </w:t>
      </w:r>
    </w:p>
    <w:p w14:paraId="73EF09AD" w14:textId="77777777" w:rsidR="003B6971" w:rsidRPr="00D54234"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73FCEDC6" w14:textId="6DE96DE3" w:rsidR="00BA7049" w:rsidRDefault="00B46DA4"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D54234">
        <w:rPr>
          <w:rFonts w:ascii="Times New Roman" w:hAnsi="Times New Roman" w:cs="Times New Roman"/>
          <w:bCs/>
          <w:sz w:val="28"/>
          <w:szCs w:val="28"/>
        </w:rPr>
        <w:t>Nthoateng</w:t>
      </w:r>
      <w:proofErr w:type="spellEnd"/>
      <w:r w:rsidRPr="00D54234">
        <w:rPr>
          <w:rFonts w:ascii="Times New Roman" w:hAnsi="Times New Roman" w:cs="Times New Roman"/>
          <w:bCs/>
          <w:sz w:val="28"/>
          <w:szCs w:val="28"/>
        </w:rPr>
        <w:t xml:space="preserve"> </w:t>
      </w:r>
      <w:proofErr w:type="spellStart"/>
      <w:r w:rsidRPr="00D54234">
        <w:rPr>
          <w:rFonts w:ascii="Times New Roman" w:hAnsi="Times New Roman" w:cs="Times New Roman"/>
          <w:bCs/>
          <w:sz w:val="28"/>
          <w:szCs w:val="28"/>
        </w:rPr>
        <w:t>Khitione</w:t>
      </w:r>
      <w:proofErr w:type="spellEnd"/>
      <w:r w:rsidRPr="00D54234">
        <w:rPr>
          <w:rFonts w:ascii="Times New Roman" w:hAnsi="Times New Roman" w:cs="Times New Roman"/>
          <w:bCs/>
          <w:sz w:val="28"/>
          <w:szCs w:val="28"/>
        </w:rPr>
        <w:t xml:space="preserve"> &amp; others v. Botanical Oils (Pty) Ltd &amp; others </w:t>
      </w:r>
      <w:r w:rsidRPr="00D54234">
        <w:rPr>
          <w:rFonts w:ascii="Times New Roman" w:hAnsi="Times New Roman" w:cs="Times New Roman"/>
          <w:sz w:val="28"/>
          <w:szCs w:val="28"/>
        </w:rPr>
        <w:t>2022] LSHC 166 Comm. (18 August 2022</w:t>
      </w:r>
      <w:r w:rsidR="00BE237C">
        <w:rPr>
          <w:rFonts w:ascii="Times New Roman" w:hAnsi="Times New Roman" w:cs="Times New Roman"/>
          <w:sz w:val="28"/>
          <w:szCs w:val="28"/>
        </w:rPr>
        <w:t>)</w:t>
      </w:r>
    </w:p>
    <w:p w14:paraId="2F298099" w14:textId="77777777" w:rsidR="003B6971" w:rsidRPr="00D54234"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6C710D89" w14:textId="62C7EF91" w:rsidR="00782092" w:rsidRDefault="00BA7049" w:rsidP="00D54234">
      <w:pPr>
        <w:widowControl w:val="0"/>
        <w:tabs>
          <w:tab w:val="left" w:pos="720"/>
        </w:tabs>
        <w:autoSpaceDE w:val="0"/>
        <w:autoSpaceDN w:val="0"/>
        <w:adjustRightInd w:val="0"/>
        <w:spacing w:after="0" w:line="480" w:lineRule="auto"/>
        <w:jc w:val="both"/>
        <w:rPr>
          <w:rFonts w:ascii="Times New Roman" w:hAnsi="Times New Roman" w:cs="Times New Roman"/>
          <w:sz w:val="28"/>
          <w:szCs w:val="28"/>
        </w:rPr>
      </w:pPr>
      <w:r w:rsidRPr="00D54234">
        <w:rPr>
          <w:rFonts w:ascii="Times New Roman" w:hAnsi="Times New Roman" w:cs="Times New Roman"/>
          <w:bCs/>
          <w:sz w:val="28"/>
          <w:szCs w:val="28"/>
        </w:rPr>
        <w:t>Taka v</w:t>
      </w:r>
      <w:r w:rsidR="00AD7636">
        <w:rPr>
          <w:rFonts w:ascii="Times New Roman" w:hAnsi="Times New Roman" w:cs="Times New Roman"/>
          <w:bCs/>
          <w:sz w:val="28"/>
          <w:szCs w:val="28"/>
        </w:rPr>
        <w:t>.</w:t>
      </w:r>
      <w:r w:rsidRPr="00D54234">
        <w:rPr>
          <w:rFonts w:ascii="Times New Roman" w:hAnsi="Times New Roman" w:cs="Times New Roman"/>
          <w:bCs/>
          <w:sz w:val="28"/>
          <w:szCs w:val="28"/>
        </w:rPr>
        <w:t xml:space="preserve"> </w:t>
      </w:r>
      <w:proofErr w:type="spellStart"/>
      <w:r w:rsidRPr="00D54234">
        <w:rPr>
          <w:rFonts w:ascii="Times New Roman" w:hAnsi="Times New Roman" w:cs="Times New Roman"/>
          <w:bCs/>
          <w:sz w:val="28"/>
          <w:szCs w:val="28"/>
        </w:rPr>
        <w:t>Pheko</w:t>
      </w:r>
      <w:proofErr w:type="spellEnd"/>
      <w:r w:rsidR="00650FAF" w:rsidRPr="00D54234">
        <w:rPr>
          <w:rFonts w:ascii="Times New Roman" w:hAnsi="Times New Roman" w:cs="Times New Roman"/>
          <w:bCs/>
          <w:sz w:val="28"/>
          <w:szCs w:val="28"/>
        </w:rPr>
        <w:t xml:space="preserve"> </w:t>
      </w:r>
      <w:r w:rsidR="00650FAF" w:rsidRPr="00D54234">
        <w:rPr>
          <w:rFonts w:ascii="Times New Roman" w:hAnsi="Times New Roman" w:cs="Times New Roman"/>
          <w:sz w:val="28"/>
          <w:szCs w:val="28"/>
        </w:rPr>
        <w:t xml:space="preserve">C of A (CIV) 59 of 2015 [2016] LSCA 13 (29 April 2016) </w:t>
      </w:r>
    </w:p>
    <w:p w14:paraId="2B3E7467" w14:textId="77777777" w:rsidR="00C57C03" w:rsidRPr="00D54234" w:rsidRDefault="00C57C03" w:rsidP="00D54234">
      <w:pPr>
        <w:widowControl w:val="0"/>
        <w:tabs>
          <w:tab w:val="left" w:pos="720"/>
        </w:tabs>
        <w:autoSpaceDE w:val="0"/>
        <w:autoSpaceDN w:val="0"/>
        <w:adjustRightInd w:val="0"/>
        <w:spacing w:after="0" w:line="480" w:lineRule="auto"/>
        <w:jc w:val="both"/>
        <w:rPr>
          <w:rFonts w:ascii="Times New Roman" w:hAnsi="Times New Roman" w:cs="Times New Roman"/>
          <w:sz w:val="28"/>
          <w:szCs w:val="28"/>
        </w:rPr>
      </w:pPr>
    </w:p>
    <w:p w14:paraId="2D10E8B1" w14:textId="62005255" w:rsidR="003D6D73" w:rsidRDefault="003D6D73" w:rsidP="00D54234">
      <w:pPr>
        <w:widowControl w:val="0"/>
        <w:tabs>
          <w:tab w:val="left" w:pos="720"/>
        </w:tabs>
        <w:autoSpaceDE w:val="0"/>
        <w:autoSpaceDN w:val="0"/>
        <w:adjustRightInd w:val="0"/>
        <w:spacing w:after="0" w:line="480" w:lineRule="auto"/>
        <w:jc w:val="both"/>
        <w:rPr>
          <w:rFonts w:ascii="Times New Roman" w:hAnsi="Times New Roman" w:cs="Times New Roman"/>
          <w:b/>
          <w:bCs/>
          <w:sz w:val="28"/>
          <w:szCs w:val="28"/>
        </w:rPr>
      </w:pPr>
      <w:r w:rsidRPr="00554D5D">
        <w:rPr>
          <w:rFonts w:ascii="Times New Roman" w:eastAsia="Times New Roman" w:hAnsi="Times New Roman" w:cs="Times New Roman"/>
          <w:b/>
          <w:bCs/>
          <w:sz w:val="28"/>
          <w:szCs w:val="28"/>
          <w:u w:val="single"/>
          <w:lang w:eastAsia="en-GB"/>
        </w:rPr>
        <w:t>South Africa</w:t>
      </w:r>
      <w:r w:rsidRPr="00A00387">
        <w:rPr>
          <w:rFonts w:ascii="Times New Roman" w:hAnsi="Times New Roman" w:cs="Times New Roman"/>
          <w:b/>
          <w:bCs/>
          <w:sz w:val="28"/>
          <w:szCs w:val="28"/>
        </w:rPr>
        <w:t xml:space="preserve"> </w:t>
      </w:r>
    </w:p>
    <w:p w14:paraId="41636E0E" w14:textId="77777777" w:rsidR="00E4195E" w:rsidRDefault="00E4195E" w:rsidP="00D54234">
      <w:pPr>
        <w:widowControl w:val="0"/>
        <w:tabs>
          <w:tab w:val="left" w:pos="720"/>
        </w:tabs>
        <w:autoSpaceDE w:val="0"/>
        <w:autoSpaceDN w:val="0"/>
        <w:adjustRightInd w:val="0"/>
        <w:spacing w:after="0" w:line="480" w:lineRule="auto"/>
        <w:jc w:val="both"/>
        <w:rPr>
          <w:rFonts w:ascii="Times New Roman" w:hAnsi="Times New Roman" w:cs="Times New Roman"/>
          <w:b/>
          <w:bCs/>
          <w:sz w:val="28"/>
          <w:szCs w:val="28"/>
        </w:rPr>
      </w:pPr>
    </w:p>
    <w:p w14:paraId="5BC8C457" w14:textId="2BB8C329" w:rsidR="003D6D73" w:rsidRDefault="003D6D73"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631554">
        <w:rPr>
          <w:rFonts w:ascii="Times New Roman" w:hAnsi="Times New Roman" w:cs="Times New Roman"/>
          <w:bCs/>
          <w:sz w:val="28"/>
          <w:szCs w:val="28"/>
        </w:rPr>
        <w:t>Adendorffs</w:t>
      </w:r>
      <w:proofErr w:type="spellEnd"/>
      <w:r w:rsidRPr="00631554">
        <w:rPr>
          <w:rFonts w:ascii="Times New Roman" w:hAnsi="Times New Roman" w:cs="Times New Roman"/>
          <w:bCs/>
          <w:sz w:val="28"/>
          <w:szCs w:val="28"/>
        </w:rPr>
        <w:t xml:space="preserve"> </w:t>
      </w:r>
      <w:proofErr w:type="spellStart"/>
      <w:r w:rsidRPr="00631554">
        <w:rPr>
          <w:rFonts w:ascii="Times New Roman" w:hAnsi="Times New Roman" w:cs="Times New Roman"/>
          <w:bCs/>
          <w:sz w:val="28"/>
          <w:szCs w:val="28"/>
        </w:rPr>
        <w:t>Boerderye</w:t>
      </w:r>
      <w:proofErr w:type="spellEnd"/>
      <w:r w:rsidRPr="00631554">
        <w:rPr>
          <w:rFonts w:ascii="Times New Roman" w:hAnsi="Times New Roman" w:cs="Times New Roman"/>
          <w:bCs/>
          <w:sz w:val="28"/>
          <w:szCs w:val="28"/>
        </w:rPr>
        <w:t xml:space="preserve"> v. Shabalala and others </w:t>
      </w:r>
      <w:r w:rsidRPr="00631554">
        <w:rPr>
          <w:rFonts w:ascii="Times New Roman" w:hAnsi="Times New Roman" w:cs="Times New Roman"/>
          <w:sz w:val="28"/>
          <w:szCs w:val="28"/>
        </w:rPr>
        <w:t>(997/15) [2017] ZASCA 37 929 March 2017)</w:t>
      </w:r>
    </w:p>
    <w:p w14:paraId="6A23B969" w14:textId="77777777" w:rsidR="003B6971"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60183CB8" w14:textId="77777777" w:rsidR="00976300" w:rsidRDefault="003D6D73">
      <w:pPr>
        <w:widowControl w:val="0"/>
        <w:tabs>
          <w:tab w:val="left" w:pos="720"/>
        </w:tabs>
        <w:autoSpaceDE w:val="0"/>
        <w:autoSpaceDN w:val="0"/>
        <w:adjustRightInd w:val="0"/>
        <w:spacing w:after="0" w:line="480" w:lineRule="auto"/>
        <w:jc w:val="both"/>
        <w:rPr>
          <w:rFonts w:ascii="Times New Roman" w:hAnsi="Times New Roman" w:cs="Times New Roman"/>
          <w:sz w:val="28"/>
          <w:szCs w:val="28"/>
        </w:rPr>
      </w:pPr>
      <w:proofErr w:type="spellStart"/>
      <w:r w:rsidRPr="00631554">
        <w:rPr>
          <w:rFonts w:ascii="Times New Roman" w:hAnsi="Times New Roman" w:cs="Times New Roman"/>
          <w:sz w:val="28"/>
          <w:szCs w:val="28"/>
        </w:rPr>
        <w:t>Astralita</w:t>
      </w:r>
      <w:proofErr w:type="spellEnd"/>
      <w:r w:rsidRPr="00631554">
        <w:rPr>
          <w:rFonts w:ascii="Times New Roman" w:hAnsi="Times New Roman" w:cs="Times New Roman"/>
          <w:sz w:val="28"/>
          <w:szCs w:val="28"/>
        </w:rPr>
        <w:t xml:space="preserve"> Estates (Pty) Ltd v. Rix 1984 (1) SA 500 (C) </w:t>
      </w:r>
    </w:p>
    <w:p w14:paraId="3E137642" w14:textId="7A91632D" w:rsidR="003D6D73" w:rsidRDefault="00976300"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roofErr w:type="spellStart"/>
      <w:r w:rsidRPr="00631554">
        <w:rPr>
          <w:rFonts w:ascii="Times New Roman" w:hAnsi="Times New Roman" w:cs="Times New Roman"/>
          <w:sz w:val="28"/>
          <w:szCs w:val="28"/>
        </w:rPr>
        <w:t>Boshoga</w:t>
      </w:r>
      <w:proofErr w:type="spellEnd"/>
      <w:r w:rsidRPr="00631554">
        <w:rPr>
          <w:rFonts w:ascii="Times New Roman" w:hAnsi="Times New Roman" w:cs="Times New Roman"/>
          <w:sz w:val="28"/>
          <w:szCs w:val="28"/>
        </w:rPr>
        <w:t xml:space="preserve"> and Another v. TJ </w:t>
      </w:r>
      <w:proofErr w:type="spellStart"/>
      <w:r w:rsidRPr="00631554">
        <w:rPr>
          <w:rFonts w:ascii="Times New Roman" w:hAnsi="Times New Roman" w:cs="Times New Roman"/>
          <w:sz w:val="28"/>
          <w:szCs w:val="28"/>
        </w:rPr>
        <w:t>Mmakolo</w:t>
      </w:r>
      <w:proofErr w:type="spellEnd"/>
      <w:r w:rsidRPr="00631554">
        <w:rPr>
          <w:rFonts w:ascii="Times New Roman" w:hAnsi="Times New Roman" w:cs="Times New Roman"/>
          <w:sz w:val="28"/>
          <w:szCs w:val="28"/>
        </w:rPr>
        <w:t xml:space="preserve"> and Others (82446/2016) [2018] ZAGPPHC 656 (7 March 2018</w:t>
      </w:r>
      <w:r>
        <w:rPr>
          <w:rFonts w:ascii="Times New Roman" w:hAnsi="Times New Roman" w:cs="Times New Roman"/>
          <w:sz w:val="28"/>
          <w:szCs w:val="28"/>
        </w:rPr>
        <w:t>)</w:t>
      </w:r>
    </w:p>
    <w:p w14:paraId="3696BE51" w14:textId="77777777" w:rsidR="003B6971" w:rsidRDefault="003B6971" w:rsidP="003B6971">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p>
    <w:p w14:paraId="2FB986B1" w14:textId="5DC82898" w:rsidR="00E64A1F" w:rsidRDefault="008F077B" w:rsidP="003B6971">
      <w:pPr>
        <w:pStyle w:val="BodyText"/>
        <w:kinsoku w:val="0"/>
        <w:overflowPunct w:val="0"/>
        <w:ind w:left="0"/>
        <w:jc w:val="both"/>
        <w:rPr>
          <w:rFonts w:ascii="Times New Roman" w:hAnsi="Times New Roman" w:cs="Times New Roman"/>
          <w:bCs/>
          <w:sz w:val="28"/>
          <w:szCs w:val="28"/>
        </w:rPr>
      </w:pPr>
      <w:r w:rsidRPr="00631554">
        <w:rPr>
          <w:rStyle w:val="Strong"/>
          <w:rFonts w:ascii="Times New Roman" w:hAnsi="Times New Roman" w:cs="Times New Roman"/>
          <w:b w:val="0"/>
          <w:color w:val="333333"/>
          <w:sz w:val="28"/>
          <w:szCs w:val="28"/>
        </w:rPr>
        <w:t>Eriksens Motors (Welkom) Pty Ltd v. Protea Motors (Warrenton</w:t>
      </w:r>
      <w:r w:rsidRPr="00631554">
        <w:rPr>
          <w:rFonts w:ascii="Times New Roman" w:hAnsi="Times New Roman" w:cs="Times New Roman"/>
          <w:color w:val="333333"/>
          <w:sz w:val="28"/>
          <w:szCs w:val="28"/>
        </w:rPr>
        <w:t>)</w:t>
      </w:r>
      <w:r w:rsidRPr="00631554">
        <w:rPr>
          <w:rFonts w:ascii="Times New Roman" w:hAnsi="Times New Roman" w:cs="Times New Roman"/>
          <w:sz w:val="28"/>
          <w:szCs w:val="28"/>
        </w:rPr>
        <w:t xml:space="preserve"> 1973 (3) SA 685 (A)</w:t>
      </w:r>
      <w:r w:rsidR="00E64A1F" w:rsidRPr="00E64A1F">
        <w:rPr>
          <w:rFonts w:ascii="Times New Roman" w:hAnsi="Times New Roman" w:cs="Times New Roman"/>
          <w:bCs/>
          <w:sz w:val="28"/>
          <w:szCs w:val="28"/>
        </w:rPr>
        <w:t xml:space="preserve"> </w:t>
      </w:r>
    </w:p>
    <w:p w14:paraId="62CA2516" w14:textId="77777777" w:rsidR="003B6971" w:rsidRDefault="003B6971" w:rsidP="003B6971">
      <w:pPr>
        <w:pStyle w:val="BodyText"/>
        <w:kinsoku w:val="0"/>
        <w:overflowPunct w:val="0"/>
        <w:ind w:left="0"/>
        <w:jc w:val="both"/>
        <w:rPr>
          <w:rFonts w:ascii="Times New Roman" w:hAnsi="Times New Roman" w:cs="Times New Roman"/>
          <w:bCs/>
          <w:sz w:val="28"/>
          <w:szCs w:val="28"/>
        </w:rPr>
      </w:pPr>
    </w:p>
    <w:p w14:paraId="7329FD6D" w14:textId="02B121DB" w:rsidR="00BA2501" w:rsidRDefault="00E64A1F" w:rsidP="003B6971">
      <w:pPr>
        <w:pStyle w:val="FootnoteText"/>
        <w:rPr>
          <w:rFonts w:ascii="Times New Roman" w:hAnsi="Times New Roman" w:cs="Times New Roman"/>
          <w:bCs/>
          <w:sz w:val="28"/>
          <w:szCs w:val="28"/>
        </w:rPr>
      </w:pPr>
      <w:r w:rsidRPr="00631554">
        <w:rPr>
          <w:rFonts w:ascii="Times New Roman" w:hAnsi="Times New Roman" w:cs="Times New Roman"/>
          <w:bCs/>
          <w:sz w:val="28"/>
          <w:szCs w:val="28"/>
        </w:rPr>
        <w:t xml:space="preserve">Geiger Enterprise (Pty) Ltd v. Crestar Printers &amp; Publishers (Pty) Ltd   </w:t>
      </w:r>
      <w:r w:rsidRPr="00631554">
        <w:rPr>
          <w:rFonts w:ascii="Times New Roman" w:hAnsi="Times New Roman" w:cs="Times New Roman"/>
          <w:sz w:val="28"/>
          <w:szCs w:val="28"/>
        </w:rPr>
        <w:t>26037/2021) [2022] ZAGPPHC 275 (21 April 2022)</w:t>
      </w:r>
      <w:r w:rsidR="00BA2501" w:rsidRPr="00BA2501">
        <w:rPr>
          <w:rFonts w:ascii="Times New Roman" w:hAnsi="Times New Roman" w:cs="Times New Roman"/>
          <w:bCs/>
          <w:sz w:val="28"/>
          <w:szCs w:val="28"/>
        </w:rPr>
        <w:t xml:space="preserve"> </w:t>
      </w:r>
    </w:p>
    <w:p w14:paraId="606C7286" w14:textId="77777777" w:rsidR="003B6971" w:rsidRDefault="003B6971" w:rsidP="003B6971">
      <w:pPr>
        <w:pStyle w:val="FootnoteText"/>
        <w:rPr>
          <w:rFonts w:ascii="Times New Roman" w:hAnsi="Times New Roman" w:cs="Times New Roman"/>
          <w:bCs/>
          <w:sz w:val="28"/>
          <w:szCs w:val="28"/>
        </w:rPr>
      </w:pPr>
    </w:p>
    <w:p w14:paraId="013EEE1A" w14:textId="77777777" w:rsidR="003B6971" w:rsidRDefault="00BA2501" w:rsidP="003B6971">
      <w:pPr>
        <w:pStyle w:val="FootnoteText"/>
        <w:rPr>
          <w:rFonts w:ascii="Times New Roman" w:hAnsi="Times New Roman" w:cs="Times New Roman"/>
          <w:sz w:val="28"/>
          <w:szCs w:val="28"/>
        </w:rPr>
      </w:pPr>
      <w:proofErr w:type="spellStart"/>
      <w:r w:rsidRPr="00631554">
        <w:rPr>
          <w:rFonts w:ascii="Times New Roman" w:hAnsi="Times New Roman" w:cs="Times New Roman"/>
          <w:bCs/>
          <w:sz w:val="28"/>
          <w:szCs w:val="28"/>
        </w:rPr>
        <w:t>Knuttel</w:t>
      </w:r>
      <w:proofErr w:type="spellEnd"/>
      <w:r w:rsidRPr="00631554">
        <w:rPr>
          <w:rFonts w:ascii="Times New Roman" w:hAnsi="Times New Roman" w:cs="Times New Roman"/>
          <w:bCs/>
          <w:sz w:val="28"/>
          <w:szCs w:val="28"/>
        </w:rPr>
        <w:t xml:space="preserve"> N.O and Others v. </w:t>
      </w:r>
      <w:proofErr w:type="spellStart"/>
      <w:r w:rsidRPr="00631554">
        <w:rPr>
          <w:rFonts w:ascii="Times New Roman" w:hAnsi="Times New Roman" w:cs="Times New Roman"/>
          <w:bCs/>
          <w:sz w:val="28"/>
          <w:szCs w:val="28"/>
        </w:rPr>
        <w:t>Bhana</w:t>
      </w:r>
      <w:proofErr w:type="spellEnd"/>
      <w:r w:rsidRPr="00631554">
        <w:rPr>
          <w:rFonts w:ascii="Times New Roman" w:hAnsi="Times New Roman" w:cs="Times New Roman"/>
          <w:bCs/>
          <w:sz w:val="28"/>
          <w:szCs w:val="28"/>
        </w:rPr>
        <w:t xml:space="preserve"> and Others (</w:t>
      </w:r>
      <w:r w:rsidRPr="00631554">
        <w:rPr>
          <w:rFonts w:ascii="Times New Roman" w:hAnsi="Times New Roman" w:cs="Times New Roman"/>
          <w:sz w:val="28"/>
          <w:szCs w:val="28"/>
        </w:rPr>
        <w:t>38683/2020) [2021] ZAGP JHC 874; [2022] 2 ALL SA 201 (GJ) (26August 2021)</w:t>
      </w:r>
    </w:p>
    <w:p w14:paraId="4EBC977B" w14:textId="700B6C19" w:rsidR="00BA2501" w:rsidRDefault="00BA2501" w:rsidP="003B6971">
      <w:pPr>
        <w:pStyle w:val="FootnoteText"/>
        <w:rPr>
          <w:rFonts w:ascii="Times New Roman" w:hAnsi="Times New Roman" w:cs="Times New Roman"/>
          <w:sz w:val="28"/>
          <w:szCs w:val="28"/>
        </w:rPr>
      </w:pPr>
      <w:r w:rsidRPr="00631554">
        <w:rPr>
          <w:rFonts w:ascii="Times New Roman" w:hAnsi="Times New Roman" w:cs="Times New Roman"/>
          <w:sz w:val="28"/>
          <w:szCs w:val="28"/>
        </w:rPr>
        <w:t xml:space="preserve"> </w:t>
      </w:r>
    </w:p>
    <w:p w14:paraId="2840ADC3" w14:textId="7CB6448B" w:rsidR="00BA2501" w:rsidRDefault="00BA2501" w:rsidP="003B6971">
      <w:pPr>
        <w:pStyle w:val="FootnoteText"/>
        <w:rPr>
          <w:rFonts w:ascii="Times New Roman" w:hAnsi="Times New Roman" w:cs="Times New Roman"/>
          <w:sz w:val="28"/>
          <w:szCs w:val="28"/>
        </w:rPr>
      </w:pPr>
      <w:r w:rsidRPr="00631554">
        <w:rPr>
          <w:rFonts w:ascii="Times New Roman" w:hAnsi="Times New Roman" w:cs="Times New Roman"/>
          <w:bCs/>
          <w:sz w:val="28"/>
          <w:szCs w:val="28"/>
        </w:rPr>
        <w:t>Kudu Granite Operations (Pty) Ltd v</w:t>
      </w:r>
      <w:r w:rsidR="0012091D">
        <w:rPr>
          <w:rFonts w:ascii="Times New Roman" w:hAnsi="Times New Roman" w:cs="Times New Roman"/>
          <w:bCs/>
          <w:sz w:val="28"/>
          <w:szCs w:val="28"/>
        </w:rPr>
        <w:t>.</w:t>
      </w:r>
      <w:r w:rsidRPr="00631554">
        <w:rPr>
          <w:rFonts w:ascii="Times New Roman" w:hAnsi="Times New Roman" w:cs="Times New Roman"/>
          <w:bCs/>
          <w:sz w:val="28"/>
          <w:szCs w:val="28"/>
        </w:rPr>
        <w:t xml:space="preserve"> </w:t>
      </w:r>
      <w:proofErr w:type="spellStart"/>
      <w:r w:rsidRPr="00631554">
        <w:rPr>
          <w:rFonts w:ascii="Times New Roman" w:hAnsi="Times New Roman" w:cs="Times New Roman"/>
          <w:bCs/>
          <w:sz w:val="28"/>
          <w:szCs w:val="28"/>
        </w:rPr>
        <w:t>Caterna</w:t>
      </w:r>
      <w:proofErr w:type="spellEnd"/>
      <w:r w:rsidRPr="00631554">
        <w:rPr>
          <w:rFonts w:ascii="Times New Roman" w:hAnsi="Times New Roman" w:cs="Times New Roman"/>
          <w:bCs/>
          <w:sz w:val="28"/>
          <w:szCs w:val="28"/>
        </w:rPr>
        <w:t xml:space="preserve"> LTD </w:t>
      </w:r>
      <w:r w:rsidRPr="00631554">
        <w:rPr>
          <w:rFonts w:ascii="Times New Roman" w:hAnsi="Times New Roman" w:cs="Times New Roman"/>
          <w:sz w:val="28"/>
          <w:szCs w:val="28"/>
        </w:rPr>
        <w:t xml:space="preserve"> 2003 (5) SA 193 </w:t>
      </w:r>
    </w:p>
    <w:p w14:paraId="4E4161FE" w14:textId="43B37DB2" w:rsidR="00766C55" w:rsidRDefault="00766C55" w:rsidP="003B6971">
      <w:pPr>
        <w:pStyle w:val="FootnoteText"/>
        <w:rPr>
          <w:rFonts w:ascii="Times New Roman" w:hAnsi="Times New Roman" w:cs="Times New Roman"/>
          <w:sz w:val="28"/>
          <w:szCs w:val="28"/>
        </w:rPr>
      </w:pPr>
      <w:r>
        <w:rPr>
          <w:rFonts w:ascii="Times New Roman" w:hAnsi="Times New Roman" w:cs="Times New Roman"/>
          <w:sz w:val="28"/>
          <w:szCs w:val="28"/>
        </w:rPr>
        <w:t xml:space="preserve">MN v. AJ 2013 (3) SA 26 </w:t>
      </w:r>
    </w:p>
    <w:p w14:paraId="57E9DFC4" w14:textId="77777777" w:rsidR="003B6971" w:rsidRPr="00631554" w:rsidRDefault="003B6971" w:rsidP="003B6971">
      <w:pPr>
        <w:pStyle w:val="FootnoteText"/>
        <w:rPr>
          <w:rFonts w:ascii="Times New Roman" w:hAnsi="Times New Roman" w:cs="Times New Roman"/>
          <w:sz w:val="28"/>
          <w:szCs w:val="28"/>
        </w:rPr>
      </w:pPr>
    </w:p>
    <w:p w14:paraId="2B934F6D" w14:textId="339C8914" w:rsidR="00BA2501" w:rsidRDefault="00E64A1F" w:rsidP="003B6971">
      <w:pPr>
        <w:pStyle w:val="FootnoteText"/>
        <w:rPr>
          <w:rFonts w:ascii="Times New Roman" w:hAnsi="Times New Roman" w:cs="Times New Roman"/>
          <w:bCs/>
          <w:sz w:val="28"/>
          <w:szCs w:val="28"/>
        </w:rPr>
      </w:pPr>
      <w:r w:rsidRPr="00631554">
        <w:rPr>
          <w:rFonts w:ascii="Times New Roman" w:hAnsi="Times New Roman" w:cs="Times New Roman"/>
          <w:bCs/>
          <w:sz w:val="28"/>
          <w:szCs w:val="28"/>
        </w:rPr>
        <w:t>Outdoor Network Limited and Another v. The Passenger Rail Agency of South Africa</w:t>
      </w:r>
      <w:r w:rsidRPr="00631554">
        <w:rPr>
          <w:rFonts w:ascii="Times New Roman" w:hAnsi="Times New Roman" w:cs="Times New Roman"/>
          <w:sz w:val="28"/>
          <w:szCs w:val="28"/>
        </w:rPr>
        <w:t xml:space="preserve"> (2013/26064) [2014] ZAGPJHC 271 (30 May 2014)</w:t>
      </w:r>
      <w:r w:rsidR="00BA2501" w:rsidRPr="00BA2501">
        <w:rPr>
          <w:rFonts w:ascii="Times New Roman" w:hAnsi="Times New Roman" w:cs="Times New Roman"/>
          <w:bCs/>
          <w:sz w:val="28"/>
          <w:szCs w:val="28"/>
        </w:rPr>
        <w:t xml:space="preserve"> </w:t>
      </w:r>
    </w:p>
    <w:p w14:paraId="17439B69" w14:textId="77777777" w:rsidR="003B6971" w:rsidRDefault="003B6971" w:rsidP="003B6971">
      <w:pPr>
        <w:pStyle w:val="FootnoteText"/>
        <w:rPr>
          <w:rFonts w:ascii="Times New Roman" w:hAnsi="Times New Roman" w:cs="Times New Roman"/>
          <w:bCs/>
          <w:sz w:val="28"/>
          <w:szCs w:val="28"/>
        </w:rPr>
      </w:pPr>
    </w:p>
    <w:p w14:paraId="64CDE8FB" w14:textId="77707C2F" w:rsidR="008F077B" w:rsidRDefault="00BA2501" w:rsidP="00D54234">
      <w:pPr>
        <w:pStyle w:val="FootnoteText"/>
        <w:spacing w:line="480" w:lineRule="auto"/>
        <w:rPr>
          <w:rFonts w:ascii="Times New Roman" w:hAnsi="Times New Roman" w:cs="Times New Roman"/>
          <w:sz w:val="28"/>
          <w:szCs w:val="28"/>
        </w:rPr>
      </w:pPr>
      <w:proofErr w:type="spellStart"/>
      <w:r w:rsidRPr="00631554">
        <w:rPr>
          <w:rFonts w:ascii="Times New Roman" w:hAnsi="Times New Roman" w:cs="Times New Roman"/>
          <w:bCs/>
          <w:sz w:val="28"/>
          <w:szCs w:val="28"/>
        </w:rPr>
        <w:t>Rekdurum</w:t>
      </w:r>
      <w:proofErr w:type="spellEnd"/>
      <w:r w:rsidRPr="00631554">
        <w:rPr>
          <w:rFonts w:ascii="Times New Roman" w:hAnsi="Times New Roman" w:cs="Times New Roman"/>
          <w:bCs/>
          <w:sz w:val="28"/>
          <w:szCs w:val="28"/>
        </w:rPr>
        <w:t xml:space="preserve"> (Pty) Ltd v</w:t>
      </w:r>
      <w:r w:rsidR="0012091D">
        <w:rPr>
          <w:rFonts w:ascii="Times New Roman" w:hAnsi="Times New Roman" w:cs="Times New Roman"/>
          <w:bCs/>
          <w:sz w:val="28"/>
          <w:szCs w:val="28"/>
        </w:rPr>
        <w:t>.</w:t>
      </w:r>
      <w:r w:rsidRPr="00631554">
        <w:rPr>
          <w:rFonts w:ascii="Times New Roman" w:hAnsi="Times New Roman" w:cs="Times New Roman"/>
          <w:bCs/>
          <w:sz w:val="28"/>
          <w:szCs w:val="28"/>
        </w:rPr>
        <w:t xml:space="preserve"> Weider Gym </w:t>
      </w:r>
      <w:proofErr w:type="spellStart"/>
      <w:r w:rsidRPr="00631554">
        <w:rPr>
          <w:rFonts w:ascii="Times New Roman" w:hAnsi="Times New Roman" w:cs="Times New Roman"/>
          <w:bCs/>
          <w:sz w:val="28"/>
          <w:szCs w:val="28"/>
        </w:rPr>
        <w:t>Althlone</w:t>
      </w:r>
      <w:proofErr w:type="spellEnd"/>
      <w:r w:rsidRPr="00631554">
        <w:rPr>
          <w:rFonts w:ascii="Times New Roman" w:hAnsi="Times New Roman" w:cs="Times New Roman"/>
          <w:bCs/>
          <w:sz w:val="28"/>
          <w:szCs w:val="28"/>
        </w:rPr>
        <w:t xml:space="preserve"> (Pty) Ltd 1997</w:t>
      </w:r>
      <w:r w:rsidRPr="00631554">
        <w:rPr>
          <w:rFonts w:ascii="Times New Roman" w:hAnsi="Times New Roman" w:cs="Times New Roman"/>
          <w:sz w:val="28"/>
          <w:szCs w:val="28"/>
        </w:rPr>
        <w:t xml:space="preserve"> (1) SA 646 (C) </w:t>
      </w:r>
    </w:p>
    <w:p w14:paraId="05606759" w14:textId="3159024C" w:rsidR="00BA2501" w:rsidRDefault="00BA2501" w:rsidP="00D54234">
      <w:pPr>
        <w:pStyle w:val="FootnoteText"/>
        <w:spacing w:line="480" w:lineRule="auto"/>
        <w:rPr>
          <w:rFonts w:ascii="Times New Roman" w:hAnsi="Times New Roman" w:cs="Times New Roman"/>
          <w:sz w:val="28"/>
          <w:szCs w:val="28"/>
        </w:rPr>
      </w:pPr>
      <w:proofErr w:type="spellStart"/>
      <w:r w:rsidRPr="00631554">
        <w:rPr>
          <w:rFonts w:ascii="Times New Roman" w:hAnsi="Times New Roman" w:cs="Times New Roman"/>
          <w:bCs/>
          <w:sz w:val="28"/>
          <w:szCs w:val="28"/>
        </w:rPr>
        <w:t>Rhoode</w:t>
      </w:r>
      <w:proofErr w:type="spellEnd"/>
      <w:r w:rsidRPr="00631554">
        <w:rPr>
          <w:rFonts w:ascii="Times New Roman" w:hAnsi="Times New Roman" w:cs="Times New Roman"/>
          <w:bCs/>
          <w:sz w:val="28"/>
          <w:szCs w:val="28"/>
        </w:rPr>
        <w:t xml:space="preserve"> v</w:t>
      </w:r>
      <w:r w:rsidR="0012091D">
        <w:rPr>
          <w:rFonts w:ascii="Times New Roman" w:hAnsi="Times New Roman" w:cs="Times New Roman"/>
          <w:bCs/>
          <w:sz w:val="28"/>
          <w:szCs w:val="28"/>
        </w:rPr>
        <w:t>.</w:t>
      </w:r>
      <w:r w:rsidRPr="00631554">
        <w:rPr>
          <w:rFonts w:ascii="Times New Roman" w:hAnsi="Times New Roman" w:cs="Times New Roman"/>
          <w:bCs/>
          <w:sz w:val="28"/>
          <w:szCs w:val="28"/>
        </w:rPr>
        <w:t xml:space="preserve"> De Kock </w:t>
      </w:r>
      <w:r>
        <w:rPr>
          <w:rFonts w:ascii="Times New Roman" w:hAnsi="Times New Roman" w:cs="Times New Roman"/>
          <w:sz w:val="28"/>
          <w:szCs w:val="28"/>
        </w:rPr>
        <w:t>2013 (3) SA 123</w:t>
      </w:r>
    </w:p>
    <w:p w14:paraId="4FE99860" w14:textId="5EB8FA73" w:rsidR="003D6D73" w:rsidRPr="00631554" w:rsidRDefault="003D6D73">
      <w:pPr>
        <w:pStyle w:val="FootnoteText"/>
        <w:spacing w:line="480" w:lineRule="auto"/>
        <w:rPr>
          <w:rFonts w:ascii="Times New Roman" w:hAnsi="Times New Roman" w:cs="Times New Roman"/>
          <w:sz w:val="28"/>
          <w:szCs w:val="28"/>
        </w:rPr>
      </w:pPr>
      <w:r w:rsidRPr="00631554">
        <w:rPr>
          <w:rFonts w:ascii="Times New Roman" w:hAnsi="Times New Roman" w:cs="Times New Roman"/>
          <w:bCs/>
          <w:sz w:val="28"/>
          <w:szCs w:val="28"/>
        </w:rPr>
        <w:t xml:space="preserve">Rubin v. Botha </w:t>
      </w:r>
      <w:r w:rsidRPr="00631554">
        <w:rPr>
          <w:rFonts w:ascii="Times New Roman" w:hAnsi="Times New Roman" w:cs="Times New Roman"/>
          <w:sz w:val="28"/>
          <w:szCs w:val="28"/>
        </w:rPr>
        <w:t xml:space="preserve">1911 AD 568 </w:t>
      </w:r>
    </w:p>
    <w:p w14:paraId="4237FF87" w14:textId="3EB9F4C0" w:rsidR="00554D5D" w:rsidRDefault="003D6D73" w:rsidP="005D4B8B">
      <w:pPr>
        <w:pStyle w:val="FootnoteText"/>
        <w:spacing w:line="480" w:lineRule="auto"/>
        <w:rPr>
          <w:rFonts w:ascii="Times New Roman" w:hAnsi="Times New Roman" w:cs="Times New Roman"/>
          <w:sz w:val="28"/>
          <w:szCs w:val="28"/>
        </w:rPr>
      </w:pPr>
      <w:proofErr w:type="spellStart"/>
      <w:r w:rsidRPr="00631554">
        <w:rPr>
          <w:rFonts w:ascii="Times New Roman" w:hAnsi="Times New Roman" w:cs="Times New Roman"/>
          <w:sz w:val="28"/>
          <w:szCs w:val="28"/>
        </w:rPr>
        <w:lastRenderedPageBreak/>
        <w:t>Setlogelo</w:t>
      </w:r>
      <w:proofErr w:type="spellEnd"/>
      <w:r w:rsidRPr="00631554">
        <w:rPr>
          <w:rFonts w:ascii="Times New Roman" w:hAnsi="Times New Roman" w:cs="Times New Roman"/>
          <w:sz w:val="28"/>
          <w:szCs w:val="28"/>
        </w:rPr>
        <w:t xml:space="preserve"> v. </w:t>
      </w:r>
      <w:proofErr w:type="spellStart"/>
      <w:r w:rsidRPr="00631554">
        <w:rPr>
          <w:rFonts w:ascii="Times New Roman" w:hAnsi="Times New Roman" w:cs="Times New Roman"/>
          <w:sz w:val="28"/>
          <w:szCs w:val="28"/>
        </w:rPr>
        <w:t>Setlogelo</w:t>
      </w:r>
      <w:proofErr w:type="spellEnd"/>
      <w:r w:rsidRPr="00631554">
        <w:rPr>
          <w:rFonts w:ascii="Times New Roman" w:hAnsi="Times New Roman" w:cs="Times New Roman"/>
          <w:sz w:val="28"/>
          <w:szCs w:val="28"/>
        </w:rPr>
        <w:t xml:space="preserve"> 1914 AD 221</w:t>
      </w:r>
    </w:p>
    <w:p w14:paraId="7EEF4D1A" w14:textId="77777777" w:rsidR="0012091D" w:rsidRPr="005D4B8B" w:rsidRDefault="0012091D" w:rsidP="005D4B8B">
      <w:pPr>
        <w:pStyle w:val="FootnoteText"/>
        <w:spacing w:line="480" w:lineRule="auto"/>
        <w:rPr>
          <w:rFonts w:ascii="Times New Roman" w:hAnsi="Times New Roman" w:cs="Times New Roman"/>
          <w:sz w:val="28"/>
          <w:szCs w:val="28"/>
        </w:rPr>
      </w:pPr>
    </w:p>
    <w:p w14:paraId="7952A90B" w14:textId="77777777" w:rsidR="00554D5D" w:rsidRPr="00554D5D" w:rsidRDefault="00554D5D" w:rsidP="00554D5D">
      <w:pPr>
        <w:tabs>
          <w:tab w:val="left" w:pos="1134"/>
        </w:tabs>
        <w:suppressAutoHyphens/>
        <w:autoSpaceDN w:val="0"/>
        <w:spacing w:after="240" w:line="360" w:lineRule="auto"/>
        <w:jc w:val="center"/>
        <w:textAlignment w:val="baseline"/>
        <w:rPr>
          <w:rFonts w:ascii="Times New Roman" w:eastAsia="Calibri" w:hAnsi="Times New Roman" w:cs="Times New Roman"/>
          <w:b/>
          <w:bCs/>
          <w:iCs/>
          <w:sz w:val="28"/>
          <w:szCs w:val="28"/>
          <w:lang w:val="en-ZA"/>
        </w:rPr>
      </w:pPr>
      <w:r w:rsidRPr="00554D5D">
        <w:rPr>
          <w:rFonts w:ascii="Times New Roman" w:eastAsia="Calibri" w:hAnsi="Times New Roman" w:cs="Times New Roman"/>
          <w:b/>
          <w:bCs/>
          <w:iCs/>
          <w:sz w:val="28"/>
          <w:szCs w:val="28"/>
          <w:lang w:val="en-ZA"/>
        </w:rPr>
        <w:t>JUDGMENT</w:t>
      </w:r>
    </w:p>
    <w:p w14:paraId="732C0461" w14:textId="77777777" w:rsidR="00554D5D" w:rsidRPr="00554D5D" w:rsidRDefault="00554D5D" w:rsidP="00554D5D">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7AB0E0F7" w14:textId="77777777" w:rsidR="00554D5D" w:rsidRPr="00554D5D" w:rsidRDefault="00554D5D" w:rsidP="00554D5D">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eastAsia="en-GB"/>
        </w:rPr>
      </w:pPr>
      <w:r w:rsidRPr="00554D5D">
        <w:rPr>
          <w:rFonts w:ascii="Times New Roman" w:eastAsia="Times New Roman" w:hAnsi="Times New Roman" w:cs="Times New Roman"/>
          <w:b/>
          <w:bCs/>
          <w:sz w:val="28"/>
          <w:szCs w:val="28"/>
          <w:u w:val="single"/>
          <w:lang w:eastAsia="en-GB"/>
        </w:rPr>
        <w:t>INTRODUCTION:</w:t>
      </w:r>
    </w:p>
    <w:p w14:paraId="6EB35AF0" w14:textId="77777777" w:rsidR="00554D5D" w:rsidRPr="00554D5D" w:rsidRDefault="00554D5D" w:rsidP="00554D5D">
      <w:pPr>
        <w:widowControl w:val="0"/>
        <w:autoSpaceDE w:val="0"/>
        <w:autoSpaceDN w:val="0"/>
        <w:adjustRightInd w:val="0"/>
        <w:spacing w:after="0" w:line="240" w:lineRule="auto"/>
        <w:rPr>
          <w:rFonts w:ascii="Times New Roman" w:eastAsia="Times New Roman" w:hAnsi="Times New Roman" w:cs="Times New Roman"/>
          <w:b/>
          <w:bCs/>
          <w:sz w:val="28"/>
          <w:szCs w:val="28"/>
          <w:u w:val="single"/>
          <w:lang w:eastAsia="en-GB"/>
        </w:rPr>
      </w:pPr>
    </w:p>
    <w:p w14:paraId="386024A4" w14:textId="77777777" w:rsidR="00A32688" w:rsidRPr="00554D5D" w:rsidRDefault="00A32688" w:rsidP="00A32688">
      <w:pPr>
        <w:pStyle w:val="BodyText"/>
        <w:kinsoku w:val="0"/>
        <w:overflowPunct w:val="0"/>
        <w:spacing w:line="360" w:lineRule="auto"/>
        <w:ind w:left="0"/>
        <w:jc w:val="both"/>
        <w:rPr>
          <w:rFonts w:ascii="Times New Roman" w:hAnsi="Times New Roman" w:cs="Times New Roman"/>
          <w:sz w:val="28"/>
          <w:szCs w:val="28"/>
        </w:rPr>
      </w:pPr>
    </w:p>
    <w:p w14:paraId="2D724B66" w14:textId="3A1C7C16" w:rsidR="004E7105" w:rsidRDefault="00A32688" w:rsidP="00870371">
      <w:pPr>
        <w:pStyle w:val="BodyText"/>
        <w:kinsoku w:val="0"/>
        <w:overflowPunct w:val="0"/>
        <w:spacing w:line="480" w:lineRule="auto"/>
        <w:ind w:left="0"/>
        <w:jc w:val="both"/>
        <w:rPr>
          <w:rFonts w:ascii="Times New Roman" w:hAnsi="Times New Roman" w:cs="Times New Roman"/>
          <w:sz w:val="28"/>
          <w:szCs w:val="28"/>
        </w:rPr>
      </w:pPr>
      <w:r w:rsidRPr="00554D5D">
        <w:rPr>
          <w:rFonts w:ascii="Times New Roman" w:hAnsi="Times New Roman" w:cs="Times New Roman"/>
          <w:sz w:val="28"/>
          <w:szCs w:val="28"/>
        </w:rPr>
        <w:t xml:space="preserve">[1] </w:t>
      </w:r>
      <w:r w:rsidR="00554D5D">
        <w:rPr>
          <w:rFonts w:ascii="Times New Roman" w:hAnsi="Times New Roman" w:cs="Times New Roman"/>
          <w:sz w:val="28"/>
          <w:szCs w:val="28"/>
        </w:rPr>
        <w:tab/>
      </w:r>
      <w:r w:rsidR="00554D5D">
        <w:rPr>
          <w:rFonts w:ascii="Times New Roman" w:hAnsi="Times New Roman" w:cs="Times New Roman"/>
          <w:sz w:val="28"/>
          <w:szCs w:val="28"/>
        </w:rPr>
        <w:tab/>
      </w:r>
      <w:r w:rsidRPr="00554D5D">
        <w:rPr>
          <w:rFonts w:ascii="Times New Roman" w:hAnsi="Times New Roman" w:cs="Times New Roman"/>
          <w:sz w:val="28"/>
          <w:szCs w:val="28"/>
        </w:rPr>
        <w:t xml:space="preserve">This </w:t>
      </w:r>
      <w:r w:rsidR="00113BE9">
        <w:rPr>
          <w:rFonts w:ascii="Times New Roman" w:hAnsi="Times New Roman" w:cs="Times New Roman"/>
          <w:sz w:val="28"/>
          <w:szCs w:val="28"/>
        </w:rPr>
        <w:t xml:space="preserve">case is about a challenge to </w:t>
      </w:r>
      <w:r w:rsidR="00492FCC">
        <w:rPr>
          <w:rFonts w:ascii="Times New Roman" w:hAnsi="Times New Roman" w:cs="Times New Roman"/>
          <w:sz w:val="28"/>
          <w:szCs w:val="28"/>
        </w:rPr>
        <w:t xml:space="preserve">termination of </w:t>
      </w:r>
      <w:r w:rsidR="0039150C">
        <w:rPr>
          <w:rFonts w:ascii="Times New Roman" w:hAnsi="Times New Roman" w:cs="Times New Roman"/>
          <w:sz w:val="28"/>
          <w:szCs w:val="28"/>
        </w:rPr>
        <w:t xml:space="preserve">a </w:t>
      </w:r>
      <w:r w:rsidR="00492FCC">
        <w:rPr>
          <w:rFonts w:ascii="Times New Roman" w:hAnsi="Times New Roman" w:cs="Times New Roman"/>
          <w:sz w:val="28"/>
          <w:szCs w:val="28"/>
        </w:rPr>
        <w:t>sub</w:t>
      </w:r>
      <w:r w:rsidR="00AB7745">
        <w:rPr>
          <w:rFonts w:ascii="Times New Roman" w:hAnsi="Times New Roman" w:cs="Times New Roman"/>
          <w:sz w:val="28"/>
          <w:szCs w:val="28"/>
        </w:rPr>
        <w:t>l</w:t>
      </w:r>
      <w:r w:rsidR="00492FCC">
        <w:rPr>
          <w:rFonts w:ascii="Times New Roman" w:hAnsi="Times New Roman" w:cs="Times New Roman"/>
          <w:sz w:val="28"/>
          <w:szCs w:val="28"/>
        </w:rPr>
        <w:t xml:space="preserve">ease agreement. The controversy arises from the letter dated the </w:t>
      </w:r>
      <w:proofErr w:type="gramStart"/>
      <w:r w:rsidR="00492FCC">
        <w:rPr>
          <w:rFonts w:ascii="Times New Roman" w:hAnsi="Times New Roman" w:cs="Times New Roman"/>
          <w:sz w:val="28"/>
          <w:szCs w:val="28"/>
        </w:rPr>
        <w:t>29</w:t>
      </w:r>
      <w:r w:rsidR="00492FCC" w:rsidRPr="00492FCC">
        <w:rPr>
          <w:rFonts w:ascii="Times New Roman" w:hAnsi="Times New Roman" w:cs="Times New Roman"/>
          <w:sz w:val="28"/>
          <w:szCs w:val="28"/>
          <w:vertAlign w:val="superscript"/>
        </w:rPr>
        <w:t>th</w:t>
      </w:r>
      <w:proofErr w:type="gramEnd"/>
      <w:r w:rsidR="00492FCC">
        <w:rPr>
          <w:rFonts w:ascii="Times New Roman" w:hAnsi="Times New Roman" w:cs="Times New Roman"/>
          <w:sz w:val="28"/>
          <w:szCs w:val="28"/>
        </w:rPr>
        <w:t xml:space="preserve"> June 2021</w:t>
      </w:r>
      <w:r w:rsidR="007463FC">
        <w:rPr>
          <w:rFonts w:ascii="Times New Roman" w:hAnsi="Times New Roman" w:cs="Times New Roman"/>
          <w:sz w:val="28"/>
          <w:szCs w:val="28"/>
        </w:rPr>
        <w:t xml:space="preserve"> </w:t>
      </w:r>
      <w:r w:rsidR="0039150C">
        <w:rPr>
          <w:rFonts w:ascii="Times New Roman" w:hAnsi="Times New Roman" w:cs="Times New Roman"/>
          <w:sz w:val="28"/>
          <w:szCs w:val="28"/>
        </w:rPr>
        <w:t>titled notice of termination of sublease agreemen</w:t>
      </w:r>
      <w:r w:rsidR="007216E3">
        <w:rPr>
          <w:rFonts w:ascii="Times New Roman" w:hAnsi="Times New Roman" w:cs="Times New Roman"/>
          <w:sz w:val="28"/>
          <w:szCs w:val="28"/>
        </w:rPr>
        <w:t xml:space="preserve">t. The letter is </w:t>
      </w:r>
      <w:r w:rsidR="00492FCC">
        <w:rPr>
          <w:rFonts w:ascii="Times New Roman" w:hAnsi="Times New Roman" w:cs="Times New Roman"/>
          <w:sz w:val="28"/>
          <w:szCs w:val="28"/>
        </w:rPr>
        <w:t>addressed to the applicant by the respondent</w:t>
      </w:r>
      <w:r w:rsidR="00870371">
        <w:rPr>
          <w:rFonts w:ascii="Times New Roman" w:hAnsi="Times New Roman" w:cs="Times New Roman"/>
          <w:sz w:val="28"/>
          <w:szCs w:val="28"/>
        </w:rPr>
        <w:t>.</w:t>
      </w:r>
      <w:r w:rsidR="00492FCC">
        <w:rPr>
          <w:rFonts w:ascii="Times New Roman" w:hAnsi="Times New Roman" w:cs="Times New Roman"/>
          <w:sz w:val="28"/>
          <w:szCs w:val="28"/>
        </w:rPr>
        <w:t xml:space="preserve"> </w:t>
      </w:r>
      <w:r w:rsidR="001E4DD8">
        <w:rPr>
          <w:rFonts w:ascii="Times New Roman" w:hAnsi="Times New Roman" w:cs="Times New Roman"/>
          <w:sz w:val="28"/>
          <w:szCs w:val="28"/>
        </w:rPr>
        <w:t xml:space="preserve">The sublease agreement relates to business premises at </w:t>
      </w:r>
      <w:proofErr w:type="spellStart"/>
      <w:r w:rsidR="001E4DD8">
        <w:rPr>
          <w:rFonts w:ascii="Times New Roman" w:hAnsi="Times New Roman" w:cs="Times New Roman"/>
          <w:sz w:val="28"/>
          <w:szCs w:val="28"/>
        </w:rPr>
        <w:t>Litjotjela</w:t>
      </w:r>
      <w:proofErr w:type="spellEnd"/>
      <w:r w:rsidR="001E4DD8">
        <w:rPr>
          <w:rFonts w:ascii="Times New Roman" w:hAnsi="Times New Roman" w:cs="Times New Roman"/>
          <w:sz w:val="28"/>
          <w:szCs w:val="28"/>
        </w:rPr>
        <w:t xml:space="preserve"> Mall on Plot No 23123 – 214, situate at Seretse Khama Road, Maputsoe in the district of </w:t>
      </w:r>
      <w:proofErr w:type="spellStart"/>
      <w:r w:rsidR="001E4DD8">
        <w:rPr>
          <w:rFonts w:ascii="Times New Roman" w:hAnsi="Times New Roman" w:cs="Times New Roman"/>
          <w:sz w:val="28"/>
          <w:szCs w:val="28"/>
        </w:rPr>
        <w:t>Leribe</w:t>
      </w:r>
      <w:proofErr w:type="spellEnd"/>
      <w:r w:rsidR="007216E3">
        <w:rPr>
          <w:rFonts w:ascii="Times New Roman" w:hAnsi="Times New Roman" w:cs="Times New Roman"/>
          <w:sz w:val="28"/>
          <w:szCs w:val="28"/>
        </w:rPr>
        <w:t>. The dispute centres around portion B of the premises.</w:t>
      </w:r>
    </w:p>
    <w:p w14:paraId="24EBB2BF" w14:textId="77777777" w:rsidR="004E7105" w:rsidRDefault="004E7105" w:rsidP="00870371">
      <w:pPr>
        <w:pStyle w:val="BodyText"/>
        <w:kinsoku w:val="0"/>
        <w:overflowPunct w:val="0"/>
        <w:spacing w:line="480" w:lineRule="auto"/>
        <w:ind w:left="0"/>
        <w:jc w:val="both"/>
        <w:rPr>
          <w:rFonts w:ascii="Times New Roman" w:hAnsi="Times New Roman" w:cs="Times New Roman"/>
          <w:sz w:val="28"/>
          <w:szCs w:val="28"/>
        </w:rPr>
      </w:pPr>
    </w:p>
    <w:p w14:paraId="4B809713" w14:textId="0A0B76E2" w:rsidR="00870371" w:rsidRDefault="004E7105" w:rsidP="00870371">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870371">
        <w:rPr>
          <w:rFonts w:ascii="Times New Roman" w:hAnsi="Times New Roman" w:cs="Times New Roman"/>
          <w:sz w:val="28"/>
          <w:szCs w:val="28"/>
        </w:rPr>
        <w:t>On 7</w:t>
      </w:r>
      <w:r w:rsidR="00870371" w:rsidRPr="0039150C">
        <w:rPr>
          <w:rFonts w:ascii="Times New Roman" w:hAnsi="Times New Roman" w:cs="Times New Roman"/>
          <w:sz w:val="28"/>
          <w:szCs w:val="28"/>
          <w:vertAlign w:val="superscript"/>
        </w:rPr>
        <w:t>th</w:t>
      </w:r>
      <w:r w:rsidR="00870371">
        <w:rPr>
          <w:rFonts w:ascii="Times New Roman" w:hAnsi="Times New Roman" w:cs="Times New Roman"/>
          <w:sz w:val="28"/>
          <w:szCs w:val="28"/>
        </w:rPr>
        <w:t xml:space="preserve"> July 2021</w:t>
      </w:r>
      <w:r w:rsidR="007463FC">
        <w:rPr>
          <w:rFonts w:ascii="Times New Roman" w:hAnsi="Times New Roman" w:cs="Times New Roman"/>
          <w:sz w:val="28"/>
          <w:szCs w:val="28"/>
        </w:rPr>
        <w:t xml:space="preserve"> my brother </w:t>
      </w:r>
      <w:r w:rsidR="007463FC" w:rsidRPr="00D54234">
        <w:rPr>
          <w:rFonts w:ascii="Times New Roman" w:hAnsi="Times New Roman" w:cs="Times New Roman"/>
          <w:i/>
          <w:iCs/>
          <w:sz w:val="28"/>
          <w:szCs w:val="28"/>
        </w:rPr>
        <w:t>Makara</w:t>
      </w:r>
      <w:r w:rsidR="007463FC">
        <w:rPr>
          <w:rFonts w:ascii="Times New Roman" w:hAnsi="Times New Roman" w:cs="Times New Roman"/>
          <w:sz w:val="28"/>
          <w:szCs w:val="28"/>
        </w:rPr>
        <w:t xml:space="preserve"> J granted interim</w:t>
      </w:r>
      <w:r w:rsidR="00870371">
        <w:rPr>
          <w:rFonts w:ascii="Times New Roman" w:hAnsi="Times New Roman" w:cs="Times New Roman"/>
          <w:sz w:val="28"/>
          <w:szCs w:val="28"/>
        </w:rPr>
        <w:t xml:space="preserve"> interdict</w:t>
      </w:r>
      <w:r w:rsidR="007463FC">
        <w:rPr>
          <w:rFonts w:ascii="Times New Roman" w:hAnsi="Times New Roman" w:cs="Times New Roman"/>
          <w:sz w:val="28"/>
          <w:szCs w:val="28"/>
        </w:rPr>
        <w:t xml:space="preserve"> </w:t>
      </w:r>
      <w:r w:rsidR="002270C3">
        <w:rPr>
          <w:rFonts w:ascii="Times New Roman" w:hAnsi="Times New Roman" w:cs="Times New Roman"/>
          <w:sz w:val="28"/>
          <w:szCs w:val="28"/>
        </w:rPr>
        <w:t xml:space="preserve">restraining </w:t>
      </w:r>
      <w:r w:rsidR="00870371">
        <w:rPr>
          <w:rFonts w:ascii="Times New Roman" w:hAnsi="Times New Roman" w:cs="Times New Roman"/>
          <w:sz w:val="28"/>
          <w:szCs w:val="28"/>
        </w:rPr>
        <w:t>the respondent from interfering with the applicant and its tenants on portion B of the premises</w:t>
      </w:r>
      <w:r w:rsidR="005F54CC">
        <w:rPr>
          <w:rFonts w:ascii="Times New Roman" w:hAnsi="Times New Roman" w:cs="Times New Roman"/>
          <w:sz w:val="28"/>
          <w:szCs w:val="28"/>
        </w:rPr>
        <w:t xml:space="preserve"> pending finalisation of this matter</w:t>
      </w:r>
      <w:r w:rsidR="00870371">
        <w:rPr>
          <w:rFonts w:ascii="Times New Roman" w:hAnsi="Times New Roman" w:cs="Times New Roman"/>
          <w:sz w:val="28"/>
          <w:szCs w:val="28"/>
        </w:rPr>
        <w:t xml:space="preserve">. </w:t>
      </w:r>
    </w:p>
    <w:p w14:paraId="0E0E38DD" w14:textId="77777777" w:rsidR="001E4DD8" w:rsidRDefault="001E4DD8" w:rsidP="00F81604">
      <w:pPr>
        <w:pStyle w:val="BodyText"/>
        <w:kinsoku w:val="0"/>
        <w:overflowPunct w:val="0"/>
        <w:spacing w:line="480" w:lineRule="auto"/>
        <w:ind w:left="0"/>
        <w:jc w:val="both"/>
        <w:rPr>
          <w:rFonts w:ascii="Times New Roman" w:hAnsi="Times New Roman" w:cs="Times New Roman"/>
          <w:sz w:val="28"/>
          <w:szCs w:val="28"/>
        </w:rPr>
      </w:pPr>
    </w:p>
    <w:p w14:paraId="018A56F5" w14:textId="71D12DEF" w:rsidR="006A3A24" w:rsidRDefault="001E4DD8"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4E7105">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E7105">
        <w:rPr>
          <w:rFonts w:ascii="Times New Roman" w:hAnsi="Times New Roman" w:cs="Times New Roman"/>
          <w:sz w:val="28"/>
          <w:szCs w:val="28"/>
        </w:rPr>
        <w:t xml:space="preserve">The final relief which the </w:t>
      </w:r>
      <w:r w:rsidR="006559B9">
        <w:rPr>
          <w:rFonts w:ascii="Times New Roman" w:hAnsi="Times New Roman" w:cs="Times New Roman"/>
          <w:sz w:val="28"/>
          <w:szCs w:val="28"/>
        </w:rPr>
        <w:t xml:space="preserve">applicant seeks </w:t>
      </w:r>
      <w:r w:rsidR="004E7105">
        <w:rPr>
          <w:rFonts w:ascii="Times New Roman" w:hAnsi="Times New Roman" w:cs="Times New Roman"/>
          <w:sz w:val="28"/>
          <w:szCs w:val="28"/>
        </w:rPr>
        <w:t xml:space="preserve">is </w:t>
      </w:r>
      <w:r w:rsidR="006559B9">
        <w:rPr>
          <w:rFonts w:ascii="Times New Roman" w:hAnsi="Times New Roman" w:cs="Times New Roman"/>
          <w:sz w:val="28"/>
          <w:szCs w:val="28"/>
        </w:rPr>
        <w:t>threefold</w:t>
      </w:r>
      <w:r w:rsidR="004E7105">
        <w:rPr>
          <w:rFonts w:ascii="Times New Roman" w:hAnsi="Times New Roman" w:cs="Times New Roman"/>
          <w:sz w:val="28"/>
          <w:szCs w:val="28"/>
        </w:rPr>
        <w:t>.</w:t>
      </w:r>
      <w:r w:rsidR="006559B9">
        <w:rPr>
          <w:rFonts w:ascii="Times New Roman" w:hAnsi="Times New Roman" w:cs="Times New Roman"/>
          <w:sz w:val="28"/>
          <w:szCs w:val="28"/>
        </w:rPr>
        <w:t xml:space="preserve"> </w:t>
      </w:r>
      <w:r w:rsidR="00741C3F">
        <w:rPr>
          <w:rFonts w:ascii="Times New Roman" w:hAnsi="Times New Roman" w:cs="Times New Roman"/>
          <w:sz w:val="28"/>
          <w:szCs w:val="28"/>
        </w:rPr>
        <w:t xml:space="preserve">Firstly, </w:t>
      </w:r>
      <w:r w:rsidR="006559B9">
        <w:rPr>
          <w:rFonts w:ascii="Times New Roman" w:hAnsi="Times New Roman" w:cs="Times New Roman"/>
          <w:sz w:val="28"/>
          <w:szCs w:val="28"/>
        </w:rPr>
        <w:t xml:space="preserve">an order </w:t>
      </w:r>
      <w:r>
        <w:rPr>
          <w:rFonts w:ascii="Times New Roman" w:hAnsi="Times New Roman" w:cs="Times New Roman"/>
          <w:sz w:val="28"/>
          <w:szCs w:val="28"/>
        </w:rPr>
        <w:t xml:space="preserve">that </w:t>
      </w:r>
      <w:r w:rsidR="006559B9">
        <w:rPr>
          <w:rFonts w:ascii="Times New Roman" w:hAnsi="Times New Roman" w:cs="Times New Roman"/>
          <w:sz w:val="28"/>
          <w:szCs w:val="28"/>
        </w:rPr>
        <w:t xml:space="preserve">the letter of the </w:t>
      </w:r>
      <w:proofErr w:type="gramStart"/>
      <w:r w:rsidR="006559B9">
        <w:rPr>
          <w:rFonts w:ascii="Times New Roman" w:hAnsi="Times New Roman" w:cs="Times New Roman"/>
          <w:sz w:val="28"/>
          <w:szCs w:val="28"/>
        </w:rPr>
        <w:t>29</w:t>
      </w:r>
      <w:r w:rsidR="006559B9" w:rsidRPr="006559B9">
        <w:rPr>
          <w:rFonts w:ascii="Times New Roman" w:hAnsi="Times New Roman" w:cs="Times New Roman"/>
          <w:sz w:val="28"/>
          <w:szCs w:val="28"/>
          <w:vertAlign w:val="superscript"/>
        </w:rPr>
        <w:t>th</w:t>
      </w:r>
      <w:proofErr w:type="gramEnd"/>
      <w:r w:rsidR="006559B9">
        <w:rPr>
          <w:rFonts w:ascii="Times New Roman" w:hAnsi="Times New Roman" w:cs="Times New Roman"/>
          <w:sz w:val="28"/>
          <w:szCs w:val="28"/>
        </w:rPr>
        <w:t xml:space="preserve"> June 2021</w:t>
      </w:r>
      <w:r>
        <w:rPr>
          <w:rFonts w:ascii="Times New Roman" w:hAnsi="Times New Roman" w:cs="Times New Roman"/>
          <w:sz w:val="28"/>
          <w:szCs w:val="28"/>
        </w:rPr>
        <w:t xml:space="preserve"> is unlawful. </w:t>
      </w:r>
      <w:r w:rsidR="00741C3F">
        <w:rPr>
          <w:rFonts w:ascii="Times New Roman" w:hAnsi="Times New Roman" w:cs="Times New Roman"/>
          <w:sz w:val="28"/>
          <w:szCs w:val="28"/>
        </w:rPr>
        <w:t>Secondly,</w:t>
      </w:r>
      <w:r w:rsidR="007463FC">
        <w:rPr>
          <w:rFonts w:ascii="Times New Roman" w:hAnsi="Times New Roman" w:cs="Times New Roman"/>
          <w:sz w:val="28"/>
          <w:szCs w:val="28"/>
        </w:rPr>
        <w:t xml:space="preserve"> a two-pronged relief for </w:t>
      </w:r>
      <w:r w:rsidR="004E7105">
        <w:rPr>
          <w:rFonts w:ascii="Times New Roman" w:hAnsi="Times New Roman" w:cs="Times New Roman"/>
          <w:sz w:val="28"/>
          <w:szCs w:val="28"/>
        </w:rPr>
        <w:t xml:space="preserve">an order restraining </w:t>
      </w:r>
      <w:r>
        <w:rPr>
          <w:rFonts w:ascii="Times New Roman" w:hAnsi="Times New Roman" w:cs="Times New Roman"/>
          <w:sz w:val="28"/>
          <w:szCs w:val="28"/>
        </w:rPr>
        <w:t xml:space="preserve">the respondent from terminating and interfering with its possession of portion B of the </w:t>
      </w:r>
      <w:r w:rsidR="0039150C">
        <w:rPr>
          <w:rFonts w:ascii="Times New Roman" w:hAnsi="Times New Roman" w:cs="Times New Roman"/>
          <w:sz w:val="28"/>
          <w:szCs w:val="28"/>
        </w:rPr>
        <w:t xml:space="preserve">premises until </w:t>
      </w:r>
      <w:r w:rsidR="004E7105">
        <w:rPr>
          <w:rFonts w:ascii="Times New Roman" w:hAnsi="Times New Roman" w:cs="Times New Roman"/>
          <w:sz w:val="28"/>
          <w:szCs w:val="28"/>
        </w:rPr>
        <w:t xml:space="preserve">it </w:t>
      </w:r>
      <w:r w:rsidR="0039150C">
        <w:rPr>
          <w:rFonts w:ascii="Times New Roman" w:hAnsi="Times New Roman" w:cs="Times New Roman"/>
          <w:sz w:val="28"/>
          <w:szCs w:val="28"/>
        </w:rPr>
        <w:t>would have been compensated for the market value of the improvements effected</w:t>
      </w:r>
      <w:r w:rsidR="004E7105">
        <w:rPr>
          <w:rFonts w:ascii="Times New Roman" w:hAnsi="Times New Roman" w:cs="Times New Roman"/>
          <w:sz w:val="28"/>
          <w:szCs w:val="28"/>
        </w:rPr>
        <w:t xml:space="preserve"> on the premises. </w:t>
      </w:r>
      <w:r w:rsidR="007463FC">
        <w:rPr>
          <w:rFonts w:ascii="Times New Roman" w:hAnsi="Times New Roman" w:cs="Times New Roman"/>
          <w:sz w:val="28"/>
          <w:szCs w:val="28"/>
        </w:rPr>
        <w:t xml:space="preserve">The relevant prayer </w:t>
      </w:r>
      <w:r w:rsidR="00FD23EA">
        <w:rPr>
          <w:rFonts w:ascii="Times New Roman" w:hAnsi="Times New Roman" w:cs="Times New Roman"/>
          <w:sz w:val="28"/>
          <w:szCs w:val="28"/>
        </w:rPr>
        <w:lastRenderedPageBreak/>
        <w:t>consolidates a relief for interdict a</w:t>
      </w:r>
      <w:r w:rsidR="007463FC">
        <w:rPr>
          <w:rFonts w:ascii="Times New Roman" w:hAnsi="Times New Roman" w:cs="Times New Roman"/>
          <w:sz w:val="28"/>
          <w:szCs w:val="28"/>
        </w:rPr>
        <w:t>s</w:t>
      </w:r>
      <w:r w:rsidR="00FD23EA">
        <w:rPr>
          <w:rFonts w:ascii="Times New Roman" w:hAnsi="Times New Roman" w:cs="Times New Roman"/>
          <w:sz w:val="28"/>
          <w:szCs w:val="28"/>
        </w:rPr>
        <w:t xml:space="preserve"> well as being an assertion of enrichment lien. </w:t>
      </w:r>
      <w:r w:rsidR="00AB7745">
        <w:rPr>
          <w:rFonts w:ascii="Times New Roman" w:hAnsi="Times New Roman" w:cs="Times New Roman"/>
          <w:sz w:val="28"/>
          <w:szCs w:val="28"/>
        </w:rPr>
        <w:t xml:space="preserve">Thirdly, </w:t>
      </w:r>
      <w:r w:rsidR="0039150C">
        <w:rPr>
          <w:rFonts w:ascii="Times New Roman" w:hAnsi="Times New Roman" w:cs="Times New Roman"/>
          <w:sz w:val="28"/>
          <w:szCs w:val="28"/>
        </w:rPr>
        <w:t xml:space="preserve">an order directing the respondent or its agents to forthwith continue with the process of registration of the sublease agreement relating to the premises. </w:t>
      </w:r>
      <w:r w:rsidR="0039150C">
        <w:rPr>
          <w:rFonts w:ascii="Times New Roman" w:hAnsi="Times New Roman" w:cs="Times New Roman"/>
          <w:sz w:val="28"/>
          <w:szCs w:val="28"/>
        </w:rPr>
        <w:tab/>
        <w:t xml:space="preserve"> </w:t>
      </w:r>
    </w:p>
    <w:p w14:paraId="550C6FC9" w14:textId="76DA3E82" w:rsidR="006A3A24" w:rsidRPr="006A3A24" w:rsidRDefault="006A3A24" w:rsidP="00F81604">
      <w:pPr>
        <w:pStyle w:val="BodyText"/>
        <w:kinsoku w:val="0"/>
        <w:overflowPunct w:val="0"/>
        <w:spacing w:line="480" w:lineRule="auto"/>
        <w:ind w:left="0"/>
        <w:jc w:val="both"/>
        <w:rPr>
          <w:rFonts w:ascii="Times New Roman" w:hAnsi="Times New Roman" w:cs="Times New Roman"/>
          <w:b/>
          <w:bCs/>
          <w:sz w:val="28"/>
          <w:szCs w:val="28"/>
        </w:rPr>
      </w:pPr>
      <w:r w:rsidRPr="006A3A24">
        <w:rPr>
          <w:rFonts w:ascii="Times New Roman" w:hAnsi="Times New Roman" w:cs="Times New Roman"/>
          <w:b/>
          <w:bCs/>
          <w:sz w:val="28"/>
          <w:szCs w:val="28"/>
          <w:u w:val="single"/>
        </w:rPr>
        <w:t>BACKGROUND FACTS</w:t>
      </w:r>
      <w:r>
        <w:rPr>
          <w:rFonts w:ascii="Times New Roman" w:hAnsi="Times New Roman" w:cs="Times New Roman"/>
          <w:b/>
          <w:bCs/>
          <w:sz w:val="28"/>
          <w:szCs w:val="28"/>
        </w:rPr>
        <w:t>:</w:t>
      </w:r>
    </w:p>
    <w:p w14:paraId="75A32219" w14:textId="77777777" w:rsidR="00A32688" w:rsidRPr="00554D5D" w:rsidRDefault="00A32688" w:rsidP="00F81604">
      <w:pPr>
        <w:pStyle w:val="BodyText"/>
        <w:kinsoku w:val="0"/>
        <w:overflowPunct w:val="0"/>
        <w:spacing w:line="480" w:lineRule="auto"/>
        <w:ind w:left="0"/>
        <w:rPr>
          <w:rFonts w:ascii="Times New Roman" w:hAnsi="Times New Roman" w:cs="Times New Roman"/>
          <w:sz w:val="28"/>
          <w:szCs w:val="28"/>
        </w:rPr>
      </w:pPr>
    </w:p>
    <w:p w14:paraId="2CE10505" w14:textId="2ABF8B22" w:rsidR="005C30D4" w:rsidRDefault="00A32688" w:rsidP="00F81604">
      <w:pPr>
        <w:pStyle w:val="BodyText"/>
        <w:kinsoku w:val="0"/>
        <w:overflowPunct w:val="0"/>
        <w:spacing w:line="480" w:lineRule="auto"/>
        <w:ind w:left="0"/>
        <w:jc w:val="both"/>
        <w:rPr>
          <w:rFonts w:ascii="Times New Roman" w:hAnsi="Times New Roman" w:cs="Times New Roman"/>
          <w:sz w:val="28"/>
          <w:szCs w:val="28"/>
        </w:rPr>
      </w:pPr>
      <w:r w:rsidRPr="00554D5D">
        <w:rPr>
          <w:rFonts w:ascii="Times New Roman" w:hAnsi="Times New Roman" w:cs="Times New Roman"/>
          <w:sz w:val="28"/>
          <w:szCs w:val="28"/>
        </w:rPr>
        <w:t>[</w:t>
      </w:r>
      <w:r w:rsidR="002270C3">
        <w:rPr>
          <w:rFonts w:ascii="Times New Roman" w:hAnsi="Times New Roman" w:cs="Times New Roman"/>
          <w:sz w:val="28"/>
          <w:szCs w:val="28"/>
        </w:rPr>
        <w:t>4</w:t>
      </w:r>
      <w:r w:rsidRPr="00554D5D">
        <w:rPr>
          <w:rFonts w:ascii="Times New Roman" w:hAnsi="Times New Roman" w:cs="Times New Roman"/>
          <w:sz w:val="28"/>
          <w:szCs w:val="28"/>
        </w:rPr>
        <w:t xml:space="preserve">] </w:t>
      </w:r>
      <w:r w:rsidR="006A3A24">
        <w:rPr>
          <w:rFonts w:ascii="Times New Roman" w:hAnsi="Times New Roman" w:cs="Times New Roman"/>
          <w:sz w:val="28"/>
          <w:szCs w:val="28"/>
        </w:rPr>
        <w:tab/>
      </w:r>
      <w:r w:rsidR="006A3A24">
        <w:rPr>
          <w:rFonts w:ascii="Times New Roman" w:hAnsi="Times New Roman" w:cs="Times New Roman"/>
          <w:sz w:val="28"/>
          <w:szCs w:val="28"/>
        </w:rPr>
        <w:tab/>
      </w:r>
      <w:r w:rsidRPr="00554D5D">
        <w:rPr>
          <w:rFonts w:ascii="Times New Roman" w:hAnsi="Times New Roman" w:cs="Times New Roman"/>
          <w:sz w:val="28"/>
          <w:szCs w:val="28"/>
        </w:rPr>
        <w:t xml:space="preserve">The applicant in this matter, </w:t>
      </w:r>
      <w:r w:rsidR="006A3A24">
        <w:rPr>
          <w:rFonts w:ascii="Times New Roman" w:hAnsi="Times New Roman" w:cs="Times New Roman"/>
          <w:sz w:val="28"/>
          <w:szCs w:val="28"/>
        </w:rPr>
        <w:t xml:space="preserve">Ha </w:t>
      </w:r>
      <w:proofErr w:type="spellStart"/>
      <w:r w:rsidR="006A3A24">
        <w:rPr>
          <w:rFonts w:ascii="Times New Roman" w:hAnsi="Times New Roman" w:cs="Times New Roman"/>
          <w:sz w:val="28"/>
          <w:szCs w:val="28"/>
        </w:rPr>
        <w:t>Seotsan</w:t>
      </w:r>
      <w:r w:rsidR="00E416C1">
        <w:rPr>
          <w:rFonts w:ascii="Times New Roman" w:hAnsi="Times New Roman" w:cs="Times New Roman"/>
          <w:sz w:val="28"/>
          <w:szCs w:val="28"/>
        </w:rPr>
        <w:t>yana</w:t>
      </w:r>
      <w:proofErr w:type="spellEnd"/>
      <w:r w:rsidR="00E416C1">
        <w:rPr>
          <w:rFonts w:ascii="Times New Roman" w:hAnsi="Times New Roman" w:cs="Times New Roman"/>
          <w:sz w:val="28"/>
          <w:szCs w:val="28"/>
        </w:rPr>
        <w:t xml:space="preserve"> (Pty) Ltd, </w:t>
      </w:r>
      <w:r w:rsidR="00E416C1" w:rsidRPr="00554D5D">
        <w:rPr>
          <w:rFonts w:ascii="Times New Roman" w:hAnsi="Times New Roman" w:cs="Times New Roman"/>
          <w:sz w:val="28"/>
          <w:szCs w:val="28"/>
        </w:rPr>
        <w:t>(</w:t>
      </w:r>
      <w:r w:rsidRPr="00E416C1">
        <w:rPr>
          <w:rFonts w:ascii="Times New Roman" w:hAnsi="Times New Roman" w:cs="Times New Roman"/>
          <w:i/>
          <w:iCs/>
          <w:sz w:val="28"/>
          <w:szCs w:val="28"/>
        </w:rPr>
        <w:t>"</w:t>
      </w:r>
      <w:r w:rsidR="00E416C1" w:rsidRPr="00E416C1">
        <w:rPr>
          <w:rFonts w:ascii="Times New Roman" w:hAnsi="Times New Roman" w:cs="Times New Roman"/>
          <w:i/>
          <w:iCs/>
          <w:sz w:val="28"/>
          <w:szCs w:val="28"/>
        </w:rPr>
        <w:t xml:space="preserve">Ha </w:t>
      </w:r>
      <w:proofErr w:type="spellStart"/>
      <w:r w:rsidR="00E416C1" w:rsidRPr="00E416C1">
        <w:rPr>
          <w:rFonts w:ascii="Times New Roman" w:hAnsi="Times New Roman" w:cs="Times New Roman"/>
          <w:i/>
          <w:iCs/>
          <w:sz w:val="28"/>
          <w:szCs w:val="28"/>
        </w:rPr>
        <w:t>Seotsanyana</w:t>
      </w:r>
      <w:proofErr w:type="spellEnd"/>
      <w:r w:rsidRPr="00E416C1">
        <w:rPr>
          <w:rFonts w:ascii="Times New Roman" w:hAnsi="Times New Roman" w:cs="Times New Roman"/>
          <w:i/>
          <w:iCs/>
          <w:sz w:val="28"/>
          <w:szCs w:val="28"/>
        </w:rPr>
        <w:t>"),</w:t>
      </w:r>
      <w:r w:rsidRPr="00554D5D">
        <w:rPr>
          <w:rFonts w:ascii="Times New Roman" w:hAnsi="Times New Roman" w:cs="Times New Roman"/>
          <w:sz w:val="28"/>
          <w:szCs w:val="28"/>
        </w:rPr>
        <w:t xml:space="preserve"> </w:t>
      </w:r>
      <w:r w:rsidR="00781E0C">
        <w:rPr>
          <w:rFonts w:ascii="Times New Roman" w:hAnsi="Times New Roman" w:cs="Times New Roman"/>
          <w:sz w:val="28"/>
          <w:szCs w:val="28"/>
        </w:rPr>
        <w:t>i</w:t>
      </w:r>
      <w:r w:rsidR="00E416C1">
        <w:rPr>
          <w:rFonts w:ascii="Times New Roman" w:hAnsi="Times New Roman" w:cs="Times New Roman"/>
          <w:sz w:val="28"/>
          <w:szCs w:val="28"/>
        </w:rPr>
        <w:t>s a company registered in terms of the law</w:t>
      </w:r>
      <w:r w:rsidR="007463FC">
        <w:rPr>
          <w:rFonts w:ascii="Times New Roman" w:hAnsi="Times New Roman" w:cs="Times New Roman"/>
          <w:sz w:val="28"/>
          <w:szCs w:val="28"/>
        </w:rPr>
        <w:t>s</w:t>
      </w:r>
      <w:r w:rsidR="00E416C1">
        <w:rPr>
          <w:rFonts w:ascii="Times New Roman" w:hAnsi="Times New Roman" w:cs="Times New Roman"/>
          <w:sz w:val="28"/>
          <w:szCs w:val="28"/>
        </w:rPr>
        <w:t xml:space="preserve"> of Lesotho having its place of business at </w:t>
      </w:r>
      <w:proofErr w:type="spellStart"/>
      <w:r w:rsidR="00E416C1">
        <w:rPr>
          <w:rFonts w:ascii="Times New Roman" w:hAnsi="Times New Roman" w:cs="Times New Roman"/>
          <w:sz w:val="28"/>
          <w:szCs w:val="28"/>
        </w:rPr>
        <w:t>Mapoteng</w:t>
      </w:r>
      <w:proofErr w:type="spellEnd"/>
      <w:r w:rsidR="00E416C1">
        <w:rPr>
          <w:rFonts w:ascii="Times New Roman" w:hAnsi="Times New Roman" w:cs="Times New Roman"/>
          <w:sz w:val="28"/>
          <w:szCs w:val="28"/>
        </w:rPr>
        <w:t xml:space="preserve"> in the district of Berea. </w:t>
      </w:r>
      <w:r w:rsidR="00AB7745">
        <w:rPr>
          <w:rFonts w:ascii="Times New Roman" w:hAnsi="Times New Roman" w:cs="Times New Roman"/>
          <w:sz w:val="28"/>
          <w:szCs w:val="28"/>
        </w:rPr>
        <w:t xml:space="preserve">It is pursuing this litigation through its </w:t>
      </w:r>
      <w:r w:rsidR="00E416C1">
        <w:rPr>
          <w:rFonts w:ascii="Times New Roman" w:hAnsi="Times New Roman" w:cs="Times New Roman"/>
          <w:sz w:val="28"/>
          <w:szCs w:val="28"/>
        </w:rPr>
        <w:t xml:space="preserve">director, Mr. Jan Mahomed Suleman </w:t>
      </w:r>
      <w:r w:rsidR="00E416C1" w:rsidRPr="00E416C1">
        <w:rPr>
          <w:rFonts w:ascii="Times New Roman" w:hAnsi="Times New Roman" w:cs="Times New Roman"/>
          <w:i/>
          <w:iCs/>
          <w:sz w:val="28"/>
          <w:szCs w:val="28"/>
        </w:rPr>
        <w:t>(“Suleman”).</w:t>
      </w:r>
      <w:r w:rsidRPr="00554D5D">
        <w:rPr>
          <w:rFonts w:ascii="Times New Roman" w:hAnsi="Times New Roman" w:cs="Times New Roman"/>
          <w:sz w:val="28"/>
          <w:szCs w:val="28"/>
        </w:rPr>
        <w:t xml:space="preserve"> The respondent, </w:t>
      </w:r>
      <w:proofErr w:type="spellStart"/>
      <w:r w:rsidR="00E416C1">
        <w:rPr>
          <w:rFonts w:ascii="Times New Roman" w:hAnsi="Times New Roman" w:cs="Times New Roman"/>
          <w:sz w:val="28"/>
          <w:szCs w:val="28"/>
        </w:rPr>
        <w:t>Litjotjela</w:t>
      </w:r>
      <w:proofErr w:type="spellEnd"/>
      <w:r w:rsidR="00E416C1">
        <w:rPr>
          <w:rFonts w:ascii="Times New Roman" w:hAnsi="Times New Roman" w:cs="Times New Roman"/>
          <w:sz w:val="28"/>
          <w:szCs w:val="28"/>
        </w:rPr>
        <w:t xml:space="preserve"> Mall (Pty) Ltd, </w:t>
      </w:r>
      <w:r w:rsidR="00E416C1" w:rsidRPr="00E416C1">
        <w:rPr>
          <w:rFonts w:ascii="Times New Roman" w:hAnsi="Times New Roman" w:cs="Times New Roman"/>
          <w:i/>
          <w:iCs/>
          <w:sz w:val="28"/>
          <w:szCs w:val="28"/>
        </w:rPr>
        <w:t>(“</w:t>
      </w:r>
      <w:proofErr w:type="spellStart"/>
      <w:r w:rsidR="00E416C1" w:rsidRPr="00E416C1">
        <w:rPr>
          <w:rFonts w:ascii="Times New Roman" w:hAnsi="Times New Roman" w:cs="Times New Roman"/>
          <w:i/>
          <w:iCs/>
          <w:sz w:val="28"/>
          <w:szCs w:val="28"/>
        </w:rPr>
        <w:t>Litjotjela</w:t>
      </w:r>
      <w:proofErr w:type="spellEnd"/>
      <w:r w:rsidR="00E416C1" w:rsidRPr="00E416C1">
        <w:rPr>
          <w:rFonts w:ascii="Times New Roman" w:hAnsi="Times New Roman" w:cs="Times New Roman"/>
          <w:i/>
          <w:iCs/>
          <w:sz w:val="28"/>
          <w:szCs w:val="28"/>
        </w:rPr>
        <w:t>”)</w:t>
      </w:r>
      <w:r w:rsidR="00E416C1">
        <w:rPr>
          <w:rFonts w:ascii="Times New Roman" w:hAnsi="Times New Roman" w:cs="Times New Roman"/>
          <w:sz w:val="28"/>
          <w:szCs w:val="28"/>
        </w:rPr>
        <w:t xml:space="preserve"> </w:t>
      </w:r>
      <w:proofErr w:type="gramStart"/>
      <w:r w:rsidRPr="00554D5D">
        <w:rPr>
          <w:rFonts w:ascii="Times New Roman" w:hAnsi="Times New Roman" w:cs="Times New Roman"/>
          <w:sz w:val="28"/>
          <w:szCs w:val="28"/>
        </w:rPr>
        <w:t xml:space="preserve">is  </w:t>
      </w:r>
      <w:r w:rsidR="00E416C1">
        <w:rPr>
          <w:rFonts w:ascii="Times New Roman" w:hAnsi="Times New Roman" w:cs="Times New Roman"/>
          <w:sz w:val="28"/>
          <w:szCs w:val="28"/>
        </w:rPr>
        <w:t>a</w:t>
      </w:r>
      <w:proofErr w:type="gramEnd"/>
      <w:r w:rsidR="00E416C1">
        <w:rPr>
          <w:rFonts w:ascii="Times New Roman" w:hAnsi="Times New Roman" w:cs="Times New Roman"/>
          <w:sz w:val="28"/>
          <w:szCs w:val="28"/>
        </w:rPr>
        <w:t xml:space="preserve"> company registered in terms of the laws of Lesotho and having its place of business at Maputsoe in the district of </w:t>
      </w:r>
      <w:proofErr w:type="spellStart"/>
      <w:r w:rsidR="00E416C1">
        <w:rPr>
          <w:rFonts w:ascii="Times New Roman" w:hAnsi="Times New Roman" w:cs="Times New Roman"/>
          <w:sz w:val="28"/>
          <w:szCs w:val="28"/>
        </w:rPr>
        <w:t>Leribe</w:t>
      </w:r>
      <w:proofErr w:type="spellEnd"/>
      <w:r w:rsidR="00E416C1">
        <w:rPr>
          <w:rFonts w:ascii="Times New Roman" w:hAnsi="Times New Roman" w:cs="Times New Roman"/>
          <w:sz w:val="28"/>
          <w:szCs w:val="28"/>
        </w:rPr>
        <w:t xml:space="preserve">. </w:t>
      </w:r>
      <w:r w:rsidR="005C30D4">
        <w:rPr>
          <w:rFonts w:ascii="Times New Roman" w:hAnsi="Times New Roman" w:cs="Times New Roman"/>
          <w:sz w:val="28"/>
          <w:szCs w:val="28"/>
        </w:rPr>
        <w:t>It is opposing the application through its director and company secretary</w:t>
      </w:r>
      <w:r w:rsidR="00781E0C">
        <w:rPr>
          <w:rFonts w:ascii="Times New Roman" w:hAnsi="Times New Roman" w:cs="Times New Roman"/>
          <w:sz w:val="28"/>
          <w:szCs w:val="28"/>
        </w:rPr>
        <w:t>,</w:t>
      </w:r>
      <w:r w:rsidR="005C30D4">
        <w:rPr>
          <w:rFonts w:ascii="Times New Roman" w:hAnsi="Times New Roman" w:cs="Times New Roman"/>
          <w:sz w:val="28"/>
          <w:szCs w:val="28"/>
        </w:rPr>
        <w:t xml:space="preserve"> Mr. </w:t>
      </w:r>
      <w:proofErr w:type="spellStart"/>
      <w:r w:rsidR="005C30D4">
        <w:rPr>
          <w:rFonts w:ascii="Times New Roman" w:hAnsi="Times New Roman" w:cs="Times New Roman"/>
          <w:sz w:val="28"/>
          <w:szCs w:val="28"/>
        </w:rPr>
        <w:t>Joang</w:t>
      </w:r>
      <w:proofErr w:type="spellEnd"/>
      <w:r w:rsidR="005C30D4">
        <w:rPr>
          <w:rFonts w:ascii="Times New Roman" w:hAnsi="Times New Roman" w:cs="Times New Roman"/>
          <w:sz w:val="28"/>
          <w:szCs w:val="28"/>
        </w:rPr>
        <w:t xml:space="preserve"> Felix </w:t>
      </w:r>
      <w:proofErr w:type="spellStart"/>
      <w:r w:rsidR="005C30D4">
        <w:rPr>
          <w:rFonts w:ascii="Times New Roman" w:hAnsi="Times New Roman" w:cs="Times New Roman"/>
          <w:sz w:val="28"/>
          <w:szCs w:val="28"/>
        </w:rPr>
        <w:t>Molapo</w:t>
      </w:r>
      <w:proofErr w:type="spellEnd"/>
      <w:r w:rsidR="005C30D4">
        <w:rPr>
          <w:rFonts w:ascii="Times New Roman" w:hAnsi="Times New Roman" w:cs="Times New Roman"/>
          <w:sz w:val="28"/>
          <w:szCs w:val="28"/>
        </w:rPr>
        <w:t xml:space="preserve"> </w:t>
      </w:r>
      <w:r w:rsidR="005C30D4" w:rsidRPr="005C30D4">
        <w:rPr>
          <w:rFonts w:ascii="Times New Roman" w:hAnsi="Times New Roman" w:cs="Times New Roman"/>
          <w:i/>
          <w:iCs/>
          <w:sz w:val="28"/>
          <w:szCs w:val="28"/>
        </w:rPr>
        <w:t>(“</w:t>
      </w:r>
      <w:proofErr w:type="spellStart"/>
      <w:r w:rsidR="005C30D4" w:rsidRPr="005C30D4">
        <w:rPr>
          <w:rFonts w:ascii="Times New Roman" w:hAnsi="Times New Roman" w:cs="Times New Roman"/>
          <w:i/>
          <w:iCs/>
          <w:sz w:val="28"/>
          <w:szCs w:val="28"/>
        </w:rPr>
        <w:t>Molapo</w:t>
      </w:r>
      <w:proofErr w:type="spellEnd"/>
      <w:r w:rsidR="005C30D4" w:rsidRPr="005C30D4">
        <w:rPr>
          <w:rFonts w:ascii="Times New Roman" w:hAnsi="Times New Roman" w:cs="Times New Roman"/>
          <w:i/>
          <w:iCs/>
          <w:sz w:val="28"/>
          <w:szCs w:val="28"/>
        </w:rPr>
        <w:t>”).</w:t>
      </w:r>
      <w:r w:rsidR="005C30D4">
        <w:rPr>
          <w:rFonts w:ascii="Times New Roman" w:hAnsi="Times New Roman" w:cs="Times New Roman"/>
          <w:sz w:val="28"/>
          <w:szCs w:val="28"/>
        </w:rPr>
        <w:t xml:space="preserve"> </w:t>
      </w:r>
    </w:p>
    <w:p w14:paraId="2ECCE5BC" w14:textId="77777777" w:rsidR="005C30D4" w:rsidRDefault="005C30D4" w:rsidP="00F81604">
      <w:pPr>
        <w:pStyle w:val="BodyText"/>
        <w:kinsoku w:val="0"/>
        <w:overflowPunct w:val="0"/>
        <w:spacing w:line="480" w:lineRule="auto"/>
        <w:ind w:left="0"/>
        <w:jc w:val="both"/>
        <w:rPr>
          <w:rFonts w:ascii="Times New Roman" w:hAnsi="Times New Roman" w:cs="Times New Roman"/>
          <w:sz w:val="28"/>
          <w:szCs w:val="28"/>
        </w:rPr>
      </w:pPr>
    </w:p>
    <w:p w14:paraId="2AAEA6A5" w14:textId="367B0AB9" w:rsidR="000252CB" w:rsidRDefault="005C30D4"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00A32688" w:rsidRPr="00554D5D">
        <w:rPr>
          <w:rFonts w:ascii="Times New Roman" w:hAnsi="Times New Roman" w:cs="Times New Roman"/>
          <w:sz w:val="28"/>
          <w:szCs w:val="28"/>
        </w:rPr>
        <w:t xml:space="preserve">I proceed to set out the salient facts relevant to this application. On </w:t>
      </w:r>
      <w:r w:rsidR="00E416C1">
        <w:rPr>
          <w:rFonts w:ascii="Times New Roman" w:hAnsi="Times New Roman" w:cs="Times New Roman"/>
          <w:sz w:val="28"/>
          <w:szCs w:val="28"/>
        </w:rPr>
        <w:t>1</w:t>
      </w:r>
      <w:r w:rsidR="00E416C1" w:rsidRPr="00E416C1">
        <w:rPr>
          <w:rFonts w:ascii="Times New Roman" w:hAnsi="Times New Roman" w:cs="Times New Roman"/>
          <w:sz w:val="28"/>
          <w:szCs w:val="28"/>
          <w:vertAlign w:val="superscript"/>
        </w:rPr>
        <w:t>st</w:t>
      </w:r>
      <w:r w:rsidR="00E416C1">
        <w:rPr>
          <w:rFonts w:ascii="Times New Roman" w:hAnsi="Times New Roman" w:cs="Times New Roman"/>
          <w:sz w:val="28"/>
          <w:szCs w:val="28"/>
        </w:rPr>
        <w:t xml:space="preserve"> June 2013, at Maputsoe, </w:t>
      </w:r>
      <w:r w:rsidR="0001352C">
        <w:rPr>
          <w:rFonts w:ascii="Times New Roman" w:hAnsi="Times New Roman" w:cs="Times New Roman"/>
          <w:sz w:val="28"/>
          <w:szCs w:val="28"/>
        </w:rPr>
        <w:t xml:space="preserve">Ha </w:t>
      </w:r>
      <w:proofErr w:type="spellStart"/>
      <w:r w:rsidR="0001352C">
        <w:rPr>
          <w:rFonts w:ascii="Times New Roman" w:hAnsi="Times New Roman" w:cs="Times New Roman"/>
          <w:sz w:val="28"/>
          <w:szCs w:val="28"/>
        </w:rPr>
        <w:t>Seotsanyana</w:t>
      </w:r>
      <w:proofErr w:type="spellEnd"/>
      <w:r w:rsidR="0001352C">
        <w:rPr>
          <w:rFonts w:ascii="Times New Roman" w:hAnsi="Times New Roman" w:cs="Times New Roman"/>
          <w:sz w:val="28"/>
          <w:szCs w:val="28"/>
        </w:rPr>
        <w:t xml:space="preserve"> in its </w:t>
      </w:r>
      <w:r w:rsidR="00A32688" w:rsidRPr="00554D5D">
        <w:rPr>
          <w:rFonts w:ascii="Times New Roman" w:hAnsi="Times New Roman" w:cs="Times New Roman"/>
          <w:sz w:val="28"/>
          <w:szCs w:val="28"/>
        </w:rPr>
        <w:t>capacit</w:t>
      </w:r>
      <w:r w:rsidR="0001352C">
        <w:rPr>
          <w:rFonts w:ascii="Times New Roman" w:hAnsi="Times New Roman" w:cs="Times New Roman"/>
          <w:sz w:val="28"/>
          <w:szCs w:val="28"/>
        </w:rPr>
        <w:t xml:space="preserve">y as the sub lessee entered into </w:t>
      </w:r>
      <w:r w:rsidR="00A32688" w:rsidRPr="00554D5D">
        <w:rPr>
          <w:rFonts w:ascii="Times New Roman" w:hAnsi="Times New Roman" w:cs="Times New Roman"/>
          <w:sz w:val="28"/>
          <w:szCs w:val="28"/>
        </w:rPr>
        <w:t xml:space="preserve">a written </w:t>
      </w:r>
      <w:r w:rsidR="0001352C">
        <w:rPr>
          <w:rFonts w:ascii="Times New Roman" w:hAnsi="Times New Roman" w:cs="Times New Roman"/>
          <w:sz w:val="28"/>
          <w:szCs w:val="28"/>
        </w:rPr>
        <w:t xml:space="preserve">sublease agreement </w:t>
      </w:r>
      <w:r w:rsidR="00A32688" w:rsidRPr="005C30D4">
        <w:rPr>
          <w:rFonts w:ascii="Times New Roman" w:hAnsi="Times New Roman" w:cs="Times New Roman"/>
          <w:i/>
          <w:iCs/>
          <w:sz w:val="28"/>
          <w:szCs w:val="28"/>
        </w:rPr>
        <w:t>("the agreement")</w:t>
      </w:r>
      <w:r w:rsidR="00A32688" w:rsidRPr="00554D5D">
        <w:rPr>
          <w:rFonts w:ascii="Times New Roman" w:hAnsi="Times New Roman" w:cs="Times New Roman"/>
          <w:sz w:val="28"/>
          <w:szCs w:val="28"/>
        </w:rPr>
        <w:t xml:space="preserve"> with </w:t>
      </w:r>
      <w:proofErr w:type="spellStart"/>
      <w:r w:rsidR="0001352C">
        <w:rPr>
          <w:rFonts w:ascii="Times New Roman" w:hAnsi="Times New Roman" w:cs="Times New Roman"/>
          <w:sz w:val="28"/>
          <w:szCs w:val="28"/>
        </w:rPr>
        <w:t>Litjotlela</w:t>
      </w:r>
      <w:proofErr w:type="spellEnd"/>
      <w:r w:rsidR="0001352C">
        <w:rPr>
          <w:rFonts w:ascii="Times New Roman" w:hAnsi="Times New Roman" w:cs="Times New Roman"/>
          <w:sz w:val="28"/>
          <w:szCs w:val="28"/>
        </w:rPr>
        <w:t xml:space="preserve"> Mall</w:t>
      </w:r>
      <w:r w:rsidR="00A32688" w:rsidRPr="00554D5D">
        <w:rPr>
          <w:rFonts w:ascii="Times New Roman" w:hAnsi="Times New Roman" w:cs="Times New Roman"/>
          <w:sz w:val="28"/>
          <w:szCs w:val="28"/>
        </w:rPr>
        <w:t>, as the</w:t>
      </w:r>
      <w:r w:rsidR="0001352C">
        <w:rPr>
          <w:rFonts w:ascii="Times New Roman" w:hAnsi="Times New Roman" w:cs="Times New Roman"/>
          <w:sz w:val="28"/>
          <w:szCs w:val="28"/>
        </w:rPr>
        <w:t xml:space="preserve"> sub lessor in respect of a portion of</w:t>
      </w:r>
      <w:r w:rsidR="002270C3">
        <w:rPr>
          <w:rFonts w:ascii="Times New Roman" w:hAnsi="Times New Roman" w:cs="Times New Roman"/>
          <w:sz w:val="28"/>
          <w:szCs w:val="28"/>
        </w:rPr>
        <w:t xml:space="preserve"> the premises. </w:t>
      </w:r>
      <w:r w:rsidR="0001352C">
        <w:rPr>
          <w:rFonts w:ascii="Times New Roman" w:hAnsi="Times New Roman" w:cs="Times New Roman"/>
          <w:sz w:val="28"/>
          <w:szCs w:val="28"/>
        </w:rPr>
        <w:t xml:space="preserve"> </w:t>
      </w:r>
    </w:p>
    <w:p w14:paraId="29573B7E" w14:textId="129213EA" w:rsidR="00AA72A6" w:rsidRDefault="00AA72A6" w:rsidP="00F81604">
      <w:pPr>
        <w:pStyle w:val="BodyText"/>
        <w:kinsoku w:val="0"/>
        <w:overflowPunct w:val="0"/>
        <w:spacing w:line="480" w:lineRule="auto"/>
        <w:ind w:left="0"/>
        <w:jc w:val="both"/>
        <w:rPr>
          <w:rFonts w:ascii="Times New Roman" w:hAnsi="Times New Roman" w:cs="Times New Roman"/>
          <w:sz w:val="28"/>
          <w:szCs w:val="28"/>
        </w:rPr>
      </w:pPr>
    </w:p>
    <w:p w14:paraId="2CCB94A6" w14:textId="21E5EC29" w:rsidR="00AA72A6" w:rsidRDefault="00AA72A6" w:rsidP="00AA72A6">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t xml:space="preserve">There is serious contestation regarding duration of the agreement </w:t>
      </w:r>
      <w:proofErr w:type="gramStart"/>
      <w:r>
        <w:rPr>
          <w:rFonts w:ascii="Times New Roman" w:hAnsi="Times New Roman" w:cs="Times New Roman"/>
          <w:sz w:val="28"/>
          <w:szCs w:val="28"/>
        </w:rPr>
        <w:t xml:space="preserve">as </w:t>
      </w:r>
      <w:r w:rsidR="00B25D12">
        <w:rPr>
          <w:rFonts w:ascii="Times New Roman" w:hAnsi="Times New Roman" w:cs="Times New Roman"/>
          <w:sz w:val="28"/>
          <w:szCs w:val="28"/>
        </w:rPr>
        <w:t xml:space="preserve">a </w:t>
      </w:r>
      <w:r>
        <w:rPr>
          <w:rFonts w:ascii="Times New Roman" w:hAnsi="Times New Roman" w:cs="Times New Roman"/>
          <w:sz w:val="28"/>
          <w:szCs w:val="28"/>
        </w:rPr>
        <w:t>result of</w:t>
      </w:r>
      <w:proofErr w:type="gramEnd"/>
      <w:r>
        <w:rPr>
          <w:rFonts w:ascii="Times New Roman" w:hAnsi="Times New Roman" w:cs="Times New Roman"/>
          <w:sz w:val="28"/>
          <w:szCs w:val="28"/>
        </w:rPr>
        <w:t xml:space="preserve"> which each party has filed of record a copy of the agreement it relies on. </w:t>
      </w:r>
      <w:r w:rsidR="001A37DC">
        <w:rPr>
          <w:rFonts w:ascii="Times New Roman" w:hAnsi="Times New Roman" w:cs="Times New Roman"/>
          <w:sz w:val="28"/>
          <w:szCs w:val="28"/>
        </w:rPr>
        <w:lastRenderedPageBreak/>
        <w:t xml:space="preserve">Except for the duration, all other </w:t>
      </w:r>
      <w:r>
        <w:rPr>
          <w:rFonts w:ascii="Times New Roman" w:hAnsi="Times New Roman" w:cs="Times New Roman"/>
          <w:sz w:val="28"/>
          <w:szCs w:val="28"/>
        </w:rPr>
        <w:t>clauses of the agreement are identical</w:t>
      </w:r>
      <w:r w:rsidR="001A37DC">
        <w:rPr>
          <w:rFonts w:ascii="Times New Roman" w:hAnsi="Times New Roman" w:cs="Times New Roman"/>
          <w:sz w:val="28"/>
          <w:szCs w:val="28"/>
        </w:rPr>
        <w:t xml:space="preserve">. </w:t>
      </w:r>
      <w:r>
        <w:rPr>
          <w:rFonts w:ascii="Times New Roman" w:hAnsi="Times New Roman" w:cs="Times New Roman"/>
          <w:sz w:val="28"/>
          <w:szCs w:val="28"/>
        </w:rPr>
        <w:t>I t</w:t>
      </w:r>
      <w:r w:rsidRPr="00554D5D">
        <w:rPr>
          <w:rFonts w:ascii="Times New Roman" w:hAnsi="Times New Roman" w:cs="Times New Roman"/>
          <w:sz w:val="28"/>
          <w:szCs w:val="28"/>
        </w:rPr>
        <w:t xml:space="preserve">herefore deem </w:t>
      </w:r>
      <w:r>
        <w:rPr>
          <w:rFonts w:ascii="Times New Roman" w:hAnsi="Times New Roman" w:cs="Times New Roman"/>
          <w:sz w:val="28"/>
          <w:szCs w:val="28"/>
        </w:rPr>
        <w:t>i</w:t>
      </w:r>
      <w:r w:rsidRPr="00554D5D">
        <w:rPr>
          <w:rFonts w:ascii="Times New Roman" w:hAnsi="Times New Roman" w:cs="Times New Roman"/>
          <w:sz w:val="28"/>
          <w:szCs w:val="28"/>
        </w:rPr>
        <w:t>t apposite at this stage to quote the clauses</w:t>
      </w:r>
      <w:r>
        <w:rPr>
          <w:rFonts w:ascii="Times New Roman" w:hAnsi="Times New Roman" w:cs="Times New Roman"/>
          <w:sz w:val="28"/>
          <w:szCs w:val="28"/>
        </w:rPr>
        <w:t xml:space="preserve"> which</w:t>
      </w:r>
      <w:r w:rsidRPr="00554D5D">
        <w:rPr>
          <w:rFonts w:ascii="Times New Roman" w:hAnsi="Times New Roman" w:cs="Times New Roman"/>
          <w:sz w:val="28"/>
          <w:szCs w:val="28"/>
        </w:rPr>
        <w:t xml:space="preserve"> might have a bearing </w:t>
      </w:r>
      <w:r>
        <w:rPr>
          <w:rFonts w:ascii="Times New Roman" w:hAnsi="Times New Roman" w:cs="Times New Roman"/>
          <w:sz w:val="28"/>
          <w:szCs w:val="28"/>
        </w:rPr>
        <w:t>in</w:t>
      </w:r>
      <w:r w:rsidRPr="00554D5D">
        <w:rPr>
          <w:rFonts w:ascii="Times New Roman" w:hAnsi="Times New Roman" w:cs="Times New Roman"/>
          <w:sz w:val="28"/>
          <w:szCs w:val="28"/>
        </w:rPr>
        <w:t xml:space="preserve"> the consideration of this application.</w:t>
      </w:r>
      <w:r>
        <w:rPr>
          <w:rFonts w:ascii="Times New Roman" w:hAnsi="Times New Roman" w:cs="Times New Roman"/>
          <w:sz w:val="28"/>
          <w:szCs w:val="28"/>
        </w:rPr>
        <w:t xml:space="preserve"> </w:t>
      </w:r>
    </w:p>
    <w:p w14:paraId="19126532" w14:textId="77777777" w:rsidR="00AA72A6" w:rsidRDefault="00AA72A6" w:rsidP="00AA72A6">
      <w:pPr>
        <w:pStyle w:val="BodyText"/>
        <w:kinsoku w:val="0"/>
        <w:overflowPunct w:val="0"/>
        <w:spacing w:line="480" w:lineRule="auto"/>
        <w:ind w:left="0"/>
        <w:jc w:val="both"/>
        <w:rPr>
          <w:rFonts w:ascii="Times New Roman" w:hAnsi="Times New Roman" w:cs="Times New Roman"/>
          <w:sz w:val="28"/>
          <w:szCs w:val="28"/>
        </w:rPr>
      </w:pPr>
    </w:p>
    <w:p w14:paraId="71C0EE2D" w14:textId="77777777" w:rsidR="00AA72A6" w:rsidRDefault="00AA72A6" w:rsidP="00AA72A6">
      <w:pPr>
        <w:pStyle w:val="BodyText"/>
        <w:kinsoku w:val="0"/>
        <w:overflowPunct w:val="0"/>
        <w:ind w:left="0"/>
        <w:jc w:val="both"/>
        <w:rPr>
          <w:rFonts w:ascii="Times New Roman" w:hAnsi="Times New Roman" w:cs="Times New Roman"/>
          <w:b/>
          <w:bCs/>
          <w:sz w:val="24"/>
          <w:szCs w:val="24"/>
          <w:u w:val="single"/>
        </w:rPr>
      </w:pPr>
      <w:r>
        <w:rPr>
          <w:rFonts w:ascii="Times New Roman" w:hAnsi="Times New Roman" w:cs="Times New Roman"/>
          <w:sz w:val="28"/>
          <w:szCs w:val="28"/>
        </w:rPr>
        <w:tab/>
      </w:r>
      <w:r>
        <w:rPr>
          <w:rFonts w:ascii="Times New Roman" w:hAnsi="Times New Roman" w:cs="Times New Roman"/>
          <w:sz w:val="28"/>
          <w:szCs w:val="28"/>
        </w:rPr>
        <w:tab/>
      </w:r>
      <w:r w:rsidRPr="00A36E18">
        <w:rPr>
          <w:rFonts w:ascii="Times New Roman" w:hAnsi="Times New Roman" w:cs="Times New Roman"/>
          <w:sz w:val="24"/>
          <w:szCs w:val="24"/>
        </w:rPr>
        <w:t>“2.</w:t>
      </w:r>
      <w:r w:rsidRPr="00A36E18">
        <w:rPr>
          <w:rFonts w:ascii="Times New Roman" w:hAnsi="Times New Roman" w:cs="Times New Roman"/>
          <w:sz w:val="24"/>
          <w:szCs w:val="24"/>
        </w:rPr>
        <w:tab/>
      </w:r>
      <w:r w:rsidRPr="00A36E18">
        <w:rPr>
          <w:rFonts w:ascii="Times New Roman" w:hAnsi="Times New Roman" w:cs="Times New Roman"/>
          <w:b/>
          <w:bCs/>
          <w:sz w:val="24"/>
          <w:szCs w:val="24"/>
          <w:u w:val="single"/>
        </w:rPr>
        <w:t>LEASE PERIOD</w:t>
      </w:r>
    </w:p>
    <w:p w14:paraId="117E2B56" w14:textId="77777777" w:rsidR="00AA72A6" w:rsidRPr="00A36E18" w:rsidRDefault="00AA72A6" w:rsidP="00AA72A6">
      <w:pPr>
        <w:pStyle w:val="BodyText"/>
        <w:kinsoku w:val="0"/>
        <w:overflowPunct w:val="0"/>
        <w:ind w:left="0"/>
        <w:jc w:val="both"/>
        <w:rPr>
          <w:rFonts w:ascii="Times New Roman" w:hAnsi="Times New Roman" w:cs="Times New Roman"/>
          <w:b/>
          <w:bCs/>
          <w:sz w:val="24"/>
          <w:szCs w:val="24"/>
          <w:u w:val="single"/>
        </w:rPr>
      </w:pPr>
    </w:p>
    <w:p w14:paraId="305146CE" w14:textId="77777777" w:rsidR="00AA72A6" w:rsidRDefault="00AA72A6" w:rsidP="00AA72A6">
      <w:pPr>
        <w:pStyle w:val="BodyText"/>
        <w:kinsoku w:val="0"/>
        <w:overflowPunct w:val="0"/>
        <w:ind w:left="0"/>
        <w:jc w:val="both"/>
        <w:rPr>
          <w:rFonts w:ascii="Times New Roman" w:hAnsi="Times New Roman" w:cs="Times New Roman"/>
          <w:sz w:val="24"/>
          <w:szCs w:val="24"/>
        </w:rPr>
      </w:pPr>
      <w:r w:rsidRPr="00A36E18">
        <w:rPr>
          <w:rFonts w:ascii="Times New Roman" w:hAnsi="Times New Roman" w:cs="Times New Roman"/>
          <w:sz w:val="24"/>
          <w:szCs w:val="24"/>
        </w:rPr>
        <w:tab/>
      </w:r>
      <w:r w:rsidRPr="00A36E18">
        <w:rPr>
          <w:rFonts w:ascii="Times New Roman" w:hAnsi="Times New Roman" w:cs="Times New Roman"/>
          <w:sz w:val="24"/>
          <w:szCs w:val="24"/>
        </w:rPr>
        <w:tab/>
        <w:t>2.1…</w:t>
      </w:r>
    </w:p>
    <w:p w14:paraId="39160808" w14:textId="77777777" w:rsidR="00AA72A6" w:rsidRPr="00A36E18" w:rsidRDefault="00AA72A6" w:rsidP="00AA72A6">
      <w:pPr>
        <w:pStyle w:val="BodyText"/>
        <w:kinsoku w:val="0"/>
        <w:overflowPunct w:val="0"/>
        <w:ind w:left="0"/>
        <w:jc w:val="both"/>
        <w:rPr>
          <w:rFonts w:ascii="Times New Roman" w:hAnsi="Times New Roman" w:cs="Times New Roman"/>
          <w:sz w:val="24"/>
          <w:szCs w:val="24"/>
        </w:rPr>
      </w:pPr>
    </w:p>
    <w:p w14:paraId="1D3EE16B" w14:textId="77777777" w:rsidR="00AA72A6" w:rsidRDefault="00AA72A6" w:rsidP="00AA72A6">
      <w:pPr>
        <w:pStyle w:val="BodyText"/>
        <w:kinsoku w:val="0"/>
        <w:overflowPunct w:val="0"/>
        <w:ind w:left="2160" w:hanging="720"/>
        <w:jc w:val="both"/>
        <w:rPr>
          <w:rFonts w:ascii="Times New Roman" w:hAnsi="Times New Roman" w:cs="Times New Roman"/>
          <w:sz w:val="24"/>
          <w:szCs w:val="24"/>
        </w:rPr>
      </w:pPr>
      <w:r w:rsidRPr="00A36E18">
        <w:rPr>
          <w:rFonts w:ascii="Times New Roman" w:hAnsi="Times New Roman" w:cs="Times New Roman"/>
          <w:sz w:val="24"/>
          <w:szCs w:val="24"/>
        </w:rPr>
        <w:t>2.3</w:t>
      </w:r>
      <w:r w:rsidRPr="00A36E18">
        <w:rPr>
          <w:rFonts w:ascii="Times New Roman" w:hAnsi="Times New Roman" w:cs="Times New Roman"/>
          <w:sz w:val="24"/>
          <w:szCs w:val="24"/>
        </w:rPr>
        <w:tab/>
        <w:t>The renewal period will be automatic unless either party gives notice in writing of its intention not to renew.</w:t>
      </w:r>
    </w:p>
    <w:p w14:paraId="105A766E" w14:textId="77777777" w:rsidR="00AA72A6" w:rsidRPr="00A36E18" w:rsidRDefault="00AA72A6" w:rsidP="00AA72A6">
      <w:pPr>
        <w:pStyle w:val="BodyText"/>
        <w:kinsoku w:val="0"/>
        <w:overflowPunct w:val="0"/>
        <w:ind w:left="2160" w:hanging="720"/>
        <w:jc w:val="both"/>
        <w:rPr>
          <w:rFonts w:ascii="Times New Roman" w:hAnsi="Times New Roman" w:cs="Times New Roman"/>
          <w:sz w:val="24"/>
          <w:szCs w:val="24"/>
        </w:rPr>
      </w:pPr>
    </w:p>
    <w:p w14:paraId="797E020B" w14:textId="77777777" w:rsidR="00AA72A6" w:rsidRDefault="00AA72A6" w:rsidP="00AA72A6">
      <w:pPr>
        <w:pStyle w:val="BodyText"/>
        <w:kinsoku w:val="0"/>
        <w:overflowPunct w:val="0"/>
        <w:ind w:left="2160" w:hanging="720"/>
        <w:jc w:val="both"/>
        <w:rPr>
          <w:rFonts w:ascii="Times New Roman" w:hAnsi="Times New Roman" w:cs="Times New Roman"/>
          <w:sz w:val="24"/>
          <w:szCs w:val="24"/>
        </w:rPr>
      </w:pPr>
      <w:r w:rsidRPr="00A36E18">
        <w:rPr>
          <w:rFonts w:ascii="Times New Roman" w:hAnsi="Times New Roman" w:cs="Times New Roman"/>
          <w:sz w:val="24"/>
          <w:szCs w:val="24"/>
        </w:rPr>
        <w:t>10.</w:t>
      </w:r>
      <w:r w:rsidRPr="00A36E18">
        <w:rPr>
          <w:rFonts w:ascii="Times New Roman" w:hAnsi="Times New Roman" w:cs="Times New Roman"/>
          <w:sz w:val="24"/>
          <w:szCs w:val="24"/>
        </w:rPr>
        <w:tab/>
      </w:r>
      <w:r w:rsidRPr="00A36E18">
        <w:rPr>
          <w:rFonts w:ascii="Times New Roman" w:hAnsi="Times New Roman" w:cs="Times New Roman"/>
          <w:b/>
          <w:bCs/>
          <w:sz w:val="24"/>
          <w:szCs w:val="24"/>
          <w:u w:val="single"/>
        </w:rPr>
        <w:t>REPAIRS AND ALTERATION – LESSEE</w:t>
      </w:r>
      <w:r w:rsidRPr="00A36E18">
        <w:rPr>
          <w:rFonts w:ascii="Times New Roman" w:hAnsi="Times New Roman" w:cs="Times New Roman"/>
          <w:sz w:val="24"/>
          <w:szCs w:val="24"/>
        </w:rPr>
        <w:t xml:space="preserve">: </w:t>
      </w:r>
    </w:p>
    <w:p w14:paraId="72216704" w14:textId="77777777" w:rsidR="00AA72A6" w:rsidRPr="00A36E18" w:rsidRDefault="00AA72A6" w:rsidP="00AA72A6">
      <w:pPr>
        <w:pStyle w:val="BodyText"/>
        <w:kinsoku w:val="0"/>
        <w:overflowPunct w:val="0"/>
        <w:ind w:left="2160" w:hanging="720"/>
        <w:jc w:val="both"/>
        <w:rPr>
          <w:rFonts w:ascii="Times New Roman" w:hAnsi="Times New Roman" w:cs="Times New Roman"/>
          <w:sz w:val="24"/>
          <w:szCs w:val="24"/>
        </w:rPr>
      </w:pPr>
    </w:p>
    <w:p w14:paraId="0679EA96" w14:textId="1149740B" w:rsidR="00AA72A6" w:rsidRDefault="00AA72A6" w:rsidP="00AA72A6">
      <w:pPr>
        <w:pStyle w:val="BodyText"/>
        <w:kinsoku w:val="0"/>
        <w:overflowPunct w:val="0"/>
        <w:ind w:left="0"/>
        <w:jc w:val="both"/>
        <w:rPr>
          <w:rFonts w:ascii="Times New Roman" w:hAnsi="Times New Roman" w:cs="Times New Roman"/>
          <w:sz w:val="24"/>
          <w:szCs w:val="24"/>
        </w:rPr>
      </w:pPr>
      <w:r w:rsidRPr="00A36E18">
        <w:rPr>
          <w:rFonts w:ascii="Times New Roman" w:hAnsi="Times New Roman" w:cs="Times New Roman"/>
          <w:sz w:val="24"/>
          <w:szCs w:val="24"/>
        </w:rPr>
        <w:tab/>
      </w:r>
      <w:r w:rsidRPr="00A36E18">
        <w:rPr>
          <w:rFonts w:ascii="Times New Roman" w:hAnsi="Times New Roman" w:cs="Times New Roman"/>
          <w:sz w:val="24"/>
          <w:szCs w:val="24"/>
        </w:rPr>
        <w:tab/>
      </w:r>
      <w:r w:rsidRPr="00A36E18">
        <w:rPr>
          <w:rFonts w:ascii="Times New Roman" w:hAnsi="Times New Roman" w:cs="Times New Roman"/>
          <w:sz w:val="24"/>
          <w:szCs w:val="24"/>
        </w:rPr>
        <w:tab/>
        <w:t xml:space="preserve">The lessee </w:t>
      </w:r>
      <w:r w:rsidR="00B25D12" w:rsidRPr="00A36E18">
        <w:rPr>
          <w:rFonts w:ascii="Times New Roman" w:hAnsi="Times New Roman" w:cs="Times New Roman"/>
          <w:sz w:val="24"/>
          <w:szCs w:val="24"/>
        </w:rPr>
        <w:t>shall: -</w:t>
      </w:r>
    </w:p>
    <w:p w14:paraId="0E291FC9" w14:textId="77777777" w:rsidR="00AA72A6" w:rsidRPr="00A36E18" w:rsidRDefault="00AA72A6" w:rsidP="00AA72A6">
      <w:pPr>
        <w:pStyle w:val="BodyText"/>
        <w:kinsoku w:val="0"/>
        <w:overflowPunct w:val="0"/>
        <w:ind w:left="0"/>
        <w:jc w:val="both"/>
        <w:rPr>
          <w:rFonts w:ascii="Times New Roman" w:hAnsi="Times New Roman" w:cs="Times New Roman"/>
          <w:sz w:val="24"/>
          <w:szCs w:val="24"/>
        </w:rPr>
      </w:pPr>
    </w:p>
    <w:p w14:paraId="5AB52AB3" w14:textId="3A94A8F9" w:rsidR="00AA72A6" w:rsidRDefault="00AA72A6" w:rsidP="00CC7F4B">
      <w:pPr>
        <w:pStyle w:val="BodyText"/>
        <w:numPr>
          <w:ilvl w:val="0"/>
          <w:numId w:val="7"/>
        </w:numPr>
        <w:kinsoku w:val="0"/>
        <w:overflowPunct w:val="0"/>
        <w:ind w:right="850"/>
        <w:jc w:val="both"/>
        <w:rPr>
          <w:rFonts w:ascii="Times New Roman" w:hAnsi="Times New Roman" w:cs="Times New Roman"/>
          <w:sz w:val="24"/>
          <w:szCs w:val="24"/>
        </w:rPr>
      </w:pPr>
      <w:r w:rsidRPr="00A36E18">
        <w:rPr>
          <w:rFonts w:ascii="Times New Roman" w:hAnsi="Times New Roman" w:cs="Times New Roman"/>
          <w:sz w:val="24"/>
          <w:szCs w:val="24"/>
        </w:rPr>
        <w:t xml:space="preserve">Not make any structural alterations to the buildings or any </w:t>
      </w:r>
      <w:r>
        <w:rPr>
          <w:rFonts w:ascii="Times New Roman" w:hAnsi="Times New Roman" w:cs="Times New Roman"/>
          <w:sz w:val="24"/>
          <w:szCs w:val="24"/>
        </w:rPr>
        <w:t xml:space="preserve">part </w:t>
      </w:r>
      <w:proofErr w:type="spellStart"/>
      <w:r>
        <w:rPr>
          <w:rFonts w:ascii="Times New Roman" w:hAnsi="Times New Roman" w:cs="Times New Roman"/>
          <w:sz w:val="24"/>
          <w:szCs w:val="24"/>
        </w:rPr>
        <w:t>there</w:t>
      </w:r>
      <w:r w:rsidR="00CC7F4B">
        <w:rPr>
          <w:rFonts w:ascii="Times New Roman" w:hAnsi="Times New Roman" w:cs="Times New Roman"/>
          <w:sz w:val="24"/>
          <w:szCs w:val="24"/>
        </w:rPr>
        <w:t xml:space="preserve"> </w:t>
      </w:r>
      <w:r>
        <w:rPr>
          <w:rFonts w:ascii="Times New Roman" w:hAnsi="Times New Roman" w:cs="Times New Roman"/>
          <w:sz w:val="24"/>
          <w:szCs w:val="24"/>
        </w:rPr>
        <w:t>of</w:t>
      </w:r>
      <w:proofErr w:type="spellEnd"/>
      <w:r>
        <w:rPr>
          <w:rFonts w:ascii="Times New Roman" w:hAnsi="Times New Roman" w:cs="Times New Roman"/>
          <w:sz w:val="24"/>
          <w:szCs w:val="24"/>
        </w:rPr>
        <w:t xml:space="preserve"> without the prior written consent of the lessor.</w:t>
      </w:r>
    </w:p>
    <w:p w14:paraId="7333F635" w14:textId="77777777" w:rsidR="00AA72A6" w:rsidRPr="00A36E18" w:rsidRDefault="00AA72A6" w:rsidP="00AA72A6">
      <w:pPr>
        <w:pStyle w:val="BodyText"/>
        <w:kinsoku w:val="0"/>
        <w:overflowPunct w:val="0"/>
        <w:ind w:left="2520"/>
        <w:jc w:val="both"/>
        <w:rPr>
          <w:rFonts w:ascii="Times New Roman" w:hAnsi="Times New Roman" w:cs="Times New Roman"/>
          <w:sz w:val="24"/>
          <w:szCs w:val="24"/>
        </w:rPr>
      </w:pPr>
      <w:r>
        <w:rPr>
          <w:rFonts w:ascii="Times New Roman" w:hAnsi="Times New Roman" w:cs="Times New Roman"/>
          <w:sz w:val="24"/>
          <w:szCs w:val="24"/>
        </w:rPr>
        <w:t xml:space="preserve"> </w:t>
      </w:r>
    </w:p>
    <w:p w14:paraId="2B793FA6" w14:textId="77777777" w:rsidR="00AA72A6" w:rsidRDefault="00AA72A6" w:rsidP="00CC7F4B">
      <w:pPr>
        <w:pStyle w:val="BodyText"/>
        <w:numPr>
          <w:ilvl w:val="0"/>
          <w:numId w:val="7"/>
        </w:numPr>
        <w:kinsoku w:val="0"/>
        <w:overflowPunct w:val="0"/>
        <w:ind w:right="850"/>
        <w:jc w:val="both"/>
        <w:rPr>
          <w:rFonts w:ascii="Times New Roman" w:hAnsi="Times New Roman" w:cs="Times New Roman"/>
          <w:sz w:val="24"/>
          <w:szCs w:val="24"/>
        </w:rPr>
      </w:pPr>
      <w:r w:rsidRPr="00A36E18">
        <w:rPr>
          <w:rFonts w:ascii="Times New Roman" w:hAnsi="Times New Roman" w:cs="Times New Roman"/>
          <w:sz w:val="24"/>
          <w:szCs w:val="24"/>
        </w:rPr>
        <w:t xml:space="preserve">At own cost maintain interior of the premises, as well as all electrical, gas drainage and sanitary works in the premises, in good order and condition, and to this end shall (amongst other things) from time to time as required replace electric light, bulbs, starters, ballasts, incandescent and fluorescent </w:t>
      </w:r>
      <w:proofErr w:type="gramStart"/>
      <w:r w:rsidRPr="00A36E18">
        <w:rPr>
          <w:rFonts w:ascii="Times New Roman" w:hAnsi="Times New Roman" w:cs="Times New Roman"/>
          <w:sz w:val="24"/>
          <w:szCs w:val="24"/>
        </w:rPr>
        <w:t>bulbs;</w:t>
      </w:r>
      <w:proofErr w:type="gramEnd"/>
    </w:p>
    <w:p w14:paraId="658B8876" w14:textId="77777777" w:rsidR="00AA72A6" w:rsidRPr="00A36E18" w:rsidRDefault="00AA72A6" w:rsidP="00CC7F4B">
      <w:pPr>
        <w:pStyle w:val="BodyText"/>
        <w:kinsoku w:val="0"/>
        <w:overflowPunct w:val="0"/>
        <w:ind w:left="0" w:right="850"/>
        <w:jc w:val="both"/>
        <w:rPr>
          <w:rFonts w:ascii="Times New Roman" w:hAnsi="Times New Roman" w:cs="Times New Roman"/>
          <w:sz w:val="24"/>
          <w:szCs w:val="24"/>
        </w:rPr>
      </w:pPr>
    </w:p>
    <w:p w14:paraId="34FF09CF" w14:textId="77777777" w:rsidR="00AA72A6" w:rsidRDefault="00AA72A6" w:rsidP="00CC7F4B">
      <w:pPr>
        <w:pStyle w:val="BodyText"/>
        <w:numPr>
          <w:ilvl w:val="0"/>
          <w:numId w:val="7"/>
        </w:numPr>
        <w:kinsoku w:val="0"/>
        <w:overflowPunct w:val="0"/>
        <w:ind w:right="850"/>
        <w:jc w:val="both"/>
        <w:rPr>
          <w:rFonts w:ascii="Times New Roman" w:hAnsi="Times New Roman" w:cs="Times New Roman"/>
          <w:sz w:val="24"/>
          <w:szCs w:val="24"/>
        </w:rPr>
      </w:pPr>
      <w:r w:rsidRPr="00A36E18">
        <w:rPr>
          <w:rFonts w:ascii="Times New Roman" w:hAnsi="Times New Roman" w:cs="Times New Roman"/>
          <w:sz w:val="24"/>
          <w:szCs w:val="24"/>
        </w:rPr>
        <w:t xml:space="preserve">Use its best endeavours to prevent any blockage of any sewage or water pipes or drains used in connection with the premises and at own cost remove any such obstructions or blockage which might </w:t>
      </w:r>
      <w:proofErr w:type="gramStart"/>
      <w:r w:rsidRPr="00A36E18">
        <w:rPr>
          <w:rFonts w:ascii="Times New Roman" w:hAnsi="Times New Roman" w:cs="Times New Roman"/>
          <w:sz w:val="24"/>
          <w:szCs w:val="24"/>
        </w:rPr>
        <w:t>occur;</w:t>
      </w:r>
      <w:proofErr w:type="gramEnd"/>
    </w:p>
    <w:p w14:paraId="3728161A" w14:textId="77777777" w:rsidR="00AA72A6" w:rsidRPr="00A36E18" w:rsidRDefault="00AA72A6" w:rsidP="00CC7F4B">
      <w:pPr>
        <w:pStyle w:val="BodyText"/>
        <w:kinsoku w:val="0"/>
        <w:overflowPunct w:val="0"/>
        <w:ind w:left="0" w:right="850"/>
        <w:jc w:val="both"/>
        <w:rPr>
          <w:rFonts w:ascii="Times New Roman" w:hAnsi="Times New Roman" w:cs="Times New Roman"/>
          <w:sz w:val="24"/>
          <w:szCs w:val="24"/>
        </w:rPr>
      </w:pPr>
    </w:p>
    <w:p w14:paraId="17E4BD5D" w14:textId="77777777" w:rsidR="00AA72A6" w:rsidRDefault="00AA72A6" w:rsidP="00CC7F4B">
      <w:pPr>
        <w:pStyle w:val="BodyText"/>
        <w:numPr>
          <w:ilvl w:val="0"/>
          <w:numId w:val="7"/>
        </w:numPr>
        <w:kinsoku w:val="0"/>
        <w:overflowPunct w:val="0"/>
        <w:ind w:right="850"/>
        <w:jc w:val="both"/>
        <w:rPr>
          <w:rFonts w:ascii="Times New Roman" w:hAnsi="Times New Roman" w:cs="Times New Roman"/>
          <w:sz w:val="24"/>
          <w:szCs w:val="24"/>
        </w:rPr>
      </w:pPr>
      <w:r w:rsidRPr="00A36E18">
        <w:rPr>
          <w:rFonts w:ascii="Times New Roman" w:hAnsi="Times New Roman" w:cs="Times New Roman"/>
          <w:sz w:val="24"/>
          <w:szCs w:val="24"/>
        </w:rPr>
        <w:t>Not change or interfere with the electrical installation as [at] the date of signature of this contract, without written consent of the lessor.</w:t>
      </w:r>
    </w:p>
    <w:p w14:paraId="3D414B10" w14:textId="77777777" w:rsidR="00AA72A6" w:rsidRPr="00A36E18" w:rsidRDefault="00AA72A6" w:rsidP="00CC7F4B">
      <w:pPr>
        <w:pStyle w:val="BodyText"/>
        <w:kinsoku w:val="0"/>
        <w:overflowPunct w:val="0"/>
        <w:ind w:left="0" w:right="850"/>
        <w:jc w:val="both"/>
        <w:rPr>
          <w:rFonts w:ascii="Times New Roman" w:hAnsi="Times New Roman" w:cs="Times New Roman"/>
          <w:sz w:val="24"/>
          <w:szCs w:val="24"/>
        </w:rPr>
      </w:pPr>
    </w:p>
    <w:p w14:paraId="0CE97A16" w14:textId="77777777" w:rsidR="00AA72A6" w:rsidRDefault="00AA72A6" w:rsidP="00CC7F4B">
      <w:pPr>
        <w:pStyle w:val="BodyText"/>
        <w:kinsoku w:val="0"/>
        <w:overflowPunct w:val="0"/>
        <w:ind w:left="2160" w:right="850"/>
        <w:jc w:val="both"/>
        <w:rPr>
          <w:rFonts w:ascii="Times New Roman" w:hAnsi="Times New Roman" w:cs="Times New Roman"/>
          <w:sz w:val="24"/>
          <w:szCs w:val="24"/>
        </w:rPr>
      </w:pPr>
      <w:r w:rsidRPr="00A36E18">
        <w:rPr>
          <w:rFonts w:ascii="Times New Roman" w:hAnsi="Times New Roman" w:cs="Times New Roman"/>
          <w:sz w:val="24"/>
          <w:szCs w:val="24"/>
        </w:rPr>
        <w:t xml:space="preserve">In summary, the lessee shall be obliged to maintain the premises in the same conditions and in the same state of repairs as at the date of first </w:t>
      </w:r>
      <w:proofErr w:type="gramStart"/>
      <w:r w:rsidRPr="00A36E18">
        <w:rPr>
          <w:rFonts w:ascii="Times New Roman" w:hAnsi="Times New Roman" w:cs="Times New Roman"/>
          <w:sz w:val="24"/>
          <w:szCs w:val="24"/>
        </w:rPr>
        <w:t>occupation, and</w:t>
      </w:r>
      <w:proofErr w:type="gramEnd"/>
      <w:r w:rsidRPr="00A36E18">
        <w:rPr>
          <w:rFonts w:ascii="Times New Roman" w:hAnsi="Times New Roman" w:cs="Times New Roman"/>
          <w:sz w:val="24"/>
          <w:szCs w:val="24"/>
        </w:rPr>
        <w:t xml:space="preserve"> shall at the expiration of the [agreement] restore the premises to the lessor in such condition, reasonable wear and tear alone excepted. </w:t>
      </w:r>
    </w:p>
    <w:p w14:paraId="73FD463A" w14:textId="77777777" w:rsidR="00AA72A6" w:rsidRPr="00A36E18" w:rsidRDefault="00AA72A6" w:rsidP="00CC7F4B">
      <w:pPr>
        <w:pStyle w:val="BodyText"/>
        <w:kinsoku w:val="0"/>
        <w:overflowPunct w:val="0"/>
        <w:ind w:right="850"/>
        <w:jc w:val="both"/>
        <w:rPr>
          <w:rFonts w:ascii="Times New Roman" w:hAnsi="Times New Roman" w:cs="Times New Roman"/>
          <w:sz w:val="24"/>
          <w:szCs w:val="24"/>
        </w:rPr>
      </w:pPr>
    </w:p>
    <w:p w14:paraId="567C0DAA" w14:textId="77777777" w:rsidR="00AA72A6" w:rsidRDefault="00AA72A6" w:rsidP="00AA72A6">
      <w:pPr>
        <w:pStyle w:val="BodyText"/>
        <w:kinsoku w:val="0"/>
        <w:overflowPunct w:val="0"/>
        <w:ind w:left="2160"/>
        <w:jc w:val="both"/>
        <w:rPr>
          <w:rFonts w:ascii="Times New Roman" w:hAnsi="Times New Roman" w:cs="Times New Roman"/>
          <w:sz w:val="24"/>
          <w:szCs w:val="24"/>
        </w:rPr>
      </w:pPr>
      <w:r w:rsidRPr="00A36E18">
        <w:rPr>
          <w:rFonts w:ascii="Times New Roman" w:hAnsi="Times New Roman" w:cs="Times New Roman"/>
          <w:sz w:val="24"/>
          <w:szCs w:val="24"/>
        </w:rPr>
        <w:t>…</w:t>
      </w:r>
    </w:p>
    <w:p w14:paraId="7025107E" w14:textId="77777777" w:rsidR="00AA72A6" w:rsidRPr="00A36E18" w:rsidRDefault="00AA72A6" w:rsidP="00AA72A6">
      <w:pPr>
        <w:pStyle w:val="BodyText"/>
        <w:kinsoku w:val="0"/>
        <w:overflowPunct w:val="0"/>
        <w:ind w:left="2160"/>
        <w:jc w:val="both"/>
        <w:rPr>
          <w:rFonts w:ascii="Times New Roman" w:hAnsi="Times New Roman" w:cs="Times New Roman"/>
          <w:sz w:val="24"/>
          <w:szCs w:val="24"/>
        </w:rPr>
      </w:pPr>
    </w:p>
    <w:p w14:paraId="58F69487" w14:textId="77777777" w:rsidR="00AA72A6" w:rsidRPr="00A36E18" w:rsidRDefault="00AA72A6" w:rsidP="00AA72A6">
      <w:pPr>
        <w:pStyle w:val="BodyText"/>
        <w:kinsoku w:val="0"/>
        <w:overflowPunct w:val="0"/>
        <w:ind w:left="0"/>
        <w:jc w:val="both"/>
        <w:rPr>
          <w:rFonts w:ascii="Times New Roman" w:hAnsi="Times New Roman" w:cs="Times New Roman"/>
          <w:b/>
          <w:bCs/>
          <w:sz w:val="24"/>
          <w:szCs w:val="24"/>
          <w:u w:val="single"/>
        </w:rPr>
      </w:pPr>
      <w:r w:rsidRPr="00A36E18">
        <w:rPr>
          <w:rFonts w:ascii="Times New Roman" w:hAnsi="Times New Roman" w:cs="Times New Roman"/>
          <w:sz w:val="24"/>
          <w:szCs w:val="24"/>
        </w:rPr>
        <w:tab/>
      </w:r>
      <w:r w:rsidRPr="00A36E18">
        <w:rPr>
          <w:rFonts w:ascii="Times New Roman" w:hAnsi="Times New Roman" w:cs="Times New Roman"/>
          <w:sz w:val="24"/>
          <w:szCs w:val="24"/>
        </w:rPr>
        <w:tab/>
        <w:t>14.</w:t>
      </w:r>
      <w:r w:rsidRPr="00A36E18">
        <w:rPr>
          <w:rFonts w:ascii="Times New Roman" w:hAnsi="Times New Roman" w:cs="Times New Roman"/>
          <w:sz w:val="24"/>
          <w:szCs w:val="24"/>
        </w:rPr>
        <w:tab/>
      </w:r>
      <w:r w:rsidRPr="00A36E18">
        <w:rPr>
          <w:rFonts w:ascii="Times New Roman" w:hAnsi="Times New Roman" w:cs="Times New Roman"/>
          <w:b/>
          <w:bCs/>
          <w:sz w:val="24"/>
          <w:szCs w:val="24"/>
          <w:u w:val="single"/>
        </w:rPr>
        <w:t>REPAIRS AND ALTERATIONS – LESSOR:</w:t>
      </w:r>
    </w:p>
    <w:p w14:paraId="06ACE879" w14:textId="77777777" w:rsidR="00AA72A6" w:rsidRPr="00A36E18" w:rsidRDefault="00AA72A6" w:rsidP="00AA72A6">
      <w:pPr>
        <w:pStyle w:val="BodyText"/>
        <w:kinsoku w:val="0"/>
        <w:overflowPunct w:val="0"/>
        <w:ind w:left="0"/>
        <w:jc w:val="both"/>
        <w:rPr>
          <w:rFonts w:ascii="Times New Roman" w:hAnsi="Times New Roman" w:cs="Times New Roman"/>
          <w:sz w:val="24"/>
          <w:szCs w:val="24"/>
        </w:rPr>
      </w:pPr>
      <w:r w:rsidRPr="00A36E18">
        <w:rPr>
          <w:rFonts w:ascii="Times New Roman" w:hAnsi="Times New Roman" w:cs="Times New Roman"/>
          <w:sz w:val="24"/>
          <w:szCs w:val="24"/>
        </w:rPr>
        <w:tab/>
      </w:r>
      <w:r w:rsidRPr="00A36E18">
        <w:rPr>
          <w:rFonts w:ascii="Times New Roman" w:hAnsi="Times New Roman" w:cs="Times New Roman"/>
          <w:sz w:val="24"/>
          <w:szCs w:val="24"/>
        </w:rPr>
        <w:tab/>
      </w:r>
      <w:r w:rsidRPr="00A36E18">
        <w:rPr>
          <w:rFonts w:ascii="Times New Roman" w:hAnsi="Times New Roman" w:cs="Times New Roman"/>
          <w:sz w:val="24"/>
          <w:szCs w:val="24"/>
        </w:rPr>
        <w:tab/>
        <w:t>…</w:t>
      </w:r>
    </w:p>
    <w:p w14:paraId="325F0CE0" w14:textId="77777777" w:rsidR="00AA72A6" w:rsidRDefault="00AA72A6" w:rsidP="00CC7F4B">
      <w:pPr>
        <w:pStyle w:val="BodyText"/>
        <w:kinsoku w:val="0"/>
        <w:overflowPunct w:val="0"/>
        <w:ind w:left="2160" w:right="850" w:hanging="720"/>
        <w:jc w:val="both"/>
        <w:rPr>
          <w:rFonts w:ascii="Times New Roman" w:hAnsi="Times New Roman" w:cs="Times New Roman"/>
          <w:sz w:val="24"/>
          <w:szCs w:val="24"/>
        </w:rPr>
      </w:pPr>
      <w:r w:rsidRPr="00A36E18">
        <w:rPr>
          <w:rFonts w:ascii="Times New Roman" w:hAnsi="Times New Roman" w:cs="Times New Roman"/>
          <w:sz w:val="24"/>
          <w:szCs w:val="24"/>
        </w:rPr>
        <w:t>14.1</w:t>
      </w:r>
      <w:r w:rsidRPr="00A36E18">
        <w:rPr>
          <w:rFonts w:ascii="Times New Roman" w:hAnsi="Times New Roman" w:cs="Times New Roman"/>
          <w:sz w:val="24"/>
          <w:szCs w:val="24"/>
        </w:rPr>
        <w:tab/>
        <w:t xml:space="preserve">No alteration or variation hereof shall be of </w:t>
      </w:r>
      <w:r>
        <w:rPr>
          <w:rFonts w:ascii="Times New Roman" w:hAnsi="Times New Roman" w:cs="Times New Roman"/>
          <w:sz w:val="24"/>
          <w:szCs w:val="24"/>
        </w:rPr>
        <w:t>an</w:t>
      </w:r>
      <w:r w:rsidRPr="00A36E18">
        <w:rPr>
          <w:rFonts w:ascii="Times New Roman" w:hAnsi="Times New Roman" w:cs="Times New Roman"/>
          <w:sz w:val="24"/>
          <w:szCs w:val="24"/>
        </w:rPr>
        <w:t xml:space="preserve">y force of effect unless it is recorded in writing and signed by both the lessor and </w:t>
      </w:r>
      <w:r w:rsidRPr="00A36E18">
        <w:rPr>
          <w:rFonts w:ascii="Times New Roman" w:hAnsi="Times New Roman" w:cs="Times New Roman"/>
          <w:sz w:val="24"/>
          <w:szCs w:val="24"/>
        </w:rPr>
        <w:lastRenderedPageBreak/>
        <w:t>lessee.</w:t>
      </w:r>
    </w:p>
    <w:p w14:paraId="037DB995" w14:textId="77777777" w:rsidR="00AA72A6" w:rsidRPr="00A36E18" w:rsidRDefault="00AA72A6" w:rsidP="00CC7F4B">
      <w:pPr>
        <w:pStyle w:val="BodyText"/>
        <w:kinsoku w:val="0"/>
        <w:overflowPunct w:val="0"/>
        <w:ind w:left="2160" w:right="850" w:hanging="720"/>
        <w:jc w:val="both"/>
        <w:rPr>
          <w:rFonts w:ascii="Times New Roman" w:hAnsi="Times New Roman" w:cs="Times New Roman"/>
          <w:sz w:val="24"/>
          <w:szCs w:val="24"/>
        </w:rPr>
      </w:pPr>
      <w:r w:rsidRPr="00A36E18">
        <w:rPr>
          <w:rFonts w:ascii="Times New Roman" w:hAnsi="Times New Roman" w:cs="Times New Roman"/>
          <w:sz w:val="24"/>
          <w:szCs w:val="24"/>
        </w:rPr>
        <w:tab/>
      </w:r>
    </w:p>
    <w:p w14:paraId="09453231" w14:textId="77777777" w:rsidR="00AA72A6" w:rsidRDefault="00AA72A6" w:rsidP="00AA72A6">
      <w:pPr>
        <w:pStyle w:val="BodyText"/>
        <w:kinsoku w:val="0"/>
        <w:overflowPunct w:val="0"/>
        <w:ind w:left="2160" w:hanging="720"/>
        <w:jc w:val="both"/>
        <w:rPr>
          <w:rFonts w:ascii="Times New Roman" w:hAnsi="Times New Roman" w:cs="Times New Roman"/>
          <w:b/>
          <w:bCs/>
          <w:sz w:val="24"/>
          <w:szCs w:val="24"/>
          <w:u w:val="single"/>
        </w:rPr>
      </w:pPr>
      <w:r w:rsidRPr="00A36E18">
        <w:rPr>
          <w:rFonts w:ascii="Times New Roman" w:hAnsi="Times New Roman" w:cs="Times New Roman"/>
          <w:sz w:val="24"/>
          <w:szCs w:val="24"/>
        </w:rPr>
        <w:t>15.</w:t>
      </w:r>
      <w:r w:rsidRPr="00A36E18">
        <w:rPr>
          <w:rFonts w:ascii="Times New Roman" w:hAnsi="Times New Roman" w:cs="Times New Roman"/>
          <w:sz w:val="24"/>
          <w:szCs w:val="24"/>
        </w:rPr>
        <w:tab/>
      </w:r>
      <w:r w:rsidRPr="00A36E18">
        <w:rPr>
          <w:rFonts w:ascii="Times New Roman" w:hAnsi="Times New Roman" w:cs="Times New Roman"/>
          <w:b/>
          <w:bCs/>
          <w:sz w:val="24"/>
          <w:szCs w:val="24"/>
          <w:u w:val="single"/>
        </w:rPr>
        <w:t>ONLY CONTRACT:</w:t>
      </w:r>
    </w:p>
    <w:p w14:paraId="3EA349F5" w14:textId="77777777" w:rsidR="00AA72A6" w:rsidRPr="00A36E18" w:rsidRDefault="00AA72A6" w:rsidP="00AA72A6">
      <w:pPr>
        <w:pStyle w:val="BodyText"/>
        <w:kinsoku w:val="0"/>
        <w:overflowPunct w:val="0"/>
        <w:ind w:left="2160" w:hanging="720"/>
        <w:jc w:val="both"/>
        <w:rPr>
          <w:rFonts w:ascii="Times New Roman" w:hAnsi="Times New Roman" w:cs="Times New Roman"/>
          <w:b/>
          <w:bCs/>
          <w:sz w:val="24"/>
          <w:szCs w:val="24"/>
          <w:u w:val="single"/>
        </w:rPr>
      </w:pPr>
    </w:p>
    <w:p w14:paraId="569FA65E" w14:textId="3EF82B4C" w:rsidR="000252CB" w:rsidRDefault="00AA72A6" w:rsidP="006542F9">
      <w:pPr>
        <w:pStyle w:val="BodyText"/>
        <w:kinsoku w:val="0"/>
        <w:overflowPunct w:val="0"/>
        <w:ind w:left="2160" w:right="850"/>
        <w:jc w:val="both"/>
        <w:rPr>
          <w:rFonts w:ascii="Times New Roman" w:hAnsi="Times New Roman" w:cs="Times New Roman"/>
          <w:sz w:val="24"/>
          <w:szCs w:val="24"/>
        </w:rPr>
      </w:pPr>
      <w:r w:rsidRPr="00A36E18">
        <w:rPr>
          <w:rFonts w:ascii="Times New Roman" w:hAnsi="Times New Roman" w:cs="Times New Roman"/>
          <w:sz w:val="24"/>
          <w:szCs w:val="24"/>
        </w:rPr>
        <w:t>The parties to this agreement will only be governed by this agreement and no other</w:t>
      </w:r>
      <w:r w:rsidR="0024472E">
        <w:rPr>
          <w:rFonts w:ascii="Times New Roman" w:hAnsi="Times New Roman" w:cs="Times New Roman"/>
          <w:sz w:val="24"/>
          <w:szCs w:val="24"/>
        </w:rPr>
        <w:t>.”</w:t>
      </w:r>
      <w:r w:rsidRPr="00A36E18">
        <w:rPr>
          <w:rFonts w:ascii="Times New Roman" w:hAnsi="Times New Roman" w:cs="Times New Roman"/>
          <w:sz w:val="24"/>
          <w:szCs w:val="24"/>
        </w:rPr>
        <w:t xml:space="preserve"> </w:t>
      </w:r>
    </w:p>
    <w:p w14:paraId="00F1B975" w14:textId="5EA126E8" w:rsidR="00AA72A6" w:rsidRDefault="00AA72A6" w:rsidP="00AA72A6">
      <w:pPr>
        <w:pStyle w:val="BodyText"/>
        <w:kinsoku w:val="0"/>
        <w:overflowPunct w:val="0"/>
        <w:ind w:left="2160"/>
        <w:jc w:val="both"/>
        <w:rPr>
          <w:rFonts w:ascii="Times New Roman" w:hAnsi="Times New Roman" w:cs="Times New Roman"/>
          <w:sz w:val="24"/>
          <w:szCs w:val="24"/>
        </w:rPr>
      </w:pPr>
    </w:p>
    <w:p w14:paraId="675E7C27" w14:textId="77777777" w:rsidR="00AA72A6" w:rsidRPr="00AA72A6" w:rsidRDefault="00AA72A6" w:rsidP="00AA72A6">
      <w:pPr>
        <w:pStyle w:val="BodyText"/>
        <w:kinsoku w:val="0"/>
        <w:overflowPunct w:val="0"/>
        <w:ind w:left="2160"/>
        <w:jc w:val="both"/>
        <w:rPr>
          <w:rFonts w:ascii="Times New Roman" w:hAnsi="Times New Roman" w:cs="Times New Roman"/>
          <w:sz w:val="24"/>
          <w:szCs w:val="24"/>
        </w:rPr>
      </w:pPr>
    </w:p>
    <w:p w14:paraId="2AF83470" w14:textId="2C2CCE5B" w:rsidR="000252CB" w:rsidRDefault="000252CB"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AA72A6">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Ha </w:t>
      </w:r>
      <w:proofErr w:type="spellStart"/>
      <w:r>
        <w:rPr>
          <w:rFonts w:ascii="Times New Roman" w:hAnsi="Times New Roman" w:cs="Times New Roman"/>
          <w:sz w:val="28"/>
          <w:szCs w:val="28"/>
        </w:rPr>
        <w:t>Seotsanyan</w:t>
      </w:r>
      <w:r w:rsidR="00406D28">
        <w:rPr>
          <w:rFonts w:ascii="Times New Roman" w:hAnsi="Times New Roman" w:cs="Times New Roman"/>
          <w:sz w:val="28"/>
          <w:szCs w:val="28"/>
        </w:rPr>
        <w:t>a</w:t>
      </w:r>
      <w:proofErr w:type="spellEnd"/>
      <w:r>
        <w:rPr>
          <w:rFonts w:ascii="Times New Roman" w:hAnsi="Times New Roman" w:cs="Times New Roman"/>
          <w:sz w:val="28"/>
          <w:szCs w:val="28"/>
        </w:rPr>
        <w:t xml:space="preserve"> took occupation of the premises</w:t>
      </w:r>
      <w:r w:rsidR="001A37DC">
        <w:rPr>
          <w:rFonts w:ascii="Times New Roman" w:hAnsi="Times New Roman" w:cs="Times New Roman"/>
          <w:sz w:val="28"/>
          <w:szCs w:val="28"/>
        </w:rPr>
        <w:t xml:space="preserve"> in 2013</w:t>
      </w:r>
      <w:r w:rsidR="00AA72A6">
        <w:rPr>
          <w:rFonts w:ascii="Times New Roman" w:hAnsi="Times New Roman" w:cs="Times New Roman"/>
          <w:sz w:val="28"/>
          <w:szCs w:val="28"/>
        </w:rPr>
        <w:t>. F</w:t>
      </w:r>
      <w:r>
        <w:rPr>
          <w:rFonts w:ascii="Times New Roman" w:hAnsi="Times New Roman" w:cs="Times New Roman"/>
          <w:sz w:val="28"/>
          <w:szCs w:val="28"/>
        </w:rPr>
        <w:t xml:space="preserve">rom June to </w:t>
      </w:r>
      <w:proofErr w:type="gramStart"/>
      <w:r>
        <w:rPr>
          <w:rFonts w:ascii="Times New Roman" w:hAnsi="Times New Roman" w:cs="Times New Roman"/>
          <w:sz w:val="28"/>
          <w:szCs w:val="28"/>
        </w:rPr>
        <w:t>December 2013</w:t>
      </w:r>
      <w:proofErr w:type="gramEnd"/>
      <w:r>
        <w:rPr>
          <w:rFonts w:ascii="Times New Roman" w:hAnsi="Times New Roman" w:cs="Times New Roman"/>
          <w:sz w:val="28"/>
          <w:szCs w:val="28"/>
        </w:rPr>
        <w:t xml:space="preserve"> it developed Portion B of the premises by constructing a filling station, seven medium shops and office at the estimated costs of M3</w:t>
      </w:r>
      <w:r w:rsidR="00406D28">
        <w:rPr>
          <w:rFonts w:ascii="Times New Roman" w:hAnsi="Times New Roman" w:cs="Times New Roman"/>
          <w:sz w:val="28"/>
          <w:szCs w:val="28"/>
        </w:rPr>
        <w:t>.5 Million.</w:t>
      </w:r>
      <w:r>
        <w:rPr>
          <w:rFonts w:ascii="Times New Roman" w:hAnsi="Times New Roman" w:cs="Times New Roman"/>
          <w:sz w:val="28"/>
          <w:szCs w:val="28"/>
        </w:rPr>
        <w:t xml:space="preserve"> </w:t>
      </w:r>
      <w:r w:rsidR="001A37DC">
        <w:rPr>
          <w:rFonts w:ascii="Times New Roman" w:hAnsi="Times New Roman" w:cs="Times New Roman"/>
          <w:sz w:val="28"/>
          <w:szCs w:val="28"/>
        </w:rPr>
        <w:t xml:space="preserve">It runs the filling station and has </w:t>
      </w:r>
      <w:r>
        <w:rPr>
          <w:rFonts w:ascii="Times New Roman" w:hAnsi="Times New Roman" w:cs="Times New Roman"/>
          <w:sz w:val="28"/>
          <w:szCs w:val="28"/>
        </w:rPr>
        <w:t>seven tenants on the premises from whom it collects monthly rentals</w:t>
      </w:r>
      <w:r w:rsidR="007216E3">
        <w:rPr>
          <w:rFonts w:ascii="Times New Roman" w:hAnsi="Times New Roman" w:cs="Times New Roman"/>
          <w:sz w:val="28"/>
          <w:szCs w:val="28"/>
        </w:rPr>
        <w:t>. It in</w:t>
      </w:r>
      <w:r>
        <w:rPr>
          <w:rFonts w:ascii="Times New Roman" w:hAnsi="Times New Roman" w:cs="Times New Roman"/>
          <w:sz w:val="28"/>
          <w:szCs w:val="28"/>
        </w:rPr>
        <w:t xml:space="preserve"> turn pays its monthly rentals to the respondent as per the agreement.</w:t>
      </w:r>
    </w:p>
    <w:p w14:paraId="634DC0B5" w14:textId="38E6C3DC" w:rsidR="000252CB" w:rsidRDefault="000252CB" w:rsidP="00F81604">
      <w:pPr>
        <w:pStyle w:val="BodyText"/>
        <w:kinsoku w:val="0"/>
        <w:overflowPunct w:val="0"/>
        <w:spacing w:line="480" w:lineRule="auto"/>
        <w:ind w:left="0"/>
        <w:jc w:val="both"/>
        <w:rPr>
          <w:rFonts w:ascii="Times New Roman" w:hAnsi="Times New Roman" w:cs="Times New Roman"/>
          <w:sz w:val="28"/>
          <w:szCs w:val="28"/>
        </w:rPr>
      </w:pPr>
    </w:p>
    <w:p w14:paraId="0FCC875A" w14:textId="09854743" w:rsidR="000252CB" w:rsidRDefault="000252CB" w:rsidP="000252CB">
      <w:pPr>
        <w:pStyle w:val="BodyText"/>
        <w:kinsoku w:val="0"/>
        <w:overflowPunct w:val="0"/>
        <w:spacing w:line="480" w:lineRule="auto"/>
        <w:ind w:left="0"/>
        <w:jc w:val="both"/>
        <w:rPr>
          <w:rFonts w:ascii="Times New Roman" w:hAnsi="Times New Roman" w:cs="Times New Roman"/>
          <w:sz w:val="28"/>
          <w:szCs w:val="28"/>
        </w:rPr>
      </w:pPr>
      <w:r w:rsidRPr="00554D5D">
        <w:rPr>
          <w:rFonts w:ascii="Times New Roman" w:hAnsi="Times New Roman" w:cs="Times New Roman"/>
          <w:sz w:val="28"/>
          <w:szCs w:val="28"/>
        </w:rPr>
        <w:t>[</w:t>
      </w:r>
      <w:r w:rsidR="00AA72A6">
        <w:rPr>
          <w:rFonts w:ascii="Times New Roman" w:hAnsi="Times New Roman" w:cs="Times New Roman"/>
          <w:sz w:val="28"/>
          <w:szCs w:val="28"/>
        </w:rPr>
        <w:t>8</w:t>
      </w:r>
      <w:r w:rsidRPr="00554D5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406D28">
        <w:rPr>
          <w:rFonts w:ascii="Times New Roman" w:hAnsi="Times New Roman" w:cs="Times New Roman"/>
          <w:sz w:val="28"/>
          <w:szCs w:val="28"/>
        </w:rPr>
        <w:t xml:space="preserve">The trouble seems to have brewed in </w:t>
      </w:r>
      <w:r>
        <w:rPr>
          <w:rFonts w:ascii="Times New Roman" w:hAnsi="Times New Roman" w:cs="Times New Roman"/>
          <w:sz w:val="28"/>
          <w:szCs w:val="28"/>
        </w:rPr>
        <w:t xml:space="preserve">May 2021 </w:t>
      </w:r>
      <w:r w:rsidR="00406D28">
        <w:rPr>
          <w:rFonts w:ascii="Times New Roman" w:hAnsi="Times New Roman" w:cs="Times New Roman"/>
          <w:sz w:val="28"/>
          <w:szCs w:val="28"/>
        </w:rPr>
        <w:t xml:space="preserve">when management of </w:t>
      </w:r>
      <w:proofErr w:type="spellStart"/>
      <w:r w:rsidR="00406D28">
        <w:rPr>
          <w:rFonts w:ascii="Times New Roman" w:hAnsi="Times New Roman" w:cs="Times New Roman"/>
          <w:sz w:val="28"/>
          <w:szCs w:val="28"/>
        </w:rPr>
        <w:t>Litjotjela</w:t>
      </w:r>
      <w:proofErr w:type="spellEnd"/>
      <w:r w:rsidR="00406D28">
        <w:rPr>
          <w:rFonts w:ascii="Times New Roman" w:hAnsi="Times New Roman" w:cs="Times New Roman"/>
          <w:sz w:val="28"/>
          <w:szCs w:val="28"/>
        </w:rPr>
        <w:t xml:space="preserve"> changed and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became in charge of </w:t>
      </w:r>
      <w:r w:rsidR="00406D28">
        <w:rPr>
          <w:rFonts w:ascii="Times New Roman" w:hAnsi="Times New Roman" w:cs="Times New Roman"/>
          <w:sz w:val="28"/>
          <w:szCs w:val="28"/>
        </w:rPr>
        <w:t xml:space="preserve">its </w:t>
      </w:r>
      <w:r>
        <w:rPr>
          <w:rFonts w:ascii="Times New Roman" w:hAnsi="Times New Roman" w:cs="Times New Roman"/>
          <w:sz w:val="28"/>
          <w:szCs w:val="28"/>
        </w:rPr>
        <w:t>daily operations</w:t>
      </w:r>
      <w:r w:rsidR="00406D28">
        <w:rPr>
          <w:rFonts w:ascii="Times New Roman" w:hAnsi="Times New Roman" w:cs="Times New Roman"/>
          <w:sz w:val="28"/>
          <w:szCs w:val="28"/>
        </w:rPr>
        <w:t xml:space="preserve">. </w:t>
      </w:r>
      <w:r>
        <w:rPr>
          <w:rFonts w:ascii="Times New Roman" w:hAnsi="Times New Roman" w:cs="Times New Roman"/>
          <w:sz w:val="28"/>
          <w:szCs w:val="28"/>
        </w:rPr>
        <w:t xml:space="preserve">He reviewed the agreements between </w:t>
      </w:r>
      <w:proofErr w:type="spellStart"/>
      <w:r>
        <w:rPr>
          <w:rFonts w:ascii="Times New Roman" w:hAnsi="Times New Roman" w:cs="Times New Roman"/>
          <w:sz w:val="28"/>
          <w:szCs w:val="28"/>
        </w:rPr>
        <w:t>Litjotjela</w:t>
      </w:r>
      <w:proofErr w:type="spellEnd"/>
      <w:r>
        <w:rPr>
          <w:rFonts w:ascii="Times New Roman" w:hAnsi="Times New Roman" w:cs="Times New Roman"/>
          <w:sz w:val="28"/>
          <w:szCs w:val="28"/>
        </w:rPr>
        <w:t xml:space="preserve"> and its tenants. </w:t>
      </w:r>
      <w:r w:rsidR="00406D28">
        <w:rPr>
          <w:rFonts w:ascii="Times New Roman" w:hAnsi="Times New Roman" w:cs="Times New Roman"/>
          <w:sz w:val="28"/>
          <w:szCs w:val="28"/>
        </w:rPr>
        <w:t xml:space="preserve"> On 22</w:t>
      </w:r>
      <w:r w:rsidR="00406D28" w:rsidRPr="00406D28">
        <w:rPr>
          <w:rFonts w:ascii="Times New Roman" w:hAnsi="Times New Roman" w:cs="Times New Roman"/>
          <w:sz w:val="28"/>
          <w:szCs w:val="28"/>
          <w:vertAlign w:val="superscript"/>
        </w:rPr>
        <w:t>nd</w:t>
      </w:r>
      <w:r w:rsidR="00406D28">
        <w:rPr>
          <w:rFonts w:ascii="Times New Roman" w:hAnsi="Times New Roman" w:cs="Times New Roman"/>
          <w:sz w:val="28"/>
          <w:szCs w:val="28"/>
        </w:rPr>
        <w:t xml:space="preserve"> June 2021 he wrote a letter to Suleman requesting the current agreement in respect of the premises that Ha </w:t>
      </w:r>
      <w:proofErr w:type="spellStart"/>
      <w:r w:rsidR="00406D28">
        <w:rPr>
          <w:rFonts w:ascii="Times New Roman" w:hAnsi="Times New Roman" w:cs="Times New Roman"/>
          <w:sz w:val="28"/>
          <w:szCs w:val="28"/>
        </w:rPr>
        <w:t>Seotsanyana</w:t>
      </w:r>
      <w:proofErr w:type="spellEnd"/>
      <w:r w:rsidR="00406D28">
        <w:rPr>
          <w:rFonts w:ascii="Times New Roman" w:hAnsi="Times New Roman" w:cs="Times New Roman"/>
          <w:sz w:val="28"/>
          <w:szCs w:val="28"/>
        </w:rPr>
        <w:t xml:space="preserve"> was occupying.  This was f</w:t>
      </w:r>
      <w:r w:rsidR="004F712F">
        <w:rPr>
          <w:rFonts w:ascii="Times New Roman" w:hAnsi="Times New Roman" w:cs="Times New Roman"/>
          <w:sz w:val="28"/>
          <w:szCs w:val="28"/>
        </w:rPr>
        <w:t xml:space="preserve">ollowing his discovery that </w:t>
      </w:r>
      <w:r>
        <w:rPr>
          <w:rFonts w:ascii="Times New Roman" w:hAnsi="Times New Roman" w:cs="Times New Roman"/>
          <w:sz w:val="28"/>
          <w:szCs w:val="28"/>
        </w:rPr>
        <w:t xml:space="preserve">of the 18 tenants, 15, including Ha </w:t>
      </w:r>
      <w:proofErr w:type="spellStart"/>
      <w:r>
        <w:rPr>
          <w:rFonts w:ascii="Times New Roman" w:hAnsi="Times New Roman" w:cs="Times New Roman"/>
          <w:sz w:val="28"/>
          <w:szCs w:val="28"/>
        </w:rPr>
        <w:t>Seotsanyana</w:t>
      </w:r>
      <w:proofErr w:type="spellEnd"/>
      <w:r>
        <w:rPr>
          <w:rFonts w:ascii="Times New Roman" w:hAnsi="Times New Roman" w:cs="Times New Roman"/>
          <w:sz w:val="28"/>
          <w:szCs w:val="28"/>
        </w:rPr>
        <w:t>, did not have current agreements</w:t>
      </w:r>
      <w:r w:rsidR="00406D28">
        <w:rPr>
          <w:rFonts w:ascii="Times New Roman" w:hAnsi="Times New Roman" w:cs="Times New Roman"/>
          <w:sz w:val="28"/>
          <w:szCs w:val="28"/>
        </w:rPr>
        <w:t xml:space="preserve">. </w:t>
      </w:r>
      <w:r>
        <w:rPr>
          <w:rFonts w:ascii="Times New Roman" w:hAnsi="Times New Roman" w:cs="Times New Roman"/>
          <w:sz w:val="28"/>
          <w:szCs w:val="28"/>
        </w:rPr>
        <w:t xml:space="preserve">I reproduce the relevant parts of the letter below: </w:t>
      </w:r>
    </w:p>
    <w:p w14:paraId="34713D58" w14:textId="77777777" w:rsidR="000252CB" w:rsidRPr="00EF635A" w:rsidRDefault="000252CB" w:rsidP="000252CB">
      <w:pPr>
        <w:pStyle w:val="BodyText"/>
        <w:kinsoku w:val="0"/>
        <w:overflowPunct w:val="0"/>
        <w:ind w:left="720" w:firstLine="720"/>
        <w:jc w:val="both"/>
        <w:rPr>
          <w:rFonts w:ascii="Times New Roman" w:hAnsi="Times New Roman" w:cs="Times New Roman"/>
          <w:b/>
          <w:bCs/>
          <w:sz w:val="24"/>
          <w:szCs w:val="24"/>
        </w:rPr>
      </w:pPr>
      <w:r w:rsidRPr="00EF635A">
        <w:rPr>
          <w:rFonts w:ascii="Times New Roman" w:hAnsi="Times New Roman" w:cs="Times New Roman"/>
          <w:sz w:val="24"/>
          <w:szCs w:val="24"/>
        </w:rPr>
        <w:t>“</w:t>
      </w:r>
      <w:r w:rsidRPr="00EF635A">
        <w:rPr>
          <w:rFonts w:ascii="Times New Roman" w:hAnsi="Times New Roman" w:cs="Times New Roman"/>
          <w:b/>
          <w:bCs/>
          <w:sz w:val="24"/>
          <w:szCs w:val="24"/>
        </w:rPr>
        <w:t>Re:</w:t>
      </w:r>
      <w:r w:rsidRPr="00EF635A">
        <w:rPr>
          <w:rFonts w:ascii="Times New Roman" w:hAnsi="Times New Roman" w:cs="Times New Roman"/>
          <w:b/>
          <w:bCs/>
          <w:sz w:val="24"/>
          <w:szCs w:val="24"/>
        </w:rPr>
        <w:tab/>
        <w:t xml:space="preserve">Lease on Premises at </w:t>
      </w:r>
      <w:proofErr w:type="spellStart"/>
      <w:r w:rsidRPr="00EF635A">
        <w:rPr>
          <w:rFonts w:ascii="Times New Roman" w:hAnsi="Times New Roman" w:cs="Times New Roman"/>
          <w:b/>
          <w:bCs/>
          <w:sz w:val="24"/>
          <w:szCs w:val="24"/>
        </w:rPr>
        <w:t>Litjotjela</w:t>
      </w:r>
      <w:proofErr w:type="spellEnd"/>
      <w:r w:rsidRPr="00EF635A">
        <w:rPr>
          <w:rFonts w:ascii="Times New Roman" w:hAnsi="Times New Roman" w:cs="Times New Roman"/>
          <w:b/>
          <w:bCs/>
          <w:sz w:val="24"/>
          <w:szCs w:val="24"/>
        </w:rPr>
        <w:t xml:space="preserve"> Mall Maputsoe</w:t>
      </w:r>
    </w:p>
    <w:p w14:paraId="774B34E7" w14:textId="77777777" w:rsidR="000252CB" w:rsidRPr="00EF635A" w:rsidRDefault="000252CB" w:rsidP="000252CB">
      <w:pPr>
        <w:pStyle w:val="BodyText"/>
        <w:kinsoku w:val="0"/>
        <w:overflowPunct w:val="0"/>
        <w:ind w:left="0"/>
        <w:jc w:val="both"/>
        <w:rPr>
          <w:rFonts w:ascii="Times New Roman" w:hAnsi="Times New Roman" w:cs="Times New Roman"/>
          <w:sz w:val="24"/>
          <w:szCs w:val="24"/>
        </w:rPr>
      </w:pPr>
    </w:p>
    <w:p w14:paraId="1B397D41"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r w:rsidRPr="00EF635A">
        <w:rPr>
          <w:rFonts w:ascii="Times New Roman" w:hAnsi="Times New Roman" w:cs="Times New Roman"/>
          <w:sz w:val="24"/>
          <w:szCs w:val="24"/>
        </w:rPr>
        <w:t xml:space="preserve">On the </w:t>
      </w:r>
      <w:proofErr w:type="gramStart"/>
      <w:r w:rsidRPr="00EF635A">
        <w:rPr>
          <w:rFonts w:ascii="Times New Roman" w:hAnsi="Times New Roman" w:cs="Times New Roman"/>
          <w:sz w:val="24"/>
          <w:szCs w:val="24"/>
        </w:rPr>
        <w:t>4</w:t>
      </w:r>
      <w:r w:rsidRPr="00EF635A">
        <w:rPr>
          <w:rFonts w:ascii="Times New Roman" w:hAnsi="Times New Roman" w:cs="Times New Roman"/>
          <w:sz w:val="24"/>
          <w:szCs w:val="24"/>
          <w:vertAlign w:val="superscript"/>
        </w:rPr>
        <w:t>th</w:t>
      </w:r>
      <w:proofErr w:type="gramEnd"/>
      <w:r w:rsidRPr="00EF635A">
        <w:rPr>
          <w:rFonts w:ascii="Times New Roman" w:hAnsi="Times New Roman" w:cs="Times New Roman"/>
          <w:sz w:val="24"/>
          <w:szCs w:val="24"/>
        </w:rPr>
        <w:t xml:space="preserve"> June 2021</w:t>
      </w:r>
      <w:r>
        <w:rPr>
          <w:rFonts w:ascii="Times New Roman" w:hAnsi="Times New Roman" w:cs="Times New Roman"/>
          <w:sz w:val="24"/>
          <w:szCs w:val="24"/>
        </w:rPr>
        <w:t xml:space="preserve"> we delivered a letter to you where we made you aware that </w:t>
      </w:r>
      <w:proofErr w:type="spellStart"/>
      <w:r>
        <w:rPr>
          <w:rFonts w:ascii="Times New Roman" w:hAnsi="Times New Roman" w:cs="Times New Roman"/>
          <w:sz w:val="24"/>
          <w:szCs w:val="24"/>
        </w:rPr>
        <w:t>Litjotjela</w:t>
      </w:r>
      <w:proofErr w:type="spellEnd"/>
      <w:r>
        <w:rPr>
          <w:rFonts w:ascii="Times New Roman" w:hAnsi="Times New Roman" w:cs="Times New Roman"/>
          <w:sz w:val="24"/>
          <w:szCs w:val="24"/>
        </w:rPr>
        <w:t xml:space="preserve"> Mall Pty Ltd is now under new management.</w:t>
      </w:r>
    </w:p>
    <w:p w14:paraId="0786D97E"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p>
    <w:p w14:paraId="5B527710"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 xml:space="preserve">During a recent review of our tenant </w:t>
      </w: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we were unable to locate a current agreement between yourself and </w:t>
      </w:r>
      <w:proofErr w:type="spellStart"/>
      <w:r>
        <w:rPr>
          <w:rFonts w:ascii="Times New Roman" w:hAnsi="Times New Roman" w:cs="Times New Roman"/>
          <w:sz w:val="24"/>
          <w:szCs w:val="24"/>
        </w:rPr>
        <w:t>Litjotjela</w:t>
      </w:r>
      <w:proofErr w:type="spellEnd"/>
      <w:r>
        <w:rPr>
          <w:rFonts w:ascii="Times New Roman" w:hAnsi="Times New Roman" w:cs="Times New Roman"/>
          <w:sz w:val="24"/>
          <w:szCs w:val="24"/>
        </w:rPr>
        <w:t xml:space="preserve"> Mall for the location you presently occupy.  If such an agreement does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could you kindly make it available to us for the purposes of updating our records.  If such </w:t>
      </w:r>
      <w:r>
        <w:rPr>
          <w:rFonts w:ascii="Times New Roman" w:hAnsi="Times New Roman" w:cs="Times New Roman"/>
          <w:sz w:val="24"/>
          <w:szCs w:val="24"/>
        </w:rPr>
        <w:lastRenderedPageBreak/>
        <w:t xml:space="preserve">an agreement does not exist, then as per the terms of the previous agreement which lapsed in 2018 your tenure is now on a </w:t>
      </w:r>
      <w:proofErr w:type="gramStart"/>
      <w:r>
        <w:rPr>
          <w:rFonts w:ascii="Times New Roman" w:hAnsi="Times New Roman" w:cs="Times New Roman"/>
          <w:sz w:val="24"/>
          <w:szCs w:val="24"/>
        </w:rPr>
        <w:t>month to month</w:t>
      </w:r>
      <w:proofErr w:type="gramEnd"/>
      <w:r>
        <w:rPr>
          <w:rFonts w:ascii="Times New Roman" w:hAnsi="Times New Roman" w:cs="Times New Roman"/>
          <w:sz w:val="24"/>
          <w:szCs w:val="24"/>
        </w:rPr>
        <w:t xml:space="preserve"> basis and we are liberty to make potential tenants aware of the availability of the location.</w:t>
      </w:r>
    </w:p>
    <w:p w14:paraId="05AE74D0"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p>
    <w:p w14:paraId="10C3F46E" w14:textId="3ABF778B" w:rsidR="000252CB" w:rsidRDefault="000252CB" w:rsidP="008D23E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We would appreciate if you could make it</w:t>
      </w:r>
      <w:r w:rsidR="005072B0">
        <w:rPr>
          <w:rFonts w:ascii="Times New Roman" w:hAnsi="Times New Roman" w:cs="Times New Roman"/>
          <w:sz w:val="24"/>
          <w:szCs w:val="24"/>
        </w:rPr>
        <w:t xml:space="preserve"> </w:t>
      </w:r>
      <w:r w:rsidR="005072B0" w:rsidRPr="00D54234">
        <w:rPr>
          <w:rFonts w:ascii="Times New Roman" w:hAnsi="Times New Roman" w:cs="Times New Roman"/>
          <w:i/>
          <w:iCs/>
          <w:sz w:val="24"/>
          <w:szCs w:val="24"/>
        </w:rPr>
        <w:t>(sic)</w:t>
      </w:r>
      <w:r>
        <w:rPr>
          <w:rFonts w:ascii="Times New Roman" w:hAnsi="Times New Roman" w:cs="Times New Roman"/>
          <w:sz w:val="24"/>
          <w:szCs w:val="24"/>
        </w:rPr>
        <w:t xml:space="preserve"> the contract available to us before close of business on Friday 25 June 2021.</w:t>
      </w:r>
    </w:p>
    <w:p w14:paraId="4884E186"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p>
    <w:p w14:paraId="2CCCA90C"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We consider you prized and valued tenant and look forward to continuing a mutually beneficial relationship.</w:t>
      </w:r>
    </w:p>
    <w:p w14:paraId="427E0342" w14:textId="77777777" w:rsidR="000252CB" w:rsidRDefault="000252CB" w:rsidP="008D23E2">
      <w:pPr>
        <w:pStyle w:val="BodyText"/>
        <w:kinsoku w:val="0"/>
        <w:overflowPunct w:val="0"/>
        <w:ind w:left="1440" w:right="850"/>
        <w:jc w:val="both"/>
        <w:rPr>
          <w:rFonts w:ascii="Times New Roman" w:hAnsi="Times New Roman" w:cs="Times New Roman"/>
          <w:sz w:val="24"/>
          <w:szCs w:val="24"/>
        </w:rPr>
      </w:pPr>
    </w:p>
    <w:p w14:paraId="49F52682" w14:textId="3110E39B" w:rsidR="000252CB" w:rsidRDefault="000252CB" w:rsidP="008D23E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I look forward to your response.</w:t>
      </w:r>
      <w:r w:rsidR="007216E3">
        <w:rPr>
          <w:rFonts w:ascii="Times New Roman" w:hAnsi="Times New Roman" w:cs="Times New Roman"/>
          <w:sz w:val="24"/>
          <w:szCs w:val="24"/>
        </w:rPr>
        <w:t>”</w:t>
      </w:r>
    </w:p>
    <w:p w14:paraId="5CD3162D" w14:textId="77777777" w:rsidR="000252CB" w:rsidRDefault="000252CB" w:rsidP="000252CB">
      <w:pPr>
        <w:pStyle w:val="BodyText"/>
        <w:kinsoku w:val="0"/>
        <w:overflowPunct w:val="0"/>
        <w:spacing w:line="480" w:lineRule="auto"/>
        <w:ind w:left="0"/>
        <w:jc w:val="both"/>
        <w:rPr>
          <w:rFonts w:ascii="Times New Roman" w:hAnsi="Times New Roman" w:cs="Times New Roman"/>
          <w:sz w:val="28"/>
          <w:szCs w:val="28"/>
        </w:rPr>
      </w:pPr>
    </w:p>
    <w:p w14:paraId="7FDE7D06" w14:textId="72D77A31" w:rsidR="000252CB" w:rsidRPr="0085085A" w:rsidRDefault="000252CB" w:rsidP="000252C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AA72A6">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Suleman subsequently provided </w:t>
      </w:r>
      <w:proofErr w:type="spellStart"/>
      <w:r>
        <w:rPr>
          <w:rFonts w:ascii="Times New Roman" w:hAnsi="Times New Roman" w:cs="Times New Roman"/>
          <w:sz w:val="28"/>
          <w:szCs w:val="28"/>
        </w:rPr>
        <w:t>Molapo</w:t>
      </w:r>
      <w:proofErr w:type="spellEnd"/>
      <w:r w:rsidR="00406D28">
        <w:rPr>
          <w:rFonts w:ascii="Times New Roman" w:hAnsi="Times New Roman" w:cs="Times New Roman"/>
          <w:sz w:val="28"/>
          <w:szCs w:val="28"/>
        </w:rPr>
        <w:t xml:space="preserve"> </w:t>
      </w:r>
      <w:r>
        <w:rPr>
          <w:rFonts w:ascii="Times New Roman" w:hAnsi="Times New Roman" w:cs="Times New Roman"/>
          <w:sz w:val="28"/>
          <w:szCs w:val="28"/>
        </w:rPr>
        <w:t>a copy of the agreement</w:t>
      </w:r>
      <w:r w:rsidR="004F712F">
        <w:rPr>
          <w:rFonts w:ascii="Times New Roman" w:hAnsi="Times New Roman" w:cs="Times New Roman"/>
          <w:sz w:val="28"/>
          <w:szCs w:val="28"/>
        </w:rPr>
        <w:t xml:space="preserve">.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reacted with the impugned letter dated the </w:t>
      </w:r>
      <w:proofErr w:type="gramStart"/>
      <w:r>
        <w:rPr>
          <w:rFonts w:ascii="Times New Roman" w:hAnsi="Times New Roman" w:cs="Times New Roman"/>
          <w:sz w:val="28"/>
          <w:szCs w:val="28"/>
        </w:rPr>
        <w:t>29</w:t>
      </w:r>
      <w:r w:rsidRPr="00CD139C">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June 2021 categorically querying the copy on the ground that the d</w:t>
      </w:r>
      <w:r w:rsidR="0063361C">
        <w:rPr>
          <w:rFonts w:ascii="Times New Roman" w:hAnsi="Times New Roman" w:cs="Times New Roman"/>
          <w:sz w:val="28"/>
          <w:szCs w:val="28"/>
        </w:rPr>
        <w:t>ocument</w:t>
      </w:r>
      <w:r>
        <w:rPr>
          <w:rFonts w:ascii="Times New Roman" w:hAnsi="Times New Roman" w:cs="Times New Roman"/>
          <w:sz w:val="28"/>
          <w:szCs w:val="28"/>
        </w:rPr>
        <w:t xml:space="preserve"> was altered. The letter</w:t>
      </w:r>
      <w:r w:rsidR="007216E3">
        <w:rPr>
          <w:rFonts w:ascii="Times New Roman" w:hAnsi="Times New Roman" w:cs="Times New Roman"/>
          <w:sz w:val="28"/>
          <w:szCs w:val="28"/>
        </w:rPr>
        <w:t xml:space="preserve"> reads</w:t>
      </w:r>
      <w:r>
        <w:rPr>
          <w:rFonts w:ascii="Times New Roman" w:hAnsi="Times New Roman" w:cs="Times New Roman"/>
          <w:sz w:val="28"/>
          <w:szCs w:val="28"/>
        </w:rPr>
        <w:t xml:space="preserve"> as follows: </w:t>
      </w:r>
    </w:p>
    <w:p w14:paraId="156F500F" w14:textId="77777777" w:rsidR="000252CB" w:rsidRPr="00CD139C" w:rsidRDefault="000252CB" w:rsidP="000252CB">
      <w:pPr>
        <w:pStyle w:val="BodyText"/>
        <w:kinsoku w:val="0"/>
        <w:overflowPunct w:val="0"/>
        <w:spacing w:line="480" w:lineRule="auto"/>
        <w:ind w:left="0"/>
        <w:jc w:val="both"/>
        <w:rPr>
          <w:rFonts w:ascii="Times New Roman" w:hAnsi="Times New Roman" w:cs="Times New Roman"/>
          <w:b/>
          <w:bCs/>
          <w:sz w:val="24"/>
          <w:szCs w:val="24"/>
        </w:rPr>
      </w:pPr>
      <w:r w:rsidRPr="00CD139C">
        <w:rPr>
          <w:rFonts w:ascii="Times New Roman" w:hAnsi="Times New Roman" w:cs="Times New Roman"/>
          <w:sz w:val="24"/>
          <w:szCs w:val="24"/>
        </w:rPr>
        <w:tab/>
      </w:r>
      <w:r w:rsidRPr="00CD139C">
        <w:rPr>
          <w:rFonts w:ascii="Times New Roman" w:hAnsi="Times New Roman" w:cs="Times New Roman"/>
          <w:sz w:val="24"/>
          <w:szCs w:val="24"/>
        </w:rPr>
        <w:tab/>
      </w:r>
      <w:r w:rsidRPr="00CD139C">
        <w:rPr>
          <w:rFonts w:ascii="Times New Roman" w:hAnsi="Times New Roman" w:cs="Times New Roman"/>
          <w:b/>
          <w:bCs/>
          <w:sz w:val="24"/>
          <w:szCs w:val="24"/>
        </w:rPr>
        <w:t>“Re:</w:t>
      </w:r>
      <w:r w:rsidRPr="00CD139C">
        <w:rPr>
          <w:rFonts w:ascii="Times New Roman" w:hAnsi="Times New Roman" w:cs="Times New Roman"/>
          <w:b/>
          <w:bCs/>
          <w:sz w:val="24"/>
          <w:szCs w:val="24"/>
        </w:rPr>
        <w:tab/>
        <w:t xml:space="preserve"> Notice of Termination of Sub Lease Agreement   </w:t>
      </w:r>
    </w:p>
    <w:p w14:paraId="6A5F131B" w14:textId="77777777" w:rsidR="000252CB" w:rsidRPr="00CD139C" w:rsidRDefault="000252CB" w:rsidP="000252CB">
      <w:pPr>
        <w:pStyle w:val="BodyText"/>
        <w:kinsoku w:val="0"/>
        <w:overflowPunct w:val="0"/>
        <w:spacing w:line="480" w:lineRule="auto"/>
        <w:ind w:left="0"/>
        <w:jc w:val="both"/>
        <w:rPr>
          <w:rFonts w:ascii="Times New Roman" w:hAnsi="Times New Roman" w:cs="Times New Roman"/>
          <w:b/>
          <w:bCs/>
          <w:sz w:val="24"/>
          <w:szCs w:val="24"/>
        </w:rPr>
      </w:pPr>
    </w:p>
    <w:p w14:paraId="5C6CF3D5" w14:textId="77777777" w:rsidR="000252CB" w:rsidRPr="00CD139C" w:rsidRDefault="000252CB" w:rsidP="000252CB">
      <w:pPr>
        <w:pStyle w:val="BodyText"/>
        <w:kinsoku w:val="0"/>
        <w:overflowPunct w:val="0"/>
        <w:spacing w:line="480" w:lineRule="auto"/>
        <w:ind w:left="0"/>
        <w:jc w:val="both"/>
        <w:rPr>
          <w:rFonts w:ascii="Times New Roman" w:hAnsi="Times New Roman" w:cs="Times New Roman"/>
          <w:sz w:val="24"/>
          <w:szCs w:val="24"/>
        </w:rPr>
      </w:pPr>
      <w:r w:rsidRPr="00CD139C">
        <w:rPr>
          <w:rFonts w:ascii="Times New Roman" w:hAnsi="Times New Roman" w:cs="Times New Roman"/>
          <w:b/>
          <w:bCs/>
          <w:sz w:val="24"/>
          <w:szCs w:val="24"/>
        </w:rPr>
        <w:tab/>
      </w:r>
      <w:r w:rsidRPr="00CD139C">
        <w:rPr>
          <w:rFonts w:ascii="Times New Roman" w:hAnsi="Times New Roman" w:cs="Times New Roman"/>
          <w:b/>
          <w:bCs/>
          <w:sz w:val="24"/>
          <w:szCs w:val="24"/>
        </w:rPr>
        <w:tab/>
      </w:r>
      <w:r w:rsidRPr="00CD139C">
        <w:rPr>
          <w:rFonts w:ascii="Times New Roman" w:hAnsi="Times New Roman" w:cs="Times New Roman"/>
          <w:sz w:val="24"/>
          <w:szCs w:val="24"/>
        </w:rPr>
        <w:t>Dear Sir</w:t>
      </w:r>
    </w:p>
    <w:p w14:paraId="5AD32A56" w14:textId="2A3EEF17" w:rsidR="000252CB" w:rsidRDefault="000252CB" w:rsidP="00191782">
      <w:pPr>
        <w:pStyle w:val="BodyText"/>
        <w:kinsoku w:val="0"/>
        <w:overflowPunct w:val="0"/>
        <w:ind w:left="1440" w:right="850"/>
        <w:jc w:val="both"/>
        <w:rPr>
          <w:rFonts w:ascii="Times New Roman" w:hAnsi="Times New Roman" w:cs="Times New Roman"/>
          <w:sz w:val="24"/>
          <w:szCs w:val="24"/>
        </w:rPr>
      </w:pPr>
      <w:r w:rsidRPr="00CD139C">
        <w:rPr>
          <w:rFonts w:ascii="Times New Roman" w:hAnsi="Times New Roman" w:cs="Times New Roman"/>
          <w:sz w:val="24"/>
          <w:szCs w:val="24"/>
        </w:rPr>
        <w:t xml:space="preserve">In my letter of the 22 June 2021, </w:t>
      </w:r>
      <w:r>
        <w:rPr>
          <w:rFonts w:ascii="Times New Roman" w:hAnsi="Times New Roman" w:cs="Times New Roman"/>
          <w:sz w:val="24"/>
          <w:szCs w:val="24"/>
        </w:rPr>
        <w:t xml:space="preserve">I requested that you make available to us a copy of the </w:t>
      </w:r>
      <w:r w:rsidRPr="00CD139C">
        <w:rPr>
          <w:rFonts w:ascii="Times New Roman" w:hAnsi="Times New Roman" w:cs="Times New Roman"/>
          <w:b/>
          <w:bCs/>
          <w:i/>
          <w:iCs/>
          <w:sz w:val="24"/>
          <w:szCs w:val="24"/>
        </w:rPr>
        <w:t>current</w:t>
      </w:r>
      <w:r>
        <w:rPr>
          <w:rFonts w:ascii="Times New Roman" w:hAnsi="Times New Roman" w:cs="Times New Roman"/>
          <w:sz w:val="24"/>
          <w:szCs w:val="24"/>
        </w:rPr>
        <w:t xml:space="preserve"> agreement </w:t>
      </w:r>
      <w:r w:rsidR="00144F2F">
        <w:rPr>
          <w:rFonts w:ascii="Times New Roman" w:hAnsi="Times New Roman" w:cs="Times New Roman"/>
          <w:sz w:val="24"/>
          <w:szCs w:val="24"/>
        </w:rPr>
        <w:t>between yourselves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Litjotjela</w:t>
      </w:r>
      <w:proofErr w:type="spellEnd"/>
      <w:r>
        <w:rPr>
          <w:rFonts w:ascii="Times New Roman" w:hAnsi="Times New Roman" w:cs="Times New Roman"/>
          <w:sz w:val="24"/>
          <w:szCs w:val="24"/>
        </w:rPr>
        <w:t xml:space="preserve"> Mall for the property you are presently sub-leasing from us.  The document that you delivered to our offices on the 23 June 2021 has been altered from its agreed and original form and therefore does not constitute a binding or legal agreement between our two parties.</w:t>
      </w:r>
    </w:p>
    <w:p w14:paraId="720C1E06" w14:textId="77777777" w:rsidR="000252CB" w:rsidRDefault="000252CB" w:rsidP="00191782">
      <w:pPr>
        <w:pStyle w:val="BodyText"/>
        <w:kinsoku w:val="0"/>
        <w:overflowPunct w:val="0"/>
        <w:spacing w:line="480" w:lineRule="auto"/>
        <w:ind w:left="1440" w:right="850"/>
        <w:jc w:val="both"/>
        <w:rPr>
          <w:rFonts w:ascii="Times New Roman" w:hAnsi="Times New Roman" w:cs="Times New Roman"/>
          <w:sz w:val="24"/>
          <w:szCs w:val="24"/>
        </w:rPr>
      </w:pPr>
    </w:p>
    <w:p w14:paraId="55E8C4E3" w14:textId="77777777" w:rsidR="000252CB" w:rsidRDefault="000252CB" w:rsidP="0019178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I had expected that, based on our previous communication, in the absence of a current and valid agreement you would have come forward to discuss a possible new agreement.  The decision to alter the old contract is most unfortunate and a clear breach of trust.</w:t>
      </w:r>
    </w:p>
    <w:p w14:paraId="5DD62A48" w14:textId="77777777" w:rsidR="000252CB" w:rsidRDefault="000252CB" w:rsidP="00191782">
      <w:pPr>
        <w:pStyle w:val="BodyText"/>
        <w:kinsoku w:val="0"/>
        <w:overflowPunct w:val="0"/>
        <w:ind w:left="1440" w:right="850"/>
        <w:jc w:val="both"/>
        <w:rPr>
          <w:rFonts w:ascii="Times New Roman" w:hAnsi="Times New Roman" w:cs="Times New Roman"/>
          <w:sz w:val="24"/>
          <w:szCs w:val="24"/>
        </w:rPr>
      </w:pPr>
    </w:p>
    <w:p w14:paraId="7C20E29F" w14:textId="77777777" w:rsidR="000252CB" w:rsidRDefault="000252CB" w:rsidP="0019178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 xml:space="preserve">I therefore wish to formally notify you that at present there is no agreement between us and that we have resolved as per Section 2.3 to not extend the 01 June 2013 agreement.  As such we are now operating on a month-to-month basis and status can be determined on 3 months’ written notice by either party. </w:t>
      </w:r>
    </w:p>
    <w:p w14:paraId="14A2DF22" w14:textId="77777777" w:rsidR="000252CB" w:rsidRDefault="000252CB" w:rsidP="00191782">
      <w:pPr>
        <w:pStyle w:val="BodyText"/>
        <w:kinsoku w:val="0"/>
        <w:overflowPunct w:val="0"/>
        <w:ind w:left="1440" w:right="850"/>
        <w:jc w:val="both"/>
        <w:rPr>
          <w:rFonts w:ascii="Times New Roman" w:hAnsi="Times New Roman" w:cs="Times New Roman"/>
          <w:sz w:val="24"/>
          <w:szCs w:val="24"/>
        </w:rPr>
      </w:pPr>
    </w:p>
    <w:p w14:paraId="4756C815" w14:textId="236862E1" w:rsidR="000252CB" w:rsidRDefault="000252CB" w:rsidP="0019178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 xml:space="preserve">Commencing the </w:t>
      </w:r>
      <w:r w:rsidR="001C444B">
        <w:rPr>
          <w:rFonts w:ascii="Times New Roman" w:hAnsi="Times New Roman" w:cs="Times New Roman"/>
          <w:sz w:val="24"/>
          <w:szCs w:val="24"/>
        </w:rPr>
        <w:t>15 July 2021,</w:t>
      </w:r>
      <w:r>
        <w:rPr>
          <w:rFonts w:ascii="Times New Roman" w:hAnsi="Times New Roman" w:cs="Times New Roman"/>
          <w:sz w:val="24"/>
          <w:szCs w:val="24"/>
        </w:rPr>
        <w:t xml:space="preserve"> we intend to approach the sub</w:t>
      </w:r>
      <w:r w:rsidR="00375CFE">
        <w:rPr>
          <w:rFonts w:ascii="Times New Roman" w:hAnsi="Times New Roman" w:cs="Times New Roman"/>
          <w:sz w:val="24"/>
          <w:szCs w:val="24"/>
        </w:rPr>
        <w:t>-</w:t>
      </w:r>
      <w:r>
        <w:rPr>
          <w:rFonts w:ascii="Times New Roman" w:hAnsi="Times New Roman" w:cs="Times New Roman"/>
          <w:sz w:val="24"/>
          <w:szCs w:val="24"/>
        </w:rPr>
        <w:t xml:space="preserve">lessees (the </w:t>
      </w:r>
      <w:r>
        <w:rPr>
          <w:rFonts w:ascii="Times New Roman" w:hAnsi="Times New Roman" w:cs="Times New Roman"/>
          <w:sz w:val="24"/>
          <w:szCs w:val="24"/>
        </w:rPr>
        <w:lastRenderedPageBreak/>
        <w:t>tenants currently renting from you) for the purpose of ascertaining their future intentions and establishing new contractual arrangements with them if necessary.</w:t>
      </w:r>
    </w:p>
    <w:p w14:paraId="6746B853" w14:textId="77777777" w:rsidR="000252CB" w:rsidRDefault="000252CB" w:rsidP="00191782">
      <w:pPr>
        <w:pStyle w:val="BodyText"/>
        <w:kinsoku w:val="0"/>
        <w:overflowPunct w:val="0"/>
        <w:ind w:left="1440" w:right="850"/>
        <w:jc w:val="both"/>
        <w:rPr>
          <w:rFonts w:ascii="Times New Roman" w:hAnsi="Times New Roman" w:cs="Times New Roman"/>
          <w:sz w:val="24"/>
          <w:szCs w:val="24"/>
        </w:rPr>
      </w:pPr>
    </w:p>
    <w:p w14:paraId="1F1A3B2B" w14:textId="77777777" w:rsidR="000252CB" w:rsidRPr="00EF635A" w:rsidRDefault="000252CB" w:rsidP="00191782">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I trust you will find the above in order.”</w:t>
      </w:r>
    </w:p>
    <w:p w14:paraId="07F49C2D" w14:textId="77777777" w:rsidR="000252CB" w:rsidRPr="00554D5D" w:rsidRDefault="000252CB" w:rsidP="00191782">
      <w:pPr>
        <w:pStyle w:val="BodyText"/>
        <w:kinsoku w:val="0"/>
        <w:overflowPunct w:val="0"/>
        <w:spacing w:line="480" w:lineRule="auto"/>
        <w:ind w:left="0" w:right="850"/>
        <w:jc w:val="both"/>
        <w:rPr>
          <w:rFonts w:ascii="Times New Roman" w:hAnsi="Times New Roman" w:cs="Times New Roman"/>
          <w:sz w:val="28"/>
          <w:szCs w:val="28"/>
        </w:rPr>
      </w:pPr>
    </w:p>
    <w:p w14:paraId="7075D772" w14:textId="0055FCC5" w:rsidR="00A32688" w:rsidRDefault="004F712F" w:rsidP="00F81604">
      <w:pPr>
        <w:pStyle w:val="BodyText"/>
        <w:kinsoku w:val="0"/>
        <w:overflowPunct w:val="0"/>
        <w:spacing w:line="480" w:lineRule="auto"/>
        <w:ind w:left="0"/>
        <w:rPr>
          <w:rFonts w:ascii="Times New Roman" w:hAnsi="Times New Roman" w:cs="Times New Roman"/>
          <w:b/>
          <w:bCs/>
          <w:sz w:val="28"/>
          <w:szCs w:val="28"/>
          <w:u w:val="single"/>
        </w:rPr>
      </w:pPr>
      <w:r w:rsidRPr="004F712F">
        <w:rPr>
          <w:rFonts w:ascii="Times New Roman" w:hAnsi="Times New Roman" w:cs="Times New Roman"/>
          <w:b/>
          <w:bCs/>
          <w:sz w:val="28"/>
          <w:szCs w:val="28"/>
          <w:u w:val="single"/>
        </w:rPr>
        <w:t>THE NATURE OF THE DISPUTE:</w:t>
      </w:r>
    </w:p>
    <w:p w14:paraId="7DCEB39E" w14:textId="77777777" w:rsidR="00D07C7A" w:rsidRDefault="00D07C7A" w:rsidP="00F81604">
      <w:pPr>
        <w:pStyle w:val="BodyText"/>
        <w:kinsoku w:val="0"/>
        <w:overflowPunct w:val="0"/>
        <w:spacing w:line="480" w:lineRule="auto"/>
        <w:ind w:left="0"/>
        <w:rPr>
          <w:rFonts w:ascii="Times New Roman" w:hAnsi="Times New Roman" w:cs="Times New Roman"/>
          <w:b/>
          <w:bCs/>
          <w:sz w:val="28"/>
          <w:szCs w:val="28"/>
          <w:u w:val="single"/>
        </w:rPr>
      </w:pPr>
    </w:p>
    <w:p w14:paraId="276D359E" w14:textId="77777777" w:rsidR="004F2890" w:rsidRDefault="00D07C7A" w:rsidP="00D07C7A">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AA72A6">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applicant contends that the respondent has interfered with its possession of the premises by its letter of the </w:t>
      </w:r>
      <w:proofErr w:type="gramStart"/>
      <w:r>
        <w:rPr>
          <w:rFonts w:ascii="Times New Roman" w:hAnsi="Times New Roman" w:cs="Times New Roman"/>
          <w:sz w:val="28"/>
          <w:szCs w:val="28"/>
        </w:rPr>
        <w:t>29</w:t>
      </w:r>
      <w:r w:rsidRPr="00277F37">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June 2021. Further that</w:t>
      </w:r>
      <w:r w:rsidR="004D47B8">
        <w:rPr>
          <w:rFonts w:ascii="Times New Roman" w:hAnsi="Times New Roman" w:cs="Times New Roman"/>
          <w:sz w:val="28"/>
          <w:szCs w:val="28"/>
        </w:rPr>
        <w:t xml:space="preserve"> t</w:t>
      </w:r>
      <w:r>
        <w:rPr>
          <w:rFonts w:ascii="Times New Roman" w:hAnsi="Times New Roman" w:cs="Times New Roman"/>
          <w:sz w:val="28"/>
          <w:szCs w:val="28"/>
        </w:rPr>
        <w:t>he respondent’s two agents who refused to disclose their names approached its tenants</w:t>
      </w:r>
      <w:r w:rsidR="004D47B8">
        <w:rPr>
          <w:rFonts w:ascii="Times New Roman" w:hAnsi="Times New Roman" w:cs="Times New Roman"/>
          <w:sz w:val="28"/>
          <w:szCs w:val="28"/>
        </w:rPr>
        <w:t xml:space="preserve"> on the </w:t>
      </w:r>
      <w:proofErr w:type="gramStart"/>
      <w:r w:rsidR="004D47B8">
        <w:rPr>
          <w:rFonts w:ascii="Times New Roman" w:hAnsi="Times New Roman" w:cs="Times New Roman"/>
          <w:sz w:val="28"/>
          <w:szCs w:val="28"/>
        </w:rPr>
        <w:t>5</w:t>
      </w:r>
      <w:r w:rsidR="004D47B8" w:rsidRPr="004D47B8">
        <w:rPr>
          <w:rFonts w:ascii="Times New Roman" w:hAnsi="Times New Roman" w:cs="Times New Roman"/>
          <w:sz w:val="28"/>
          <w:szCs w:val="28"/>
          <w:vertAlign w:val="superscript"/>
        </w:rPr>
        <w:t>th</w:t>
      </w:r>
      <w:proofErr w:type="gramEnd"/>
      <w:r w:rsidR="004D47B8">
        <w:rPr>
          <w:rFonts w:ascii="Times New Roman" w:hAnsi="Times New Roman" w:cs="Times New Roman"/>
          <w:sz w:val="28"/>
          <w:szCs w:val="28"/>
        </w:rPr>
        <w:t xml:space="preserve"> June 2021</w:t>
      </w:r>
      <w:r>
        <w:rPr>
          <w:rFonts w:ascii="Times New Roman" w:hAnsi="Times New Roman" w:cs="Times New Roman"/>
          <w:sz w:val="28"/>
          <w:szCs w:val="28"/>
        </w:rPr>
        <w:t xml:space="preserve"> </w:t>
      </w:r>
      <w:r w:rsidR="004D47B8">
        <w:rPr>
          <w:rFonts w:ascii="Times New Roman" w:hAnsi="Times New Roman" w:cs="Times New Roman"/>
          <w:sz w:val="28"/>
          <w:szCs w:val="28"/>
        </w:rPr>
        <w:t xml:space="preserve">to inform </w:t>
      </w:r>
      <w:r>
        <w:rPr>
          <w:rFonts w:ascii="Times New Roman" w:hAnsi="Times New Roman" w:cs="Times New Roman"/>
          <w:sz w:val="28"/>
          <w:szCs w:val="28"/>
        </w:rPr>
        <w:t xml:space="preserve">them that their monthly rental for June 2021 must be paid directly to the respondent. As a result, four of the tenants have already indicated that they will vacate the premises if the issue is not resolved by the </w:t>
      </w:r>
      <w:proofErr w:type="gramStart"/>
      <w:r>
        <w:rPr>
          <w:rFonts w:ascii="Times New Roman" w:hAnsi="Times New Roman" w:cs="Times New Roman"/>
          <w:sz w:val="28"/>
          <w:szCs w:val="28"/>
        </w:rPr>
        <w:t>8</w:t>
      </w:r>
      <w:r w:rsidRPr="004B23CC">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July 2021. Suleman says that his effort to intervene were all in vain as the agents told him that if he did not cooperate the filling station would be locked.</w:t>
      </w:r>
    </w:p>
    <w:p w14:paraId="0869E09D" w14:textId="5C50EBA6" w:rsidR="00235AEE" w:rsidRDefault="00D07C7A" w:rsidP="00D07C7A">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782C66BE" w14:textId="022DCA61" w:rsidR="00235AEE" w:rsidRDefault="00235AEE" w:rsidP="00235AEE">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F2890">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81BBC">
        <w:rPr>
          <w:rFonts w:ascii="Times New Roman" w:hAnsi="Times New Roman" w:cs="Times New Roman"/>
          <w:sz w:val="28"/>
          <w:szCs w:val="28"/>
        </w:rPr>
        <w:t xml:space="preserve">The applicant ‘s case is that it </w:t>
      </w:r>
      <w:r w:rsidR="00D07C7A">
        <w:rPr>
          <w:rFonts w:ascii="Times New Roman" w:hAnsi="Times New Roman" w:cs="Times New Roman"/>
          <w:sz w:val="28"/>
          <w:szCs w:val="28"/>
        </w:rPr>
        <w:t xml:space="preserve">has a clear right in respect of portion B of the premises and is entitled to retain possession thereof until the expiration of the agreement or until such time that the applicant would have been compensated for improvements it effected in good faith on portion B of the premises.  </w:t>
      </w:r>
      <w:r>
        <w:rPr>
          <w:rFonts w:ascii="Times New Roman" w:hAnsi="Times New Roman" w:cs="Times New Roman"/>
          <w:sz w:val="28"/>
          <w:szCs w:val="28"/>
        </w:rPr>
        <w:t xml:space="preserve">It relies on being both the bona fide occupier and developer of Portion B of the premises as well as on the agreement which it claims has not lapsed as its duration is 15 years.  </w:t>
      </w:r>
    </w:p>
    <w:p w14:paraId="6FE62EE5" w14:textId="6CA1E932" w:rsidR="00C81BBC" w:rsidRDefault="00C81BBC" w:rsidP="00D07C7A">
      <w:pPr>
        <w:pStyle w:val="BodyText"/>
        <w:kinsoku w:val="0"/>
        <w:overflowPunct w:val="0"/>
        <w:spacing w:line="480" w:lineRule="auto"/>
        <w:ind w:left="0"/>
        <w:jc w:val="both"/>
        <w:rPr>
          <w:rFonts w:ascii="Times New Roman" w:hAnsi="Times New Roman" w:cs="Times New Roman"/>
          <w:sz w:val="28"/>
          <w:szCs w:val="28"/>
        </w:rPr>
      </w:pPr>
    </w:p>
    <w:p w14:paraId="1A7C137C" w14:textId="6CF5A9CF" w:rsidR="00C81BBC" w:rsidRDefault="00C81BBC" w:rsidP="00D07C7A">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F289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D47B8">
        <w:rPr>
          <w:rFonts w:ascii="Times New Roman" w:hAnsi="Times New Roman" w:cs="Times New Roman"/>
          <w:sz w:val="28"/>
          <w:szCs w:val="28"/>
        </w:rPr>
        <w:t xml:space="preserve">Suleman </w:t>
      </w:r>
      <w:r>
        <w:rPr>
          <w:rFonts w:ascii="Times New Roman" w:hAnsi="Times New Roman" w:cs="Times New Roman"/>
          <w:sz w:val="28"/>
          <w:szCs w:val="28"/>
        </w:rPr>
        <w:t xml:space="preserve">contends that though there is no provision in the agreement </w:t>
      </w:r>
      <w:r>
        <w:rPr>
          <w:rFonts w:ascii="Times New Roman" w:hAnsi="Times New Roman" w:cs="Times New Roman"/>
          <w:sz w:val="28"/>
          <w:szCs w:val="28"/>
        </w:rPr>
        <w:lastRenderedPageBreak/>
        <w:t>relevant to the improvements in issue, the</w:t>
      </w:r>
      <w:r w:rsidR="00406D28">
        <w:rPr>
          <w:rFonts w:ascii="Times New Roman" w:hAnsi="Times New Roman" w:cs="Times New Roman"/>
          <w:sz w:val="28"/>
          <w:szCs w:val="28"/>
        </w:rPr>
        <w:t xml:space="preserve"> development</w:t>
      </w:r>
      <w:r w:rsidR="007216E3">
        <w:rPr>
          <w:rFonts w:ascii="Times New Roman" w:hAnsi="Times New Roman" w:cs="Times New Roman"/>
          <w:sz w:val="28"/>
          <w:szCs w:val="28"/>
        </w:rPr>
        <w:t>s</w:t>
      </w:r>
      <w:r w:rsidR="00406D28">
        <w:rPr>
          <w:rFonts w:ascii="Times New Roman" w:hAnsi="Times New Roman" w:cs="Times New Roman"/>
          <w:sz w:val="28"/>
          <w:szCs w:val="28"/>
        </w:rPr>
        <w:t xml:space="preserve"> </w:t>
      </w:r>
      <w:r>
        <w:rPr>
          <w:rFonts w:ascii="Times New Roman" w:hAnsi="Times New Roman" w:cs="Times New Roman"/>
          <w:sz w:val="28"/>
          <w:szCs w:val="28"/>
        </w:rPr>
        <w:t xml:space="preserve">were a driving force behind </w:t>
      </w:r>
      <w:r w:rsidR="004F2890">
        <w:rPr>
          <w:rFonts w:ascii="Times New Roman" w:hAnsi="Times New Roman" w:cs="Times New Roman"/>
          <w:sz w:val="28"/>
          <w:szCs w:val="28"/>
        </w:rPr>
        <w:t xml:space="preserve">the conclusion of the agreement </w:t>
      </w:r>
      <w:r>
        <w:rPr>
          <w:rFonts w:ascii="Times New Roman" w:hAnsi="Times New Roman" w:cs="Times New Roman"/>
          <w:sz w:val="28"/>
          <w:szCs w:val="28"/>
        </w:rPr>
        <w:t xml:space="preserve">and that they were sanctioned by </w:t>
      </w:r>
      <w:r w:rsidR="004D47B8">
        <w:rPr>
          <w:rFonts w:ascii="Times New Roman" w:hAnsi="Times New Roman" w:cs="Times New Roman"/>
          <w:sz w:val="28"/>
          <w:szCs w:val="28"/>
        </w:rPr>
        <w:t xml:space="preserve">respondent’s </w:t>
      </w:r>
      <w:r>
        <w:rPr>
          <w:rFonts w:ascii="Times New Roman" w:hAnsi="Times New Roman" w:cs="Times New Roman"/>
          <w:sz w:val="28"/>
          <w:szCs w:val="28"/>
        </w:rPr>
        <w:t>late company secretary</w:t>
      </w:r>
      <w:r w:rsidR="004D47B8">
        <w:rPr>
          <w:rFonts w:ascii="Times New Roman" w:hAnsi="Times New Roman" w:cs="Times New Roman"/>
          <w:sz w:val="28"/>
          <w:szCs w:val="28"/>
        </w:rPr>
        <w:t xml:space="preserve">, </w:t>
      </w:r>
      <w:r>
        <w:rPr>
          <w:rFonts w:ascii="Times New Roman" w:hAnsi="Times New Roman" w:cs="Times New Roman"/>
          <w:sz w:val="28"/>
          <w:szCs w:val="28"/>
        </w:rPr>
        <w:t xml:space="preserve">Mr. Thabo </w:t>
      </w:r>
      <w:proofErr w:type="spellStart"/>
      <w:r w:rsidR="00E07EDF">
        <w:rPr>
          <w:rFonts w:ascii="Times New Roman" w:hAnsi="Times New Roman" w:cs="Times New Roman"/>
          <w:sz w:val="28"/>
          <w:szCs w:val="28"/>
        </w:rPr>
        <w:t>Chakela</w:t>
      </w:r>
      <w:proofErr w:type="spellEnd"/>
      <w:r w:rsidR="00E07EDF">
        <w:rPr>
          <w:rFonts w:ascii="Times New Roman" w:hAnsi="Times New Roman" w:cs="Times New Roman"/>
          <w:sz w:val="28"/>
          <w:szCs w:val="28"/>
        </w:rPr>
        <w:t>, (</w:t>
      </w:r>
      <w:r w:rsidRPr="00C81BBC">
        <w:rPr>
          <w:rFonts w:ascii="Times New Roman" w:hAnsi="Times New Roman" w:cs="Times New Roman"/>
          <w:i/>
          <w:iCs/>
          <w:sz w:val="28"/>
          <w:szCs w:val="28"/>
        </w:rPr>
        <w:t>“</w:t>
      </w:r>
      <w:proofErr w:type="spellStart"/>
      <w:r w:rsidRPr="00C81BBC">
        <w:rPr>
          <w:rFonts w:ascii="Times New Roman" w:hAnsi="Times New Roman" w:cs="Times New Roman"/>
          <w:i/>
          <w:iCs/>
          <w:sz w:val="28"/>
          <w:szCs w:val="28"/>
        </w:rPr>
        <w:t>Chakela</w:t>
      </w:r>
      <w:proofErr w:type="spellEnd"/>
      <w:r w:rsidRPr="00C81BBC">
        <w:rPr>
          <w:rFonts w:ascii="Times New Roman" w:hAnsi="Times New Roman" w:cs="Times New Roman"/>
          <w:i/>
          <w:iCs/>
          <w:sz w:val="28"/>
          <w:szCs w:val="28"/>
        </w:rPr>
        <w:t>”</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 xml:space="preserve"> pending</w:t>
      </w:r>
      <w:proofErr w:type="gramEnd"/>
      <w:r>
        <w:rPr>
          <w:rFonts w:ascii="Times New Roman" w:hAnsi="Times New Roman" w:cs="Times New Roman"/>
          <w:sz w:val="28"/>
          <w:szCs w:val="28"/>
        </w:rPr>
        <w:t xml:space="preserve"> registration of the agreement.</w:t>
      </w:r>
      <w:r w:rsidR="00235AEE">
        <w:rPr>
          <w:rFonts w:ascii="Times New Roman" w:hAnsi="Times New Roman" w:cs="Times New Roman"/>
          <w:sz w:val="28"/>
          <w:szCs w:val="28"/>
        </w:rPr>
        <w:t xml:space="preserve"> The nub of the argument is that t</w:t>
      </w:r>
      <w:r w:rsidR="004D47B8">
        <w:rPr>
          <w:rFonts w:ascii="Times New Roman" w:hAnsi="Times New Roman" w:cs="Times New Roman"/>
          <w:sz w:val="28"/>
          <w:szCs w:val="28"/>
        </w:rPr>
        <w:t xml:space="preserve">he applicant developed and occupied the premises with the understanding that the agreement </w:t>
      </w:r>
      <w:bookmarkStart w:id="0" w:name="_Hlk127889365"/>
      <w:r w:rsidR="004D47B8">
        <w:rPr>
          <w:rFonts w:ascii="Times New Roman" w:hAnsi="Times New Roman" w:cs="Times New Roman"/>
          <w:sz w:val="28"/>
          <w:szCs w:val="28"/>
        </w:rPr>
        <w:t>was going to be registered and</w:t>
      </w:r>
      <w:r w:rsidR="001A37DC">
        <w:rPr>
          <w:rFonts w:ascii="Times New Roman" w:hAnsi="Times New Roman" w:cs="Times New Roman"/>
          <w:sz w:val="28"/>
          <w:szCs w:val="28"/>
        </w:rPr>
        <w:t xml:space="preserve"> that</w:t>
      </w:r>
      <w:r w:rsidR="004D47B8">
        <w:rPr>
          <w:rFonts w:ascii="Times New Roman" w:hAnsi="Times New Roman" w:cs="Times New Roman"/>
          <w:sz w:val="28"/>
          <w:szCs w:val="28"/>
        </w:rPr>
        <w:t xml:space="preserve"> it was going to enjoy the use and occupation of the developments for 15 years.  </w:t>
      </w:r>
    </w:p>
    <w:bookmarkEnd w:id="0"/>
    <w:p w14:paraId="6A2C690C" w14:textId="44C6DC35" w:rsidR="00D07C7A" w:rsidRDefault="00D07C7A" w:rsidP="00D07C7A">
      <w:pPr>
        <w:pStyle w:val="BodyText"/>
        <w:kinsoku w:val="0"/>
        <w:overflowPunct w:val="0"/>
        <w:spacing w:line="480" w:lineRule="auto"/>
        <w:ind w:left="0"/>
        <w:jc w:val="both"/>
        <w:rPr>
          <w:rFonts w:ascii="Times New Roman" w:hAnsi="Times New Roman" w:cs="Times New Roman"/>
          <w:sz w:val="28"/>
          <w:szCs w:val="28"/>
        </w:rPr>
      </w:pPr>
    </w:p>
    <w:p w14:paraId="376A3F90" w14:textId="4E85F7BC" w:rsidR="005C00C2" w:rsidRDefault="00C81BBC" w:rsidP="00C81BBC">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F289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35AEE">
        <w:rPr>
          <w:rFonts w:ascii="Times New Roman" w:hAnsi="Times New Roman" w:cs="Times New Roman"/>
          <w:sz w:val="28"/>
          <w:szCs w:val="28"/>
        </w:rPr>
        <w:t xml:space="preserve">The respondent does not deny the existence of the sublease agreement </w:t>
      </w:r>
      <w:r w:rsidR="005C00C2">
        <w:rPr>
          <w:rFonts w:ascii="Times New Roman" w:hAnsi="Times New Roman" w:cs="Times New Roman"/>
          <w:sz w:val="28"/>
          <w:szCs w:val="28"/>
        </w:rPr>
        <w:t xml:space="preserve">or possession of the premises </w:t>
      </w:r>
      <w:r w:rsidR="00235AEE">
        <w:rPr>
          <w:rFonts w:ascii="Times New Roman" w:hAnsi="Times New Roman" w:cs="Times New Roman"/>
          <w:sz w:val="28"/>
          <w:szCs w:val="28"/>
        </w:rPr>
        <w:t>by the applicant. Neither does it</w:t>
      </w:r>
      <w:r w:rsidR="005C00C2">
        <w:rPr>
          <w:rFonts w:ascii="Times New Roman" w:hAnsi="Times New Roman" w:cs="Times New Roman"/>
          <w:sz w:val="28"/>
          <w:szCs w:val="28"/>
        </w:rPr>
        <w:t xml:space="preserve"> deny </w:t>
      </w:r>
      <w:r w:rsidR="00235AEE">
        <w:rPr>
          <w:rFonts w:ascii="Times New Roman" w:hAnsi="Times New Roman" w:cs="Times New Roman"/>
          <w:sz w:val="28"/>
          <w:szCs w:val="28"/>
        </w:rPr>
        <w:t xml:space="preserve">the developments effected </w:t>
      </w:r>
      <w:r w:rsidR="005C00C2">
        <w:rPr>
          <w:rFonts w:ascii="Times New Roman" w:hAnsi="Times New Roman" w:cs="Times New Roman"/>
          <w:sz w:val="28"/>
          <w:szCs w:val="28"/>
        </w:rPr>
        <w:t xml:space="preserve">by the applicant and </w:t>
      </w:r>
      <w:r w:rsidR="00235AEE">
        <w:rPr>
          <w:rFonts w:ascii="Times New Roman" w:hAnsi="Times New Roman" w:cs="Times New Roman"/>
          <w:sz w:val="28"/>
          <w:szCs w:val="28"/>
        </w:rPr>
        <w:t>the estimated costs of M3</w:t>
      </w:r>
      <w:r w:rsidR="00DB1BE5">
        <w:rPr>
          <w:rFonts w:ascii="Times New Roman" w:hAnsi="Times New Roman" w:cs="Times New Roman"/>
          <w:sz w:val="28"/>
          <w:szCs w:val="28"/>
        </w:rPr>
        <w:t xml:space="preserve">.5 </w:t>
      </w:r>
      <w:proofErr w:type="gramStart"/>
      <w:r w:rsidR="00DB1BE5">
        <w:rPr>
          <w:rFonts w:ascii="Times New Roman" w:hAnsi="Times New Roman" w:cs="Times New Roman"/>
          <w:sz w:val="28"/>
          <w:szCs w:val="28"/>
        </w:rPr>
        <w:t>Million</w:t>
      </w:r>
      <w:proofErr w:type="gramEnd"/>
      <w:r w:rsidR="00235AEE">
        <w:rPr>
          <w:rFonts w:ascii="Times New Roman" w:hAnsi="Times New Roman" w:cs="Times New Roman"/>
          <w:sz w:val="28"/>
          <w:szCs w:val="28"/>
        </w:rPr>
        <w:t xml:space="preserve"> </w:t>
      </w:r>
      <w:r w:rsidR="005C00C2">
        <w:rPr>
          <w:rFonts w:ascii="Times New Roman" w:hAnsi="Times New Roman" w:cs="Times New Roman"/>
          <w:sz w:val="28"/>
          <w:szCs w:val="28"/>
        </w:rPr>
        <w:t xml:space="preserve">associated with the development. </w:t>
      </w:r>
    </w:p>
    <w:p w14:paraId="03CEF9C3" w14:textId="77777777" w:rsidR="005C00C2" w:rsidRDefault="005C00C2" w:rsidP="00C81BBC">
      <w:pPr>
        <w:pStyle w:val="BodyText"/>
        <w:kinsoku w:val="0"/>
        <w:overflowPunct w:val="0"/>
        <w:spacing w:line="480" w:lineRule="auto"/>
        <w:ind w:left="0"/>
        <w:jc w:val="both"/>
        <w:rPr>
          <w:rFonts w:ascii="Times New Roman" w:hAnsi="Times New Roman" w:cs="Times New Roman"/>
          <w:sz w:val="28"/>
          <w:szCs w:val="28"/>
        </w:rPr>
      </w:pPr>
    </w:p>
    <w:p w14:paraId="2F9551DD" w14:textId="5E59DFF8" w:rsidR="00C81BBC" w:rsidRPr="00554D5D" w:rsidRDefault="005C00C2" w:rsidP="00C81BBC">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F289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A37DC">
        <w:rPr>
          <w:rFonts w:ascii="Times New Roman" w:hAnsi="Times New Roman" w:cs="Times New Roman"/>
          <w:sz w:val="28"/>
          <w:szCs w:val="28"/>
        </w:rPr>
        <w:t xml:space="preserve">It is rather </w:t>
      </w:r>
      <w:r>
        <w:rPr>
          <w:rFonts w:ascii="Times New Roman" w:hAnsi="Times New Roman" w:cs="Times New Roman"/>
          <w:sz w:val="28"/>
          <w:szCs w:val="28"/>
        </w:rPr>
        <w:t xml:space="preserve">resisting the claim on the ground that </w:t>
      </w:r>
      <w:r w:rsidR="00C81BBC">
        <w:rPr>
          <w:rFonts w:ascii="Times New Roman" w:hAnsi="Times New Roman" w:cs="Times New Roman"/>
          <w:sz w:val="28"/>
          <w:szCs w:val="28"/>
        </w:rPr>
        <w:t xml:space="preserve">the agreement was </w:t>
      </w:r>
      <w:r>
        <w:rPr>
          <w:rFonts w:ascii="Times New Roman" w:hAnsi="Times New Roman" w:cs="Times New Roman"/>
          <w:sz w:val="28"/>
          <w:szCs w:val="28"/>
        </w:rPr>
        <w:t xml:space="preserve">for 5 years and not </w:t>
      </w:r>
      <w:r w:rsidR="00C81BBC">
        <w:rPr>
          <w:rFonts w:ascii="Times New Roman" w:hAnsi="Times New Roman" w:cs="Times New Roman"/>
          <w:sz w:val="28"/>
          <w:szCs w:val="28"/>
        </w:rPr>
        <w:t xml:space="preserve">15 years.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accuses Ha </w:t>
      </w:r>
      <w:proofErr w:type="spellStart"/>
      <w:r>
        <w:rPr>
          <w:rFonts w:ascii="Times New Roman" w:hAnsi="Times New Roman" w:cs="Times New Roman"/>
          <w:sz w:val="28"/>
          <w:szCs w:val="28"/>
        </w:rPr>
        <w:t>Seotsanyana</w:t>
      </w:r>
      <w:proofErr w:type="spellEnd"/>
      <w:r>
        <w:rPr>
          <w:rFonts w:ascii="Times New Roman" w:hAnsi="Times New Roman" w:cs="Times New Roman"/>
          <w:sz w:val="28"/>
          <w:szCs w:val="28"/>
        </w:rPr>
        <w:t xml:space="preserve"> of having inserted the figure 1 before the figure 5 after the agreement was signed, thus illicitly changing the duration from 5 to 15 years. Consequently, so goes the argument, the agreement </w:t>
      </w:r>
      <w:r w:rsidR="004F2890">
        <w:rPr>
          <w:rFonts w:ascii="Times New Roman" w:hAnsi="Times New Roman" w:cs="Times New Roman"/>
          <w:sz w:val="28"/>
          <w:szCs w:val="28"/>
        </w:rPr>
        <w:t xml:space="preserve">has </w:t>
      </w:r>
      <w:r w:rsidR="00C81BBC">
        <w:rPr>
          <w:rFonts w:ascii="Times New Roman" w:hAnsi="Times New Roman" w:cs="Times New Roman"/>
          <w:sz w:val="28"/>
          <w:szCs w:val="28"/>
        </w:rPr>
        <w:t>lapsed</w:t>
      </w:r>
      <w:r w:rsidR="005072B0">
        <w:rPr>
          <w:rFonts w:ascii="Times New Roman" w:hAnsi="Times New Roman" w:cs="Times New Roman"/>
          <w:sz w:val="28"/>
          <w:szCs w:val="28"/>
        </w:rPr>
        <w:t>,</w:t>
      </w:r>
      <w:r w:rsidR="00C81BBC">
        <w:rPr>
          <w:rFonts w:ascii="Times New Roman" w:hAnsi="Times New Roman" w:cs="Times New Roman"/>
          <w:sz w:val="28"/>
          <w:szCs w:val="28"/>
        </w:rPr>
        <w:t xml:space="preserve"> </w:t>
      </w:r>
      <w:proofErr w:type="gramStart"/>
      <w:r w:rsidR="00C81BBC">
        <w:rPr>
          <w:rFonts w:ascii="Times New Roman" w:hAnsi="Times New Roman" w:cs="Times New Roman"/>
          <w:sz w:val="28"/>
          <w:szCs w:val="28"/>
        </w:rPr>
        <w:t>as a result of</w:t>
      </w:r>
      <w:proofErr w:type="gramEnd"/>
      <w:r w:rsidR="00C81BBC">
        <w:rPr>
          <w:rFonts w:ascii="Times New Roman" w:hAnsi="Times New Roman" w:cs="Times New Roman"/>
          <w:sz w:val="28"/>
          <w:szCs w:val="28"/>
        </w:rPr>
        <w:t xml:space="preserve"> which the respondent is under no obligation to register it. Again, the fact that the agreement has not been registered bars the applicant from seeking to enforce it</w:t>
      </w:r>
      <w:r>
        <w:rPr>
          <w:rFonts w:ascii="Times New Roman" w:hAnsi="Times New Roman" w:cs="Times New Roman"/>
          <w:sz w:val="28"/>
          <w:szCs w:val="28"/>
        </w:rPr>
        <w:t xml:space="preserve">. </w:t>
      </w:r>
      <w:r w:rsidR="00C81BBC">
        <w:rPr>
          <w:rFonts w:ascii="Times New Roman" w:hAnsi="Times New Roman" w:cs="Times New Roman"/>
          <w:sz w:val="28"/>
          <w:szCs w:val="28"/>
        </w:rPr>
        <w:t xml:space="preserve"> </w:t>
      </w:r>
    </w:p>
    <w:p w14:paraId="0E72467B" w14:textId="77777777" w:rsidR="00C81BBC" w:rsidRPr="00554D5D" w:rsidRDefault="00C81BBC" w:rsidP="00C81BBC">
      <w:pPr>
        <w:pStyle w:val="BodyText"/>
        <w:kinsoku w:val="0"/>
        <w:overflowPunct w:val="0"/>
        <w:spacing w:line="480" w:lineRule="auto"/>
        <w:ind w:left="0"/>
        <w:rPr>
          <w:rFonts w:ascii="Times New Roman" w:hAnsi="Times New Roman" w:cs="Times New Roman"/>
          <w:sz w:val="28"/>
          <w:szCs w:val="28"/>
        </w:rPr>
      </w:pPr>
    </w:p>
    <w:p w14:paraId="5106A331" w14:textId="1FD8EB82" w:rsidR="00C81BBC" w:rsidRDefault="00C81BBC" w:rsidP="00C81BBC">
      <w:pPr>
        <w:pStyle w:val="BodyText"/>
        <w:kinsoku w:val="0"/>
        <w:overflowPunct w:val="0"/>
        <w:spacing w:line="480" w:lineRule="auto"/>
        <w:ind w:left="0"/>
        <w:jc w:val="both"/>
        <w:rPr>
          <w:rFonts w:ascii="Times New Roman" w:hAnsi="Times New Roman" w:cs="Times New Roman"/>
          <w:sz w:val="28"/>
          <w:szCs w:val="28"/>
        </w:rPr>
      </w:pPr>
      <w:r w:rsidRPr="00554D5D">
        <w:rPr>
          <w:rFonts w:ascii="Times New Roman" w:hAnsi="Times New Roman" w:cs="Times New Roman"/>
          <w:sz w:val="28"/>
          <w:szCs w:val="28"/>
        </w:rPr>
        <w:t>[</w:t>
      </w:r>
      <w:r>
        <w:rPr>
          <w:rFonts w:ascii="Times New Roman" w:hAnsi="Times New Roman" w:cs="Times New Roman"/>
          <w:sz w:val="28"/>
          <w:szCs w:val="28"/>
        </w:rPr>
        <w:t>1</w:t>
      </w:r>
      <w:r w:rsidR="004F2890">
        <w:rPr>
          <w:rFonts w:ascii="Times New Roman" w:hAnsi="Times New Roman" w:cs="Times New Roman"/>
          <w:sz w:val="28"/>
          <w:szCs w:val="28"/>
        </w:rPr>
        <w:t>5</w:t>
      </w:r>
      <w:r w:rsidRPr="00554D5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Secondly,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d</w:t>
      </w:r>
      <w:r w:rsidRPr="00554D5D">
        <w:rPr>
          <w:rFonts w:ascii="Times New Roman" w:hAnsi="Times New Roman" w:cs="Times New Roman"/>
          <w:sz w:val="28"/>
          <w:szCs w:val="28"/>
        </w:rPr>
        <w:t>enies that</w:t>
      </w:r>
      <w:r w:rsidR="008555E0">
        <w:rPr>
          <w:rFonts w:ascii="Times New Roman" w:hAnsi="Times New Roman" w:cs="Times New Roman"/>
          <w:sz w:val="28"/>
          <w:szCs w:val="28"/>
        </w:rPr>
        <w:t xml:space="preserve"> the parties envisaged </w:t>
      </w:r>
      <w:r w:rsidR="004F2890">
        <w:rPr>
          <w:rFonts w:ascii="Times New Roman" w:hAnsi="Times New Roman" w:cs="Times New Roman"/>
          <w:sz w:val="28"/>
          <w:szCs w:val="28"/>
        </w:rPr>
        <w:t xml:space="preserve">the </w:t>
      </w:r>
      <w:r w:rsidR="008555E0">
        <w:rPr>
          <w:rFonts w:ascii="Times New Roman" w:hAnsi="Times New Roman" w:cs="Times New Roman"/>
          <w:sz w:val="28"/>
          <w:szCs w:val="28"/>
        </w:rPr>
        <w:t xml:space="preserve">applicant to </w:t>
      </w:r>
      <w:r w:rsidR="008555E0">
        <w:rPr>
          <w:rFonts w:ascii="Times New Roman" w:hAnsi="Times New Roman" w:cs="Times New Roman"/>
          <w:sz w:val="28"/>
          <w:szCs w:val="28"/>
        </w:rPr>
        <w:lastRenderedPageBreak/>
        <w:t xml:space="preserve">develop the premises when the </w:t>
      </w:r>
      <w:r>
        <w:rPr>
          <w:rFonts w:ascii="Times New Roman" w:hAnsi="Times New Roman" w:cs="Times New Roman"/>
          <w:sz w:val="28"/>
          <w:szCs w:val="28"/>
        </w:rPr>
        <w:t>agreement</w:t>
      </w:r>
      <w:r w:rsidR="005C00C2">
        <w:rPr>
          <w:rFonts w:ascii="Times New Roman" w:hAnsi="Times New Roman" w:cs="Times New Roman"/>
          <w:sz w:val="28"/>
          <w:szCs w:val="28"/>
        </w:rPr>
        <w:t xml:space="preserve"> was concluded</w:t>
      </w:r>
      <w:r w:rsidR="008555E0">
        <w:rPr>
          <w:rFonts w:ascii="Times New Roman" w:hAnsi="Times New Roman" w:cs="Times New Roman"/>
          <w:sz w:val="28"/>
          <w:szCs w:val="28"/>
        </w:rPr>
        <w:t>. He asserts that the applicant was expected to use existing infrastructure as the premises were already operating as a petrol and fuel depot</w:t>
      </w:r>
      <w:r w:rsidR="005C00C2">
        <w:rPr>
          <w:rFonts w:ascii="Times New Roman" w:hAnsi="Times New Roman" w:cs="Times New Roman"/>
          <w:sz w:val="28"/>
          <w:szCs w:val="28"/>
        </w:rPr>
        <w:t xml:space="preserve">. </w:t>
      </w:r>
      <w:r>
        <w:rPr>
          <w:rFonts w:ascii="Times New Roman" w:hAnsi="Times New Roman" w:cs="Times New Roman"/>
          <w:sz w:val="28"/>
          <w:szCs w:val="28"/>
        </w:rPr>
        <w:t xml:space="preserve">The basis of his denial is that the agreement not only omits any requirement to develop the property, but that it forbade any structural alterations to the premises without prior written consent of </w:t>
      </w:r>
      <w:r w:rsidR="008555E0">
        <w:rPr>
          <w:rFonts w:ascii="Times New Roman" w:hAnsi="Times New Roman" w:cs="Times New Roman"/>
          <w:sz w:val="28"/>
          <w:szCs w:val="28"/>
        </w:rPr>
        <w:t xml:space="preserve">the respondent. </w:t>
      </w:r>
      <w:r>
        <w:rPr>
          <w:rFonts w:ascii="Times New Roman" w:hAnsi="Times New Roman" w:cs="Times New Roman"/>
          <w:sz w:val="28"/>
          <w:szCs w:val="28"/>
        </w:rPr>
        <w:t xml:space="preserve">Accordingly, </w:t>
      </w:r>
      <w:r w:rsidR="008555E0">
        <w:rPr>
          <w:rFonts w:ascii="Times New Roman" w:hAnsi="Times New Roman" w:cs="Times New Roman"/>
          <w:sz w:val="28"/>
          <w:szCs w:val="28"/>
        </w:rPr>
        <w:t xml:space="preserve">Ha </w:t>
      </w:r>
      <w:proofErr w:type="spellStart"/>
      <w:r w:rsidR="008555E0">
        <w:rPr>
          <w:rFonts w:ascii="Times New Roman" w:hAnsi="Times New Roman" w:cs="Times New Roman"/>
          <w:sz w:val="28"/>
          <w:szCs w:val="28"/>
        </w:rPr>
        <w:t>Seotsanyana</w:t>
      </w:r>
      <w:proofErr w:type="spellEnd"/>
      <w:r w:rsidR="008555E0">
        <w:rPr>
          <w:rFonts w:ascii="Times New Roman" w:hAnsi="Times New Roman" w:cs="Times New Roman"/>
          <w:sz w:val="28"/>
          <w:szCs w:val="28"/>
        </w:rPr>
        <w:t xml:space="preserve"> has </w:t>
      </w:r>
      <w:proofErr w:type="gramStart"/>
      <w:r w:rsidR="008555E0">
        <w:rPr>
          <w:rFonts w:ascii="Times New Roman" w:hAnsi="Times New Roman" w:cs="Times New Roman"/>
          <w:sz w:val="28"/>
          <w:szCs w:val="28"/>
        </w:rPr>
        <w:t>no</w:t>
      </w:r>
      <w:proofErr w:type="gramEnd"/>
      <w:r w:rsidR="008555E0">
        <w:rPr>
          <w:rFonts w:ascii="Times New Roman" w:hAnsi="Times New Roman" w:cs="Times New Roman"/>
          <w:sz w:val="28"/>
          <w:szCs w:val="28"/>
        </w:rPr>
        <w:t xml:space="preserve"> contractually founded right to recoup expenses in respect of </w:t>
      </w:r>
      <w:r>
        <w:rPr>
          <w:rFonts w:ascii="Times New Roman" w:hAnsi="Times New Roman" w:cs="Times New Roman"/>
          <w:sz w:val="28"/>
          <w:szCs w:val="28"/>
        </w:rPr>
        <w:t>developments</w:t>
      </w:r>
      <w:r w:rsidR="008555E0">
        <w:rPr>
          <w:rFonts w:ascii="Times New Roman" w:hAnsi="Times New Roman" w:cs="Times New Roman"/>
          <w:sz w:val="28"/>
          <w:szCs w:val="28"/>
        </w:rPr>
        <w:t xml:space="preserve"> it </w:t>
      </w:r>
      <w:r>
        <w:rPr>
          <w:rFonts w:ascii="Times New Roman" w:hAnsi="Times New Roman" w:cs="Times New Roman"/>
          <w:sz w:val="28"/>
          <w:szCs w:val="28"/>
        </w:rPr>
        <w:t xml:space="preserve">effected on the premises </w:t>
      </w:r>
      <w:r w:rsidR="008555E0">
        <w:rPr>
          <w:rFonts w:ascii="Times New Roman" w:hAnsi="Times New Roman" w:cs="Times New Roman"/>
          <w:sz w:val="28"/>
          <w:szCs w:val="28"/>
        </w:rPr>
        <w:t xml:space="preserve">on its own volition </w:t>
      </w:r>
      <w:r>
        <w:rPr>
          <w:rFonts w:ascii="Times New Roman" w:hAnsi="Times New Roman" w:cs="Times New Roman"/>
          <w:sz w:val="28"/>
          <w:szCs w:val="28"/>
        </w:rPr>
        <w:t>contrary to clause 10 of the agreement</w:t>
      </w:r>
      <w:r w:rsidR="008555E0">
        <w:rPr>
          <w:rFonts w:ascii="Times New Roman" w:hAnsi="Times New Roman" w:cs="Times New Roman"/>
          <w:sz w:val="28"/>
          <w:szCs w:val="28"/>
        </w:rPr>
        <w:t xml:space="preserve">. </w:t>
      </w:r>
    </w:p>
    <w:p w14:paraId="06AF65B9" w14:textId="77777777" w:rsidR="00C81BBC" w:rsidRDefault="00C81BBC" w:rsidP="00C81BBC">
      <w:pPr>
        <w:pStyle w:val="BodyText"/>
        <w:kinsoku w:val="0"/>
        <w:overflowPunct w:val="0"/>
        <w:spacing w:line="480" w:lineRule="auto"/>
        <w:ind w:left="0"/>
        <w:jc w:val="both"/>
        <w:rPr>
          <w:rFonts w:ascii="Times New Roman" w:hAnsi="Times New Roman" w:cs="Times New Roman"/>
          <w:sz w:val="28"/>
          <w:szCs w:val="28"/>
        </w:rPr>
      </w:pPr>
    </w:p>
    <w:p w14:paraId="0CC586D3" w14:textId="2A41206D" w:rsidR="0085085A" w:rsidRDefault="00C81BBC" w:rsidP="00D07C7A">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F2890">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Thirdly</w:t>
      </w:r>
      <w:r w:rsidR="008555E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denies that the respondent sent its agents to harass the tenants as alleged. He contends that the respondent has not had any interaction with the tenants at all regarding the status of Ha </w:t>
      </w:r>
      <w:proofErr w:type="spellStart"/>
      <w:r>
        <w:rPr>
          <w:rFonts w:ascii="Times New Roman" w:hAnsi="Times New Roman" w:cs="Times New Roman"/>
          <w:sz w:val="28"/>
          <w:szCs w:val="28"/>
        </w:rPr>
        <w:t>Seotsanyana’s</w:t>
      </w:r>
      <w:proofErr w:type="spellEnd"/>
      <w:r>
        <w:rPr>
          <w:rFonts w:ascii="Times New Roman" w:hAnsi="Times New Roman" w:cs="Times New Roman"/>
          <w:sz w:val="28"/>
          <w:szCs w:val="28"/>
        </w:rPr>
        <w:t xml:space="preserve"> tenancy agreement. If I understand the basis of the denial well, it is that, besides himself, </w:t>
      </w:r>
      <w:proofErr w:type="spellStart"/>
      <w:r>
        <w:rPr>
          <w:rFonts w:ascii="Times New Roman" w:hAnsi="Times New Roman" w:cs="Times New Roman"/>
          <w:sz w:val="28"/>
          <w:szCs w:val="28"/>
        </w:rPr>
        <w:t>Litjotjela</w:t>
      </w:r>
      <w:proofErr w:type="spellEnd"/>
      <w:r>
        <w:rPr>
          <w:rFonts w:ascii="Times New Roman" w:hAnsi="Times New Roman" w:cs="Times New Roman"/>
          <w:sz w:val="28"/>
          <w:szCs w:val="28"/>
        </w:rPr>
        <w:t xml:space="preserve"> has only two employees who are known to Suleman and the tenants. As a consequence, </w:t>
      </w:r>
      <w:r w:rsidR="00FD729A">
        <w:rPr>
          <w:rFonts w:ascii="Times New Roman" w:hAnsi="Times New Roman" w:cs="Times New Roman"/>
          <w:sz w:val="28"/>
          <w:szCs w:val="28"/>
        </w:rPr>
        <w:t xml:space="preserve">if </w:t>
      </w:r>
      <w:r>
        <w:rPr>
          <w:rFonts w:ascii="Times New Roman" w:hAnsi="Times New Roman" w:cs="Times New Roman"/>
          <w:sz w:val="28"/>
          <w:szCs w:val="28"/>
        </w:rPr>
        <w:t xml:space="preserve">Suleman </w:t>
      </w:r>
      <w:r w:rsidR="00FD729A">
        <w:rPr>
          <w:rFonts w:ascii="Times New Roman" w:hAnsi="Times New Roman" w:cs="Times New Roman"/>
          <w:sz w:val="28"/>
          <w:szCs w:val="28"/>
        </w:rPr>
        <w:t xml:space="preserve">is telling the truth, he </w:t>
      </w:r>
      <w:r>
        <w:rPr>
          <w:rFonts w:ascii="Times New Roman" w:hAnsi="Times New Roman" w:cs="Times New Roman"/>
          <w:sz w:val="28"/>
          <w:szCs w:val="28"/>
        </w:rPr>
        <w:t>should</w:t>
      </w:r>
      <w:r w:rsidR="00C52CAA">
        <w:rPr>
          <w:rFonts w:ascii="Times New Roman" w:hAnsi="Times New Roman" w:cs="Times New Roman"/>
          <w:sz w:val="28"/>
          <w:szCs w:val="28"/>
        </w:rPr>
        <w:t xml:space="preserve"> have specified who of </w:t>
      </w:r>
      <w:r>
        <w:rPr>
          <w:rFonts w:ascii="Times New Roman" w:hAnsi="Times New Roman" w:cs="Times New Roman"/>
          <w:sz w:val="28"/>
          <w:szCs w:val="28"/>
        </w:rPr>
        <w:t>these employees harassed the tenants</w:t>
      </w:r>
      <w:r w:rsidR="00FD729A">
        <w:rPr>
          <w:rFonts w:ascii="Times New Roman" w:hAnsi="Times New Roman" w:cs="Times New Roman"/>
          <w:sz w:val="28"/>
          <w:szCs w:val="28"/>
        </w:rPr>
        <w:t>.</w:t>
      </w:r>
      <w:r>
        <w:rPr>
          <w:rFonts w:ascii="Times New Roman" w:hAnsi="Times New Roman" w:cs="Times New Roman"/>
          <w:sz w:val="28"/>
          <w:szCs w:val="28"/>
        </w:rPr>
        <w:t xml:space="preserve"> </w:t>
      </w:r>
      <w:r w:rsidR="00BA3AA6">
        <w:rPr>
          <w:rFonts w:ascii="Times New Roman" w:hAnsi="Times New Roman" w:cs="Times New Roman"/>
          <w:sz w:val="28"/>
          <w:szCs w:val="28"/>
        </w:rPr>
        <w:t xml:space="preserve">Besides, </w:t>
      </w:r>
      <w:r>
        <w:rPr>
          <w:rFonts w:ascii="Times New Roman" w:hAnsi="Times New Roman" w:cs="Times New Roman"/>
          <w:sz w:val="28"/>
          <w:szCs w:val="28"/>
        </w:rPr>
        <w:t xml:space="preserve">the respondent had already set itself the deadline of the </w:t>
      </w:r>
      <w:proofErr w:type="gramStart"/>
      <w:r>
        <w:rPr>
          <w:rFonts w:ascii="Times New Roman" w:hAnsi="Times New Roman" w:cs="Times New Roman"/>
          <w:sz w:val="28"/>
          <w:szCs w:val="28"/>
        </w:rPr>
        <w:t>15</w:t>
      </w:r>
      <w:r w:rsidRPr="009447C0">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July 2021 to approach the tenants. Thus, it could not have contemplated the rentals for June 2021 or changed tact by engaging with the tenants with whom it d</w:t>
      </w:r>
      <w:r w:rsidR="00291118">
        <w:rPr>
          <w:rFonts w:ascii="Times New Roman" w:hAnsi="Times New Roman" w:cs="Times New Roman"/>
          <w:sz w:val="28"/>
          <w:szCs w:val="28"/>
        </w:rPr>
        <w:t xml:space="preserve">oes </w:t>
      </w:r>
      <w:r>
        <w:rPr>
          <w:rFonts w:ascii="Times New Roman" w:hAnsi="Times New Roman" w:cs="Times New Roman"/>
          <w:sz w:val="28"/>
          <w:szCs w:val="28"/>
        </w:rPr>
        <w:t>not have a relationship.</w:t>
      </w:r>
    </w:p>
    <w:p w14:paraId="263C3D33" w14:textId="3270B033" w:rsidR="008B3BD6" w:rsidRDefault="008B3BD6" w:rsidP="0085085A">
      <w:pPr>
        <w:pStyle w:val="BodyText"/>
        <w:kinsoku w:val="0"/>
        <w:overflowPunct w:val="0"/>
        <w:spacing w:line="480" w:lineRule="auto"/>
        <w:ind w:left="0"/>
        <w:jc w:val="both"/>
        <w:rPr>
          <w:rFonts w:ascii="Times New Roman" w:hAnsi="Times New Roman" w:cs="Times New Roman"/>
          <w:b/>
          <w:bCs/>
          <w:sz w:val="28"/>
          <w:szCs w:val="28"/>
          <w:u w:val="single"/>
        </w:rPr>
      </w:pPr>
    </w:p>
    <w:p w14:paraId="2824563E" w14:textId="150D4777" w:rsidR="00D90B90" w:rsidRDefault="00D90B90" w:rsidP="0085085A">
      <w:pPr>
        <w:pStyle w:val="BodyText"/>
        <w:kinsoku w:val="0"/>
        <w:overflowPunct w:val="0"/>
        <w:spacing w:line="480" w:lineRule="auto"/>
        <w:ind w:left="0"/>
        <w:jc w:val="both"/>
        <w:rPr>
          <w:rFonts w:ascii="Times New Roman" w:hAnsi="Times New Roman" w:cs="Times New Roman"/>
          <w:b/>
          <w:bCs/>
          <w:sz w:val="28"/>
          <w:szCs w:val="28"/>
          <w:u w:val="single"/>
        </w:rPr>
      </w:pPr>
    </w:p>
    <w:p w14:paraId="397B69E3" w14:textId="77777777" w:rsidR="00D90B90" w:rsidRDefault="00D90B90" w:rsidP="0085085A">
      <w:pPr>
        <w:pStyle w:val="BodyText"/>
        <w:kinsoku w:val="0"/>
        <w:overflowPunct w:val="0"/>
        <w:spacing w:line="480" w:lineRule="auto"/>
        <w:ind w:left="0"/>
        <w:jc w:val="both"/>
        <w:rPr>
          <w:rFonts w:ascii="Times New Roman" w:hAnsi="Times New Roman" w:cs="Times New Roman"/>
          <w:b/>
          <w:bCs/>
          <w:sz w:val="28"/>
          <w:szCs w:val="28"/>
          <w:u w:val="single"/>
        </w:rPr>
      </w:pPr>
    </w:p>
    <w:p w14:paraId="74409E6B" w14:textId="2EB4A740" w:rsidR="004F712F" w:rsidRDefault="00BA3AA6" w:rsidP="0085085A">
      <w:pPr>
        <w:pStyle w:val="BodyText"/>
        <w:kinsoku w:val="0"/>
        <w:overflowPunct w:val="0"/>
        <w:spacing w:line="480" w:lineRule="auto"/>
        <w:ind w:left="0"/>
        <w:jc w:val="both"/>
        <w:rPr>
          <w:rFonts w:ascii="Times New Roman" w:hAnsi="Times New Roman" w:cs="Times New Roman"/>
          <w:b/>
          <w:bCs/>
          <w:sz w:val="28"/>
          <w:szCs w:val="28"/>
        </w:rPr>
      </w:pPr>
      <w:r w:rsidRPr="008D7D50">
        <w:rPr>
          <w:rFonts w:ascii="Times New Roman" w:hAnsi="Times New Roman" w:cs="Times New Roman"/>
          <w:b/>
          <w:bCs/>
          <w:sz w:val="28"/>
          <w:szCs w:val="28"/>
          <w:u w:val="single"/>
        </w:rPr>
        <w:lastRenderedPageBreak/>
        <w:t>ISSUES</w:t>
      </w:r>
      <w:r>
        <w:rPr>
          <w:rFonts w:ascii="Times New Roman" w:hAnsi="Times New Roman" w:cs="Times New Roman"/>
          <w:b/>
          <w:bCs/>
          <w:sz w:val="28"/>
          <w:szCs w:val="28"/>
        </w:rPr>
        <w:t>:</w:t>
      </w:r>
    </w:p>
    <w:p w14:paraId="6381175E" w14:textId="77777777" w:rsidR="0085085A" w:rsidRPr="0085085A" w:rsidRDefault="0085085A" w:rsidP="0085085A">
      <w:pPr>
        <w:pStyle w:val="BodyText"/>
        <w:kinsoku w:val="0"/>
        <w:overflowPunct w:val="0"/>
        <w:spacing w:line="480" w:lineRule="auto"/>
        <w:ind w:left="0"/>
        <w:jc w:val="both"/>
        <w:rPr>
          <w:rFonts w:ascii="Times New Roman" w:hAnsi="Times New Roman" w:cs="Times New Roman"/>
          <w:b/>
          <w:bCs/>
          <w:sz w:val="28"/>
          <w:szCs w:val="28"/>
        </w:rPr>
      </w:pPr>
    </w:p>
    <w:p w14:paraId="5280A2B0" w14:textId="538A9D5D" w:rsidR="00BA3AA6" w:rsidRDefault="00A32688" w:rsidP="00F81604">
      <w:pPr>
        <w:pStyle w:val="BodyText"/>
        <w:kinsoku w:val="0"/>
        <w:overflowPunct w:val="0"/>
        <w:spacing w:line="480" w:lineRule="auto"/>
        <w:ind w:left="0"/>
        <w:jc w:val="both"/>
        <w:rPr>
          <w:rFonts w:ascii="Times New Roman" w:hAnsi="Times New Roman" w:cs="Times New Roman"/>
          <w:sz w:val="28"/>
          <w:szCs w:val="28"/>
        </w:rPr>
      </w:pPr>
      <w:r w:rsidRPr="00554D5D">
        <w:rPr>
          <w:rFonts w:ascii="Times New Roman" w:hAnsi="Times New Roman" w:cs="Times New Roman"/>
          <w:sz w:val="28"/>
          <w:szCs w:val="28"/>
        </w:rPr>
        <w:t>[</w:t>
      </w:r>
      <w:r w:rsidR="00BA3AA6">
        <w:rPr>
          <w:rFonts w:ascii="Times New Roman" w:hAnsi="Times New Roman" w:cs="Times New Roman"/>
          <w:sz w:val="28"/>
          <w:szCs w:val="28"/>
        </w:rPr>
        <w:t>1</w:t>
      </w:r>
      <w:r w:rsidR="004F2890">
        <w:rPr>
          <w:rFonts w:ascii="Times New Roman" w:hAnsi="Times New Roman" w:cs="Times New Roman"/>
          <w:sz w:val="28"/>
          <w:szCs w:val="28"/>
        </w:rPr>
        <w:t>7</w:t>
      </w:r>
      <w:r w:rsidRPr="00554D5D">
        <w:rPr>
          <w:rFonts w:ascii="Times New Roman" w:hAnsi="Times New Roman" w:cs="Times New Roman"/>
          <w:sz w:val="28"/>
          <w:szCs w:val="28"/>
        </w:rPr>
        <w:t xml:space="preserve">] </w:t>
      </w:r>
      <w:r w:rsidR="0001352C">
        <w:rPr>
          <w:rFonts w:ascii="Times New Roman" w:hAnsi="Times New Roman" w:cs="Times New Roman"/>
          <w:sz w:val="28"/>
          <w:szCs w:val="28"/>
        </w:rPr>
        <w:tab/>
      </w:r>
      <w:r w:rsidR="00BA3AA6">
        <w:rPr>
          <w:rFonts w:ascii="Times New Roman" w:hAnsi="Times New Roman" w:cs="Times New Roman"/>
          <w:sz w:val="28"/>
          <w:szCs w:val="28"/>
        </w:rPr>
        <w:tab/>
      </w:r>
      <w:r w:rsidR="00C52CAA">
        <w:rPr>
          <w:rFonts w:ascii="Times New Roman" w:hAnsi="Times New Roman" w:cs="Times New Roman"/>
          <w:sz w:val="28"/>
          <w:szCs w:val="28"/>
        </w:rPr>
        <w:t>T</w:t>
      </w:r>
      <w:r w:rsidR="00BA3AA6">
        <w:rPr>
          <w:rFonts w:ascii="Times New Roman" w:hAnsi="Times New Roman" w:cs="Times New Roman"/>
          <w:sz w:val="28"/>
          <w:szCs w:val="28"/>
        </w:rPr>
        <w:t>here are t</w:t>
      </w:r>
      <w:r w:rsidR="00C52CAA">
        <w:rPr>
          <w:rFonts w:ascii="Times New Roman" w:hAnsi="Times New Roman" w:cs="Times New Roman"/>
          <w:sz w:val="28"/>
          <w:szCs w:val="28"/>
        </w:rPr>
        <w:t xml:space="preserve">hree </w:t>
      </w:r>
      <w:r w:rsidR="00BA3AA6">
        <w:rPr>
          <w:rFonts w:ascii="Times New Roman" w:hAnsi="Times New Roman" w:cs="Times New Roman"/>
          <w:sz w:val="28"/>
          <w:szCs w:val="28"/>
        </w:rPr>
        <w:t>issues emerging from the papers. Firstly, the validity and enforceability of the agreement as well as whether the applicant d</w:t>
      </w:r>
      <w:r w:rsidR="001A37DC">
        <w:rPr>
          <w:rFonts w:ascii="Times New Roman" w:hAnsi="Times New Roman" w:cs="Times New Roman"/>
          <w:sz w:val="28"/>
          <w:szCs w:val="28"/>
        </w:rPr>
        <w:t xml:space="preserve">oes </w:t>
      </w:r>
      <w:r w:rsidR="00BA3AA6">
        <w:rPr>
          <w:rFonts w:ascii="Times New Roman" w:hAnsi="Times New Roman" w:cs="Times New Roman"/>
          <w:sz w:val="28"/>
          <w:szCs w:val="28"/>
        </w:rPr>
        <w:t xml:space="preserve">in fact have a lien. </w:t>
      </w:r>
      <w:r w:rsidR="004F2890">
        <w:rPr>
          <w:rFonts w:ascii="Times New Roman" w:hAnsi="Times New Roman" w:cs="Times New Roman"/>
          <w:sz w:val="28"/>
          <w:szCs w:val="28"/>
        </w:rPr>
        <w:t xml:space="preserve">I </w:t>
      </w:r>
      <w:r w:rsidR="00161A1F">
        <w:rPr>
          <w:rFonts w:ascii="Times New Roman" w:hAnsi="Times New Roman" w:cs="Times New Roman"/>
          <w:sz w:val="28"/>
          <w:szCs w:val="28"/>
        </w:rPr>
        <w:t xml:space="preserve">will </w:t>
      </w:r>
      <w:r w:rsidR="004F2890">
        <w:rPr>
          <w:rFonts w:ascii="Times New Roman" w:hAnsi="Times New Roman" w:cs="Times New Roman"/>
          <w:sz w:val="28"/>
          <w:szCs w:val="28"/>
        </w:rPr>
        <w:t>also consider if the</w:t>
      </w:r>
      <w:r w:rsidR="00C52CAA">
        <w:rPr>
          <w:rFonts w:ascii="Times New Roman" w:hAnsi="Times New Roman" w:cs="Times New Roman"/>
          <w:sz w:val="28"/>
          <w:szCs w:val="28"/>
        </w:rPr>
        <w:t xml:space="preserve"> </w:t>
      </w:r>
      <w:r w:rsidR="00161A1F">
        <w:rPr>
          <w:rFonts w:ascii="Times New Roman" w:hAnsi="Times New Roman" w:cs="Times New Roman"/>
          <w:sz w:val="28"/>
          <w:szCs w:val="28"/>
        </w:rPr>
        <w:t xml:space="preserve">impugned letter and the alleged events of the </w:t>
      </w:r>
      <w:proofErr w:type="gramStart"/>
      <w:r w:rsidR="00161A1F">
        <w:rPr>
          <w:rFonts w:ascii="Times New Roman" w:hAnsi="Times New Roman" w:cs="Times New Roman"/>
          <w:sz w:val="28"/>
          <w:szCs w:val="28"/>
        </w:rPr>
        <w:t>5</w:t>
      </w:r>
      <w:r w:rsidR="00161A1F" w:rsidRPr="004F2890">
        <w:rPr>
          <w:rFonts w:ascii="Times New Roman" w:hAnsi="Times New Roman" w:cs="Times New Roman"/>
          <w:sz w:val="28"/>
          <w:szCs w:val="28"/>
          <w:vertAlign w:val="superscript"/>
        </w:rPr>
        <w:t>th</w:t>
      </w:r>
      <w:proofErr w:type="gramEnd"/>
      <w:r w:rsidR="00161A1F">
        <w:rPr>
          <w:rFonts w:ascii="Times New Roman" w:hAnsi="Times New Roman" w:cs="Times New Roman"/>
          <w:sz w:val="28"/>
          <w:szCs w:val="28"/>
        </w:rPr>
        <w:t xml:space="preserve"> June 2021 warrant interdict. </w:t>
      </w:r>
      <w:r w:rsidR="00C52CAA">
        <w:rPr>
          <w:rFonts w:ascii="Times New Roman" w:hAnsi="Times New Roman" w:cs="Times New Roman"/>
          <w:sz w:val="28"/>
          <w:szCs w:val="28"/>
        </w:rPr>
        <w:t xml:space="preserve"> </w:t>
      </w:r>
    </w:p>
    <w:p w14:paraId="07C3CB5C" w14:textId="77777777" w:rsidR="00291118" w:rsidRDefault="00291118" w:rsidP="00F81604">
      <w:pPr>
        <w:pStyle w:val="BodyText"/>
        <w:kinsoku w:val="0"/>
        <w:overflowPunct w:val="0"/>
        <w:spacing w:line="480" w:lineRule="auto"/>
        <w:ind w:left="0"/>
        <w:jc w:val="both"/>
        <w:rPr>
          <w:rFonts w:ascii="Times New Roman" w:hAnsi="Times New Roman" w:cs="Times New Roman"/>
          <w:sz w:val="28"/>
          <w:szCs w:val="28"/>
        </w:rPr>
      </w:pPr>
    </w:p>
    <w:p w14:paraId="32009DCB" w14:textId="1B01DA6D" w:rsidR="003C3DFE" w:rsidRPr="003C3DFE" w:rsidRDefault="003C3DFE" w:rsidP="00F81604">
      <w:pPr>
        <w:pStyle w:val="BodyText"/>
        <w:kinsoku w:val="0"/>
        <w:overflowPunct w:val="0"/>
        <w:spacing w:line="480" w:lineRule="auto"/>
        <w:ind w:left="0"/>
        <w:jc w:val="both"/>
        <w:rPr>
          <w:rFonts w:ascii="Times New Roman" w:hAnsi="Times New Roman" w:cs="Times New Roman"/>
          <w:b/>
          <w:bCs/>
          <w:sz w:val="28"/>
          <w:szCs w:val="28"/>
          <w:u w:val="single"/>
        </w:rPr>
      </w:pPr>
      <w:r w:rsidRPr="003C3DFE">
        <w:rPr>
          <w:rFonts w:ascii="Times New Roman" w:hAnsi="Times New Roman" w:cs="Times New Roman"/>
          <w:b/>
          <w:bCs/>
          <w:sz w:val="28"/>
          <w:szCs w:val="28"/>
          <w:u w:val="single"/>
        </w:rPr>
        <w:t>THE LEGAL STATUS OF THE AGREEMENT</w:t>
      </w:r>
      <w:r>
        <w:rPr>
          <w:rFonts w:ascii="Times New Roman" w:hAnsi="Times New Roman" w:cs="Times New Roman"/>
          <w:b/>
          <w:bCs/>
          <w:sz w:val="28"/>
          <w:szCs w:val="28"/>
          <w:u w:val="single"/>
        </w:rPr>
        <w:t>:</w:t>
      </w:r>
      <w:r w:rsidRPr="003C3DFE">
        <w:rPr>
          <w:rFonts w:ascii="Times New Roman" w:hAnsi="Times New Roman" w:cs="Times New Roman"/>
          <w:b/>
          <w:bCs/>
          <w:sz w:val="28"/>
          <w:szCs w:val="28"/>
          <w:u w:val="single"/>
        </w:rPr>
        <w:t xml:space="preserve"> </w:t>
      </w:r>
    </w:p>
    <w:p w14:paraId="1F91029E" w14:textId="77777777" w:rsidR="003C3DFE" w:rsidRPr="003C3DFE" w:rsidRDefault="003C3DFE" w:rsidP="00F81604">
      <w:pPr>
        <w:pStyle w:val="BodyText"/>
        <w:kinsoku w:val="0"/>
        <w:overflowPunct w:val="0"/>
        <w:spacing w:line="480" w:lineRule="auto"/>
        <w:ind w:left="0"/>
        <w:jc w:val="both"/>
        <w:rPr>
          <w:rFonts w:ascii="Times New Roman" w:hAnsi="Times New Roman" w:cs="Times New Roman"/>
          <w:b/>
          <w:bCs/>
          <w:sz w:val="28"/>
          <w:szCs w:val="28"/>
        </w:rPr>
      </w:pPr>
    </w:p>
    <w:p w14:paraId="2183C499" w14:textId="35B3E46F" w:rsidR="009D3654" w:rsidRDefault="003C3DFE"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8D7D50">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It is common cause that the agreement was never registered hence </w:t>
      </w:r>
      <w:proofErr w:type="spellStart"/>
      <w:r>
        <w:rPr>
          <w:rFonts w:ascii="Times New Roman" w:hAnsi="Times New Roman" w:cs="Times New Roman"/>
          <w:sz w:val="28"/>
          <w:szCs w:val="28"/>
        </w:rPr>
        <w:t>Litjotjela’s</w:t>
      </w:r>
      <w:proofErr w:type="spellEnd"/>
      <w:r>
        <w:rPr>
          <w:rFonts w:ascii="Times New Roman" w:hAnsi="Times New Roman" w:cs="Times New Roman"/>
          <w:sz w:val="28"/>
          <w:szCs w:val="28"/>
        </w:rPr>
        <w:t xml:space="preserve"> argument that it cannot be enforced. </w:t>
      </w:r>
      <w:r w:rsidR="004F609E">
        <w:rPr>
          <w:rFonts w:ascii="Times New Roman" w:hAnsi="Times New Roman" w:cs="Times New Roman"/>
          <w:sz w:val="28"/>
          <w:szCs w:val="28"/>
        </w:rPr>
        <w:t xml:space="preserve">In the heads of argument filed for </w:t>
      </w:r>
      <w:proofErr w:type="spellStart"/>
      <w:r w:rsidR="004F609E">
        <w:rPr>
          <w:rFonts w:ascii="Times New Roman" w:hAnsi="Times New Roman" w:cs="Times New Roman"/>
          <w:sz w:val="28"/>
          <w:szCs w:val="28"/>
        </w:rPr>
        <w:t>Litjotjela</w:t>
      </w:r>
      <w:proofErr w:type="spellEnd"/>
      <w:r w:rsidR="004F609E">
        <w:rPr>
          <w:rFonts w:ascii="Times New Roman" w:hAnsi="Times New Roman" w:cs="Times New Roman"/>
          <w:sz w:val="28"/>
          <w:szCs w:val="28"/>
        </w:rPr>
        <w:t>, the legality of agreement is attacked on two fronts. Firstly, on the ground that consent for the agreement was not acquired contrary to section 35 and 36 of the Land Act 1979. Secondly, that the agreement was not registered contrary to section 24 of the Deeds Registry Act 1967.</w:t>
      </w:r>
      <w:r w:rsidR="009D3654">
        <w:rPr>
          <w:rFonts w:ascii="Times New Roman" w:hAnsi="Times New Roman" w:cs="Times New Roman"/>
          <w:sz w:val="28"/>
          <w:szCs w:val="28"/>
        </w:rPr>
        <w:t xml:space="preserve"> </w:t>
      </w:r>
    </w:p>
    <w:p w14:paraId="17067B7E" w14:textId="77777777" w:rsidR="009D3654" w:rsidRDefault="009D3654" w:rsidP="00F81604">
      <w:pPr>
        <w:pStyle w:val="BodyText"/>
        <w:kinsoku w:val="0"/>
        <w:overflowPunct w:val="0"/>
        <w:spacing w:line="480" w:lineRule="auto"/>
        <w:ind w:left="0"/>
        <w:jc w:val="both"/>
        <w:rPr>
          <w:rFonts w:ascii="Times New Roman" w:hAnsi="Times New Roman" w:cs="Times New Roman"/>
          <w:sz w:val="28"/>
          <w:szCs w:val="28"/>
        </w:rPr>
      </w:pPr>
    </w:p>
    <w:p w14:paraId="2D619585" w14:textId="5C088056" w:rsidR="00FC1A42" w:rsidRDefault="009D3654" w:rsidP="00F504F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r w:rsidR="008D7D50">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D922BE">
        <w:rPr>
          <w:rFonts w:ascii="Times New Roman" w:hAnsi="Times New Roman" w:cs="Times New Roman"/>
          <w:sz w:val="28"/>
          <w:szCs w:val="28"/>
        </w:rPr>
        <w:t>F</w:t>
      </w:r>
      <w:r>
        <w:rPr>
          <w:rFonts w:ascii="Times New Roman" w:hAnsi="Times New Roman" w:cs="Times New Roman"/>
          <w:sz w:val="28"/>
          <w:szCs w:val="28"/>
        </w:rPr>
        <w:t>ailure to register the agreement has</w:t>
      </w:r>
      <w:r w:rsidR="00D922BE">
        <w:rPr>
          <w:rFonts w:ascii="Times New Roman" w:hAnsi="Times New Roman" w:cs="Times New Roman"/>
          <w:sz w:val="28"/>
          <w:szCs w:val="28"/>
        </w:rPr>
        <w:t xml:space="preserve"> s</w:t>
      </w:r>
      <w:r>
        <w:rPr>
          <w:rFonts w:ascii="Times New Roman" w:hAnsi="Times New Roman" w:cs="Times New Roman"/>
          <w:sz w:val="28"/>
          <w:szCs w:val="28"/>
        </w:rPr>
        <w:t>pecifically been pleaded</w:t>
      </w:r>
      <w:r w:rsidR="00D922BE">
        <w:rPr>
          <w:rFonts w:ascii="Times New Roman" w:hAnsi="Times New Roman" w:cs="Times New Roman"/>
          <w:sz w:val="28"/>
          <w:szCs w:val="28"/>
        </w:rPr>
        <w:t>,</w:t>
      </w:r>
      <w:r>
        <w:rPr>
          <w:rFonts w:ascii="Times New Roman" w:hAnsi="Times New Roman" w:cs="Times New Roman"/>
          <w:sz w:val="28"/>
          <w:szCs w:val="28"/>
        </w:rPr>
        <w:t xml:space="preserve"> albeit without specific reference to the Deeds Registry Act 196</w:t>
      </w:r>
      <w:r w:rsidR="00D922BE">
        <w:rPr>
          <w:rFonts w:ascii="Times New Roman" w:hAnsi="Times New Roman" w:cs="Times New Roman"/>
          <w:sz w:val="28"/>
          <w:szCs w:val="28"/>
        </w:rPr>
        <w:t>7. Conversely</w:t>
      </w:r>
      <w:r>
        <w:rPr>
          <w:rFonts w:ascii="Times New Roman" w:hAnsi="Times New Roman" w:cs="Times New Roman"/>
          <w:sz w:val="28"/>
          <w:szCs w:val="28"/>
        </w:rPr>
        <w:t xml:space="preserve">, failure to obtain consent </w:t>
      </w:r>
      <w:r w:rsidR="00247587">
        <w:rPr>
          <w:rFonts w:ascii="Times New Roman" w:hAnsi="Times New Roman" w:cs="Times New Roman"/>
          <w:sz w:val="28"/>
          <w:szCs w:val="28"/>
        </w:rPr>
        <w:t>h</w:t>
      </w:r>
      <w:r>
        <w:rPr>
          <w:rFonts w:ascii="Times New Roman" w:hAnsi="Times New Roman" w:cs="Times New Roman"/>
          <w:sz w:val="28"/>
          <w:szCs w:val="28"/>
        </w:rPr>
        <w:t>as not been pleaded</w:t>
      </w:r>
      <w:r w:rsidR="00247587">
        <w:rPr>
          <w:rFonts w:ascii="Times New Roman" w:hAnsi="Times New Roman" w:cs="Times New Roman"/>
          <w:sz w:val="28"/>
          <w:szCs w:val="28"/>
        </w:rPr>
        <w:t xml:space="preserve"> as a defence</w:t>
      </w:r>
      <w:r>
        <w:rPr>
          <w:rFonts w:ascii="Times New Roman" w:hAnsi="Times New Roman" w:cs="Times New Roman"/>
          <w:sz w:val="28"/>
          <w:szCs w:val="28"/>
        </w:rPr>
        <w:t xml:space="preserve">. </w:t>
      </w:r>
      <w:r w:rsidR="002D00A8">
        <w:rPr>
          <w:rFonts w:ascii="Times New Roman" w:hAnsi="Times New Roman" w:cs="Times New Roman"/>
          <w:sz w:val="28"/>
          <w:szCs w:val="28"/>
        </w:rPr>
        <w:t xml:space="preserve">However, this issue is derivable and cognisable from applicant’s own papers. Thus, it would still be permissible to </w:t>
      </w:r>
      <w:r w:rsidR="002D00A8">
        <w:rPr>
          <w:rFonts w:ascii="Times New Roman" w:hAnsi="Times New Roman" w:cs="Times New Roman"/>
          <w:sz w:val="28"/>
          <w:szCs w:val="28"/>
        </w:rPr>
        <w:lastRenderedPageBreak/>
        <w:t xml:space="preserve">consider it on the strength of </w:t>
      </w:r>
      <w:proofErr w:type="spellStart"/>
      <w:r w:rsidR="002D00A8" w:rsidRPr="00FC1A42">
        <w:rPr>
          <w:rFonts w:ascii="Times New Roman" w:hAnsi="Times New Roman" w:cs="Times New Roman"/>
          <w:b/>
          <w:bCs/>
          <w:sz w:val="28"/>
          <w:szCs w:val="28"/>
        </w:rPr>
        <w:t>Adendorffs</w:t>
      </w:r>
      <w:proofErr w:type="spellEnd"/>
      <w:r w:rsidR="002D00A8" w:rsidRPr="00FC1A42">
        <w:rPr>
          <w:rFonts w:ascii="Times New Roman" w:hAnsi="Times New Roman" w:cs="Times New Roman"/>
          <w:b/>
          <w:bCs/>
          <w:sz w:val="28"/>
          <w:szCs w:val="28"/>
        </w:rPr>
        <w:t xml:space="preserve"> </w:t>
      </w:r>
      <w:proofErr w:type="spellStart"/>
      <w:r w:rsidR="002D00A8" w:rsidRPr="00FC1A42">
        <w:rPr>
          <w:rFonts w:ascii="Times New Roman" w:hAnsi="Times New Roman" w:cs="Times New Roman"/>
          <w:b/>
          <w:bCs/>
          <w:sz w:val="28"/>
          <w:szCs w:val="28"/>
        </w:rPr>
        <w:t>Boerderye</w:t>
      </w:r>
      <w:proofErr w:type="spellEnd"/>
      <w:r w:rsidR="002D00A8" w:rsidRPr="00FC1A42">
        <w:rPr>
          <w:rFonts w:ascii="Times New Roman" w:hAnsi="Times New Roman" w:cs="Times New Roman"/>
          <w:b/>
          <w:bCs/>
          <w:sz w:val="28"/>
          <w:szCs w:val="28"/>
        </w:rPr>
        <w:t xml:space="preserve"> v</w:t>
      </w:r>
      <w:r w:rsidR="002D00A8">
        <w:rPr>
          <w:rFonts w:ascii="Times New Roman" w:hAnsi="Times New Roman" w:cs="Times New Roman"/>
          <w:b/>
          <w:bCs/>
          <w:sz w:val="28"/>
          <w:szCs w:val="28"/>
        </w:rPr>
        <w:t>.</w:t>
      </w:r>
      <w:r w:rsidR="002D00A8" w:rsidRPr="00FC1A42">
        <w:rPr>
          <w:rFonts w:ascii="Times New Roman" w:hAnsi="Times New Roman" w:cs="Times New Roman"/>
          <w:b/>
          <w:bCs/>
          <w:sz w:val="28"/>
          <w:szCs w:val="28"/>
        </w:rPr>
        <w:t xml:space="preserve"> Shabalala and others</w:t>
      </w:r>
      <w:r w:rsidR="002D00A8">
        <w:rPr>
          <w:rStyle w:val="FootnoteReference"/>
          <w:rFonts w:ascii="Times New Roman" w:hAnsi="Times New Roman" w:cs="Times New Roman"/>
          <w:sz w:val="28"/>
          <w:szCs w:val="28"/>
        </w:rPr>
        <w:footnoteReference w:id="1"/>
      </w:r>
      <w:r w:rsidR="002D00A8">
        <w:rPr>
          <w:rFonts w:ascii="Times New Roman" w:hAnsi="Times New Roman" w:cs="Times New Roman"/>
          <w:sz w:val="28"/>
          <w:szCs w:val="28"/>
        </w:rPr>
        <w:t xml:space="preserve">. Be that as it may, of the view I take of the matter, it is not necessary to </w:t>
      </w:r>
      <w:r w:rsidR="00F504F4">
        <w:rPr>
          <w:rFonts w:ascii="Times New Roman" w:hAnsi="Times New Roman" w:cs="Times New Roman"/>
          <w:sz w:val="28"/>
          <w:szCs w:val="28"/>
        </w:rPr>
        <w:t xml:space="preserve">base my decision </w:t>
      </w:r>
      <w:r w:rsidR="002D00A8">
        <w:rPr>
          <w:rFonts w:ascii="Times New Roman" w:hAnsi="Times New Roman" w:cs="Times New Roman"/>
          <w:sz w:val="28"/>
          <w:szCs w:val="28"/>
        </w:rPr>
        <w:t xml:space="preserve">on the Land Act.  </w:t>
      </w:r>
    </w:p>
    <w:p w14:paraId="4D3049BE" w14:textId="77777777" w:rsidR="00F921BC" w:rsidRPr="00FC1A42" w:rsidRDefault="00F921BC" w:rsidP="00F504F4">
      <w:pPr>
        <w:pStyle w:val="BodyText"/>
        <w:kinsoku w:val="0"/>
        <w:overflowPunct w:val="0"/>
        <w:spacing w:line="480" w:lineRule="auto"/>
        <w:ind w:left="0"/>
        <w:jc w:val="both"/>
        <w:rPr>
          <w:rFonts w:ascii="Times New Roman" w:hAnsi="Times New Roman" w:cs="Times New Roman"/>
          <w:sz w:val="24"/>
          <w:szCs w:val="24"/>
        </w:rPr>
      </w:pPr>
    </w:p>
    <w:p w14:paraId="4BF163C8" w14:textId="26D0033E" w:rsidR="0030383B" w:rsidRPr="00FC1A42" w:rsidRDefault="0030383B" w:rsidP="00247587">
      <w:pPr>
        <w:pStyle w:val="BodyText"/>
        <w:kinsoku w:val="0"/>
        <w:overflowPunct w:val="0"/>
        <w:ind w:left="0"/>
        <w:jc w:val="both"/>
        <w:rPr>
          <w:rFonts w:ascii="Times New Roman" w:hAnsi="Times New Roman" w:cs="Times New Roman"/>
          <w:sz w:val="24"/>
          <w:szCs w:val="24"/>
        </w:rPr>
      </w:pPr>
    </w:p>
    <w:p w14:paraId="1454AA6F" w14:textId="23FD6AA8" w:rsidR="001B27EC" w:rsidRDefault="009447C0" w:rsidP="00247587">
      <w:pPr>
        <w:pStyle w:val="BodyText"/>
        <w:kinsoku w:val="0"/>
        <w:overflowPunct w:val="0"/>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73A73E64" w14:textId="1293D267" w:rsidR="00BB0E09" w:rsidRDefault="00022A80"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8D7D50">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 therefore proceed to consider the </w:t>
      </w:r>
      <w:r w:rsidR="00247587">
        <w:rPr>
          <w:rFonts w:ascii="Times New Roman" w:hAnsi="Times New Roman" w:cs="Times New Roman"/>
          <w:sz w:val="28"/>
          <w:szCs w:val="28"/>
        </w:rPr>
        <w:t xml:space="preserve">significance of </w:t>
      </w:r>
      <w:r>
        <w:rPr>
          <w:rFonts w:ascii="Times New Roman" w:hAnsi="Times New Roman" w:cs="Times New Roman"/>
          <w:sz w:val="28"/>
          <w:szCs w:val="28"/>
        </w:rPr>
        <w:t xml:space="preserve">failure to register the agreement. Section 24 of the Deeds Registry Act 1967 provides as follows: </w:t>
      </w:r>
    </w:p>
    <w:p w14:paraId="4BFB8638" w14:textId="77777777" w:rsidR="00F921BC" w:rsidRDefault="00F921BC" w:rsidP="00F81604">
      <w:pPr>
        <w:pStyle w:val="BodyText"/>
        <w:kinsoku w:val="0"/>
        <w:overflowPunct w:val="0"/>
        <w:spacing w:line="480" w:lineRule="auto"/>
        <w:ind w:left="0"/>
        <w:jc w:val="both"/>
        <w:rPr>
          <w:rFonts w:ascii="Times New Roman" w:hAnsi="Times New Roman" w:cs="Times New Roman"/>
          <w:sz w:val="28"/>
          <w:szCs w:val="28"/>
        </w:rPr>
      </w:pPr>
    </w:p>
    <w:p w14:paraId="7A30662D" w14:textId="4DE71DFB" w:rsidR="00B76FD8" w:rsidRPr="009E4CB4" w:rsidRDefault="00F11705" w:rsidP="00141656">
      <w:pPr>
        <w:pStyle w:val="BodyText"/>
        <w:kinsoku w:val="0"/>
        <w:overflowPunct w:val="0"/>
        <w:ind w:left="2880" w:right="850" w:hanging="1440"/>
        <w:jc w:val="both"/>
        <w:rPr>
          <w:rFonts w:ascii="Times New Roman" w:hAnsi="Times New Roman" w:cs="Times New Roman"/>
          <w:sz w:val="24"/>
          <w:szCs w:val="24"/>
        </w:rPr>
      </w:pPr>
      <w:r>
        <w:rPr>
          <w:rFonts w:ascii="Times New Roman" w:hAnsi="Times New Roman" w:cs="Times New Roman"/>
          <w:sz w:val="28"/>
          <w:szCs w:val="28"/>
        </w:rPr>
        <w:t xml:space="preserve">      “</w:t>
      </w:r>
      <w:r w:rsidR="00B76FD8" w:rsidRPr="009E4CB4">
        <w:rPr>
          <w:rFonts w:ascii="Times New Roman" w:hAnsi="Times New Roman" w:cs="Times New Roman"/>
          <w:sz w:val="24"/>
          <w:szCs w:val="24"/>
        </w:rPr>
        <w:t xml:space="preserve">(1)  </w:t>
      </w:r>
      <w:r w:rsidR="00B251A7">
        <w:rPr>
          <w:rFonts w:ascii="Times New Roman" w:hAnsi="Times New Roman" w:cs="Times New Roman"/>
          <w:sz w:val="24"/>
          <w:szCs w:val="24"/>
        </w:rPr>
        <w:tab/>
      </w:r>
      <w:r w:rsidR="00B76FD8" w:rsidRPr="009E4CB4">
        <w:rPr>
          <w:rFonts w:ascii="Times New Roman" w:hAnsi="Times New Roman" w:cs="Times New Roman"/>
          <w:sz w:val="24"/>
          <w:szCs w:val="24"/>
        </w:rPr>
        <w:t>Every agreement of lease or sub-lease of rights in or to immovable property which when entered into was for a period of not less than three years, or for the natural life of the lessee, or any other person mentioned in the lease or sub-lease, or which is renewable from time to time for periods which together with the first period amount in all to not less than three years, shall be registered in the deeds registry.</w:t>
      </w:r>
    </w:p>
    <w:p w14:paraId="05D81DF1" w14:textId="77777777" w:rsidR="00B76FD8" w:rsidRPr="009E4CB4" w:rsidRDefault="00B76FD8" w:rsidP="00141656">
      <w:pPr>
        <w:pStyle w:val="BodyText"/>
        <w:kinsoku w:val="0"/>
        <w:overflowPunct w:val="0"/>
        <w:ind w:left="2880" w:right="850" w:hanging="1440"/>
        <w:jc w:val="both"/>
        <w:rPr>
          <w:rFonts w:ascii="Times New Roman" w:hAnsi="Times New Roman" w:cs="Times New Roman"/>
          <w:sz w:val="24"/>
          <w:szCs w:val="24"/>
        </w:rPr>
      </w:pPr>
    </w:p>
    <w:p w14:paraId="27FD06D0" w14:textId="3A2A3430" w:rsidR="00B76FD8" w:rsidRPr="009E4CB4" w:rsidRDefault="00B76FD8" w:rsidP="00141656">
      <w:pPr>
        <w:pStyle w:val="BodyText"/>
        <w:kinsoku w:val="0"/>
        <w:overflowPunct w:val="0"/>
        <w:ind w:left="2880" w:right="850" w:hanging="1440"/>
        <w:jc w:val="both"/>
        <w:rPr>
          <w:rFonts w:ascii="Times New Roman" w:hAnsi="Times New Roman" w:cs="Times New Roman"/>
          <w:sz w:val="24"/>
          <w:szCs w:val="24"/>
        </w:rPr>
      </w:pPr>
      <w:r w:rsidRPr="009E4CB4">
        <w:rPr>
          <w:rFonts w:ascii="Times New Roman" w:hAnsi="Times New Roman" w:cs="Times New Roman"/>
          <w:sz w:val="24"/>
          <w:szCs w:val="24"/>
        </w:rPr>
        <w:t xml:space="preserve">           (2)     </w:t>
      </w:r>
      <w:r w:rsidR="00B251A7">
        <w:rPr>
          <w:rFonts w:ascii="Times New Roman" w:hAnsi="Times New Roman" w:cs="Times New Roman"/>
          <w:sz w:val="24"/>
          <w:szCs w:val="24"/>
        </w:rPr>
        <w:tab/>
      </w:r>
      <w:r w:rsidRPr="009E4CB4">
        <w:rPr>
          <w:rFonts w:ascii="Times New Roman" w:hAnsi="Times New Roman" w:cs="Times New Roman"/>
          <w:sz w:val="24"/>
          <w:szCs w:val="24"/>
        </w:rPr>
        <w:t xml:space="preserve">Such registration shall only be </w:t>
      </w:r>
      <w:proofErr w:type="gramStart"/>
      <w:r w:rsidRPr="009E4CB4">
        <w:rPr>
          <w:rFonts w:ascii="Times New Roman" w:hAnsi="Times New Roman" w:cs="Times New Roman"/>
          <w:sz w:val="24"/>
          <w:szCs w:val="24"/>
        </w:rPr>
        <w:t>effected</w:t>
      </w:r>
      <w:proofErr w:type="gramEnd"/>
      <w:r w:rsidRPr="009E4CB4">
        <w:rPr>
          <w:rFonts w:ascii="Times New Roman" w:hAnsi="Times New Roman" w:cs="Times New Roman"/>
          <w:sz w:val="24"/>
          <w:szCs w:val="24"/>
        </w:rPr>
        <w:t xml:space="preserve"> after the proper authority has consented in writing to the lessee occupying and using the land to which the lease refers, which consent shall not be unreasonably withheld.</w:t>
      </w:r>
      <w:r w:rsidR="00BD7AFB" w:rsidRPr="009E4CB4">
        <w:rPr>
          <w:rFonts w:ascii="Times New Roman" w:hAnsi="Times New Roman" w:cs="Times New Roman"/>
          <w:sz w:val="24"/>
          <w:szCs w:val="24"/>
        </w:rPr>
        <w:t xml:space="preserve"> </w:t>
      </w:r>
    </w:p>
    <w:p w14:paraId="0AE8203E" w14:textId="77777777" w:rsidR="00C66ADF" w:rsidRPr="009E4CB4" w:rsidRDefault="00C66ADF" w:rsidP="00141656">
      <w:pPr>
        <w:pStyle w:val="BodyText"/>
        <w:kinsoku w:val="0"/>
        <w:overflowPunct w:val="0"/>
        <w:ind w:left="2880" w:right="850" w:hanging="1440"/>
        <w:jc w:val="both"/>
        <w:rPr>
          <w:rFonts w:ascii="Times New Roman" w:hAnsi="Times New Roman" w:cs="Times New Roman"/>
          <w:sz w:val="24"/>
          <w:szCs w:val="24"/>
        </w:rPr>
      </w:pPr>
      <w:r w:rsidRPr="009E4CB4">
        <w:rPr>
          <w:rFonts w:ascii="Times New Roman" w:hAnsi="Times New Roman" w:cs="Times New Roman"/>
          <w:sz w:val="24"/>
          <w:szCs w:val="24"/>
        </w:rPr>
        <w:t xml:space="preserve">  </w:t>
      </w:r>
    </w:p>
    <w:p w14:paraId="05B1FE62" w14:textId="77777777" w:rsidR="00C66ADF" w:rsidRPr="009E4CB4" w:rsidRDefault="00C66ADF" w:rsidP="00141656">
      <w:pPr>
        <w:pStyle w:val="BodyText"/>
        <w:kinsoku w:val="0"/>
        <w:overflowPunct w:val="0"/>
        <w:ind w:left="2880" w:right="850" w:hanging="1440"/>
        <w:jc w:val="both"/>
        <w:rPr>
          <w:rFonts w:ascii="Times New Roman" w:hAnsi="Times New Roman" w:cs="Times New Roman"/>
          <w:sz w:val="24"/>
          <w:szCs w:val="24"/>
        </w:rPr>
      </w:pPr>
      <w:r w:rsidRPr="009E4CB4">
        <w:rPr>
          <w:rFonts w:ascii="Times New Roman" w:hAnsi="Times New Roman" w:cs="Times New Roman"/>
          <w:sz w:val="24"/>
          <w:szCs w:val="24"/>
        </w:rPr>
        <w:t xml:space="preserve">            (3)</w:t>
      </w:r>
      <w:r w:rsidRPr="009E4CB4">
        <w:rPr>
          <w:rFonts w:ascii="Times New Roman" w:hAnsi="Times New Roman" w:cs="Times New Roman"/>
          <w:sz w:val="24"/>
          <w:szCs w:val="24"/>
        </w:rPr>
        <w:tab/>
        <w:t>Every agreement of lease or sub-lease of rights in or to immovable property and to which the proper authority has consented in writing shall be lodged for registration in the deeds registry within three months of the granting of such consent.</w:t>
      </w:r>
    </w:p>
    <w:p w14:paraId="68BBCD45" w14:textId="77777777" w:rsidR="00C66ADF" w:rsidRPr="009E4CB4" w:rsidRDefault="00C66ADF" w:rsidP="00141656">
      <w:pPr>
        <w:pStyle w:val="BodyText"/>
        <w:kinsoku w:val="0"/>
        <w:overflowPunct w:val="0"/>
        <w:ind w:left="2880" w:right="850" w:hanging="1440"/>
        <w:jc w:val="both"/>
        <w:rPr>
          <w:rFonts w:ascii="Times New Roman" w:hAnsi="Times New Roman" w:cs="Times New Roman"/>
          <w:sz w:val="24"/>
          <w:szCs w:val="24"/>
        </w:rPr>
      </w:pPr>
    </w:p>
    <w:p w14:paraId="664D241C" w14:textId="56139573" w:rsidR="00691064" w:rsidRPr="009E4CB4" w:rsidRDefault="00C66ADF" w:rsidP="00141656">
      <w:pPr>
        <w:pStyle w:val="BodyText"/>
        <w:kinsoku w:val="0"/>
        <w:overflowPunct w:val="0"/>
        <w:ind w:left="2880" w:right="850" w:hanging="1440"/>
        <w:jc w:val="both"/>
        <w:rPr>
          <w:rFonts w:ascii="Times New Roman" w:hAnsi="Times New Roman" w:cs="Times New Roman"/>
          <w:sz w:val="24"/>
          <w:szCs w:val="24"/>
        </w:rPr>
      </w:pPr>
      <w:r w:rsidRPr="009E4CB4">
        <w:rPr>
          <w:rFonts w:ascii="Times New Roman" w:hAnsi="Times New Roman" w:cs="Times New Roman"/>
          <w:sz w:val="24"/>
          <w:szCs w:val="24"/>
        </w:rPr>
        <w:t xml:space="preserve">             (4)</w:t>
      </w:r>
      <w:r w:rsidRPr="009E4CB4">
        <w:rPr>
          <w:rFonts w:ascii="Times New Roman" w:hAnsi="Times New Roman" w:cs="Times New Roman"/>
          <w:sz w:val="24"/>
          <w:szCs w:val="24"/>
        </w:rPr>
        <w:tab/>
        <w:t>Every agreement of lease or sub-lease of rights in or to immovable property and to which the proper authority consented in writing prior to the commencement of this Act shall be lodged for registration in the deeds registry within three months of the date of commencement of this Act.</w:t>
      </w:r>
      <w:r w:rsidR="002C0510" w:rsidRPr="009E4CB4">
        <w:rPr>
          <w:rFonts w:ascii="Times New Roman" w:hAnsi="Times New Roman" w:cs="Times New Roman"/>
          <w:sz w:val="24"/>
          <w:szCs w:val="24"/>
        </w:rPr>
        <w:tab/>
      </w:r>
      <w:r w:rsidR="002C0510" w:rsidRPr="009E4CB4">
        <w:rPr>
          <w:rFonts w:ascii="Times New Roman" w:hAnsi="Times New Roman" w:cs="Times New Roman"/>
          <w:sz w:val="24"/>
          <w:szCs w:val="24"/>
        </w:rPr>
        <w:tab/>
      </w:r>
      <w:r w:rsidR="002C0510" w:rsidRPr="009E4CB4">
        <w:rPr>
          <w:rFonts w:ascii="Times New Roman" w:hAnsi="Times New Roman" w:cs="Times New Roman"/>
          <w:sz w:val="24"/>
          <w:szCs w:val="24"/>
        </w:rPr>
        <w:tab/>
        <w:t xml:space="preserve">       </w:t>
      </w:r>
      <w:r w:rsidR="00691064" w:rsidRPr="009E4CB4">
        <w:rPr>
          <w:rFonts w:ascii="Times New Roman" w:hAnsi="Times New Roman" w:cs="Times New Roman"/>
          <w:sz w:val="24"/>
          <w:szCs w:val="24"/>
        </w:rPr>
        <w:tab/>
      </w:r>
    </w:p>
    <w:p w14:paraId="485931D2" w14:textId="20D92559" w:rsidR="00C66ADF" w:rsidRPr="009E4CB4" w:rsidRDefault="00C66ADF" w:rsidP="00141656">
      <w:pPr>
        <w:pStyle w:val="BodyText"/>
        <w:kinsoku w:val="0"/>
        <w:overflowPunct w:val="0"/>
        <w:ind w:left="2880" w:right="850" w:hanging="1440"/>
        <w:jc w:val="both"/>
        <w:rPr>
          <w:rFonts w:ascii="Times New Roman" w:hAnsi="Times New Roman" w:cs="Times New Roman"/>
          <w:sz w:val="24"/>
          <w:szCs w:val="24"/>
        </w:rPr>
      </w:pPr>
    </w:p>
    <w:p w14:paraId="457A9BED" w14:textId="1F575357" w:rsidR="00C66ADF" w:rsidRDefault="00C66ADF" w:rsidP="00141656">
      <w:pPr>
        <w:pStyle w:val="BodyText"/>
        <w:kinsoku w:val="0"/>
        <w:overflowPunct w:val="0"/>
        <w:ind w:left="2880" w:right="850" w:hanging="1440"/>
        <w:jc w:val="both"/>
        <w:rPr>
          <w:rFonts w:ascii="Times New Roman" w:hAnsi="Times New Roman" w:cs="Times New Roman"/>
          <w:sz w:val="24"/>
          <w:szCs w:val="24"/>
        </w:rPr>
      </w:pPr>
      <w:r w:rsidRPr="009E4CB4">
        <w:rPr>
          <w:rFonts w:ascii="Times New Roman" w:hAnsi="Times New Roman" w:cs="Times New Roman"/>
          <w:sz w:val="24"/>
          <w:szCs w:val="24"/>
        </w:rPr>
        <w:t xml:space="preserve">                (5)</w:t>
      </w:r>
      <w:r w:rsidRPr="009E4CB4">
        <w:rPr>
          <w:rFonts w:ascii="Times New Roman" w:hAnsi="Times New Roman" w:cs="Times New Roman"/>
          <w:sz w:val="24"/>
          <w:szCs w:val="24"/>
        </w:rPr>
        <w:tab/>
        <w:t xml:space="preserve">Failure to lodge such lease or sub-lease for registration within the prescribed period or within such extended period as the court may allow, shall render the agreement </w:t>
      </w:r>
      <w:r w:rsidRPr="009E4CB4">
        <w:rPr>
          <w:rFonts w:ascii="Times New Roman" w:hAnsi="Times New Roman" w:cs="Times New Roman"/>
          <w:sz w:val="24"/>
          <w:szCs w:val="24"/>
        </w:rPr>
        <w:lastRenderedPageBreak/>
        <w:t>of</w:t>
      </w:r>
      <w:r w:rsidR="009E4CB4" w:rsidRPr="009E4CB4">
        <w:rPr>
          <w:rFonts w:ascii="Times New Roman" w:hAnsi="Times New Roman" w:cs="Times New Roman"/>
          <w:sz w:val="24"/>
          <w:szCs w:val="24"/>
        </w:rPr>
        <w:t xml:space="preserve"> </w:t>
      </w:r>
      <w:r w:rsidRPr="009E4CB4">
        <w:rPr>
          <w:rFonts w:ascii="Times New Roman" w:hAnsi="Times New Roman" w:cs="Times New Roman"/>
          <w:sz w:val="24"/>
          <w:szCs w:val="24"/>
        </w:rPr>
        <w:t>lease or sub-lease null and void and of no force and effect.</w:t>
      </w:r>
    </w:p>
    <w:p w14:paraId="7425050C" w14:textId="77777777" w:rsidR="002144B9" w:rsidRPr="009E4CB4" w:rsidRDefault="002144B9" w:rsidP="00141656">
      <w:pPr>
        <w:pStyle w:val="BodyText"/>
        <w:kinsoku w:val="0"/>
        <w:overflowPunct w:val="0"/>
        <w:ind w:left="2880" w:right="850" w:hanging="1440"/>
        <w:jc w:val="both"/>
        <w:rPr>
          <w:rFonts w:ascii="Times New Roman" w:hAnsi="Times New Roman" w:cs="Times New Roman"/>
          <w:sz w:val="24"/>
          <w:szCs w:val="24"/>
        </w:rPr>
      </w:pPr>
    </w:p>
    <w:p w14:paraId="5D8725A2" w14:textId="4DBA7BA1" w:rsidR="00C66ADF" w:rsidRPr="009E4CB4" w:rsidRDefault="00C66ADF" w:rsidP="00141656">
      <w:pPr>
        <w:pStyle w:val="BodyText"/>
        <w:kinsoku w:val="0"/>
        <w:overflowPunct w:val="0"/>
        <w:ind w:left="2880" w:right="850" w:hanging="1440"/>
        <w:jc w:val="both"/>
        <w:rPr>
          <w:rFonts w:ascii="Times New Roman" w:hAnsi="Times New Roman" w:cs="Times New Roman"/>
          <w:sz w:val="24"/>
          <w:szCs w:val="24"/>
        </w:rPr>
      </w:pPr>
      <w:r w:rsidRPr="009E4CB4">
        <w:rPr>
          <w:rFonts w:ascii="Times New Roman" w:hAnsi="Times New Roman" w:cs="Times New Roman"/>
          <w:sz w:val="24"/>
          <w:szCs w:val="24"/>
        </w:rPr>
        <w:t xml:space="preserve">               (6)</w:t>
      </w:r>
      <w:r w:rsidRPr="009E4CB4">
        <w:rPr>
          <w:rFonts w:ascii="Times New Roman" w:hAnsi="Times New Roman" w:cs="Times New Roman"/>
          <w:sz w:val="24"/>
          <w:szCs w:val="24"/>
        </w:rPr>
        <w:tab/>
      </w:r>
      <w:r w:rsidR="009E4CB4" w:rsidRPr="009E4CB4">
        <w:rPr>
          <w:rFonts w:ascii="Times New Roman" w:hAnsi="Times New Roman" w:cs="Times New Roman"/>
          <w:sz w:val="24"/>
          <w:szCs w:val="24"/>
        </w:rPr>
        <w:t xml:space="preserve">Any agreement of lease or sub-lease of rights in or to immovable property executed, </w:t>
      </w:r>
      <w:proofErr w:type="gramStart"/>
      <w:r w:rsidR="009E4CB4" w:rsidRPr="009E4CB4">
        <w:rPr>
          <w:rFonts w:ascii="Times New Roman" w:hAnsi="Times New Roman" w:cs="Times New Roman"/>
          <w:sz w:val="24"/>
          <w:szCs w:val="24"/>
        </w:rPr>
        <w:t>attested</w:t>
      </w:r>
      <w:proofErr w:type="gramEnd"/>
      <w:r w:rsidR="009E4CB4" w:rsidRPr="009E4CB4">
        <w:rPr>
          <w:rFonts w:ascii="Times New Roman" w:hAnsi="Times New Roman" w:cs="Times New Roman"/>
          <w:sz w:val="24"/>
          <w:szCs w:val="24"/>
        </w:rPr>
        <w:t xml:space="preserve"> or registered contrary to the provisions of this section shall be null and void and of no force and effect.”</w:t>
      </w:r>
    </w:p>
    <w:p w14:paraId="3EA196CF" w14:textId="1F4BE413" w:rsidR="001B27EC" w:rsidRPr="009E4CB4" w:rsidRDefault="001B27EC" w:rsidP="00F81604">
      <w:pPr>
        <w:pStyle w:val="BodyText"/>
        <w:kinsoku w:val="0"/>
        <w:overflowPunct w:val="0"/>
        <w:spacing w:line="480" w:lineRule="auto"/>
        <w:ind w:left="0"/>
        <w:jc w:val="both"/>
        <w:rPr>
          <w:rFonts w:ascii="Times New Roman" w:hAnsi="Times New Roman" w:cs="Times New Roman"/>
          <w:sz w:val="24"/>
          <w:szCs w:val="24"/>
        </w:rPr>
      </w:pPr>
    </w:p>
    <w:p w14:paraId="08F6534F" w14:textId="5FA6938A" w:rsidR="004E73D5" w:rsidRDefault="00691064" w:rsidP="00F81604">
      <w:pPr>
        <w:pStyle w:val="BodyText"/>
        <w:kinsoku w:val="0"/>
        <w:overflowPunct w:val="0"/>
        <w:spacing w:line="480" w:lineRule="auto"/>
        <w:ind w:left="0"/>
        <w:jc w:val="both"/>
        <w:rPr>
          <w:rFonts w:ascii="Times New Roman" w:hAnsi="Times New Roman" w:cs="Times New Roman"/>
          <w:sz w:val="28"/>
          <w:szCs w:val="28"/>
        </w:rPr>
      </w:pPr>
      <w:r w:rsidRPr="009E4CB4">
        <w:rPr>
          <w:rFonts w:ascii="Times New Roman" w:hAnsi="Times New Roman" w:cs="Times New Roman"/>
          <w:sz w:val="28"/>
          <w:szCs w:val="28"/>
        </w:rPr>
        <w:t>[2</w:t>
      </w:r>
      <w:r w:rsidR="008D7D50">
        <w:rPr>
          <w:rFonts w:ascii="Times New Roman" w:hAnsi="Times New Roman" w:cs="Times New Roman"/>
          <w:sz w:val="28"/>
          <w:szCs w:val="28"/>
        </w:rPr>
        <w:t>1</w:t>
      </w:r>
      <w:r w:rsidRPr="009E4CB4">
        <w:rPr>
          <w:rFonts w:ascii="Times New Roman" w:hAnsi="Times New Roman" w:cs="Times New Roman"/>
          <w:sz w:val="28"/>
          <w:szCs w:val="28"/>
        </w:rPr>
        <w:t>]</w:t>
      </w:r>
      <w:r w:rsidRPr="009E4CB4">
        <w:rPr>
          <w:rFonts w:ascii="Times New Roman" w:hAnsi="Times New Roman" w:cs="Times New Roman"/>
          <w:sz w:val="28"/>
          <w:szCs w:val="28"/>
        </w:rPr>
        <w:tab/>
      </w:r>
      <w:r w:rsidRPr="009E4CB4">
        <w:rPr>
          <w:rFonts w:ascii="Times New Roman" w:hAnsi="Times New Roman" w:cs="Times New Roman"/>
          <w:sz w:val="28"/>
          <w:szCs w:val="28"/>
        </w:rPr>
        <w:tab/>
      </w:r>
      <w:r w:rsidR="00F93C72" w:rsidRPr="009E4CB4">
        <w:rPr>
          <w:rFonts w:ascii="Times New Roman" w:hAnsi="Times New Roman" w:cs="Times New Roman"/>
          <w:sz w:val="28"/>
          <w:szCs w:val="28"/>
        </w:rPr>
        <w:t xml:space="preserve">The scheme of section 24 requires </w:t>
      </w:r>
      <w:r w:rsidRPr="009E4CB4">
        <w:rPr>
          <w:rFonts w:ascii="Times New Roman" w:hAnsi="Times New Roman" w:cs="Times New Roman"/>
          <w:sz w:val="28"/>
          <w:szCs w:val="28"/>
        </w:rPr>
        <w:t xml:space="preserve">a sublease agreement for a period </w:t>
      </w:r>
      <w:r w:rsidR="00F93C72" w:rsidRPr="009E4CB4">
        <w:rPr>
          <w:rFonts w:ascii="Times New Roman" w:hAnsi="Times New Roman" w:cs="Times New Roman"/>
          <w:sz w:val="28"/>
          <w:szCs w:val="28"/>
        </w:rPr>
        <w:t xml:space="preserve">of not less than </w:t>
      </w:r>
      <w:r w:rsidRPr="009E4CB4">
        <w:rPr>
          <w:rFonts w:ascii="Times New Roman" w:hAnsi="Times New Roman" w:cs="Times New Roman"/>
          <w:sz w:val="28"/>
          <w:szCs w:val="28"/>
        </w:rPr>
        <w:t>three</w:t>
      </w:r>
      <w:r>
        <w:rPr>
          <w:rFonts w:ascii="Times New Roman" w:hAnsi="Times New Roman" w:cs="Times New Roman"/>
          <w:sz w:val="28"/>
          <w:szCs w:val="28"/>
        </w:rPr>
        <w:t xml:space="preserve"> years</w:t>
      </w:r>
      <w:r w:rsidR="00F93C72">
        <w:rPr>
          <w:rFonts w:ascii="Times New Roman" w:hAnsi="Times New Roman" w:cs="Times New Roman"/>
          <w:sz w:val="28"/>
          <w:szCs w:val="28"/>
        </w:rPr>
        <w:t xml:space="preserve"> to be </w:t>
      </w:r>
      <w:r>
        <w:rPr>
          <w:rFonts w:ascii="Times New Roman" w:hAnsi="Times New Roman" w:cs="Times New Roman"/>
          <w:sz w:val="28"/>
          <w:szCs w:val="28"/>
        </w:rPr>
        <w:t>registered</w:t>
      </w:r>
      <w:r w:rsidR="00F93C72">
        <w:rPr>
          <w:rFonts w:ascii="Times New Roman" w:hAnsi="Times New Roman" w:cs="Times New Roman"/>
          <w:sz w:val="28"/>
          <w:szCs w:val="28"/>
        </w:rPr>
        <w:t xml:space="preserve">. </w:t>
      </w:r>
      <w:r w:rsidR="003F66D7">
        <w:rPr>
          <w:rFonts w:ascii="Times New Roman" w:hAnsi="Times New Roman" w:cs="Times New Roman"/>
          <w:sz w:val="28"/>
          <w:szCs w:val="28"/>
        </w:rPr>
        <w:t xml:space="preserve">As it was eloquently stated in </w:t>
      </w:r>
      <w:r w:rsidR="003F66D7" w:rsidRPr="003F66D7">
        <w:rPr>
          <w:rFonts w:ascii="Times New Roman" w:hAnsi="Times New Roman" w:cs="Times New Roman"/>
          <w:b/>
          <w:bCs/>
          <w:sz w:val="28"/>
          <w:szCs w:val="28"/>
        </w:rPr>
        <w:t xml:space="preserve">C &amp; S Properties (Pty) Ltd v. </w:t>
      </w:r>
      <w:proofErr w:type="spellStart"/>
      <w:r w:rsidR="003F66D7" w:rsidRPr="003F66D7">
        <w:rPr>
          <w:rFonts w:ascii="Times New Roman" w:hAnsi="Times New Roman" w:cs="Times New Roman"/>
          <w:b/>
          <w:bCs/>
          <w:sz w:val="28"/>
          <w:szCs w:val="28"/>
        </w:rPr>
        <w:t>Dr.</w:t>
      </w:r>
      <w:proofErr w:type="spellEnd"/>
      <w:r w:rsidR="003F66D7" w:rsidRPr="003F66D7">
        <w:rPr>
          <w:rFonts w:ascii="Times New Roman" w:hAnsi="Times New Roman" w:cs="Times New Roman"/>
          <w:b/>
          <w:bCs/>
          <w:sz w:val="28"/>
          <w:szCs w:val="28"/>
        </w:rPr>
        <w:t xml:space="preserve"> </w:t>
      </w:r>
      <w:proofErr w:type="spellStart"/>
      <w:r w:rsidR="003F66D7" w:rsidRPr="003F66D7">
        <w:rPr>
          <w:rFonts w:ascii="Times New Roman" w:hAnsi="Times New Roman" w:cs="Times New Roman"/>
          <w:b/>
          <w:bCs/>
          <w:sz w:val="28"/>
          <w:szCs w:val="28"/>
        </w:rPr>
        <w:t>Mamphono</w:t>
      </w:r>
      <w:proofErr w:type="spellEnd"/>
      <w:r w:rsidR="003F66D7" w:rsidRPr="003F66D7">
        <w:rPr>
          <w:rFonts w:ascii="Times New Roman" w:hAnsi="Times New Roman" w:cs="Times New Roman"/>
          <w:b/>
          <w:bCs/>
          <w:sz w:val="28"/>
          <w:szCs w:val="28"/>
        </w:rPr>
        <w:t xml:space="preserve"> </w:t>
      </w:r>
      <w:proofErr w:type="spellStart"/>
      <w:r w:rsidR="003F66D7" w:rsidRPr="003F66D7">
        <w:rPr>
          <w:rFonts w:ascii="Times New Roman" w:hAnsi="Times New Roman" w:cs="Times New Roman"/>
          <w:b/>
          <w:bCs/>
          <w:sz w:val="28"/>
          <w:szCs w:val="28"/>
        </w:rPr>
        <w:t>Khaketla</w:t>
      </w:r>
      <w:proofErr w:type="spellEnd"/>
      <w:r w:rsidR="003F66D7">
        <w:rPr>
          <w:rStyle w:val="FootnoteReference"/>
          <w:rFonts w:ascii="Times New Roman" w:hAnsi="Times New Roman" w:cs="Times New Roman"/>
          <w:b/>
          <w:bCs/>
          <w:sz w:val="28"/>
          <w:szCs w:val="28"/>
        </w:rPr>
        <w:footnoteReference w:id="2"/>
      </w:r>
      <w:r w:rsidR="003F66D7">
        <w:rPr>
          <w:rFonts w:ascii="Times New Roman" w:hAnsi="Times New Roman" w:cs="Times New Roman"/>
          <w:sz w:val="28"/>
          <w:szCs w:val="28"/>
        </w:rPr>
        <w:t xml:space="preserve">, the process of subletting involves both an agreement which confers the rights and registration </w:t>
      </w:r>
      <w:proofErr w:type="gramStart"/>
      <w:r w:rsidR="003F66D7">
        <w:rPr>
          <w:rFonts w:ascii="Times New Roman" w:hAnsi="Times New Roman" w:cs="Times New Roman"/>
          <w:sz w:val="28"/>
          <w:szCs w:val="28"/>
        </w:rPr>
        <w:t>in order to</w:t>
      </w:r>
      <w:proofErr w:type="gramEnd"/>
      <w:r w:rsidR="003F66D7">
        <w:rPr>
          <w:rFonts w:ascii="Times New Roman" w:hAnsi="Times New Roman" w:cs="Times New Roman"/>
          <w:sz w:val="28"/>
          <w:szCs w:val="28"/>
        </w:rPr>
        <w:t xml:space="preserve"> transfer those rights. </w:t>
      </w:r>
    </w:p>
    <w:p w14:paraId="6B7DC21E" w14:textId="77777777" w:rsidR="004E73D5" w:rsidRDefault="004E73D5" w:rsidP="00F81604">
      <w:pPr>
        <w:pStyle w:val="BodyText"/>
        <w:kinsoku w:val="0"/>
        <w:overflowPunct w:val="0"/>
        <w:spacing w:line="480" w:lineRule="auto"/>
        <w:ind w:left="0"/>
        <w:jc w:val="both"/>
        <w:rPr>
          <w:rFonts w:ascii="Times New Roman" w:hAnsi="Times New Roman" w:cs="Times New Roman"/>
          <w:sz w:val="28"/>
          <w:szCs w:val="28"/>
        </w:rPr>
      </w:pPr>
    </w:p>
    <w:p w14:paraId="565E260C" w14:textId="33E3E815" w:rsidR="009F59BF" w:rsidRDefault="004E73D5"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D7D5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93C72">
        <w:rPr>
          <w:rFonts w:ascii="Times New Roman" w:hAnsi="Times New Roman" w:cs="Times New Roman"/>
          <w:sz w:val="28"/>
          <w:szCs w:val="28"/>
        </w:rPr>
        <w:t>T</w:t>
      </w:r>
      <w:r w:rsidR="003C7D68">
        <w:rPr>
          <w:rFonts w:ascii="Times New Roman" w:hAnsi="Times New Roman" w:cs="Times New Roman"/>
          <w:sz w:val="28"/>
          <w:szCs w:val="28"/>
        </w:rPr>
        <w:t xml:space="preserve">he </w:t>
      </w:r>
      <w:r w:rsidR="00F93C72">
        <w:rPr>
          <w:rFonts w:ascii="Times New Roman" w:hAnsi="Times New Roman" w:cs="Times New Roman"/>
          <w:sz w:val="28"/>
          <w:szCs w:val="28"/>
        </w:rPr>
        <w:t xml:space="preserve">Legislature has used the </w:t>
      </w:r>
      <w:r w:rsidR="003C7D68">
        <w:rPr>
          <w:rFonts w:ascii="Times New Roman" w:hAnsi="Times New Roman" w:cs="Times New Roman"/>
          <w:sz w:val="28"/>
          <w:szCs w:val="28"/>
        </w:rPr>
        <w:t xml:space="preserve">word </w:t>
      </w:r>
      <w:r w:rsidR="003C7D68" w:rsidRPr="003C7D68">
        <w:rPr>
          <w:rFonts w:ascii="Times New Roman" w:hAnsi="Times New Roman" w:cs="Times New Roman"/>
          <w:i/>
          <w:iCs/>
          <w:sz w:val="28"/>
          <w:szCs w:val="28"/>
        </w:rPr>
        <w:t>“shall”</w:t>
      </w:r>
      <w:r w:rsidR="003C7D68">
        <w:rPr>
          <w:rFonts w:ascii="Times New Roman" w:hAnsi="Times New Roman" w:cs="Times New Roman"/>
          <w:sz w:val="28"/>
          <w:szCs w:val="28"/>
        </w:rPr>
        <w:t xml:space="preserve"> </w:t>
      </w:r>
      <w:r w:rsidR="00F93C72">
        <w:rPr>
          <w:rFonts w:ascii="Times New Roman" w:hAnsi="Times New Roman" w:cs="Times New Roman"/>
          <w:sz w:val="28"/>
          <w:szCs w:val="28"/>
        </w:rPr>
        <w:t xml:space="preserve">in relation to </w:t>
      </w:r>
      <w:r w:rsidR="00C07F8C">
        <w:rPr>
          <w:rFonts w:ascii="Times New Roman" w:hAnsi="Times New Roman" w:cs="Times New Roman"/>
          <w:sz w:val="28"/>
          <w:szCs w:val="28"/>
        </w:rPr>
        <w:t xml:space="preserve">the </w:t>
      </w:r>
      <w:r>
        <w:rPr>
          <w:rFonts w:ascii="Times New Roman" w:hAnsi="Times New Roman" w:cs="Times New Roman"/>
          <w:sz w:val="28"/>
          <w:szCs w:val="28"/>
        </w:rPr>
        <w:t xml:space="preserve">requirement to register a lease or sublease. </w:t>
      </w:r>
      <w:r w:rsidR="003C7D68">
        <w:rPr>
          <w:rFonts w:ascii="Times New Roman" w:hAnsi="Times New Roman" w:cs="Times New Roman"/>
          <w:sz w:val="28"/>
          <w:szCs w:val="28"/>
        </w:rPr>
        <w:t>Tellingly, failure to register renders a</w:t>
      </w:r>
      <w:r>
        <w:rPr>
          <w:rFonts w:ascii="Times New Roman" w:hAnsi="Times New Roman" w:cs="Times New Roman"/>
          <w:sz w:val="28"/>
          <w:szCs w:val="28"/>
        </w:rPr>
        <w:t xml:space="preserve"> lease or sublease </w:t>
      </w:r>
      <w:r w:rsidR="003C7D68">
        <w:rPr>
          <w:rFonts w:ascii="Times New Roman" w:hAnsi="Times New Roman" w:cs="Times New Roman"/>
          <w:sz w:val="28"/>
          <w:szCs w:val="28"/>
        </w:rPr>
        <w:t xml:space="preserve">null and void and of no force and effect. </w:t>
      </w:r>
      <w:r w:rsidR="0047388E">
        <w:rPr>
          <w:rFonts w:ascii="Times New Roman" w:hAnsi="Times New Roman" w:cs="Times New Roman"/>
          <w:sz w:val="28"/>
          <w:szCs w:val="28"/>
        </w:rPr>
        <w:t>Accordingly, it is</w:t>
      </w:r>
      <w:r w:rsidR="003F66D7">
        <w:rPr>
          <w:rFonts w:ascii="Times New Roman" w:hAnsi="Times New Roman" w:cs="Times New Roman"/>
          <w:sz w:val="28"/>
          <w:szCs w:val="28"/>
        </w:rPr>
        <w:t xml:space="preserve"> pellucidly clear that </w:t>
      </w:r>
      <w:r w:rsidR="003C7D68">
        <w:rPr>
          <w:rFonts w:ascii="Times New Roman" w:hAnsi="Times New Roman" w:cs="Times New Roman"/>
          <w:sz w:val="28"/>
          <w:szCs w:val="28"/>
        </w:rPr>
        <w:t>the requirement to register a</w:t>
      </w:r>
      <w:r w:rsidR="00F93C72">
        <w:rPr>
          <w:rFonts w:ascii="Times New Roman" w:hAnsi="Times New Roman" w:cs="Times New Roman"/>
          <w:sz w:val="28"/>
          <w:szCs w:val="28"/>
        </w:rPr>
        <w:t xml:space="preserve"> lease or</w:t>
      </w:r>
      <w:r w:rsidR="003C7D68">
        <w:rPr>
          <w:rFonts w:ascii="Times New Roman" w:hAnsi="Times New Roman" w:cs="Times New Roman"/>
          <w:sz w:val="28"/>
          <w:szCs w:val="28"/>
        </w:rPr>
        <w:t xml:space="preserve"> sublease is peremptory and not just directory. </w:t>
      </w:r>
      <w:r w:rsidR="00476150">
        <w:rPr>
          <w:rFonts w:ascii="Times New Roman" w:hAnsi="Times New Roman" w:cs="Times New Roman"/>
          <w:sz w:val="28"/>
          <w:szCs w:val="28"/>
        </w:rPr>
        <w:t>T</w:t>
      </w:r>
      <w:r w:rsidR="0047388E">
        <w:rPr>
          <w:rFonts w:ascii="Times New Roman" w:hAnsi="Times New Roman" w:cs="Times New Roman"/>
          <w:sz w:val="28"/>
          <w:szCs w:val="28"/>
        </w:rPr>
        <w:t>he</w:t>
      </w:r>
      <w:r w:rsidR="009F59BF">
        <w:rPr>
          <w:rFonts w:ascii="Times New Roman" w:hAnsi="Times New Roman" w:cs="Times New Roman"/>
          <w:sz w:val="28"/>
          <w:szCs w:val="28"/>
        </w:rPr>
        <w:t xml:space="preserve"> guidelines propounded by</w:t>
      </w:r>
      <w:r w:rsidR="006E6B0C">
        <w:rPr>
          <w:rFonts w:ascii="Times New Roman" w:hAnsi="Times New Roman" w:cs="Times New Roman"/>
          <w:sz w:val="28"/>
          <w:szCs w:val="28"/>
        </w:rPr>
        <w:t xml:space="preserve"> </w:t>
      </w:r>
      <w:r w:rsidR="006E6B0C" w:rsidRPr="00291118">
        <w:rPr>
          <w:rFonts w:ascii="Times New Roman" w:hAnsi="Times New Roman" w:cs="Times New Roman"/>
          <w:i/>
          <w:iCs/>
          <w:sz w:val="28"/>
          <w:szCs w:val="28"/>
        </w:rPr>
        <w:t>Wessels</w:t>
      </w:r>
      <w:r w:rsidR="006E6B0C">
        <w:rPr>
          <w:rFonts w:ascii="Times New Roman" w:hAnsi="Times New Roman" w:cs="Times New Roman"/>
          <w:sz w:val="28"/>
          <w:szCs w:val="28"/>
        </w:rPr>
        <w:t xml:space="preserve"> JA in </w:t>
      </w:r>
      <w:r w:rsidR="006E6B0C" w:rsidRPr="006E6B0C">
        <w:rPr>
          <w:rFonts w:ascii="Times New Roman" w:hAnsi="Times New Roman" w:cs="Times New Roman"/>
          <w:b/>
          <w:bCs/>
          <w:sz w:val="28"/>
          <w:szCs w:val="28"/>
        </w:rPr>
        <w:t>Sutter v. Scheepers</w:t>
      </w:r>
      <w:r w:rsidR="006E6B0C">
        <w:rPr>
          <w:rStyle w:val="FootnoteReference"/>
          <w:rFonts w:ascii="Times New Roman" w:hAnsi="Times New Roman" w:cs="Times New Roman"/>
          <w:b/>
          <w:bCs/>
          <w:sz w:val="28"/>
          <w:szCs w:val="28"/>
        </w:rPr>
        <w:footnoteReference w:id="3"/>
      </w:r>
      <w:r w:rsidR="00AC55F9">
        <w:rPr>
          <w:rFonts w:ascii="Times New Roman" w:hAnsi="Times New Roman" w:cs="Times New Roman"/>
          <w:sz w:val="28"/>
          <w:szCs w:val="28"/>
        </w:rPr>
        <w:t>lead</w:t>
      </w:r>
      <w:r w:rsidR="00891BB0">
        <w:rPr>
          <w:rFonts w:ascii="Times New Roman" w:hAnsi="Times New Roman" w:cs="Times New Roman"/>
          <w:sz w:val="28"/>
          <w:szCs w:val="28"/>
        </w:rPr>
        <w:t xml:space="preserve"> me</w:t>
      </w:r>
      <w:r w:rsidR="00AC55F9">
        <w:rPr>
          <w:rFonts w:ascii="Times New Roman" w:hAnsi="Times New Roman" w:cs="Times New Roman"/>
          <w:sz w:val="28"/>
          <w:szCs w:val="28"/>
        </w:rPr>
        <w:t xml:space="preserve"> to</w:t>
      </w:r>
      <w:r w:rsidR="006E6B0C">
        <w:rPr>
          <w:rFonts w:ascii="Times New Roman" w:hAnsi="Times New Roman" w:cs="Times New Roman"/>
          <w:sz w:val="28"/>
          <w:szCs w:val="28"/>
        </w:rPr>
        <w:t xml:space="preserve"> a conclusion that the provisions of section 24 are peremptory and </w:t>
      </w:r>
      <w:r>
        <w:rPr>
          <w:rFonts w:ascii="Times New Roman" w:hAnsi="Times New Roman" w:cs="Times New Roman"/>
          <w:sz w:val="28"/>
          <w:szCs w:val="28"/>
        </w:rPr>
        <w:t xml:space="preserve">call for </w:t>
      </w:r>
      <w:r w:rsidR="006E6B0C">
        <w:rPr>
          <w:rFonts w:ascii="Times New Roman" w:hAnsi="Times New Roman" w:cs="Times New Roman"/>
          <w:sz w:val="28"/>
          <w:szCs w:val="28"/>
        </w:rPr>
        <w:t xml:space="preserve">strict compliance. </w:t>
      </w:r>
      <w:r w:rsidR="003F66D7">
        <w:rPr>
          <w:rFonts w:ascii="Times New Roman" w:hAnsi="Times New Roman" w:cs="Times New Roman"/>
          <w:sz w:val="28"/>
          <w:szCs w:val="28"/>
        </w:rPr>
        <w:t xml:space="preserve"> </w:t>
      </w:r>
    </w:p>
    <w:p w14:paraId="232CFA11" w14:textId="0F821121" w:rsidR="004E73D5" w:rsidRDefault="004E73D5" w:rsidP="00F81604">
      <w:pPr>
        <w:pStyle w:val="BodyText"/>
        <w:kinsoku w:val="0"/>
        <w:overflowPunct w:val="0"/>
        <w:spacing w:line="480" w:lineRule="auto"/>
        <w:ind w:left="0"/>
        <w:jc w:val="both"/>
        <w:rPr>
          <w:rFonts w:ascii="Times New Roman" w:hAnsi="Times New Roman" w:cs="Times New Roman"/>
          <w:sz w:val="28"/>
          <w:szCs w:val="28"/>
        </w:rPr>
      </w:pPr>
    </w:p>
    <w:p w14:paraId="4E3CAEFF" w14:textId="3BB20BFD" w:rsidR="00940AF6" w:rsidRPr="00DD2A31" w:rsidRDefault="004E73D5"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D7D5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roofErr w:type="spellStart"/>
      <w:r w:rsidR="00940AF6" w:rsidRPr="00291118">
        <w:rPr>
          <w:rFonts w:ascii="Times New Roman" w:hAnsi="Times New Roman" w:cs="Times New Roman"/>
          <w:i/>
          <w:iCs/>
          <w:sz w:val="28"/>
          <w:szCs w:val="28"/>
        </w:rPr>
        <w:t>Damaseb</w:t>
      </w:r>
      <w:proofErr w:type="spellEnd"/>
      <w:r w:rsidR="00940AF6">
        <w:rPr>
          <w:rFonts w:ascii="Times New Roman" w:hAnsi="Times New Roman" w:cs="Times New Roman"/>
          <w:sz w:val="28"/>
          <w:szCs w:val="28"/>
        </w:rPr>
        <w:t xml:space="preserve"> AJA said the following in </w:t>
      </w:r>
      <w:proofErr w:type="spellStart"/>
      <w:r w:rsidR="00940AF6" w:rsidRPr="00940AF6">
        <w:rPr>
          <w:rFonts w:ascii="Times New Roman" w:hAnsi="Times New Roman" w:cs="Times New Roman"/>
          <w:b/>
          <w:bCs/>
          <w:sz w:val="28"/>
          <w:szCs w:val="28"/>
        </w:rPr>
        <w:t>Maphathe</w:t>
      </w:r>
      <w:proofErr w:type="spellEnd"/>
      <w:r w:rsidR="00940AF6" w:rsidRPr="00940AF6">
        <w:rPr>
          <w:rFonts w:ascii="Times New Roman" w:hAnsi="Times New Roman" w:cs="Times New Roman"/>
          <w:b/>
          <w:bCs/>
          <w:sz w:val="28"/>
          <w:szCs w:val="28"/>
        </w:rPr>
        <w:t xml:space="preserve"> v. I </w:t>
      </w:r>
      <w:proofErr w:type="spellStart"/>
      <w:r w:rsidR="00940AF6" w:rsidRPr="00940AF6">
        <w:rPr>
          <w:rFonts w:ascii="Times New Roman" w:hAnsi="Times New Roman" w:cs="Times New Roman"/>
          <w:b/>
          <w:bCs/>
          <w:sz w:val="28"/>
          <w:szCs w:val="28"/>
        </w:rPr>
        <w:t>Kuper</w:t>
      </w:r>
      <w:proofErr w:type="spellEnd"/>
      <w:r w:rsidR="00940AF6" w:rsidRPr="00940AF6">
        <w:rPr>
          <w:rFonts w:ascii="Times New Roman" w:hAnsi="Times New Roman" w:cs="Times New Roman"/>
          <w:b/>
          <w:bCs/>
          <w:sz w:val="28"/>
          <w:szCs w:val="28"/>
        </w:rPr>
        <w:t xml:space="preserve"> Lesotho</w:t>
      </w:r>
      <w:r w:rsidR="00940AF6">
        <w:rPr>
          <w:rStyle w:val="FootnoteReference"/>
          <w:rFonts w:ascii="Times New Roman" w:hAnsi="Times New Roman" w:cs="Times New Roman"/>
          <w:sz w:val="28"/>
          <w:szCs w:val="28"/>
        </w:rPr>
        <w:footnoteReference w:id="4"/>
      </w:r>
      <w:r w:rsidR="004F7595">
        <w:rPr>
          <w:rFonts w:ascii="Times New Roman" w:hAnsi="Times New Roman" w:cs="Times New Roman"/>
          <w:b/>
          <w:bCs/>
          <w:sz w:val="28"/>
          <w:szCs w:val="28"/>
        </w:rPr>
        <w:t xml:space="preserve"> </w:t>
      </w:r>
      <w:r w:rsidR="004F7595" w:rsidRPr="004F7595">
        <w:rPr>
          <w:rFonts w:ascii="Times New Roman" w:hAnsi="Times New Roman" w:cs="Times New Roman"/>
          <w:sz w:val="28"/>
          <w:szCs w:val="28"/>
        </w:rPr>
        <w:t>regarding</w:t>
      </w:r>
      <w:r w:rsidR="004F7595">
        <w:rPr>
          <w:rFonts w:ascii="Times New Roman" w:hAnsi="Times New Roman" w:cs="Times New Roman"/>
          <w:b/>
          <w:bCs/>
          <w:sz w:val="28"/>
          <w:szCs w:val="28"/>
        </w:rPr>
        <w:t xml:space="preserve"> </w:t>
      </w:r>
      <w:r w:rsidR="004F7595">
        <w:rPr>
          <w:rFonts w:ascii="Times New Roman" w:hAnsi="Times New Roman" w:cs="Times New Roman"/>
          <w:sz w:val="28"/>
          <w:szCs w:val="28"/>
        </w:rPr>
        <w:t xml:space="preserve">section 24 of the Deed Registry Act as amended by section 94 of the Land </w:t>
      </w:r>
      <w:r w:rsidR="004F7595">
        <w:rPr>
          <w:rFonts w:ascii="Times New Roman" w:hAnsi="Times New Roman" w:cs="Times New Roman"/>
          <w:sz w:val="28"/>
          <w:szCs w:val="28"/>
        </w:rPr>
        <w:lastRenderedPageBreak/>
        <w:t>Act 1997</w:t>
      </w:r>
      <w:r w:rsidR="00940AF6">
        <w:rPr>
          <w:rFonts w:ascii="Times New Roman" w:hAnsi="Times New Roman" w:cs="Times New Roman"/>
          <w:sz w:val="28"/>
          <w:szCs w:val="28"/>
        </w:rPr>
        <w:t>:</w:t>
      </w:r>
    </w:p>
    <w:p w14:paraId="1BADF8F0" w14:textId="2DB3A089" w:rsidR="00940AF6" w:rsidRPr="00DD2A31" w:rsidRDefault="00940AF6" w:rsidP="0087032B">
      <w:pPr>
        <w:pStyle w:val="BodyText"/>
        <w:kinsoku w:val="0"/>
        <w:overflowPunct w:val="0"/>
        <w:ind w:left="1440" w:right="850"/>
        <w:jc w:val="both"/>
        <w:rPr>
          <w:rFonts w:ascii="Times New Roman" w:hAnsi="Times New Roman" w:cs="Times New Roman"/>
          <w:sz w:val="24"/>
          <w:szCs w:val="24"/>
        </w:rPr>
      </w:pPr>
      <w:r w:rsidRPr="00DD2A31">
        <w:rPr>
          <w:rFonts w:ascii="Times New Roman" w:hAnsi="Times New Roman" w:cs="Times New Roman"/>
          <w:sz w:val="24"/>
          <w:szCs w:val="24"/>
        </w:rPr>
        <w:t>“[3] The effect of these provisions is that a lessor of land can only validly sublease land to another if it is registered in the deeds registry, consented to by a ‘proper authority’ and ‘lodged for registration in the deeds registry within three months of the granting of such consent’. The Act specifically provides that a failure to lodge such lease for registration within the stated time or such extended time as may be ordered by a court, or if executed contrary to the provisions of the section, ‘shall be null and void and of no force and effect”.</w:t>
      </w:r>
    </w:p>
    <w:p w14:paraId="46DF6764" w14:textId="77777777" w:rsidR="009F59BF" w:rsidRPr="00DD2A31" w:rsidRDefault="009F59BF" w:rsidP="00F81604">
      <w:pPr>
        <w:pStyle w:val="BodyText"/>
        <w:kinsoku w:val="0"/>
        <w:overflowPunct w:val="0"/>
        <w:spacing w:line="480" w:lineRule="auto"/>
        <w:ind w:left="0"/>
        <w:jc w:val="both"/>
        <w:rPr>
          <w:rFonts w:ascii="Times New Roman" w:hAnsi="Times New Roman" w:cs="Times New Roman"/>
          <w:sz w:val="28"/>
          <w:szCs w:val="28"/>
        </w:rPr>
      </w:pPr>
    </w:p>
    <w:p w14:paraId="53B6D791" w14:textId="577006E5" w:rsidR="00EE1A1F" w:rsidRPr="00881F88" w:rsidRDefault="009F59BF"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D7D5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F7595">
        <w:rPr>
          <w:rFonts w:ascii="Times New Roman" w:hAnsi="Times New Roman" w:cs="Times New Roman"/>
          <w:sz w:val="28"/>
          <w:szCs w:val="28"/>
        </w:rPr>
        <w:t xml:space="preserve">In </w:t>
      </w:r>
      <w:proofErr w:type="spellStart"/>
      <w:r w:rsidR="004F7595" w:rsidRPr="00DD2A31">
        <w:rPr>
          <w:rFonts w:ascii="Times New Roman" w:hAnsi="Times New Roman" w:cs="Times New Roman"/>
          <w:b/>
          <w:bCs/>
          <w:sz w:val="28"/>
          <w:szCs w:val="28"/>
        </w:rPr>
        <w:t>Molomo</w:t>
      </w:r>
      <w:proofErr w:type="spellEnd"/>
      <w:r w:rsidR="004F7595" w:rsidRPr="00DD2A31">
        <w:rPr>
          <w:rFonts w:ascii="Times New Roman" w:hAnsi="Times New Roman" w:cs="Times New Roman"/>
          <w:b/>
          <w:bCs/>
          <w:sz w:val="28"/>
          <w:szCs w:val="28"/>
        </w:rPr>
        <w:t xml:space="preserve"> Filling Station and Another v. Mendi Group (Pty) Ltd and Others</w:t>
      </w:r>
      <w:r w:rsidR="00DD2A31">
        <w:rPr>
          <w:rStyle w:val="FootnoteReference"/>
          <w:rFonts w:ascii="Times New Roman" w:hAnsi="Times New Roman" w:cs="Times New Roman"/>
          <w:sz w:val="28"/>
          <w:szCs w:val="28"/>
        </w:rPr>
        <w:footnoteReference w:id="5"/>
      </w:r>
      <w:r w:rsidR="004F7595">
        <w:rPr>
          <w:rFonts w:ascii="Times New Roman" w:hAnsi="Times New Roman" w:cs="Times New Roman"/>
          <w:sz w:val="28"/>
          <w:szCs w:val="28"/>
        </w:rPr>
        <w:t xml:space="preserve"> </w:t>
      </w:r>
      <w:r w:rsidR="00DD2A31">
        <w:rPr>
          <w:rFonts w:ascii="Times New Roman" w:hAnsi="Times New Roman" w:cs="Times New Roman"/>
          <w:sz w:val="28"/>
          <w:szCs w:val="28"/>
        </w:rPr>
        <w:t xml:space="preserve"> the Court of Appeal</w:t>
      </w:r>
      <w:r w:rsidR="004F7595">
        <w:rPr>
          <w:rFonts w:ascii="Times New Roman" w:hAnsi="Times New Roman" w:cs="Times New Roman"/>
          <w:sz w:val="28"/>
          <w:szCs w:val="28"/>
        </w:rPr>
        <w:t xml:space="preserve"> </w:t>
      </w:r>
      <w:r w:rsidR="00C07F8C">
        <w:rPr>
          <w:rFonts w:ascii="Times New Roman" w:hAnsi="Times New Roman" w:cs="Times New Roman"/>
          <w:sz w:val="28"/>
          <w:szCs w:val="28"/>
        </w:rPr>
        <w:t>found</w:t>
      </w:r>
      <w:r w:rsidR="00DD2A31">
        <w:rPr>
          <w:rFonts w:ascii="Times New Roman" w:hAnsi="Times New Roman" w:cs="Times New Roman"/>
          <w:sz w:val="28"/>
          <w:szCs w:val="28"/>
        </w:rPr>
        <w:t xml:space="preserve"> </w:t>
      </w:r>
      <w:r w:rsidR="00F12E86">
        <w:rPr>
          <w:rFonts w:ascii="Times New Roman" w:hAnsi="Times New Roman" w:cs="Times New Roman"/>
          <w:sz w:val="28"/>
          <w:szCs w:val="28"/>
        </w:rPr>
        <w:t xml:space="preserve">unregistered </w:t>
      </w:r>
      <w:r w:rsidR="00DD2A31">
        <w:rPr>
          <w:rFonts w:ascii="Times New Roman" w:hAnsi="Times New Roman" w:cs="Times New Roman"/>
          <w:sz w:val="28"/>
          <w:szCs w:val="28"/>
        </w:rPr>
        <w:t>long-term sublease agreement invalid and unenforceable for non-compliance with section 24(1).</w:t>
      </w:r>
      <w:r w:rsidR="005007F2">
        <w:rPr>
          <w:rFonts w:ascii="Times New Roman" w:hAnsi="Times New Roman" w:cs="Times New Roman"/>
          <w:sz w:val="28"/>
          <w:szCs w:val="28"/>
        </w:rPr>
        <w:t xml:space="preserve"> Besides, regard being had to section 24(2)</w:t>
      </w:r>
      <w:r w:rsidR="000F7B6E">
        <w:rPr>
          <w:rFonts w:ascii="Times New Roman" w:hAnsi="Times New Roman" w:cs="Times New Roman"/>
          <w:sz w:val="28"/>
          <w:szCs w:val="28"/>
        </w:rPr>
        <w:t>,</w:t>
      </w:r>
      <w:r w:rsidR="005007F2">
        <w:rPr>
          <w:rFonts w:ascii="Times New Roman" w:hAnsi="Times New Roman" w:cs="Times New Roman"/>
          <w:sz w:val="28"/>
          <w:szCs w:val="28"/>
        </w:rPr>
        <w:t xml:space="preserve"> occupation and use of land must be preceded by consent from </w:t>
      </w:r>
      <w:r w:rsidR="00EE1A1F">
        <w:rPr>
          <w:rFonts w:ascii="Times New Roman" w:hAnsi="Times New Roman" w:cs="Times New Roman"/>
          <w:sz w:val="28"/>
          <w:szCs w:val="28"/>
        </w:rPr>
        <w:t>proper authority</w:t>
      </w:r>
      <w:r w:rsidR="005007F2">
        <w:rPr>
          <w:rFonts w:ascii="Times New Roman" w:hAnsi="Times New Roman" w:cs="Times New Roman"/>
          <w:sz w:val="28"/>
          <w:szCs w:val="28"/>
        </w:rPr>
        <w:t>.</w:t>
      </w:r>
      <w:r w:rsidR="00EE1A1F">
        <w:rPr>
          <w:rFonts w:ascii="Times New Roman" w:hAnsi="Times New Roman" w:cs="Times New Roman"/>
          <w:sz w:val="28"/>
          <w:szCs w:val="28"/>
        </w:rPr>
        <w:t xml:space="preserve"> </w:t>
      </w:r>
      <w:r w:rsidR="00CC0E4A">
        <w:rPr>
          <w:rFonts w:ascii="Times New Roman" w:hAnsi="Times New Roman" w:cs="Times New Roman"/>
          <w:sz w:val="28"/>
          <w:szCs w:val="28"/>
        </w:rPr>
        <w:t>I could not agree more with m</w:t>
      </w:r>
      <w:r w:rsidR="00EE1A1F">
        <w:rPr>
          <w:rFonts w:ascii="Times New Roman" w:hAnsi="Times New Roman" w:cs="Times New Roman"/>
          <w:sz w:val="28"/>
          <w:szCs w:val="28"/>
        </w:rPr>
        <w:t xml:space="preserve">y brother </w:t>
      </w:r>
      <w:r w:rsidR="00EE1A1F" w:rsidRPr="00D54234">
        <w:rPr>
          <w:rFonts w:ascii="Times New Roman" w:hAnsi="Times New Roman" w:cs="Times New Roman"/>
          <w:i/>
          <w:iCs/>
          <w:sz w:val="28"/>
          <w:szCs w:val="28"/>
        </w:rPr>
        <w:t xml:space="preserve">Mokhesi </w:t>
      </w:r>
      <w:r w:rsidR="00EE1A1F" w:rsidRPr="00013F00">
        <w:rPr>
          <w:rFonts w:ascii="Times New Roman" w:hAnsi="Times New Roman" w:cs="Times New Roman"/>
          <w:sz w:val="28"/>
          <w:szCs w:val="28"/>
        </w:rPr>
        <w:t>J</w:t>
      </w:r>
      <w:r w:rsidR="005007F2">
        <w:rPr>
          <w:rFonts w:ascii="Times New Roman" w:hAnsi="Times New Roman" w:cs="Times New Roman"/>
          <w:sz w:val="28"/>
          <w:szCs w:val="28"/>
        </w:rPr>
        <w:t xml:space="preserve"> ‘s remarks </w:t>
      </w:r>
      <w:r w:rsidR="00EE1A1F">
        <w:rPr>
          <w:rFonts w:ascii="Times New Roman" w:hAnsi="Times New Roman" w:cs="Times New Roman"/>
          <w:sz w:val="28"/>
          <w:szCs w:val="28"/>
        </w:rPr>
        <w:t xml:space="preserve">in </w:t>
      </w:r>
      <w:proofErr w:type="spellStart"/>
      <w:r w:rsidR="00EE1A1F" w:rsidRPr="00EE1A1F">
        <w:rPr>
          <w:rFonts w:ascii="Times New Roman" w:hAnsi="Times New Roman" w:cs="Times New Roman"/>
          <w:b/>
          <w:bCs/>
          <w:sz w:val="28"/>
          <w:szCs w:val="28"/>
        </w:rPr>
        <w:t>Nthoateng</w:t>
      </w:r>
      <w:proofErr w:type="spellEnd"/>
      <w:r w:rsidR="00EE1A1F" w:rsidRPr="00EE1A1F">
        <w:rPr>
          <w:rFonts w:ascii="Times New Roman" w:hAnsi="Times New Roman" w:cs="Times New Roman"/>
          <w:b/>
          <w:bCs/>
          <w:sz w:val="28"/>
          <w:szCs w:val="28"/>
        </w:rPr>
        <w:t xml:space="preserve"> </w:t>
      </w:r>
      <w:proofErr w:type="spellStart"/>
      <w:r w:rsidR="00EE1A1F" w:rsidRPr="00EE1A1F">
        <w:rPr>
          <w:rFonts w:ascii="Times New Roman" w:hAnsi="Times New Roman" w:cs="Times New Roman"/>
          <w:b/>
          <w:bCs/>
          <w:sz w:val="28"/>
          <w:szCs w:val="28"/>
        </w:rPr>
        <w:t>Khitione</w:t>
      </w:r>
      <w:proofErr w:type="spellEnd"/>
      <w:r w:rsidR="00EE1A1F" w:rsidRPr="00EE1A1F">
        <w:rPr>
          <w:rFonts w:ascii="Times New Roman" w:hAnsi="Times New Roman" w:cs="Times New Roman"/>
          <w:b/>
          <w:bCs/>
          <w:sz w:val="28"/>
          <w:szCs w:val="28"/>
        </w:rPr>
        <w:t xml:space="preserve"> &amp; others v. Botanical Oils (Pty) Ltd &amp; others</w:t>
      </w:r>
      <w:r w:rsidR="00CC0E4A">
        <w:rPr>
          <w:rStyle w:val="FootnoteReference"/>
          <w:rFonts w:ascii="Times New Roman" w:hAnsi="Times New Roman" w:cs="Times New Roman"/>
          <w:b/>
          <w:bCs/>
          <w:sz w:val="28"/>
          <w:szCs w:val="28"/>
        </w:rPr>
        <w:footnoteReference w:id="6"/>
      </w:r>
      <w:r w:rsidR="00881F88">
        <w:rPr>
          <w:rFonts w:ascii="Times New Roman" w:hAnsi="Times New Roman" w:cs="Times New Roman"/>
          <w:b/>
          <w:bCs/>
          <w:sz w:val="28"/>
          <w:szCs w:val="28"/>
        </w:rPr>
        <w:t xml:space="preserve"> </w:t>
      </w:r>
      <w:r w:rsidR="00881F88" w:rsidRPr="00881F88">
        <w:rPr>
          <w:rFonts w:ascii="Times New Roman" w:hAnsi="Times New Roman" w:cs="Times New Roman"/>
          <w:sz w:val="28"/>
          <w:szCs w:val="28"/>
        </w:rPr>
        <w:t>that</w:t>
      </w:r>
      <w:r w:rsidR="00EE1A1F" w:rsidRPr="00881F88">
        <w:rPr>
          <w:rFonts w:ascii="Times New Roman" w:hAnsi="Times New Roman" w:cs="Times New Roman"/>
          <w:sz w:val="28"/>
          <w:szCs w:val="28"/>
        </w:rPr>
        <w:t>:</w:t>
      </w:r>
    </w:p>
    <w:p w14:paraId="6F56BE65" w14:textId="7F98EB12" w:rsidR="00EE1A1F" w:rsidRDefault="00EE1A1F" w:rsidP="00F81604">
      <w:pPr>
        <w:pStyle w:val="BodyText"/>
        <w:kinsoku w:val="0"/>
        <w:overflowPunct w:val="0"/>
        <w:spacing w:line="480" w:lineRule="auto"/>
        <w:ind w:left="0"/>
        <w:jc w:val="both"/>
        <w:rPr>
          <w:rFonts w:ascii="Times New Roman" w:hAnsi="Times New Roman" w:cs="Times New Roman"/>
          <w:b/>
          <w:bCs/>
          <w:sz w:val="28"/>
          <w:szCs w:val="28"/>
        </w:rPr>
      </w:pPr>
    </w:p>
    <w:p w14:paraId="287F04DB" w14:textId="0E628EE1" w:rsidR="00CC0E4A" w:rsidRDefault="00CC0E4A" w:rsidP="004D4425">
      <w:pPr>
        <w:pStyle w:val="BodyText"/>
        <w:kinsoku w:val="0"/>
        <w:overflowPunct w:val="0"/>
        <w:ind w:left="2880" w:right="850" w:hanging="1440"/>
        <w:jc w:val="both"/>
        <w:rPr>
          <w:rFonts w:ascii="Times New Roman" w:hAnsi="Times New Roman" w:cs="Times New Roman"/>
          <w:sz w:val="24"/>
          <w:szCs w:val="24"/>
        </w:rPr>
      </w:pPr>
      <w:r w:rsidRPr="00CC0E4A">
        <w:rPr>
          <w:rFonts w:ascii="Times New Roman" w:hAnsi="Times New Roman" w:cs="Times New Roman"/>
          <w:sz w:val="24"/>
          <w:szCs w:val="24"/>
        </w:rPr>
        <w:t>“[19]</w:t>
      </w:r>
      <w:r w:rsidR="00881F88">
        <w:rPr>
          <w:rFonts w:ascii="Times New Roman" w:hAnsi="Times New Roman" w:cs="Times New Roman"/>
          <w:sz w:val="24"/>
          <w:szCs w:val="24"/>
        </w:rPr>
        <w:tab/>
      </w:r>
      <w:r w:rsidRPr="00CC0E4A">
        <w:rPr>
          <w:rFonts w:ascii="Times New Roman" w:hAnsi="Times New Roman" w:cs="Times New Roman"/>
          <w:sz w:val="24"/>
          <w:szCs w:val="24"/>
        </w:rPr>
        <w:t>What can be distilled</w:t>
      </w:r>
      <w:r w:rsidR="00B22DE7">
        <w:rPr>
          <w:rFonts w:ascii="Times New Roman" w:hAnsi="Times New Roman" w:cs="Times New Roman"/>
          <w:sz w:val="24"/>
          <w:szCs w:val="24"/>
        </w:rPr>
        <w:t xml:space="preserve"> from the above decisions is that inasmuch as the contract  of sublease between the parties is binding, </w:t>
      </w:r>
      <w:r w:rsidR="001C1755">
        <w:rPr>
          <w:rFonts w:ascii="Times New Roman" w:hAnsi="Times New Roman" w:cs="Times New Roman"/>
          <w:sz w:val="24"/>
          <w:szCs w:val="24"/>
        </w:rPr>
        <w:t>in order</w:t>
      </w:r>
      <w:r w:rsidR="00B22DE7">
        <w:rPr>
          <w:rFonts w:ascii="Times New Roman" w:hAnsi="Times New Roman" w:cs="Times New Roman"/>
          <w:sz w:val="24"/>
          <w:szCs w:val="24"/>
        </w:rPr>
        <w:t xml:space="preserve"> to tran</w:t>
      </w:r>
      <w:r w:rsidR="001C1755">
        <w:rPr>
          <w:rFonts w:ascii="Times New Roman" w:hAnsi="Times New Roman" w:cs="Times New Roman"/>
          <w:sz w:val="24"/>
          <w:szCs w:val="24"/>
        </w:rPr>
        <w:t>s</w:t>
      </w:r>
      <w:r w:rsidR="00B22DE7">
        <w:rPr>
          <w:rFonts w:ascii="Times New Roman" w:hAnsi="Times New Roman" w:cs="Times New Roman"/>
          <w:sz w:val="24"/>
          <w:szCs w:val="24"/>
        </w:rPr>
        <w:t>fer the rights which flow from the sublease to the subles</w:t>
      </w:r>
      <w:r w:rsidR="00556937">
        <w:rPr>
          <w:rFonts w:ascii="Times New Roman" w:hAnsi="Times New Roman" w:cs="Times New Roman"/>
          <w:sz w:val="24"/>
          <w:szCs w:val="24"/>
        </w:rPr>
        <w:t>s</w:t>
      </w:r>
      <w:r w:rsidR="00B22DE7">
        <w:rPr>
          <w:rFonts w:ascii="Times New Roman" w:hAnsi="Times New Roman" w:cs="Times New Roman"/>
          <w:sz w:val="24"/>
          <w:szCs w:val="24"/>
        </w:rPr>
        <w:t>e</w:t>
      </w:r>
      <w:r w:rsidR="00556937">
        <w:rPr>
          <w:rFonts w:ascii="Times New Roman" w:hAnsi="Times New Roman" w:cs="Times New Roman"/>
          <w:sz w:val="24"/>
          <w:szCs w:val="24"/>
        </w:rPr>
        <w:t>e</w:t>
      </w:r>
      <w:r w:rsidR="00B22DE7">
        <w:rPr>
          <w:rFonts w:ascii="Times New Roman" w:hAnsi="Times New Roman" w:cs="Times New Roman"/>
          <w:sz w:val="24"/>
          <w:szCs w:val="24"/>
        </w:rPr>
        <w:t>, the formalities</w:t>
      </w:r>
      <w:r w:rsidR="00556937">
        <w:rPr>
          <w:rFonts w:ascii="Times New Roman" w:hAnsi="Times New Roman" w:cs="Times New Roman"/>
          <w:sz w:val="24"/>
          <w:szCs w:val="24"/>
        </w:rPr>
        <w:t xml:space="preserve"> prescribed in section 24 of the Act must be followed. As part of the formalities</w:t>
      </w:r>
      <w:r w:rsidR="00B22DE7">
        <w:rPr>
          <w:rFonts w:ascii="Times New Roman" w:hAnsi="Times New Roman" w:cs="Times New Roman"/>
          <w:sz w:val="24"/>
          <w:szCs w:val="24"/>
        </w:rPr>
        <w:t xml:space="preserve"> for tra</w:t>
      </w:r>
      <w:r w:rsidR="00556937">
        <w:rPr>
          <w:rFonts w:ascii="Times New Roman" w:hAnsi="Times New Roman" w:cs="Times New Roman"/>
          <w:sz w:val="24"/>
          <w:szCs w:val="24"/>
        </w:rPr>
        <w:t>ns</w:t>
      </w:r>
      <w:r w:rsidR="00B22DE7">
        <w:rPr>
          <w:rFonts w:ascii="Times New Roman" w:hAnsi="Times New Roman" w:cs="Times New Roman"/>
          <w:sz w:val="24"/>
          <w:szCs w:val="24"/>
        </w:rPr>
        <w:t>ference of the rights which flow from the sublease, consent of proper authority is required.  The purpose of this consent as garnered from the provisions of section 24 (2) is to give the sublessee permission to occupy and use the land which is subject of the sublease agreement.  Without consent from proper authority, the sublessee cannot have a right to occupy and use the subleased property.  No legal title to the subleased property vests in the sublessee</w:t>
      </w:r>
      <w:r w:rsidRPr="00CC0E4A">
        <w:rPr>
          <w:rFonts w:ascii="Times New Roman" w:hAnsi="Times New Roman" w:cs="Times New Roman"/>
          <w:sz w:val="24"/>
          <w:szCs w:val="24"/>
        </w:rPr>
        <w:t xml:space="preserve"> </w:t>
      </w:r>
      <w:r w:rsidR="00941B2B">
        <w:rPr>
          <w:rFonts w:ascii="Times New Roman" w:hAnsi="Times New Roman" w:cs="Times New Roman"/>
          <w:sz w:val="24"/>
          <w:szCs w:val="24"/>
        </w:rPr>
        <w:t>and an agreement between the parties by means of which a sublessee occupies and uses subleased property without consent of proper authority is invalid and ineffectual.</w:t>
      </w:r>
    </w:p>
    <w:p w14:paraId="797FA2FA" w14:textId="77777777" w:rsidR="00F8769B" w:rsidRDefault="00F8769B" w:rsidP="004D4425">
      <w:pPr>
        <w:pStyle w:val="BodyText"/>
        <w:kinsoku w:val="0"/>
        <w:overflowPunct w:val="0"/>
        <w:ind w:left="2880" w:right="850" w:hanging="1440"/>
        <w:jc w:val="both"/>
        <w:rPr>
          <w:rFonts w:ascii="Times New Roman" w:hAnsi="Times New Roman" w:cs="Times New Roman"/>
          <w:sz w:val="24"/>
          <w:szCs w:val="24"/>
        </w:rPr>
      </w:pPr>
    </w:p>
    <w:p w14:paraId="36F98697" w14:textId="0BBDCBA9" w:rsidR="00941B2B" w:rsidRPr="00CC0E4A" w:rsidRDefault="00941B2B" w:rsidP="004D4425">
      <w:pPr>
        <w:pStyle w:val="BodyText"/>
        <w:kinsoku w:val="0"/>
        <w:overflowPunct w:val="0"/>
        <w:ind w:left="2880" w:right="850" w:hanging="1440"/>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t>In the present matter the parties did exactly that.  They concluded a sublease agreement and the 1</w:t>
      </w:r>
      <w:r w:rsidRPr="00941B2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took occupation and commenced operations without the sublease agreements being registered.  It is difficult to understand the purpose which will be served by seeking consent when the 1</w:t>
      </w:r>
      <w:r w:rsidRPr="00D54234">
        <w:rPr>
          <w:rFonts w:ascii="Times New Roman" w:hAnsi="Times New Roman" w:cs="Times New Roman"/>
          <w:sz w:val="24"/>
          <w:szCs w:val="24"/>
          <w:vertAlign w:val="superscript"/>
        </w:rPr>
        <w:t>st</w:t>
      </w:r>
      <w:r w:rsidR="008A0A4E">
        <w:rPr>
          <w:rFonts w:ascii="Times New Roman" w:hAnsi="Times New Roman" w:cs="Times New Roman"/>
          <w:sz w:val="24"/>
          <w:szCs w:val="24"/>
        </w:rPr>
        <w:t xml:space="preserve"> </w:t>
      </w:r>
      <w:r>
        <w:rPr>
          <w:rFonts w:ascii="Times New Roman" w:hAnsi="Times New Roman" w:cs="Times New Roman"/>
          <w:sz w:val="24"/>
          <w:szCs w:val="24"/>
        </w:rPr>
        <w:t>respondent and the applicants have arrogated to themselves the authority to permit usage and occupation, outside of the law.  the power to authorise usage and occupation of subleased property vests in 2</w:t>
      </w:r>
      <w:r w:rsidRPr="00941B2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1101BE">
        <w:rPr>
          <w:rFonts w:ascii="Times New Roman" w:hAnsi="Times New Roman" w:cs="Times New Roman"/>
          <w:sz w:val="24"/>
          <w:szCs w:val="24"/>
        </w:rPr>
        <w:t>”</w:t>
      </w:r>
    </w:p>
    <w:p w14:paraId="58EBA9E7" w14:textId="6CAABB74" w:rsidR="00EE1A1F" w:rsidRPr="00CC0E4A" w:rsidRDefault="00EE1A1F" w:rsidP="00F8769B">
      <w:pPr>
        <w:pStyle w:val="BodyText"/>
        <w:kinsoku w:val="0"/>
        <w:overflowPunct w:val="0"/>
        <w:ind w:left="0"/>
        <w:jc w:val="both"/>
        <w:rPr>
          <w:rFonts w:ascii="Times New Roman" w:hAnsi="Times New Roman" w:cs="Times New Roman"/>
          <w:b/>
          <w:bCs/>
          <w:sz w:val="24"/>
          <w:szCs w:val="24"/>
        </w:rPr>
      </w:pPr>
      <w:r w:rsidRPr="00CC0E4A">
        <w:rPr>
          <w:rFonts w:ascii="Times New Roman" w:hAnsi="Times New Roman" w:cs="Times New Roman"/>
          <w:b/>
          <w:bCs/>
          <w:sz w:val="24"/>
          <w:szCs w:val="24"/>
        </w:rPr>
        <w:tab/>
      </w:r>
      <w:r w:rsidRPr="00CC0E4A">
        <w:rPr>
          <w:rFonts w:ascii="Times New Roman" w:hAnsi="Times New Roman" w:cs="Times New Roman"/>
          <w:b/>
          <w:bCs/>
          <w:sz w:val="24"/>
          <w:szCs w:val="24"/>
        </w:rPr>
        <w:tab/>
      </w:r>
    </w:p>
    <w:p w14:paraId="4F34E911" w14:textId="52368663" w:rsidR="002A0386" w:rsidRDefault="002A0386" w:rsidP="00F8769B">
      <w:pPr>
        <w:pStyle w:val="BodyText"/>
        <w:kinsoku w:val="0"/>
        <w:overflowPunct w:val="0"/>
        <w:ind w:left="0"/>
        <w:jc w:val="both"/>
        <w:rPr>
          <w:rFonts w:ascii="Times New Roman" w:hAnsi="Times New Roman" w:cs="Times New Roman"/>
          <w:sz w:val="28"/>
          <w:szCs w:val="28"/>
        </w:rPr>
      </w:pPr>
    </w:p>
    <w:p w14:paraId="0FE74337" w14:textId="49578CA6" w:rsidR="00C47334" w:rsidRDefault="002A0386"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D7D50">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7388E">
        <w:rPr>
          <w:rFonts w:ascii="Times New Roman" w:hAnsi="Times New Roman" w:cs="Times New Roman"/>
          <w:sz w:val="28"/>
          <w:szCs w:val="28"/>
        </w:rPr>
        <w:t>The agreement was never lodged for registration as it should have. I</w:t>
      </w:r>
      <w:r w:rsidR="00881F88">
        <w:rPr>
          <w:rFonts w:ascii="Times New Roman" w:hAnsi="Times New Roman" w:cs="Times New Roman"/>
          <w:sz w:val="28"/>
          <w:szCs w:val="28"/>
        </w:rPr>
        <w:t xml:space="preserve">n fact, when the dispute arose, </w:t>
      </w:r>
      <w:r w:rsidR="00D055BF">
        <w:rPr>
          <w:rFonts w:ascii="Times New Roman" w:hAnsi="Times New Roman" w:cs="Times New Roman"/>
          <w:sz w:val="28"/>
          <w:szCs w:val="28"/>
        </w:rPr>
        <w:t xml:space="preserve">the </w:t>
      </w:r>
      <w:r w:rsidR="00881F88">
        <w:rPr>
          <w:rFonts w:ascii="Times New Roman" w:hAnsi="Times New Roman" w:cs="Times New Roman"/>
          <w:sz w:val="28"/>
          <w:szCs w:val="28"/>
        </w:rPr>
        <w:t xml:space="preserve">period of three years had already </w:t>
      </w:r>
      <w:r w:rsidR="00291118">
        <w:rPr>
          <w:rFonts w:ascii="Times New Roman" w:hAnsi="Times New Roman" w:cs="Times New Roman"/>
          <w:sz w:val="28"/>
          <w:szCs w:val="28"/>
        </w:rPr>
        <w:t>e</w:t>
      </w:r>
      <w:r w:rsidR="00881F88">
        <w:rPr>
          <w:rFonts w:ascii="Times New Roman" w:hAnsi="Times New Roman" w:cs="Times New Roman"/>
          <w:sz w:val="28"/>
          <w:szCs w:val="28"/>
        </w:rPr>
        <w:t xml:space="preserve">lapsed from the time the agreement was entered into. </w:t>
      </w:r>
      <w:r w:rsidR="00B71552">
        <w:rPr>
          <w:rFonts w:ascii="Times New Roman" w:hAnsi="Times New Roman" w:cs="Times New Roman"/>
          <w:sz w:val="28"/>
          <w:szCs w:val="28"/>
        </w:rPr>
        <w:t>Th</w:t>
      </w:r>
      <w:r w:rsidR="000C3CAA">
        <w:rPr>
          <w:rFonts w:ascii="Times New Roman" w:hAnsi="Times New Roman" w:cs="Times New Roman"/>
          <w:sz w:val="28"/>
          <w:szCs w:val="28"/>
        </w:rPr>
        <w:t>us, the agreement has no legal effect by operation of law.</w:t>
      </w:r>
      <w:r w:rsidR="00AD7CD3">
        <w:rPr>
          <w:rFonts w:ascii="Times New Roman" w:hAnsi="Times New Roman" w:cs="Times New Roman"/>
          <w:sz w:val="28"/>
          <w:szCs w:val="28"/>
        </w:rPr>
        <w:t xml:space="preserve"> </w:t>
      </w:r>
      <w:r w:rsidR="0047388E">
        <w:rPr>
          <w:rFonts w:ascii="Times New Roman" w:hAnsi="Times New Roman" w:cs="Times New Roman"/>
          <w:sz w:val="28"/>
          <w:szCs w:val="28"/>
        </w:rPr>
        <w:t>As a result,</w:t>
      </w:r>
      <w:r w:rsidR="000C3CAA">
        <w:rPr>
          <w:rFonts w:ascii="Times New Roman" w:hAnsi="Times New Roman" w:cs="Times New Roman"/>
          <w:sz w:val="28"/>
          <w:szCs w:val="28"/>
        </w:rPr>
        <w:t xml:space="preserve"> it cannot be used as</w:t>
      </w:r>
      <w:r w:rsidR="00AD7CD3">
        <w:rPr>
          <w:rFonts w:ascii="Times New Roman" w:hAnsi="Times New Roman" w:cs="Times New Roman"/>
          <w:sz w:val="28"/>
          <w:szCs w:val="28"/>
        </w:rPr>
        <w:t xml:space="preserve"> </w:t>
      </w:r>
      <w:r w:rsidR="00F55720">
        <w:rPr>
          <w:rFonts w:ascii="Times New Roman" w:hAnsi="Times New Roman" w:cs="Times New Roman"/>
          <w:sz w:val="28"/>
          <w:szCs w:val="28"/>
        </w:rPr>
        <w:t xml:space="preserve">a </w:t>
      </w:r>
      <w:r w:rsidR="00CC0E4A">
        <w:rPr>
          <w:rFonts w:ascii="Times New Roman" w:hAnsi="Times New Roman" w:cs="Times New Roman"/>
          <w:sz w:val="28"/>
          <w:szCs w:val="28"/>
        </w:rPr>
        <w:t>launching pad</w:t>
      </w:r>
      <w:r w:rsidR="00AD7CD3">
        <w:rPr>
          <w:rFonts w:ascii="Times New Roman" w:hAnsi="Times New Roman" w:cs="Times New Roman"/>
          <w:sz w:val="28"/>
          <w:szCs w:val="28"/>
        </w:rPr>
        <w:t xml:space="preserve"> by Ha </w:t>
      </w:r>
      <w:proofErr w:type="spellStart"/>
      <w:r w:rsidR="00AD7CD3">
        <w:rPr>
          <w:rFonts w:ascii="Times New Roman" w:hAnsi="Times New Roman" w:cs="Times New Roman"/>
          <w:sz w:val="28"/>
          <w:szCs w:val="28"/>
        </w:rPr>
        <w:t>Seotsanyana</w:t>
      </w:r>
      <w:proofErr w:type="spellEnd"/>
      <w:r w:rsidR="00AD7CD3">
        <w:rPr>
          <w:rFonts w:ascii="Times New Roman" w:hAnsi="Times New Roman" w:cs="Times New Roman"/>
          <w:sz w:val="28"/>
          <w:szCs w:val="28"/>
        </w:rPr>
        <w:t xml:space="preserve"> in a fight </w:t>
      </w:r>
      <w:r w:rsidR="00D055BF">
        <w:rPr>
          <w:rFonts w:ascii="Times New Roman" w:hAnsi="Times New Roman" w:cs="Times New Roman"/>
          <w:sz w:val="28"/>
          <w:szCs w:val="28"/>
        </w:rPr>
        <w:t>to retain and o</w:t>
      </w:r>
      <w:r w:rsidR="00AD3F56">
        <w:rPr>
          <w:rFonts w:ascii="Times New Roman" w:hAnsi="Times New Roman" w:cs="Times New Roman"/>
          <w:sz w:val="28"/>
          <w:szCs w:val="28"/>
        </w:rPr>
        <w:t>ccup</w:t>
      </w:r>
      <w:r w:rsidR="00D055BF">
        <w:rPr>
          <w:rFonts w:ascii="Times New Roman" w:hAnsi="Times New Roman" w:cs="Times New Roman"/>
          <w:sz w:val="28"/>
          <w:szCs w:val="28"/>
        </w:rPr>
        <w:t>y the premises</w:t>
      </w:r>
      <w:r w:rsidR="00AD7CD3">
        <w:rPr>
          <w:rFonts w:ascii="Times New Roman" w:hAnsi="Times New Roman" w:cs="Times New Roman"/>
          <w:sz w:val="28"/>
          <w:szCs w:val="28"/>
        </w:rPr>
        <w:t xml:space="preserve">. </w:t>
      </w:r>
      <w:r w:rsidR="00C47334">
        <w:rPr>
          <w:rFonts w:ascii="Times New Roman" w:hAnsi="Times New Roman" w:cs="Times New Roman"/>
          <w:sz w:val="28"/>
          <w:szCs w:val="28"/>
        </w:rPr>
        <w:t xml:space="preserve"> </w:t>
      </w:r>
    </w:p>
    <w:p w14:paraId="42DE09EF" w14:textId="77777777" w:rsidR="00C47334" w:rsidRDefault="00C47334" w:rsidP="00F81604">
      <w:pPr>
        <w:pStyle w:val="BodyText"/>
        <w:kinsoku w:val="0"/>
        <w:overflowPunct w:val="0"/>
        <w:spacing w:line="480" w:lineRule="auto"/>
        <w:ind w:left="0"/>
        <w:jc w:val="both"/>
        <w:rPr>
          <w:rFonts w:ascii="Times New Roman" w:hAnsi="Times New Roman" w:cs="Times New Roman"/>
          <w:sz w:val="28"/>
          <w:szCs w:val="28"/>
        </w:rPr>
      </w:pPr>
    </w:p>
    <w:p w14:paraId="01C59D83" w14:textId="31DD1ED6" w:rsidR="00D055BF" w:rsidRDefault="00C47334" w:rsidP="00D055BF">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D7D50">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B585C">
        <w:rPr>
          <w:rFonts w:ascii="Times New Roman" w:hAnsi="Times New Roman" w:cs="Times New Roman"/>
          <w:sz w:val="28"/>
          <w:szCs w:val="28"/>
        </w:rPr>
        <w:t xml:space="preserve">On Suleman’s own version </w:t>
      </w:r>
      <w:r w:rsidR="00BD7AAA">
        <w:rPr>
          <w:rFonts w:ascii="Times New Roman" w:hAnsi="Times New Roman" w:cs="Times New Roman"/>
          <w:sz w:val="28"/>
          <w:szCs w:val="28"/>
        </w:rPr>
        <w:t xml:space="preserve">consent </w:t>
      </w:r>
      <w:r>
        <w:rPr>
          <w:rFonts w:ascii="Times New Roman" w:hAnsi="Times New Roman" w:cs="Times New Roman"/>
          <w:sz w:val="28"/>
          <w:szCs w:val="28"/>
        </w:rPr>
        <w:t xml:space="preserve">from proper authority </w:t>
      </w:r>
      <w:r w:rsidR="00BD7AAA">
        <w:rPr>
          <w:rFonts w:ascii="Times New Roman" w:hAnsi="Times New Roman" w:cs="Times New Roman"/>
          <w:sz w:val="28"/>
          <w:szCs w:val="28"/>
        </w:rPr>
        <w:t>was going to be applied for after the premises were sub-divided</w:t>
      </w:r>
      <w:r w:rsidR="000B585C">
        <w:rPr>
          <w:rFonts w:ascii="Times New Roman" w:hAnsi="Times New Roman" w:cs="Times New Roman"/>
          <w:sz w:val="28"/>
          <w:szCs w:val="28"/>
        </w:rPr>
        <w:t xml:space="preserve">, but sub-division never happened. </w:t>
      </w:r>
      <w:r w:rsidR="005007F2">
        <w:rPr>
          <w:rFonts w:ascii="Times New Roman" w:hAnsi="Times New Roman" w:cs="Times New Roman"/>
          <w:sz w:val="28"/>
          <w:szCs w:val="28"/>
        </w:rPr>
        <w:t xml:space="preserve">Resultantly, </w:t>
      </w:r>
      <w:r w:rsidR="00D055BF">
        <w:rPr>
          <w:rFonts w:ascii="Times New Roman" w:hAnsi="Times New Roman" w:cs="Times New Roman"/>
          <w:sz w:val="28"/>
          <w:szCs w:val="28"/>
        </w:rPr>
        <w:t xml:space="preserve">in the absence of consent from a proper authority, </w:t>
      </w:r>
      <w:r w:rsidR="00E3666B">
        <w:rPr>
          <w:rFonts w:ascii="Times New Roman" w:hAnsi="Times New Roman" w:cs="Times New Roman"/>
          <w:sz w:val="28"/>
          <w:szCs w:val="28"/>
        </w:rPr>
        <w:t xml:space="preserve">there is no basis upon which to order </w:t>
      </w:r>
      <w:proofErr w:type="spellStart"/>
      <w:r w:rsidR="00E3666B">
        <w:rPr>
          <w:rFonts w:ascii="Times New Roman" w:hAnsi="Times New Roman" w:cs="Times New Roman"/>
          <w:sz w:val="28"/>
          <w:szCs w:val="28"/>
        </w:rPr>
        <w:t>Litjotjela</w:t>
      </w:r>
      <w:proofErr w:type="spellEnd"/>
      <w:r w:rsidR="00E3666B">
        <w:rPr>
          <w:rFonts w:ascii="Times New Roman" w:hAnsi="Times New Roman" w:cs="Times New Roman"/>
          <w:sz w:val="28"/>
          <w:szCs w:val="28"/>
        </w:rPr>
        <w:t xml:space="preserve"> to proceed with registration</w:t>
      </w:r>
      <w:r w:rsidR="005007F2">
        <w:rPr>
          <w:rFonts w:ascii="Times New Roman" w:hAnsi="Times New Roman" w:cs="Times New Roman"/>
          <w:sz w:val="28"/>
          <w:szCs w:val="28"/>
        </w:rPr>
        <w:t xml:space="preserve"> even if the lease was for a period of fifteen years as contended by Ha </w:t>
      </w:r>
      <w:proofErr w:type="spellStart"/>
      <w:r w:rsidR="005007F2">
        <w:rPr>
          <w:rFonts w:ascii="Times New Roman" w:hAnsi="Times New Roman" w:cs="Times New Roman"/>
          <w:sz w:val="28"/>
          <w:szCs w:val="28"/>
        </w:rPr>
        <w:t>Seotsanyana</w:t>
      </w:r>
      <w:proofErr w:type="spellEnd"/>
      <w:r w:rsidR="00E3666B">
        <w:rPr>
          <w:rFonts w:ascii="Times New Roman" w:hAnsi="Times New Roman" w:cs="Times New Roman"/>
          <w:sz w:val="28"/>
          <w:szCs w:val="28"/>
        </w:rPr>
        <w:t xml:space="preserve">. </w:t>
      </w:r>
      <w:r w:rsidR="00673DFB">
        <w:rPr>
          <w:rFonts w:ascii="Times New Roman" w:hAnsi="Times New Roman" w:cs="Times New Roman"/>
          <w:sz w:val="28"/>
          <w:szCs w:val="28"/>
        </w:rPr>
        <w:t xml:space="preserve">It bears repeating that consent from proper authority is a </w:t>
      </w:r>
      <w:r w:rsidR="00673DFB" w:rsidRPr="00673DFB">
        <w:rPr>
          <w:rFonts w:ascii="Times New Roman" w:hAnsi="Times New Roman" w:cs="Times New Roman"/>
          <w:i/>
          <w:iCs/>
          <w:sz w:val="28"/>
          <w:szCs w:val="28"/>
        </w:rPr>
        <w:t>sine quo non</w:t>
      </w:r>
      <w:r w:rsidR="00673DFB">
        <w:rPr>
          <w:rFonts w:ascii="Times New Roman" w:hAnsi="Times New Roman" w:cs="Times New Roman"/>
          <w:sz w:val="28"/>
          <w:szCs w:val="28"/>
        </w:rPr>
        <w:t xml:space="preserve"> for registration and for occupation and use of land. </w:t>
      </w:r>
      <w:r w:rsidR="00BD7AAA">
        <w:rPr>
          <w:rFonts w:ascii="Times New Roman" w:hAnsi="Times New Roman" w:cs="Times New Roman"/>
          <w:sz w:val="28"/>
          <w:szCs w:val="28"/>
        </w:rPr>
        <w:t xml:space="preserve"> </w:t>
      </w:r>
      <w:r w:rsidR="00D055BF">
        <w:rPr>
          <w:rFonts w:ascii="Times New Roman" w:hAnsi="Times New Roman" w:cs="Times New Roman"/>
          <w:sz w:val="28"/>
          <w:szCs w:val="28"/>
        </w:rPr>
        <w:t xml:space="preserve">Therefore, </w:t>
      </w:r>
      <w:r w:rsidR="00A018F8">
        <w:rPr>
          <w:rFonts w:ascii="Times New Roman" w:hAnsi="Times New Roman" w:cs="Times New Roman"/>
          <w:sz w:val="28"/>
          <w:szCs w:val="28"/>
        </w:rPr>
        <w:t xml:space="preserve">Ha </w:t>
      </w:r>
      <w:proofErr w:type="spellStart"/>
      <w:r w:rsidR="00A018F8">
        <w:rPr>
          <w:rFonts w:ascii="Times New Roman" w:hAnsi="Times New Roman" w:cs="Times New Roman"/>
          <w:sz w:val="28"/>
          <w:szCs w:val="28"/>
        </w:rPr>
        <w:t>Seotsanya</w:t>
      </w:r>
      <w:r w:rsidR="007F11DE">
        <w:rPr>
          <w:rFonts w:ascii="Times New Roman" w:hAnsi="Times New Roman" w:cs="Times New Roman"/>
          <w:sz w:val="28"/>
          <w:szCs w:val="28"/>
        </w:rPr>
        <w:t>na</w:t>
      </w:r>
      <w:proofErr w:type="spellEnd"/>
      <w:r w:rsidR="00A018F8">
        <w:rPr>
          <w:rFonts w:ascii="Times New Roman" w:hAnsi="Times New Roman" w:cs="Times New Roman"/>
          <w:sz w:val="28"/>
          <w:szCs w:val="28"/>
        </w:rPr>
        <w:t xml:space="preserve"> unlawfully occupied and used the premises in issue. </w:t>
      </w:r>
      <w:r w:rsidR="00D055BF">
        <w:rPr>
          <w:rFonts w:ascii="Times New Roman" w:hAnsi="Times New Roman" w:cs="Times New Roman"/>
          <w:sz w:val="28"/>
          <w:szCs w:val="28"/>
        </w:rPr>
        <w:t xml:space="preserve"> </w:t>
      </w:r>
    </w:p>
    <w:p w14:paraId="5A113316" w14:textId="77777777" w:rsidR="00F32500" w:rsidRDefault="00F32500" w:rsidP="00F81604">
      <w:pPr>
        <w:pStyle w:val="BodyText"/>
        <w:kinsoku w:val="0"/>
        <w:overflowPunct w:val="0"/>
        <w:spacing w:line="480" w:lineRule="auto"/>
        <w:ind w:left="0"/>
        <w:jc w:val="both"/>
        <w:rPr>
          <w:rFonts w:ascii="Times New Roman" w:hAnsi="Times New Roman" w:cs="Times New Roman"/>
          <w:sz w:val="28"/>
          <w:szCs w:val="28"/>
        </w:rPr>
      </w:pPr>
    </w:p>
    <w:p w14:paraId="31E0792F" w14:textId="61027605" w:rsidR="00AD2DC0" w:rsidRDefault="00F32500"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A7526">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80284">
        <w:rPr>
          <w:rFonts w:ascii="Times New Roman" w:hAnsi="Times New Roman" w:cs="Times New Roman"/>
          <w:sz w:val="28"/>
          <w:szCs w:val="28"/>
        </w:rPr>
        <w:t xml:space="preserve">Again, </w:t>
      </w:r>
      <w:r w:rsidR="006C003F">
        <w:rPr>
          <w:rFonts w:ascii="Times New Roman" w:hAnsi="Times New Roman" w:cs="Times New Roman"/>
          <w:sz w:val="28"/>
          <w:szCs w:val="28"/>
        </w:rPr>
        <w:t xml:space="preserve">the impugned letter </w:t>
      </w:r>
      <w:r w:rsidR="00980284">
        <w:rPr>
          <w:rFonts w:ascii="Times New Roman" w:hAnsi="Times New Roman" w:cs="Times New Roman"/>
          <w:sz w:val="28"/>
          <w:szCs w:val="28"/>
        </w:rPr>
        <w:t>of the 29</w:t>
      </w:r>
      <w:r w:rsidR="00980284" w:rsidRPr="00980284">
        <w:rPr>
          <w:rFonts w:ascii="Times New Roman" w:hAnsi="Times New Roman" w:cs="Times New Roman"/>
          <w:sz w:val="28"/>
          <w:szCs w:val="28"/>
          <w:vertAlign w:val="superscript"/>
        </w:rPr>
        <w:t>th</w:t>
      </w:r>
      <w:r w:rsidR="00980284">
        <w:rPr>
          <w:rFonts w:ascii="Times New Roman" w:hAnsi="Times New Roman" w:cs="Times New Roman"/>
          <w:sz w:val="28"/>
          <w:szCs w:val="28"/>
        </w:rPr>
        <w:t xml:space="preserve"> June 2021</w:t>
      </w:r>
      <w:r w:rsidR="00A018F8">
        <w:rPr>
          <w:rFonts w:ascii="Times New Roman" w:hAnsi="Times New Roman" w:cs="Times New Roman"/>
          <w:sz w:val="28"/>
          <w:szCs w:val="28"/>
        </w:rPr>
        <w:t xml:space="preserve"> from </w:t>
      </w:r>
      <w:proofErr w:type="spellStart"/>
      <w:r w:rsidR="00A018F8">
        <w:rPr>
          <w:rFonts w:ascii="Times New Roman" w:hAnsi="Times New Roman" w:cs="Times New Roman"/>
          <w:sz w:val="28"/>
          <w:szCs w:val="28"/>
        </w:rPr>
        <w:t>Litjotjela</w:t>
      </w:r>
      <w:proofErr w:type="spellEnd"/>
      <w:r w:rsidR="00980284">
        <w:rPr>
          <w:rFonts w:ascii="Times New Roman" w:hAnsi="Times New Roman" w:cs="Times New Roman"/>
          <w:sz w:val="28"/>
          <w:szCs w:val="28"/>
        </w:rPr>
        <w:t xml:space="preserve"> is of </w:t>
      </w:r>
      <w:r w:rsidR="00980284">
        <w:rPr>
          <w:rFonts w:ascii="Times New Roman" w:hAnsi="Times New Roman" w:cs="Times New Roman"/>
          <w:sz w:val="28"/>
          <w:szCs w:val="28"/>
        </w:rPr>
        <w:lastRenderedPageBreak/>
        <w:t xml:space="preserve">no moment and </w:t>
      </w:r>
      <w:r>
        <w:rPr>
          <w:rFonts w:ascii="Times New Roman" w:hAnsi="Times New Roman" w:cs="Times New Roman"/>
          <w:sz w:val="28"/>
          <w:szCs w:val="28"/>
        </w:rPr>
        <w:t xml:space="preserve">its issuance is </w:t>
      </w:r>
      <w:r w:rsidR="00980284">
        <w:rPr>
          <w:rFonts w:ascii="Times New Roman" w:hAnsi="Times New Roman" w:cs="Times New Roman"/>
          <w:sz w:val="28"/>
          <w:szCs w:val="28"/>
        </w:rPr>
        <w:t>misplaced</w:t>
      </w:r>
      <w:r w:rsidR="00B96DFA">
        <w:rPr>
          <w:rFonts w:ascii="Times New Roman" w:hAnsi="Times New Roman" w:cs="Times New Roman"/>
          <w:sz w:val="28"/>
          <w:szCs w:val="28"/>
        </w:rPr>
        <w:t>.</w:t>
      </w:r>
      <w:r w:rsidR="00980284">
        <w:rPr>
          <w:rFonts w:ascii="Times New Roman" w:hAnsi="Times New Roman" w:cs="Times New Roman"/>
          <w:sz w:val="28"/>
          <w:szCs w:val="28"/>
        </w:rPr>
        <w:t xml:space="preserve"> </w:t>
      </w:r>
      <w:r>
        <w:rPr>
          <w:rFonts w:ascii="Times New Roman" w:hAnsi="Times New Roman" w:cs="Times New Roman"/>
          <w:sz w:val="28"/>
          <w:szCs w:val="28"/>
        </w:rPr>
        <w:t>Firstly,</w:t>
      </w:r>
      <w:r w:rsidR="00980284">
        <w:rPr>
          <w:rFonts w:ascii="Times New Roman" w:hAnsi="Times New Roman" w:cs="Times New Roman"/>
          <w:sz w:val="28"/>
          <w:szCs w:val="28"/>
        </w:rPr>
        <w:t xml:space="preserve"> it seeks to terminate </w:t>
      </w:r>
      <w:r w:rsidR="007F11DE">
        <w:rPr>
          <w:rFonts w:ascii="Times New Roman" w:hAnsi="Times New Roman" w:cs="Times New Roman"/>
          <w:sz w:val="28"/>
          <w:szCs w:val="28"/>
        </w:rPr>
        <w:t xml:space="preserve">an </w:t>
      </w:r>
      <w:r w:rsidR="006C003F">
        <w:rPr>
          <w:rFonts w:ascii="Times New Roman" w:hAnsi="Times New Roman" w:cs="Times New Roman"/>
          <w:sz w:val="28"/>
          <w:szCs w:val="28"/>
        </w:rPr>
        <w:t xml:space="preserve">agreement </w:t>
      </w:r>
      <w:r w:rsidR="007F11DE">
        <w:rPr>
          <w:rFonts w:ascii="Times New Roman" w:hAnsi="Times New Roman" w:cs="Times New Roman"/>
          <w:sz w:val="28"/>
          <w:szCs w:val="28"/>
        </w:rPr>
        <w:t xml:space="preserve">that </w:t>
      </w:r>
      <w:r w:rsidR="006C003F">
        <w:rPr>
          <w:rFonts w:ascii="Times New Roman" w:hAnsi="Times New Roman" w:cs="Times New Roman"/>
          <w:sz w:val="28"/>
          <w:szCs w:val="28"/>
        </w:rPr>
        <w:t xml:space="preserve">is already </w:t>
      </w:r>
      <w:r w:rsidR="00980284">
        <w:rPr>
          <w:rFonts w:ascii="Times New Roman" w:hAnsi="Times New Roman" w:cs="Times New Roman"/>
          <w:sz w:val="28"/>
          <w:szCs w:val="28"/>
        </w:rPr>
        <w:t xml:space="preserve">null and void by operation of law for non-registration. </w:t>
      </w:r>
      <w:r>
        <w:rPr>
          <w:rFonts w:ascii="Times New Roman" w:hAnsi="Times New Roman" w:cs="Times New Roman"/>
          <w:sz w:val="28"/>
          <w:szCs w:val="28"/>
        </w:rPr>
        <w:t xml:space="preserve">Secondly, </w:t>
      </w:r>
      <w:r w:rsidR="00B96DFA">
        <w:rPr>
          <w:rFonts w:ascii="Times New Roman" w:hAnsi="Times New Roman" w:cs="Times New Roman"/>
          <w:sz w:val="28"/>
          <w:szCs w:val="28"/>
        </w:rPr>
        <w:t>it conflate</w:t>
      </w:r>
      <w:r w:rsidR="008A7526">
        <w:rPr>
          <w:rFonts w:ascii="Times New Roman" w:hAnsi="Times New Roman" w:cs="Times New Roman"/>
          <w:sz w:val="28"/>
          <w:szCs w:val="28"/>
        </w:rPr>
        <w:t>s</w:t>
      </w:r>
      <w:r w:rsidR="00B96DFA">
        <w:rPr>
          <w:rFonts w:ascii="Times New Roman" w:hAnsi="Times New Roman" w:cs="Times New Roman"/>
          <w:sz w:val="28"/>
          <w:szCs w:val="28"/>
        </w:rPr>
        <w:t xml:space="preserve"> termination of agreement with its non – renewal</w:t>
      </w:r>
      <w:r w:rsidR="007F11DE">
        <w:rPr>
          <w:rFonts w:ascii="Times New Roman" w:hAnsi="Times New Roman" w:cs="Times New Roman"/>
          <w:sz w:val="28"/>
          <w:szCs w:val="28"/>
        </w:rPr>
        <w:t>. I</w:t>
      </w:r>
      <w:r>
        <w:rPr>
          <w:rFonts w:ascii="Times New Roman" w:hAnsi="Times New Roman" w:cs="Times New Roman"/>
          <w:sz w:val="28"/>
          <w:szCs w:val="28"/>
        </w:rPr>
        <w:t>nvocation of clause 2.3 of the agreement</w:t>
      </w:r>
      <w:r w:rsidR="00F55720">
        <w:rPr>
          <w:rFonts w:ascii="Times New Roman" w:hAnsi="Times New Roman" w:cs="Times New Roman"/>
          <w:sz w:val="28"/>
          <w:szCs w:val="28"/>
        </w:rPr>
        <w:t xml:space="preserve"> </w:t>
      </w:r>
      <w:r w:rsidR="006C003F">
        <w:rPr>
          <w:rFonts w:ascii="Times New Roman" w:hAnsi="Times New Roman" w:cs="Times New Roman"/>
          <w:sz w:val="28"/>
          <w:szCs w:val="28"/>
        </w:rPr>
        <w:t xml:space="preserve"> fuel</w:t>
      </w:r>
      <w:r w:rsidR="001A56C8">
        <w:rPr>
          <w:rFonts w:ascii="Times New Roman" w:hAnsi="Times New Roman" w:cs="Times New Roman"/>
          <w:sz w:val="28"/>
          <w:szCs w:val="28"/>
        </w:rPr>
        <w:t>s</w:t>
      </w:r>
      <w:r w:rsidR="00540520">
        <w:rPr>
          <w:rFonts w:ascii="Times New Roman" w:hAnsi="Times New Roman" w:cs="Times New Roman"/>
          <w:sz w:val="28"/>
          <w:szCs w:val="28"/>
        </w:rPr>
        <w:t xml:space="preserve"> the</w:t>
      </w:r>
      <w:r w:rsidR="006C003F">
        <w:rPr>
          <w:rFonts w:ascii="Times New Roman" w:hAnsi="Times New Roman" w:cs="Times New Roman"/>
          <w:sz w:val="28"/>
          <w:szCs w:val="28"/>
        </w:rPr>
        <w:t xml:space="preserve"> confusion</w:t>
      </w:r>
      <w:r w:rsidR="00540520">
        <w:rPr>
          <w:rFonts w:ascii="Times New Roman" w:hAnsi="Times New Roman" w:cs="Times New Roman"/>
          <w:sz w:val="28"/>
          <w:szCs w:val="28"/>
        </w:rPr>
        <w:t xml:space="preserve"> and </w:t>
      </w:r>
      <w:r w:rsidR="006C003F">
        <w:rPr>
          <w:rFonts w:ascii="Times New Roman" w:hAnsi="Times New Roman" w:cs="Times New Roman"/>
          <w:sz w:val="28"/>
          <w:szCs w:val="28"/>
        </w:rPr>
        <w:t xml:space="preserve">is </w:t>
      </w:r>
      <w:r w:rsidR="00B96DFA">
        <w:rPr>
          <w:rFonts w:ascii="Times New Roman" w:hAnsi="Times New Roman" w:cs="Times New Roman"/>
          <w:sz w:val="28"/>
          <w:szCs w:val="28"/>
        </w:rPr>
        <w:t>inconsistent</w:t>
      </w:r>
      <w:r w:rsidR="007F11DE">
        <w:rPr>
          <w:rFonts w:ascii="Times New Roman" w:hAnsi="Times New Roman" w:cs="Times New Roman"/>
          <w:sz w:val="28"/>
          <w:szCs w:val="28"/>
        </w:rPr>
        <w:t xml:space="preserve"> with</w:t>
      </w:r>
      <w:r w:rsidR="00B96DFA">
        <w:rPr>
          <w:rFonts w:ascii="Times New Roman" w:hAnsi="Times New Roman" w:cs="Times New Roman"/>
          <w:sz w:val="28"/>
          <w:szCs w:val="28"/>
        </w:rPr>
        <w:t xml:space="preserve"> </w:t>
      </w:r>
      <w:proofErr w:type="spellStart"/>
      <w:r w:rsidR="008A7526">
        <w:rPr>
          <w:rFonts w:ascii="Times New Roman" w:hAnsi="Times New Roman" w:cs="Times New Roman"/>
          <w:sz w:val="28"/>
          <w:szCs w:val="28"/>
        </w:rPr>
        <w:t>Molapo’s</w:t>
      </w:r>
      <w:proofErr w:type="spellEnd"/>
      <w:r w:rsidR="008A7526">
        <w:rPr>
          <w:rFonts w:ascii="Times New Roman" w:hAnsi="Times New Roman" w:cs="Times New Roman"/>
          <w:sz w:val="28"/>
          <w:szCs w:val="28"/>
        </w:rPr>
        <w:t xml:space="preserve"> </w:t>
      </w:r>
      <w:r w:rsidR="00B96DFA">
        <w:rPr>
          <w:rFonts w:ascii="Times New Roman" w:hAnsi="Times New Roman" w:cs="Times New Roman"/>
          <w:sz w:val="28"/>
          <w:szCs w:val="28"/>
        </w:rPr>
        <w:t xml:space="preserve">own </w:t>
      </w:r>
      <w:r>
        <w:rPr>
          <w:rFonts w:ascii="Times New Roman" w:hAnsi="Times New Roman" w:cs="Times New Roman"/>
          <w:sz w:val="28"/>
          <w:szCs w:val="28"/>
        </w:rPr>
        <w:t xml:space="preserve">version that the </w:t>
      </w:r>
      <w:r w:rsidR="00CF6E78">
        <w:rPr>
          <w:rFonts w:ascii="Times New Roman" w:hAnsi="Times New Roman" w:cs="Times New Roman"/>
          <w:sz w:val="28"/>
          <w:szCs w:val="28"/>
        </w:rPr>
        <w:t xml:space="preserve">agreement </w:t>
      </w:r>
      <w:r>
        <w:rPr>
          <w:rFonts w:ascii="Times New Roman" w:hAnsi="Times New Roman" w:cs="Times New Roman"/>
          <w:sz w:val="28"/>
          <w:szCs w:val="28"/>
        </w:rPr>
        <w:t xml:space="preserve">lapsed in June 2018. </w:t>
      </w:r>
      <w:r w:rsidR="00B96DFA">
        <w:rPr>
          <w:rFonts w:ascii="Times New Roman" w:hAnsi="Times New Roman" w:cs="Times New Roman"/>
          <w:sz w:val="28"/>
          <w:szCs w:val="28"/>
        </w:rPr>
        <w:t xml:space="preserve"> </w:t>
      </w:r>
    </w:p>
    <w:p w14:paraId="0B4F204B" w14:textId="77777777" w:rsidR="00AD2DC0" w:rsidRDefault="00AD2DC0" w:rsidP="00F81604">
      <w:pPr>
        <w:pStyle w:val="BodyText"/>
        <w:kinsoku w:val="0"/>
        <w:overflowPunct w:val="0"/>
        <w:spacing w:line="480" w:lineRule="auto"/>
        <w:ind w:left="0"/>
        <w:jc w:val="both"/>
        <w:rPr>
          <w:rFonts w:ascii="Times New Roman" w:hAnsi="Times New Roman" w:cs="Times New Roman"/>
          <w:sz w:val="28"/>
          <w:szCs w:val="28"/>
        </w:rPr>
      </w:pPr>
    </w:p>
    <w:p w14:paraId="5DACDBB6" w14:textId="202C0EE9" w:rsidR="006824AC" w:rsidRDefault="00AD2DC0"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A7526">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96DFA">
        <w:rPr>
          <w:rFonts w:ascii="Times New Roman" w:hAnsi="Times New Roman" w:cs="Times New Roman"/>
          <w:sz w:val="28"/>
          <w:szCs w:val="28"/>
        </w:rPr>
        <w:t xml:space="preserve">In terms of </w:t>
      </w:r>
      <w:r>
        <w:rPr>
          <w:rFonts w:ascii="Times New Roman" w:hAnsi="Times New Roman" w:cs="Times New Roman"/>
          <w:sz w:val="28"/>
          <w:szCs w:val="28"/>
        </w:rPr>
        <w:t>clause 2.3</w:t>
      </w:r>
      <w:r w:rsidR="00B96DFA">
        <w:rPr>
          <w:rFonts w:ascii="Times New Roman" w:hAnsi="Times New Roman" w:cs="Times New Roman"/>
          <w:sz w:val="28"/>
          <w:szCs w:val="28"/>
        </w:rPr>
        <w:t xml:space="preserve">, renewal of the agreement is automatic and a party that does not </w:t>
      </w:r>
      <w:r w:rsidR="00CF6E78">
        <w:rPr>
          <w:rFonts w:ascii="Times New Roman" w:hAnsi="Times New Roman" w:cs="Times New Roman"/>
          <w:sz w:val="28"/>
          <w:szCs w:val="28"/>
        </w:rPr>
        <w:t xml:space="preserve">intend </w:t>
      </w:r>
      <w:r w:rsidR="00B96DFA">
        <w:rPr>
          <w:rFonts w:ascii="Times New Roman" w:hAnsi="Times New Roman" w:cs="Times New Roman"/>
          <w:sz w:val="28"/>
          <w:szCs w:val="28"/>
        </w:rPr>
        <w:t xml:space="preserve">to renew </w:t>
      </w:r>
      <w:r w:rsidR="00CF6E78">
        <w:rPr>
          <w:rFonts w:ascii="Times New Roman" w:hAnsi="Times New Roman" w:cs="Times New Roman"/>
          <w:sz w:val="28"/>
          <w:szCs w:val="28"/>
        </w:rPr>
        <w:t xml:space="preserve">is required </w:t>
      </w:r>
      <w:r w:rsidR="00B96DFA">
        <w:rPr>
          <w:rFonts w:ascii="Times New Roman" w:hAnsi="Times New Roman" w:cs="Times New Roman"/>
          <w:sz w:val="28"/>
          <w:szCs w:val="28"/>
        </w:rPr>
        <w:t xml:space="preserve">to communicate </w:t>
      </w:r>
      <w:r w:rsidR="00CF6E78">
        <w:rPr>
          <w:rFonts w:ascii="Times New Roman" w:hAnsi="Times New Roman" w:cs="Times New Roman"/>
          <w:sz w:val="28"/>
          <w:szCs w:val="28"/>
        </w:rPr>
        <w:t xml:space="preserve">such </w:t>
      </w:r>
      <w:r w:rsidR="00B96DFA">
        <w:rPr>
          <w:rFonts w:ascii="Times New Roman" w:hAnsi="Times New Roman" w:cs="Times New Roman"/>
          <w:sz w:val="28"/>
          <w:szCs w:val="28"/>
        </w:rPr>
        <w:t xml:space="preserve">intention in writing. </w:t>
      </w:r>
      <w:r w:rsidR="00540520">
        <w:rPr>
          <w:rFonts w:ascii="Times New Roman" w:hAnsi="Times New Roman" w:cs="Times New Roman"/>
          <w:sz w:val="28"/>
          <w:szCs w:val="28"/>
        </w:rPr>
        <w:t xml:space="preserve">Therefore, </w:t>
      </w:r>
      <w:r w:rsidR="008A7526">
        <w:rPr>
          <w:rFonts w:ascii="Times New Roman" w:hAnsi="Times New Roman" w:cs="Times New Roman"/>
          <w:sz w:val="28"/>
          <w:szCs w:val="28"/>
        </w:rPr>
        <w:t xml:space="preserve">if the duration was five years </w:t>
      </w:r>
      <w:proofErr w:type="spellStart"/>
      <w:r w:rsidR="00B96DFA">
        <w:rPr>
          <w:rFonts w:ascii="Times New Roman" w:hAnsi="Times New Roman" w:cs="Times New Roman"/>
          <w:sz w:val="28"/>
          <w:szCs w:val="28"/>
        </w:rPr>
        <w:t>Litjotjela</w:t>
      </w:r>
      <w:proofErr w:type="spellEnd"/>
      <w:r w:rsidR="00B96DFA">
        <w:rPr>
          <w:rFonts w:ascii="Times New Roman" w:hAnsi="Times New Roman" w:cs="Times New Roman"/>
          <w:sz w:val="28"/>
          <w:szCs w:val="28"/>
        </w:rPr>
        <w:t xml:space="preserve"> should have invoked this clause</w:t>
      </w:r>
      <w:r w:rsidR="00CF6E78">
        <w:rPr>
          <w:rFonts w:ascii="Times New Roman" w:hAnsi="Times New Roman" w:cs="Times New Roman"/>
          <w:sz w:val="28"/>
          <w:szCs w:val="28"/>
        </w:rPr>
        <w:t xml:space="preserve"> and issue</w:t>
      </w:r>
      <w:r w:rsidR="007F11DE">
        <w:rPr>
          <w:rFonts w:ascii="Times New Roman" w:hAnsi="Times New Roman" w:cs="Times New Roman"/>
          <w:sz w:val="28"/>
          <w:szCs w:val="28"/>
        </w:rPr>
        <w:t>d</w:t>
      </w:r>
      <w:r w:rsidR="00CF6E78">
        <w:rPr>
          <w:rFonts w:ascii="Times New Roman" w:hAnsi="Times New Roman" w:cs="Times New Roman"/>
          <w:sz w:val="28"/>
          <w:szCs w:val="28"/>
        </w:rPr>
        <w:t xml:space="preserve"> the notice not to renew </w:t>
      </w:r>
      <w:r w:rsidR="00F55720">
        <w:rPr>
          <w:rFonts w:ascii="Times New Roman" w:hAnsi="Times New Roman" w:cs="Times New Roman"/>
          <w:sz w:val="28"/>
          <w:szCs w:val="28"/>
        </w:rPr>
        <w:t>before the</w:t>
      </w:r>
      <w:r w:rsidR="00CF6E78">
        <w:rPr>
          <w:rFonts w:ascii="Times New Roman" w:hAnsi="Times New Roman" w:cs="Times New Roman"/>
          <w:sz w:val="28"/>
          <w:szCs w:val="28"/>
        </w:rPr>
        <w:t xml:space="preserve"> agreement </w:t>
      </w:r>
      <w:r w:rsidR="00F55720">
        <w:rPr>
          <w:rFonts w:ascii="Times New Roman" w:hAnsi="Times New Roman" w:cs="Times New Roman"/>
          <w:sz w:val="28"/>
          <w:szCs w:val="28"/>
        </w:rPr>
        <w:t>ran its course</w:t>
      </w:r>
      <w:r>
        <w:rPr>
          <w:rFonts w:ascii="Times New Roman" w:hAnsi="Times New Roman" w:cs="Times New Roman"/>
          <w:sz w:val="28"/>
          <w:szCs w:val="28"/>
        </w:rPr>
        <w:t xml:space="preserve">. </w:t>
      </w:r>
      <w:proofErr w:type="gramStart"/>
      <w:r>
        <w:rPr>
          <w:rFonts w:ascii="Times New Roman" w:hAnsi="Times New Roman" w:cs="Times New Roman"/>
          <w:sz w:val="28"/>
          <w:szCs w:val="28"/>
        </w:rPr>
        <w:t>Otherwise</w:t>
      </w:r>
      <w:proofErr w:type="gramEnd"/>
      <w:r>
        <w:rPr>
          <w:rFonts w:ascii="Times New Roman" w:hAnsi="Times New Roman" w:cs="Times New Roman"/>
          <w:sz w:val="28"/>
          <w:szCs w:val="28"/>
        </w:rPr>
        <w:t xml:space="preserve"> </w:t>
      </w:r>
      <w:r w:rsidR="00B96DFA">
        <w:rPr>
          <w:rFonts w:ascii="Times New Roman" w:hAnsi="Times New Roman" w:cs="Times New Roman"/>
          <w:sz w:val="28"/>
          <w:szCs w:val="28"/>
        </w:rPr>
        <w:t xml:space="preserve">the </w:t>
      </w:r>
      <w:r w:rsidR="00CF6E78">
        <w:rPr>
          <w:rFonts w:ascii="Times New Roman" w:hAnsi="Times New Roman" w:cs="Times New Roman"/>
          <w:sz w:val="28"/>
          <w:szCs w:val="28"/>
        </w:rPr>
        <w:t xml:space="preserve">agreement </w:t>
      </w:r>
      <w:r w:rsidR="008A7526">
        <w:rPr>
          <w:rFonts w:ascii="Times New Roman" w:hAnsi="Times New Roman" w:cs="Times New Roman"/>
          <w:sz w:val="28"/>
          <w:szCs w:val="28"/>
        </w:rPr>
        <w:t xml:space="preserve">would have been </w:t>
      </w:r>
      <w:r w:rsidR="00B96DFA">
        <w:rPr>
          <w:rFonts w:ascii="Times New Roman" w:hAnsi="Times New Roman" w:cs="Times New Roman"/>
          <w:sz w:val="28"/>
          <w:szCs w:val="28"/>
        </w:rPr>
        <w:t>automatically renewed</w:t>
      </w:r>
      <w:r w:rsidR="00CF6E78">
        <w:rPr>
          <w:rFonts w:ascii="Times New Roman" w:hAnsi="Times New Roman" w:cs="Times New Roman"/>
          <w:sz w:val="28"/>
          <w:szCs w:val="28"/>
        </w:rPr>
        <w:t xml:space="preserve"> </w:t>
      </w:r>
      <w:r w:rsidR="000244D1">
        <w:rPr>
          <w:rFonts w:ascii="Times New Roman" w:hAnsi="Times New Roman" w:cs="Times New Roman"/>
          <w:sz w:val="28"/>
          <w:szCs w:val="28"/>
        </w:rPr>
        <w:t>in June 2018</w:t>
      </w:r>
      <w:r w:rsidR="008A7526">
        <w:rPr>
          <w:rFonts w:ascii="Times New Roman" w:hAnsi="Times New Roman" w:cs="Times New Roman"/>
          <w:sz w:val="28"/>
          <w:szCs w:val="28"/>
        </w:rPr>
        <w:t xml:space="preserve"> and in place until 2023</w:t>
      </w:r>
      <w:r>
        <w:rPr>
          <w:rFonts w:ascii="Times New Roman" w:hAnsi="Times New Roman" w:cs="Times New Roman"/>
          <w:sz w:val="28"/>
          <w:szCs w:val="28"/>
        </w:rPr>
        <w:t xml:space="preserve">. </w:t>
      </w:r>
    </w:p>
    <w:p w14:paraId="00C7F083" w14:textId="77777777" w:rsidR="006824AC" w:rsidRDefault="006824AC" w:rsidP="00F81604">
      <w:pPr>
        <w:pStyle w:val="BodyText"/>
        <w:kinsoku w:val="0"/>
        <w:overflowPunct w:val="0"/>
        <w:spacing w:line="480" w:lineRule="auto"/>
        <w:ind w:left="0"/>
        <w:jc w:val="both"/>
        <w:rPr>
          <w:rFonts w:ascii="Times New Roman" w:hAnsi="Times New Roman" w:cs="Times New Roman"/>
          <w:sz w:val="28"/>
          <w:szCs w:val="28"/>
        </w:rPr>
      </w:pPr>
    </w:p>
    <w:p w14:paraId="46023DF4" w14:textId="3ECBCAF2" w:rsidR="003C341C" w:rsidRDefault="006824AC"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Pr>
          <w:rFonts w:ascii="Times New Roman" w:hAnsi="Times New Roman" w:cs="Times New Roman"/>
          <w:sz w:val="28"/>
          <w:szCs w:val="28"/>
        </w:rPr>
        <w:tab/>
      </w:r>
      <w:r w:rsidR="00AD2DC0">
        <w:rPr>
          <w:rFonts w:ascii="Times New Roman" w:hAnsi="Times New Roman" w:cs="Times New Roman"/>
          <w:sz w:val="28"/>
          <w:szCs w:val="28"/>
        </w:rPr>
        <w:t xml:space="preserve">I am </w:t>
      </w:r>
      <w:r w:rsidR="008A7526">
        <w:rPr>
          <w:rFonts w:ascii="Times New Roman" w:hAnsi="Times New Roman" w:cs="Times New Roman"/>
          <w:sz w:val="28"/>
          <w:szCs w:val="28"/>
        </w:rPr>
        <w:t>not oblivious to the fact that</w:t>
      </w:r>
      <w:r>
        <w:rPr>
          <w:rFonts w:ascii="Times New Roman" w:hAnsi="Times New Roman" w:cs="Times New Roman"/>
          <w:sz w:val="28"/>
          <w:szCs w:val="28"/>
        </w:rPr>
        <w:t xml:space="preserve"> failure to invoke clause 2.3 timeously</w:t>
      </w:r>
      <w:r w:rsidR="008A7526">
        <w:rPr>
          <w:rFonts w:ascii="Times New Roman" w:hAnsi="Times New Roman" w:cs="Times New Roman"/>
          <w:sz w:val="28"/>
          <w:szCs w:val="28"/>
        </w:rPr>
        <w:t xml:space="preserve"> is not </w:t>
      </w:r>
      <w:r w:rsidR="00AD2DC0">
        <w:rPr>
          <w:rFonts w:ascii="Times New Roman" w:hAnsi="Times New Roman" w:cs="Times New Roman"/>
          <w:sz w:val="28"/>
          <w:szCs w:val="28"/>
        </w:rPr>
        <w:t>the basis upon which the applicant claims th</w:t>
      </w:r>
      <w:r>
        <w:rPr>
          <w:rFonts w:ascii="Times New Roman" w:hAnsi="Times New Roman" w:cs="Times New Roman"/>
          <w:sz w:val="28"/>
          <w:szCs w:val="28"/>
        </w:rPr>
        <w:t xml:space="preserve">at the </w:t>
      </w:r>
      <w:r w:rsidR="00AD2DC0">
        <w:rPr>
          <w:rFonts w:ascii="Times New Roman" w:hAnsi="Times New Roman" w:cs="Times New Roman"/>
          <w:sz w:val="28"/>
          <w:szCs w:val="28"/>
        </w:rPr>
        <w:t>agreement</w:t>
      </w:r>
      <w:r>
        <w:rPr>
          <w:rFonts w:ascii="Times New Roman" w:hAnsi="Times New Roman" w:cs="Times New Roman"/>
          <w:sz w:val="28"/>
          <w:szCs w:val="28"/>
        </w:rPr>
        <w:t xml:space="preserve"> is</w:t>
      </w:r>
      <w:r w:rsidR="00AD2DC0">
        <w:rPr>
          <w:rFonts w:ascii="Times New Roman" w:hAnsi="Times New Roman" w:cs="Times New Roman"/>
          <w:sz w:val="28"/>
          <w:szCs w:val="28"/>
        </w:rPr>
        <w:t xml:space="preserve"> still extant</w:t>
      </w:r>
      <w:r w:rsidR="008A7526">
        <w:rPr>
          <w:rFonts w:ascii="Times New Roman" w:hAnsi="Times New Roman" w:cs="Times New Roman"/>
          <w:sz w:val="28"/>
          <w:szCs w:val="28"/>
        </w:rPr>
        <w:t xml:space="preserve">. It will therefore not be </w:t>
      </w:r>
      <w:r w:rsidR="000C7054">
        <w:rPr>
          <w:rFonts w:ascii="Times New Roman" w:hAnsi="Times New Roman" w:cs="Times New Roman"/>
          <w:sz w:val="28"/>
          <w:szCs w:val="28"/>
        </w:rPr>
        <w:t>the basis for my decision. At any rate</w:t>
      </w:r>
      <w:r w:rsidR="00AD2DC0">
        <w:rPr>
          <w:rFonts w:ascii="Times New Roman" w:hAnsi="Times New Roman" w:cs="Times New Roman"/>
          <w:sz w:val="28"/>
          <w:szCs w:val="28"/>
        </w:rPr>
        <w:t xml:space="preserve">, I have </w:t>
      </w:r>
      <w:r w:rsidR="000C7054">
        <w:rPr>
          <w:rFonts w:ascii="Times New Roman" w:hAnsi="Times New Roman" w:cs="Times New Roman"/>
          <w:sz w:val="28"/>
          <w:szCs w:val="28"/>
        </w:rPr>
        <w:t xml:space="preserve">already </w:t>
      </w:r>
      <w:r w:rsidR="00AD2DC0">
        <w:rPr>
          <w:rFonts w:ascii="Times New Roman" w:hAnsi="Times New Roman" w:cs="Times New Roman"/>
          <w:sz w:val="28"/>
          <w:szCs w:val="28"/>
        </w:rPr>
        <w:t>found that the agreement is null and void</w:t>
      </w:r>
      <w:r w:rsidR="008A7526">
        <w:rPr>
          <w:rFonts w:ascii="Times New Roman" w:hAnsi="Times New Roman" w:cs="Times New Roman"/>
          <w:sz w:val="28"/>
          <w:szCs w:val="28"/>
        </w:rPr>
        <w:t xml:space="preserve">, hence not enforceable. </w:t>
      </w:r>
      <w:r>
        <w:rPr>
          <w:rFonts w:ascii="Times New Roman" w:hAnsi="Times New Roman" w:cs="Times New Roman"/>
          <w:sz w:val="28"/>
          <w:szCs w:val="28"/>
        </w:rPr>
        <w:t xml:space="preserve">Be that as it may, the elephant in the room cannot be ignored forever - the controversy surrounding the duration of the agreement must be resolved. </w:t>
      </w:r>
    </w:p>
    <w:p w14:paraId="2B3587FF" w14:textId="2A38557A" w:rsidR="003C341C" w:rsidRDefault="003C341C" w:rsidP="00F81604">
      <w:pPr>
        <w:pStyle w:val="BodyText"/>
        <w:kinsoku w:val="0"/>
        <w:overflowPunct w:val="0"/>
        <w:spacing w:line="480" w:lineRule="auto"/>
        <w:ind w:left="0"/>
        <w:jc w:val="both"/>
        <w:rPr>
          <w:rFonts w:ascii="Times New Roman" w:hAnsi="Times New Roman" w:cs="Times New Roman"/>
          <w:sz w:val="28"/>
          <w:szCs w:val="28"/>
        </w:rPr>
      </w:pPr>
    </w:p>
    <w:p w14:paraId="4E33EE41" w14:textId="77777777" w:rsidR="008237C1" w:rsidRDefault="008237C1" w:rsidP="00F81604">
      <w:pPr>
        <w:pStyle w:val="BodyText"/>
        <w:kinsoku w:val="0"/>
        <w:overflowPunct w:val="0"/>
        <w:spacing w:line="480" w:lineRule="auto"/>
        <w:ind w:left="0"/>
        <w:jc w:val="both"/>
        <w:rPr>
          <w:rFonts w:ascii="Times New Roman" w:hAnsi="Times New Roman" w:cs="Times New Roman"/>
          <w:sz w:val="28"/>
          <w:szCs w:val="28"/>
        </w:rPr>
      </w:pPr>
    </w:p>
    <w:p w14:paraId="70048DBD" w14:textId="77777777" w:rsidR="008B3BD6" w:rsidRDefault="008B3BD6" w:rsidP="00F81604">
      <w:pPr>
        <w:pStyle w:val="BodyText"/>
        <w:kinsoku w:val="0"/>
        <w:overflowPunct w:val="0"/>
        <w:spacing w:line="480" w:lineRule="auto"/>
        <w:ind w:left="0"/>
        <w:jc w:val="both"/>
        <w:rPr>
          <w:rFonts w:ascii="Times New Roman" w:hAnsi="Times New Roman" w:cs="Times New Roman"/>
          <w:sz w:val="28"/>
          <w:szCs w:val="28"/>
        </w:rPr>
      </w:pPr>
    </w:p>
    <w:p w14:paraId="3A67D862" w14:textId="212A96F5" w:rsidR="003C341C" w:rsidRPr="003C341C" w:rsidRDefault="003C341C" w:rsidP="00F81604">
      <w:pPr>
        <w:pStyle w:val="BodyText"/>
        <w:kinsoku w:val="0"/>
        <w:overflowPunct w:val="0"/>
        <w:spacing w:line="480" w:lineRule="auto"/>
        <w:ind w:left="0"/>
        <w:jc w:val="both"/>
        <w:rPr>
          <w:rFonts w:ascii="Times New Roman" w:hAnsi="Times New Roman" w:cs="Times New Roman"/>
          <w:b/>
          <w:bCs/>
          <w:sz w:val="28"/>
          <w:szCs w:val="28"/>
          <w:u w:val="single"/>
        </w:rPr>
      </w:pPr>
      <w:r w:rsidRPr="003C341C">
        <w:rPr>
          <w:rFonts w:ascii="Times New Roman" w:hAnsi="Times New Roman" w:cs="Times New Roman"/>
          <w:b/>
          <w:bCs/>
          <w:sz w:val="28"/>
          <w:szCs w:val="28"/>
          <w:u w:val="single"/>
        </w:rPr>
        <w:lastRenderedPageBreak/>
        <w:t>THE DURATION OF THE AGREEMENT</w:t>
      </w:r>
      <w:r>
        <w:rPr>
          <w:rFonts w:ascii="Times New Roman" w:hAnsi="Times New Roman" w:cs="Times New Roman"/>
          <w:b/>
          <w:bCs/>
          <w:sz w:val="28"/>
          <w:szCs w:val="28"/>
          <w:u w:val="single"/>
        </w:rPr>
        <w:t>:</w:t>
      </w:r>
      <w:r w:rsidRPr="003C341C">
        <w:rPr>
          <w:rFonts w:ascii="Times New Roman" w:hAnsi="Times New Roman" w:cs="Times New Roman"/>
          <w:b/>
          <w:bCs/>
          <w:sz w:val="28"/>
          <w:szCs w:val="28"/>
          <w:u w:val="single"/>
        </w:rPr>
        <w:t xml:space="preserve"> </w:t>
      </w:r>
    </w:p>
    <w:p w14:paraId="74547EF2" w14:textId="77777777" w:rsidR="003C341C" w:rsidRDefault="003C341C" w:rsidP="00F81604">
      <w:pPr>
        <w:pStyle w:val="BodyText"/>
        <w:kinsoku w:val="0"/>
        <w:overflowPunct w:val="0"/>
        <w:spacing w:line="480" w:lineRule="auto"/>
        <w:ind w:left="0"/>
        <w:jc w:val="both"/>
        <w:rPr>
          <w:rFonts w:ascii="Times New Roman" w:hAnsi="Times New Roman" w:cs="Times New Roman"/>
          <w:sz w:val="28"/>
          <w:szCs w:val="28"/>
        </w:rPr>
      </w:pPr>
    </w:p>
    <w:p w14:paraId="36CC1A34" w14:textId="214084C0" w:rsidR="003C341C" w:rsidRDefault="003C341C"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Pr>
          <w:rFonts w:ascii="Times New Roman" w:hAnsi="Times New Roman" w:cs="Times New Roman"/>
          <w:sz w:val="28"/>
          <w:szCs w:val="28"/>
        </w:rPr>
        <w:tab/>
        <w:t>Despite my finding that the agreement is null and void, the argument that the applicant should have recouped its expenses within 5 years of occupation cannot be brushed aside. I</w:t>
      </w:r>
      <w:r w:rsidR="000432EF">
        <w:rPr>
          <w:rFonts w:ascii="Times New Roman" w:hAnsi="Times New Roman" w:cs="Times New Roman"/>
          <w:sz w:val="28"/>
          <w:szCs w:val="28"/>
        </w:rPr>
        <w:t>f</w:t>
      </w:r>
      <w:r>
        <w:rPr>
          <w:rFonts w:ascii="Times New Roman" w:hAnsi="Times New Roman" w:cs="Times New Roman"/>
          <w:sz w:val="28"/>
          <w:szCs w:val="28"/>
        </w:rPr>
        <w:t xml:space="preserve"> the agreement was for 5 years as contended by the respondent</w:t>
      </w:r>
      <w:r w:rsidR="000432EF">
        <w:rPr>
          <w:rFonts w:ascii="Times New Roman" w:hAnsi="Times New Roman" w:cs="Times New Roman"/>
          <w:sz w:val="28"/>
          <w:szCs w:val="28"/>
        </w:rPr>
        <w:t xml:space="preserve"> and the applicant should have recouped its expenses during that period,</w:t>
      </w:r>
      <w:r>
        <w:rPr>
          <w:rFonts w:ascii="Times New Roman" w:hAnsi="Times New Roman" w:cs="Times New Roman"/>
          <w:sz w:val="28"/>
          <w:szCs w:val="28"/>
        </w:rPr>
        <w:t xml:space="preserve"> a right of retention m</w:t>
      </w:r>
      <w:r w:rsidR="001C1755">
        <w:rPr>
          <w:rFonts w:ascii="Times New Roman" w:hAnsi="Times New Roman" w:cs="Times New Roman"/>
          <w:sz w:val="28"/>
          <w:szCs w:val="28"/>
        </w:rPr>
        <w:t>a</w:t>
      </w:r>
      <w:r>
        <w:rPr>
          <w:rFonts w:ascii="Times New Roman" w:hAnsi="Times New Roman" w:cs="Times New Roman"/>
          <w:sz w:val="28"/>
          <w:szCs w:val="28"/>
        </w:rPr>
        <w:t xml:space="preserve">y not arise. </w:t>
      </w:r>
    </w:p>
    <w:p w14:paraId="4888E2F3" w14:textId="46775DAB" w:rsidR="00692B75" w:rsidRDefault="00692B75" w:rsidP="00F81604">
      <w:pPr>
        <w:pStyle w:val="BodyText"/>
        <w:kinsoku w:val="0"/>
        <w:overflowPunct w:val="0"/>
        <w:spacing w:line="480" w:lineRule="auto"/>
        <w:ind w:left="0"/>
        <w:jc w:val="both"/>
        <w:rPr>
          <w:rFonts w:ascii="Times New Roman" w:hAnsi="Times New Roman" w:cs="Times New Roman"/>
          <w:sz w:val="28"/>
          <w:szCs w:val="28"/>
        </w:rPr>
      </w:pPr>
    </w:p>
    <w:p w14:paraId="6C513758" w14:textId="0D8232CB" w:rsidR="00692B75" w:rsidRDefault="00692B75"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Pr>
          <w:rFonts w:ascii="Times New Roman" w:hAnsi="Times New Roman" w:cs="Times New Roman"/>
          <w:sz w:val="28"/>
          <w:szCs w:val="28"/>
        </w:rPr>
        <w:tab/>
      </w:r>
      <w:r w:rsidRPr="00D54234">
        <w:rPr>
          <w:rFonts w:ascii="Times New Roman" w:hAnsi="Times New Roman" w:cs="Times New Roman"/>
          <w:i/>
          <w:iCs/>
          <w:sz w:val="28"/>
          <w:szCs w:val="28"/>
        </w:rPr>
        <w:t>Chinhengo</w:t>
      </w:r>
      <w:r>
        <w:rPr>
          <w:rFonts w:ascii="Times New Roman" w:hAnsi="Times New Roman" w:cs="Times New Roman"/>
          <w:sz w:val="28"/>
          <w:szCs w:val="28"/>
        </w:rPr>
        <w:t xml:space="preserve"> AJA, delivering unanimous decision </w:t>
      </w:r>
      <w:r w:rsidR="000432EF">
        <w:rPr>
          <w:rFonts w:ascii="Times New Roman" w:hAnsi="Times New Roman" w:cs="Times New Roman"/>
          <w:sz w:val="28"/>
          <w:szCs w:val="28"/>
        </w:rPr>
        <w:t xml:space="preserve">of the Court of Appeal </w:t>
      </w:r>
      <w:r>
        <w:rPr>
          <w:rFonts w:ascii="Times New Roman" w:hAnsi="Times New Roman" w:cs="Times New Roman"/>
          <w:sz w:val="28"/>
          <w:szCs w:val="28"/>
        </w:rPr>
        <w:t xml:space="preserve">in </w:t>
      </w:r>
      <w:proofErr w:type="spellStart"/>
      <w:r w:rsidRPr="000432EF">
        <w:rPr>
          <w:rFonts w:ascii="Times New Roman" w:hAnsi="Times New Roman" w:cs="Times New Roman"/>
          <w:b/>
          <w:bCs/>
          <w:sz w:val="28"/>
          <w:szCs w:val="28"/>
        </w:rPr>
        <w:t>Lehlohonolo</w:t>
      </w:r>
      <w:proofErr w:type="spellEnd"/>
      <w:r w:rsidRPr="000432EF">
        <w:rPr>
          <w:rFonts w:ascii="Times New Roman" w:hAnsi="Times New Roman" w:cs="Times New Roman"/>
          <w:b/>
          <w:bCs/>
          <w:sz w:val="28"/>
          <w:szCs w:val="28"/>
        </w:rPr>
        <w:t xml:space="preserve"> </w:t>
      </w:r>
      <w:proofErr w:type="spellStart"/>
      <w:r w:rsidRPr="000432EF">
        <w:rPr>
          <w:rFonts w:ascii="Times New Roman" w:hAnsi="Times New Roman" w:cs="Times New Roman"/>
          <w:b/>
          <w:bCs/>
          <w:sz w:val="28"/>
          <w:szCs w:val="28"/>
        </w:rPr>
        <w:t>Mangoejane</w:t>
      </w:r>
      <w:proofErr w:type="spellEnd"/>
      <w:r w:rsidRPr="000432EF">
        <w:rPr>
          <w:rFonts w:ascii="Times New Roman" w:hAnsi="Times New Roman" w:cs="Times New Roman"/>
          <w:b/>
          <w:bCs/>
          <w:sz w:val="28"/>
          <w:szCs w:val="28"/>
        </w:rPr>
        <w:t xml:space="preserve"> and One v </w:t>
      </w:r>
      <w:proofErr w:type="spellStart"/>
      <w:r w:rsidRPr="000432EF">
        <w:rPr>
          <w:rFonts w:ascii="Times New Roman" w:hAnsi="Times New Roman" w:cs="Times New Roman"/>
          <w:b/>
          <w:bCs/>
          <w:sz w:val="28"/>
          <w:szCs w:val="28"/>
        </w:rPr>
        <w:t>Seabata</w:t>
      </w:r>
      <w:proofErr w:type="spellEnd"/>
      <w:r w:rsidRPr="000432EF">
        <w:rPr>
          <w:rFonts w:ascii="Times New Roman" w:hAnsi="Times New Roman" w:cs="Times New Roman"/>
          <w:b/>
          <w:bCs/>
          <w:sz w:val="28"/>
          <w:szCs w:val="28"/>
        </w:rPr>
        <w:t xml:space="preserve"> </w:t>
      </w:r>
      <w:proofErr w:type="spellStart"/>
      <w:r w:rsidRPr="000432EF">
        <w:rPr>
          <w:rFonts w:ascii="Times New Roman" w:hAnsi="Times New Roman" w:cs="Times New Roman"/>
          <w:b/>
          <w:bCs/>
          <w:sz w:val="28"/>
          <w:szCs w:val="28"/>
        </w:rPr>
        <w:t>Mangoejane</w:t>
      </w:r>
      <w:proofErr w:type="spellEnd"/>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stated as following </w:t>
      </w:r>
      <w:proofErr w:type="gramStart"/>
      <w:r>
        <w:rPr>
          <w:rFonts w:ascii="Times New Roman" w:hAnsi="Times New Roman" w:cs="Times New Roman"/>
          <w:sz w:val="28"/>
          <w:szCs w:val="28"/>
        </w:rPr>
        <w:t>on the subject of dispute</w:t>
      </w:r>
      <w:proofErr w:type="gramEnd"/>
      <w:r>
        <w:rPr>
          <w:rFonts w:ascii="Times New Roman" w:hAnsi="Times New Roman" w:cs="Times New Roman"/>
          <w:sz w:val="28"/>
          <w:szCs w:val="28"/>
        </w:rPr>
        <w:t xml:space="preserve"> of facts</w:t>
      </w:r>
      <w:r w:rsidR="000432EF">
        <w:rPr>
          <w:rFonts w:ascii="Times New Roman" w:hAnsi="Times New Roman" w:cs="Times New Roman"/>
          <w:sz w:val="28"/>
          <w:szCs w:val="28"/>
        </w:rPr>
        <w:t xml:space="preserve"> in motion proceedings</w:t>
      </w:r>
      <w:r>
        <w:rPr>
          <w:rFonts w:ascii="Times New Roman" w:hAnsi="Times New Roman" w:cs="Times New Roman"/>
          <w:sz w:val="28"/>
          <w:szCs w:val="28"/>
        </w:rPr>
        <w:t>:</w:t>
      </w:r>
    </w:p>
    <w:p w14:paraId="4B76D58F" w14:textId="28EBAF62" w:rsidR="00692B75" w:rsidRDefault="00692B75" w:rsidP="00F81604">
      <w:pPr>
        <w:pStyle w:val="BodyText"/>
        <w:kinsoku w:val="0"/>
        <w:overflowPunct w:val="0"/>
        <w:spacing w:line="480" w:lineRule="auto"/>
        <w:ind w:left="0"/>
        <w:jc w:val="both"/>
        <w:rPr>
          <w:rFonts w:ascii="Times New Roman" w:hAnsi="Times New Roman" w:cs="Times New Roman"/>
          <w:sz w:val="28"/>
          <w:szCs w:val="28"/>
        </w:rPr>
      </w:pPr>
    </w:p>
    <w:p w14:paraId="5B14032B" w14:textId="7F8FC8D2" w:rsidR="00692B75" w:rsidRDefault="00A420C5" w:rsidP="006C3620">
      <w:pPr>
        <w:pStyle w:val="BodyText"/>
        <w:kinsoku w:val="0"/>
        <w:overflowPunct w:val="0"/>
        <w:ind w:left="2160" w:right="85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692B75" w:rsidRPr="00692B75">
        <w:rPr>
          <w:rFonts w:ascii="Times New Roman" w:hAnsi="Times New Roman" w:cs="Times New Roman"/>
          <w:sz w:val="24"/>
          <w:szCs w:val="24"/>
        </w:rPr>
        <w:t>Rule 8(14) of the High Court Rules</w:t>
      </w:r>
      <w:r w:rsidR="0034328F">
        <w:rPr>
          <w:rFonts w:ascii="Times New Roman" w:hAnsi="Times New Roman" w:cs="Times New Roman"/>
          <w:sz w:val="24"/>
          <w:szCs w:val="24"/>
        </w:rPr>
        <w:t xml:space="preserve"> provides that if the</w:t>
      </w:r>
      <w:r w:rsidR="00A71AA2">
        <w:rPr>
          <w:rFonts w:ascii="Times New Roman" w:hAnsi="Times New Roman" w:cs="Times New Roman"/>
          <w:sz w:val="24"/>
          <w:szCs w:val="24"/>
        </w:rPr>
        <w:t xml:space="preserve"> court is of the opinion that an application cannot properly be decided on affidavit, it may, in the interests of a just and expeditions decision, direct that oral evidence be heard on specified issues with a view to resolving any dispute of fact.  The court can be moved in this direction only if a real dispute of fact, and not a fictitious one, exists.  In any event a court may take a robust view of the facts and decide the matter on probabilities disclosed by the affidavits.  See Bur </w:t>
      </w:r>
      <w:proofErr w:type="spellStart"/>
      <w:r w:rsidR="00A71AA2">
        <w:rPr>
          <w:rFonts w:ascii="Times New Roman" w:hAnsi="Times New Roman" w:cs="Times New Roman"/>
          <w:sz w:val="24"/>
          <w:szCs w:val="24"/>
        </w:rPr>
        <w:t>Plascon</w:t>
      </w:r>
      <w:proofErr w:type="spellEnd"/>
      <w:r w:rsidR="00A71AA2">
        <w:rPr>
          <w:rFonts w:ascii="Times New Roman" w:hAnsi="Times New Roman" w:cs="Times New Roman"/>
          <w:sz w:val="24"/>
          <w:szCs w:val="24"/>
        </w:rPr>
        <w:t xml:space="preserve">-Evans Paints Ltd v Van </w:t>
      </w:r>
      <w:proofErr w:type="spellStart"/>
      <w:r w:rsidR="00A71AA2">
        <w:rPr>
          <w:rFonts w:ascii="Times New Roman" w:hAnsi="Times New Roman" w:cs="Times New Roman"/>
          <w:sz w:val="24"/>
          <w:szCs w:val="24"/>
        </w:rPr>
        <w:t>Riebeck</w:t>
      </w:r>
      <w:proofErr w:type="spellEnd"/>
      <w:r w:rsidR="00A71AA2">
        <w:rPr>
          <w:rFonts w:ascii="Times New Roman" w:hAnsi="Times New Roman" w:cs="Times New Roman"/>
          <w:sz w:val="24"/>
          <w:szCs w:val="24"/>
        </w:rPr>
        <w:t xml:space="preserve"> Paints (Pty) Ltd 1984 (3) SA 623 (A) at 634H-635B and </w:t>
      </w:r>
      <w:proofErr w:type="spellStart"/>
      <w:r w:rsidR="00A71AA2">
        <w:rPr>
          <w:rFonts w:ascii="Times New Roman" w:hAnsi="Times New Roman" w:cs="Times New Roman"/>
          <w:sz w:val="24"/>
          <w:szCs w:val="24"/>
        </w:rPr>
        <w:t>Sewmungal</w:t>
      </w:r>
      <w:proofErr w:type="spellEnd"/>
      <w:r w:rsidR="00A71AA2">
        <w:rPr>
          <w:rFonts w:ascii="Times New Roman" w:hAnsi="Times New Roman" w:cs="Times New Roman"/>
          <w:sz w:val="24"/>
          <w:szCs w:val="24"/>
        </w:rPr>
        <w:t xml:space="preserve"> &amp; Anor NNO v Regent Cinema 1977 (1) SA 814 (N)</w:t>
      </w:r>
      <w:r w:rsidR="003B60B6">
        <w:rPr>
          <w:rFonts w:ascii="Times New Roman" w:hAnsi="Times New Roman" w:cs="Times New Roman"/>
          <w:sz w:val="24"/>
          <w:szCs w:val="24"/>
        </w:rPr>
        <w:t>.</w:t>
      </w:r>
      <w:r w:rsidR="002A78AB">
        <w:rPr>
          <w:rFonts w:ascii="Times New Roman" w:hAnsi="Times New Roman" w:cs="Times New Roman"/>
          <w:sz w:val="24"/>
          <w:szCs w:val="24"/>
        </w:rPr>
        <w:t>”</w:t>
      </w:r>
    </w:p>
    <w:p w14:paraId="56BC9D2E" w14:textId="7CBE542E" w:rsidR="00692B75" w:rsidRDefault="00692B75" w:rsidP="00F81604">
      <w:pPr>
        <w:pStyle w:val="BodyText"/>
        <w:kinsoku w:val="0"/>
        <w:overflowPunct w:val="0"/>
        <w:spacing w:line="480" w:lineRule="auto"/>
        <w:ind w:left="0"/>
        <w:jc w:val="both"/>
        <w:rPr>
          <w:rFonts w:ascii="Times New Roman" w:hAnsi="Times New Roman" w:cs="Times New Roman"/>
          <w:sz w:val="24"/>
          <w:szCs w:val="24"/>
        </w:rPr>
      </w:pPr>
    </w:p>
    <w:p w14:paraId="2CB0695D" w14:textId="0F148E29" w:rsidR="00DA335E" w:rsidRDefault="00DA335E"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Pr>
          <w:rFonts w:ascii="Times New Roman" w:hAnsi="Times New Roman" w:cs="Times New Roman"/>
          <w:sz w:val="28"/>
          <w:szCs w:val="28"/>
        </w:rPr>
        <w:tab/>
        <w:t xml:space="preserve">A robust common-sense approach to a dispute on motion proceedings is aimed at ensuring that the effective functioning of courts is not hamstrung and circumvented by a litigant’s blatant stratagem.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is creating the impression </w:t>
      </w:r>
      <w:r>
        <w:rPr>
          <w:rFonts w:ascii="Times New Roman" w:hAnsi="Times New Roman" w:cs="Times New Roman"/>
          <w:sz w:val="28"/>
          <w:szCs w:val="28"/>
        </w:rPr>
        <w:lastRenderedPageBreak/>
        <w:t>that he knew the terms of the agreement between the parties</w:t>
      </w:r>
      <w:r w:rsidR="00470CA6">
        <w:rPr>
          <w:rStyle w:val="FootnoteReference"/>
          <w:rFonts w:ascii="Times New Roman" w:hAnsi="Times New Roman" w:cs="Times New Roman"/>
          <w:sz w:val="28"/>
          <w:szCs w:val="28"/>
        </w:rPr>
        <w:footnoteReference w:id="8"/>
      </w:r>
      <w:r>
        <w:rPr>
          <w:rFonts w:ascii="Times New Roman" w:hAnsi="Times New Roman" w:cs="Times New Roman"/>
          <w:sz w:val="28"/>
          <w:szCs w:val="28"/>
        </w:rPr>
        <w:t>. He is emphatic that the duration was</w:t>
      </w:r>
      <w:r w:rsidR="005B02BE">
        <w:rPr>
          <w:rFonts w:ascii="Times New Roman" w:hAnsi="Times New Roman" w:cs="Times New Roman"/>
          <w:sz w:val="28"/>
          <w:szCs w:val="28"/>
        </w:rPr>
        <w:t xml:space="preserve"> </w:t>
      </w:r>
      <w:r>
        <w:rPr>
          <w:rFonts w:ascii="Times New Roman" w:hAnsi="Times New Roman" w:cs="Times New Roman"/>
          <w:sz w:val="28"/>
          <w:szCs w:val="28"/>
        </w:rPr>
        <w:t xml:space="preserve">five years and that it lapsed in June 2018. </w:t>
      </w:r>
      <w:r w:rsidR="005B02BE">
        <w:rPr>
          <w:rFonts w:ascii="Times New Roman" w:hAnsi="Times New Roman" w:cs="Times New Roman"/>
          <w:sz w:val="28"/>
          <w:szCs w:val="28"/>
        </w:rPr>
        <w:t>S</w:t>
      </w:r>
      <w:r w:rsidR="00023A4F">
        <w:rPr>
          <w:rFonts w:ascii="Times New Roman" w:hAnsi="Times New Roman" w:cs="Times New Roman"/>
          <w:sz w:val="28"/>
          <w:szCs w:val="28"/>
        </w:rPr>
        <w:t>trange</w:t>
      </w:r>
      <w:r w:rsidR="005B02BE">
        <w:rPr>
          <w:rFonts w:ascii="Times New Roman" w:hAnsi="Times New Roman" w:cs="Times New Roman"/>
          <w:sz w:val="28"/>
          <w:szCs w:val="28"/>
        </w:rPr>
        <w:t xml:space="preserve">ly he does not explain the </w:t>
      </w:r>
      <w:r w:rsidR="00023A4F">
        <w:rPr>
          <w:rFonts w:ascii="Times New Roman" w:hAnsi="Times New Roman" w:cs="Times New Roman"/>
          <w:sz w:val="28"/>
          <w:szCs w:val="28"/>
        </w:rPr>
        <w:t>respondent’s inaction from June 2018 when the agreement purportedly came to an end until June 2021</w:t>
      </w:r>
      <w:r w:rsidR="005B02BE">
        <w:rPr>
          <w:rFonts w:ascii="Times New Roman" w:hAnsi="Times New Roman" w:cs="Times New Roman"/>
          <w:sz w:val="28"/>
          <w:szCs w:val="28"/>
        </w:rPr>
        <w:t xml:space="preserve"> when </w:t>
      </w:r>
      <w:r w:rsidR="001F3709">
        <w:rPr>
          <w:rFonts w:ascii="Times New Roman" w:hAnsi="Times New Roman" w:cs="Times New Roman"/>
          <w:sz w:val="28"/>
          <w:szCs w:val="28"/>
        </w:rPr>
        <w:t xml:space="preserve">the respondent </w:t>
      </w:r>
      <w:r w:rsidR="005B02BE">
        <w:rPr>
          <w:rFonts w:ascii="Times New Roman" w:hAnsi="Times New Roman" w:cs="Times New Roman"/>
          <w:sz w:val="28"/>
          <w:szCs w:val="28"/>
        </w:rPr>
        <w:t>issued the letters to the</w:t>
      </w:r>
      <w:r w:rsidR="001F3709">
        <w:rPr>
          <w:rFonts w:ascii="Times New Roman" w:hAnsi="Times New Roman" w:cs="Times New Roman"/>
          <w:sz w:val="28"/>
          <w:szCs w:val="28"/>
        </w:rPr>
        <w:t xml:space="preserve"> applicant. </w:t>
      </w:r>
      <w:r w:rsidR="005B02BE">
        <w:rPr>
          <w:rFonts w:ascii="Times New Roman" w:hAnsi="Times New Roman" w:cs="Times New Roman"/>
          <w:sz w:val="28"/>
          <w:szCs w:val="28"/>
        </w:rPr>
        <w:t xml:space="preserve"> </w:t>
      </w:r>
      <w:r w:rsidR="00023A4F">
        <w:rPr>
          <w:rFonts w:ascii="Times New Roman" w:hAnsi="Times New Roman" w:cs="Times New Roman"/>
          <w:sz w:val="28"/>
          <w:szCs w:val="28"/>
        </w:rPr>
        <w:t xml:space="preserve"> </w:t>
      </w:r>
    </w:p>
    <w:p w14:paraId="3C8A051C" w14:textId="15F2DD9D" w:rsidR="00023A4F" w:rsidRDefault="00023A4F" w:rsidP="00F81604">
      <w:pPr>
        <w:pStyle w:val="BodyText"/>
        <w:kinsoku w:val="0"/>
        <w:overflowPunct w:val="0"/>
        <w:spacing w:line="480" w:lineRule="auto"/>
        <w:ind w:left="0"/>
        <w:jc w:val="both"/>
        <w:rPr>
          <w:rFonts w:ascii="Times New Roman" w:hAnsi="Times New Roman" w:cs="Times New Roman"/>
          <w:sz w:val="28"/>
          <w:szCs w:val="28"/>
        </w:rPr>
      </w:pPr>
    </w:p>
    <w:p w14:paraId="2B8FEE2F" w14:textId="7ACCFE8D" w:rsidR="00523866" w:rsidRDefault="00023A4F"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ab/>
      </w:r>
      <w:r w:rsidR="000432EF">
        <w:rPr>
          <w:rFonts w:ascii="Times New Roman" w:hAnsi="Times New Roman" w:cs="Times New Roman"/>
          <w:sz w:val="28"/>
          <w:szCs w:val="28"/>
        </w:rPr>
        <w:t xml:space="preserve">Similarly, </w:t>
      </w:r>
      <w:r>
        <w:rPr>
          <w:rFonts w:ascii="Times New Roman" w:hAnsi="Times New Roman" w:cs="Times New Roman"/>
          <w:sz w:val="28"/>
          <w:szCs w:val="28"/>
        </w:rPr>
        <w:t xml:space="preserve">Suleman </w:t>
      </w:r>
      <w:r w:rsidR="005B02BE">
        <w:rPr>
          <w:rFonts w:ascii="Times New Roman" w:hAnsi="Times New Roman" w:cs="Times New Roman"/>
          <w:sz w:val="28"/>
          <w:szCs w:val="28"/>
        </w:rPr>
        <w:t xml:space="preserve">‘s </w:t>
      </w:r>
      <w:r>
        <w:rPr>
          <w:rFonts w:ascii="Times New Roman" w:hAnsi="Times New Roman" w:cs="Times New Roman"/>
          <w:sz w:val="28"/>
          <w:szCs w:val="28"/>
        </w:rPr>
        <w:t>positive assertion</w:t>
      </w:r>
      <w:r w:rsidR="005B02BE">
        <w:rPr>
          <w:rFonts w:ascii="Times New Roman" w:hAnsi="Times New Roman" w:cs="Times New Roman"/>
          <w:sz w:val="28"/>
          <w:szCs w:val="28"/>
        </w:rPr>
        <w:t xml:space="preserve"> </w:t>
      </w:r>
      <w:r w:rsidR="001F3709">
        <w:rPr>
          <w:rFonts w:ascii="Times New Roman" w:hAnsi="Times New Roman" w:cs="Times New Roman"/>
          <w:sz w:val="28"/>
          <w:szCs w:val="28"/>
        </w:rPr>
        <w:t xml:space="preserve">regarding his </w:t>
      </w:r>
      <w:r>
        <w:rPr>
          <w:rFonts w:ascii="Times New Roman" w:hAnsi="Times New Roman" w:cs="Times New Roman"/>
          <w:sz w:val="28"/>
          <w:szCs w:val="28"/>
        </w:rPr>
        <w:t xml:space="preserve">unsuccessful efforts to have a meeting with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and discuss the contents of the </w:t>
      </w:r>
      <w:r w:rsidR="001F3709">
        <w:rPr>
          <w:rFonts w:ascii="Times New Roman" w:hAnsi="Times New Roman" w:cs="Times New Roman"/>
          <w:sz w:val="28"/>
          <w:szCs w:val="28"/>
        </w:rPr>
        <w:t xml:space="preserve">impugned </w:t>
      </w:r>
      <w:r>
        <w:rPr>
          <w:rFonts w:ascii="Times New Roman" w:hAnsi="Times New Roman" w:cs="Times New Roman"/>
          <w:sz w:val="28"/>
          <w:szCs w:val="28"/>
        </w:rPr>
        <w:t>letter</w:t>
      </w:r>
      <w:r w:rsidR="005B02BE">
        <w:rPr>
          <w:rFonts w:ascii="Times New Roman" w:hAnsi="Times New Roman" w:cs="Times New Roman"/>
          <w:sz w:val="28"/>
          <w:szCs w:val="28"/>
        </w:rPr>
        <w:t xml:space="preserve"> is not denied</w:t>
      </w:r>
      <w:r w:rsidR="005B02BE">
        <w:rPr>
          <w:rStyle w:val="FootnoteReference"/>
          <w:rFonts w:ascii="Times New Roman" w:hAnsi="Times New Roman" w:cs="Times New Roman"/>
          <w:sz w:val="28"/>
          <w:szCs w:val="28"/>
        </w:rPr>
        <w:footnoteReference w:id="9"/>
      </w:r>
      <w:r w:rsidR="005B02BE">
        <w:rPr>
          <w:rFonts w:ascii="Times New Roman" w:hAnsi="Times New Roman" w:cs="Times New Roman"/>
          <w:sz w:val="28"/>
          <w:szCs w:val="28"/>
        </w:rPr>
        <w:t xml:space="preserve">. </w:t>
      </w:r>
      <w:r>
        <w:rPr>
          <w:rFonts w:ascii="Times New Roman" w:hAnsi="Times New Roman" w:cs="Times New Roman"/>
          <w:sz w:val="28"/>
          <w:szCs w:val="28"/>
        </w:rPr>
        <w:t xml:space="preserve"> </w:t>
      </w:r>
      <w:r w:rsidR="001F3709">
        <w:rPr>
          <w:rFonts w:ascii="Times New Roman" w:hAnsi="Times New Roman" w:cs="Times New Roman"/>
          <w:sz w:val="28"/>
          <w:szCs w:val="28"/>
        </w:rPr>
        <w:t xml:space="preserve">His </w:t>
      </w:r>
      <w:r w:rsidR="005B02BE">
        <w:rPr>
          <w:rFonts w:ascii="Times New Roman" w:hAnsi="Times New Roman" w:cs="Times New Roman"/>
          <w:sz w:val="28"/>
          <w:szCs w:val="28"/>
        </w:rPr>
        <w:t xml:space="preserve">observation that the impugned letter </w:t>
      </w:r>
      <w:r w:rsidR="000432EF">
        <w:rPr>
          <w:rFonts w:ascii="Times New Roman" w:hAnsi="Times New Roman" w:cs="Times New Roman"/>
          <w:sz w:val="28"/>
          <w:szCs w:val="28"/>
        </w:rPr>
        <w:t xml:space="preserve">lacks </w:t>
      </w:r>
      <w:r w:rsidR="005B02BE">
        <w:rPr>
          <w:rFonts w:ascii="Times New Roman" w:hAnsi="Times New Roman" w:cs="Times New Roman"/>
          <w:sz w:val="28"/>
          <w:szCs w:val="28"/>
        </w:rPr>
        <w:t>d</w:t>
      </w:r>
      <w:r w:rsidR="000432EF">
        <w:rPr>
          <w:rFonts w:ascii="Times New Roman" w:hAnsi="Times New Roman" w:cs="Times New Roman"/>
          <w:sz w:val="28"/>
          <w:szCs w:val="28"/>
        </w:rPr>
        <w:t>etail of the alleged alteration cannot be faulted</w:t>
      </w:r>
      <w:r w:rsidR="007D6A5A">
        <w:rPr>
          <w:rStyle w:val="FootnoteReference"/>
          <w:rFonts w:ascii="Times New Roman" w:hAnsi="Times New Roman" w:cs="Times New Roman"/>
          <w:sz w:val="28"/>
          <w:szCs w:val="28"/>
        </w:rPr>
        <w:footnoteReference w:id="10"/>
      </w:r>
      <w:r w:rsidR="005B02BE">
        <w:rPr>
          <w:rFonts w:ascii="Times New Roman" w:hAnsi="Times New Roman" w:cs="Times New Roman"/>
          <w:sz w:val="28"/>
          <w:szCs w:val="28"/>
        </w:rPr>
        <w:t xml:space="preserve">. </w:t>
      </w:r>
      <w:r w:rsidR="007D6A5A">
        <w:rPr>
          <w:rFonts w:ascii="Times New Roman" w:hAnsi="Times New Roman" w:cs="Times New Roman"/>
          <w:sz w:val="28"/>
          <w:szCs w:val="28"/>
        </w:rPr>
        <w:t>The</w:t>
      </w:r>
      <w:r w:rsidR="00A82058">
        <w:rPr>
          <w:rFonts w:ascii="Times New Roman" w:hAnsi="Times New Roman" w:cs="Times New Roman"/>
          <w:sz w:val="28"/>
          <w:szCs w:val="28"/>
        </w:rPr>
        <w:t xml:space="preserve"> detail </w:t>
      </w:r>
      <w:r w:rsidR="001F3709">
        <w:rPr>
          <w:rFonts w:ascii="Times New Roman" w:hAnsi="Times New Roman" w:cs="Times New Roman"/>
          <w:sz w:val="28"/>
          <w:szCs w:val="28"/>
        </w:rPr>
        <w:t>only emerges from the answering affidavit</w:t>
      </w:r>
      <w:r w:rsidR="00A82058">
        <w:rPr>
          <w:rFonts w:ascii="Times New Roman" w:hAnsi="Times New Roman" w:cs="Times New Roman"/>
          <w:sz w:val="28"/>
          <w:szCs w:val="28"/>
        </w:rPr>
        <w:t xml:space="preserve">. It is understandable why </w:t>
      </w:r>
      <w:r w:rsidR="00C37BE9">
        <w:rPr>
          <w:rFonts w:ascii="Times New Roman" w:hAnsi="Times New Roman" w:cs="Times New Roman"/>
          <w:sz w:val="28"/>
          <w:szCs w:val="28"/>
        </w:rPr>
        <w:t xml:space="preserve">Suleman </w:t>
      </w:r>
      <w:r w:rsidR="007D6A5A">
        <w:rPr>
          <w:rFonts w:ascii="Times New Roman" w:hAnsi="Times New Roman" w:cs="Times New Roman"/>
          <w:sz w:val="28"/>
          <w:szCs w:val="28"/>
        </w:rPr>
        <w:t>is only</w:t>
      </w:r>
      <w:r w:rsidR="00A82058">
        <w:rPr>
          <w:rFonts w:ascii="Times New Roman" w:hAnsi="Times New Roman" w:cs="Times New Roman"/>
          <w:sz w:val="28"/>
          <w:szCs w:val="28"/>
        </w:rPr>
        <w:t xml:space="preserve"> able to</w:t>
      </w:r>
      <w:r w:rsidR="007D6A5A">
        <w:rPr>
          <w:rFonts w:ascii="Times New Roman" w:hAnsi="Times New Roman" w:cs="Times New Roman"/>
          <w:sz w:val="28"/>
          <w:szCs w:val="28"/>
        </w:rPr>
        <w:t xml:space="preserve"> </w:t>
      </w:r>
      <w:r w:rsidR="00540520">
        <w:rPr>
          <w:rFonts w:ascii="Times New Roman" w:hAnsi="Times New Roman" w:cs="Times New Roman"/>
          <w:sz w:val="28"/>
          <w:szCs w:val="28"/>
        </w:rPr>
        <w:t>shed light on</w:t>
      </w:r>
      <w:r w:rsidR="00C37BE9">
        <w:rPr>
          <w:rFonts w:ascii="Times New Roman" w:hAnsi="Times New Roman" w:cs="Times New Roman"/>
          <w:sz w:val="28"/>
          <w:szCs w:val="28"/>
        </w:rPr>
        <w:t xml:space="preserve"> </w:t>
      </w:r>
      <w:r w:rsidR="007D6A5A">
        <w:rPr>
          <w:rFonts w:ascii="Times New Roman" w:hAnsi="Times New Roman" w:cs="Times New Roman"/>
          <w:sz w:val="28"/>
          <w:szCs w:val="28"/>
        </w:rPr>
        <w:t xml:space="preserve">the </w:t>
      </w:r>
      <w:r w:rsidR="00C37BE9">
        <w:rPr>
          <w:rFonts w:ascii="Times New Roman" w:hAnsi="Times New Roman" w:cs="Times New Roman"/>
          <w:sz w:val="28"/>
          <w:szCs w:val="28"/>
        </w:rPr>
        <w:t xml:space="preserve">alleged </w:t>
      </w:r>
      <w:r w:rsidR="007D6A5A">
        <w:rPr>
          <w:rFonts w:ascii="Times New Roman" w:hAnsi="Times New Roman" w:cs="Times New Roman"/>
          <w:sz w:val="28"/>
          <w:szCs w:val="28"/>
        </w:rPr>
        <w:t xml:space="preserve">discrepancies between the two agreements </w:t>
      </w:r>
      <w:r w:rsidR="00C37BE9">
        <w:rPr>
          <w:rFonts w:ascii="Times New Roman" w:hAnsi="Times New Roman" w:cs="Times New Roman"/>
          <w:sz w:val="28"/>
          <w:szCs w:val="28"/>
        </w:rPr>
        <w:t xml:space="preserve">at </w:t>
      </w:r>
      <w:r w:rsidR="00560894">
        <w:rPr>
          <w:rFonts w:ascii="Times New Roman" w:hAnsi="Times New Roman" w:cs="Times New Roman"/>
          <w:sz w:val="28"/>
          <w:szCs w:val="28"/>
        </w:rPr>
        <w:t>a</w:t>
      </w:r>
      <w:r w:rsidR="00C37BE9">
        <w:rPr>
          <w:rFonts w:ascii="Times New Roman" w:hAnsi="Times New Roman" w:cs="Times New Roman"/>
          <w:sz w:val="28"/>
          <w:szCs w:val="28"/>
        </w:rPr>
        <w:t xml:space="preserve"> replying stage. </w:t>
      </w:r>
      <w:r w:rsidR="001F3709">
        <w:rPr>
          <w:rFonts w:ascii="Times New Roman" w:hAnsi="Times New Roman" w:cs="Times New Roman"/>
          <w:sz w:val="28"/>
          <w:szCs w:val="28"/>
        </w:rPr>
        <w:t>The respondent never sought leave to file a supplementary affidavit rebutting Suleman’s explanation</w:t>
      </w:r>
      <w:r w:rsidR="00A82058">
        <w:rPr>
          <w:rFonts w:ascii="Times New Roman" w:hAnsi="Times New Roman" w:cs="Times New Roman"/>
          <w:sz w:val="28"/>
          <w:szCs w:val="28"/>
        </w:rPr>
        <w:t xml:space="preserve"> that the agreement in respondent ‘s possession is erroneous version that ought to have been destroyed after </w:t>
      </w:r>
      <w:proofErr w:type="spellStart"/>
      <w:r w:rsidR="00A82058">
        <w:rPr>
          <w:rFonts w:ascii="Times New Roman" w:hAnsi="Times New Roman" w:cs="Times New Roman"/>
          <w:sz w:val="28"/>
          <w:szCs w:val="28"/>
        </w:rPr>
        <w:t>Chakela</w:t>
      </w:r>
      <w:proofErr w:type="spellEnd"/>
      <w:r w:rsidR="00E20542">
        <w:rPr>
          <w:rFonts w:ascii="Times New Roman" w:hAnsi="Times New Roman" w:cs="Times New Roman"/>
          <w:sz w:val="28"/>
          <w:szCs w:val="28"/>
        </w:rPr>
        <w:t xml:space="preserve"> had</w:t>
      </w:r>
      <w:r w:rsidR="00A82058">
        <w:rPr>
          <w:rFonts w:ascii="Times New Roman" w:hAnsi="Times New Roman" w:cs="Times New Roman"/>
          <w:sz w:val="28"/>
          <w:szCs w:val="28"/>
        </w:rPr>
        <w:t xml:space="preserve"> corrected the duration of the agreement to 15</w:t>
      </w:r>
      <w:r w:rsidR="00E20542">
        <w:rPr>
          <w:rFonts w:ascii="Times New Roman" w:hAnsi="Times New Roman" w:cs="Times New Roman"/>
          <w:sz w:val="28"/>
          <w:szCs w:val="28"/>
        </w:rPr>
        <w:t xml:space="preserve"> years in a meeting and in line with the parties</w:t>
      </w:r>
      <w:r w:rsidR="00F547A5">
        <w:rPr>
          <w:rFonts w:ascii="Times New Roman" w:hAnsi="Times New Roman" w:cs="Times New Roman"/>
          <w:sz w:val="28"/>
          <w:szCs w:val="28"/>
        </w:rPr>
        <w:t>’</w:t>
      </w:r>
      <w:r w:rsidR="00E20542">
        <w:rPr>
          <w:rFonts w:ascii="Times New Roman" w:hAnsi="Times New Roman" w:cs="Times New Roman"/>
          <w:sz w:val="28"/>
          <w:szCs w:val="28"/>
        </w:rPr>
        <w:t xml:space="preserve"> intention</w:t>
      </w:r>
      <w:r w:rsidR="00A82058">
        <w:rPr>
          <w:rFonts w:ascii="Times New Roman" w:hAnsi="Times New Roman" w:cs="Times New Roman"/>
          <w:sz w:val="28"/>
          <w:szCs w:val="28"/>
        </w:rPr>
        <w:t xml:space="preserve">. </w:t>
      </w:r>
    </w:p>
    <w:p w14:paraId="502C6B4D" w14:textId="77777777" w:rsidR="00A82058" w:rsidRDefault="00A82058" w:rsidP="00F81604">
      <w:pPr>
        <w:pStyle w:val="BodyText"/>
        <w:kinsoku w:val="0"/>
        <w:overflowPunct w:val="0"/>
        <w:spacing w:line="480" w:lineRule="auto"/>
        <w:ind w:left="0"/>
        <w:jc w:val="both"/>
        <w:rPr>
          <w:rFonts w:ascii="Times New Roman" w:hAnsi="Times New Roman" w:cs="Times New Roman"/>
          <w:sz w:val="28"/>
          <w:szCs w:val="28"/>
        </w:rPr>
      </w:pPr>
    </w:p>
    <w:p w14:paraId="112A1561" w14:textId="7CBF200C" w:rsidR="00121360" w:rsidRDefault="00523866"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Pr>
          <w:rFonts w:ascii="Times New Roman" w:hAnsi="Times New Roman" w:cs="Times New Roman"/>
          <w:sz w:val="28"/>
          <w:szCs w:val="28"/>
        </w:rPr>
        <w:tab/>
        <w:t xml:space="preserve">In my respectful view, this is a dispute that </w:t>
      </w:r>
      <w:proofErr w:type="gramStart"/>
      <w:r>
        <w:rPr>
          <w:rFonts w:ascii="Times New Roman" w:hAnsi="Times New Roman" w:cs="Times New Roman"/>
          <w:sz w:val="28"/>
          <w:szCs w:val="28"/>
        </w:rPr>
        <w:t>has to</w:t>
      </w:r>
      <w:proofErr w:type="gramEnd"/>
      <w:r>
        <w:rPr>
          <w:rFonts w:ascii="Times New Roman" w:hAnsi="Times New Roman" w:cs="Times New Roman"/>
          <w:sz w:val="28"/>
          <w:szCs w:val="28"/>
        </w:rPr>
        <w:t xml:space="preserve"> be resolved in favour of the applicant. </w:t>
      </w:r>
      <w:proofErr w:type="spellStart"/>
      <w:r w:rsidR="00041B9B">
        <w:rPr>
          <w:rFonts w:ascii="Times New Roman" w:hAnsi="Times New Roman" w:cs="Times New Roman"/>
          <w:sz w:val="28"/>
          <w:szCs w:val="28"/>
        </w:rPr>
        <w:t>Molapo</w:t>
      </w:r>
      <w:proofErr w:type="spellEnd"/>
      <w:r w:rsidR="00041B9B">
        <w:rPr>
          <w:rFonts w:ascii="Times New Roman" w:hAnsi="Times New Roman" w:cs="Times New Roman"/>
          <w:sz w:val="28"/>
          <w:szCs w:val="28"/>
        </w:rPr>
        <w:t xml:space="preserve"> has acknowledged that </w:t>
      </w:r>
      <w:r>
        <w:rPr>
          <w:rFonts w:ascii="Times New Roman" w:hAnsi="Times New Roman" w:cs="Times New Roman"/>
          <w:sz w:val="28"/>
          <w:szCs w:val="28"/>
        </w:rPr>
        <w:t xml:space="preserve">the respondent </w:t>
      </w:r>
      <w:r w:rsidR="00041B9B">
        <w:rPr>
          <w:rFonts w:ascii="Times New Roman" w:hAnsi="Times New Roman" w:cs="Times New Roman"/>
          <w:sz w:val="28"/>
          <w:szCs w:val="28"/>
        </w:rPr>
        <w:t xml:space="preserve">was casual in </w:t>
      </w:r>
      <w:r w:rsidR="00041B9B">
        <w:rPr>
          <w:rFonts w:ascii="Times New Roman" w:hAnsi="Times New Roman" w:cs="Times New Roman"/>
          <w:sz w:val="28"/>
          <w:szCs w:val="28"/>
        </w:rPr>
        <w:lastRenderedPageBreak/>
        <w:t>documenting its agreements</w:t>
      </w:r>
      <w:r w:rsidR="00E20542">
        <w:rPr>
          <w:rFonts w:ascii="Times New Roman" w:hAnsi="Times New Roman" w:cs="Times New Roman"/>
          <w:sz w:val="28"/>
          <w:szCs w:val="28"/>
        </w:rPr>
        <w:t xml:space="preserve"> with </w:t>
      </w:r>
      <w:r w:rsidR="00560894">
        <w:rPr>
          <w:rFonts w:ascii="Times New Roman" w:hAnsi="Times New Roman" w:cs="Times New Roman"/>
          <w:sz w:val="28"/>
          <w:szCs w:val="28"/>
        </w:rPr>
        <w:t xml:space="preserve">its </w:t>
      </w:r>
      <w:r w:rsidR="00E20542">
        <w:rPr>
          <w:rFonts w:ascii="Times New Roman" w:hAnsi="Times New Roman" w:cs="Times New Roman"/>
          <w:sz w:val="28"/>
          <w:szCs w:val="28"/>
        </w:rPr>
        <w:t>tenants</w:t>
      </w:r>
      <w:r w:rsidR="00041B9B">
        <w:rPr>
          <w:rStyle w:val="FootnoteReference"/>
          <w:rFonts w:ascii="Times New Roman" w:hAnsi="Times New Roman" w:cs="Times New Roman"/>
          <w:sz w:val="28"/>
          <w:szCs w:val="28"/>
        </w:rPr>
        <w:footnoteReference w:id="11"/>
      </w:r>
      <w:r w:rsidR="00E20542">
        <w:rPr>
          <w:rFonts w:ascii="Times New Roman" w:hAnsi="Times New Roman" w:cs="Times New Roman"/>
          <w:sz w:val="28"/>
          <w:szCs w:val="28"/>
        </w:rPr>
        <w:t>. More tellingly, t</w:t>
      </w:r>
      <w:r w:rsidR="00041B9B">
        <w:rPr>
          <w:rFonts w:ascii="Times New Roman" w:hAnsi="Times New Roman" w:cs="Times New Roman"/>
          <w:sz w:val="28"/>
          <w:szCs w:val="28"/>
        </w:rPr>
        <w:t>he applicant stayed on the premises after the purported expiry of the agreement</w:t>
      </w:r>
      <w:r w:rsidR="00C37BE9">
        <w:rPr>
          <w:rFonts w:ascii="Times New Roman" w:hAnsi="Times New Roman" w:cs="Times New Roman"/>
          <w:sz w:val="28"/>
          <w:szCs w:val="28"/>
        </w:rPr>
        <w:t xml:space="preserve"> in </w:t>
      </w:r>
      <w:r w:rsidR="00041B9B">
        <w:rPr>
          <w:rFonts w:ascii="Times New Roman" w:hAnsi="Times New Roman" w:cs="Times New Roman"/>
          <w:sz w:val="28"/>
          <w:szCs w:val="28"/>
        </w:rPr>
        <w:t>June 2018. Almost three years past without the respondent questioning</w:t>
      </w:r>
      <w:r w:rsidR="00C37BE9">
        <w:rPr>
          <w:rFonts w:ascii="Times New Roman" w:hAnsi="Times New Roman" w:cs="Times New Roman"/>
          <w:sz w:val="28"/>
          <w:szCs w:val="28"/>
        </w:rPr>
        <w:t xml:space="preserve"> applicant’s</w:t>
      </w:r>
      <w:r w:rsidR="00041B9B">
        <w:rPr>
          <w:rFonts w:ascii="Times New Roman" w:hAnsi="Times New Roman" w:cs="Times New Roman"/>
          <w:sz w:val="28"/>
          <w:szCs w:val="28"/>
        </w:rPr>
        <w:t xml:space="preserve"> occupancy.</w:t>
      </w:r>
      <w:r w:rsidR="00C37BE9">
        <w:rPr>
          <w:rFonts w:ascii="Times New Roman" w:hAnsi="Times New Roman" w:cs="Times New Roman"/>
          <w:sz w:val="28"/>
          <w:szCs w:val="28"/>
        </w:rPr>
        <w:t xml:space="preserve"> Evidently, there is no explanation for this except that the agreement did not end in June 2018. </w:t>
      </w:r>
    </w:p>
    <w:p w14:paraId="34D915BC" w14:textId="07239F1F" w:rsidR="00560894" w:rsidRDefault="00560894" w:rsidP="00F81604">
      <w:pPr>
        <w:pStyle w:val="BodyText"/>
        <w:kinsoku w:val="0"/>
        <w:overflowPunct w:val="0"/>
        <w:spacing w:line="480" w:lineRule="auto"/>
        <w:ind w:left="0"/>
        <w:jc w:val="both"/>
        <w:rPr>
          <w:rFonts w:ascii="Times New Roman" w:hAnsi="Times New Roman" w:cs="Times New Roman"/>
          <w:sz w:val="28"/>
          <w:szCs w:val="28"/>
        </w:rPr>
      </w:pPr>
    </w:p>
    <w:p w14:paraId="7C9C2939" w14:textId="730A2CE5" w:rsidR="00560894" w:rsidRDefault="00560894"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ab/>
        <w:t xml:space="preserve">Again, </w:t>
      </w:r>
      <w:proofErr w:type="spellStart"/>
      <w:r>
        <w:rPr>
          <w:rFonts w:ascii="Times New Roman" w:hAnsi="Times New Roman" w:cs="Times New Roman"/>
          <w:sz w:val="28"/>
          <w:szCs w:val="28"/>
        </w:rPr>
        <w:t>Molapo’s</w:t>
      </w:r>
      <w:proofErr w:type="spellEnd"/>
      <w:r>
        <w:rPr>
          <w:rFonts w:ascii="Times New Roman" w:hAnsi="Times New Roman" w:cs="Times New Roman"/>
          <w:sz w:val="28"/>
          <w:szCs w:val="28"/>
        </w:rPr>
        <w:t xml:space="preserve"> reliance on the so-called forensic analysis of the two documents is misplaced. He does not claim to be a handwriting expert, neither has any filed a supporting affidavit to reinforce</w:t>
      </w:r>
      <w:r w:rsidR="00E47F45">
        <w:rPr>
          <w:rFonts w:ascii="Times New Roman" w:hAnsi="Times New Roman" w:cs="Times New Roman"/>
          <w:sz w:val="28"/>
          <w:szCs w:val="28"/>
        </w:rPr>
        <w:t xml:space="preserve"> </w:t>
      </w:r>
      <w:proofErr w:type="spellStart"/>
      <w:r w:rsidR="00E47F45">
        <w:rPr>
          <w:rFonts w:ascii="Times New Roman" w:hAnsi="Times New Roman" w:cs="Times New Roman"/>
          <w:sz w:val="28"/>
          <w:szCs w:val="28"/>
        </w:rPr>
        <w:t>Molapo’s</w:t>
      </w:r>
      <w:proofErr w:type="spellEnd"/>
      <w:r>
        <w:rPr>
          <w:rFonts w:ascii="Times New Roman" w:hAnsi="Times New Roman" w:cs="Times New Roman"/>
          <w:sz w:val="28"/>
          <w:szCs w:val="28"/>
        </w:rPr>
        <w:t xml:space="preserve"> story that the figure 1 in the document was not written by </w:t>
      </w:r>
      <w:proofErr w:type="spellStart"/>
      <w:r>
        <w:rPr>
          <w:rFonts w:ascii="Times New Roman" w:hAnsi="Times New Roman" w:cs="Times New Roman"/>
          <w:sz w:val="28"/>
          <w:szCs w:val="28"/>
        </w:rPr>
        <w:t>Chakela</w:t>
      </w:r>
      <w:proofErr w:type="spellEnd"/>
      <w:r>
        <w:rPr>
          <w:rFonts w:ascii="Times New Roman" w:hAnsi="Times New Roman" w:cs="Times New Roman"/>
          <w:sz w:val="28"/>
          <w:szCs w:val="28"/>
        </w:rPr>
        <w:t xml:space="preserve">. Thus, </w:t>
      </w:r>
      <w:proofErr w:type="spellStart"/>
      <w:r>
        <w:rPr>
          <w:rFonts w:ascii="Times New Roman" w:hAnsi="Times New Roman" w:cs="Times New Roman"/>
          <w:sz w:val="28"/>
          <w:szCs w:val="28"/>
        </w:rPr>
        <w:t>Molapo</w:t>
      </w:r>
      <w:proofErr w:type="spellEnd"/>
      <w:r>
        <w:rPr>
          <w:rFonts w:ascii="Times New Roman" w:hAnsi="Times New Roman" w:cs="Times New Roman"/>
          <w:sz w:val="28"/>
          <w:szCs w:val="28"/>
        </w:rPr>
        <w:t xml:space="preserve"> </w:t>
      </w:r>
      <w:r w:rsidR="00E47F45">
        <w:rPr>
          <w:rFonts w:ascii="Times New Roman" w:hAnsi="Times New Roman" w:cs="Times New Roman"/>
          <w:sz w:val="28"/>
          <w:szCs w:val="28"/>
        </w:rPr>
        <w:t xml:space="preserve">is not qualified to express </w:t>
      </w:r>
      <w:r>
        <w:rPr>
          <w:rFonts w:ascii="Times New Roman" w:hAnsi="Times New Roman" w:cs="Times New Roman"/>
          <w:sz w:val="28"/>
          <w:szCs w:val="28"/>
        </w:rPr>
        <w:t xml:space="preserve">opinion </w:t>
      </w:r>
      <w:r w:rsidR="00E47F45">
        <w:rPr>
          <w:rFonts w:ascii="Times New Roman" w:hAnsi="Times New Roman" w:cs="Times New Roman"/>
          <w:sz w:val="28"/>
          <w:szCs w:val="28"/>
        </w:rPr>
        <w:t xml:space="preserve">on the so-called </w:t>
      </w:r>
      <w:r>
        <w:rPr>
          <w:rFonts w:ascii="Times New Roman" w:hAnsi="Times New Roman" w:cs="Times New Roman"/>
          <w:sz w:val="28"/>
          <w:szCs w:val="28"/>
        </w:rPr>
        <w:t>forensic analysis</w:t>
      </w:r>
      <w:r w:rsidR="00E47F45">
        <w:rPr>
          <w:rFonts w:ascii="Times New Roman" w:hAnsi="Times New Roman" w:cs="Times New Roman"/>
          <w:sz w:val="28"/>
          <w:szCs w:val="28"/>
        </w:rPr>
        <w:t>.</w:t>
      </w:r>
      <w:r>
        <w:rPr>
          <w:rFonts w:ascii="Times New Roman" w:hAnsi="Times New Roman" w:cs="Times New Roman"/>
          <w:sz w:val="28"/>
          <w:szCs w:val="28"/>
        </w:rPr>
        <w:t xml:space="preserve"> </w:t>
      </w:r>
      <w:r w:rsidR="00E47F45">
        <w:rPr>
          <w:rFonts w:ascii="Times New Roman" w:hAnsi="Times New Roman" w:cs="Times New Roman"/>
          <w:sz w:val="28"/>
          <w:szCs w:val="28"/>
        </w:rPr>
        <w:t xml:space="preserve">Taking the evidence as whole, </w:t>
      </w:r>
      <w:r>
        <w:rPr>
          <w:rFonts w:ascii="Times New Roman" w:hAnsi="Times New Roman" w:cs="Times New Roman"/>
          <w:sz w:val="28"/>
          <w:szCs w:val="28"/>
        </w:rPr>
        <w:t>I arrive at a conclusion that the agreement was for a period of 15 years as contended by the applicant.</w:t>
      </w:r>
    </w:p>
    <w:p w14:paraId="0D72E2A3" w14:textId="77777777" w:rsidR="00980284" w:rsidRDefault="00980284" w:rsidP="00F81604">
      <w:pPr>
        <w:pStyle w:val="BodyText"/>
        <w:kinsoku w:val="0"/>
        <w:overflowPunct w:val="0"/>
        <w:spacing w:line="480" w:lineRule="auto"/>
        <w:ind w:left="0"/>
        <w:jc w:val="both"/>
        <w:rPr>
          <w:rFonts w:ascii="Times New Roman" w:hAnsi="Times New Roman" w:cs="Times New Roman"/>
          <w:sz w:val="28"/>
          <w:szCs w:val="28"/>
        </w:rPr>
      </w:pPr>
    </w:p>
    <w:p w14:paraId="24CC93A2" w14:textId="77777777" w:rsidR="0097249E" w:rsidRDefault="0097249E" w:rsidP="00F81604">
      <w:pPr>
        <w:pStyle w:val="BodyText"/>
        <w:kinsoku w:val="0"/>
        <w:overflowPunct w:val="0"/>
        <w:spacing w:line="480" w:lineRule="auto"/>
        <w:ind w:left="0"/>
        <w:jc w:val="both"/>
        <w:rPr>
          <w:rFonts w:ascii="Times New Roman" w:hAnsi="Times New Roman" w:cs="Times New Roman"/>
          <w:b/>
          <w:bCs/>
          <w:sz w:val="28"/>
          <w:szCs w:val="28"/>
          <w:u w:val="single"/>
        </w:rPr>
      </w:pPr>
      <w:r w:rsidRPr="0097249E">
        <w:rPr>
          <w:rFonts w:ascii="Times New Roman" w:hAnsi="Times New Roman" w:cs="Times New Roman"/>
          <w:b/>
          <w:bCs/>
          <w:sz w:val="28"/>
          <w:szCs w:val="28"/>
          <w:u w:val="single"/>
        </w:rPr>
        <w:t>RIGHT OF RETENTION</w:t>
      </w:r>
      <w:r>
        <w:rPr>
          <w:rFonts w:ascii="Times New Roman" w:hAnsi="Times New Roman" w:cs="Times New Roman"/>
          <w:b/>
          <w:bCs/>
          <w:sz w:val="28"/>
          <w:szCs w:val="28"/>
          <w:u w:val="single"/>
        </w:rPr>
        <w:t>:</w:t>
      </w:r>
    </w:p>
    <w:p w14:paraId="10B06F56" w14:textId="77777777" w:rsidR="0097249E" w:rsidRDefault="0097249E" w:rsidP="00F81604">
      <w:pPr>
        <w:pStyle w:val="BodyText"/>
        <w:kinsoku w:val="0"/>
        <w:overflowPunct w:val="0"/>
        <w:spacing w:line="480" w:lineRule="auto"/>
        <w:ind w:left="0"/>
        <w:jc w:val="both"/>
        <w:rPr>
          <w:rFonts w:ascii="Times New Roman" w:hAnsi="Times New Roman" w:cs="Times New Roman"/>
          <w:b/>
          <w:bCs/>
          <w:sz w:val="28"/>
          <w:szCs w:val="28"/>
          <w:u w:val="single"/>
        </w:rPr>
      </w:pPr>
    </w:p>
    <w:p w14:paraId="03B203FC" w14:textId="2A2A371F" w:rsidR="00C6148C" w:rsidRDefault="0097249E"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041B9B">
        <w:rPr>
          <w:rFonts w:ascii="Times New Roman" w:hAnsi="Times New Roman" w:cs="Times New Roman"/>
          <w:sz w:val="28"/>
          <w:szCs w:val="28"/>
        </w:rPr>
        <w:t>3</w:t>
      </w:r>
      <w:r w:rsidR="00E47F45">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Ha </w:t>
      </w:r>
      <w:proofErr w:type="spellStart"/>
      <w:r>
        <w:rPr>
          <w:rFonts w:ascii="Times New Roman" w:hAnsi="Times New Roman" w:cs="Times New Roman"/>
          <w:sz w:val="28"/>
          <w:szCs w:val="28"/>
        </w:rPr>
        <w:t>Seotsanyana</w:t>
      </w:r>
      <w:proofErr w:type="spellEnd"/>
      <w:r>
        <w:rPr>
          <w:rFonts w:ascii="Times New Roman" w:hAnsi="Times New Roman" w:cs="Times New Roman"/>
          <w:sz w:val="28"/>
          <w:szCs w:val="28"/>
        </w:rPr>
        <w:t xml:space="preserve"> </w:t>
      </w:r>
      <w:r w:rsidR="00C8758B">
        <w:rPr>
          <w:rFonts w:ascii="Times New Roman" w:hAnsi="Times New Roman" w:cs="Times New Roman"/>
          <w:sz w:val="28"/>
          <w:szCs w:val="28"/>
        </w:rPr>
        <w:t>contends that it is a bona fide occupier and developer of Portion B of the premises thus it has a right of retention</w:t>
      </w:r>
      <w:r w:rsidR="00D20DC3">
        <w:rPr>
          <w:rFonts w:ascii="Times New Roman" w:hAnsi="Times New Roman" w:cs="Times New Roman"/>
          <w:sz w:val="28"/>
          <w:szCs w:val="28"/>
        </w:rPr>
        <w:t xml:space="preserve"> until it is compensated for the improvements it effected at the premises. </w:t>
      </w:r>
      <w:r w:rsidR="00C37BE9">
        <w:rPr>
          <w:rFonts w:ascii="Times New Roman" w:hAnsi="Times New Roman" w:cs="Times New Roman"/>
          <w:sz w:val="28"/>
          <w:szCs w:val="28"/>
        </w:rPr>
        <w:t xml:space="preserve">The </w:t>
      </w:r>
      <w:r w:rsidR="00C8758B">
        <w:rPr>
          <w:rFonts w:ascii="Times New Roman" w:hAnsi="Times New Roman" w:cs="Times New Roman"/>
          <w:sz w:val="28"/>
          <w:szCs w:val="28"/>
        </w:rPr>
        <w:t>developments effected on the premises are not denied. Neither is the estimated cost</w:t>
      </w:r>
      <w:r w:rsidR="002B57FD">
        <w:rPr>
          <w:rFonts w:ascii="Times New Roman" w:hAnsi="Times New Roman" w:cs="Times New Roman"/>
          <w:sz w:val="28"/>
          <w:szCs w:val="28"/>
        </w:rPr>
        <w:t xml:space="preserve"> of M3</w:t>
      </w:r>
      <w:r w:rsidR="00FD23EA">
        <w:rPr>
          <w:rFonts w:ascii="Times New Roman" w:hAnsi="Times New Roman" w:cs="Times New Roman"/>
          <w:sz w:val="28"/>
          <w:szCs w:val="28"/>
        </w:rPr>
        <w:t xml:space="preserve">.5 </w:t>
      </w:r>
      <w:proofErr w:type="gramStart"/>
      <w:r w:rsidR="00FD23EA">
        <w:rPr>
          <w:rFonts w:ascii="Times New Roman" w:hAnsi="Times New Roman" w:cs="Times New Roman"/>
          <w:sz w:val="28"/>
          <w:szCs w:val="28"/>
        </w:rPr>
        <w:t>Million</w:t>
      </w:r>
      <w:proofErr w:type="gramEnd"/>
      <w:r w:rsidR="00FD23EA">
        <w:rPr>
          <w:rFonts w:ascii="Times New Roman" w:hAnsi="Times New Roman" w:cs="Times New Roman"/>
          <w:sz w:val="28"/>
          <w:szCs w:val="28"/>
        </w:rPr>
        <w:t xml:space="preserve">. </w:t>
      </w:r>
      <w:r w:rsidR="00D20DC3">
        <w:rPr>
          <w:rFonts w:ascii="Times New Roman" w:hAnsi="Times New Roman" w:cs="Times New Roman"/>
          <w:sz w:val="28"/>
          <w:szCs w:val="28"/>
        </w:rPr>
        <w:t xml:space="preserve">Hence the </w:t>
      </w:r>
      <w:r w:rsidR="00D20DC3">
        <w:rPr>
          <w:rFonts w:ascii="Times New Roman" w:hAnsi="Times New Roman" w:cs="Times New Roman"/>
          <w:sz w:val="28"/>
          <w:szCs w:val="28"/>
        </w:rPr>
        <w:lastRenderedPageBreak/>
        <w:t xml:space="preserve">applicant wants to exercise </w:t>
      </w:r>
      <w:proofErr w:type="spellStart"/>
      <w:r w:rsidR="00D20DC3" w:rsidRPr="00D20DC3">
        <w:rPr>
          <w:rFonts w:ascii="Times New Roman" w:hAnsi="Times New Roman" w:cs="Times New Roman"/>
          <w:i/>
          <w:iCs/>
          <w:sz w:val="28"/>
          <w:szCs w:val="28"/>
        </w:rPr>
        <w:t>ius</w:t>
      </w:r>
      <w:proofErr w:type="spellEnd"/>
      <w:r w:rsidR="00D20DC3" w:rsidRPr="00D20DC3">
        <w:rPr>
          <w:rFonts w:ascii="Times New Roman" w:hAnsi="Times New Roman" w:cs="Times New Roman"/>
          <w:i/>
          <w:iCs/>
          <w:sz w:val="28"/>
          <w:szCs w:val="28"/>
        </w:rPr>
        <w:t xml:space="preserve"> </w:t>
      </w:r>
      <w:proofErr w:type="spellStart"/>
      <w:r w:rsidR="00D20DC3" w:rsidRPr="00D20DC3">
        <w:rPr>
          <w:rFonts w:ascii="Times New Roman" w:hAnsi="Times New Roman" w:cs="Times New Roman"/>
          <w:i/>
          <w:iCs/>
          <w:sz w:val="28"/>
          <w:szCs w:val="28"/>
        </w:rPr>
        <w:t>retentionis</w:t>
      </w:r>
      <w:proofErr w:type="spellEnd"/>
      <w:r w:rsidR="00D20DC3">
        <w:rPr>
          <w:rFonts w:ascii="Times New Roman" w:hAnsi="Times New Roman" w:cs="Times New Roman"/>
          <w:sz w:val="28"/>
          <w:szCs w:val="28"/>
        </w:rPr>
        <w:t xml:space="preserve"> over the premises </w:t>
      </w:r>
      <w:r w:rsidR="00E20542">
        <w:rPr>
          <w:rFonts w:ascii="Times New Roman" w:hAnsi="Times New Roman" w:cs="Times New Roman"/>
          <w:sz w:val="28"/>
          <w:szCs w:val="28"/>
        </w:rPr>
        <w:t xml:space="preserve">should this Court refuse to grant prayer (d) </w:t>
      </w:r>
      <w:r w:rsidR="00D20DC3">
        <w:rPr>
          <w:rFonts w:ascii="Times New Roman" w:hAnsi="Times New Roman" w:cs="Times New Roman"/>
          <w:sz w:val="28"/>
          <w:szCs w:val="28"/>
        </w:rPr>
        <w:t>in the notice of motion in terms of which</w:t>
      </w:r>
      <w:r w:rsidR="00E20542">
        <w:rPr>
          <w:rFonts w:ascii="Times New Roman" w:hAnsi="Times New Roman" w:cs="Times New Roman"/>
          <w:sz w:val="28"/>
          <w:szCs w:val="28"/>
        </w:rPr>
        <w:t xml:space="preserve"> the applicant </w:t>
      </w:r>
      <w:r w:rsidR="00E47F45">
        <w:rPr>
          <w:rFonts w:ascii="Times New Roman" w:hAnsi="Times New Roman" w:cs="Times New Roman"/>
          <w:sz w:val="28"/>
          <w:szCs w:val="28"/>
        </w:rPr>
        <w:t xml:space="preserve">is </w:t>
      </w:r>
      <w:r w:rsidR="00E20542">
        <w:rPr>
          <w:rFonts w:ascii="Times New Roman" w:hAnsi="Times New Roman" w:cs="Times New Roman"/>
          <w:sz w:val="28"/>
          <w:szCs w:val="28"/>
        </w:rPr>
        <w:t>s</w:t>
      </w:r>
      <w:r w:rsidR="00D20DC3">
        <w:rPr>
          <w:rFonts w:ascii="Times New Roman" w:hAnsi="Times New Roman" w:cs="Times New Roman"/>
          <w:sz w:val="28"/>
          <w:szCs w:val="28"/>
        </w:rPr>
        <w:t>eeking an order that the impugned letter of termination is unlawful</w:t>
      </w:r>
      <w:r w:rsidR="00D20DC3">
        <w:rPr>
          <w:rStyle w:val="FootnoteReference"/>
          <w:rFonts w:ascii="Times New Roman" w:hAnsi="Times New Roman" w:cs="Times New Roman"/>
          <w:sz w:val="28"/>
          <w:szCs w:val="28"/>
        </w:rPr>
        <w:footnoteReference w:id="12"/>
      </w:r>
      <w:r w:rsidR="00D20DC3">
        <w:rPr>
          <w:rFonts w:ascii="Times New Roman" w:hAnsi="Times New Roman" w:cs="Times New Roman"/>
          <w:sz w:val="28"/>
          <w:szCs w:val="28"/>
        </w:rPr>
        <w:t xml:space="preserve">.  </w:t>
      </w:r>
    </w:p>
    <w:p w14:paraId="0C35F4C4" w14:textId="77777777" w:rsidR="00C6148C" w:rsidRDefault="00C6148C" w:rsidP="00F81604">
      <w:pPr>
        <w:pStyle w:val="BodyText"/>
        <w:kinsoku w:val="0"/>
        <w:overflowPunct w:val="0"/>
        <w:spacing w:line="480" w:lineRule="auto"/>
        <w:ind w:left="0"/>
        <w:jc w:val="both"/>
        <w:rPr>
          <w:rFonts w:ascii="Times New Roman" w:hAnsi="Times New Roman" w:cs="Times New Roman"/>
          <w:sz w:val="28"/>
          <w:szCs w:val="28"/>
        </w:rPr>
      </w:pPr>
    </w:p>
    <w:p w14:paraId="202CA16D" w14:textId="53A21BAF" w:rsidR="00FE681C" w:rsidRPr="00F51F25" w:rsidRDefault="002F40AB" w:rsidP="00F81604">
      <w:pPr>
        <w:pStyle w:val="BodyText"/>
        <w:kinsoku w:val="0"/>
        <w:overflowPunct w:val="0"/>
        <w:spacing w:line="480" w:lineRule="auto"/>
        <w:ind w:left="0"/>
        <w:jc w:val="both"/>
        <w:rPr>
          <w:rFonts w:ascii="Times New Roman" w:hAnsi="Times New Roman" w:cs="Times New Roman"/>
          <w:b/>
          <w:bCs/>
          <w:sz w:val="28"/>
          <w:szCs w:val="28"/>
        </w:rPr>
      </w:pPr>
      <w:r>
        <w:rPr>
          <w:rFonts w:ascii="Times New Roman" w:hAnsi="Times New Roman" w:cs="Times New Roman"/>
          <w:sz w:val="28"/>
          <w:szCs w:val="28"/>
        </w:rPr>
        <w:t>[3</w:t>
      </w:r>
      <w:r w:rsidR="00E47F45">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F2B86">
        <w:rPr>
          <w:rFonts w:ascii="Times New Roman" w:hAnsi="Times New Roman" w:cs="Times New Roman"/>
          <w:sz w:val="28"/>
          <w:szCs w:val="28"/>
        </w:rPr>
        <w:t xml:space="preserve">In </w:t>
      </w:r>
      <w:proofErr w:type="spellStart"/>
      <w:r w:rsidR="003F2B86" w:rsidRPr="003F2B86">
        <w:rPr>
          <w:rFonts w:ascii="Times New Roman" w:hAnsi="Times New Roman" w:cs="Times New Roman"/>
          <w:b/>
          <w:bCs/>
          <w:sz w:val="28"/>
          <w:szCs w:val="28"/>
        </w:rPr>
        <w:t>Rekdurum</w:t>
      </w:r>
      <w:proofErr w:type="spellEnd"/>
      <w:r w:rsidR="003F2B86" w:rsidRPr="003F2B86">
        <w:rPr>
          <w:rFonts w:ascii="Times New Roman" w:hAnsi="Times New Roman" w:cs="Times New Roman"/>
          <w:b/>
          <w:bCs/>
          <w:sz w:val="28"/>
          <w:szCs w:val="28"/>
        </w:rPr>
        <w:t xml:space="preserve"> (Pty) Ltd v Weider Gym </w:t>
      </w:r>
      <w:proofErr w:type="spellStart"/>
      <w:r w:rsidR="003F2B86" w:rsidRPr="003F2B86">
        <w:rPr>
          <w:rFonts w:ascii="Times New Roman" w:hAnsi="Times New Roman" w:cs="Times New Roman"/>
          <w:b/>
          <w:bCs/>
          <w:sz w:val="28"/>
          <w:szCs w:val="28"/>
        </w:rPr>
        <w:t>Althlone</w:t>
      </w:r>
      <w:proofErr w:type="spellEnd"/>
      <w:r w:rsidR="00DB1BE5">
        <w:rPr>
          <w:rStyle w:val="FootnoteReference"/>
          <w:rFonts w:ascii="Times New Roman" w:hAnsi="Times New Roman" w:cs="Times New Roman"/>
          <w:sz w:val="28"/>
          <w:szCs w:val="28"/>
        </w:rPr>
        <w:footnoteReference w:id="13"/>
      </w:r>
      <w:r w:rsidR="003F2B86">
        <w:rPr>
          <w:rFonts w:ascii="Times New Roman" w:hAnsi="Times New Roman" w:cs="Times New Roman"/>
          <w:sz w:val="28"/>
          <w:szCs w:val="28"/>
        </w:rPr>
        <w:t xml:space="preserve">, </w:t>
      </w:r>
      <w:r w:rsidR="003F2B86" w:rsidRPr="00E47F45">
        <w:rPr>
          <w:rFonts w:ascii="Times New Roman" w:hAnsi="Times New Roman" w:cs="Times New Roman"/>
          <w:i/>
          <w:iCs/>
          <w:sz w:val="28"/>
          <w:szCs w:val="28"/>
        </w:rPr>
        <w:t>Van Reenen</w:t>
      </w:r>
      <w:r w:rsidR="003F2B86">
        <w:rPr>
          <w:rFonts w:ascii="Times New Roman" w:hAnsi="Times New Roman" w:cs="Times New Roman"/>
          <w:sz w:val="28"/>
          <w:szCs w:val="28"/>
        </w:rPr>
        <w:t xml:space="preserve"> J explained the essential content of </w:t>
      </w:r>
      <w:proofErr w:type="spellStart"/>
      <w:r w:rsidR="00D20DC3" w:rsidRPr="00D20DC3">
        <w:rPr>
          <w:rFonts w:ascii="Times New Roman" w:hAnsi="Times New Roman" w:cs="Times New Roman"/>
          <w:i/>
          <w:iCs/>
          <w:sz w:val="28"/>
          <w:szCs w:val="28"/>
        </w:rPr>
        <w:t>Ius</w:t>
      </w:r>
      <w:proofErr w:type="spellEnd"/>
      <w:r w:rsidR="00D20DC3" w:rsidRPr="00D20DC3">
        <w:rPr>
          <w:rFonts w:ascii="Times New Roman" w:hAnsi="Times New Roman" w:cs="Times New Roman"/>
          <w:i/>
          <w:iCs/>
          <w:sz w:val="28"/>
          <w:szCs w:val="28"/>
        </w:rPr>
        <w:t xml:space="preserve"> </w:t>
      </w:r>
      <w:proofErr w:type="spellStart"/>
      <w:r w:rsidR="00D20DC3" w:rsidRPr="00D20DC3">
        <w:rPr>
          <w:rFonts w:ascii="Times New Roman" w:hAnsi="Times New Roman" w:cs="Times New Roman"/>
          <w:i/>
          <w:iCs/>
          <w:sz w:val="28"/>
          <w:szCs w:val="28"/>
        </w:rPr>
        <w:t>retentionis</w:t>
      </w:r>
      <w:proofErr w:type="spellEnd"/>
      <w:r w:rsidR="00D20DC3">
        <w:rPr>
          <w:rFonts w:ascii="Times New Roman" w:hAnsi="Times New Roman" w:cs="Times New Roman"/>
          <w:sz w:val="28"/>
          <w:szCs w:val="28"/>
        </w:rPr>
        <w:t xml:space="preserve"> </w:t>
      </w:r>
      <w:r w:rsidR="003F2B86">
        <w:rPr>
          <w:rFonts w:ascii="Times New Roman" w:hAnsi="Times New Roman" w:cs="Times New Roman"/>
          <w:sz w:val="28"/>
          <w:szCs w:val="28"/>
        </w:rPr>
        <w:t>as</w:t>
      </w:r>
      <w:r w:rsidR="00DB1BE5">
        <w:rPr>
          <w:rFonts w:ascii="Times New Roman" w:hAnsi="Times New Roman" w:cs="Times New Roman"/>
          <w:sz w:val="28"/>
          <w:szCs w:val="28"/>
        </w:rPr>
        <w:t xml:space="preserve"> follows:</w:t>
      </w:r>
    </w:p>
    <w:p w14:paraId="1D2CE0C6" w14:textId="706445DA" w:rsidR="003568AB" w:rsidRDefault="003F2B86" w:rsidP="003568AB">
      <w:pPr>
        <w:pStyle w:val="BodyText"/>
        <w:kinsoku w:val="0"/>
        <w:overflowPunct w:val="0"/>
        <w:ind w:left="1440" w:right="850"/>
        <w:jc w:val="both"/>
        <w:rPr>
          <w:rFonts w:ascii="Times New Roman" w:hAnsi="Times New Roman" w:cs="Times New Roman"/>
          <w:sz w:val="24"/>
          <w:szCs w:val="24"/>
        </w:rPr>
      </w:pPr>
      <w:r w:rsidRPr="003F2B86">
        <w:rPr>
          <w:rFonts w:ascii="Times New Roman" w:hAnsi="Times New Roman" w:cs="Times New Roman"/>
          <w:sz w:val="24"/>
          <w:szCs w:val="24"/>
        </w:rPr>
        <w:t>“On my understanding</w:t>
      </w:r>
      <w:r w:rsidR="00CE1080">
        <w:rPr>
          <w:rFonts w:ascii="Times New Roman" w:hAnsi="Times New Roman" w:cs="Times New Roman"/>
          <w:sz w:val="24"/>
          <w:szCs w:val="24"/>
        </w:rPr>
        <w:t xml:space="preserve"> of the authorities the essential content of a </w:t>
      </w:r>
      <w:proofErr w:type="spellStart"/>
      <w:r w:rsidR="00CE1080" w:rsidRPr="00BC051C">
        <w:rPr>
          <w:rFonts w:ascii="Times New Roman" w:hAnsi="Times New Roman" w:cs="Times New Roman"/>
          <w:i/>
          <w:iCs/>
          <w:sz w:val="24"/>
          <w:szCs w:val="24"/>
        </w:rPr>
        <w:t>ius</w:t>
      </w:r>
      <w:proofErr w:type="spellEnd"/>
      <w:r w:rsidR="00CE1080" w:rsidRPr="00BC051C">
        <w:rPr>
          <w:rFonts w:ascii="Times New Roman" w:hAnsi="Times New Roman" w:cs="Times New Roman"/>
          <w:i/>
          <w:iCs/>
          <w:sz w:val="24"/>
          <w:szCs w:val="24"/>
        </w:rPr>
        <w:t xml:space="preserve"> </w:t>
      </w:r>
      <w:proofErr w:type="spellStart"/>
      <w:r w:rsidR="00CE1080" w:rsidRPr="00BC051C">
        <w:rPr>
          <w:rFonts w:ascii="Times New Roman" w:hAnsi="Times New Roman" w:cs="Times New Roman"/>
          <w:i/>
          <w:iCs/>
          <w:sz w:val="24"/>
          <w:szCs w:val="24"/>
        </w:rPr>
        <w:t>retentionis</w:t>
      </w:r>
      <w:proofErr w:type="spellEnd"/>
      <w:r w:rsidR="00CE1080">
        <w:rPr>
          <w:rFonts w:ascii="Times New Roman" w:hAnsi="Times New Roman" w:cs="Times New Roman"/>
          <w:sz w:val="24"/>
          <w:szCs w:val="24"/>
        </w:rPr>
        <w:t xml:space="preserve"> in South African law is the right on the</w:t>
      </w:r>
      <w:r w:rsidR="00194C33">
        <w:rPr>
          <w:rFonts w:ascii="Times New Roman" w:hAnsi="Times New Roman" w:cs="Times New Roman"/>
          <w:sz w:val="24"/>
          <w:szCs w:val="24"/>
        </w:rPr>
        <w:t xml:space="preserve"> part</w:t>
      </w:r>
      <w:r w:rsidR="00CE1080">
        <w:rPr>
          <w:rFonts w:ascii="Times New Roman" w:hAnsi="Times New Roman" w:cs="Times New Roman"/>
          <w:sz w:val="24"/>
          <w:szCs w:val="24"/>
        </w:rPr>
        <w:t xml:space="preserve"> of a</w:t>
      </w:r>
      <w:r w:rsidR="00CE1080" w:rsidRPr="00194C33">
        <w:rPr>
          <w:rFonts w:ascii="Times New Roman" w:hAnsi="Times New Roman" w:cs="Times New Roman"/>
          <w:i/>
          <w:iCs/>
          <w:sz w:val="24"/>
          <w:szCs w:val="24"/>
        </w:rPr>
        <w:t xml:space="preserve"> retentor</w:t>
      </w:r>
      <w:r w:rsidR="00CE1080">
        <w:rPr>
          <w:rFonts w:ascii="Times New Roman" w:hAnsi="Times New Roman" w:cs="Times New Roman"/>
          <w:sz w:val="24"/>
          <w:szCs w:val="24"/>
        </w:rPr>
        <w:t xml:space="preserve"> to retain physical control of another’s property as a means of securing payment by the owner thereof – to the extent that he has been enriched – of money or labour</w:t>
      </w:r>
      <w:r w:rsidR="003877B2">
        <w:rPr>
          <w:rFonts w:ascii="Times New Roman" w:hAnsi="Times New Roman" w:cs="Times New Roman"/>
          <w:sz w:val="24"/>
          <w:szCs w:val="24"/>
        </w:rPr>
        <w:t xml:space="preserve"> </w:t>
      </w:r>
      <w:r>
        <w:rPr>
          <w:rFonts w:ascii="Times New Roman" w:hAnsi="Times New Roman" w:cs="Times New Roman"/>
          <w:sz w:val="24"/>
          <w:szCs w:val="24"/>
        </w:rPr>
        <w:t xml:space="preserve">expended thereon by the </w:t>
      </w:r>
      <w:r w:rsidRPr="003F2B86">
        <w:rPr>
          <w:rFonts w:ascii="Times New Roman" w:hAnsi="Times New Roman" w:cs="Times New Roman"/>
          <w:i/>
          <w:iCs/>
          <w:sz w:val="24"/>
          <w:szCs w:val="24"/>
        </w:rPr>
        <w:t>retentor</w:t>
      </w:r>
      <w:r w:rsidRPr="003F2B86">
        <w:rPr>
          <w:rFonts w:ascii="Times New Roman" w:hAnsi="Times New Roman" w:cs="Times New Roman"/>
          <w:sz w:val="24"/>
          <w:szCs w:val="24"/>
        </w:rPr>
        <w:t>”</w:t>
      </w:r>
      <w:r>
        <w:rPr>
          <w:rFonts w:ascii="Times New Roman" w:hAnsi="Times New Roman" w:cs="Times New Roman"/>
          <w:i/>
          <w:iCs/>
          <w:sz w:val="24"/>
          <w:szCs w:val="24"/>
        </w:rPr>
        <w:t>.</w:t>
      </w:r>
    </w:p>
    <w:p w14:paraId="51D8AC96" w14:textId="77777777" w:rsidR="003568AB" w:rsidRPr="003568AB" w:rsidRDefault="003568AB" w:rsidP="003568AB">
      <w:pPr>
        <w:pStyle w:val="BodyText"/>
        <w:kinsoku w:val="0"/>
        <w:overflowPunct w:val="0"/>
        <w:ind w:left="1440" w:right="850"/>
        <w:jc w:val="both"/>
        <w:rPr>
          <w:rFonts w:ascii="Times New Roman" w:hAnsi="Times New Roman" w:cs="Times New Roman"/>
          <w:sz w:val="24"/>
          <w:szCs w:val="24"/>
        </w:rPr>
      </w:pPr>
    </w:p>
    <w:p w14:paraId="4C851932" w14:textId="480905B6" w:rsidR="00DB1BE5" w:rsidRDefault="00DB1BE5" w:rsidP="00F81604">
      <w:pPr>
        <w:pStyle w:val="BodyText"/>
        <w:kinsoku w:val="0"/>
        <w:overflowPunct w:val="0"/>
        <w:spacing w:line="480" w:lineRule="auto"/>
        <w:ind w:left="0"/>
        <w:jc w:val="both"/>
        <w:rPr>
          <w:rFonts w:ascii="Times New Roman" w:hAnsi="Times New Roman" w:cs="Times New Roman"/>
          <w:sz w:val="28"/>
          <w:szCs w:val="28"/>
        </w:rPr>
      </w:pPr>
      <w:r w:rsidRPr="00DB1BE5">
        <w:rPr>
          <w:rFonts w:ascii="Times New Roman" w:hAnsi="Times New Roman" w:cs="Times New Roman"/>
          <w:sz w:val="28"/>
          <w:szCs w:val="28"/>
        </w:rPr>
        <w:t xml:space="preserve">I respectfully </w:t>
      </w:r>
      <w:r>
        <w:rPr>
          <w:rFonts w:ascii="Times New Roman" w:hAnsi="Times New Roman" w:cs="Times New Roman"/>
          <w:sz w:val="28"/>
          <w:szCs w:val="28"/>
        </w:rPr>
        <w:t>agree. This is how the right of retention has been understood even in this jurisdiction</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w:t>
      </w:r>
    </w:p>
    <w:p w14:paraId="32A01E25" w14:textId="43B1363A" w:rsidR="00DB1BE5" w:rsidRDefault="00DB1BE5" w:rsidP="00F81604">
      <w:pPr>
        <w:pStyle w:val="BodyText"/>
        <w:kinsoku w:val="0"/>
        <w:overflowPunct w:val="0"/>
        <w:spacing w:line="480" w:lineRule="auto"/>
        <w:ind w:left="0"/>
        <w:jc w:val="both"/>
        <w:rPr>
          <w:rFonts w:ascii="Times New Roman" w:hAnsi="Times New Roman" w:cs="Times New Roman"/>
          <w:sz w:val="28"/>
          <w:szCs w:val="28"/>
        </w:rPr>
      </w:pPr>
    </w:p>
    <w:p w14:paraId="007A1F2C" w14:textId="42486ED4" w:rsidR="00DB1BE5" w:rsidRPr="00790232" w:rsidRDefault="00DB1BE5"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[3</w:t>
      </w:r>
      <w:r w:rsidR="00E47F45">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E0BF3">
        <w:rPr>
          <w:rFonts w:ascii="Times New Roman" w:hAnsi="Times New Roman" w:cs="Times New Roman"/>
          <w:sz w:val="28"/>
          <w:szCs w:val="28"/>
        </w:rPr>
        <w:t xml:space="preserve">A protection afforded by a lien founded on enrichment is a real right and does not found a cause of action but merely constitutes a defence against the owner’s </w:t>
      </w:r>
      <w:r w:rsidR="00CE0BF3" w:rsidRPr="00CE0BF3">
        <w:rPr>
          <w:rFonts w:ascii="Times New Roman" w:hAnsi="Times New Roman" w:cs="Times New Roman"/>
          <w:i/>
          <w:iCs/>
          <w:sz w:val="28"/>
          <w:szCs w:val="28"/>
        </w:rPr>
        <w:t xml:space="preserve">rei </w:t>
      </w:r>
      <w:proofErr w:type="spellStart"/>
      <w:r w:rsidR="00CE0BF3" w:rsidRPr="00CE0BF3">
        <w:rPr>
          <w:rFonts w:ascii="Times New Roman" w:hAnsi="Times New Roman" w:cs="Times New Roman"/>
          <w:i/>
          <w:iCs/>
          <w:sz w:val="28"/>
          <w:szCs w:val="28"/>
        </w:rPr>
        <w:t>vindicatio</w:t>
      </w:r>
      <w:proofErr w:type="spellEnd"/>
      <w:r w:rsidR="00CE0BF3">
        <w:rPr>
          <w:rStyle w:val="FootnoteReference"/>
          <w:rFonts w:ascii="Times New Roman" w:hAnsi="Times New Roman" w:cs="Times New Roman"/>
          <w:i/>
          <w:iCs/>
          <w:sz w:val="28"/>
          <w:szCs w:val="28"/>
        </w:rPr>
        <w:footnoteReference w:id="15"/>
      </w:r>
      <w:r w:rsidR="00CE0BF3">
        <w:rPr>
          <w:rFonts w:ascii="Times New Roman" w:hAnsi="Times New Roman" w:cs="Times New Roman"/>
          <w:i/>
          <w:iCs/>
          <w:sz w:val="28"/>
          <w:szCs w:val="28"/>
        </w:rPr>
        <w:t xml:space="preserve">. </w:t>
      </w:r>
      <w:r w:rsidR="00967744">
        <w:rPr>
          <w:rFonts w:ascii="Times New Roman" w:hAnsi="Times New Roman" w:cs="Times New Roman"/>
          <w:sz w:val="28"/>
          <w:szCs w:val="28"/>
        </w:rPr>
        <w:t xml:space="preserve"> In the present matter, the respondent has not yet instituted action for recovery of possession of the property. Perhaps this explains the innovation in prayer (e) of the notice of motion which is two pronged as I have explained. </w:t>
      </w:r>
    </w:p>
    <w:p w14:paraId="594A5977" w14:textId="77777777" w:rsidR="00DB1BE5" w:rsidRPr="00DB1BE5" w:rsidRDefault="00DB1BE5" w:rsidP="00F81604">
      <w:pPr>
        <w:pStyle w:val="BodyText"/>
        <w:kinsoku w:val="0"/>
        <w:overflowPunct w:val="0"/>
        <w:spacing w:line="480" w:lineRule="auto"/>
        <w:ind w:left="0"/>
        <w:jc w:val="both"/>
        <w:rPr>
          <w:rFonts w:ascii="Times New Roman" w:hAnsi="Times New Roman" w:cs="Times New Roman"/>
          <w:sz w:val="28"/>
          <w:szCs w:val="28"/>
        </w:rPr>
      </w:pPr>
    </w:p>
    <w:p w14:paraId="49D311C9" w14:textId="2D30E6A8" w:rsidR="00DB495E" w:rsidRDefault="00FE681C"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0B29AE">
        <w:rPr>
          <w:rFonts w:ascii="Times New Roman" w:hAnsi="Times New Roman" w:cs="Times New Roman"/>
          <w:sz w:val="28"/>
          <w:szCs w:val="28"/>
        </w:rPr>
        <w:t>3</w:t>
      </w:r>
      <w:r w:rsidR="00E47F45">
        <w:rPr>
          <w:rFonts w:ascii="Times New Roman" w:hAnsi="Times New Roman" w:cs="Times New Roman"/>
          <w:sz w:val="28"/>
          <w:szCs w:val="28"/>
        </w:rPr>
        <w:t>9</w:t>
      </w:r>
      <w:r w:rsidR="000B29AE">
        <w:rPr>
          <w:rFonts w:ascii="Times New Roman" w:hAnsi="Times New Roman" w:cs="Times New Roman"/>
          <w:sz w:val="28"/>
          <w:szCs w:val="28"/>
        </w:rPr>
        <w:t>]</w:t>
      </w:r>
      <w:r w:rsidR="000B29AE">
        <w:rPr>
          <w:rFonts w:ascii="Times New Roman" w:hAnsi="Times New Roman" w:cs="Times New Roman"/>
          <w:sz w:val="28"/>
          <w:szCs w:val="28"/>
        </w:rPr>
        <w:tab/>
      </w:r>
      <w:r w:rsidR="000B29AE">
        <w:rPr>
          <w:rFonts w:ascii="Times New Roman" w:hAnsi="Times New Roman" w:cs="Times New Roman"/>
          <w:sz w:val="28"/>
          <w:szCs w:val="28"/>
        </w:rPr>
        <w:tab/>
      </w:r>
      <w:r w:rsidR="009E3839">
        <w:rPr>
          <w:rFonts w:ascii="Times New Roman" w:hAnsi="Times New Roman" w:cs="Times New Roman"/>
          <w:sz w:val="28"/>
          <w:szCs w:val="28"/>
        </w:rPr>
        <w:t>It is beyond disputation that</w:t>
      </w:r>
      <w:r w:rsidR="006C003F">
        <w:rPr>
          <w:rFonts w:ascii="Times New Roman" w:hAnsi="Times New Roman" w:cs="Times New Roman"/>
          <w:sz w:val="28"/>
          <w:szCs w:val="28"/>
        </w:rPr>
        <w:t xml:space="preserve"> </w:t>
      </w:r>
      <w:r w:rsidR="00ED34A7">
        <w:rPr>
          <w:rFonts w:ascii="Times New Roman" w:hAnsi="Times New Roman" w:cs="Times New Roman"/>
          <w:sz w:val="28"/>
          <w:szCs w:val="28"/>
        </w:rPr>
        <w:t>the</w:t>
      </w:r>
      <w:r w:rsidR="006C003F">
        <w:rPr>
          <w:rFonts w:ascii="Times New Roman" w:hAnsi="Times New Roman" w:cs="Times New Roman"/>
          <w:sz w:val="28"/>
          <w:szCs w:val="28"/>
        </w:rPr>
        <w:t xml:space="preserve"> applicant effected the developments </w:t>
      </w:r>
      <w:r w:rsidR="00BE4FD9">
        <w:rPr>
          <w:rFonts w:ascii="Times New Roman" w:hAnsi="Times New Roman" w:cs="Times New Roman"/>
          <w:sz w:val="28"/>
          <w:szCs w:val="28"/>
        </w:rPr>
        <w:t xml:space="preserve">without </w:t>
      </w:r>
      <w:r w:rsidR="006C003F">
        <w:rPr>
          <w:rFonts w:ascii="Times New Roman" w:hAnsi="Times New Roman" w:cs="Times New Roman"/>
          <w:sz w:val="28"/>
          <w:szCs w:val="28"/>
        </w:rPr>
        <w:t xml:space="preserve">requisite written consent from the respondent. </w:t>
      </w:r>
      <w:r w:rsidR="0022340A">
        <w:rPr>
          <w:rFonts w:ascii="Times New Roman" w:hAnsi="Times New Roman" w:cs="Times New Roman"/>
          <w:sz w:val="28"/>
          <w:szCs w:val="28"/>
        </w:rPr>
        <w:t xml:space="preserve">Thus, the applicant </w:t>
      </w:r>
      <w:r w:rsidR="00ED34A7">
        <w:rPr>
          <w:rFonts w:ascii="Times New Roman" w:hAnsi="Times New Roman" w:cs="Times New Roman"/>
          <w:sz w:val="28"/>
          <w:szCs w:val="28"/>
        </w:rPr>
        <w:t>acted in</w:t>
      </w:r>
      <w:r w:rsidR="0022340A">
        <w:rPr>
          <w:rFonts w:ascii="Times New Roman" w:hAnsi="Times New Roman" w:cs="Times New Roman"/>
          <w:sz w:val="28"/>
          <w:szCs w:val="28"/>
        </w:rPr>
        <w:t xml:space="preserve"> </w:t>
      </w:r>
      <w:r w:rsidR="00482D09">
        <w:rPr>
          <w:rFonts w:ascii="Times New Roman" w:hAnsi="Times New Roman" w:cs="Times New Roman"/>
          <w:sz w:val="28"/>
          <w:szCs w:val="28"/>
        </w:rPr>
        <w:t xml:space="preserve">defiance of </w:t>
      </w:r>
      <w:r w:rsidR="00BC5FB9">
        <w:rPr>
          <w:rFonts w:ascii="Times New Roman" w:hAnsi="Times New Roman" w:cs="Times New Roman"/>
          <w:sz w:val="28"/>
          <w:szCs w:val="28"/>
        </w:rPr>
        <w:t>its contractual obligation</w:t>
      </w:r>
      <w:r w:rsidR="0022340A">
        <w:rPr>
          <w:rFonts w:ascii="Times New Roman" w:hAnsi="Times New Roman" w:cs="Times New Roman"/>
          <w:sz w:val="28"/>
          <w:szCs w:val="28"/>
        </w:rPr>
        <w:t xml:space="preserve"> per </w:t>
      </w:r>
      <w:r w:rsidR="009E3839">
        <w:rPr>
          <w:rFonts w:ascii="Times New Roman" w:hAnsi="Times New Roman" w:cs="Times New Roman"/>
          <w:sz w:val="28"/>
          <w:szCs w:val="28"/>
        </w:rPr>
        <w:t>clause 10(a) of the agreement</w:t>
      </w:r>
      <w:r w:rsidR="0022340A">
        <w:rPr>
          <w:rFonts w:ascii="Times New Roman" w:hAnsi="Times New Roman" w:cs="Times New Roman"/>
          <w:sz w:val="28"/>
          <w:szCs w:val="28"/>
        </w:rPr>
        <w:t xml:space="preserve">. Consequently, </w:t>
      </w:r>
      <w:r w:rsidR="00BE4FD9">
        <w:rPr>
          <w:rFonts w:ascii="Times New Roman" w:hAnsi="Times New Roman" w:cs="Times New Roman"/>
          <w:sz w:val="28"/>
          <w:szCs w:val="28"/>
        </w:rPr>
        <w:t xml:space="preserve">its </w:t>
      </w:r>
      <w:r w:rsidR="0085269E">
        <w:rPr>
          <w:rFonts w:ascii="Times New Roman" w:hAnsi="Times New Roman" w:cs="Times New Roman"/>
          <w:sz w:val="28"/>
          <w:szCs w:val="28"/>
        </w:rPr>
        <w:t xml:space="preserve">reliance on oral permission from </w:t>
      </w:r>
      <w:proofErr w:type="spellStart"/>
      <w:r w:rsidR="0085269E">
        <w:rPr>
          <w:rFonts w:ascii="Times New Roman" w:hAnsi="Times New Roman" w:cs="Times New Roman"/>
          <w:sz w:val="28"/>
          <w:szCs w:val="28"/>
        </w:rPr>
        <w:t>Chakela</w:t>
      </w:r>
      <w:proofErr w:type="spellEnd"/>
      <w:r w:rsidR="0085269E">
        <w:rPr>
          <w:rFonts w:ascii="Times New Roman" w:hAnsi="Times New Roman" w:cs="Times New Roman"/>
          <w:sz w:val="28"/>
          <w:szCs w:val="28"/>
        </w:rPr>
        <w:t xml:space="preserve"> was misplaced. The provisions of clause </w:t>
      </w:r>
      <w:r w:rsidR="000B29AE">
        <w:rPr>
          <w:rFonts w:ascii="Times New Roman" w:hAnsi="Times New Roman" w:cs="Times New Roman"/>
          <w:sz w:val="28"/>
          <w:szCs w:val="28"/>
        </w:rPr>
        <w:t>14.2 and 15</w:t>
      </w:r>
      <w:r w:rsidR="00E20542">
        <w:rPr>
          <w:rFonts w:ascii="Times New Roman" w:hAnsi="Times New Roman" w:cs="Times New Roman"/>
          <w:sz w:val="28"/>
          <w:szCs w:val="28"/>
        </w:rPr>
        <w:t xml:space="preserve"> </w:t>
      </w:r>
      <w:r w:rsidR="00ED34A7">
        <w:rPr>
          <w:rFonts w:ascii="Times New Roman" w:hAnsi="Times New Roman" w:cs="Times New Roman"/>
          <w:sz w:val="28"/>
          <w:szCs w:val="28"/>
        </w:rPr>
        <w:t>are</w:t>
      </w:r>
      <w:r w:rsidR="000B29AE">
        <w:rPr>
          <w:rFonts w:ascii="Times New Roman" w:hAnsi="Times New Roman" w:cs="Times New Roman"/>
          <w:sz w:val="28"/>
          <w:szCs w:val="28"/>
        </w:rPr>
        <w:t xml:space="preserve"> </w:t>
      </w:r>
      <w:r w:rsidR="00ED34A7">
        <w:rPr>
          <w:rFonts w:ascii="Times New Roman" w:hAnsi="Times New Roman" w:cs="Times New Roman"/>
          <w:sz w:val="28"/>
          <w:szCs w:val="28"/>
        </w:rPr>
        <w:t xml:space="preserve">unambiguous that for any agreement to bind the parties, it must be reduced into writing and be signed for. </w:t>
      </w:r>
      <w:r w:rsidR="00BE4FD9">
        <w:rPr>
          <w:rFonts w:ascii="Times New Roman" w:hAnsi="Times New Roman" w:cs="Times New Roman"/>
          <w:sz w:val="28"/>
          <w:szCs w:val="28"/>
        </w:rPr>
        <w:t>The</w:t>
      </w:r>
      <w:r w:rsidR="00C37BE9">
        <w:rPr>
          <w:rFonts w:ascii="Times New Roman" w:hAnsi="Times New Roman" w:cs="Times New Roman"/>
          <w:sz w:val="28"/>
          <w:szCs w:val="28"/>
        </w:rPr>
        <w:t xml:space="preserve">se provisions </w:t>
      </w:r>
      <w:r w:rsidR="00C74731">
        <w:rPr>
          <w:rFonts w:ascii="Times New Roman" w:hAnsi="Times New Roman" w:cs="Times New Roman"/>
          <w:sz w:val="28"/>
          <w:szCs w:val="28"/>
        </w:rPr>
        <w:t>are clear that the parties are only bound by the terms of th</w:t>
      </w:r>
      <w:r w:rsidR="00ED34A7">
        <w:rPr>
          <w:rFonts w:ascii="Times New Roman" w:hAnsi="Times New Roman" w:cs="Times New Roman"/>
          <w:sz w:val="28"/>
          <w:szCs w:val="28"/>
        </w:rPr>
        <w:t xml:space="preserve">is </w:t>
      </w:r>
      <w:r w:rsidR="00C74731">
        <w:rPr>
          <w:rFonts w:ascii="Times New Roman" w:hAnsi="Times New Roman" w:cs="Times New Roman"/>
          <w:sz w:val="28"/>
          <w:szCs w:val="28"/>
        </w:rPr>
        <w:t>agreement</w:t>
      </w:r>
      <w:r w:rsidR="0085269E">
        <w:rPr>
          <w:rFonts w:ascii="Times New Roman" w:hAnsi="Times New Roman" w:cs="Times New Roman"/>
          <w:sz w:val="28"/>
          <w:szCs w:val="28"/>
        </w:rPr>
        <w:t xml:space="preserve">. </w:t>
      </w:r>
      <w:r w:rsidR="00DB495E">
        <w:rPr>
          <w:rFonts w:ascii="Times New Roman" w:hAnsi="Times New Roman" w:cs="Times New Roman"/>
          <w:sz w:val="28"/>
          <w:szCs w:val="28"/>
        </w:rPr>
        <w:t xml:space="preserve"> </w:t>
      </w:r>
    </w:p>
    <w:p w14:paraId="53D69AFB" w14:textId="77777777" w:rsidR="00DB495E" w:rsidRDefault="00DB495E" w:rsidP="00F81604">
      <w:pPr>
        <w:pStyle w:val="BodyText"/>
        <w:kinsoku w:val="0"/>
        <w:overflowPunct w:val="0"/>
        <w:spacing w:line="480" w:lineRule="auto"/>
        <w:ind w:left="0"/>
        <w:jc w:val="both"/>
        <w:rPr>
          <w:rFonts w:ascii="Times New Roman" w:hAnsi="Times New Roman" w:cs="Times New Roman"/>
          <w:sz w:val="28"/>
          <w:szCs w:val="28"/>
        </w:rPr>
      </w:pPr>
    </w:p>
    <w:p w14:paraId="1B11A0AA" w14:textId="20DB65B1" w:rsidR="00086D7F" w:rsidRDefault="00DB495E"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E47F45">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In </w:t>
      </w:r>
      <w:proofErr w:type="spellStart"/>
      <w:r w:rsidRPr="00DB495E">
        <w:rPr>
          <w:rFonts w:ascii="Times New Roman" w:hAnsi="Times New Roman" w:cs="Times New Roman"/>
          <w:b/>
          <w:bCs/>
          <w:sz w:val="28"/>
          <w:szCs w:val="28"/>
        </w:rPr>
        <w:t>Palabora</w:t>
      </w:r>
      <w:proofErr w:type="spellEnd"/>
      <w:r w:rsidRPr="00DB495E">
        <w:rPr>
          <w:rFonts w:ascii="Times New Roman" w:hAnsi="Times New Roman" w:cs="Times New Roman"/>
          <w:b/>
          <w:bCs/>
          <w:sz w:val="28"/>
          <w:szCs w:val="28"/>
        </w:rPr>
        <w:t xml:space="preserve"> Mining Co Ltd v</w:t>
      </w:r>
      <w:r>
        <w:rPr>
          <w:rFonts w:ascii="Times New Roman" w:hAnsi="Times New Roman" w:cs="Times New Roman"/>
          <w:b/>
          <w:bCs/>
          <w:sz w:val="28"/>
          <w:szCs w:val="28"/>
        </w:rPr>
        <w:t>.</w:t>
      </w:r>
      <w:r w:rsidRPr="00DB495E">
        <w:rPr>
          <w:rFonts w:ascii="Times New Roman" w:hAnsi="Times New Roman" w:cs="Times New Roman"/>
          <w:b/>
          <w:bCs/>
          <w:sz w:val="28"/>
          <w:szCs w:val="28"/>
        </w:rPr>
        <w:t xml:space="preserve"> </w:t>
      </w:r>
      <w:proofErr w:type="spellStart"/>
      <w:r w:rsidRPr="00DB495E">
        <w:rPr>
          <w:rFonts w:ascii="Times New Roman" w:hAnsi="Times New Roman" w:cs="Times New Roman"/>
          <w:b/>
          <w:bCs/>
          <w:sz w:val="28"/>
          <w:szCs w:val="28"/>
        </w:rPr>
        <w:t>Coetzer</w:t>
      </w:r>
      <w:proofErr w:type="spellEnd"/>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w:t>
      </w:r>
      <w:r w:rsidRPr="00E47F45">
        <w:rPr>
          <w:rFonts w:ascii="Times New Roman" w:hAnsi="Times New Roman" w:cs="Times New Roman"/>
          <w:i/>
          <w:iCs/>
          <w:sz w:val="28"/>
          <w:szCs w:val="28"/>
        </w:rPr>
        <w:t>Mohamed</w:t>
      </w:r>
      <w:r>
        <w:rPr>
          <w:rFonts w:ascii="Times New Roman" w:hAnsi="Times New Roman" w:cs="Times New Roman"/>
          <w:sz w:val="28"/>
          <w:szCs w:val="28"/>
        </w:rPr>
        <w:t xml:space="preserve"> J held that no right of retention can be successfully invoked where developments are </w:t>
      </w:r>
      <w:r w:rsidR="0085269E">
        <w:rPr>
          <w:rFonts w:ascii="Times New Roman" w:hAnsi="Times New Roman" w:cs="Times New Roman"/>
          <w:sz w:val="28"/>
          <w:szCs w:val="28"/>
        </w:rPr>
        <w:t xml:space="preserve">undertaken </w:t>
      </w:r>
      <w:r w:rsidR="00086D7F">
        <w:rPr>
          <w:rFonts w:ascii="Times New Roman" w:hAnsi="Times New Roman" w:cs="Times New Roman"/>
          <w:sz w:val="28"/>
          <w:szCs w:val="28"/>
        </w:rPr>
        <w:t>in defiance of a contractual requirement of</w:t>
      </w:r>
      <w:r w:rsidR="00BE4FD9">
        <w:rPr>
          <w:rFonts w:ascii="Times New Roman" w:hAnsi="Times New Roman" w:cs="Times New Roman"/>
          <w:sz w:val="28"/>
          <w:szCs w:val="28"/>
        </w:rPr>
        <w:t xml:space="preserve"> a</w:t>
      </w:r>
      <w:r w:rsidR="00086D7F">
        <w:rPr>
          <w:rFonts w:ascii="Times New Roman" w:hAnsi="Times New Roman" w:cs="Times New Roman"/>
          <w:sz w:val="28"/>
          <w:szCs w:val="28"/>
        </w:rPr>
        <w:t xml:space="preserve"> </w:t>
      </w:r>
      <w:r>
        <w:rPr>
          <w:rFonts w:ascii="Times New Roman" w:hAnsi="Times New Roman" w:cs="Times New Roman"/>
          <w:sz w:val="28"/>
          <w:szCs w:val="28"/>
        </w:rPr>
        <w:t>prior written</w:t>
      </w:r>
      <w:r w:rsidR="0085269E">
        <w:rPr>
          <w:rFonts w:ascii="Times New Roman" w:hAnsi="Times New Roman" w:cs="Times New Roman"/>
          <w:sz w:val="28"/>
          <w:szCs w:val="28"/>
        </w:rPr>
        <w:t xml:space="preserve"> consent</w:t>
      </w:r>
      <w:r w:rsidR="00086D7F">
        <w:rPr>
          <w:rFonts w:ascii="Times New Roman" w:hAnsi="Times New Roman" w:cs="Times New Roman"/>
          <w:sz w:val="28"/>
          <w:szCs w:val="28"/>
        </w:rPr>
        <w:t>.</w:t>
      </w:r>
      <w:r>
        <w:rPr>
          <w:rFonts w:ascii="Times New Roman" w:hAnsi="Times New Roman" w:cs="Times New Roman"/>
          <w:sz w:val="28"/>
          <w:szCs w:val="28"/>
        </w:rPr>
        <w:t xml:space="preserve"> This decision was</w:t>
      </w:r>
      <w:r w:rsidR="00BE4FD9">
        <w:rPr>
          <w:rFonts w:ascii="Times New Roman" w:hAnsi="Times New Roman" w:cs="Times New Roman"/>
          <w:sz w:val="28"/>
          <w:szCs w:val="28"/>
        </w:rPr>
        <w:t xml:space="preserve"> subsequently </w:t>
      </w:r>
      <w:r>
        <w:rPr>
          <w:rFonts w:ascii="Times New Roman" w:hAnsi="Times New Roman" w:cs="Times New Roman"/>
          <w:sz w:val="28"/>
          <w:szCs w:val="28"/>
        </w:rPr>
        <w:t xml:space="preserve">followed in </w:t>
      </w:r>
      <w:proofErr w:type="spellStart"/>
      <w:r w:rsidRPr="00086D7F">
        <w:rPr>
          <w:rFonts w:ascii="Times New Roman" w:hAnsi="Times New Roman" w:cs="Times New Roman"/>
          <w:b/>
          <w:bCs/>
          <w:sz w:val="28"/>
          <w:szCs w:val="28"/>
        </w:rPr>
        <w:t>Knuttel</w:t>
      </w:r>
      <w:proofErr w:type="spellEnd"/>
      <w:r w:rsidRPr="00086D7F">
        <w:rPr>
          <w:rFonts w:ascii="Times New Roman" w:hAnsi="Times New Roman" w:cs="Times New Roman"/>
          <w:b/>
          <w:bCs/>
          <w:sz w:val="28"/>
          <w:szCs w:val="28"/>
        </w:rPr>
        <w:t xml:space="preserve"> N.O and </w:t>
      </w:r>
      <w:r w:rsidR="00C97E17">
        <w:rPr>
          <w:rFonts w:ascii="Times New Roman" w:hAnsi="Times New Roman" w:cs="Times New Roman"/>
          <w:b/>
          <w:bCs/>
          <w:sz w:val="28"/>
          <w:szCs w:val="28"/>
        </w:rPr>
        <w:t>O</w:t>
      </w:r>
      <w:r w:rsidRPr="00086D7F">
        <w:rPr>
          <w:rFonts w:ascii="Times New Roman" w:hAnsi="Times New Roman" w:cs="Times New Roman"/>
          <w:b/>
          <w:bCs/>
          <w:sz w:val="28"/>
          <w:szCs w:val="28"/>
        </w:rPr>
        <w:t>thers v.</w:t>
      </w:r>
      <w:r w:rsidR="008A37C3" w:rsidRPr="00086D7F">
        <w:rPr>
          <w:rFonts w:ascii="Times New Roman" w:hAnsi="Times New Roman" w:cs="Times New Roman"/>
          <w:b/>
          <w:bCs/>
          <w:sz w:val="28"/>
          <w:szCs w:val="28"/>
        </w:rPr>
        <w:t xml:space="preserve"> </w:t>
      </w:r>
      <w:proofErr w:type="spellStart"/>
      <w:r w:rsidRPr="00086D7F">
        <w:rPr>
          <w:rFonts w:ascii="Times New Roman" w:hAnsi="Times New Roman" w:cs="Times New Roman"/>
          <w:b/>
          <w:bCs/>
          <w:sz w:val="28"/>
          <w:szCs w:val="28"/>
        </w:rPr>
        <w:t>Bhana</w:t>
      </w:r>
      <w:proofErr w:type="spellEnd"/>
      <w:r w:rsidRPr="00086D7F">
        <w:rPr>
          <w:rFonts w:ascii="Times New Roman" w:hAnsi="Times New Roman" w:cs="Times New Roman"/>
          <w:b/>
          <w:bCs/>
          <w:sz w:val="28"/>
          <w:szCs w:val="28"/>
        </w:rPr>
        <w:t xml:space="preserve"> and </w:t>
      </w:r>
      <w:r w:rsidR="00C97E17">
        <w:rPr>
          <w:rFonts w:ascii="Times New Roman" w:hAnsi="Times New Roman" w:cs="Times New Roman"/>
          <w:b/>
          <w:bCs/>
          <w:sz w:val="28"/>
          <w:szCs w:val="28"/>
        </w:rPr>
        <w:t>O</w:t>
      </w:r>
      <w:r w:rsidRPr="00086D7F">
        <w:rPr>
          <w:rFonts w:ascii="Times New Roman" w:hAnsi="Times New Roman" w:cs="Times New Roman"/>
          <w:b/>
          <w:bCs/>
          <w:sz w:val="28"/>
          <w:szCs w:val="28"/>
        </w:rPr>
        <w:t>thers</w:t>
      </w:r>
      <w:r w:rsidR="00086D7F">
        <w:rPr>
          <w:rStyle w:val="FootnoteReference"/>
          <w:rFonts w:ascii="Times New Roman" w:hAnsi="Times New Roman" w:cs="Times New Roman"/>
          <w:b/>
          <w:bCs/>
          <w:sz w:val="28"/>
          <w:szCs w:val="28"/>
        </w:rPr>
        <w:footnoteReference w:id="17"/>
      </w:r>
      <w:r w:rsidR="00C74731">
        <w:rPr>
          <w:rFonts w:ascii="Times New Roman" w:hAnsi="Times New Roman" w:cs="Times New Roman"/>
          <w:b/>
          <w:bCs/>
          <w:sz w:val="28"/>
          <w:szCs w:val="28"/>
        </w:rPr>
        <w:t xml:space="preserve">. </w:t>
      </w:r>
      <w:r w:rsidR="00C74731">
        <w:rPr>
          <w:rFonts w:ascii="Times New Roman" w:hAnsi="Times New Roman" w:cs="Times New Roman"/>
          <w:sz w:val="28"/>
          <w:szCs w:val="28"/>
        </w:rPr>
        <w:t xml:space="preserve">However, in the latter decision, </w:t>
      </w:r>
      <w:r w:rsidR="00086D7F">
        <w:rPr>
          <w:rFonts w:ascii="Times New Roman" w:hAnsi="Times New Roman" w:cs="Times New Roman"/>
          <w:sz w:val="28"/>
          <w:szCs w:val="28"/>
        </w:rPr>
        <w:t xml:space="preserve">the court still went further to consider whether the respondent had tendered satisfactory evidence of an underlying enrichment claim. </w:t>
      </w:r>
    </w:p>
    <w:p w14:paraId="469028DB" w14:textId="77777777" w:rsidR="00086D7F" w:rsidRDefault="00086D7F" w:rsidP="00F81604">
      <w:pPr>
        <w:pStyle w:val="BodyText"/>
        <w:kinsoku w:val="0"/>
        <w:overflowPunct w:val="0"/>
        <w:spacing w:line="480" w:lineRule="auto"/>
        <w:ind w:left="0"/>
        <w:jc w:val="both"/>
        <w:rPr>
          <w:rFonts w:ascii="Times New Roman" w:hAnsi="Times New Roman" w:cs="Times New Roman"/>
          <w:sz w:val="28"/>
          <w:szCs w:val="28"/>
        </w:rPr>
      </w:pPr>
    </w:p>
    <w:p w14:paraId="00292561" w14:textId="6D0116F6" w:rsidR="00D53C62" w:rsidRPr="00F51F25" w:rsidRDefault="0085269E" w:rsidP="00F81604">
      <w:pPr>
        <w:pStyle w:val="BodyText"/>
        <w:kinsoku w:val="0"/>
        <w:overflowPunct w:val="0"/>
        <w:spacing w:line="480" w:lineRule="auto"/>
        <w:ind w:left="0"/>
        <w:jc w:val="both"/>
        <w:rPr>
          <w:rFonts w:ascii="Times New Roman" w:hAnsi="Times New Roman" w:cs="Times New Roman"/>
          <w:b/>
          <w:bCs/>
          <w:sz w:val="28"/>
          <w:szCs w:val="28"/>
        </w:rPr>
      </w:pPr>
      <w:r>
        <w:rPr>
          <w:rFonts w:ascii="Times New Roman" w:hAnsi="Times New Roman" w:cs="Times New Roman"/>
          <w:sz w:val="28"/>
          <w:szCs w:val="28"/>
        </w:rPr>
        <w:t>[</w:t>
      </w:r>
      <w:r w:rsidR="00967744">
        <w:rPr>
          <w:rFonts w:ascii="Times New Roman" w:hAnsi="Times New Roman" w:cs="Times New Roman"/>
          <w:sz w:val="28"/>
          <w:szCs w:val="28"/>
        </w:rPr>
        <w:t>4</w:t>
      </w:r>
      <w:r w:rsidR="00E47F4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F4AAD">
        <w:rPr>
          <w:rFonts w:ascii="Times New Roman" w:hAnsi="Times New Roman" w:cs="Times New Roman"/>
          <w:sz w:val="28"/>
          <w:szCs w:val="28"/>
        </w:rPr>
        <w:t xml:space="preserve">All of that being said, it </w:t>
      </w:r>
      <w:r w:rsidR="00B17349">
        <w:rPr>
          <w:rFonts w:ascii="Times New Roman" w:hAnsi="Times New Roman" w:cs="Times New Roman"/>
          <w:sz w:val="28"/>
          <w:szCs w:val="28"/>
        </w:rPr>
        <w:t>is incredibly amazing that the respondent does not explain why it folded its arm</w:t>
      </w:r>
      <w:r w:rsidR="00BF4AAD">
        <w:rPr>
          <w:rFonts w:ascii="Times New Roman" w:hAnsi="Times New Roman" w:cs="Times New Roman"/>
          <w:sz w:val="28"/>
          <w:szCs w:val="28"/>
        </w:rPr>
        <w:t>s</w:t>
      </w:r>
      <w:r w:rsidR="00B17349">
        <w:rPr>
          <w:rFonts w:ascii="Times New Roman" w:hAnsi="Times New Roman" w:cs="Times New Roman"/>
          <w:sz w:val="28"/>
          <w:szCs w:val="28"/>
        </w:rPr>
        <w:t xml:space="preserve"> when </w:t>
      </w:r>
      <w:r w:rsidR="001B3591">
        <w:rPr>
          <w:rFonts w:ascii="Times New Roman" w:hAnsi="Times New Roman" w:cs="Times New Roman"/>
          <w:sz w:val="28"/>
          <w:szCs w:val="28"/>
        </w:rPr>
        <w:t xml:space="preserve">such arguably massive </w:t>
      </w:r>
      <w:r w:rsidR="00B17349">
        <w:rPr>
          <w:rFonts w:ascii="Times New Roman" w:hAnsi="Times New Roman" w:cs="Times New Roman"/>
          <w:sz w:val="28"/>
          <w:szCs w:val="28"/>
        </w:rPr>
        <w:t xml:space="preserve">developments were undertaken if they were not envisaged </w:t>
      </w:r>
      <w:r w:rsidR="003F2F8B">
        <w:rPr>
          <w:rFonts w:ascii="Times New Roman" w:hAnsi="Times New Roman" w:cs="Times New Roman"/>
          <w:sz w:val="28"/>
          <w:szCs w:val="28"/>
        </w:rPr>
        <w:t xml:space="preserve">by the parties </w:t>
      </w:r>
      <w:r w:rsidR="00B17349">
        <w:rPr>
          <w:rFonts w:ascii="Times New Roman" w:hAnsi="Times New Roman" w:cs="Times New Roman"/>
          <w:sz w:val="28"/>
          <w:szCs w:val="28"/>
        </w:rPr>
        <w:t xml:space="preserve">when the agreement was concluded. </w:t>
      </w:r>
      <w:r w:rsidR="005D05C2">
        <w:rPr>
          <w:rFonts w:ascii="Times New Roman" w:hAnsi="Times New Roman" w:cs="Times New Roman"/>
          <w:sz w:val="28"/>
          <w:szCs w:val="28"/>
        </w:rPr>
        <w:t xml:space="preserve">The respondent wants to exploit clause 10(a) of the agreement. </w:t>
      </w:r>
      <w:r w:rsidR="00C74731" w:rsidRPr="00E47F45">
        <w:rPr>
          <w:rFonts w:ascii="Times New Roman" w:hAnsi="Times New Roman" w:cs="Times New Roman"/>
          <w:i/>
          <w:iCs/>
          <w:sz w:val="28"/>
          <w:szCs w:val="28"/>
        </w:rPr>
        <w:t>De Villiers</w:t>
      </w:r>
      <w:r w:rsidR="00C74731">
        <w:rPr>
          <w:rFonts w:ascii="Times New Roman" w:hAnsi="Times New Roman" w:cs="Times New Roman"/>
          <w:sz w:val="28"/>
          <w:szCs w:val="28"/>
        </w:rPr>
        <w:t xml:space="preserve"> C.J </w:t>
      </w:r>
      <w:r w:rsidR="005D05C2" w:rsidRPr="005D05C2">
        <w:rPr>
          <w:rFonts w:ascii="Times New Roman" w:hAnsi="Times New Roman" w:cs="Times New Roman"/>
          <w:sz w:val="28"/>
          <w:szCs w:val="28"/>
        </w:rPr>
        <w:t>made the following remarks</w:t>
      </w:r>
      <w:r w:rsidR="00C74731">
        <w:rPr>
          <w:rFonts w:ascii="Times New Roman" w:hAnsi="Times New Roman" w:cs="Times New Roman"/>
          <w:b/>
          <w:bCs/>
          <w:sz w:val="28"/>
          <w:szCs w:val="28"/>
        </w:rPr>
        <w:t xml:space="preserve"> </w:t>
      </w:r>
      <w:r w:rsidR="005D05C2">
        <w:rPr>
          <w:rFonts w:ascii="Times New Roman" w:hAnsi="Times New Roman" w:cs="Times New Roman"/>
          <w:sz w:val="28"/>
          <w:szCs w:val="28"/>
        </w:rPr>
        <w:t xml:space="preserve">in </w:t>
      </w:r>
      <w:r w:rsidR="005D05C2" w:rsidRPr="00D53C62">
        <w:rPr>
          <w:rFonts w:ascii="Times New Roman" w:hAnsi="Times New Roman" w:cs="Times New Roman"/>
          <w:b/>
          <w:bCs/>
          <w:sz w:val="28"/>
          <w:szCs w:val="28"/>
        </w:rPr>
        <w:t>Rubin v. Botha</w:t>
      </w:r>
      <w:r w:rsidR="005D05C2">
        <w:rPr>
          <w:rStyle w:val="FootnoteReference"/>
          <w:rFonts w:ascii="Times New Roman" w:hAnsi="Times New Roman" w:cs="Times New Roman"/>
          <w:sz w:val="28"/>
          <w:szCs w:val="28"/>
        </w:rPr>
        <w:footnoteReference w:id="18"/>
      </w:r>
      <w:r w:rsidR="005D05C2">
        <w:rPr>
          <w:rFonts w:ascii="Times New Roman" w:hAnsi="Times New Roman" w:cs="Times New Roman"/>
          <w:b/>
          <w:bCs/>
          <w:sz w:val="28"/>
          <w:szCs w:val="28"/>
        </w:rPr>
        <w:t xml:space="preserve"> </w:t>
      </w:r>
      <w:r w:rsidR="00C74731" w:rsidRPr="00C74731">
        <w:rPr>
          <w:rFonts w:ascii="Times New Roman" w:hAnsi="Times New Roman" w:cs="Times New Roman"/>
          <w:sz w:val="28"/>
          <w:szCs w:val="28"/>
        </w:rPr>
        <w:t>concerning</w:t>
      </w:r>
      <w:r w:rsidR="00C74731">
        <w:rPr>
          <w:rFonts w:ascii="Times New Roman" w:hAnsi="Times New Roman" w:cs="Times New Roman"/>
          <w:b/>
          <w:bCs/>
          <w:sz w:val="28"/>
          <w:szCs w:val="28"/>
        </w:rPr>
        <w:t xml:space="preserve"> </w:t>
      </w:r>
      <w:r w:rsidR="00C74731">
        <w:rPr>
          <w:rFonts w:ascii="Times New Roman" w:hAnsi="Times New Roman" w:cs="Times New Roman"/>
          <w:sz w:val="28"/>
          <w:szCs w:val="28"/>
        </w:rPr>
        <w:t xml:space="preserve">defendant </w:t>
      </w:r>
      <w:r w:rsidR="00C74731">
        <w:rPr>
          <w:rFonts w:ascii="Times New Roman" w:hAnsi="Times New Roman" w:cs="Times New Roman"/>
          <w:sz w:val="28"/>
          <w:szCs w:val="28"/>
        </w:rPr>
        <w:lastRenderedPageBreak/>
        <w:t xml:space="preserve">who wanted to take advantage of the law at the expense of plaintiff, </w:t>
      </w:r>
      <w:r w:rsidR="005D05C2">
        <w:rPr>
          <w:rFonts w:ascii="Times New Roman" w:hAnsi="Times New Roman" w:cs="Times New Roman"/>
          <w:sz w:val="28"/>
          <w:szCs w:val="28"/>
        </w:rPr>
        <w:t xml:space="preserve">which in my view </w:t>
      </w:r>
      <w:r w:rsidR="00C74731">
        <w:rPr>
          <w:rFonts w:ascii="Times New Roman" w:hAnsi="Times New Roman" w:cs="Times New Roman"/>
          <w:sz w:val="28"/>
          <w:szCs w:val="28"/>
        </w:rPr>
        <w:t xml:space="preserve">apply with equal force in </w:t>
      </w:r>
      <w:r w:rsidR="00C74731" w:rsidRPr="00C74731">
        <w:rPr>
          <w:rFonts w:ascii="Times New Roman" w:hAnsi="Times New Roman" w:cs="Times New Roman"/>
          <w:i/>
          <w:iCs/>
          <w:sz w:val="28"/>
          <w:szCs w:val="28"/>
        </w:rPr>
        <w:t>casu</w:t>
      </w:r>
      <w:r w:rsidR="00C74731">
        <w:rPr>
          <w:rFonts w:ascii="Times New Roman" w:hAnsi="Times New Roman" w:cs="Times New Roman"/>
          <w:sz w:val="28"/>
          <w:szCs w:val="28"/>
        </w:rPr>
        <w:t xml:space="preserve">: </w:t>
      </w:r>
    </w:p>
    <w:p w14:paraId="6AE40FFC" w14:textId="3D882058" w:rsidR="000B29AE" w:rsidRDefault="00D53C62" w:rsidP="003B17BE">
      <w:pPr>
        <w:pStyle w:val="BodyText"/>
        <w:kinsoku w:val="0"/>
        <w:overflowPunct w:val="0"/>
        <w:ind w:left="1440" w:right="850"/>
        <w:jc w:val="both"/>
        <w:rPr>
          <w:rFonts w:ascii="Times New Roman" w:hAnsi="Times New Roman" w:cs="Times New Roman"/>
          <w:sz w:val="24"/>
          <w:szCs w:val="24"/>
        </w:rPr>
      </w:pPr>
      <w:r w:rsidRPr="00D53C62">
        <w:rPr>
          <w:rFonts w:ascii="Times New Roman" w:hAnsi="Times New Roman" w:cs="Times New Roman"/>
          <w:sz w:val="24"/>
          <w:szCs w:val="24"/>
        </w:rPr>
        <w:t>“The defendan</w:t>
      </w:r>
      <w:r w:rsidR="00C660A6">
        <w:rPr>
          <w:rFonts w:ascii="Times New Roman" w:hAnsi="Times New Roman" w:cs="Times New Roman"/>
          <w:sz w:val="24"/>
          <w:szCs w:val="24"/>
        </w:rPr>
        <w:t xml:space="preserve">t took advantage of the law which, by declaring the lease to be void, frustrated the true intentions of both parties, and there appears to me to be no reason in the world why he should not be subject to the equitable rule of the Dutch law that no one should be enriched to the detriment and </w:t>
      </w:r>
      <w:r w:rsidRPr="00D53C62">
        <w:rPr>
          <w:rFonts w:ascii="Times New Roman" w:hAnsi="Times New Roman" w:cs="Times New Roman"/>
          <w:sz w:val="24"/>
          <w:szCs w:val="24"/>
        </w:rPr>
        <w:t>injury of another”</w:t>
      </w:r>
    </w:p>
    <w:p w14:paraId="2A4DA982" w14:textId="77777777" w:rsidR="00E20542" w:rsidRDefault="00E20542" w:rsidP="003B17BE">
      <w:pPr>
        <w:pStyle w:val="BodyText"/>
        <w:kinsoku w:val="0"/>
        <w:overflowPunct w:val="0"/>
        <w:ind w:left="1440" w:right="850"/>
        <w:jc w:val="both"/>
        <w:rPr>
          <w:rFonts w:ascii="Times New Roman" w:hAnsi="Times New Roman" w:cs="Times New Roman"/>
          <w:sz w:val="24"/>
          <w:szCs w:val="24"/>
        </w:rPr>
      </w:pPr>
    </w:p>
    <w:p w14:paraId="426B33CA" w14:textId="77777777" w:rsidR="00BE4FD9" w:rsidRPr="005D05C2" w:rsidRDefault="00BE4FD9" w:rsidP="005D05C2">
      <w:pPr>
        <w:pStyle w:val="BodyText"/>
        <w:kinsoku w:val="0"/>
        <w:overflowPunct w:val="0"/>
        <w:ind w:left="1440"/>
        <w:jc w:val="both"/>
        <w:rPr>
          <w:rFonts w:ascii="Times New Roman" w:hAnsi="Times New Roman" w:cs="Times New Roman"/>
          <w:sz w:val="24"/>
          <w:szCs w:val="24"/>
        </w:rPr>
      </w:pPr>
    </w:p>
    <w:p w14:paraId="5DBBC068" w14:textId="547C1110" w:rsidR="000B29AE" w:rsidRDefault="000B29AE" w:rsidP="00F81604">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967744">
        <w:rPr>
          <w:rFonts w:ascii="Times New Roman" w:hAnsi="Times New Roman" w:cs="Times New Roman"/>
          <w:sz w:val="28"/>
          <w:szCs w:val="28"/>
        </w:rPr>
        <w:t>4</w:t>
      </w:r>
      <w:r w:rsidR="00E47F4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160B4">
        <w:rPr>
          <w:rFonts w:ascii="Times New Roman" w:hAnsi="Times New Roman" w:cs="Times New Roman"/>
          <w:sz w:val="28"/>
          <w:szCs w:val="28"/>
        </w:rPr>
        <w:t>T</w:t>
      </w:r>
      <w:r w:rsidR="005D05C2">
        <w:rPr>
          <w:rFonts w:ascii="Times New Roman" w:hAnsi="Times New Roman" w:cs="Times New Roman"/>
          <w:sz w:val="28"/>
          <w:szCs w:val="28"/>
        </w:rPr>
        <w:t>he</w:t>
      </w:r>
      <w:r w:rsidR="00255AD7">
        <w:rPr>
          <w:rFonts w:ascii="Times New Roman" w:hAnsi="Times New Roman" w:cs="Times New Roman"/>
          <w:sz w:val="28"/>
          <w:szCs w:val="28"/>
        </w:rPr>
        <w:t xml:space="preserve"> applicant </w:t>
      </w:r>
      <w:r w:rsidR="00C228A1">
        <w:rPr>
          <w:rFonts w:ascii="Times New Roman" w:hAnsi="Times New Roman" w:cs="Times New Roman"/>
          <w:sz w:val="28"/>
          <w:szCs w:val="28"/>
        </w:rPr>
        <w:t>is</w:t>
      </w:r>
      <w:r w:rsidR="00255AD7">
        <w:rPr>
          <w:rFonts w:ascii="Times New Roman" w:hAnsi="Times New Roman" w:cs="Times New Roman"/>
          <w:sz w:val="28"/>
          <w:szCs w:val="28"/>
        </w:rPr>
        <w:t xml:space="preserve"> invoking th</w:t>
      </w:r>
      <w:r w:rsidR="005D05C2">
        <w:rPr>
          <w:rFonts w:ascii="Times New Roman" w:hAnsi="Times New Roman" w:cs="Times New Roman"/>
          <w:sz w:val="28"/>
          <w:szCs w:val="28"/>
        </w:rPr>
        <w:t>e</w:t>
      </w:r>
      <w:r w:rsidR="00255AD7">
        <w:rPr>
          <w:rFonts w:ascii="Times New Roman" w:hAnsi="Times New Roman" w:cs="Times New Roman"/>
          <w:sz w:val="28"/>
          <w:szCs w:val="28"/>
        </w:rPr>
        <w:t xml:space="preserve"> equitable remedy </w:t>
      </w:r>
      <w:r w:rsidR="00255AD7" w:rsidRPr="00255AD7">
        <w:rPr>
          <w:rFonts w:ascii="Times New Roman" w:hAnsi="Times New Roman" w:cs="Times New Roman"/>
          <w:i/>
          <w:iCs/>
          <w:sz w:val="28"/>
          <w:szCs w:val="28"/>
        </w:rPr>
        <w:t>“that no one should be enriched to the detriment and injury of another”</w:t>
      </w:r>
      <w:r w:rsidR="00C228A1">
        <w:rPr>
          <w:rFonts w:ascii="Times New Roman" w:hAnsi="Times New Roman" w:cs="Times New Roman"/>
          <w:sz w:val="28"/>
          <w:szCs w:val="28"/>
        </w:rPr>
        <w:t xml:space="preserve"> in the alternative. </w:t>
      </w:r>
      <w:r w:rsidR="005D05C2">
        <w:rPr>
          <w:rFonts w:ascii="Times New Roman" w:hAnsi="Times New Roman" w:cs="Times New Roman"/>
          <w:sz w:val="28"/>
          <w:szCs w:val="28"/>
        </w:rPr>
        <w:t xml:space="preserve"> </w:t>
      </w:r>
      <w:r w:rsidR="00255AD7">
        <w:rPr>
          <w:rFonts w:ascii="Times New Roman" w:hAnsi="Times New Roman" w:cs="Times New Roman"/>
          <w:sz w:val="28"/>
          <w:szCs w:val="28"/>
        </w:rPr>
        <w:t xml:space="preserve">Conversely, the </w:t>
      </w:r>
      <w:r w:rsidR="005D05C2">
        <w:rPr>
          <w:rFonts w:ascii="Times New Roman" w:hAnsi="Times New Roman" w:cs="Times New Roman"/>
          <w:sz w:val="28"/>
          <w:szCs w:val="28"/>
        </w:rPr>
        <w:t xml:space="preserve">defence </w:t>
      </w:r>
      <w:r w:rsidR="0082707D">
        <w:rPr>
          <w:rFonts w:ascii="Times New Roman" w:hAnsi="Times New Roman" w:cs="Times New Roman"/>
          <w:sz w:val="28"/>
          <w:szCs w:val="28"/>
        </w:rPr>
        <w:t xml:space="preserve">raised by the respondent </w:t>
      </w:r>
      <w:r>
        <w:rPr>
          <w:rFonts w:ascii="Times New Roman" w:hAnsi="Times New Roman" w:cs="Times New Roman"/>
          <w:sz w:val="28"/>
          <w:szCs w:val="28"/>
        </w:rPr>
        <w:t xml:space="preserve">conflates contractual and enrichment remedies.  </w:t>
      </w:r>
      <w:proofErr w:type="spellStart"/>
      <w:r w:rsidRPr="00E47F45">
        <w:rPr>
          <w:rFonts w:ascii="Times New Roman" w:hAnsi="Times New Roman" w:cs="Times New Roman"/>
          <w:i/>
          <w:iCs/>
          <w:sz w:val="28"/>
          <w:szCs w:val="28"/>
        </w:rPr>
        <w:t>Navsa</w:t>
      </w:r>
      <w:proofErr w:type="spellEnd"/>
      <w:r w:rsidRPr="00E47F45">
        <w:rPr>
          <w:rFonts w:ascii="Times New Roman" w:hAnsi="Times New Roman" w:cs="Times New Roman"/>
          <w:i/>
          <w:iCs/>
          <w:sz w:val="28"/>
          <w:szCs w:val="28"/>
        </w:rPr>
        <w:t xml:space="preserve"> </w:t>
      </w:r>
      <w:r>
        <w:rPr>
          <w:rFonts w:ascii="Times New Roman" w:hAnsi="Times New Roman" w:cs="Times New Roman"/>
          <w:sz w:val="28"/>
          <w:szCs w:val="28"/>
        </w:rPr>
        <w:t xml:space="preserve">JA et </w:t>
      </w:r>
      <w:proofErr w:type="spellStart"/>
      <w:r w:rsidRPr="00E47F45">
        <w:rPr>
          <w:rFonts w:ascii="Times New Roman" w:hAnsi="Times New Roman" w:cs="Times New Roman"/>
          <w:i/>
          <w:iCs/>
          <w:sz w:val="28"/>
          <w:szCs w:val="28"/>
        </w:rPr>
        <w:t>Heher</w:t>
      </w:r>
      <w:proofErr w:type="spellEnd"/>
      <w:r>
        <w:rPr>
          <w:rFonts w:ascii="Times New Roman" w:hAnsi="Times New Roman" w:cs="Times New Roman"/>
          <w:sz w:val="28"/>
          <w:szCs w:val="28"/>
        </w:rPr>
        <w:t xml:space="preserve"> AJA explains the two remedies as follows in </w:t>
      </w:r>
      <w:r w:rsidRPr="000B29AE">
        <w:rPr>
          <w:rFonts w:ascii="Times New Roman" w:hAnsi="Times New Roman" w:cs="Times New Roman"/>
          <w:b/>
          <w:bCs/>
          <w:sz w:val="28"/>
          <w:szCs w:val="28"/>
        </w:rPr>
        <w:t xml:space="preserve">Kudu Granite Operations (Pty) Ltd v </w:t>
      </w:r>
      <w:proofErr w:type="spellStart"/>
      <w:r w:rsidRPr="000B29AE">
        <w:rPr>
          <w:rFonts w:ascii="Times New Roman" w:hAnsi="Times New Roman" w:cs="Times New Roman"/>
          <w:b/>
          <w:bCs/>
          <w:sz w:val="28"/>
          <w:szCs w:val="28"/>
        </w:rPr>
        <w:t>Caterna</w:t>
      </w:r>
      <w:proofErr w:type="spellEnd"/>
      <w:r w:rsidRPr="000B29AE">
        <w:rPr>
          <w:rFonts w:ascii="Times New Roman" w:hAnsi="Times New Roman" w:cs="Times New Roman"/>
          <w:b/>
          <w:bCs/>
          <w:sz w:val="28"/>
          <w:szCs w:val="28"/>
        </w:rPr>
        <w:t xml:space="preserve"> LTD</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w:t>
      </w:r>
    </w:p>
    <w:p w14:paraId="23D76485" w14:textId="77777777" w:rsidR="000B29AE" w:rsidRDefault="000B29AE" w:rsidP="00F81604">
      <w:pPr>
        <w:pStyle w:val="BodyText"/>
        <w:kinsoku w:val="0"/>
        <w:overflowPunct w:val="0"/>
        <w:spacing w:line="480" w:lineRule="auto"/>
        <w:ind w:left="0"/>
        <w:jc w:val="both"/>
        <w:rPr>
          <w:rFonts w:ascii="Times New Roman" w:hAnsi="Times New Roman" w:cs="Times New Roman"/>
          <w:sz w:val="28"/>
          <w:szCs w:val="28"/>
        </w:rPr>
      </w:pPr>
    </w:p>
    <w:p w14:paraId="44739B8F" w14:textId="36A785D4" w:rsidR="000B29AE" w:rsidRDefault="000B29AE" w:rsidP="0059762F">
      <w:pPr>
        <w:pStyle w:val="BodyText"/>
        <w:kinsoku w:val="0"/>
        <w:overflowPunct w:val="0"/>
        <w:ind w:left="1440" w:right="850"/>
        <w:jc w:val="both"/>
        <w:rPr>
          <w:rFonts w:ascii="Times New Roman" w:hAnsi="Times New Roman" w:cs="Times New Roman"/>
          <w:sz w:val="28"/>
          <w:szCs w:val="28"/>
        </w:rPr>
      </w:pPr>
      <w:r w:rsidRPr="00674DC3">
        <w:rPr>
          <w:rFonts w:ascii="Times New Roman" w:hAnsi="Times New Roman" w:cs="Times New Roman"/>
          <w:sz w:val="24"/>
          <w:szCs w:val="24"/>
        </w:rPr>
        <w:t>“[15]</w:t>
      </w:r>
      <w:r w:rsidRPr="00674DC3">
        <w:rPr>
          <w:rFonts w:ascii="Times New Roman" w:hAnsi="Times New Roman" w:cs="Times New Roman"/>
          <w:sz w:val="24"/>
          <w:szCs w:val="24"/>
        </w:rPr>
        <w:tab/>
        <w:t xml:space="preserve">   Kudu’s first contention is well-founded.  There is a material difference between suing on a contract for damages following upon cancellation for breach by the other party (as in </w:t>
      </w:r>
      <w:r w:rsidRPr="00674DC3">
        <w:rPr>
          <w:rFonts w:ascii="Times New Roman" w:hAnsi="Times New Roman" w:cs="Times New Roman"/>
          <w:i/>
          <w:iCs/>
          <w:sz w:val="24"/>
          <w:szCs w:val="24"/>
        </w:rPr>
        <w:t>Baker v Probert</w:t>
      </w:r>
      <w:r w:rsidRPr="00674DC3">
        <w:rPr>
          <w:rFonts w:ascii="Times New Roman" w:hAnsi="Times New Roman" w:cs="Times New Roman"/>
          <w:sz w:val="24"/>
          <w:szCs w:val="24"/>
        </w:rPr>
        <w:t xml:space="preserve"> 1985 (3) SA 429 (A), a judgement relied on by the Court </w:t>
      </w:r>
      <w:r w:rsidRPr="00674DC3">
        <w:rPr>
          <w:rFonts w:ascii="Times New Roman" w:hAnsi="Times New Roman" w:cs="Times New Roman"/>
          <w:i/>
          <w:iCs/>
          <w:sz w:val="24"/>
          <w:szCs w:val="24"/>
        </w:rPr>
        <w:t>a quo</w:t>
      </w:r>
      <w:r w:rsidRPr="00674DC3">
        <w:rPr>
          <w:rFonts w:ascii="Times New Roman" w:hAnsi="Times New Roman" w:cs="Times New Roman"/>
          <w:sz w:val="24"/>
          <w:szCs w:val="24"/>
        </w:rPr>
        <w:t xml:space="preserve">) and having to concede that a contract in which the claim had its foundation, which has not been breached by either party, is of no force and effect.  The first-mentioned </w:t>
      </w:r>
      <w:r w:rsidR="00D30853" w:rsidRPr="00674DC3">
        <w:rPr>
          <w:rFonts w:ascii="Times New Roman" w:hAnsi="Times New Roman" w:cs="Times New Roman"/>
          <w:sz w:val="24"/>
          <w:szCs w:val="24"/>
        </w:rPr>
        <w:t>scenario</w:t>
      </w:r>
      <w:r w:rsidRPr="00674DC3">
        <w:rPr>
          <w:rFonts w:ascii="Times New Roman" w:hAnsi="Times New Roman" w:cs="Times New Roman"/>
          <w:sz w:val="24"/>
          <w:szCs w:val="24"/>
        </w:rPr>
        <w:t xml:space="preserve"> gives rise to a distinct contractual remedy:  Baker at 439A, and restitution may provide a proper measure or substitute for the innocent party’s damages.  The second situation has been recognised since Roman times as one in which the contract gives rise to no rights of action and such remedy as exists is to be sought in unjust enrichment, an equitable remedy in which the contractual provisions are largely irrelevant.  As Van den Heever J said in</w:t>
      </w:r>
      <w:r>
        <w:rPr>
          <w:rFonts w:ascii="Times New Roman" w:hAnsi="Times New Roman" w:cs="Times New Roman"/>
          <w:sz w:val="28"/>
          <w:szCs w:val="28"/>
        </w:rPr>
        <w:t xml:space="preserve"> </w:t>
      </w:r>
      <w:proofErr w:type="spellStart"/>
      <w:r w:rsidRPr="00D54234">
        <w:rPr>
          <w:rFonts w:ascii="Times New Roman" w:hAnsi="Times New Roman" w:cs="Times New Roman"/>
          <w:i/>
          <w:iCs/>
          <w:sz w:val="24"/>
          <w:szCs w:val="24"/>
        </w:rPr>
        <w:t>Pucjlowski</w:t>
      </w:r>
      <w:proofErr w:type="spellEnd"/>
      <w:r w:rsidRPr="00D54234">
        <w:rPr>
          <w:rFonts w:ascii="Times New Roman" w:hAnsi="Times New Roman" w:cs="Times New Roman"/>
          <w:i/>
          <w:iCs/>
          <w:sz w:val="24"/>
          <w:szCs w:val="24"/>
        </w:rPr>
        <w:t xml:space="preserve"> v Johnston’s Executors</w:t>
      </w:r>
      <w:r w:rsidRPr="00D54234">
        <w:rPr>
          <w:rFonts w:ascii="Times New Roman" w:hAnsi="Times New Roman" w:cs="Times New Roman"/>
          <w:sz w:val="24"/>
          <w:szCs w:val="24"/>
        </w:rPr>
        <w:t xml:space="preserve"> 1946 WLD 1 at 6</w:t>
      </w:r>
      <w:r>
        <w:rPr>
          <w:rFonts w:ascii="Times New Roman" w:hAnsi="Times New Roman" w:cs="Times New Roman"/>
          <w:sz w:val="28"/>
          <w:szCs w:val="28"/>
        </w:rPr>
        <w:t>:</w:t>
      </w:r>
    </w:p>
    <w:p w14:paraId="06E06B0D" w14:textId="77777777" w:rsidR="000720D9" w:rsidRDefault="000720D9" w:rsidP="0059762F">
      <w:pPr>
        <w:pStyle w:val="BodyText"/>
        <w:kinsoku w:val="0"/>
        <w:overflowPunct w:val="0"/>
        <w:ind w:left="1440" w:right="850"/>
        <w:jc w:val="both"/>
        <w:rPr>
          <w:rFonts w:ascii="Times New Roman" w:hAnsi="Times New Roman" w:cs="Times New Roman"/>
          <w:sz w:val="28"/>
          <w:szCs w:val="28"/>
        </w:rPr>
      </w:pPr>
    </w:p>
    <w:p w14:paraId="60856262" w14:textId="53C5E8E3" w:rsidR="000B29AE" w:rsidRDefault="000B29AE" w:rsidP="0059762F">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8"/>
          <w:szCs w:val="28"/>
        </w:rPr>
        <w:tab/>
      </w:r>
      <w:r w:rsidRPr="000B29AE">
        <w:rPr>
          <w:rFonts w:ascii="Times New Roman" w:hAnsi="Times New Roman" w:cs="Times New Roman"/>
          <w:sz w:val="24"/>
          <w:szCs w:val="24"/>
        </w:rPr>
        <w:t xml:space="preserve">“The object of </w:t>
      </w:r>
      <w:proofErr w:type="spellStart"/>
      <w:r w:rsidRPr="000B29AE">
        <w:rPr>
          <w:rFonts w:ascii="Times New Roman" w:hAnsi="Times New Roman" w:cs="Times New Roman"/>
          <w:sz w:val="24"/>
          <w:szCs w:val="24"/>
        </w:rPr>
        <w:t>condi</w:t>
      </w:r>
      <w:r w:rsidR="00D30853">
        <w:rPr>
          <w:rFonts w:ascii="Times New Roman" w:hAnsi="Times New Roman" w:cs="Times New Roman"/>
          <w:sz w:val="24"/>
          <w:szCs w:val="24"/>
        </w:rPr>
        <w:t>c</w:t>
      </w:r>
      <w:r w:rsidRPr="000B29AE">
        <w:rPr>
          <w:rFonts w:ascii="Times New Roman" w:hAnsi="Times New Roman" w:cs="Times New Roman"/>
          <w:sz w:val="24"/>
          <w:szCs w:val="24"/>
        </w:rPr>
        <w:t>tion</w:t>
      </w:r>
      <w:proofErr w:type="spellEnd"/>
      <w:r w:rsidRPr="000B29AE">
        <w:rPr>
          <w:rFonts w:ascii="Times New Roman" w:hAnsi="Times New Roman" w:cs="Times New Roman"/>
          <w:sz w:val="24"/>
          <w:szCs w:val="24"/>
        </w:rPr>
        <w:t xml:space="preserve"> is the recovery of property in which ownership has been transferred pursuant to a juristic act which was ab initio unenforceable or has subsequently become inoperative (causa non </w:t>
      </w:r>
      <w:proofErr w:type="spellStart"/>
      <w:r w:rsidRPr="000B29AE">
        <w:rPr>
          <w:rFonts w:ascii="Times New Roman" w:hAnsi="Times New Roman" w:cs="Times New Roman"/>
          <w:sz w:val="24"/>
          <w:szCs w:val="24"/>
        </w:rPr>
        <w:t>secuta</w:t>
      </w:r>
      <w:proofErr w:type="spellEnd"/>
      <w:r w:rsidRPr="000B29AE">
        <w:rPr>
          <w:rFonts w:ascii="Times New Roman" w:hAnsi="Times New Roman" w:cs="Times New Roman"/>
          <w:sz w:val="24"/>
          <w:szCs w:val="24"/>
        </w:rPr>
        <w:t xml:space="preserve">; causa </w:t>
      </w:r>
      <w:proofErr w:type="spellStart"/>
      <w:r w:rsidRPr="000B29AE">
        <w:rPr>
          <w:rFonts w:ascii="Times New Roman" w:hAnsi="Times New Roman" w:cs="Times New Roman"/>
          <w:sz w:val="24"/>
          <w:szCs w:val="24"/>
        </w:rPr>
        <w:t>finit</w:t>
      </w:r>
      <w:r w:rsidR="00D30853">
        <w:rPr>
          <w:rFonts w:ascii="Times New Roman" w:hAnsi="Times New Roman" w:cs="Times New Roman"/>
          <w:sz w:val="24"/>
          <w:szCs w:val="24"/>
        </w:rPr>
        <w:t>a</w:t>
      </w:r>
      <w:proofErr w:type="spellEnd"/>
      <w:r w:rsidRPr="000B29AE">
        <w:rPr>
          <w:rFonts w:ascii="Times New Roman" w:hAnsi="Times New Roman" w:cs="Times New Roman"/>
          <w:sz w:val="24"/>
          <w:szCs w:val="24"/>
        </w:rPr>
        <w:t>).’</w:t>
      </w:r>
    </w:p>
    <w:p w14:paraId="03DF427E" w14:textId="77777777" w:rsidR="000720D9" w:rsidRPr="000B29AE" w:rsidRDefault="000720D9" w:rsidP="0059762F">
      <w:pPr>
        <w:pStyle w:val="BodyText"/>
        <w:kinsoku w:val="0"/>
        <w:overflowPunct w:val="0"/>
        <w:ind w:left="1440" w:right="850"/>
        <w:jc w:val="both"/>
        <w:rPr>
          <w:rFonts w:ascii="Times New Roman" w:hAnsi="Times New Roman" w:cs="Times New Roman"/>
          <w:sz w:val="24"/>
          <w:szCs w:val="24"/>
        </w:rPr>
      </w:pPr>
    </w:p>
    <w:p w14:paraId="059D3026" w14:textId="3BFAA78A" w:rsidR="000B29AE" w:rsidRPr="00A26234" w:rsidRDefault="000B29AE" w:rsidP="0059762F">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8"/>
          <w:szCs w:val="28"/>
        </w:rPr>
        <w:tab/>
      </w:r>
      <w:r w:rsidRPr="00A26234">
        <w:rPr>
          <w:rFonts w:ascii="Times New Roman" w:hAnsi="Times New Roman" w:cs="Times New Roman"/>
          <w:sz w:val="24"/>
          <w:szCs w:val="24"/>
        </w:rPr>
        <w:t>The same principle applies if the contract is void due to a statutory prohibition (</w:t>
      </w:r>
      <w:r w:rsidRPr="00A26234">
        <w:rPr>
          <w:rFonts w:ascii="Times New Roman" w:hAnsi="Times New Roman" w:cs="Times New Roman"/>
          <w:i/>
          <w:iCs/>
          <w:sz w:val="24"/>
          <w:szCs w:val="24"/>
        </w:rPr>
        <w:t>Wilken v Kohler</w:t>
      </w:r>
      <w:r w:rsidRPr="00A26234">
        <w:rPr>
          <w:rFonts w:ascii="Times New Roman" w:hAnsi="Times New Roman" w:cs="Times New Roman"/>
          <w:sz w:val="24"/>
          <w:szCs w:val="24"/>
        </w:rPr>
        <w:t xml:space="preserve"> 1913 AD 135 at 149-50), in which case the</w:t>
      </w:r>
      <w:r w:rsidRPr="00A26234">
        <w:rPr>
          <w:rFonts w:ascii="Times New Roman" w:hAnsi="Times New Roman" w:cs="Times New Roman"/>
          <w:i/>
          <w:iCs/>
          <w:sz w:val="24"/>
          <w:szCs w:val="24"/>
        </w:rPr>
        <w:t xml:space="preserve"> </w:t>
      </w:r>
      <w:r w:rsidRPr="00A26234">
        <w:rPr>
          <w:rFonts w:ascii="Times New Roman" w:hAnsi="Times New Roman" w:cs="Times New Roman"/>
          <w:i/>
          <w:iCs/>
          <w:sz w:val="24"/>
          <w:szCs w:val="24"/>
        </w:rPr>
        <w:lastRenderedPageBreak/>
        <w:t xml:space="preserve">condictio </w:t>
      </w:r>
      <w:proofErr w:type="spellStart"/>
      <w:r w:rsidRPr="00A26234">
        <w:rPr>
          <w:rFonts w:ascii="Times New Roman" w:hAnsi="Times New Roman" w:cs="Times New Roman"/>
          <w:i/>
          <w:iCs/>
          <w:sz w:val="24"/>
          <w:szCs w:val="24"/>
        </w:rPr>
        <w:t>indebiti</w:t>
      </w:r>
      <w:proofErr w:type="spellEnd"/>
      <w:r w:rsidRPr="00A26234">
        <w:rPr>
          <w:rFonts w:ascii="Times New Roman" w:hAnsi="Times New Roman" w:cs="Times New Roman"/>
          <w:sz w:val="24"/>
          <w:szCs w:val="24"/>
        </w:rPr>
        <w:t xml:space="preserve"> applies.” </w:t>
      </w:r>
    </w:p>
    <w:p w14:paraId="19FA294F" w14:textId="77777777" w:rsidR="00A26234" w:rsidRPr="00A26234" w:rsidRDefault="00A26234" w:rsidP="0059762F">
      <w:pPr>
        <w:pStyle w:val="BodyText"/>
        <w:kinsoku w:val="0"/>
        <w:overflowPunct w:val="0"/>
        <w:ind w:left="1440" w:right="850"/>
        <w:jc w:val="both"/>
        <w:rPr>
          <w:rFonts w:ascii="Times New Roman" w:hAnsi="Times New Roman" w:cs="Times New Roman"/>
          <w:sz w:val="24"/>
          <w:szCs w:val="24"/>
        </w:rPr>
      </w:pPr>
    </w:p>
    <w:p w14:paraId="4A98A7E0" w14:textId="5D6D0B6C" w:rsidR="00A44CB5" w:rsidRPr="00A26234" w:rsidRDefault="00A44CB5" w:rsidP="003F2F8B">
      <w:pPr>
        <w:pStyle w:val="BodyText"/>
        <w:kinsoku w:val="0"/>
        <w:overflowPunct w:val="0"/>
        <w:spacing w:line="480" w:lineRule="auto"/>
        <w:ind w:left="0"/>
        <w:jc w:val="both"/>
        <w:rPr>
          <w:rFonts w:ascii="Times New Roman" w:hAnsi="Times New Roman" w:cs="Times New Roman"/>
          <w:sz w:val="24"/>
          <w:szCs w:val="24"/>
        </w:rPr>
      </w:pPr>
    </w:p>
    <w:p w14:paraId="6AE5DE7B" w14:textId="3E071209" w:rsidR="00CD03B5" w:rsidRDefault="00A44CB5"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ED34A7">
        <w:rPr>
          <w:rFonts w:ascii="Times New Roman" w:hAnsi="Times New Roman" w:cs="Times New Roman"/>
          <w:sz w:val="28"/>
          <w:szCs w:val="28"/>
        </w:rPr>
        <w:t>4</w:t>
      </w:r>
      <w:r w:rsidR="00E47F45">
        <w:rPr>
          <w:rFonts w:ascii="Times New Roman" w:hAnsi="Times New Roman" w:cs="Times New Roman"/>
          <w:sz w:val="28"/>
          <w:szCs w:val="28"/>
        </w:rPr>
        <w:t>3</w:t>
      </w:r>
      <w:r>
        <w:rPr>
          <w:rFonts w:ascii="Times New Roman" w:hAnsi="Times New Roman" w:cs="Times New Roman"/>
          <w:sz w:val="28"/>
          <w:szCs w:val="28"/>
        </w:rPr>
        <w:t>]</w:t>
      </w:r>
      <w:r w:rsidR="00676E48">
        <w:rPr>
          <w:rFonts w:ascii="Times New Roman" w:hAnsi="Times New Roman" w:cs="Times New Roman"/>
          <w:sz w:val="28"/>
          <w:szCs w:val="28"/>
        </w:rPr>
        <w:tab/>
      </w:r>
      <w:r w:rsidR="00676E48">
        <w:rPr>
          <w:rFonts w:ascii="Times New Roman" w:hAnsi="Times New Roman" w:cs="Times New Roman"/>
          <w:sz w:val="28"/>
          <w:szCs w:val="28"/>
        </w:rPr>
        <w:tab/>
      </w:r>
      <w:r w:rsidR="00CE4316">
        <w:rPr>
          <w:rFonts w:ascii="Times New Roman" w:hAnsi="Times New Roman" w:cs="Times New Roman"/>
          <w:sz w:val="28"/>
          <w:szCs w:val="28"/>
        </w:rPr>
        <w:t xml:space="preserve">Under this remedy the applicant seeks to </w:t>
      </w:r>
      <w:r w:rsidR="00B80E45">
        <w:rPr>
          <w:rFonts w:ascii="Times New Roman" w:hAnsi="Times New Roman" w:cs="Times New Roman"/>
          <w:sz w:val="28"/>
          <w:szCs w:val="28"/>
        </w:rPr>
        <w:t xml:space="preserve">exercise lien until it is compensated for the market value of the improvements it effected on the premises. </w:t>
      </w:r>
      <w:r w:rsidR="00CE4316">
        <w:rPr>
          <w:rFonts w:ascii="Times New Roman" w:hAnsi="Times New Roman" w:cs="Times New Roman"/>
          <w:sz w:val="28"/>
          <w:szCs w:val="28"/>
        </w:rPr>
        <w:t xml:space="preserve"> The applicant occupied and </w:t>
      </w:r>
      <w:r w:rsidR="000C0837">
        <w:rPr>
          <w:rFonts w:ascii="Times New Roman" w:hAnsi="Times New Roman" w:cs="Times New Roman"/>
          <w:sz w:val="28"/>
          <w:szCs w:val="28"/>
        </w:rPr>
        <w:t>developed the premises knowing that it was not the owner</w:t>
      </w:r>
      <w:r w:rsidR="00CE4316">
        <w:rPr>
          <w:rFonts w:ascii="Times New Roman" w:hAnsi="Times New Roman" w:cs="Times New Roman"/>
          <w:sz w:val="28"/>
          <w:szCs w:val="28"/>
        </w:rPr>
        <w:t xml:space="preserve">, </w:t>
      </w:r>
      <w:r w:rsidR="000C0837">
        <w:rPr>
          <w:rFonts w:ascii="Times New Roman" w:hAnsi="Times New Roman" w:cs="Times New Roman"/>
          <w:sz w:val="28"/>
          <w:szCs w:val="28"/>
        </w:rPr>
        <w:t xml:space="preserve">but it believed that it would as a lessee, enjoy occupation and the use of the buildings for the full duration of the sublease. </w:t>
      </w:r>
      <w:r w:rsidR="00CE4316">
        <w:rPr>
          <w:rFonts w:ascii="Times New Roman" w:hAnsi="Times New Roman" w:cs="Times New Roman"/>
          <w:sz w:val="28"/>
          <w:szCs w:val="28"/>
        </w:rPr>
        <w:t xml:space="preserve">It was thus a bona fide occupier. </w:t>
      </w:r>
      <w:r w:rsidR="00CD03B5">
        <w:rPr>
          <w:rFonts w:ascii="Times New Roman" w:hAnsi="Times New Roman" w:cs="Times New Roman"/>
          <w:sz w:val="28"/>
          <w:szCs w:val="28"/>
        </w:rPr>
        <w:t xml:space="preserve">In </w:t>
      </w:r>
      <w:r w:rsidR="00CD03B5" w:rsidRPr="00CD03B5">
        <w:rPr>
          <w:rFonts w:ascii="Times New Roman" w:hAnsi="Times New Roman" w:cs="Times New Roman"/>
          <w:b/>
          <w:bCs/>
          <w:sz w:val="28"/>
          <w:szCs w:val="28"/>
        </w:rPr>
        <w:t xml:space="preserve">Taka v </w:t>
      </w:r>
      <w:proofErr w:type="spellStart"/>
      <w:r w:rsidR="00CD03B5" w:rsidRPr="00CD03B5">
        <w:rPr>
          <w:rFonts w:ascii="Times New Roman" w:hAnsi="Times New Roman" w:cs="Times New Roman"/>
          <w:b/>
          <w:bCs/>
          <w:sz w:val="28"/>
          <w:szCs w:val="28"/>
        </w:rPr>
        <w:t>Pheko</w:t>
      </w:r>
      <w:proofErr w:type="spellEnd"/>
      <w:r w:rsidR="00CD03B5">
        <w:rPr>
          <w:rStyle w:val="FootnoteReference"/>
          <w:rFonts w:ascii="Times New Roman" w:hAnsi="Times New Roman" w:cs="Times New Roman"/>
          <w:b/>
          <w:bCs/>
          <w:sz w:val="28"/>
          <w:szCs w:val="28"/>
        </w:rPr>
        <w:footnoteReference w:id="20"/>
      </w:r>
      <w:r w:rsidR="00CD03B5">
        <w:rPr>
          <w:rFonts w:ascii="Times New Roman" w:hAnsi="Times New Roman" w:cs="Times New Roman"/>
          <w:sz w:val="28"/>
          <w:szCs w:val="28"/>
        </w:rPr>
        <w:t xml:space="preserve"> the Court of Appeal</w:t>
      </w:r>
      <w:r w:rsidR="00C228A1">
        <w:rPr>
          <w:rFonts w:ascii="Times New Roman" w:hAnsi="Times New Roman" w:cs="Times New Roman"/>
          <w:sz w:val="28"/>
          <w:szCs w:val="28"/>
        </w:rPr>
        <w:t xml:space="preserve"> described a bona fide</w:t>
      </w:r>
      <w:r w:rsidR="00ED34A7">
        <w:rPr>
          <w:rFonts w:ascii="Times New Roman" w:hAnsi="Times New Roman" w:cs="Times New Roman"/>
          <w:sz w:val="28"/>
          <w:szCs w:val="28"/>
        </w:rPr>
        <w:t xml:space="preserve"> occupier </w:t>
      </w:r>
      <w:r w:rsidR="00C228A1">
        <w:rPr>
          <w:rFonts w:ascii="Times New Roman" w:hAnsi="Times New Roman" w:cs="Times New Roman"/>
          <w:sz w:val="28"/>
          <w:szCs w:val="28"/>
        </w:rPr>
        <w:t>as “</w:t>
      </w:r>
      <w:r w:rsidR="00DC57B7" w:rsidRPr="00DC57B7">
        <w:rPr>
          <w:rFonts w:ascii="Times New Roman" w:hAnsi="Times New Roman" w:cs="Times New Roman"/>
          <w:i/>
          <w:iCs/>
          <w:sz w:val="28"/>
          <w:szCs w:val="28"/>
        </w:rPr>
        <w:t>a person who occupies land under bona fide, but mistaken belief that he has title to the land.”</w:t>
      </w:r>
      <w:r w:rsidR="00CD03B5">
        <w:rPr>
          <w:rFonts w:ascii="Times New Roman" w:hAnsi="Times New Roman" w:cs="Times New Roman"/>
          <w:sz w:val="28"/>
          <w:szCs w:val="28"/>
        </w:rPr>
        <w:t xml:space="preserve"> </w:t>
      </w:r>
      <w:proofErr w:type="spellStart"/>
      <w:r w:rsidR="00CD03B5" w:rsidRPr="00E47F45">
        <w:rPr>
          <w:rFonts w:ascii="Times New Roman" w:hAnsi="Times New Roman" w:cs="Times New Roman"/>
          <w:i/>
          <w:iCs/>
          <w:sz w:val="28"/>
          <w:szCs w:val="28"/>
        </w:rPr>
        <w:t>Ranchod</w:t>
      </w:r>
      <w:proofErr w:type="spellEnd"/>
      <w:r w:rsidR="00CD03B5">
        <w:rPr>
          <w:rFonts w:ascii="Times New Roman" w:hAnsi="Times New Roman" w:cs="Times New Roman"/>
          <w:sz w:val="28"/>
          <w:szCs w:val="28"/>
        </w:rPr>
        <w:t xml:space="preserve"> J elucidated the distinction between bona fide possessors and bona fide occupiers as follows in </w:t>
      </w:r>
      <w:proofErr w:type="spellStart"/>
      <w:r w:rsidR="00CD03B5" w:rsidRPr="00CD03B5">
        <w:rPr>
          <w:rFonts w:ascii="Times New Roman" w:hAnsi="Times New Roman" w:cs="Times New Roman"/>
          <w:b/>
          <w:bCs/>
          <w:sz w:val="28"/>
          <w:szCs w:val="28"/>
        </w:rPr>
        <w:t>Boshoga</w:t>
      </w:r>
      <w:proofErr w:type="spellEnd"/>
      <w:r w:rsidR="00CD03B5" w:rsidRPr="00CD03B5">
        <w:rPr>
          <w:rFonts w:ascii="Times New Roman" w:hAnsi="Times New Roman" w:cs="Times New Roman"/>
          <w:b/>
          <w:bCs/>
          <w:sz w:val="28"/>
          <w:szCs w:val="28"/>
        </w:rPr>
        <w:t xml:space="preserve"> and </w:t>
      </w:r>
      <w:r w:rsidR="00721B0C">
        <w:rPr>
          <w:rFonts w:ascii="Times New Roman" w:hAnsi="Times New Roman" w:cs="Times New Roman"/>
          <w:b/>
          <w:bCs/>
          <w:sz w:val="28"/>
          <w:szCs w:val="28"/>
        </w:rPr>
        <w:t xml:space="preserve">Another </w:t>
      </w:r>
      <w:r w:rsidR="00CD03B5" w:rsidRPr="00CD03B5">
        <w:rPr>
          <w:rFonts w:ascii="Times New Roman" w:hAnsi="Times New Roman" w:cs="Times New Roman"/>
          <w:b/>
          <w:bCs/>
          <w:sz w:val="28"/>
          <w:szCs w:val="28"/>
        </w:rPr>
        <w:t xml:space="preserve">v. TJ </w:t>
      </w:r>
      <w:proofErr w:type="spellStart"/>
      <w:r w:rsidR="00CD03B5" w:rsidRPr="00CD03B5">
        <w:rPr>
          <w:rFonts w:ascii="Times New Roman" w:hAnsi="Times New Roman" w:cs="Times New Roman"/>
          <w:b/>
          <w:bCs/>
          <w:sz w:val="28"/>
          <w:szCs w:val="28"/>
        </w:rPr>
        <w:t>Mmakolo</w:t>
      </w:r>
      <w:proofErr w:type="spellEnd"/>
      <w:r w:rsidR="00CD03B5">
        <w:rPr>
          <w:rFonts w:ascii="Times New Roman" w:hAnsi="Times New Roman" w:cs="Times New Roman"/>
          <w:sz w:val="28"/>
          <w:szCs w:val="28"/>
        </w:rPr>
        <w:t xml:space="preserve"> </w:t>
      </w:r>
      <w:r w:rsidR="00CD03B5" w:rsidRPr="00721B0C">
        <w:rPr>
          <w:rFonts w:ascii="Times New Roman" w:hAnsi="Times New Roman" w:cs="Times New Roman"/>
          <w:b/>
          <w:bCs/>
          <w:sz w:val="28"/>
          <w:szCs w:val="28"/>
        </w:rPr>
        <w:t xml:space="preserve">and </w:t>
      </w:r>
      <w:r w:rsidR="00721B0C" w:rsidRPr="00721B0C">
        <w:rPr>
          <w:rFonts w:ascii="Times New Roman" w:hAnsi="Times New Roman" w:cs="Times New Roman"/>
          <w:b/>
          <w:bCs/>
          <w:sz w:val="28"/>
          <w:szCs w:val="28"/>
        </w:rPr>
        <w:t>O</w:t>
      </w:r>
      <w:r w:rsidR="00CD03B5" w:rsidRPr="00721B0C">
        <w:rPr>
          <w:rFonts w:ascii="Times New Roman" w:hAnsi="Times New Roman" w:cs="Times New Roman"/>
          <w:b/>
          <w:bCs/>
          <w:sz w:val="28"/>
          <w:szCs w:val="28"/>
        </w:rPr>
        <w:t>thers</w:t>
      </w:r>
      <w:r w:rsidR="00CD03B5">
        <w:rPr>
          <w:rStyle w:val="FootnoteReference"/>
          <w:rFonts w:ascii="Times New Roman" w:hAnsi="Times New Roman" w:cs="Times New Roman"/>
          <w:sz w:val="28"/>
          <w:szCs w:val="28"/>
        </w:rPr>
        <w:footnoteReference w:id="21"/>
      </w:r>
      <w:r w:rsidR="00CD03B5">
        <w:rPr>
          <w:rFonts w:ascii="Times New Roman" w:hAnsi="Times New Roman" w:cs="Times New Roman"/>
          <w:sz w:val="28"/>
          <w:szCs w:val="28"/>
        </w:rPr>
        <w:t>:</w:t>
      </w:r>
    </w:p>
    <w:p w14:paraId="6568F8F9" w14:textId="211DED0D" w:rsidR="00CD03B5" w:rsidRPr="00CD03B5" w:rsidRDefault="00CD03B5" w:rsidP="00967941">
      <w:pPr>
        <w:pStyle w:val="BodyText"/>
        <w:kinsoku w:val="0"/>
        <w:overflowPunct w:val="0"/>
        <w:ind w:left="1440" w:right="850"/>
        <w:jc w:val="both"/>
        <w:rPr>
          <w:rFonts w:ascii="Times New Roman" w:hAnsi="Times New Roman" w:cs="Times New Roman"/>
          <w:sz w:val="24"/>
          <w:szCs w:val="24"/>
        </w:rPr>
      </w:pPr>
      <w:r w:rsidRPr="00CD03B5">
        <w:rPr>
          <w:rFonts w:ascii="Times New Roman" w:hAnsi="Times New Roman" w:cs="Times New Roman"/>
          <w:sz w:val="24"/>
          <w:szCs w:val="24"/>
        </w:rPr>
        <w:t xml:space="preserve">“[32] In Wille's Principles of South African Law reference is made to De Vos </w:t>
      </w:r>
      <w:proofErr w:type="spellStart"/>
      <w:r w:rsidRPr="00CD03B5">
        <w:rPr>
          <w:rFonts w:ascii="Times New Roman" w:hAnsi="Times New Roman" w:cs="Times New Roman"/>
          <w:sz w:val="24"/>
          <w:szCs w:val="24"/>
        </w:rPr>
        <w:t>Verrykingsaanspreeklikheid</w:t>
      </w:r>
      <w:proofErr w:type="spellEnd"/>
      <w:r w:rsidRPr="00CD03B5">
        <w:rPr>
          <w:rFonts w:ascii="Times New Roman" w:hAnsi="Times New Roman" w:cs="Times New Roman"/>
          <w:sz w:val="24"/>
          <w:szCs w:val="24"/>
        </w:rPr>
        <w:t xml:space="preserve"> 245-7 who defines (for the purposes of the law of enrichment) a bona fide possessor as someone who possesses (either directly or indirectly) property of which he believes he is the owner; a mala fide possessor, on the other hand, acts as if he were the owner, while knowing that he is not. An occupier is someone who does not have the animus domini but nevertheless occupies the property because it is in his interest to do so. Occupiers are divided into lawful occupiers (</w:t>
      </w:r>
      <w:proofErr w:type="gramStart"/>
      <w:r w:rsidRPr="00CD03B5">
        <w:rPr>
          <w:rFonts w:ascii="Times New Roman" w:hAnsi="Times New Roman" w:cs="Times New Roman"/>
          <w:sz w:val="24"/>
          <w:szCs w:val="24"/>
        </w:rPr>
        <w:t>i.e.</w:t>
      </w:r>
      <w:proofErr w:type="gramEnd"/>
      <w:r w:rsidRPr="00CD03B5">
        <w:rPr>
          <w:rFonts w:ascii="Times New Roman" w:hAnsi="Times New Roman" w:cs="Times New Roman"/>
          <w:sz w:val="24"/>
          <w:szCs w:val="24"/>
        </w:rPr>
        <w:t xml:space="preserve"> those who have the right to occupy the property), bona fide occupiers (i.e. those who believe themselves to be lawful occupiers, but are not) and mala fide occupiers (i.e. those who occupy property as if they are lawful occupiers, but know that they are not). [33] The learned authors of Wille's Principles of South African Law submit that 'useful improvements' must be taken to mean improvements which increase the market value of the property”.  (</w:t>
      </w:r>
      <w:proofErr w:type="gramStart"/>
      <w:r w:rsidRPr="00CD03B5">
        <w:rPr>
          <w:rFonts w:ascii="Times New Roman" w:hAnsi="Times New Roman" w:cs="Times New Roman"/>
          <w:sz w:val="24"/>
          <w:szCs w:val="24"/>
        </w:rPr>
        <w:t>footnotes</w:t>
      </w:r>
      <w:proofErr w:type="gramEnd"/>
      <w:r w:rsidRPr="00CD03B5">
        <w:rPr>
          <w:rFonts w:ascii="Times New Roman" w:hAnsi="Times New Roman" w:cs="Times New Roman"/>
          <w:sz w:val="24"/>
          <w:szCs w:val="24"/>
        </w:rPr>
        <w:t xml:space="preserve"> omitted)</w:t>
      </w:r>
    </w:p>
    <w:p w14:paraId="73F4AE3E" w14:textId="77777777" w:rsidR="00501079" w:rsidRDefault="00501079" w:rsidP="003F2F8B">
      <w:pPr>
        <w:pStyle w:val="BodyText"/>
        <w:kinsoku w:val="0"/>
        <w:overflowPunct w:val="0"/>
        <w:spacing w:line="480" w:lineRule="auto"/>
        <w:ind w:left="0"/>
        <w:jc w:val="both"/>
        <w:rPr>
          <w:rFonts w:ascii="Times New Roman" w:hAnsi="Times New Roman" w:cs="Times New Roman"/>
          <w:sz w:val="28"/>
          <w:szCs w:val="28"/>
        </w:rPr>
      </w:pPr>
    </w:p>
    <w:p w14:paraId="5DEFBDCE" w14:textId="49023CEB" w:rsidR="00E37787" w:rsidRDefault="00501079"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ED34A7">
        <w:rPr>
          <w:rFonts w:ascii="Times New Roman" w:hAnsi="Times New Roman" w:cs="Times New Roman"/>
          <w:sz w:val="28"/>
          <w:szCs w:val="28"/>
        </w:rPr>
        <w:t>4</w:t>
      </w:r>
      <w:r w:rsidR="00E47F4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27FA3" w:rsidRPr="00E47F45">
        <w:rPr>
          <w:rFonts w:ascii="Times New Roman" w:hAnsi="Times New Roman" w:cs="Times New Roman"/>
          <w:i/>
          <w:iCs/>
          <w:sz w:val="28"/>
          <w:szCs w:val="28"/>
        </w:rPr>
        <w:t>Howie</w:t>
      </w:r>
      <w:r w:rsidR="00927FA3">
        <w:rPr>
          <w:rFonts w:ascii="Times New Roman" w:hAnsi="Times New Roman" w:cs="Times New Roman"/>
          <w:sz w:val="28"/>
          <w:szCs w:val="28"/>
        </w:rPr>
        <w:t xml:space="preserve"> JA said the following in delivering unanimous decision of the </w:t>
      </w:r>
      <w:r w:rsidR="00927FA3">
        <w:rPr>
          <w:rFonts w:ascii="Times New Roman" w:hAnsi="Times New Roman" w:cs="Times New Roman"/>
          <w:sz w:val="28"/>
          <w:szCs w:val="28"/>
        </w:rPr>
        <w:lastRenderedPageBreak/>
        <w:t xml:space="preserve">Court of Appeal in </w:t>
      </w:r>
      <w:r w:rsidR="00927FA3" w:rsidRPr="00927FA3">
        <w:rPr>
          <w:rFonts w:ascii="Times New Roman" w:hAnsi="Times New Roman" w:cs="Times New Roman"/>
          <w:b/>
          <w:bCs/>
          <w:sz w:val="28"/>
          <w:szCs w:val="28"/>
        </w:rPr>
        <w:t>Constituency Committee BNP Mafeteng and Others v. Issa</w:t>
      </w:r>
      <w:r w:rsidR="00927FA3">
        <w:rPr>
          <w:rStyle w:val="FootnoteReference"/>
          <w:rFonts w:ascii="Times New Roman" w:hAnsi="Times New Roman" w:cs="Times New Roman"/>
          <w:sz w:val="28"/>
          <w:szCs w:val="28"/>
        </w:rPr>
        <w:footnoteReference w:id="22"/>
      </w:r>
      <w:r w:rsidR="00927FA3">
        <w:rPr>
          <w:rFonts w:ascii="Times New Roman" w:hAnsi="Times New Roman" w:cs="Times New Roman"/>
          <w:sz w:val="28"/>
          <w:szCs w:val="28"/>
        </w:rPr>
        <w:t xml:space="preserve"> </w:t>
      </w:r>
      <w:r w:rsidR="00E37787">
        <w:rPr>
          <w:rFonts w:ascii="Times New Roman" w:hAnsi="Times New Roman" w:cs="Times New Roman"/>
          <w:sz w:val="28"/>
          <w:szCs w:val="28"/>
        </w:rPr>
        <w:t xml:space="preserve">regarding the bona fide </w:t>
      </w:r>
      <w:r w:rsidR="00E47F45">
        <w:rPr>
          <w:rFonts w:ascii="Times New Roman" w:hAnsi="Times New Roman" w:cs="Times New Roman"/>
          <w:sz w:val="28"/>
          <w:szCs w:val="28"/>
        </w:rPr>
        <w:t>occupier ‘</w:t>
      </w:r>
      <w:r w:rsidR="00E37787">
        <w:rPr>
          <w:rFonts w:ascii="Times New Roman" w:hAnsi="Times New Roman" w:cs="Times New Roman"/>
          <w:sz w:val="28"/>
          <w:szCs w:val="28"/>
        </w:rPr>
        <w:t>s right of retention:</w:t>
      </w:r>
    </w:p>
    <w:p w14:paraId="133AB983" w14:textId="6A842241" w:rsidR="00E37787" w:rsidRDefault="00E37787" w:rsidP="00BB0209">
      <w:pPr>
        <w:pStyle w:val="NormalWeb"/>
        <w:shd w:val="clear" w:color="auto" w:fill="FFFFFF"/>
        <w:spacing w:before="0" w:beforeAutospacing="0" w:after="0" w:afterAutospacing="0"/>
        <w:ind w:left="1440" w:right="850"/>
        <w:jc w:val="both"/>
        <w:textAlignment w:val="baseline"/>
        <w:rPr>
          <w:color w:val="333333"/>
        </w:rPr>
      </w:pPr>
      <w:r w:rsidRPr="00E37787">
        <w:t>“</w:t>
      </w:r>
      <w:r w:rsidRPr="00E37787">
        <w:rPr>
          <w:color w:val="333333"/>
        </w:rPr>
        <w:t>[14]    Finally, and this was the point which received the most prominence in the advancement of the appellants’ case on the papers (and before us), the alleged exchange of sites was invalid for want of Ministerial consent in the light of the provisions of sections 35 and 36 of the Land Act. Because of such invalidity the agreement between Issa and the Constituency Committee could not have been </w:t>
      </w:r>
      <w:r w:rsidRPr="00D65859">
        <w:rPr>
          <w:color w:val="333333"/>
          <w:u w:val="single"/>
          <w:bdr w:val="none" w:sz="0" w:space="0" w:color="auto" w:frame="1"/>
        </w:rPr>
        <w:t>bona fide</w:t>
      </w:r>
      <w:r w:rsidRPr="00E37EC0">
        <w:rPr>
          <w:color w:val="333333"/>
          <w:bdr w:val="none" w:sz="0" w:space="0" w:color="auto" w:frame="1"/>
        </w:rPr>
        <w:t>.</w:t>
      </w:r>
      <w:r w:rsidRPr="00E37787">
        <w:rPr>
          <w:color w:val="333333"/>
        </w:rPr>
        <w:t>  It should be added that it was also the appellants’ argument that the lease of 2008 was invalid, having regard to the terms of section 26 of the Deeds Registry Act, 12 of 1967.</w:t>
      </w:r>
    </w:p>
    <w:p w14:paraId="6AF3AFFF" w14:textId="77777777" w:rsidR="000720D9" w:rsidRPr="00E37787" w:rsidRDefault="000720D9" w:rsidP="00BB0209">
      <w:pPr>
        <w:pStyle w:val="NormalWeb"/>
        <w:shd w:val="clear" w:color="auto" w:fill="FFFFFF"/>
        <w:spacing w:before="0" w:beforeAutospacing="0" w:after="0" w:afterAutospacing="0"/>
        <w:ind w:left="1440" w:right="850"/>
        <w:jc w:val="both"/>
        <w:textAlignment w:val="baseline"/>
        <w:rPr>
          <w:color w:val="333333"/>
        </w:rPr>
      </w:pPr>
    </w:p>
    <w:p w14:paraId="4EEB9993" w14:textId="77777777" w:rsidR="00E37787" w:rsidRPr="00E37787" w:rsidRDefault="00E37787" w:rsidP="00BB0209">
      <w:pPr>
        <w:pStyle w:val="NormalWeb"/>
        <w:shd w:val="clear" w:color="auto" w:fill="FFFFFF"/>
        <w:spacing w:before="0" w:beforeAutospacing="0" w:after="225" w:afterAutospacing="0"/>
        <w:ind w:left="1440" w:right="850"/>
        <w:jc w:val="both"/>
        <w:textAlignment w:val="baseline"/>
        <w:rPr>
          <w:color w:val="333333"/>
        </w:rPr>
      </w:pPr>
      <w:r w:rsidRPr="00E37787">
        <w:rPr>
          <w:color w:val="333333"/>
        </w:rPr>
        <w:t xml:space="preserve">[15]    For the purposes of the relief sought in the court below the facts central to Issa’s case were that he had </w:t>
      </w:r>
      <w:proofErr w:type="gramStart"/>
      <w:r w:rsidRPr="00E37787">
        <w:rPr>
          <w:color w:val="333333"/>
        </w:rPr>
        <w:t>effected</w:t>
      </w:r>
      <w:proofErr w:type="gramEnd"/>
      <w:r w:rsidRPr="00E37787">
        <w:rPr>
          <w:color w:val="333333"/>
        </w:rPr>
        <w:t xml:space="preserve"> improvements to the property; that the improvements would benefit BNP when it became registered lessee; this rendered BNP liable to compensate him; and that he was, at all relevant times preceding the litigation, in possession of the property. (He did not seek to rely on the alleged exchange.)</w:t>
      </w:r>
    </w:p>
    <w:p w14:paraId="3F6F8514" w14:textId="04D1AC35" w:rsidR="00E37787" w:rsidRDefault="00E37787" w:rsidP="00BB0209">
      <w:pPr>
        <w:pStyle w:val="NormalWeb"/>
        <w:shd w:val="clear" w:color="auto" w:fill="FFFFFF"/>
        <w:spacing w:before="0" w:beforeAutospacing="0" w:after="0" w:afterAutospacing="0"/>
        <w:ind w:left="1440" w:right="850"/>
        <w:jc w:val="both"/>
        <w:textAlignment w:val="baseline"/>
        <w:rPr>
          <w:color w:val="333333"/>
        </w:rPr>
      </w:pPr>
      <w:r w:rsidRPr="00E37787">
        <w:rPr>
          <w:color w:val="333333"/>
        </w:rPr>
        <w:t>[16]    The remaining question is whether Issa effected the improvements as </w:t>
      </w:r>
      <w:r w:rsidRPr="00E37787">
        <w:rPr>
          <w:color w:val="333333"/>
          <w:u w:val="single"/>
          <w:bdr w:val="none" w:sz="0" w:space="0" w:color="auto" w:frame="1"/>
        </w:rPr>
        <w:t>bona fide</w:t>
      </w:r>
      <w:r w:rsidRPr="00E37787">
        <w:rPr>
          <w:color w:val="333333"/>
        </w:rPr>
        <w:t> possessor or occupier.  He was at least the latter and in either event entitled to compensation for the improvements and a lien to enforce his claim: </w:t>
      </w:r>
      <w:r w:rsidRPr="00E37787">
        <w:rPr>
          <w:color w:val="333333"/>
          <w:u w:val="single"/>
          <w:bdr w:val="none" w:sz="0" w:space="0" w:color="auto" w:frame="1"/>
        </w:rPr>
        <w:t>Rubin v Botha </w:t>
      </w:r>
      <w:r w:rsidRPr="00E37787">
        <w:rPr>
          <w:color w:val="333333"/>
        </w:rPr>
        <w:t>1911 AD 568; </w:t>
      </w:r>
      <w:r w:rsidRPr="00E37787">
        <w:rPr>
          <w:color w:val="333333"/>
          <w:u w:val="single"/>
          <w:bdr w:val="none" w:sz="0" w:space="0" w:color="auto" w:frame="1"/>
        </w:rPr>
        <w:t>Fletcher and Fletcher v Bulawayo Waterworks Co Ltd</w:t>
      </w:r>
      <w:r w:rsidRPr="00E37787">
        <w:rPr>
          <w:color w:val="333333"/>
        </w:rPr>
        <w:t> 1915 AD 636; </w:t>
      </w:r>
      <w:proofErr w:type="spellStart"/>
      <w:r w:rsidRPr="00E37787">
        <w:rPr>
          <w:color w:val="333333"/>
          <w:u w:val="single"/>
          <w:bdr w:val="none" w:sz="0" w:space="0" w:color="auto" w:frame="1"/>
        </w:rPr>
        <w:t>Kommissaris</w:t>
      </w:r>
      <w:proofErr w:type="spellEnd"/>
      <w:r w:rsidRPr="00E37787">
        <w:rPr>
          <w:color w:val="333333"/>
          <w:u w:val="single"/>
          <w:bdr w:val="none" w:sz="0" w:space="0" w:color="auto" w:frame="1"/>
        </w:rPr>
        <w:t xml:space="preserve"> Van </w:t>
      </w:r>
      <w:proofErr w:type="spellStart"/>
      <w:r w:rsidRPr="00E37787">
        <w:rPr>
          <w:color w:val="333333"/>
          <w:u w:val="single"/>
          <w:bdr w:val="none" w:sz="0" w:space="0" w:color="auto" w:frame="1"/>
        </w:rPr>
        <w:t>Binnelandse</w:t>
      </w:r>
      <w:proofErr w:type="spellEnd"/>
      <w:r w:rsidRPr="00E37787">
        <w:rPr>
          <w:color w:val="333333"/>
          <w:u w:val="single"/>
          <w:bdr w:val="none" w:sz="0" w:space="0" w:color="auto" w:frame="1"/>
        </w:rPr>
        <w:t xml:space="preserve"> </w:t>
      </w:r>
      <w:proofErr w:type="spellStart"/>
      <w:r w:rsidRPr="00E37787">
        <w:rPr>
          <w:color w:val="333333"/>
          <w:u w:val="single"/>
          <w:bdr w:val="none" w:sz="0" w:space="0" w:color="auto" w:frame="1"/>
        </w:rPr>
        <w:t>Inkomste</w:t>
      </w:r>
      <w:proofErr w:type="spellEnd"/>
      <w:r w:rsidRPr="00E37787">
        <w:rPr>
          <w:color w:val="333333"/>
          <w:u w:val="single"/>
          <w:bdr w:val="none" w:sz="0" w:space="0" w:color="auto" w:frame="1"/>
        </w:rPr>
        <w:t xml:space="preserve"> v Anglo American (O.F.S) Housing Co Ltd</w:t>
      </w:r>
      <w:r w:rsidRPr="00E37787">
        <w:rPr>
          <w:color w:val="333333"/>
        </w:rPr>
        <w:t> 1960 (3) SA 642 (A) at 649B-E.</w:t>
      </w:r>
      <w:r w:rsidR="001F4A23">
        <w:rPr>
          <w:color w:val="333333"/>
        </w:rPr>
        <w:t>”</w:t>
      </w:r>
    </w:p>
    <w:p w14:paraId="436EA187" w14:textId="06378EF7" w:rsidR="00E37787" w:rsidRDefault="00E37787" w:rsidP="00E37787">
      <w:pPr>
        <w:pStyle w:val="NormalWeb"/>
        <w:shd w:val="clear" w:color="auto" w:fill="FFFFFF"/>
        <w:spacing w:before="0" w:beforeAutospacing="0" w:after="0" w:afterAutospacing="0"/>
        <w:jc w:val="both"/>
        <w:textAlignment w:val="baseline"/>
        <w:rPr>
          <w:color w:val="333333"/>
        </w:rPr>
      </w:pPr>
    </w:p>
    <w:p w14:paraId="1C7441D2" w14:textId="330DCF96" w:rsidR="00E37787" w:rsidRDefault="00E37787" w:rsidP="00E37787">
      <w:pPr>
        <w:pStyle w:val="NormalWeb"/>
        <w:shd w:val="clear" w:color="auto" w:fill="FFFFFF"/>
        <w:spacing w:before="0" w:beforeAutospacing="0" w:after="0" w:afterAutospacing="0"/>
        <w:jc w:val="both"/>
        <w:textAlignment w:val="baseline"/>
        <w:rPr>
          <w:color w:val="333333"/>
        </w:rPr>
      </w:pPr>
    </w:p>
    <w:p w14:paraId="056EB8EA" w14:textId="5CCA7F05" w:rsidR="00CB4BD0" w:rsidRDefault="00E37787" w:rsidP="00E37787">
      <w:pPr>
        <w:pStyle w:val="NormalWeb"/>
        <w:shd w:val="clear" w:color="auto" w:fill="FFFFFF"/>
        <w:spacing w:before="0" w:beforeAutospacing="0" w:after="0" w:afterAutospacing="0" w:line="480" w:lineRule="auto"/>
        <w:jc w:val="both"/>
        <w:textAlignment w:val="baseline"/>
        <w:rPr>
          <w:color w:val="333333"/>
          <w:sz w:val="28"/>
          <w:szCs w:val="28"/>
        </w:rPr>
      </w:pPr>
      <w:r>
        <w:rPr>
          <w:color w:val="333333"/>
          <w:sz w:val="28"/>
          <w:szCs w:val="28"/>
        </w:rPr>
        <w:t>[</w:t>
      </w:r>
      <w:r w:rsidR="00ED34A7">
        <w:rPr>
          <w:color w:val="333333"/>
          <w:sz w:val="28"/>
          <w:szCs w:val="28"/>
        </w:rPr>
        <w:t>4</w:t>
      </w:r>
      <w:r w:rsidR="00E47F45">
        <w:rPr>
          <w:color w:val="333333"/>
          <w:sz w:val="28"/>
          <w:szCs w:val="28"/>
        </w:rPr>
        <w:t>5</w:t>
      </w:r>
      <w:r>
        <w:rPr>
          <w:color w:val="333333"/>
          <w:sz w:val="28"/>
          <w:szCs w:val="28"/>
        </w:rPr>
        <w:t>]</w:t>
      </w:r>
      <w:r>
        <w:rPr>
          <w:color w:val="333333"/>
          <w:sz w:val="28"/>
          <w:szCs w:val="28"/>
        </w:rPr>
        <w:tab/>
      </w:r>
      <w:r>
        <w:rPr>
          <w:color w:val="333333"/>
          <w:sz w:val="28"/>
          <w:szCs w:val="28"/>
        </w:rPr>
        <w:tab/>
      </w:r>
      <w:r w:rsidR="00CB4BD0">
        <w:rPr>
          <w:color w:val="333333"/>
          <w:sz w:val="28"/>
          <w:szCs w:val="28"/>
        </w:rPr>
        <w:t xml:space="preserve">The </w:t>
      </w:r>
      <w:r>
        <w:rPr>
          <w:color w:val="333333"/>
          <w:sz w:val="28"/>
          <w:szCs w:val="28"/>
        </w:rPr>
        <w:t xml:space="preserve">bona fide occupier in the </w:t>
      </w:r>
      <w:r w:rsidRPr="00E37787">
        <w:rPr>
          <w:b/>
          <w:bCs/>
          <w:color w:val="333333"/>
          <w:sz w:val="28"/>
          <w:szCs w:val="28"/>
        </w:rPr>
        <w:t>B</w:t>
      </w:r>
      <w:r w:rsidR="00F31763">
        <w:rPr>
          <w:b/>
          <w:bCs/>
          <w:color w:val="333333"/>
          <w:sz w:val="28"/>
          <w:szCs w:val="28"/>
        </w:rPr>
        <w:t>NP Mafeteng</w:t>
      </w:r>
      <w:r>
        <w:rPr>
          <w:b/>
          <w:bCs/>
          <w:color w:val="333333"/>
          <w:sz w:val="28"/>
          <w:szCs w:val="28"/>
        </w:rPr>
        <w:t xml:space="preserve"> </w:t>
      </w:r>
      <w:r>
        <w:rPr>
          <w:color w:val="333333"/>
          <w:sz w:val="28"/>
          <w:szCs w:val="28"/>
        </w:rPr>
        <w:t xml:space="preserve">case, </w:t>
      </w:r>
      <w:r w:rsidRPr="00E37787">
        <w:rPr>
          <w:i/>
          <w:iCs/>
          <w:color w:val="333333"/>
          <w:sz w:val="28"/>
          <w:szCs w:val="28"/>
        </w:rPr>
        <w:t>supra,</w:t>
      </w:r>
      <w:r>
        <w:rPr>
          <w:color w:val="333333"/>
          <w:sz w:val="28"/>
          <w:szCs w:val="28"/>
        </w:rPr>
        <w:t xml:space="preserve"> had occupied and developed land purely based on impugned agreement to exchange sites</w:t>
      </w:r>
      <w:r w:rsidR="00CB4BD0">
        <w:rPr>
          <w:color w:val="333333"/>
          <w:sz w:val="28"/>
          <w:szCs w:val="28"/>
        </w:rPr>
        <w:t>. Th</w:t>
      </w:r>
      <w:r w:rsidR="000D026D">
        <w:rPr>
          <w:color w:val="333333"/>
          <w:sz w:val="28"/>
          <w:szCs w:val="28"/>
        </w:rPr>
        <w:t xml:space="preserve">e developments were </w:t>
      </w:r>
      <w:proofErr w:type="gramStart"/>
      <w:r w:rsidR="000D026D">
        <w:rPr>
          <w:color w:val="333333"/>
          <w:sz w:val="28"/>
          <w:szCs w:val="28"/>
        </w:rPr>
        <w:t>effected</w:t>
      </w:r>
      <w:proofErr w:type="gramEnd"/>
      <w:r>
        <w:rPr>
          <w:color w:val="333333"/>
          <w:sz w:val="28"/>
          <w:szCs w:val="28"/>
        </w:rPr>
        <w:t xml:space="preserve"> before statutory consent was obtained from a proper authority. Nonetheless, the court recognised </w:t>
      </w:r>
      <w:r w:rsidR="000D026D">
        <w:rPr>
          <w:color w:val="333333"/>
          <w:sz w:val="28"/>
          <w:szCs w:val="28"/>
        </w:rPr>
        <w:t xml:space="preserve">bona fide occupier’s </w:t>
      </w:r>
      <w:r>
        <w:rPr>
          <w:color w:val="333333"/>
          <w:sz w:val="28"/>
          <w:szCs w:val="28"/>
        </w:rPr>
        <w:t xml:space="preserve">right of retention until he was compensated for the improvements effected. </w:t>
      </w:r>
    </w:p>
    <w:p w14:paraId="5A52A9FF" w14:textId="77777777" w:rsidR="00CB4BD0" w:rsidRDefault="00CB4BD0" w:rsidP="00E37787">
      <w:pPr>
        <w:pStyle w:val="NormalWeb"/>
        <w:shd w:val="clear" w:color="auto" w:fill="FFFFFF"/>
        <w:spacing w:before="0" w:beforeAutospacing="0" w:after="0" w:afterAutospacing="0" w:line="480" w:lineRule="auto"/>
        <w:jc w:val="both"/>
        <w:textAlignment w:val="baseline"/>
        <w:rPr>
          <w:color w:val="333333"/>
          <w:sz w:val="28"/>
          <w:szCs w:val="28"/>
        </w:rPr>
      </w:pPr>
    </w:p>
    <w:p w14:paraId="33E16D1B" w14:textId="0956A545" w:rsidR="00E37787" w:rsidRPr="00E37787" w:rsidRDefault="00CB4BD0" w:rsidP="00E37787">
      <w:pPr>
        <w:pStyle w:val="NormalWeb"/>
        <w:shd w:val="clear" w:color="auto" w:fill="FFFFFF"/>
        <w:spacing w:before="0" w:beforeAutospacing="0" w:after="0" w:afterAutospacing="0" w:line="480" w:lineRule="auto"/>
        <w:jc w:val="both"/>
        <w:textAlignment w:val="baseline"/>
        <w:rPr>
          <w:color w:val="333333"/>
          <w:sz w:val="28"/>
          <w:szCs w:val="28"/>
        </w:rPr>
      </w:pPr>
      <w:r>
        <w:rPr>
          <w:color w:val="333333"/>
          <w:sz w:val="28"/>
          <w:szCs w:val="28"/>
        </w:rPr>
        <w:lastRenderedPageBreak/>
        <w:t>[</w:t>
      </w:r>
      <w:r w:rsidR="00ED34A7">
        <w:rPr>
          <w:color w:val="333333"/>
          <w:sz w:val="28"/>
          <w:szCs w:val="28"/>
        </w:rPr>
        <w:t>4</w:t>
      </w:r>
      <w:r w:rsidR="00864335">
        <w:rPr>
          <w:color w:val="333333"/>
          <w:sz w:val="28"/>
          <w:szCs w:val="28"/>
        </w:rPr>
        <w:t>6</w:t>
      </w:r>
      <w:r>
        <w:rPr>
          <w:color w:val="333333"/>
          <w:sz w:val="28"/>
          <w:szCs w:val="28"/>
        </w:rPr>
        <w:t>]</w:t>
      </w:r>
      <w:r>
        <w:rPr>
          <w:color w:val="333333"/>
          <w:sz w:val="28"/>
          <w:szCs w:val="28"/>
        </w:rPr>
        <w:tab/>
      </w:r>
      <w:r>
        <w:rPr>
          <w:color w:val="333333"/>
          <w:sz w:val="28"/>
          <w:szCs w:val="28"/>
        </w:rPr>
        <w:tab/>
      </w:r>
      <w:r w:rsidR="00F31763">
        <w:rPr>
          <w:color w:val="333333"/>
          <w:sz w:val="28"/>
          <w:szCs w:val="28"/>
        </w:rPr>
        <w:t xml:space="preserve">In </w:t>
      </w:r>
      <w:proofErr w:type="spellStart"/>
      <w:r w:rsidR="005872AA" w:rsidRPr="005872AA">
        <w:rPr>
          <w:b/>
          <w:bCs/>
          <w:color w:val="333333"/>
          <w:sz w:val="28"/>
          <w:szCs w:val="28"/>
        </w:rPr>
        <w:t>Makotoko</w:t>
      </w:r>
      <w:proofErr w:type="spellEnd"/>
      <w:r w:rsidR="005872AA" w:rsidRPr="005872AA">
        <w:rPr>
          <w:b/>
          <w:bCs/>
          <w:color w:val="333333"/>
          <w:sz w:val="28"/>
          <w:szCs w:val="28"/>
        </w:rPr>
        <w:t xml:space="preserve"> and Another v Lesotho Development and Construction (Pty) Ltd</w:t>
      </w:r>
      <w:r w:rsidR="005872AA">
        <w:rPr>
          <w:rStyle w:val="FootnoteReference"/>
          <w:color w:val="333333"/>
          <w:sz w:val="28"/>
          <w:szCs w:val="28"/>
        </w:rPr>
        <w:footnoteReference w:id="23"/>
      </w:r>
      <w:r w:rsidR="005872AA">
        <w:rPr>
          <w:b/>
          <w:bCs/>
          <w:color w:val="333333"/>
          <w:sz w:val="28"/>
          <w:szCs w:val="28"/>
        </w:rPr>
        <w:t xml:space="preserve"> </w:t>
      </w:r>
      <w:proofErr w:type="spellStart"/>
      <w:r w:rsidR="005872AA" w:rsidRPr="00864335">
        <w:rPr>
          <w:i/>
          <w:iCs/>
          <w:color w:val="333333"/>
          <w:sz w:val="28"/>
          <w:szCs w:val="28"/>
        </w:rPr>
        <w:t>Farlam</w:t>
      </w:r>
      <w:proofErr w:type="spellEnd"/>
      <w:r w:rsidR="005872AA" w:rsidRPr="005872AA">
        <w:rPr>
          <w:color w:val="333333"/>
          <w:sz w:val="28"/>
          <w:szCs w:val="28"/>
        </w:rPr>
        <w:t xml:space="preserve"> JA</w:t>
      </w:r>
      <w:r w:rsidR="005872AA">
        <w:rPr>
          <w:color w:val="333333"/>
          <w:sz w:val="28"/>
          <w:szCs w:val="28"/>
        </w:rPr>
        <w:t xml:space="preserve"> in delivering unanimous decision of the Court of Appeal found that the court </w:t>
      </w:r>
      <w:r w:rsidR="005872AA" w:rsidRPr="005872AA">
        <w:rPr>
          <w:i/>
          <w:iCs/>
          <w:color w:val="333333"/>
          <w:sz w:val="28"/>
          <w:szCs w:val="28"/>
        </w:rPr>
        <w:t>a</w:t>
      </w:r>
      <w:r w:rsidR="00864335">
        <w:rPr>
          <w:i/>
          <w:iCs/>
          <w:color w:val="333333"/>
          <w:sz w:val="28"/>
          <w:szCs w:val="28"/>
        </w:rPr>
        <w:t xml:space="preserve"> </w:t>
      </w:r>
      <w:r w:rsidR="005872AA" w:rsidRPr="005872AA">
        <w:rPr>
          <w:i/>
          <w:iCs/>
          <w:color w:val="333333"/>
          <w:sz w:val="28"/>
          <w:szCs w:val="28"/>
        </w:rPr>
        <w:t>qu</w:t>
      </w:r>
      <w:r w:rsidR="00B2396D">
        <w:rPr>
          <w:i/>
          <w:iCs/>
          <w:color w:val="333333"/>
          <w:sz w:val="28"/>
          <w:szCs w:val="28"/>
        </w:rPr>
        <w:t>o</w:t>
      </w:r>
      <w:r w:rsidR="005872AA">
        <w:rPr>
          <w:color w:val="333333"/>
          <w:sz w:val="28"/>
          <w:szCs w:val="28"/>
        </w:rPr>
        <w:t xml:space="preserve"> correctly applied the </w:t>
      </w:r>
      <w:r w:rsidR="005872AA" w:rsidRPr="00667128">
        <w:rPr>
          <w:i/>
          <w:iCs/>
          <w:color w:val="333333"/>
          <w:sz w:val="28"/>
          <w:szCs w:val="28"/>
        </w:rPr>
        <w:t>ratio</w:t>
      </w:r>
      <w:r w:rsidR="005872AA">
        <w:rPr>
          <w:color w:val="333333"/>
          <w:sz w:val="28"/>
          <w:szCs w:val="28"/>
        </w:rPr>
        <w:t xml:space="preserve"> in </w:t>
      </w:r>
      <w:r w:rsidR="005872AA" w:rsidRPr="00CB4BD0">
        <w:rPr>
          <w:b/>
          <w:bCs/>
          <w:color w:val="333333"/>
          <w:sz w:val="28"/>
          <w:szCs w:val="28"/>
        </w:rPr>
        <w:t>BNP Mafeteng</w:t>
      </w:r>
      <w:r w:rsidR="005872AA">
        <w:rPr>
          <w:color w:val="333333"/>
          <w:sz w:val="28"/>
          <w:szCs w:val="28"/>
        </w:rPr>
        <w:t xml:space="preserve"> case. Thus</w:t>
      </w:r>
      <w:r>
        <w:rPr>
          <w:color w:val="333333"/>
          <w:sz w:val="28"/>
          <w:szCs w:val="28"/>
        </w:rPr>
        <w:t>,</w:t>
      </w:r>
      <w:r w:rsidR="005872AA">
        <w:rPr>
          <w:color w:val="333333"/>
          <w:sz w:val="28"/>
          <w:szCs w:val="28"/>
        </w:rPr>
        <w:t xml:space="preserve"> the </w:t>
      </w:r>
      <w:r>
        <w:rPr>
          <w:color w:val="333333"/>
          <w:sz w:val="28"/>
          <w:szCs w:val="28"/>
        </w:rPr>
        <w:t>C</w:t>
      </w:r>
      <w:r w:rsidR="005872AA">
        <w:rPr>
          <w:color w:val="333333"/>
          <w:sz w:val="28"/>
          <w:szCs w:val="28"/>
        </w:rPr>
        <w:t>ourt</w:t>
      </w:r>
      <w:r>
        <w:rPr>
          <w:color w:val="333333"/>
          <w:sz w:val="28"/>
          <w:szCs w:val="28"/>
        </w:rPr>
        <w:t xml:space="preserve"> of Appeal</w:t>
      </w:r>
      <w:r w:rsidR="005872AA">
        <w:rPr>
          <w:color w:val="333333"/>
          <w:sz w:val="28"/>
          <w:szCs w:val="28"/>
        </w:rPr>
        <w:t xml:space="preserve"> recognised bona fide occupier ‘s right of retention </w:t>
      </w:r>
      <w:r>
        <w:rPr>
          <w:color w:val="333333"/>
          <w:sz w:val="28"/>
          <w:szCs w:val="28"/>
        </w:rPr>
        <w:t>even though</w:t>
      </w:r>
      <w:r w:rsidR="005872AA">
        <w:rPr>
          <w:color w:val="333333"/>
          <w:sz w:val="28"/>
          <w:szCs w:val="28"/>
        </w:rPr>
        <w:t xml:space="preserve"> occupation and developments were </w:t>
      </w:r>
      <w:proofErr w:type="gramStart"/>
      <w:r w:rsidR="005872AA">
        <w:rPr>
          <w:color w:val="333333"/>
          <w:sz w:val="28"/>
          <w:szCs w:val="28"/>
        </w:rPr>
        <w:t>effected</w:t>
      </w:r>
      <w:proofErr w:type="gramEnd"/>
      <w:r w:rsidR="005872AA">
        <w:rPr>
          <w:color w:val="333333"/>
          <w:sz w:val="28"/>
          <w:szCs w:val="28"/>
        </w:rPr>
        <w:t xml:space="preserve"> </w:t>
      </w:r>
      <w:r w:rsidR="00864335">
        <w:rPr>
          <w:color w:val="333333"/>
          <w:sz w:val="28"/>
          <w:szCs w:val="28"/>
        </w:rPr>
        <w:t xml:space="preserve">on the strength of </w:t>
      </w:r>
      <w:r w:rsidR="005872AA">
        <w:rPr>
          <w:color w:val="333333"/>
          <w:sz w:val="28"/>
          <w:szCs w:val="28"/>
        </w:rPr>
        <w:t xml:space="preserve">an unregistered sublease agreement. </w:t>
      </w:r>
    </w:p>
    <w:p w14:paraId="39D7FEA0" w14:textId="4D111E6F" w:rsidR="00E37787" w:rsidRDefault="00E37787" w:rsidP="00E37787">
      <w:pPr>
        <w:pStyle w:val="BodyText"/>
        <w:kinsoku w:val="0"/>
        <w:overflowPunct w:val="0"/>
        <w:spacing w:line="480" w:lineRule="auto"/>
        <w:ind w:left="0"/>
        <w:jc w:val="both"/>
        <w:rPr>
          <w:rFonts w:ascii="Times New Roman" w:hAnsi="Times New Roman" w:cs="Times New Roman"/>
          <w:sz w:val="28"/>
          <w:szCs w:val="28"/>
        </w:rPr>
      </w:pPr>
    </w:p>
    <w:p w14:paraId="62ABD5DA" w14:textId="17469645" w:rsidR="00891133" w:rsidRDefault="00667128" w:rsidP="003F2F8B">
      <w:pPr>
        <w:pStyle w:val="BodyText"/>
        <w:kinsoku w:val="0"/>
        <w:overflowPunct w:val="0"/>
        <w:spacing w:line="480" w:lineRule="auto"/>
        <w:ind w:left="0"/>
        <w:jc w:val="both"/>
        <w:rPr>
          <w:rFonts w:ascii="Times New Roman" w:hAnsi="Times New Roman" w:cs="Times New Roman"/>
          <w:b/>
          <w:bCs/>
          <w:sz w:val="28"/>
          <w:szCs w:val="28"/>
        </w:rPr>
      </w:pPr>
      <w:r>
        <w:rPr>
          <w:rFonts w:ascii="Times New Roman" w:hAnsi="Times New Roman" w:cs="Times New Roman"/>
          <w:sz w:val="28"/>
          <w:szCs w:val="28"/>
        </w:rPr>
        <w:t>[</w:t>
      </w:r>
      <w:r w:rsidR="00B2396D">
        <w:rPr>
          <w:rFonts w:ascii="Times New Roman" w:hAnsi="Times New Roman" w:cs="Times New Roman"/>
          <w:sz w:val="28"/>
          <w:szCs w:val="28"/>
        </w:rPr>
        <w:t>4</w:t>
      </w:r>
      <w:r w:rsidR="00864335">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It bears emphasising that the </w:t>
      </w:r>
      <w:r w:rsidR="00130D76">
        <w:rPr>
          <w:rFonts w:ascii="Times New Roman" w:hAnsi="Times New Roman" w:cs="Times New Roman"/>
          <w:sz w:val="28"/>
          <w:szCs w:val="28"/>
        </w:rPr>
        <w:t>right</w:t>
      </w:r>
      <w:r>
        <w:rPr>
          <w:rFonts w:ascii="Times New Roman" w:hAnsi="Times New Roman" w:cs="Times New Roman"/>
          <w:sz w:val="28"/>
          <w:szCs w:val="28"/>
        </w:rPr>
        <w:t xml:space="preserve"> of retention </w:t>
      </w:r>
      <w:r w:rsidR="00130D76">
        <w:rPr>
          <w:rFonts w:ascii="Times New Roman" w:hAnsi="Times New Roman" w:cs="Times New Roman"/>
          <w:sz w:val="28"/>
          <w:szCs w:val="28"/>
        </w:rPr>
        <w:t>does not exist in isolation, it serves as a reinforcement of an underlying claim</w:t>
      </w:r>
      <w:r w:rsidR="00130D76">
        <w:rPr>
          <w:rStyle w:val="FootnoteReference"/>
          <w:rFonts w:ascii="Times New Roman" w:hAnsi="Times New Roman" w:cs="Times New Roman"/>
          <w:sz w:val="28"/>
          <w:szCs w:val="28"/>
        </w:rPr>
        <w:footnoteReference w:id="24"/>
      </w:r>
      <w:r w:rsidR="00130D76">
        <w:rPr>
          <w:rFonts w:ascii="Times New Roman" w:hAnsi="Times New Roman" w:cs="Times New Roman"/>
          <w:sz w:val="28"/>
          <w:szCs w:val="28"/>
        </w:rPr>
        <w:t xml:space="preserve">. </w:t>
      </w:r>
      <w:r>
        <w:rPr>
          <w:rFonts w:ascii="Times New Roman" w:hAnsi="Times New Roman" w:cs="Times New Roman"/>
          <w:sz w:val="28"/>
          <w:szCs w:val="28"/>
        </w:rPr>
        <w:t xml:space="preserve">Lienholder is entitled to retain possession of property as security and is not even entitled to use the </w:t>
      </w:r>
      <w:r w:rsidR="00B2396D">
        <w:rPr>
          <w:rFonts w:ascii="Times New Roman" w:hAnsi="Times New Roman" w:cs="Times New Roman"/>
          <w:sz w:val="28"/>
          <w:szCs w:val="28"/>
        </w:rPr>
        <w:t>subject of lien</w:t>
      </w:r>
      <w:r w:rsidR="00694CAD">
        <w:rPr>
          <w:rStyle w:val="FootnoteReference"/>
          <w:rFonts w:ascii="Times New Roman" w:hAnsi="Times New Roman" w:cs="Times New Roman"/>
          <w:sz w:val="28"/>
          <w:szCs w:val="28"/>
        </w:rPr>
        <w:footnoteReference w:id="25"/>
      </w:r>
      <w:r>
        <w:rPr>
          <w:rFonts w:ascii="Times New Roman" w:hAnsi="Times New Roman" w:cs="Times New Roman"/>
          <w:sz w:val="28"/>
          <w:szCs w:val="28"/>
        </w:rPr>
        <w:t xml:space="preserve">. </w:t>
      </w:r>
      <w:r w:rsidR="00891133" w:rsidRPr="00864335">
        <w:rPr>
          <w:rFonts w:ascii="Times New Roman" w:hAnsi="Times New Roman" w:cs="Times New Roman"/>
          <w:i/>
          <w:iCs/>
          <w:sz w:val="28"/>
          <w:szCs w:val="28"/>
        </w:rPr>
        <w:t>Van Reenen</w:t>
      </w:r>
      <w:r w:rsidR="00891133">
        <w:rPr>
          <w:rFonts w:ascii="Times New Roman" w:hAnsi="Times New Roman" w:cs="Times New Roman"/>
          <w:sz w:val="28"/>
          <w:szCs w:val="28"/>
        </w:rPr>
        <w:t xml:space="preserve"> J articulated this point as follows </w:t>
      </w:r>
      <w:r w:rsidR="000D026D">
        <w:rPr>
          <w:rFonts w:ascii="Times New Roman" w:hAnsi="Times New Roman" w:cs="Times New Roman"/>
          <w:sz w:val="28"/>
          <w:szCs w:val="28"/>
        </w:rPr>
        <w:t xml:space="preserve">in </w:t>
      </w:r>
      <w:proofErr w:type="spellStart"/>
      <w:r w:rsidR="00891133" w:rsidRPr="00891133">
        <w:rPr>
          <w:rFonts w:ascii="Times New Roman" w:hAnsi="Times New Roman" w:cs="Times New Roman"/>
          <w:b/>
          <w:bCs/>
          <w:sz w:val="28"/>
          <w:szCs w:val="28"/>
        </w:rPr>
        <w:t>Rekdurum</w:t>
      </w:r>
      <w:proofErr w:type="spellEnd"/>
      <w:r w:rsidR="00891133" w:rsidRPr="00891133">
        <w:rPr>
          <w:rFonts w:ascii="Times New Roman" w:hAnsi="Times New Roman" w:cs="Times New Roman"/>
          <w:b/>
          <w:bCs/>
          <w:sz w:val="28"/>
          <w:szCs w:val="28"/>
        </w:rPr>
        <w:t xml:space="preserve"> (Pty) Ltd</w:t>
      </w:r>
      <w:r w:rsidR="00BC0CC2">
        <w:rPr>
          <w:rFonts w:ascii="Times New Roman" w:hAnsi="Times New Roman" w:cs="Times New Roman"/>
          <w:b/>
          <w:bCs/>
          <w:sz w:val="28"/>
          <w:szCs w:val="28"/>
        </w:rPr>
        <w:t xml:space="preserve"> </w:t>
      </w:r>
      <w:r w:rsidR="00891133">
        <w:rPr>
          <w:rStyle w:val="FootnoteReference"/>
          <w:rFonts w:ascii="Times New Roman" w:hAnsi="Times New Roman" w:cs="Times New Roman"/>
          <w:sz w:val="28"/>
          <w:szCs w:val="28"/>
        </w:rPr>
        <w:footnoteReference w:id="26"/>
      </w:r>
      <w:r w:rsidR="00891BB0" w:rsidRPr="00D54234">
        <w:rPr>
          <w:rFonts w:ascii="Times New Roman" w:hAnsi="Times New Roman" w:cs="Times New Roman"/>
          <w:sz w:val="28"/>
          <w:szCs w:val="28"/>
        </w:rPr>
        <w:t>,</w:t>
      </w:r>
      <w:r w:rsidR="00891BB0">
        <w:rPr>
          <w:rFonts w:ascii="Times New Roman" w:hAnsi="Times New Roman" w:cs="Times New Roman"/>
          <w:b/>
          <w:bCs/>
          <w:sz w:val="28"/>
          <w:szCs w:val="28"/>
        </w:rPr>
        <w:t xml:space="preserve"> </w:t>
      </w:r>
      <w:r w:rsidR="00891BB0" w:rsidRPr="00D54234">
        <w:rPr>
          <w:rFonts w:ascii="Times New Roman" w:hAnsi="Times New Roman" w:cs="Times New Roman"/>
          <w:i/>
          <w:iCs/>
          <w:sz w:val="28"/>
          <w:szCs w:val="28"/>
        </w:rPr>
        <w:t>supra</w:t>
      </w:r>
      <w:r w:rsidR="00891BB0">
        <w:rPr>
          <w:rFonts w:ascii="Times New Roman" w:hAnsi="Times New Roman" w:cs="Times New Roman"/>
          <w:b/>
          <w:bCs/>
          <w:sz w:val="28"/>
          <w:szCs w:val="28"/>
        </w:rPr>
        <w:t>.</w:t>
      </w:r>
      <w:r w:rsidR="00891133">
        <w:rPr>
          <w:rFonts w:ascii="Times New Roman" w:hAnsi="Times New Roman" w:cs="Times New Roman"/>
          <w:b/>
          <w:bCs/>
          <w:sz w:val="28"/>
          <w:szCs w:val="28"/>
        </w:rPr>
        <w:t>:</w:t>
      </w:r>
    </w:p>
    <w:p w14:paraId="7F9740D6" w14:textId="6C99362B" w:rsidR="00891133" w:rsidRDefault="00891133" w:rsidP="00D94C21">
      <w:pPr>
        <w:pStyle w:val="BodyText"/>
        <w:kinsoku w:val="0"/>
        <w:overflowPunct w:val="0"/>
        <w:ind w:left="1440" w:right="850" w:firstLine="720"/>
        <w:jc w:val="both"/>
        <w:rPr>
          <w:rFonts w:ascii="Times New Roman" w:hAnsi="Times New Roman" w:cs="Times New Roman"/>
          <w:sz w:val="24"/>
          <w:szCs w:val="24"/>
        </w:rPr>
      </w:pPr>
      <w:r w:rsidRPr="00E703B8">
        <w:rPr>
          <w:rFonts w:ascii="Times New Roman" w:hAnsi="Times New Roman" w:cs="Times New Roman"/>
          <w:sz w:val="24"/>
          <w:szCs w:val="24"/>
        </w:rPr>
        <w:t>“The respondent, by conducting a business on the premises,</w:t>
      </w:r>
      <w:r w:rsidR="00BC051C">
        <w:rPr>
          <w:rFonts w:ascii="Times New Roman" w:hAnsi="Times New Roman" w:cs="Times New Roman"/>
          <w:sz w:val="24"/>
          <w:szCs w:val="24"/>
        </w:rPr>
        <w:t xml:space="preserve"> is using it for a purpose wider than merely an object of security.  By doing so the respondent is infringing the applicant’s </w:t>
      </w:r>
      <w:r w:rsidR="00BC051C" w:rsidRPr="00F82AF2">
        <w:rPr>
          <w:rFonts w:ascii="Times New Roman" w:hAnsi="Times New Roman" w:cs="Times New Roman"/>
          <w:i/>
          <w:iCs/>
          <w:sz w:val="24"/>
          <w:szCs w:val="24"/>
        </w:rPr>
        <w:t>domin</w:t>
      </w:r>
      <w:r w:rsidR="00D778DC" w:rsidRPr="00F82AF2">
        <w:rPr>
          <w:rFonts w:ascii="Times New Roman" w:hAnsi="Times New Roman" w:cs="Times New Roman"/>
          <w:i/>
          <w:iCs/>
          <w:sz w:val="24"/>
          <w:szCs w:val="24"/>
        </w:rPr>
        <w:t>ium minus plenum</w:t>
      </w:r>
      <w:r w:rsidR="00D778DC">
        <w:rPr>
          <w:rFonts w:ascii="Times New Roman" w:hAnsi="Times New Roman" w:cs="Times New Roman"/>
          <w:sz w:val="24"/>
          <w:szCs w:val="24"/>
        </w:rPr>
        <w:t xml:space="preserve">, namely its </w:t>
      </w:r>
      <w:r w:rsidR="00D778DC" w:rsidRPr="00F82AF2">
        <w:rPr>
          <w:rFonts w:ascii="Times New Roman" w:hAnsi="Times New Roman" w:cs="Times New Roman"/>
          <w:i/>
          <w:iCs/>
          <w:sz w:val="24"/>
          <w:szCs w:val="24"/>
        </w:rPr>
        <w:t xml:space="preserve">dominium </w:t>
      </w:r>
      <w:r w:rsidR="00D778DC">
        <w:rPr>
          <w:rFonts w:ascii="Times New Roman" w:hAnsi="Times New Roman" w:cs="Times New Roman"/>
          <w:sz w:val="24"/>
          <w:szCs w:val="24"/>
        </w:rPr>
        <w:t xml:space="preserve">minus the </w:t>
      </w:r>
      <w:proofErr w:type="spellStart"/>
      <w:r w:rsidR="00D778DC" w:rsidRPr="00F82AF2">
        <w:rPr>
          <w:rFonts w:ascii="Times New Roman" w:hAnsi="Times New Roman" w:cs="Times New Roman"/>
          <w:i/>
          <w:iCs/>
          <w:sz w:val="24"/>
          <w:szCs w:val="24"/>
        </w:rPr>
        <w:t>ius</w:t>
      </w:r>
      <w:proofErr w:type="spellEnd"/>
      <w:r w:rsidR="00D778DC" w:rsidRPr="00F82AF2">
        <w:rPr>
          <w:rFonts w:ascii="Times New Roman" w:hAnsi="Times New Roman" w:cs="Times New Roman"/>
          <w:i/>
          <w:iCs/>
          <w:sz w:val="24"/>
          <w:szCs w:val="24"/>
        </w:rPr>
        <w:t xml:space="preserve"> </w:t>
      </w:r>
      <w:proofErr w:type="spellStart"/>
      <w:r w:rsidR="00D778DC" w:rsidRPr="00F82AF2">
        <w:rPr>
          <w:rFonts w:ascii="Times New Roman" w:hAnsi="Times New Roman" w:cs="Times New Roman"/>
          <w:i/>
          <w:iCs/>
          <w:sz w:val="24"/>
          <w:szCs w:val="24"/>
        </w:rPr>
        <w:t>retentionis</w:t>
      </w:r>
      <w:proofErr w:type="spellEnd"/>
      <w:r w:rsidR="00D778DC" w:rsidRPr="00F82AF2">
        <w:rPr>
          <w:rFonts w:ascii="Times New Roman" w:hAnsi="Times New Roman" w:cs="Times New Roman"/>
          <w:i/>
          <w:iCs/>
          <w:sz w:val="24"/>
          <w:szCs w:val="24"/>
        </w:rPr>
        <w:t>.</w:t>
      </w:r>
    </w:p>
    <w:p w14:paraId="4CC00C14" w14:textId="77777777" w:rsidR="003F5BAA" w:rsidRDefault="003F5BAA" w:rsidP="00D94C21">
      <w:pPr>
        <w:pStyle w:val="BodyText"/>
        <w:kinsoku w:val="0"/>
        <w:overflowPunct w:val="0"/>
        <w:ind w:left="1440" w:right="850" w:firstLine="720"/>
        <w:jc w:val="both"/>
        <w:rPr>
          <w:rFonts w:ascii="Times New Roman" w:hAnsi="Times New Roman" w:cs="Times New Roman"/>
          <w:sz w:val="24"/>
          <w:szCs w:val="24"/>
        </w:rPr>
      </w:pPr>
    </w:p>
    <w:p w14:paraId="16EEDEF6" w14:textId="73415EB6" w:rsidR="00D778DC" w:rsidRDefault="00D778DC"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 xml:space="preserve">Despite as thorough a search as I could manage in the limited time at my disposal, I failed to find any support for the proposition that an object over which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Pr="00F82AF2">
        <w:rPr>
          <w:rFonts w:ascii="Times New Roman" w:hAnsi="Times New Roman" w:cs="Times New Roman"/>
          <w:i/>
          <w:iCs/>
          <w:sz w:val="24"/>
          <w:szCs w:val="24"/>
        </w:rPr>
        <w:t>ius</w:t>
      </w:r>
      <w:proofErr w:type="spellEnd"/>
      <w:r w:rsidRPr="00F82AF2">
        <w:rPr>
          <w:rFonts w:ascii="Times New Roman" w:hAnsi="Times New Roman" w:cs="Times New Roman"/>
          <w:i/>
          <w:iCs/>
          <w:sz w:val="24"/>
          <w:szCs w:val="24"/>
        </w:rPr>
        <w:t xml:space="preserve"> </w:t>
      </w:r>
      <w:proofErr w:type="spellStart"/>
      <w:r w:rsidRPr="00F82AF2">
        <w:rPr>
          <w:rFonts w:ascii="Times New Roman" w:hAnsi="Times New Roman" w:cs="Times New Roman"/>
          <w:i/>
          <w:iCs/>
          <w:sz w:val="24"/>
          <w:szCs w:val="24"/>
        </w:rPr>
        <w:t>retentionis</w:t>
      </w:r>
      <w:proofErr w:type="spellEnd"/>
      <w:r>
        <w:rPr>
          <w:rFonts w:ascii="Times New Roman" w:hAnsi="Times New Roman" w:cs="Times New Roman"/>
          <w:sz w:val="24"/>
          <w:szCs w:val="24"/>
        </w:rPr>
        <w:t xml:space="preserve"> is being exercised may be commercially exploited by the person exercising such a right. </w:t>
      </w:r>
    </w:p>
    <w:p w14:paraId="2DDB5565" w14:textId="77777777" w:rsidR="003F5BAA" w:rsidRDefault="003F5BAA" w:rsidP="00D94C21">
      <w:pPr>
        <w:pStyle w:val="BodyText"/>
        <w:kinsoku w:val="0"/>
        <w:overflowPunct w:val="0"/>
        <w:ind w:left="1440" w:right="850" w:firstLine="720"/>
        <w:jc w:val="both"/>
        <w:rPr>
          <w:rFonts w:ascii="Times New Roman" w:hAnsi="Times New Roman" w:cs="Times New Roman"/>
          <w:sz w:val="24"/>
          <w:szCs w:val="24"/>
        </w:rPr>
      </w:pPr>
    </w:p>
    <w:p w14:paraId="0ABD16DC" w14:textId="5267BF1C" w:rsidR="00D778DC" w:rsidRDefault="00D778DC"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 xml:space="preserve">Hofmeyr J in </w:t>
      </w:r>
      <w:r w:rsidRPr="00F82AF2">
        <w:rPr>
          <w:rFonts w:ascii="Times New Roman" w:hAnsi="Times New Roman" w:cs="Times New Roman"/>
          <w:i/>
          <w:iCs/>
          <w:sz w:val="24"/>
          <w:szCs w:val="24"/>
        </w:rPr>
        <w:t>De Jager v Harris NO and the Master</w:t>
      </w:r>
      <w:r>
        <w:rPr>
          <w:rFonts w:ascii="Times New Roman" w:hAnsi="Times New Roman" w:cs="Times New Roman"/>
          <w:sz w:val="24"/>
          <w:szCs w:val="24"/>
        </w:rPr>
        <w:t xml:space="preserve"> 1957 (1) SA 171 (SWA) held that a lien over immovable property</w:t>
      </w:r>
      <w:r w:rsidR="00AB61FB">
        <w:rPr>
          <w:rFonts w:ascii="Times New Roman" w:hAnsi="Times New Roman" w:cs="Times New Roman"/>
          <w:sz w:val="24"/>
          <w:szCs w:val="24"/>
        </w:rPr>
        <w:t xml:space="preserve"> in respect of improvements could be exercised through a tenant as an agent of the lienholder in circumstances where the latter let the property over which the lien was being exercised at a nominal rental in terms of an agreement which the learned Judge describes as follows at 180G:</w:t>
      </w:r>
    </w:p>
    <w:p w14:paraId="711B7095" w14:textId="77777777" w:rsidR="003F5BAA" w:rsidRDefault="003F5BAA" w:rsidP="00D94C21">
      <w:pPr>
        <w:pStyle w:val="BodyText"/>
        <w:kinsoku w:val="0"/>
        <w:overflowPunct w:val="0"/>
        <w:ind w:left="1440" w:right="850" w:firstLine="720"/>
        <w:jc w:val="both"/>
        <w:rPr>
          <w:rFonts w:ascii="Times New Roman" w:hAnsi="Times New Roman" w:cs="Times New Roman"/>
          <w:sz w:val="24"/>
          <w:szCs w:val="24"/>
        </w:rPr>
      </w:pPr>
    </w:p>
    <w:p w14:paraId="17552648" w14:textId="44BAF50C" w:rsidR="00F4656E" w:rsidRDefault="00AB61FB"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‘It mus</w:t>
      </w:r>
      <w:r w:rsidR="005645EB">
        <w:rPr>
          <w:rFonts w:ascii="Times New Roman" w:hAnsi="Times New Roman" w:cs="Times New Roman"/>
          <w:sz w:val="24"/>
          <w:szCs w:val="24"/>
        </w:rPr>
        <w:t>t</w:t>
      </w:r>
      <w:r>
        <w:rPr>
          <w:rFonts w:ascii="Times New Roman" w:hAnsi="Times New Roman" w:cs="Times New Roman"/>
          <w:sz w:val="24"/>
          <w:szCs w:val="24"/>
        </w:rPr>
        <w:t xml:space="preserve"> be remembered that it was not an ordinary contract of </w:t>
      </w:r>
      <w:r>
        <w:rPr>
          <w:rFonts w:ascii="Times New Roman" w:hAnsi="Times New Roman" w:cs="Times New Roman"/>
          <w:sz w:val="24"/>
          <w:szCs w:val="24"/>
        </w:rPr>
        <w:lastRenderedPageBreak/>
        <w:t>letting and hiring which he concluded with the tenant Visser.  His allegation that the property was let to Visser at a nominal rental is not in dispute and the allegation that it was let subject to the condition that the tenant</w:t>
      </w:r>
      <w:r w:rsidR="005645EB">
        <w:rPr>
          <w:rFonts w:ascii="Times New Roman" w:hAnsi="Times New Roman" w:cs="Times New Roman"/>
          <w:sz w:val="24"/>
          <w:szCs w:val="24"/>
        </w:rPr>
        <w:t xml:space="preserve"> had to occupy the property and care therefor on applicant’s behalf can also </w:t>
      </w:r>
      <w:r w:rsidR="008D2ACB">
        <w:rPr>
          <w:rFonts w:ascii="Times New Roman" w:hAnsi="Times New Roman" w:cs="Times New Roman"/>
          <w:sz w:val="24"/>
          <w:szCs w:val="24"/>
        </w:rPr>
        <w:t>accepted as proved, it being</w:t>
      </w:r>
      <w:r w:rsidR="005645EB">
        <w:rPr>
          <w:rFonts w:ascii="Times New Roman" w:hAnsi="Times New Roman" w:cs="Times New Roman"/>
          <w:sz w:val="24"/>
          <w:szCs w:val="24"/>
        </w:rPr>
        <w:t xml:space="preserve"> established</w:t>
      </w:r>
      <w:r w:rsidR="008D2ACB">
        <w:rPr>
          <w:rFonts w:ascii="Times New Roman" w:hAnsi="Times New Roman" w:cs="Times New Roman"/>
          <w:sz w:val="24"/>
          <w:szCs w:val="24"/>
        </w:rPr>
        <w:t xml:space="preserve"> that the lease of the property</w:t>
      </w:r>
      <w:r w:rsidR="00F4656E">
        <w:rPr>
          <w:rFonts w:ascii="Times New Roman" w:hAnsi="Times New Roman" w:cs="Times New Roman"/>
          <w:sz w:val="24"/>
          <w:szCs w:val="24"/>
        </w:rPr>
        <w:t xml:space="preserve"> was offered on those terms; that the tenant actually entered into possession of the property and that he is still occupying the property.</w:t>
      </w:r>
    </w:p>
    <w:p w14:paraId="53579D02" w14:textId="77777777" w:rsidR="003F5BAA" w:rsidRDefault="003F5BAA" w:rsidP="00D94C21">
      <w:pPr>
        <w:pStyle w:val="BodyText"/>
        <w:kinsoku w:val="0"/>
        <w:overflowPunct w:val="0"/>
        <w:ind w:left="1440" w:right="850" w:firstLine="720"/>
        <w:jc w:val="both"/>
        <w:rPr>
          <w:rFonts w:ascii="Times New Roman" w:hAnsi="Times New Roman" w:cs="Times New Roman"/>
          <w:sz w:val="24"/>
          <w:szCs w:val="24"/>
        </w:rPr>
      </w:pPr>
    </w:p>
    <w:p w14:paraId="6A37F8E0" w14:textId="0A0C5BE7" w:rsidR="00F4656E" w:rsidRDefault="00F4656E"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I have no difficulty in accepting that Visser, the tenant, was at all relevant times acting as applicant’s agent t</w:t>
      </w:r>
      <w:r w:rsidR="00F82AF2">
        <w:rPr>
          <w:rFonts w:ascii="Times New Roman" w:hAnsi="Times New Roman" w:cs="Times New Roman"/>
          <w:sz w:val="24"/>
          <w:szCs w:val="24"/>
        </w:rPr>
        <w:t xml:space="preserve">o </w:t>
      </w:r>
      <w:r>
        <w:rPr>
          <w:rFonts w:ascii="Times New Roman" w:hAnsi="Times New Roman" w:cs="Times New Roman"/>
          <w:sz w:val="24"/>
          <w:szCs w:val="24"/>
        </w:rPr>
        <w:t xml:space="preserve">preserve his </w:t>
      </w:r>
      <w:proofErr w:type="spellStart"/>
      <w:r w:rsidRPr="00F82AF2">
        <w:rPr>
          <w:rFonts w:ascii="Times New Roman" w:hAnsi="Times New Roman" w:cs="Times New Roman"/>
          <w:i/>
          <w:iCs/>
          <w:sz w:val="24"/>
          <w:szCs w:val="24"/>
        </w:rPr>
        <w:t>ius</w:t>
      </w:r>
      <w:proofErr w:type="spellEnd"/>
      <w:r w:rsidRPr="00F82AF2">
        <w:rPr>
          <w:rFonts w:ascii="Times New Roman" w:hAnsi="Times New Roman" w:cs="Times New Roman"/>
          <w:i/>
          <w:iCs/>
          <w:sz w:val="24"/>
          <w:szCs w:val="24"/>
        </w:rPr>
        <w:t xml:space="preserve"> </w:t>
      </w:r>
      <w:proofErr w:type="spellStart"/>
      <w:r w:rsidRPr="00F82AF2">
        <w:rPr>
          <w:rFonts w:ascii="Times New Roman" w:hAnsi="Times New Roman" w:cs="Times New Roman"/>
          <w:i/>
          <w:iCs/>
          <w:sz w:val="24"/>
          <w:szCs w:val="24"/>
        </w:rPr>
        <w:t>retentionis</w:t>
      </w:r>
      <w:proofErr w:type="spellEnd"/>
      <w:r w:rsidRPr="00F82AF2">
        <w:rPr>
          <w:rFonts w:ascii="Times New Roman" w:hAnsi="Times New Roman" w:cs="Times New Roman"/>
          <w:i/>
          <w:iCs/>
          <w:sz w:val="24"/>
          <w:szCs w:val="24"/>
        </w:rPr>
        <w:t>.’</w:t>
      </w:r>
    </w:p>
    <w:p w14:paraId="528632F1" w14:textId="77777777" w:rsidR="0034328F" w:rsidRDefault="0034328F" w:rsidP="00D94C21">
      <w:pPr>
        <w:pStyle w:val="BodyText"/>
        <w:kinsoku w:val="0"/>
        <w:overflowPunct w:val="0"/>
        <w:ind w:left="1440" w:right="850" w:firstLine="720"/>
        <w:jc w:val="both"/>
        <w:rPr>
          <w:rFonts w:ascii="Times New Roman" w:hAnsi="Times New Roman" w:cs="Times New Roman"/>
          <w:sz w:val="24"/>
          <w:szCs w:val="24"/>
        </w:rPr>
      </w:pPr>
    </w:p>
    <w:p w14:paraId="46E80665" w14:textId="26BCDF60" w:rsidR="00E10440" w:rsidRDefault="00F4656E"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Pr="0073043F">
        <w:rPr>
          <w:rFonts w:ascii="Times New Roman" w:hAnsi="Times New Roman" w:cs="Times New Roman"/>
          <w:i/>
          <w:iCs/>
          <w:sz w:val="24"/>
          <w:szCs w:val="24"/>
        </w:rPr>
        <w:t>caveat</w:t>
      </w:r>
      <w:r>
        <w:rPr>
          <w:rFonts w:ascii="Times New Roman" w:hAnsi="Times New Roman" w:cs="Times New Roman"/>
          <w:sz w:val="24"/>
          <w:szCs w:val="24"/>
        </w:rPr>
        <w:t xml:space="preserve"> effectively emasculates the following earlier</w:t>
      </w:r>
      <w:r w:rsidR="00E10440">
        <w:rPr>
          <w:rFonts w:ascii="Times New Roman" w:hAnsi="Times New Roman" w:cs="Times New Roman"/>
          <w:sz w:val="24"/>
          <w:szCs w:val="24"/>
        </w:rPr>
        <w:t xml:space="preserve"> statement by the learned Judge at 180C-D:</w:t>
      </w:r>
    </w:p>
    <w:p w14:paraId="36D23C45" w14:textId="77777777" w:rsidR="0034328F" w:rsidRDefault="0034328F" w:rsidP="00D94C21">
      <w:pPr>
        <w:pStyle w:val="BodyText"/>
        <w:kinsoku w:val="0"/>
        <w:overflowPunct w:val="0"/>
        <w:ind w:left="1440" w:right="850" w:firstLine="720"/>
        <w:jc w:val="both"/>
        <w:rPr>
          <w:rFonts w:ascii="Times New Roman" w:hAnsi="Times New Roman" w:cs="Times New Roman"/>
          <w:sz w:val="24"/>
          <w:szCs w:val="24"/>
        </w:rPr>
      </w:pPr>
    </w:p>
    <w:p w14:paraId="788D43AB" w14:textId="015D20B8" w:rsidR="00AB61FB" w:rsidRDefault="00E10440"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 (S)</w:t>
      </w:r>
      <w:proofErr w:type="spellStart"/>
      <w:r>
        <w:rPr>
          <w:rFonts w:ascii="Times New Roman" w:hAnsi="Times New Roman" w:cs="Times New Roman"/>
          <w:sz w:val="24"/>
          <w:szCs w:val="24"/>
        </w:rPr>
        <w:t>ince</w:t>
      </w:r>
      <w:proofErr w:type="spellEnd"/>
      <w:r>
        <w:rPr>
          <w:rFonts w:ascii="Times New Roman" w:hAnsi="Times New Roman" w:cs="Times New Roman"/>
          <w:sz w:val="24"/>
          <w:szCs w:val="24"/>
        </w:rPr>
        <w:t xml:space="preserve"> the applicant, even after the cancellation of the deed of sale, had a legal right to remain in possession of the premises to preserve his lien, I am of the opinion that he was entitled, although no longer a </w:t>
      </w:r>
      <w:r w:rsidRPr="0073043F">
        <w:rPr>
          <w:rFonts w:ascii="Times New Roman" w:hAnsi="Times New Roman" w:cs="Times New Roman"/>
          <w:i/>
          <w:iCs/>
          <w:sz w:val="24"/>
          <w:szCs w:val="24"/>
        </w:rPr>
        <w:t>bona fide</w:t>
      </w:r>
      <w:r>
        <w:rPr>
          <w:rFonts w:ascii="Times New Roman" w:hAnsi="Times New Roman" w:cs="Times New Roman"/>
          <w:sz w:val="24"/>
          <w:szCs w:val="24"/>
        </w:rPr>
        <w:t xml:space="preserve"> possessor, to the use of the improvements erected by him and also to let the property to a third party.’</w:t>
      </w:r>
      <w:r w:rsidR="008D2ACB">
        <w:rPr>
          <w:rFonts w:ascii="Times New Roman" w:hAnsi="Times New Roman" w:cs="Times New Roman"/>
          <w:sz w:val="24"/>
          <w:szCs w:val="24"/>
        </w:rPr>
        <w:t xml:space="preserve"> </w:t>
      </w:r>
    </w:p>
    <w:p w14:paraId="6CBCEC29" w14:textId="77777777" w:rsidR="0034328F" w:rsidRDefault="0034328F" w:rsidP="00D94C21">
      <w:pPr>
        <w:pStyle w:val="BodyText"/>
        <w:kinsoku w:val="0"/>
        <w:overflowPunct w:val="0"/>
        <w:ind w:left="1440" w:right="850" w:firstLine="720"/>
        <w:jc w:val="both"/>
        <w:rPr>
          <w:rFonts w:ascii="Times New Roman" w:hAnsi="Times New Roman" w:cs="Times New Roman"/>
          <w:sz w:val="24"/>
          <w:szCs w:val="24"/>
        </w:rPr>
      </w:pPr>
    </w:p>
    <w:p w14:paraId="12E797A5" w14:textId="25C73375" w:rsidR="00E10440" w:rsidRDefault="00E10440"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The statement that a lienholder is entitled to let the property over which a lien is being exercised to a third party, has, as far as I could ascertain, not been referred to in any subsequent decided cases and seems to have escaped the attention of textbook writers on the law of property.</w:t>
      </w:r>
    </w:p>
    <w:p w14:paraId="660DDBB4" w14:textId="77777777" w:rsidR="00FC1BC1" w:rsidRDefault="00FC1BC1" w:rsidP="00D94C21">
      <w:pPr>
        <w:pStyle w:val="BodyText"/>
        <w:kinsoku w:val="0"/>
        <w:overflowPunct w:val="0"/>
        <w:ind w:left="1440" w:right="850" w:firstLine="720"/>
        <w:jc w:val="both"/>
        <w:rPr>
          <w:rFonts w:ascii="Times New Roman" w:hAnsi="Times New Roman" w:cs="Times New Roman"/>
          <w:sz w:val="24"/>
          <w:szCs w:val="24"/>
        </w:rPr>
      </w:pPr>
    </w:p>
    <w:p w14:paraId="19C909AA" w14:textId="26E42CF5" w:rsidR="00965B56" w:rsidRDefault="00F94113"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It in any event, is completely at variance with the law relating to</w:t>
      </w:r>
      <w:r w:rsidR="007B0D87">
        <w:rPr>
          <w:rFonts w:ascii="Times New Roman" w:hAnsi="Times New Roman" w:cs="Times New Roman"/>
          <w:sz w:val="24"/>
          <w:szCs w:val="24"/>
        </w:rPr>
        <w:t xml:space="preserve"> </w:t>
      </w:r>
      <w:r>
        <w:rPr>
          <w:rFonts w:ascii="Times New Roman" w:hAnsi="Times New Roman" w:cs="Times New Roman"/>
          <w:sz w:val="24"/>
          <w:szCs w:val="24"/>
        </w:rPr>
        <w:t>liens based on enrichment and, in my respectful view, palpably wrong.</w:t>
      </w:r>
    </w:p>
    <w:p w14:paraId="1A9D7611" w14:textId="77777777" w:rsidR="00FC1BC1" w:rsidRDefault="00FC1BC1" w:rsidP="00D94C21">
      <w:pPr>
        <w:pStyle w:val="BodyText"/>
        <w:kinsoku w:val="0"/>
        <w:overflowPunct w:val="0"/>
        <w:ind w:left="1440" w:right="850" w:firstLine="720"/>
        <w:jc w:val="both"/>
        <w:rPr>
          <w:rFonts w:ascii="Times New Roman" w:hAnsi="Times New Roman" w:cs="Times New Roman"/>
          <w:sz w:val="24"/>
          <w:szCs w:val="24"/>
        </w:rPr>
      </w:pPr>
    </w:p>
    <w:p w14:paraId="4296EAC9" w14:textId="0AA2A63F" w:rsidR="00E703B8" w:rsidRDefault="00F94113" w:rsidP="00D94C21">
      <w:pPr>
        <w:pStyle w:val="BodyText"/>
        <w:kinsoku w:val="0"/>
        <w:overflowPunct w:val="0"/>
        <w:ind w:left="1440" w:right="850" w:firstLine="720"/>
        <w:jc w:val="both"/>
        <w:rPr>
          <w:rFonts w:ascii="Times New Roman" w:hAnsi="Times New Roman" w:cs="Times New Roman"/>
          <w:sz w:val="24"/>
          <w:szCs w:val="24"/>
        </w:rPr>
      </w:pPr>
      <w:r>
        <w:rPr>
          <w:rFonts w:ascii="Times New Roman" w:hAnsi="Times New Roman" w:cs="Times New Roman"/>
          <w:sz w:val="24"/>
          <w:szCs w:val="24"/>
        </w:rPr>
        <w:t>In the case of an analogous legal notion (‘</w:t>
      </w:r>
      <w:proofErr w:type="spellStart"/>
      <w:r>
        <w:rPr>
          <w:rFonts w:ascii="Times New Roman" w:hAnsi="Times New Roman" w:cs="Times New Roman"/>
          <w:sz w:val="24"/>
          <w:szCs w:val="24"/>
        </w:rPr>
        <w:t>regsfiguur</w:t>
      </w:r>
      <w:proofErr w:type="spellEnd"/>
      <w:r>
        <w:rPr>
          <w:rFonts w:ascii="Times New Roman" w:hAnsi="Times New Roman" w:cs="Times New Roman"/>
          <w:sz w:val="24"/>
          <w:szCs w:val="24"/>
        </w:rPr>
        <w:t>’)</w:t>
      </w:r>
      <w:r w:rsidR="00B55CC5">
        <w:rPr>
          <w:rFonts w:ascii="Times New Roman" w:hAnsi="Times New Roman" w:cs="Times New Roman"/>
          <w:sz w:val="24"/>
          <w:szCs w:val="24"/>
        </w:rPr>
        <w:t>, namely pledge, it is generally</w:t>
      </w:r>
      <w:r w:rsidR="008E606C">
        <w:rPr>
          <w:rFonts w:ascii="Times New Roman" w:hAnsi="Times New Roman" w:cs="Times New Roman"/>
          <w:sz w:val="24"/>
          <w:szCs w:val="24"/>
        </w:rPr>
        <w:t xml:space="preserve"> accepted that a pledgee, in the absence of an agreement to the contrary (the </w:t>
      </w:r>
      <w:r w:rsidR="008E606C" w:rsidRPr="0073043F">
        <w:rPr>
          <w:rFonts w:ascii="Times New Roman" w:hAnsi="Times New Roman" w:cs="Times New Roman"/>
          <w:i/>
          <w:iCs/>
          <w:sz w:val="24"/>
          <w:szCs w:val="24"/>
        </w:rPr>
        <w:t xml:space="preserve">pactum </w:t>
      </w:r>
      <w:proofErr w:type="spellStart"/>
      <w:r w:rsidR="008E606C" w:rsidRPr="0073043F">
        <w:rPr>
          <w:rFonts w:ascii="Times New Roman" w:hAnsi="Times New Roman" w:cs="Times New Roman"/>
          <w:i/>
          <w:iCs/>
          <w:sz w:val="24"/>
          <w:szCs w:val="24"/>
        </w:rPr>
        <w:t>antichreseos</w:t>
      </w:r>
      <w:proofErr w:type="spellEnd"/>
      <w:r w:rsidR="008E606C">
        <w:rPr>
          <w:rFonts w:ascii="Times New Roman" w:hAnsi="Times New Roman" w:cs="Times New Roman"/>
          <w:sz w:val="24"/>
          <w:szCs w:val="24"/>
        </w:rPr>
        <w:t>), is not permitted to use a pledged object for his own benefit. (</w:t>
      </w:r>
      <w:proofErr w:type="gramStart"/>
      <w:r w:rsidR="00A32758">
        <w:rPr>
          <w:rFonts w:ascii="Times New Roman" w:hAnsi="Times New Roman" w:cs="Times New Roman"/>
          <w:sz w:val="24"/>
          <w:szCs w:val="24"/>
        </w:rPr>
        <w:t>see</w:t>
      </w:r>
      <w:proofErr w:type="gramEnd"/>
      <w:r w:rsidR="00A32758">
        <w:rPr>
          <w:rFonts w:ascii="Times New Roman" w:hAnsi="Times New Roman" w:cs="Times New Roman"/>
          <w:sz w:val="24"/>
          <w:szCs w:val="24"/>
        </w:rPr>
        <w:t xml:space="preserve"> Joubert (ed) </w:t>
      </w:r>
      <w:r w:rsidR="00A32758" w:rsidRPr="0073043F">
        <w:rPr>
          <w:rFonts w:ascii="Times New Roman" w:hAnsi="Times New Roman" w:cs="Times New Roman"/>
          <w:i/>
          <w:iCs/>
          <w:sz w:val="24"/>
          <w:szCs w:val="24"/>
        </w:rPr>
        <w:t>The Law of South Africa vol</w:t>
      </w:r>
      <w:r w:rsidR="00A32758" w:rsidRPr="0073043F">
        <w:rPr>
          <w:rFonts w:ascii="Times New Roman" w:hAnsi="Times New Roman" w:cs="Times New Roman"/>
          <w:sz w:val="24"/>
          <w:szCs w:val="24"/>
        </w:rPr>
        <w:t xml:space="preserve">17 </w:t>
      </w:r>
      <w:r w:rsidR="00A32758">
        <w:rPr>
          <w:rFonts w:ascii="Times New Roman" w:hAnsi="Times New Roman" w:cs="Times New Roman"/>
          <w:sz w:val="24"/>
          <w:szCs w:val="24"/>
        </w:rPr>
        <w:t xml:space="preserve">para 494 at 373-4; T J </w:t>
      </w:r>
      <w:r w:rsidR="00A32758" w:rsidRPr="0073043F">
        <w:rPr>
          <w:rFonts w:ascii="Times New Roman" w:hAnsi="Times New Roman" w:cs="Times New Roman"/>
          <w:i/>
          <w:iCs/>
          <w:sz w:val="24"/>
          <w:szCs w:val="24"/>
        </w:rPr>
        <w:t>Scott and Susan Scott</w:t>
      </w:r>
      <w:r w:rsidR="00A32758">
        <w:rPr>
          <w:rFonts w:ascii="Times New Roman" w:hAnsi="Times New Roman" w:cs="Times New Roman"/>
          <w:sz w:val="24"/>
          <w:szCs w:val="24"/>
        </w:rPr>
        <w:t xml:space="preserve"> (</w:t>
      </w:r>
      <w:r w:rsidR="00A32758" w:rsidRPr="0073043F">
        <w:rPr>
          <w:rFonts w:ascii="Times New Roman" w:hAnsi="Times New Roman" w:cs="Times New Roman"/>
          <w:i/>
          <w:iCs/>
          <w:sz w:val="24"/>
          <w:szCs w:val="24"/>
        </w:rPr>
        <w:t xml:space="preserve">op </w:t>
      </w:r>
      <w:proofErr w:type="spellStart"/>
      <w:r w:rsidR="00A32758" w:rsidRPr="0073043F">
        <w:rPr>
          <w:rFonts w:ascii="Times New Roman" w:hAnsi="Times New Roman" w:cs="Times New Roman"/>
          <w:i/>
          <w:iCs/>
          <w:sz w:val="24"/>
          <w:szCs w:val="24"/>
        </w:rPr>
        <w:t>cit</w:t>
      </w:r>
      <w:proofErr w:type="spellEnd"/>
      <w:r w:rsidR="00A32758">
        <w:rPr>
          <w:rFonts w:ascii="Times New Roman" w:hAnsi="Times New Roman" w:cs="Times New Roman"/>
          <w:sz w:val="24"/>
          <w:szCs w:val="24"/>
        </w:rPr>
        <w:t xml:space="preserve"> at 120, 140 and 144); </w:t>
      </w:r>
      <w:r w:rsidR="00A32758" w:rsidRPr="0073043F">
        <w:rPr>
          <w:rFonts w:ascii="Times New Roman" w:hAnsi="Times New Roman" w:cs="Times New Roman"/>
          <w:i/>
          <w:iCs/>
          <w:sz w:val="24"/>
          <w:szCs w:val="24"/>
        </w:rPr>
        <w:t xml:space="preserve">Silberberg and Schoeman (op </w:t>
      </w:r>
      <w:proofErr w:type="spellStart"/>
      <w:r w:rsidR="00A32758" w:rsidRPr="0073043F">
        <w:rPr>
          <w:rFonts w:ascii="Times New Roman" w:hAnsi="Times New Roman" w:cs="Times New Roman"/>
          <w:i/>
          <w:iCs/>
          <w:sz w:val="24"/>
          <w:szCs w:val="24"/>
        </w:rPr>
        <w:t>ci</w:t>
      </w:r>
      <w:r w:rsidR="00A32758">
        <w:rPr>
          <w:rFonts w:ascii="Times New Roman" w:hAnsi="Times New Roman" w:cs="Times New Roman"/>
          <w:sz w:val="24"/>
          <w:szCs w:val="24"/>
        </w:rPr>
        <w:t>t</w:t>
      </w:r>
      <w:proofErr w:type="spellEnd"/>
      <w:r w:rsidR="00A32758">
        <w:rPr>
          <w:rFonts w:ascii="Times New Roman" w:hAnsi="Times New Roman" w:cs="Times New Roman"/>
          <w:sz w:val="24"/>
          <w:szCs w:val="24"/>
        </w:rPr>
        <w:t xml:space="preserve"> at 457); CG </w:t>
      </w:r>
      <w:r w:rsidR="00A32758" w:rsidRPr="0073043F">
        <w:rPr>
          <w:rFonts w:ascii="Times New Roman" w:hAnsi="Times New Roman" w:cs="Times New Roman"/>
          <w:i/>
          <w:iCs/>
          <w:sz w:val="24"/>
          <w:szCs w:val="24"/>
        </w:rPr>
        <w:t xml:space="preserve">Van der Merwe (op </w:t>
      </w:r>
      <w:proofErr w:type="spellStart"/>
      <w:r w:rsidR="00A32758" w:rsidRPr="0073043F">
        <w:rPr>
          <w:rFonts w:ascii="Times New Roman" w:hAnsi="Times New Roman" w:cs="Times New Roman"/>
          <w:i/>
          <w:iCs/>
          <w:sz w:val="24"/>
          <w:szCs w:val="24"/>
        </w:rPr>
        <w:t>cit</w:t>
      </w:r>
      <w:proofErr w:type="spellEnd"/>
      <w:r w:rsidR="00A32758">
        <w:rPr>
          <w:rFonts w:ascii="Times New Roman" w:hAnsi="Times New Roman" w:cs="Times New Roman"/>
          <w:sz w:val="24"/>
          <w:szCs w:val="24"/>
        </w:rPr>
        <w:t xml:space="preserve"> at 651 – 2).)  As the possession necessary to perfect a pledge – as in the </w:t>
      </w:r>
      <w:r w:rsidR="007B0D87">
        <w:rPr>
          <w:rFonts w:ascii="Times New Roman" w:hAnsi="Times New Roman" w:cs="Times New Roman"/>
          <w:sz w:val="24"/>
          <w:szCs w:val="24"/>
        </w:rPr>
        <w:t xml:space="preserve">case of a </w:t>
      </w:r>
      <w:proofErr w:type="spellStart"/>
      <w:r w:rsidR="007B0D87" w:rsidRPr="00096C07">
        <w:rPr>
          <w:rFonts w:ascii="Times New Roman" w:hAnsi="Times New Roman" w:cs="Times New Roman"/>
          <w:i/>
          <w:iCs/>
          <w:sz w:val="24"/>
          <w:szCs w:val="24"/>
        </w:rPr>
        <w:t>ius</w:t>
      </w:r>
      <w:proofErr w:type="spellEnd"/>
      <w:r w:rsidR="007B0D87" w:rsidRPr="00096C07">
        <w:rPr>
          <w:rFonts w:ascii="Times New Roman" w:hAnsi="Times New Roman" w:cs="Times New Roman"/>
          <w:i/>
          <w:iCs/>
          <w:sz w:val="24"/>
          <w:szCs w:val="24"/>
        </w:rPr>
        <w:t xml:space="preserve"> </w:t>
      </w:r>
      <w:proofErr w:type="spellStart"/>
      <w:r w:rsidR="007B0D87" w:rsidRPr="00096C07">
        <w:rPr>
          <w:rFonts w:ascii="Times New Roman" w:hAnsi="Times New Roman" w:cs="Times New Roman"/>
          <w:i/>
          <w:iCs/>
          <w:sz w:val="24"/>
          <w:szCs w:val="24"/>
        </w:rPr>
        <w:t>retentionis</w:t>
      </w:r>
      <w:proofErr w:type="spellEnd"/>
      <w:r w:rsidR="007B0D87">
        <w:rPr>
          <w:rFonts w:ascii="Times New Roman" w:hAnsi="Times New Roman" w:cs="Times New Roman"/>
          <w:sz w:val="24"/>
          <w:szCs w:val="24"/>
        </w:rPr>
        <w:t xml:space="preserve"> – is </w:t>
      </w:r>
      <w:r w:rsidR="007B0D87" w:rsidRPr="00096C07">
        <w:rPr>
          <w:rFonts w:ascii="Times New Roman" w:hAnsi="Times New Roman" w:cs="Times New Roman"/>
          <w:i/>
          <w:iCs/>
          <w:sz w:val="24"/>
          <w:szCs w:val="24"/>
        </w:rPr>
        <w:t xml:space="preserve">possession </w:t>
      </w:r>
      <w:proofErr w:type="spellStart"/>
      <w:r w:rsidR="007B0D87" w:rsidRPr="00096C07">
        <w:rPr>
          <w:rFonts w:ascii="Times New Roman" w:hAnsi="Times New Roman" w:cs="Times New Roman"/>
          <w:i/>
          <w:iCs/>
          <w:sz w:val="24"/>
          <w:szCs w:val="24"/>
        </w:rPr>
        <w:t>naturalis</w:t>
      </w:r>
      <w:proofErr w:type="spellEnd"/>
      <w:r w:rsidR="007B0D87">
        <w:rPr>
          <w:rFonts w:ascii="Times New Roman" w:hAnsi="Times New Roman" w:cs="Times New Roman"/>
          <w:sz w:val="24"/>
          <w:szCs w:val="24"/>
        </w:rPr>
        <w:t xml:space="preserve"> (see </w:t>
      </w:r>
      <w:proofErr w:type="spellStart"/>
      <w:r w:rsidR="007B0D87" w:rsidRPr="00096C07">
        <w:rPr>
          <w:rFonts w:ascii="Times New Roman" w:hAnsi="Times New Roman" w:cs="Times New Roman"/>
          <w:i/>
          <w:iCs/>
          <w:sz w:val="24"/>
          <w:szCs w:val="24"/>
        </w:rPr>
        <w:t>Zandberg</w:t>
      </w:r>
      <w:proofErr w:type="spellEnd"/>
      <w:r w:rsidR="007B0D87" w:rsidRPr="00096C07">
        <w:rPr>
          <w:rFonts w:ascii="Times New Roman" w:hAnsi="Times New Roman" w:cs="Times New Roman"/>
          <w:i/>
          <w:iCs/>
          <w:sz w:val="24"/>
          <w:szCs w:val="24"/>
        </w:rPr>
        <w:t xml:space="preserve"> v Van </w:t>
      </w:r>
      <w:proofErr w:type="spellStart"/>
      <w:r w:rsidR="007B0D87" w:rsidRPr="00096C07">
        <w:rPr>
          <w:rFonts w:ascii="Times New Roman" w:hAnsi="Times New Roman" w:cs="Times New Roman"/>
          <w:i/>
          <w:iCs/>
          <w:sz w:val="24"/>
          <w:szCs w:val="24"/>
        </w:rPr>
        <w:t>Zijl</w:t>
      </w:r>
      <w:proofErr w:type="spellEnd"/>
      <w:r w:rsidR="007B0D87">
        <w:rPr>
          <w:rFonts w:ascii="Times New Roman" w:hAnsi="Times New Roman" w:cs="Times New Roman"/>
          <w:sz w:val="24"/>
          <w:szCs w:val="24"/>
        </w:rPr>
        <w:t xml:space="preserve"> 1910 AD 302 at 313; </w:t>
      </w:r>
      <w:r w:rsidR="007B0D87" w:rsidRPr="00096C07">
        <w:rPr>
          <w:rFonts w:ascii="Times New Roman" w:hAnsi="Times New Roman" w:cs="Times New Roman"/>
          <w:i/>
          <w:iCs/>
          <w:sz w:val="24"/>
          <w:szCs w:val="24"/>
        </w:rPr>
        <w:t>Vasco Dry Cleaners v Twycross</w:t>
      </w:r>
      <w:r w:rsidR="007B0D87">
        <w:rPr>
          <w:rFonts w:ascii="Times New Roman" w:hAnsi="Times New Roman" w:cs="Times New Roman"/>
          <w:sz w:val="24"/>
          <w:szCs w:val="24"/>
        </w:rPr>
        <w:t xml:space="preserve"> 1979 (1) SA 603 (A) at 611A), there is no reason in principle or logic why, as regards an entitlement to use the object which forms the subject-matter of a right of</w:t>
      </w:r>
      <w:r w:rsidR="004D1AD9">
        <w:rPr>
          <w:rFonts w:ascii="Times New Roman" w:hAnsi="Times New Roman" w:cs="Times New Roman"/>
          <w:sz w:val="24"/>
          <w:szCs w:val="24"/>
        </w:rPr>
        <w:t xml:space="preserve"> </w:t>
      </w:r>
      <w:r w:rsidR="007B0D87">
        <w:rPr>
          <w:rFonts w:ascii="Times New Roman" w:hAnsi="Times New Roman" w:cs="Times New Roman"/>
          <w:sz w:val="24"/>
          <w:szCs w:val="24"/>
        </w:rPr>
        <w:t xml:space="preserve">security, a retentor who exercises a </w:t>
      </w:r>
      <w:proofErr w:type="spellStart"/>
      <w:r w:rsidR="007B0D87" w:rsidRPr="00096C07">
        <w:rPr>
          <w:rFonts w:ascii="Times New Roman" w:hAnsi="Times New Roman" w:cs="Times New Roman"/>
          <w:i/>
          <w:iCs/>
          <w:sz w:val="24"/>
          <w:szCs w:val="24"/>
        </w:rPr>
        <w:t>ius</w:t>
      </w:r>
      <w:proofErr w:type="spellEnd"/>
      <w:r w:rsidR="007B0D87" w:rsidRPr="00096C07">
        <w:rPr>
          <w:rFonts w:ascii="Times New Roman" w:hAnsi="Times New Roman" w:cs="Times New Roman"/>
          <w:i/>
          <w:iCs/>
          <w:sz w:val="24"/>
          <w:szCs w:val="24"/>
        </w:rPr>
        <w:t xml:space="preserve"> </w:t>
      </w:r>
      <w:proofErr w:type="spellStart"/>
      <w:r w:rsidR="007B0D87" w:rsidRPr="00096C07">
        <w:rPr>
          <w:rFonts w:ascii="Times New Roman" w:hAnsi="Times New Roman" w:cs="Times New Roman"/>
          <w:i/>
          <w:iCs/>
          <w:sz w:val="24"/>
          <w:szCs w:val="24"/>
        </w:rPr>
        <w:t>retentionis</w:t>
      </w:r>
      <w:proofErr w:type="spellEnd"/>
      <w:r w:rsidR="007B0D87">
        <w:rPr>
          <w:rFonts w:ascii="Times New Roman" w:hAnsi="Times New Roman" w:cs="Times New Roman"/>
          <w:sz w:val="24"/>
          <w:szCs w:val="24"/>
        </w:rPr>
        <w:t xml:space="preserve"> founded on enrichment should be in a position more favourable than a </w:t>
      </w:r>
      <w:proofErr w:type="spellStart"/>
      <w:r w:rsidR="007B0D87">
        <w:rPr>
          <w:rFonts w:ascii="Times New Roman" w:hAnsi="Times New Roman" w:cs="Times New Roman"/>
          <w:sz w:val="24"/>
          <w:szCs w:val="24"/>
        </w:rPr>
        <w:t>pledgee</w:t>
      </w:r>
      <w:proofErr w:type="spellEnd"/>
      <w:r w:rsidR="007B0D87">
        <w:rPr>
          <w:rFonts w:ascii="Times New Roman" w:hAnsi="Times New Roman" w:cs="Times New Roman"/>
          <w:sz w:val="24"/>
          <w:szCs w:val="24"/>
        </w:rPr>
        <w:t>.</w:t>
      </w:r>
      <w:r w:rsidR="00A32758">
        <w:rPr>
          <w:rFonts w:ascii="Times New Roman" w:hAnsi="Times New Roman" w:cs="Times New Roman"/>
          <w:sz w:val="24"/>
          <w:szCs w:val="24"/>
        </w:rPr>
        <w:t xml:space="preserve"> </w:t>
      </w:r>
    </w:p>
    <w:p w14:paraId="363EEBAD" w14:textId="77777777" w:rsidR="00FC1BC1" w:rsidRPr="00E703B8" w:rsidRDefault="00FC1BC1" w:rsidP="00D94C21">
      <w:pPr>
        <w:pStyle w:val="BodyText"/>
        <w:kinsoku w:val="0"/>
        <w:overflowPunct w:val="0"/>
        <w:ind w:left="1440" w:right="850" w:firstLine="720"/>
        <w:jc w:val="both"/>
        <w:rPr>
          <w:rFonts w:ascii="Times New Roman" w:hAnsi="Times New Roman" w:cs="Times New Roman"/>
          <w:sz w:val="24"/>
          <w:szCs w:val="24"/>
        </w:rPr>
      </w:pPr>
    </w:p>
    <w:p w14:paraId="23BFBCC2" w14:textId="6A8FE82B" w:rsidR="00E703B8" w:rsidRDefault="00E703B8" w:rsidP="00D94C21">
      <w:pPr>
        <w:pStyle w:val="BodyText"/>
        <w:kinsoku w:val="0"/>
        <w:overflowPunct w:val="0"/>
        <w:ind w:left="1440" w:right="850" w:firstLine="720"/>
        <w:jc w:val="both"/>
        <w:rPr>
          <w:rFonts w:ascii="Times New Roman" w:hAnsi="Times New Roman" w:cs="Times New Roman"/>
          <w:sz w:val="24"/>
          <w:szCs w:val="24"/>
        </w:rPr>
      </w:pPr>
      <w:r w:rsidRPr="00E703B8">
        <w:rPr>
          <w:rFonts w:ascii="Times New Roman" w:hAnsi="Times New Roman" w:cs="Times New Roman"/>
          <w:sz w:val="24"/>
          <w:szCs w:val="24"/>
        </w:rPr>
        <w:t xml:space="preserve">In view of the </w:t>
      </w:r>
      <w:proofErr w:type="spellStart"/>
      <w:r w:rsidR="007B0D87">
        <w:rPr>
          <w:rFonts w:ascii="Times New Roman" w:hAnsi="Times New Roman" w:cs="Times New Roman"/>
          <w:sz w:val="24"/>
          <w:szCs w:val="24"/>
        </w:rPr>
        <w:t>a</w:t>
      </w:r>
      <w:r w:rsidRPr="00E703B8">
        <w:rPr>
          <w:rFonts w:ascii="Times New Roman" w:hAnsi="Times New Roman" w:cs="Times New Roman"/>
          <w:sz w:val="24"/>
          <w:szCs w:val="24"/>
        </w:rPr>
        <w:t>foregoing</w:t>
      </w:r>
      <w:proofErr w:type="spellEnd"/>
      <w:r w:rsidR="007B0D87">
        <w:rPr>
          <w:rFonts w:ascii="Times New Roman" w:hAnsi="Times New Roman" w:cs="Times New Roman"/>
          <w:sz w:val="24"/>
          <w:szCs w:val="24"/>
        </w:rPr>
        <w:t xml:space="preserve">, I have come to the conclusion that a retentor who exercises a </w:t>
      </w:r>
      <w:proofErr w:type="spellStart"/>
      <w:r w:rsidR="00831E9A" w:rsidRPr="00096C07">
        <w:rPr>
          <w:rFonts w:ascii="Times New Roman" w:hAnsi="Times New Roman" w:cs="Times New Roman"/>
          <w:i/>
          <w:iCs/>
          <w:sz w:val="24"/>
          <w:szCs w:val="24"/>
        </w:rPr>
        <w:t>ius</w:t>
      </w:r>
      <w:proofErr w:type="spellEnd"/>
      <w:r w:rsidR="00831E9A" w:rsidRPr="00096C07">
        <w:rPr>
          <w:rFonts w:ascii="Times New Roman" w:hAnsi="Times New Roman" w:cs="Times New Roman"/>
          <w:i/>
          <w:iCs/>
          <w:sz w:val="24"/>
          <w:szCs w:val="24"/>
        </w:rPr>
        <w:t xml:space="preserve"> </w:t>
      </w:r>
      <w:proofErr w:type="spellStart"/>
      <w:r w:rsidR="00831E9A" w:rsidRPr="00096C07">
        <w:rPr>
          <w:rFonts w:ascii="Times New Roman" w:hAnsi="Times New Roman" w:cs="Times New Roman"/>
          <w:i/>
          <w:iCs/>
          <w:sz w:val="24"/>
          <w:szCs w:val="24"/>
        </w:rPr>
        <w:t>retentionis</w:t>
      </w:r>
      <w:proofErr w:type="spellEnd"/>
      <w:r w:rsidR="00831E9A">
        <w:rPr>
          <w:rFonts w:ascii="Times New Roman" w:hAnsi="Times New Roman" w:cs="Times New Roman"/>
          <w:sz w:val="24"/>
          <w:szCs w:val="24"/>
        </w:rPr>
        <w:t xml:space="preserve"> founded on enrichment does not, in South African law, have a right to use the property which forms the subject-matter thereof for his own benefit.  The </w:t>
      </w:r>
      <w:r w:rsidR="00F17F14">
        <w:rPr>
          <w:rFonts w:ascii="Times New Roman" w:hAnsi="Times New Roman" w:cs="Times New Roman"/>
          <w:sz w:val="24"/>
          <w:szCs w:val="24"/>
        </w:rPr>
        <w:t>logical consequence</w:t>
      </w:r>
      <w:r w:rsidR="00831E9A">
        <w:rPr>
          <w:rFonts w:ascii="Times New Roman" w:hAnsi="Times New Roman" w:cs="Times New Roman"/>
          <w:sz w:val="24"/>
          <w:szCs w:val="24"/>
        </w:rPr>
        <w:t xml:space="preserve"> of that finding is that the respondent, by utilising the premises for the purpose of conducting a health and fitness centre business thereon, is wrongfully infringing the applicant’s </w:t>
      </w:r>
      <w:r w:rsidR="00831E9A" w:rsidRPr="00096C07">
        <w:rPr>
          <w:rFonts w:ascii="Times New Roman" w:hAnsi="Times New Roman" w:cs="Times New Roman"/>
          <w:i/>
          <w:iCs/>
          <w:sz w:val="24"/>
          <w:szCs w:val="24"/>
        </w:rPr>
        <w:t>dominium minus plenum</w:t>
      </w:r>
      <w:r w:rsidR="00831E9A">
        <w:rPr>
          <w:rFonts w:ascii="Times New Roman" w:hAnsi="Times New Roman" w:cs="Times New Roman"/>
          <w:sz w:val="24"/>
          <w:szCs w:val="24"/>
        </w:rPr>
        <w:t>. It is that infringement which the applicant seeks to</w:t>
      </w:r>
      <w:r w:rsidR="002D3321">
        <w:rPr>
          <w:rFonts w:ascii="Times New Roman" w:hAnsi="Times New Roman" w:cs="Times New Roman"/>
          <w:sz w:val="24"/>
          <w:szCs w:val="24"/>
        </w:rPr>
        <w:t xml:space="preserve"> restrain </w:t>
      </w:r>
      <w:r w:rsidRPr="00E703B8">
        <w:rPr>
          <w:rFonts w:ascii="Times New Roman" w:hAnsi="Times New Roman" w:cs="Times New Roman"/>
          <w:sz w:val="24"/>
          <w:szCs w:val="24"/>
        </w:rPr>
        <w:t>by means of an interdict.”</w:t>
      </w:r>
    </w:p>
    <w:p w14:paraId="319BB01E" w14:textId="77777777" w:rsidR="00E703B8" w:rsidRPr="00E703B8" w:rsidRDefault="00E703B8" w:rsidP="003F2F8B">
      <w:pPr>
        <w:pStyle w:val="BodyText"/>
        <w:kinsoku w:val="0"/>
        <w:overflowPunct w:val="0"/>
        <w:spacing w:line="480" w:lineRule="auto"/>
        <w:ind w:left="0"/>
        <w:jc w:val="both"/>
        <w:rPr>
          <w:rFonts w:ascii="Times New Roman" w:hAnsi="Times New Roman" w:cs="Times New Roman"/>
          <w:sz w:val="24"/>
          <w:szCs w:val="24"/>
        </w:rPr>
      </w:pPr>
    </w:p>
    <w:p w14:paraId="7564CFDC" w14:textId="7CE457D3" w:rsidR="00E703B8" w:rsidRDefault="00E703B8" w:rsidP="003F2F8B">
      <w:pPr>
        <w:pStyle w:val="BodyText"/>
        <w:kinsoku w:val="0"/>
        <w:overflowPunct w:val="0"/>
        <w:spacing w:line="480" w:lineRule="auto"/>
        <w:ind w:left="0"/>
        <w:jc w:val="both"/>
        <w:rPr>
          <w:rFonts w:ascii="Times New Roman" w:hAnsi="Times New Roman" w:cs="Times New Roman"/>
          <w:sz w:val="28"/>
          <w:szCs w:val="28"/>
        </w:rPr>
      </w:pPr>
      <w:r w:rsidRPr="00E703B8">
        <w:rPr>
          <w:rFonts w:ascii="Times New Roman" w:hAnsi="Times New Roman" w:cs="Times New Roman"/>
          <w:sz w:val="28"/>
          <w:szCs w:val="28"/>
        </w:rPr>
        <w:t>[</w:t>
      </w:r>
      <w:r w:rsidR="00B2396D">
        <w:rPr>
          <w:rFonts w:ascii="Times New Roman" w:hAnsi="Times New Roman" w:cs="Times New Roman"/>
          <w:sz w:val="28"/>
          <w:szCs w:val="28"/>
        </w:rPr>
        <w:t>4</w:t>
      </w:r>
      <w:r w:rsidR="00864335">
        <w:rPr>
          <w:rFonts w:ascii="Times New Roman" w:hAnsi="Times New Roman" w:cs="Times New Roman"/>
          <w:sz w:val="28"/>
          <w:szCs w:val="28"/>
        </w:rPr>
        <w:t>8</w:t>
      </w:r>
      <w:r w:rsidRPr="00E703B8">
        <w:rPr>
          <w:rFonts w:ascii="Times New Roman" w:hAnsi="Times New Roman" w:cs="Times New Roman"/>
          <w:sz w:val="28"/>
          <w:szCs w:val="28"/>
        </w:rPr>
        <w:t>]</w:t>
      </w:r>
      <w:r w:rsidRPr="00E703B8">
        <w:rPr>
          <w:rFonts w:ascii="Times New Roman" w:hAnsi="Times New Roman" w:cs="Times New Roman"/>
          <w:sz w:val="28"/>
          <w:szCs w:val="28"/>
        </w:rPr>
        <w:tab/>
      </w:r>
      <w:r w:rsidRPr="00E703B8">
        <w:rPr>
          <w:rFonts w:ascii="Times New Roman" w:hAnsi="Times New Roman" w:cs="Times New Roman"/>
          <w:sz w:val="28"/>
          <w:szCs w:val="28"/>
        </w:rPr>
        <w:tab/>
      </w:r>
      <w:r w:rsidR="00F16197">
        <w:rPr>
          <w:rFonts w:ascii="Times New Roman" w:hAnsi="Times New Roman" w:cs="Times New Roman"/>
          <w:sz w:val="28"/>
          <w:szCs w:val="28"/>
        </w:rPr>
        <w:t>The applicant’s assertion that it must remain on the premises until it would have recouped its expenses</w:t>
      </w:r>
      <w:r w:rsidR="00F16197">
        <w:rPr>
          <w:rStyle w:val="FootnoteReference"/>
          <w:rFonts w:ascii="Times New Roman" w:hAnsi="Times New Roman" w:cs="Times New Roman"/>
          <w:sz w:val="28"/>
          <w:szCs w:val="28"/>
        </w:rPr>
        <w:footnoteReference w:id="27"/>
      </w:r>
      <w:r w:rsidR="00F16197">
        <w:rPr>
          <w:rFonts w:ascii="Times New Roman" w:hAnsi="Times New Roman" w:cs="Times New Roman"/>
          <w:sz w:val="28"/>
          <w:szCs w:val="28"/>
        </w:rPr>
        <w:t xml:space="preserve"> is untenable in law</w:t>
      </w:r>
      <w:r w:rsidR="00EF6A2E">
        <w:rPr>
          <w:rFonts w:ascii="Times New Roman" w:hAnsi="Times New Roman" w:cs="Times New Roman"/>
          <w:sz w:val="28"/>
          <w:szCs w:val="28"/>
        </w:rPr>
        <w:t xml:space="preserve"> especially when</w:t>
      </w:r>
      <w:r w:rsidR="00E467A4">
        <w:rPr>
          <w:rFonts w:ascii="Times New Roman" w:hAnsi="Times New Roman" w:cs="Times New Roman"/>
          <w:sz w:val="28"/>
          <w:szCs w:val="28"/>
        </w:rPr>
        <w:t xml:space="preserve"> it</w:t>
      </w:r>
      <w:r w:rsidR="00EF6A2E">
        <w:rPr>
          <w:rFonts w:ascii="Times New Roman" w:hAnsi="Times New Roman" w:cs="Times New Roman"/>
          <w:sz w:val="28"/>
          <w:szCs w:val="28"/>
        </w:rPr>
        <w:t xml:space="preserve"> thinks it can use the premises for income generating purposes</w:t>
      </w:r>
      <w:r w:rsidR="00F16197">
        <w:rPr>
          <w:rFonts w:ascii="Times New Roman" w:hAnsi="Times New Roman" w:cs="Times New Roman"/>
          <w:sz w:val="28"/>
          <w:szCs w:val="28"/>
        </w:rPr>
        <w:t>.</w:t>
      </w:r>
      <w:r w:rsidR="00401AB5">
        <w:rPr>
          <w:rFonts w:ascii="Times New Roman" w:hAnsi="Times New Roman" w:cs="Times New Roman"/>
          <w:sz w:val="28"/>
          <w:szCs w:val="28"/>
        </w:rPr>
        <w:t xml:space="preserve"> Once it retains the premises pursuant to lien, the applicant </w:t>
      </w:r>
      <w:r w:rsidR="00721B0C">
        <w:rPr>
          <w:rFonts w:ascii="Times New Roman" w:hAnsi="Times New Roman" w:cs="Times New Roman"/>
          <w:sz w:val="28"/>
          <w:szCs w:val="28"/>
        </w:rPr>
        <w:t xml:space="preserve">will not have a right to commercially exploit the premises </w:t>
      </w:r>
      <w:r w:rsidR="00401AB5">
        <w:rPr>
          <w:rFonts w:ascii="Times New Roman" w:hAnsi="Times New Roman" w:cs="Times New Roman"/>
          <w:sz w:val="28"/>
          <w:szCs w:val="28"/>
        </w:rPr>
        <w:t>to</w:t>
      </w:r>
      <w:r w:rsidR="00721B0C">
        <w:rPr>
          <w:rFonts w:ascii="Times New Roman" w:hAnsi="Times New Roman" w:cs="Times New Roman"/>
          <w:sz w:val="28"/>
          <w:szCs w:val="28"/>
        </w:rPr>
        <w:t xml:space="preserve"> </w:t>
      </w:r>
      <w:r w:rsidR="00401AB5">
        <w:rPr>
          <w:rFonts w:ascii="Times New Roman" w:hAnsi="Times New Roman" w:cs="Times New Roman"/>
          <w:sz w:val="28"/>
          <w:szCs w:val="28"/>
        </w:rPr>
        <w:t>recoup its expenses</w:t>
      </w:r>
      <w:r w:rsidR="00721B0C">
        <w:rPr>
          <w:rStyle w:val="FootnoteReference"/>
          <w:rFonts w:ascii="Times New Roman" w:hAnsi="Times New Roman" w:cs="Times New Roman"/>
          <w:sz w:val="28"/>
          <w:szCs w:val="28"/>
        </w:rPr>
        <w:footnoteReference w:id="28"/>
      </w:r>
      <w:r w:rsidR="00401AB5">
        <w:rPr>
          <w:rFonts w:ascii="Times New Roman" w:hAnsi="Times New Roman" w:cs="Times New Roman"/>
          <w:sz w:val="28"/>
          <w:szCs w:val="28"/>
        </w:rPr>
        <w:t>. It can only assert lien as a security for its cla</w:t>
      </w:r>
      <w:r w:rsidR="00813665">
        <w:rPr>
          <w:rFonts w:ascii="Times New Roman" w:hAnsi="Times New Roman" w:cs="Times New Roman"/>
          <w:sz w:val="28"/>
          <w:szCs w:val="28"/>
        </w:rPr>
        <w:t>i</w:t>
      </w:r>
      <w:r w:rsidR="00401AB5">
        <w:rPr>
          <w:rFonts w:ascii="Times New Roman" w:hAnsi="Times New Roman" w:cs="Times New Roman"/>
          <w:sz w:val="28"/>
          <w:szCs w:val="28"/>
        </w:rPr>
        <w:t xml:space="preserve">m relevant to unjust enrichment. </w:t>
      </w:r>
      <w:r w:rsidR="0065658D">
        <w:rPr>
          <w:rFonts w:ascii="Times New Roman" w:hAnsi="Times New Roman" w:cs="Times New Roman"/>
          <w:sz w:val="28"/>
          <w:szCs w:val="28"/>
        </w:rPr>
        <w:t xml:space="preserve">Accordingly, </w:t>
      </w:r>
      <w:r w:rsidR="00AC7D07">
        <w:rPr>
          <w:rFonts w:ascii="Times New Roman" w:hAnsi="Times New Roman" w:cs="Times New Roman"/>
          <w:sz w:val="28"/>
          <w:szCs w:val="28"/>
        </w:rPr>
        <w:t xml:space="preserve">I </w:t>
      </w:r>
      <w:r w:rsidR="0065658D">
        <w:rPr>
          <w:rFonts w:ascii="Times New Roman" w:hAnsi="Times New Roman" w:cs="Times New Roman"/>
          <w:sz w:val="28"/>
          <w:szCs w:val="28"/>
        </w:rPr>
        <w:t xml:space="preserve">turn to consider whether the applicant has </w:t>
      </w:r>
      <w:r w:rsidR="00AC7D07">
        <w:rPr>
          <w:rFonts w:ascii="Times New Roman" w:hAnsi="Times New Roman" w:cs="Times New Roman"/>
          <w:sz w:val="28"/>
          <w:szCs w:val="28"/>
        </w:rPr>
        <w:t xml:space="preserve">tendered satisfactory evidence of an underlying enrichment action against the respondent. </w:t>
      </w:r>
    </w:p>
    <w:p w14:paraId="2565B342" w14:textId="499AC0D8" w:rsidR="00487047" w:rsidRDefault="00487047" w:rsidP="003F2F8B">
      <w:pPr>
        <w:pStyle w:val="BodyText"/>
        <w:kinsoku w:val="0"/>
        <w:overflowPunct w:val="0"/>
        <w:spacing w:line="480" w:lineRule="auto"/>
        <w:ind w:left="0"/>
        <w:jc w:val="both"/>
        <w:rPr>
          <w:rFonts w:ascii="Times New Roman" w:hAnsi="Times New Roman" w:cs="Times New Roman"/>
          <w:sz w:val="28"/>
          <w:szCs w:val="28"/>
        </w:rPr>
      </w:pPr>
    </w:p>
    <w:p w14:paraId="18E1FF76" w14:textId="52568F4D" w:rsidR="00950FCD" w:rsidRDefault="00487047"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[4</w:t>
      </w:r>
      <w:r w:rsidR="00864335">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For a lien to arise in respect of unjust enrichment the applicant must prove that it effected improvements</w:t>
      </w:r>
      <w:r w:rsidR="003C44B9">
        <w:rPr>
          <w:rFonts w:ascii="Times New Roman" w:hAnsi="Times New Roman" w:cs="Times New Roman"/>
          <w:sz w:val="28"/>
          <w:szCs w:val="28"/>
        </w:rPr>
        <w:t xml:space="preserve"> which increased the value of the property. The respondent must have been unjustly </w:t>
      </w:r>
      <w:r w:rsidR="000D026D">
        <w:rPr>
          <w:rFonts w:ascii="Times New Roman" w:hAnsi="Times New Roman" w:cs="Times New Roman"/>
          <w:sz w:val="28"/>
          <w:szCs w:val="28"/>
        </w:rPr>
        <w:t>enriched,</w:t>
      </w:r>
      <w:r w:rsidR="003C44B9">
        <w:rPr>
          <w:rFonts w:ascii="Times New Roman" w:hAnsi="Times New Roman" w:cs="Times New Roman"/>
          <w:sz w:val="28"/>
          <w:szCs w:val="28"/>
        </w:rPr>
        <w:t xml:space="preserve"> and the applicant impoverished from effecting the improvements that led to the increase in the value of the property</w:t>
      </w:r>
      <w:r w:rsidR="00C7417B">
        <w:rPr>
          <w:rStyle w:val="FootnoteReference"/>
          <w:rFonts w:ascii="Times New Roman" w:hAnsi="Times New Roman" w:cs="Times New Roman"/>
          <w:sz w:val="28"/>
          <w:szCs w:val="28"/>
        </w:rPr>
        <w:footnoteReference w:id="29"/>
      </w:r>
      <w:r w:rsidR="003C44B9">
        <w:rPr>
          <w:rFonts w:ascii="Times New Roman" w:hAnsi="Times New Roman" w:cs="Times New Roman"/>
          <w:sz w:val="28"/>
          <w:szCs w:val="28"/>
        </w:rPr>
        <w:t xml:space="preserve">. </w:t>
      </w:r>
      <w:proofErr w:type="spellStart"/>
      <w:r w:rsidR="00950FCD" w:rsidRPr="00864335">
        <w:rPr>
          <w:rFonts w:ascii="Times New Roman" w:hAnsi="Times New Roman" w:cs="Times New Roman"/>
          <w:i/>
          <w:iCs/>
          <w:sz w:val="28"/>
          <w:szCs w:val="28"/>
        </w:rPr>
        <w:t>Browde</w:t>
      </w:r>
      <w:proofErr w:type="spellEnd"/>
      <w:r w:rsidR="00950FCD">
        <w:rPr>
          <w:rFonts w:ascii="Times New Roman" w:hAnsi="Times New Roman" w:cs="Times New Roman"/>
          <w:sz w:val="28"/>
          <w:szCs w:val="28"/>
        </w:rPr>
        <w:t xml:space="preserve"> JA said the following in </w:t>
      </w:r>
      <w:r w:rsidR="00950FCD" w:rsidRPr="00950FCD">
        <w:rPr>
          <w:rFonts w:ascii="Times New Roman" w:hAnsi="Times New Roman" w:cs="Times New Roman"/>
          <w:b/>
          <w:bCs/>
          <w:sz w:val="28"/>
          <w:szCs w:val="28"/>
        </w:rPr>
        <w:t xml:space="preserve">Joy To The World v. </w:t>
      </w:r>
      <w:proofErr w:type="spellStart"/>
      <w:r w:rsidR="00950FCD" w:rsidRPr="00950FCD">
        <w:rPr>
          <w:rFonts w:ascii="Times New Roman" w:hAnsi="Times New Roman" w:cs="Times New Roman"/>
          <w:b/>
          <w:bCs/>
          <w:sz w:val="28"/>
          <w:szCs w:val="28"/>
        </w:rPr>
        <w:t>Malefane</w:t>
      </w:r>
      <w:proofErr w:type="spellEnd"/>
      <w:r w:rsidR="00950FCD">
        <w:rPr>
          <w:rStyle w:val="FootnoteReference"/>
          <w:rFonts w:ascii="Times New Roman" w:hAnsi="Times New Roman" w:cs="Times New Roman"/>
          <w:b/>
          <w:bCs/>
          <w:sz w:val="28"/>
          <w:szCs w:val="28"/>
        </w:rPr>
        <w:footnoteReference w:id="30"/>
      </w:r>
      <w:r w:rsidR="003C44B9">
        <w:rPr>
          <w:rFonts w:ascii="Times New Roman" w:hAnsi="Times New Roman" w:cs="Times New Roman"/>
          <w:sz w:val="28"/>
          <w:szCs w:val="28"/>
        </w:rPr>
        <w:t xml:space="preserve"> </w:t>
      </w:r>
      <w:r w:rsidR="00950FCD">
        <w:rPr>
          <w:rFonts w:ascii="Times New Roman" w:hAnsi="Times New Roman" w:cs="Times New Roman"/>
          <w:sz w:val="28"/>
          <w:szCs w:val="28"/>
        </w:rPr>
        <w:t xml:space="preserve">regarding a right of retention: </w:t>
      </w:r>
    </w:p>
    <w:p w14:paraId="1ABA3A46" w14:textId="55D185AD" w:rsidR="00950FCD" w:rsidRDefault="00950FCD" w:rsidP="00A82AE6">
      <w:pPr>
        <w:pStyle w:val="BodyText"/>
        <w:kinsoku w:val="0"/>
        <w:overflowPunct w:val="0"/>
        <w:ind w:left="1440" w:right="850"/>
        <w:jc w:val="both"/>
        <w:rPr>
          <w:rFonts w:ascii="Times New Roman" w:hAnsi="Times New Roman" w:cs="Times New Roman"/>
          <w:sz w:val="24"/>
          <w:szCs w:val="24"/>
        </w:rPr>
      </w:pPr>
      <w:r w:rsidRPr="00950FCD">
        <w:rPr>
          <w:rFonts w:ascii="Times New Roman" w:hAnsi="Times New Roman" w:cs="Times New Roman"/>
          <w:sz w:val="24"/>
          <w:szCs w:val="24"/>
        </w:rPr>
        <w:t>“Dealing onl</w:t>
      </w:r>
      <w:r w:rsidR="0077042B">
        <w:rPr>
          <w:rFonts w:ascii="Times New Roman" w:hAnsi="Times New Roman" w:cs="Times New Roman"/>
          <w:sz w:val="24"/>
          <w:szCs w:val="24"/>
        </w:rPr>
        <w:t xml:space="preserve">y with those improvements which are admittedly on the site in issue, the appellant, in order to establish a right of retention, had to show that the property was enhanced in value by the improvements.  Not every building is necessarily an improvement.  No effort was made to tender proof of enhancement, the appellant contenting itself with alleging the cost of the building it erected.  This evidence is irrelevant to its claim to exercise any right of </w:t>
      </w:r>
      <w:r>
        <w:rPr>
          <w:rFonts w:ascii="Times New Roman" w:hAnsi="Times New Roman" w:cs="Times New Roman"/>
          <w:sz w:val="24"/>
          <w:szCs w:val="24"/>
        </w:rPr>
        <w:t>retention”</w:t>
      </w:r>
    </w:p>
    <w:p w14:paraId="613D0FDF" w14:textId="77777777" w:rsidR="00430EF2" w:rsidRPr="00950FCD" w:rsidRDefault="00430EF2" w:rsidP="003F2F8B">
      <w:pPr>
        <w:pStyle w:val="BodyText"/>
        <w:kinsoku w:val="0"/>
        <w:overflowPunct w:val="0"/>
        <w:spacing w:line="480" w:lineRule="auto"/>
        <w:ind w:left="0"/>
        <w:jc w:val="both"/>
        <w:rPr>
          <w:rFonts w:ascii="Times New Roman" w:hAnsi="Times New Roman" w:cs="Times New Roman"/>
          <w:sz w:val="24"/>
          <w:szCs w:val="24"/>
        </w:rPr>
      </w:pPr>
    </w:p>
    <w:p w14:paraId="327390C4" w14:textId="79EDD0A0" w:rsidR="00950FCD" w:rsidRDefault="00430EF2"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864335">
        <w:rPr>
          <w:rFonts w:ascii="Times New Roman" w:hAnsi="Times New Roman" w:cs="Times New Roman"/>
          <w:sz w:val="28"/>
          <w:szCs w:val="28"/>
        </w:rPr>
        <w:t>50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B7322">
        <w:rPr>
          <w:rFonts w:ascii="Times New Roman" w:hAnsi="Times New Roman" w:cs="Times New Roman"/>
          <w:sz w:val="28"/>
          <w:szCs w:val="28"/>
        </w:rPr>
        <w:t xml:space="preserve">Inasmuch as </w:t>
      </w:r>
      <w:r w:rsidR="00423D5D">
        <w:rPr>
          <w:rFonts w:ascii="Times New Roman" w:hAnsi="Times New Roman" w:cs="Times New Roman"/>
          <w:sz w:val="28"/>
          <w:szCs w:val="28"/>
        </w:rPr>
        <w:t xml:space="preserve">the </w:t>
      </w:r>
      <w:r w:rsidR="00FB7322">
        <w:rPr>
          <w:rFonts w:ascii="Times New Roman" w:hAnsi="Times New Roman" w:cs="Times New Roman"/>
          <w:sz w:val="28"/>
          <w:szCs w:val="28"/>
        </w:rPr>
        <w:t>developments are not contested</w:t>
      </w:r>
      <w:r w:rsidR="00423D5D">
        <w:rPr>
          <w:rFonts w:ascii="Times New Roman" w:hAnsi="Times New Roman" w:cs="Times New Roman"/>
          <w:sz w:val="28"/>
          <w:szCs w:val="28"/>
        </w:rPr>
        <w:t xml:space="preserve"> in </w:t>
      </w:r>
      <w:r w:rsidR="00423D5D" w:rsidRPr="00423D5D">
        <w:rPr>
          <w:rFonts w:ascii="Times New Roman" w:hAnsi="Times New Roman" w:cs="Times New Roman"/>
          <w:i/>
          <w:iCs/>
          <w:sz w:val="28"/>
          <w:szCs w:val="28"/>
        </w:rPr>
        <w:t>casu</w:t>
      </w:r>
      <w:r w:rsidR="00FB7322">
        <w:rPr>
          <w:rFonts w:ascii="Times New Roman" w:hAnsi="Times New Roman" w:cs="Times New Roman"/>
          <w:sz w:val="28"/>
          <w:szCs w:val="28"/>
        </w:rPr>
        <w:t xml:space="preserve">, the </w:t>
      </w:r>
      <w:r>
        <w:rPr>
          <w:rFonts w:ascii="Times New Roman" w:hAnsi="Times New Roman" w:cs="Times New Roman"/>
          <w:sz w:val="28"/>
          <w:szCs w:val="28"/>
        </w:rPr>
        <w:t xml:space="preserve">applicant does not </w:t>
      </w:r>
      <w:r w:rsidR="00FB7322">
        <w:rPr>
          <w:rFonts w:ascii="Times New Roman" w:hAnsi="Times New Roman" w:cs="Times New Roman"/>
          <w:sz w:val="28"/>
          <w:szCs w:val="28"/>
        </w:rPr>
        <w:t>explain if the</w:t>
      </w:r>
      <w:r w:rsidR="00864335">
        <w:rPr>
          <w:rFonts w:ascii="Times New Roman" w:hAnsi="Times New Roman" w:cs="Times New Roman"/>
          <w:sz w:val="28"/>
          <w:szCs w:val="28"/>
        </w:rPr>
        <w:t xml:space="preserve">se </w:t>
      </w:r>
      <w:r w:rsidR="00FB7322">
        <w:rPr>
          <w:rFonts w:ascii="Times New Roman" w:hAnsi="Times New Roman" w:cs="Times New Roman"/>
          <w:sz w:val="28"/>
          <w:szCs w:val="28"/>
        </w:rPr>
        <w:t>were necessary or useful</w:t>
      </w:r>
      <w:r w:rsidR="00864335">
        <w:rPr>
          <w:rFonts w:ascii="Times New Roman" w:hAnsi="Times New Roman" w:cs="Times New Roman"/>
          <w:sz w:val="28"/>
          <w:szCs w:val="28"/>
        </w:rPr>
        <w:t xml:space="preserve"> developments</w:t>
      </w:r>
      <w:r w:rsidR="00FB7322">
        <w:rPr>
          <w:rFonts w:ascii="Times New Roman" w:hAnsi="Times New Roman" w:cs="Times New Roman"/>
          <w:sz w:val="28"/>
          <w:szCs w:val="28"/>
        </w:rPr>
        <w:t xml:space="preserve">. </w:t>
      </w:r>
      <w:r w:rsidR="00EC5343" w:rsidRPr="00864335">
        <w:rPr>
          <w:rFonts w:ascii="Times New Roman" w:hAnsi="Times New Roman" w:cs="Times New Roman"/>
          <w:i/>
          <w:iCs/>
          <w:sz w:val="28"/>
          <w:szCs w:val="28"/>
        </w:rPr>
        <w:t>Cloete</w:t>
      </w:r>
      <w:r w:rsidR="00EC5343">
        <w:rPr>
          <w:rFonts w:ascii="Times New Roman" w:hAnsi="Times New Roman" w:cs="Times New Roman"/>
          <w:sz w:val="28"/>
          <w:szCs w:val="28"/>
        </w:rPr>
        <w:t xml:space="preserve"> JA said the following in </w:t>
      </w:r>
      <w:proofErr w:type="spellStart"/>
      <w:r w:rsidR="00EC5343" w:rsidRPr="00C93F33">
        <w:rPr>
          <w:rFonts w:ascii="Times New Roman" w:hAnsi="Times New Roman" w:cs="Times New Roman"/>
          <w:b/>
          <w:bCs/>
          <w:sz w:val="28"/>
          <w:szCs w:val="28"/>
        </w:rPr>
        <w:t>Rhoode</w:t>
      </w:r>
      <w:proofErr w:type="spellEnd"/>
      <w:r w:rsidR="00EC5343" w:rsidRPr="00C93F33">
        <w:rPr>
          <w:rFonts w:ascii="Times New Roman" w:hAnsi="Times New Roman" w:cs="Times New Roman"/>
          <w:b/>
          <w:bCs/>
          <w:sz w:val="28"/>
          <w:szCs w:val="28"/>
        </w:rPr>
        <w:t xml:space="preserve"> v De Kock</w:t>
      </w:r>
      <w:r w:rsidR="00EC5343">
        <w:rPr>
          <w:rStyle w:val="FootnoteReference"/>
          <w:rFonts w:ascii="Times New Roman" w:hAnsi="Times New Roman" w:cs="Times New Roman"/>
          <w:sz w:val="28"/>
          <w:szCs w:val="28"/>
        </w:rPr>
        <w:footnoteReference w:id="31"/>
      </w:r>
      <w:r w:rsidR="00C93F33">
        <w:rPr>
          <w:rFonts w:ascii="Times New Roman" w:hAnsi="Times New Roman" w:cs="Times New Roman"/>
          <w:b/>
          <w:bCs/>
          <w:sz w:val="28"/>
          <w:szCs w:val="28"/>
        </w:rPr>
        <w:t xml:space="preserve"> </w:t>
      </w:r>
      <w:r w:rsidR="00C93F33">
        <w:rPr>
          <w:rFonts w:ascii="Times New Roman" w:hAnsi="Times New Roman" w:cs="Times New Roman"/>
          <w:sz w:val="28"/>
          <w:szCs w:val="28"/>
        </w:rPr>
        <w:t>regarding the classes of improvements and what needs to be established:</w:t>
      </w:r>
    </w:p>
    <w:p w14:paraId="41B88C77" w14:textId="5FF19017" w:rsidR="00C93F33" w:rsidRDefault="00C93F33" w:rsidP="009471E2">
      <w:pPr>
        <w:pStyle w:val="BodyText"/>
        <w:kinsoku w:val="0"/>
        <w:overflowPunct w:val="0"/>
        <w:ind w:left="0"/>
        <w:jc w:val="both"/>
        <w:rPr>
          <w:rFonts w:ascii="Times New Roman" w:hAnsi="Times New Roman" w:cs="Times New Roman"/>
          <w:sz w:val="28"/>
          <w:szCs w:val="28"/>
        </w:rPr>
      </w:pPr>
    </w:p>
    <w:p w14:paraId="16AC23A3" w14:textId="0B3084B7" w:rsidR="000B4E46" w:rsidRDefault="00C93F33" w:rsidP="00E47149">
      <w:pPr>
        <w:pStyle w:val="BodyText"/>
        <w:kinsoku w:val="0"/>
        <w:overflowPunct w:val="0"/>
        <w:ind w:left="1440" w:right="850"/>
        <w:jc w:val="both"/>
        <w:rPr>
          <w:rFonts w:ascii="Times New Roman" w:hAnsi="Times New Roman" w:cs="Times New Roman"/>
          <w:sz w:val="24"/>
          <w:szCs w:val="24"/>
        </w:rPr>
      </w:pPr>
      <w:r w:rsidRPr="00C93F33">
        <w:rPr>
          <w:rFonts w:ascii="Times New Roman" w:hAnsi="Times New Roman" w:cs="Times New Roman"/>
          <w:sz w:val="24"/>
          <w:szCs w:val="24"/>
        </w:rPr>
        <w:t>“[14] So far as</w:t>
      </w:r>
      <w:r w:rsidR="000B4E46">
        <w:rPr>
          <w:rFonts w:ascii="Times New Roman" w:hAnsi="Times New Roman" w:cs="Times New Roman"/>
          <w:sz w:val="24"/>
          <w:szCs w:val="24"/>
        </w:rPr>
        <w:t xml:space="preserve"> the claim for necessary expenses is concerned, Rhode would have</w:t>
      </w:r>
      <w:r w:rsidR="00AB3304">
        <w:rPr>
          <w:rFonts w:ascii="Times New Roman" w:hAnsi="Times New Roman" w:cs="Times New Roman"/>
          <w:sz w:val="24"/>
          <w:szCs w:val="24"/>
        </w:rPr>
        <w:t xml:space="preserve"> a </w:t>
      </w:r>
      <w:r w:rsidR="00EB439F">
        <w:rPr>
          <w:rFonts w:ascii="Times New Roman" w:hAnsi="Times New Roman" w:cs="Times New Roman"/>
          <w:sz w:val="24"/>
          <w:szCs w:val="24"/>
        </w:rPr>
        <w:t>c</w:t>
      </w:r>
      <w:r w:rsidR="000B4E46">
        <w:rPr>
          <w:rFonts w:ascii="Times New Roman" w:hAnsi="Times New Roman" w:cs="Times New Roman"/>
          <w:sz w:val="24"/>
          <w:szCs w:val="24"/>
        </w:rPr>
        <w:t xml:space="preserve">laim for reimbursement for expenditure of money or material on the preservation of the property.  He has no claim for his own labour: </w:t>
      </w:r>
      <w:r w:rsidR="000B4E46" w:rsidRPr="0058421C">
        <w:rPr>
          <w:rFonts w:ascii="Times New Roman" w:hAnsi="Times New Roman" w:cs="Times New Roman"/>
          <w:i/>
          <w:iCs/>
          <w:sz w:val="24"/>
          <w:szCs w:val="24"/>
        </w:rPr>
        <w:t>Harrison v Marchant</w:t>
      </w:r>
      <w:r w:rsidR="000B4E46">
        <w:rPr>
          <w:rFonts w:ascii="Times New Roman" w:hAnsi="Times New Roman" w:cs="Times New Roman"/>
          <w:sz w:val="24"/>
          <w:szCs w:val="24"/>
        </w:rPr>
        <w:t xml:space="preserve"> 1941 WLD 16 at 20-21.  The problem facing the appellant, however, is that he relies on the evidence of Bouwer who has estimated what the improvements would cost as at February 2010</w:t>
      </w:r>
      <w:r w:rsidR="00816A3F">
        <w:rPr>
          <w:rFonts w:ascii="Times New Roman" w:hAnsi="Times New Roman" w:cs="Times New Roman"/>
          <w:sz w:val="24"/>
          <w:szCs w:val="24"/>
        </w:rPr>
        <w:t>.</w:t>
      </w:r>
      <w:r w:rsidR="000B4E46">
        <w:rPr>
          <w:rFonts w:ascii="Times New Roman" w:hAnsi="Times New Roman" w:cs="Times New Roman"/>
          <w:sz w:val="24"/>
          <w:szCs w:val="24"/>
        </w:rPr>
        <w:t xml:space="preserve"> That evidence is irrelevant.  It does not establish that the appellant </w:t>
      </w:r>
      <w:proofErr w:type="gramStart"/>
      <w:r w:rsidR="000B4E46">
        <w:rPr>
          <w:rFonts w:ascii="Times New Roman" w:hAnsi="Times New Roman" w:cs="Times New Roman"/>
          <w:sz w:val="24"/>
          <w:szCs w:val="24"/>
        </w:rPr>
        <w:t>actually expended</w:t>
      </w:r>
      <w:proofErr w:type="gramEnd"/>
      <w:r w:rsidR="000B4E46">
        <w:rPr>
          <w:rFonts w:ascii="Times New Roman" w:hAnsi="Times New Roman" w:cs="Times New Roman"/>
          <w:sz w:val="24"/>
          <w:szCs w:val="24"/>
        </w:rPr>
        <w:t xml:space="preserve"> anything in money or materials.</w:t>
      </w:r>
    </w:p>
    <w:p w14:paraId="65D4A796" w14:textId="77777777" w:rsidR="0034328F" w:rsidRDefault="0034328F" w:rsidP="00A82AE6">
      <w:pPr>
        <w:pStyle w:val="BodyText"/>
        <w:kinsoku w:val="0"/>
        <w:overflowPunct w:val="0"/>
        <w:ind w:left="1440" w:right="850"/>
        <w:jc w:val="both"/>
        <w:rPr>
          <w:rFonts w:ascii="Times New Roman" w:hAnsi="Times New Roman" w:cs="Times New Roman"/>
          <w:sz w:val="24"/>
          <w:szCs w:val="24"/>
        </w:rPr>
      </w:pPr>
    </w:p>
    <w:p w14:paraId="267EDA2A" w14:textId="0AFE3266" w:rsidR="00816A3F" w:rsidRDefault="000B4E46" w:rsidP="00A82AE6">
      <w:pPr>
        <w:pStyle w:val="BodyText"/>
        <w:kinsoku w:val="0"/>
        <w:overflowPunct w:val="0"/>
        <w:ind w:left="1440" w:right="850"/>
        <w:jc w:val="both"/>
        <w:rPr>
          <w:rFonts w:ascii="Times New Roman" w:hAnsi="Times New Roman" w:cs="Times New Roman"/>
          <w:sz w:val="28"/>
          <w:szCs w:val="28"/>
        </w:rPr>
      </w:pPr>
      <w:r>
        <w:rPr>
          <w:rFonts w:ascii="Times New Roman" w:hAnsi="Times New Roman" w:cs="Times New Roman"/>
          <w:sz w:val="24"/>
          <w:szCs w:val="24"/>
        </w:rPr>
        <w:t>[15</w:t>
      </w:r>
      <w:proofErr w:type="gramStart"/>
      <w:r>
        <w:rPr>
          <w:rFonts w:ascii="Times New Roman" w:hAnsi="Times New Roman" w:cs="Times New Roman"/>
          <w:sz w:val="24"/>
          <w:szCs w:val="24"/>
        </w:rPr>
        <w:t>]  So</w:t>
      </w:r>
      <w:proofErr w:type="gramEnd"/>
      <w:r>
        <w:rPr>
          <w:rFonts w:ascii="Times New Roman" w:hAnsi="Times New Roman" w:cs="Times New Roman"/>
          <w:sz w:val="24"/>
          <w:szCs w:val="24"/>
        </w:rPr>
        <w:t xml:space="preserve"> far as useful expenses are concerned, the amount of compensation is limited to the amount by which the value of the property has </w:t>
      </w:r>
      <w:r w:rsidR="00C02043">
        <w:rPr>
          <w:rFonts w:ascii="Times New Roman" w:hAnsi="Times New Roman" w:cs="Times New Roman"/>
          <w:sz w:val="24"/>
          <w:szCs w:val="24"/>
        </w:rPr>
        <w:t>been increased or the amount of the expenses incurred by the appellant, whichever is the less; and the court has a wide discretion.  That was the Roman law: D 6.1.38; the position was the same in the Roman-Dutch law:</w:t>
      </w:r>
      <w:r w:rsidR="00816A3F">
        <w:rPr>
          <w:rFonts w:ascii="Times New Roman" w:hAnsi="Times New Roman" w:cs="Times New Roman"/>
          <w:sz w:val="24"/>
          <w:szCs w:val="24"/>
        </w:rPr>
        <w:t xml:space="preserve"> </w:t>
      </w:r>
      <w:proofErr w:type="spellStart"/>
      <w:r w:rsidR="00816A3F">
        <w:rPr>
          <w:rFonts w:ascii="Times New Roman" w:hAnsi="Times New Roman" w:cs="Times New Roman"/>
          <w:sz w:val="24"/>
          <w:szCs w:val="24"/>
        </w:rPr>
        <w:t>Voet</w:t>
      </w:r>
      <w:proofErr w:type="spellEnd"/>
      <w:r w:rsidR="00816A3F">
        <w:rPr>
          <w:rFonts w:ascii="Times New Roman" w:hAnsi="Times New Roman" w:cs="Times New Roman"/>
          <w:sz w:val="24"/>
          <w:szCs w:val="24"/>
        </w:rPr>
        <w:t xml:space="preserve"> 6.1 36; and it remains the same in the modern South African law</w:t>
      </w:r>
      <w:r w:rsidR="00C02043">
        <w:rPr>
          <w:rFonts w:ascii="Times New Roman" w:hAnsi="Times New Roman" w:cs="Times New Roman"/>
          <w:sz w:val="24"/>
          <w:szCs w:val="24"/>
        </w:rPr>
        <w:t xml:space="preserve"> </w:t>
      </w:r>
      <w:r w:rsidR="00C02043" w:rsidRPr="0058421C">
        <w:rPr>
          <w:rFonts w:ascii="Times New Roman" w:hAnsi="Times New Roman" w:cs="Times New Roman"/>
          <w:i/>
          <w:iCs/>
          <w:sz w:val="24"/>
          <w:szCs w:val="24"/>
        </w:rPr>
        <w:t>Meyer’s Trustees v Malan</w:t>
      </w:r>
      <w:r w:rsidR="00C02043">
        <w:rPr>
          <w:rFonts w:ascii="Times New Roman" w:hAnsi="Times New Roman" w:cs="Times New Roman"/>
          <w:sz w:val="24"/>
          <w:szCs w:val="24"/>
        </w:rPr>
        <w:t xml:space="preserve"> 1911 TPD 559 at 568; </w:t>
      </w:r>
      <w:r w:rsidR="00C02043" w:rsidRPr="0058421C">
        <w:rPr>
          <w:rFonts w:ascii="Times New Roman" w:hAnsi="Times New Roman" w:cs="Times New Roman"/>
          <w:i/>
          <w:iCs/>
          <w:sz w:val="24"/>
          <w:szCs w:val="24"/>
        </w:rPr>
        <w:t>Fletcher &amp; Fletcher v Bulawayo Waterworks Co Ltd</w:t>
      </w:r>
      <w:r w:rsidR="00C02043">
        <w:rPr>
          <w:rFonts w:ascii="Times New Roman" w:hAnsi="Times New Roman" w:cs="Times New Roman"/>
          <w:sz w:val="24"/>
          <w:szCs w:val="24"/>
        </w:rPr>
        <w:t xml:space="preserve"> 1915 AD 636 at 648, 656-657 and 664-665.”</w:t>
      </w:r>
      <w:r>
        <w:rPr>
          <w:rFonts w:ascii="Times New Roman" w:hAnsi="Times New Roman" w:cs="Times New Roman"/>
          <w:sz w:val="24"/>
          <w:szCs w:val="24"/>
        </w:rPr>
        <w:t xml:space="preserve">  </w:t>
      </w:r>
    </w:p>
    <w:p w14:paraId="07CBD425" w14:textId="77777777" w:rsidR="00816A3F" w:rsidRPr="00C93F33" w:rsidRDefault="00816A3F" w:rsidP="009471E2">
      <w:pPr>
        <w:pStyle w:val="BodyText"/>
        <w:kinsoku w:val="0"/>
        <w:overflowPunct w:val="0"/>
        <w:ind w:left="1440"/>
        <w:jc w:val="both"/>
        <w:rPr>
          <w:rFonts w:ascii="Times New Roman" w:hAnsi="Times New Roman" w:cs="Times New Roman"/>
          <w:sz w:val="24"/>
          <w:szCs w:val="24"/>
        </w:rPr>
      </w:pPr>
    </w:p>
    <w:p w14:paraId="57B03E65" w14:textId="112B5752" w:rsidR="00950FCD" w:rsidRDefault="00950FCD" w:rsidP="00D54234">
      <w:pPr>
        <w:pStyle w:val="BodyText"/>
        <w:kinsoku w:val="0"/>
        <w:overflowPunct w:val="0"/>
        <w:ind w:left="1440"/>
        <w:jc w:val="both"/>
        <w:rPr>
          <w:rFonts w:ascii="Times New Roman" w:hAnsi="Times New Roman" w:cs="Times New Roman"/>
          <w:sz w:val="28"/>
          <w:szCs w:val="28"/>
        </w:rPr>
      </w:pPr>
    </w:p>
    <w:p w14:paraId="08E23960" w14:textId="1A87B2A3" w:rsidR="0073107E" w:rsidRDefault="00F220C0"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967744">
        <w:rPr>
          <w:rFonts w:ascii="Times New Roman" w:hAnsi="Times New Roman" w:cs="Times New Roman"/>
          <w:sz w:val="28"/>
          <w:szCs w:val="28"/>
        </w:rPr>
        <w:t>5</w:t>
      </w:r>
      <w:r w:rsidR="0086433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3107E">
        <w:rPr>
          <w:rFonts w:ascii="Times New Roman" w:hAnsi="Times New Roman" w:cs="Times New Roman"/>
          <w:sz w:val="28"/>
          <w:szCs w:val="28"/>
        </w:rPr>
        <w:t xml:space="preserve">The applicant is not claiming </w:t>
      </w:r>
      <w:r w:rsidR="00132B44">
        <w:rPr>
          <w:rFonts w:ascii="Times New Roman" w:hAnsi="Times New Roman" w:cs="Times New Roman"/>
          <w:sz w:val="28"/>
          <w:szCs w:val="28"/>
        </w:rPr>
        <w:t>reimbursement for expenditure relevant to developments</w:t>
      </w:r>
      <w:r w:rsidR="0073107E">
        <w:rPr>
          <w:rFonts w:ascii="Times New Roman" w:hAnsi="Times New Roman" w:cs="Times New Roman"/>
          <w:sz w:val="28"/>
          <w:szCs w:val="28"/>
        </w:rPr>
        <w:t xml:space="preserve">, neither does it allege that the improvements were made as a matter of necessity. I can safely assume that the </w:t>
      </w:r>
      <w:r w:rsidR="00262623">
        <w:rPr>
          <w:rFonts w:ascii="Times New Roman" w:hAnsi="Times New Roman" w:cs="Times New Roman"/>
          <w:sz w:val="28"/>
          <w:szCs w:val="28"/>
        </w:rPr>
        <w:t xml:space="preserve">developments fall in the category of </w:t>
      </w:r>
      <w:r w:rsidR="0073107E">
        <w:rPr>
          <w:rFonts w:ascii="Times New Roman" w:hAnsi="Times New Roman" w:cs="Times New Roman"/>
          <w:sz w:val="28"/>
          <w:szCs w:val="28"/>
        </w:rPr>
        <w:t xml:space="preserve">useful </w:t>
      </w:r>
      <w:r w:rsidR="00262623">
        <w:rPr>
          <w:rFonts w:ascii="Times New Roman" w:hAnsi="Times New Roman" w:cs="Times New Roman"/>
          <w:sz w:val="28"/>
          <w:szCs w:val="28"/>
        </w:rPr>
        <w:t xml:space="preserve">improvements. </w:t>
      </w:r>
      <w:r w:rsidR="00132B44">
        <w:rPr>
          <w:rFonts w:ascii="Times New Roman" w:hAnsi="Times New Roman" w:cs="Times New Roman"/>
          <w:sz w:val="28"/>
          <w:szCs w:val="28"/>
        </w:rPr>
        <w:t xml:space="preserve"> </w:t>
      </w:r>
      <w:r w:rsidR="0073107E">
        <w:rPr>
          <w:rFonts w:ascii="Times New Roman" w:hAnsi="Times New Roman" w:cs="Times New Roman"/>
          <w:sz w:val="28"/>
          <w:szCs w:val="28"/>
        </w:rPr>
        <w:t xml:space="preserve">This assumption is fortified by the nature of the developments and the fact that the applicant is claiming compensation for the market value of the improvements. </w:t>
      </w:r>
      <w:r w:rsidR="00DF2045">
        <w:rPr>
          <w:rFonts w:ascii="Times New Roman" w:hAnsi="Times New Roman" w:cs="Times New Roman"/>
          <w:sz w:val="28"/>
          <w:szCs w:val="28"/>
        </w:rPr>
        <w:t xml:space="preserve">The applicant’s compensation is limited to the amount by which the value of the property was </w:t>
      </w:r>
      <w:r w:rsidR="00B2396D">
        <w:rPr>
          <w:rFonts w:ascii="Times New Roman" w:hAnsi="Times New Roman" w:cs="Times New Roman"/>
          <w:sz w:val="28"/>
          <w:szCs w:val="28"/>
        </w:rPr>
        <w:t>enhanced,</w:t>
      </w:r>
      <w:r w:rsidR="00DF2045">
        <w:rPr>
          <w:rFonts w:ascii="Times New Roman" w:hAnsi="Times New Roman" w:cs="Times New Roman"/>
          <w:sz w:val="28"/>
          <w:szCs w:val="28"/>
        </w:rPr>
        <w:t xml:space="preserve"> or the amount of the expenses incurred in </w:t>
      </w:r>
      <w:r w:rsidR="00DF2045">
        <w:rPr>
          <w:rFonts w:ascii="Times New Roman" w:hAnsi="Times New Roman" w:cs="Times New Roman"/>
          <w:sz w:val="28"/>
          <w:szCs w:val="28"/>
        </w:rPr>
        <w:lastRenderedPageBreak/>
        <w:t xml:space="preserve">effecting the improvements, </w:t>
      </w:r>
      <w:r w:rsidR="00B2396D">
        <w:rPr>
          <w:rFonts w:ascii="Times New Roman" w:hAnsi="Times New Roman" w:cs="Times New Roman"/>
          <w:sz w:val="28"/>
          <w:szCs w:val="28"/>
        </w:rPr>
        <w:t>whichever</w:t>
      </w:r>
      <w:r w:rsidR="00DF2045">
        <w:rPr>
          <w:rFonts w:ascii="Times New Roman" w:hAnsi="Times New Roman" w:cs="Times New Roman"/>
          <w:sz w:val="28"/>
          <w:szCs w:val="28"/>
        </w:rPr>
        <w:t xml:space="preserve"> is less.  </w:t>
      </w:r>
    </w:p>
    <w:p w14:paraId="13796411" w14:textId="3300A69C" w:rsidR="0073107E" w:rsidRDefault="0073107E" w:rsidP="003F2F8B">
      <w:pPr>
        <w:pStyle w:val="BodyText"/>
        <w:kinsoku w:val="0"/>
        <w:overflowPunct w:val="0"/>
        <w:spacing w:line="480" w:lineRule="auto"/>
        <w:ind w:left="0"/>
        <w:jc w:val="both"/>
        <w:rPr>
          <w:rFonts w:ascii="Times New Roman" w:hAnsi="Times New Roman" w:cs="Times New Roman"/>
          <w:sz w:val="28"/>
          <w:szCs w:val="28"/>
        </w:rPr>
      </w:pPr>
    </w:p>
    <w:p w14:paraId="174C313B" w14:textId="0F0C4F54" w:rsidR="00981AAB" w:rsidRDefault="0073107E"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967744">
        <w:rPr>
          <w:rFonts w:ascii="Times New Roman" w:hAnsi="Times New Roman" w:cs="Times New Roman"/>
          <w:sz w:val="28"/>
          <w:szCs w:val="28"/>
        </w:rPr>
        <w:t>5</w:t>
      </w:r>
      <w:r w:rsidR="0086433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61491">
        <w:rPr>
          <w:rFonts w:ascii="Times New Roman" w:hAnsi="Times New Roman" w:cs="Times New Roman"/>
          <w:sz w:val="28"/>
          <w:szCs w:val="28"/>
        </w:rPr>
        <w:t xml:space="preserve">The </w:t>
      </w:r>
      <w:r w:rsidR="00A7307A">
        <w:rPr>
          <w:rFonts w:ascii="Times New Roman" w:hAnsi="Times New Roman" w:cs="Times New Roman"/>
          <w:sz w:val="28"/>
          <w:szCs w:val="28"/>
        </w:rPr>
        <w:t>applicant has de</w:t>
      </w:r>
      <w:r w:rsidR="00B2396D">
        <w:rPr>
          <w:rFonts w:ascii="Times New Roman" w:hAnsi="Times New Roman" w:cs="Times New Roman"/>
          <w:sz w:val="28"/>
          <w:szCs w:val="28"/>
        </w:rPr>
        <w:t xml:space="preserve">scribed </w:t>
      </w:r>
      <w:r w:rsidR="00A7307A">
        <w:rPr>
          <w:rFonts w:ascii="Times New Roman" w:hAnsi="Times New Roman" w:cs="Times New Roman"/>
          <w:sz w:val="28"/>
          <w:szCs w:val="28"/>
        </w:rPr>
        <w:t xml:space="preserve">the </w:t>
      </w:r>
      <w:r w:rsidR="00161491">
        <w:rPr>
          <w:rFonts w:ascii="Times New Roman" w:hAnsi="Times New Roman" w:cs="Times New Roman"/>
          <w:sz w:val="28"/>
          <w:szCs w:val="28"/>
        </w:rPr>
        <w:t>developments that</w:t>
      </w:r>
      <w:r w:rsidR="00A7307A">
        <w:rPr>
          <w:rFonts w:ascii="Times New Roman" w:hAnsi="Times New Roman" w:cs="Times New Roman"/>
          <w:sz w:val="28"/>
          <w:szCs w:val="28"/>
        </w:rPr>
        <w:t xml:space="preserve"> it effected</w:t>
      </w:r>
      <w:r w:rsidR="00FB7322">
        <w:rPr>
          <w:rFonts w:ascii="Times New Roman" w:hAnsi="Times New Roman" w:cs="Times New Roman"/>
          <w:sz w:val="28"/>
          <w:szCs w:val="28"/>
        </w:rPr>
        <w:t xml:space="preserve"> on the premises</w:t>
      </w:r>
      <w:r w:rsidR="00423D5D">
        <w:rPr>
          <w:rFonts w:ascii="Times New Roman" w:hAnsi="Times New Roman" w:cs="Times New Roman"/>
          <w:sz w:val="28"/>
          <w:szCs w:val="28"/>
        </w:rPr>
        <w:t xml:space="preserve">, but there is no </w:t>
      </w:r>
      <w:r w:rsidR="00C93EEA">
        <w:rPr>
          <w:rFonts w:ascii="Times New Roman" w:hAnsi="Times New Roman" w:cs="Times New Roman"/>
          <w:sz w:val="28"/>
          <w:szCs w:val="28"/>
        </w:rPr>
        <w:t>evidence that t</w:t>
      </w:r>
      <w:r w:rsidR="00FB7322">
        <w:rPr>
          <w:rFonts w:ascii="Times New Roman" w:hAnsi="Times New Roman" w:cs="Times New Roman"/>
          <w:sz w:val="28"/>
          <w:szCs w:val="28"/>
        </w:rPr>
        <w:t>he developments have enhanced the value of the property</w:t>
      </w:r>
      <w:r w:rsidR="00DF2045">
        <w:rPr>
          <w:rFonts w:ascii="Times New Roman" w:hAnsi="Times New Roman" w:cs="Times New Roman"/>
          <w:sz w:val="28"/>
          <w:szCs w:val="28"/>
        </w:rPr>
        <w:t xml:space="preserve">. </w:t>
      </w:r>
      <w:r w:rsidR="00365C83">
        <w:rPr>
          <w:rFonts w:ascii="Times New Roman" w:hAnsi="Times New Roman" w:cs="Times New Roman"/>
          <w:sz w:val="28"/>
          <w:szCs w:val="28"/>
        </w:rPr>
        <w:t xml:space="preserve">However, these </w:t>
      </w:r>
      <w:r w:rsidR="00423D5D">
        <w:rPr>
          <w:rFonts w:ascii="Times New Roman" w:hAnsi="Times New Roman" w:cs="Times New Roman"/>
          <w:sz w:val="28"/>
          <w:szCs w:val="28"/>
        </w:rPr>
        <w:t xml:space="preserve">being </w:t>
      </w:r>
      <w:r w:rsidR="00365C83">
        <w:rPr>
          <w:rFonts w:ascii="Times New Roman" w:hAnsi="Times New Roman" w:cs="Times New Roman"/>
          <w:sz w:val="28"/>
          <w:szCs w:val="28"/>
        </w:rPr>
        <w:t>income generating developments</w:t>
      </w:r>
      <w:r w:rsidR="00423D5D">
        <w:rPr>
          <w:rFonts w:ascii="Times New Roman" w:hAnsi="Times New Roman" w:cs="Times New Roman"/>
          <w:sz w:val="28"/>
          <w:szCs w:val="28"/>
        </w:rPr>
        <w:t>, I accept that they must have e</w:t>
      </w:r>
      <w:r w:rsidR="00365C83">
        <w:rPr>
          <w:rFonts w:ascii="Times New Roman" w:hAnsi="Times New Roman" w:cs="Times New Roman"/>
          <w:sz w:val="28"/>
          <w:szCs w:val="28"/>
        </w:rPr>
        <w:t xml:space="preserve">nhanced the value of the property. </w:t>
      </w:r>
      <w:r w:rsidR="00262623">
        <w:rPr>
          <w:rFonts w:ascii="Times New Roman" w:hAnsi="Times New Roman" w:cs="Times New Roman"/>
          <w:sz w:val="28"/>
          <w:szCs w:val="28"/>
        </w:rPr>
        <w:t xml:space="preserve">I am cautions though of </w:t>
      </w:r>
      <w:proofErr w:type="spellStart"/>
      <w:r w:rsidR="00262623" w:rsidRPr="00864335">
        <w:rPr>
          <w:rFonts w:ascii="Times New Roman" w:hAnsi="Times New Roman" w:cs="Times New Roman"/>
          <w:i/>
          <w:iCs/>
          <w:sz w:val="28"/>
          <w:szCs w:val="28"/>
        </w:rPr>
        <w:t>Browde</w:t>
      </w:r>
      <w:proofErr w:type="spellEnd"/>
      <w:r w:rsidR="00262623">
        <w:rPr>
          <w:rFonts w:ascii="Times New Roman" w:hAnsi="Times New Roman" w:cs="Times New Roman"/>
          <w:sz w:val="28"/>
          <w:szCs w:val="28"/>
        </w:rPr>
        <w:t xml:space="preserve"> JA’s </w:t>
      </w:r>
      <w:r w:rsidR="00B2396D" w:rsidRPr="00B2396D">
        <w:rPr>
          <w:rFonts w:ascii="Times New Roman" w:hAnsi="Times New Roman" w:cs="Times New Roman"/>
          <w:i/>
          <w:iCs/>
          <w:sz w:val="28"/>
          <w:szCs w:val="28"/>
        </w:rPr>
        <w:t>ratio</w:t>
      </w:r>
      <w:r w:rsidR="00B2396D">
        <w:rPr>
          <w:rFonts w:ascii="Times New Roman" w:hAnsi="Times New Roman" w:cs="Times New Roman"/>
          <w:sz w:val="28"/>
          <w:szCs w:val="28"/>
        </w:rPr>
        <w:t xml:space="preserve"> </w:t>
      </w:r>
      <w:r w:rsidR="00262623">
        <w:rPr>
          <w:rFonts w:ascii="Times New Roman" w:hAnsi="Times New Roman" w:cs="Times New Roman"/>
          <w:sz w:val="28"/>
          <w:szCs w:val="28"/>
        </w:rPr>
        <w:t xml:space="preserve">in </w:t>
      </w:r>
      <w:r w:rsidR="00262623" w:rsidRPr="00262623">
        <w:rPr>
          <w:rFonts w:ascii="Times New Roman" w:hAnsi="Times New Roman" w:cs="Times New Roman"/>
          <w:b/>
          <w:bCs/>
          <w:sz w:val="28"/>
          <w:szCs w:val="28"/>
        </w:rPr>
        <w:t xml:space="preserve">Joy </w:t>
      </w:r>
      <w:proofErr w:type="gramStart"/>
      <w:r w:rsidR="00262623" w:rsidRPr="00262623">
        <w:rPr>
          <w:rFonts w:ascii="Times New Roman" w:hAnsi="Times New Roman" w:cs="Times New Roman"/>
          <w:b/>
          <w:bCs/>
          <w:sz w:val="28"/>
          <w:szCs w:val="28"/>
        </w:rPr>
        <w:t>To</w:t>
      </w:r>
      <w:proofErr w:type="gramEnd"/>
      <w:r w:rsidR="00262623" w:rsidRPr="00262623">
        <w:rPr>
          <w:rFonts w:ascii="Times New Roman" w:hAnsi="Times New Roman" w:cs="Times New Roman"/>
          <w:b/>
          <w:bCs/>
          <w:sz w:val="28"/>
          <w:szCs w:val="28"/>
        </w:rPr>
        <w:t xml:space="preserve"> The World v. </w:t>
      </w:r>
      <w:proofErr w:type="spellStart"/>
      <w:r w:rsidR="00262623" w:rsidRPr="00262623">
        <w:rPr>
          <w:rFonts w:ascii="Times New Roman" w:hAnsi="Times New Roman" w:cs="Times New Roman"/>
          <w:b/>
          <w:bCs/>
          <w:sz w:val="28"/>
          <w:szCs w:val="28"/>
        </w:rPr>
        <w:t>Malefane</w:t>
      </w:r>
      <w:proofErr w:type="spellEnd"/>
      <w:r w:rsidR="00262623">
        <w:rPr>
          <w:rStyle w:val="FootnoteReference"/>
          <w:rFonts w:ascii="Times New Roman" w:hAnsi="Times New Roman" w:cs="Times New Roman"/>
          <w:b/>
          <w:bCs/>
          <w:sz w:val="28"/>
          <w:szCs w:val="28"/>
        </w:rPr>
        <w:footnoteReference w:id="32"/>
      </w:r>
      <w:r w:rsidR="00262623">
        <w:rPr>
          <w:rFonts w:ascii="Times New Roman" w:hAnsi="Times New Roman" w:cs="Times New Roman"/>
          <w:sz w:val="28"/>
          <w:szCs w:val="28"/>
        </w:rPr>
        <w:t xml:space="preserve"> that </w:t>
      </w:r>
      <w:r w:rsidR="00262623" w:rsidRPr="00262623">
        <w:rPr>
          <w:rFonts w:ascii="Times New Roman" w:hAnsi="Times New Roman" w:cs="Times New Roman"/>
          <w:i/>
          <w:iCs/>
          <w:sz w:val="28"/>
          <w:szCs w:val="28"/>
        </w:rPr>
        <w:t>“not every building is necessarily an improvement”</w:t>
      </w:r>
      <w:r w:rsidR="00262623">
        <w:rPr>
          <w:rFonts w:ascii="Times New Roman" w:hAnsi="Times New Roman" w:cs="Times New Roman"/>
          <w:sz w:val="28"/>
          <w:szCs w:val="28"/>
        </w:rPr>
        <w:t xml:space="preserve"> as well as</w:t>
      </w:r>
      <w:r w:rsidR="00FA3AC8">
        <w:rPr>
          <w:rFonts w:ascii="Times New Roman" w:hAnsi="Times New Roman" w:cs="Times New Roman"/>
          <w:sz w:val="28"/>
          <w:szCs w:val="28"/>
        </w:rPr>
        <w:t xml:space="preserve"> that of</w:t>
      </w:r>
      <w:r w:rsidR="00262623">
        <w:rPr>
          <w:rFonts w:ascii="Times New Roman" w:hAnsi="Times New Roman" w:cs="Times New Roman"/>
          <w:sz w:val="28"/>
          <w:szCs w:val="28"/>
        </w:rPr>
        <w:t xml:space="preserve"> </w:t>
      </w:r>
      <w:r w:rsidR="00262623" w:rsidRPr="00864335">
        <w:rPr>
          <w:rFonts w:ascii="Times New Roman" w:hAnsi="Times New Roman" w:cs="Times New Roman"/>
          <w:i/>
          <w:iCs/>
          <w:sz w:val="28"/>
          <w:szCs w:val="28"/>
        </w:rPr>
        <w:t xml:space="preserve">Davis </w:t>
      </w:r>
      <w:r w:rsidR="00262623">
        <w:rPr>
          <w:rFonts w:ascii="Times New Roman" w:hAnsi="Times New Roman" w:cs="Times New Roman"/>
          <w:sz w:val="28"/>
          <w:szCs w:val="28"/>
        </w:rPr>
        <w:t>J</w:t>
      </w:r>
      <w:r w:rsidR="00FA3AC8">
        <w:rPr>
          <w:rFonts w:ascii="Times New Roman" w:hAnsi="Times New Roman" w:cs="Times New Roman"/>
          <w:sz w:val="28"/>
          <w:szCs w:val="28"/>
        </w:rPr>
        <w:t xml:space="preserve"> </w:t>
      </w:r>
      <w:r w:rsidR="00262623">
        <w:rPr>
          <w:rFonts w:ascii="Times New Roman" w:hAnsi="Times New Roman" w:cs="Times New Roman"/>
          <w:sz w:val="28"/>
          <w:szCs w:val="28"/>
        </w:rPr>
        <w:t xml:space="preserve">in </w:t>
      </w:r>
      <w:r w:rsidR="00262623" w:rsidRPr="00262623">
        <w:rPr>
          <w:rFonts w:ascii="Times New Roman" w:hAnsi="Times New Roman" w:cs="Times New Roman"/>
          <w:b/>
          <w:bCs/>
          <w:sz w:val="28"/>
          <w:szCs w:val="28"/>
        </w:rPr>
        <w:t>Geiger Enterprise (Pty) Ltd v. Crestar Printers &amp; Publishers (Pty) Ltd</w:t>
      </w:r>
      <w:r w:rsidR="00262623">
        <w:rPr>
          <w:rStyle w:val="FootnoteReference"/>
          <w:rFonts w:ascii="Times New Roman" w:hAnsi="Times New Roman" w:cs="Times New Roman"/>
          <w:b/>
          <w:bCs/>
          <w:sz w:val="28"/>
          <w:szCs w:val="28"/>
        </w:rPr>
        <w:footnoteReference w:id="33"/>
      </w:r>
      <w:r w:rsidR="00262623" w:rsidRPr="00262623">
        <w:rPr>
          <w:rFonts w:ascii="Times New Roman" w:hAnsi="Times New Roman" w:cs="Times New Roman"/>
          <w:b/>
          <w:bCs/>
          <w:sz w:val="28"/>
          <w:szCs w:val="28"/>
        </w:rPr>
        <w:t xml:space="preserve"> </w:t>
      </w:r>
      <w:r w:rsidR="00981AAB">
        <w:rPr>
          <w:rFonts w:ascii="Times New Roman" w:hAnsi="Times New Roman" w:cs="Times New Roman"/>
          <w:sz w:val="28"/>
          <w:szCs w:val="28"/>
        </w:rPr>
        <w:t>that the fact that</w:t>
      </w:r>
      <w:r w:rsidR="00FA3AC8">
        <w:rPr>
          <w:rFonts w:ascii="Times New Roman" w:hAnsi="Times New Roman" w:cs="Times New Roman"/>
          <w:sz w:val="28"/>
          <w:szCs w:val="28"/>
        </w:rPr>
        <w:t xml:space="preserve"> R4.1</w:t>
      </w:r>
      <w:r w:rsidR="00981AAB">
        <w:rPr>
          <w:rFonts w:ascii="Times New Roman" w:hAnsi="Times New Roman" w:cs="Times New Roman"/>
          <w:sz w:val="28"/>
          <w:szCs w:val="28"/>
        </w:rPr>
        <w:t xml:space="preserve"> million </w:t>
      </w:r>
      <w:r w:rsidR="00FA3AC8">
        <w:rPr>
          <w:rFonts w:ascii="Times New Roman" w:hAnsi="Times New Roman" w:cs="Times New Roman"/>
          <w:sz w:val="28"/>
          <w:szCs w:val="28"/>
        </w:rPr>
        <w:t xml:space="preserve">was spent on electrical installations, </w:t>
      </w:r>
      <w:r w:rsidR="00981AAB">
        <w:rPr>
          <w:rFonts w:ascii="Times New Roman" w:hAnsi="Times New Roman" w:cs="Times New Roman"/>
          <w:sz w:val="28"/>
          <w:szCs w:val="28"/>
        </w:rPr>
        <w:t>d</w:t>
      </w:r>
      <w:r w:rsidR="00FA3AC8">
        <w:rPr>
          <w:rFonts w:ascii="Times New Roman" w:hAnsi="Times New Roman" w:cs="Times New Roman"/>
          <w:sz w:val="28"/>
          <w:szCs w:val="28"/>
        </w:rPr>
        <w:t xml:space="preserve">id not </w:t>
      </w:r>
      <w:r w:rsidR="00981AAB">
        <w:rPr>
          <w:rFonts w:ascii="Times New Roman" w:hAnsi="Times New Roman" w:cs="Times New Roman"/>
          <w:sz w:val="28"/>
          <w:szCs w:val="28"/>
        </w:rPr>
        <w:t xml:space="preserve">necessarily equate to the </w:t>
      </w:r>
      <w:r w:rsidR="00FA3AC8">
        <w:rPr>
          <w:rFonts w:ascii="Times New Roman" w:hAnsi="Times New Roman" w:cs="Times New Roman"/>
          <w:sz w:val="28"/>
          <w:szCs w:val="28"/>
        </w:rPr>
        <w:t xml:space="preserve">installations </w:t>
      </w:r>
      <w:r w:rsidR="00981AAB">
        <w:rPr>
          <w:rFonts w:ascii="Times New Roman" w:hAnsi="Times New Roman" w:cs="Times New Roman"/>
          <w:sz w:val="28"/>
          <w:szCs w:val="28"/>
        </w:rPr>
        <w:t xml:space="preserve">having increased the value of the premises. </w:t>
      </w:r>
    </w:p>
    <w:p w14:paraId="3D42258B" w14:textId="77777777" w:rsidR="00981AAB" w:rsidRDefault="00981AAB" w:rsidP="003F2F8B">
      <w:pPr>
        <w:pStyle w:val="BodyText"/>
        <w:kinsoku w:val="0"/>
        <w:overflowPunct w:val="0"/>
        <w:spacing w:line="480" w:lineRule="auto"/>
        <w:ind w:left="0"/>
        <w:jc w:val="both"/>
        <w:rPr>
          <w:rFonts w:ascii="Times New Roman" w:hAnsi="Times New Roman" w:cs="Times New Roman"/>
          <w:sz w:val="28"/>
          <w:szCs w:val="28"/>
        </w:rPr>
      </w:pPr>
    </w:p>
    <w:p w14:paraId="25CB7779" w14:textId="08C6AA65" w:rsidR="004E0F2A" w:rsidRDefault="00981AAB"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FA3AC8">
        <w:rPr>
          <w:rFonts w:ascii="Times New Roman" w:hAnsi="Times New Roman" w:cs="Times New Roman"/>
          <w:sz w:val="28"/>
          <w:szCs w:val="28"/>
        </w:rPr>
        <w:t>5</w:t>
      </w:r>
      <w:r w:rsidR="00864335">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A3AC8">
        <w:rPr>
          <w:rFonts w:ascii="Times New Roman" w:hAnsi="Times New Roman" w:cs="Times New Roman"/>
          <w:sz w:val="28"/>
          <w:szCs w:val="28"/>
        </w:rPr>
        <w:t>The fundamental challenge I have is that</w:t>
      </w:r>
      <w:r>
        <w:rPr>
          <w:rFonts w:ascii="Times New Roman" w:hAnsi="Times New Roman" w:cs="Times New Roman"/>
          <w:sz w:val="28"/>
          <w:szCs w:val="28"/>
        </w:rPr>
        <w:t xml:space="preserve"> </w:t>
      </w:r>
      <w:r w:rsidR="00365C83">
        <w:rPr>
          <w:rFonts w:ascii="Times New Roman" w:hAnsi="Times New Roman" w:cs="Times New Roman"/>
          <w:sz w:val="28"/>
          <w:szCs w:val="28"/>
        </w:rPr>
        <w:t>the extent to which the value of the property has been enhanced</w:t>
      </w:r>
      <w:r>
        <w:rPr>
          <w:rFonts w:ascii="Times New Roman" w:hAnsi="Times New Roman" w:cs="Times New Roman"/>
          <w:sz w:val="28"/>
          <w:szCs w:val="28"/>
        </w:rPr>
        <w:t xml:space="preserve"> is conspicuously missing</w:t>
      </w:r>
      <w:r w:rsidR="00C93EEA">
        <w:rPr>
          <w:rFonts w:ascii="Times New Roman" w:hAnsi="Times New Roman" w:cs="Times New Roman"/>
          <w:sz w:val="28"/>
          <w:szCs w:val="28"/>
        </w:rPr>
        <w:t>. Again, there</w:t>
      </w:r>
      <w:r w:rsidR="004E0F2A">
        <w:rPr>
          <w:rFonts w:ascii="Times New Roman" w:hAnsi="Times New Roman" w:cs="Times New Roman"/>
          <w:sz w:val="28"/>
          <w:szCs w:val="28"/>
        </w:rPr>
        <w:t xml:space="preserve"> is a considerable conflict whether the place was already used as a petrol and diesel depot before. </w:t>
      </w:r>
      <w:r>
        <w:rPr>
          <w:rFonts w:ascii="Times New Roman" w:hAnsi="Times New Roman" w:cs="Times New Roman"/>
          <w:sz w:val="28"/>
          <w:szCs w:val="28"/>
        </w:rPr>
        <w:t>Respondent contends that no</w:t>
      </w:r>
      <w:r w:rsidR="00262623">
        <w:rPr>
          <w:rFonts w:ascii="Times New Roman" w:hAnsi="Times New Roman" w:cs="Times New Roman"/>
          <w:sz w:val="28"/>
          <w:szCs w:val="28"/>
        </w:rPr>
        <w:t xml:space="preserve"> developments were </w:t>
      </w:r>
      <w:r>
        <w:rPr>
          <w:rFonts w:ascii="Times New Roman" w:hAnsi="Times New Roman" w:cs="Times New Roman"/>
          <w:sz w:val="28"/>
          <w:szCs w:val="28"/>
        </w:rPr>
        <w:t xml:space="preserve">contemplated, and </w:t>
      </w:r>
      <w:r w:rsidR="00B01C19">
        <w:rPr>
          <w:rFonts w:ascii="Times New Roman" w:hAnsi="Times New Roman" w:cs="Times New Roman"/>
          <w:sz w:val="28"/>
          <w:szCs w:val="28"/>
        </w:rPr>
        <w:t xml:space="preserve">that </w:t>
      </w:r>
      <w:r>
        <w:rPr>
          <w:rFonts w:ascii="Times New Roman" w:hAnsi="Times New Roman" w:cs="Times New Roman"/>
          <w:sz w:val="28"/>
          <w:szCs w:val="28"/>
        </w:rPr>
        <w:t>the applicant was expected to use infrastructure that was already there</w:t>
      </w:r>
      <w:r w:rsidR="00262623">
        <w:rPr>
          <w:rFonts w:ascii="Times New Roman" w:hAnsi="Times New Roman" w:cs="Times New Roman"/>
          <w:sz w:val="28"/>
          <w:szCs w:val="28"/>
        </w:rPr>
        <w:t xml:space="preserve">. </w:t>
      </w:r>
      <w:r w:rsidR="00C93EEA">
        <w:rPr>
          <w:rFonts w:ascii="Times New Roman" w:hAnsi="Times New Roman" w:cs="Times New Roman"/>
          <w:sz w:val="28"/>
          <w:szCs w:val="28"/>
        </w:rPr>
        <w:t xml:space="preserve">The applicant clearly appreciates the significance of this conflict in the determination of the </w:t>
      </w:r>
      <w:r w:rsidR="004E0F2A">
        <w:rPr>
          <w:rFonts w:ascii="Times New Roman" w:hAnsi="Times New Roman" w:cs="Times New Roman"/>
          <w:sz w:val="28"/>
          <w:szCs w:val="28"/>
        </w:rPr>
        <w:t>value by which the</w:t>
      </w:r>
      <w:r w:rsidR="00C93EEA">
        <w:rPr>
          <w:rFonts w:ascii="Times New Roman" w:hAnsi="Times New Roman" w:cs="Times New Roman"/>
          <w:sz w:val="28"/>
          <w:szCs w:val="28"/>
        </w:rPr>
        <w:t xml:space="preserve"> property </w:t>
      </w:r>
      <w:r w:rsidR="004E0F2A">
        <w:rPr>
          <w:rFonts w:ascii="Times New Roman" w:hAnsi="Times New Roman" w:cs="Times New Roman"/>
          <w:sz w:val="28"/>
          <w:szCs w:val="28"/>
        </w:rPr>
        <w:t xml:space="preserve">was </w:t>
      </w:r>
      <w:r w:rsidR="00FA3AC8">
        <w:rPr>
          <w:rFonts w:ascii="Times New Roman" w:hAnsi="Times New Roman" w:cs="Times New Roman"/>
          <w:sz w:val="28"/>
          <w:szCs w:val="28"/>
        </w:rPr>
        <w:t>enhanced;</w:t>
      </w:r>
      <w:r w:rsidR="00C93EEA">
        <w:rPr>
          <w:rFonts w:ascii="Times New Roman" w:hAnsi="Times New Roman" w:cs="Times New Roman"/>
          <w:sz w:val="28"/>
          <w:szCs w:val="28"/>
        </w:rPr>
        <w:t xml:space="preserve"> hence it a</w:t>
      </w:r>
      <w:r w:rsidR="004E0F2A">
        <w:rPr>
          <w:rFonts w:ascii="Times New Roman" w:hAnsi="Times New Roman" w:cs="Times New Roman"/>
          <w:sz w:val="28"/>
          <w:szCs w:val="28"/>
        </w:rPr>
        <w:t>sked th</w:t>
      </w:r>
      <w:r>
        <w:rPr>
          <w:rFonts w:ascii="Times New Roman" w:hAnsi="Times New Roman" w:cs="Times New Roman"/>
          <w:sz w:val="28"/>
          <w:szCs w:val="28"/>
        </w:rPr>
        <w:t>e</w:t>
      </w:r>
      <w:r w:rsidR="004E0F2A">
        <w:rPr>
          <w:rFonts w:ascii="Times New Roman" w:hAnsi="Times New Roman" w:cs="Times New Roman"/>
          <w:sz w:val="28"/>
          <w:szCs w:val="28"/>
        </w:rPr>
        <w:t xml:space="preserve"> dispute to be referred for oral evidence. </w:t>
      </w:r>
      <w:r w:rsidR="00864335">
        <w:rPr>
          <w:rFonts w:ascii="Times New Roman" w:hAnsi="Times New Roman" w:cs="Times New Roman"/>
          <w:sz w:val="28"/>
          <w:szCs w:val="28"/>
        </w:rPr>
        <w:t xml:space="preserve">Counsel for applicant did not pursue this approach during oral </w:t>
      </w:r>
      <w:r w:rsidR="00864335">
        <w:rPr>
          <w:rFonts w:ascii="Times New Roman" w:hAnsi="Times New Roman" w:cs="Times New Roman"/>
          <w:sz w:val="28"/>
          <w:szCs w:val="28"/>
        </w:rPr>
        <w:lastRenderedPageBreak/>
        <w:t xml:space="preserve">submissions. </w:t>
      </w:r>
    </w:p>
    <w:p w14:paraId="79BE7F0C" w14:textId="77777777" w:rsidR="008B3BD6" w:rsidRDefault="008B3BD6" w:rsidP="003F2F8B">
      <w:pPr>
        <w:pStyle w:val="BodyText"/>
        <w:kinsoku w:val="0"/>
        <w:overflowPunct w:val="0"/>
        <w:spacing w:line="480" w:lineRule="auto"/>
        <w:ind w:left="0"/>
        <w:jc w:val="both"/>
        <w:rPr>
          <w:rFonts w:ascii="Times New Roman" w:hAnsi="Times New Roman" w:cs="Times New Roman"/>
          <w:sz w:val="28"/>
          <w:szCs w:val="28"/>
        </w:rPr>
      </w:pPr>
    </w:p>
    <w:p w14:paraId="1950AC9E" w14:textId="27E7E381" w:rsidR="00D73264" w:rsidRDefault="004E0F2A"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FA3AC8">
        <w:rPr>
          <w:rFonts w:ascii="Times New Roman" w:hAnsi="Times New Roman" w:cs="Times New Roman"/>
          <w:sz w:val="28"/>
          <w:szCs w:val="28"/>
        </w:rPr>
        <w:t>5</w:t>
      </w:r>
      <w:r w:rsidR="0086433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93EEA">
        <w:rPr>
          <w:rFonts w:ascii="Times New Roman" w:hAnsi="Times New Roman" w:cs="Times New Roman"/>
          <w:sz w:val="28"/>
          <w:szCs w:val="28"/>
        </w:rPr>
        <w:t xml:space="preserve">Besides, the actual expenses incurred have not been disclosed. </w:t>
      </w:r>
      <w:r>
        <w:rPr>
          <w:rFonts w:ascii="Times New Roman" w:hAnsi="Times New Roman" w:cs="Times New Roman"/>
          <w:sz w:val="28"/>
          <w:szCs w:val="28"/>
        </w:rPr>
        <w:t>Th</w:t>
      </w:r>
      <w:r w:rsidR="001C2FE5">
        <w:rPr>
          <w:rFonts w:ascii="Times New Roman" w:hAnsi="Times New Roman" w:cs="Times New Roman"/>
          <w:sz w:val="28"/>
          <w:szCs w:val="28"/>
        </w:rPr>
        <w:t xml:space="preserve">ere is no evidence to substantiate the estimated </w:t>
      </w:r>
      <w:r w:rsidR="00F72511">
        <w:rPr>
          <w:rFonts w:ascii="Times New Roman" w:hAnsi="Times New Roman" w:cs="Times New Roman"/>
          <w:sz w:val="28"/>
          <w:szCs w:val="28"/>
        </w:rPr>
        <w:t xml:space="preserve">expenditure </w:t>
      </w:r>
      <w:r w:rsidR="001C2FE5">
        <w:rPr>
          <w:rFonts w:ascii="Times New Roman" w:hAnsi="Times New Roman" w:cs="Times New Roman"/>
          <w:sz w:val="28"/>
          <w:szCs w:val="28"/>
        </w:rPr>
        <w:t>of M3</w:t>
      </w:r>
      <w:r w:rsidR="00FA3AC8">
        <w:rPr>
          <w:rFonts w:ascii="Times New Roman" w:hAnsi="Times New Roman" w:cs="Times New Roman"/>
          <w:sz w:val="28"/>
          <w:szCs w:val="28"/>
        </w:rPr>
        <w:t>.</w:t>
      </w:r>
      <w:r w:rsidR="001C2FE5">
        <w:rPr>
          <w:rFonts w:ascii="Times New Roman" w:hAnsi="Times New Roman" w:cs="Times New Roman"/>
          <w:sz w:val="28"/>
          <w:szCs w:val="28"/>
        </w:rPr>
        <w:t>5</w:t>
      </w:r>
      <w:r w:rsidR="00FA3AC8">
        <w:rPr>
          <w:rFonts w:ascii="Times New Roman" w:hAnsi="Times New Roman" w:cs="Times New Roman"/>
          <w:sz w:val="28"/>
          <w:szCs w:val="28"/>
        </w:rPr>
        <w:t xml:space="preserve"> </w:t>
      </w:r>
      <w:proofErr w:type="gramStart"/>
      <w:r w:rsidR="009471E2">
        <w:rPr>
          <w:rFonts w:ascii="Times New Roman" w:hAnsi="Times New Roman" w:cs="Times New Roman"/>
          <w:sz w:val="28"/>
          <w:szCs w:val="28"/>
        </w:rPr>
        <w:t>M</w:t>
      </w:r>
      <w:r w:rsidR="00FA3AC8">
        <w:rPr>
          <w:rFonts w:ascii="Times New Roman" w:hAnsi="Times New Roman" w:cs="Times New Roman"/>
          <w:sz w:val="28"/>
          <w:szCs w:val="28"/>
        </w:rPr>
        <w:t>illion</w:t>
      </w:r>
      <w:proofErr w:type="gramEnd"/>
      <w:r w:rsidR="00FA3AC8">
        <w:rPr>
          <w:rFonts w:ascii="Times New Roman" w:hAnsi="Times New Roman" w:cs="Times New Roman"/>
          <w:sz w:val="28"/>
          <w:szCs w:val="28"/>
        </w:rPr>
        <w:t>.</w:t>
      </w:r>
      <w:r w:rsidR="001C2FE5">
        <w:rPr>
          <w:rFonts w:ascii="Times New Roman" w:hAnsi="Times New Roman" w:cs="Times New Roman"/>
          <w:sz w:val="28"/>
          <w:szCs w:val="28"/>
        </w:rPr>
        <w:t xml:space="preserve"> Proof of impoverishment of the lienholder is required to substantiate a claim for unjust enrichment and it is missing in this case. </w:t>
      </w:r>
      <w:r w:rsidR="00D73264">
        <w:rPr>
          <w:rFonts w:ascii="Times New Roman" w:hAnsi="Times New Roman" w:cs="Times New Roman"/>
          <w:sz w:val="28"/>
          <w:szCs w:val="28"/>
        </w:rPr>
        <w:t xml:space="preserve">In </w:t>
      </w:r>
      <w:proofErr w:type="spellStart"/>
      <w:r w:rsidR="00D73264" w:rsidRPr="00D73264">
        <w:rPr>
          <w:rFonts w:ascii="Times New Roman" w:hAnsi="Times New Roman" w:cs="Times New Roman"/>
          <w:b/>
          <w:bCs/>
          <w:sz w:val="28"/>
          <w:szCs w:val="28"/>
        </w:rPr>
        <w:t>Knuttel</w:t>
      </w:r>
      <w:proofErr w:type="spellEnd"/>
      <w:r w:rsidR="00D73264" w:rsidRPr="00D73264">
        <w:rPr>
          <w:rFonts w:ascii="Times New Roman" w:hAnsi="Times New Roman" w:cs="Times New Roman"/>
          <w:b/>
          <w:bCs/>
          <w:sz w:val="28"/>
          <w:szCs w:val="28"/>
        </w:rPr>
        <w:t xml:space="preserve"> N.O and Others</w:t>
      </w:r>
      <w:r w:rsidR="00D73264">
        <w:rPr>
          <w:rStyle w:val="FootnoteReference"/>
          <w:rFonts w:ascii="Times New Roman" w:hAnsi="Times New Roman" w:cs="Times New Roman"/>
          <w:b/>
          <w:bCs/>
          <w:sz w:val="28"/>
          <w:szCs w:val="28"/>
        </w:rPr>
        <w:footnoteReference w:id="34"/>
      </w:r>
      <w:r w:rsidR="00D73264">
        <w:rPr>
          <w:rFonts w:ascii="Times New Roman" w:hAnsi="Times New Roman" w:cs="Times New Roman"/>
          <w:sz w:val="28"/>
          <w:szCs w:val="28"/>
        </w:rPr>
        <w:t xml:space="preserve">, </w:t>
      </w:r>
      <w:r w:rsidR="002D6DBA" w:rsidRPr="00D54234">
        <w:rPr>
          <w:rFonts w:ascii="Times New Roman" w:hAnsi="Times New Roman" w:cs="Times New Roman"/>
          <w:i/>
          <w:iCs/>
          <w:sz w:val="28"/>
          <w:szCs w:val="28"/>
        </w:rPr>
        <w:t>supra</w:t>
      </w:r>
      <w:r w:rsidR="002D6DBA">
        <w:rPr>
          <w:rFonts w:ascii="Times New Roman" w:hAnsi="Times New Roman" w:cs="Times New Roman"/>
          <w:sz w:val="28"/>
          <w:szCs w:val="28"/>
        </w:rPr>
        <w:t xml:space="preserve">, </w:t>
      </w:r>
      <w:r w:rsidR="00D73264">
        <w:rPr>
          <w:rFonts w:ascii="Times New Roman" w:hAnsi="Times New Roman" w:cs="Times New Roman"/>
          <w:sz w:val="28"/>
          <w:szCs w:val="28"/>
        </w:rPr>
        <w:t>the court stated that:</w:t>
      </w:r>
    </w:p>
    <w:p w14:paraId="0C893994" w14:textId="10869F7F" w:rsidR="00421350" w:rsidRPr="00F01068" w:rsidRDefault="00D73264" w:rsidP="0010657A">
      <w:pPr>
        <w:pStyle w:val="BodyText"/>
        <w:kinsoku w:val="0"/>
        <w:overflowPunct w:val="0"/>
        <w:ind w:left="1440" w:right="850"/>
        <w:jc w:val="both"/>
        <w:rPr>
          <w:rFonts w:ascii="Times New Roman" w:hAnsi="Times New Roman" w:cs="Times New Roman"/>
          <w:sz w:val="24"/>
          <w:szCs w:val="24"/>
        </w:rPr>
      </w:pPr>
      <w:r w:rsidRPr="00D73264">
        <w:rPr>
          <w:rFonts w:ascii="Times New Roman" w:hAnsi="Times New Roman" w:cs="Times New Roman"/>
          <w:sz w:val="24"/>
          <w:szCs w:val="24"/>
        </w:rPr>
        <w:t>“[113]</w:t>
      </w:r>
      <w:r w:rsidRPr="00D73264">
        <w:rPr>
          <w:rFonts w:ascii="Times New Roman" w:hAnsi="Times New Roman" w:cs="Times New Roman"/>
          <w:sz w:val="24"/>
          <w:szCs w:val="24"/>
        </w:rPr>
        <w:tab/>
        <w:t>An increase in value of a property</w:t>
      </w:r>
      <w:r w:rsidR="00A10AEE">
        <w:rPr>
          <w:rFonts w:ascii="Times New Roman" w:hAnsi="Times New Roman" w:cs="Times New Roman"/>
          <w:sz w:val="24"/>
          <w:szCs w:val="24"/>
        </w:rPr>
        <w:t xml:space="preserve"> unaccompanied by evidence of impoverishment of the party who has </w:t>
      </w:r>
      <w:proofErr w:type="gramStart"/>
      <w:r w:rsidR="00A10AEE">
        <w:rPr>
          <w:rFonts w:ascii="Times New Roman" w:hAnsi="Times New Roman" w:cs="Times New Roman"/>
          <w:sz w:val="24"/>
          <w:szCs w:val="24"/>
        </w:rPr>
        <w:t>effected</w:t>
      </w:r>
      <w:proofErr w:type="gramEnd"/>
      <w:r w:rsidR="00A10AEE">
        <w:rPr>
          <w:rFonts w:ascii="Times New Roman" w:hAnsi="Times New Roman" w:cs="Times New Roman"/>
          <w:sz w:val="24"/>
          <w:szCs w:val="24"/>
        </w:rPr>
        <w:t xml:space="preserve"> the improvements which have led to the alleged increase in value of the property is not </w:t>
      </w:r>
      <w:r w:rsidR="00950BAF">
        <w:rPr>
          <w:rFonts w:ascii="Times New Roman" w:hAnsi="Times New Roman" w:cs="Times New Roman"/>
          <w:sz w:val="24"/>
          <w:szCs w:val="24"/>
        </w:rPr>
        <w:t>a valid basis for the exercise of an enrichment lien.  There is therefore no need for the Court to have regard to the unsworn evidence of the increase in value of the Property without proof of impoverishment of the Second Respondent via expenditure by him on the improvements, which, as already pointed out, is not to be found in the A</w:t>
      </w:r>
      <w:r w:rsidR="008206E1">
        <w:rPr>
          <w:rFonts w:ascii="Times New Roman" w:hAnsi="Times New Roman" w:cs="Times New Roman"/>
          <w:sz w:val="24"/>
          <w:szCs w:val="24"/>
        </w:rPr>
        <w:t>n</w:t>
      </w:r>
      <w:r w:rsidR="00950BAF">
        <w:rPr>
          <w:rFonts w:ascii="Times New Roman" w:hAnsi="Times New Roman" w:cs="Times New Roman"/>
          <w:sz w:val="24"/>
          <w:szCs w:val="24"/>
        </w:rPr>
        <w:t>swering Affidavit (see in this regard Rhode v De Kock).</w:t>
      </w:r>
      <w:r w:rsidR="007631C7">
        <w:rPr>
          <w:rFonts w:ascii="Times New Roman" w:hAnsi="Times New Roman" w:cs="Times New Roman"/>
          <w:sz w:val="24"/>
          <w:szCs w:val="24"/>
        </w:rPr>
        <w:t>”</w:t>
      </w:r>
      <w:r w:rsidR="00421350">
        <w:rPr>
          <w:rFonts w:ascii="Times New Roman" w:hAnsi="Times New Roman" w:cs="Times New Roman"/>
          <w:sz w:val="24"/>
          <w:szCs w:val="24"/>
        </w:rPr>
        <w:t xml:space="preserve"> </w:t>
      </w:r>
    </w:p>
    <w:p w14:paraId="7221E4F1" w14:textId="6829E3C2" w:rsidR="00C85B29" w:rsidRPr="00C85B29" w:rsidRDefault="00E63643" w:rsidP="003F2F8B">
      <w:pPr>
        <w:pStyle w:val="BodyText"/>
        <w:kinsoku w:val="0"/>
        <w:overflowPunct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087FF093" w14:textId="55002146" w:rsidR="00CF79E2" w:rsidRDefault="00CF79E2" w:rsidP="003F2F8B">
      <w:pPr>
        <w:pStyle w:val="BodyText"/>
        <w:kinsoku w:val="0"/>
        <w:overflowPunct w:val="0"/>
        <w:spacing w:line="480" w:lineRule="auto"/>
        <w:ind w:left="0"/>
        <w:jc w:val="both"/>
        <w:rPr>
          <w:rFonts w:ascii="Times New Roman" w:hAnsi="Times New Roman" w:cs="Times New Roman"/>
          <w:b/>
          <w:bCs/>
          <w:sz w:val="28"/>
          <w:szCs w:val="28"/>
        </w:rPr>
      </w:pPr>
      <w:r>
        <w:rPr>
          <w:rFonts w:ascii="Times New Roman" w:hAnsi="Times New Roman" w:cs="Times New Roman"/>
          <w:sz w:val="28"/>
          <w:szCs w:val="28"/>
        </w:rPr>
        <w:t>[</w:t>
      </w:r>
      <w:r w:rsidR="00FA3AC8">
        <w:rPr>
          <w:rFonts w:ascii="Times New Roman" w:hAnsi="Times New Roman" w:cs="Times New Roman"/>
          <w:sz w:val="28"/>
          <w:szCs w:val="28"/>
        </w:rPr>
        <w:t>5</w:t>
      </w:r>
      <w:r w:rsidR="00337468">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85B29">
        <w:rPr>
          <w:rFonts w:ascii="Times New Roman" w:hAnsi="Times New Roman" w:cs="Times New Roman"/>
          <w:sz w:val="28"/>
          <w:szCs w:val="28"/>
        </w:rPr>
        <w:t xml:space="preserve">Confronted with </w:t>
      </w:r>
      <w:r w:rsidR="00C93EEA">
        <w:rPr>
          <w:rFonts w:ascii="Times New Roman" w:hAnsi="Times New Roman" w:cs="Times New Roman"/>
          <w:sz w:val="28"/>
          <w:szCs w:val="28"/>
        </w:rPr>
        <w:t xml:space="preserve">a similar </w:t>
      </w:r>
      <w:r w:rsidR="00C85B29">
        <w:rPr>
          <w:rFonts w:ascii="Times New Roman" w:hAnsi="Times New Roman" w:cs="Times New Roman"/>
          <w:sz w:val="28"/>
          <w:szCs w:val="28"/>
        </w:rPr>
        <w:t xml:space="preserve">situation where expenses </w:t>
      </w:r>
      <w:r w:rsidR="00C93EEA">
        <w:rPr>
          <w:rFonts w:ascii="Times New Roman" w:hAnsi="Times New Roman" w:cs="Times New Roman"/>
          <w:sz w:val="28"/>
          <w:szCs w:val="28"/>
        </w:rPr>
        <w:t xml:space="preserve">were </w:t>
      </w:r>
      <w:r w:rsidR="00C85B29">
        <w:rPr>
          <w:rFonts w:ascii="Times New Roman" w:hAnsi="Times New Roman" w:cs="Times New Roman"/>
          <w:sz w:val="28"/>
          <w:szCs w:val="28"/>
        </w:rPr>
        <w:t xml:space="preserve">unsubstantiated this is what the court said in </w:t>
      </w:r>
      <w:proofErr w:type="spellStart"/>
      <w:r w:rsidR="00C85B29" w:rsidRPr="00CD03B5">
        <w:rPr>
          <w:rFonts w:ascii="Times New Roman" w:hAnsi="Times New Roman" w:cs="Times New Roman"/>
          <w:b/>
          <w:bCs/>
          <w:sz w:val="28"/>
          <w:szCs w:val="28"/>
        </w:rPr>
        <w:t>Boshoga</w:t>
      </w:r>
      <w:proofErr w:type="spellEnd"/>
      <w:r w:rsidR="00C85B29" w:rsidRPr="00CD03B5">
        <w:rPr>
          <w:rFonts w:ascii="Times New Roman" w:hAnsi="Times New Roman" w:cs="Times New Roman"/>
          <w:b/>
          <w:bCs/>
          <w:sz w:val="28"/>
          <w:szCs w:val="28"/>
        </w:rPr>
        <w:t xml:space="preserve"> and </w:t>
      </w:r>
      <w:r w:rsidR="00C85B29">
        <w:rPr>
          <w:rFonts w:ascii="Times New Roman" w:hAnsi="Times New Roman" w:cs="Times New Roman"/>
          <w:b/>
          <w:bCs/>
          <w:sz w:val="28"/>
          <w:szCs w:val="28"/>
        </w:rPr>
        <w:t>Another</w:t>
      </w:r>
      <w:r w:rsidR="00C85B29">
        <w:rPr>
          <w:rStyle w:val="FootnoteReference"/>
          <w:rFonts w:ascii="Times New Roman" w:hAnsi="Times New Roman" w:cs="Times New Roman"/>
          <w:b/>
          <w:bCs/>
          <w:sz w:val="28"/>
          <w:szCs w:val="28"/>
        </w:rPr>
        <w:footnoteReference w:id="35"/>
      </w:r>
      <w:r w:rsidR="00C85B29" w:rsidRPr="00C85B29">
        <w:rPr>
          <w:rFonts w:ascii="Times New Roman" w:hAnsi="Times New Roman" w:cs="Times New Roman"/>
          <w:sz w:val="28"/>
          <w:szCs w:val="28"/>
        </w:rPr>
        <w:t>:</w:t>
      </w:r>
    </w:p>
    <w:p w14:paraId="2795AC1B" w14:textId="33F85B6E" w:rsidR="00C85B29" w:rsidRDefault="00C85B29" w:rsidP="003F2F8B">
      <w:pPr>
        <w:pStyle w:val="BodyText"/>
        <w:kinsoku w:val="0"/>
        <w:overflowPunct w:val="0"/>
        <w:spacing w:line="480" w:lineRule="auto"/>
        <w:ind w:left="0"/>
        <w:jc w:val="both"/>
        <w:rPr>
          <w:rFonts w:ascii="Times New Roman" w:hAnsi="Times New Roman" w:cs="Times New Roman"/>
          <w:b/>
          <w:bCs/>
          <w:sz w:val="28"/>
          <w:szCs w:val="28"/>
        </w:rPr>
      </w:pPr>
    </w:p>
    <w:p w14:paraId="59D859B6" w14:textId="01096A27" w:rsidR="00C85B29" w:rsidRPr="00C85B29" w:rsidRDefault="00C85B29" w:rsidP="00185A41">
      <w:pPr>
        <w:pStyle w:val="BodyText"/>
        <w:kinsoku w:val="0"/>
        <w:overflowPunct w:val="0"/>
        <w:ind w:left="1440" w:right="850"/>
        <w:jc w:val="both"/>
        <w:rPr>
          <w:rFonts w:ascii="Times New Roman" w:hAnsi="Times New Roman" w:cs="Times New Roman"/>
          <w:sz w:val="24"/>
          <w:szCs w:val="24"/>
        </w:rPr>
      </w:pPr>
      <w:r w:rsidRPr="00C85B29">
        <w:rPr>
          <w:rFonts w:ascii="Times New Roman" w:hAnsi="Times New Roman" w:cs="Times New Roman"/>
          <w:sz w:val="24"/>
          <w:szCs w:val="24"/>
        </w:rPr>
        <w:t>“[49]</w:t>
      </w:r>
      <w:r w:rsidRPr="00C85B29">
        <w:rPr>
          <w:rFonts w:ascii="Times New Roman" w:hAnsi="Times New Roman" w:cs="Times New Roman"/>
          <w:sz w:val="24"/>
          <w:szCs w:val="24"/>
        </w:rPr>
        <w:tab/>
        <w:t>The difficulty I have</w:t>
      </w:r>
      <w:r w:rsidR="00B62802">
        <w:rPr>
          <w:rFonts w:ascii="Times New Roman" w:hAnsi="Times New Roman" w:cs="Times New Roman"/>
          <w:sz w:val="24"/>
          <w:szCs w:val="24"/>
        </w:rPr>
        <w:t xml:space="preserve"> with the calculations is that the useful expenses allegedly made are not supported by any invoices or receipts or other documentary evidence.  All that the first respondent has </w:t>
      </w:r>
      <w:proofErr w:type="gramStart"/>
      <w:r w:rsidR="00B62802">
        <w:rPr>
          <w:rFonts w:ascii="Times New Roman" w:hAnsi="Times New Roman" w:cs="Times New Roman"/>
          <w:sz w:val="24"/>
          <w:szCs w:val="24"/>
        </w:rPr>
        <w:t>are</w:t>
      </w:r>
      <w:proofErr w:type="gramEnd"/>
      <w:r w:rsidR="00B62802">
        <w:rPr>
          <w:rFonts w:ascii="Times New Roman" w:hAnsi="Times New Roman" w:cs="Times New Roman"/>
          <w:sz w:val="24"/>
          <w:szCs w:val="24"/>
        </w:rPr>
        <w:t xml:space="preserve"> his own notes merely reflecting totals of numerous items purchased from various suppliers.  He does not even have any receipts to show the amounts he paid for labour expended on the structures put up on the property.  In other </w:t>
      </w:r>
      <w:r w:rsidR="00713EB2">
        <w:rPr>
          <w:rFonts w:ascii="Times New Roman" w:hAnsi="Times New Roman" w:cs="Times New Roman"/>
          <w:sz w:val="24"/>
          <w:szCs w:val="24"/>
        </w:rPr>
        <w:t>words,</w:t>
      </w:r>
      <w:r w:rsidR="00B62802">
        <w:rPr>
          <w:rFonts w:ascii="Times New Roman" w:hAnsi="Times New Roman" w:cs="Times New Roman"/>
          <w:sz w:val="24"/>
          <w:szCs w:val="24"/>
        </w:rPr>
        <w:t xml:space="preserve"> there is insufficient evidence about the amount for which the lien is to serve as security.  The finding does not preclude a later successful claim by the first respondent where acceptable evidence regarding the alleged useful expenses incurred by him is presented.”</w:t>
      </w:r>
      <w:r w:rsidRPr="00C85B29">
        <w:rPr>
          <w:rFonts w:ascii="Times New Roman" w:hAnsi="Times New Roman" w:cs="Times New Roman"/>
          <w:b/>
          <w:bCs/>
          <w:sz w:val="24"/>
          <w:szCs w:val="24"/>
        </w:rPr>
        <w:tab/>
      </w:r>
    </w:p>
    <w:p w14:paraId="35E4483C" w14:textId="77777777" w:rsidR="004E0F2A" w:rsidRDefault="004E0F2A" w:rsidP="003F2F8B">
      <w:pPr>
        <w:pStyle w:val="BodyText"/>
        <w:kinsoku w:val="0"/>
        <w:overflowPunct w:val="0"/>
        <w:spacing w:line="480" w:lineRule="auto"/>
        <w:ind w:left="0"/>
        <w:jc w:val="both"/>
        <w:rPr>
          <w:rFonts w:ascii="Times New Roman" w:hAnsi="Times New Roman" w:cs="Times New Roman"/>
          <w:sz w:val="28"/>
          <w:szCs w:val="28"/>
        </w:rPr>
      </w:pPr>
    </w:p>
    <w:p w14:paraId="7931E02D" w14:textId="2F2F8932" w:rsidR="001641CE" w:rsidRDefault="005452BB" w:rsidP="003F2F8B">
      <w:pPr>
        <w:pStyle w:val="BodyText"/>
        <w:kinsoku w:val="0"/>
        <w:overflowPunct w:val="0"/>
        <w:spacing w:line="480" w:lineRule="auto"/>
        <w:ind w:left="0"/>
        <w:jc w:val="both"/>
        <w:rPr>
          <w:rFonts w:ascii="Times New Roman" w:hAnsi="Times New Roman" w:cs="Times New Roman"/>
          <w:sz w:val="28"/>
          <w:szCs w:val="28"/>
        </w:rPr>
      </w:pPr>
      <w:r w:rsidRPr="005452BB">
        <w:rPr>
          <w:rFonts w:ascii="Times New Roman" w:hAnsi="Times New Roman" w:cs="Times New Roman"/>
          <w:sz w:val="28"/>
          <w:szCs w:val="28"/>
        </w:rPr>
        <w:lastRenderedPageBreak/>
        <w:t>[</w:t>
      </w:r>
      <w:r w:rsidR="00FA3AC8">
        <w:rPr>
          <w:rFonts w:ascii="Times New Roman" w:hAnsi="Times New Roman" w:cs="Times New Roman"/>
          <w:sz w:val="28"/>
          <w:szCs w:val="28"/>
        </w:rPr>
        <w:t>5</w:t>
      </w:r>
      <w:r w:rsidR="00337468">
        <w:rPr>
          <w:rFonts w:ascii="Times New Roman" w:hAnsi="Times New Roman" w:cs="Times New Roman"/>
          <w:sz w:val="28"/>
          <w:szCs w:val="28"/>
        </w:rPr>
        <w:t>6</w:t>
      </w:r>
      <w:r w:rsidRPr="005452B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In argument the applicant placed reliance on the case of </w:t>
      </w:r>
      <w:r w:rsidRPr="005452BB">
        <w:rPr>
          <w:rFonts w:ascii="Times New Roman" w:hAnsi="Times New Roman" w:cs="Times New Roman"/>
          <w:b/>
          <w:bCs/>
          <w:sz w:val="28"/>
          <w:szCs w:val="28"/>
        </w:rPr>
        <w:t xml:space="preserve">Joy To The World v. </w:t>
      </w:r>
      <w:proofErr w:type="spellStart"/>
      <w:r w:rsidRPr="005452BB">
        <w:rPr>
          <w:rFonts w:ascii="Times New Roman" w:hAnsi="Times New Roman" w:cs="Times New Roman"/>
          <w:b/>
          <w:bCs/>
          <w:sz w:val="28"/>
          <w:szCs w:val="28"/>
        </w:rPr>
        <w:t>Malefane</w:t>
      </w:r>
      <w:proofErr w:type="spellEnd"/>
      <w:r w:rsidRPr="005452BB">
        <w:rPr>
          <w:rFonts w:ascii="Times New Roman" w:hAnsi="Times New Roman" w:cs="Times New Roman"/>
          <w:b/>
          <w:bCs/>
          <w:sz w:val="28"/>
          <w:szCs w:val="28"/>
        </w:rPr>
        <w:t xml:space="preserve"> and Others</w:t>
      </w:r>
      <w:r>
        <w:rPr>
          <w:rStyle w:val="FootnoteReference"/>
          <w:rFonts w:ascii="Times New Roman" w:hAnsi="Times New Roman" w:cs="Times New Roman"/>
          <w:sz w:val="28"/>
          <w:szCs w:val="28"/>
        </w:rPr>
        <w:footnoteReference w:id="36"/>
      </w:r>
      <w:r>
        <w:rPr>
          <w:rFonts w:ascii="Times New Roman" w:hAnsi="Times New Roman" w:cs="Times New Roman"/>
          <w:b/>
          <w:bCs/>
          <w:sz w:val="28"/>
          <w:szCs w:val="28"/>
        </w:rPr>
        <w:t xml:space="preserve"> </w:t>
      </w:r>
      <w:r>
        <w:rPr>
          <w:rFonts w:ascii="Times New Roman" w:hAnsi="Times New Roman" w:cs="Times New Roman"/>
          <w:sz w:val="28"/>
          <w:szCs w:val="28"/>
        </w:rPr>
        <w:t>in support of its right</w:t>
      </w:r>
      <w:r w:rsidR="00FA3AC8">
        <w:rPr>
          <w:rFonts w:ascii="Times New Roman" w:hAnsi="Times New Roman" w:cs="Times New Roman"/>
          <w:sz w:val="28"/>
          <w:szCs w:val="28"/>
        </w:rPr>
        <w:t xml:space="preserve"> of</w:t>
      </w:r>
      <w:r>
        <w:rPr>
          <w:rFonts w:ascii="Times New Roman" w:hAnsi="Times New Roman" w:cs="Times New Roman"/>
          <w:sz w:val="28"/>
          <w:szCs w:val="28"/>
        </w:rPr>
        <w:t xml:space="preserve"> retention. Though relevant</w:t>
      </w:r>
      <w:r w:rsidR="00FA3AC8">
        <w:rPr>
          <w:rFonts w:ascii="Times New Roman" w:hAnsi="Times New Roman" w:cs="Times New Roman"/>
          <w:sz w:val="28"/>
          <w:szCs w:val="28"/>
        </w:rPr>
        <w:t>,</w:t>
      </w:r>
      <w:r>
        <w:rPr>
          <w:rFonts w:ascii="Times New Roman" w:hAnsi="Times New Roman" w:cs="Times New Roman"/>
          <w:sz w:val="28"/>
          <w:szCs w:val="28"/>
        </w:rPr>
        <w:t xml:space="preserve"> the case is distinguishable</w:t>
      </w:r>
      <w:r w:rsidR="00B01C19">
        <w:rPr>
          <w:rFonts w:ascii="Times New Roman" w:hAnsi="Times New Roman" w:cs="Times New Roman"/>
          <w:sz w:val="28"/>
          <w:szCs w:val="28"/>
        </w:rPr>
        <w:t xml:space="preserve">. Unlike the present case, </w:t>
      </w:r>
      <w:r>
        <w:rPr>
          <w:rFonts w:ascii="Times New Roman" w:hAnsi="Times New Roman" w:cs="Times New Roman"/>
          <w:sz w:val="28"/>
          <w:szCs w:val="28"/>
        </w:rPr>
        <w:t xml:space="preserve">detailed evidence of the property pre and post development </w:t>
      </w:r>
      <w:r w:rsidR="00B01C19">
        <w:rPr>
          <w:rFonts w:ascii="Times New Roman" w:hAnsi="Times New Roman" w:cs="Times New Roman"/>
          <w:sz w:val="28"/>
          <w:szCs w:val="28"/>
        </w:rPr>
        <w:t xml:space="preserve">had been </w:t>
      </w:r>
      <w:r>
        <w:rPr>
          <w:rFonts w:ascii="Times New Roman" w:hAnsi="Times New Roman" w:cs="Times New Roman"/>
          <w:sz w:val="28"/>
          <w:szCs w:val="28"/>
        </w:rPr>
        <w:t xml:space="preserve">provided and substantiated by photographs. </w:t>
      </w:r>
      <w:r w:rsidR="00FA3AC8">
        <w:rPr>
          <w:rFonts w:ascii="Times New Roman" w:hAnsi="Times New Roman" w:cs="Times New Roman"/>
          <w:sz w:val="28"/>
          <w:szCs w:val="28"/>
        </w:rPr>
        <w:t>Significantly, b</w:t>
      </w:r>
      <w:r>
        <w:rPr>
          <w:rFonts w:ascii="Times New Roman" w:hAnsi="Times New Roman" w:cs="Times New Roman"/>
          <w:sz w:val="28"/>
          <w:szCs w:val="28"/>
        </w:rPr>
        <w:t xml:space="preserve">ona fide possessor’s claim was reinforced by a valuation certificate from quantity surveyors disclosing the value of the site and of the improvements. </w:t>
      </w:r>
      <w:r w:rsidR="00B01C19">
        <w:rPr>
          <w:rFonts w:ascii="Times New Roman" w:hAnsi="Times New Roman" w:cs="Times New Roman"/>
          <w:sz w:val="28"/>
          <w:szCs w:val="28"/>
        </w:rPr>
        <w:t>Understandably, t</w:t>
      </w:r>
      <w:r w:rsidR="001641CE">
        <w:rPr>
          <w:rFonts w:ascii="Times New Roman" w:hAnsi="Times New Roman" w:cs="Times New Roman"/>
          <w:sz w:val="28"/>
          <w:szCs w:val="28"/>
        </w:rPr>
        <w:t>he Court of Appeal recognised the possessor’s right to lien.</w:t>
      </w:r>
      <w:r w:rsidR="00160FF3">
        <w:rPr>
          <w:rFonts w:ascii="Times New Roman" w:hAnsi="Times New Roman" w:cs="Times New Roman"/>
          <w:sz w:val="28"/>
          <w:szCs w:val="28"/>
        </w:rPr>
        <w:t xml:space="preserve"> In 1997 the </w:t>
      </w:r>
      <w:r w:rsidR="00337468">
        <w:rPr>
          <w:rFonts w:ascii="Times New Roman" w:hAnsi="Times New Roman" w:cs="Times New Roman"/>
          <w:sz w:val="28"/>
          <w:szCs w:val="28"/>
        </w:rPr>
        <w:t xml:space="preserve">same </w:t>
      </w:r>
      <w:r w:rsidR="00160FF3">
        <w:rPr>
          <w:rFonts w:ascii="Times New Roman" w:hAnsi="Times New Roman" w:cs="Times New Roman"/>
          <w:sz w:val="28"/>
          <w:szCs w:val="28"/>
        </w:rPr>
        <w:t xml:space="preserve">court had refused to recognise </w:t>
      </w:r>
      <w:r w:rsidR="00160FF3" w:rsidRPr="00D54234">
        <w:rPr>
          <w:rFonts w:ascii="Times New Roman" w:hAnsi="Times New Roman" w:cs="Times New Roman"/>
          <w:b/>
          <w:bCs/>
          <w:sz w:val="28"/>
          <w:szCs w:val="28"/>
        </w:rPr>
        <w:t xml:space="preserve">Joy </w:t>
      </w:r>
      <w:proofErr w:type="gramStart"/>
      <w:r w:rsidR="00160FF3" w:rsidRPr="00D54234">
        <w:rPr>
          <w:rFonts w:ascii="Times New Roman" w:hAnsi="Times New Roman" w:cs="Times New Roman"/>
          <w:b/>
          <w:bCs/>
          <w:sz w:val="28"/>
          <w:szCs w:val="28"/>
        </w:rPr>
        <w:t>To</w:t>
      </w:r>
      <w:proofErr w:type="gramEnd"/>
      <w:r w:rsidR="00160FF3" w:rsidRPr="00D54234">
        <w:rPr>
          <w:rFonts w:ascii="Times New Roman" w:hAnsi="Times New Roman" w:cs="Times New Roman"/>
          <w:b/>
          <w:bCs/>
          <w:sz w:val="28"/>
          <w:szCs w:val="28"/>
        </w:rPr>
        <w:t xml:space="preserve"> The World</w:t>
      </w:r>
      <w:r w:rsidR="00160FF3">
        <w:rPr>
          <w:rFonts w:ascii="Times New Roman" w:hAnsi="Times New Roman" w:cs="Times New Roman"/>
          <w:sz w:val="28"/>
          <w:szCs w:val="28"/>
        </w:rPr>
        <w:t xml:space="preserve">’s lien </w:t>
      </w:r>
      <w:r w:rsidR="001641CE">
        <w:rPr>
          <w:rFonts w:ascii="Times New Roman" w:hAnsi="Times New Roman" w:cs="Times New Roman"/>
          <w:sz w:val="28"/>
          <w:szCs w:val="28"/>
        </w:rPr>
        <w:t>and granted an order equivalent to absolution from instance</w:t>
      </w:r>
      <w:r w:rsidR="009471E2">
        <w:rPr>
          <w:rFonts w:ascii="Times New Roman" w:hAnsi="Times New Roman" w:cs="Times New Roman"/>
          <w:sz w:val="28"/>
          <w:szCs w:val="28"/>
        </w:rPr>
        <w:t xml:space="preserve"> </w:t>
      </w:r>
      <w:r w:rsidR="00337468">
        <w:rPr>
          <w:rFonts w:ascii="Times New Roman" w:hAnsi="Times New Roman" w:cs="Times New Roman"/>
          <w:sz w:val="28"/>
          <w:szCs w:val="28"/>
        </w:rPr>
        <w:t xml:space="preserve">due to lack of evidence that </w:t>
      </w:r>
      <w:r w:rsidR="009471E2">
        <w:rPr>
          <w:rFonts w:ascii="Times New Roman" w:hAnsi="Times New Roman" w:cs="Times New Roman"/>
          <w:sz w:val="28"/>
          <w:szCs w:val="28"/>
        </w:rPr>
        <w:t>the buildings had enhanced the value of the premises</w:t>
      </w:r>
      <w:r w:rsidR="001641CE">
        <w:rPr>
          <w:rFonts w:ascii="Times New Roman" w:hAnsi="Times New Roman" w:cs="Times New Roman"/>
          <w:sz w:val="28"/>
          <w:szCs w:val="28"/>
        </w:rPr>
        <w:t xml:space="preserve">. </w:t>
      </w:r>
    </w:p>
    <w:p w14:paraId="461C65D4" w14:textId="4A7B6330" w:rsidR="008142F5" w:rsidRDefault="008142F5" w:rsidP="003F2F8B">
      <w:pPr>
        <w:pStyle w:val="BodyText"/>
        <w:kinsoku w:val="0"/>
        <w:overflowPunct w:val="0"/>
        <w:spacing w:line="480" w:lineRule="auto"/>
        <w:ind w:left="0"/>
        <w:jc w:val="both"/>
        <w:rPr>
          <w:rFonts w:ascii="Times New Roman" w:hAnsi="Times New Roman" w:cs="Times New Roman"/>
          <w:sz w:val="28"/>
          <w:szCs w:val="28"/>
        </w:rPr>
      </w:pPr>
    </w:p>
    <w:p w14:paraId="2C9B928E" w14:textId="77777777" w:rsidR="000D4A1D" w:rsidRDefault="008142F5"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160FF3">
        <w:rPr>
          <w:rFonts w:ascii="Times New Roman" w:hAnsi="Times New Roman" w:cs="Times New Roman"/>
          <w:sz w:val="28"/>
          <w:szCs w:val="28"/>
        </w:rPr>
        <w:t>5</w:t>
      </w:r>
      <w:r w:rsidR="00337468">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60FF3">
        <w:rPr>
          <w:rFonts w:ascii="Times New Roman" w:hAnsi="Times New Roman" w:cs="Times New Roman"/>
          <w:sz w:val="28"/>
          <w:szCs w:val="28"/>
        </w:rPr>
        <w:t xml:space="preserve">In light of the deficiencies identified on the applicant’s case, this is not a proper case to grant lien which may end up being perpetual. The respondent cannot even provide security as </w:t>
      </w:r>
      <w:r w:rsidR="00CD35FD">
        <w:rPr>
          <w:rFonts w:ascii="Times New Roman" w:hAnsi="Times New Roman" w:cs="Times New Roman"/>
          <w:sz w:val="28"/>
          <w:szCs w:val="28"/>
        </w:rPr>
        <w:t xml:space="preserve">the quantum of alleged unjust enrichment has not been disclosed.  The </w:t>
      </w:r>
      <w:r w:rsidR="00160FF3">
        <w:rPr>
          <w:rFonts w:ascii="Times New Roman" w:hAnsi="Times New Roman" w:cs="Times New Roman"/>
          <w:sz w:val="28"/>
          <w:szCs w:val="28"/>
        </w:rPr>
        <w:t>value by which the property has been enhanced</w:t>
      </w:r>
      <w:r w:rsidR="00CD35FD">
        <w:rPr>
          <w:rFonts w:ascii="Times New Roman" w:hAnsi="Times New Roman" w:cs="Times New Roman"/>
          <w:sz w:val="28"/>
          <w:szCs w:val="28"/>
        </w:rPr>
        <w:t xml:space="preserve"> remains unknown as well. </w:t>
      </w:r>
      <w:r w:rsidR="00470CA6">
        <w:rPr>
          <w:rFonts w:ascii="Times New Roman" w:hAnsi="Times New Roman" w:cs="Times New Roman"/>
          <w:sz w:val="28"/>
          <w:szCs w:val="28"/>
        </w:rPr>
        <w:t xml:space="preserve">Put differently, there is insufficient evidence about the amount for which the lien is to serve as security. </w:t>
      </w:r>
      <w:r w:rsidR="00B50FAA">
        <w:rPr>
          <w:rFonts w:ascii="Times New Roman" w:hAnsi="Times New Roman" w:cs="Times New Roman"/>
          <w:sz w:val="28"/>
          <w:szCs w:val="28"/>
        </w:rPr>
        <w:t>However, t</w:t>
      </w:r>
      <w:r w:rsidR="00470CA6">
        <w:rPr>
          <w:rFonts w:ascii="Times New Roman" w:hAnsi="Times New Roman" w:cs="Times New Roman"/>
          <w:sz w:val="28"/>
          <w:szCs w:val="28"/>
        </w:rPr>
        <w:t xml:space="preserve">his does not bar a later successful claim by the applicant if acceptable evidence regarding the alleged expenses and enhanced value of the premises is presented. </w:t>
      </w:r>
      <w:r w:rsidR="00160FF3">
        <w:rPr>
          <w:rFonts w:ascii="Times New Roman" w:hAnsi="Times New Roman" w:cs="Times New Roman"/>
          <w:sz w:val="28"/>
          <w:szCs w:val="28"/>
        </w:rPr>
        <w:t xml:space="preserve"> </w:t>
      </w:r>
    </w:p>
    <w:p w14:paraId="4653CAA0" w14:textId="7481A4C8" w:rsidR="00DC5559" w:rsidRDefault="00DC5559" w:rsidP="00160FF3">
      <w:pPr>
        <w:pStyle w:val="BodyText"/>
        <w:kinsoku w:val="0"/>
        <w:overflowPunct w:val="0"/>
        <w:spacing w:line="480" w:lineRule="auto"/>
        <w:ind w:left="0"/>
        <w:jc w:val="both"/>
        <w:rPr>
          <w:rFonts w:ascii="Times New Roman" w:hAnsi="Times New Roman" w:cs="Times New Roman"/>
          <w:sz w:val="28"/>
          <w:szCs w:val="28"/>
        </w:rPr>
      </w:pPr>
      <w:r w:rsidRPr="00DC5559">
        <w:rPr>
          <w:rFonts w:ascii="Times New Roman" w:hAnsi="Times New Roman" w:cs="Times New Roman"/>
          <w:b/>
          <w:bCs/>
          <w:sz w:val="28"/>
          <w:szCs w:val="28"/>
          <w:u w:val="single"/>
        </w:rPr>
        <w:t xml:space="preserve">INTERIM </w:t>
      </w:r>
      <w:r w:rsidR="00074C76" w:rsidRPr="00DC5559">
        <w:rPr>
          <w:rFonts w:ascii="Times New Roman" w:hAnsi="Times New Roman" w:cs="Times New Roman"/>
          <w:b/>
          <w:bCs/>
          <w:sz w:val="28"/>
          <w:szCs w:val="28"/>
          <w:u w:val="single"/>
        </w:rPr>
        <w:t>INTERDICT</w:t>
      </w:r>
      <w:r>
        <w:rPr>
          <w:rFonts w:ascii="Times New Roman" w:hAnsi="Times New Roman" w:cs="Times New Roman"/>
          <w:sz w:val="28"/>
          <w:szCs w:val="28"/>
        </w:rPr>
        <w:t>:</w:t>
      </w:r>
    </w:p>
    <w:p w14:paraId="790151D3" w14:textId="77777777" w:rsidR="00DC5559" w:rsidRDefault="00DC5559" w:rsidP="00160FF3">
      <w:pPr>
        <w:pStyle w:val="BodyText"/>
        <w:kinsoku w:val="0"/>
        <w:overflowPunct w:val="0"/>
        <w:spacing w:line="480" w:lineRule="auto"/>
        <w:ind w:left="0"/>
        <w:jc w:val="both"/>
        <w:rPr>
          <w:rFonts w:ascii="Times New Roman" w:hAnsi="Times New Roman" w:cs="Times New Roman"/>
          <w:sz w:val="28"/>
          <w:szCs w:val="28"/>
        </w:rPr>
      </w:pPr>
    </w:p>
    <w:p w14:paraId="45CA9282" w14:textId="613A06F9" w:rsidR="00E97DB3" w:rsidRDefault="00DC5559"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[5</w:t>
      </w:r>
      <w:r w:rsidR="00CD35FD">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E1BAB">
        <w:rPr>
          <w:rFonts w:ascii="Times New Roman" w:hAnsi="Times New Roman" w:cs="Times New Roman"/>
          <w:sz w:val="28"/>
          <w:szCs w:val="28"/>
        </w:rPr>
        <w:t xml:space="preserve">I now turn to </w:t>
      </w:r>
      <w:r w:rsidR="00300D60">
        <w:rPr>
          <w:rFonts w:ascii="Times New Roman" w:hAnsi="Times New Roman" w:cs="Times New Roman"/>
          <w:sz w:val="28"/>
          <w:szCs w:val="28"/>
        </w:rPr>
        <w:t xml:space="preserve">consider </w:t>
      </w:r>
      <w:r w:rsidR="001F1931">
        <w:rPr>
          <w:rFonts w:ascii="Times New Roman" w:hAnsi="Times New Roman" w:cs="Times New Roman"/>
          <w:sz w:val="28"/>
          <w:szCs w:val="28"/>
        </w:rPr>
        <w:t>if the applicant has made a case</w:t>
      </w:r>
      <w:r w:rsidR="00DE1E7A">
        <w:rPr>
          <w:rFonts w:ascii="Times New Roman" w:hAnsi="Times New Roman" w:cs="Times New Roman"/>
          <w:sz w:val="28"/>
          <w:szCs w:val="28"/>
        </w:rPr>
        <w:t xml:space="preserve"> for</w:t>
      </w:r>
      <w:r w:rsidR="001F1931">
        <w:rPr>
          <w:rFonts w:ascii="Times New Roman" w:hAnsi="Times New Roman" w:cs="Times New Roman"/>
          <w:sz w:val="28"/>
          <w:szCs w:val="28"/>
        </w:rPr>
        <w:t xml:space="preserve"> </w:t>
      </w:r>
      <w:r>
        <w:rPr>
          <w:rFonts w:ascii="Times New Roman" w:hAnsi="Times New Roman" w:cs="Times New Roman"/>
          <w:sz w:val="28"/>
          <w:szCs w:val="28"/>
        </w:rPr>
        <w:t xml:space="preserve">the respondent and/or its </w:t>
      </w:r>
      <w:r w:rsidR="00713EB2">
        <w:rPr>
          <w:rFonts w:ascii="Times New Roman" w:hAnsi="Times New Roman" w:cs="Times New Roman"/>
          <w:sz w:val="28"/>
          <w:szCs w:val="28"/>
        </w:rPr>
        <w:t xml:space="preserve">agents </w:t>
      </w:r>
      <w:r w:rsidR="001F1931">
        <w:rPr>
          <w:rFonts w:ascii="Times New Roman" w:hAnsi="Times New Roman" w:cs="Times New Roman"/>
          <w:sz w:val="28"/>
          <w:szCs w:val="28"/>
        </w:rPr>
        <w:t xml:space="preserve">to </w:t>
      </w:r>
      <w:r w:rsidR="00DE1E7A">
        <w:rPr>
          <w:rFonts w:ascii="Times New Roman" w:hAnsi="Times New Roman" w:cs="Times New Roman"/>
          <w:sz w:val="28"/>
          <w:szCs w:val="28"/>
        </w:rPr>
        <w:t xml:space="preserve">be </w:t>
      </w:r>
      <w:r w:rsidR="00830B78" w:rsidRPr="00830B78">
        <w:rPr>
          <w:rFonts w:ascii="Times New Roman" w:hAnsi="Times New Roman" w:cs="Times New Roman"/>
          <w:i/>
          <w:iCs/>
          <w:sz w:val="28"/>
          <w:szCs w:val="28"/>
        </w:rPr>
        <w:t>“</w:t>
      </w:r>
      <w:r w:rsidRPr="00830B78">
        <w:rPr>
          <w:rFonts w:ascii="Times New Roman" w:hAnsi="Times New Roman" w:cs="Times New Roman"/>
          <w:i/>
          <w:iCs/>
          <w:sz w:val="28"/>
          <w:szCs w:val="28"/>
        </w:rPr>
        <w:t>interdicted from terminating and interfering</w:t>
      </w:r>
      <w:r w:rsidR="00830B78" w:rsidRPr="00830B78">
        <w:rPr>
          <w:rFonts w:ascii="Times New Roman" w:hAnsi="Times New Roman" w:cs="Times New Roman"/>
          <w:i/>
          <w:iCs/>
          <w:sz w:val="28"/>
          <w:szCs w:val="28"/>
        </w:rPr>
        <w:t xml:space="preserve"> with”</w:t>
      </w:r>
      <w:r>
        <w:rPr>
          <w:rFonts w:ascii="Times New Roman" w:hAnsi="Times New Roman" w:cs="Times New Roman"/>
          <w:sz w:val="28"/>
          <w:szCs w:val="28"/>
        </w:rPr>
        <w:t xml:space="preserve"> its possession of the premises until it is compensated </w:t>
      </w:r>
      <w:r w:rsidR="001F1931">
        <w:rPr>
          <w:rFonts w:ascii="Times New Roman" w:hAnsi="Times New Roman" w:cs="Times New Roman"/>
          <w:sz w:val="28"/>
          <w:szCs w:val="28"/>
        </w:rPr>
        <w:t xml:space="preserve">for </w:t>
      </w:r>
      <w:r>
        <w:rPr>
          <w:rFonts w:ascii="Times New Roman" w:hAnsi="Times New Roman" w:cs="Times New Roman"/>
          <w:sz w:val="28"/>
          <w:szCs w:val="28"/>
        </w:rPr>
        <w:t>the market value of the improvements.</w:t>
      </w:r>
      <w:r w:rsidR="00AD6DA4">
        <w:rPr>
          <w:rFonts w:ascii="Times New Roman" w:hAnsi="Times New Roman" w:cs="Times New Roman"/>
          <w:sz w:val="28"/>
          <w:szCs w:val="28"/>
        </w:rPr>
        <w:t xml:space="preserve"> The character of the relief sought is temporary in nature and limited in duration, hence the heads of argument filed on behalf of the applicant addressed the requirements for interim interdict. </w:t>
      </w:r>
    </w:p>
    <w:p w14:paraId="0AF7F8B4" w14:textId="77777777" w:rsidR="00E97DB3" w:rsidRDefault="00E97DB3" w:rsidP="00160FF3">
      <w:pPr>
        <w:pStyle w:val="BodyText"/>
        <w:kinsoku w:val="0"/>
        <w:overflowPunct w:val="0"/>
        <w:spacing w:line="480" w:lineRule="auto"/>
        <w:ind w:left="0"/>
        <w:jc w:val="both"/>
        <w:rPr>
          <w:rFonts w:ascii="Times New Roman" w:hAnsi="Times New Roman" w:cs="Times New Roman"/>
          <w:sz w:val="28"/>
          <w:szCs w:val="28"/>
        </w:rPr>
      </w:pPr>
    </w:p>
    <w:p w14:paraId="1B5DFBE5" w14:textId="3C496304" w:rsidR="00D93CE1" w:rsidRDefault="00E97DB3"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[5</w:t>
      </w:r>
      <w:r w:rsidR="00CD35FD">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applicant crossed wires between the requirements of </w:t>
      </w:r>
      <w:r w:rsidRPr="00E97DB3">
        <w:rPr>
          <w:rFonts w:ascii="Times New Roman" w:hAnsi="Times New Roman" w:cs="Times New Roman"/>
          <w:i/>
          <w:iCs/>
          <w:sz w:val="28"/>
          <w:szCs w:val="28"/>
        </w:rPr>
        <w:t xml:space="preserve">mandament van spolie, </w:t>
      </w:r>
      <w:r>
        <w:rPr>
          <w:rFonts w:ascii="Times New Roman" w:hAnsi="Times New Roman" w:cs="Times New Roman"/>
          <w:sz w:val="28"/>
          <w:szCs w:val="28"/>
        </w:rPr>
        <w:t xml:space="preserve">the possessory remedy available for the restoration of lost possession, and an interdict to restrain a threatened spoliation hence averments in the founding affidavit that the applicant was in peaceful and undisturbed possession of the premises. </w:t>
      </w:r>
      <w:r w:rsidR="00D93CE1" w:rsidRPr="00CD35FD">
        <w:rPr>
          <w:rFonts w:ascii="Times New Roman" w:hAnsi="Times New Roman" w:cs="Times New Roman"/>
          <w:i/>
          <w:iCs/>
          <w:sz w:val="28"/>
          <w:szCs w:val="28"/>
        </w:rPr>
        <w:t>Boruchowitz</w:t>
      </w:r>
      <w:r w:rsidR="00D93CE1">
        <w:rPr>
          <w:rFonts w:ascii="Times New Roman" w:hAnsi="Times New Roman" w:cs="Times New Roman"/>
          <w:sz w:val="28"/>
          <w:szCs w:val="28"/>
        </w:rPr>
        <w:t xml:space="preserve"> J differentiated the two remedies as follows in </w:t>
      </w:r>
      <w:r w:rsidR="00D93CE1" w:rsidRPr="00D93CE1">
        <w:rPr>
          <w:rFonts w:ascii="Times New Roman" w:hAnsi="Times New Roman" w:cs="Times New Roman"/>
          <w:b/>
          <w:bCs/>
          <w:sz w:val="28"/>
          <w:szCs w:val="28"/>
        </w:rPr>
        <w:t>Outdoor Network Limited and Another v. The Passenger Rail Agency of South Africa</w:t>
      </w:r>
      <w:r w:rsidR="00D93CE1">
        <w:rPr>
          <w:rStyle w:val="FootnoteReference"/>
          <w:rFonts w:ascii="Times New Roman" w:hAnsi="Times New Roman" w:cs="Times New Roman"/>
          <w:b/>
          <w:bCs/>
          <w:sz w:val="28"/>
          <w:szCs w:val="28"/>
        </w:rPr>
        <w:footnoteReference w:id="37"/>
      </w:r>
      <w:r w:rsidR="00D93CE1">
        <w:rPr>
          <w:rFonts w:ascii="Times New Roman" w:hAnsi="Times New Roman" w:cs="Times New Roman"/>
          <w:sz w:val="28"/>
          <w:szCs w:val="28"/>
        </w:rPr>
        <w:t xml:space="preserve">: </w:t>
      </w:r>
    </w:p>
    <w:p w14:paraId="6668554F" w14:textId="77777777" w:rsidR="00E6758F" w:rsidRDefault="00E6758F" w:rsidP="00160FF3">
      <w:pPr>
        <w:pStyle w:val="BodyText"/>
        <w:kinsoku w:val="0"/>
        <w:overflowPunct w:val="0"/>
        <w:spacing w:line="480" w:lineRule="auto"/>
        <w:ind w:left="0"/>
        <w:jc w:val="both"/>
        <w:rPr>
          <w:rFonts w:ascii="Times New Roman" w:hAnsi="Times New Roman" w:cs="Times New Roman"/>
          <w:sz w:val="28"/>
          <w:szCs w:val="28"/>
        </w:rPr>
      </w:pPr>
    </w:p>
    <w:p w14:paraId="1CA6795F" w14:textId="543A431F" w:rsidR="00D93CE1" w:rsidRDefault="00D93CE1" w:rsidP="00AB7E44">
      <w:pPr>
        <w:pStyle w:val="BodyText"/>
        <w:kinsoku w:val="0"/>
        <w:overflowPunct w:val="0"/>
        <w:ind w:left="1440" w:right="850"/>
        <w:jc w:val="both"/>
        <w:rPr>
          <w:rFonts w:ascii="Times New Roman" w:hAnsi="Times New Roman" w:cs="Times New Roman"/>
          <w:sz w:val="24"/>
          <w:szCs w:val="24"/>
        </w:rPr>
      </w:pPr>
      <w:r w:rsidRPr="00D93CE1">
        <w:rPr>
          <w:rFonts w:ascii="Times New Roman" w:hAnsi="Times New Roman" w:cs="Times New Roman"/>
          <w:sz w:val="24"/>
          <w:szCs w:val="24"/>
        </w:rPr>
        <w:t>“[23]</w:t>
      </w:r>
      <w:r w:rsidRPr="00D93CE1">
        <w:rPr>
          <w:rFonts w:ascii="Times New Roman" w:hAnsi="Times New Roman" w:cs="Times New Roman"/>
          <w:sz w:val="24"/>
          <w:szCs w:val="24"/>
        </w:rPr>
        <w:tab/>
        <w:t>Where</w:t>
      </w:r>
      <w:r w:rsidR="00516BF1">
        <w:rPr>
          <w:rFonts w:ascii="Times New Roman" w:hAnsi="Times New Roman" w:cs="Times New Roman"/>
          <w:sz w:val="24"/>
          <w:szCs w:val="24"/>
        </w:rPr>
        <w:t xml:space="preserve"> the </w:t>
      </w:r>
      <w:r w:rsidR="00516BF1" w:rsidRPr="009514C9">
        <w:rPr>
          <w:rFonts w:ascii="Times New Roman" w:hAnsi="Times New Roman" w:cs="Times New Roman"/>
          <w:i/>
          <w:iCs/>
          <w:sz w:val="24"/>
          <w:szCs w:val="24"/>
        </w:rPr>
        <w:t>mandament van spolie</w:t>
      </w:r>
      <w:r w:rsidR="00516BF1">
        <w:rPr>
          <w:rFonts w:ascii="Times New Roman" w:hAnsi="Times New Roman" w:cs="Times New Roman"/>
          <w:sz w:val="24"/>
          <w:szCs w:val="24"/>
        </w:rPr>
        <w:t xml:space="preserve"> is relied on, the possession which must be proved is not possession in the juridical sense; it is enough if the holding by the applicant is with the intention</w:t>
      </w:r>
      <w:r w:rsidR="00B41D32">
        <w:rPr>
          <w:rFonts w:ascii="Times New Roman" w:hAnsi="Times New Roman" w:cs="Times New Roman"/>
          <w:sz w:val="24"/>
          <w:szCs w:val="24"/>
        </w:rPr>
        <w:t xml:space="preserve"> of securing some benefit for himself.  The lawfulness or injustice of the possession is irrelevant.  Thus, even a thief or robber is entitled to avail himself of the </w:t>
      </w:r>
      <w:r w:rsidR="00750819" w:rsidRPr="009514C9">
        <w:rPr>
          <w:rFonts w:ascii="Times New Roman" w:hAnsi="Times New Roman" w:cs="Times New Roman"/>
          <w:i/>
          <w:iCs/>
          <w:sz w:val="24"/>
          <w:szCs w:val="24"/>
        </w:rPr>
        <w:t>mandament</w:t>
      </w:r>
      <w:r w:rsidR="00750819">
        <w:rPr>
          <w:rFonts w:ascii="Times New Roman" w:hAnsi="Times New Roman" w:cs="Times New Roman"/>
          <w:sz w:val="24"/>
          <w:szCs w:val="24"/>
        </w:rPr>
        <w:t xml:space="preserve">.  Also, a lessee who is deprived of the use and enjoyment of premises is entitled to invoke the </w:t>
      </w:r>
      <w:r w:rsidR="00750819" w:rsidRPr="009514C9">
        <w:rPr>
          <w:rFonts w:ascii="Times New Roman" w:hAnsi="Times New Roman" w:cs="Times New Roman"/>
          <w:i/>
          <w:iCs/>
          <w:sz w:val="24"/>
          <w:szCs w:val="24"/>
        </w:rPr>
        <w:t>mandament</w:t>
      </w:r>
      <w:r w:rsidR="00750819">
        <w:rPr>
          <w:rFonts w:ascii="Times New Roman" w:hAnsi="Times New Roman" w:cs="Times New Roman"/>
          <w:sz w:val="24"/>
          <w:szCs w:val="24"/>
        </w:rPr>
        <w:t xml:space="preserve"> to have the use and enjoyment restored to him even though he is not a possessor in the juristic sense.</w:t>
      </w:r>
    </w:p>
    <w:p w14:paraId="5A2DD041" w14:textId="2A9B3F35" w:rsidR="00750819" w:rsidRDefault="00750819" w:rsidP="00AB7E44">
      <w:pPr>
        <w:pStyle w:val="BodyText"/>
        <w:kinsoku w:val="0"/>
        <w:overflowPunct w:val="0"/>
        <w:ind w:left="1440" w:right="850"/>
        <w:jc w:val="both"/>
        <w:rPr>
          <w:rFonts w:ascii="Times New Roman" w:hAnsi="Times New Roman" w:cs="Times New Roman"/>
          <w:sz w:val="24"/>
          <w:szCs w:val="24"/>
        </w:rPr>
      </w:pPr>
    </w:p>
    <w:p w14:paraId="20D495D2" w14:textId="55931A6A" w:rsidR="00750819" w:rsidRDefault="00750819" w:rsidP="00AB7E44">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If mere factual possession, irrespective of how it was obtained, was sufficient to establish a clear right, even a thief or </w:t>
      </w:r>
      <w:r w:rsidRPr="0070613E">
        <w:rPr>
          <w:rFonts w:ascii="Times New Roman" w:hAnsi="Times New Roman" w:cs="Times New Roman"/>
          <w:i/>
          <w:iCs/>
          <w:sz w:val="24"/>
          <w:szCs w:val="24"/>
        </w:rPr>
        <w:t>mala fide</w:t>
      </w:r>
      <w:r>
        <w:rPr>
          <w:rFonts w:ascii="Times New Roman" w:hAnsi="Times New Roman" w:cs="Times New Roman"/>
          <w:sz w:val="24"/>
          <w:szCs w:val="24"/>
        </w:rPr>
        <w:t xml:space="preserve"> possessor would be entitled to obtain a final interdict.  There can be no justification </w:t>
      </w:r>
      <w:r>
        <w:rPr>
          <w:rFonts w:ascii="Times New Roman" w:hAnsi="Times New Roman" w:cs="Times New Roman"/>
          <w:sz w:val="24"/>
          <w:szCs w:val="24"/>
        </w:rPr>
        <w:lastRenderedPageBreak/>
        <w:t>for the protection by means of an interdict of illicitly or illegally obtained possession.</w:t>
      </w:r>
    </w:p>
    <w:p w14:paraId="0769456E" w14:textId="77777777" w:rsidR="003F5BAA" w:rsidRDefault="003F5BAA" w:rsidP="00AB7E44">
      <w:pPr>
        <w:pStyle w:val="BodyText"/>
        <w:kinsoku w:val="0"/>
        <w:overflowPunct w:val="0"/>
        <w:ind w:left="1440" w:right="850"/>
        <w:jc w:val="both"/>
        <w:rPr>
          <w:rFonts w:ascii="Times New Roman" w:hAnsi="Times New Roman" w:cs="Times New Roman"/>
          <w:sz w:val="24"/>
          <w:szCs w:val="24"/>
        </w:rPr>
      </w:pPr>
    </w:p>
    <w:p w14:paraId="75C62771" w14:textId="3539699B" w:rsidR="00750819" w:rsidRDefault="00750819" w:rsidP="00AB7E44">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The </w:t>
      </w:r>
      <w:r w:rsidRPr="004C4322">
        <w:rPr>
          <w:rFonts w:ascii="Times New Roman" w:hAnsi="Times New Roman" w:cs="Times New Roman"/>
          <w:i/>
          <w:iCs/>
          <w:sz w:val="24"/>
          <w:szCs w:val="24"/>
        </w:rPr>
        <w:t>mandament van spolie</w:t>
      </w:r>
      <w:r>
        <w:rPr>
          <w:rFonts w:ascii="Times New Roman" w:hAnsi="Times New Roman" w:cs="Times New Roman"/>
          <w:sz w:val="24"/>
          <w:szCs w:val="24"/>
        </w:rPr>
        <w:t xml:space="preserve"> cannot be invoked to prohibit a threatened spoliation; it is only available to a de facto possessor who has been despoiled.  Possessory remedies to prevent a threatened spoliation were available in Roman law, namely the </w:t>
      </w:r>
      <w:r w:rsidR="00A652F1" w:rsidRPr="004C4322">
        <w:rPr>
          <w:rFonts w:ascii="Times New Roman" w:hAnsi="Times New Roman" w:cs="Times New Roman"/>
          <w:i/>
          <w:iCs/>
          <w:sz w:val="24"/>
          <w:szCs w:val="24"/>
        </w:rPr>
        <w:t>mandament van complainte</w:t>
      </w:r>
      <w:r w:rsidR="00A652F1">
        <w:rPr>
          <w:rFonts w:ascii="Times New Roman" w:hAnsi="Times New Roman" w:cs="Times New Roman"/>
          <w:sz w:val="24"/>
          <w:szCs w:val="24"/>
        </w:rPr>
        <w:t xml:space="preserve"> and </w:t>
      </w:r>
      <w:r w:rsidR="00A652F1" w:rsidRPr="004C4322">
        <w:rPr>
          <w:rFonts w:ascii="Times New Roman" w:hAnsi="Times New Roman" w:cs="Times New Roman"/>
          <w:i/>
          <w:iCs/>
          <w:sz w:val="24"/>
          <w:szCs w:val="24"/>
        </w:rPr>
        <w:t>mandament van maintenue</w:t>
      </w:r>
      <w:r w:rsidR="00A652F1">
        <w:rPr>
          <w:rFonts w:ascii="Times New Roman" w:hAnsi="Times New Roman" w:cs="Times New Roman"/>
          <w:sz w:val="24"/>
          <w:szCs w:val="24"/>
        </w:rPr>
        <w:t>, but these were not imported into South African law.</w:t>
      </w:r>
    </w:p>
    <w:p w14:paraId="76953805" w14:textId="77777777" w:rsidR="003F5BAA" w:rsidRDefault="003F5BAA" w:rsidP="00AB7E44">
      <w:pPr>
        <w:pStyle w:val="BodyText"/>
        <w:kinsoku w:val="0"/>
        <w:overflowPunct w:val="0"/>
        <w:ind w:left="1440" w:right="850"/>
        <w:jc w:val="both"/>
        <w:rPr>
          <w:rFonts w:ascii="Times New Roman" w:hAnsi="Times New Roman" w:cs="Times New Roman"/>
          <w:sz w:val="24"/>
          <w:szCs w:val="24"/>
        </w:rPr>
      </w:pPr>
    </w:p>
    <w:p w14:paraId="44D069BC" w14:textId="52821E37" w:rsidR="00A652F1" w:rsidRDefault="00A652F1" w:rsidP="00AB7E44">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[26]</w:t>
      </w:r>
      <w:r w:rsidR="008848AC">
        <w:rPr>
          <w:rFonts w:ascii="Times New Roman" w:hAnsi="Times New Roman" w:cs="Times New Roman"/>
          <w:sz w:val="24"/>
          <w:szCs w:val="24"/>
        </w:rPr>
        <w:tab/>
      </w:r>
      <w:r w:rsidR="006A52F6">
        <w:rPr>
          <w:rFonts w:ascii="Times New Roman" w:hAnsi="Times New Roman" w:cs="Times New Roman"/>
          <w:sz w:val="24"/>
          <w:szCs w:val="24"/>
        </w:rPr>
        <w:t>T</w:t>
      </w:r>
      <w:r>
        <w:rPr>
          <w:rFonts w:ascii="Times New Roman" w:hAnsi="Times New Roman" w:cs="Times New Roman"/>
          <w:sz w:val="24"/>
          <w:szCs w:val="24"/>
        </w:rPr>
        <w:t xml:space="preserve">he </w:t>
      </w:r>
      <w:r w:rsidRPr="004C4322">
        <w:rPr>
          <w:rFonts w:ascii="Times New Roman" w:hAnsi="Times New Roman" w:cs="Times New Roman"/>
          <w:i/>
          <w:iCs/>
          <w:sz w:val="24"/>
          <w:szCs w:val="24"/>
        </w:rPr>
        <w:t>mandament van spolie</w:t>
      </w:r>
      <w:r>
        <w:rPr>
          <w:rFonts w:ascii="Times New Roman" w:hAnsi="Times New Roman" w:cs="Times New Roman"/>
          <w:sz w:val="24"/>
          <w:szCs w:val="24"/>
        </w:rPr>
        <w:t xml:space="preserve"> is a robust remedy which generally operates on an interim or temporary basis pending the final determination of the parties’respective legal rights.  In contradistinction, a final interdict is granted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secure a permanent cessation of a</w:t>
      </w:r>
      <w:r w:rsidR="00713EB2">
        <w:rPr>
          <w:rFonts w:ascii="Times New Roman" w:hAnsi="Times New Roman" w:cs="Times New Roman"/>
          <w:sz w:val="24"/>
          <w:szCs w:val="24"/>
        </w:rPr>
        <w:t>n</w:t>
      </w:r>
      <w:r>
        <w:rPr>
          <w:rFonts w:ascii="Times New Roman" w:hAnsi="Times New Roman" w:cs="Times New Roman"/>
          <w:sz w:val="24"/>
          <w:szCs w:val="24"/>
        </w:rPr>
        <w:t xml:space="preserve"> unlawful course of conduct or state of affairs.  It stands to reason, therefore, that the applicant for a final interdict must establish that it is the holder of a right which is recognised as a matter of substantive law.</w:t>
      </w:r>
    </w:p>
    <w:p w14:paraId="1426D3CD" w14:textId="77777777" w:rsidR="003F5BAA" w:rsidRDefault="003F5BAA" w:rsidP="00AB7E44">
      <w:pPr>
        <w:pStyle w:val="BodyText"/>
        <w:kinsoku w:val="0"/>
        <w:overflowPunct w:val="0"/>
        <w:ind w:left="1440" w:right="850"/>
        <w:jc w:val="both"/>
        <w:rPr>
          <w:rFonts w:ascii="Times New Roman" w:hAnsi="Times New Roman" w:cs="Times New Roman"/>
          <w:sz w:val="24"/>
          <w:szCs w:val="24"/>
        </w:rPr>
      </w:pPr>
    </w:p>
    <w:p w14:paraId="0FEB4A70" w14:textId="3098150C" w:rsidR="006A52F6" w:rsidRDefault="006A52F6" w:rsidP="00AB7E44">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The clear right required to be</w:t>
      </w:r>
      <w:r w:rsidR="009514C9">
        <w:rPr>
          <w:rFonts w:ascii="Times New Roman" w:hAnsi="Times New Roman" w:cs="Times New Roman"/>
          <w:sz w:val="24"/>
          <w:szCs w:val="24"/>
        </w:rPr>
        <w:t xml:space="preserve"> </w:t>
      </w:r>
      <w:r>
        <w:rPr>
          <w:rFonts w:ascii="Times New Roman" w:hAnsi="Times New Roman" w:cs="Times New Roman"/>
          <w:sz w:val="24"/>
          <w:szCs w:val="24"/>
        </w:rPr>
        <w:t xml:space="preserve">shown in interdict proceedings has been variously described.  Van der Linden refers to it as </w:t>
      </w:r>
      <w:r w:rsidRPr="004C4322">
        <w:rPr>
          <w:rFonts w:ascii="Times New Roman" w:hAnsi="Times New Roman" w:cs="Times New Roman"/>
          <w:i/>
          <w:iCs/>
          <w:sz w:val="24"/>
          <w:szCs w:val="24"/>
        </w:rPr>
        <w:t>“een liquid</w:t>
      </w:r>
      <w:r w:rsidR="004C4322">
        <w:rPr>
          <w:rFonts w:ascii="Times New Roman" w:hAnsi="Times New Roman" w:cs="Times New Roman"/>
          <w:i/>
          <w:iCs/>
          <w:sz w:val="24"/>
          <w:szCs w:val="24"/>
        </w:rPr>
        <w:t>e</w:t>
      </w:r>
      <w:r w:rsidRPr="004C4322">
        <w:rPr>
          <w:rFonts w:ascii="Times New Roman" w:hAnsi="Times New Roman" w:cs="Times New Roman"/>
          <w:i/>
          <w:iCs/>
          <w:sz w:val="24"/>
          <w:szCs w:val="24"/>
        </w:rPr>
        <w:t xml:space="preserve"> recht” (“Judicieele Pracktijck”</w:t>
      </w:r>
      <w:r>
        <w:rPr>
          <w:rFonts w:ascii="Times New Roman" w:hAnsi="Times New Roman" w:cs="Times New Roman"/>
          <w:sz w:val="24"/>
          <w:szCs w:val="24"/>
        </w:rPr>
        <w:t xml:space="preserve"> 2.19.1).  modern authorities refer to it as a definite right, that is a right clearly established.</w:t>
      </w:r>
    </w:p>
    <w:p w14:paraId="556C4254" w14:textId="77777777" w:rsidR="003F5BAA" w:rsidRDefault="003F5BAA" w:rsidP="00AB7E44">
      <w:pPr>
        <w:pStyle w:val="BodyText"/>
        <w:kinsoku w:val="0"/>
        <w:overflowPunct w:val="0"/>
        <w:ind w:left="1440" w:right="850"/>
        <w:jc w:val="both"/>
        <w:rPr>
          <w:rFonts w:ascii="Times New Roman" w:hAnsi="Times New Roman" w:cs="Times New Roman"/>
          <w:sz w:val="24"/>
          <w:szCs w:val="24"/>
        </w:rPr>
      </w:pPr>
    </w:p>
    <w:p w14:paraId="0214500B" w14:textId="3DF6A3E8" w:rsidR="006A52F6" w:rsidRPr="00D93CE1" w:rsidRDefault="006A52F6" w:rsidP="00AB7E44">
      <w:pPr>
        <w:pStyle w:val="BodyText"/>
        <w:kinsoku w:val="0"/>
        <w:overflowPunct w:val="0"/>
        <w:ind w:left="1440" w:right="85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Whether a right is established is a matter of</w:t>
      </w:r>
      <w:r w:rsidR="009514C9">
        <w:rPr>
          <w:rFonts w:ascii="Times New Roman" w:hAnsi="Times New Roman" w:cs="Times New Roman"/>
          <w:sz w:val="24"/>
          <w:szCs w:val="24"/>
        </w:rPr>
        <w:t xml:space="preserve"> substantive law.  The word “clear” relates to the degree of proof required to establish the right.</w:t>
      </w:r>
      <w:r w:rsidR="00150A84">
        <w:rPr>
          <w:rFonts w:ascii="Times New Roman" w:hAnsi="Times New Roman" w:cs="Times New Roman"/>
          <w:sz w:val="24"/>
          <w:szCs w:val="24"/>
        </w:rPr>
        <w:t>”</w:t>
      </w:r>
    </w:p>
    <w:p w14:paraId="17D982F8" w14:textId="0E820F8E" w:rsidR="00AD6DA4" w:rsidRDefault="00AD6DA4" w:rsidP="00160FF3">
      <w:pPr>
        <w:pStyle w:val="BodyText"/>
        <w:kinsoku w:val="0"/>
        <w:overflowPunct w:val="0"/>
        <w:spacing w:line="480" w:lineRule="auto"/>
        <w:ind w:left="0"/>
        <w:jc w:val="both"/>
        <w:rPr>
          <w:rFonts w:ascii="Times New Roman" w:hAnsi="Times New Roman" w:cs="Times New Roman"/>
          <w:sz w:val="28"/>
          <w:szCs w:val="28"/>
        </w:rPr>
      </w:pPr>
    </w:p>
    <w:p w14:paraId="60774DA1" w14:textId="1107B5A3" w:rsidR="001A3E62" w:rsidRDefault="00AD6DA4" w:rsidP="001A3E62">
      <w:pPr>
        <w:pStyle w:val="BodyText"/>
        <w:kinsoku w:val="0"/>
        <w:overflowPunct w:val="0"/>
        <w:spacing w:line="480" w:lineRule="auto"/>
        <w:ind w:left="0"/>
        <w:jc w:val="both"/>
        <w:rPr>
          <w:rFonts w:ascii="Times New Roman" w:hAnsi="Times New Roman" w:cs="Times New Roman"/>
          <w:color w:val="333333"/>
          <w:sz w:val="28"/>
          <w:szCs w:val="28"/>
        </w:rPr>
      </w:pPr>
      <w:r>
        <w:rPr>
          <w:rFonts w:ascii="Times New Roman" w:hAnsi="Times New Roman" w:cs="Times New Roman"/>
          <w:sz w:val="28"/>
          <w:szCs w:val="28"/>
        </w:rPr>
        <w:t>[</w:t>
      </w:r>
      <w:r w:rsidR="0006079B">
        <w:rPr>
          <w:rFonts w:ascii="Times New Roman" w:hAnsi="Times New Roman" w:cs="Times New Roman"/>
          <w:sz w:val="28"/>
          <w:szCs w:val="28"/>
        </w:rPr>
        <w:t>60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E97DB3">
        <w:rPr>
          <w:rFonts w:ascii="Times New Roman" w:hAnsi="Times New Roman" w:cs="Times New Roman"/>
          <w:sz w:val="28"/>
          <w:szCs w:val="28"/>
        </w:rPr>
        <w:t xml:space="preserve">Be that as it may, it is clear that the applicant has not been despoiled </w:t>
      </w:r>
      <w:proofErr w:type="gramStart"/>
      <w:r w:rsidR="00E97DB3">
        <w:rPr>
          <w:rFonts w:ascii="Times New Roman" w:hAnsi="Times New Roman" w:cs="Times New Roman"/>
          <w:sz w:val="28"/>
          <w:szCs w:val="28"/>
        </w:rPr>
        <w:t>as yet</w:t>
      </w:r>
      <w:proofErr w:type="gramEnd"/>
      <w:r w:rsidR="00E97DB3">
        <w:rPr>
          <w:rFonts w:ascii="Times New Roman" w:hAnsi="Times New Roman" w:cs="Times New Roman"/>
          <w:sz w:val="28"/>
          <w:szCs w:val="28"/>
        </w:rPr>
        <w:t xml:space="preserve"> and what it wants is a temporary interdict. </w:t>
      </w:r>
      <w:r w:rsidR="001A3E62" w:rsidRPr="001A3E62">
        <w:rPr>
          <w:rFonts w:ascii="Times New Roman" w:hAnsi="Times New Roman" w:cs="Times New Roman"/>
          <w:color w:val="333333"/>
          <w:sz w:val="28"/>
          <w:szCs w:val="28"/>
        </w:rPr>
        <w:t xml:space="preserve">The </w:t>
      </w:r>
      <w:r w:rsidR="00DE32C5">
        <w:rPr>
          <w:rFonts w:ascii="Times New Roman" w:hAnsi="Times New Roman" w:cs="Times New Roman"/>
          <w:color w:val="333333"/>
          <w:sz w:val="28"/>
          <w:szCs w:val="28"/>
        </w:rPr>
        <w:t xml:space="preserve">requirements for </w:t>
      </w:r>
      <w:r w:rsidR="001A3E62" w:rsidRPr="001A3E62">
        <w:rPr>
          <w:rFonts w:ascii="Times New Roman" w:hAnsi="Times New Roman" w:cs="Times New Roman"/>
          <w:color w:val="333333"/>
          <w:sz w:val="28"/>
          <w:szCs w:val="28"/>
        </w:rPr>
        <w:t xml:space="preserve">temporary </w:t>
      </w:r>
      <w:r w:rsidR="00E97DB3">
        <w:rPr>
          <w:rFonts w:ascii="Times New Roman" w:hAnsi="Times New Roman" w:cs="Times New Roman"/>
          <w:color w:val="333333"/>
          <w:sz w:val="28"/>
          <w:szCs w:val="28"/>
        </w:rPr>
        <w:t xml:space="preserve">prohibitory </w:t>
      </w:r>
      <w:r w:rsidR="001A3E62" w:rsidRPr="001A3E62">
        <w:rPr>
          <w:rFonts w:ascii="Times New Roman" w:hAnsi="Times New Roman" w:cs="Times New Roman"/>
          <w:color w:val="333333"/>
          <w:sz w:val="28"/>
          <w:szCs w:val="28"/>
        </w:rPr>
        <w:t xml:space="preserve">interdict </w:t>
      </w:r>
      <w:r w:rsidR="00DE32C5">
        <w:rPr>
          <w:rFonts w:ascii="Times New Roman" w:hAnsi="Times New Roman" w:cs="Times New Roman"/>
          <w:color w:val="333333"/>
          <w:sz w:val="28"/>
          <w:szCs w:val="28"/>
        </w:rPr>
        <w:t>which the applicant must established are as follows</w:t>
      </w:r>
      <w:r w:rsidR="00DE32C5">
        <w:rPr>
          <w:rStyle w:val="FootnoteReference"/>
          <w:rFonts w:ascii="Times New Roman" w:hAnsi="Times New Roman" w:cs="Times New Roman"/>
          <w:color w:val="333333"/>
          <w:sz w:val="28"/>
          <w:szCs w:val="28"/>
        </w:rPr>
        <w:footnoteReference w:id="38"/>
      </w:r>
      <w:r w:rsidR="00DE32C5">
        <w:rPr>
          <w:rFonts w:ascii="Times New Roman" w:hAnsi="Times New Roman" w:cs="Times New Roman"/>
          <w:color w:val="333333"/>
          <w:sz w:val="28"/>
          <w:szCs w:val="28"/>
        </w:rPr>
        <w:t xml:space="preserve">: </w:t>
      </w:r>
    </w:p>
    <w:p w14:paraId="6FCFD852" w14:textId="77777777" w:rsidR="001E449E" w:rsidRPr="001A3E62" w:rsidRDefault="001E449E" w:rsidP="001A3E62">
      <w:pPr>
        <w:pStyle w:val="BodyText"/>
        <w:kinsoku w:val="0"/>
        <w:overflowPunct w:val="0"/>
        <w:spacing w:line="480" w:lineRule="auto"/>
        <w:ind w:left="0"/>
        <w:jc w:val="both"/>
        <w:rPr>
          <w:rFonts w:ascii="Times New Roman" w:hAnsi="Times New Roman" w:cs="Times New Roman"/>
          <w:sz w:val="28"/>
          <w:szCs w:val="28"/>
        </w:rPr>
      </w:pPr>
    </w:p>
    <w:p w14:paraId="5BE9F952" w14:textId="37D8BDB4" w:rsidR="001A3E62" w:rsidRDefault="001A3E62" w:rsidP="004571AB">
      <w:pPr>
        <w:pStyle w:val="NormalWeb"/>
        <w:shd w:val="clear" w:color="auto" w:fill="FFFFFF"/>
        <w:spacing w:before="0" w:beforeAutospacing="0" w:line="480" w:lineRule="auto"/>
        <w:rPr>
          <w:color w:val="333333"/>
          <w:sz w:val="28"/>
          <w:szCs w:val="28"/>
        </w:rPr>
      </w:pPr>
      <w:r w:rsidRPr="001A3E62">
        <w:rPr>
          <w:color w:val="333333"/>
          <w:sz w:val="28"/>
          <w:szCs w:val="28"/>
        </w:rPr>
        <w:t>              </w:t>
      </w:r>
      <w:r w:rsidR="00DE32C5">
        <w:rPr>
          <w:color w:val="333333"/>
          <w:sz w:val="28"/>
          <w:szCs w:val="28"/>
        </w:rPr>
        <w:tab/>
      </w:r>
      <w:r w:rsidRPr="001A3E62">
        <w:rPr>
          <w:color w:val="333333"/>
          <w:sz w:val="28"/>
          <w:szCs w:val="28"/>
        </w:rPr>
        <w:t>(a)        </w:t>
      </w:r>
      <w:proofErr w:type="gramStart"/>
      <w:r w:rsidRPr="001A3E62">
        <w:rPr>
          <w:color w:val="333333"/>
          <w:sz w:val="28"/>
          <w:szCs w:val="28"/>
        </w:rPr>
        <w:t>a </w:t>
      </w:r>
      <w:r w:rsidRPr="001A3E62">
        <w:rPr>
          <w:rStyle w:val="Emphasis"/>
          <w:rFonts w:eastAsiaTheme="minorEastAsia"/>
          <w:color w:val="333333"/>
          <w:sz w:val="28"/>
          <w:szCs w:val="28"/>
        </w:rPr>
        <w:t>prima facie</w:t>
      </w:r>
      <w:proofErr w:type="gramEnd"/>
      <w:r w:rsidRPr="001A3E62">
        <w:rPr>
          <w:color w:val="333333"/>
          <w:sz w:val="28"/>
          <w:szCs w:val="28"/>
        </w:rPr>
        <w:t> right, though open to some doubt;</w:t>
      </w:r>
    </w:p>
    <w:p w14:paraId="10F26F7F" w14:textId="1CA559C8" w:rsidR="00645B89" w:rsidRDefault="00645B89" w:rsidP="004571AB">
      <w:pPr>
        <w:pStyle w:val="NormalWeb"/>
        <w:shd w:val="clear" w:color="auto" w:fill="FFFFFF"/>
        <w:spacing w:before="0" w:beforeAutospacing="0"/>
        <w:rPr>
          <w:color w:val="333333"/>
          <w:sz w:val="28"/>
          <w:szCs w:val="28"/>
        </w:rPr>
      </w:pPr>
      <w:r>
        <w:rPr>
          <w:color w:val="333333"/>
          <w:sz w:val="28"/>
          <w:szCs w:val="28"/>
        </w:rPr>
        <w:tab/>
      </w:r>
      <w:r>
        <w:rPr>
          <w:color w:val="333333"/>
          <w:sz w:val="28"/>
          <w:szCs w:val="28"/>
        </w:rPr>
        <w:tab/>
        <w:t>(b)</w:t>
      </w:r>
      <w:r>
        <w:rPr>
          <w:color w:val="333333"/>
          <w:sz w:val="28"/>
          <w:szCs w:val="28"/>
        </w:rPr>
        <w:tab/>
        <w:t xml:space="preserve">a well-grounded apprehension of irreparable harm if interim </w:t>
      </w:r>
    </w:p>
    <w:p w14:paraId="76E4AC82" w14:textId="0216BD27" w:rsidR="00FC7514" w:rsidRDefault="00645B89" w:rsidP="004571AB">
      <w:pPr>
        <w:pStyle w:val="NormalWeb"/>
        <w:shd w:val="clear" w:color="auto" w:fill="FFFFFF"/>
        <w:spacing w:before="0" w:beforeAutospacing="0"/>
        <w:rPr>
          <w:color w:val="333333"/>
          <w:sz w:val="28"/>
          <w:szCs w:val="28"/>
        </w:rPr>
      </w:pPr>
      <w:r>
        <w:rPr>
          <w:color w:val="333333"/>
          <w:sz w:val="28"/>
          <w:szCs w:val="28"/>
        </w:rPr>
        <w:tab/>
      </w:r>
      <w:r>
        <w:rPr>
          <w:color w:val="333333"/>
          <w:sz w:val="28"/>
          <w:szCs w:val="28"/>
        </w:rPr>
        <w:tab/>
      </w:r>
      <w:r>
        <w:rPr>
          <w:color w:val="333333"/>
          <w:sz w:val="28"/>
          <w:szCs w:val="28"/>
        </w:rPr>
        <w:tab/>
        <w:t xml:space="preserve">interdict is not </w:t>
      </w:r>
      <w:proofErr w:type="gramStart"/>
      <w:r>
        <w:rPr>
          <w:color w:val="333333"/>
          <w:sz w:val="28"/>
          <w:szCs w:val="28"/>
        </w:rPr>
        <w:t>granted</w:t>
      </w:r>
      <w:proofErr w:type="gramEnd"/>
      <w:r>
        <w:rPr>
          <w:color w:val="333333"/>
          <w:sz w:val="28"/>
          <w:szCs w:val="28"/>
        </w:rPr>
        <w:t xml:space="preserve"> and ultimate relief is eventually granted;</w:t>
      </w:r>
    </w:p>
    <w:p w14:paraId="3D632941" w14:textId="77777777" w:rsidR="004571AB" w:rsidRDefault="004571AB" w:rsidP="00AB5E6E">
      <w:pPr>
        <w:pStyle w:val="NormalWeb"/>
        <w:shd w:val="clear" w:color="auto" w:fill="FFFFFF"/>
        <w:spacing w:before="0" w:beforeAutospacing="0"/>
        <w:rPr>
          <w:color w:val="333333"/>
          <w:sz w:val="28"/>
          <w:szCs w:val="28"/>
        </w:rPr>
      </w:pPr>
    </w:p>
    <w:p w14:paraId="5C2FB69A" w14:textId="480C1C06" w:rsidR="00645B89" w:rsidRDefault="00645B89" w:rsidP="00AB5E6E">
      <w:pPr>
        <w:pStyle w:val="NormalWeb"/>
        <w:shd w:val="clear" w:color="auto" w:fill="FFFFFF"/>
        <w:spacing w:before="0" w:beforeAutospacing="0"/>
        <w:rPr>
          <w:color w:val="333333"/>
          <w:sz w:val="28"/>
          <w:szCs w:val="28"/>
        </w:rPr>
      </w:pPr>
      <w:r>
        <w:rPr>
          <w:color w:val="333333"/>
          <w:sz w:val="28"/>
          <w:szCs w:val="28"/>
        </w:rPr>
        <w:lastRenderedPageBreak/>
        <w:tab/>
      </w:r>
      <w:r>
        <w:rPr>
          <w:color w:val="333333"/>
          <w:sz w:val="28"/>
          <w:szCs w:val="28"/>
        </w:rPr>
        <w:tab/>
        <w:t>(c)</w:t>
      </w:r>
      <w:r>
        <w:rPr>
          <w:color w:val="333333"/>
          <w:sz w:val="28"/>
          <w:szCs w:val="28"/>
        </w:rPr>
        <w:tab/>
        <w:t>the balance of conve</w:t>
      </w:r>
      <w:r w:rsidR="004125B0">
        <w:rPr>
          <w:color w:val="333333"/>
          <w:sz w:val="28"/>
          <w:szCs w:val="28"/>
        </w:rPr>
        <w:t>nie</w:t>
      </w:r>
      <w:r>
        <w:rPr>
          <w:color w:val="333333"/>
          <w:sz w:val="28"/>
          <w:szCs w:val="28"/>
        </w:rPr>
        <w:t>nce favours the granting of the interim</w:t>
      </w:r>
    </w:p>
    <w:p w14:paraId="6B6A76C3" w14:textId="31067264" w:rsidR="00FC7514" w:rsidRDefault="004125B0" w:rsidP="00AB5E6E">
      <w:pPr>
        <w:pStyle w:val="NormalWeb"/>
        <w:shd w:val="clear" w:color="auto" w:fill="FFFFFF"/>
        <w:spacing w:before="0" w:beforeAutospacing="0"/>
        <w:rPr>
          <w:color w:val="333333"/>
          <w:sz w:val="28"/>
          <w:szCs w:val="28"/>
        </w:rPr>
      </w:pPr>
      <w:r>
        <w:rPr>
          <w:color w:val="333333"/>
          <w:sz w:val="28"/>
          <w:szCs w:val="28"/>
        </w:rPr>
        <w:tab/>
      </w:r>
      <w:r>
        <w:rPr>
          <w:color w:val="333333"/>
          <w:sz w:val="28"/>
          <w:szCs w:val="28"/>
        </w:rPr>
        <w:tab/>
      </w:r>
      <w:r>
        <w:rPr>
          <w:color w:val="333333"/>
          <w:sz w:val="28"/>
          <w:szCs w:val="28"/>
        </w:rPr>
        <w:tab/>
        <w:t>Interdict; and</w:t>
      </w:r>
    </w:p>
    <w:p w14:paraId="5F5F3095" w14:textId="77777777" w:rsidR="002F6BF0" w:rsidRPr="001A3E62" w:rsidRDefault="002F6BF0" w:rsidP="00AB5E6E">
      <w:pPr>
        <w:pStyle w:val="NormalWeb"/>
        <w:shd w:val="clear" w:color="auto" w:fill="FFFFFF"/>
        <w:spacing w:before="0" w:beforeAutospacing="0"/>
        <w:rPr>
          <w:color w:val="333333"/>
          <w:sz w:val="28"/>
          <w:szCs w:val="28"/>
        </w:rPr>
      </w:pPr>
    </w:p>
    <w:p w14:paraId="540D7579" w14:textId="23608052" w:rsidR="00136C69" w:rsidRPr="001A3E62" w:rsidRDefault="001A3E62" w:rsidP="00AB5E6E">
      <w:pPr>
        <w:pStyle w:val="NormalWeb"/>
        <w:shd w:val="clear" w:color="auto" w:fill="FFFFFF"/>
        <w:spacing w:before="0" w:beforeAutospacing="0" w:line="480" w:lineRule="auto"/>
        <w:rPr>
          <w:color w:val="333333"/>
          <w:sz w:val="28"/>
          <w:szCs w:val="28"/>
        </w:rPr>
      </w:pPr>
      <w:r w:rsidRPr="001A3E62">
        <w:rPr>
          <w:color w:val="333333"/>
          <w:sz w:val="28"/>
          <w:szCs w:val="28"/>
        </w:rPr>
        <w:t>        </w:t>
      </w:r>
      <w:r w:rsidR="00DE32C5">
        <w:rPr>
          <w:color w:val="333333"/>
          <w:sz w:val="28"/>
          <w:szCs w:val="28"/>
        </w:rPr>
        <w:tab/>
      </w:r>
      <w:r w:rsidRPr="001A3E62">
        <w:rPr>
          <w:color w:val="333333"/>
          <w:sz w:val="28"/>
          <w:szCs w:val="28"/>
        </w:rPr>
        <w:t xml:space="preserve">       </w:t>
      </w:r>
      <w:r w:rsidR="006E40F3">
        <w:rPr>
          <w:color w:val="333333"/>
          <w:sz w:val="28"/>
          <w:szCs w:val="28"/>
        </w:rPr>
        <w:tab/>
      </w:r>
      <w:r w:rsidRPr="001A3E62">
        <w:rPr>
          <w:color w:val="333333"/>
          <w:sz w:val="28"/>
          <w:szCs w:val="28"/>
        </w:rPr>
        <w:t>(d)      </w:t>
      </w:r>
      <w:r w:rsidR="00DD4AB7">
        <w:rPr>
          <w:color w:val="333333"/>
          <w:sz w:val="28"/>
          <w:szCs w:val="28"/>
        </w:rPr>
        <w:t xml:space="preserve">the </w:t>
      </w:r>
      <w:r w:rsidRPr="001A3E62">
        <w:rPr>
          <w:color w:val="333333"/>
          <w:sz w:val="28"/>
          <w:szCs w:val="28"/>
        </w:rPr>
        <w:t>absence of any other satisfactory remedy.</w:t>
      </w:r>
    </w:p>
    <w:p w14:paraId="1AB0D25D" w14:textId="08E39997" w:rsidR="001A3E62" w:rsidRPr="001A3E62" w:rsidRDefault="00DE32C5" w:rsidP="001A3E62">
      <w:pPr>
        <w:pStyle w:val="NormalWeb"/>
        <w:shd w:val="clear" w:color="auto" w:fill="FFFFFF"/>
        <w:spacing w:before="0" w:beforeAutospacing="0" w:line="480" w:lineRule="auto"/>
        <w:jc w:val="both"/>
        <w:rPr>
          <w:color w:val="333333"/>
          <w:sz w:val="28"/>
          <w:szCs w:val="28"/>
        </w:rPr>
      </w:pPr>
      <w:r>
        <w:rPr>
          <w:color w:val="333333"/>
          <w:sz w:val="28"/>
          <w:szCs w:val="28"/>
        </w:rPr>
        <w:t>[</w:t>
      </w:r>
      <w:r w:rsidR="00E97DB3">
        <w:rPr>
          <w:color w:val="333333"/>
          <w:sz w:val="28"/>
          <w:szCs w:val="28"/>
        </w:rPr>
        <w:t>6</w:t>
      </w:r>
      <w:r w:rsidR="0006079B">
        <w:rPr>
          <w:color w:val="333333"/>
          <w:sz w:val="28"/>
          <w:szCs w:val="28"/>
        </w:rPr>
        <w:t>1</w:t>
      </w:r>
      <w:r>
        <w:rPr>
          <w:color w:val="333333"/>
          <w:sz w:val="28"/>
          <w:szCs w:val="28"/>
        </w:rPr>
        <w:t>]</w:t>
      </w:r>
      <w:r w:rsidR="002E6DF4">
        <w:rPr>
          <w:color w:val="333333"/>
          <w:sz w:val="28"/>
          <w:szCs w:val="28"/>
        </w:rPr>
        <w:tab/>
      </w:r>
      <w:r w:rsidR="002E6DF4">
        <w:rPr>
          <w:color w:val="333333"/>
          <w:sz w:val="28"/>
          <w:szCs w:val="28"/>
        </w:rPr>
        <w:tab/>
        <w:t xml:space="preserve">As regards how these </w:t>
      </w:r>
      <w:r w:rsidR="001A3E62" w:rsidRPr="001A3E62">
        <w:rPr>
          <w:color w:val="333333"/>
          <w:sz w:val="28"/>
          <w:szCs w:val="28"/>
        </w:rPr>
        <w:t>requirements must be assessed</w:t>
      </w:r>
      <w:r w:rsidR="002E6DF4">
        <w:rPr>
          <w:color w:val="333333"/>
          <w:sz w:val="28"/>
          <w:szCs w:val="28"/>
        </w:rPr>
        <w:t>, the court said the following in</w:t>
      </w:r>
      <w:r w:rsidR="001A3E62" w:rsidRPr="001A3E62">
        <w:rPr>
          <w:color w:val="333333"/>
          <w:sz w:val="28"/>
          <w:szCs w:val="28"/>
        </w:rPr>
        <w:t> </w:t>
      </w:r>
      <w:r w:rsidR="001A3E62" w:rsidRPr="001A3E62">
        <w:rPr>
          <w:rStyle w:val="Strong"/>
          <w:color w:val="333333"/>
          <w:sz w:val="28"/>
          <w:szCs w:val="28"/>
        </w:rPr>
        <w:t>Eriksens Motors (Welkom) Pty Ltd v</w:t>
      </w:r>
      <w:r w:rsidR="002E6DF4">
        <w:rPr>
          <w:rStyle w:val="Strong"/>
          <w:color w:val="333333"/>
          <w:sz w:val="28"/>
          <w:szCs w:val="28"/>
        </w:rPr>
        <w:t>.</w:t>
      </w:r>
      <w:r w:rsidR="001A3E62" w:rsidRPr="001A3E62">
        <w:rPr>
          <w:rStyle w:val="Strong"/>
          <w:color w:val="333333"/>
          <w:sz w:val="28"/>
          <w:szCs w:val="28"/>
        </w:rPr>
        <w:t xml:space="preserve"> Protea Motors (Warrenton</w:t>
      </w:r>
      <w:r w:rsidR="001A3E62" w:rsidRPr="001A3E62">
        <w:rPr>
          <w:color w:val="333333"/>
          <w:sz w:val="28"/>
          <w:szCs w:val="28"/>
        </w:rPr>
        <w:t>)</w:t>
      </w:r>
      <w:r w:rsidR="002E6DF4">
        <w:rPr>
          <w:rStyle w:val="FootnoteReference"/>
          <w:color w:val="333333"/>
          <w:sz w:val="28"/>
          <w:szCs w:val="28"/>
        </w:rPr>
        <w:footnoteReference w:id="39"/>
      </w:r>
      <w:r w:rsidR="002E6DF4">
        <w:rPr>
          <w:color w:val="333333"/>
          <w:sz w:val="28"/>
          <w:szCs w:val="28"/>
        </w:rPr>
        <w:t>:</w:t>
      </w:r>
      <w:r w:rsidR="001A3E62" w:rsidRPr="001A3E62">
        <w:rPr>
          <w:color w:val="333333"/>
          <w:sz w:val="28"/>
          <w:szCs w:val="28"/>
        </w:rPr>
        <w:t xml:space="preserve"> </w:t>
      </w:r>
    </w:p>
    <w:p w14:paraId="0C82F7AE" w14:textId="0A2A7021" w:rsidR="001A3E62" w:rsidRPr="002E6DF4" w:rsidRDefault="001A3E62" w:rsidP="00524DD8">
      <w:pPr>
        <w:pStyle w:val="NormalWeb"/>
        <w:shd w:val="clear" w:color="auto" w:fill="FFFFFF"/>
        <w:spacing w:before="0" w:beforeAutospacing="0" w:after="0" w:afterAutospacing="0"/>
        <w:ind w:left="1440" w:right="850"/>
        <w:jc w:val="both"/>
        <w:rPr>
          <w:color w:val="333333"/>
        </w:rPr>
      </w:pPr>
      <w:r w:rsidRPr="002E6DF4">
        <w:rPr>
          <w:color w:val="333333"/>
        </w:rPr>
        <w:t>“The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w:t>
      </w:r>
      <w:r w:rsidRPr="002E6DF4">
        <w:rPr>
          <w:rStyle w:val="Emphasis"/>
          <w:rFonts w:eastAsiaTheme="minorEastAsia"/>
          <w:color w:val="333333"/>
        </w:rPr>
        <w:t xml:space="preserve">Olympic Passenger Service (Pty.) Ltd. V </w:t>
      </w:r>
      <w:proofErr w:type="spellStart"/>
      <w:r w:rsidRPr="002E6DF4">
        <w:rPr>
          <w:rStyle w:val="Emphasis"/>
          <w:rFonts w:eastAsiaTheme="minorEastAsia"/>
          <w:color w:val="333333"/>
        </w:rPr>
        <w:t>Ramlagan</w:t>
      </w:r>
      <w:proofErr w:type="spellEnd"/>
      <w:r w:rsidRPr="002E6DF4">
        <w:rPr>
          <w:rStyle w:val="Emphasis"/>
          <w:rFonts w:eastAsiaTheme="minorEastAsia"/>
          <w:color w:val="333333"/>
        </w:rPr>
        <w:t>,</w:t>
      </w:r>
      <w:r w:rsidRPr="002E6DF4">
        <w:rPr>
          <w:color w:val="333333"/>
        </w:rPr>
        <w:t> 1957 (2) SA 382 (D) at p. 383D – G. Viewed in that light, the reference to a right which, ‘though </w:t>
      </w:r>
      <w:r w:rsidRPr="002E6DF4">
        <w:rPr>
          <w:rStyle w:val="Emphasis"/>
          <w:rFonts w:eastAsiaTheme="minorEastAsia"/>
          <w:color w:val="333333"/>
        </w:rPr>
        <w:t>prima facie</w:t>
      </w:r>
      <w:r w:rsidRPr="002E6DF4">
        <w:rPr>
          <w:color w:val="333333"/>
        </w:rPr>
        <w:t> established, is open to some doubt</w:t>
      </w:r>
      <w:r w:rsidR="00E35F81" w:rsidRPr="002E6DF4">
        <w:rPr>
          <w:color w:val="333333"/>
        </w:rPr>
        <w:t>’ is</w:t>
      </w:r>
      <w:r w:rsidRPr="002E6DF4">
        <w:rPr>
          <w:color w:val="333333"/>
        </w:rPr>
        <w:t xml:space="preserve"> apt, flexible and practical, and needs no further elaboration.”</w:t>
      </w:r>
    </w:p>
    <w:p w14:paraId="42E297D6" w14:textId="7C703BB3" w:rsidR="001A3E62" w:rsidRDefault="001A3E62" w:rsidP="001A3E62">
      <w:pPr>
        <w:pStyle w:val="BodyText"/>
        <w:kinsoku w:val="0"/>
        <w:overflowPunct w:val="0"/>
        <w:spacing w:line="480" w:lineRule="auto"/>
        <w:ind w:left="0"/>
        <w:jc w:val="both"/>
        <w:rPr>
          <w:rFonts w:ascii="Times New Roman" w:hAnsi="Times New Roman" w:cs="Times New Roman"/>
          <w:sz w:val="28"/>
          <w:szCs w:val="28"/>
        </w:rPr>
      </w:pPr>
    </w:p>
    <w:p w14:paraId="138FE4D3" w14:textId="6EDBEC1A" w:rsidR="001B7914" w:rsidRDefault="002E6DF4"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sidR="0006079B">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14E66">
        <w:rPr>
          <w:rFonts w:ascii="Times New Roman" w:hAnsi="Times New Roman" w:cs="Times New Roman"/>
          <w:sz w:val="28"/>
          <w:szCs w:val="28"/>
        </w:rPr>
        <w:t xml:space="preserve">The applicant contends that it </w:t>
      </w:r>
      <w:r w:rsidR="00CC2F38">
        <w:rPr>
          <w:rFonts w:ascii="Times New Roman" w:hAnsi="Times New Roman" w:cs="Times New Roman"/>
          <w:sz w:val="28"/>
          <w:szCs w:val="28"/>
        </w:rPr>
        <w:t xml:space="preserve">derives </w:t>
      </w:r>
      <w:r w:rsidR="00214E66">
        <w:rPr>
          <w:rFonts w:ascii="Times New Roman" w:hAnsi="Times New Roman" w:cs="Times New Roman"/>
          <w:sz w:val="28"/>
          <w:szCs w:val="28"/>
        </w:rPr>
        <w:t>clear right</w:t>
      </w:r>
      <w:r w:rsidR="00D93CE1">
        <w:rPr>
          <w:rFonts w:ascii="Times New Roman" w:hAnsi="Times New Roman" w:cs="Times New Roman"/>
          <w:sz w:val="28"/>
          <w:szCs w:val="28"/>
        </w:rPr>
        <w:t xml:space="preserve"> </w:t>
      </w:r>
      <w:r w:rsidR="00CC2F38">
        <w:rPr>
          <w:rFonts w:ascii="Times New Roman" w:hAnsi="Times New Roman" w:cs="Times New Roman"/>
          <w:sz w:val="28"/>
          <w:szCs w:val="28"/>
        </w:rPr>
        <w:t>from the fact that it has</w:t>
      </w:r>
      <w:r w:rsidR="00D93CE1">
        <w:rPr>
          <w:rFonts w:ascii="Times New Roman" w:hAnsi="Times New Roman" w:cs="Times New Roman"/>
          <w:sz w:val="28"/>
          <w:szCs w:val="28"/>
        </w:rPr>
        <w:t xml:space="preserve"> agreement that has not expired and on its right to lien. </w:t>
      </w:r>
      <w:r w:rsidR="009A0438">
        <w:rPr>
          <w:rFonts w:ascii="Times New Roman" w:hAnsi="Times New Roman" w:cs="Times New Roman"/>
          <w:sz w:val="28"/>
          <w:szCs w:val="28"/>
        </w:rPr>
        <w:t xml:space="preserve">I have already found that the agreement is null and void. Consequently, it cannot be a basis for </w:t>
      </w:r>
      <w:proofErr w:type="spellStart"/>
      <w:r w:rsidR="009A0438" w:rsidRPr="009A0438">
        <w:rPr>
          <w:rFonts w:ascii="Times New Roman" w:hAnsi="Times New Roman" w:cs="Times New Roman"/>
          <w:i/>
          <w:iCs/>
          <w:sz w:val="28"/>
          <w:szCs w:val="28"/>
        </w:rPr>
        <w:t>ius</w:t>
      </w:r>
      <w:proofErr w:type="spellEnd"/>
      <w:r w:rsidR="009A0438" w:rsidRPr="009A0438">
        <w:rPr>
          <w:rFonts w:ascii="Times New Roman" w:hAnsi="Times New Roman" w:cs="Times New Roman"/>
          <w:i/>
          <w:iCs/>
          <w:sz w:val="28"/>
          <w:szCs w:val="28"/>
        </w:rPr>
        <w:t xml:space="preserve"> </w:t>
      </w:r>
      <w:proofErr w:type="spellStart"/>
      <w:r w:rsidR="009A0438" w:rsidRPr="009A0438">
        <w:rPr>
          <w:rFonts w:ascii="Times New Roman" w:hAnsi="Times New Roman" w:cs="Times New Roman"/>
          <w:i/>
          <w:iCs/>
          <w:sz w:val="28"/>
          <w:szCs w:val="28"/>
        </w:rPr>
        <w:t>possidend</w:t>
      </w:r>
      <w:r w:rsidR="009A0438">
        <w:rPr>
          <w:rFonts w:ascii="Times New Roman" w:hAnsi="Times New Roman" w:cs="Times New Roman"/>
          <w:i/>
          <w:iCs/>
          <w:sz w:val="28"/>
          <w:szCs w:val="28"/>
        </w:rPr>
        <w:t>i</w:t>
      </w:r>
      <w:proofErr w:type="spellEnd"/>
      <w:r w:rsidR="009A0438">
        <w:rPr>
          <w:rFonts w:ascii="Times New Roman" w:hAnsi="Times New Roman" w:cs="Times New Roman"/>
          <w:i/>
          <w:iCs/>
          <w:sz w:val="28"/>
          <w:szCs w:val="28"/>
        </w:rPr>
        <w:t xml:space="preserve">. </w:t>
      </w:r>
      <w:r w:rsidR="009A0438">
        <w:rPr>
          <w:rFonts w:ascii="Times New Roman" w:hAnsi="Times New Roman" w:cs="Times New Roman"/>
          <w:sz w:val="28"/>
          <w:szCs w:val="28"/>
        </w:rPr>
        <w:t>Again, t</w:t>
      </w:r>
      <w:r w:rsidR="00146073">
        <w:rPr>
          <w:rFonts w:ascii="Times New Roman" w:hAnsi="Times New Roman" w:cs="Times New Roman"/>
          <w:sz w:val="28"/>
          <w:szCs w:val="28"/>
        </w:rPr>
        <w:t>he extent to which the improvements have enhanced the value of the property has not been disclosed</w:t>
      </w:r>
      <w:r w:rsidR="009A0438">
        <w:rPr>
          <w:rFonts w:ascii="Times New Roman" w:hAnsi="Times New Roman" w:cs="Times New Roman"/>
          <w:sz w:val="28"/>
          <w:szCs w:val="28"/>
        </w:rPr>
        <w:t xml:space="preserve">, neither is </w:t>
      </w:r>
      <w:r w:rsidR="00146073">
        <w:rPr>
          <w:rFonts w:ascii="Times New Roman" w:hAnsi="Times New Roman" w:cs="Times New Roman"/>
          <w:sz w:val="28"/>
          <w:szCs w:val="28"/>
        </w:rPr>
        <w:t>the estimated expenditure substantiated. Resultantly, I have serious doubt that the applicant has a clear</w:t>
      </w:r>
      <w:r w:rsidR="00214E66">
        <w:rPr>
          <w:rFonts w:ascii="Times New Roman" w:hAnsi="Times New Roman" w:cs="Times New Roman"/>
          <w:sz w:val="28"/>
          <w:szCs w:val="28"/>
        </w:rPr>
        <w:t xml:space="preserve"> right </w:t>
      </w:r>
      <w:r w:rsidR="001547E2">
        <w:rPr>
          <w:rFonts w:ascii="Times New Roman" w:hAnsi="Times New Roman" w:cs="Times New Roman"/>
          <w:sz w:val="28"/>
          <w:szCs w:val="28"/>
        </w:rPr>
        <w:t>based on</w:t>
      </w:r>
      <w:r w:rsidR="009A0438">
        <w:rPr>
          <w:rFonts w:ascii="Times New Roman" w:hAnsi="Times New Roman" w:cs="Times New Roman"/>
          <w:sz w:val="28"/>
          <w:szCs w:val="28"/>
        </w:rPr>
        <w:t xml:space="preserve"> right of retention. Rather</w:t>
      </w:r>
      <w:r w:rsidR="00AD07FD">
        <w:rPr>
          <w:rFonts w:ascii="Times New Roman" w:hAnsi="Times New Roman" w:cs="Times New Roman"/>
          <w:sz w:val="28"/>
          <w:szCs w:val="28"/>
        </w:rPr>
        <w:t>, by virtue of being a bona fide occupier,</w:t>
      </w:r>
      <w:r w:rsidR="009A0438">
        <w:rPr>
          <w:rFonts w:ascii="Times New Roman" w:hAnsi="Times New Roman" w:cs="Times New Roman"/>
          <w:sz w:val="28"/>
          <w:szCs w:val="28"/>
        </w:rPr>
        <w:t xml:space="preserve"> the applicant has </w:t>
      </w:r>
      <w:proofErr w:type="gramStart"/>
      <w:r w:rsidR="009A0438">
        <w:rPr>
          <w:rFonts w:ascii="Times New Roman" w:hAnsi="Times New Roman" w:cs="Times New Roman"/>
          <w:sz w:val="28"/>
          <w:szCs w:val="28"/>
        </w:rPr>
        <w:t xml:space="preserve">a </w:t>
      </w:r>
      <w:r w:rsidR="009A0438" w:rsidRPr="001547E2">
        <w:rPr>
          <w:rFonts w:ascii="Times New Roman" w:hAnsi="Times New Roman" w:cs="Times New Roman"/>
          <w:i/>
          <w:iCs/>
          <w:sz w:val="28"/>
          <w:szCs w:val="28"/>
        </w:rPr>
        <w:lastRenderedPageBreak/>
        <w:t>pr</w:t>
      </w:r>
      <w:r w:rsidR="001547E2" w:rsidRPr="001547E2">
        <w:rPr>
          <w:rFonts w:ascii="Times New Roman" w:hAnsi="Times New Roman" w:cs="Times New Roman"/>
          <w:i/>
          <w:iCs/>
          <w:sz w:val="28"/>
          <w:szCs w:val="28"/>
        </w:rPr>
        <w:t>i</w:t>
      </w:r>
      <w:r w:rsidR="009A0438" w:rsidRPr="001547E2">
        <w:rPr>
          <w:rFonts w:ascii="Times New Roman" w:hAnsi="Times New Roman" w:cs="Times New Roman"/>
          <w:i/>
          <w:iCs/>
          <w:sz w:val="28"/>
          <w:szCs w:val="28"/>
        </w:rPr>
        <w:t>ma facie</w:t>
      </w:r>
      <w:proofErr w:type="gramEnd"/>
      <w:r w:rsidR="009A0438">
        <w:rPr>
          <w:rFonts w:ascii="Times New Roman" w:hAnsi="Times New Roman" w:cs="Times New Roman"/>
          <w:sz w:val="28"/>
          <w:szCs w:val="28"/>
        </w:rPr>
        <w:t xml:space="preserve"> right </w:t>
      </w:r>
      <w:r w:rsidR="001547E2">
        <w:rPr>
          <w:rFonts w:ascii="Times New Roman" w:hAnsi="Times New Roman" w:cs="Times New Roman"/>
          <w:sz w:val="28"/>
          <w:szCs w:val="28"/>
        </w:rPr>
        <w:t xml:space="preserve">which is open to some doubt. </w:t>
      </w:r>
      <w:r w:rsidR="00146073">
        <w:rPr>
          <w:rFonts w:ascii="Times New Roman" w:hAnsi="Times New Roman" w:cs="Times New Roman"/>
          <w:sz w:val="28"/>
          <w:szCs w:val="28"/>
        </w:rPr>
        <w:t xml:space="preserve"> </w:t>
      </w:r>
    </w:p>
    <w:p w14:paraId="23E1DF21" w14:textId="77777777" w:rsidR="00CC2F38" w:rsidRDefault="00CC2F38" w:rsidP="00160FF3">
      <w:pPr>
        <w:pStyle w:val="BodyText"/>
        <w:kinsoku w:val="0"/>
        <w:overflowPunct w:val="0"/>
        <w:spacing w:line="480" w:lineRule="auto"/>
        <w:ind w:left="0"/>
        <w:jc w:val="both"/>
        <w:rPr>
          <w:rFonts w:ascii="Times New Roman" w:hAnsi="Times New Roman" w:cs="Times New Roman"/>
          <w:sz w:val="28"/>
          <w:szCs w:val="28"/>
        </w:rPr>
      </w:pPr>
    </w:p>
    <w:p w14:paraId="4C2E860D" w14:textId="283D0938" w:rsidR="00D46282" w:rsidRDefault="001B7914" w:rsidP="00160FF3">
      <w:pPr>
        <w:pStyle w:val="BodyText"/>
        <w:kinsoku w:val="0"/>
        <w:overflowPunct w:val="0"/>
        <w:spacing w:line="480" w:lineRule="auto"/>
        <w:ind w:left="0"/>
        <w:jc w:val="both"/>
        <w:rPr>
          <w:rFonts w:ascii="Times New Roman" w:hAnsi="Times New Roman" w:cs="Times New Roman"/>
          <w:color w:val="333333"/>
          <w:sz w:val="28"/>
          <w:szCs w:val="28"/>
        </w:rPr>
      </w:pPr>
      <w:r>
        <w:rPr>
          <w:rFonts w:ascii="Times New Roman" w:hAnsi="Times New Roman" w:cs="Times New Roman"/>
          <w:sz w:val="28"/>
          <w:szCs w:val="28"/>
        </w:rPr>
        <w:t>[6</w:t>
      </w:r>
      <w:r w:rsidR="0006079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C3EF1">
        <w:rPr>
          <w:rFonts w:ascii="Times New Roman" w:hAnsi="Times New Roman" w:cs="Times New Roman"/>
          <w:sz w:val="28"/>
          <w:szCs w:val="28"/>
        </w:rPr>
        <w:t xml:space="preserve">This brings me to the </w:t>
      </w:r>
      <w:r w:rsidR="00E81276">
        <w:rPr>
          <w:rFonts w:ascii="Times New Roman" w:hAnsi="Times New Roman" w:cs="Times New Roman"/>
          <w:sz w:val="28"/>
          <w:szCs w:val="28"/>
        </w:rPr>
        <w:t xml:space="preserve">next </w:t>
      </w:r>
      <w:r w:rsidR="00B01C19">
        <w:rPr>
          <w:rFonts w:ascii="Times New Roman" w:hAnsi="Times New Roman" w:cs="Times New Roman"/>
          <w:sz w:val="28"/>
          <w:szCs w:val="28"/>
        </w:rPr>
        <w:t>enquiry</w:t>
      </w:r>
      <w:r w:rsidR="000C3EF1">
        <w:rPr>
          <w:rFonts w:ascii="Times New Roman" w:hAnsi="Times New Roman" w:cs="Times New Roman"/>
          <w:sz w:val="28"/>
          <w:szCs w:val="28"/>
        </w:rPr>
        <w:t xml:space="preserve">, namely whether </w:t>
      </w:r>
      <w:r w:rsidR="00E04C42">
        <w:rPr>
          <w:rFonts w:ascii="Times New Roman" w:hAnsi="Times New Roman" w:cs="Times New Roman"/>
          <w:sz w:val="28"/>
          <w:szCs w:val="28"/>
        </w:rPr>
        <w:t xml:space="preserve">the applicant has </w:t>
      </w:r>
      <w:r w:rsidR="00E04C42" w:rsidRPr="00E04C42">
        <w:rPr>
          <w:rFonts w:ascii="Times New Roman" w:hAnsi="Times New Roman" w:cs="Times New Roman"/>
          <w:color w:val="333333"/>
          <w:sz w:val="28"/>
          <w:szCs w:val="28"/>
        </w:rPr>
        <w:t>a well-grounded apprehension of irreparable harm</w:t>
      </w:r>
      <w:r w:rsidR="00E04C42">
        <w:rPr>
          <w:rFonts w:ascii="Times New Roman" w:hAnsi="Times New Roman" w:cs="Times New Roman"/>
          <w:color w:val="333333"/>
          <w:sz w:val="28"/>
          <w:szCs w:val="28"/>
        </w:rPr>
        <w:t xml:space="preserve">. </w:t>
      </w:r>
      <w:r w:rsidR="00D46282">
        <w:rPr>
          <w:rFonts w:ascii="Times New Roman" w:hAnsi="Times New Roman" w:cs="Times New Roman"/>
          <w:color w:val="333333"/>
          <w:sz w:val="28"/>
          <w:szCs w:val="28"/>
        </w:rPr>
        <w:t xml:space="preserve">Based on the decision of this Court in </w:t>
      </w:r>
      <w:proofErr w:type="spellStart"/>
      <w:r w:rsidR="00945420" w:rsidRPr="007B3F88">
        <w:rPr>
          <w:rFonts w:ascii="Times New Roman" w:hAnsi="Times New Roman" w:cs="Times New Roman"/>
          <w:b/>
          <w:bCs/>
          <w:color w:val="333333"/>
          <w:sz w:val="28"/>
          <w:szCs w:val="28"/>
        </w:rPr>
        <w:t>Leloli</w:t>
      </w:r>
      <w:proofErr w:type="spellEnd"/>
      <w:r w:rsidR="00945420" w:rsidRPr="007B3F88">
        <w:rPr>
          <w:rFonts w:ascii="Times New Roman" w:hAnsi="Times New Roman" w:cs="Times New Roman"/>
          <w:b/>
          <w:bCs/>
          <w:color w:val="333333"/>
          <w:sz w:val="28"/>
          <w:szCs w:val="28"/>
        </w:rPr>
        <w:t xml:space="preserve"> Trading (Pty) Ltd v. Mafeteng District Council and Another</w:t>
      </w:r>
      <w:r w:rsidR="00945420">
        <w:rPr>
          <w:rStyle w:val="FootnoteReference"/>
          <w:rFonts w:ascii="Times New Roman" w:hAnsi="Times New Roman" w:cs="Times New Roman"/>
          <w:color w:val="333333"/>
          <w:sz w:val="28"/>
          <w:szCs w:val="28"/>
        </w:rPr>
        <w:footnoteReference w:id="40"/>
      </w:r>
      <w:r w:rsidR="00945420">
        <w:rPr>
          <w:rFonts w:ascii="Times New Roman" w:hAnsi="Times New Roman" w:cs="Times New Roman"/>
          <w:color w:val="333333"/>
          <w:sz w:val="28"/>
          <w:szCs w:val="28"/>
        </w:rPr>
        <w:t xml:space="preserve"> </w:t>
      </w:r>
      <w:r w:rsidR="007B3F88">
        <w:rPr>
          <w:rFonts w:ascii="Times New Roman" w:hAnsi="Times New Roman" w:cs="Times New Roman"/>
          <w:color w:val="333333"/>
          <w:sz w:val="28"/>
          <w:szCs w:val="28"/>
        </w:rPr>
        <w:t>which took cue</w:t>
      </w:r>
      <w:r w:rsidR="003E7478">
        <w:rPr>
          <w:rFonts w:ascii="Times New Roman" w:hAnsi="Times New Roman" w:cs="Times New Roman"/>
          <w:color w:val="333333"/>
          <w:sz w:val="28"/>
          <w:szCs w:val="28"/>
        </w:rPr>
        <w:t xml:space="preserve"> from</w:t>
      </w:r>
      <w:r w:rsidR="007B3F88">
        <w:rPr>
          <w:rFonts w:ascii="Times New Roman" w:hAnsi="Times New Roman" w:cs="Times New Roman"/>
          <w:color w:val="333333"/>
          <w:sz w:val="28"/>
          <w:szCs w:val="28"/>
        </w:rPr>
        <w:t xml:space="preserve"> </w:t>
      </w:r>
      <w:proofErr w:type="spellStart"/>
      <w:r w:rsidR="007B3F88" w:rsidRPr="002F7AD0">
        <w:rPr>
          <w:rFonts w:ascii="Times New Roman" w:hAnsi="Times New Roman" w:cs="Times New Roman"/>
          <w:b/>
          <w:bCs/>
          <w:color w:val="333333"/>
          <w:sz w:val="28"/>
          <w:szCs w:val="28"/>
        </w:rPr>
        <w:t>Setlogelo</w:t>
      </w:r>
      <w:proofErr w:type="spellEnd"/>
      <w:r w:rsidR="002F7AD0">
        <w:rPr>
          <w:rStyle w:val="FootnoteReference"/>
          <w:rFonts w:ascii="Times New Roman" w:hAnsi="Times New Roman" w:cs="Times New Roman"/>
          <w:b/>
          <w:bCs/>
          <w:color w:val="333333"/>
          <w:sz w:val="28"/>
          <w:szCs w:val="28"/>
        </w:rPr>
        <w:footnoteReference w:id="41"/>
      </w:r>
      <w:r w:rsidR="007B3F88">
        <w:rPr>
          <w:rFonts w:ascii="Times New Roman" w:hAnsi="Times New Roman" w:cs="Times New Roman"/>
          <w:color w:val="333333"/>
          <w:sz w:val="28"/>
          <w:szCs w:val="28"/>
        </w:rPr>
        <w:t xml:space="preserve">, </w:t>
      </w:r>
      <w:r w:rsidR="006D6341">
        <w:rPr>
          <w:rFonts w:ascii="Times New Roman" w:hAnsi="Times New Roman" w:cs="Times New Roman"/>
          <w:color w:val="333333"/>
          <w:sz w:val="28"/>
          <w:szCs w:val="28"/>
        </w:rPr>
        <w:t xml:space="preserve">it was argued that </w:t>
      </w:r>
      <w:r w:rsidR="00644B6B">
        <w:rPr>
          <w:rFonts w:ascii="Times New Roman" w:hAnsi="Times New Roman" w:cs="Times New Roman"/>
          <w:color w:val="333333"/>
          <w:sz w:val="28"/>
          <w:szCs w:val="28"/>
        </w:rPr>
        <w:t>since applicant has shown clear right, it was not necessary for it to establish that</w:t>
      </w:r>
      <w:r w:rsidR="00CC2F38">
        <w:rPr>
          <w:rFonts w:ascii="Times New Roman" w:hAnsi="Times New Roman" w:cs="Times New Roman"/>
          <w:color w:val="333333"/>
          <w:sz w:val="28"/>
          <w:szCs w:val="28"/>
        </w:rPr>
        <w:t xml:space="preserve"> the harm it apprehend</w:t>
      </w:r>
      <w:r w:rsidR="00A83C99">
        <w:rPr>
          <w:rFonts w:ascii="Times New Roman" w:hAnsi="Times New Roman" w:cs="Times New Roman"/>
          <w:color w:val="333333"/>
          <w:sz w:val="28"/>
          <w:szCs w:val="28"/>
        </w:rPr>
        <w:t xml:space="preserve">s </w:t>
      </w:r>
      <w:r w:rsidR="00CC2F38">
        <w:rPr>
          <w:rFonts w:ascii="Times New Roman" w:hAnsi="Times New Roman" w:cs="Times New Roman"/>
          <w:color w:val="333333"/>
          <w:sz w:val="28"/>
          <w:szCs w:val="28"/>
        </w:rPr>
        <w:t xml:space="preserve">is </w:t>
      </w:r>
      <w:r w:rsidR="006D6341">
        <w:rPr>
          <w:rFonts w:ascii="Times New Roman" w:hAnsi="Times New Roman" w:cs="Times New Roman"/>
          <w:color w:val="333333"/>
          <w:sz w:val="28"/>
          <w:szCs w:val="28"/>
        </w:rPr>
        <w:t>irreparable. I</w:t>
      </w:r>
      <w:r w:rsidR="00A83C99">
        <w:rPr>
          <w:rFonts w:ascii="Times New Roman" w:hAnsi="Times New Roman" w:cs="Times New Roman"/>
          <w:color w:val="333333"/>
          <w:sz w:val="28"/>
          <w:szCs w:val="28"/>
        </w:rPr>
        <w:t xml:space="preserve">t bears repeating that the applicant has not established a clear right, rather it has </w:t>
      </w:r>
      <w:r w:rsidR="00653D75">
        <w:rPr>
          <w:rFonts w:ascii="Times New Roman" w:hAnsi="Times New Roman" w:cs="Times New Roman"/>
          <w:color w:val="333333"/>
          <w:sz w:val="28"/>
          <w:szCs w:val="28"/>
        </w:rPr>
        <w:t>e</w:t>
      </w:r>
      <w:r w:rsidR="006D6341">
        <w:rPr>
          <w:rFonts w:ascii="Times New Roman" w:hAnsi="Times New Roman" w:cs="Times New Roman"/>
          <w:color w:val="333333"/>
          <w:sz w:val="28"/>
          <w:szCs w:val="28"/>
        </w:rPr>
        <w:t xml:space="preserve">stablished </w:t>
      </w:r>
      <w:r w:rsidR="006D6341" w:rsidRPr="006D6341">
        <w:rPr>
          <w:rFonts w:ascii="Times New Roman" w:hAnsi="Times New Roman" w:cs="Times New Roman"/>
          <w:i/>
          <w:iCs/>
          <w:color w:val="333333"/>
          <w:sz w:val="28"/>
          <w:szCs w:val="28"/>
        </w:rPr>
        <w:t>prima facie</w:t>
      </w:r>
      <w:r w:rsidR="006D6341">
        <w:rPr>
          <w:rFonts w:ascii="Times New Roman" w:hAnsi="Times New Roman" w:cs="Times New Roman"/>
          <w:color w:val="333333"/>
          <w:sz w:val="28"/>
          <w:szCs w:val="28"/>
        </w:rPr>
        <w:t xml:space="preserve"> right that is open to doubt. Consequently, it becomes necessary for the applicant to meet this requirement. </w:t>
      </w:r>
    </w:p>
    <w:p w14:paraId="4417A54E" w14:textId="77777777" w:rsidR="00D46282" w:rsidRDefault="00D46282" w:rsidP="00160FF3">
      <w:pPr>
        <w:pStyle w:val="BodyText"/>
        <w:kinsoku w:val="0"/>
        <w:overflowPunct w:val="0"/>
        <w:spacing w:line="480" w:lineRule="auto"/>
        <w:ind w:left="0"/>
        <w:jc w:val="both"/>
        <w:rPr>
          <w:rFonts w:ascii="Times New Roman" w:hAnsi="Times New Roman" w:cs="Times New Roman"/>
          <w:color w:val="333333"/>
          <w:sz w:val="28"/>
          <w:szCs w:val="28"/>
        </w:rPr>
      </w:pPr>
    </w:p>
    <w:p w14:paraId="454607E3" w14:textId="6F6AC9BB" w:rsidR="001B7914" w:rsidRPr="006D6341" w:rsidRDefault="006D6341" w:rsidP="00160FF3">
      <w:pPr>
        <w:pStyle w:val="BodyText"/>
        <w:kinsoku w:val="0"/>
        <w:overflowPunct w:val="0"/>
        <w:spacing w:line="48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[6</w:t>
      </w:r>
      <w:r w:rsidR="0006079B">
        <w:rPr>
          <w:rFonts w:ascii="Times New Roman" w:hAnsi="Times New Roman" w:cs="Times New Roman"/>
          <w:color w:val="333333"/>
          <w:sz w:val="28"/>
          <w:szCs w:val="28"/>
        </w:rPr>
        <w:t>4</w:t>
      </w:r>
      <w:r>
        <w:rPr>
          <w:rFonts w:ascii="Times New Roman" w:hAnsi="Times New Roman" w:cs="Times New Roman"/>
          <w:color w:val="333333"/>
          <w:sz w:val="28"/>
          <w:szCs w:val="28"/>
        </w:rPr>
        <w:t>]</w:t>
      </w:r>
      <w:r>
        <w:rPr>
          <w:rFonts w:ascii="Times New Roman" w:hAnsi="Times New Roman" w:cs="Times New Roman"/>
          <w:color w:val="333333"/>
          <w:sz w:val="28"/>
          <w:szCs w:val="28"/>
        </w:rPr>
        <w:tab/>
      </w:r>
      <w:r>
        <w:rPr>
          <w:rFonts w:ascii="Times New Roman" w:hAnsi="Times New Roman" w:cs="Times New Roman"/>
          <w:color w:val="333333"/>
          <w:sz w:val="28"/>
          <w:szCs w:val="28"/>
        </w:rPr>
        <w:tab/>
      </w:r>
      <w:r w:rsidR="0044374E">
        <w:rPr>
          <w:rFonts w:ascii="Times New Roman" w:hAnsi="Times New Roman" w:cs="Times New Roman"/>
          <w:color w:val="333333"/>
          <w:sz w:val="28"/>
          <w:szCs w:val="28"/>
        </w:rPr>
        <w:t>Th</w:t>
      </w:r>
      <w:r w:rsidR="00A83C99">
        <w:rPr>
          <w:rFonts w:ascii="Times New Roman" w:hAnsi="Times New Roman" w:cs="Times New Roman"/>
          <w:color w:val="333333"/>
          <w:sz w:val="28"/>
          <w:szCs w:val="28"/>
        </w:rPr>
        <w:t>is requirement has not</w:t>
      </w:r>
      <w:r w:rsidR="0006079B">
        <w:rPr>
          <w:rFonts w:ascii="Times New Roman" w:hAnsi="Times New Roman" w:cs="Times New Roman"/>
          <w:color w:val="333333"/>
          <w:sz w:val="28"/>
          <w:szCs w:val="28"/>
        </w:rPr>
        <w:t xml:space="preserve"> </w:t>
      </w:r>
      <w:r w:rsidR="00A83C99">
        <w:rPr>
          <w:rFonts w:ascii="Times New Roman" w:hAnsi="Times New Roman" w:cs="Times New Roman"/>
          <w:color w:val="333333"/>
          <w:sz w:val="28"/>
          <w:szCs w:val="28"/>
        </w:rPr>
        <w:t>been</w:t>
      </w:r>
      <w:r>
        <w:rPr>
          <w:rFonts w:ascii="Times New Roman" w:hAnsi="Times New Roman" w:cs="Times New Roman"/>
          <w:color w:val="333333"/>
          <w:sz w:val="28"/>
          <w:szCs w:val="28"/>
        </w:rPr>
        <w:t xml:space="preserve"> </w:t>
      </w:r>
      <w:r w:rsidR="0044374E">
        <w:rPr>
          <w:rFonts w:ascii="Times New Roman" w:hAnsi="Times New Roman" w:cs="Times New Roman"/>
          <w:color w:val="333333"/>
          <w:sz w:val="28"/>
          <w:szCs w:val="28"/>
        </w:rPr>
        <w:t xml:space="preserve">articulated in clearest terms in </w:t>
      </w:r>
      <w:r w:rsidR="00A83C99">
        <w:rPr>
          <w:rFonts w:ascii="Times New Roman" w:hAnsi="Times New Roman" w:cs="Times New Roman"/>
          <w:color w:val="333333"/>
          <w:sz w:val="28"/>
          <w:szCs w:val="28"/>
        </w:rPr>
        <w:t xml:space="preserve">the </w:t>
      </w:r>
      <w:r w:rsidR="0044374E">
        <w:rPr>
          <w:rFonts w:ascii="Times New Roman" w:hAnsi="Times New Roman" w:cs="Times New Roman"/>
          <w:color w:val="333333"/>
          <w:sz w:val="28"/>
          <w:szCs w:val="28"/>
        </w:rPr>
        <w:t xml:space="preserve">founding affidavit. </w:t>
      </w:r>
      <w:r w:rsidR="00CB1DDC">
        <w:rPr>
          <w:rFonts w:ascii="Times New Roman" w:hAnsi="Times New Roman" w:cs="Times New Roman"/>
          <w:color w:val="333333"/>
          <w:sz w:val="28"/>
          <w:szCs w:val="28"/>
        </w:rPr>
        <w:t xml:space="preserve">However, </w:t>
      </w:r>
      <w:r w:rsidR="00E81276">
        <w:rPr>
          <w:rFonts w:ascii="Times New Roman" w:hAnsi="Times New Roman" w:cs="Times New Roman"/>
          <w:color w:val="333333"/>
          <w:sz w:val="28"/>
          <w:szCs w:val="28"/>
        </w:rPr>
        <w:t xml:space="preserve">I am mindful that pleadings should not be read </w:t>
      </w:r>
      <w:proofErr w:type="gramStart"/>
      <w:r w:rsidR="00E81276">
        <w:rPr>
          <w:rFonts w:ascii="Times New Roman" w:hAnsi="Times New Roman" w:cs="Times New Roman"/>
          <w:color w:val="333333"/>
          <w:sz w:val="28"/>
          <w:szCs w:val="28"/>
        </w:rPr>
        <w:t>pedantically</w:t>
      </w:r>
      <w:proofErr w:type="gramEnd"/>
      <w:r w:rsidR="00E81276">
        <w:rPr>
          <w:rFonts w:ascii="Times New Roman" w:hAnsi="Times New Roman" w:cs="Times New Roman"/>
          <w:color w:val="333333"/>
          <w:sz w:val="28"/>
          <w:szCs w:val="28"/>
        </w:rPr>
        <w:t xml:space="preserve"> nor should the court overemphasise precise formalistic requirements</w:t>
      </w:r>
      <w:r w:rsidR="00E81276">
        <w:rPr>
          <w:rStyle w:val="FootnoteReference"/>
          <w:rFonts w:ascii="Times New Roman" w:hAnsi="Times New Roman" w:cs="Times New Roman"/>
          <w:color w:val="333333"/>
          <w:sz w:val="28"/>
          <w:szCs w:val="28"/>
        </w:rPr>
        <w:footnoteReference w:id="42"/>
      </w:r>
      <w:r w:rsidR="00E81276">
        <w:rPr>
          <w:rFonts w:ascii="Times New Roman" w:hAnsi="Times New Roman" w:cs="Times New Roman"/>
          <w:color w:val="333333"/>
          <w:sz w:val="28"/>
          <w:szCs w:val="28"/>
        </w:rPr>
        <w:t xml:space="preserve">. </w:t>
      </w:r>
      <w:r w:rsidR="00CB1DDC">
        <w:rPr>
          <w:rFonts w:ascii="Times New Roman" w:hAnsi="Times New Roman" w:cs="Times New Roman"/>
          <w:color w:val="333333"/>
          <w:sz w:val="28"/>
          <w:szCs w:val="28"/>
        </w:rPr>
        <w:t>A</w:t>
      </w:r>
      <w:r w:rsidR="00E81276">
        <w:rPr>
          <w:rFonts w:ascii="Times New Roman" w:hAnsi="Times New Roman" w:cs="Times New Roman"/>
          <w:color w:val="333333"/>
          <w:sz w:val="28"/>
          <w:szCs w:val="28"/>
        </w:rPr>
        <w:t>t the centre of applicant’s complaint is t</w:t>
      </w:r>
      <w:r w:rsidR="0044374E">
        <w:rPr>
          <w:rFonts w:ascii="Times New Roman" w:hAnsi="Times New Roman" w:cs="Times New Roman"/>
          <w:color w:val="333333"/>
          <w:sz w:val="28"/>
          <w:szCs w:val="28"/>
        </w:rPr>
        <w:t>he</w:t>
      </w:r>
      <w:r w:rsidR="000C3EF1">
        <w:rPr>
          <w:rFonts w:ascii="Times New Roman" w:hAnsi="Times New Roman" w:cs="Times New Roman"/>
          <w:sz w:val="28"/>
          <w:szCs w:val="28"/>
        </w:rPr>
        <w:t xml:space="preserve"> </w:t>
      </w:r>
      <w:r w:rsidR="001B7914">
        <w:rPr>
          <w:rFonts w:ascii="Times New Roman" w:hAnsi="Times New Roman" w:cs="Times New Roman"/>
          <w:sz w:val="28"/>
          <w:szCs w:val="28"/>
        </w:rPr>
        <w:t>impugned letter which</w:t>
      </w:r>
      <w:r w:rsidR="0044374E">
        <w:rPr>
          <w:rFonts w:ascii="Times New Roman" w:hAnsi="Times New Roman" w:cs="Times New Roman"/>
          <w:sz w:val="28"/>
          <w:szCs w:val="28"/>
        </w:rPr>
        <w:t xml:space="preserve"> purports to terminat</w:t>
      </w:r>
      <w:r w:rsidR="00E81276">
        <w:rPr>
          <w:rFonts w:ascii="Times New Roman" w:hAnsi="Times New Roman" w:cs="Times New Roman"/>
          <w:sz w:val="28"/>
          <w:szCs w:val="28"/>
        </w:rPr>
        <w:t>e</w:t>
      </w:r>
      <w:r w:rsidR="0044374E">
        <w:rPr>
          <w:rFonts w:ascii="Times New Roman" w:hAnsi="Times New Roman" w:cs="Times New Roman"/>
          <w:sz w:val="28"/>
          <w:szCs w:val="28"/>
        </w:rPr>
        <w:t xml:space="preserve"> the agreement and to </w:t>
      </w:r>
      <w:r w:rsidR="000C3EF1">
        <w:rPr>
          <w:rFonts w:ascii="Times New Roman" w:hAnsi="Times New Roman" w:cs="Times New Roman"/>
          <w:sz w:val="28"/>
          <w:szCs w:val="28"/>
        </w:rPr>
        <w:t>i</w:t>
      </w:r>
      <w:r w:rsidR="001B7914">
        <w:rPr>
          <w:rFonts w:ascii="Times New Roman" w:hAnsi="Times New Roman" w:cs="Times New Roman"/>
          <w:sz w:val="28"/>
          <w:szCs w:val="28"/>
        </w:rPr>
        <w:t xml:space="preserve">nform the applicant of respondent ‘s intention to approach the subtenants on the </w:t>
      </w:r>
      <w:proofErr w:type="gramStart"/>
      <w:r w:rsidR="001B7914">
        <w:rPr>
          <w:rFonts w:ascii="Times New Roman" w:hAnsi="Times New Roman" w:cs="Times New Roman"/>
          <w:sz w:val="28"/>
          <w:szCs w:val="28"/>
        </w:rPr>
        <w:t>15</w:t>
      </w:r>
      <w:r w:rsidR="001B7914" w:rsidRPr="001B7914">
        <w:rPr>
          <w:rFonts w:ascii="Times New Roman" w:hAnsi="Times New Roman" w:cs="Times New Roman"/>
          <w:sz w:val="28"/>
          <w:szCs w:val="28"/>
          <w:vertAlign w:val="superscript"/>
        </w:rPr>
        <w:t>th</w:t>
      </w:r>
      <w:proofErr w:type="gramEnd"/>
      <w:r w:rsidR="001B7914">
        <w:rPr>
          <w:rFonts w:ascii="Times New Roman" w:hAnsi="Times New Roman" w:cs="Times New Roman"/>
          <w:sz w:val="28"/>
          <w:szCs w:val="28"/>
        </w:rPr>
        <w:t xml:space="preserve"> July 2021 </w:t>
      </w:r>
      <w:r w:rsidR="001B7914" w:rsidRPr="001B7914">
        <w:rPr>
          <w:rFonts w:ascii="Times New Roman" w:hAnsi="Times New Roman" w:cs="Times New Roman"/>
          <w:i/>
          <w:iCs/>
          <w:sz w:val="28"/>
          <w:szCs w:val="28"/>
        </w:rPr>
        <w:t>“for purpose of ascertaining their future intentions and establishing new contractual arrangements with them, if necessary</w:t>
      </w:r>
      <w:r w:rsidR="000C3EF1">
        <w:rPr>
          <w:rFonts w:ascii="Times New Roman" w:hAnsi="Times New Roman" w:cs="Times New Roman"/>
          <w:i/>
          <w:iCs/>
          <w:sz w:val="28"/>
          <w:szCs w:val="28"/>
        </w:rPr>
        <w:t xml:space="preserve">, </w:t>
      </w:r>
      <w:r w:rsidR="000C3EF1">
        <w:rPr>
          <w:rFonts w:ascii="Times New Roman" w:hAnsi="Times New Roman" w:cs="Times New Roman"/>
          <w:sz w:val="28"/>
          <w:szCs w:val="28"/>
        </w:rPr>
        <w:t>and the alleged</w:t>
      </w:r>
      <w:r w:rsidR="001B7914">
        <w:rPr>
          <w:rFonts w:ascii="Times New Roman" w:hAnsi="Times New Roman" w:cs="Times New Roman"/>
          <w:sz w:val="28"/>
          <w:szCs w:val="28"/>
        </w:rPr>
        <w:t xml:space="preserve"> events of the 5</w:t>
      </w:r>
      <w:r w:rsidR="001B7914" w:rsidRPr="001B7914">
        <w:rPr>
          <w:rFonts w:ascii="Times New Roman" w:hAnsi="Times New Roman" w:cs="Times New Roman"/>
          <w:sz w:val="28"/>
          <w:szCs w:val="28"/>
          <w:vertAlign w:val="superscript"/>
        </w:rPr>
        <w:t>th</w:t>
      </w:r>
      <w:r w:rsidR="001B7914">
        <w:rPr>
          <w:rFonts w:ascii="Times New Roman" w:hAnsi="Times New Roman" w:cs="Times New Roman"/>
          <w:sz w:val="28"/>
          <w:szCs w:val="28"/>
        </w:rPr>
        <w:t xml:space="preserve"> July 2021</w:t>
      </w:r>
      <w:r w:rsidR="0018483A">
        <w:rPr>
          <w:rStyle w:val="FootnoteReference"/>
          <w:rFonts w:ascii="Times New Roman" w:hAnsi="Times New Roman" w:cs="Times New Roman"/>
          <w:sz w:val="28"/>
          <w:szCs w:val="28"/>
        </w:rPr>
        <w:footnoteReference w:id="43"/>
      </w:r>
      <w:r w:rsidR="001B7914">
        <w:rPr>
          <w:rFonts w:ascii="Times New Roman" w:hAnsi="Times New Roman" w:cs="Times New Roman"/>
          <w:sz w:val="28"/>
          <w:szCs w:val="28"/>
        </w:rPr>
        <w:t xml:space="preserve">. </w:t>
      </w:r>
    </w:p>
    <w:p w14:paraId="4E5E7DAB" w14:textId="63124FA7" w:rsidR="00EA4DE7" w:rsidRDefault="00EA4DE7" w:rsidP="00160FF3">
      <w:pPr>
        <w:pStyle w:val="BodyText"/>
        <w:kinsoku w:val="0"/>
        <w:overflowPunct w:val="0"/>
        <w:spacing w:line="480" w:lineRule="auto"/>
        <w:ind w:left="0"/>
        <w:jc w:val="both"/>
        <w:rPr>
          <w:rFonts w:ascii="Times New Roman" w:hAnsi="Times New Roman" w:cs="Times New Roman"/>
          <w:sz w:val="28"/>
          <w:szCs w:val="28"/>
        </w:rPr>
      </w:pPr>
    </w:p>
    <w:p w14:paraId="78BF8392" w14:textId="540F3E05" w:rsidR="00CA6450" w:rsidRDefault="00EA4DE7"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sidR="0006079B">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1B26F5">
        <w:rPr>
          <w:rFonts w:ascii="Times New Roman" w:hAnsi="Times New Roman" w:cs="Times New Roman"/>
          <w:sz w:val="28"/>
          <w:szCs w:val="28"/>
        </w:rPr>
        <w:tab/>
        <w:t xml:space="preserve">Based on divergent views regarding the alleged events of the </w:t>
      </w:r>
      <w:proofErr w:type="gramStart"/>
      <w:r w:rsidR="001B26F5">
        <w:rPr>
          <w:rFonts w:ascii="Times New Roman" w:hAnsi="Times New Roman" w:cs="Times New Roman"/>
          <w:sz w:val="28"/>
          <w:szCs w:val="28"/>
        </w:rPr>
        <w:t>5</w:t>
      </w:r>
      <w:r w:rsidR="001B26F5" w:rsidRPr="001B26F5">
        <w:rPr>
          <w:rFonts w:ascii="Times New Roman" w:hAnsi="Times New Roman" w:cs="Times New Roman"/>
          <w:sz w:val="28"/>
          <w:szCs w:val="28"/>
          <w:vertAlign w:val="superscript"/>
        </w:rPr>
        <w:t>th</w:t>
      </w:r>
      <w:proofErr w:type="gramEnd"/>
      <w:r w:rsidR="001B26F5">
        <w:rPr>
          <w:rFonts w:ascii="Times New Roman" w:hAnsi="Times New Roman" w:cs="Times New Roman"/>
          <w:sz w:val="28"/>
          <w:szCs w:val="28"/>
        </w:rPr>
        <w:t xml:space="preserve"> July 2021, </w:t>
      </w:r>
      <w:r w:rsidR="00741498">
        <w:rPr>
          <w:rFonts w:ascii="Times New Roman" w:hAnsi="Times New Roman" w:cs="Times New Roman"/>
          <w:sz w:val="28"/>
          <w:szCs w:val="28"/>
        </w:rPr>
        <w:t>I find the applicant’s story unbelievable. The respondent has not only denied the events, but it has punched big holes in the applicant’s story. The evidence set out above on th</w:t>
      </w:r>
      <w:r w:rsidR="002F1925">
        <w:rPr>
          <w:rFonts w:ascii="Times New Roman" w:hAnsi="Times New Roman" w:cs="Times New Roman"/>
          <w:sz w:val="28"/>
          <w:szCs w:val="28"/>
        </w:rPr>
        <w:t xml:space="preserve">is </w:t>
      </w:r>
      <w:r w:rsidR="00741498">
        <w:rPr>
          <w:rFonts w:ascii="Times New Roman" w:hAnsi="Times New Roman" w:cs="Times New Roman"/>
          <w:sz w:val="28"/>
          <w:szCs w:val="28"/>
        </w:rPr>
        <w:t xml:space="preserve">issue shows that the respondent’s </w:t>
      </w:r>
      <w:r w:rsidR="002F1925">
        <w:rPr>
          <w:rFonts w:ascii="Times New Roman" w:hAnsi="Times New Roman" w:cs="Times New Roman"/>
          <w:sz w:val="28"/>
          <w:szCs w:val="28"/>
        </w:rPr>
        <w:t xml:space="preserve">two employees or agents, including </w:t>
      </w:r>
      <w:proofErr w:type="spellStart"/>
      <w:r w:rsidR="002F1925">
        <w:rPr>
          <w:rFonts w:ascii="Times New Roman" w:hAnsi="Times New Roman" w:cs="Times New Roman"/>
          <w:sz w:val="28"/>
          <w:szCs w:val="28"/>
        </w:rPr>
        <w:t>Molapo</w:t>
      </w:r>
      <w:proofErr w:type="spellEnd"/>
      <w:r w:rsidR="002F1925">
        <w:rPr>
          <w:rFonts w:ascii="Times New Roman" w:hAnsi="Times New Roman" w:cs="Times New Roman"/>
          <w:sz w:val="28"/>
          <w:szCs w:val="28"/>
        </w:rPr>
        <w:t>, are well known t</w:t>
      </w:r>
      <w:r w:rsidR="00741498">
        <w:rPr>
          <w:rFonts w:ascii="Times New Roman" w:hAnsi="Times New Roman" w:cs="Times New Roman"/>
          <w:sz w:val="28"/>
          <w:szCs w:val="28"/>
        </w:rPr>
        <w:t>o Suleman and the subtenants.</w:t>
      </w:r>
      <w:r w:rsidR="00514206">
        <w:rPr>
          <w:rFonts w:ascii="Times New Roman" w:hAnsi="Times New Roman" w:cs="Times New Roman"/>
          <w:sz w:val="28"/>
          <w:szCs w:val="28"/>
        </w:rPr>
        <w:t xml:space="preserve"> If such an incident took place, i</w:t>
      </w:r>
      <w:r w:rsidR="00DB508D">
        <w:rPr>
          <w:rFonts w:ascii="Times New Roman" w:hAnsi="Times New Roman" w:cs="Times New Roman"/>
          <w:sz w:val="28"/>
          <w:szCs w:val="28"/>
        </w:rPr>
        <w:t xml:space="preserve">t is inconceivable </w:t>
      </w:r>
      <w:r w:rsidR="00D46282">
        <w:rPr>
          <w:rFonts w:ascii="Times New Roman" w:hAnsi="Times New Roman" w:cs="Times New Roman"/>
          <w:sz w:val="28"/>
          <w:szCs w:val="28"/>
        </w:rPr>
        <w:t xml:space="preserve">how </w:t>
      </w:r>
      <w:r w:rsidR="00DB508D">
        <w:rPr>
          <w:rFonts w:ascii="Times New Roman" w:hAnsi="Times New Roman" w:cs="Times New Roman"/>
          <w:sz w:val="28"/>
          <w:szCs w:val="28"/>
        </w:rPr>
        <w:t xml:space="preserve">Suleman </w:t>
      </w:r>
      <w:r w:rsidR="00A83C99">
        <w:rPr>
          <w:rFonts w:ascii="Times New Roman" w:hAnsi="Times New Roman" w:cs="Times New Roman"/>
          <w:sz w:val="28"/>
          <w:szCs w:val="28"/>
        </w:rPr>
        <w:t xml:space="preserve">failed to </w:t>
      </w:r>
      <w:r w:rsidR="00DB508D">
        <w:rPr>
          <w:rFonts w:ascii="Times New Roman" w:hAnsi="Times New Roman" w:cs="Times New Roman"/>
          <w:sz w:val="28"/>
          <w:szCs w:val="28"/>
        </w:rPr>
        <w:t>identif</w:t>
      </w:r>
      <w:r w:rsidR="00A83C99">
        <w:rPr>
          <w:rFonts w:ascii="Times New Roman" w:hAnsi="Times New Roman" w:cs="Times New Roman"/>
          <w:sz w:val="28"/>
          <w:szCs w:val="28"/>
        </w:rPr>
        <w:t xml:space="preserve">y </w:t>
      </w:r>
      <w:r w:rsidR="00DB508D">
        <w:rPr>
          <w:rFonts w:ascii="Times New Roman" w:hAnsi="Times New Roman" w:cs="Times New Roman"/>
          <w:sz w:val="28"/>
          <w:szCs w:val="28"/>
        </w:rPr>
        <w:t>the agents who purportedly stormed the premises by</w:t>
      </w:r>
      <w:r w:rsidR="00514206">
        <w:rPr>
          <w:rFonts w:ascii="Times New Roman" w:hAnsi="Times New Roman" w:cs="Times New Roman"/>
          <w:sz w:val="28"/>
          <w:szCs w:val="28"/>
        </w:rPr>
        <w:t xml:space="preserve"> their</w:t>
      </w:r>
      <w:r w:rsidR="00DB508D">
        <w:rPr>
          <w:rFonts w:ascii="Times New Roman" w:hAnsi="Times New Roman" w:cs="Times New Roman"/>
          <w:sz w:val="28"/>
          <w:szCs w:val="28"/>
        </w:rPr>
        <w:t xml:space="preserve"> name</w:t>
      </w:r>
      <w:r w:rsidR="00514206">
        <w:rPr>
          <w:rFonts w:ascii="Times New Roman" w:hAnsi="Times New Roman" w:cs="Times New Roman"/>
          <w:sz w:val="28"/>
          <w:szCs w:val="28"/>
        </w:rPr>
        <w:t>s</w:t>
      </w:r>
      <w:r w:rsidR="00DB508D">
        <w:rPr>
          <w:rFonts w:ascii="Times New Roman" w:hAnsi="Times New Roman" w:cs="Times New Roman"/>
          <w:sz w:val="28"/>
          <w:szCs w:val="28"/>
        </w:rPr>
        <w:t xml:space="preserve"> in his founding affidavit</w:t>
      </w:r>
      <w:r w:rsidR="00514206">
        <w:rPr>
          <w:rFonts w:ascii="Times New Roman" w:hAnsi="Times New Roman" w:cs="Times New Roman"/>
          <w:sz w:val="28"/>
          <w:szCs w:val="28"/>
        </w:rPr>
        <w:t>.</w:t>
      </w:r>
      <w:r w:rsidR="00DB508D">
        <w:rPr>
          <w:rFonts w:ascii="Times New Roman" w:hAnsi="Times New Roman" w:cs="Times New Roman"/>
          <w:sz w:val="28"/>
          <w:szCs w:val="28"/>
        </w:rPr>
        <w:t xml:space="preserve"> </w:t>
      </w:r>
    </w:p>
    <w:p w14:paraId="101218BE" w14:textId="77777777" w:rsidR="00CA6450" w:rsidRDefault="00CA6450" w:rsidP="00160FF3">
      <w:pPr>
        <w:pStyle w:val="BodyText"/>
        <w:kinsoku w:val="0"/>
        <w:overflowPunct w:val="0"/>
        <w:spacing w:line="480" w:lineRule="auto"/>
        <w:ind w:left="0"/>
        <w:jc w:val="both"/>
        <w:rPr>
          <w:rFonts w:ascii="Times New Roman" w:hAnsi="Times New Roman" w:cs="Times New Roman"/>
          <w:sz w:val="28"/>
          <w:szCs w:val="28"/>
        </w:rPr>
      </w:pPr>
    </w:p>
    <w:p w14:paraId="303C2BED" w14:textId="667A122C" w:rsidR="00C34A06" w:rsidRDefault="00CA6450"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sidR="0006079B">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Again, it is implausible that the respondent would have caused its agents to approach the subtenants on the </w:t>
      </w:r>
      <w:proofErr w:type="gramStart"/>
      <w:r>
        <w:rPr>
          <w:rFonts w:ascii="Times New Roman" w:hAnsi="Times New Roman" w:cs="Times New Roman"/>
          <w:sz w:val="28"/>
          <w:szCs w:val="28"/>
        </w:rPr>
        <w:t>5</w:t>
      </w:r>
      <w:r w:rsidRPr="00CA6450">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July 2021</w:t>
      </w:r>
      <w:r w:rsidR="00A83C99">
        <w:rPr>
          <w:rFonts w:ascii="Times New Roman" w:hAnsi="Times New Roman" w:cs="Times New Roman"/>
          <w:sz w:val="28"/>
          <w:szCs w:val="28"/>
        </w:rPr>
        <w:t xml:space="preserve"> </w:t>
      </w:r>
      <w:r>
        <w:rPr>
          <w:rFonts w:ascii="Times New Roman" w:hAnsi="Times New Roman" w:cs="Times New Roman"/>
          <w:sz w:val="28"/>
          <w:szCs w:val="28"/>
        </w:rPr>
        <w:t>when it had already informed the applicant that it will approach the subtenants on the 15</w:t>
      </w:r>
      <w:r w:rsidRPr="00CA6450">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w:t>
      </w:r>
      <w:r w:rsidR="00E97342">
        <w:rPr>
          <w:rFonts w:ascii="Times New Roman" w:hAnsi="Times New Roman" w:cs="Times New Roman"/>
          <w:sz w:val="28"/>
          <w:szCs w:val="28"/>
        </w:rPr>
        <w:t xml:space="preserve"> </w:t>
      </w:r>
      <w:r w:rsidR="00731F73">
        <w:rPr>
          <w:rFonts w:ascii="Times New Roman" w:hAnsi="Times New Roman" w:cs="Times New Roman"/>
          <w:sz w:val="28"/>
          <w:szCs w:val="28"/>
        </w:rPr>
        <w:t>There is not even a single confirmatory or supporting affidavit from one of the tenants</w:t>
      </w:r>
      <w:r w:rsidR="00514206">
        <w:rPr>
          <w:rFonts w:ascii="Times New Roman" w:hAnsi="Times New Roman" w:cs="Times New Roman"/>
          <w:sz w:val="28"/>
          <w:szCs w:val="28"/>
        </w:rPr>
        <w:t xml:space="preserve"> even at the replying stage</w:t>
      </w:r>
      <w:r w:rsidR="00C34A06">
        <w:rPr>
          <w:rFonts w:ascii="Times New Roman" w:hAnsi="Times New Roman" w:cs="Times New Roman"/>
          <w:sz w:val="28"/>
          <w:szCs w:val="28"/>
        </w:rPr>
        <w:t>. Worse still</w:t>
      </w:r>
      <w:r w:rsidR="00D46282">
        <w:rPr>
          <w:rFonts w:ascii="Times New Roman" w:hAnsi="Times New Roman" w:cs="Times New Roman"/>
          <w:sz w:val="28"/>
          <w:szCs w:val="28"/>
        </w:rPr>
        <w:t>,</w:t>
      </w:r>
      <w:r w:rsidR="00C34A06">
        <w:rPr>
          <w:rFonts w:ascii="Times New Roman" w:hAnsi="Times New Roman" w:cs="Times New Roman"/>
          <w:sz w:val="28"/>
          <w:szCs w:val="28"/>
        </w:rPr>
        <w:t xml:space="preserve"> Suleman is evasive in his replying affidavit and ignores important factors raised by </w:t>
      </w:r>
      <w:proofErr w:type="spellStart"/>
      <w:r w:rsidR="00C34A06">
        <w:rPr>
          <w:rFonts w:ascii="Times New Roman" w:hAnsi="Times New Roman" w:cs="Times New Roman"/>
          <w:sz w:val="28"/>
          <w:szCs w:val="28"/>
        </w:rPr>
        <w:t>Molapo</w:t>
      </w:r>
      <w:proofErr w:type="spellEnd"/>
      <w:r w:rsidR="00C34A06">
        <w:rPr>
          <w:rFonts w:ascii="Times New Roman" w:hAnsi="Times New Roman" w:cs="Times New Roman"/>
          <w:sz w:val="28"/>
          <w:szCs w:val="28"/>
        </w:rPr>
        <w:t xml:space="preserve"> in his answering affidavit</w:t>
      </w:r>
      <w:r w:rsidR="0006079B">
        <w:rPr>
          <w:rFonts w:ascii="Times New Roman" w:hAnsi="Times New Roman" w:cs="Times New Roman"/>
          <w:sz w:val="28"/>
          <w:szCs w:val="28"/>
        </w:rPr>
        <w:t xml:space="preserve"> regarding the alleged incident</w:t>
      </w:r>
      <w:r w:rsidR="00C34A06">
        <w:rPr>
          <w:rFonts w:ascii="Times New Roman" w:hAnsi="Times New Roman" w:cs="Times New Roman"/>
          <w:sz w:val="28"/>
          <w:szCs w:val="28"/>
        </w:rPr>
        <w:t xml:space="preserve">. </w:t>
      </w:r>
    </w:p>
    <w:p w14:paraId="08D83D03" w14:textId="77777777" w:rsidR="00C34A06" w:rsidRDefault="00C34A06" w:rsidP="00160FF3">
      <w:pPr>
        <w:pStyle w:val="BodyText"/>
        <w:kinsoku w:val="0"/>
        <w:overflowPunct w:val="0"/>
        <w:spacing w:line="480" w:lineRule="auto"/>
        <w:ind w:left="0"/>
        <w:jc w:val="both"/>
        <w:rPr>
          <w:rFonts w:ascii="Times New Roman" w:hAnsi="Times New Roman" w:cs="Times New Roman"/>
          <w:sz w:val="28"/>
          <w:szCs w:val="28"/>
        </w:rPr>
      </w:pPr>
    </w:p>
    <w:p w14:paraId="260580B1" w14:textId="10220016" w:rsidR="00975527" w:rsidRDefault="00C34A06"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sidR="0006079B">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i</w:t>
      </w:r>
      <w:r w:rsidR="0006079B">
        <w:rPr>
          <w:rFonts w:ascii="Times New Roman" w:hAnsi="Times New Roman" w:cs="Times New Roman"/>
          <w:sz w:val="28"/>
          <w:szCs w:val="28"/>
        </w:rPr>
        <w:t xml:space="preserve">nevitable </w:t>
      </w:r>
      <w:r>
        <w:rPr>
          <w:rFonts w:ascii="Times New Roman" w:hAnsi="Times New Roman" w:cs="Times New Roman"/>
          <w:sz w:val="28"/>
          <w:szCs w:val="28"/>
        </w:rPr>
        <w:t xml:space="preserve">conclusion I arrive at is that the purported events of the </w:t>
      </w:r>
      <w:proofErr w:type="gramStart"/>
      <w:r w:rsidR="00514206">
        <w:rPr>
          <w:rFonts w:ascii="Times New Roman" w:hAnsi="Times New Roman" w:cs="Times New Roman"/>
          <w:sz w:val="28"/>
          <w:szCs w:val="28"/>
        </w:rPr>
        <w:t>5</w:t>
      </w:r>
      <w:r w:rsidRPr="00C34A06">
        <w:rPr>
          <w:rFonts w:ascii="Times New Roman" w:hAnsi="Times New Roman" w:cs="Times New Roman"/>
          <w:sz w:val="28"/>
          <w:szCs w:val="28"/>
          <w:vertAlign w:val="superscript"/>
        </w:rPr>
        <w:t>th</w:t>
      </w:r>
      <w:proofErr w:type="gramEnd"/>
      <w:r>
        <w:rPr>
          <w:rFonts w:ascii="Times New Roman" w:hAnsi="Times New Roman" w:cs="Times New Roman"/>
          <w:sz w:val="28"/>
          <w:szCs w:val="28"/>
        </w:rPr>
        <w:t xml:space="preserve"> July 202</w:t>
      </w:r>
      <w:r w:rsidR="00514206">
        <w:rPr>
          <w:rFonts w:ascii="Times New Roman" w:hAnsi="Times New Roman" w:cs="Times New Roman"/>
          <w:sz w:val="28"/>
          <w:szCs w:val="28"/>
        </w:rPr>
        <w:t>1</w:t>
      </w:r>
      <w:r>
        <w:rPr>
          <w:rFonts w:ascii="Times New Roman" w:hAnsi="Times New Roman" w:cs="Times New Roman"/>
          <w:sz w:val="28"/>
          <w:szCs w:val="28"/>
        </w:rPr>
        <w:t xml:space="preserve"> never happened. </w:t>
      </w:r>
      <w:r w:rsidR="00A83C99">
        <w:rPr>
          <w:rFonts w:ascii="Times New Roman" w:hAnsi="Times New Roman" w:cs="Times New Roman"/>
          <w:sz w:val="28"/>
          <w:szCs w:val="28"/>
        </w:rPr>
        <w:t xml:space="preserve">I cannot think of any reason why the applicant concocted the story regarding the events of the </w:t>
      </w:r>
      <w:proofErr w:type="gramStart"/>
      <w:r w:rsidR="00A83C99">
        <w:rPr>
          <w:rFonts w:ascii="Times New Roman" w:hAnsi="Times New Roman" w:cs="Times New Roman"/>
          <w:sz w:val="28"/>
          <w:szCs w:val="28"/>
        </w:rPr>
        <w:t>5</w:t>
      </w:r>
      <w:r w:rsidR="00A83C99" w:rsidRPr="00A83C99">
        <w:rPr>
          <w:rFonts w:ascii="Times New Roman" w:hAnsi="Times New Roman" w:cs="Times New Roman"/>
          <w:sz w:val="28"/>
          <w:szCs w:val="28"/>
          <w:vertAlign w:val="superscript"/>
        </w:rPr>
        <w:t>th</w:t>
      </w:r>
      <w:proofErr w:type="gramEnd"/>
      <w:r w:rsidR="00A83C99">
        <w:rPr>
          <w:rFonts w:ascii="Times New Roman" w:hAnsi="Times New Roman" w:cs="Times New Roman"/>
          <w:sz w:val="28"/>
          <w:szCs w:val="28"/>
        </w:rPr>
        <w:t xml:space="preserve"> July 2021 other</w:t>
      </w:r>
      <w:r w:rsidR="0006079B">
        <w:rPr>
          <w:rFonts w:ascii="Times New Roman" w:hAnsi="Times New Roman" w:cs="Times New Roman"/>
          <w:sz w:val="28"/>
          <w:szCs w:val="28"/>
        </w:rPr>
        <w:t xml:space="preserve"> </w:t>
      </w:r>
      <w:r w:rsidR="00A83C99">
        <w:rPr>
          <w:rFonts w:ascii="Times New Roman" w:hAnsi="Times New Roman" w:cs="Times New Roman"/>
          <w:sz w:val="28"/>
          <w:szCs w:val="28"/>
        </w:rPr>
        <w:t>than</w:t>
      </w:r>
      <w:r w:rsidR="0006079B">
        <w:rPr>
          <w:rFonts w:ascii="Times New Roman" w:hAnsi="Times New Roman" w:cs="Times New Roman"/>
          <w:sz w:val="28"/>
          <w:szCs w:val="28"/>
        </w:rPr>
        <w:t xml:space="preserve"> that</w:t>
      </w:r>
      <w:r w:rsidR="00A83C99">
        <w:rPr>
          <w:rFonts w:ascii="Times New Roman" w:hAnsi="Times New Roman" w:cs="Times New Roman"/>
          <w:sz w:val="28"/>
          <w:szCs w:val="28"/>
        </w:rPr>
        <w:t xml:space="preserve"> it wanted </w:t>
      </w:r>
      <w:r>
        <w:rPr>
          <w:rFonts w:ascii="Times New Roman" w:hAnsi="Times New Roman" w:cs="Times New Roman"/>
          <w:sz w:val="28"/>
          <w:szCs w:val="28"/>
        </w:rPr>
        <w:t xml:space="preserve">to justify urgency and </w:t>
      </w:r>
      <w:r w:rsidR="00514206">
        <w:rPr>
          <w:rFonts w:ascii="Times New Roman" w:hAnsi="Times New Roman" w:cs="Times New Roman"/>
          <w:sz w:val="28"/>
          <w:szCs w:val="28"/>
        </w:rPr>
        <w:t xml:space="preserve">to </w:t>
      </w:r>
      <w:r>
        <w:rPr>
          <w:rFonts w:ascii="Times New Roman" w:hAnsi="Times New Roman" w:cs="Times New Roman"/>
          <w:sz w:val="28"/>
          <w:szCs w:val="28"/>
        </w:rPr>
        <w:t>obtain</w:t>
      </w:r>
      <w:r w:rsidR="00975527">
        <w:rPr>
          <w:rFonts w:ascii="Times New Roman" w:hAnsi="Times New Roman" w:cs="Times New Roman"/>
          <w:sz w:val="28"/>
          <w:szCs w:val="28"/>
        </w:rPr>
        <w:t xml:space="preserve"> </w:t>
      </w:r>
      <w:r>
        <w:rPr>
          <w:rFonts w:ascii="Times New Roman" w:hAnsi="Times New Roman" w:cs="Times New Roman"/>
          <w:sz w:val="28"/>
          <w:szCs w:val="28"/>
        </w:rPr>
        <w:t>interim relief against the applicant</w:t>
      </w:r>
      <w:r w:rsidR="00975527">
        <w:rPr>
          <w:rFonts w:ascii="Times New Roman" w:hAnsi="Times New Roman" w:cs="Times New Roman"/>
          <w:sz w:val="28"/>
          <w:szCs w:val="28"/>
        </w:rPr>
        <w:t xml:space="preserve"> </w:t>
      </w:r>
      <w:r w:rsidR="00975527" w:rsidRPr="00975527">
        <w:rPr>
          <w:rFonts w:ascii="Times New Roman" w:hAnsi="Times New Roman" w:cs="Times New Roman"/>
          <w:i/>
          <w:iCs/>
          <w:sz w:val="28"/>
          <w:szCs w:val="28"/>
        </w:rPr>
        <w:t>ex parte</w:t>
      </w:r>
      <w:r w:rsidR="00514206">
        <w:rPr>
          <w:rFonts w:ascii="Times New Roman" w:hAnsi="Times New Roman" w:cs="Times New Roman"/>
          <w:i/>
          <w:iCs/>
          <w:sz w:val="28"/>
          <w:szCs w:val="28"/>
        </w:rPr>
        <w:t xml:space="preserve">. </w:t>
      </w:r>
      <w:r w:rsidR="00975527">
        <w:rPr>
          <w:rFonts w:ascii="Times New Roman" w:hAnsi="Times New Roman" w:cs="Times New Roman"/>
          <w:sz w:val="28"/>
          <w:szCs w:val="28"/>
        </w:rPr>
        <w:t xml:space="preserve"> Suleman</w:t>
      </w:r>
      <w:r w:rsidR="004D4B4B">
        <w:rPr>
          <w:rFonts w:ascii="Times New Roman" w:hAnsi="Times New Roman" w:cs="Times New Roman"/>
          <w:sz w:val="28"/>
          <w:szCs w:val="28"/>
        </w:rPr>
        <w:t>’s</w:t>
      </w:r>
      <w:r w:rsidR="00975527">
        <w:rPr>
          <w:rFonts w:ascii="Times New Roman" w:hAnsi="Times New Roman" w:cs="Times New Roman"/>
          <w:sz w:val="28"/>
          <w:szCs w:val="28"/>
        </w:rPr>
        <w:t xml:space="preserve"> </w:t>
      </w:r>
      <w:r w:rsidR="004D4B4B">
        <w:rPr>
          <w:rFonts w:ascii="Times New Roman" w:hAnsi="Times New Roman" w:cs="Times New Roman"/>
          <w:sz w:val="28"/>
          <w:szCs w:val="28"/>
        </w:rPr>
        <w:t xml:space="preserve">evasiveness and lackadaisical approach in his replying affidavit towards </w:t>
      </w:r>
      <w:proofErr w:type="spellStart"/>
      <w:r w:rsidR="00975527">
        <w:rPr>
          <w:rFonts w:ascii="Times New Roman" w:hAnsi="Times New Roman" w:cs="Times New Roman"/>
          <w:sz w:val="28"/>
          <w:szCs w:val="28"/>
        </w:rPr>
        <w:lastRenderedPageBreak/>
        <w:t>Molapo’s</w:t>
      </w:r>
      <w:proofErr w:type="spellEnd"/>
      <w:r w:rsidR="00975527">
        <w:rPr>
          <w:rFonts w:ascii="Times New Roman" w:hAnsi="Times New Roman" w:cs="Times New Roman"/>
          <w:sz w:val="28"/>
          <w:szCs w:val="28"/>
        </w:rPr>
        <w:t xml:space="preserve"> allegations on this issue</w:t>
      </w:r>
      <w:r w:rsidR="004D4B4B">
        <w:rPr>
          <w:rFonts w:ascii="Times New Roman" w:hAnsi="Times New Roman" w:cs="Times New Roman"/>
          <w:sz w:val="28"/>
          <w:szCs w:val="28"/>
        </w:rPr>
        <w:t xml:space="preserve"> speak volumes</w:t>
      </w:r>
      <w:r w:rsidR="00975527">
        <w:rPr>
          <w:rFonts w:ascii="Times New Roman" w:hAnsi="Times New Roman" w:cs="Times New Roman"/>
          <w:sz w:val="28"/>
          <w:szCs w:val="28"/>
        </w:rPr>
        <w:t xml:space="preserve">. The applicant had </w:t>
      </w:r>
      <w:r w:rsidR="004D4B4B">
        <w:rPr>
          <w:rFonts w:ascii="Times New Roman" w:hAnsi="Times New Roman" w:cs="Times New Roman"/>
          <w:sz w:val="28"/>
          <w:szCs w:val="28"/>
        </w:rPr>
        <w:t xml:space="preserve">obtained an interim interdict </w:t>
      </w:r>
      <w:r w:rsidR="00514206">
        <w:rPr>
          <w:rFonts w:ascii="Times New Roman" w:hAnsi="Times New Roman" w:cs="Times New Roman"/>
          <w:sz w:val="28"/>
          <w:szCs w:val="28"/>
        </w:rPr>
        <w:t>and</w:t>
      </w:r>
      <w:r w:rsidR="005443D5">
        <w:rPr>
          <w:rFonts w:ascii="Times New Roman" w:hAnsi="Times New Roman" w:cs="Times New Roman"/>
          <w:sz w:val="28"/>
          <w:szCs w:val="28"/>
        </w:rPr>
        <w:t xml:space="preserve"> saw no need to engage further on the purported events of the </w:t>
      </w:r>
      <w:proofErr w:type="gramStart"/>
      <w:r w:rsidR="005443D5">
        <w:rPr>
          <w:rFonts w:ascii="Times New Roman" w:hAnsi="Times New Roman" w:cs="Times New Roman"/>
          <w:sz w:val="28"/>
          <w:szCs w:val="28"/>
        </w:rPr>
        <w:t>5</w:t>
      </w:r>
      <w:r w:rsidR="005443D5" w:rsidRPr="005443D5">
        <w:rPr>
          <w:rFonts w:ascii="Times New Roman" w:hAnsi="Times New Roman" w:cs="Times New Roman"/>
          <w:sz w:val="28"/>
          <w:szCs w:val="28"/>
          <w:vertAlign w:val="superscript"/>
        </w:rPr>
        <w:t>th</w:t>
      </w:r>
      <w:proofErr w:type="gramEnd"/>
      <w:r w:rsidR="005443D5">
        <w:rPr>
          <w:rFonts w:ascii="Times New Roman" w:hAnsi="Times New Roman" w:cs="Times New Roman"/>
          <w:sz w:val="28"/>
          <w:szCs w:val="28"/>
        </w:rPr>
        <w:t xml:space="preserve"> July 2021. </w:t>
      </w:r>
      <w:r>
        <w:rPr>
          <w:rFonts w:ascii="Times New Roman" w:hAnsi="Times New Roman" w:cs="Times New Roman"/>
          <w:sz w:val="28"/>
          <w:szCs w:val="28"/>
        </w:rPr>
        <w:t xml:space="preserve"> </w:t>
      </w:r>
      <w:r w:rsidR="00E97342">
        <w:rPr>
          <w:rFonts w:ascii="Times New Roman" w:hAnsi="Times New Roman" w:cs="Times New Roman"/>
          <w:sz w:val="28"/>
          <w:szCs w:val="28"/>
        </w:rPr>
        <w:t xml:space="preserve">  </w:t>
      </w:r>
    </w:p>
    <w:p w14:paraId="2006FE4A" w14:textId="77777777" w:rsidR="00D46282" w:rsidRDefault="00D46282" w:rsidP="00160FF3">
      <w:pPr>
        <w:pStyle w:val="BodyText"/>
        <w:kinsoku w:val="0"/>
        <w:overflowPunct w:val="0"/>
        <w:spacing w:line="480" w:lineRule="auto"/>
        <w:ind w:left="0"/>
        <w:jc w:val="both"/>
        <w:rPr>
          <w:rFonts w:ascii="Times New Roman" w:hAnsi="Times New Roman" w:cs="Times New Roman"/>
          <w:sz w:val="28"/>
          <w:szCs w:val="28"/>
        </w:rPr>
      </w:pPr>
    </w:p>
    <w:p w14:paraId="5026C3F9" w14:textId="134C9DD9" w:rsidR="00A53B94" w:rsidRPr="005443D5" w:rsidRDefault="00975527"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sidR="0006079B">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Can it be said that the impugned letter </w:t>
      </w:r>
      <w:r w:rsidR="00081A26">
        <w:rPr>
          <w:rFonts w:ascii="Times New Roman" w:hAnsi="Times New Roman" w:cs="Times New Roman"/>
          <w:sz w:val="28"/>
          <w:szCs w:val="28"/>
        </w:rPr>
        <w:t xml:space="preserve">could have triggered </w:t>
      </w:r>
      <w:r w:rsidR="004D4B4B">
        <w:rPr>
          <w:rFonts w:ascii="Times New Roman" w:hAnsi="Times New Roman" w:cs="Times New Roman"/>
          <w:sz w:val="28"/>
          <w:szCs w:val="28"/>
        </w:rPr>
        <w:t xml:space="preserve">apprehension </w:t>
      </w:r>
      <w:r w:rsidR="00081A26">
        <w:rPr>
          <w:rFonts w:ascii="Times New Roman" w:hAnsi="Times New Roman" w:cs="Times New Roman"/>
          <w:sz w:val="28"/>
          <w:szCs w:val="28"/>
        </w:rPr>
        <w:t>of irreparable harm? It is common cause that the respondent did not only t</w:t>
      </w:r>
      <w:r w:rsidR="005443D5">
        <w:rPr>
          <w:rFonts w:ascii="Times New Roman" w:hAnsi="Times New Roman" w:cs="Times New Roman"/>
          <w:sz w:val="28"/>
          <w:szCs w:val="28"/>
        </w:rPr>
        <w:t xml:space="preserve">ell </w:t>
      </w:r>
      <w:r w:rsidR="00081A26">
        <w:rPr>
          <w:rFonts w:ascii="Times New Roman" w:hAnsi="Times New Roman" w:cs="Times New Roman"/>
          <w:sz w:val="28"/>
          <w:szCs w:val="28"/>
        </w:rPr>
        <w:t xml:space="preserve">the applicant that the 2013 agreement was no longer in place, </w:t>
      </w:r>
      <w:proofErr w:type="gramStart"/>
      <w:r w:rsidR="00081A26">
        <w:rPr>
          <w:rFonts w:ascii="Times New Roman" w:hAnsi="Times New Roman" w:cs="Times New Roman"/>
          <w:sz w:val="28"/>
          <w:szCs w:val="28"/>
        </w:rPr>
        <w:t>it</w:t>
      </w:r>
      <w:proofErr w:type="gramEnd"/>
      <w:r w:rsidR="00081A26">
        <w:rPr>
          <w:rFonts w:ascii="Times New Roman" w:hAnsi="Times New Roman" w:cs="Times New Roman"/>
          <w:sz w:val="28"/>
          <w:szCs w:val="28"/>
        </w:rPr>
        <w:t xml:space="preserve"> went further to state its intention to approach the subtenants on the 15</w:t>
      </w:r>
      <w:r w:rsidR="00081A26" w:rsidRPr="00081A26">
        <w:rPr>
          <w:rFonts w:ascii="Times New Roman" w:hAnsi="Times New Roman" w:cs="Times New Roman"/>
          <w:sz w:val="28"/>
          <w:szCs w:val="28"/>
          <w:vertAlign w:val="superscript"/>
        </w:rPr>
        <w:t>th</w:t>
      </w:r>
      <w:r w:rsidR="00081A26">
        <w:rPr>
          <w:rFonts w:ascii="Times New Roman" w:hAnsi="Times New Roman" w:cs="Times New Roman"/>
          <w:sz w:val="28"/>
          <w:szCs w:val="28"/>
        </w:rPr>
        <w:t xml:space="preserve"> July 2021 </w:t>
      </w:r>
      <w:r w:rsidR="00081A26" w:rsidRPr="00081A26">
        <w:rPr>
          <w:rFonts w:ascii="Times New Roman" w:hAnsi="Times New Roman" w:cs="Times New Roman"/>
          <w:i/>
          <w:iCs/>
          <w:sz w:val="28"/>
          <w:szCs w:val="28"/>
        </w:rPr>
        <w:t>“for purposes of ascertaining their future intentions and establishing new contractual arrangements with them if necessary”</w:t>
      </w:r>
      <w:r w:rsidR="00081A26">
        <w:rPr>
          <w:rFonts w:ascii="Times New Roman" w:hAnsi="Times New Roman" w:cs="Times New Roman"/>
          <w:i/>
          <w:iCs/>
          <w:sz w:val="28"/>
          <w:szCs w:val="28"/>
        </w:rPr>
        <w:t xml:space="preserve">. </w:t>
      </w:r>
    </w:p>
    <w:p w14:paraId="7638E632" w14:textId="77777777" w:rsidR="00A53B94" w:rsidRDefault="00A53B94" w:rsidP="00160FF3">
      <w:pPr>
        <w:pStyle w:val="BodyText"/>
        <w:kinsoku w:val="0"/>
        <w:overflowPunct w:val="0"/>
        <w:spacing w:line="480" w:lineRule="auto"/>
        <w:ind w:left="0"/>
        <w:jc w:val="both"/>
        <w:rPr>
          <w:rFonts w:ascii="Times New Roman" w:hAnsi="Times New Roman" w:cs="Times New Roman"/>
          <w:i/>
          <w:iCs/>
          <w:sz w:val="28"/>
          <w:szCs w:val="28"/>
        </w:rPr>
      </w:pPr>
    </w:p>
    <w:p w14:paraId="69E969F6" w14:textId="1E57C5D3" w:rsidR="008B7B83" w:rsidRDefault="00A53B94" w:rsidP="00160FF3">
      <w:pPr>
        <w:pStyle w:val="BodyText"/>
        <w:kinsoku w:val="0"/>
        <w:overflowPunct w:val="0"/>
        <w:spacing w:line="480" w:lineRule="auto"/>
        <w:ind w:left="0"/>
        <w:jc w:val="both"/>
        <w:rPr>
          <w:rFonts w:ascii="Times New Roman" w:hAnsi="Times New Roman" w:cs="Times New Roman"/>
          <w:sz w:val="28"/>
          <w:szCs w:val="28"/>
        </w:rPr>
      </w:pPr>
      <w:r w:rsidRPr="00A53B94">
        <w:rPr>
          <w:rFonts w:ascii="Times New Roman" w:hAnsi="Times New Roman" w:cs="Times New Roman"/>
          <w:sz w:val="28"/>
          <w:szCs w:val="28"/>
        </w:rPr>
        <w:t>[6</w:t>
      </w:r>
      <w:r w:rsidR="000E04EC">
        <w:rPr>
          <w:rFonts w:ascii="Times New Roman" w:hAnsi="Times New Roman" w:cs="Times New Roman"/>
          <w:sz w:val="28"/>
          <w:szCs w:val="28"/>
        </w:rPr>
        <w:t>9</w:t>
      </w:r>
      <w:r w:rsidRPr="00A53B94">
        <w:rPr>
          <w:rFonts w:ascii="Times New Roman" w:hAnsi="Times New Roman" w:cs="Times New Roman"/>
          <w:sz w:val="28"/>
          <w:szCs w:val="28"/>
        </w:rPr>
        <w:t>]</w:t>
      </w:r>
      <w:r w:rsidRPr="00A53B94">
        <w:rPr>
          <w:rFonts w:ascii="Times New Roman" w:hAnsi="Times New Roman" w:cs="Times New Roman"/>
          <w:sz w:val="28"/>
          <w:szCs w:val="28"/>
        </w:rPr>
        <w:tab/>
      </w:r>
      <w:r>
        <w:rPr>
          <w:rFonts w:ascii="Times New Roman" w:hAnsi="Times New Roman" w:cs="Times New Roman"/>
          <w:i/>
          <w:iCs/>
          <w:sz w:val="28"/>
          <w:szCs w:val="28"/>
        </w:rPr>
        <w:tab/>
      </w:r>
      <w:r w:rsidR="00081A26">
        <w:rPr>
          <w:rFonts w:ascii="Times New Roman" w:hAnsi="Times New Roman" w:cs="Times New Roman"/>
          <w:sz w:val="28"/>
          <w:szCs w:val="28"/>
        </w:rPr>
        <w:t>It is the applicant that ha</w:t>
      </w:r>
      <w:r w:rsidR="005B3CA9">
        <w:rPr>
          <w:rFonts w:ascii="Times New Roman" w:hAnsi="Times New Roman" w:cs="Times New Roman"/>
          <w:sz w:val="28"/>
          <w:szCs w:val="28"/>
        </w:rPr>
        <w:t>s</w:t>
      </w:r>
      <w:r w:rsidR="00081A26">
        <w:rPr>
          <w:rFonts w:ascii="Times New Roman" w:hAnsi="Times New Roman" w:cs="Times New Roman"/>
          <w:sz w:val="28"/>
          <w:szCs w:val="28"/>
        </w:rPr>
        <w:t xml:space="preserve"> sublease agreements with the subtenants and </w:t>
      </w:r>
      <w:r w:rsidR="005B3CA9">
        <w:rPr>
          <w:rFonts w:ascii="Times New Roman" w:hAnsi="Times New Roman" w:cs="Times New Roman"/>
          <w:sz w:val="28"/>
          <w:szCs w:val="28"/>
        </w:rPr>
        <w:t xml:space="preserve">is </w:t>
      </w:r>
      <w:r w:rsidR="00081A26">
        <w:rPr>
          <w:rFonts w:ascii="Times New Roman" w:hAnsi="Times New Roman" w:cs="Times New Roman"/>
          <w:sz w:val="28"/>
          <w:szCs w:val="28"/>
        </w:rPr>
        <w:t>collecting rentals from them</w:t>
      </w:r>
      <w:r>
        <w:rPr>
          <w:rFonts w:ascii="Times New Roman" w:hAnsi="Times New Roman" w:cs="Times New Roman"/>
          <w:sz w:val="28"/>
          <w:szCs w:val="28"/>
        </w:rPr>
        <w:t xml:space="preserve"> and not the respondent. </w:t>
      </w:r>
      <w:r w:rsidR="005B3CA9">
        <w:rPr>
          <w:rFonts w:ascii="Times New Roman" w:hAnsi="Times New Roman" w:cs="Times New Roman"/>
          <w:sz w:val="28"/>
          <w:szCs w:val="28"/>
        </w:rPr>
        <w:t>N</w:t>
      </w:r>
      <w:r>
        <w:rPr>
          <w:rFonts w:ascii="Times New Roman" w:hAnsi="Times New Roman" w:cs="Times New Roman"/>
          <w:sz w:val="28"/>
          <w:szCs w:val="28"/>
        </w:rPr>
        <w:t>o meaning</w:t>
      </w:r>
      <w:r w:rsidR="005B3CA9">
        <w:rPr>
          <w:rFonts w:ascii="Times New Roman" w:hAnsi="Times New Roman" w:cs="Times New Roman"/>
          <w:sz w:val="28"/>
          <w:szCs w:val="28"/>
        </w:rPr>
        <w:t xml:space="preserve"> can be</w:t>
      </w:r>
      <w:r>
        <w:rPr>
          <w:rFonts w:ascii="Times New Roman" w:hAnsi="Times New Roman" w:cs="Times New Roman"/>
          <w:sz w:val="28"/>
          <w:szCs w:val="28"/>
        </w:rPr>
        <w:t xml:space="preserve"> ascribe</w:t>
      </w:r>
      <w:r w:rsidR="005B3CA9">
        <w:rPr>
          <w:rFonts w:ascii="Times New Roman" w:hAnsi="Times New Roman" w:cs="Times New Roman"/>
          <w:sz w:val="28"/>
          <w:szCs w:val="28"/>
        </w:rPr>
        <w:t>d</w:t>
      </w:r>
      <w:r>
        <w:rPr>
          <w:rFonts w:ascii="Times New Roman" w:hAnsi="Times New Roman" w:cs="Times New Roman"/>
          <w:sz w:val="28"/>
          <w:szCs w:val="28"/>
        </w:rPr>
        <w:t xml:space="preserve"> to the impugned letter than that the respondent want</w:t>
      </w:r>
      <w:r w:rsidR="005B3CA9">
        <w:rPr>
          <w:rFonts w:ascii="Times New Roman" w:hAnsi="Times New Roman" w:cs="Times New Roman"/>
          <w:sz w:val="28"/>
          <w:szCs w:val="28"/>
        </w:rPr>
        <w:t>s</w:t>
      </w:r>
      <w:r>
        <w:rPr>
          <w:rFonts w:ascii="Times New Roman" w:hAnsi="Times New Roman" w:cs="Times New Roman"/>
          <w:sz w:val="28"/>
          <w:szCs w:val="28"/>
        </w:rPr>
        <w:t xml:space="preserve"> to take control of the premises and deal directly with the subtenants. In</w:t>
      </w:r>
      <w:r w:rsidR="00F8147A">
        <w:rPr>
          <w:rFonts w:ascii="Times New Roman" w:hAnsi="Times New Roman" w:cs="Times New Roman"/>
          <w:sz w:val="28"/>
          <w:szCs w:val="28"/>
        </w:rPr>
        <w:t xml:space="preserve"> its </w:t>
      </w:r>
      <w:r>
        <w:rPr>
          <w:rFonts w:ascii="Times New Roman" w:hAnsi="Times New Roman" w:cs="Times New Roman"/>
          <w:sz w:val="28"/>
          <w:szCs w:val="28"/>
        </w:rPr>
        <w:t>view,</w:t>
      </w:r>
      <w:r w:rsidR="005B3CA9">
        <w:rPr>
          <w:rFonts w:ascii="Times New Roman" w:hAnsi="Times New Roman" w:cs="Times New Roman"/>
          <w:sz w:val="28"/>
          <w:szCs w:val="28"/>
        </w:rPr>
        <w:t xml:space="preserve"> the sublease agreement has lapsed </w:t>
      </w:r>
      <w:proofErr w:type="gramStart"/>
      <w:r w:rsidR="005B3CA9">
        <w:rPr>
          <w:rFonts w:ascii="Times New Roman" w:hAnsi="Times New Roman" w:cs="Times New Roman"/>
          <w:sz w:val="28"/>
          <w:szCs w:val="28"/>
        </w:rPr>
        <w:t>as a result of</w:t>
      </w:r>
      <w:proofErr w:type="gramEnd"/>
      <w:r w:rsidR="005B3CA9">
        <w:rPr>
          <w:rFonts w:ascii="Times New Roman" w:hAnsi="Times New Roman" w:cs="Times New Roman"/>
          <w:sz w:val="28"/>
          <w:szCs w:val="28"/>
        </w:rPr>
        <w:t xml:space="preserve"> which it has to deal directly </w:t>
      </w:r>
      <w:r w:rsidR="00F8147A">
        <w:rPr>
          <w:rFonts w:ascii="Times New Roman" w:hAnsi="Times New Roman" w:cs="Times New Roman"/>
          <w:sz w:val="28"/>
          <w:szCs w:val="28"/>
        </w:rPr>
        <w:t>with the subtenants</w:t>
      </w:r>
      <w:r w:rsidR="005B3CA9">
        <w:rPr>
          <w:rFonts w:ascii="Times New Roman" w:hAnsi="Times New Roman" w:cs="Times New Roman"/>
          <w:sz w:val="28"/>
          <w:szCs w:val="28"/>
        </w:rPr>
        <w:t xml:space="preserve">. It has also made it clear that </w:t>
      </w:r>
      <w:r w:rsidR="00F8147A">
        <w:rPr>
          <w:rFonts w:ascii="Times New Roman" w:hAnsi="Times New Roman" w:cs="Times New Roman"/>
          <w:sz w:val="28"/>
          <w:szCs w:val="28"/>
        </w:rPr>
        <w:t xml:space="preserve">the applicant </w:t>
      </w:r>
      <w:r w:rsidR="005B3CA9">
        <w:rPr>
          <w:rFonts w:ascii="Times New Roman" w:hAnsi="Times New Roman" w:cs="Times New Roman"/>
          <w:sz w:val="28"/>
          <w:szCs w:val="28"/>
        </w:rPr>
        <w:t>is</w:t>
      </w:r>
      <w:r w:rsidR="00F8147A">
        <w:rPr>
          <w:rFonts w:ascii="Times New Roman" w:hAnsi="Times New Roman" w:cs="Times New Roman"/>
          <w:sz w:val="28"/>
          <w:szCs w:val="28"/>
        </w:rPr>
        <w:t xml:space="preserve"> operating the filling station on a </w:t>
      </w:r>
      <w:proofErr w:type="gramStart"/>
      <w:r w:rsidR="00F8147A">
        <w:rPr>
          <w:rFonts w:ascii="Times New Roman" w:hAnsi="Times New Roman" w:cs="Times New Roman"/>
          <w:sz w:val="28"/>
          <w:szCs w:val="28"/>
        </w:rPr>
        <w:t>month to month</w:t>
      </w:r>
      <w:proofErr w:type="gramEnd"/>
      <w:r w:rsidR="00F8147A">
        <w:rPr>
          <w:rFonts w:ascii="Times New Roman" w:hAnsi="Times New Roman" w:cs="Times New Roman"/>
          <w:sz w:val="28"/>
          <w:szCs w:val="28"/>
        </w:rPr>
        <w:t xml:space="preserve"> basis. </w:t>
      </w:r>
      <w:r>
        <w:rPr>
          <w:rFonts w:ascii="Times New Roman" w:hAnsi="Times New Roman" w:cs="Times New Roman"/>
          <w:sz w:val="28"/>
          <w:szCs w:val="28"/>
        </w:rPr>
        <w:t xml:space="preserve"> </w:t>
      </w:r>
    </w:p>
    <w:p w14:paraId="1DD2D7EA" w14:textId="77777777" w:rsidR="005443D5" w:rsidRDefault="005443D5" w:rsidP="00160FF3">
      <w:pPr>
        <w:pStyle w:val="BodyText"/>
        <w:kinsoku w:val="0"/>
        <w:overflowPunct w:val="0"/>
        <w:spacing w:line="480" w:lineRule="auto"/>
        <w:ind w:left="0"/>
        <w:jc w:val="both"/>
        <w:rPr>
          <w:rFonts w:ascii="Times New Roman" w:hAnsi="Times New Roman" w:cs="Times New Roman"/>
          <w:sz w:val="28"/>
          <w:szCs w:val="28"/>
        </w:rPr>
      </w:pPr>
    </w:p>
    <w:p w14:paraId="4BA612FB" w14:textId="191C4F9F" w:rsidR="00214701" w:rsidRDefault="008B7B83"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0E04EC">
        <w:rPr>
          <w:rFonts w:ascii="Times New Roman" w:hAnsi="Times New Roman" w:cs="Times New Roman"/>
          <w:sz w:val="28"/>
          <w:szCs w:val="28"/>
        </w:rPr>
        <w:t>70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31AE6">
        <w:rPr>
          <w:rFonts w:ascii="Times New Roman" w:hAnsi="Times New Roman" w:cs="Times New Roman"/>
          <w:sz w:val="28"/>
          <w:szCs w:val="28"/>
        </w:rPr>
        <w:t>The logical consequence of my findings in this regard is that the respondent</w:t>
      </w:r>
      <w:r w:rsidR="00232B92">
        <w:rPr>
          <w:rFonts w:ascii="Times New Roman" w:hAnsi="Times New Roman" w:cs="Times New Roman"/>
          <w:sz w:val="28"/>
          <w:szCs w:val="28"/>
        </w:rPr>
        <w:t xml:space="preserve"> want</w:t>
      </w:r>
      <w:r w:rsidR="005B3CA9">
        <w:rPr>
          <w:rFonts w:ascii="Times New Roman" w:hAnsi="Times New Roman" w:cs="Times New Roman"/>
          <w:sz w:val="28"/>
          <w:szCs w:val="28"/>
        </w:rPr>
        <w:t xml:space="preserve">s </w:t>
      </w:r>
      <w:r w:rsidR="00232B92">
        <w:rPr>
          <w:rFonts w:ascii="Times New Roman" w:hAnsi="Times New Roman" w:cs="Times New Roman"/>
          <w:sz w:val="28"/>
          <w:szCs w:val="28"/>
        </w:rPr>
        <w:t>to dislodge</w:t>
      </w:r>
      <w:r w:rsidR="00C31AE6">
        <w:rPr>
          <w:rFonts w:ascii="Times New Roman" w:hAnsi="Times New Roman" w:cs="Times New Roman"/>
          <w:sz w:val="28"/>
          <w:szCs w:val="28"/>
        </w:rPr>
        <w:t xml:space="preserve"> the applicant of the possession and control of the premises </w:t>
      </w:r>
      <w:r w:rsidR="00232B92">
        <w:rPr>
          <w:rFonts w:ascii="Times New Roman" w:hAnsi="Times New Roman" w:cs="Times New Roman"/>
          <w:sz w:val="28"/>
          <w:szCs w:val="28"/>
        </w:rPr>
        <w:t xml:space="preserve">wrongfully without following due process of law. </w:t>
      </w:r>
      <w:r w:rsidR="00214701">
        <w:rPr>
          <w:rFonts w:ascii="Times New Roman" w:hAnsi="Times New Roman" w:cs="Times New Roman"/>
          <w:sz w:val="28"/>
          <w:szCs w:val="28"/>
        </w:rPr>
        <w:t>As a result, the</w:t>
      </w:r>
      <w:r w:rsidR="00A53B94">
        <w:rPr>
          <w:rFonts w:ascii="Times New Roman" w:hAnsi="Times New Roman" w:cs="Times New Roman"/>
          <w:sz w:val="28"/>
          <w:szCs w:val="28"/>
        </w:rPr>
        <w:t xml:space="preserve"> </w:t>
      </w:r>
      <w:proofErr w:type="gramStart"/>
      <w:r w:rsidR="00A53B94">
        <w:rPr>
          <w:rFonts w:ascii="Times New Roman" w:hAnsi="Times New Roman" w:cs="Times New Roman"/>
          <w:sz w:val="28"/>
          <w:szCs w:val="28"/>
        </w:rPr>
        <w:t>applicant‘</w:t>
      </w:r>
      <w:proofErr w:type="gramEnd"/>
      <w:r w:rsidR="00A53B94">
        <w:rPr>
          <w:rFonts w:ascii="Times New Roman" w:hAnsi="Times New Roman" w:cs="Times New Roman"/>
          <w:sz w:val="28"/>
          <w:szCs w:val="28"/>
        </w:rPr>
        <w:t xml:space="preserve">s </w:t>
      </w:r>
      <w:r w:rsidR="00214701">
        <w:rPr>
          <w:rFonts w:ascii="Times New Roman" w:hAnsi="Times New Roman" w:cs="Times New Roman"/>
          <w:sz w:val="28"/>
          <w:szCs w:val="28"/>
        </w:rPr>
        <w:t xml:space="preserve">apprehension </w:t>
      </w:r>
      <w:r w:rsidR="00A53B94">
        <w:rPr>
          <w:rFonts w:ascii="Times New Roman" w:hAnsi="Times New Roman" w:cs="Times New Roman"/>
          <w:sz w:val="28"/>
          <w:szCs w:val="28"/>
        </w:rPr>
        <w:t xml:space="preserve">of harm </w:t>
      </w:r>
      <w:r w:rsidR="005B3CA9">
        <w:rPr>
          <w:rFonts w:ascii="Times New Roman" w:hAnsi="Times New Roman" w:cs="Times New Roman"/>
          <w:sz w:val="28"/>
          <w:szCs w:val="28"/>
        </w:rPr>
        <w:t xml:space="preserve">is </w:t>
      </w:r>
      <w:r w:rsidR="00A53B94">
        <w:rPr>
          <w:rFonts w:ascii="Times New Roman" w:hAnsi="Times New Roman" w:cs="Times New Roman"/>
          <w:sz w:val="28"/>
          <w:szCs w:val="28"/>
        </w:rPr>
        <w:t xml:space="preserve">reasonable. </w:t>
      </w:r>
      <w:r w:rsidR="00C31AE6">
        <w:rPr>
          <w:rFonts w:ascii="Times New Roman" w:hAnsi="Times New Roman" w:cs="Times New Roman"/>
          <w:sz w:val="28"/>
          <w:szCs w:val="28"/>
        </w:rPr>
        <w:t xml:space="preserve">Suleman </w:t>
      </w:r>
      <w:r w:rsidR="00214701">
        <w:rPr>
          <w:rFonts w:ascii="Times New Roman" w:hAnsi="Times New Roman" w:cs="Times New Roman"/>
          <w:sz w:val="28"/>
          <w:szCs w:val="28"/>
        </w:rPr>
        <w:t xml:space="preserve">had not been successful in </w:t>
      </w:r>
      <w:r w:rsidR="00214701">
        <w:rPr>
          <w:rFonts w:ascii="Times New Roman" w:hAnsi="Times New Roman" w:cs="Times New Roman"/>
          <w:sz w:val="28"/>
          <w:szCs w:val="28"/>
        </w:rPr>
        <w:lastRenderedPageBreak/>
        <w:t xml:space="preserve">his </w:t>
      </w:r>
      <w:r w:rsidR="00C31AE6">
        <w:rPr>
          <w:rFonts w:ascii="Times New Roman" w:hAnsi="Times New Roman" w:cs="Times New Roman"/>
          <w:sz w:val="28"/>
          <w:szCs w:val="28"/>
        </w:rPr>
        <w:t xml:space="preserve">attempt to engage </w:t>
      </w:r>
      <w:proofErr w:type="spellStart"/>
      <w:r w:rsidR="00C31AE6">
        <w:rPr>
          <w:rFonts w:ascii="Times New Roman" w:hAnsi="Times New Roman" w:cs="Times New Roman"/>
          <w:sz w:val="28"/>
          <w:szCs w:val="28"/>
        </w:rPr>
        <w:t>Molapo</w:t>
      </w:r>
      <w:proofErr w:type="spellEnd"/>
      <w:r>
        <w:rPr>
          <w:rFonts w:ascii="Times New Roman" w:hAnsi="Times New Roman" w:cs="Times New Roman"/>
          <w:sz w:val="28"/>
          <w:szCs w:val="28"/>
        </w:rPr>
        <w:t xml:space="preserve">. </w:t>
      </w:r>
    </w:p>
    <w:p w14:paraId="6B5316FA" w14:textId="77777777" w:rsidR="00214701" w:rsidRDefault="00214701" w:rsidP="00160FF3">
      <w:pPr>
        <w:pStyle w:val="BodyText"/>
        <w:kinsoku w:val="0"/>
        <w:overflowPunct w:val="0"/>
        <w:spacing w:line="480" w:lineRule="auto"/>
        <w:ind w:left="0"/>
        <w:jc w:val="both"/>
        <w:rPr>
          <w:rFonts w:ascii="Times New Roman" w:hAnsi="Times New Roman" w:cs="Times New Roman"/>
          <w:sz w:val="28"/>
          <w:szCs w:val="28"/>
        </w:rPr>
      </w:pPr>
    </w:p>
    <w:p w14:paraId="493B25C6" w14:textId="048D0123" w:rsidR="00DB508D" w:rsidRPr="008B7B83" w:rsidRDefault="00214701" w:rsidP="00160FF3">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[7</w:t>
      </w:r>
      <w:r w:rsidR="000E04E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D1707">
        <w:rPr>
          <w:rFonts w:ascii="Times New Roman" w:hAnsi="Times New Roman" w:cs="Times New Roman"/>
          <w:color w:val="333333"/>
          <w:sz w:val="28"/>
          <w:szCs w:val="28"/>
        </w:rPr>
        <w:t xml:space="preserve">In </w:t>
      </w:r>
      <w:proofErr w:type="spellStart"/>
      <w:r w:rsidR="00FD1707" w:rsidRPr="002F7AD0">
        <w:rPr>
          <w:rFonts w:ascii="Times New Roman" w:hAnsi="Times New Roman" w:cs="Times New Roman"/>
          <w:b/>
          <w:bCs/>
          <w:color w:val="333333"/>
          <w:sz w:val="28"/>
          <w:szCs w:val="28"/>
        </w:rPr>
        <w:t>Setlogelo</w:t>
      </w:r>
      <w:proofErr w:type="spellEnd"/>
      <w:r w:rsidR="00FD1707">
        <w:rPr>
          <w:rStyle w:val="FootnoteReference"/>
          <w:rFonts w:ascii="Times New Roman" w:hAnsi="Times New Roman" w:cs="Times New Roman"/>
          <w:b/>
          <w:bCs/>
          <w:color w:val="333333"/>
          <w:sz w:val="28"/>
          <w:szCs w:val="28"/>
        </w:rPr>
        <w:footnoteReference w:id="44"/>
      </w:r>
      <w:r w:rsidR="00FD1707">
        <w:rPr>
          <w:rFonts w:ascii="Times New Roman" w:hAnsi="Times New Roman" w:cs="Times New Roman"/>
          <w:color w:val="333333"/>
          <w:sz w:val="28"/>
          <w:szCs w:val="28"/>
        </w:rPr>
        <w:t xml:space="preserve">, the court stated that disturbance with bona fide </w:t>
      </w:r>
      <w:r w:rsidR="004F3602">
        <w:rPr>
          <w:rFonts w:ascii="Times New Roman" w:hAnsi="Times New Roman" w:cs="Times New Roman"/>
          <w:color w:val="333333"/>
          <w:sz w:val="28"/>
          <w:szCs w:val="28"/>
        </w:rPr>
        <w:t xml:space="preserve">occupier’s </w:t>
      </w:r>
      <w:r w:rsidR="00FD1707">
        <w:rPr>
          <w:rFonts w:ascii="Times New Roman" w:hAnsi="Times New Roman" w:cs="Times New Roman"/>
          <w:color w:val="333333"/>
          <w:sz w:val="28"/>
          <w:szCs w:val="28"/>
        </w:rPr>
        <w:t xml:space="preserve">possession </w:t>
      </w:r>
      <w:r w:rsidR="004F3602">
        <w:rPr>
          <w:rFonts w:ascii="Times New Roman" w:hAnsi="Times New Roman" w:cs="Times New Roman"/>
          <w:color w:val="333333"/>
          <w:sz w:val="28"/>
          <w:szCs w:val="28"/>
        </w:rPr>
        <w:t>“</w:t>
      </w:r>
      <w:r w:rsidR="004F3602" w:rsidRPr="004F3602">
        <w:rPr>
          <w:rFonts w:ascii="Times New Roman" w:hAnsi="Times New Roman" w:cs="Times New Roman"/>
          <w:i/>
          <w:iCs/>
          <w:color w:val="333333"/>
          <w:sz w:val="28"/>
          <w:szCs w:val="28"/>
        </w:rPr>
        <w:t>is such an injury to him as to justify the granting of an interdict”</w:t>
      </w:r>
      <w:r w:rsidR="004F3602">
        <w:rPr>
          <w:rFonts w:ascii="Times New Roman" w:hAnsi="Times New Roman" w:cs="Times New Roman"/>
          <w:color w:val="333333"/>
          <w:sz w:val="28"/>
          <w:szCs w:val="28"/>
        </w:rPr>
        <w:t xml:space="preserve">. It treated such disturbance as </w:t>
      </w:r>
      <w:r w:rsidR="00FD1707">
        <w:rPr>
          <w:rFonts w:ascii="Times New Roman" w:hAnsi="Times New Roman" w:cs="Times New Roman"/>
          <w:color w:val="333333"/>
          <w:sz w:val="28"/>
          <w:szCs w:val="28"/>
        </w:rPr>
        <w:t>spoliation</w:t>
      </w:r>
      <w:r w:rsidR="004F3602">
        <w:rPr>
          <w:rFonts w:ascii="Times New Roman" w:hAnsi="Times New Roman" w:cs="Times New Roman"/>
          <w:color w:val="333333"/>
          <w:sz w:val="28"/>
          <w:szCs w:val="28"/>
        </w:rPr>
        <w:t xml:space="preserve">. </w:t>
      </w:r>
      <w:r w:rsidR="00FD1707">
        <w:rPr>
          <w:rFonts w:ascii="Times New Roman" w:hAnsi="Times New Roman" w:cs="Times New Roman"/>
          <w:sz w:val="28"/>
          <w:szCs w:val="28"/>
        </w:rPr>
        <w:t xml:space="preserve">This approach was followed in </w:t>
      </w:r>
      <w:r w:rsidR="008B7B83" w:rsidRPr="008B7B83">
        <w:rPr>
          <w:rFonts w:ascii="Times New Roman" w:hAnsi="Times New Roman" w:cs="Times New Roman"/>
          <w:b/>
          <w:bCs/>
          <w:color w:val="333333"/>
          <w:sz w:val="28"/>
          <w:szCs w:val="28"/>
        </w:rPr>
        <w:t xml:space="preserve">BNP Mafeteng </w:t>
      </w:r>
      <w:r w:rsidR="008B7B83" w:rsidRPr="00A77D45">
        <w:rPr>
          <w:rFonts w:ascii="Times New Roman" w:hAnsi="Times New Roman" w:cs="Times New Roman"/>
          <w:color w:val="333333"/>
          <w:sz w:val="28"/>
          <w:szCs w:val="28"/>
        </w:rPr>
        <w:t>case</w:t>
      </w:r>
      <w:r w:rsidR="008B7B83">
        <w:rPr>
          <w:b/>
          <w:bCs/>
          <w:color w:val="333333"/>
          <w:sz w:val="28"/>
          <w:szCs w:val="28"/>
        </w:rPr>
        <w:t xml:space="preserve"> </w:t>
      </w:r>
      <w:r w:rsidR="00FD1707">
        <w:rPr>
          <w:rFonts w:ascii="Times New Roman" w:hAnsi="Times New Roman" w:cs="Times New Roman"/>
          <w:color w:val="333333"/>
          <w:sz w:val="28"/>
          <w:szCs w:val="28"/>
        </w:rPr>
        <w:t xml:space="preserve">where </w:t>
      </w:r>
      <w:r w:rsidR="008B7B83">
        <w:rPr>
          <w:rFonts w:ascii="Times New Roman" w:hAnsi="Times New Roman" w:cs="Times New Roman"/>
          <w:color w:val="333333"/>
          <w:sz w:val="28"/>
          <w:szCs w:val="28"/>
        </w:rPr>
        <w:t>the Court of Appeal</w:t>
      </w:r>
      <w:r w:rsidR="00FD1707">
        <w:rPr>
          <w:rFonts w:ascii="Times New Roman" w:hAnsi="Times New Roman" w:cs="Times New Roman"/>
          <w:color w:val="333333"/>
          <w:sz w:val="28"/>
          <w:szCs w:val="28"/>
        </w:rPr>
        <w:t xml:space="preserve"> having</w:t>
      </w:r>
      <w:r w:rsidR="008B7B83">
        <w:rPr>
          <w:rFonts w:ascii="Times New Roman" w:hAnsi="Times New Roman" w:cs="Times New Roman"/>
          <w:color w:val="333333"/>
          <w:sz w:val="28"/>
          <w:szCs w:val="28"/>
        </w:rPr>
        <w:t xml:space="preserve"> found </w:t>
      </w:r>
      <w:r w:rsidR="002F7AD0">
        <w:rPr>
          <w:rFonts w:ascii="Times New Roman" w:hAnsi="Times New Roman" w:cs="Times New Roman"/>
          <w:color w:val="333333"/>
          <w:sz w:val="28"/>
          <w:szCs w:val="28"/>
        </w:rPr>
        <w:t xml:space="preserve">that </w:t>
      </w:r>
      <w:r w:rsidR="00FD1707">
        <w:rPr>
          <w:rFonts w:ascii="Times New Roman" w:hAnsi="Times New Roman" w:cs="Times New Roman"/>
          <w:color w:val="333333"/>
          <w:sz w:val="28"/>
          <w:szCs w:val="28"/>
        </w:rPr>
        <w:t>bona fide occu</w:t>
      </w:r>
      <w:r w:rsidR="008B7B83">
        <w:rPr>
          <w:rFonts w:ascii="Times New Roman" w:hAnsi="Times New Roman" w:cs="Times New Roman"/>
          <w:color w:val="333333"/>
          <w:sz w:val="28"/>
          <w:szCs w:val="28"/>
        </w:rPr>
        <w:t>pier</w:t>
      </w:r>
      <w:r w:rsidR="00FD1707">
        <w:rPr>
          <w:rFonts w:ascii="Times New Roman" w:hAnsi="Times New Roman" w:cs="Times New Roman"/>
          <w:color w:val="333333"/>
          <w:sz w:val="28"/>
          <w:szCs w:val="28"/>
        </w:rPr>
        <w:t xml:space="preserve">’s </w:t>
      </w:r>
      <w:r w:rsidR="008B7B83">
        <w:rPr>
          <w:rFonts w:ascii="Times New Roman" w:hAnsi="Times New Roman" w:cs="Times New Roman"/>
          <w:color w:val="333333"/>
          <w:sz w:val="28"/>
          <w:szCs w:val="28"/>
        </w:rPr>
        <w:t>possession</w:t>
      </w:r>
      <w:r w:rsidR="00FD1707">
        <w:rPr>
          <w:rFonts w:ascii="Times New Roman" w:hAnsi="Times New Roman" w:cs="Times New Roman"/>
          <w:color w:val="333333"/>
          <w:sz w:val="28"/>
          <w:szCs w:val="28"/>
        </w:rPr>
        <w:t xml:space="preserve"> was disturbed dismissed an appeal against interdict</w:t>
      </w:r>
      <w:r w:rsidR="004F3602">
        <w:rPr>
          <w:rFonts w:ascii="Times New Roman" w:hAnsi="Times New Roman" w:cs="Times New Roman"/>
          <w:color w:val="333333"/>
          <w:sz w:val="28"/>
          <w:szCs w:val="28"/>
        </w:rPr>
        <w:t xml:space="preserve"> granted by the court a </w:t>
      </w:r>
      <w:r w:rsidR="004F3602" w:rsidRPr="004F3602">
        <w:rPr>
          <w:rFonts w:ascii="Times New Roman" w:hAnsi="Times New Roman" w:cs="Times New Roman"/>
          <w:i/>
          <w:iCs/>
          <w:color w:val="333333"/>
          <w:sz w:val="28"/>
          <w:szCs w:val="28"/>
        </w:rPr>
        <w:t>quo</w:t>
      </w:r>
      <w:r w:rsidR="004F3602">
        <w:rPr>
          <w:rFonts w:ascii="Times New Roman" w:hAnsi="Times New Roman" w:cs="Times New Roman"/>
          <w:color w:val="333333"/>
          <w:sz w:val="28"/>
          <w:szCs w:val="28"/>
        </w:rPr>
        <w:t>.</w:t>
      </w:r>
      <w:r w:rsidR="00FD1707">
        <w:rPr>
          <w:rFonts w:ascii="Times New Roman" w:hAnsi="Times New Roman" w:cs="Times New Roman"/>
          <w:color w:val="333333"/>
          <w:sz w:val="28"/>
          <w:szCs w:val="28"/>
        </w:rPr>
        <w:t xml:space="preserve"> </w:t>
      </w:r>
      <w:r w:rsidR="008B7B83">
        <w:rPr>
          <w:rFonts w:ascii="Times New Roman" w:hAnsi="Times New Roman" w:cs="Times New Roman"/>
          <w:color w:val="333333"/>
          <w:sz w:val="28"/>
          <w:szCs w:val="28"/>
        </w:rPr>
        <w:t xml:space="preserve">BNP had </w:t>
      </w:r>
      <w:r>
        <w:rPr>
          <w:rFonts w:ascii="Times New Roman" w:hAnsi="Times New Roman" w:cs="Times New Roman"/>
          <w:color w:val="333333"/>
          <w:sz w:val="28"/>
          <w:szCs w:val="28"/>
        </w:rPr>
        <w:t xml:space="preserve">collected monthly rentals from </w:t>
      </w:r>
      <w:r w:rsidR="00594714">
        <w:rPr>
          <w:rFonts w:ascii="Times New Roman" w:hAnsi="Times New Roman" w:cs="Times New Roman"/>
          <w:color w:val="333333"/>
          <w:sz w:val="28"/>
          <w:szCs w:val="28"/>
        </w:rPr>
        <w:t xml:space="preserve">a subtenant who was ordinarily paying his rentals to the bona fide occupier. </w:t>
      </w:r>
      <w:r w:rsidR="008B7B83">
        <w:rPr>
          <w:rFonts w:ascii="Times New Roman" w:hAnsi="Times New Roman" w:cs="Times New Roman"/>
          <w:color w:val="333333"/>
          <w:sz w:val="28"/>
          <w:szCs w:val="28"/>
        </w:rPr>
        <w:t xml:space="preserve">The applicant in </w:t>
      </w:r>
      <w:r w:rsidR="008B7B83" w:rsidRPr="008B7B83">
        <w:rPr>
          <w:rFonts w:ascii="Times New Roman" w:hAnsi="Times New Roman" w:cs="Times New Roman"/>
          <w:i/>
          <w:iCs/>
          <w:color w:val="333333"/>
          <w:sz w:val="28"/>
          <w:szCs w:val="28"/>
        </w:rPr>
        <w:t>casu</w:t>
      </w:r>
      <w:r w:rsidR="008B7B83">
        <w:rPr>
          <w:rFonts w:ascii="Times New Roman" w:hAnsi="Times New Roman" w:cs="Times New Roman"/>
          <w:color w:val="333333"/>
          <w:sz w:val="28"/>
          <w:szCs w:val="28"/>
        </w:rPr>
        <w:t xml:space="preserve"> wants to nip it in the bud. </w:t>
      </w:r>
      <w:r w:rsidR="00001B54">
        <w:rPr>
          <w:rFonts w:ascii="Times New Roman" w:hAnsi="Times New Roman" w:cs="Times New Roman"/>
          <w:color w:val="333333"/>
          <w:sz w:val="28"/>
          <w:szCs w:val="28"/>
        </w:rPr>
        <w:t xml:space="preserve"> </w:t>
      </w:r>
    </w:p>
    <w:p w14:paraId="4C5E5D3B" w14:textId="5BD224F8" w:rsidR="0018483A" w:rsidRPr="00C31AE6" w:rsidRDefault="0018483A" w:rsidP="00160FF3">
      <w:pPr>
        <w:pStyle w:val="BodyText"/>
        <w:kinsoku w:val="0"/>
        <w:overflowPunct w:val="0"/>
        <w:spacing w:line="480" w:lineRule="auto"/>
        <w:ind w:left="0"/>
        <w:jc w:val="both"/>
        <w:rPr>
          <w:rFonts w:ascii="Times New Roman" w:hAnsi="Times New Roman" w:cs="Times New Roman"/>
          <w:color w:val="333333"/>
          <w:sz w:val="28"/>
          <w:szCs w:val="28"/>
        </w:rPr>
      </w:pPr>
    </w:p>
    <w:p w14:paraId="598FF2B1" w14:textId="04542F5C" w:rsidR="00AF7D1F" w:rsidRDefault="0018483A"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214701">
        <w:rPr>
          <w:rFonts w:ascii="Times New Roman" w:hAnsi="Times New Roman" w:cs="Times New Roman"/>
          <w:sz w:val="28"/>
          <w:szCs w:val="28"/>
        </w:rPr>
        <w:t>7</w:t>
      </w:r>
      <w:r w:rsidR="000E04EC">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214701">
        <w:rPr>
          <w:rFonts w:ascii="Times New Roman" w:hAnsi="Times New Roman" w:cs="Times New Roman"/>
          <w:sz w:val="28"/>
          <w:szCs w:val="28"/>
        </w:rPr>
        <w:tab/>
      </w:r>
      <w:r w:rsidR="00990B02">
        <w:rPr>
          <w:rFonts w:ascii="Times New Roman" w:hAnsi="Times New Roman" w:cs="Times New Roman"/>
          <w:sz w:val="28"/>
          <w:szCs w:val="28"/>
        </w:rPr>
        <w:t xml:space="preserve">So far as the balance of convenience is concerned, I am of the view that it favours the applicant. The applicant is in possession of the property and </w:t>
      </w:r>
      <w:r w:rsidR="00EE23DC">
        <w:rPr>
          <w:rFonts w:ascii="Times New Roman" w:hAnsi="Times New Roman" w:cs="Times New Roman"/>
          <w:sz w:val="28"/>
          <w:szCs w:val="28"/>
        </w:rPr>
        <w:t xml:space="preserve">is </w:t>
      </w:r>
      <w:r w:rsidR="00990B02">
        <w:rPr>
          <w:rFonts w:ascii="Times New Roman" w:hAnsi="Times New Roman" w:cs="Times New Roman"/>
          <w:sz w:val="28"/>
          <w:szCs w:val="28"/>
        </w:rPr>
        <w:t xml:space="preserve">paying rentals to the respondent. </w:t>
      </w:r>
      <w:r w:rsidR="000C40FF">
        <w:rPr>
          <w:rFonts w:ascii="Times New Roman" w:hAnsi="Times New Roman" w:cs="Times New Roman"/>
          <w:sz w:val="28"/>
          <w:szCs w:val="28"/>
        </w:rPr>
        <w:t xml:space="preserve">On the other hand, should interdict be refused, the respondent will start collecting rentals from the subtenants to the prejudice of the applicant. </w:t>
      </w:r>
      <w:r w:rsidR="00AF7D1F">
        <w:rPr>
          <w:rFonts w:ascii="Times New Roman" w:hAnsi="Times New Roman" w:cs="Times New Roman"/>
          <w:sz w:val="28"/>
          <w:szCs w:val="28"/>
        </w:rPr>
        <w:t xml:space="preserve">Consequently, maintaining status </w:t>
      </w:r>
      <w:r w:rsidR="00AF7D1F" w:rsidRPr="00AF7D1F">
        <w:rPr>
          <w:rFonts w:ascii="Times New Roman" w:hAnsi="Times New Roman" w:cs="Times New Roman"/>
          <w:i/>
          <w:iCs/>
          <w:sz w:val="28"/>
          <w:szCs w:val="28"/>
        </w:rPr>
        <w:t>quo</w:t>
      </w:r>
      <w:r w:rsidR="00AF7D1F">
        <w:rPr>
          <w:rFonts w:ascii="Times New Roman" w:hAnsi="Times New Roman" w:cs="Times New Roman"/>
          <w:sz w:val="28"/>
          <w:szCs w:val="28"/>
        </w:rPr>
        <w:t xml:space="preserve"> until such that the respondent would have followed due process of law to get the applicant ejected from the premises will not have detrimental effect to the respondent. </w:t>
      </w:r>
      <w:r w:rsidR="00C31AE6">
        <w:rPr>
          <w:rFonts w:ascii="Times New Roman" w:hAnsi="Times New Roman" w:cs="Times New Roman"/>
          <w:sz w:val="28"/>
          <w:szCs w:val="28"/>
        </w:rPr>
        <w:tab/>
      </w:r>
    </w:p>
    <w:p w14:paraId="756C02F7" w14:textId="77777777" w:rsidR="00AF7D1F" w:rsidRDefault="00AF7D1F" w:rsidP="003F2F8B">
      <w:pPr>
        <w:pStyle w:val="BodyText"/>
        <w:kinsoku w:val="0"/>
        <w:overflowPunct w:val="0"/>
        <w:spacing w:line="480" w:lineRule="auto"/>
        <w:ind w:left="0"/>
        <w:jc w:val="both"/>
        <w:rPr>
          <w:rFonts w:ascii="Times New Roman" w:hAnsi="Times New Roman" w:cs="Times New Roman"/>
          <w:sz w:val="28"/>
          <w:szCs w:val="28"/>
        </w:rPr>
      </w:pPr>
    </w:p>
    <w:p w14:paraId="20243132" w14:textId="61FFB022" w:rsidR="0018483A" w:rsidRDefault="00AF7D1F"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[7</w:t>
      </w:r>
      <w:r w:rsidR="000E04E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EE23DC">
        <w:rPr>
          <w:rFonts w:ascii="Times New Roman" w:hAnsi="Times New Roman" w:cs="Times New Roman"/>
          <w:sz w:val="28"/>
          <w:szCs w:val="28"/>
        </w:rPr>
        <w:t xml:space="preserve">The fact that the applicant is in possession of the property and is bona </w:t>
      </w:r>
      <w:r w:rsidR="00EE23DC">
        <w:rPr>
          <w:rFonts w:ascii="Times New Roman" w:hAnsi="Times New Roman" w:cs="Times New Roman"/>
          <w:sz w:val="28"/>
          <w:szCs w:val="28"/>
        </w:rPr>
        <w:lastRenderedPageBreak/>
        <w:t xml:space="preserve">fide occupier is beyond disputation. </w:t>
      </w:r>
      <w:r w:rsidR="000C40FF">
        <w:rPr>
          <w:rFonts w:ascii="Times New Roman" w:hAnsi="Times New Roman" w:cs="Times New Roman"/>
          <w:sz w:val="28"/>
          <w:szCs w:val="28"/>
        </w:rPr>
        <w:t>Thus, i</w:t>
      </w:r>
      <w:r w:rsidR="00935B91">
        <w:rPr>
          <w:rFonts w:ascii="Times New Roman" w:hAnsi="Times New Roman" w:cs="Times New Roman"/>
          <w:sz w:val="28"/>
          <w:szCs w:val="28"/>
        </w:rPr>
        <w:t>nsisting that the applicant should avail itself of alternative remedies in circumstances</w:t>
      </w:r>
      <w:r w:rsidR="0032124F">
        <w:rPr>
          <w:rFonts w:ascii="Times New Roman" w:hAnsi="Times New Roman" w:cs="Times New Roman"/>
          <w:sz w:val="28"/>
          <w:szCs w:val="28"/>
        </w:rPr>
        <w:t xml:space="preserve"> of this case</w:t>
      </w:r>
      <w:r w:rsidR="00935B91">
        <w:rPr>
          <w:rFonts w:ascii="Times New Roman" w:hAnsi="Times New Roman" w:cs="Times New Roman"/>
          <w:sz w:val="28"/>
          <w:szCs w:val="28"/>
        </w:rPr>
        <w:t xml:space="preserve"> would mean that the applicant </w:t>
      </w:r>
      <w:r w:rsidR="0032124F">
        <w:rPr>
          <w:rFonts w:ascii="Times New Roman" w:hAnsi="Times New Roman" w:cs="Times New Roman"/>
          <w:sz w:val="28"/>
          <w:szCs w:val="28"/>
        </w:rPr>
        <w:t>must</w:t>
      </w:r>
      <w:r w:rsidR="000E04EC">
        <w:rPr>
          <w:rFonts w:ascii="Times New Roman" w:hAnsi="Times New Roman" w:cs="Times New Roman"/>
          <w:sz w:val="28"/>
          <w:szCs w:val="28"/>
        </w:rPr>
        <w:t xml:space="preserve"> first</w:t>
      </w:r>
      <w:r w:rsidR="00935B91">
        <w:rPr>
          <w:rFonts w:ascii="Times New Roman" w:hAnsi="Times New Roman" w:cs="Times New Roman"/>
          <w:sz w:val="28"/>
          <w:szCs w:val="28"/>
        </w:rPr>
        <w:t xml:space="preserve"> </w:t>
      </w:r>
      <w:r w:rsidR="00955067">
        <w:rPr>
          <w:rFonts w:ascii="Times New Roman" w:hAnsi="Times New Roman" w:cs="Times New Roman"/>
          <w:sz w:val="28"/>
          <w:szCs w:val="28"/>
        </w:rPr>
        <w:t>succumb to being despoile</w:t>
      </w:r>
      <w:r w:rsidR="00935B91">
        <w:rPr>
          <w:rFonts w:ascii="Times New Roman" w:hAnsi="Times New Roman" w:cs="Times New Roman"/>
          <w:sz w:val="28"/>
          <w:szCs w:val="28"/>
        </w:rPr>
        <w:t>d and then pursue those remedies</w:t>
      </w:r>
      <w:r w:rsidR="00955067">
        <w:rPr>
          <w:rFonts w:ascii="Times New Roman" w:hAnsi="Times New Roman" w:cs="Times New Roman"/>
          <w:sz w:val="28"/>
          <w:szCs w:val="28"/>
        </w:rPr>
        <w:t>.</w:t>
      </w:r>
      <w:r w:rsidR="00935B91">
        <w:rPr>
          <w:rFonts w:ascii="Times New Roman" w:hAnsi="Times New Roman" w:cs="Times New Roman"/>
          <w:sz w:val="28"/>
          <w:szCs w:val="28"/>
        </w:rPr>
        <w:t xml:space="preserve"> That being the situation, the possible alternative remedies are therefore inadequate</w:t>
      </w:r>
      <w:r w:rsidR="00001B54">
        <w:rPr>
          <w:rFonts w:ascii="Times New Roman" w:hAnsi="Times New Roman" w:cs="Times New Roman"/>
          <w:sz w:val="28"/>
          <w:szCs w:val="28"/>
        </w:rPr>
        <w:t xml:space="preserve"> as applicant must first suffer harm</w:t>
      </w:r>
      <w:r w:rsidR="00935B91">
        <w:rPr>
          <w:rFonts w:ascii="Times New Roman" w:hAnsi="Times New Roman" w:cs="Times New Roman"/>
          <w:sz w:val="28"/>
          <w:szCs w:val="28"/>
        </w:rPr>
        <w:t xml:space="preserve">. </w:t>
      </w:r>
      <w:r w:rsidR="00955067">
        <w:rPr>
          <w:rFonts w:ascii="Times New Roman" w:hAnsi="Times New Roman" w:cs="Times New Roman"/>
          <w:sz w:val="28"/>
          <w:szCs w:val="28"/>
        </w:rPr>
        <w:t xml:space="preserve">  </w:t>
      </w:r>
      <w:r w:rsidR="00C31AE6">
        <w:rPr>
          <w:rFonts w:ascii="Times New Roman" w:hAnsi="Times New Roman" w:cs="Times New Roman"/>
          <w:sz w:val="28"/>
          <w:szCs w:val="28"/>
        </w:rPr>
        <w:tab/>
      </w:r>
      <w:r w:rsidR="00C31AE6">
        <w:rPr>
          <w:rFonts w:ascii="Times New Roman" w:hAnsi="Times New Roman" w:cs="Times New Roman"/>
          <w:sz w:val="28"/>
          <w:szCs w:val="28"/>
        </w:rPr>
        <w:tab/>
      </w:r>
      <w:r w:rsidR="0018483A">
        <w:rPr>
          <w:rFonts w:ascii="Times New Roman" w:hAnsi="Times New Roman" w:cs="Times New Roman"/>
          <w:sz w:val="28"/>
          <w:szCs w:val="28"/>
        </w:rPr>
        <w:tab/>
      </w:r>
    </w:p>
    <w:p w14:paraId="4A32627D" w14:textId="77777777" w:rsidR="0032124F" w:rsidRDefault="0032124F" w:rsidP="003F2F8B">
      <w:pPr>
        <w:pStyle w:val="BodyText"/>
        <w:kinsoku w:val="0"/>
        <w:overflowPunct w:val="0"/>
        <w:spacing w:line="480" w:lineRule="auto"/>
        <w:ind w:left="0"/>
        <w:jc w:val="both"/>
        <w:rPr>
          <w:rFonts w:ascii="Times New Roman" w:hAnsi="Times New Roman" w:cs="Times New Roman"/>
          <w:sz w:val="28"/>
          <w:szCs w:val="28"/>
        </w:rPr>
      </w:pPr>
    </w:p>
    <w:p w14:paraId="3F6EAE3C" w14:textId="47876DB3" w:rsidR="00D7590A" w:rsidRDefault="00935B91"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Pr>
          <w:rFonts w:ascii="Times New Roman" w:hAnsi="Times New Roman" w:cs="Times New Roman"/>
          <w:sz w:val="28"/>
          <w:szCs w:val="28"/>
        </w:rPr>
        <w:tab/>
        <w:t xml:space="preserve">In view of the foregoing and taking a holistic assessment of the requirements </w:t>
      </w:r>
      <w:r w:rsidR="00FF10B4">
        <w:rPr>
          <w:rFonts w:ascii="Times New Roman" w:hAnsi="Times New Roman" w:cs="Times New Roman"/>
          <w:sz w:val="28"/>
          <w:szCs w:val="28"/>
        </w:rPr>
        <w:t xml:space="preserve">for </w:t>
      </w:r>
      <w:r>
        <w:rPr>
          <w:rFonts w:ascii="Times New Roman" w:hAnsi="Times New Roman" w:cs="Times New Roman"/>
          <w:sz w:val="28"/>
          <w:szCs w:val="28"/>
        </w:rPr>
        <w:t>temporary interdict,</w:t>
      </w:r>
      <w:r w:rsidR="00FF10B4">
        <w:rPr>
          <w:rFonts w:ascii="Times New Roman" w:hAnsi="Times New Roman" w:cs="Times New Roman"/>
          <w:sz w:val="28"/>
          <w:szCs w:val="28"/>
        </w:rPr>
        <w:t xml:space="preserve"> this is </w:t>
      </w:r>
      <w:r w:rsidR="0047199C">
        <w:rPr>
          <w:rFonts w:ascii="Times New Roman" w:hAnsi="Times New Roman" w:cs="Times New Roman"/>
          <w:sz w:val="28"/>
          <w:szCs w:val="28"/>
        </w:rPr>
        <w:t>a proper case</w:t>
      </w:r>
      <w:r w:rsidR="00FF10B4">
        <w:rPr>
          <w:rFonts w:ascii="Times New Roman" w:hAnsi="Times New Roman" w:cs="Times New Roman"/>
          <w:sz w:val="28"/>
          <w:szCs w:val="28"/>
        </w:rPr>
        <w:t xml:space="preserve"> where I </w:t>
      </w:r>
      <w:proofErr w:type="gramStart"/>
      <w:r w:rsidR="00FF10B4">
        <w:rPr>
          <w:rFonts w:ascii="Times New Roman" w:hAnsi="Times New Roman" w:cs="Times New Roman"/>
          <w:sz w:val="28"/>
          <w:szCs w:val="28"/>
        </w:rPr>
        <w:t>have to</w:t>
      </w:r>
      <w:proofErr w:type="gramEnd"/>
      <w:r w:rsidR="00FF10B4">
        <w:rPr>
          <w:rFonts w:ascii="Times New Roman" w:hAnsi="Times New Roman" w:cs="Times New Roman"/>
          <w:sz w:val="28"/>
          <w:szCs w:val="28"/>
        </w:rPr>
        <w:t xml:space="preserve"> exercise my discretion </w:t>
      </w:r>
      <w:r w:rsidR="00001B54">
        <w:rPr>
          <w:rFonts w:ascii="Times New Roman" w:hAnsi="Times New Roman" w:cs="Times New Roman"/>
          <w:sz w:val="28"/>
          <w:szCs w:val="28"/>
        </w:rPr>
        <w:t xml:space="preserve">in favour of the applicant and </w:t>
      </w:r>
      <w:r w:rsidR="00FF10B4">
        <w:rPr>
          <w:rFonts w:ascii="Times New Roman" w:hAnsi="Times New Roman" w:cs="Times New Roman"/>
          <w:sz w:val="28"/>
          <w:szCs w:val="28"/>
        </w:rPr>
        <w:t xml:space="preserve">grant </w:t>
      </w:r>
      <w:r>
        <w:rPr>
          <w:rFonts w:ascii="Times New Roman" w:hAnsi="Times New Roman" w:cs="Times New Roman"/>
          <w:sz w:val="28"/>
          <w:szCs w:val="28"/>
        </w:rPr>
        <w:t>temporary interdict</w:t>
      </w:r>
      <w:r w:rsidR="008B2C47">
        <w:rPr>
          <w:rFonts w:ascii="Times New Roman" w:hAnsi="Times New Roman" w:cs="Times New Roman"/>
          <w:sz w:val="28"/>
          <w:szCs w:val="28"/>
        </w:rPr>
        <w:t>. Doing otherwise will leave the applicant vulnerable to spoliation.</w:t>
      </w:r>
      <w:r w:rsidR="00001B54">
        <w:rPr>
          <w:rFonts w:ascii="Times New Roman" w:hAnsi="Times New Roman" w:cs="Times New Roman"/>
          <w:sz w:val="28"/>
          <w:szCs w:val="28"/>
        </w:rPr>
        <w:t xml:space="preserve"> However, </w:t>
      </w:r>
      <w:r w:rsidR="00A7163A">
        <w:rPr>
          <w:rFonts w:ascii="Times New Roman" w:hAnsi="Times New Roman" w:cs="Times New Roman"/>
          <w:sz w:val="28"/>
          <w:szCs w:val="28"/>
        </w:rPr>
        <w:t xml:space="preserve">the applicant has not quantified </w:t>
      </w:r>
      <w:r w:rsidR="0047199C">
        <w:rPr>
          <w:rFonts w:ascii="Times New Roman" w:hAnsi="Times New Roman" w:cs="Times New Roman"/>
          <w:sz w:val="28"/>
          <w:szCs w:val="28"/>
        </w:rPr>
        <w:t xml:space="preserve">its compensation </w:t>
      </w:r>
      <w:r w:rsidR="00A7163A">
        <w:rPr>
          <w:rFonts w:ascii="Times New Roman" w:hAnsi="Times New Roman" w:cs="Times New Roman"/>
          <w:sz w:val="28"/>
          <w:szCs w:val="28"/>
        </w:rPr>
        <w:t>for the improvements</w:t>
      </w:r>
      <w:r w:rsidR="0047199C">
        <w:rPr>
          <w:rFonts w:ascii="Times New Roman" w:hAnsi="Times New Roman" w:cs="Times New Roman"/>
          <w:sz w:val="28"/>
          <w:szCs w:val="28"/>
        </w:rPr>
        <w:t xml:space="preserve">. </w:t>
      </w:r>
      <w:r w:rsidR="00A7163A">
        <w:rPr>
          <w:rFonts w:ascii="Times New Roman" w:hAnsi="Times New Roman" w:cs="Times New Roman"/>
          <w:sz w:val="28"/>
          <w:szCs w:val="28"/>
        </w:rPr>
        <w:t>Thus</w:t>
      </w:r>
      <w:r w:rsidR="005D0391">
        <w:rPr>
          <w:rFonts w:ascii="Times New Roman" w:hAnsi="Times New Roman" w:cs="Times New Roman"/>
          <w:sz w:val="28"/>
          <w:szCs w:val="28"/>
        </w:rPr>
        <w:t>,</w:t>
      </w:r>
      <w:r w:rsidR="00A7163A">
        <w:rPr>
          <w:rFonts w:ascii="Times New Roman" w:hAnsi="Times New Roman" w:cs="Times New Roman"/>
          <w:sz w:val="28"/>
          <w:szCs w:val="28"/>
        </w:rPr>
        <w:t xml:space="preserve"> I cannot grant interdict against the respondent until such time that it would have paid un</w:t>
      </w:r>
      <w:r w:rsidR="000E04EC">
        <w:rPr>
          <w:rFonts w:ascii="Times New Roman" w:hAnsi="Times New Roman" w:cs="Times New Roman"/>
          <w:sz w:val="28"/>
          <w:szCs w:val="28"/>
        </w:rPr>
        <w:t xml:space="preserve">determined </w:t>
      </w:r>
      <w:r w:rsidR="000E04EC" w:rsidRPr="00D7590A">
        <w:rPr>
          <w:rFonts w:ascii="Times New Roman" w:hAnsi="Times New Roman" w:cs="Times New Roman"/>
          <w:i/>
          <w:iCs/>
          <w:sz w:val="28"/>
          <w:szCs w:val="28"/>
        </w:rPr>
        <w:t>quantum</w:t>
      </w:r>
      <w:r w:rsidR="00A7163A">
        <w:rPr>
          <w:rFonts w:ascii="Times New Roman" w:hAnsi="Times New Roman" w:cs="Times New Roman"/>
          <w:sz w:val="28"/>
          <w:szCs w:val="28"/>
        </w:rPr>
        <w:t xml:space="preserve">. </w:t>
      </w:r>
      <w:r w:rsidR="005D0391">
        <w:rPr>
          <w:rFonts w:ascii="Times New Roman" w:hAnsi="Times New Roman" w:cs="Times New Roman"/>
          <w:sz w:val="28"/>
          <w:szCs w:val="28"/>
        </w:rPr>
        <w:t>I rather interdict the respondent from taking control and possession of the premises</w:t>
      </w:r>
      <w:r w:rsidR="00D7590A">
        <w:rPr>
          <w:rFonts w:ascii="Times New Roman" w:hAnsi="Times New Roman" w:cs="Times New Roman"/>
          <w:sz w:val="28"/>
          <w:szCs w:val="28"/>
        </w:rPr>
        <w:t xml:space="preserve"> without </w:t>
      </w:r>
      <w:r w:rsidR="000E04EC">
        <w:rPr>
          <w:rFonts w:ascii="Times New Roman" w:hAnsi="Times New Roman" w:cs="Times New Roman"/>
          <w:sz w:val="28"/>
          <w:szCs w:val="28"/>
        </w:rPr>
        <w:t>follow</w:t>
      </w:r>
      <w:r w:rsidR="00D7590A">
        <w:rPr>
          <w:rFonts w:ascii="Times New Roman" w:hAnsi="Times New Roman" w:cs="Times New Roman"/>
          <w:sz w:val="28"/>
          <w:szCs w:val="28"/>
        </w:rPr>
        <w:t>ing</w:t>
      </w:r>
      <w:r w:rsidR="000E04EC">
        <w:rPr>
          <w:rFonts w:ascii="Times New Roman" w:hAnsi="Times New Roman" w:cs="Times New Roman"/>
          <w:sz w:val="28"/>
          <w:szCs w:val="28"/>
        </w:rPr>
        <w:t xml:space="preserve"> due process of law</w:t>
      </w:r>
      <w:r w:rsidR="00D7590A">
        <w:rPr>
          <w:rFonts w:ascii="Times New Roman" w:hAnsi="Times New Roman" w:cs="Times New Roman"/>
          <w:sz w:val="28"/>
          <w:szCs w:val="28"/>
        </w:rPr>
        <w:t xml:space="preserve">. </w:t>
      </w:r>
    </w:p>
    <w:p w14:paraId="318857DA" w14:textId="569F0848" w:rsidR="00D7590A" w:rsidRDefault="00D7590A" w:rsidP="003F2F8B">
      <w:pPr>
        <w:pStyle w:val="BodyText"/>
        <w:kinsoku w:val="0"/>
        <w:overflowPunct w:val="0"/>
        <w:spacing w:line="480" w:lineRule="auto"/>
        <w:ind w:left="0"/>
        <w:jc w:val="both"/>
        <w:rPr>
          <w:rFonts w:ascii="Times New Roman" w:hAnsi="Times New Roman" w:cs="Times New Roman"/>
          <w:sz w:val="28"/>
          <w:szCs w:val="28"/>
        </w:rPr>
      </w:pPr>
    </w:p>
    <w:p w14:paraId="2E0D93F0" w14:textId="300AED07" w:rsidR="00D7590A" w:rsidRDefault="00D7590A" w:rsidP="003F2F8B">
      <w:pPr>
        <w:pStyle w:val="BodyText"/>
        <w:kinsoku w:val="0"/>
        <w:overflowPunct w:val="0"/>
        <w:spacing w:line="480" w:lineRule="auto"/>
        <w:ind w:left="0"/>
        <w:jc w:val="both"/>
        <w:rPr>
          <w:rFonts w:ascii="Times New Roman" w:hAnsi="Times New Roman" w:cs="Times New Roman"/>
          <w:sz w:val="28"/>
          <w:szCs w:val="28"/>
        </w:rPr>
      </w:pPr>
      <w:r w:rsidRPr="00D7590A">
        <w:rPr>
          <w:rFonts w:ascii="Times New Roman" w:hAnsi="Times New Roman" w:cs="Times New Roman"/>
          <w:b/>
          <w:bCs/>
          <w:sz w:val="28"/>
          <w:szCs w:val="28"/>
          <w:u w:val="single"/>
        </w:rPr>
        <w:t>CONCLUSION</w:t>
      </w:r>
      <w:r>
        <w:rPr>
          <w:rFonts w:ascii="Times New Roman" w:hAnsi="Times New Roman" w:cs="Times New Roman"/>
          <w:sz w:val="28"/>
          <w:szCs w:val="28"/>
        </w:rPr>
        <w:t>:</w:t>
      </w:r>
    </w:p>
    <w:p w14:paraId="2E33E8AE" w14:textId="18722B76" w:rsidR="00D7590A" w:rsidRDefault="00D7590A" w:rsidP="003F2F8B">
      <w:pPr>
        <w:pStyle w:val="BodyText"/>
        <w:kinsoku w:val="0"/>
        <w:overflowPunct w:val="0"/>
        <w:spacing w:line="480" w:lineRule="auto"/>
        <w:ind w:left="0"/>
        <w:jc w:val="both"/>
        <w:rPr>
          <w:rFonts w:ascii="Times New Roman" w:hAnsi="Times New Roman" w:cs="Times New Roman"/>
          <w:sz w:val="28"/>
          <w:szCs w:val="28"/>
        </w:rPr>
      </w:pPr>
    </w:p>
    <w:p w14:paraId="27ADA36D" w14:textId="3028912F" w:rsidR="00E800FC" w:rsidRDefault="00D7590A" w:rsidP="006E4A16">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Pr>
          <w:rFonts w:ascii="Times New Roman" w:hAnsi="Times New Roman" w:cs="Times New Roman"/>
          <w:sz w:val="28"/>
          <w:szCs w:val="28"/>
        </w:rPr>
        <w:tab/>
        <w:t xml:space="preserve">The </w:t>
      </w:r>
      <w:r w:rsidR="003F3962">
        <w:rPr>
          <w:rFonts w:ascii="Times New Roman" w:hAnsi="Times New Roman" w:cs="Times New Roman"/>
          <w:sz w:val="28"/>
          <w:szCs w:val="28"/>
        </w:rPr>
        <w:t xml:space="preserve">applicant </w:t>
      </w:r>
      <w:r w:rsidR="00436F87">
        <w:rPr>
          <w:rFonts w:ascii="Times New Roman" w:hAnsi="Times New Roman" w:cs="Times New Roman"/>
          <w:sz w:val="28"/>
          <w:szCs w:val="28"/>
        </w:rPr>
        <w:t xml:space="preserve">wants to retain possession of the premises on the strength of a </w:t>
      </w:r>
      <w:r>
        <w:rPr>
          <w:rFonts w:ascii="Times New Roman" w:hAnsi="Times New Roman" w:cs="Times New Roman"/>
          <w:sz w:val="28"/>
          <w:szCs w:val="28"/>
        </w:rPr>
        <w:t>sublease agreement</w:t>
      </w:r>
      <w:r w:rsidR="00436F87">
        <w:rPr>
          <w:rFonts w:ascii="Times New Roman" w:hAnsi="Times New Roman" w:cs="Times New Roman"/>
          <w:sz w:val="28"/>
          <w:szCs w:val="28"/>
        </w:rPr>
        <w:t>. In the alternative</w:t>
      </w:r>
      <w:r w:rsidR="00970349">
        <w:rPr>
          <w:rFonts w:ascii="Times New Roman" w:hAnsi="Times New Roman" w:cs="Times New Roman"/>
          <w:sz w:val="28"/>
          <w:szCs w:val="28"/>
        </w:rPr>
        <w:t>,</w:t>
      </w:r>
      <w:r w:rsidR="00436F87">
        <w:rPr>
          <w:rFonts w:ascii="Times New Roman" w:hAnsi="Times New Roman" w:cs="Times New Roman"/>
          <w:sz w:val="28"/>
          <w:szCs w:val="28"/>
        </w:rPr>
        <w:t xml:space="preserve"> it argues that as a </w:t>
      </w:r>
      <w:r w:rsidR="003F3962">
        <w:rPr>
          <w:rFonts w:ascii="Times New Roman" w:hAnsi="Times New Roman" w:cs="Times New Roman"/>
          <w:sz w:val="28"/>
          <w:szCs w:val="28"/>
        </w:rPr>
        <w:t xml:space="preserve">bona fide occupier </w:t>
      </w:r>
      <w:r w:rsidR="00436F87">
        <w:rPr>
          <w:rFonts w:ascii="Times New Roman" w:hAnsi="Times New Roman" w:cs="Times New Roman"/>
          <w:sz w:val="28"/>
          <w:szCs w:val="28"/>
        </w:rPr>
        <w:t xml:space="preserve">it is </w:t>
      </w:r>
      <w:r w:rsidR="003F3962">
        <w:rPr>
          <w:rFonts w:ascii="Times New Roman" w:hAnsi="Times New Roman" w:cs="Times New Roman"/>
          <w:sz w:val="28"/>
          <w:szCs w:val="28"/>
        </w:rPr>
        <w:t>entitled to exercise lien on the premises until it is compensated for the market value of the improvements it effected</w:t>
      </w:r>
      <w:r w:rsidR="00E800FC">
        <w:rPr>
          <w:rFonts w:ascii="Times New Roman" w:hAnsi="Times New Roman" w:cs="Times New Roman"/>
          <w:sz w:val="28"/>
          <w:szCs w:val="28"/>
        </w:rPr>
        <w:t>.</w:t>
      </w:r>
      <w:r w:rsidR="003F3962">
        <w:rPr>
          <w:rFonts w:ascii="Times New Roman" w:hAnsi="Times New Roman" w:cs="Times New Roman"/>
          <w:sz w:val="28"/>
          <w:szCs w:val="28"/>
        </w:rPr>
        <w:t xml:space="preserve"> </w:t>
      </w:r>
      <w:r w:rsidR="00362EAA">
        <w:rPr>
          <w:rFonts w:ascii="Times New Roman" w:hAnsi="Times New Roman" w:cs="Times New Roman"/>
          <w:sz w:val="28"/>
          <w:szCs w:val="28"/>
        </w:rPr>
        <w:t xml:space="preserve">The agreement has not been registered </w:t>
      </w:r>
      <w:proofErr w:type="gramStart"/>
      <w:r w:rsidR="00362EAA">
        <w:rPr>
          <w:rFonts w:ascii="Times New Roman" w:hAnsi="Times New Roman" w:cs="Times New Roman"/>
          <w:sz w:val="28"/>
          <w:szCs w:val="28"/>
        </w:rPr>
        <w:t>as a result of</w:t>
      </w:r>
      <w:proofErr w:type="gramEnd"/>
      <w:r w:rsidR="00362EAA">
        <w:rPr>
          <w:rFonts w:ascii="Times New Roman" w:hAnsi="Times New Roman" w:cs="Times New Roman"/>
          <w:sz w:val="28"/>
          <w:szCs w:val="28"/>
        </w:rPr>
        <w:t xml:space="preserve"> which it is </w:t>
      </w:r>
      <w:r>
        <w:rPr>
          <w:rFonts w:ascii="Times New Roman" w:hAnsi="Times New Roman" w:cs="Times New Roman"/>
          <w:sz w:val="28"/>
          <w:szCs w:val="28"/>
        </w:rPr>
        <w:t xml:space="preserve">null and void. </w:t>
      </w:r>
      <w:r w:rsidR="00436F87">
        <w:rPr>
          <w:rFonts w:ascii="Times New Roman" w:hAnsi="Times New Roman" w:cs="Times New Roman"/>
          <w:sz w:val="28"/>
          <w:szCs w:val="28"/>
        </w:rPr>
        <w:t xml:space="preserve">It cannot be a source of rights as it </w:t>
      </w:r>
      <w:r w:rsidR="00E800FC">
        <w:rPr>
          <w:rFonts w:ascii="Times New Roman" w:hAnsi="Times New Roman" w:cs="Times New Roman"/>
          <w:sz w:val="28"/>
          <w:szCs w:val="28"/>
        </w:rPr>
        <w:t xml:space="preserve">of no force and </w:t>
      </w:r>
      <w:r w:rsidR="00E800FC">
        <w:rPr>
          <w:rFonts w:ascii="Times New Roman" w:hAnsi="Times New Roman" w:cs="Times New Roman"/>
          <w:sz w:val="28"/>
          <w:szCs w:val="28"/>
        </w:rPr>
        <w:lastRenderedPageBreak/>
        <w:t xml:space="preserve">effect by operation of law. </w:t>
      </w:r>
      <w:r>
        <w:rPr>
          <w:rFonts w:ascii="Times New Roman" w:hAnsi="Times New Roman" w:cs="Times New Roman"/>
          <w:sz w:val="28"/>
          <w:szCs w:val="28"/>
        </w:rPr>
        <w:t xml:space="preserve">Even the impugned letter purporting to terminate </w:t>
      </w:r>
      <w:r w:rsidR="006E4A16">
        <w:rPr>
          <w:rFonts w:ascii="Times New Roman" w:hAnsi="Times New Roman" w:cs="Times New Roman"/>
          <w:sz w:val="28"/>
          <w:szCs w:val="28"/>
        </w:rPr>
        <w:t>the a</w:t>
      </w:r>
      <w:r>
        <w:rPr>
          <w:rFonts w:ascii="Times New Roman" w:hAnsi="Times New Roman" w:cs="Times New Roman"/>
          <w:sz w:val="28"/>
          <w:szCs w:val="28"/>
        </w:rPr>
        <w:t xml:space="preserve">greement was misconceived. </w:t>
      </w:r>
    </w:p>
    <w:p w14:paraId="1F5691FE" w14:textId="77777777" w:rsidR="002D6DBA" w:rsidRDefault="002D6DBA" w:rsidP="006E4A16">
      <w:pPr>
        <w:pStyle w:val="BodyText"/>
        <w:kinsoku w:val="0"/>
        <w:overflowPunct w:val="0"/>
        <w:spacing w:line="480" w:lineRule="auto"/>
        <w:ind w:left="0"/>
        <w:jc w:val="both"/>
        <w:rPr>
          <w:rFonts w:ascii="Times New Roman" w:hAnsi="Times New Roman" w:cs="Times New Roman"/>
          <w:sz w:val="28"/>
          <w:szCs w:val="28"/>
        </w:rPr>
      </w:pPr>
    </w:p>
    <w:p w14:paraId="7B425B13" w14:textId="7E1FE81E" w:rsidR="006474E1" w:rsidRDefault="00E800FC" w:rsidP="006E4A16">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r>
      <w:r>
        <w:rPr>
          <w:rFonts w:ascii="Times New Roman" w:hAnsi="Times New Roman" w:cs="Times New Roman"/>
          <w:sz w:val="28"/>
          <w:szCs w:val="28"/>
        </w:rPr>
        <w:tab/>
        <w:t>Be that as it may, at the time</w:t>
      </w:r>
      <w:r w:rsidR="00436F87">
        <w:rPr>
          <w:rFonts w:ascii="Times New Roman" w:hAnsi="Times New Roman" w:cs="Times New Roman"/>
          <w:sz w:val="28"/>
          <w:szCs w:val="28"/>
        </w:rPr>
        <w:t xml:space="preserve"> the applicant </w:t>
      </w:r>
      <w:r>
        <w:rPr>
          <w:rFonts w:ascii="Times New Roman" w:hAnsi="Times New Roman" w:cs="Times New Roman"/>
          <w:sz w:val="28"/>
          <w:szCs w:val="28"/>
        </w:rPr>
        <w:t xml:space="preserve">occupied the </w:t>
      </w:r>
      <w:r w:rsidR="006E4A16">
        <w:rPr>
          <w:rFonts w:ascii="Times New Roman" w:hAnsi="Times New Roman" w:cs="Times New Roman"/>
          <w:sz w:val="28"/>
          <w:szCs w:val="28"/>
        </w:rPr>
        <w:t>premises</w:t>
      </w:r>
      <w:r>
        <w:rPr>
          <w:rFonts w:ascii="Times New Roman" w:hAnsi="Times New Roman" w:cs="Times New Roman"/>
          <w:sz w:val="28"/>
          <w:szCs w:val="28"/>
        </w:rPr>
        <w:t>,</w:t>
      </w:r>
      <w:r w:rsidR="00576DD3">
        <w:rPr>
          <w:rFonts w:ascii="Times New Roman" w:hAnsi="Times New Roman" w:cs="Times New Roman"/>
          <w:sz w:val="28"/>
          <w:szCs w:val="28"/>
        </w:rPr>
        <w:t xml:space="preserve"> it was</w:t>
      </w:r>
      <w:r w:rsidR="006E4A16">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576DD3">
        <w:rPr>
          <w:rFonts w:ascii="Times New Roman" w:hAnsi="Times New Roman" w:cs="Times New Roman"/>
          <w:sz w:val="28"/>
          <w:szCs w:val="28"/>
        </w:rPr>
        <w:t xml:space="preserve">the understanding that the agreement was going to be registered and that it was going to </w:t>
      </w:r>
      <w:r w:rsidR="006E4A16">
        <w:rPr>
          <w:rFonts w:ascii="Times New Roman" w:hAnsi="Times New Roman" w:cs="Times New Roman"/>
          <w:sz w:val="28"/>
          <w:szCs w:val="28"/>
        </w:rPr>
        <w:t xml:space="preserve">enjoy the use and occupation of the developments for 15 years. </w:t>
      </w:r>
      <w:r>
        <w:rPr>
          <w:rFonts w:ascii="Times New Roman" w:hAnsi="Times New Roman" w:cs="Times New Roman"/>
          <w:sz w:val="28"/>
          <w:szCs w:val="28"/>
        </w:rPr>
        <w:t xml:space="preserve">Therefore, the applicant is a bona fide occupier. </w:t>
      </w:r>
      <w:r w:rsidR="00436F87">
        <w:rPr>
          <w:rFonts w:ascii="Times New Roman" w:hAnsi="Times New Roman" w:cs="Times New Roman"/>
          <w:sz w:val="28"/>
          <w:szCs w:val="28"/>
        </w:rPr>
        <w:t xml:space="preserve"> It </w:t>
      </w:r>
      <w:r>
        <w:rPr>
          <w:rFonts w:ascii="Times New Roman" w:hAnsi="Times New Roman" w:cs="Times New Roman"/>
          <w:sz w:val="28"/>
          <w:szCs w:val="28"/>
        </w:rPr>
        <w:t xml:space="preserve">may have failed to substantiate its claim for </w:t>
      </w:r>
      <w:r w:rsidR="006474E1">
        <w:rPr>
          <w:rFonts w:ascii="Times New Roman" w:hAnsi="Times New Roman" w:cs="Times New Roman"/>
          <w:sz w:val="28"/>
          <w:szCs w:val="28"/>
        </w:rPr>
        <w:t>lien,</w:t>
      </w:r>
      <w:r w:rsidR="00360569">
        <w:rPr>
          <w:rFonts w:ascii="Times New Roman" w:hAnsi="Times New Roman" w:cs="Times New Roman"/>
          <w:sz w:val="28"/>
          <w:szCs w:val="28"/>
        </w:rPr>
        <w:t xml:space="preserve"> but </w:t>
      </w:r>
      <w:r w:rsidR="006567D3">
        <w:rPr>
          <w:rFonts w:ascii="Times New Roman" w:hAnsi="Times New Roman" w:cs="Times New Roman"/>
          <w:sz w:val="28"/>
          <w:szCs w:val="28"/>
        </w:rPr>
        <w:t xml:space="preserve">the respondent </w:t>
      </w:r>
      <w:proofErr w:type="gramStart"/>
      <w:r w:rsidR="006567D3">
        <w:rPr>
          <w:rFonts w:ascii="Times New Roman" w:hAnsi="Times New Roman" w:cs="Times New Roman"/>
          <w:sz w:val="28"/>
          <w:szCs w:val="28"/>
        </w:rPr>
        <w:t>has to</w:t>
      </w:r>
      <w:proofErr w:type="gramEnd"/>
      <w:r w:rsidR="00360569">
        <w:rPr>
          <w:rFonts w:ascii="Times New Roman" w:hAnsi="Times New Roman" w:cs="Times New Roman"/>
          <w:sz w:val="28"/>
          <w:szCs w:val="28"/>
        </w:rPr>
        <w:t xml:space="preserve"> follow due process to eject </w:t>
      </w:r>
      <w:r w:rsidR="006567D3">
        <w:rPr>
          <w:rFonts w:ascii="Times New Roman" w:hAnsi="Times New Roman" w:cs="Times New Roman"/>
          <w:sz w:val="28"/>
          <w:szCs w:val="28"/>
        </w:rPr>
        <w:t xml:space="preserve">it </w:t>
      </w:r>
      <w:r w:rsidR="00360569">
        <w:rPr>
          <w:rFonts w:ascii="Times New Roman" w:hAnsi="Times New Roman" w:cs="Times New Roman"/>
          <w:sz w:val="28"/>
          <w:szCs w:val="28"/>
        </w:rPr>
        <w:t>from the premises.</w:t>
      </w:r>
      <w:r w:rsidR="006474E1">
        <w:rPr>
          <w:rFonts w:ascii="Times New Roman" w:hAnsi="Times New Roman" w:cs="Times New Roman"/>
          <w:sz w:val="28"/>
          <w:szCs w:val="28"/>
        </w:rPr>
        <w:t xml:space="preserve"> Therefore, the applicant deserves protection by way of interdict to ensure that the respondent does not </w:t>
      </w:r>
      <w:r w:rsidR="00141E38">
        <w:rPr>
          <w:rFonts w:ascii="Times New Roman" w:hAnsi="Times New Roman" w:cs="Times New Roman"/>
          <w:sz w:val="28"/>
          <w:szCs w:val="28"/>
        </w:rPr>
        <w:t>take law</w:t>
      </w:r>
      <w:r w:rsidR="006474E1">
        <w:rPr>
          <w:rFonts w:ascii="Times New Roman" w:hAnsi="Times New Roman" w:cs="Times New Roman"/>
          <w:sz w:val="28"/>
          <w:szCs w:val="28"/>
        </w:rPr>
        <w:t xml:space="preserve"> into its own hands. </w:t>
      </w:r>
    </w:p>
    <w:p w14:paraId="6FFE4BD5" w14:textId="77777777" w:rsidR="006474E1" w:rsidRDefault="006474E1" w:rsidP="006E4A16">
      <w:pPr>
        <w:pStyle w:val="BodyText"/>
        <w:kinsoku w:val="0"/>
        <w:overflowPunct w:val="0"/>
        <w:spacing w:line="480" w:lineRule="auto"/>
        <w:ind w:left="0"/>
        <w:jc w:val="both"/>
        <w:rPr>
          <w:rFonts w:ascii="Times New Roman" w:hAnsi="Times New Roman" w:cs="Times New Roman"/>
          <w:sz w:val="28"/>
          <w:szCs w:val="28"/>
        </w:rPr>
      </w:pPr>
    </w:p>
    <w:p w14:paraId="53D0D415" w14:textId="754B4B18" w:rsidR="006567D3" w:rsidRDefault="006474E1" w:rsidP="006E4A16">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r>
      <w:r>
        <w:rPr>
          <w:rFonts w:ascii="Times New Roman" w:hAnsi="Times New Roman" w:cs="Times New Roman"/>
          <w:sz w:val="28"/>
          <w:szCs w:val="28"/>
        </w:rPr>
        <w:tab/>
        <w:t>Accordingly I make the following order.</w:t>
      </w:r>
    </w:p>
    <w:p w14:paraId="648CCDCE" w14:textId="08C03BDE" w:rsidR="006474E1" w:rsidRDefault="006474E1" w:rsidP="006E4A16">
      <w:pPr>
        <w:pStyle w:val="BodyText"/>
        <w:kinsoku w:val="0"/>
        <w:overflowPunct w:val="0"/>
        <w:spacing w:line="480" w:lineRule="auto"/>
        <w:ind w:left="0"/>
        <w:jc w:val="both"/>
        <w:rPr>
          <w:rFonts w:ascii="Times New Roman" w:hAnsi="Times New Roman" w:cs="Times New Roman"/>
          <w:sz w:val="28"/>
          <w:szCs w:val="28"/>
        </w:rPr>
      </w:pPr>
    </w:p>
    <w:p w14:paraId="51C579EE" w14:textId="75813ED5" w:rsidR="006474E1" w:rsidRDefault="006474E1" w:rsidP="006474E1">
      <w:pPr>
        <w:pStyle w:val="BodyText"/>
        <w:kinsoku w:val="0"/>
        <w:overflowPunct w:val="0"/>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77.1</w:t>
      </w:r>
      <w:r>
        <w:rPr>
          <w:rFonts w:ascii="Times New Roman" w:hAnsi="Times New Roman" w:cs="Times New Roman"/>
          <w:sz w:val="28"/>
          <w:szCs w:val="28"/>
        </w:rPr>
        <w:tab/>
        <w:t xml:space="preserve">The </w:t>
      </w:r>
      <w:bookmarkStart w:id="2" w:name="_Hlk127907932"/>
      <w:r>
        <w:rPr>
          <w:rFonts w:ascii="Times New Roman" w:hAnsi="Times New Roman" w:cs="Times New Roman"/>
          <w:sz w:val="28"/>
          <w:szCs w:val="28"/>
        </w:rPr>
        <w:t>respondent is restrained and interdicted from interfering with the applicant possession o</w:t>
      </w:r>
      <w:r w:rsidR="00AE7935">
        <w:rPr>
          <w:rFonts w:ascii="Times New Roman" w:hAnsi="Times New Roman" w:cs="Times New Roman"/>
          <w:sz w:val="28"/>
          <w:szCs w:val="28"/>
        </w:rPr>
        <w:t>n</w:t>
      </w:r>
      <w:r>
        <w:rPr>
          <w:rFonts w:ascii="Times New Roman" w:hAnsi="Times New Roman" w:cs="Times New Roman"/>
          <w:sz w:val="28"/>
          <w:szCs w:val="28"/>
        </w:rPr>
        <w:t xml:space="preserve"> portion B of the business premises knows as </w:t>
      </w:r>
      <w:proofErr w:type="spellStart"/>
      <w:r>
        <w:rPr>
          <w:rFonts w:ascii="Times New Roman" w:hAnsi="Times New Roman" w:cs="Times New Roman"/>
          <w:sz w:val="28"/>
          <w:szCs w:val="28"/>
        </w:rPr>
        <w:t>Litjotjela</w:t>
      </w:r>
      <w:proofErr w:type="spellEnd"/>
      <w:r>
        <w:rPr>
          <w:rFonts w:ascii="Times New Roman" w:hAnsi="Times New Roman" w:cs="Times New Roman"/>
          <w:sz w:val="28"/>
          <w:szCs w:val="28"/>
        </w:rPr>
        <w:t xml:space="preserve"> Mall on Plot No 23123 – 214, situate at Seretse Khama Road Maputsoe in the district of </w:t>
      </w:r>
      <w:proofErr w:type="spellStart"/>
      <w:r>
        <w:rPr>
          <w:rFonts w:ascii="Times New Roman" w:hAnsi="Times New Roman" w:cs="Times New Roman"/>
          <w:sz w:val="28"/>
          <w:szCs w:val="28"/>
        </w:rPr>
        <w:t>Leribe</w:t>
      </w:r>
      <w:proofErr w:type="spellEnd"/>
      <w:r>
        <w:rPr>
          <w:rFonts w:ascii="Times New Roman" w:hAnsi="Times New Roman" w:cs="Times New Roman"/>
          <w:sz w:val="28"/>
          <w:szCs w:val="28"/>
        </w:rPr>
        <w:t xml:space="preserve"> unless it is by due process of </w:t>
      </w:r>
      <w:proofErr w:type="gramStart"/>
      <w:r>
        <w:rPr>
          <w:rFonts w:ascii="Times New Roman" w:hAnsi="Times New Roman" w:cs="Times New Roman"/>
          <w:sz w:val="28"/>
          <w:szCs w:val="28"/>
        </w:rPr>
        <w:t>law;</w:t>
      </w:r>
      <w:proofErr w:type="gramEnd"/>
      <w:r>
        <w:rPr>
          <w:rFonts w:ascii="Times New Roman" w:hAnsi="Times New Roman" w:cs="Times New Roman"/>
          <w:sz w:val="28"/>
          <w:szCs w:val="28"/>
        </w:rPr>
        <w:t xml:space="preserve"> </w:t>
      </w:r>
      <w:bookmarkEnd w:id="2"/>
    </w:p>
    <w:p w14:paraId="3D368145" w14:textId="6F0A183E" w:rsidR="00AE7935" w:rsidRDefault="00AE7935" w:rsidP="006474E1">
      <w:pPr>
        <w:pStyle w:val="BodyText"/>
        <w:kinsoku w:val="0"/>
        <w:overflowPunct w:val="0"/>
        <w:spacing w:line="480" w:lineRule="auto"/>
        <w:ind w:left="2160" w:hanging="720"/>
        <w:jc w:val="both"/>
        <w:rPr>
          <w:rFonts w:ascii="Times New Roman" w:hAnsi="Times New Roman" w:cs="Times New Roman"/>
          <w:sz w:val="28"/>
          <w:szCs w:val="28"/>
        </w:rPr>
      </w:pPr>
    </w:p>
    <w:p w14:paraId="7C8D52BB" w14:textId="77777777" w:rsidR="002D574C" w:rsidRDefault="002D574C" w:rsidP="006474E1">
      <w:pPr>
        <w:pStyle w:val="BodyText"/>
        <w:kinsoku w:val="0"/>
        <w:overflowPunct w:val="0"/>
        <w:spacing w:line="480" w:lineRule="auto"/>
        <w:ind w:left="2160" w:hanging="720"/>
        <w:jc w:val="both"/>
        <w:rPr>
          <w:rFonts w:ascii="Times New Roman" w:hAnsi="Times New Roman" w:cs="Times New Roman"/>
          <w:sz w:val="28"/>
          <w:szCs w:val="28"/>
        </w:rPr>
      </w:pPr>
    </w:p>
    <w:p w14:paraId="5AFB6776" w14:textId="77777777" w:rsidR="002D574C" w:rsidRDefault="002D574C" w:rsidP="006474E1">
      <w:pPr>
        <w:pStyle w:val="BodyText"/>
        <w:kinsoku w:val="0"/>
        <w:overflowPunct w:val="0"/>
        <w:spacing w:line="480" w:lineRule="auto"/>
        <w:ind w:left="2160" w:hanging="720"/>
        <w:jc w:val="both"/>
        <w:rPr>
          <w:rFonts w:ascii="Times New Roman" w:hAnsi="Times New Roman" w:cs="Times New Roman"/>
          <w:sz w:val="28"/>
          <w:szCs w:val="28"/>
        </w:rPr>
      </w:pPr>
    </w:p>
    <w:p w14:paraId="7150FD1A" w14:textId="2A431759" w:rsidR="00AE7935" w:rsidRDefault="00AE7935" w:rsidP="006474E1">
      <w:pPr>
        <w:pStyle w:val="BodyText"/>
        <w:kinsoku w:val="0"/>
        <w:overflowPunct w:val="0"/>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77.2</w:t>
      </w:r>
      <w:r>
        <w:rPr>
          <w:rFonts w:ascii="Times New Roman" w:hAnsi="Times New Roman" w:cs="Times New Roman"/>
          <w:sz w:val="28"/>
          <w:szCs w:val="28"/>
        </w:rPr>
        <w:tab/>
        <w:t xml:space="preserve">The respondent is restrained and interdicted from interfering </w:t>
      </w:r>
      <w:r>
        <w:rPr>
          <w:rFonts w:ascii="Times New Roman" w:hAnsi="Times New Roman" w:cs="Times New Roman"/>
          <w:sz w:val="28"/>
          <w:szCs w:val="28"/>
        </w:rPr>
        <w:lastRenderedPageBreak/>
        <w:t xml:space="preserve">with the applicant’s tenants on portion B of the business premises knows as </w:t>
      </w:r>
      <w:proofErr w:type="spellStart"/>
      <w:r>
        <w:rPr>
          <w:rFonts w:ascii="Times New Roman" w:hAnsi="Times New Roman" w:cs="Times New Roman"/>
          <w:sz w:val="28"/>
          <w:szCs w:val="28"/>
        </w:rPr>
        <w:t>Litjotjela</w:t>
      </w:r>
      <w:proofErr w:type="spellEnd"/>
      <w:r>
        <w:rPr>
          <w:rFonts w:ascii="Times New Roman" w:hAnsi="Times New Roman" w:cs="Times New Roman"/>
          <w:sz w:val="28"/>
          <w:szCs w:val="28"/>
        </w:rPr>
        <w:t xml:space="preserve"> Mall on Plot No 23123 – 214, situate at Seretse Khama Road Maputsoe in the district of </w:t>
      </w:r>
      <w:proofErr w:type="spellStart"/>
      <w:r>
        <w:rPr>
          <w:rFonts w:ascii="Times New Roman" w:hAnsi="Times New Roman" w:cs="Times New Roman"/>
          <w:sz w:val="28"/>
          <w:szCs w:val="28"/>
        </w:rPr>
        <w:t>Leribe</w:t>
      </w:r>
      <w:proofErr w:type="spellEnd"/>
      <w:r>
        <w:rPr>
          <w:rFonts w:ascii="Times New Roman" w:hAnsi="Times New Roman" w:cs="Times New Roman"/>
          <w:sz w:val="28"/>
          <w:szCs w:val="28"/>
        </w:rPr>
        <w:t xml:space="preserve"> unless it is by due process </w:t>
      </w:r>
      <w:r w:rsidR="00D95038">
        <w:rPr>
          <w:rFonts w:ascii="Times New Roman" w:hAnsi="Times New Roman" w:cs="Times New Roman"/>
          <w:sz w:val="28"/>
          <w:szCs w:val="28"/>
        </w:rPr>
        <w:t xml:space="preserve">of </w:t>
      </w:r>
      <w:proofErr w:type="gramStart"/>
      <w:r w:rsidR="00D95038">
        <w:rPr>
          <w:rFonts w:ascii="Times New Roman" w:hAnsi="Times New Roman" w:cs="Times New Roman"/>
          <w:sz w:val="28"/>
          <w:szCs w:val="28"/>
        </w:rPr>
        <w:t>law</w:t>
      </w:r>
      <w:r>
        <w:rPr>
          <w:rFonts w:ascii="Times New Roman" w:hAnsi="Times New Roman" w:cs="Times New Roman"/>
          <w:sz w:val="28"/>
          <w:szCs w:val="28"/>
        </w:rPr>
        <w:t>;</w:t>
      </w:r>
      <w:proofErr w:type="gramEnd"/>
    </w:p>
    <w:p w14:paraId="32BB4A1A" w14:textId="77777777" w:rsidR="002D6DBA" w:rsidRDefault="002D6DBA" w:rsidP="006474E1">
      <w:pPr>
        <w:pStyle w:val="BodyText"/>
        <w:kinsoku w:val="0"/>
        <w:overflowPunct w:val="0"/>
        <w:spacing w:line="480" w:lineRule="auto"/>
        <w:ind w:left="2160" w:hanging="720"/>
        <w:jc w:val="both"/>
        <w:rPr>
          <w:rFonts w:ascii="Times New Roman" w:hAnsi="Times New Roman" w:cs="Times New Roman"/>
          <w:sz w:val="28"/>
          <w:szCs w:val="28"/>
        </w:rPr>
      </w:pPr>
    </w:p>
    <w:p w14:paraId="19146E0D" w14:textId="77777777" w:rsidR="00B01B46" w:rsidRDefault="00AE7935" w:rsidP="006474E1">
      <w:pPr>
        <w:pStyle w:val="BodyText"/>
        <w:kinsoku w:val="0"/>
        <w:overflowPunct w:val="0"/>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77.3</w:t>
      </w:r>
      <w:r>
        <w:rPr>
          <w:rFonts w:ascii="Times New Roman" w:hAnsi="Times New Roman" w:cs="Times New Roman"/>
          <w:sz w:val="28"/>
          <w:szCs w:val="28"/>
        </w:rPr>
        <w:tab/>
        <w:t>The respondent shall pay costs of this application at the ordinary scale.</w:t>
      </w:r>
    </w:p>
    <w:p w14:paraId="73458DF7" w14:textId="77777777" w:rsidR="00B01B46" w:rsidRDefault="00B01B46" w:rsidP="006474E1">
      <w:pPr>
        <w:pStyle w:val="BodyText"/>
        <w:kinsoku w:val="0"/>
        <w:overflowPunct w:val="0"/>
        <w:spacing w:line="480" w:lineRule="auto"/>
        <w:ind w:left="2160" w:hanging="720"/>
        <w:jc w:val="both"/>
        <w:rPr>
          <w:rFonts w:ascii="Times New Roman" w:hAnsi="Times New Roman" w:cs="Times New Roman"/>
          <w:sz w:val="28"/>
          <w:szCs w:val="28"/>
        </w:rPr>
      </w:pPr>
    </w:p>
    <w:p w14:paraId="27CB8D2E" w14:textId="77777777" w:rsidR="00B01B46" w:rsidRDefault="00B01B46" w:rsidP="00B01B46"/>
    <w:p w14:paraId="46F3EFE8" w14:textId="77777777" w:rsidR="00B01B46" w:rsidRDefault="00B01B46" w:rsidP="00B01B46">
      <w:pPr>
        <w:spacing w:after="0" w:line="240" w:lineRule="auto"/>
        <w:jc w:val="center"/>
        <w:rPr>
          <w:rFonts w:ascii="Times New Roman" w:hAnsi="Times New Roman"/>
          <w:color w:val="0E101A"/>
          <w:sz w:val="28"/>
          <w:szCs w:val="28"/>
        </w:rPr>
      </w:pPr>
    </w:p>
    <w:p w14:paraId="17477B17" w14:textId="77777777" w:rsidR="00B01B46" w:rsidRDefault="00B01B46" w:rsidP="00B01B46">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_____________________</w:t>
      </w:r>
    </w:p>
    <w:p w14:paraId="2C49D2BC" w14:textId="77777777" w:rsidR="00B01B46" w:rsidRDefault="00B01B46" w:rsidP="00B01B46">
      <w:pPr>
        <w:spacing w:after="0" w:line="240" w:lineRule="auto"/>
        <w:jc w:val="center"/>
        <w:rPr>
          <w:rFonts w:ascii="Times New Roman" w:hAnsi="Times New Roman"/>
          <w:b/>
          <w:bCs/>
          <w:color w:val="0E101A"/>
          <w:sz w:val="28"/>
          <w:szCs w:val="28"/>
        </w:rPr>
      </w:pPr>
      <w:r>
        <w:rPr>
          <w:rFonts w:ascii="Times New Roman" w:hAnsi="Times New Roman"/>
          <w:b/>
          <w:bCs/>
          <w:color w:val="0E101A"/>
          <w:sz w:val="28"/>
          <w:szCs w:val="28"/>
        </w:rPr>
        <w:t>A.R. MATHABA J</w:t>
      </w:r>
    </w:p>
    <w:p w14:paraId="272644AC" w14:textId="77777777" w:rsidR="00B01B46" w:rsidRDefault="00B01B46" w:rsidP="00B01B46">
      <w:pPr>
        <w:spacing w:after="0" w:line="240" w:lineRule="auto"/>
        <w:jc w:val="center"/>
        <w:rPr>
          <w:rFonts w:ascii="Times New Roman" w:hAnsi="Times New Roman"/>
          <w:color w:val="0E101A"/>
          <w:sz w:val="28"/>
          <w:szCs w:val="28"/>
        </w:rPr>
      </w:pPr>
      <w:r>
        <w:rPr>
          <w:rFonts w:ascii="Times New Roman" w:hAnsi="Times New Roman"/>
          <w:color w:val="0E101A"/>
          <w:sz w:val="28"/>
          <w:szCs w:val="28"/>
        </w:rPr>
        <w:t>Judge of the High Court</w:t>
      </w:r>
    </w:p>
    <w:p w14:paraId="0225542D" w14:textId="77777777" w:rsidR="00B01B46" w:rsidRDefault="00B01B46" w:rsidP="00B01B46">
      <w:pPr>
        <w:spacing w:after="0" w:line="240" w:lineRule="auto"/>
        <w:jc w:val="center"/>
        <w:rPr>
          <w:rFonts w:ascii="Times New Roman" w:hAnsi="Times New Roman"/>
          <w:color w:val="0E101A"/>
          <w:sz w:val="28"/>
          <w:szCs w:val="28"/>
        </w:rPr>
      </w:pPr>
    </w:p>
    <w:p w14:paraId="6D1B0615" w14:textId="77777777" w:rsidR="00B01B46" w:rsidRDefault="00B01B46" w:rsidP="00B01B46">
      <w:pPr>
        <w:spacing w:after="0" w:line="240" w:lineRule="auto"/>
        <w:jc w:val="both"/>
        <w:rPr>
          <w:rFonts w:ascii="Times New Roman" w:hAnsi="Times New Roman"/>
          <w:strike/>
          <w:color w:val="0E101A"/>
          <w:sz w:val="28"/>
          <w:szCs w:val="28"/>
        </w:rPr>
      </w:pPr>
    </w:p>
    <w:p w14:paraId="40C53543" w14:textId="77777777" w:rsidR="00B01B46" w:rsidRDefault="00B01B46" w:rsidP="00B01B46"/>
    <w:p w14:paraId="68992FD1" w14:textId="77777777" w:rsidR="00B01B46" w:rsidRDefault="00B01B46" w:rsidP="00B01B46"/>
    <w:p w14:paraId="57CC5504" w14:textId="37A25317" w:rsidR="00B01B46" w:rsidRPr="00373415" w:rsidRDefault="00B01B46" w:rsidP="00B01B46">
      <w:pPr>
        <w:spacing w:after="0" w:line="360" w:lineRule="auto"/>
        <w:rPr>
          <w:rFonts w:ascii="Times New Roman" w:hAnsi="Times New Roman" w:cs="Times New Roman"/>
          <w:sz w:val="28"/>
          <w:szCs w:val="28"/>
        </w:rPr>
      </w:pPr>
      <w:r w:rsidRPr="00373415">
        <w:rPr>
          <w:rFonts w:ascii="Times New Roman" w:hAnsi="Times New Roman" w:cs="Times New Roman"/>
          <w:sz w:val="28"/>
          <w:szCs w:val="28"/>
        </w:rPr>
        <w:t>For the Plaintiff:</w:t>
      </w:r>
      <w:r w:rsidRPr="00373415">
        <w:rPr>
          <w:rFonts w:ascii="Times New Roman" w:hAnsi="Times New Roman" w:cs="Times New Roman"/>
          <w:sz w:val="28"/>
          <w:szCs w:val="28"/>
        </w:rPr>
        <w:tab/>
      </w:r>
      <w:r w:rsidRPr="00373415">
        <w:rPr>
          <w:rFonts w:ascii="Times New Roman" w:hAnsi="Times New Roman" w:cs="Times New Roman"/>
          <w:sz w:val="28"/>
          <w:szCs w:val="28"/>
        </w:rPr>
        <w:tab/>
      </w:r>
      <w:r w:rsidR="00183DC1">
        <w:rPr>
          <w:rFonts w:ascii="Times New Roman" w:hAnsi="Times New Roman" w:cs="Times New Roman"/>
          <w:sz w:val="28"/>
          <w:szCs w:val="28"/>
        </w:rPr>
        <w:t xml:space="preserve">Mr. </w:t>
      </w:r>
      <w:r w:rsidR="00D86AE7">
        <w:rPr>
          <w:rFonts w:ascii="Times New Roman" w:hAnsi="Times New Roman" w:cs="Times New Roman"/>
          <w:sz w:val="28"/>
          <w:szCs w:val="28"/>
        </w:rPr>
        <w:t xml:space="preserve">L. </w:t>
      </w:r>
      <w:r w:rsidR="00183DC1">
        <w:rPr>
          <w:rFonts w:ascii="Times New Roman" w:hAnsi="Times New Roman" w:cs="Times New Roman"/>
          <w:sz w:val="28"/>
          <w:szCs w:val="28"/>
        </w:rPr>
        <w:t>Masoeu</w:t>
      </w:r>
    </w:p>
    <w:p w14:paraId="54E67077" w14:textId="11572798" w:rsidR="00B01B46" w:rsidRPr="00373415" w:rsidRDefault="00B01B46" w:rsidP="00B01B46">
      <w:pPr>
        <w:spacing w:after="0" w:line="360" w:lineRule="auto"/>
        <w:rPr>
          <w:rFonts w:ascii="Times New Roman" w:hAnsi="Times New Roman" w:cs="Times New Roman"/>
          <w:sz w:val="28"/>
          <w:szCs w:val="28"/>
        </w:rPr>
      </w:pPr>
      <w:r w:rsidRPr="00373415">
        <w:rPr>
          <w:rFonts w:ascii="Times New Roman" w:hAnsi="Times New Roman" w:cs="Times New Roman"/>
          <w:sz w:val="28"/>
          <w:szCs w:val="28"/>
        </w:rPr>
        <w:t>For the Defendant:</w:t>
      </w:r>
      <w:r w:rsidRPr="00373415">
        <w:rPr>
          <w:rFonts w:ascii="Times New Roman" w:hAnsi="Times New Roman" w:cs="Times New Roman"/>
          <w:sz w:val="28"/>
          <w:szCs w:val="28"/>
        </w:rPr>
        <w:tab/>
      </w:r>
      <w:r w:rsidR="00373415">
        <w:rPr>
          <w:rFonts w:ascii="Times New Roman" w:hAnsi="Times New Roman" w:cs="Times New Roman"/>
          <w:sz w:val="28"/>
          <w:szCs w:val="28"/>
        </w:rPr>
        <w:tab/>
      </w:r>
      <w:r w:rsidR="005D492C">
        <w:rPr>
          <w:rFonts w:ascii="Times New Roman" w:hAnsi="Times New Roman" w:cs="Times New Roman"/>
          <w:sz w:val="28"/>
          <w:szCs w:val="28"/>
        </w:rPr>
        <w:t xml:space="preserve">Mr. M. G. </w:t>
      </w:r>
      <w:r w:rsidRPr="00373415">
        <w:rPr>
          <w:rFonts w:ascii="Times New Roman" w:hAnsi="Times New Roman" w:cs="Times New Roman"/>
          <w:sz w:val="28"/>
          <w:szCs w:val="28"/>
        </w:rPr>
        <w:t>Makara</w:t>
      </w:r>
    </w:p>
    <w:p w14:paraId="2337E6B4" w14:textId="4E6433DE" w:rsidR="00AE7935" w:rsidRPr="00373415" w:rsidRDefault="00AE7935" w:rsidP="006474E1">
      <w:pPr>
        <w:pStyle w:val="BodyText"/>
        <w:kinsoku w:val="0"/>
        <w:overflowPunct w:val="0"/>
        <w:spacing w:line="480" w:lineRule="auto"/>
        <w:ind w:left="2160" w:hanging="720"/>
        <w:jc w:val="both"/>
        <w:rPr>
          <w:rFonts w:ascii="Times New Roman" w:hAnsi="Times New Roman" w:cs="Times New Roman"/>
          <w:sz w:val="28"/>
          <w:szCs w:val="28"/>
        </w:rPr>
      </w:pPr>
      <w:r w:rsidRPr="00373415">
        <w:rPr>
          <w:rFonts w:ascii="Times New Roman" w:hAnsi="Times New Roman" w:cs="Times New Roman"/>
          <w:sz w:val="28"/>
          <w:szCs w:val="28"/>
        </w:rPr>
        <w:t xml:space="preserve"> </w:t>
      </w:r>
    </w:p>
    <w:p w14:paraId="69B792A1" w14:textId="77777777" w:rsidR="00AE7935" w:rsidRDefault="00AE7935" w:rsidP="006474E1">
      <w:pPr>
        <w:pStyle w:val="BodyText"/>
        <w:kinsoku w:val="0"/>
        <w:overflowPunct w:val="0"/>
        <w:spacing w:line="480" w:lineRule="auto"/>
        <w:ind w:left="2160" w:hanging="720"/>
        <w:jc w:val="both"/>
        <w:rPr>
          <w:rFonts w:ascii="Times New Roman" w:hAnsi="Times New Roman" w:cs="Times New Roman"/>
          <w:sz w:val="28"/>
          <w:szCs w:val="28"/>
        </w:rPr>
      </w:pPr>
    </w:p>
    <w:p w14:paraId="7E878397" w14:textId="0E70BE41" w:rsidR="006E4A16" w:rsidRDefault="006E4A16" w:rsidP="006E4A16">
      <w:pPr>
        <w:pStyle w:val="BodyText"/>
        <w:kinsoku w:val="0"/>
        <w:overflowPunct w:val="0"/>
        <w:spacing w:line="480" w:lineRule="auto"/>
        <w:ind w:left="0"/>
        <w:jc w:val="both"/>
        <w:rPr>
          <w:rFonts w:ascii="Times New Roman" w:hAnsi="Times New Roman" w:cs="Times New Roman"/>
          <w:sz w:val="28"/>
          <w:szCs w:val="28"/>
        </w:rPr>
      </w:pPr>
    </w:p>
    <w:p w14:paraId="5CEA64FB" w14:textId="5CF3D804" w:rsidR="00A7163A" w:rsidRDefault="00D7590A" w:rsidP="003F2F8B">
      <w:pPr>
        <w:pStyle w:val="BodyText"/>
        <w:kinsoku w:val="0"/>
        <w:overflowPunct w:val="0"/>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sectPr w:rsidR="00A7163A" w:rsidSect="00820BF8">
      <w:footerReference w:type="default" r:id="rId8"/>
      <w:pgSz w:w="12220" w:h="16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F28D" w14:textId="77777777" w:rsidR="00776731" w:rsidRDefault="00776731" w:rsidP="00FC1A42">
      <w:pPr>
        <w:spacing w:after="0" w:line="240" w:lineRule="auto"/>
      </w:pPr>
      <w:r>
        <w:separator/>
      </w:r>
    </w:p>
  </w:endnote>
  <w:endnote w:type="continuationSeparator" w:id="0">
    <w:p w14:paraId="00C80923" w14:textId="77777777" w:rsidR="00776731" w:rsidRDefault="00776731" w:rsidP="00FC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04393"/>
      <w:docPartObj>
        <w:docPartGallery w:val="Page Numbers (Bottom of Page)"/>
        <w:docPartUnique/>
      </w:docPartObj>
    </w:sdtPr>
    <w:sdtEndPr>
      <w:rPr>
        <w:noProof/>
      </w:rPr>
    </w:sdtEndPr>
    <w:sdtContent>
      <w:p w14:paraId="7E19B923" w14:textId="2FDF84F1" w:rsidR="00587BB4" w:rsidRDefault="00587BB4">
        <w:pPr>
          <w:pStyle w:val="Footer"/>
          <w:jc w:val="right"/>
        </w:pPr>
        <w:r>
          <w:fldChar w:fldCharType="begin"/>
        </w:r>
        <w:r>
          <w:instrText xml:space="preserve"> PAGE   \* MERGEFORMAT </w:instrText>
        </w:r>
        <w:r>
          <w:fldChar w:fldCharType="separate"/>
        </w:r>
        <w:r w:rsidR="008B3BD6">
          <w:rPr>
            <w:noProof/>
          </w:rPr>
          <w:t>41</w:t>
        </w:r>
        <w:r>
          <w:rPr>
            <w:noProof/>
          </w:rPr>
          <w:fldChar w:fldCharType="end"/>
        </w:r>
      </w:p>
    </w:sdtContent>
  </w:sdt>
  <w:p w14:paraId="7B8A894C" w14:textId="77777777" w:rsidR="00587BB4" w:rsidRDefault="0058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9055" w14:textId="77777777" w:rsidR="00776731" w:rsidRDefault="00776731" w:rsidP="00FC1A42">
      <w:pPr>
        <w:spacing w:after="0" w:line="240" w:lineRule="auto"/>
      </w:pPr>
      <w:r>
        <w:separator/>
      </w:r>
    </w:p>
  </w:footnote>
  <w:footnote w:type="continuationSeparator" w:id="0">
    <w:p w14:paraId="1D536E0D" w14:textId="77777777" w:rsidR="00776731" w:rsidRDefault="00776731" w:rsidP="00FC1A42">
      <w:pPr>
        <w:spacing w:after="0" w:line="240" w:lineRule="auto"/>
      </w:pPr>
      <w:r>
        <w:continuationSeparator/>
      </w:r>
    </w:p>
  </w:footnote>
  <w:footnote w:id="1">
    <w:p w14:paraId="5107009C" w14:textId="334748AC" w:rsidR="00587BB4" w:rsidRDefault="00587BB4" w:rsidP="002D00A8">
      <w:pPr>
        <w:pStyle w:val="FootnoteText"/>
      </w:pPr>
      <w:r>
        <w:rPr>
          <w:rStyle w:val="FootnoteReference"/>
        </w:rPr>
        <w:footnoteRef/>
      </w:r>
      <w:r>
        <w:t xml:space="preserve"> (997/15) [2017] ZASCA 37 929 March 2017) para 24</w:t>
      </w:r>
    </w:p>
  </w:footnote>
  <w:footnote w:id="2">
    <w:p w14:paraId="255F99ED" w14:textId="77777777" w:rsidR="00587BB4" w:rsidRDefault="00587BB4" w:rsidP="003F66D7">
      <w:pPr>
        <w:pStyle w:val="FootnoteText"/>
      </w:pPr>
      <w:r>
        <w:rPr>
          <w:rStyle w:val="FootnoteReference"/>
        </w:rPr>
        <w:footnoteRef/>
      </w:r>
      <w:r>
        <w:t xml:space="preserve"> (C of A (CIV) 64/2011 [2012] LSCA 26 (27 April 2012) para 18</w:t>
      </w:r>
    </w:p>
  </w:footnote>
  <w:footnote w:id="3">
    <w:p w14:paraId="4E691768" w14:textId="2FE5EED1" w:rsidR="00587BB4" w:rsidRDefault="00587BB4">
      <w:pPr>
        <w:pStyle w:val="FootnoteText"/>
      </w:pPr>
      <w:r>
        <w:rPr>
          <w:rStyle w:val="FootnoteReference"/>
        </w:rPr>
        <w:footnoteRef/>
      </w:r>
      <w:r>
        <w:t xml:space="preserve"> 1932 AD 165 at 173 - 4</w:t>
      </w:r>
    </w:p>
  </w:footnote>
  <w:footnote w:id="4">
    <w:p w14:paraId="4871C67C" w14:textId="6972C976" w:rsidR="00587BB4" w:rsidRDefault="00587BB4">
      <w:pPr>
        <w:pStyle w:val="FootnoteText"/>
      </w:pPr>
      <w:r>
        <w:rPr>
          <w:rStyle w:val="FootnoteReference"/>
        </w:rPr>
        <w:footnoteRef/>
      </w:r>
      <w:r>
        <w:t xml:space="preserve"> (C of A (CIV) 5/13) [2019] LSCA 30 (31 May 2019) para 3</w:t>
      </w:r>
    </w:p>
  </w:footnote>
  <w:footnote w:id="5">
    <w:p w14:paraId="55081B95" w14:textId="795427F6" w:rsidR="00587BB4" w:rsidRDefault="00587BB4">
      <w:pPr>
        <w:pStyle w:val="FootnoteText"/>
      </w:pPr>
      <w:r>
        <w:rPr>
          <w:rStyle w:val="FootnoteReference"/>
        </w:rPr>
        <w:footnoteRef/>
      </w:r>
      <w:r>
        <w:t xml:space="preserve"> C of A (CIV) No.83/2019 para 30 - 31</w:t>
      </w:r>
    </w:p>
  </w:footnote>
  <w:footnote w:id="6">
    <w:p w14:paraId="358ACBCB" w14:textId="742D0EAD" w:rsidR="00587BB4" w:rsidRDefault="00587BB4">
      <w:pPr>
        <w:pStyle w:val="FootnoteText"/>
      </w:pPr>
      <w:r>
        <w:rPr>
          <w:rStyle w:val="FootnoteReference"/>
        </w:rPr>
        <w:footnoteRef/>
      </w:r>
      <w:r>
        <w:t xml:space="preserve"> [2022] LSHC 166 Comm. (18 August 2022)</w:t>
      </w:r>
    </w:p>
  </w:footnote>
  <w:footnote w:id="7">
    <w:p w14:paraId="37FB949F" w14:textId="57235A86" w:rsidR="00587BB4" w:rsidRDefault="00587BB4">
      <w:pPr>
        <w:pStyle w:val="FootnoteText"/>
      </w:pPr>
      <w:r>
        <w:rPr>
          <w:rStyle w:val="FootnoteReference"/>
        </w:rPr>
        <w:footnoteRef/>
      </w:r>
      <w:r>
        <w:t xml:space="preserve"> C of A (CIV) No. 43/2017</w:t>
      </w:r>
    </w:p>
  </w:footnote>
  <w:footnote w:id="8">
    <w:p w14:paraId="229E81EE" w14:textId="6CC0C04B" w:rsidR="00587BB4" w:rsidRDefault="00587BB4">
      <w:pPr>
        <w:pStyle w:val="FootnoteText"/>
      </w:pPr>
      <w:r>
        <w:rPr>
          <w:rStyle w:val="FootnoteReference"/>
        </w:rPr>
        <w:footnoteRef/>
      </w:r>
      <w:r>
        <w:t xml:space="preserve"> Pleadings, page 43, para 2.3</w:t>
      </w:r>
    </w:p>
  </w:footnote>
  <w:footnote w:id="9">
    <w:p w14:paraId="4662AE32" w14:textId="6E448CC1" w:rsidR="00587BB4" w:rsidRDefault="00587BB4">
      <w:pPr>
        <w:pStyle w:val="FootnoteText"/>
      </w:pPr>
      <w:r>
        <w:rPr>
          <w:rStyle w:val="FootnoteReference"/>
        </w:rPr>
        <w:footnoteRef/>
      </w:r>
      <w:r>
        <w:t xml:space="preserve"> Pleadings, page 12 para 6.5 and page 52 para 5</w:t>
      </w:r>
    </w:p>
  </w:footnote>
  <w:footnote w:id="10">
    <w:p w14:paraId="2BD1032A" w14:textId="21A193C6" w:rsidR="00587BB4" w:rsidRDefault="00587BB4">
      <w:pPr>
        <w:pStyle w:val="FootnoteText"/>
      </w:pPr>
      <w:r>
        <w:rPr>
          <w:rStyle w:val="FootnoteReference"/>
        </w:rPr>
        <w:footnoteRef/>
      </w:r>
      <w:r>
        <w:t xml:space="preserve"> Pleadings, page 14 para 8.2 and page 36</w:t>
      </w:r>
    </w:p>
  </w:footnote>
  <w:footnote w:id="11">
    <w:p w14:paraId="293F17D6" w14:textId="15A7CD7C" w:rsidR="00587BB4" w:rsidRDefault="00587BB4">
      <w:pPr>
        <w:pStyle w:val="FootnoteText"/>
      </w:pPr>
      <w:r>
        <w:rPr>
          <w:rStyle w:val="FootnoteReference"/>
        </w:rPr>
        <w:footnoteRef/>
      </w:r>
      <w:r>
        <w:t xml:space="preserve"> Pleadings, page 44, para 2.7</w:t>
      </w:r>
    </w:p>
  </w:footnote>
  <w:footnote w:id="12">
    <w:p w14:paraId="7C41188B" w14:textId="268B7B11" w:rsidR="00587BB4" w:rsidRDefault="00587BB4">
      <w:pPr>
        <w:pStyle w:val="FootnoteText"/>
      </w:pPr>
      <w:r>
        <w:rPr>
          <w:rStyle w:val="FootnoteReference"/>
        </w:rPr>
        <w:footnoteRef/>
      </w:r>
      <w:r>
        <w:t xml:space="preserve"> Pleadings, page 4, prayer (d) and (e) and page 16, prayer 9</w:t>
      </w:r>
    </w:p>
  </w:footnote>
  <w:footnote w:id="13">
    <w:p w14:paraId="4E4C0350" w14:textId="568BA749" w:rsidR="00587BB4" w:rsidRDefault="00587BB4" w:rsidP="00DB1BE5">
      <w:pPr>
        <w:pStyle w:val="FootnoteText"/>
      </w:pPr>
      <w:r>
        <w:rPr>
          <w:rStyle w:val="FootnoteReference"/>
        </w:rPr>
        <w:footnoteRef/>
      </w:r>
      <w:r>
        <w:t xml:space="preserve"> 1997(1) SA 646 at 652 C</w:t>
      </w:r>
    </w:p>
  </w:footnote>
  <w:footnote w:id="14">
    <w:p w14:paraId="6B5AA027" w14:textId="4FFCF3E5" w:rsidR="00587BB4" w:rsidRDefault="00587BB4">
      <w:pPr>
        <w:pStyle w:val="FootnoteText"/>
      </w:pPr>
      <w:r>
        <w:rPr>
          <w:rStyle w:val="FootnoteReference"/>
        </w:rPr>
        <w:footnoteRef/>
      </w:r>
      <w:r>
        <w:t xml:space="preserve"> </w:t>
      </w:r>
      <w:proofErr w:type="spellStart"/>
      <w:r>
        <w:t>Makototo</w:t>
      </w:r>
      <w:proofErr w:type="spellEnd"/>
      <w:r>
        <w:t xml:space="preserve"> and Another v. Lesotho Development and Construction (Pty) Ltd C of A (CIV) 57/2013) [2014] LSCA 28(24 October 2014) paras 6 to 7</w:t>
      </w:r>
    </w:p>
  </w:footnote>
  <w:footnote w:id="15">
    <w:p w14:paraId="320F03BD" w14:textId="089FD70C" w:rsidR="00587BB4" w:rsidRDefault="00587BB4">
      <w:pPr>
        <w:pStyle w:val="FootnoteText"/>
      </w:pPr>
      <w:r>
        <w:rPr>
          <w:rStyle w:val="FootnoteReference"/>
        </w:rPr>
        <w:footnoteRef/>
      </w:r>
      <w:r>
        <w:t xml:space="preserve"> </w:t>
      </w:r>
      <w:proofErr w:type="spellStart"/>
      <w:r>
        <w:t>Rekdurum</w:t>
      </w:r>
      <w:proofErr w:type="spellEnd"/>
      <w:r>
        <w:t xml:space="preserve"> (Pty) Ltd, supra, page 652 G; </w:t>
      </w:r>
      <w:proofErr w:type="spellStart"/>
      <w:r>
        <w:t>Astralita</w:t>
      </w:r>
      <w:proofErr w:type="spellEnd"/>
      <w:r>
        <w:t xml:space="preserve"> Estates (Pty) Ltd v. Rix 1984 (1) SA 500 (C) at 504E; </w:t>
      </w:r>
      <w:proofErr w:type="spellStart"/>
      <w:r>
        <w:t>Boshoga</w:t>
      </w:r>
      <w:proofErr w:type="spellEnd"/>
      <w:r>
        <w:t xml:space="preserve"> and Another v. TJ </w:t>
      </w:r>
      <w:proofErr w:type="spellStart"/>
      <w:r>
        <w:t>Mmakolo</w:t>
      </w:r>
      <w:proofErr w:type="spellEnd"/>
      <w:r>
        <w:t xml:space="preserve"> and Others (82446/2016) [2018] ZAGPPHC 656 (7 March 2018), para 31.1</w:t>
      </w:r>
    </w:p>
  </w:footnote>
  <w:footnote w:id="16">
    <w:p w14:paraId="548EEB6D" w14:textId="1472DA91" w:rsidR="00587BB4" w:rsidRDefault="00587BB4">
      <w:pPr>
        <w:pStyle w:val="FootnoteText"/>
      </w:pPr>
      <w:r>
        <w:rPr>
          <w:rStyle w:val="FootnoteReference"/>
        </w:rPr>
        <w:footnoteRef/>
      </w:r>
      <w:r>
        <w:t xml:space="preserve"> 1993 (3) SA 306</w:t>
      </w:r>
    </w:p>
  </w:footnote>
  <w:footnote w:id="17">
    <w:p w14:paraId="304F638A" w14:textId="0FF5A938" w:rsidR="00587BB4" w:rsidRDefault="00587BB4">
      <w:pPr>
        <w:pStyle w:val="FootnoteText"/>
      </w:pPr>
      <w:r>
        <w:rPr>
          <w:rStyle w:val="FootnoteReference"/>
        </w:rPr>
        <w:footnoteRef/>
      </w:r>
      <w:r>
        <w:t xml:space="preserve"> (38683/2020) [2021] ZAGP JHC 874; [2022] 2 ALL SA 201 (GJ) (26August 2021) paras 95 to 98</w:t>
      </w:r>
    </w:p>
  </w:footnote>
  <w:footnote w:id="18">
    <w:p w14:paraId="74E61CAC" w14:textId="77777777" w:rsidR="00587BB4" w:rsidRDefault="00587BB4" w:rsidP="005D05C2">
      <w:pPr>
        <w:pStyle w:val="FootnoteText"/>
      </w:pPr>
      <w:r>
        <w:rPr>
          <w:rStyle w:val="FootnoteReference"/>
        </w:rPr>
        <w:footnoteRef/>
      </w:r>
      <w:r>
        <w:t xml:space="preserve"> 1911 AD 568 at 576</w:t>
      </w:r>
    </w:p>
  </w:footnote>
  <w:footnote w:id="19">
    <w:p w14:paraId="5F97ADBB" w14:textId="1BBBE7E3" w:rsidR="00587BB4" w:rsidRDefault="00587BB4">
      <w:pPr>
        <w:pStyle w:val="FootnoteText"/>
      </w:pPr>
      <w:r>
        <w:rPr>
          <w:rStyle w:val="FootnoteReference"/>
        </w:rPr>
        <w:footnoteRef/>
      </w:r>
      <w:r>
        <w:t xml:space="preserve"> 2003 (5) SA 193 at 201</w:t>
      </w:r>
    </w:p>
  </w:footnote>
  <w:footnote w:id="20">
    <w:p w14:paraId="47BC45B5" w14:textId="541B869A" w:rsidR="00587BB4" w:rsidRDefault="00587BB4">
      <w:pPr>
        <w:pStyle w:val="FootnoteText"/>
      </w:pPr>
      <w:r>
        <w:rPr>
          <w:rStyle w:val="FootnoteReference"/>
        </w:rPr>
        <w:footnoteRef/>
      </w:r>
      <w:r>
        <w:t xml:space="preserve"> C of A (CIV) 59 of 2015 [2016] LSCA 13 (29 April 2016) para 20</w:t>
      </w:r>
    </w:p>
  </w:footnote>
  <w:footnote w:id="21">
    <w:p w14:paraId="2BD43CB9" w14:textId="2141576C" w:rsidR="00587BB4" w:rsidRDefault="00587BB4">
      <w:pPr>
        <w:pStyle w:val="FootnoteText"/>
      </w:pPr>
      <w:r>
        <w:rPr>
          <w:rStyle w:val="FootnoteReference"/>
        </w:rPr>
        <w:footnoteRef/>
      </w:r>
      <w:r>
        <w:t xml:space="preserve"> (82446/2016) [2018] ZAGPPHC 656 (7 March 2018)</w:t>
      </w:r>
    </w:p>
  </w:footnote>
  <w:footnote w:id="22">
    <w:p w14:paraId="4CD4D916" w14:textId="5C53BE2F" w:rsidR="00587BB4" w:rsidRDefault="00587BB4">
      <w:pPr>
        <w:pStyle w:val="FootnoteText"/>
      </w:pPr>
      <w:r>
        <w:rPr>
          <w:rStyle w:val="FootnoteReference"/>
        </w:rPr>
        <w:footnoteRef/>
      </w:r>
      <w:r>
        <w:t xml:space="preserve"> (C of A (CIV) 16 of 2011 [2011] LSCA 24 (21 October 2011)</w:t>
      </w:r>
    </w:p>
  </w:footnote>
  <w:footnote w:id="23">
    <w:p w14:paraId="31179C5A" w14:textId="30833934" w:rsidR="00587BB4" w:rsidRDefault="00587BB4">
      <w:pPr>
        <w:pStyle w:val="FootnoteText"/>
      </w:pPr>
      <w:r>
        <w:rPr>
          <w:rStyle w:val="FootnoteReference"/>
        </w:rPr>
        <w:footnoteRef/>
      </w:r>
      <w:r>
        <w:t xml:space="preserve"> (C of A (CIV) 57/2013) [2014] LSCA 28 (24 October 2014) para 11</w:t>
      </w:r>
    </w:p>
  </w:footnote>
  <w:footnote w:id="24">
    <w:p w14:paraId="34B4CA6E" w14:textId="35960E92" w:rsidR="00587BB4" w:rsidRDefault="00587BB4" w:rsidP="00130D76">
      <w:pPr>
        <w:pStyle w:val="FootnoteText"/>
      </w:pPr>
      <w:r>
        <w:rPr>
          <w:rStyle w:val="FootnoteReference"/>
        </w:rPr>
        <w:footnoteRef/>
      </w:r>
      <w:r>
        <w:t xml:space="preserve"> </w:t>
      </w:r>
      <w:proofErr w:type="spellStart"/>
      <w:r>
        <w:t>Knuttel</w:t>
      </w:r>
      <w:proofErr w:type="spellEnd"/>
      <w:r>
        <w:t xml:space="preserve"> N.O and Others v. </w:t>
      </w:r>
      <w:proofErr w:type="spellStart"/>
      <w:r>
        <w:t>Bhana</w:t>
      </w:r>
      <w:proofErr w:type="spellEnd"/>
      <w:r>
        <w:t xml:space="preserve"> and Others (supra) para </w:t>
      </w:r>
      <w:proofErr w:type="gramStart"/>
      <w:r>
        <w:t>107;</w:t>
      </w:r>
      <w:proofErr w:type="gramEnd"/>
      <w:r>
        <w:t xml:space="preserve"> </w:t>
      </w:r>
    </w:p>
  </w:footnote>
  <w:footnote w:id="25">
    <w:p w14:paraId="31108DA7" w14:textId="4D3E3FF6" w:rsidR="00587BB4" w:rsidRDefault="00587BB4">
      <w:pPr>
        <w:pStyle w:val="FootnoteText"/>
      </w:pPr>
      <w:r>
        <w:rPr>
          <w:rStyle w:val="FootnoteReference"/>
        </w:rPr>
        <w:footnoteRef/>
      </w:r>
      <w:r>
        <w:t xml:space="preserve"> Ibid paras 104 to 10.5</w:t>
      </w:r>
    </w:p>
  </w:footnote>
  <w:footnote w:id="26">
    <w:p w14:paraId="2CC08BC9" w14:textId="48BDE24E" w:rsidR="00587BB4" w:rsidRDefault="00587BB4">
      <w:pPr>
        <w:pStyle w:val="FootnoteText"/>
      </w:pPr>
      <w:r>
        <w:rPr>
          <w:rStyle w:val="FootnoteReference"/>
        </w:rPr>
        <w:footnoteRef/>
      </w:r>
      <w:r>
        <w:t xml:space="preserve">  653 to 654</w:t>
      </w:r>
    </w:p>
  </w:footnote>
  <w:footnote w:id="27">
    <w:p w14:paraId="03CECB2F" w14:textId="1D3788D8" w:rsidR="00587BB4" w:rsidRDefault="00587BB4">
      <w:pPr>
        <w:pStyle w:val="FootnoteText"/>
      </w:pPr>
      <w:r>
        <w:rPr>
          <w:rStyle w:val="FootnoteReference"/>
        </w:rPr>
        <w:footnoteRef/>
      </w:r>
      <w:r>
        <w:t xml:space="preserve"> Pleadings, page 10, para 58</w:t>
      </w:r>
    </w:p>
  </w:footnote>
  <w:footnote w:id="28">
    <w:p w14:paraId="78FEF31C" w14:textId="60277861" w:rsidR="00587BB4" w:rsidRDefault="00587BB4">
      <w:pPr>
        <w:pStyle w:val="FootnoteText"/>
      </w:pPr>
      <w:r>
        <w:rPr>
          <w:rStyle w:val="FootnoteReference"/>
        </w:rPr>
        <w:footnoteRef/>
      </w:r>
      <w:r>
        <w:t xml:space="preserve"> </w:t>
      </w:r>
      <w:proofErr w:type="spellStart"/>
      <w:r>
        <w:t>Boshoga</w:t>
      </w:r>
      <w:proofErr w:type="spellEnd"/>
      <w:r>
        <w:t xml:space="preserve"> and Another v </w:t>
      </w:r>
      <w:proofErr w:type="spellStart"/>
      <w:r>
        <w:t>Mmakolo</w:t>
      </w:r>
      <w:proofErr w:type="spellEnd"/>
      <w:r>
        <w:t xml:space="preserve"> and Others, supra, para 31.4</w:t>
      </w:r>
    </w:p>
  </w:footnote>
  <w:footnote w:id="29">
    <w:p w14:paraId="6CB0EBD2" w14:textId="11917C53" w:rsidR="00587BB4" w:rsidRDefault="00587BB4">
      <w:pPr>
        <w:pStyle w:val="FootnoteText"/>
      </w:pPr>
      <w:r>
        <w:rPr>
          <w:rStyle w:val="FootnoteReference"/>
        </w:rPr>
        <w:footnoteRef/>
      </w:r>
      <w:r>
        <w:t xml:space="preserve"> </w:t>
      </w:r>
      <w:proofErr w:type="spellStart"/>
      <w:r>
        <w:t>Knuttel</w:t>
      </w:r>
      <w:proofErr w:type="spellEnd"/>
      <w:r>
        <w:t xml:space="preserve"> N.O and Others v. </w:t>
      </w:r>
      <w:proofErr w:type="spellStart"/>
      <w:r>
        <w:t>Bhana</w:t>
      </w:r>
      <w:proofErr w:type="spellEnd"/>
      <w:r>
        <w:t xml:space="preserve"> and Others (supra) para 107 to 115</w:t>
      </w:r>
    </w:p>
  </w:footnote>
  <w:footnote w:id="30">
    <w:p w14:paraId="5A9F4864" w14:textId="6E7F5C1A" w:rsidR="00587BB4" w:rsidRDefault="00587BB4">
      <w:pPr>
        <w:pStyle w:val="FootnoteText"/>
      </w:pPr>
      <w:r>
        <w:rPr>
          <w:rStyle w:val="FootnoteReference"/>
        </w:rPr>
        <w:footnoteRef/>
      </w:r>
      <w:r>
        <w:t xml:space="preserve"> LAC (1995 – 1999) 313 at 316 I - J</w:t>
      </w:r>
    </w:p>
  </w:footnote>
  <w:footnote w:id="31">
    <w:p w14:paraId="4DFC27DF" w14:textId="1E6568F8" w:rsidR="00587BB4" w:rsidRDefault="00587BB4">
      <w:pPr>
        <w:pStyle w:val="FootnoteText"/>
      </w:pPr>
      <w:r>
        <w:rPr>
          <w:rStyle w:val="FootnoteReference"/>
        </w:rPr>
        <w:footnoteRef/>
      </w:r>
      <w:r>
        <w:t xml:space="preserve"> 2013 (3) SA 123 at 127-128</w:t>
      </w:r>
    </w:p>
  </w:footnote>
  <w:footnote w:id="32">
    <w:p w14:paraId="3F571F27" w14:textId="297858E5" w:rsidR="00587BB4" w:rsidRDefault="00587BB4">
      <w:pPr>
        <w:pStyle w:val="FootnoteText"/>
      </w:pPr>
      <w:r>
        <w:rPr>
          <w:rStyle w:val="FootnoteReference"/>
        </w:rPr>
        <w:footnoteRef/>
      </w:r>
      <w:r>
        <w:t xml:space="preserve"> Supra, page 316 para I</w:t>
      </w:r>
    </w:p>
  </w:footnote>
  <w:footnote w:id="33">
    <w:p w14:paraId="0B8D2D88" w14:textId="4462D144" w:rsidR="00587BB4" w:rsidRDefault="00587BB4">
      <w:pPr>
        <w:pStyle w:val="FootnoteText"/>
      </w:pPr>
      <w:r>
        <w:rPr>
          <w:rStyle w:val="FootnoteReference"/>
        </w:rPr>
        <w:footnoteRef/>
      </w:r>
      <w:r>
        <w:t xml:space="preserve"> (26037/2021) [2022] ZAGPPHC 275 (21 April 2022) para 9.3</w:t>
      </w:r>
    </w:p>
  </w:footnote>
  <w:footnote w:id="34">
    <w:p w14:paraId="4DAF21DD" w14:textId="6E25C62E" w:rsidR="00587BB4" w:rsidRDefault="00587BB4">
      <w:pPr>
        <w:pStyle w:val="FootnoteText"/>
      </w:pPr>
      <w:r>
        <w:rPr>
          <w:rStyle w:val="FootnoteReference"/>
        </w:rPr>
        <w:footnoteRef/>
      </w:r>
      <w:r>
        <w:t xml:space="preserve"> Supra para 113</w:t>
      </w:r>
    </w:p>
  </w:footnote>
  <w:footnote w:id="35">
    <w:p w14:paraId="42D6F235" w14:textId="12604678" w:rsidR="00587BB4" w:rsidRDefault="00587BB4">
      <w:pPr>
        <w:pStyle w:val="FootnoteText"/>
      </w:pPr>
      <w:r>
        <w:rPr>
          <w:rStyle w:val="FootnoteReference"/>
        </w:rPr>
        <w:footnoteRef/>
      </w:r>
      <w:r>
        <w:t xml:space="preserve"> Supra para 49</w:t>
      </w:r>
    </w:p>
  </w:footnote>
  <w:footnote w:id="36">
    <w:p w14:paraId="06E6925B" w14:textId="5CF39E14" w:rsidR="00587BB4" w:rsidRDefault="00587BB4">
      <w:pPr>
        <w:pStyle w:val="FootnoteText"/>
      </w:pPr>
      <w:r>
        <w:rPr>
          <w:rStyle w:val="FootnoteReference"/>
        </w:rPr>
        <w:footnoteRef/>
      </w:r>
      <w:r>
        <w:t xml:space="preserve"> </w:t>
      </w:r>
      <w:bookmarkStart w:id="1" w:name="_Hlk128736294"/>
      <w:r>
        <w:t>C of A (CIV) No.16/13 [2013] LSCA 17 (18 October 2013) para 9</w:t>
      </w:r>
      <w:bookmarkEnd w:id="1"/>
      <w:r>
        <w:t xml:space="preserve"> </w:t>
      </w:r>
    </w:p>
  </w:footnote>
  <w:footnote w:id="37">
    <w:p w14:paraId="5729089C" w14:textId="2B3F4CE9" w:rsidR="00587BB4" w:rsidRDefault="00587BB4">
      <w:pPr>
        <w:pStyle w:val="FootnoteText"/>
      </w:pPr>
      <w:r>
        <w:rPr>
          <w:rStyle w:val="FootnoteReference"/>
        </w:rPr>
        <w:footnoteRef/>
      </w:r>
      <w:r>
        <w:t xml:space="preserve"> (2013/26064) [2014] ZAGPJHC 271 (30 May 2014)</w:t>
      </w:r>
    </w:p>
  </w:footnote>
  <w:footnote w:id="38">
    <w:p w14:paraId="685E48CA" w14:textId="379F9E2E" w:rsidR="00587BB4" w:rsidRDefault="00587BB4">
      <w:pPr>
        <w:pStyle w:val="FootnoteText"/>
      </w:pPr>
      <w:r>
        <w:rPr>
          <w:rStyle w:val="FootnoteReference"/>
        </w:rPr>
        <w:footnoteRef/>
      </w:r>
      <w:r>
        <w:t xml:space="preserve"> </w:t>
      </w:r>
      <w:proofErr w:type="spellStart"/>
      <w:r>
        <w:t>Setlogelo</w:t>
      </w:r>
      <w:proofErr w:type="spellEnd"/>
      <w:r>
        <w:t xml:space="preserve"> v. </w:t>
      </w:r>
      <w:proofErr w:type="spellStart"/>
      <w:r>
        <w:t>Setlogelo</w:t>
      </w:r>
      <w:proofErr w:type="spellEnd"/>
      <w:r>
        <w:t xml:space="preserve"> 1914 AD 221; Attorney General &amp; Another v. Swissbourgh Diamonds Mines (Pty) Ltd &amp; Others LLR &amp; LB 1995 – 1996 173 at 193; </w:t>
      </w:r>
      <w:proofErr w:type="spellStart"/>
      <w:r>
        <w:t>Leloli</w:t>
      </w:r>
      <w:proofErr w:type="spellEnd"/>
      <w:r>
        <w:t xml:space="preserve"> Trading (Pty) Ltd v. Mafeteng District Council [2022] LSCH 11 para 22</w:t>
      </w:r>
    </w:p>
  </w:footnote>
  <w:footnote w:id="39">
    <w:p w14:paraId="3BA50990" w14:textId="219CE96B" w:rsidR="00587BB4" w:rsidRDefault="00587BB4">
      <w:pPr>
        <w:pStyle w:val="FootnoteText"/>
      </w:pPr>
      <w:r>
        <w:rPr>
          <w:rStyle w:val="FootnoteReference"/>
        </w:rPr>
        <w:footnoteRef/>
      </w:r>
      <w:r>
        <w:t xml:space="preserve"> 1973 (3) SA 685 (A) at 691 (F)</w:t>
      </w:r>
    </w:p>
  </w:footnote>
  <w:footnote w:id="40">
    <w:p w14:paraId="3F94616B" w14:textId="2AD3135E" w:rsidR="00587BB4" w:rsidRDefault="00587BB4">
      <w:pPr>
        <w:pStyle w:val="FootnoteText"/>
      </w:pPr>
      <w:r>
        <w:rPr>
          <w:rStyle w:val="FootnoteReference"/>
        </w:rPr>
        <w:footnoteRef/>
      </w:r>
      <w:r>
        <w:t xml:space="preserve"> CCA/0074/2021 [2022] (9 February 2022)</w:t>
      </w:r>
    </w:p>
  </w:footnote>
  <w:footnote w:id="41">
    <w:p w14:paraId="6A81054B" w14:textId="3DD5243C" w:rsidR="00587BB4" w:rsidRDefault="00587BB4">
      <w:pPr>
        <w:pStyle w:val="FootnoteText"/>
      </w:pPr>
      <w:r>
        <w:rPr>
          <w:rStyle w:val="FootnoteReference"/>
        </w:rPr>
        <w:footnoteRef/>
      </w:r>
      <w:r>
        <w:t xml:space="preserve"> Supra, page 227</w:t>
      </w:r>
    </w:p>
  </w:footnote>
  <w:footnote w:id="42">
    <w:p w14:paraId="526245B3" w14:textId="339B4A83" w:rsidR="00587BB4" w:rsidRDefault="00587BB4">
      <w:pPr>
        <w:pStyle w:val="FootnoteText"/>
      </w:pPr>
      <w:r>
        <w:rPr>
          <w:rStyle w:val="FootnoteReference"/>
        </w:rPr>
        <w:footnoteRef/>
      </w:r>
      <w:r>
        <w:t xml:space="preserve"> MN v. AJ 2013 (3) SA 26 at 33 para 24</w:t>
      </w:r>
    </w:p>
  </w:footnote>
  <w:footnote w:id="43">
    <w:p w14:paraId="60299BD0" w14:textId="39826E99" w:rsidR="00587BB4" w:rsidRDefault="00587BB4">
      <w:pPr>
        <w:pStyle w:val="FootnoteText"/>
      </w:pPr>
      <w:r>
        <w:rPr>
          <w:rStyle w:val="FootnoteReference"/>
        </w:rPr>
        <w:footnoteRef/>
      </w:r>
      <w:r>
        <w:rPr>
          <w:rStyle w:val="FootnoteReference"/>
        </w:rPr>
        <w:footnoteRef/>
      </w:r>
      <w:r>
        <w:t xml:space="preserve"> Pleadings, page 17 para 10.1</w:t>
      </w:r>
    </w:p>
  </w:footnote>
  <w:footnote w:id="44">
    <w:p w14:paraId="2CC97A73" w14:textId="77777777" w:rsidR="00587BB4" w:rsidRDefault="00587BB4" w:rsidP="00FD1707">
      <w:pPr>
        <w:pStyle w:val="FootnoteText"/>
      </w:pPr>
      <w:r>
        <w:rPr>
          <w:rStyle w:val="FootnoteReference"/>
        </w:rPr>
        <w:footnoteRef/>
      </w:r>
      <w:r>
        <w:t xml:space="preserve"> Supra, page 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CE6"/>
    <w:multiLevelType w:val="hybridMultilevel"/>
    <w:tmpl w:val="928EE578"/>
    <w:lvl w:ilvl="0" w:tplc="72685E7A">
      <w:start w:val="12"/>
      <w:numFmt w:val="decimal"/>
      <w:lvlText w:val="4.%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5411BCA"/>
    <w:multiLevelType w:val="hybridMultilevel"/>
    <w:tmpl w:val="707EF1C6"/>
    <w:lvl w:ilvl="0" w:tplc="FCC6FD68">
      <w:start w:val="1"/>
      <w:numFmt w:val="decimal"/>
      <w:lvlText w:val="4.%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2F643B2C"/>
    <w:multiLevelType w:val="hybridMultilevel"/>
    <w:tmpl w:val="AED47DBC"/>
    <w:lvl w:ilvl="0" w:tplc="2024765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5413A70"/>
    <w:multiLevelType w:val="hybridMultilevel"/>
    <w:tmpl w:val="423E926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45383E7E"/>
    <w:multiLevelType w:val="hybridMultilevel"/>
    <w:tmpl w:val="58B2363A"/>
    <w:lvl w:ilvl="0" w:tplc="1AA6DA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2B35133"/>
    <w:multiLevelType w:val="hybridMultilevel"/>
    <w:tmpl w:val="CAE8DD1C"/>
    <w:lvl w:ilvl="0" w:tplc="21D2C3DA">
      <w:start w:val="1"/>
      <w:numFmt w:val="decimal"/>
      <w:lvlText w:val="9.%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5B5E75DD"/>
    <w:multiLevelType w:val="hybridMultilevel"/>
    <w:tmpl w:val="B7CA54FC"/>
    <w:lvl w:ilvl="0" w:tplc="7448926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F812192"/>
    <w:multiLevelType w:val="hybridMultilevel"/>
    <w:tmpl w:val="284C637C"/>
    <w:lvl w:ilvl="0" w:tplc="12021D42">
      <w:start w:val="11"/>
      <w:numFmt w:val="decimal"/>
      <w:lvlText w:val="4.%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6BB7278A"/>
    <w:multiLevelType w:val="hybridMultilevel"/>
    <w:tmpl w:val="3618A19C"/>
    <w:lvl w:ilvl="0" w:tplc="8DC430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FEC0907"/>
    <w:multiLevelType w:val="hybridMultilevel"/>
    <w:tmpl w:val="21089D04"/>
    <w:lvl w:ilvl="0" w:tplc="ED84A9B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544483538">
    <w:abstractNumId w:val="1"/>
  </w:num>
  <w:num w:numId="2" w16cid:durableId="1553536134">
    <w:abstractNumId w:val="7"/>
  </w:num>
  <w:num w:numId="3" w16cid:durableId="1629049638">
    <w:abstractNumId w:val="0"/>
  </w:num>
  <w:num w:numId="4" w16cid:durableId="97679032">
    <w:abstractNumId w:val="9"/>
  </w:num>
  <w:num w:numId="5" w16cid:durableId="2016301273">
    <w:abstractNumId w:val="5"/>
  </w:num>
  <w:num w:numId="6" w16cid:durableId="728963397">
    <w:abstractNumId w:val="3"/>
  </w:num>
  <w:num w:numId="7" w16cid:durableId="2042584736">
    <w:abstractNumId w:val="2"/>
  </w:num>
  <w:num w:numId="8" w16cid:durableId="204370002">
    <w:abstractNumId w:val="4"/>
  </w:num>
  <w:num w:numId="9" w16cid:durableId="1857964412">
    <w:abstractNumId w:val="8"/>
  </w:num>
  <w:num w:numId="10" w16cid:durableId="1915385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88"/>
    <w:rsid w:val="00001B54"/>
    <w:rsid w:val="0000257C"/>
    <w:rsid w:val="00004B32"/>
    <w:rsid w:val="00005A15"/>
    <w:rsid w:val="0001104A"/>
    <w:rsid w:val="0001352C"/>
    <w:rsid w:val="00013F00"/>
    <w:rsid w:val="00022A80"/>
    <w:rsid w:val="000232D4"/>
    <w:rsid w:val="00023A4F"/>
    <w:rsid w:val="000244D1"/>
    <w:rsid w:val="000252CB"/>
    <w:rsid w:val="000266B3"/>
    <w:rsid w:val="00032299"/>
    <w:rsid w:val="0003271B"/>
    <w:rsid w:val="00034B5B"/>
    <w:rsid w:val="0003648A"/>
    <w:rsid w:val="00041B9B"/>
    <w:rsid w:val="000432EF"/>
    <w:rsid w:val="000450FB"/>
    <w:rsid w:val="0006079B"/>
    <w:rsid w:val="0006138A"/>
    <w:rsid w:val="00065011"/>
    <w:rsid w:val="00065E9D"/>
    <w:rsid w:val="000660C3"/>
    <w:rsid w:val="000720D9"/>
    <w:rsid w:val="00073E95"/>
    <w:rsid w:val="00074C76"/>
    <w:rsid w:val="00076C6E"/>
    <w:rsid w:val="00081A26"/>
    <w:rsid w:val="00086D7F"/>
    <w:rsid w:val="00087E3E"/>
    <w:rsid w:val="00090677"/>
    <w:rsid w:val="00096C07"/>
    <w:rsid w:val="000A5BD2"/>
    <w:rsid w:val="000B29AE"/>
    <w:rsid w:val="000B34D9"/>
    <w:rsid w:val="000B4E46"/>
    <w:rsid w:val="000B585C"/>
    <w:rsid w:val="000C0837"/>
    <w:rsid w:val="000C2D20"/>
    <w:rsid w:val="000C3CAA"/>
    <w:rsid w:val="000C3EF1"/>
    <w:rsid w:val="000C40FF"/>
    <w:rsid w:val="000C4B07"/>
    <w:rsid w:val="000C7054"/>
    <w:rsid w:val="000C739A"/>
    <w:rsid w:val="000D026D"/>
    <w:rsid w:val="000D41DA"/>
    <w:rsid w:val="000D4A1D"/>
    <w:rsid w:val="000E04EC"/>
    <w:rsid w:val="000E776C"/>
    <w:rsid w:val="000F7B6E"/>
    <w:rsid w:val="0010657A"/>
    <w:rsid w:val="001101BE"/>
    <w:rsid w:val="00113BE9"/>
    <w:rsid w:val="001171AD"/>
    <w:rsid w:val="0012091D"/>
    <w:rsid w:val="00121360"/>
    <w:rsid w:val="001214E2"/>
    <w:rsid w:val="00121A7C"/>
    <w:rsid w:val="00130D76"/>
    <w:rsid w:val="00132B44"/>
    <w:rsid w:val="00136C69"/>
    <w:rsid w:val="00141656"/>
    <w:rsid w:val="00141E38"/>
    <w:rsid w:val="00144F2F"/>
    <w:rsid w:val="00146073"/>
    <w:rsid w:val="00147AA1"/>
    <w:rsid w:val="00150A84"/>
    <w:rsid w:val="001547E2"/>
    <w:rsid w:val="00160FF3"/>
    <w:rsid w:val="00161491"/>
    <w:rsid w:val="00161A1F"/>
    <w:rsid w:val="001641CE"/>
    <w:rsid w:val="00164901"/>
    <w:rsid w:val="00180115"/>
    <w:rsid w:val="00183DC1"/>
    <w:rsid w:val="0018483A"/>
    <w:rsid w:val="00185A41"/>
    <w:rsid w:val="00191782"/>
    <w:rsid w:val="00194C33"/>
    <w:rsid w:val="001A37DC"/>
    <w:rsid w:val="001A3E62"/>
    <w:rsid w:val="001A56C8"/>
    <w:rsid w:val="001B26F5"/>
    <w:rsid w:val="001B27EC"/>
    <w:rsid w:val="001B2F20"/>
    <w:rsid w:val="001B32E7"/>
    <w:rsid w:val="001B3591"/>
    <w:rsid w:val="001B7914"/>
    <w:rsid w:val="001C1755"/>
    <w:rsid w:val="001C2FE5"/>
    <w:rsid w:val="001C3B10"/>
    <w:rsid w:val="001C444B"/>
    <w:rsid w:val="001C4AD1"/>
    <w:rsid w:val="001D1794"/>
    <w:rsid w:val="001D6A8A"/>
    <w:rsid w:val="001E4286"/>
    <w:rsid w:val="001E449E"/>
    <w:rsid w:val="001E4DD8"/>
    <w:rsid w:val="001E6672"/>
    <w:rsid w:val="001F06D4"/>
    <w:rsid w:val="001F1931"/>
    <w:rsid w:val="001F3312"/>
    <w:rsid w:val="001F3709"/>
    <w:rsid w:val="001F4A23"/>
    <w:rsid w:val="00213344"/>
    <w:rsid w:val="00213E35"/>
    <w:rsid w:val="002144B9"/>
    <w:rsid w:val="00214701"/>
    <w:rsid w:val="00214E66"/>
    <w:rsid w:val="00220A8E"/>
    <w:rsid w:val="0022340A"/>
    <w:rsid w:val="002270C3"/>
    <w:rsid w:val="002306A5"/>
    <w:rsid w:val="002307A2"/>
    <w:rsid w:val="00231887"/>
    <w:rsid w:val="00231E58"/>
    <w:rsid w:val="00231E6E"/>
    <w:rsid w:val="00232B92"/>
    <w:rsid w:val="00235AEE"/>
    <w:rsid w:val="00242C7C"/>
    <w:rsid w:val="0024472E"/>
    <w:rsid w:val="00244BD2"/>
    <w:rsid w:val="00247587"/>
    <w:rsid w:val="00255AD7"/>
    <w:rsid w:val="00262623"/>
    <w:rsid w:val="0026706C"/>
    <w:rsid w:val="00271805"/>
    <w:rsid w:val="00273C6E"/>
    <w:rsid w:val="00276A58"/>
    <w:rsid w:val="00277796"/>
    <w:rsid w:val="00277F37"/>
    <w:rsid w:val="00285EB5"/>
    <w:rsid w:val="00291118"/>
    <w:rsid w:val="002935F3"/>
    <w:rsid w:val="002A0386"/>
    <w:rsid w:val="002A20B5"/>
    <w:rsid w:val="002A78AB"/>
    <w:rsid w:val="002B57FD"/>
    <w:rsid w:val="002C0510"/>
    <w:rsid w:val="002C0B94"/>
    <w:rsid w:val="002C1F65"/>
    <w:rsid w:val="002D00A8"/>
    <w:rsid w:val="002D3321"/>
    <w:rsid w:val="002D574C"/>
    <w:rsid w:val="002D6DBA"/>
    <w:rsid w:val="002E6DF4"/>
    <w:rsid w:val="002F008F"/>
    <w:rsid w:val="002F1925"/>
    <w:rsid w:val="002F29B1"/>
    <w:rsid w:val="002F349C"/>
    <w:rsid w:val="002F40AB"/>
    <w:rsid w:val="002F6BF0"/>
    <w:rsid w:val="002F7AD0"/>
    <w:rsid w:val="00300D60"/>
    <w:rsid w:val="0030383B"/>
    <w:rsid w:val="00306D3E"/>
    <w:rsid w:val="0031081F"/>
    <w:rsid w:val="003112C0"/>
    <w:rsid w:val="0032124F"/>
    <w:rsid w:val="003260B9"/>
    <w:rsid w:val="00336440"/>
    <w:rsid w:val="00336F24"/>
    <w:rsid w:val="003372E7"/>
    <w:rsid w:val="00337468"/>
    <w:rsid w:val="00342A07"/>
    <w:rsid w:val="0034328F"/>
    <w:rsid w:val="003568AB"/>
    <w:rsid w:val="00360569"/>
    <w:rsid w:val="00362EAA"/>
    <w:rsid w:val="00365C83"/>
    <w:rsid w:val="00373415"/>
    <w:rsid w:val="00375CFE"/>
    <w:rsid w:val="003877B2"/>
    <w:rsid w:val="0039150C"/>
    <w:rsid w:val="003A7A2B"/>
    <w:rsid w:val="003B17BE"/>
    <w:rsid w:val="003B395C"/>
    <w:rsid w:val="003B60B6"/>
    <w:rsid w:val="003B6971"/>
    <w:rsid w:val="003C341C"/>
    <w:rsid w:val="003C3DFE"/>
    <w:rsid w:val="003C44B9"/>
    <w:rsid w:val="003C7D68"/>
    <w:rsid w:val="003D6D73"/>
    <w:rsid w:val="003E7478"/>
    <w:rsid w:val="003E7D0E"/>
    <w:rsid w:val="003F2B86"/>
    <w:rsid w:val="003F2F8B"/>
    <w:rsid w:val="003F3962"/>
    <w:rsid w:val="003F5BAA"/>
    <w:rsid w:val="003F66D7"/>
    <w:rsid w:val="003F7872"/>
    <w:rsid w:val="00401AB5"/>
    <w:rsid w:val="00404FCF"/>
    <w:rsid w:val="00406D28"/>
    <w:rsid w:val="004125B0"/>
    <w:rsid w:val="00415153"/>
    <w:rsid w:val="00421350"/>
    <w:rsid w:val="00423D5D"/>
    <w:rsid w:val="00425528"/>
    <w:rsid w:val="00430EF2"/>
    <w:rsid w:val="00436F87"/>
    <w:rsid w:val="0044374E"/>
    <w:rsid w:val="00446FA1"/>
    <w:rsid w:val="00447E1F"/>
    <w:rsid w:val="0045176F"/>
    <w:rsid w:val="00451CC8"/>
    <w:rsid w:val="004571AB"/>
    <w:rsid w:val="004651E3"/>
    <w:rsid w:val="00470CA6"/>
    <w:rsid w:val="0047199C"/>
    <w:rsid w:val="0047388E"/>
    <w:rsid w:val="00476150"/>
    <w:rsid w:val="00482D09"/>
    <w:rsid w:val="00487047"/>
    <w:rsid w:val="00487E9B"/>
    <w:rsid w:val="00492FCC"/>
    <w:rsid w:val="00494755"/>
    <w:rsid w:val="004B23CC"/>
    <w:rsid w:val="004C0C6D"/>
    <w:rsid w:val="004C4322"/>
    <w:rsid w:val="004C6BC2"/>
    <w:rsid w:val="004D1806"/>
    <w:rsid w:val="004D1AD9"/>
    <w:rsid w:val="004D2769"/>
    <w:rsid w:val="004D31BC"/>
    <w:rsid w:val="004D4425"/>
    <w:rsid w:val="004D47B8"/>
    <w:rsid w:val="004D4B4B"/>
    <w:rsid w:val="004D721C"/>
    <w:rsid w:val="004E0F2A"/>
    <w:rsid w:val="004E7105"/>
    <w:rsid w:val="004E73D5"/>
    <w:rsid w:val="004F2890"/>
    <w:rsid w:val="004F3602"/>
    <w:rsid w:val="004F3891"/>
    <w:rsid w:val="004F609E"/>
    <w:rsid w:val="004F6C6F"/>
    <w:rsid w:val="004F712F"/>
    <w:rsid w:val="004F7595"/>
    <w:rsid w:val="005007F2"/>
    <w:rsid w:val="00500C34"/>
    <w:rsid w:val="00501079"/>
    <w:rsid w:val="0050630C"/>
    <w:rsid w:val="005072B0"/>
    <w:rsid w:val="00511DE6"/>
    <w:rsid w:val="00514206"/>
    <w:rsid w:val="00516BF1"/>
    <w:rsid w:val="005214B9"/>
    <w:rsid w:val="00523866"/>
    <w:rsid w:val="00524DD8"/>
    <w:rsid w:val="00540520"/>
    <w:rsid w:val="005443D5"/>
    <w:rsid w:val="005452BB"/>
    <w:rsid w:val="00554D5D"/>
    <w:rsid w:val="00556937"/>
    <w:rsid w:val="00560894"/>
    <w:rsid w:val="005645EB"/>
    <w:rsid w:val="005763BA"/>
    <w:rsid w:val="00576DD3"/>
    <w:rsid w:val="0058421C"/>
    <w:rsid w:val="0058546E"/>
    <w:rsid w:val="005872AA"/>
    <w:rsid w:val="00587BB4"/>
    <w:rsid w:val="00590716"/>
    <w:rsid w:val="00594714"/>
    <w:rsid w:val="005954B5"/>
    <w:rsid w:val="0059762F"/>
    <w:rsid w:val="005A1B30"/>
    <w:rsid w:val="005B02BE"/>
    <w:rsid w:val="005B3CA9"/>
    <w:rsid w:val="005B3E43"/>
    <w:rsid w:val="005B3E68"/>
    <w:rsid w:val="005B7866"/>
    <w:rsid w:val="005C00C2"/>
    <w:rsid w:val="005C30D4"/>
    <w:rsid w:val="005D0391"/>
    <w:rsid w:val="005D05C2"/>
    <w:rsid w:val="005D492C"/>
    <w:rsid w:val="005D4B8B"/>
    <w:rsid w:val="005D555F"/>
    <w:rsid w:val="005E2349"/>
    <w:rsid w:val="005E2CCA"/>
    <w:rsid w:val="005E630A"/>
    <w:rsid w:val="005E77FB"/>
    <w:rsid w:val="005F4C24"/>
    <w:rsid w:val="005F54CC"/>
    <w:rsid w:val="005F5E2D"/>
    <w:rsid w:val="005F66BD"/>
    <w:rsid w:val="00601EAB"/>
    <w:rsid w:val="00605AE9"/>
    <w:rsid w:val="0061784D"/>
    <w:rsid w:val="00621735"/>
    <w:rsid w:val="00623CC8"/>
    <w:rsid w:val="0063361C"/>
    <w:rsid w:val="006435A5"/>
    <w:rsid w:val="00644B6B"/>
    <w:rsid w:val="00645B89"/>
    <w:rsid w:val="00647045"/>
    <w:rsid w:val="006474E1"/>
    <w:rsid w:val="00650DD5"/>
    <w:rsid w:val="00650FAF"/>
    <w:rsid w:val="00653D75"/>
    <w:rsid w:val="006542F9"/>
    <w:rsid w:val="006559B9"/>
    <w:rsid w:val="0065658D"/>
    <w:rsid w:val="006567D3"/>
    <w:rsid w:val="00667128"/>
    <w:rsid w:val="00673DFB"/>
    <w:rsid w:val="00674DC3"/>
    <w:rsid w:val="00676E48"/>
    <w:rsid w:val="006824AC"/>
    <w:rsid w:val="006871BA"/>
    <w:rsid w:val="00691064"/>
    <w:rsid w:val="00691887"/>
    <w:rsid w:val="00692B75"/>
    <w:rsid w:val="00694CAD"/>
    <w:rsid w:val="00697E65"/>
    <w:rsid w:val="006A0E52"/>
    <w:rsid w:val="006A11DA"/>
    <w:rsid w:val="006A3A24"/>
    <w:rsid w:val="006A4820"/>
    <w:rsid w:val="006A52F6"/>
    <w:rsid w:val="006B4574"/>
    <w:rsid w:val="006B7F94"/>
    <w:rsid w:val="006C003F"/>
    <w:rsid w:val="006C22BB"/>
    <w:rsid w:val="006C3620"/>
    <w:rsid w:val="006C4A0A"/>
    <w:rsid w:val="006D3A1B"/>
    <w:rsid w:val="006D61AD"/>
    <w:rsid w:val="006D6341"/>
    <w:rsid w:val="006E1CE7"/>
    <w:rsid w:val="006E30E5"/>
    <w:rsid w:val="006E40F3"/>
    <w:rsid w:val="006E4A16"/>
    <w:rsid w:val="006E6B0C"/>
    <w:rsid w:val="006F0F7E"/>
    <w:rsid w:val="006F2ED5"/>
    <w:rsid w:val="00703945"/>
    <w:rsid w:val="0070613E"/>
    <w:rsid w:val="00710F0A"/>
    <w:rsid w:val="00713579"/>
    <w:rsid w:val="00713EB2"/>
    <w:rsid w:val="007216E3"/>
    <w:rsid w:val="00721B0C"/>
    <w:rsid w:val="0073043F"/>
    <w:rsid w:val="0073049B"/>
    <w:rsid w:val="0073107E"/>
    <w:rsid w:val="00731F73"/>
    <w:rsid w:val="0073634F"/>
    <w:rsid w:val="00741498"/>
    <w:rsid w:val="00741C3F"/>
    <w:rsid w:val="007463FC"/>
    <w:rsid w:val="00747103"/>
    <w:rsid w:val="00747350"/>
    <w:rsid w:val="00750819"/>
    <w:rsid w:val="007631C7"/>
    <w:rsid w:val="00765F38"/>
    <w:rsid w:val="00766C55"/>
    <w:rsid w:val="00766E27"/>
    <w:rsid w:val="00766F93"/>
    <w:rsid w:val="0077042B"/>
    <w:rsid w:val="007713E0"/>
    <w:rsid w:val="007715D6"/>
    <w:rsid w:val="00776731"/>
    <w:rsid w:val="00780D8F"/>
    <w:rsid w:val="00781E0C"/>
    <w:rsid w:val="00782092"/>
    <w:rsid w:val="00785F48"/>
    <w:rsid w:val="00790232"/>
    <w:rsid w:val="00790AB1"/>
    <w:rsid w:val="00796BCF"/>
    <w:rsid w:val="007A115F"/>
    <w:rsid w:val="007A35E6"/>
    <w:rsid w:val="007A4080"/>
    <w:rsid w:val="007B0D87"/>
    <w:rsid w:val="007B2BA3"/>
    <w:rsid w:val="007B3F88"/>
    <w:rsid w:val="007C3A1B"/>
    <w:rsid w:val="007D22A3"/>
    <w:rsid w:val="007D6A5A"/>
    <w:rsid w:val="007E2A7C"/>
    <w:rsid w:val="007F11DE"/>
    <w:rsid w:val="007F5B14"/>
    <w:rsid w:val="00803D7E"/>
    <w:rsid w:val="00804023"/>
    <w:rsid w:val="00805653"/>
    <w:rsid w:val="00813665"/>
    <w:rsid w:val="008142F5"/>
    <w:rsid w:val="00816A3F"/>
    <w:rsid w:val="008171DF"/>
    <w:rsid w:val="008206E1"/>
    <w:rsid w:val="00820BF8"/>
    <w:rsid w:val="008237C1"/>
    <w:rsid w:val="0082707D"/>
    <w:rsid w:val="00830B78"/>
    <w:rsid w:val="00831E9A"/>
    <w:rsid w:val="00836578"/>
    <w:rsid w:val="00837544"/>
    <w:rsid w:val="00841055"/>
    <w:rsid w:val="0084458A"/>
    <w:rsid w:val="0085085A"/>
    <w:rsid w:val="00852258"/>
    <w:rsid w:val="0085269E"/>
    <w:rsid w:val="00854EF2"/>
    <w:rsid w:val="008555E0"/>
    <w:rsid w:val="008560F1"/>
    <w:rsid w:val="00864335"/>
    <w:rsid w:val="0087032B"/>
    <w:rsid w:val="00870371"/>
    <w:rsid w:val="00875A0A"/>
    <w:rsid w:val="00881F88"/>
    <w:rsid w:val="00883092"/>
    <w:rsid w:val="008831B1"/>
    <w:rsid w:val="008848AC"/>
    <w:rsid w:val="00886540"/>
    <w:rsid w:val="00891133"/>
    <w:rsid w:val="00891BB0"/>
    <w:rsid w:val="00897B07"/>
    <w:rsid w:val="008A0A4E"/>
    <w:rsid w:val="008A2C30"/>
    <w:rsid w:val="008A37C3"/>
    <w:rsid w:val="008A7526"/>
    <w:rsid w:val="008A7EA6"/>
    <w:rsid w:val="008B2C47"/>
    <w:rsid w:val="008B3BD6"/>
    <w:rsid w:val="008B7B83"/>
    <w:rsid w:val="008C33FB"/>
    <w:rsid w:val="008D23E2"/>
    <w:rsid w:val="008D2ACB"/>
    <w:rsid w:val="008D41B6"/>
    <w:rsid w:val="008D4393"/>
    <w:rsid w:val="008D7D50"/>
    <w:rsid w:val="008E14A3"/>
    <w:rsid w:val="008E606C"/>
    <w:rsid w:val="008F0734"/>
    <w:rsid w:val="008F077B"/>
    <w:rsid w:val="008F3788"/>
    <w:rsid w:val="008F4199"/>
    <w:rsid w:val="00900076"/>
    <w:rsid w:val="00901120"/>
    <w:rsid w:val="00903450"/>
    <w:rsid w:val="00911BCA"/>
    <w:rsid w:val="009144E9"/>
    <w:rsid w:val="009160B4"/>
    <w:rsid w:val="00920959"/>
    <w:rsid w:val="0092452F"/>
    <w:rsid w:val="00927FA3"/>
    <w:rsid w:val="009304C1"/>
    <w:rsid w:val="00932E33"/>
    <w:rsid w:val="00934E3C"/>
    <w:rsid w:val="00935B91"/>
    <w:rsid w:val="00936D61"/>
    <w:rsid w:val="00940AF6"/>
    <w:rsid w:val="00941B2B"/>
    <w:rsid w:val="009436F1"/>
    <w:rsid w:val="009447C0"/>
    <w:rsid w:val="00945420"/>
    <w:rsid w:val="00946D1D"/>
    <w:rsid w:val="009471E2"/>
    <w:rsid w:val="009509B5"/>
    <w:rsid w:val="00950BAF"/>
    <w:rsid w:val="00950FCD"/>
    <w:rsid w:val="009514C9"/>
    <w:rsid w:val="00955067"/>
    <w:rsid w:val="009566CE"/>
    <w:rsid w:val="0096242A"/>
    <w:rsid w:val="00965B56"/>
    <w:rsid w:val="00966181"/>
    <w:rsid w:val="00967075"/>
    <w:rsid w:val="00967744"/>
    <w:rsid w:val="00967941"/>
    <w:rsid w:val="00970349"/>
    <w:rsid w:val="0097249E"/>
    <w:rsid w:val="00975527"/>
    <w:rsid w:val="00976300"/>
    <w:rsid w:val="00980284"/>
    <w:rsid w:val="00981AAB"/>
    <w:rsid w:val="009854CE"/>
    <w:rsid w:val="00990B02"/>
    <w:rsid w:val="009937F7"/>
    <w:rsid w:val="00995945"/>
    <w:rsid w:val="009A01D5"/>
    <w:rsid w:val="009A0438"/>
    <w:rsid w:val="009B630F"/>
    <w:rsid w:val="009D3654"/>
    <w:rsid w:val="009E3839"/>
    <w:rsid w:val="009E4CB4"/>
    <w:rsid w:val="009F2E67"/>
    <w:rsid w:val="009F3B75"/>
    <w:rsid w:val="009F59BF"/>
    <w:rsid w:val="00A00387"/>
    <w:rsid w:val="00A018F8"/>
    <w:rsid w:val="00A10AEE"/>
    <w:rsid w:val="00A1665F"/>
    <w:rsid w:val="00A24DF0"/>
    <w:rsid w:val="00A26234"/>
    <w:rsid w:val="00A30325"/>
    <w:rsid w:val="00A32688"/>
    <w:rsid w:val="00A32758"/>
    <w:rsid w:val="00A35092"/>
    <w:rsid w:val="00A364BE"/>
    <w:rsid w:val="00A36E18"/>
    <w:rsid w:val="00A420C5"/>
    <w:rsid w:val="00A44125"/>
    <w:rsid w:val="00A44CB5"/>
    <w:rsid w:val="00A4605E"/>
    <w:rsid w:val="00A46951"/>
    <w:rsid w:val="00A47493"/>
    <w:rsid w:val="00A53B94"/>
    <w:rsid w:val="00A56C91"/>
    <w:rsid w:val="00A652F1"/>
    <w:rsid w:val="00A70C2E"/>
    <w:rsid w:val="00A7135E"/>
    <w:rsid w:val="00A7163A"/>
    <w:rsid w:val="00A71677"/>
    <w:rsid w:val="00A71AA2"/>
    <w:rsid w:val="00A7307A"/>
    <w:rsid w:val="00A762D0"/>
    <w:rsid w:val="00A77D45"/>
    <w:rsid w:val="00A82058"/>
    <w:rsid w:val="00A82AE6"/>
    <w:rsid w:val="00A8312D"/>
    <w:rsid w:val="00A836AF"/>
    <w:rsid w:val="00A83C99"/>
    <w:rsid w:val="00A87508"/>
    <w:rsid w:val="00A87D1B"/>
    <w:rsid w:val="00AA72A6"/>
    <w:rsid w:val="00AB02F8"/>
    <w:rsid w:val="00AB3304"/>
    <w:rsid w:val="00AB5E6E"/>
    <w:rsid w:val="00AB61FB"/>
    <w:rsid w:val="00AB7745"/>
    <w:rsid w:val="00AB7E44"/>
    <w:rsid w:val="00AC046B"/>
    <w:rsid w:val="00AC55F9"/>
    <w:rsid w:val="00AC7D07"/>
    <w:rsid w:val="00AD07FD"/>
    <w:rsid w:val="00AD2DC0"/>
    <w:rsid w:val="00AD3F56"/>
    <w:rsid w:val="00AD6DA4"/>
    <w:rsid w:val="00AD7636"/>
    <w:rsid w:val="00AD7CD3"/>
    <w:rsid w:val="00AE05DF"/>
    <w:rsid w:val="00AE5384"/>
    <w:rsid w:val="00AE7935"/>
    <w:rsid w:val="00AE79EE"/>
    <w:rsid w:val="00AF29E4"/>
    <w:rsid w:val="00AF7D1F"/>
    <w:rsid w:val="00B000A8"/>
    <w:rsid w:val="00B01B46"/>
    <w:rsid w:val="00B01C19"/>
    <w:rsid w:val="00B02C86"/>
    <w:rsid w:val="00B17349"/>
    <w:rsid w:val="00B22DE7"/>
    <w:rsid w:val="00B2396D"/>
    <w:rsid w:val="00B251A7"/>
    <w:rsid w:val="00B25D12"/>
    <w:rsid w:val="00B26F0E"/>
    <w:rsid w:val="00B301FF"/>
    <w:rsid w:val="00B33551"/>
    <w:rsid w:val="00B34260"/>
    <w:rsid w:val="00B41D32"/>
    <w:rsid w:val="00B45D67"/>
    <w:rsid w:val="00B45DF5"/>
    <w:rsid w:val="00B46DA4"/>
    <w:rsid w:val="00B50FAA"/>
    <w:rsid w:val="00B5412E"/>
    <w:rsid w:val="00B55CC5"/>
    <w:rsid w:val="00B55F8A"/>
    <w:rsid w:val="00B60989"/>
    <w:rsid w:val="00B62802"/>
    <w:rsid w:val="00B71552"/>
    <w:rsid w:val="00B73D80"/>
    <w:rsid w:val="00B7483B"/>
    <w:rsid w:val="00B7500C"/>
    <w:rsid w:val="00B757C7"/>
    <w:rsid w:val="00B76FD8"/>
    <w:rsid w:val="00B80E45"/>
    <w:rsid w:val="00B83D8B"/>
    <w:rsid w:val="00B84AD6"/>
    <w:rsid w:val="00B87809"/>
    <w:rsid w:val="00B949F1"/>
    <w:rsid w:val="00B96DFA"/>
    <w:rsid w:val="00BA2501"/>
    <w:rsid w:val="00BA3AA6"/>
    <w:rsid w:val="00BA7049"/>
    <w:rsid w:val="00BB0209"/>
    <w:rsid w:val="00BB0E09"/>
    <w:rsid w:val="00BC051C"/>
    <w:rsid w:val="00BC0CC2"/>
    <w:rsid w:val="00BC3CF2"/>
    <w:rsid w:val="00BC5FB9"/>
    <w:rsid w:val="00BD6F0A"/>
    <w:rsid w:val="00BD7AAA"/>
    <w:rsid w:val="00BD7AFB"/>
    <w:rsid w:val="00BE078D"/>
    <w:rsid w:val="00BE237C"/>
    <w:rsid w:val="00BE4447"/>
    <w:rsid w:val="00BE4FD9"/>
    <w:rsid w:val="00BF1B21"/>
    <w:rsid w:val="00BF2038"/>
    <w:rsid w:val="00BF4AAD"/>
    <w:rsid w:val="00C02043"/>
    <w:rsid w:val="00C06350"/>
    <w:rsid w:val="00C07F8C"/>
    <w:rsid w:val="00C10D1B"/>
    <w:rsid w:val="00C1295F"/>
    <w:rsid w:val="00C13108"/>
    <w:rsid w:val="00C1513B"/>
    <w:rsid w:val="00C228A1"/>
    <w:rsid w:val="00C25BAA"/>
    <w:rsid w:val="00C30689"/>
    <w:rsid w:val="00C31AE6"/>
    <w:rsid w:val="00C3475F"/>
    <w:rsid w:val="00C34A06"/>
    <w:rsid w:val="00C37BE9"/>
    <w:rsid w:val="00C37CA2"/>
    <w:rsid w:val="00C428FF"/>
    <w:rsid w:val="00C47334"/>
    <w:rsid w:val="00C52CAA"/>
    <w:rsid w:val="00C54DA6"/>
    <w:rsid w:val="00C57C03"/>
    <w:rsid w:val="00C6148C"/>
    <w:rsid w:val="00C629E3"/>
    <w:rsid w:val="00C660A6"/>
    <w:rsid w:val="00C66ADF"/>
    <w:rsid w:val="00C7260B"/>
    <w:rsid w:val="00C7417B"/>
    <w:rsid w:val="00C74731"/>
    <w:rsid w:val="00C74CC5"/>
    <w:rsid w:val="00C80D77"/>
    <w:rsid w:val="00C81BBC"/>
    <w:rsid w:val="00C83C5E"/>
    <w:rsid w:val="00C85B29"/>
    <w:rsid w:val="00C8758B"/>
    <w:rsid w:val="00C87F85"/>
    <w:rsid w:val="00C93EEA"/>
    <w:rsid w:val="00C93F33"/>
    <w:rsid w:val="00C97E17"/>
    <w:rsid w:val="00CA6450"/>
    <w:rsid w:val="00CB1DDC"/>
    <w:rsid w:val="00CB4BD0"/>
    <w:rsid w:val="00CC0E4A"/>
    <w:rsid w:val="00CC2F38"/>
    <w:rsid w:val="00CC7F4B"/>
    <w:rsid w:val="00CD03B5"/>
    <w:rsid w:val="00CD139C"/>
    <w:rsid w:val="00CD35FD"/>
    <w:rsid w:val="00CE0BF3"/>
    <w:rsid w:val="00CE1080"/>
    <w:rsid w:val="00CE4316"/>
    <w:rsid w:val="00CF2863"/>
    <w:rsid w:val="00CF6E78"/>
    <w:rsid w:val="00CF79E2"/>
    <w:rsid w:val="00D0044B"/>
    <w:rsid w:val="00D055BF"/>
    <w:rsid w:val="00D07C7A"/>
    <w:rsid w:val="00D20DC3"/>
    <w:rsid w:val="00D2257C"/>
    <w:rsid w:val="00D2442F"/>
    <w:rsid w:val="00D30086"/>
    <w:rsid w:val="00D30853"/>
    <w:rsid w:val="00D4042F"/>
    <w:rsid w:val="00D46282"/>
    <w:rsid w:val="00D50C2C"/>
    <w:rsid w:val="00D53C62"/>
    <w:rsid w:val="00D54234"/>
    <w:rsid w:val="00D65859"/>
    <w:rsid w:val="00D65866"/>
    <w:rsid w:val="00D67089"/>
    <w:rsid w:val="00D73264"/>
    <w:rsid w:val="00D75573"/>
    <w:rsid w:val="00D7590A"/>
    <w:rsid w:val="00D764E2"/>
    <w:rsid w:val="00D778DC"/>
    <w:rsid w:val="00D81462"/>
    <w:rsid w:val="00D82980"/>
    <w:rsid w:val="00D86788"/>
    <w:rsid w:val="00D86AE7"/>
    <w:rsid w:val="00D90B90"/>
    <w:rsid w:val="00D91C23"/>
    <w:rsid w:val="00D922BE"/>
    <w:rsid w:val="00D93CE1"/>
    <w:rsid w:val="00D949FB"/>
    <w:rsid w:val="00D94C21"/>
    <w:rsid w:val="00D95038"/>
    <w:rsid w:val="00DA15EB"/>
    <w:rsid w:val="00DA335E"/>
    <w:rsid w:val="00DB1BE5"/>
    <w:rsid w:val="00DB2F47"/>
    <w:rsid w:val="00DB495E"/>
    <w:rsid w:val="00DB508D"/>
    <w:rsid w:val="00DC5559"/>
    <w:rsid w:val="00DC57B7"/>
    <w:rsid w:val="00DD03E4"/>
    <w:rsid w:val="00DD2A31"/>
    <w:rsid w:val="00DD4AB7"/>
    <w:rsid w:val="00DD67B0"/>
    <w:rsid w:val="00DE13BF"/>
    <w:rsid w:val="00DE1E7A"/>
    <w:rsid w:val="00DE32C5"/>
    <w:rsid w:val="00DE72D4"/>
    <w:rsid w:val="00DF0D29"/>
    <w:rsid w:val="00DF2045"/>
    <w:rsid w:val="00DF408D"/>
    <w:rsid w:val="00DF46FC"/>
    <w:rsid w:val="00DF7228"/>
    <w:rsid w:val="00E04C42"/>
    <w:rsid w:val="00E07EDF"/>
    <w:rsid w:val="00E10440"/>
    <w:rsid w:val="00E150E3"/>
    <w:rsid w:val="00E20542"/>
    <w:rsid w:val="00E35F81"/>
    <w:rsid w:val="00E3666B"/>
    <w:rsid w:val="00E37787"/>
    <w:rsid w:val="00E37EC0"/>
    <w:rsid w:val="00E402EA"/>
    <w:rsid w:val="00E416C1"/>
    <w:rsid w:val="00E4195E"/>
    <w:rsid w:val="00E467A4"/>
    <w:rsid w:val="00E47149"/>
    <w:rsid w:val="00E47F45"/>
    <w:rsid w:val="00E51535"/>
    <w:rsid w:val="00E56D4F"/>
    <w:rsid w:val="00E63643"/>
    <w:rsid w:val="00E64A1F"/>
    <w:rsid w:val="00E6758F"/>
    <w:rsid w:val="00E703B8"/>
    <w:rsid w:val="00E800FC"/>
    <w:rsid w:val="00E801CE"/>
    <w:rsid w:val="00E81276"/>
    <w:rsid w:val="00E81E6D"/>
    <w:rsid w:val="00E83E07"/>
    <w:rsid w:val="00E96717"/>
    <w:rsid w:val="00E97342"/>
    <w:rsid w:val="00E97DB3"/>
    <w:rsid w:val="00EA4DE7"/>
    <w:rsid w:val="00EA6272"/>
    <w:rsid w:val="00EA65B6"/>
    <w:rsid w:val="00EB2A98"/>
    <w:rsid w:val="00EB439F"/>
    <w:rsid w:val="00EC5343"/>
    <w:rsid w:val="00ED18D8"/>
    <w:rsid w:val="00ED34A7"/>
    <w:rsid w:val="00EE1A1F"/>
    <w:rsid w:val="00EE23DC"/>
    <w:rsid w:val="00EE4EE8"/>
    <w:rsid w:val="00EF0267"/>
    <w:rsid w:val="00EF2F72"/>
    <w:rsid w:val="00EF5E7B"/>
    <w:rsid w:val="00EF635A"/>
    <w:rsid w:val="00EF6A2E"/>
    <w:rsid w:val="00EF7B5F"/>
    <w:rsid w:val="00EF7E4C"/>
    <w:rsid w:val="00F01068"/>
    <w:rsid w:val="00F04C2C"/>
    <w:rsid w:val="00F10992"/>
    <w:rsid w:val="00F11705"/>
    <w:rsid w:val="00F12981"/>
    <w:rsid w:val="00F12E86"/>
    <w:rsid w:val="00F16197"/>
    <w:rsid w:val="00F17F14"/>
    <w:rsid w:val="00F21F05"/>
    <w:rsid w:val="00F220C0"/>
    <w:rsid w:val="00F234FC"/>
    <w:rsid w:val="00F239F8"/>
    <w:rsid w:val="00F30523"/>
    <w:rsid w:val="00F31763"/>
    <w:rsid w:val="00F32500"/>
    <w:rsid w:val="00F32896"/>
    <w:rsid w:val="00F424B7"/>
    <w:rsid w:val="00F4656E"/>
    <w:rsid w:val="00F47F94"/>
    <w:rsid w:val="00F504F4"/>
    <w:rsid w:val="00F51F25"/>
    <w:rsid w:val="00F53551"/>
    <w:rsid w:val="00F53671"/>
    <w:rsid w:val="00F547A5"/>
    <w:rsid w:val="00F55720"/>
    <w:rsid w:val="00F60BBB"/>
    <w:rsid w:val="00F63C67"/>
    <w:rsid w:val="00F64547"/>
    <w:rsid w:val="00F64E56"/>
    <w:rsid w:val="00F72511"/>
    <w:rsid w:val="00F729B9"/>
    <w:rsid w:val="00F734D7"/>
    <w:rsid w:val="00F8147A"/>
    <w:rsid w:val="00F81604"/>
    <w:rsid w:val="00F82AF2"/>
    <w:rsid w:val="00F83862"/>
    <w:rsid w:val="00F86AC0"/>
    <w:rsid w:val="00F8769B"/>
    <w:rsid w:val="00F921BC"/>
    <w:rsid w:val="00F92949"/>
    <w:rsid w:val="00F93C72"/>
    <w:rsid w:val="00F94113"/>
    <w:rsid w:val="00FA1476"/>
    <w:rsid w:val="00FA3AC8"/>
    <w:rsid w:val="00FA6F3D"/>
    <w:rsid w:val="00FB0C1E"/>
    <w:rsid w:val="00FB7322"/>
    <w:rsid w:val="00FB73EF"/>
    <w:rsid w:val="00FC1A42"/>
    <w:rsid w:val="00FC1BC1"/>
    <w:rsid w:val="00FC7514"/>
    <w:rsid w:val="00FD1707"/>
    <w:rsid w:val="00FD23EA"/>
    <w:rsid w:val="00FD729A"/>
    <w:rsid w:val="00FE1BAB"/>
    <w:rsid w:val="00FE27A2"/>
    <w:rsid w:val="00FE681C"/>
    <w:rsid w:val="00FF10B4"/>
    <w:rsid w:val="00FF2AF8"/>
    <w:rsid w:val="00FF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8F13"/>
  <w15:docId w15:val="{C86C3850-3D7B-4440-88E4-8DDB8759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A32688"/>
    <w:pPr>
      <w:widowControl w:val="0"/>
      <w:autoSpaceDE w:val="0"/>
      <w:autoSpaceDN w:val="0"/>
      <w:adjustRightInd w:val="0"/>
      <w:spacing w:after="0" w:line="240" w:lineRule="auto"/>
      <w:ind w:left="1980"/>
      <w:outlineLvl w:val="1"/>
    </w:pPr>
    <w:rPr>
      <w:rFonts w:ascii="Times New Roman" w:eastAsiaTheme="minorEastAsia" w:hAnsi="Times New Roman" w:cs="Times New Roman"/>
      <w:i/>
      <w:iCs/>
      <w:sz w:val="23"/>
      <w:szCs w:val="23"/>
      <w:lang w:val="en-ZA" w:eastAsia="en-ZA"/>
    </w:rPr>
  </w:style>
  <w:style w:type="paragraph" w:styleId="Heading3">
    <w:name w:val="heading 3"/>
    <w:basedOn w:val="Normal"/>
    <w:next w:val="Normal"/>
    <w:link w:val="Heading3Char"/>
    <w:uiPriority w:val="1"/>
    <w:qFormat/>
    <w:rsid w:val="00A32688"/>
    <w:pPr>
      <w:widowControl w:val="0"/>
      <w:autoSpaceDE w:val="0"/>
      <w:autoSpaceDN w:val="0"/>
      <w:adjustRightInd w:val="0"/>
      <w:spacing w:after="0" w:line="240" w:lineRule="auto"/>
      <w:ind w:left="1900"/>
      <w:outlineLvl w:val="2"/>
    </w:pPr>
    <w:rPr>
      <w:rFonts w:ascii="Times New Roman" w:eastAsiaTheme="minorEastAsia" w:hAnsi="Times New Roman" w:cs="Times New Roman"/>
      <w:i/>
      <w:i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32688"/>
    <w:rPr>
      <w:rFonts w:ascii="Times New Roman" w:eastAsiaTheme="minorEastAsia" w:hAnsi="Times New Roman" w:cs="Times New Roman"/>
      <w:i/>
      <w:iCs/>
      <w:sz w:val="23"/>
      <w:szCs w:val="23"/>
      <w:lang w:val="en-ZA" w:eastAsia="en-ZA"/>
    </w:rPr>
  </w:style>
  <w:style w:type="character" w:customStyle="1" w:styleId="Heading3Char">
    <w:name w:val="Heading 3 Char"/>
    <w:basedOn w:val="DefaultParagraphFont"/>
    <w:link w:val="Heading3"/>
    <w:uiPriority w:val="1"/>
    <w:rsid w:val="00A32688"/>
    <w:rPr>
      <w:rFonts w:ascii="Times New Roman" w:eastAsiaTheme="minorEastAsia" w:hAnsi="Times New Roman" w:cs="Times New Roman"/>
      <w:i/>
      <w:iCs/>
      <w:lang w:val="en-ZA" w:eastAsia="en-ZA"/>
    </w:rPr>
  </w:style>
  <w:style w:type="paragraph" w:styleId="BodyText">
    <w:name w:val="Body Text"/>
    <w:basedOn w:val="Normal"/>
    <w:link w:val="BodyTextChar"/>
    <w:uiPriority w:val="1"/>
    <w:qFormat/>
    <w:rsid w:val="00A32688"/>
    <w:pPr>
      <w:widowControl w:val="0"/>
      <w:autoSpaceDE w:val="0"/>
      <w:autoSpaceDN w:val="0"/>
      <w:adjustRightInd w:val="0"/>
      <w:spacing w:after="0" w:line="240" w:lineRule="auto"/>
      <w:ind w:left="1980"/>
    </w:pPr>
    <w:rPr>
      <w:rFonts w:ascii="Arial" w:eastAsiaTheme="minorEastAsia" w:hAnsi="Arial" w:cs="Arial"/>
      <w:sz w:val="19"/>
      <w:szCs w:val="19"/>
      <w:lang w:val="en-ZA" w:eastAsia="en-ZA"/>
    </w:rPr>
  </w:style>
  <w:style w:type="character" w:customStyle="1" w:styleId="BodyTextChar">
    <w:name w:val="Body Text Char"/>
    <w:basedOn w:val="DefaultParagraphFont"/>
    <w:link w:val="BodyText"/>
    <w:uiPriority w:val="1"/>
    <w:rsid w:val="00A32688"/>
    <w:rPr>
      <w:rFonts w:ascii="Arial" w:eastAsiaTheme="minorEastAsia" w:hAnsi="Arial" w:cs="Arial"/>
      <w:sz w:val="19"/>
      <w:szCs w:val="19"/>
      <w:lang w:val="en-ZA" w:eastAsia="en-ZA"/>
    </w:rPr>
  </w:style>
  <w:style w:type="paragraph" w:styleId="ListParagraph">
    <w:name w:val="List Paragraph"/>
    <w:basedOn w:val="Normal"/>
    <w:uiPriority w:val="34"/>
    <w:qFormat/>
    <w:rsid w:val="00647045"/>
    <w:pPr>
      <w:ind w:left="720"/>
      <w:contextualSpacing/>
    </w:pPr>
  </w:style>
  <w:style w:type="character" w:styleId="CommentReference">
    <w:name w:val="annotation reference"/>
    <w:basedOn w:val="DefaultParagraphFont"/>
    <w:uiPriority w:val="99"/>
    <w:semiHidden/>
    <w:unhideWhenUsed/>
    <w:rsid w:val="001214E2"/>
    <w:rPr>
      <w:sz w:val="16"/>
      <w:szCs w:val="16"/>
    </w:rPr>
  </w:style>
  <w:style w:type="paragraph" w:styleId="CommentText">
    <w:name w:val="annotation text"/>
    <w:basedOn w:val="Normal"/>
    <w:link w:val="CommentTextChar"/>
    <w:uiPriority w:val="99"/>
    <w:semiHidden/>
    <w:unhideWhenUsed/>
    <w:rsid w:val="001214E2"/>
    <w:pPr>
      <w:spacing w:line="240" w:lineRule="auto"/>
    </w:pPr>
    <w:rPr>
      <w:sz w:val="20"/>
      <w:szCs w:val="20"/>
    </w:rPr>
  </w:style>
  <w:style w:type="character" w:customStyle="1" w:styleId="CommentTextChar">
    <w:name w:val="Comment Text Char"/>
    <w:basedOn w:val="DefaultParagraphFont"/>
    <w:link w:val="CommentText"/>
    <w:uiPriority w:val="99"/>
    <w:semiHidden/>
    <w:rsid w:val="001214E2"/>
    <w:rPr>
      <w:sz w:val="20"/>
      <w:szCs w:val="20"/>
    </w:rPr>
  </w:style>
  <w:style w:type="paragraph" w:styleId="CommentSubject">
    <w:name w:val="annotation subject"/>
    <w:basedOn w:val="CommentText"/>
    <w:next w:val="CommentText"/>
    <w:link w:val="CommentSubjectChar"/>
    <w:uiPriority w:val="99"/>
    <w:semiHidden/>
    <w:unhideWhenUsed/>
    <w:rsid w:val="001214E2"/>
    <w:rPr>
      <w:b/>
      <w:bCs/>
    </w:rPr>
  </w:style>
  <w:style w:type="character" w:customStyle="1" w:styleId="CommentSubjectChar">
    <w:name w:val="Comment Subject Char"/>
    <w:basedOn w:val="CommentTextChar"/>
    <w:link w:val="CommentSubject"/>
    <w:uiPriority w:val="99"/>
    <w:semiHidden/>
    <w:rsid w:val="001214E2"/>
    <w:rPr>
      <w:b/>
      <w:bCs/>
      <w:sz w:val="20"/>
      <w:szCs w:val="20"/>
    </w:rPr>
  </w:style>
  <w:style w:type="paragraph" w:styleId="BalloonText">
    <w:name w:val="Balloon Text"/>
    <w:basedOn w:val="Normal"/>
    <w:link w:val="BalloonTextChar"/>
    <w:uiPriority w:val="99"/>
    <w:semiHidden/>
    <w:unhideWhenUsed/>
    <w:rsid w:val="00121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E2"/>
    <w:rPr>
      <w:rFonts w:ascii="Segoe UI" w:hAnsi="Segoe UI" w:cs="Segoe UI"/>
      <w:sz w:val="18"/>
      <w:szCs w:val="18"/>
    </w:rPr>
  </w:style>
  <w:style w:type="paragraph" w:styleId="FootnoteText">
    <w:name w:val="footnote text"/>
    <w:basedOn w:val="Normal"/>
    <w:link w:val="FootnoteTextChar"/>
    <w:uiPriority w:val="99"/>
    <w:unhideWhenUsed/>
    <w:rsid w:val="00FC1A42"/>
    <w:pPr>
      <w:spacing w:after="0" w:line="240" w:lineRule="auto"/>
    </w:pPr>
    <w:rPr>
      <w:sz w:val="20"/>
      <w:szCs w:val="20"/>
    </w:rPr>
  </w:style>
  <w:style w:type="character" w:customStyle="1" w:styleId="FootnoteTextChar">
    <w:name w:val="Footnote Text Char"/>
    <w:basedOn w:val="DefaultParagraphFont"/>
    <w:link w:val="FootnoteText"/>
    <w:uiPriority w:val="99"/>
    <w:rsid w:val="00FC1A42"/>
    <w:rPr>
      <w:sz w:val="20"/>
      <w:szCs w:val="20"/>
    </w:rPr>
  </w:style>
  <w:style w:type="character" w:styleId="FootnoteReference">
    <w:name w:val="footnote reference"/>
    <w:basedOn w:val="DefaultParagraphFont"/>
    <w:uiPriority w:val="99"/>
    <w:semiHidden/>
    <w:unhideWhenUsed/>
    <w:rsid w:val="00FC1A42"/>
    <w:rPr>
      <w:vertAlign w:val="superscript"/>
    </w:rPr>
  </w:style>
  <w:style w:type="character" w:styleId="Emphasis">
    <w:name w:val="Emphasis"/>
    <w:basedOn w:val="DefaultParagraphFont"/>
    <w:uiPriority w:val="20"/>
    <w:qFormat/>
    <w:rsid w:val="006E6B0C"/>
    <w:rPr>
      <w:i/>
      <w:iCs/>
    </w:rPr>
  </w:style>
  <w:style w:type="paragraph" w:styleId="Header">
    <w:name w:val="header"/>
    <w:basedOn w:val="Normal"/>
    <w:link w:val="HeaderChar"/>
    <w:uiPriority w:val="99"/>
    <w:unhideWhenUsed/>
    <w:rsid w:val="006F0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F7E"/>
  </w:style>
  <w:style w:type="paragraph" w:styleId="Footer">
    <w:name w:val="footer"/>
    <w:basedOn w:val="Normal"/>
    <w:link w:val="FooterChar"/>
    <w:uiPriority w:val="99"/>
    <w:unhideWhenUsed/>
    <w:rsid w:val="006F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F7E"/>
  </w:style>
  <w:style w:type="paragraph" w:styleId="NormalWeb">
    <w:name w:val="Normal (Web)"/>
    <w:basedOn w:val="Normal"/>
    <w:uiPriority w:val="99"/>
    <w:semiHidden/>
    <w:unhideWhenUsed/>
    <w:rsid w:val="00E37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9286">
      <w:bodyDiv w:val="1"/>
      <w:marLeft w:val="0"/>
      <w:marRight w:val="0"/>
      <w:marTop w:val="0"/>
      <w:marBottom w:val="0"/>
      <w:divBdr>
        <w:top w:val="none" w:sz="0" w:space="0" w:color="auto"/>
        <w:left w:val="none" w:sz="0" w:space="0" w:color="auto"/>
        <w:bottom w:val="none" w:sz="0" w:space="0" w:color="auto"/>
        <w:right w:val="none" w:sz="0" w:space="0" w:color="auto"/>
      </w:divBdr>
    </w:div>
    <w:div w:id="1068725999">
      <w:bodyDiv w:val="1"/>
      <w:marLeft w:val="0"/>
      <w:marRight w:val="0"/>
      <w:marTop w:val="0"/>
      <w:marBottom w:val="0"/>
      <w:divBdr>
        <w:top w:val="none" w:sz="0" w:space="0" w:color="auto"/>
        <w:left w:val="none" w:sz="0" w:space="0" w:color="auto"/>
        <w:bottom w:val="none" w:sz="0" w:space="0" w:color="auto"/>
        <w:right w:val="none" w:sz="0" w:space="0" w:color="auto"/>
      </w:divBdr>
    </w:div>
    <w:div w:id="12729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7F3A-1760-491C-8EE8-9CE2159C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9398</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23</cp:revision>
  <cp:lastPrinted>2023-03-08T13:50:00Z</cp:lastPrinted>
  <dcterms:created xsi:type="dcterms:W3CDTF">2023-03-15T10:45:00Z</dcterms:created>
  <dcterms:modified xsi:type="dcterms:W3CDTF">2023-03-22T11:00:00Z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2023-03-15T10:44:02Z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5d562027-78c1-417c-b603-d2ca2d09b293</vt:lpwstr>
  </property>
  <property fmtid="{D5CDD505-2E9C-101B-9397-08002B2CF9AE}" pid="8" name="MSIP_Label_9f914f9e-4c1b-4005-a7de-34e254df930c_ContentBits">
    <vt:lpwstr>0</vt:lpwstr>
  </property>
</Properties>
</file>