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5A78" w14:textId="77AE9E1A" w:rsidR="00D42FC9" w:rsidRDefault="00D42FC9" w:rsidP="00A143CA">
      <w:pPr>
        <w:widowControl/>
        <w:suppressAutoHyphens/>
        <w:autoSpaceDE/>
        <w:adjustRightInd/>
        <w:textAlignment w:val="baseline"/>
        <w:rPr>
          <w:rFonts w:eastAsia="Calibri"/>
          <w:b/>
          <w:sz w:val="28"/>
          <w:szCs w:val="28"/>
          <w:u w:val="single"/>
          <w:lang w:val="en-ZA" w:eastAsia="en-US"/>
        </w:rPr>
      </w:pPr>
    </w:p>
    <w:p w14:paraId="00F439E5" w14:textId="345DAFC7" w:rsidR="00376E45" w:rsidRDefault="00376E45" w:rsidP="00A143CA">
      <w:pPr>
        <w:widowControl/>
        <w:suppressAutoHyphens/>
        <w:autoSpaceDE/>
        <w:adjustRightInd/>
        <w:textAlignment w:val="baseline"/>
        <w:rPr>
          <w:rFonts w:eastAsia="Calibri"/>
          <w:b/>
          <w:sz w:val="28"/>
          <w:szCs w:val="28"/>
          <w:u w:val="single"/>
          <w:lang w:val="en-ZA" w:eastAsia="en-US"/>
        </w:rPr>
      </w:pPr>
    </w:p>
    <w:p w14:paraId="092D37DE" w14:textId="26C50512" w:rsidR="00376E45" w:rsidRDefault="00376E45" w:rsidP="00A143CA">
      <w:pPr>
        <w:widowControl/>
        <w:suppressAutoHyphens/>
        <w:autoSpaceDE/>
        <w:adjustRightInd/>
        <w:textAlignment w:val="baseline"/>
        <w:rPr>
          <w:rFonts w:eastAsia="Calibri"/>
          <w:b/>
          <w:sz w:val="28"/>
          <w:szCs w:val="28"/>
          <w:u w:val="single"/>
          <w:lang w:val="en-ZA" w:eastAsia="en-US"/>
        </w:rPr>
      </w:pPr>
    </w:p>
    <w:p w14:paraId="6F605552" w14:textId="5DB621D0" w:rsidR="00376E45" w:rsidRDefault="00376E45" w:rsidP="00A143CA">
      <w:pPr>
        <w:widowControl/>
        <w:suppressAutoHyphens/>
        <w:autoSpaceDE/>
        <w:adjustRightInd/>
        <w:textAlignment w:val="baseline"/>
        <w:rPr>
          <w:rFonts w:eastAsia="Calibri"/>
          <w:b/>
          <w:sz w:val="28"/>
          <w:szCs w:val="28"/>
          <w:u w:val="single"/>
          <w:lang w:val="en-ZA" w:eastAsia="en-US"/>
        </w:rPr>
      </w:pPr>
    </w:p>
    <w:p w14:paraId="2F3C03E7" w14:textId="2C6E7881" w:rsidR="00376E45" w:rsidRDefault="00376E45" w:rsidP="00A143CA">
      <w:pPr>
        <w:widowControl/>
        <w:suppressAutoHyphens/>
        <w:autoSpaceDE/>
        <w:adjustRightInd/>
        <w:textAlignment w:val="baseline"/>
        <w:rPr>
          <w:rFonts w:eastAsia="Calibri"/>
          <w:b/>
          <w:sz w:val="28"/>
          <w:szCs w:val="28"/>
          <w:u w:val="single"/>
          <w:lang w:val="en-ZA" w:eastAsia="en-US"/>
        </w:rPr>
      </w:pPr>
    </w:p>
    <w:p w14:paraId="7B1A93E8" w14:textId="77777777" w:rsidR="00F86092" w:rsidRDefault="00F86092" w:rsidP="00A143CA">
      <w:pPr>
        <w:widowControl/>
        <w:suppressAutoHyphens/>
        <w:autoSpaceDE/>
        <w:adjustRightInd/>
        <w:textAlignment w:val="baseline"/>
        <w:rPr>
          <w:rFonts w:eastAsia="Calibri"/>
          <w:b/>
          <w:sz w:val="28"/>
          <w:szCs w:val="28"/>
          <w:u w:val="single"/>
          <w:lang w:val="en-ZA" w:eastAsia="en-US"/>
        </w:rPr>
      </w:pPr>
    </w:p>
    <w:p w14:paraId="07493689" w14:textId="77777777" w:rsidR="00F86092" w:rsidRDefault="00F86092" w:rsidP="00A143CA">
      <w:pPr>
        <w:widowControl/>
        <w:suppressAutoHyphens/>
        <w:autoSpaceDE/>
        <w:adjustRightInd/>
        <w:textAlignment w:val="baseline"/>
        <w:rPr>
          <w:rFonts w:eastAsia="Calibri"/>
          <w:b/>
          <w:sz w:val="28"/>
          <w:szCs w:val="28"/>
          <w:u w:val="single"/>
          <w:lang w:val="en-ZA" w:eastAsia="en-US"/>
        </w:rPr>
      </w:pPr>
    </w:p>
    <w:p w14:paraId="2511C08F" w14:textId="745011CE" w:rsidR="00376E45" w:rsidRDefault="00376E45" w:rsidP="00A143CA">
      <w:pPr>
        <w:widowControl/>
        <w:suppressAutoHyphens/>
        <w:autoSpaceDE/>
        <w:adjustRightInd/>
        <w:textAlignment w:val="baseline"/>
        <w:rPr>
          <w:rFonts w:eastAsia="Calibri"/>
          <w:b/>
          <w:sz w:val="28"/>
          <w:szCs w:val="28"/>
          <w:u w:val="single"/>
          <w:lang w:val="en-ZA" w:eastAsia="en-US"/>
        </w:rPr>
      </w:pPr>
    </w:p>
    <w:p w14:paraId="3EC80B97" w14:textId="77777777" w:rsidR="00376E45" w:rsidRDefault="00376E45" w:rsidP="00A143CA">
      <w:pPr>
        <w:widowControl/>
        <w:suppressAutoHyphens/>
        <w:autoSpaceDE/>
        <w:adjustRightInd/>
        <w:textAlignment w:val="baseline"/>
        <w:rPr>
          <w:rFonts w:eastAsia="Calibri"/>
          <w:b/>
          <w:sz w:val="28"/>
          <w:szCs w:val="28"/>
          <w:u w:val="single"/>
          <w:lang w:val="en-ZA" w:eastAsia="en-US"/>
        </w:rPr>
      </w:pPr>
    </w:p>
    <w:p w14:paraId="02FF2B07" w14:textId="77777777" w:rsidR="003B1969" w:rsidRPr="0005226E" w:rsidRDefault="003B1969" w:rsidP="003B1969">
      <w:pPr>
        <w:widowControl/>
        <w:suppressAutoHyphens/>
        <w:autoSpaceDE/>
        <w:adjustRightInd/>
        <w:jc w:val="center"/>
        <w:textAlignment w:val="baseline"/>
        <w:rPr>
          <w:rFonts w:eastAsia="Calibri"/>
          <w:b/>
          <w:sz w:val="28"/>
          <w:szCs w:val="28"/>
          <w:u w:val="single"/>
          <w:lang w:val="en-ZA" w:eastAsia="en-US"/>
        </w:rPr>
      </w:pPr>
      <w:r w:rsidRPr="0005226E">
        <w:rPr>
          <w:rFonts w:eastAsia="Calibri"/>
          <w:b/>
          <w:sz w:val="28"/>
          <w:szCs w:val="28"/>
          <w:u w:val="single"/>
          <w:lang w:val="en-ZA" w:eastAsia="en-US"/>
        </w:rPr>
        <w:t xml:space="preserve">IN THE HIGH COURT OF LESOTHO </w:t>
      </w:r>
    </w:p>
    <w:p w14:paraId="12226B4F" w14:textId="77777777" w:rsidR="003B1969" w:rsidRDefault="003B1969" w:rsidP="003B1969">
      <w:pPr>
        <w:widowControl/>
        <w:suppressAutoHyphens/>
        <w:autoSpaceDE/>
        <w:adjustRightInd/>
        <w:jc w:val="center"/>
        <w:textAlignment w:val="baseline"/>
        <w:rPr>
          <w:rFonts w:eastAsia="Calibri"/>
          <w:b/>
          <w:sz w:val="28"/>
          <w:szCs w:val="28"/>
          <w:lang w:val="en-ZA" w:eastAsia="en-US"/>
        </w:rPr>
      </w:pPr>
      <w:r w:rsidRPr="009758F0">
        <w:rPr>
          <w:rFonts w:eastAsia="Calibri"/>
          <w:b/>
          <w:sz w:val="28"/>
          <w:szCs w:val="28"/>
          <w:lang w:val="en-ZA" w:eastAsia="en-US"/>
        </w:rPr>
        <w:t>(Commercial Court Division)</w:t>
      </w:r>
    </w:p>
    <w:p w14:paraId="4D7B7F48" w14:textId="77777777" w:rsidR="003B1969" w:rsidRPr="009758F0" w:rsidRDefault="003B1969" w:rsidP="003B1969">
      <w:pPr>
        <w:widowControl/>
        <w:suppressAutoHyphens/>
        <w:autoSpaceDE/>
        <w:adjustRightInd/>
        <w:jc w:val="center"/>
        <w:textAlignment w:val="baseline"/>
        <w:rPr>
          <w:rFonts w:eastAsia="Calibri"/>
          <w:b/>
          <w:sz w:val="28"/>
          <w:szCs w:val="28"/>
          <w:lang w:val="en-ZA" w:eastAsia="en-US"/>
        </w:rPr>
      </w:pPr>
    </w:p>
    <w:p w14:paraId="15CEC5E0" w14:textId="027EBCD8" w:rsidR="003B1969" w:rsidRDefault="003B1969" w:rsidP="003B1969">
      <w:pPr>
        <w:widowControl/>
        <w:suppressAutoHyphens/>
        <w:autoSpaceDE/>
        <w:adjustRightInd/>
        <w:spacing w:before="120" w:after="240"/>
        <w:textAlignment w:val="baseline"/>
        <w:rPr>
          <w:rFonts w:eastAsia="Calibri"/>
          <w:b/>
          <w:sz w:val="28"/>
          <w:szCs w:val="28"/>
          <w:lang w:val="en-ZA" w:eastAsia="en-US"/>
        </w:rPr>
      </w:pPr>
      <w:r w:rsidRPr="001D6DEA">
        <w:rPr>
          <w:rFonts w:eastAsia="Calibri"/>
          <w:b/>
          <w:sz w:val="28"/>
          <w:szCs w:val="28"/>
          <w:lang w:val="en-ZA" w:eastAsia="en-US"/>
        </w:rPr>
        <w:t>HELD AT MASERU</w:t>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Pr>
          <w:rFonts w:eastAsia="Calibri"/>
          <w:b/>
          <w:sz w:val="28"/>
          <w:szCs w:val="28"/>
          <w:lang w:val="en-ZA" w:eastAsia="en-US"/>
        </w:rPr>
        <w:tab/>
      </w:r>
      <w:r w:rsidR="00DE16F8">
        <w:rPr>
          <w:rFonts w:eastAsia="Calibri"/>
          <w:b/>
          <w:sz w:val="28"/>
          <w:szCs w:val="28"/>
          <w:lang w:val="en-ZA" w:eastAsia="en-US"/>
        </w:rPr>
        <w:t xml:space="preserve"> </w:t>
      </w:r>
      <w:r>
        <w:rPr>
          <w:rFonts w:eastAsia="Calibri"/>
          <w:b/>
          <w:sz w:val="28"/>
          <w:szCs w:val="28"/>
          <w:lang w:val="en-ZA" w:eastAsia="en-US"/>
        </w:rPr>
        <w:t>CC</w:t>
      </w:r>
      <w:r w:rsidR="00D9675E">
        <w:rPr>
          <w:rFonts w:eastAsia="Calibri"/>
          <w:b/>
          <w:sz w:val="28"/>
          <w:szCs w:val="28"/>
          <w:lang w:val="en-ZA" w:eastAsia="en-US"/>
        </w:rPr>
        <w:t>A</w:t>
      </w:r>
      <w:r>
        <w:rPr>
          <w:rFonts w:eastAsia="Calibri"/>
          <w:b/>
          <w:sz w:val="28"/>
          <w:szCs w:val="28"/>
          <w:lang w:val="en-ZA" w:eastAsia="en-US"/>
        </w:rPr>
        <w:t>/0</w:t>
      </w:r>
      <w:r w:rsidR="00D9675E">
        <w:rPr>
          <w:rFonts w:eastAsia="Calibri"/>
          <w:b/>
          <w:sz w:val="28"/>
          <w:szCs w:val="28"/>
          <w:lang w:val="en-ZA" w:eastAsia="en-US"/>
        </w:rPr>
        <w:t>044</w:t>
      </w:r>
      <w:r w:rsidRPr="001D6DEA">
        <w:rPr>
          <w:rFonts w:eastAsia="Calibri"/>
          <w:b/>
          <w:sz w:val="28"/>
          <w:szCs w:val="28"/>
          <w:lang w:val="en-ZA" w:eastAsia="en-US"/>
        </w:rPr>
        <w:t>/20</w:t>
      </w:r>
      <w:r w:rsidR="00D9675E">
        <w:rPr>
          <w:rFonts w:eastAsia="Calibri"/>
          <w:b/>
          <w:sz w:val="28"/>
          <w:szCs w:val="28"/>
          <w:lang w:val="en-ZA" w:eastAsia="en-US"/>
        </w:rPr>
        <w:t>19</w:t>
      </w:r>
    </w:p>
    <w:p w14:paraId="55B7286E" w14:textId="77777777" w:rsidR="00584E09" w:rsidRPr="001D6DEA" w:rsidRDefault="00584E09" w:rsidP="003B1969">
      <w:pPr>
        <w:widowControl/>
        <w:suppressAutoHyphens/>
        <w:autoSpaceDE/>
        <w:adjustRightInd/>
        <w:spacing w:before="120" w:after="240"/>
        <w:textAlignment w:val="baseline"/>
        <w:rPr>
          <w:rFonts w:eastAsia="Calibri"/>
          <w:b/>
          <w:sz w:val="28"/>
          <w:szCs w:val="28"/>
          <w:lang w:val="en-ZA" w:eastAsia="en-US"/>
        </w:rPr>
      </w:pPr>
    </w:p>
    <w:p w14:paraId="3889D840" w14:textId="6E96EF1B" w:rsidR="003B1969" w:rsidRDefault="003B1969" w:rsidP="003B1969">
      <w:pPr>
        <w:widowControl/>
        <w:suppressAutoHyphens/>
        <w:autoSpaceDE/>
        <w:adjustRightInd/>
        <w:spacing w:before="120" w:after="240"/>
        <w:textAlignment w:val="baseline"/>
        <w:rPr>
          <w:rFonts w:eastAsia="Calibri"/>
          <w:sz w:val="28"/>
          <w:szCs w:val="28"/>
          <w:lang w:val="en-ZA" w:eastAsia="en-US"/>
        </w:rPr>
      </w:pPr>
      <w:r w:rsidRPr="001D6DEA">
        <w:rPr>
          <w:rFonts w:eastAsia="Calibri"/>
          <w:sz w:val="28"/>
          <w:szCs w:val="28"/>
          <w:lang w:val="en-ZA" w:eastAsia="en-US"/>
        </w:rPr>
        <w:t xml:space="preserve">In the matter between: </w:t>
      </w:r>
    </w:p>
    <w:p w14:paraId="2F5FD546" w14:textId="77777777" w:rsidR="00584E09" w:rsidRPr="001D6DEA" w:rsidRDefault="00584E09" w:rsidP="003B1969">
      <w:pPr>
        <w:widowControl/>
        <w:suppressAutoHyphens/>
        <w:autoSpaceDE/>
        <w:adjustRightInd/>
        <w:spacing w:before="120" w:after="240"/>
        <w:textAlignment w:val="baseline"/>
        <w:rPr>
          <w:rFonts w:eastAsia="Calibri"/>
          <w:sz w:val="28"/>
          <w:szCs w:val="28"/>
          <w:lang w:val="en-ZA" w:eastAsia="en-US"/>
        </w:rPr>
      </w:pPr>
    </w:p>
    <w:p w14:paraId="1562A38B" w14:textId="3038E8A2" w:rsidR="003B1969" w:rsidRDefault="00D9675E" w:rsidP="003B1969">
      <w:pPr>
        <w:widowControl/>
        <w:suppressAutoHyphens/>
        <w:autoSpaceDE/>
        <w:adjustRightInd/>
        <w:spacing w:before="120" w:after="240"/>
        <w:textAlignment w:val="baseline"/>
        <w:rPr>
          <w:rFonts w:eastAsia="Calibri"/>
          <w:b/>
          <w:bCs/>
          <w:sz w:val="28"/>
          <w:szCs w:val="28"/>
          <w:lang w:val="en-ZA" w:eastAsia="en-US"/>
        </w:rPr>
      </w:pPr>
      <w:r>
        <w:rPr>
          <w:rFonts w:eastAsia="Calibri"/>
          <w:b/>
          <w:bCs/>
          <w:sz w:val="28"/>
          <w:szCs w:val="28"/>
          <w:lang w:val="en-ZA" w:eastAsia="en-US"/>
        </w:rPr>
        <w:t>PHAKOE BUILDING CONSTRUCTION</w:t>
      </w:r>
      <w:r w:rsidR="003B1969">
        <w:rPr>
          <w:rFonts w:eastAsia="Calibri"/>
          <w:b/>
          <w:bCs/>
          <w:sz w:val="28"/>
          <w:szCs w:val="28"/>
          <w:lang w:val="en-ZA" w:eastAsia="en-US"/>
        </w:rPr>
        <w:t xml:space="preserve">                     </w:t>
      </w:r>
      <w:r w:rsidR="00AC5F27">
        <w:rPr>
          <w:rFonts w:eastAsia="Calibri"/>
          <w:b/>
          <w:bCs/>
          <w:sz w:val="28"/>
          <w:szCs w:val="28"/>
          <w:lang w:val="en-ZA" w:eastAsia="en-US"/>
        </w:rPr>
        <w:t>APPLICANT</w:t>
      </w:r>
    </w:p>
    <w:p w14:paraId="0428BF5A" w14:textId="77777777" w:rsidR="003B1969" w:rsidRPr="001D6DEA" w:rsidRDefault="003B1969" w:rsidP="003B1969">
      <w:pPr>
        <w:widowControl/>
        <w:suppressAutoHyphens/>
        <w:autoSpaceDE/>
        <w:adjustRightInd/>
        <w:spacing w:before="120" w:after="240"/>
        <w:textAlignment w:val="baseline"/>
        <w:rPr>
          <w:rFonts w:eastAsia="Calibri"/>
          <w:b/>
          <w:bCs/>
          <w:sz w:val="28"/>
          <w:szCs w:val="28"/>
          <w:lang w:val="en-ZA" w:eastAsia="en-US"/>
        </w:rPr>
      </w:pPr>
      <w:r w:rsidRPr="001D6DEA">
        <w:rPr>
          <w:rFonts w:eastAsia="Calibri"/>
          <w:b/>
          <w:bCs/>
          <w:sz w:val="28"/>
          <w:szCs w:val="28"/>
          <w:lang w:val="en-ZA" w:eastAsia="en-US"/>
        </w:rPr>
        <w:tab/>
      </w:r>
    </w:p>
    <w:p w14:paraId="2A41877C" w14:textId="4366729F" w:rsidR="003B1969" w:rsidRDefault="003B1969" w:rsidP="003B1969">
      <w:pPr>
        <w:widowControl/>
        <w:suppressAutoHyphens/>
        <w:autoSpaceDE/>
        <w:adjustRightInd/>
        <w:spacing w:before="120" w:after="240"/>
        <w:jc w:val="both"/>
        <w:textAlignment w:val="baseline"/>
        <w:rPr>
          <w:rFonts w:eastAsia="Calibri"/>
          <w:sz w:val="28"/>
          <w:szCs w:val="28"/>
          <w:lang w:val="en-ZA" w:eastAsia="en-US"/>
        </w:rPr>
      </w:pPr>
      <w:r w:rsidRPr="001D6DEA">
        <w:rPr>
          <w:rFonts w:eastAsia="Calibri"/>
          <w:sz w:val="28"/>
          <w:szCs w:val="28"/>
          <w:lang w:val="en-ZA" w:eastAsia="en-US"/>
        </w:rPr>
        <w:t>And</w:t>
      </w:r>
    </w:p>
    <w:p w14:paraId="4C4823F7" w14:textId="77777777" w:rsidR="006D394F" w:rsidRPr="001D6DEA" w:rsidRDefault="006D394F" w:rsidP="003B1969">
      <w:pPr>
        <w:widowControl/>
        <w:suppressAutoHyphens/>
        <w:autoSpaceDE/>
        <w:adjustRightInd/>
        <w:spacing w:before="120" w:after="240"/>
        <w:jc w:val="both"/>
        <w:textAlignment w:val="baseline"/>
        <w:rPr>
          <w:rFonts w:eastAsia="Calibri"/>
          <w:sz w:val="28"/>
          <w:szCs w:val="28"/>
          <w:lang w:val="en-ZA" w:eastAsia="en-US"/>
        </w:rPr>
      </w:pPr>
    </w:p>
    <w:p w14:paraId="2EF764D5" w14:textId="132A009E" w:rsidR="003B1969" w:rsidRPr="001D6DEA" w:rsidRDefault="006D394F"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TS’ILO STAR CONSTRUCTION (PTY) LTD</w:t>
      </w:r>
      <w:r w:rsidR="003B1969">
        <w:rPr>
          <w:rFonts w:eastAsia="Calibri"/>
          <w:b/>
          <w:sz w:val="28"/>
          <w:szCs w:val="28"/>
          <w:lang w:val="en-ZA" w:eastAsia="en-US"/>
        </w:rPr>
        <w:t xml:space="preserve"> </w:t>
      </w:r>
      <w:r w:rsidR="003B1969">
        <w:rPr>
          <w:rFonts w:eastAsia="Calibri"/>
          <w:b/>
          <w:sz w:val="28"/>
          <w:szCs w:val="28"/>
          <w:lang w:val="en-ZA" w:eastAsia="en-US"/>
        </w:rPr>
        <w:tab/>
      </w:r>
      <w:r w:rsidR="003B1969">
        <w:rPr>
          <w:rFonts w:eastAsia="Calibri"/>
          <w:b/>
          <w:sz w:val="28"/>
          <w:szCs w:val="28"/>
          <w:lang w:val="en-ZA" w:eastAsia="en-US"/>
        </w:rPr>
        <w:tab/>
      </w:r>
      <w:r w:rsidR="003B1969" w:rsidRPr="001D6DEA">
        <w:rPr>
          <w:rFonts w:eastAsia="Calibri"/>
          <w:b/>
          <w:sz w:val="28"/>
          <w:szCs w:val="28"/>
          <w:lang w:val="en-ZA" w:eastAsia="en-US"/>
        </w:rPr>
        <w:t>1</w:t>
      </w:r>
      <w:r w:rsidR="003B1969">
        <w:rPr>
          <w:rFonts w:eastAsia="Calibri"/>
          <w:b/>
          <w:sz w:val="28"/>
          <w:szCs w:val="28"/>
          <w:vertAlign w:val="superscript"/>
          <w:lang w:val="en-ZA" w:eastAsia="en-US"/>
        </w:rPr>
        <w:t xml:space="preserve">ST </w:t>
      </w:r>
      <w:r>
        <w:rPr>
          <w:rFonts w:eastAsia="Calibri"/>
          <w:b/>
          <w:sz w:val="28"/>
          <w:szCs w:val="28"/>
          <w:lang w:val="en-ZA" w:eastAsia="en-US"/>
        </w:rPr>
        <w:t>RESPONDE</w:t>
      </w:r>
      <w:r w:rsidR="003B1969">
        <w:rPr>
          <w:rFonts w:eastAsia="Calibri"/>
          <w:b/>
          <w:sz w:val="28"/>
          <w:szCs w:val="28"/>
          <w:lang w:val="en-ZA" w:eastAsia="en-US"/>
        </w:rPr>
        <w:t>N</w:t>
      </w:r>
      <w:r w:rsidR="003B1969" w:rsidRPr="001D6DEA">
        <w:rPr>
          <w:rFonts w:eastAsia="Calibri"/>
          <w:b/>
          <w:sz w:val="28"/>
          <w:szCs w:val="28"/>
          <w:lang w:val="en-ZA" w:eastAsia="en-US"/>
        </w:rPr>
        <w:t>T</w:t>
      </w:r>
    </w:p>
    <w:p w14:paraId="63E40F7A" w14:textId="77777777" w:rsidR="003B1969" w:rsidRPr="001D6DEA" w:rsidRDefault="003B1969" w:rsidP="003B1969">
      <w:pPr>
        <w:widowControl/>
        <w:suppressAutoHyphens/>
        <w:autoSpaceDE/>
        <w:adjustRightInd/>
        <w:jc w:val="both"/>
        <w:textAlignment w:val="baseline"/>
        <w:rPr>
          <w:rFonts w:eastAsia="Calibri"/>
          <w:b/>
          <w:sz w:val="28"/>
          <w:szCs w:val="28"/>
          <w:lang w:val="en-ZA" w:eastAsia="en-US"/>
        </w:rPr>
      </w:pPr>
    </w:p>
    <w:p w14:paraId="17BD188B" w14:textId="77777777" w:rsidR="00A56ADB" w:rsidRDefault="00A56ADB"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PROCUREMENT UNIT-MINISTRY OF PUBLIC</w:t>
      </w:r>
    </w:p>
    <w:p w14:paraId="3F329BD4" w14:textId="5A78619B" w:rsidR="003B1969" w:rsidRPr="001D6DEA" w:rsidRDefault="00A56ADB"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WORKS AND TRANSPORT</w:t>
      </w:r>
      <w:r w:rsidR="003B1969">
        <w:rPr>
          <w:rFonts w:eastAsia="Calibri"/>
          <w:b/>
          <w:sz w:val="28"/>
          <w:szCs w:val="28"/>
          <w:lang w:val="en-ZA" w:eastAsia="en-US"/>
        </w:rPr>
        <w:t xml:space="preserve"> </w:t>
      </w:r>
      <w:r w:rsidR="003B1969" w:rsidRPr="001D6DEA">
        <w:rPr>
          <w:rFonts w:eastAsia="Calibri"/>
          <w:b/>
          <w:sz w:val="28"/>
          <w:szCs w:val="28"/>
          <w:lang w:val="en-ZA" w:eastAsia="en-US"/>
        </w:rPr>
        <w:tab/>
      </w:r>
      <w:r w:rsidR="003B1969">
        <w:rPr>
          <w:rFonts w:eastAsia="Calibri"/>
          <w:b/>
          <w:sz w:val="28"/>
          <w:szCs w:val="28"/>
          <w:lang w:val="en-ZA" w:eastAsia="en-US"/>
        </w:rPr>
        <w:t xml:space="preserve"> </w:t>
      </w:r>
      <w:r w:rsidR="003B1969">
        <w:rPr>
          <w:rFonts w:eastAsia="Calibri"/>
          <w:b/>
          <w:sz w:val="28"/>
          <w:szCs w:val="28"/>
          <w:lang w:val="en-ZA" w:eastAsia="en-US"/>
        </w:rPr>
        <w:tab/>
      </w:r>
      <w:r w:rsidR="003B1969">
        <w:rPr>
          <w:rFonts w:eastAsia="Calibri"/>
          <w:b/>
          <w:sz w:val="28"/>
          <w:szCs w:val="28"/>
          <w:lang w:val="en-ZA" w:eastAsia="en-US"/>
        </w:rPr>
        <w:tab/>
      </w:r>
      <w:r w:rsidR="003B1969">
        <w:rPr>
          <w:rFonts w:eastAsia="Calibri"/>
          <w:b/>
          <w:sz w:val="28"/>
          <w:szCs w:val="28"/>
          <w:lang w:val="en-ZA" w:eastAsia="en-US"/>
        </w:rPr>
        <w:tab/>
      </w:r>
      <w:r w:rsidR="003B1969" w:rsidRPr="001D6DEA">
        <w:rPr>
          <w:rFonts w:eastAsia="Calibri"/>
          <w:b/>
          <w:sz w:val="28"/>
          <w:szCs w:val="28"/>
          <w:lang w:val="en-ZA" w:eastAsia="en-US"/>
        </w:rPr>
        <w:t>2</w:t>
      </w:r>
      <w:r w:rsidR="003B1969" w:rsidRPr="001D6DEA">
        <w:rPr>
          <w:rFonts w:eastAsia="Calibri"/>
          <w:b/>
          <w:sz w:val="28"/>
          <w:szCs w:val="28"/>
          <w:vertAlign w:val="superscript"/>
          <w:lang w:val="en-ZA" w:eastAsia="en-US"/>
        </w:rPr>
        <w:t>ND</w:t>
      </w:r>
      <w:r w:rsidR="003B1969">
        <w:rPr>
          <w:rFonts w:eastAsia="Calibri"/>
          <w:b/>
          <w:sz w:val="28"/>
          <w:szCs w:val="28"/>
          <w:lang w:val="en-ZA" w:eastAsia="en-US"/>
        </w:rPr>
        <w:t xml:space="preserve"> </w:t>
      </w:r>
      <w:r>
        <w:rPr>
          <w:rFonts w:eastAsia="Calibri"/>
          <w:b/>
          <w:sz w:val="28"/>
          <w:szCs w:val="28"/>
          <w:lang w:val="en-ZA" w:eastAsia="en-US"/>
        </w:rPr>
        <w:t>RESPONDE</w:t>
      </w:r>
      <w:r w:rsidR="003B1969">
        <w:rPr>
          <w:rFonts w:eastAsia="Calibri"/>
          <w:b/>
          <w:sz w:val="28"/>
          <w:szCs w:val="28"/>
          <w:lang w:val="en-ZA" w:eastAsia="en-US"/>
        </w:rPr>
        <w:t>NT</w:t>
      </w:r>
    </w:p>
    <w:p w14:paraId="1390EC0F" w14:textId="77777777" w:rsidR="003B1969" w:rsidRPr="001D6DEA" w:rsidRDefault="003B1969" w:rsidP="003B1969">
      <w:pPr>
        <w:widowControl/>
        <w:suppressAutoHyphens/>
        <w:autoSpaceDE/>
        <w:adjustRightInd/>
        <w:jc w:val="both"/>
        <w:textAlignment w:val="baseline"/>
        <w:rPr>
          <w:rFonts w:eastAsia="Calibri"/>
          <w:b/>
          <w:sz w:val="28"/>
          <w:szCs w:val="28"/>
          <w:lang w:val="en-ZA" w:eastAsia="en-US"/>
        </w:rPr>
      </w:pPr>
    </w:p>
    <w:p w14:paraId="39BCBF56" w14:textId="7EC63FA5" w:rsidR="003B1969" w:rsidRDefault="00A56ADB"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MINISTER OF PUBLIC WORKS AND INDUSTRY</w:t>
      </w:r>
      <w:r w:rsidR="008B122E">
        <w:rPr>
          <w:rFonts w:eastAsia="Calibri"/>
          <w:b/>
          <w:sz w:val="28"/>
          <w:szCs w:val="28"/>
          <w:lang w:val="en-ZA" w:eastAsia="en-US"/>
        </w:rPr>
        <w:t xml:space="preserve"> </w:t>
      </w:r>
      <w:r w:rsidR="008B122E">
        <w:rPr>
          <w:rFonts w:eastAsia="Calibri"/>
          <w:b/>
          <w:sz w:val="28"/>
          <w:szCs w:val="28"/>
          <w:lang w:val="en-ZA" w:eastAsia="en-US"/>
        </w:rPr>
        <w:tab/>
      </w:r>
      <w:r w:rsidR="003B1969" w:rsidRPr="001D6DEA">
        <w:rPr>
          <w:rFonts w:eastAsia="Calibri"/>
          <w:b/>
          <w:sz w:val="28"/>
          <w:szCs w:val="28"/>
          <w:lang w:val="en-ZA" w:eastAsia="en-US"/>
        </w:rPr>
        <w:t>3</w:t>
      </w:r>
      <w:r w:rsidR="003B1969">
        <w:rPr>
          <w:rFonts w:eastAsia="Calibri"/>
          <w:b/>
          <w:sz w:val="28"/>
          <w:szCs w:val="28"/>
          <w:vertAlign w:val="superscript"/>
          <w:lang w:val="en-ZA" w:eastAsia="en-US"/>
        </w:rPr>
        <w:t xml:space="preserve">RD </w:t>
      </w:r>
      <w:r w:rsidR="005C5C27">
        <w:rPr>
          <w:rFonts w:eastAsia="Calibri"/>
          <w:b/>
          <w:sz w:val="28"/>
          <w:szCs w:val="28"/>
          <w:lang w:val="en-ZA" w:eastAsia="en-US"/>
        </w:rPr>
        <w:t>RESPONDE</w:t>
      </w:r>
      <w:r w:rsidR="003B1969">
        <w:rPr>
          <w:rFonts w:eastAsia="Calibri"/>
          <w:b/>
          <w:sz w:val="28"/>
          <w:szCs w:val="28"/>
          <w:lang w:val="en-ZA" w:eastAsia="en-US"/>
        </w:rPr>
        <w:t>NT</w:t>
      </w:r>
    </w:p>
    <w:p w14:paraId="19050F73" w14:textId="77777777" w:rsidR="003B1969" w:rsidRDefault="003B1969" w:rsidP="003B1969">
      <w:pPr>
        <w:widowControl/>
        <w:suppressAutoHyphens/>
        <w:autoSpaceDE/>
        <w:adjustRightInd/>
        <w:jc w:val="both"/>
        <w:textAlignment w:val="baseline"/>
        <w:rPr>
          <w:rFonts w:eastAsia="Calibri"/>
          <w:b/>
          <w:sz w:val="28"/>
          <w:szCs w:val="28"/>
          <w:lang w:val="en-ZA" w:eastAsia="en-US"/>
        </w:rPr>
      </w:pPr>
    </w:p>
    <w:p w14:paraId="138B58FB" w14:textId="57C6FA60" w:rsidR="003B1969" w:rsidRDefault="005C5C27" w:rsidP="003B1969">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THE ATTORNEY GENERAL</w:t>
      </w:r>
      <w:r>
        <w:rPr>
          <w:rFonts w:eastAsia="Calibri"/>
          <w:b/>
          <w:sz w:val="28"/>
          <w:szCs w:val="28"/>
          <w:lang w:val="en-ZA" w:eastAsia="en-US"/>
        </w:rPr>
        <w:tab/>
      </w:r>
      <w:r>
        <w:rPr>
          <w:rFonts w:eastAsia="Calibri"/>
          <w:b/>
          <w:sz w:val="28"/>
          <w:szCs w:val="28"/>
          <w:lang w:val="en-ZA" w:eastAsia="en-US"/>
        </w:rPr>
        <w:tab/>
      </w:r>
      <w:r w:rsidR="008B122E">
        <w:rPr>
          <w:rFonts w:eastAsia="Calibri"/>
          <w:b/>
          <w:sz w:val="28"/>
          <w:szCs w:val="28"/>
          <w:lang w:val="en-ZA" w:eastAsia="en-US"/>
        </w:rPr>
        <w:tab/>
      </w:r>
      <w:r w:rsidR="008B122E">
        <w:rPr>
          <w:rFonts w:eastAsia="Calibri"/>
          <w:b/>
          <w:sz w:val="28"/>
          <w:szCs w:val="28"/>
          <w:lang w:val="en-ZA" w:eastAsia="en-US"/>
        </w:rPr>
        <w:tab/>
      </w:r>
      <w:r w:rsidR="003B1969">
        <w:rPr>
          <w:rFonts w:eastAsia="Calibri"/>
          <w:b/>
          <w:sz w:val="28"/>
          <w:szCs w:val="28"/>
          <w:lang w:val="en-ZA" w:eastAsia="en-US"/>
        </w:rPr>
        <w:t>4</w:t>
      </w:r>
      <w:r w:rsidR="003B1969" w:rsidRPr="00E548DC">
        <w:rPr>
          <w:rFonts w:eastAsia="Calibri"/>
          <w:b/>
          <w:sz w:val="28"/>
          <w:szCs w:val="28"/>
          <w:vertAlign w:val="superscript"/>
          <w:lang w:val="en-ZA" w:eastAsia="en-US"/>
        </w:rPr>
        <w:t>TH</w:t>
      </w:r>
      <w:r w:rsidR="008B122E">
        <w:rPr>
          <w:rFonts w:eastAsia="Calibri"/>
          <w:b/>
          <w:sz w:val="28"/>
          <w:szCs w:val="28"/>
          <w:lang w:val="en-ZA" w:eastAsia="en-US"/>
        </w:rPr>
        <w:t xml:space="preserve"> </w:t>
      </w:r>
      <w:r>
        <w:rPr>
          <w:rFonts w:eastAsia="Calibri"/>
          <w:b/>
          <w:sz w:val="28"/>
          <w:szCs w:val="28"/>
          <w:lang w:val="en-ZA" w:eastAsia="en-US"/>
        </w:rPr>
        <w:t>RESPONDE</w:t>
      </w:r>
      <w:r w:rsidR="008B122E">
        <w:rPr>
          <w:rFonts w:eastAsia="Calibri"/>
          <w:b/>
          <w:sz w:val="28"/>
          <w:szCs w:val="28"/>
          <w:lang w:val="en-ZA" w:eastAsia="en-US"/>
        </w:rPr>
        <w:t>NT</w:t>
      </w:r>
    </w:p>
    <w:p w14:paraId="1C15195B" w14:textId="77777777" w:rsidR="00D42FC9" w:rsidRPr="001D6DEA" w:rsidRDefault="00D42FC9" w:rsidP="003B1969">
      <w:pPr>
        <w:widowControl/>
        <w:suppressAutoHyphens/>
        <w:autoSpaceDE/>
        <w:adjustRightInd/>
        <w:jc w:val="both"/>
        <w:textAlignment w:val="baseline"/>
        <w:rPr>
          <w:rFonts w:eastAsia="Calibri"/>
          <w:b/>
          <w:sz w:val="28"/>
          <w:szCs w:val="28"/>
          <w:lang w:val="en-ZA" w:eastAsia="en-US"/>
        </w:rPr>
      </w:pPr>
    </w:p>
    <w:p w14:paraId="63E15219" w14:textId="77777777" w:rsidR="003B1969" w:rsidRPr="001D6DEA" w:rsidRDefault="003B1969" w:rsidP="003B1969">
      <w:pPr>
        <w:widowControl/>
        <w:suppressAutoHyphens/>
        <w:autoSpaceDE/>
        <w:adjustRightInd/>
        <w:jc w:val="both"/>
        <w:textAlignment w:val="baseline"/>
        <w:rPr>
          <w:rFonts w:eastAsia="Calibri"/>
          <w:b/>
          <w:sz w:val="28"/>
          <w:szCs w:val="28"/>
          <w:lang w:val="en-ZA" w:eastAsia="en-US"/>
        </w:rPr>
      </w:pPr>
    </w:p>
    <w:p w14:paraId="3B57662F" w14:textId="6E1E5D61" w:rsidR="00D42FC9" w:rsidRDefault="003B1969" w:rsidP="003B1969">
      <w:pPr>
        <w:widowControl/>
        <w:suppressAutoHyphens/>
        <w:autoSpaceDE/>
        <w:adjustRightInd/>
        <w:jc w:val="both"/>
        <w:textAlignment w:val="baseline"/>
        <w:rPr>
          <w:rFonts w:eastAsia="Calibri"/>
          <w:b/>
          <w:sz w:val="28"/>
          <w:szCs w:val="28"/>
          <w:lang w:val="en-ZA" w:eastAsia="en-US"/>
        </w:rPr>
      </w:pPr>
      <w:r w:rsidRPr="001D6DEA">
        <w:rPr>
          <w:rFonts w:eastAsia="Calibri"/>
          <w:b/>
          <w:sz w:val="28"/>
          <w:szCs w:val="28"/>
          <w:lang w:val="en-ZA" w:eastAsia="en-US"/>
        </w:rPr>
        <w:t>Neutral citation:</w:t>
      </w:r>
      <w:r w:rsidR="00D347E8">
        <w:rPr>
          <w:rFonts w:eastAsia="Calibri"/>
          <w:b/>
          <w:sz w:val="28"/>
          <w:szCs w:val="28"/>
          <w:lang w:val="en-ZA" w:eastAsia="en-US"/>
        </w:rPr>
        <w:t xml:space="preserve">  </w:t>
      </w:r>
      <w:r w:rsidR="00CA22E1">
        <w:rPr>
          <w:rFonts w:eastAsia="Calibri"/>
          <w:bCs/>
          <w:sz w:val="28"/>
          <w:szCs w:val="28"/>
          <w:lang w:val="en-ZA" w:eastAsia="en-US"/>
        </w:rPr>
        <w:t>Phakoe Building Construction</w:t>
      </w:r>
      <w:r w:rsidR="00D347E8">
        <w:rPr>
          <w:rFonts w:eastAsia="Calibri"/>
          <w:bCs/>
          <w:sz w:val="28"/>
          <w:szCs w:val="28"/>
          <w:lang w:val="en-ZA" w:eastAsia="en-US"/>
        </w:rPr>
        <w:t xml:space="preserve"> </w:t>
      </w:r>
      <w:r w:rsidR="008D6B7E">
        <w:rPr>
          <w:rFonts w:eastAsia="Calibri"/>
          <w:bCs/>
          <w:sz w:val="28"/>
          <w:szCs w:val="28"/>
          <w:lang w:val="en-ZA" w:eastAsia="en-US"/>
        </w:rPr>
        <w:t>v. Ts’ilo</w:t>
      </w:r>
      <w:r w:rsidR="00CA22E1">
        <w:rPr>
          <w:rFonts w:eastAsia="Calibri"/>
          <w:bCs/>
          <w:sz w:val="28"/>
          <w:szCs w:val="28"/>
          <w:lang w:val="en-ZA" w:eastAsia="en-US"/>
        </w:rPr>
        <w:t xml:space="preserve"> Star Construction (Pty) Ltd </w:t>
      </w:r>
      <w:r w:rsidR="00D347E8">
        <w:rPr>
          <w:rFonts w:eastAsia="Calibri"/>
          <w:bCs/>
          <w:sz w:val="28"/>
          <w:szCs w:val="28"/>
          <w:lang w:val="en-ZA" w:eastAsia="en-US"/>
        </w:rPr>
        <w:t xml:space="preserve">&amp; 3 </w:t>
      </w:r>
      <w:r w:rsidR="008D6B7E">
        <w:rPr>
          <w:rFonts w:eastAsia="Calibri"/>
          <w:bCs/>
          <w:sz w:val="28"/>
          <w:szCs w:val="28"/>
          <w:lang w:val="en-ZA" w:eastAsia="en-US"/>
        </w:rPr>
        <w:t>others [</w:t>
      </w:r>
      <w:r w:rsidR="00D347E8">
        <w:rPr>
          <w:rFonts w:eastAsia="Calibri"/>
          <w:bCs/>
          <w:sz w:val="28"/>
          <w:szCs w:val="28"/>
          <w:lang w:val="en-ZA" w:eastAsia="en-US"/>
        </w:rPr>
        <w:t>20</w:t>
      </w:r>
      <w:r w:rsidR="00CA22E1">
        <w:rPr>
          <w:rFonts w:eastAsia="Calibri"/>
          <w:bCs/>
          <w:sz w:val="28"/>
          <w:szCs w:val="28"/>
          <w:lang w:val="en-ZA" w:eastAsia="en-US"/>
        </w:rPr>
        <w:t>19</w:t>
      </w:r>
      <w:r w:rsidR="00D347E8">
        <w:rPr>
          <w:rFonts w:eastAsia="Calibri"/>
          <w:bCs/>
          <w:sz w:val="28"/>
          <w:szCs w:val="28"/>
          <w:lang w:val="en-ZA" w:eastAsia="en-US"/>
        </w:rPr>
        <w:t>] LSHC</w:t>
      </w:r>
      <w:r w:rsidR="00EF3592">
        <w:rPr>
          <w:rFonts w:eastAsia="Calibri"/>
          <w:bCs/>
          <w:sz w:val="28"/>
          <w:szCs w:val="28"/>
          <w:lang w:val="en-ZA" w:eastAsia="en-US"/>
        </w:rPr>
        <w:t xml:space="preserve"> 49</w:t>
      </w:r>
      <w:r w:rsidR="00D347E8">
        <w:rPr>
          <w:rFonts w:eastAsia="Calibri"/>
          <w:bCs/>
          <w:sz w:val="28"/>
          <w:szCs w:val="28"/>
          <w:lang w:val="en-ZA" w:eastAsia="en-US"/>
        </w:rPr>
        <w:t xml:space="preserve"> COM (</w:t>
      </w:r>
      <w:r w:rsidR="00663483">
        <w:rPr>
          <w:rFonts w:eastAsia="Calibri"/>
          <w:bCs/>
          <w:sz w:val="28"/>
          <w:szCs w:val="28"/>
          <w:lang w:val="en-ZA" w:eastAsia="en-US"/>
        </w:rPr>
        <w:t>13</w:t>
      </w:r>
      <w:r w:rsidR="00663483" w:rsidRPr="009438EA">
        <w:rPr>
          <w:rFonts w:eastAsia="Calibri"/>
          <w:bCs/>
          <w:sz w:val="28"/>
          <w:szCs w:val="28"/>
          <w:vertAlign w:val="superscript"/>
          <w:lang w:val="en-ZA" w:eastAsia="en-US"/>
        </w:rPr>
        <w:t>th</w:t>
      </w:r>
      <w:r w:rsidR="00663483">
        <w:rPr>
          <w:rFonts w:eastAsia="Calibri"/>
          <w:bCs/>
          <w:sz w:val="28"/>
          <w:szCs w:val="28"/>
          <w:lang w:val="en-ZA" w:eastAsia="en-US"/>
        </w:rPr>
        <w:t xml:space="preserve"> March</w:t>
      </w:r>
      <w:r w:rsidR="00D347E8">
        <w:rPr>
          <w:rFonts w:eastAsia="Calibri"/>
          <w:bCs/>
          <w:sz w:val="28"/>
          <w:szCs w:val="28"/>
          <w:lang w:val="en-ZA" w:eastAsia="en-US"/>
        </w:rPr>
        <w:t>2023)</w:t>
      </w:r>
    </w:p>
    <w:p w14:paraId="56177CC5" w14:textId="26A5A27D" w:rsidR="003B1969" w:rsidRPr="001D6DEA" w:rsidRDefault="003B1969" w:rsidP="003B1969">
      <w:pPr>
        <w:widowControl/>
        <w:suppressAutoHyphens/>
        <w:autoSpaceDE/>
        <w:adjustRightInd/>
        <w:jc w:val="both"/>
        <w:textAlignment w:val="baseline"/>
        <w:rPr>
          <w:rFonts w:eastAsia="Calibri"/>
          <w:bCs/>
          <w:sz w:val="28"/>
          <w:szCs w:val="28"/>
          <w:lang w:val="en-ZA" w:eastAsia="en-US"/>
        </w:rPr>
      </w:pPr>
      <w:r w:rsidRPr="001D6DEA">
        <w:rPr>
          <w:rFonts w:eastAsia="Calibri"/>
          <w:b/>
          <w:sz w:val="28"/>
          <w:szCs w:val="28"/>
          <w:lang w:val="en-ZA" w:eastAsia="en-US"/>
        </w:rPr>
        <w:t xml:space="preserve"> </w:t>
      </w:r>
    </w:p>
    <w:p w14:paraId="5E1A7CCA" w14:textId="77777777" w:rsidR="003B1969" w:rsidRPr="001D6DEA" w:rsidRDefault="003B1969" w:rsidP="003B1969">
      <w:pPr>
        <w:pStyle w:val="NoSpacing"/>
        <w:rPr>
          <w:rFonts w:eastAsia="Calibri"/>
          <w:sz w:val="28"/>
          <w:szCs w:val="28"/>
          <w:lang w:val="en-ZA" w:eastAsia="en-US"/>
        </w:rPr>
      </w:pP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p>
    <w:p w14:paraId="39322873" w14:textId="77777777" w:rsidR="003B1969" w:rsidRPr="001D6DEA" w:rsidRDefault="003B1969" w:rsidP="00805A5D">
      <w:pPr>
        <w:widowControl/>
        <w:tabs>
          <w:tab w:val="left" w:pos="1134"/>
        </w:tabs>
        <w:suppressAutoHyphens/>
        <w:autoSpaceDE/>
        <w:adjustRightInd/>
        <w:jc w:val="both"/>
        <w:textAlignment w:val="baseline"/>
        <w:rPr>
          <w:rFonts w:eastAsia="Calibri"/>
          <w:b/>
          <w:iCs/>
          <w:sz w:val="28"/>
          <w:szCs w:val="28"/>
          <w:lang w:val="en-ZA" w:eastAsia="en-US"/>
        </w:rPr>
      </w:pPr>
      <w:r w:rsidRPr="001D6DEA">
        <w:rPr>
          <w:rFonts w:eastAsia="Calibri"/>
          <w:b/>
          <w:iCs/>
          <w:sz w:val="28"/>
          <w:szCs w:val="28"/>
          <w:lang w:val="en-ZA" w:eastAsia="en-US"/>
        </w:rPr>
        <w:t>CORAM:</w:t>
      </w:r>
      <w:r w:rsidRPr="001D6DEA">
        <w:rPr>
          <w:rFonts w:eastAsia="Calibri"/>
          <w:b/>
          <w:iCs/>
          <w:sz w:val="28"/>
          <w:szCs w:val="28"/>
          <w:lang w:val="en-ZA" w:eastAsia="en-US"/>
        </w:rPr>
        <w:tab/>
      </w:r>
      <w:r w:rsidRPr="001D6DEA">
        <w:rPr>
          <w:rFonts w:eastAsia="Calibri"/>
          <w:b/>
          <w:iCs/>
          <w:sz w:val="28"/>
          <w:szCs w:val="28"/>
          <w:lang w:val="en-ZA" w:eastAsia="en-US"/>
        </w:rPr>
        <w:tab/>
        <w:t>MATHABA J</w:t>
      </w:r>
    </w:p>
    <w:p w14:paraId="5446A02A" w14:textId="14D015B0" w:rsidR="003B1969" w:rsidRPr="001D6DEA" w:rsidRDefault="003B1969" w:rsidP="00805A5D">
      <w:pPr>
        <w:widowControl/>
        <w:tabs>
          <w:tab w:val="left" w:pos="1134"/>
        </w:tabs>
        <w:suppressAutoHyphens/>
        <w:autoSpaceDE/>
        <w:adjustRightInd/>
        <w:jc w:val="both"/>
        <w:textAlignment w:val="baseline"/>
        <w:rPr>
          <w:rFonts w:eastAsia="Calibri"/>
          <w:b/>
          <w:sz w:val="28"/>
          <w:szCs w:val="28"/>
          <w:lang w:val="en-ZA" w:eastAsia="en-US"/>
        </w:rPr>
      </w:pPr>
      <w:r w:rsidRPr="001D6DEA">
        <w:rPr>
          <w:rFonts w:eastAsia="Calibri"/>
          <w:b/>
          <w:iCs/>
          <w:sz w:val="28"/>
          <w:szCs w:val="28"/>
          <w:lang w:val="en-ZA" w:eastAsia="en-US"/>
        </w:rPr>
        <w:t xml:space="preserve">Heard On: </w:t>
      </w:r>
      <w:r w:rsidR="00161E99">
        <w:rPr>
          <w:rFonts w:eastAsia="Calibri"/>
          <w:b/>
          <w:iCs/>
          <w:sz w:val="28"/>
          <w:szCs w:val="28"/>
          <w:lang w:val="en-ZA" w:eastAsia="en-US"/>
        </w:rPr>
        <w:tab/>
      </w:r>
      <w:r w:rsidR="00161E99">
        <w:rPr>
          <w:rFonts w:eastAsia="Calibri"/>
          <w:b/>
          <w:iCs/>
          <w:sz w:val="28"/>
          <w:szCs w:val="28"/>
          <w:lang w:val="en-ZA" w:eastAsia="en-US"/>
        </w:rPr>
        <w:tab/>
      </w:r>
      <w:r w:rsidR="00A143CA">
        <w:rPr>
          <w:rFonts w:eastAsia="Calibri"/>
          <w:b/>
          <w:iCs/>
          <w:sz w:val="28"/>
          <w:szCs w:val="28"/>
          <w:lang w:val="en-ZA" w:eastAsia="en-US"/>
        </w:rPr>
        <w:t>10</w:t>
      </w:r>
      <w:r w:rsidR="00A143CA" w:rsidRPr="00A143CA">
        <w:rPr>
          <w:rFonts w:eastAsia="Calibri"/>
          <w:b/>
          <w:iCs/>
          <w:sz w:val="28"/>
          <w:szCs w:val="28"/>
          <w:vertAlign w:val="superscript"/>
          <w:lang w:val="en-ZA" w:eastAsia="en-US"/>
        </w:rPr>
        <w:t>th</w:t>
      </w:r>
      <w:r w:rsidR="00A143CA">
        <w:rPr>
          <w:rFonts w:eastAsia="Calibri"/>
          <w:b/>
          <w:iCs/>
          <w:sz w:val="28"/>
          <w:szCs w:val="28"/>
          <w:lang w:val="en-ZA" w:eastAsia="en-US"/>
        </w:rPr>
        <w:t xml:space="preserve"> November 2022</w:t>
      </w:r>
      <w:r w:rsidRPr="001D6DEA">
        <w:rPr>
          <w:rFonts w:eastAsia="Calibri"/>
          <w:b/>
          <w:iCs/>
          <w:sz w:val="28"/>
          <w:szCs w:val="28"/>
          <w:lang w:val="en-ZA" w:eastAsia="en-US"/>
        </w:rPr>
        <w:tab/>
      </w:r>
      <w:r w:rsidRPr="001D6DEA">
        <w:rPr>
          <w:rFonts w:eastAsia="Calibri"/>
          <w:b/>
          <w:iCs/>
          <w:sz w:val="28"/>
          <w:szCs w:val="28"/>
          <w:lang w:val="en-ZA" w:eastAsia="en-US"/>
        </w:rPr>
        <w:tab/>
      </w:r>
    </w:p>
    <w:p w14:paraId="24808C06" w14:textId="6DCF0A4E" w:rsidR="00231992" w:rsidRDefault="003B1969" w:rsidP="00B97895">
      <w:pPr>
        <w:widowControl/>
        <w:tabs>
          <w:tab w:val="left" w:pos="1134"/>
        </w:tabs>
        <w:suppressAutoHyphens/>
        <w:autoSpaceDE/>
        <w:adjustRightInd/>
        <w:jc w:val="both"/>
        <w:textAlignment w:val="baseline"/>
        <w:rPr>
          <w:rFonts w:eastAsia="Calibri"/>
          <w:b/>
          <w:iCs/>
          <w:sz w:val="28"/>
          <w:szCs w:val="28"/>
          <w:lang w:val="en-ZA" w:eastAsia="en-US"/>
        </w:rPr>
      </w:pPr>
      <w:r w:rsidRPr="00DF04D8">
        <w:rPr>
          <w:rFonts w:eastAsia="Calibri"/>
          <w:b/>
          <w:iCs/>
          <w:sz w:val="28"/>
          <w:szCs w:val="28"/>
          <w:lang w:val="en-ZA" w:eastAsia="en-US"/>
        </w:rPr>
        <w:t>D</w:t>
      </w:r>
      <w:r>
        <w:rPr>
          <w:rFonts w:eastAsia="Calibri"/>
          <w:b/>
          <w:iCs/>
          <w:sz w:val="28"/>
          <w:szCs w:val="28"/>
          <w:lang w:val="en-ZA" w:eastAsia="en-US"/>
        </w:rPr>
        <w:t>elivered On</w:t>
      </w:r>
      <w:r w:rsidRPr="00DF04D8">
        <w:rPr>
          <w:rFonts w:eastAsia="Calibri"/>
          <w:b/>
          <w:iCs/>
          <w:sz w:val="28"/>
          <w:szCs w:val="28"/>
          <w:lang w:val="en-ZA" w:eastAsia="en-US"/>
        </w:rPr>
        <w:t>:</w:t>
      </w:r>
      <w:r w:rsidR="00161E99">
        <w:rPr>
          <w:rFonts w:eastAsia="Calibri"/>
          <w:b/>
          <w:iCs/>
          <w:sz w:val="28"/>
          <w:szCs w:val="28"/>
          <w:lang w:val="en-ZA" w:eastAsia="en-US"/>
        </w:rPr>
        <w:tab/>
      </w:r>
      <w:r w:rsidR="00164F0D">
        <w:rPr>
          <w:rFonts w:eastAsia="Calibri"/>
          <w:b/>
          <w:iCs/>
          <w:sz w:val="28"/>
          <w:szCs w:val="28"/>
          <w:lang w:val="en-ZA" w:eastAsia="en-US"/>
        </w:rPr>
        <w:t>13</w:t>
      </w:r>
      <w:r w:rsidR="00164F0D" w:rsidRPr="00164F0D">
        <w:rPr>
          <w:rFonts w:eastAsia="Calibri"/>
          <w:b/>
          <w:iCs/>
          <w:sz w:val="28"/>
          <w:szCs w:val="28"/>
          <w:vertAlign w:val="superscript"/>
          <w:lang w:val="en-ZA" w:eastAsia="en-US"/>
        </w:rPr>
        <w:t>th</w:t>
      </w:r>
      <w:r w:rsidR="00164F0D">
        <w:rPr>
          <w:rFonts w:eastAsia="Calibri"/>
          <w:b/>
          <w:iCs/>
          <w:sz w:val="28"/>
          <w:szCs w:val="28"/>
          <w:lang w:val="en-ZA" w:eastAsia="en-US"/>
        </w:rPr>
        <w:t xml:space="preserve"> March 202</w:t>
      </w:r>
      <w:r w:rsidR="00EF0680">
        <w:rPr>
          <w:rFonts w:eastAsia="Calibri"/>
          <w:b/>
          <w:iCs/>
          <w:sz w:val="28"/>
          <w:szCs w:val="28"/>
          <w:lang w:val="en-ZA" w:eastAsia="en-US"/>
        </w:rPr>
        <w:t>3</w:t>
      </w:r>
      <w:r w:rsidRPr="00DF04D8">
        <w:rPr>
          <w:rFonts w:eastAsia="Calibri"/>
          <w:b/>
          <w:iCs/>
          <w:sz w:val="28"/>
          <w:szCs w:val="28"/>
          <w:lang w:val="en-ZA" w:eastAsia="en-US"/>
        </w:rPr>
        <w:tab/>
      </w:r>
    </w:p>
    <w:p w14:paraId="054298E8" w14:textId="6FDDD550" w:rsidR="001F3AEB" w:rsidRDefault="003B1969" w:rsidP="00AC0B1C">
      <w:pPr>
        <w:tabs>
          <w:tab w:val="left" w:pos="720"/>
        </w:tabs>
        <w:spacing w:line="360" w:lineRule="auto"/>
        <w:jc w:val="center"/>
        <w:rPr>
          <w:b/>
          <w:bCs/>
          <w:iCs/>
          <w:sz w:val="28"/>
          <w:szCs w:val="28"/>
          <w:lang w:val="en-GB"/>
        </w:rPr>
      </w:pPr>
      <w:r w:rsidRPr="008028C8">
        <w:rPr>
          <w:b/>
          <w:bCs/>
          <w:iCs/>
          <w:sz w:val="28"/>
          <w:szCs w:val="28"/>
          <w:lang w:val="en-GB"/>
        </w:rPr>
        <w:lastRenderedPageBreak/>
        <w:t>SUMMARY</w:t>
      </w:r>
      <w:r w:rsidR="0032045C">
        <w:rPr>
          <w:b/>
          <w:bCs/>
          <w:iCs/>
          <w:sz w:val="28"/>
          <w:szCs w:val="28"/>
          <w:lang w:val="en-GB"/>
        </w:rPr>
        <w:t>:</w:t>
      </w:r>
    </w:p>
    <w:p w14:paraId="2C4D57D3" w14:textId="2E2EF393" w:rsidR="0032045C" w:rsidRDefault="0032045C" w:rsidP="00AC0B1C">
      <w:pPr>
        <w:tabs>
          <w:tab w:val="left" w:pos="720"/>
        </w:tabs>
        <w:spacing w:line="360" w:lineRule="auto"/>
        <w:jc w:val="center"/>
        <w:rPr>
          <w:b/>
          <w:bCs/>
          <w:iCs/>
          <w:sz w:val="28"/>
          <w:szCs w:val="28"/>
          <w:lang w:val="en-GB"/>
        </w:rPr>
      </w:pPr>
    </w:p>
    <w:p w14:paraId="57F09658" w14:textId="0635ED34" w:rsidR="0032045C" w:rsidRDefault="0032045C" w:rsidP="008D6B7E">
      <w:pPr>
        <w:tabs>
          <w:tab w:val="left" w:pos="720"/>
        </w:tabs>
        <w:jc w:val="both"/>
        <w:rPr>
          <w:iCs/>
          <w:sz w:val="28"/>
          <w:szCs w:val="28"/>
          <w:lang w:val="en-GB"/>
        </w:rPr>
      </w:pPr>
      <w:r w:rsidRPr="008D6B7E">
        <w:rPr>
          <w:i/>
          <w:sz w:val="28"/>
          <w:szCs w:val="28"/>
          <w:lang w:val="en-GB"/>
        </w:rPr>
        <w:t xml:space="preserve">Tender Panel making award to a tenderer not recommended by Evaluation Team – Tender Panel properly exercising its powers in declining the recommended tenderer </w:t>
      </w:r>
      <w:r w:rsidR="008D6B7E" w:rsidRPr="008D6B7E">
        <w:rPr>
          <w:i/>
          <w:sz w:val="28"/>
          <w:szCs w:val="28"/>
          <w:lang w:val="en-GB"/>
        </w:rPr>
        <w:t xml:space="preserve">whose </w:t>
      </w:r>
      <w:r w:rsidRPr="008D6B7E">
        <w:rPr>
          <w:i/>
          <w:sz w:val="28"/>
          <w:szCs w:val="28"/>
          <w:lang w:val="en-GB"/>
        </w:rPr>
        <w:t xml:space="preserve">tendered price was irregular – Public Procurement Advice Division does not have jurisdiction to entertain an appeal from </w:t>
      </w:r>
      <w:r w:rsidR="008D6B7E" w:rsidRPr="008D6B7E">
        <w:rPr>
          <w:i/>
          <w:sz w:val="28"/>
          <w:szCs w:val="28"/>
          <w:lang w:val="en-GB"/>
        </w:rPr>
        <w:t xml:space="preserve">a </w:t>
      </w:r>
      <w:r w:rsidRPr="008D6B7E">
        <w:rPr>
          <w:i/>
          <w:sz w:val="28"/>
          <w:szCs w:val="28"/>
          <w:lang w:val="en-GB"/>
        </w:rPr>
        <w:t>dissatisfied tenderer without</w:t>
      </w:r>
      <w:r w:rsidR="00E63553">
        <w:rPr>
          <w:i/>
          <w:sz w:val="28"/>
          <w:szCs w:val="28"/>
          <w:lang w:val="en-GB"/>
        </w:rPr>
        <w:t xml:space="preserve"> recourse, in the first place, to the </w:t>
      </w:r>
      <w:r w:rsidRPr="008D6B7E">
        <w:rPr>
          <w:i/>
          <w:sz w:val="28"/>
          <w:szCs w:val="28"/>
          <w:lang w:val="en-GB"/>
        </w:rPr>
        <w:t xml:space="preserve">Procurement Unit – </w:t>
      </w:r>
      <w:r w:rsidR="008D6B7E" w:rsidRPr="008D6B7E">
        <w:rPr>
          <w:i/>
          <w:sz w:val="28"/>
          <w:szCs w:val="28"/>
          <w:lang w:val="en-GB"/>
        </w:rPr>
        <w:t>The decision of the Tender Panel stands</w:t>
      </w:r>
      <w:r w:rsidR="008D6B7E">
        <w:rPr>
          <w:iCs/>
          <w:sz w:val="28"/>
          <w:szCs w:val="28"/>
          <w:lang w:val="en-GB"/>
        </w:rPr>
        <w:t xml:space="preserve">. </w:t>
      </w:r>
    </w:p>
    <w:p w14:paraId="35EB3EAB" w14:textId="0CF81BFF" w:rsidR="0032045C" w:rsidRPr="0032045C" w:rsidRDefault="0032045C" w:rsidP="0032045C">
      <w:pPr>
        <w:tabs>
          <w:tab w:val="left" w:pos="720"/>
        </w:tabs>
        <w:spacing w:line="360" w:lineRule="auto"/>
        <w:jc w:val="both"/>
        <w:rPr>
          <w:iCs/>
          <w:sz w:val="28"/>
          <w:szCs w:val="28"/>
          <w:lang w:val="en-GB"/>
        </w:rPr>
      </w:pPr>
      <w:r>
        <w:rPr>
          <w:iCs/>
          <w:sz w:val="28"/>
          <w:szCs w:val="28"/>
          <w:lang w:val="en-GB"/>
        </w:rPr>
        <w:t xml:space="preserve">  </w:t>
      </w:r>
    </w:p>
    <w:p w14:paraId="1B7A8AD7" w14:textId="193AAB31" w:rsidR="003B1969" w:rsidRPr="00025FB3" w:rsidRDefault="003B1969" w:rsidP="00025FB3">
      <w:pPr>
        <w:tabs>
          <w:tab w:val="left" w:pos="720"/>
        </w:tabs>
        <w:spacing w:line="360" w:lineRule="auto"/>
        <w:rPr>
          <w:bCs/>
          <w:i/>
          <w:iCs/>
          <w:sz w:val="28"/>
          <w:szCs w:val="28"/>
          <w:lang w:val="en-GB"/>
        </w:rPr>
      </w:pPr>
      <w:r w:rsidRPr="00F9242E">
        <w:rPr>
          <w:b/>
          <w:bCs/>
          <w:sz w:val="28"/>
          <w:szCs w:val="28"/>
          <w:u w:val="single"/>
          <w:lang w:val="en-GB"/>
        </w:rPr>
        <w:t>ANNOTATIONS</w:t>
      </w:r>
      <w:r w:rsidRPr="00F9242E">
        <w:rPr>
          <w:b/>
          <w:bCs/>
          <w:sz w:val="28"/>
          <w:szCs w:val="28"/>
          <w:lang w:val="en-GB"/>
        </w:rPr>
        <w:t>:</w:t>
      </w:r>
    </w:p>
    <w:p w14:paraId="472D25B5" w14:textId="77777777" w:rsidR="003B1969" w:rsidRPr="00F9242E" w:rsidRDefault="003B1969" w:rsidP="003B1969">
      <w:pPr>
        <w:pStyle w:val="NoSpacing"/>
        <w:rPr>
          <w:b/>
          <w:lang w:val="en-GB"/>
        </w:rPr>
      </w:pPr>
    </w:p>
    <w:p w14:paraId="2A0C7529" w14:textId="15AE0F7D" w:rsidR="003B1969" w:rsidRDefault="003B1969" w:rsidP="003B1969">
      <w:pPr>
        <w:tabs>
          <w:tab w:val="left" w:pos="720"/>
        </w:tabs>
        <w:spacing w:line="360" w:lineRule="auto"/>
        <w:jc w:val="both"/>
        <w:rPr>
          <w:b/>
          <w:bCs/>
          <w:sz w:val="28"/>
          <w:szCs w:val="28"/>
          <w:u w:val="single"/>
          <w:lang w:val="en-GB"/>
        </w:rPr>
      </w:pPr>
      <w:r w:rsidRPr="00F9242E">
        <w:rPr>
          <w:b/>
          <w:bCs/>
          <w:sz w:val="28"/>
          <w:szCs w:val="28"/>
          <w:u w:val="single"/>
          <w:lang w:val="en-GB"/>
        </w:rPr>
        <w:t>Statutes</w:t>
      </w:r>
      <w:r>
        <w:rPr>
          <w:b/>
          <w:bCs/>
          <w:sz w:val="28"/>
          <w:szCs w:val="28"/>
          <w:u w:val="single"/>
          <w:lang w:val="en-GB"/>
        </w:rPr>
        <w:t xml:space="preserve"> </w:t>
      </w:r>
    </w:p>
    <w:p w14:paraId="5194FB36" w14:textId="6B0C9D54" w:rsidR="009D1184" w:rsidRPr="009438EA" w:rsidRDefault="009D1184" w:rsidP="003B1969">
      <w:pPr>
        <w:tabs>
          <w:tab w:val="left" w:pos="720"/>
        </w:tabs>
        <w:spacing w:line="360" w:lineRule="auto"/>
        <w:jc w:val="both"/>
        <w:rPr>
          <w:bCs/>
          <w:sz w:val="28"/>
          <w:szCs w:val="28"/>
          <w:lang w:val="en-GB"/>
        </w:rPr>
      </w:pPr>
      <w:r w:rsidRPr="009438EA">
        <w:rPr>
          <w:bCs/>
          <w:sz w:val="28"/>
          <w:szCs w:val="28"/>
          <w:lang w:val="en-GB"/>
        </w:rPr>
        <w:t xml:space="preserve">Public Procurement Regulations 2007 as </w:t>
      </w:r>
      <w:r w:rsidRPr="009D1184">
        <w:rPr>
          <w:bCs/>
          <w:sz w:val="28"/>
          <w:szCs w:val="28"/>
          <w:lang w:val="en-GB"/>
        </w:rPr>
        <w:t>amended (</w:t>
      </w:r>
      <w:r w:rsidRPr="009438EA">
        <w:rPr>
          <w:bCs/>
          <w:sz w:val="28"/>
          <w:szCs w:val="28"/>
          <w:lang w:val="en-GB"/>
        </w:rPr>
        <w:t>2018)</w:t>
      </w:r>
    </w:p>
    <w:p w14:paraId="28023D29" w14:textId="77777777" w:rsidR="003B1969" w:rsidRPr="009D1184" w:rsidRDefault="003B1969" w:rsidP="003B1969">
      <w:pPr>
        <w:pStyle w:val="NoSpacing"/>
        <w:rPr>
          <w:lang w:val="en-GB"/>
        </w:rPr>
      </w:pPr>
    </w:p>
    <w:p w14:paraId="2C6B2B87" w14:textId="5B6795A6" w:rsidR="0056610A" w:rsidRDefault="003B1969" w:rsidP="00CB5DA1">
      <w:pPr>
        <w:tabs>
          <w:tab w:val="left" w:pos="720"/>
        </w:tabs>
        <w:spacing w:line="360" w:lineRule="auto"/>
        <w:jc w:val="both"/>
        <w:rPr>
          <w:b/>
          <w:bCs/>
          <w:sz w:val="28"/>
          <w:szCs w:val="28"/>
          <w:u w:val="single"/>
          <w:lang w:val="en-GB"/>
        </w:rPr>
      </w:pPr>
      <w:r w:rsidRPr="00F9242E">
        <w:rPr>
          <w:b/>
          <w:bCs/>
          <w:sz w:val="28"/>
          <w:szCs w:val="28"/>
          <w:u w:val="single"/>
          <w:lang w:val="en-GB"/>
        </w:rPr>
        <w:t>Cited Cases</w:t>
      </w:r>
    </w:p>
    <w:p w14:paraId="71A48711" w14:textId="46377377" w:rsidR="0056610A" w:rsidRDefault="0056610A" w:rsidP="00CB5DA1">
      <w:pPr>
        <w:tabs>
          <w:tab w:val="left" w:pos="720"/>
        </w:tabs>
        <w:spacing w:line="360" w:lineRule="auto"/>
        <w:jc w:val="both"/>
        <w:rPr>
          <w:b/>
          <w:bCs/>
          <w:sz w:val="28"/>
          <w:szCs w:val="28"/>
          <w:u w:val="single"/>
          <w:lang w:val="en-GB"/>
        </w:rPr>
      </w:pPr>
      <w:r>
        <w:rPr>
          <w:b/>
          <w:bCs/>
          <w:sz w:val="28"/>
          <w:szCs w:val="28"/>
          <w:u w:val="single"/>
          <w:lang w:val="en-GB"/>
        </w:rPr>
        <w:t xml:space="preserve">Lesotho </w:t>
      </w:r>
    </w:p>
    <w:p w14:paraId="52D1604E" w14:textId="2B43EED1" w:rsidR="00E00A0C" w:rsidRDefault="00E00A0C" w:rsidP="00207D0D">
      <w:pPr>
        <w:jc w:val="both"/>
        <w:rPr>
          <w:sz w:val="28"/>
          <w:szCs w:val="28"/>
        </w:rPr>
      </w:pPr>
      <w:r w:rsidRPr="009438EA">
        <w:rPr>
          <w:sz w:val="28"/>
          <w:szCs w:val="28"/>
          <w:lang w:val="en-GB"/>
        </w:rPr>
        <w:t>Drytex Lesotho (Pty) v. Pyramid Laundry Services (Pty) Ltd and Others</w:t>
      </w:r>
      <w:r w:rsidRPr="009438EA">
        <w:rPr>
          <w:sz w:val="28"/>
          <w:szCs w:val="28"/>
        </w:rPr>
        <w:t xml:space="preserve"> LAC (2015 – 2016) 387</w:t>
      </w:r>
      <w:r w:rsidR="00C56399">
        <w:rPr>
          <w:sz w:val="28"/>
          <w:szCs w:val="28"/>
        </w:rPr>
        <w:t xml:space="preserve"> </w:t>
      </w:r>
    </w:p>
    <w:p w14:paraId="5BD6E20A" w14:textId="77777777" w:rsidR="00207D0D" w:rsidRPr="009438EA" w:rsidRDefault="00207D0D" w:rsidP="00207D0D">
      <w:pPr>
        <w:jc w:val="both"/>
        <w:rPr>
          <w:sz w:val="28"/>
          <w:szCs w:val="28"/>
        </w:rPr>
      </w:pPr>
    </w:p>
    <w:p w14:paraId="7A77AE9B" w14:textId="139AC52C" w:rsidR="00E00A0C" w:rsidRDefault="00E00A0C" w:rsidP="00207D0D">
      <w:pPr>
        <w:widowControl/>
        <w:autoSpaceDE/>
        <w:autoSpaceDN/>
        <w:adjustRightInd/>
        <w:spacing w:after="160"/>
        <w:jc w:val="both"/>
        <w:rPr>
          <w:rFonts w:eastAsiaTheme="minorHAnsi"/>
          <w:sz w:val="28"/>
          <w:szCs w:val="28"/>
          <w:lang w:val="en-ZA" w:eastAsia="en-US"/>
        </w:rPr>
      </w:pPr>
      <w:r w:rsidRPr="009438EA">
        <w:rPr>
          <w:rFonts w:eastAsiaTheme="minorHAnsi"/>
          <w:sz w:val="28"/>
          <w:szCs w:val="28"/>
          <w:lang w:val="en-GB" w:eastAsia="en-US"/>
        </w:rPr>
        <w:t>Minet Lesotho (Pty) Ltd and Others v</w:t>
      </w:r>
      <w:r w:rsidR="009438EA">
        <w:rPr>
          <w:rFonts w:eastAsiaTheme="minorHAnsi"/>
          <w:sz w:val="28"/>
          <w:szCs w:val="28"/>
          <w:lang w:val="en-GB" w:eastAsia="en-US"/>
        </w:rPr>
        <w:t>.</w:t>
      </w:r>
      <w:r w:rsidRPr="009438EA">
        <w:rPr>
          <w:rFonts w:eastAsiaTheme="minorHAnsi"/>
          <w:sz w:val="28"/>
          <w:szCs w:val="28"/>
          <w:lang w:val="en-GB" w:eastAsia="en-US"/>
        </w:rPr>
        <w:t xml:space="preserve"> Minister of Defence and National Security</w:t>
      </w:r>
      <w:r w:rsidRPr="009438EA">
        <w:rPr>
          <w:rFonts w:eastAsiaTheme="minorHAnsi"/>
          <w:bCs/>
          <w:sz w:val="28"/>
          <w:szCs w:val="28"/>
          <w:lang w:val="en-GB" w:eastAsia="en-US"/>
        </w:rPr>
        <w:t xml:space="preserve"> </w:t>
      </w:r>
      <w:r w:rsidRPr="009438EA">
        <w:rPr>
          <w:rFonts w:eastAsiaTheme="minorHAnsi"/>
          <w:sz w:val="28"/>
          <w:szCs w:val="28"/>
          <w:lang w:val="en-ZA" w:eastAsia="en-US"/>
        </w:rPr>
        <w:t xml:space="preserve">C of A (CIV) 15/2020 </w:t>
      </w:r>
      <w:r w:rsidR="00C15162">
        <w:rPr>
          <w:rFonts w:eastAsiaTheme="minorHAnsi"/>
          <w:sz w:val="28"/>
          <w:szCs w:val="28"/>
          <w:lang w:val="en-ZA" w:eastAsia="en-US"/>
        </w:rPr>
        <w:t>(30 October)</w:t>
      </w:r>
    </w:p>
    <w:p w14:paraId="78670507" w14:textId="77777777" w:rsidR="00207D0D" w:rsidRPr="009438EA" w:rsidRDefault="00207D0D" w:rsidP="00207D0D">
      <w:pPr>
        <w:widowControl/>
        <w:autoSpaceDE/>
        <w:autoSpaceDN/>
        <w:adjustRightInd/>
        <w:spacing w:after="160"/>
        <w:jc w:val="both"/>
        <w:rPr>
          <w:rFonts w:eastAsiaTheme="minorHAnsi"/>
          <w:sz w:val="28"/>
          <w:szCs w:val="28"/>
          <w:lang w:val="en-ZA" w:eastAsia="en-US"/>
        </w:rPr>
      </w:pPr>
    </w:p>
    <w:p w14:paraId="53B70DBE" w14:textId="7D724801" w:rsidR="004825DB" w:rsidRDefault="004825DB" w:rsidP="00207D0D">
      <w:pPr>
        <w:widowControl/>
        <w:autoSpaceDE/>
        <w:autoSpaceDN/>
        <w:adjustRightInd/>
        <w:spacing w:after="160"/>
        <w:jc w:val="both"/>
        <w:rPr>
          <w:rFonts w:eastAsiaTheme="minorHAnsi"/>
          <w:sz w:val="28"/>
          <w:szCs w:val="28"/>
          <w:lang w:val="en-ZA" w:eastAsia="en-US"/>
        </w:rPr>
      </w:pPr>
      <w:r w:rsidRPr="009438EA">
        <w:rPr>
          <w:rFonts w:eastAsiaTheme="minorHAnsi"/>
          <w:sz w:val="28"/>
          <w:szCs w:val="28"/>
          <w:lang w:val="en-GB" w:eastAsia="en-US"/>
        </w:rPr>
        <w:t xml:space="preserve">Procurement Policy and Advice Division and One v. Laxton Group </w:t>
      </w:r>
      <w:r w:rsidR="00C317BF" w:rsidRPr="00F36B24">
        <w:rPr>
          <w:rFonts w:eastAsiaTheme="minorHAnsi"/>
          <w:sz w:val="28"/>
          <w:szCs w:val="28"/>
          <w:lang w:val="en-GB" w:eastAsia="en-US"/>
        </w:rPr>
        <w:t xml:space="preserve">Limited </w:t>
      </w:r>
      <w:r w:rsidR="00C317BF" w:rsidRPr="00F36B24">
        <w:rPr>
          <w:rFonts w:eastAsiaTheme="minorHAnsi"/>
          <w:sz w:val="28"/>
          <w:szCs w:val="28"/>
          <w:lang w:val="en-ZA" w:eastAsia="en-US"/>
        </w:rPr>
        <w:t>C</w:t>
      </w:r>
      <w:r w:rsidRPr="009438EA">
        <w:rPr>
          <w:rFonts w:eastAsiaTheme="minorHAnsi"/>
          <w:sz w:val="28"/>
          <w:szCs w:val="28"/>
          <w:lang w:val="en-ZA" w:eastAsia="en-US"/>
        </w:rPr>
        <w:t xml:space="preserve"> of A (CIV) No. 26/2022</w:t>
      </w:r>
      <w:r w:rsidR="00E63C56">
        <w:rPr>
          <w:rFonts w:eastAsiaTheme="minorHAnsi"/>
          <w:sz w:val="28"/>
          <w:szCs w:val="28"/>
          <w:lang w:val="en-ZA" w:eastAsia="en-US"/>
        </w:rPr>
        <w:t xml:space="preserve"> (28 October 2016)</w:t>
      </w:r>
    </w:p>
    <w:p w14:paraId="23FFBF90" w14:textId="77777777" w:rsidR="00207D0D" w:rsidRDefault="00207D0D" w:rsidP="00207D0D">
      <w:pPr>
        <w:widowControl/>
        <w:autoSpaceDE/>
        <w:autoSpaceDN/>
        <w:adjustRightInd/>
        <w:spacing w:after="160"/>
        <w:jc w:val="both"/>
        <w:rPr>
          <w:rFonts w:eastAsiaTheme="minorHAnsi"/>
          <w:sz w:val="28"/>
          <w:szCs w:val="28"/>
          <w:lang w:val="en-ZA" w:eastAsia="en-US"/>
        </w:rPr>
      </w:pPr>
    </w:p>
    <w:p w14:paraId="6C187A22" w14:textId="632BA466" w:rsidR="0027245A" w:rsidRDefault="0027245A" w:rsidP="00207D0D">
      <w:pPr>
        <w:widowControl/>
        <w:autoSpaceDE/>
        <w:autoSpaceDN/>
        <w:adjustRightInd/>
        <w:spacing w:after="160"/>
        <w:jc w:val="both"/>
        <w:rPr>
          <w:sz w:val="28"/>
          <w:szCs w:val="28"/>
          <w:lang w:val="en-ZA"/>
        </w:rPr>
      </w:pPr>
      <w:r w:rsidRPr="006E6657">
        <w:rPr>
          <w:sz w:val="28"/>
          <w:szCs w:val="28"/>
          <w:lang w:val="en-GB"/>
        </w:rPr>
        <w:t>Shale v</w:t>
      </w:r>
      <w:r w:rsidR="009438EA">
        <w:rPr>
          <w:sz w:val="28"/>
          <w:szCs w:val="28"/>
          <w:lang w:val="en-GB"/>
        </w:rPr>
        <w:t>.</w:t>
      </w:r>
      <w:r w:rsidRPr="006E6657">
        <w:rPr>
          <w:sz w:val="28"/>
          <w:szCs w:val="28"/>
          <w:lang w:val="en-GB"/>
        </w:rPr>
        <w:t xml:space="preserve"> The Judicial Service Commission </w:t>
      </w:r>
      <w:r w:rsidRPr="006E6657">
        <w:rPr>
          <w:sz w:val="28"/>
          <w:szCs w:val="28"/>
          <w:lang w:val="en-ZA"/>
        </w:rPr>
        <w:t>(CIV/APN/49/18) [2020] LSHC 39 (26 June 2020)</w:t>
      </w:r>
    </w:p>
    <w:p w14:paraId="1C4EBF37" w14:textId="77777777" w:rsidR="00207D0D" w:rsidRPr="00F36B24" w:rsidRDefault="00207D0D" w:rsidP="00207D0D">
      <w:pPr>
        <w:widowControl/>
        <w:autoSpaceDE/>
        <w:autoSpaceDN/>
        <w:adjustRightInd/>
        <w:spacing w:after="160"/>
        <w:rPr>
          <w:rFonts w:eastAsiaTheme="minorHAnsi"/>
          <w:sz w:val="28"/>
          <w:szCs w:val="28"/>
          <w:lang w:val="en-ZA" w:eastAsia="en-US"/>
        </w:rPr>
      </w:pPr>
    </w:p>
    <w:p w14:paraId="5855826E" w14:textId="039E36D7" w:rsidR="00E00A0C" w:rsidRPr="009438EA" w:rsidRDefault="00C317BF" w:rsidP="00207D0D">
      <w:pPr>
        <w:widowControl/>
        <w:autoSpaceDE/>
        <w:autoSpaceDN/>
        <w:adjustRightInd/>
        <w:spacing w:after="160"/>
        <w:jc w:val="both"/>
        <w:rPr>
          <w:rFonts w:eastAsiaTheme="minorHAnsi"/>
          <w:sz w:val="28"/>
          <w:szCs w:val="28"/>
          <w:lang w:val="en-GB" w:eastAsia="en-US"/>
        </w:rPr>
      </w:pPr>
      <w:r w:rsidRPr="009438EA">
        <w:rPr>
          <w:rFonts w:eastAsiaTheme="minorHAnsi"/>
          <w:sz w:val="28"/>
          <w:szCs w:val="28"/>
          <w:lang w:val="en-GB" w:eastAsia="en-US"/>
        </w:rPr>
        <w:t>Smally Trading (Pty) Ltd T/A Smally Uniform and Protective Clothing v. Lekhotla Matsaba and 10 Others (C of A (CIV/17/2016</w:t>
      </w:r>
      <w:r w:rsidR="0027245A">
        <w:rPr>
          <w:rFonts w:eastAsiaTheme="minorHAnsi"/>
          <w:sz w:val="28"/>
          <w:szCs w:val="28"/>
          <w:lang w:val="en-GB" w:eastAsia="en-US"/>
        </w:rPr>
        <w:t>)</w:t>
      </w:r>
    </w:p>
    <w:p w14:paraId="6578D8D6" w14:textId="77777777" w:rsidR="0056610A" w:rsidRDefault="0056610A">
      <w:pPr>
        <w:tabs>
          <w:tab w:val="left" w:pos="720"/>
        </w:tabs>
        <w:spacing w:line="480" w:lineRule="auto"/>
        <w:jc w:val="both"/>
        <w:rPr>
          <w:b/>
          <w:bCs/>
          <w:sz w:val="28"/>
          <w:szCs w:val="28"/>
          <w:u w:val="single"/>
          <w:lang w:val="en-GB"/>
        </w:rPr>
      </w:pPr>
    </w:p>
    <w:p w14:paraId="64A97A57" w14:textId="77777777" w:rsidR="00F86092" w:rsidRDefault="00F86092">
      <w:pPr>
        <w:tabs>
          <w:tab w:val="left" w:pos="720"/>
        </w:tabs>
        <w:spacing w:line="480" w:lineRule="auto"/>
        <w:jc w:val="both"/>
        <w:rPr>
          <w:b/>
          <w:bCs/>
          <w:sz w:val="28"/>
          <w:szCs w:val="28"/>
          <w:u w:val="single"/>
          <w:lang w:val="en-GB"/>
        </w:rPr>
      </w:pPr>
    </w:p>
    <w:p w14:paraId="5C4513A8" w14:textId="77777777" w:rsidR="00B97895" w:rsidRPr="00F36B24" w:rsidRDefault="00B97895">
      <w:pPr>
        <w:tabs>
          <w:tab w:val="left" w:pos="720"/>
        </w:tabs>
        <w:spacing w:line="480" w:lineRule="auto"/>
        <w:jc w:val="both"/>
        <w:rPr>
          <w:b/>
          <w:bCs/>
          <w:sz w:val="28"/>
          <w:szCs w:val="28"/>
          <w:u w:val="single"/>
          <w:lang w:val="en-GB"/>
        </w:rPr>
      </w:pPr>
    </w:p>
    <w:p w14:paraId="2C18E047" w14:textId="672A63A5" w:rsidR="001D1B4B" w:rsidRPr="00F36B24" w:rsidRDefault="003B1969" w:rsidP="009438EA">
      <w:pPr>
        <w:tabs>
          <w:tab w:val="left" w:pos="720"/>
        </w:tabs>
        <w:spacing w:line="480" w:lineRule="auto"/>
        <w:jc w:val="both"/>
        <w:rPr>
          <w:b/>
          <w:bCs/>
          <w:sz w:val="28"/>
          <w:szCs w:val="28"/>
          <w:u w:val="single"/>
          <w:lang w:val="en-GB"/>
        </w:rPr>
      </w:pPr>
      <w:r w:rsidRPr="00F36B24">
        <w:rPr>
          <w:b/>
          <w:bCs/>
          <w:sz w:val="28"/>
          <w:szCs w:val="28"/>
          <w:u w:val="single"/>
          <w:lang w:val="en-GB"/>
        </w:rPr>
        <w:lastRenderedPageBreak/>
        <w:t>South Africa</w:t>
      </w:r>
    </w:p>
    <w:p w14:paraId="7DD825E2" w14:textId="4B3E8FEB" w:rsidR="00F36B24" w:rsidRPr="009438EA" w:rsidRDefault="00F36B24" w:rsidP="009438EA">
      <w:pPr>
        <w:widowControl/>
        <w:autoSpaceDE/>
        <w:autoSpaceDN/>
        <w:adjustRightInd/>
        <w:spacing w:after="160"/>
        <w:jc w:val="both"/>
        <w:rPr>
          <w:rFonts w:eastAsiaTheme="minorHAnsi"/>
          <w:sz w:val="28"/>
          <w:szCs w:val="28"/>
          <w:lang w:val="en-GB" w:eastAsia="en-US"/>
        </w:rPr>
      </w:pPr>
      <w:r w:rsidRPr="009438EA">
        <w:rPr>
          <w:rFonts w:eastAsiaTheme="minorHAnsi"/>
          <w:bCs/>
          <w:iCs/>
          <w:color w:val="000000" w:themeColor="text1"/>
          <w:sz w:val="28"/>
          <w:szCs w:val="28"/>
          <w:lang w:val="en-ZA" w:eastAsia="en-US"/>
        </w:rPr>
        <w:t>Normandien Farms v. South African Agency for Promotion of Petroleum Exportation and Exploitation</w:t>
      </w:r>
      <w:r w:rsidRPr="00F36B24">
        <w:rPr>
          <w:rFonts w:eastAsiaTheme="minorHAnsi"/>
          <w:bCs/>
          <w:iCs/>
          <w:color w:val="000000" w:themeColor="text1"/>
          <w:sz w:val="28"/>
          <w:szCs w:val="28"/>
          <w:lang w:val="en-ZA" w:eastAsia="en-US"/>
        </w:rPr>
        <w:t xml:space="preserve"> </w:t>
      </w:r>
      <w:r w:rsidRPr="009438EA">
        <w:rPr>
          <w:rFonts w:eastAsiaTheme="minorHAnsi"/>
          <w:sz w:val="28"/>
          <w:szCs w:val="28"/>
          <w:lang w:val="en-ZA" w:eastAsia="en-US"/>
        </w:rPr>
        <w:t>[2020] ZACC 5; 2020 (6) BCLR 748 (CC); 2020 (4) SA 409 (CC)</w:t>
      </w:r>
      <w:r w:rsidR="00FD7743">
        <w:rPr>
          <w:rFonts w:eastAsiaTheme="minorHAnsi"/>
          <w:sz w:val="28"/>
          <w:szCs w:val="28"/>
          <w:lang w:val="en-ZA" w:eastAsia="en-US"/>
        </w:rPr>
        <w:t xml:space="preserve"> (24 March 2020)</w:t>
      </w:r>
    </w:p>
    <w:p w14:paraId="603DAE4B" w14:textId="722E3F40" w:rsidR="00F36B24" w:rsidRDefault="00BB1B91" w:rsidP="009438EA">
      <w:pPr>
        <w:tabs>
          <w:tab w:val="left" w:pos="2685"/>
        </w:tabs>
        <w:spacing w:line="480" w:lineRule="auto"/>
        <w:jc w:val="both"/>
        <w:rPr>
          <w:b/>
          <w:bCs/>
          <w:sz w:val="28"/>
          <w:szCs w:val="28"/>
          <w:u w:val="single"/>
          <w:lang w:val="en-GB"/>
        </w:rPr>
      </w:pPr>
      <w:r>
        <w:rPr>
          <w:rFonts w:asciiTheme="minorHAnsi" w:eastAsiaTheme="minorHAnsi" w:hAnsiTheme="minorHAnsi" w:cstheme="minorBidi"/>
          <w:sz w:val="28"/>
          <w:szCs w:val="28"/>
          <w:lang w:val="en-GB" w:eastAsia="en-US"/>
        </w:rPr>
        <w:t xml:space="preserve"> </w:t>
      </w:r>
    </w:p>
    <w:p w14:paraId="5909568A" w14:textId="77777777" w:rsidR="00F36B24" w:rsidRPr="00FF2206" w:rsidRDefault="00F36B24" w:rsidP="00FF2206">
      <w:pPr>
        <w:tabs>
          <w:tab w:val="left" w:pos="720"/>
        </w:tabs>
        <w:spacing w:line="360" w:lineRule="auto"/>
        <w:jc w:val="both"/>
        <w:rPr>
          <w:b/>
          <w:bCs/>
          <w:sz w:val="28"/>
          <w:szCs w:val="28"/>
          <w:u w:val="single"/>
          <w:lang w:val="en-GB"/>
        </w:rPr>
      </w:pPr>
    </w:p>
    <w:p w14:paraId="1D7EF1E8" w14:textId="6F91167E" w:rsidR="003B1969" w:rsidRDefault="003B1969" w:rsidP="007E7F5B">
      <w:pPr>
        <w:widowControl/>
        <w:tabs>
          <w:tab w:val="left" w:pos="1134"/>
        </w:tabs>
        <w:suppressAutoHyphens/>
        <w:autoSpaceDE/>
        <w:adjustRightInd/>
        <w:spacing w:after="240" w:line="480" w:lineRule="auto"/>
        <w:jc w:val="center"/>
        <w:textAlignment w:val="baseline"/>
        <w:rPr>
          <w:rFonts w:eastAsia="Calibri"/>
          <w:b/>
          <w:bCs/>
          <w:iCs/>
          <w:sz w:val="28"/>
          <w:szCs w:val="28"/>
          <w:lang w:val="en-ZA" w:eastAsia="en-US"/>
        </w:rPr>
      </w:pPr>
      <w:r w:rsidRPr="00BD1ADD">
        <w:rPr>
          <w:rFonts w:eastAsia="Calibri"/>
          <w:b/>
          <w:bCs/>
          <w:iCs/>
          <w:sz w:val="28"/>
          <w:szCs w:val="28"/>
          <w:lang w:val="en-ZA" w:eastAsia="en-US"/>
        </w:rPr>
        <w:t>JUDGMENT</w:t>
      </w:r>
    </w:p>
    <w:p w14:paraId="2A130967" w14:textId="77777777" w:rsidR="003B1969" w:rsidRDefault="003B1969" w:rsidP="003B1969">
      <w:pPr>
        <w:pStyle w:val="NoSpacing"/>
        <w:rPr>
          <w:lang w:val="en-GB"/>
        </w:rPr>
      </w:pPr>
    </w:p>
    <w:p w14:paraId="375C9022" w14:textId="77777777" w:rsidR="003B1969" w:rsidRDefault="003B1969" w:rsidP="003B1969">
      <w:pPr>
        <w:rPr>
          <w:b/>
          <w:bCs/>
          <w:sz w:val="28"/>
          <w:szCs w:val="28"/>
          <w:u w:val="single"/>
          <w:lang w:val="en-GB"/>
        </w:rPr>
      </w:pPr>
      <w:r w:rsidRPr="0084437C">
        <w:rPr>
          <w:b/>
          <w:bCs/>
          <w:sz w:val="28"/>
          <w:szCs w:val="28"/>
          <w:u w:val="single"/>
          <w:lang w:val="en-GB"/>
        </w:rPr>
        <w:t>INTRODUCTION:</w:t>
      </w:r>
    </w:p>
    <w:p w14:paraId="64F9681B" w14:textId="556F9FCC" w:rsidR="00A44747" w:rsidRDefault="00A44747" w:rsidP="00FB34AD">
      <w:pPr>
        <w:spacing w:line="480" w:lineRule="auto"/>
        <w:jc w:val="both"/>
        <w:rPr>
          <w:bCs/>
          <w:sz w:val="28"/>
          <w:szCs w:val="28"/>
          <w:lang w:val="en-GB"/>
        </w:rPr>
      </w:pPr>
    </w:p>
    <w:p w14:paraId="73F9A283" w14:textId="7607F62C" w:rsidR="000868F9" w:rsidRDefault="000868F9" w:rsidP="00FB34AD">
      <w:pPr>
        <w:spacing w:line="480" w:lineRule="auto"/>
        <w:jc w:val="both"/>
        <w:rPr>
          <w:bCs/>
          <w:sz w:val="28"/>
          <w:szCs w:val="28"/>
          <w:lang w:val="en-GB"/>
        </w:rPr>
      </w:pPr>
      <w:r>
        <w:rPr>
          <w:bCs/>
          <w:sz w:val="28"/>
          <w:szCs w:val="28"/>
          <w:lang w:val="en-GB"/>
        </w:rPr>
        <w:t>[1]</w:t>
      </w:r>
      <w:r>
        <w:rPr>
          <w:bCs/>
          <w:sz w:val="28"/>
          <w:szCs w:val="28"/>
          <w:lang w:val="en-GB"/>
        </w:rPr>
        <w:tab/>
      </w:r>
      <w:r>
        <w:rPr>
          <w:bCs/>
          <w:sz w:val="28"/>
          <w:szCs w:val="28"/>
          <w:lang w:val="en-GB"/>
        </w:rPr>
        <w:tab/>
        <w:t xml:space="preserve">The genesis of the dispute is the tender process undertaken by the Ministry of Public Works </w:t>
      </w:r>
      <w:r w:rsidRPr="000868F9">
        <w:rPr>
          <w:bCs/>
          <w:i/>
          <w:iCs/>
          <w:sz w:val="28"/>
          <w:szCs w:val="28"/>
          <w:lang w:val="en-GB"/>
        </w:rPr>
        <w:t>(</w:t>
      </w:r>
      <w:r w:rsidR="00A852F5">
        <w:rPr>
          <w:bCs/>
          <w:i/>
          <w:iCs/>
          <w:sz w:val="28"/>
          <w:szCs w:val="28"/>
          <w:lang w:val="en-GB"/>
        </w:rPr>
        <w:t>“M</w:t>
      </w:r>
      <w:r w:rsidR="00DD04D1">
        <w:rPr>
          <w:bCs/>
          <w:i/>
          <w:iCs/>
          <w:sz w:val="28"/>
          <w:szCs w:val="28"/>
          <w:lang w:val="en-GB"/>
        </w:rPr>
        <w:t>o</w:t>
      </w:r>
      <w:r w:rsidR="00A852F5">
        <w:rPr>
          <w:bCs/>
          <w:i/>
          <w:iCs/>
          <w:sz w:val="28"/>
          <w:szCs w:val="28"/>
          <w:lang w:val="en-GB"/>
        </w:rPr>
        <w:t>PW”</w:t>
      </w:r>
      <w:r w:rsidRPr="000868F9">
        <w:rPr>
          <w:bCs/>
          <w:i/>
          <w:iCs/>
          <w:sz w:val="28"/>
          <w:szCs w:val="28"/>
          <w:lang w:val="en-GB"/>
        </w:rPr>
        <w:t>)</w:t>
      </w:r>
      <w:r>
        <w:rPr>
          <w:bCs/>
          <w:i/>
          <w:iCs/>
          <w:sz w:val="28"/>
          <w:szCs w:val="28"/>
          <w:lang w:val="en-GB"/>
        </w:rPr>
        <w:t xml:space="preserve">, </w:t>
      </w:r>
      <w:r>
        <w:rPr>
          <w:bCs/>
          <w:sz w:val="28"/>
          <w:szCs w:val="28"/>
          <w:lang w:val="en-GB"/>
        </w:rPr>
        <w:t xml:space="preserve">for renovations of Mohale’s Hoek Correctional Services for the Ministry of Justice and Correctional Services. </w:t>
      </w:r>
    </w:p>
    <w:p w14:paraId="03E57632" w14:textId="77777777" w:rsidR="000868F9" w:rsidRDefault="000868F9" w:rsidP="00FB34AD">
      <w:pPr>
        <w:spacing w:line="480" w:lineRule="auto"/>
        <w:jc w:val="both"/>
        <w:rPr>
          <w:bCs/>
          <w:sz w:val="28"/>
          <w:szCs w:val="28"/>
          <w:lang w:val="en-GB"/>
        </w:rPr>
      </w:pPr>
    </w:p>
    <w:p w14:paraId="571E5E70" w14:textId="6574CEBB" w:rsidR="002C618E" w:rsidRDefault="000868F9" w:rsidP="00FB34AD">
      <w:pPr>
        <w:spacing w:line="480" w:lineRule="auto"/>
        <w:jc w:val="both"/>
        <w:rPr>
          <w:bCs/>
          <w:sz w:val="28"/>
          <w:szCs w:val="28"/>
          <w:lang w:val="en-GB"/>
        </w:rPr>
      </w:pPr>
      <w:r>
        <w:rPr>
          <w:bCs/>
          <w:sz w:val="28"/>
          <w:szCs w:val="28"/>
          <w:lang w:val="en-GB"/>
        </w:rPr>
        <w:t>[2]</w:t>
      </w:r>
      <w:r>
        <w:rPr>
          <w:bCs/>
          <w:sz w:val="28"/>
          <w:szCs w:val="28"/>
          <w:lang w:val="en-GB"/>
        </w:rPr>
        <w:tab/>
      </w:r>
      <w:r>
        <w:rPr>
          <w:bCs/>
          <w:sz w:val="28"/>
          <w:szCs w:val="28"/>
          <w:lang w:val="en-GB"/>
        </w:rPr>
        <w:tab/>
        <w:t>The applicant</w:t>
      </w:r>
      <w:r w:rsidR="00766364">
        <w:rPr>
          <w:bCs/>
          <w:sz w:val="28"/>
          <w:szCs w:val="28"/>
          <w:lang w:val="en-GB"/>
        </w:rPr>
        <w:t xml:space="preserve">, Phakoe Building Construction, </w:t>
      </w:r>
      <w:r w:rsidR="00766364" w:rsidRPr="00766364">
        <w:rPr>
          <w:bCs/>
          <w:i/>
          <w:iCs/>
          <w:sz w:val="28"/>
          <w:szCs w:val="28"/>
          <w:lang w:val="en-GB"/>
        </w:rPr>
        <w:t>(“Phakoe”)</w:t>
      </w:r>
      <w:r w:rsidR="00766364">
        <w:rPr>
          <w:bCs/>
          <w:sz w:val="28"/>
          <w:szCs w:val="28"/>
          <w:lang w:val="en-GB"/>
        </w:rPr>
        <w:t>,</w:t>
      </w:r>
      <w:r>
        <w:rPr>
          <w:bCs/>
          <w:sz w:val="28"/>
          <w:szCs w:val="28"/>
          <w:lang w:val="en-GB"/>
        </w:rPr>
        <w:t xml:space="preserve"> is challenging the award of the tender to Ts</w:t>
      </w:r>
      <w:r w:rsidR="00C1601F">
        <w:rPr>
          <w:bCs/>
          <w:sz w:val="28"/>
          <w:szCs w:val="28"/>
          <w:lang w:val="en-GB"/>
        </w:rPr>
        <w:t>’</w:t>
      </w:r>
      <w:r>
        <w:rPr>
          <w:bCs/>
          <w:sz w:val="28"/>
          <w:szCs w:val="28"/>
          <w:lang w:val="en-GB"/>
        </w:rPr>
        <w:t xml:space="preserve">ilo Star Construction (Pty) Ltd, </w:t>
      </w:r>
      <w:r w:rsidRPr="000868F9">
        <w:rPr>
          <w:bCs/>
          <w:i/>
          <w:iCs/>
          <w:sz w:val="28"/>
          <w:szCs w:val="28"/>
          <w:lang w:val="en-GB"/>
        </w:rPr>
        <w:t>(</w:t>
      </w:r>
      <w:r>
        <w:rPr>
          <w:bCs/>
          <w:i/>
          <w:iCs/>
          <w:sz w:val="28"/>
          <w:szCs w:val="28"/>
          <w:lang w:val="en-GB"/>
        </w:rPr>
        <w:t>“</w:t>
      </w:r>
      <w:r w:rsidRPr="000868F9">
        <w:rPr>
          <w:bCs/>
          <w:i/>
          <w:iCs/>
          <w:sz w:val="28"/>
          <w:szCs w:val="28"/>
          <w:lang w:val="en-GB"/>
        </w:rPr>
        <w:t>Ts</w:t>
      </w:r>
      <w:r w:rsidR="00C1601F">
        <w:rPr>
          <w:bCs/>
          <w:i/>
          <w:iCs/>
          <w:sz w:val="28"/>
          <w:szCs w:val="28"/>
          <w:lang w:val="en-GB"/>
        </w:rPr>
        <w:t>’</w:t>
      </w:r>
      <w:r w:rsidRPr="000868F9">
        <w:rPr>
          <w:bCs/>
          <w:i/>
          <w:iCs/>
          <w:sz w:val="28"/>
          <w:szCs w:val="28"/>
          <w:lang w:val="en-GB"/>
        </w:rPr>
        <w:t>ilo</w:t>
      </w:r>
      <w:r>
        <w:rPr>
          <w:bCs/>
          <w:i/>
          <w:iCs/>
          <w:sz w:val="28"/>
          <w:szCs w:val="28"/>
          <w:lang w:val="en-GB"/>
        </w:rPr>
        <w:t>”</w:t>
      </w:r>
      <w:r w:rsidRPr="000868F9">
        <w:rPr>
          <w:bCs/>
          <w:i/>
          <w:iCs/>
          <w:sz w:val="28"/>
          <w:szCs w:val="28"/>
          <w:lang w:val="en-GB"/>
        </w:rPr>
        <w:t>)</w:t>
      </w:r>
      <w:r>
        <w:rPr>
          <w:bCs/>
          <w:sz w:val="28"/>
          <w:szCs w:val="28"/>
          <w:lang w:val="en-GB"/>
        </w:rPr>
        <w:t>, the 1</w:t>
      </w:r>
      <w:r w:rsidRPr="000868F9">
        <w:rPr>
          <w:bCs/>
          <w:sz w:val="28"/>
          <w:szCs w:val="28"/>
          <w:vertAlign w:val="superscript"/>
          <w:lang w:val="en-GB"/>
        </w:rPr>
        <w:t>st</w:t>
      </w:r>
      <w:r>
        <w:rPr>
          <w:bCs/>
          <w:sz w:val="28"/>
          <w:szCs w:val="28"/>
          <w:lang w:val="en-GB"/>
        </w:rPr>
        <w:t xml:space="preserve"> respondent. </w:t>
      </w:r>
      <w:r w:rsidR="00DA0948">
        <w:rPr>
          <w:bCs/>
          <w:sz w:val="28"/>
          <w:szCs w:val="28"/>
          <w:lang w:val="en-GB"/>
        </w:rPr>
        <w:t xml:space="preserve">On the date of argument </w:t>
      </w:r>
      <w:r w:rsidR="002C618E">
        <w:rPr>
          <w:bCs/>
          <w:sz w:val="28"/>
          <w:szCs w:val="28"/>
          <w:lang w:val="en-GB"/>
        </w:rPr>
        <w:t xml:space="preserve">Mr. Ndebele for </w:t>
      </w:r>
      <w:r w:rsidR="00A852F5">
        <w:rPr>
          <w:bCs/>
          <w:sz w:val="28"/>
          <w:szCs w:val="28"/>
          <w:lang w:val="en-GB"/>
        </w:rPr>
        <w:t>Phakoe</w:t>
      </w:r>
      <w:r w:rsidR="00DA0948">
        <w:rPr>
          <w:bCs/>
          <w:sz w:val="28"/>
          <w:szCs w:val="28"/>
          <w:lang w:val="en-GB"/>
        </w:rPr>
        <w:t xml:space="preserve"> indicated that </w:t>
      </w:r>
      <w:r w:rsidR="002C618E">
        <w:rPr>
          <w:bCs/>
          <w:sz w:val="28"/>
          <w:szCs w:val="28"/>
          <w:lang w:val="en-GB"/>
        </w:rPr>
        <w:t xml:space="preserve">renovations relevant to the tender </w:t>
      </w:r>
      <w:r w:rsidR="008D6B7E">
        <w:rPr>
          <w:bCs/>
          <w:sz w:val="28"/>
          <w:szCs w:val="28"/>
          <w:lang w:val="en-GB"/>
        </w:rPr>
        <w:t xml:space="preserve">were </w:t>
      </w:r>
      <w:r w:rsidR="002C618E">
        <w:rPr>
          <w:bCs/>
          <w:sz w:val="28"/>
          <w:szCs w:val="28"/>
          <w:lang w:val="en-GB"/>
        </w:rPr>
        <w:t>completed</w:t>
      </w:r>
      <w:r w:rsidR="008D6B7E">
        <w:rPr>
          <w:bCs/>
          <w:sz w:val="28"/>
          <w:szCs w:val="28"/>
          <w:lang w:val="en-GB"/>
        </w:rPr>
        <w:t xml:space="preserve"> during the pendency of this matter</w:t>
      </w:r>
      <w:r w:rsidR="002C618E">
        <w:rPr>
          <w:bCs/>
          <w:sz w:val="28"/>
          <w:szCs w:val="28"/>
          <w:lang w:val="en-GB"/>
        </w:rPr>
        <w:t xml:space="preserve"> as a result of which</w:t>
      </w:r>
      <w:r w:rsidR="00DA0948">
        <w:rPr>
          <w:bCs/>
          <w:sz w:val="28"/>
          <w:szCs w:val="28"/>
          <w:lang w:val="en-GB"/>
        </w:rPr>
        <w:t xml:space="preserve"> </w:t>
      </w:r>
      <w:r w:rsidR="008D6B7E">
        <w:rPr>
          <w:bCs/>
          <w:sz w:val="28"/>
          <w:szCs w:val="28"/>
          <w:lang w:val="en-GB"/>
        </w:rPr>
        <w:t xml:space="preserve">Phakoe </w:t>
      </w:r>
      <w:r w:rsidR="002C618E">
        <w:rPr>
          <w:bCs/>
          <w:sz w:val="28"/>
          <w:szCs w:val="28"/>
          <w:lang w:val="en-GB"/>
        </w:rPr>
        <w:t>was only pursuing the following prayers:</w:t>
      </w:r>
    </w:p>
    <w:p w14:paraId="42711B2B" w14:textId="082C05B5" w:rsidR="00825D57" w:rsidRDefault="00825D57" w:rsidP="00FB34AD">
      <w:pPr>
        <w:spacing w:line="480" w:lineRule="auto"/>
        <w:jc w:val="both"/>
        <w:rPr>
          <w:bCs/>
          <w:sz w:val="28"/>
          <w:szCs w:val="28"/>
          <w:lang w:val="en-GB"/>
        </w:rPr>
      </w:pPr>
    </w:p>
    <w:p w14:paraId="0AC58756" w14:textId="3575FAC0" w:rsidR="00825D57" w:rsidRDefault="00825D57" w:rsidP="00DA0948">
      <w:pPr>
        <w:ind w:left="2160" w:hanging="720"/>
        <w:jc w:val="both"/>
        <w:rPr>
          <w:bCs/>
          <w:lang w:val="en-GB"/>
        </w:rPr>
      </w:pPr>
      <w:r w:rsidRPr="00825D57">
        <w:rPr>
          <w:bCs/>
          <w:lang w:val="en-GB"/>
        </w:rPr>
        <w:t>“3.</w:t>
      </w:r>
      <w:r w:rsidRPr="00825D57">
        <w:rPr>
          <w:bCs/>
          <w:lang w:val="en-GB"/>
        </w:rPr>
        <w:tab/>
        <w:t xml:space="preserve">The decision of the </w:t>
      </w:r>
      <w:r w:rsidRPr="00825D57">
        <w:rPr>
          <w:b/>
          <w:lang w:val="en-GB"/>
        </w:rPr>
        <w:t>2</w:t>
      </w:r>
      <w:r w:rsidRPr="00825D57">
        <w:rPr>
          <w:b/>
          <w:vertAlign w:val="superscript"/>
          <w:lang w:val="en-GB"/>
        </w:rPr>
        <w:t>nd</w:t>
      </w:r>
      <w:r w:rsidRPr="00825D57">
        <w:rPr>
          <w:b/>
          <w:lang w:val="en-GB"/>
        </w:rPr>
        <w:t xml:space="preserve"> Respondent</w:t>
      </w:r>
      <w:r w:rsidRPr="00825D57">
        <w:rPr>
          <w:bCs/>
          <w:lang w:val="en-GB"/>
        </w:rPr>
        <w:t xml:space="preserve"> to award a contract to </w:t>
      </w:r>
      <w:r w:rsidRPr="00825D57">
        <w:rPr>
          <w:b/>
          <w:lang w:val="en-GB"/>
        </w:rPr>
        <w:t>1</w:t>
      </w:r>
      <w:r w:rsidRPr="00825D57">
        <w:rPr>
          <w:b/>
          <w:vertAlign w:val="superscript"/>
          <w:lang w:val="en-GB"/>
        </w:rPr>
        <w:t>st</w:t>
      </w:r>
      <w:r w:rsidRPr="00825D57">
        <w:rPr>
          <w:b/>
          <w:lang w:val="en-GB"/>
        </w:rPr>
        <w:t xml:space="preserve"> Respondent</w:t>
      </w:r>
      <w:r w:rsidRPr="00825D57">
        <w:rPr>
          <w:bCs/>
          <w:lang w:val="en-GB"/>
        </w:rPr>
        <w:t xml:space="preserve"> in respect of the </w:t>
      </w:r>
      <w:r w:rsidRPr="00825D57">
        <w:rPr>
          <w:b/>
          <w:lang w:val="en-GB"/>
        </w:rPr>
        <w:t xml:space="preserve">Proposed Renovations to Mohale’s Hoek Correctional Services for the Ministry of Justice and Correctional Services-phase 1 (Builder’s Work) </w:t>
      </w:r>
      <w:r w:rsidRPr="00825D57">
        <w:rPr>
          <w:bCs/>
          <w:lang w:val="en-GB"/>
        </w:rPr>
        <w:t>be reviewed and set aside.</w:t>
      </w:r>
    </w:p>
    <w:p w14:paraId="0A217411" w14:textId="77777777" w:rsidR="00DA0948" w:rsidRPr="00825D57" w:rsidRDefault="00DA0948" w:rsidP="00DA0948">
      <w:pPr>
        <w:ind w:left="2160" w:hanging="720"/>
        <w:jc w:val="both"/>
        <w:rPr>
          <w:bCs/>
          <w:lang w:val="en-GB"/>
        </w:rPr>
      </w:pPr>
    </w:p>
    <w:p w14:paraId="56E59C66" w14:textId="2866C0FB" w:rsidR="00825D57" w:rsidRDefault="00825D57" w:rsidP="00DA0948">
      <w:pPr>
        <w:ind w:left="2160" w:hanging="720"/>
        <w:jc w:val="both"/>
        <w:rPr>
          <w:bCs/>
          <w:lang w:val="en-GB"/>
        </w:rPr>
      </w:pPr>
      <w:r w:rsidRPr="00825D57">
        <w:rPr>
          <w:bCs/>
          <w:lang w:val="en-GB"/>
        </w:rPr>
        <w:lastRenderedPageBreak/>
        <w:t>4.</w:t>
      </w:r>
      <w:r w:rsidRPr="00825D57">
        <w:rPr>
          <w:bCs/>
          <w:lang w:val="en-GB"/>
        </w:rPr>
        <w:tab/>
        <w:t xml:space="preserve">The contract between </w:t>
      </w:r>
      <w:r w:rsidRPr="00825D57">
        <w:rPr>
          <w:b/>
          <w:lang w:val="en-GB"/>
        </w:rPr>
        <w:t>1</w:t>
      </w:r>
      <w:r w:rsidRPr="00825D57">
        <w:rPr>
          <w:b/>
          <w:vertAlign w:val="superscript"/>
          <w:lang w:val="en-GB"/>
        </w:rPr>
        <w:t>st</w:t>
      </w:r>
      <w:r w:rsidRPr="00825D57">
        <w:rPr>
          <w:b/>
          <w:lang w:val="en-GB"/>
        </w:rPr>
        <w:t xml:space="preserve"> Respondent</w:t>
      </w:r>
      <w:r w:rsidRPr="00825D57">
        <w:rPr>
          <w:bCs/>
          <w:lang w:val="en-GB"/>
        </w:rPr>
        <w:t xml:space="preserve"> and </w:t>
      </w:r>
      <w:r w:rsidRPr="00825D57">
        <w:rPr>
          <w:b/>
          <w:lang w:val="en-GB"/>
        </w:rPr>
        <w:t>2</w:t>
      </w:r>
      <w:r w:rsidRPr="00825D57">
        <w:rPr>
          <w:b/>
          <w:vertAlign w:val="superscript"/>
          <w:lang w:val="en-GB"/>
        </w:rPr>
        <w:t>nd</w:t>
      </w:r>
      <w:r w:rsidRPr="00825D57">
        <w:rPr>
          <w:b/>
          <w:lang w:val="en-GB"/>
        </w:rPr>
        <w:t xml:space="preserve"> Respondent</w:t>
      </w:r>
      <w:r w:rsidR="009D14F4">
        <w:rPr>
          <w:bCs/>
          <w:lang w:val="en-GB"/>
        </w:rPr>
        <w:t xml:space="preserve"> in r</w:t>
      </w:r>
      <w:r w:rsidRPr="00825D57">
        <w:rPr>
          <w:bCs/>
          <w:lang w:val="en-GB"/>
        </w:rPr>
        <w:t xml:space="preserve">espect of the </w:t>
      </w:r>
      <w:r w:rsidRPr="00825D57">
        <w:rPr>
          <w:b/>
          <w:lang w:val="en-GB"/>
        </w:rPr>
        <w:t xml:space="preserve">Proposed Renovations to Mohale’s Hoek Correctional Services for the Ministry of Justice and Correctional services – Phase 1 (Builder’s Work) of Mohale’s Hoek </w:t>
      </w:r>
      <w:r w:rsidRPr="00825D57">
        <w:rPr>
          <w:bCs/>
          <w:lang w:val="en-GB"/>
        </w:rPr>
        <w:t>be declared unlawful.</w:t>
      </w:r>
    </w:p>
    <w:p w14:paraId="0112488D" w14:textId="77777777" w:rsidR="00DA0948" w:rsidRPr="00825D57" w:rsidRDefault="00DA0948" w:rsidP="00DA0948">
      <w:pPr>
        <w:ind w:left="2160" w:hanging="720"/>
        <w:jc w:val="both"/>
        <w:rPr>
          <w:bCs/>
          <w:lang w:val="en-GB"/>
        </w:rPr>
      </w:pPr>
    </w:p>
    <w:p w14:paraId="41ADCAB3" w14:textId="406E66B9" w:rsidR="00825D57" w:rsidRDefault="00825D57" w:rsidP="00DA0948">
      <w:pPr>
        <w:ind w:left="2160" w:hanging="720"/>
        <w:jc w:val="both"/>
        <w:rPr>
          <w:bCs/>
          <w:lang w:val="en-GB"/>
        </w:rPr>
      </w:pPr>
      <w:r w:rsidRPr="00825D57">
        <w:rPr>
          <w:bCs/>
          <w:lang w:val="en-GB"/>
        </w:rPr>
        <w:t>5.</w:t>
      </w:r>
      <w:r w:rsidRPr="00825D57">
        <w:rPr>
          <w:bCs/>
          <w:lang w:val="en-GB"/>
        </w:rPr>
        <w:tab/>
        <w:t xml:space="preserve">It be declared that the findings of the Procurement Policy and Advice Division in respect of the </w:t>
      </w:r>
      <w:r w:rsidRPr="00825D57">
        <w:rPr>
          <w:b/>
          <w:lang w:val="en-GB"/>
        </w:rPr>
        <w:t>Proposed Renovations to Mohale’s Hoek Correctional Services for the Ministry of Justice and Correctional Services- Phase 1 (Builder’s Work) of Mohale’s Hoek,</w:t>
      </w:r>
      <w:r w:rsidRPr="00825D57">
        <w:rPr>
          <w:bCs/>
          <w:lang w:val="en-GB"/>
        </w:rPr>
        <w:t xml:space="preserve"> are binding to the </w:t>
      </w:r>
      <w:r w:rsidRPr="00825D57">
        <w:rPr>
          <w:b/>
          <w:lang w:val="en-GB"/>
        </w:rPr>
        <w:t>2</w:t>
      </w:r>
      <w:r w:rsidRPr="00825D57">
        <w:rPr>
          <w:b/>
          <w:vertAlign w:val="superscript"/>
          <w:lang w:val="en-GB"/>
        </w:rPr>
        <w:t>nd</w:t>
      </w:r>
      <w:r w:rsidRPr="00825D57">
        <w:rPr>
          <w:b/>
          <w:lang w:val="en-GB"/>
        </w:rPr>
        <w:t xml:space="preserve"> Respondent.</w:t>
      </w:r>
      <w:r w:rsidRPr="00825D57">
        <w:rPr>
          <w:bCs/>
          <w:lang w:val="en-GB"/>
        </w:rPr>
        <w:t xml:space="preserve">  </w:t>
      </w:r>
    </w:p>
    <w:p w14:paraId="6667AA09" w14:textId="77777777" w:rsidR="00DA0948" w:rsidRPr="00825D57" w:rsidRDefault="00DA0948" w:rsidP="00DA0948">
      <w:pPr>
        <w:ind w:left="2160" w:hanging="720"/>
        <w:jc w:val="both"/>
        <w:rPr>
          <w:bCs/>
          <w:lang w:val="en-GB"/>
        </w:rPr>
      </w:pPr>
    </w:p>
    <w:p w14:paraId="4346001B" w14:textId="7480E331" w:rsidR="00825D57" w:rsidRDefault="00826962" w:rsidP="00DA0948">
      <w:pPr>
        <w:ind w:left="720" w:firstLine="720"/>
        <w:jc w:val="both"/>
        <w:rPr>
          <w:bCs/>
          <w:lang w:val="en-GB"/>
        </w:rPr>
      </w:pPr>
      <w:r>
        <w:rPr>
          <w:bCs/>
          <w:lang w:val="en-GB"/>
        </w:rPr>
        <w:t>7.</w:t>
      </w:r>
      <w:r>
        <w:rPr>
          <w:bCs/>
          <w:lang w:val="en-GB"/>
        </w:rPr>
        <w:tab/>
        <w:t>Costs of suit</w:t>
      </w:r>
      <w:r w:rsidR="00825D57" w:rsidRPr="00825D57">
        <w:rPr>
          <w:bCs/>
          <w:lang w:val="en-GB"/>
        </w:rPr>
        <w:t xml:space="preserve"> on attorney and client scale.</w:t>
      </w:r>
    </w:p>
    <w:p w14:paraId="540D7E2D" w14:textId="77777777" w:rsidR="00DA0948" w:rsidRPr="00825D57" w:rsidRDefault="00DA0948" w:rsidP="00DA0948">
      <w:pPr>
        <w:ind w:left="720" w:firstLine="720"/>
        <w:jc w:val="both"/>
        <w:rPr>
          <w:bCs/>
          <w:lang w:val="en-GB"/>
        </w:rPr>
      </w:pPr>
    </w:p>
    <w:p w14:paraId="6F7EE5CB" w14:textId="4E9DEA53" w:rsidR="00825D57" w:rsidRDefault="00825D57" w:rsidP="00DA0948">
      <w:pPr>
        <w:ind w:left="720" w:firstLine="720"/>
        <w:jc w:val="both"/>
        <w:rPr>
          <w:bCs/>
          <w:lang w:val="en-GB"/>
        </w:rPr>
      </w:pPr>
      <w:r w:rsidRPr="00825D57">
        <w:rPr>
          <w:bCs/>
          <w:lang w:val="en-GB"/>
        </w:rPr>
        <w:t>8.</w:t>
      </w:r>
      <w:r w:rsidRPr="00825D57">
        <w:rPr>
          <w:bCs/>
          <w:lang w:val="en-GB"/>
        </w:rPr>
        <w:tab/>
        <w:t>Further and/or alternative relief.</w:t>
      </w:r>
      <w:r>
        <w:rPr>
          <w:bCs/>
          <w:lang w:val="en-GB"/>
        </w:rPr>
        <w:t>”</w:t>
      </w:r>
    </w:p>
    <w:p w14:paraId="1B334E8B" w14:textId="77777777" w:rsidR="00801E7F" w:rsidRPr="00825D57" w:rsidRDefault="00801E7F" w:rsidP="00825D57">
      <w:pPr>
        <w:ind w:firstLine="720"/>
        <w:jc w:val="both"/>
        <w:rPr>
          <w:bCs/>
          <w:lang w:val="en-GB"/>
        </w:rPr>
      </w:pPr>
    </w:p>
    <w:p w14:paraId="1BE3B65D" w14:textId="7242A2B7" w:rsidR="00825D57" w:rsidRPr="00825D57" w:rsidRDefault="00825D57" w:rsidP="00825D57">
      <w:pPr>
        <w:jc w:val="both"/>
        <w:rPr>
          <w:bCs/>
          <w:lang w:val="en-GB"/>
        </w:rPr>
      </w:pPr>
    </w:p>
    <w:p w14:paraId="35A8C8C9" w14:textId="77777777" w:rsidR="00AD14C0" w:rsidRDefault="00AD14C0" w:rsidP="00801E7F">
      <w:pPr>
        <w:spacing w:line="480" w:lineRule="auto"/>
        <w:jc w:val="both"/>
        <w:rPr>
          <w:b/>
          <w:sz w:val="28"/>
          <w:szCs w:val="28"/>
          <w:u w:val="single"/>
          <w:lang w:val="en-GB"/>
        </w:rPr>
      </w:pPr>
    </w:p>
    <w:p w14:paraId="39DAC1EF" w14:textId="463335EE" w:rsidR="00801E7F" w:rsidRPr="00801E7F" w:rsidRDefault="00801E7F" w:rsidP="00801E7F">
      <w:pPr>
        <w:spacing w:line="480" w:lineRule="auto"/>
        <w:jc w:val="both"/>
        <w:rPr>
          <w:b/>
          <w:sz w:val="28"/>
          <w:szCs w:val="28"/>
          <w:lang w:val="en-GB"/>
        </w:rPr>
      </w:pPr>
      <w:r w:rsidRPr="00C22E9A">
        <w:rPr>
          <w:b/>
          <w:sz w:val="28"/>
          <w:szCs w:val="28"/>
          <w:u w:val="single"/>
          <w:lang w:val="en-GB"/>
        </w:rPr>
        <w:t>P</w:t>
      </w:r>
      <w:r>
        <w:rPr>
          <w:b/>
          <w:sz w:val="28"/>
          <w:szCs w:val="28"/>
          <w:u w:val="single"/>
          <w:lang w:val="en-GB"/>
        </w:rPr>
        <w:t>UBLIC PR</w:t>
      </w:r>
      <w:r w:rsidRPr="00C22E9A">
        <w:rPr>
          <w:b/>
          <w:sz w:val="28"/>
          <w:szCs w:val="28"/>
          <w:u w:val="single"/>
          <w:lang w:val="en-GB"/>
        </w:rPr>
        <w:t>OC</w:t>
      </w:r>
      <w:r>
        <w:rPr>
          <w:b/>
          <w:sz w:val="28"/>
          <w:szCs w:val="28"/>
          <w:u w:val="single"/>
          <w:lang w:val="en-GB"/>
        </w:rPr>
        <w:t>UREMENT</w:t>
      </w:r>
      <w:r>
        <w:rPr>
          <w:b/>
          <w:sz w:val="28"/>
          <w:szCs w:val="28"/>
          <w:lang w:val="en-GB"/>
        </w:rPr>
        <w:t>:</w:t>
      </w:r>
    </w:p>
    <w:p w14:paraId="20406297" w14:textId="77777777" w:rsidR="00801E7F" w:rsidRDefault="00801E7F" w:rsidP="00801E7F">
      <w:pPr>
        <w:spacing w:line="480" w:lineRule="auto"/>
        <w:jc w:val="both"/>
        <w:rPr>
          <w:b/>
          <w:sz w:val="28"/>
          <w:szCs w:val="28"/>
          <w:u w:val="single"/>
          <w:lang w:val="en-GB"/>
        </w:rPr>
      </w:pPr>
    </w:p>
    <w:p w14:paraId="6B740E93" w14:textId="1179F31E" w:rsidR="00801E7F" w:rsidRDefault="00801E7F" w:rsidP="00801E7F">
      <w:pPr>
        <w:spacing w:line="480" w:lineRule="auto"/>
        <w:jc w:val="both"/>
        <w:rPr>
          <w:bCs/>
          <w:sz w:val="28"/>
          <w:szCs w:val="28"/>
          <w:lang w:val="en-GB"/>
        </w:rPr>
      </w:pPr>
      <w:r>
        <w:rPr>
          <w:bCs/>
          <w:sz w:val="28"/>
          <w:szCs w:val="28"/>
          <w:lang w:val="en-GB"/>
        </w:rPr>
        <w:t>[</w:t>
      </w:r>
      <w:r w:rsidR="00AD14C0">
        <w:rPr>
          <w:bCs/>
          <w:sz w:val="28"/>
          <w:szCs w:val="28"/>
          <w:lang w:val="en-GB"/>
        </w:rPr>
        <w:t>3</w:t>
      </w:r>
      <w:r>
        <w:rPr>
          <w:bCs/>
          <w:sz w:val="28"/>
          <w:szCs w:val="28"/>
          <w:lang w:val="en-GB"/>
        </w:rPr>
        <w:t>]</w:t>
      </w:r>
      <w:r>
        <w:rPr>
          <w:bCs/>
          <w:sz w:val="28"/>
          <w:szCs w:val="28"/>
          <w:lang w:val="en-GB"/>
        </w:rPr>
        <w:tab/>
      </w:r>
      <w:r>
        <w:rPr>
          <w:bCs/>
          <w:sz w:val="28"/>
          <w:szCs w:val="28"/>
          <w:lang w:val="en-GB"/>
        </w:rPr>
        <w:tab/>
      </w:r>
      <w:r w:rsidR="007764CE">
        <w:rPr>
          <w:bCs/>
          <w:sz w:val="28"/>
          <w:szCs w:val="28"/>
          <w:lang w:val="en-GB"/>
        </w:rPr>
        <w:t>At the time that the cause of action arose p</w:t>
      </w:r>
      <w:r>
        <w:rPr>
          <w:bCs/>
          <w:sz w:val="28"/>
          <w:szCs w:val="28"/>
          <w:lang w:val="en-GB"/>
        </w:rPr>
        <w:t xml:space="preserve">rocurement of public goods and services in this jurisdiction </w:t>
      </w:r>
      <w:r w:rsidR="007764CE">
        <w:rPr>
          <w:bCs/>
          <w:sz w:val="28"/>
          <w:szCs w:val="28"/>
          <w:lang w:val="en-GB"/>
        </w:rPr>
        <w:t>was</w:t>
      </w:r>
      <w:r>
        <w:rPr>
          <w:bCs/>
          <w:sz w:val="28"/>
          <w:szCs w:val="28"/>
          <w:lang w:val="en-GB"/>
        </w:rPr>
        <w:t xml:space="preserve"> governed by Public Procurement Regulations 2007 as amended, </w:t>
      </w:r>
      <w:r w:rsidRPr="00C22E9A">
        <w:rPr>
          <w:bCs/>
          <w:i/>
          <w:iCs/>
          <w:sz w:val="28"/>
          <w:szCs w:val="28"/>
          <w:lang w:val="en-GB"/>
        </w:rPr>
        <w:t>(“the regulations”).</w:t>
      </w:r>
      <w:r>
        <w:rPr>
          <w:bCs/>
          <w:sz w:val="28"/>
          <w:szCs w:val="28"/>
          <w:lang w:val="en-GB"/>
        </w:rPr>
        <w:t xml:space="preserve"> </w:t>
      </w:r>
      <w:r w:rsidR="007764CE">
        <w:rPr>
          <w:bCs/>
          <w:sz w:val="28"/>
          <w:szCs w:val="28"/>
          <w:lang w:val="en-GB"/>
        </w:rPr>
        <w:t xml:space="preserve">I am aware that Public Procurement Act No. 3 of 2023 has since been promulgated. Back to the regulations. </w:t>
      </w:r>
      <w:r>
        <w:rPr>
          <w:bCs/>
          <w:sz w:val="28"/>
          <w:szCs w:val="28"/>
          <w:lang w:val="en-GB"/>
        </w:rPr>
        <w:t xml:space="preserve">In terms of regulation 3(2) public bodies such as ministries, district councils, state-owned enterprises, etc, constitute a Procurement Unit, </w:t>
      </w:r>
      <w:r w:rsidRPr="009B3421">
        <w:rPr>
          <w:bCs/>
          <w:i/>
          <w:iCs/>
          <w:sz w:val="28"/>
          <w:szCs w:val="28"/>
          <w:lang w:val="en-GB"/>
        </w:rPr>
        <w:t>(“the Unit”)</w:t>
      </w:r>
      <w:r>
        <w:rPr>
          <w:bCs/>
          <w:i/>
          <w:iCs/>
          <w:sz w:val="28"/>
          <w:szCs w:val="28"/>
          <w:lang w:val="en-GB"/>
        </w:rPr>
        <w:t>,</w:t>
      </w:r>
      <w:r>
        <w:rPr>
          <w:bCs/>
          <w:sz w:val="28"/>
          <w:szCs w:val="28"/>
          <w:lang w:val="en-GB"/>
        </w:rPr>
        <w:t xml:space="preserve"> when carrying out public procurement. </w:t>
      </w:r>
    </w:p>
    <w:p w14:paraId="5E601463" w14:textId="77777777" w:rsidR="00801E7F" w:rsidRDefault="00801E7F" w:rsidP="00801E7F">
      <w:pPr>
        <w:spacing w:line="480" w:lineRule="auto"/>
        <w:jc w:val="both"/>
        <w:rPr>
          <w:bCs/>
          <w:sz w:val="28"/>
          <w:szCs w:val="28"/>
          <w:lang w:val="en-GB"/>
        </w:rPr>
      </w:pPr>
    </w:p>
    <w:p w14:paraId="26FB04E4" w14:textId="339C2B24" w:rsidR="00801E7F" w:rsidRDefault="00801E7F" w:rsidP="00801E7F">
      <w:pPr>
        <w:spacing w:line="480" w:lineRule="auto"/>
        <w:jc w:val="both"/>
        <w:rPr>
          <w:bCs/>
          <w:sz w:val="28"/>
          <w:szCs w:val="28"/>
          <w:lang w:val="en-GB"/>
        </w:rPr>
      </w:pPr>
      <w:r>
        <w:rPr>
          <w:bCs/>
          <w:sz w:val="28"/>
          <w:szCs w:val="28"/>
          <w:lang w:val="en-GB"/>
        </w:rPr>
        <w:t>[</w:t>
      </w:r>
      <w:r w:rsidR="00AD14C0">
        <w:rPr>
          <w:bCs/>
          <w:sz w:val="28"/>
          <w:szCs w:val="28"/>
          <w:lang w:val="en-GB"/>
        </w:rPr>
        <w:t>4</w:t>
      </w:r>
      <w:r>
        <w:rPr>
          <w:bCs/>
          <w:sz w:val="28"/>
          <w:szCs w:val="28"/>
          <w:lang w:val="en-GB"/>
        </w:rPr>
        <w:t>]</w:t>
      </w:r>
      <w:r>
        <w:rPr>
          <w:bCs/>
          <w:sz w:val="28"/>
          <w:szCs w:val="28"/>
          <w:lang w:val="en-GB"/>
        </w:rPr>
        <w:tab/>
      </w:r>
      <w:r>
        <w:rPr>
          <w:bCs/>
          <w:sz w:val="28"/>
          <w:szCs w:val="28"/>
          <w:lang w:val="en-GB"/>
        </w:rPr>
        <w:tab/>
        <w:t xml:space="preserve">Public procurement </w:t>
      </w:r>
      <w:r w:rsidR="00DA0948">
        <w:rPr>
          <w:bCs/>
          <w:sz w:val="28"/>
          <w:szCs w:val="28"/>
          <w:lang w:val="en-GB"/>
        </w:rPr>
        <w:t xml:space="preserve">in Lesotho </w:t>
      </w:r>
      <w:r>
        <w:rPr>
          <w:bCs/>
          <w:sz w:val="28"/>
          <w:szCs w:val="28"/>
          <w:lang w:val="en-GB"/>
        </w:rPr>
        <w:t>is grounded on principles of legality, accountability, efficiency, transparency and overall value for money. Consequently, the regulations establish several bodies for checks and balances as well as to ensure segregation of duties.</w:t>
      </w:r>
      <w:r w:rsidR="00DA0948">
        <w:rPr>
          <w:bCs/>
          <w:sz w:val="28"/>
          <w:szCs w:val="28"/>
          <w:lang w:val="en-GB"/>
        </w:rPr>
        <w:t xml:space="preserve"> The most pivotal body is the </w:t>
      </w:r>
      <w:r>
        <w:rPr>
          <w:bCs/>
          <w:sz w:val="28"/>
          <w:szCs w:val="28"/>
          <w:lang w:val="en-GB"/>
        </w:rPr>
        <w:t xml:space="preserve">Procurement </w:t>
      </w:r>
      <w:r>
        <w:rPr>
          <w:bCs/>
          <w:sz w:val="28"/>
          <w:szCs w:val="28"/>
          <w:lang w:val="en-GB"/>
        </w:rPr>
        <w:lastRenderedPageBreak/>
        <w:t xml:space="preserve">Unit </w:t>
      </w:r>
      <w:r w:rsidRPr="004D4028">
        <w:rPr>
          <w:bCs/>
          <w:i/>
          <w:iCs/>
          <w:sz w:val="28"/>
          <w:szCs w:val="28"/>
          <w:lang w:val="en-GB"/>
        </w:rPr>
        <w:t>(“</w:t>
      </w:r>
      <w:r w:rsidR="008D6B7E">
        <w:rPr>
          <w:bCs/>
          <w:i/>
          <w:iCs/>
          <w:sz w:val="28"/>
          <w:szCs w:val="28"/>
          <w:lang w:val="en-GB"/>
        </w:rPr>
        <w:t>the Unit”</w:t>
      </w:r>
      <w:r w:rsidRPr="004D4028">
        <w:rPr>
          <w:bCs/>
          <w:i/>
          <w:iCs/>
          <w:sz w:val="28"/>
          <w:szCs w:val="28"/>
          <w:lang w:val="en-GB"/>
        </w:rPr>
        <w:t>),</w:t>
      </w:r>
      <w:r>
        <w:rPr>
          <w:bCs/>
          <w:sz w:val="28"/>
          <w:szCs w:val="28"/>
          <w:lang w:val="en-GB"/>
        </w:rPr>
        <w:t xml:space="preserve"> </w:t>
      </w:r>
      <w:r w:rsidR="00DA0948">
        <w:rPr>
          <w:bCs/>
          <w:sz w:val="28"/>
          <w:szCs w:val="28"/>
          <w:lang w:val="en-GB"/>
        </w:rPr>
        <w:t xml:space="preserve">which has to establish the </w:t>
      </w:r>
      <w:r>
        <w:rPr>
          <w:bCs/>
          <w:sz w:val="28"/>
          <w:szCs w:val="28"/>
          <w:lang w:val="en-GB"/>
        </w:rPr>
        <w:t xml:space="preserve">Evaluation Team </w:t>
      </w:r>
      <w:r w:rsidRPr="009B3421">
        <w:rPr>
          <w:bCs/>
          <w:i/>
          <w:iCs/>
          <w:sz w:val="28"/>
          <w:szCs w:val="28"/>
          <w:lang w:val="en-GB"/>
        </w:rPr>
        <w:t>(“ET”)</w:t>
      </w:r>
      <w:r w:rsidR="00DA0948">
        <w:rPr>
          <w:bCs/>
          <w:i/>
          <w:iCs/>
          <w:sz w:val="28"/>
          <w:szCs w:val="28"/>
          <w:lang w:val="en-GB"/>
        </w:rPr>
        <w:t xml:space="preserve"> </w:t>
      </w:r>
      <w:r w:rsidR="00DA0948">
        <w:rPr>
          <w:bCs/>
          <w:sz w:val="28"/>
          <w:szCs w:val="28"/>
          <w:lang w:val="en-GB"/>
        </w:rPr>
        <w:t xml:space="preserve">and the </w:t>
      </w:r>
      <w:r>
        <w:rPr>
          <w:bCs/>
          <w:sz w:val="28"/>
          <w:szCs w:val="28"/>
          <w:lang w:val="en-GB"/>
        </w:rPr>
        <w:t xml:space="preserve">Tender Panel, </w:t>
      </w:r>
      <w:r w:rsidRPr="009B3421">
        <w:rPr>
          <w:bCs/>
          <w:i/>
          <w:iCs/>
          <w:sz w:val="28"/>
          <w:szCs w:val="28"/>
          <w:lang w:val="en-GB"/>
        </w:rPr>
        <w:t>(“TP”)</w:t>
      </w:r>
      <w:r w:rsidR="00DA0948">
        <w:rPr>
          <w:bCs/>
          <w:sz w:val="28"/>
          <w:szCs w:val="28"/>
          <w:lang w:val="en-GB"/>
        </w:rPr>
        <w:t xml:space="preserve">. There is also </w:t>
      </w:r>
      <w:r>
        <w:rPr>
          <w:bCs/>
          <w:sz w:val="28"/>
          <w:szCs w:val="28"/>
          <w:lang w:val="en-GB"/>
        </w:rPr>
        <w:t xml:space="preserve">Public Policy and Advice Division </w:t>
      </w:r>
      <w:r w:rsidRPr="009B3421">
        <w:rPr>
          <w:bCs/>
          <w:i/>
          <w:iCs/>
          <w:sz w:val="28"/>
          <w:szCs w:val="28"/>
          <w:lang w:val="en-GB"/>
        </w:rPr>
        <w:t>(“PPAD”)</w:t>
      </w:r>
      <w:r w:rsidR="0009722C">
        <w:rPr>
          <w:bCs/>
          <w:sz w:val="28"/>
          <w:szCs w:val="28"/>
          <w:lang w:val="en-GB"/>
        </w:rPr>
        <w:t xml:space="preserve"> which is a regulator in public procurement</w:t>
      </w:r>
      <w:r w:rsidR="00853FE7">
        <w:rPr>
          <w:bCs/>
          <w:sz w:val="28"/>
          <w:szCs w:val="28"/>
          <w:lang w:val="en-GB"/>
        </w:rPr>
        <w:t xml:space="preserve">. </w:t>
      </w:r>
      <w:r>
        <w:rPr>
          <w:bCs/>
          <w:sz w:val="28"/>
          <w:szCs w:val="28"/>
          <w:lang w:val="en-GB"/>
        </w:rPr>
        <w:t>I refer to the powers of these bodies to the extent of their relevance in this matter.</w:t>
      </w:r>
    </w:p>
    <w:p w14:paraId="341CC0C7" w14:textId="77777777" w:rsidR="008D6B7E" w:rsidRDefault="008D6B7E" w:rsidP="00801E7F">
      <w:pPr>
        <w:spacing w:line="480" w:lineRule="auto"/>
        <w:jc w:val="both"/>
        <w:rPr>
          <w:bCs/>
          <w:sz w:val="28"/>
          <w:szCs w:val="28"/>
          <w:lang w:val="en-GB"/>
        </w:rPr>
      </w:pPr>
    </w:p>
    <w:p w14:paraId="324E5CDB" w14:textId="780138B2" w:rsidR="00801E7F" w:rsidRDefault="008D6B7E" w:rsidP="00801E7F">
      <w:pPr>
        <w:spacing w:line="480" w:lineRule="auto"/>
        <w:jc w:val="both"/>
        <w:rPr>
          <w:bCs/>
          <w:sz w:val="28"/>
          <w:szCs w:val="28"/>
          <w:lang w:val="en-GB"/>
        </w:rPr>
      </w:pPr>
      <w:r w:rsidRPr="008D6B7E">
        <w:rPr>
          <w:b/>
          <w:i/>
          <w:iCs/>
          <w:sz w:val="28"/>
          <w:szCs w:val="28"/>
          <w:lang w:val="en-GB"/>
        </w:rPr>
        <w:t>P</w:t>
      </w:r>
      <w:r w:rsidR="00801E7F" w:rsidRPr="004D4028">
        <w:rPr>
          <w:b/>
          <w:i/>
          <w:iCs/>
          <w:sz w:val="28"/>
          <w:szCs w:val="28"/>
          <w:lang w:val="en-GB"/>
        </w:rPr>
        <w:t>rocurement Unit (“</w:t>
      </w:r>
      <w:r>
        <w:rPr>
          <w:b/>
          <w:i/>
          <w:iCs/>
          <w:sz w:val="28"/>
          <w:szCs w:val="28"/>
          <w:lang w:val="en-GB"/>
        </w:rPr>
        <w:t xml:space="preserve">the </w:t>
      </w:r>
      <w:r w:rsidR="00801E7F" w:rsidRPr="004D4028">
        <w:rPr>
          <w:b/>
          <w:i/>
          <w:iCs/>
          <w:sz w:val="28"/>
          <w:szCs w:val="28"/>
          <w:lang w:val="en-GB"/>
        </w:rPr>
        <w:t>U</w:t>
      </w:r>
      <w:r>
        <w:rPr>
          <w:b/>
          <w:i/>
          <w:iCs/>
          <w:sz w:val="28"/>
          <w:szCs w:val="28"/>
          <w:lang w:val="en-GB"/>
        </w:rPr>
        <w:t>nit</w:t>
      </w:r>
      <w:r w:rsidR="00801E7F" w:rsidRPr="004D4028">
        <w:rPr>
          <w:b/>
          <w:i/>
          <w:iCs/>
          <w:sz w:val="28"/>
          <w:szCs w:val="28"/>
          <w:lang w:val="en-GB"/>
        </w:rPr>
        <w:t>”)</w:t>
      </w:r>
      <w:r w:rsidR="00801E7F">
        <w:rPr>
          <w:bCs/>
          <w:sz w:val="28"/>
          <w:szCs w:val="28"/>
          <w:lang w:val="en-GB"/>
        </w:rPr>
        <w:tab/>
      </w:r>
    </w:p>
    <w:p w14:paraId="08F0421E" w14:textId="77777777" w:rsidR="00DA0948" w:rsidRDefault="00DA0948" w:rsidP="00801E7F">
      <w:pPr>
        <w:spacing w:line="480" w:lineRule="auto"/>
        <w:jc w:val="both"/>
        <w:rPr>
          <w:bCs/>
          <w:sz w:val="28"/>
          <w:szCs w:val="28"/>
          <w:lang w:val="en-GB"/>
        </w:rPr>
      </w:pPr>
    </w:p>
    <w:p w14:paraId="5722C1F1" w14:textId="6EEFCFC2" w:rsidR="009555A0" w:rsidRDefault="00801E7F" w:rsidP="00801E7F">
      <w:pPr>
        <w:spacing w:line="480" w:lineRule="auto"/>
        <w:jc w:val="both"/>
        <w:rPr>
          <w:bCs/>
          <w:sz w:val="28"/>
          <w:szCs w:val="28"/>
          <w:lang w:val="en-GB"/>
        </w:rPr>
      </w:pPr>
      <w:r>
        <w:rPr>
          <w:bCs/>
          <w:sz w:val="28"/>
          <w:szCs w:val="28"/>
          <w:lang w:val="en-GB"/>
        </w:rPr>
        <w:t>[</w:t>
      </w:r>
      <w:r w:rsidR="00AD14C0">
        <w:rPr>
          <w:bCs/>
          <w:sz w:val="28"/>
          <w:szCs w:val="28"/>
          <w:lang w:val="en-GB"/>
        </w:rPr>
        <w:t>5</w:t>
      </w:r>
      <w:r>
        <w:rPr>
          <w:bCs/>
          <w:sz w:val="28"/>
          <w:szCs w:val="28"/>
          <w:lang w:val="en-GB"/>
        </w:rPr>
        <w:t>]</w:t>
      </w:r>
      <w:r>
        <w:rPr>
          <w:bCs/>
          <w:sz w:val="28"/>
          <w:szCs w:val="28"/>
          <w:lang w:val="en-GB"/>
        </w:rPr>
        <w:tab/>
      </w:r>
      <w:r>
        <w:rPr>
          <w:bCs/>
          <w:sz w:val="28"/>
          <w:szCs w:val="28"/>
          <w:lang w:val="en-GB"/>
        </w:rPr>
        <w:tab/>
        <w:t>The Unit is responsible for inviting tenders</w:t>
      </w:r>
      <w:r>
        <w:rPr>
          <w:rStyle w:val="FootnoteReference"/>
          <w:bCs/>
          <w:sz w:val="28"/>
          <w:szCs w:val="28"/>
          <w:lang w:val="en-GB"/>
        </w:rPr>
        <w:footnoteReference w:id="2"/>
      </w:r>
      <w:r>
        <w:rPr>
          <w:bCs/>
          <w:sz w:val="28"/>
          <w:szCs w:val="28"/>
          <w:lang w:val="en-GB"/>
        </w:rPr>
        <w:t xml:space="preserve"> and for preparation of tender documents</w:t>
      </w:r>
      <w:r>
        <w:rPr>
          <w:rStyle w:val="FootnoteReference"/>
          <w:bCs/>
          <w:sz w:val="28"/>
          <w:szCs w:val="28"/>
          <w:lang w:val="en-GB"/>
        </w:rPr>
        <w:footnoteReference w:id="3"/>
      </w:r>
      <w:r>
        <w:rPr>
          <w:bCs/>
          <w:sz w:val="28"/>
          <w:szCs w:val="28"/>
          <w:lang w:val="en-GB"/>
        </w:rPr>
        <w:t xml:space="preserve"> which amongst others must include a criteria and methods for selecting qualified tenders</w:t>
      </w:r>
      <w:r>
        <w:rPr>
          <w:rStyle w:val="FootnoteReference"/>
          <w:bCs/>
          <w:sz w:val="28"/>
          <w:szCs w:val="28"/>
          <w:lang w:val="en-GB"/>
        </w:rPr>
        <w:footnoteReference w:id="4"/>
      </w:r>
      <w:r>
        <w:rPr>
          <w:bCs/>
          <w:sz w:val="28"/>
          <w:szCs w:val="28"/>
          <w:lang w:val="en-GB"/>
        </w:rPr>
        <w:t>. Once tenders have been submitted, it is the responsibility of the Unit to ensure that they are evaluated</w:t>
      </w:r>
      <w:r>
        <w:rPr>
          <w:rStyle w:val="FootnoteReference"/>
          <w:bCs/>
          <w:sz w:val="28"/>
          <w:szCs w:val="28"/>
          <w:lang w:val="en-GB"/>
        </w:rPr>
        <w:footnoteReference w:id="5"/>
      </w:r>
      <w:r>
        <w:rPr>
          <w:bCs/>
          <w:sz w:val="28"/>
          <w:szCs w:val="28"/>
          <w:lang w:val="en-GB"/>
        </w:rPr>
        <w:t xml:space="preserve"> and that the tenderer who has satisfied the requirements specified in the tender invitation and submitted the most favourable tender is invited to enter into a contract</w:t>
      </w:r>
      <w:r>
        <w:rPr>
          <w:rStyle w:val="FootnoteReference"/>
          <w:bCs/>
          <w:sz w:val="28"/>
          <w:szCs w:val="28"/>
          <w:lang w:val="en-GB"/>
        </w:rPr>
        <w:footnoteReference w:id="6"/>
      </w:r>
      <w:r>
        <w:rPr>
          <w:bCs/>
          <w:sz w:val="28"/>
          <w:szCs w:val="28"/>
          <w:lang w:val="en-GB"/>
        </w:rPr>
        <w:t xml:space="preserve">. The tendered price is the key criterion in evaluation </w:t>
      </w:r>
      <w:r w:rsidR="004C1A38">
        <w:rPr>
          <w:bCs/>
          <w:sz w:val="28"/>
          <w:szCs w:val="28"/>
          <w:lang w:val="en-GB"/>
        </w:rPr>
        <w:t xml:space="preserve">of </w:t>
      </w:r>
      <w:r>
        <w:rPr>
          <w:bCs/>
          <w:sz w:val="28"/>
          <w:szCs w:val="28"/>
          <w:lang w:val="en-GB"/>
        </w:rPr>
        <w:t>apparently compliant tenderers</w:t>
      </w:r>
      <w:r>
        <w:rPr>
          <w:rStyle w:val="FootnoteReference"/>
          <w:bCs/>
          <w:sz w:val="28"/>
          <w:szCs w:val="28"/>
          <w:lang w:val="en-GB"/>
        </w:rPr>
        <w:footnoteReference w:id="7"/>
      </w:r>
      <w:r>
        <w:rPr>
          <w:bCs/>
          <w:sz w:val="28"/>
          <w:szCs w:val="28"/>
          <w:lang w:val="en-GB"/>
        </w:rPr>
        <w:t xml:space="preserve">.  </w:t>
      </w:r>
    </w:p>
    <w:p w14:paraId="524A9284" w14:textId="77777777" w:rsidR="009555A0" w:rsidRDefault="009555A0" w:rsidP="00801E7F">
      <w:pPr>
        <w:spacing w:line="480" w:lineRule="auto"/>
        <w:jc w:val="both"/>
        <w:rPr>
          <w:bCs/>
          <w:sz w:val="28"/>
          <w:szCs w:val="28"/>
          <w:lang w:val="en-GB"/>
        </w:rPr>
      </w:pPr>
    </w:p>
    <w:p w14:paraId="50ED5A95" w14:textId="7C043BAA" w:rsidR="00801E7F" w:rsidRDefault="009555A0" w:rsidP="00801E7F">
      <w:pPr>
        <w:spacing w:line="480" w:lineRule="auto"/>
        <w:jc w:val="both"/>
        <w:rPr>
          <w:bCs/>
          <w:sz w:val="28"/>
          <w:szCs w:val="28"/>
          <w:lang w:val="en-GB"/>
        </w:rPr>
      </w:pPr>
      <w:r>
        <w:rPr>
          <w:bCs/>
          <w:sz w:val="28"/>
          <w:szCs w:val="28"/>
          <w:lang w:val="en-GB"/>
        </w:rPr>
        <w:t>[6]</w:t>
      </w:r>
      <w:r>
        <w:rPr>
          <w:bCs/>
          <w:sz w:val="28"/>
          <w:szCs w:val="28"/>
          <w:lang w:val="en-GB"/>
        </w:rPr>
        <w:tab/>
      </w:r>
      <w:r>
        <w:rPr>
          <w:bCs/>
          <w:sz w:val="28"/>
          <w:szCs w:val="28"/>
          <w:lang w:val="en-GB"/>
        </w:rPr>
        <w:tab/>
      </w:r>
      <w:r w:rsidR="00801E7F">
        <w:rPr>
          <w:bCs/>
          <w:sz w:val="28"/>
          <w:szCs w:val="28"/>
          <w:lang w:val="en-GB"/>
        </w:rPr>
        <w:t>Subject to the decision of the TP, the Unit is responsible for finalising and attending to the signing of a contract</w:t>
      </w:r>
      <w:r w:rsidR="00801E7F">
        <w:rPr>
          <w:rStyle w:val="FootnoteReference"/>
          <w:bCs/>
          <w:sz w:val="28"/>
          <w:szCs w:val="28"/>
          <w:lang w:val="en-GB"/>
        </w:rPr>
        <w:footnoteReference w:id="8"/>
      </w:r>
      <w:r w:rsidR="00801E7F">
        <w:rPr>
          <w:bCs/>
          <w:sz w:val="28"/>
          <w:szCs w:val="28"/>
          <w:lang w:val="en-GB"/>
        </w:rPr>
        <w:t xml:space="preserve">. </w:t>
      </w:r>
      <w:r>
        <w:rPr>
          <w:bCs/>
          <w:sz w:val="28"/>
          <w:szCs w:val="28"/>
          <w:lang w:val="en-GB"/>
        </w:rPr>
        <w:t>A</w:t>
      </w:r>
      <w:r w:rsidR="00801E7F">
        <w:rPr>
          <w:bCs/>
          <w:sz w:val="28"/>
          <w:szCs w:val="28"/>
          <w:lang w:val="en-GB"/>
        </w:rPr>
        <w:t xml:space="preserve">t the time that the Unit places a contract with a successful tenderer, it must offer unsuccessful tenderers </w:t>
      </w:r>
      <w:r w:rsidR="00801E7F">
        <w:rPr>
          <w:bCs/>
          <w:sz w:val="28"/>
          <w:szCs w:val="28"/>
          <w:lang w:val="en-GB"/>
        </w:rPr>
        <w:lastRenderedPageBreak/>
        <w:t>and the winning tender an opportunity for de-briefing</w:t>
      </w:r>
      <w:r w:rsidR="00801E7F">
        <w:rPr>
          <w:rStyle w:val="FootnoteReference"/>
          <w:bCs/>
          <w:sz w:val="28"/>
          <w:szCs w:val="28"/>
          <w:lang w:val="en-GB"/>
        </w:rPr>
        <w:footnoteReference w:id="9"/>
      </w:r>
      <w:r w:rsidR="00801E7F">
        <w:rPr>
          <w:bCs/>
          <w:sz w:val="28"/>
          <w:szCs w:val="28"/>
          <w:lang w:val="en-GB"/>
        </w:rPr>
        <w:t xml:space="preserve">.  This is intended to advise </w:t>
      </w:r>
      <w:r w:rsidR="00DA0948">
        <w:rPr>
          <w:bCs/>
          <w:sz w:val="28"/>
          <w:szCs w:val="28"/>
          <w:lang w:val="en-GB"/>
        </w:rPr>
        <w:t xml:space="preserve">a </w:t>
      </w:r>
      <w:r w:rsidR="00801E7F">
        <w:rPr>
          <w:bCs/>
          <w:sz w:val="28"/>
          <w:szCs w:val="28"/>
          <w:lang w:val="en-GB"/>
        </w:rPr>
        <w:t>successful tenderer of areas where its tender was not as strong as it should have been for purposes of improvement in future</w:t>
      </w:r>
      <w:r w:rsidR="00801E7F">
        <w:rPr>
          <w:rStyle w:val="FootnoteReference"/>
          <w:bCs/>
          <w:sz w:val="28"/>
          <w:szCs w:val="28"/>
          <w:lang w:val="en-GB"/>
        </w:rPr>
        <w:footnoteReference w:id="10"/>
      </w:r>
      <w:r w:rsidR="00801E7F">
        <w:rPr>
          <w:bCs/>
          <w:sz w:val="28"/>
          <w:szCs w:val="28"/>
          <w:lang w:val="en-GB"/>
        </w:rPr>
        <w:t xml:space="preserve"> and unsuccessful tenderers are advised of the reasons for their lack of success</w:t>
      </w:r>
      <w:r w:rsidR="00801E7F">
        <w:rPr>
          <w:rStyle w:val="FootnoteReference"/>
          <w:bCs/>
          <w:sz w:val="28"/>
          <w:szCs w:val="28"/>
          <w:lang w:val="en-GB"/>
        </w:rPr>
        <w:footnoteReference w:id="11"/>
      </w:r>
      <w:r w:rsidR="00801E7F">
        <w:rPr>
          <w:bCs/>
          <w:sz w:val="28"/>
          <w:szCs w:val="28"/>
          <w:lang w:val="en-GB"/>
        </w:rPr>
        <w:t xml:space="preserve">. </w:t>
      </w:r>
    </w:p>
    <w:p w14:paraId="3CB8D8C6" w14:textId="77777777" w:rsidR="00801E7F" w:rsidRDefault="00801E7F" w:rsidP="00801E7F">
      <w:pPr>
        <w:spacing w:line="480" w:lineRule="auto"/>
        <w:jc w:val="both"/>
        <w:rPr>
          <w:bCs/>
          <w:sz w:val="28"/>
          <w:szCs w:val="28"/>
          <w:lang w:val="en-GB"/>
        </w:rPr>
      </w:pPr>
    </w:p>
    <w:p w14:paraId="1A610B2F" w14:textId="3BE2A560" w:rsidR="00801E7F" w:rsidRDefault="00801E7F" w:rsidP="00801E7F">
      <w:pPr>
        <w:spacing w:line="480" w:lineRule="auto"/>
        <w:jc w:val="both"/>
        <w:rPr>
          <w:bCs/>
          <w:sz w:val="28"/>
          <w:szCs w:val="28"/>
          <w:lang w:val="en-GB"/>
        </w:rPr>
      </w:pPr>
      <w:r>
        <w:rPr>
          <w:bCs/>
          <w:sz w:val="28"/>
          <w:szCs w:val="28"/>
          <w:lang w:val="en-GB"/>
        </w:rPr>
        <w:t>[</w:t>
      </w:r>
      <w:r w:rsidR="00AD14C0">
        <w:rPr>
          <w:bCs/>
          <w:sz w:val="28"/>
          <w:szCs w:val="28"/>
          <w:lang w:val="en-GB"/>
        </w:rPr>
        <w:t>7</w:t>
      </w:r>
      <w:r>
        <w:rPr>
          <w:bCs/>
          <w:sz w:val="28"/>
          <w:szCs w:val="28"/>
          <w:lang w:val="en-GB"/>
        </w:rPr>
        <w:t>]</w:t>
      </w:r>
      <w:r>
        <w:rPr>
          <w:bCs/>
          <w:sz w:val="28"/>
          <w:szCs w:val="28"/>
          <w:lang w:val="en-GB"/>
        </w:rPr>
        <w:tab/>
      </w:r>
      <w:r>
        <w:rPr>
          <w:bCs/>
          <w:sz w:val="28"/>
          <w:szCs w:val="28"/>
          <w:lang w:val="en-GB"/>
        </w:rPr>
        <w:tab/>
        <w:t>In the event of there being a complaint arising out of the award, such is lodged with the Unit</w:t>
      </w:r>
      <w:r>
        <w:rPr>
          <w:rStyle w:val="FootnoteReference"/>
          <w:bCs/>
          <w:sz w:val="28"/>
          <w:szCs w:val="28"/>
          <w:lang w:val="en-GB"/>
        </w:rPr>
        <w:footnoteReference w:id="12"/>
      </w:r>
      <w:r>
        <w:rPr>
          <w:bCs/>
          <w:sz w:val="28"/>
          <w:szCs w:val="28"/>
          <w:lang w:val="en-GB"/>
        </w:rPr>
        <w:t xml:space="preserve"> which must make a decision in 10 working days after the submission of the complaint</w:t>
      </w:r>
      <w:r>
        <w:rPr>
          <w:rStyle w:val="FootnoteReference"/>
          <w:bCs/>
          <w:sz w:val="28"/>
          <w:szCs w:val="28"/>
          <w:lang w:val="en-GB"/>
        </w:rPr>
        <w:footnoteReference w:id="13"/>
      </w:r>
      <w:r>
        <w:rPr>
          <w:bCs/>
          <w:sz w:val="28"/>
          <w:szCs w:val="28"/>
          <w:lang w:val="en-GB"/>
        </w:rPr>
        <w:t>. The Unit must notify tenderers about the nature of the complaint and invite those whose interest might be affected by a respective decision to the complaint proceedings</w:t>
      </w:r>
      <w:r>
        <w:rPr>
          <w:rStyle w:val="FootnoteReference"/>
          <w:bCs/>
          <w:sz w:val="28"/>
          <w:szCs w:val="28"/>
          <w:lang w:val="en-GB"/>
        </w:rPr>
        <w:footnoteReference w:id="14"/>
      </w:r>
      <w:r>
        <w:rPr>
          <w:bCs/>
          <w:sz w:val="28"/>
          <w:szCs w:val="28"/>
          <w:lang w:val="en-GB"/>
        </w:rPr>
        <w:t>. After receiving a complaint and until such time that the complaint is resolved, the Unit is barred from entering into contract in respect of the tender in question unless the Minister of Finance decides that suspension of the tender is not in the public interest</w:t>
      </w:r>
      <w:r>
        <w:rPr>
          <w:rStyle w:val="FootnoteReference"/>
          <w:bCs/>
          <w:sz w:val="28"/>
          <w:szCs w:val="28"/>
          <w:lang w:val="en-GB"/>
        </w:rPr>
        <w:footnoteReference w:id="15"/>
      </w:r>
      <w:r>
        <w:rPr>
          <w:bCs/>
          <w:sz w:val="28"/>
          <w:szCs w:val="28"/>
          <w:lang w:val="en-GB"/>
        </w:rPr>
        <w:t xml:space="preserve">. </w:t>
      </w:r>
    </w:p>
    <w:p w14:paraId="17F6C917" w14:textId="77777777" w:rsidR="00801E7F" w:rsidRDefault="00801E7F" w:rsidP="00801E7F">
      <w:pPr>
        <w:spacing w:line="480" w:lineRule="auto"/>
        <w:jc w:val="both"/>
        <w:rPr>
          <w:bCs/>
          <w:sz w:val="28"/>
          <w:szCs w:val="28"/>
          <w:lang w:val="en-GB"/>
        </w:rPr>
      </w:pPr>
    </w:p>
    <w:p w14:paraId="718D47FA" w14:textId="77777777" w:rsidR="00801E7F" w:rsidRDefault="00801E7F" w:rsidP="00801E7F">
      <w:pPr>
        <w:spacing w:line="480" w:lineRule="auto"/>
        <w:jc w:val="both"/>
        <w:rPr>
          <w:b/>
          <w:i/>
          <w:iCs/>
          <w:sz w:val="28"/>
          <w:szCs w:val="28"/>
          <w:lang w:val="en-GB"/>
        </w:rPr>
      </w:pPr>
      <w:r w:rsidRPr="006C0730">
        <w:rPr>
          <w:b/>
          <w:i/>
          <w:iCs/>
          <w:sz w:val="28"/>
          <w:szCs w:val="28"/>
          <w:lang w:val="en-GB"/>
        </w:rPr>
        <w:t>Evaluation Team (“ET”)</w:t>
      </w:r>
    </w:p>
    <w:p w14:paraId="540F2CBE" w14:textId="77777777" w:rsidR="00801E7F" w:rsidRDefault="00801E7F" w:rsidP="00801E7F">
      <w:pPr>
        <w:spacing w:line="480" w:lineRule="auto"/>
        <w:jc w:val="both"/>
        <w:rPr>
          <w:b/>
          <w:i/>
          <w:iCs/>
          <w:sz w:val="28"/>
          <w:szCs w:val="28"/>
          <w:lang w:val="en-GB"/>
        </w:rPr>
      </w:pPr>
    </w:p>
    <w:p w14:paraId="653456A7" w14:textId="6D2F2F62" w:rsidR="00801E7F" w:rsidRDefault="00801E7F" w:rsidP="00801E7F">
      <w:pPr>
        <w:spacing w:line="480" w:lineRule="auto"/>
        <w:jc w:val="both"/>
        <w:rPr>
          <w:bCs/>
          <w:sz w:val="28"/>
          <w:szCs w:val="28"/>
          <w:lang w:val="en-GB"/>
        </w:rPr>
      </w:pPr>
      <w:r>
        <w:rPr>
          <w:bCs/>
          <w:sz w:val="28"/>
          <w:szCs w:val="28"/>
          <w:lang w:val="en-GB"/>
        </w:rPr>
        <w:t>[</w:t>
      </w:r>
      <w:r w:rsidR="00A7379A">
        <w:rPr>
          <w:bCs/>
          <w:sz w:val="28"/>
          <w:szCs w:val="28"/>
          <w:lang w:val="en-GB"/>
        </w:rPr>
        <w:t>8</w:t>
      </w:r>
      <w:r>
        <w:rPr>
          <w:bCs/>
          <w:sz w:val="28"/>
          <w:szCs w:val="28"/>
          <w:lang w:val="en-GB"/>
        </w:rPr>
        <w:t>]</w:t>
      </w:r>
      <w:r>
        <w:rPr>
          <w:bCs/>
          <w:sz w:val="28"/>
          <w:szCs w:val="28"/>
          <w:lang w:val="en-GB"/>
        </w:rPr>
        <w:tab/>
      </w:r>
      <w:r>
        <w:rPr>
          <w:bCs/>
          <w:sz w:val="28"/>
          <w:szCs w:val="28"/>
          <w:lang w:val="en-GB"/>
        </w:rPr>
        <w:tab/>
        <w:t xml:space="preserve">One of the functions of the </w:t>
      </w:r>
      <w:r w:rsidR="0009722C">
        <w:rPr>
          <w:bCs/>
          <w:sz w:val="28"/>
          <w:szCs w:val="28"/>
          <w:lang w:val="en-GB"/>
        </w:rPr>
        <w:t xml:space="preserve">Unit </w:t>
      </w:r>
      <w:r>
        <w:rPr>
          <w:bCs/>
          <w:sz w:val="28"/>
          <w:szCs w:val="28"/>
          <w:lang w:val="en-GB"/>
        </w:rPr>
        <w:t>is to set up ET</w:t>
      </w:r>
      <w:r>
        <w:rPr>
          <w:rStyle w:val="FootnoteReference"/>
          <w:bCs/>
          <w:sz w:val="28"/>
          <w:szCs w:val="28"/>
          <w:lang w:val="en-GB"/>
        </w:rPr>
        <w:footnoteReference w:id="16"/>
      </w:r>
      <w:r>
        <w:rPr>
          <w:bCs/>
          <w:sz w:val="28"/>
          <w:szCs w:val="28"/>
          <w:lang w:val="en-GB"/>
        </w:rPr>
        <w:t>. A fundamental function of the ET is to “</w:t>
      </w:r>
      <w:r w:rsidRPr="006C0730">
        <w:rPr>
          <w:bCs/>
          <w:i/>
          <w:iCs/>
          <w:sz w:val="28"/>
          <w:szCs w:val="28"/>
          <w:lang w:val="en-GB"/>
        </w:rPr>
        <w:t xml:space="preserve">examine and evaluate tenders, prepare an evaluation </w:t>
      </w:r>
      <w:r w:rsidRPr="006C0730">
        <w:rPr>
          <w:bCs/>
          <w:i/>
          <w:iCs/>
          <w:sz w:val="28"/>
          <w:szCs w:val="28"/>
          <w:lang w:val="en-GB"/>
        </w:rPr>
        <w:lastRenderedPageBreak/>
        <w:t>report and make recommendations to the Tender Panel on award of contract”</w:t>
      </w:r>
      <w:r>
        <w:rPr>
          <w:rStyle w:val="FootnoteReference"/>
          <w:bCs/>
          <w:i/>
          <w:iCs/>
          <w:sz w:val="28"/>
          <w:szCs w:val="28"/>
          <w:lang w:val="en-GB"/>
        </w:rPr>
        <w:footnoteReference w:id="17"/>
      </w:r>
      <w:r w:rsidRPr="006C0730">
        <w:rPr>
          <w:bCs/>
          <w:i/>
          <w:iCs/>
          <w:sz w:val="28"/>
          <w:szCs w:val="28"/>
          <w:lang w:val="en-GB"/>
        </w:rPr>
        <w:t>.</w:t>
      </w:r>
      <w:r>
        <w:rPr>
          <w:bCs/>
          <w:i/>
          <w:iCs/>
          <w:sz w:val="28"/>
          <w:szCs w:val="28"/>
          <w:lang w:val="en-GB"/>
        </w:rPr>
        <w:t xml:space="preserve"> </w:t>
      </w:r>
      <w:r>
        <w:rPr>
          <w:bCs/>
          <w:sz w:val="28"/>
          <w:szCs w:val="28"/>
          <w:lang w:val="en-GB"/>
        </w:rPr>
        <w:t>Regulation 49(6) provides as follow</w:t>
      </w:r>
      <w:r w:rsidR="00DA0948">
        <w:rPr>
          <w:bCs/>
          <w:sz w:val="28"/>
          <w:szCs w:val="28"/>
          <w:lang w:val="en-GB"/>
        </w:rPr>
        <w:t>s</w:t>
      </w:r>
      <w:r>
        <w:rPr>
          <w:bCs/>
          <w:sz w:val="28"/>
          <w:szCs w:val="28"/>
          <w:lang w:val="en-GB"/>
        </w:rPr>
        <w:t xml:space="preserve"> regarding the form and content of evaluation report:</w:t>
      </w:r>
    </w:p>
    <w:p w14:paraId="23ED3882" w14:textId="77777777" w:rsidR="00801E7F" w:rsidRPr="00896C46" w:rsidRDefault="00801E7F" w:rsidP="00801E7F">
      <w:pPr>
        <w:jc w:val="both"/>
        <w:rPr>
          <w:bCs/>
          <w:lang w:val="en-GB"/>
        </w:rPr>
      </w:pPr>
    </w:p>
    <w:p w14:paraId="5E9DA605" w14:textId="46311900" w:rsidR="00801E7F" w:rsidRPr="00896C46" w:rsidRDefault="00801E7F" w:rsidP="00801E7F">
      <w:pPr>
        <w:ind w:left="1440"/>
        <w:jc w:val="both"/>
        <w:rPr>
          <w:bCs/>
          <w:lang w:val="en-GB"/>
        </w:rPr>
      </w:pPr>
      <w:r w:rsidRPr="00896C46">
        <w:rPr>
          <w:bCs/>
          <w:lang w:val="en-GB"/>
        </w:rPr>
        <w:t>“(6)</w:t>
      </w:r>
      <w:r w:rsidRPr="00896C46">
        <w:rPr>
          <w:bCs/>
          <w:lang w:val="en-GB"/>
        </w:rPr>
        <w:tab/>
        <w:t xml:space="preserve">An evaluation report from the Evaluation Team to the Tender Panel shall be made in the form of the minutes of the evaluation meeting and include full details of the evaluation against the criteria published with the invitation to tender, reasons for rejecting any or all tenders, recommendations approved by the majority of the members of the Evaluation Team, their rationale and all relevant and supporting information.” </w:t>
      </w:r>
    </w:p>
    <w:p w14:paraId="60F70301" w14:textId="77777777" w:rsidR="00801E7F" w:rsidRDefault="00801E7F" w:rsidP="00801E7F">
      <w:pPr>
        <w:spacing w:line="480" w:lineRule="auto"/>
        <w:jc w:val="both"/>
        <w:rPr>
          <w:bCs/>
          <w:sz w:val="28"/>
          <w:szCs w:val="28"/>
          <w:lang w:val="en-GB"/>
        </w:rPr>
      </w:pPr>
    </w:p>
    <w:p w14:paraId="7F3B1A7F" w14:textId="77777777" w:rsidR="00801E7F" w:rsidRDefault="00801E7F" w:rsidP="00801E7F">
      <w:pPr>
        <w:spacing w:line="480" w:lineRule="auto"/>
        <w:jc w:val="both"/>
        <w:rPr>
          <w:b/>
          <w:i/>
          <w:iCs/>
          <w:sz w:val="28"/>
          <w:szCs w:val="28"/>
          <w:lang w:val="en-GB"/>
        </w:rPr>
      </w:pPr>
      <w:r w:rsidRPr="00F91B72">
        <w:rPr>
          <w:b/>
          <w:i/>
          <w:iCs/>
          <w:sz w:val="28"/>
          <w:szCs w:val="28"/>
          <w:lang w:val="en-GB"/>
        </w:rPr>
        <w:t>Tender Panel (“TP”)</w:t>
      </w:r>
    </w:p>
    <w:p w14:paraId="197471E0" w14:textId="77777777" w:rsidR="00801E7F" w:rsidRDefault="00801E7F" w:rsidP="00801E7F">
      <w:pPr>
        <w:spacing w:line="480" w:lineRule="auto"/>
        <w:jc w:val="both"/>
        <w:rPr>
          <w:b/>
          <w:i/>
          <w:iCs/>
          <w:sz w:val="28"/>
          <w:szCs w:val="28"/>
          <w:lang w:val="en-GB"/>
        </w:rPr>
      </w:pPr>
    </w:p>
    <w:p w14:paraId="23415C0B" w14:textId="34922B82" w:rsidR="00801E7F" w:rsidRDefault="00801E7F" w:rsidP="00801E7F">
      <w:pPr>
        <w:spacing w:line="480" w:lineRule="auto"/>
        <w:jc w:val="both"/>
        <w:rPr>
          <w:bCs/>
          <w:sz w:val="28"/>
          <w:szCs w:val="28"/>
          <w:lang w:val="en-GB"/>
        </w:rPr>
      </w:pPr>
      <w:r>
        <w:rPr>
          <w:bCs/>
          <w:sz w:val="28"/>
          <w:szCs w:val="28"/>
          <w:lang w:val="en-GB"/>
        </w:rPr>
        <w:t>[</w:t>
      </w:r>
      <w:r w:rsidR="00A7379A">
        <w:rPr>
          <w:bCs/>
          <w:sz w:val="28"/>
          <w:szCs w:val="28"/>
          <w:lang w:val="en-GB"/>
        </w:rPr>
        <w:t>9</w:t>
      </w:r>
      <w:r>
        <w:rPr>
          <w:bCs/>
          <w:sz w:val="28"/>
          <w:szCs w:val="28"/>
          <w:lang w:val="en-GB"/>
        </w:rPr>
        <w:t>]</w:t>
      </w:r>
      <w:r>
        <w:rPr>
          <w:bCs/>
          <w:sz w:val="28"/>
          <w:szCs w:val="28"/>
          <w:lang w:val="en-GB"/>
        </w:rPr>
        <w:tab/>
      </w:r>
      <w:r>
        <w:rPr>
          <w:bCs/>
          <w:sz w:val="28"/>
          <w:szCs w:val="28"/>
          <w:lang w:val="en-GB"/>
        </w:rPr>
        <w:tab/>
        <w:t xml:space="preserve">Amongst </w:t>
      </w:r>
      <w:r w:rsidR="0009722C">
        <w:rPr>
          <w:bCs/>
          <w:sz w:val="28"/>
          <w:szCs w:val="28"/>
          <w:lang w:val="en-GB"/>
        </w:rPr>
        <w:t xml:space="preserve">its </w:t>
      </w:r>
      <w:r>
        <w:rPr>
          <w:bCs/>
          <w:sz w:val="28"/>
          <w:szCs w:val="28"/>
          <w:lang w:val="en-GB"/>
        </w:rPr>
        <w:t>functions the TP</w:t>
      </w:r>
      <w:r w:rsidR="0009722C">
        <w:rPr>
          <w:bCs/>
          <w:sz w:val="28"/>
          <w:szCs w:val="28"/>
          <w:lang w:val="en-GB"/>
        </w:rPr>
        <w:t xml:space="preserve"> has to open the tenders received</w:t>
      </w:r>
      <w:r w:rsidR="0009722C">
        <w:rPr>
          <w:rStyle w:val="FootnoteReference"/>
          <w:bCs/>
          <w:sz w:val="28"/>
          <w:szCs w:val="28"/>
          <w:lang w:val="en-GB"/>
        </w:rPr>
        <w:footnoteReference w:id="18"/>
      </w:r>
      <w:r w:rsidR="0009722C">
        <w:rPr>
          <w:bCs/>
          <w:sz w:val="28"/>
          <w:szCs w:val="28"/>
          <w:lang w:val="en-GB"/>
        </w:rPr>
        <w:t xml:space="preserve"> and </w:t>
      </w:r>
      <w:r>
        <w:rPr>
          <w:bCs/>
          <w:sz w:val="28"/>
          <w:szCs w:val="28"/>
          <w:lang w:val="en-GB"/>
        </w:rPr>
        <w:t>submit the</w:t>
      </w:r>
      <w:r w:rsidR="0009722C">
        <w:rPr>
          <w:bCs/>
          <w:sz w:val="28"/>
          <w:szCs w:val="28"/>
          <w:lang w:val="en-GB"/>
        </w:rPr>
        <w:t xml:space="preserve">m </w:t>
      </w:r>
      <w:r>
        <w:rPr>
          <w:bCs/>
          <w:sz w:val="28"/>
          <w:szCs w:val="28"/>
          <w:lang w:val="en-GB"/>
        </w:rPr>
        <w:t>to the ET for evaluation</w:t>
      </w:r>
      <w:r>
        <w:rPr>
          <w:rStyle w:val="FootnoteReference"/>
          <w:bCs/>
          <w:sz w:val="28"/>
          <w:szCs w:val="28"/>
          <w:lang w:val="en-GB"/>
        </w:rPr>
        <w:footnoteReference w:id="19"/>
      </w:r>
      <w:r w:rsidR="0009722C">
        <w:rPr>
          <w:bCs/>
          <w:sz w:val="28"/>
          <w:szCs w:val="28"/>
          <w:lang w:val="en-GB"/>
        </w:rPr>
        <w:t xml:space="preserve">. TP is the one that decides </w:t>
      </w:r>
      <w:r>
        <w:rPr>
          <w:bCs/>
          <w:sz w:val="28"/>
          <w:szCs w:val="28"/>
          <w:lang w:val="en-GB"/>
        </w:rPr>
        <w:t>which tenderer shall be awarded the tender following consideration of the report and recommendations of the ET</w:t>
      </w:r>
      <w:r>
        <w:rPr>
          <w:rStyle w:val="FootnoteReference"/>
          <w:bCs/>
          <w:sz w:val="28"/>
          <w:szCs w:val="28"/>
          <w:lang w:val="en-GB"/>
        </w:rPr>
        <w:footnoteReference w:id="20"/>
      </w:r>
      <w:r>
        <w:rPr>
          <w:bCs/>
          <w:sz w:val="28"/>
          <w:szCs w:val="28"/>
          <w:lang w:val="en-GB"/>
        </w:rPr>
        <w:t>.  In terms of regulation 50 (13)</w:t>
      </w:r>
      <w:r w:rsidR="0009722C">
        <w:rPr>
          <w:bCs/>
          <w:sz w:val="28"/>
          <w:szCs w:val="28"/>
          <w:lang w:val="en-GB"/>
        </w:rPr>
        <w:t>,</w:t>
      </w:r>
      <w:r>
        <w:rPr>
          <w:bCs/>
          <w:sz w:val="28"/>
          <w:szCs w:val="28"/>
          <w:lang w:val="en-GB"/>
        </w:rPr>
        <w:t xml:space="preserve"> the TP shall ensure that –</w:t>
      </w:r>
    </w:p>
    <w:p w14:paraId="1D74D848" w14:textId="77777777" w:rsidR="00801E7F" w:rsidRDefault="00801E7F" w:rsidP="00801E7F">
      <w:pPr>
        <w:ind w:left="2160" w:hanging="720"/>
        <w:jc w:val="both"/>
        <w:rPr>
          <w:bCs/>
          <w:lang w:val="en-GB"/>
        </w:rPr>
      </w:pPr>
      <w:r w:rsidRPr="006A2714">
        <w:rPr>
          <w:bCs/>
          <w:lang w:val="en-GB"/>
        </w:rPr>
        <w:t>“(a)</w:t>
      </w:r>
      <w:r w:rsidRPr="006A2714">
        <w:rPr>
          <w:bCs/>
          <w:lang w:val="en-GB"/>
        </w:rPr>
        <w:tab/>
        <w:t>the competitive process has been followed in accordance with these Regulations;</w:t>
      </w:r>
    </w:p>
    <w:p w14:paraId="269A042C" w14:textId="77777777" w:rsidR="00801E7F" w:rsidRPr="006A2714" w:rsidRDefault="00801E7F" w:rsidP="00801E7F">
      <w:pPr>
        <w:ind w:left="2160" w:hanging="720"/>
        <w:jc w:val="both"/>
        <w:rPr>
          <w:bCs/>
          <w:lang w:val="en-GB"/>
        </w:rPr>
      </w:pPr>
    </w:p>
    <w:p w14:paraId="7D9EC06E" w14:textId="77777777" w:rsidR="00801E7F" w:rsidRDefault="00801E7F" w:rsidP="00801E7F">
      <w:pPr>
        <w:ind w:left="2160" w:hanging="720"/>
        <w:jc w:val="both"/>
        <w:rPr>
          <w:bCs/>
          <w:lang w:val="en-GB"/>
        </w:rPr>
      </w:pPr>
      <w:r w:rsidRPr="006A2714">
        <w:rPr>
          <w:bCs/>
          <w:lang w:val="en-GB"/>
        </w:rPr>
        <w:t xml:space="preserve">  (b)</w:t>
      </w:r>
      <w:r w:rsidRPr="006A2714">
        <w:rPr>
          <w:bCs/>
          <w:lang w:val="en-GB"/>
        </w:rPr>
        <w:tab/>
        <w:t>the award of the procurement contract is strictly in accordance with objective evaluation criteria as set out in the Invitation to Tender;</w:t>
      </w:r>
    </w:p>
    <w:p w14:paraId="4E4941DB" w14:textId="77777777" w:rsidR="00801E7F" w:rsidRPr="006A2714" w:rsidRDefault="00801E7F" w:rsidP="00801E7F">
      <w:pPr>
        <w:ind w:left="2160" w:hanging="720"/>
        <w:jc w:val="both"/>
        <w:rPr>
          <w:bCs/>
          <w:lang w:val="en-GB"/>
        </w:rPr>
      </w:pPr>
    </w:p>
    <w:p w14:paraId="6B705F2C" w14:textId="6DA937E4" w:rsidR="00801E7F" w:rsidRDefault="00BE0EE0" w:rsidP="00801E7F">
      <w:pPr>
        <w:ind w:left="2160" w:hanging="720"/>
        <w:jc w:val="both"/>
        <w:rPr>
          <w:bCs/>
          <w:lang w:val="en-GB"/>
        </w:rPr>
      </w:pPr>
      <w:r>
        <w:rPr>
          <w:bCs/>
          <w:lang w:val="en-GB"/>
        </w:rPr>
        <w:t xml:space="preserve"> </w:t>
      </w:r>
      <w:r w:rsidR="00CB567B">
        <w:rPr>
          <w:bCs/>
          <w:lang w:val="en-GB"/>
        </w:rPr>
        <w:t xml:space="preserve"> </w:t>
      </w:r>
      <w:r w:rsidR="00801E7F" w:rsidRPr="006A2714">
        <w:rPr>
          <w:bCs/>
          <w:lang w:val="en-GB"/>
        </w:rPr>
        <w:t>(c)</w:t>
      </w:r>
      <w:r w:rsidR="00801E7F" w:rsidRPr="006A2714">
        <w:rPr>
          <w:bCs/>
          <w:lang w:val="en-GB"/>
        </w:rPr>
        <w:tab/>
        <w:t>no subjective judgement or conflict of interest are brought to bear on the decision;</w:t>
      </w:r>
    </w:p>
    <w:p w14:paraId="51001B69" w14:textId="77777777" w:rsidR="00801E7F" w:rsidRPr="006A2714" w:rsidRDefault="00801E7F" w:rsidP="00801E7F">
      <w:pPr>
        <w:ind w:left="2160" w:hanging="720"/>
        <w:jc w:val="both"/>
        <w:rPr>
          <w:bCs/>
          <w:lang w:val="en-GB"/>
        </w:rPr>
      </w:pPr>
    </w:p>
    <w:p w14:paraId="0C2871E0" w14:textId="082A1F59" w:rsidR="00801E7F" w:rsidRDefault="00CB567B" w:rsidP="00801E7F">
      <w:pPr>
        <w:ind w:left="2160" w:hanging="720"/>
        <w:jc w:val="both"/>
        <w:rPr>
          <w:bCs/>
          <w:lang w:val="en-GB"/>
        </w:rPr>
      </w:pPr>
      <w:r>
        <w:rPr>
          <w:bCs/>
          <w:lang w:val="en-GB"/>
        </w:rPr>
        <w:t xml:space="preserve">  </w:t>
      </w:r>
      <w:r w:rsidR="00801E7F" w:rsidRPr="006A2714">
        <w:rPr>
          <w:bCs/>
          <w:lang w:val="en-GB"/>
        </w:rPr>
        <w:t>(d)</w:t>
      </w:r>
      <w:r w:rsidR="00801E7F" w:rsidRPr="006A2714">
        <w:rPr>
          <w:bCs/>
          <w:lang w:val="en-GB"/>
        </w:rPr>
        <w:tab/>
        <w:t>the decision is able to stand scrutiny by the audit authorities, the business community and the public in general;</w:t>
      </w:r>
    </w:p>
    <w:p w14:paraId="06A552FA" w14:textId="77777777" w:rsidR="00801E7F" w:rsidRPr="006A2714" w:rsidRDefault="00801E7F" w:rsidP="00801E7F">
      <w:pPr>
        <w:ind w:left="2160" w:hanging="720"/>
        <w:jc w:val="both"/>
        <w:rPr>
          <w:bCs/>
          <w:lang w:val="en-GB"/>
        </w:rPr>
      </w:pPr>
    </w:p>
    <w:p w14:paraId="0F6D07EE" w14:textId="764AF795" w:rsidR="00801E7F" w:rsidRDefault="00CB567B" w:rsidP="00801E7F">
      <w:pPr>
        <w:ind w:left="2160" w:hanging="720"/>
        <w:jc w:val="both"/>
        <w:rPr>
          <w:bCs/>
          <w:lang w:val="en-GB"/>
        </w:rPr>
      </w:pPr>
      <w:r>
        <w:rPr>
          <w:bCs/>
          <w:lang w:val="en-GB"/>
        </w:rPr>
        <w:t xml:space="preserve">  </w:t>
      </w:r>
      <w:r w:rsidR="00801E7F" w:rsidRPr="006A2714">
        <w:rPr>
          <w:bCs/>
          <w:lang w:val="en-GB"/>
        </w:rPr>
        <w:t>(e)</w:t>
      </w:r>
      <w:r w:rsidR="00801E7F" w:rsidRPr="006A2714">
        <w:rPr>
          <w:bCs/>
          <w:lang w:val="en-GB"/>
        </w:rPr>
        <w:tab/>
        <w:t xml:space="preserve">the decision can withstand any challenge of anti-competitive behaviour </w:t>
      </w:r>
      <w:r w:rsidR="00801E7F" w:rsidRPr="006A2714">
        <w:rPr>
          <w:bCs/>
          <w:lang w:val="en-GB"/>
        </w:rPr>
        <w:lastRenderedPageBreak/>
        <w:t>or misuse of public funds; and</w:t>
      </w:r>
    </w:p>
    <w:p w14:paraId="64D5F765" w14:textId="77777777" w:rsidR="00801E7F" w:rsidRPr="006A2714" w:rsidRDefault="00801E7F" w:rsidP="00801E7F">
      <w:pPr>
        <w:ind w:left="2160" w:hanging="720"/>
        <w:jc w:val="both"/>
        <w:rPr>
          <w:bCs/>
          <w:lang w:val="en-GB"/>
        </w:rPr>
      </w:pPr>
    </w:p>
    <w:p w14:paraId="7F80D7E5" w14:textId="33B88E6E" w:rsidR="00801E7F" w:rsidRPr="006A2714" w:rsidRDefault="00CB567B" w:rsidP="00801E7F">
      <w:pPr>
        <w:ind w:left="2160" w:hanging="720"/>
        <w:jc w:val="both"/>
        <w:rPr>
          <w:bCs/>
          <w:lang w:val="en-GB"/>
        </w:rPr>
      </w:pPr>
      <w:r>
        <w:rPr>
          <w:bCs/>
          <w:lang w:val="en-GB"/>
        </w:rPr>
        <w:t xml:space="preserve">  </w:t>
      </w:r>
      <w:r w:rsidR="00801E7F" w:rsidRPr="006A2714">
        <w:rPr>
          <w:bCs/>
          <w:lang w:val="en-GB"/>
        </w:rPr>
        <w:t>(f)</w:t>
      </w:r>
      <w:r w:rsidR="00801E7F" w:rsidRPr="006A2714">
        <w:rPr>
          <w:bCs/>
          <w:lang w:val="en-GB"/>
        </w:rPr>
        <w:tab/>
        <w:t>the Government is achieving value for money.”</w:t>
      </w:r>
    </w:p>
    <w:p w14:paraId="0CE77636" w14:textId="77777777" w:rsidR="00801E7F" w:rsidRDefault="00801E7F" w:rsidP="00801E7F">
      <w:pPr>
        <w:spacing w:line="480" w:lineRule="auto"/>
        <w:ind w:left="2160" w:hanging="720"/>
        <w:jc w:val="both"/>
        <w:rPr>
          <w:bCs/>
          <w:sz w:val="28"/>
          <w:szCs w:val="28"/>
          <w:lang w:val="en-GB"/>
        </w:rPr>
      </w:pPr>
    </w:p>
    <w:p w14:paraId="26AEBF93" w14:textId="4500327F" w:rsidR="00801E7F" w:rsidRDefault="00801E7F" w:rsidP="00801E7F">
      <w:pPr>
        <w:spacing w:line="480" w:lineRule="auto"/>
        <w:jc w:val="both"/>
        <w:rPr>
          <w:b/>
          <w:i/>
          <w:iCs/>
          <w:sz w:val="28"/>
          <w:szCs w:val="28"/>
          <w:lang w:val="en-GB"/>
        </w:rPr>
      </w:pPr>
      <w:r w:rsidRPr="00BB7502">
        <w:rPr>
          <w:b/>
          <w:i/>
          <w:iCs/>
          <w:sz w:val="28"/>
          <w:szCs w:val="28"/>
          <w:lang w:val="en-GB"/>
        </w:rPr>
        <w:t>Public Procurement Advi</w:t>
      </w:r>
      <w:r w:rsidR="00207D0D">
        <w:rPr>
          <w:b/>
          <w:i/>
          <w:iCs/>
          <w:sz w:val="28"/>
          <w:szCs w:val="28"/>
          <w:lang w:val="en-GB"/>
        </w:rPr>
        <w:t>ce</w:t>
      </w:r>
      <w:r w:rsidRPr="00BB7502">
        <w:rPr>
          <w:b/>
          <w:i/>
          <w:iCs/>
          <w:sz w:val="28"/>
          <w:szCs w:val="28"/>
          <w:lang w:val="en-GB"/>
        </w:rPr>
        <w:t xml:space="preserve"> Division (“PPAD”)</w:t>
      </w:r>
    </w:p>
    <w:p w14:paraId="11A9A1E4" w14:textId="77777777" w:rsidR="00A7379A" w:rsidRDefault="00A7379A" w:rsidP="00801E7F">
      <w:pPr>
        <w:spacing w:line="480" w:lineRule="auto"/>
        <w:jc w:val="both"/>
        <w:rPr>
          <w:b/>
          <w:i/>
          <w:iCs/>
          <w:sz w:val="28"/>
          <w:szCs w:val="28"/>
          <w:lang w:val="en-GB"/>
        </w:rPr>
      </w:pPr>
    </w:p>
    <w:p w14:paraId="18F82898" w14:textId="49991D88" w:rsidR="00801E7F" w:rsidRDefault="00801E7F" w:rsidP="00801E7F">
      <w:pPr>
        <w:spacing w:line="480" w:lineRule="auto"/>
        <w:jc w:val="both"/>
        <w:rPr>
          <w:bCs/>
          <w:i/>
          <w:sz w:val="28"/>
          <w:szCs w:val="28"/>
          <w:lang w:val="en-GB"/>
        </w:rPr>
      </w:pPr>
      <w:r>
        <w:rPr>
          <w:bCs/>
          <w:sz w:val="28"/>
          <w:szCs w:val="28"/>
          <w:lang w:val="en-GB"/>
        </w:rPr>
        <w:t>[</w:t>
      </w:r>
      <w:r w:rsidR="00A7379A">
        <w:rPr>
          <w:bCs/>
          <w:sz w:val="28"/>
          <w:szCs w:val="28"/>
          <w:lang w:val="en-GB"/>
        </w:rPr>
        <w:t>10</w:t>
      </w:r>
      <w:r>
        <w:rPr>
          <w:bCs/>
          <w:sz w:val="28"/>
          <w:szCs w:val="28"/>
          <w:lang w:val="en-GB"/>
        </w:rPr>
        <w:t>]</w:t>
      </w:r>
      <w:r>
        <w:rPr>
          <w:bCs/>
          <w:sz w:val="28"/>
          <w:szCs w:val="28"/>
          <w:lang w:val="en-GB"/>
        </w:rPr>
        <w:tab/>
      </w:r>
      <w:r>
        <w:rPr>
          <w:bCs/>
          <w:sz w:val="28"/>
          <w:szCs w:val="28"/>
          <w:lang w:val="en-GB"/>
        </w:rPr>
        <w:tab/>
        <w:t xml:space="preserve">This is the regulatory body responsible for public procurement policy in Lesotho. </w:t>
      </w:r>
      <w:r w:rsidRPr="0076734B">
        <w:rPr>
          <w:bCs/>
          <w:sz w:val="28"/>
          <w:szCs w:val="28"/>
          <w:lang w:val="en-GB"/>
        </w:rPr>
        <w:t xml:space="preserve">In terms of </w:t>
      </w:r>
      <w:r>
        <w:rPr>
          <w:bCs/>
          <w:sz w:val="28"/>
          <w:szCs w:val="28"/>
          <w:lang w:val="en-GB"/>
        </w:rPr>
        <w:t>r</w:t>
      </w:r>
      <w:r w:rsidRPr="0076734B">
        <w:rPr>
          <w:bCs/>
          <w:sz w:val="28"/>
          <w:szCs w:val="28"/>
          <w:lang w:val="en-GB"/>
        </w:rPr>
        <w:t xml:space="preserve">egulation 6(1) the PPAD is </w:t>
      </w:r>
      <w:r w:rsidR="0009722C" w:rsidRPr="0009722C">
        <w:rPr>
          <w:bCs/>
          <w:i/>
          <w:iCs/>
          <w:sz w:val="28"/>
          <w:szCs w:val="28"/>
          <w:lang w:val="en-GB"/>
        </w:rPr>
        <w:t>“</w:t>
      </w:r>
      <w:r w:rsidRPr="0076734B">
        <w:rPr>
          <w:bCs/>
          <w:i/>
          <w:sz w:val="28"/>
          <w:szCs w:val="28"/>
          <w:lang w:val="en-GB"/>
        </w:rPr>
        <w:t>responsible for the development of the public procurement system legality, accountability, efficiency, transparency, and overall value for money in the implementation of public procurement and by stimulating a competitive environment with equality of treatment among bidders in the public procurement process.</w:t>
      </w:r>
      <w:r w:rsidR="0009722C">
        <w:rPr>
          <w:bCs/>
          <w:i/>
          <w:sz w:val="28"/>
          <w:szCs w:val="28"/>
          <w:lang w:val="en-GB"/>
        </w:rPr>
        <w:t>”</w:t>
      </w:r>
    </w:p>
    <w:p w14:paraId="033A1FEC" w14:textId="77777777" w:rsidR="00801E7F" w:rsidRDefault="00801E7F" w:rsidP="00801E7F">
      <w:pPr>
        <w:spacing w:line="480" w:lineRule="auto"/>
        <w:jc w:val="both"/>
        <w:rPr>
          <w:bCs/>
          <w:i/>
          <w:sz w:val="28"/>
          <w:szCs w:val="28"/>
          <w:lang w:val="en-GB"/>
        </w:rPr>
      </w:pPr>
    </w:p>
    <w:p w14:paraId="67E745E6" w14:textId="120ED7F4" w:rsidR="00801E7F" w:rsidRDefault="00801E7F" w:rsidP="00801E7F">
      <w:pPr>
        <w:spacing w:line="480" w:lineRule="auto"/>
        <w:jc w:val="both"/>
        <w:rPr>
          <w:bCs/>
          <w:iCs/>
          <w:sz w:val="28"/>
          <w:szCs w:val="28"/>
          <w:lang w:val="en-GB"/>
        </w:rPr>
      </w:pPr>
      <w:r>
        <w:rPr>
          <w:bCs/>
          <w:iCs/>
          <w:sz w:val="28"/>
          <w:szCs w:val="28"/>
          <w:lang w:val="en-GB"/>
        </w:rPr>
        <w:t>[</w:t>
      </w:r>
      <w:r w:rsidR="00A7379A">
        <w:rPr>
          <w:bCs/>
          <w:iCs/>
          <w:sz w:val="28"/>
          <w:szCs w:val="28"/>
          <w:lang w:val="en-GB"/>
        </w:rPr>
        <w:t>11</w:t>
      </w:r>
      <w:r>
        <w:rPr>
          <w:bCs/>
          <w:iCs/>
          <w:sz w:val="28"/>
          <w:szCs w:val="28"/>
          <w:lang w:val="en-GB"/>
        </w:rPr>
        <w:t>]</w:t>
      </w:r>
      <w:r>
        <w:rPr>
          <w:bCs/>
          <w:iCs/>
          <w:sz w:val="28"/>
          <w:szCs w:val="28"/>
          <w:lang w:val="en-GB"/>
        </w:rPr>
        <w:tab/>
      </w:r>
      <w:r>
        <w:rPr>
          <w:bCs/>
          <w:iCs/>
          <w:sz w:val="28"/>
          <w:szCs w:val="28"/>
          <w:lang w:val="en-GB"/>
        </w:rPr>
        <w:tab/>
        <w:t>Amongst others PPAD is responsible for developing public procurement laws and for proposing best practise in procurement in addition to monitoring compliance with procurement policies and laws</w:t>
      </w:r>
      <w:r>
        <w:rPr>
          <w:rStyle w:val="FootnoteReference"/>
          <w:bCs/>
          <w:iCs/>
          <w:sz w:val="28"/>
          <w:szCs w:val="28"/>
          <w:lang w:val="en-GB"/>
        </w:rPr>
        <w:footnoteReference w:id="21"/>
      </w:r>
      <w:r>
        <w:rPr>
          <w:bCs/>
          <w:iCs/>
          <w:sz w:val="28"/>
          <w:szCs w:val="28"/>
          <w:lang w:val="en-GB"/>
        </w:rPr>
        <w:t>. As far as dispute resolution in public procurement is concerned</w:t>
      </w:r>
      <w:r w:rsidR="0009722C">
        <w:rPr>
          <w:bCs/>
          <w:iCs/>
          <w:sz w:val="28"/>
          <w:szCs w:val="28"/>
          <w:lang w:val="en-GB"/>
        </w:rPr>
        <w:t>,</w:t>
      </w:r>
      <w:r>
        <w:rPr>
          <w:bCs/>
          <w:iCs/>
          <w:sz w:val="28"/>
          <w:szCs w:val="28"/>
          <w:lang w:val="en-GB"/>
        </w:rPr>
        <w:t xml:space="preserve"> the PPAD has to </w:t>
      </w:r>
      <w:r w:rsidRPr="00865549">
        <w:rPr>
          <w:bCs/>
          <w:i/>
          <w:sz w:val="28"/>
          <w:szCs w:val="28"/>
          <w:lang w:val="en-GB"/>
        </w:rPr>
        <w:t>“set up an appeals</w:t>
      </w:r>
      <w:r>
        <w:rPr>
          <w:bCs/>
          <w:i/>
          <w:sz w:val="28"/>
          <w:szCs w:val="28"/>
          <w:lang w:val="en-GB"/>
        </w:rPr>
        <w:t xml:space="preserve"> Panel to deal with complaints and appeals from suppliers and companies, and PPAD shall provide the Secretariat service to the </w:t>
      </w:r>
      <w:r w:rsidRPr="00865549">
        <w:rPr>
          <w:bCs/>
          <w:i/>
          <w:sz w:val="28"/>
          <w:szCs w:val="28"/>
          <w:lang w:val="en-GB"/>
        </w:rPr>
        <w:t>Appeals Panel</w:t>
      </w:r>
      <w:r>
        <w:rPr>
          <w:rStyle w:val="FootnoteReference"/>
          <w:bCs/>
          <w:iCs/>
          <w:sz w:val="28"/>
          <w:szCs w:val="28"/>
          <w:lang w:val="en-GB"/>
        </w:rPr>
        <w:footnoteReference w:id="22"/>
      </w:r>
      <w:r>
        <w:rPr>
          <w:bCs/>
          <w:iCs/>
          <w:sz w:val="28"/>
          <w:szCs w:val="28"/>
          <w:lang w:val="en-GB"/>
        </w:rPr>
        <w:t>;</w:t>
      </w:r>
    </w:p>
    <w:p w14:paraId="2E7165FE" w14:textId="77777777" w:rsidR="00801E7F" w:rsidRDefault="00801E7F" w:rsidP="00801E7F">
      <w:pPr>
        <w:spacing w:line="480" w:lineRule="auto"/>
        <w:jc w:val="both"/>
        <w:rPr>
          <w:bCs/>
          <w:iCs/>
          <w:sz w:val="28"/>
          <w:szCs w:val="28"/>
          <w:lang w:val="en-GB"/>
        </w:rPr>
      </w:pPr>
    </w:p>
    <w:p w14:paraId="4F629F28" w14:textId="0B2EF657" w:rsidR="00801E7F" w:rsidRDefault="00801E7F" w:rsidP="00801E7F">
      <w:pPr>
        <w:spacing w:line="480" w:lineRule="auto"/>
        <w:jc w:val="both"/>
        <w:rPr>
          <w:bCs/>
          <w:sz w:val="28"/>
          <w:szCs w:val="28"/>
          <w:lang w:val="en-GB"/>
        </w:rPr>
      </w:pPr>
      <w:r>
        <w:rPr>
          <w:bCs/>
          <w:sz w:val="28"/>
          <w:szCs w:val="28"/>
          <w:lang w:val="en-GB"/>
        </w:rPr>
        <w:t>[</w:t>
      </w:r>
      <w:r w:rsidR="00A7379A">
        <w:rPr>
          <w:bCs/>
          <w:sz w:val="28"/>
          <w:szCs w:val="28"/>
          <w:lang w:val="en-GB"/>
        </w:rPr>
        <w:t>12</w:t>
      </w:r>
      <w:r>
        <w:rPr>
          <w:bCs/>
          <w:sz w:val="28"/>
          <w:szCs w:val="28"/>
          <w:lang w:val="en-GB"/>
        </w:rPr>
        <w:t>]</w:t>
      </w:r>
      <w:r>
        <w:rPr>
          <w:bCs/>
          <w:sz w:val="28"/>
          <w:szCs w:val="28"/>
          <w:lang w:val="en-GB"/>
        </w:rPr>
        <w:tab/>
      </w:r>
      <w:r>
        <w:rPr>
          <w:bCs/>
          <w:sz w:val="28"/>
          <w:szCs w:val="28"/>
          <w:lang w:val="en-GB"/>
        </w:rPr>
        <w:tab/>
      </w:r>
      <w:r w:rsidRPr="0076734B">
        <w:rPr>
          <w:bCs/>
          <w:sz w:val="28"/>
          <w:szCs w:val="28"/>
          <w:lang w:val="en-GB"/>
        </w:rPr>
        <w:t xml:space="preserve">In terms of regulation 55 the PPAD is empowered to handle appeals </w:t>
      </w:r>
      <w:r w:rsidRPr="0076734B">
        <w:rPr>
          <w:bCs/>
          <w:sz w:val="28"/>
          <w:szCs w:val="28"/>
          <w:lang w:val="en-GB"/>
        </w:rPr>
        <w:lastRenderedPageBreak/>
        <w:t>arising out of complaints lodged with the Unit in terms of regulation</w:t>
      </w:r>
      <w:r>
        <w:rPr>
          <w:bCs/>
          <w:sz w:val="28"/>
          <w:szCs w:val="28"/>
          <w:lang w:val="en-GB"/>
        </w:rPr>
        <w:t>. The regulation provides as follows:</w:t>
      </w:r>
    </w:p>
    <w:p w14:paraId="1580B23A" w14:textId="77777777" w:rsidR="00801E7F" w:rsidRDefault="00801E7F" w:rsidP="00801E7F">
      <w:pPr>
        <w:spacing w:line="480" w:lineRule="auto"/>
        <w:jc w:val="both"/>
        <w:rPr>
          <w:bCs/>
          <w:sz w:val="28"/>
          <w:szCs w:val="28"/>
          <w:lang w:val="en-GB"/>
        </w:rPr>
      </w:pPr>
    </w:p>
    <w:p w14:paraId="054215BE" w14:textId="5E7F748B" w:rsidR="00801E7F" w:rsidRPr="0041386D" w:rsidRDefault="00801E7F" w:rsidP="00801E7F">
      <w:pPr>
        <w:ind w:left="2160" w:hanging="720"/>
        <w:jc w:val="both"/>
        <w:rPr>
          <w:bCs/>
          <w:lang w:val="en-GB"/>
        </w:rPr>
      </w:pPr>
      <w:r w:rsidRPr="0041386D">
        <w:rPr>
          <w:bCs/>
          <w:lang w:val="en-GB"/>
        </w:rPr>
        <w:t>“55.</w:t>
      </w:r>
      <w:r w:rsidR="0009722C">
        <w:rPr>
          <w:bCs/>
          <w:lang w:val="en-GB"/>
        </w:rPr>
        <w:tab/>
      </w:r>
      <w:r w:rsidRPr="0041386D">
        <w:rPr>
          <w:bCs/>
          <w:lang w:val="en-GB"/>
        </w:rPr>
        <w:t>(1)</w:t>
      </w:r>
      <w:r w:rsidRPr="0041386D">
        <w:rPr>
          <w:bCs/>
          <w:lang w:val="en-GB"/>
        </w:rPr>
        <w:tab/>
        <w:t>The complainant may appeal to the PPAD within 5 working days where-</w:t>
      </w:r>
    </w:p>
    <w:p w14:paraId="5348D61D" w14:textId="77777777" w:rsidR="00801E7F" w:rsidRPr="0041386D" w:rsidRDefault="00801E7F" w:rsidP="00801E7F">
      <w:pPr>
        <w:pStyle w:val="ListParagraph"/>
        <w:numPr>
          <w:ilvl w:val="0"/>
          <w:numId w:val="2"/>
        </w:numPr>
        <w:jc w:val="both"/>
        <w:rPr>
          <w:bCs/>
          <w:lang w:val="en-GB"/>
        </w:rPr>
      </w:pPr>
      <w:r w:rsidRPr="0041386D">
        <w:rPr>
          <w:bCs/>
          <w:lang w:val="en-GB"/>
        </w:rPr>
        <w:t>the complainant does not agree with the decision of the Unit,</w:t>
      </w:r>
    </w:p>
    <w:p w14:paraId="2C4B0A4D" w14:textId="77777777" w:rsidR="00801E7F" w:rsidRPr="0041386D" w:rsidRDefault="00801E7F" w:rsidP="00801E7F">
      <w:pPr>
        <w:pStyle w:val="ListParagraph"/>
        <w:numPr>
          <w:ilvl w:val="0"/>
          <w:numId w:val="2"/>
        </w:numPr>
        <w:jc w:val="both"/>
        <w:rPr>
          <w:bCs/>
          <w:lang w:val="en-GB"/>
        </w:rPr>
      </w:pPr>
      <w:r w:rsidRPr="0041386D">
        <w:rPr>
          <w:bCs/>
          <w:lang w:val="en-GB"/>
        </w:rPr>
        <w:t>the Unit did not issue a decision within the specified time, or</w:t>
      </w:r>
    </w:p>
    <w:p w14:paraId="55D6F7CD" w14:textId="77777777" w:rsidR="00801E7F" w:rsidRDefault="00801E7F" w:rsidP="00801E7F">
      <w:pPr>
        <w:pStyle w:val="ListParagraph"/>
        <w:numPr>
          <w:ilvl w:val="0"/>
          <w:numId w:val="2"/>
        </w:numPr>
        <w:jc w:val="both"/>
        <w:rPr>
          <w:bCs/>
          <w:lang w:val="en-GB"/>
        </w:rPr>
      </w:pPr>
      <w:r w:rsidRPr="0041386D">
        <w:rPr>
          <w:bCs/>
          <w:lang w:val="en-GB"/>
        </w:rPr>
        <w:t>the Unit entered into a contract before its decision on the complaint, unless not entering into the contract is against the public interest.</w:t>
      </w:r>
    </w:p>
    <w:p w14:paraId="32ED466B" w14:textId="77777777" w:rsidR="00801E7F" w:rsidRPr="0041386D" w:rsidRDefault="00801E7F" w:rsidP="00801E7F">
      <w:pPr>
        <w:jc w:val="both"/>
        <w:rPr>
          <w:bCs/>
          <w:lang w:val="en-GB"/>
        </w:rPr>
      </w:pPr>
    </w:p>
    <w:p w14:paraId="53B353A2" w14:textId="77777777" w:rsidR="00801E7F" w:rsidRPr="0041386D" w:rsidRDefault="00801E7F" w:rsidP="00801E7F">
      <w:pPr>
        <w:ind w:left="2160"/>
        <w:jc w:val="both"/>
        <w:rPr>
          <w:bCs/>
          <w:lang w:val="en-GB"/>
        </w:rPr>
      </w:pPr>
      <w:r w:rsidRPr="0041386D">
        <w:rPr>
          <w:bCs/>
          <w:lang w:val="en-GB"/>
        </w:rPr>
        <w:t>(2)</w:t>
      </w:r>
      <w:r w:rsidRPr="0041386D">
        <w:rPr>
          <w:bCs/>
          <w:lang w:val="en-GB"/>
        </w:rPr>
        <w:tab/>
        <w:t>PPAD shall consider a complaint and issue the following decisions where it considers that the Unit breached these Regulations:</w:t>
      </w:r>
    </w:p>
    <w:p w14:paraId="219C42BF" w14:textId="77777777" w:rsidR="00801E7F" w:rsidRPr="0041386D" w:rsidRDefault="00801E7F" w:rsidP="00801E7F">
      <w:pPr>
        <w:ind w:left="3600" w:hanging="720"/>
        <w:jc w:val="both"/>
        <w:rPr>
          <w:bCs/>
          <w:lang w:val="en-GB"/>
        </w:rPr>
      </w:pPr>
      <w:r w:rsidRPr="0041386D">
        <w:rPr>
          <w:bCs/>
          <w:lang w:val="en-GB"/>
        </w:rPr>
        <w:t>(a)</w:t>
      </w:r>
      <w:r w:rsidRPr="0041386D">
        <w:rPr>
          <w:bCs/>
          <w:lang w:val="en-GB"/>
        </w:rPr>
        <w:tab/>
        <w:t>nullify or modify illicit actions or decisions of the Unit wholly or partially;</w:t>
      </w:r>
    </w:p>
    <w:p w14:paraId="02B96B83" w14:textId="77777777" w:rsidR="00801E7F" w:rsidRPr="0041386D" w:rsidRDefault="00801E7F" w:rsidP="00801E7F">
      <w:pPr>
        <w:ind w:left="3600" w:hanging="720"/>
        <w:jc w:val="both"/>
        <w:rPr>
          <w:bCs/>
          <w:lang w:val="en-GB"/>
        </w:rPr>
      </w:pPr>
      <w:r w:rsidRPr="0041386D">
        <w:rPr>
          <w:bCs/>
          <w:lang w:val="en-GB"/>
        </w:rPr>
        <w:t>(b)</w:t>
      </w:r>
      <w:r w:rsidRPr="0041386D">
        <w:rPr>
          <w:bCs/>
          <w:lang w:val="en-GB"/>
        </w:rPr>
        <w:tab/>
        <w:t>declare which provision of these Regulations should apply in a given case; or</w:t>
      </w:r>
    </w:p>
    <w:p w14:paraId="1E5E3711" w14:textId="77777777" w:rsidR="00801E7F" w:rsidRDefault="00801E7F" w:rsidP="00801E7F">
      <w:pPr>
        <w:ind w:left="3600" w:hanging="720"/>
        <w:jc w:val="both"/>
        <w:rPr>
          <w:bCs/>
          <w:lang w:val="en-GB"/>
        </w:rPr>
      </w:pPr>
      <w:r w:rsidRPr="0041386D">
        <w:rPr>
          <w:bCs/>
          <w:lang w:val="en-GB"/>
        </w:rPr>
        <w:t>(c)</w:t>
      </w:r>
      <w:r w:rsidRPr="0041386D">
        <w:rPr>
          <w:bCs/>
          <w:lang w:val="en-GB"/>
        </w:rPr>
        <w:tab/>
        <w:t>instruct the Unit to carry out the tender process after the breaches are rectified.</w:t>
      </w:r>
    </w:p>
    <w:p w14:paraId="1F733CAE" w14:textId="0ED08204" w:rsidR="00801E7F" w:rsidRDefault="009438EA" w:rsidP="009438EA">
      <w:pPr>
        <w:ind w:left="1440" w:firstLine="720"/>
        <w:jc w:val="both"/>
        <w:rPr>
          <w:bCs/>
          <w:lang w:val="en-GB"/>
        </w:rPr>
      </w:pPr>
      <w:r>
        <w:rPr>
          <w:bCs/>
          <w:lang w:val="en-GB"/>
        </w:rPr>
        <w:t>…</w:t>
      </w:r>
    </w:p>
    <w:p w14:paraId="22EB9DDA" w14:textId="77777777" w:rsidR="00801E7F" w:rsidRPr="0041386D" w:rsidRDefault="00801E7F" w:rsidP="00801E7F">
      <w:pPr>
        <w:ind w:left="3600" w:hanging="720"/>
        <w:jc w:val="both"/>
        <w:rPr>
          <w:bCs/>
          <w:lang w:val="en-GB"/>
        </w:rPr>
      </w:pPr>
    </w:p>
    <w:p w14:paraId="44138857" w14:textId="77777777" w:rsidR="00801E7F" w:rsidRPr="0041386D" w:rsidRDefault="00801E7F" w:rsidP="00801E7F">
      <w:pPr>
        <w:ind w:left="2160"/>
        <w:jc w:val="both"/>
        <w:rPr>
          <w:bCs/>
          <w:lang w:val="en-GB"/>
        </w:rPr>
      </w:pPr>
      <w:r w:rsidRPr="0041386D">
        <w:rPr>
          <w:bCs/>
          <w:lang w:val="en-GB"/>
        </w:rPr>
        <w:t>(4)</w:t>
      </w:r>
      <w:r w:rsidRPr="0041386D">
        <w:rPr>
          <w:bCs/>
          <w:lang w:val="en-GB"/>
        </w:rPr>
        <w:tab/>
        <w:t>PPAD shall seek an opinion from the independent Appeals Panel for reviewing the complaint related to the tender process authorized for contracting, the decision of PPAD shall be based on the Appeals Panel Opinion.”</w:t>
      </w:r>
    </w:p>
    <w:p w14:paraId="3C624AC5" w14:textId="77777777" w:rsidR="00801E7F" w:rsidRPr="0076734B" w:rsidRDefault="00801E7F" w:rsidP="00801E7F">
      <w:pPr>
        <w:spacing w:line="480" w:lineRule="auto"/>
        <w:jc w:val="both"/>
        <w:rPr>
          <w:bCs/>
          <w:sz w:val="28"/>
          <w:szCs w:val="28"/>
          <w:lang w:val="en-GB"/>
        </w:rPr>
      </w:pPr>
    </w:p>
    <w:p w14:paraId="668C3D7B" w14:textId="56BE854B" w:rsidR="00A143CA" w:rsidRDefault="00A143CA" w:rsidP="00FB34AD">
      <w:pPr>
        <w:spacing w:line="480" w:lineRule="auto"/>
        <w:jc w:val="both"/>
        <w:rPr>
          <w:bCs/>
          <w:sz w:val="28"/>
          <w:szCs w:val="28"/>
          <w:lang w:val="en-GB"/>
        </w:rPr>
      </w:pPr>
    </w:p>
    <w:p w14:paraId="4F1BC88C" w14:textId="5D42A149" w:rsidR="00A44747" w:rsidRDefault="002C618E" w:rsidP="00FB34AD">
      <w:pPr>
        <w:spacing w:line="480" w:lineRule="auto"/>
        <w:jc w:val="both"/>
        <w:rPr>
          <w:b/>
          <w:sz w:val="28"/>
          <w:szCs w:val="28"/>
          <w:u w:val="single"/>
          <w:lang w:val="en-GB"/>
        </w:rPr>
      </w:pPr>
      <w:r>
        <w:rPr>
          <w:b/>
          <w:sz w:val="28"/>
          <w:szCs w:val="28"/>
          <w:u w:val="single"/>
          <w:lang w:val="en-GB"/>
        </w:rPr>
        <w:t xml:space="preserve">FACTUAL </w:t>
      </w:r>
      <w:r w:rsidR="00A44747" w:rsidRPr="00A44747">
        <w:rPr>
          <w:b/>
          <w:sz w:val="28"/>
          <w:szCs w:val="28"/>
          <w:u w:val="single"/>
          <w:lang w:val="en-GB"/>
        </w:rPr>
        <w:t>BACKGROUD:</w:t>
      </w:r>
    </w:p>
    <w:p w14:paraId="06582A09" w14:textId="1062EB83" w:rsidR="002C618E" w:rsidRDefault="002C618E" w:rsidP="00FB34AD">
      <w:pPr>
        <w:spacing w:line="480" w:lineRule="auto"/>
        <w:jc w:val="both"/>
        <w:rPr>
          <w:bCs/>
          <w:sz w:val="28"/>
          <w:szCs w:val="28"/>
          <w:lang w:val="en-GB"/>
        </w:rPr>
      </w:pPr>
    </w:p>
    <w:p w14:paraId="3DF1BA5C" w14:textId="56A7D023" w:rsidR="002C618E" w:rsidRDefault="002C618E" w:rsidP="00FB34AD">
      <w:pPr>
        <w:spacing w:line="480" w:lineRule="auto"/>
        <w:jc w:val="both"/>
        <w:rPr>
          <w:bCs/>
          <w:sz w:val="28"/>
          <w:szCs w:val="28"/>
          <w:lang w:val="en-GB"/>
        </w:rPr>
      </w:pPr>
      <w:r>
        <w:rPr>
          <w:bCs/>
          <w:sz w:val="28"/>
          <w:szCs w:val="28"/>
          <w:lang w:val="en-GB"/>
        </w:rPr>
        <w:t>[</w:t>
      </w:r>
      <w:r w:rsidR="00A7379A">
        <w:rPr>
          <w:bCs/>
          <w:sz w:val="28"/>
          <w:szCs w:val="28"/>
          <w:lang w:val="en-GB"/>
        </w:rPr>
        <w:t>1</w:t>
      </w:r>
      <w:r>
        <w:rPr>
          <w:bCs/>
          <w:sz w:val="28"/>
          <w:szCs w:val="28"/>
          <w:lang w:val="en-GB"/>
        </w:rPr>
        <w:t>3]</w:t>
      </w:r>
      <w:r>
        <w:rPr>
          <w:bCs/>
          <w:sz w:val="28"/>
          <w:szCs w:val="28"/>
          <w:lang w:val="en-GB"/>
        </w:rPr>
        <w:tab/>
      </w:r>
      <w:r>
        <w:rPr>
          <w:bCs/>
          <w:sz w:val="28"/>
          <w:szCs w:val="28"/>
          <w:lang w:val="en-GB"/>
        </w:rPr>
        <w:tab/>
      </w:r>
      <w:r w:rsidR="00766364">
        <w:rPr>
          <w:bCs/>
          <w:sz w:val="28"/>
          <w:szCs w:val="28"/>
          <w:lang w:val="en-GB"/>
        </w:rPr>
        <w:t>On 9</w:t>
      </w:r>
      <w:r w:rsidR="00766364" w:rsidRPr="00766364">
        <w:rPr>
          <w:bCs/>
          <w:sz w:val="28"/>
          <w:szCs w:val="28"/>
          <w:vertAlign w:val="superscript"/>
          <w:lang w:val="en-GB"/>
        </w:rPr>
        <w:t>th</w:t>
      </w:r>
      <w:r w:rsidR="00766364">
        <w:rPr>
          <w:bCs/>
          <w:sz w:val="28"/>
          <w:szCs w:val="28"/>
          <w:lang w:val="en-GB"/>
        </w:rPr>
        <w:t xml:space="preserve"> October 2018, </w:t>
      </w:r>
      <w:r w:rsidR="00766364" w:rsidRPr="00A852F5">
        <w:rPr>
          <w:bCs/>
          <w:sz w:val="28"/>
          <w:szCs w:val="28"/>
          <w:lang w:val="en-GB"/>
        </w:rPr>
        <w:t>MP</w:t>
      </w:r>
      <w:r w:rsidR="00A852F5" w:rsidRPr="00A852F5">
        <w:rPr>
          <w:bCs/>
          <w:sz w:val="28"/>
          <w:szCs w:val="28"/>
          <w:lang w:val="en-GB"/>
        </w:rPr>
        <w:t>W</w:t>
      </w:r>
      <w:r w:rsidR="00A852F5">
        <w:rPr>
          <w:bCs/>
          <w:sz w:val="28"/>
          <w:szCs w:val="28"/>
          <w:lang w:val="en-GB"/>
        </w:rPr>
        <w:t xml:space="preserve"> through its procurement unit</w:t>
      </w:r>
      <w:r w:rsidR="00766364">
        <w:rPr>
          <w:bCs/>
          <w:sz w:val="28"/>
          <w:szCs w:val="28"/>
          <w:lang w:val="en-GB"/>
        </w:rPr>
        <w:t xml:space="preserve"> initiated procurement process for renovations of Mohale’s Hoek Correctional Service. This was by way of selective tendering</w:t>
      </w:r>
      <w:r w:rsidR="00873028">
        <w:rPr>
          <w:bCs/>
          <w:sz w:val="28"/>
          <w:szCs w:val="28"/>
          <w:lang w:val="en-GB"/>
        </w:rPr>
        <w:t xml:space="preserve">. </w:t>
      </w:r>
      <w:r w:rsidR="00766364">
        <w:rPr>
          <w:bCs/>
          <w:sz w:val="28"/>
          <w:szCs w:val="28"/>
          <w:lang w:val="en-GB"/>
        </w:rPr>
        <w:t xml:space="preserve"> Phakoe and Ts</w:t>
      </w:r>
      <w:r w:rsidR="00292A59">
        <w:rPr>
          <w:bCs/>
          <w:sz w:val="28"/>
          <w:szCs w:val="28"/>
          <w:lang w:val="en-GB"/>
        </w:rPr>
        <w:t>’</w:t>
      </w:r>
      <w:r w:rsidR="00766364">
        <w:rPr>
          <w:bCs/>
          <w:sz w:val="28"/>
          <w:szCs w:val="28"/>
          <w:lang w:val="en-GB"/>
        </w:rPr>
        <w:t xml:space="preserve">ilo were amongst </w:t>
      </w:r>
      <w:r w:rsidR="00873028">
        <w:rPr>
          <w:bCs/>
          <w:sz w:val="28"/>
          <w:szCs w:val="28"/>
          <w:lang w:val="en-GB"/>
        </w:rPr>
        <w:t>the invitees in the tender.</w:t>
      </w:r>
      <w:r w:rsidR="00825D57">
        <w:rPr>
          <w:bCs/>
          <w:sz w:val="28"/>
          <w:szCs w:val="28"/>
          <w:lang w:val="en-GB"/>
        </w:rPr>
        <w:t xml:space="preserve"> They both </w:t>
      </w:r>
      <w:r w:rsidR="00873028">
        <w:rPr>
          <w:bCs/>
          <w:sz w:val="28"/>
          <w:szCs w:val="28"/>
          <w:lang w:val="en-GB"/>
        </w:rPr>
        <w:t>submitted their bids. Besides compliance criteria which tenderers needed to meet, the evaluation criteri</w:t>
      </w:r>
      <w:r w:rsidR="00A852F5">
        <w:rPr>
          <w:bCs/>
          <w:sz w:val="28"/>
          <w:szCs w:val="28"/>
          <w:lang w:val="en-GB"/>
        </w:rPr>
        <w:t xml:space="preserve">on </w:t>
      </w:r>
      <w:r w:rsidR="00873028">
        <w:rPr>
          <w:bCs/>
          <w:sz w:val="28"/>
          <w:szCs w:val="28"/>
          <w:lang w:val="en-GB"/>
        </w:rPr>
        <w:t xml:space="preserve">was the amount closest </w:t>
      </w:r>
      <w:r w:rsidR="00873028">
        <w:rPr>
          <w:bCs/>
          <w:sz w:val="28"/>
          <w:szCs w:val="28"/>
          <w:lang w:val="en-GB"/>
        </w:rPr>
        <w:lastRenderedPageBreak/>
        <w:t>to the quantity surveyor’s/engineer’s estimate</w:t>
      </w:r>
      <w:r w:rsidR="00EC4782">
        <w:rPr>
          <w:bCs/>
          <w:sz w:val="28"/>
          <w:szCs w:val="28"/>
          <w:lang w:val="en-GB"/>
        </w:rPr>
        <w:t xml:space="preserve">, </w:t>
      </w:r>
      <w:r w:rsidR="00EC4782" w:rsidRPr="00EC4782">
        <w:rPr>
          <w:bCs/>
          <w:i/>
          <w:iCs/>
          <w:sz w:val="28"/>
          <w:szCs w:val="28"/>
          <w:lang w:val="en-GB"/>
        </w:rPr>
        <w:t>(“the estimates”).</w:t>
      </w:r>
      <w:r w:rsidR="00873028">
        <w:rPr>
          <w:bCs/>
          <w:sz w:val="28"/>
          <w:szCs w:val="28"/>
          <w:lang w:val="en-GB"/>
        </w:rPr>
        <w:t xml:space="preserve"> </w:t>
      </w:r>
      <w:r w:rsidR="00A852F5">
        <w:rPr>
          <w:bCs/>
          <w:sz w:val="28"/>
          <w:szCs w:val="28"/>
          <w:lang w:val="en-GB"/>
        </w:rPr>
        <w:t>During the opening of the bids, the estimate was announced as M35,661,747.00.</w:t>
      </w:r>
      <w:r w:rsidR="00873028">
        <w:rPr>
          <w:bCs/>
          <w:sz w:val="28"/>
          <w:szCs w:val="28"/>
          <w:lang w:val="en-GB"/>
        </w:rPr>
        <w:t xml:space="preserve"> </w:t>
      </w:r>
      <w:r w:rsidR="00766364">
        <w:rPr>
          <w:bCs/>
          <w:sz w:val="28"/>
          <w:szCs w:val="28"/>
          <w:lang w:val="en-GB"/>
        </w:rPr>
        <w:t xml:space="preserve">  </w:t>
      </w:r>
    </w:p>
    <w:p w14:paraId="55A9CAA5" w14:textId="6DD009B5" w:rsidR="00825D57" w:rsidRDefault="00825D57" w:rsidP="00FB34AD">
      <w:pPr>
        <w:spacing w:line="480" w:lineRule="auto"/>
        <w:jc w:val="both"/>
        <w:rPr>
          <w:bCs/>
          <w:sz w:val="28"/>
          <w:szCs w:val="28"/>
          <w:lang w:val="en-GB"/>
        </w:rPr>
      </w:pPr>
    </w:p>
    <w:p w14:paraId="4576A91C" w14:textId="075464C8" w:rsidR="00FC18E6" w:rsidRDefault="00825D57" w:rsidP="00FB34AD">
      <w:pPr>
        <w:spacing w:line="480" w:lineRule="auto"/>
        <w:jc w:val="both"/>
        <w:rPr>
          <w:bCs/>
          <w:sz w:val="28"/>
          <w:szCs w:val="28"/>
          <w:lang w:val="en-GB"/>
        </w:rPr>
      </w:pPr>
      <w:r>
        <w:rPr>
          <w:bCs/>
          <w:sz w:val="28"/>
          <w:szCs w:val="28"/>
          <w:lang w:val="en-GB"/>
        </w:rPr>
        <w:t>[</w:t>
      </w:r>
      <w:r w:rsidR="00A7379A">
        <w:rPr>
          <w:bCs/>
          <w:sz w:val="28"/>
          <w:szCs w:val="28"/>
          <w:lang w:val="en-GB"/>
        </w:rPr>
        <w:t>14</w:t>
      </w:r>
      <w:r>
        <w:rPr>
          <w:bCs/>
          <w:sz w:val="28"/>
          <w:szCs w:val="28"/>
          <w:lang w:val="en-GB"/>
        </w:rPr>
        <w:t>]</w:t>
      </w:r>
      <w:r>
        <w:rPr>
          <w:bCs/>
          <w:sz w:val="28"/>
          <w:szCs w:val="28"/>
          <w:lang w:val="en-GB"/>
        </w:rPr>
        <w:tab/>
      </w:r>
      <w:r>
        <w:rPr>
          <w:bCs/>
          <w:sz w:val="28"/>
          <w:szCs w:val="28"/>
          <w:lang w:val="en-GB"/>
        </w:rPr>
        <w:tab/>
        <w:t>Following evaluation of bids</w:t>
      </w:r>
      <w:r w:rsidR="004340EE">
        <w:rPr>
          <w:bCs/>
          <w:sz w:val="28"/>
          <w:szCs w:val="28"/>
          <w:lang w:val="en-GB"/>
        </w:rPr>
        <w:t xml:space="preserve">, the </w:t>
      </w:r>
      <w:r>
        <w:rPr>
          <w:bCs/>
          <w:sz w:val="28"/>
          <w:szCs w:val="28"/>
          <w:lang w:val="en-GB"/>
        </w:rPr>
        <w:t>E</w:t>
      </w:r>
      <w:r w:rsidR="00A852F5">
        <w:rPr>
          <w:bCs/>
          <w:sz w:val="28"/>
          <w:szCs w:val="28"/>
          <w:lang w:val="en-GB"/>
        </w:rPr>
        <w:t>T</w:t>
      </w:r>
      <w:r>
        <w:rPr>
          <w:bCs/>
          <w:sz w:val="28"/>
          <w:szCs w:val="28"/>
          <w:lang w:val="en-GB"/>
        </w:rPr>
        <w:t xml:space="preserve"> </w:t>
      </w:r>
      <w:r w:rsidR="004340EE">
        <w:rPr>
          <w:bCs/>
          <w:sz w:val="28"/>
          <w:szCs w:val="28"/>
          <w:lang w:val="en-GB"/>
        </w:rPr>
        <w:t xml:space="preserve">made a recommendation to </w:t>
      </w:r>
      <w:r w:rsidR="00A852F5">
        <w:rPr>
          <w:bCs/>
          <w:sz w:val="28"/>
          <w:szCs w:val="28"/>
          <w:lang w:val="en-GB"/>
        </w:rPr>
        <w:t xml:space="preserve">the </w:t>
      </w:r>
      <w:r w:rsidR="004340EE" w:rsidRPr="00A852F5">
        <w:rPr>
          <w:bCs/>
          <w:sz w:val="28"/>
          <w:szCs w:val="28"/>
          <w:lang w:val="en-GB"/>
        </w:rPr>
        <w:t xml:space="preserve">TP </w:t>
      </w:r>
      <w:r w:rsidR="004340EE">
        <w:rPr>
          <w:bCs/>
          <w:sz w:val="28"/>
          <w:szCs w:val="28"/>
          <w:lang w:val="en-GB"/>
        </w:rPr>
        <w:t>that the tender be awarded to Phakoe.</w:t>
      </w:r>
      <w:r w:rsidR="008914C5">
        <w:rPr>
          <w:bCs/>
          <w:sz w:val="28"/>
          <w:szCs w:val="28"/>
          <w:lang w:val="en-GB"/>
        </w:rPr>
        <w:t xml:space="preserve"> This was on the basis that its bid was closest to the </w:t>
      </w:r>
      <w:r w:rsidR="00EC4782">
        <w:rPr>
          <w:bCs/>
          <w:sz w:val="28"/>
          <w:szCs w:val="28"/>
          <w:lang w:val="en-GB"/>
        </w:rPr>
        <w:t>estimate hence met the evaluation crit</w:t>
      </w:r>
      <w:r w:rsidR="00FC18E6">
        <w:rPr>
          <w:bCs/>
          <w:sz w:val="28"/>
          <w:szCs w:val="28"/>
          <w:lang w:val="en-GB"/>
        </w:rPr>
        <w:t>eri</w:t>
      </w:r>
      <w:r w:rsidR="002B093C">
        <w:rPr>
          <w:bCs/>
          <w:sz w:val="28"/>
          <w:szCs w:val="28"/>
          <w:lang w:val="en-GB"/>
        </w:rPr>
        <w:t>on.</w:t>
      </w:r>
      <w:r w:rsidR="008914C5">
        <w:rPr>
          <w:bCs/>
          <w:sz w:val="28"/>
          <w:szCs w:val="28"/>
          <w:lang w:val="en-GB"/>
        </w:rPr>
        <w:t xml:space="preserve"> </w:t>
      </w:r>
      <w:r w:rsidR="0040210E">
        <w:rPr>
          <w:bCs/>
          <w:sz w:val="28"/>
          <w:szCs w:val="28"/>
          <w:lang w:val="en-GB"/>
        </w:rPr>
        <w:t>T</w:t>
      </w:r>
      <w:r w:rsidR="004340EE">
        <w:rPr>
          <w:bCs/>
          <w:sz w:val="28"/>
          <w:szCs w:val="28"/>
          <w:lang w:val="en-GB"/>
        </w:rPr>
        <w:t>he TP</w:t>
      </w:r>
      <w:r w:rsidR="0040210E">
        <w:rPr>
          <w:bCs/>
          <w:sz w:val="28"/>
          <w:szCs w:val="28"/>
          <w:lang w:val="en-GB"/>
        </w:rPr>
        <w:t xml:space="preserve"> did not approve ET ‘s recommendation on the ground that </w:t>
      </w:r>
      <w:r w:rsidR="008914C5">
        <w:rPr>
          <w:bCs/>
          <w:sz w:val="28"/>
          <w:szCs w:val="28"/>
          <w:lang w:val="en-GB"/>
        </w:rPr>
        <w:t>Phakoe’s bid amount was irregular</w:t>
      </w:r>
      <w:r w:rsidR="00F77996">
        <w:rPr>
          <w:bCs/>
          <w:sz w:val="28"/>
          <w:szCs w:val="28"/>
          <w:lang w:val="en-GB"/>
        </w:rPr>
        <w:t xml:space="preserve"> </w:t>
      </w:r>
      <w:r w:rsidR="0040210E">
        <w:rPr>
          <w:bCs/>
          <w:sz w:val="28"/>
          <w:szCs w:val="28"/>
          <w:lang w:val="en-GB"/>
        </w:rPr>
        <w:t xml:space="preserve">as it </w:t>
      </w:r>
      <w:r w:rsidR="00F77996">
        <w:rPr>
          <w:bCs/>
          <w:sz w:val="28"/>
          <w:szCs w:val="28"/>
          <w:lang w:val="en-GB"/>
        </w:rPr>
        <w:t>did not correlate with the figures underlying</w:t>
      </w:r>
      <w:r w:rsidR="00B67803">
        <w:rPr>
          <w:bCs/>
          <w:sz w:val="28"/>
          <w:szCs w:val="28"/>
          <w:lang w:val="en-GB"/>
        </w:rPr>
        <w:t xml:space="preserve"> it – </w:t>
      </w:r>
      <w:r w:rsidR="00FC18E6">
        <w:rPr>
          <w:bCs/>
          <w:sz w:val="28"/>
          <w:szCs w:val="28"/>
          <w:lang w:val="en-GB"/>
        </w:rPr>
        <w:t xml:space="preserve">adding </w:t>
      </w:r>
      <w:r w:rsidR="00EC4782">
        <w:rPr>
          <w:bCs/>
          <w:sz w:val="28"/>
          <w:szCs w:val="28"/>
          <w:lang w:val="en-GB"/>
        </w:rPr>
        <w:t xml:space="preserve">figures </w:t>
      </w:r>
      <w:r w:rsidR="00FC18E6">
        <w:rPr>
          <w:bCs/>
          <w:sz w:val="28"/>
          <w:szCs w:val="28"/>
          <w:lang w:val="en-GB"/>
        </w:rPr>
        <w:t xml:space="preserve">for different items in the bid resulted into a different bid amount from the one reflected in the bid. </w:t>
      </w:r>
      <w:r w:rsidR="00CA1D1F">
        <w:rPr>
          <w:bCs/>
          <w:sz w:val="28"/>
          <w:szCs w:val="28"/>
          <w:lang w:val="en-GB"/>
        </w:rPr>
        <w:t>Consequently, the TP disqualified Phako</w:t>
      </w:r>
      <w:r w:rsidR="0040210E">
        <w:rPr>
          <w:bCs/>
          <w:sz w:val="28"/>
          <w:szCs w:val="28"/>
          <w:lang w:val="en-GB"/>
        </w:rPr>
        <w:t>e</w:t>
      </w:r>
      <w:r w:rsidR="00CA1D1F">
        <w:rPr>
          <w:bCs/>
          <w:sz w:val="28"/>
          <w:szCs w:val="28"/>
          <w:lang w:val="en-GB"/>
        </w:rPr>
        <w:t>’s bid</w:t>
      </w:r>
      <w:r w:rsidR="0040210E">
        <w:rPr>
          <w:bCs/>
          <w:sz w:val="28"/>
          <w:szCs w:val="28"/>
          <w:lang w:val="en-GB"/>
        </w:rPr>
        <w:t xml:space="preserve"> and awarded the tender to Ts</w:t>
      </w:r>
      <w:r w:rsidR="00007C29">
        <w:rPr>
          <w:bCs/>
          <w:sz w:val="28"/>
          <w:szCs w:val="28"/>
          <w:lang w:val="en-GB"/>
        </w:rPr>
        <w:t>’</w:t>
      </w:r>
      <w:r w:rsidR="0040210E">
        <w:rPr>
          <w:bCs/>
          <w:sz w:val="28"/>
          <w:szCs w:val="28"/>
          <w:lang w:val="en-GB"/>
        </w:rPr>
        <w:t>ilo as its bid amount was closest to the estimate following the disqualification of Phakoe</w:t>
      </w:r>
      <w:r w:rsidR="00CA1D1F">
        <w:rPr>
          <w:bCs/>
          <w:sz w:val="28"/>
          <w:szCs w:val="28"/>
          <w:lang w:val="en-GB"/>
        </w:rPr>
        <w:t xml:space="preserve">. </w:t>
      </w:r>
    </w:p>
    <w:p w14:paraId="611168ED" w14:textId="38D7AF8E" w:rsidR="00825D57" w:rsidRDefault="00B67803" w:rsidP="00FB34AD">
      <w:pPr>
        <w:spacing w:line="480" w:lineRule="auto"/>
        <w:jc w:val="both"/>
        <w:rPr>
          <w:bCs/>
          <w:sz w:val="28"/>
          <w:szCs w:val="28"/>
          <w:lang w:val="en-GB"/>
        </w:rPr>
      </w:pPr>
      <w:r>
        <w:rPr>
          <w:bCs/>
          <w:sz w:val="28"/>
          <w:szCs w:val="28"/>
          <w:lang w:val="en-GB"/>
        </w:rPr>
        <w:t xml:space="preserve"> </w:t>
      </w:r>
    </w:p>
    <w:p w14:paraId="1B178F07" w14:textId="78FFBF47" w:rsidR="0040210E" w:rsidRDefault="0040210E" w:rsidP="00FB34AD">
      <w:pPr>
        <w:spacing w:line="480" w:lineRule="auto"/>
        <w:jc w:val="both"/>
        <w:rPr>
          <w:bCs/>
          <w:sz w:val="28"/>
          <w:szCs w:val="28"/>
          <w:lang w:val="en-GB"/>
        </w:rPr>
      </w:pPr>
      <w:r>
        <w:rPr>
          <w:bCs/>
          <w:sz w:val="28"/>
          <w:szCs w:val="28"/>
          <w:lang w:val="en-GB"/>
        </w:rPr>
        <w:t>[</w:t>
      </w:r>
      <w:r w:rsidR="00A7379A">
        <w:rPr>
          <w:bCs/>
          <w:sz w:val="28"/>
          <w:szCs w:val="28"/>
          <w:lang w:val="en-GB"/>
        </w:rPr>
        <w:t>1</w:t>
      </w:r>
      <w:r>
        <w:rPr>
          <w:bCs/>
          <w:sz w:val="28"/>
          <w:szCs w:val="28"/>
          <w:lang w:val="en-GB"/>
        </w:rPr>
        <w:t>5]</w:t>
      </w:r>
      <w:r>
        <w:rPr>
          <w:bCs/>
          <w:sz w:val="28"/>
          <w:szCs w:val="28"/>
          <w:lang w:val="en-GB"/>
        </w:rPr>
        <w:tab/>
      </w:r>
      <w:r>
        <w:rPr>
          <w:bCs/>
          <w:sz w:val="28"/>
          <w:szCs w:val="28"/>
          <w:lang w:val="en-GB"/>
        </w:rPr>
        <w:tab/>
      </w:r>
      <w:r w:rsidR="0090270C">
        <w:rPr>
          <w:bCs/>
          <w:sz w:val="28"/>
          <w:szCs w:val="28"/>
          <w:lang w:val="en-GB"/>
        </w:rPr>
        <w:t>On 11</w:t>
      </w:r>
      <w:r w:rsidR="0090270C" w:rsidRPr="0090270C">
        <w:rPr>
          <w:bCs/>
          <w:sz w:val="28"/>
          <w:szCs w:val="28"/>
          <w:vertAlign w:val="superscript"/>
          <w:lang w:val="en-GB"/>
        </w:rPr>
        <w:t>th</w:t>
      </w:r>
      <w:r w:rsidR="0090270C">
        <w:rPr>
          <w:bCs/>
          <w:sz w:val="28"/>
          <w:szCs w:val="28"/>
          <w:lang w:val="en-GB"/>
        </w:rPr>
        <w:t xml:space="preserve"> January 2019 </w:t>
      </w:r>
      <w:r w:rsidR="00E36351">
        <w:rPr>
          <w:bCs/>
          <w:sz w:val="28"/>
          <w:szCs w:val="28"/>
          <w:lang w:val="en-GB"/>
        </w:rPr>
        <w:t xml:space="preserve">Phakoe </w:t>
      </w:r>
      <w:r w:rsidR="00FB02D9">
        <w:rPr>
          <w:bCs/>
          <w:sz w:val="28"/>
          <w:szCs w:val="28"/>
          <w:lang w:val="en-GB"/>
        </w:rPr>
        <w:t>appealed the decision</w:t>
      </w:r>
      <w:r w:rsidR="003D5823">
        <w:rPr>
          <w:bCs/>
          <w:sz w:val="28"/>
          <w:szCs w:val="28"/>
          <w:lang w:val="en-GB"/>
        </w:rPr>
        <w:t xml:space="preserve"> </w:t>
      </w:r>
      <w:r w:rsidR="0090270C">
        <w:rPr>
          <w:bCs/>
          <w:sz w:val="28"/>
          <w:szCs w:val="28"/>
          <w:lang w:val="en-GB"/>
        </w:rPr>
        <w:t>of the TP to award the tender to Ts</w:t>
      </w:r>
      <w:r w:rsidR="00007C29">
        <w:rPr>
          <w:bCs/>
          <w:sz w:val="28"/>
          <w:szCs w:val="28"/>
          <w:lang w:val="en-GB"/>
        </w:rPr>
        <w:t>’</w:t>
      </w:r>
      <w:r w:rsidR="0090270C">
        <w:rPr>
          <w:bCs/>
          <w:sz w:val="28"/>
          <w:szCs w:val="28"/>
          <w:lang w:val="en-GB"/>
        </w:rPr>
        <w:t xml:space="preserve">ilo </w:t>
      </w:r>
      <w:r w:rsidR="00E36351">
        <w:rPr>
          <w:bCs/>
          <w:sz w:val="28"/>
          <w:szCs w:val="28"/>
          <w:lang w:val="en-GB"/>
        </w:rPr>
        <w:t xml:space="preserve">to </w:t>
      </w:r>
      <w:r w:rsidR="00FB02D9">
        <w:rPr>
          <w:bCs/>
          <w:sz w:val="28"/>
          <w:szCs w:val="28"/>
          <w:lang w:val="en-GB"/>
        </w:rPr>
        <w:t>P</w:t>
      </w:r>
      <w:r w:rsidR="002B093C">
        <w:rPr>
          <w:bCs/>
          <w:sz w:val="28"/>
          <w:szCs w:val="28"/>
          <w:lang w:val="en-GB"/>
        </w:rPr>
        <w:t>PAD</w:t>
      </w:r>
      <w:r w:rsidR="003D5823">
        <w:rPr>
          <w:bCs/>
          <w:i/>
          <w:iCs/>
          <w:sz w:val="28"/>
          <w:szCs w:val="28"/>
          <w:lang w:val="en-GB"/>
        </w:rPr>
        <w:t xml:space="preserve">. </w:t>
      </w:r>
      <w:r w:rsidR="00E36351">
        <w:rPr>
          <w:bCs/>
          <w:sz w:val="28"/>
          <w:szCs w:val="28"/>
          <w:lang w:val="en-GB"/>
        </w:rPr>
        <w:t xml:space="preserve"> </w:t>
      </w:r>
      <w:r w:rsidR="003D5823">
        <w:rPr>
          <w:bCs/>
          <w:sz w:val="28"/>
          <w:szCs w:val="28"/>
          <w:lang w:val="en-GB"/>
        </w:rPr>
        <w:t xml:space="preserve">This was allegedly pursuant to the advice of the representative of the </w:t>
      </w:r>
      <w:r w:rsidR="002B093C">
        <w:rPr>
          <w:bCs/>
          <w:sz w:val="28"/>
          <w:szCs w:val="28"/>
          <w:lang w:val="en-GB"/>
        </w:rPr>
        <w:t xml:space="preserve">Unit. </w:t>
      </w:r>
      <w:r w:rsidR="00EC4782">
        <w:rPr>
          <w:bCs/>
          <w:sz w:val="28"/>
          <w:szCs w:val="28"/>
          <w:lang w:val="en-GB"/>
        </w:rPr>
        <w:t>However, appealing directly to PPAD</w:t>
      </w:r>
      <w:r w:rsidR="000F6163">
        <w:rPr>
          <w:bCs/>
          <w:sz w:val="28"/>
          <w:szCs w:val="28"/>
          <w:lang w:val="en-GB"/>
        </w:rPr>
        <w:t xml:space="preserve"> was </w:t>
      </w:r>
      <w:r w:rsidR="003D5823">
        <w:rPr>
          <w:bCs/>
          <w:sz w:val="28"/>
          <w:szCs w:val="28"/>
          <w:lang w:val="en-GB"/>
        </w:rPr>
        <w:t xml:space="preserve">contrary to regulation 54(1) of the </w:t>
      </w:r>
      <w:r w:rsidR="00EC4782">
        <w:rPr>
          <w:bCs/>
          <w:sz w:val="28"/>
          <w:szCs w:val="28"/>
          <w:lang w:val="en-GB"/>
        </w:rPr>
        <w:t>Re</w:t>
      </w:r>
      <w:r w:rsidR="003D5823">
        <w:rPr>
          <w:bCs/>
          <w:sz w:val="28"/>
          <w:szCs w:val="28"/>
          <w:lang w:val="en-GB"/>
        </w:rPr>
        <w:t>gulations which require</w:t>
      </w:r>
      <w:r w:rsidR="000F6163">
        <w:rPr>
          <w:bCs/>
          <w:sz w:val="28"/>
          <w:szCs w:val="28"/>
          <w:lang w:val="en-GB"/>
        </w:rPr>
        <w:t>s</w:t>
      </w:r>
      <w:r w:rsidR="003D5823">
        <w:rPr>
          <w:bCs/>
          <w:sz w:val="28"/>
          <w:szCs w:val="28"/>
          <w:lang w:val="en-GB"/>
        </w:rPr>
        <w:t xml:space="preserve"> a complaint to be lodged</w:t>
      </w:r>
      <w:r w:rsidR="000F6163">
        <w:rPr>
          <w:bCs/>
          <w:sz w:val="28"/>
          <w:szCs w:val="28"/>
          <w:lang w:val="en-GB"/>
        </w:rPr>
        <w:t xml:space="preserve"> first with</w:t>
      </w:r>
      <w:r w:rsidR="003D5823">
        <w:rPr>
          <w:bCs/>
          <w:sz w:val="28"/>
          <w:szCs w:val="28"/>
          <w:lang w:val="en-GB"/>
        </w:rPr>
        <w:t xml:space="preserve"> t</w:t>
      </w:r>
      <w:r w:rsidR="00E36351">
        <w:rPr>
          <w:bCs/>
          <w:sz w:val="28"/>
          <w:szCs w:val="28"/>
          <w:lang w:val="en-GB"/>
        </w:rPr>
        <w:t xml:space="preserve">he </w:t>
      </w:r>
      <w:r w:rsidR="002B093C">
        <w:rPr>
          <w:bCs/>
          <w:sz w:val="28"/>
          <w:szCs w:val="28"/>
          <w:lang w:val="en-GB"/>
        </w:rPr>
        <w:t xml:space="preserve">Unit </w:t>
      </w:r>
      <w:r w:rsidR="000F6163">
        <w:rPr>
          <w:bCs/>
          <w:sz w:val="28"/>
          <w:szCs w:val="28"/>
          <w:lang w:val="en-GB"/>
        </w:rPr>
        <w:t xml:space="preserve">before an appeal to PPAD. </w:t>
      </w:r>
    </w:p>
    <w:p w14:paraId="7AC5A448" w14:textId="2F0A1958" w:rsidR="000620E6" w:rsidRDefault="000620E6" w:rsidP="00FB34AD">
      <w:pPr>
        <w:spacing w:line="480" w:lineRule="auto"/>
        <w:jc w:val="both"/>
        <w:rPr>
          <w:bCs/>
          <w:sz w:val="28"/>
          <w:szCs w:val="28"/>
          <w:lang w:val="en-GB"/>
        </w:rPr>
      </w:pPr>
    </w:p>
    <w:p w14:paraId="317B155E" w14:textId="052501A6" w:rsidR="00B67803" w:rsidRDefault="00B67803" w:rsidP="00FB34AD">
      <w:pPr>
        <w:spacing w:line="480" w:lineRule="auto"/>
        <w:jc w:val="both"/>
        <w:rPr>
          <w:bCs/>
          <w:sz w:val="28"/>
          <w:szCs w:val="28"/>
          <w:lang w:val="en-GB"/>
        </w:rPr>
      </w:pPr>
      <w:r>
        <w:rPr>
          <w:bCs/>
          <w:sz w:val="28"/>
          <w:szCs w:val="28"/>
          <w:lang w:val="en-GB"/>
        </w:rPr>
        <w:t>[</w:t>
      </w:r>
      <w:r w:rsidR="00A7379A">
        <w:rPr>
          <w:bCs/>
          <w:sz w:val="28"/>
          <w:szCs w:val="28"/>
          <w:lang w:val="en-GB"/>
        </w:rPr>
        <w:t>1</w:t>
      </w:r>
      <w:r w:rsidR="00FC18E6">
        <w:rPr>
          <w:bCs/>
          <w:sz w:val="28"/>
          <w:szCs w:val="28"/>
          <w:lang w:val="en-GB"/>
        </w:rPr>
        <w:t>6</w:t>
      </w:r>
      <w:r>
        <w:rPr>
          <w:bCs/>
          <w:sz w:val="28"/>
          <w:szCs w:val="28"/>
          <w:lang w:val="en-GB"/>
        </w:rPr>
        <w:t>]</w:t>
      </w:r>
      <w:r>
        <w:rPr>
          <w:bCs/>
          <w:sz w:val="28"/>
          <w:szCs w:val="28"/>
          <w:lang w:val="en-GB"/>
        </w:rPr>
        <w:tab/>
      </w:r>
      <w:r w:rsidR="0090270C">
        <w:rPr>
          <w:bCs/>
          <w:sz w:val="28"/>
          <w:szCs w:val="28"/>
          <w:lang w:val="en-GB"/>
        </w:rPr>
        <w:tab/>
        <w:t>On 19</w:t>
      </w:r>
      <w:r w:rsidR="0090270C" w:rsidRPr="0090270C">
        <w:rPr>
          <w:bCs/>
          <w:sz w:val="28"/>
          <w:szCs w:val="28"/>
          <w:vertAlign w:val="superscript"/>
          <w:lang w:val="en-GB"/>
        </w:rPr>
        <w:t>th</w:t>
      </w:r>
      <w:r w:rsidR="0090270C">
        <w:rPr>
          <w:bCs/>
          <w:sz w:val="28"/>
          <w:szCs w:val="28"/>
          <w:lang w:val="en-GB"/>
        </w:rPr>
        <w:t xml:space="preserve"> March 2019, PPAD made a ruling in terms of which it advised the T</w:t>
      </w:r>
      <w:r w:rsidR="006E3BA7">
        <w:rPr>
          <w:bCs/>
          <w:sz w:val="28"/>
          <w:szCs w:val="28"/>
          <w:lang w:val="en-GB"/>
        </w:rPr>
        <w:t>P</w:t>
      </w:r>
      <w:r w:rsidR="0090270C">
        <w:rPr>
          <w:bCs/>
          <w:sz w:val="28"/>
          <w:szCs w:val="28"/>
          <w:lang w:val="en-GB"/>
        </w:rPr>
        <w:t xml:space="preserve"> to uphold the recommendation of the ET and award the contractor that had been identified as the preferred bidder. </w:t>
      </w:r>
      <w:r w:rsidR="00B52C63">
        <w:rPr>
          <w:bCs/>
          <w:sz w:val="28"/>
          <w:szCs w:val="28"/>
          <w:lang w:val="en-GB"/>
        </w:rPr>
        <w:t xml:space="preserve"> </w:t>
      </w:r>
      <w:r w:rsidR="00FC18E6">
        <w:rPr>
          <w:bCs/>
          <w:sz w:val="28"/>
          <w:szCs w:val="28"/>
          <w:lang w:val="en-GB"/>
        </w:rPr>
        <w:t xml:space="preserve">Unbeknown to Phakoe and the </w:t>
      </w:r>
      <w:r w:rsidR="00FC18E6">
        <w:rPr>
          <w:bCs/>
          <w:sz w:val="28"/>
          <w:szCs w:val="28"/>
          <w:lang w:val="en-GB"/>
        </w:rPr>
        <w:lastRenderedPageBreak/>
        <w:t>PPAD, Ts</w:t>
      </w:r>
      <w:r w:rsidR="00292A59">
        <w:rPr>
          <w:bCs/>
          <w:sz w:val="28"/>
          <w:szCs w:val="28"/>
          <w:lang w:val="en-GB"/>
        </w:rPr>
        <w:t>’</w:t>
      </w:r>
      <w:r w:rsidR="00FC18E6">
        <w:rPr>
          <w:bCs/>
          <w:sz w:val="28"/>
          <w:szCs w:val="28"/>
          <w:lang w:val="en-GB"/>
        </w:rPr>
        <w:t>ilo and M</w:t>
      </w:r>
      <w:r w:rsidR="00E57D98">
        <w:rPr>
          <w:bCs/>
          <w:sz w:val="28"/>
          <w:szCs w:val="28"/>
          <w:lang w:val="en-GB"/>
        </w:rPr>
        <w:t>o</w:t>
      </w:r>
      <w:r w:rsidR="00FC18E6">
        <w:rPr>
          <w:bCs/>
          <w:sz w:val="28"/>
          <w:szCs w:val="28"/>
          <w:lang w:val="en-GB"/>
        </w:rPr>
        <w:t>PW had concluded the contract in respect of the tender on 5</w:t>
      </w:r>
      <w:r w:rsidR="00FC18E6" w:rsidRPr="00FC18E6">
        <w:rPr>
          <w:bCs/>
          <w:sz w:val="28"/>
          <w:szCs w:val="28"/>
          <w:vertAlign w:val="superscript"/>
          <w:lang w:val="en-GB"/>
        </w:rPr>
        <w:t>th</w:t>
      </w:r>
      <w:r w:rsidR="00FC18E6">
        <w:rPr>
          <w:bCs/>
          <w:sz w:val="28"/>
          <w:szCs w:val="28"/>
          <w:lang w:val="en-GB"/>
        </w:rPr>
        <w:t xml:space="preserve"> February 2019 – when the dispute was still pending before the PPAD. </w:t>
      </w:r>
      <w:r w:rsidR="005216D5">
        <w:rPr>
          <w:bCs/>
          <w:sz w:val="28"/>
          <w:szCs w:val="28"/>
          <w:lang w:val="en-GB"/>
        </w:rPr>
        <w:t>It is the decision to award the tender to Ts</w:t>
      </w:r>
      <w:r w:rsidR="00292A59">
        <w:rPr>
          <w:bCs/>
          <w:sz w:val="28"/>
          <w:szCs w:val="28"/>
          <w:lang w:val="en-GB"/>
        </w:rPr>
        <w:t>’</w:t>
      </w:r>
      <w:r w:rsidR="005216D5">
        <w:rPr>
          <w:bCs/>
          <w:sz w:val="28"/>
          <w:szCs w:val="28"/>
          <w:lang w:val="en-GB"/>
        </w:rPr>
        <w:t xml:space="preserve">ilo that has actuated the instant proceedings. </w:t>
      </w:r>
    </w:p>
    <w:p w14:paraId="45B32559" w14:textId="04ACB0D6" w:rsidR="005216D5" w:rsidRDefault="005216D5" w:rsidP="00FB34AD">
      <w:pPr>
        <w:spacing w:line="480" w:lineRule="auto"/>
        <w:jc w:val="both"/>
        <w:rPr>
          <w:bCs/>
          <w:sz w:val="28"/>
          <w:szCs w:val="28"/>
          <w:lang w:val="en-GB"/>
        </w:rPr>
      </w:pPr>
    </w:p>
    <w:p w14:paraId="7008ABA0" w14:textId="6D3E0150" w:rsidR="005216D5" w:rsidRDefault="00D014AF" w:rsidP="00FB34AD">
      <w:pPr>
        <w:spacing w:line="480" w:lineRule="auto"/>
        <w:jc w:val="both"/>
        <w:rPr>
          <w:b/>
          <w:sz w:val="28"/>
          <w:szCs w:val="28"/>
          <w:u w:val="single"/>
          <w:lang w:val="en-GB"/>
        </w:rPr>
      </w:pPr>
      <w:r w:rsidRPr="00D014AF">
        <w:rPr>
          <w:b/>
          <w:sz w:val="28"/>
          <w:szCs w:val="28"/>
          <w:u w:val="single"/>
          <w:lang w:val="en-GB"/>
        </w:rPr>
        <w:t>PHAKOE’S CASE</w:t>
      </w:r>
      <w:r>
        <w:rPr>
          <w:b/>
          <w:sz w:val="28"/>
          <w:szCs w:val="28"/>
          <w:u w:val="single"/>
          <w:lang w:val="en-GB"/>
        </w:rPr>
        <w:t>:</w:t>
      </w:r>
    </w:p>
    <w:p w14:paraId="7EC5395E" w14:textId="3A179B61" w:rsidR="00D014AF" w:rsidRDefault="00D014AF" w:rsidP="00FB34AD">
      <w:pPr>
        <w:spacing w:line="480" w:lineRule="auto"/>
        <w:jc w:val="both"/>
        <w:rPr>
          <w:b/>
          <w:sz w:val="28"/>
          <w:szCs w:val="28"/>
          <w:u w:val="single"/>
          <w:lang w:val="en-GB"/>
        </w:rPr>
      </w:pPr>
    </w:p>
    <w:p w14:paraId="6144D81A" w14:textId="5E61260E" w:rsidR="007A0784" w:rsidRDefault="00380ECB" w:rsidP="00FB34AD">
      <w:pPr>
        <w:spacing w:line="480" w:lineRule="auto"/>
        <w:jc w:val="both"/>
        <w:rPr>
          <w:bCs/>
          <w:sz w:val="28"/>
          <w:szCs w:val="28"/>
          <w:lang w:val="en-GB"/>
        </w:rPr>
      </w:pPr>
      <w:r w:rsidRPr="00380ECB">
        <w:rPr>
          <w:bCs/>
          <w:sz w:val="28"/>
          <w:szCs w:val="28"/>
          <w:lang w:val="en-GB"/>
        </w:rPr>
        <w:t>[</w:t>
      </w:r>
      <w:r w:rsidR="00A7379A">
        <w:rPr>
          <w:bCs/>
          <w:sz w:val="28"/>
          <w:szCs w:val="28"/>
          <w:lang w:val="en-GB"/>
        </w:rPr>
        <w:t>1</w:t>
      </w:r>
      <w:r w:rsidRPr="00380ECB">
        <w:rPr>
          <w:bCs/>
          <w:sz w:val="28"/>
          <w:szCs w:val="28"/>
          <w:lang w:val="en-GB"/>
        </w:rPr>
        <w:t>7]</w:t>
      </w:r>
      <w:r>
        <w:rPr>
          <w:bCs/>
          <w:sz w:val="28"/>
          <w:szCs w:val="28"/>
          <w:lang w:val="en-GB"/>
        </w:rPr>
        <w:tab/>
      </w:r>
      <w:r>
        <w:rPr>
          <w:bCs/>
          <w:sz w:val="28"/>
          <w:szCs w:val="28"/>
          <w:lang w:val="en-GB"/>
        </w:rPr>
        <w:tab/>
        <w:t xml:space="preserve">Counsel for Phakoe placed considerable reliance on the fact that Phakoe had met the entire evaluation criterion as its bid was closest to the estimate </w:t>
      </w:r>
      <w:r w:rsidR="005C6F79">
        <w:rPr>
          <w:bCs/>
          <w:sz w:val="28"/>
          <w:szCs w:val="28"/>
          <w:lang w:val="en-GB"/>
        </w:rPr>
        <w:t xml:space="preserve">thus </w:t>
      </w:r>
      <w:r>
        <w:rPr>
          <w:bCs/>
          <w:sz w:val="28"/>
          <w:szCs w:val="28"/>
          <w:lang w:val="en-GB"/>
        </w:rPr>
        <w:t xml:space="preserve">should have been awarded the tender. </w:t>
      </w:r>
      <w:r w:rsidR="005C6F79">
        <w:rPr>
          <w:bCs/>
          <w:sz w:val="28"/>
          <w:szCs w:val="28"/>
          <w:lang w:val="en-GB"/>
        </w:rPr>
        <w:t>He argued that the contract entered into between Ts</w:t>
      </w:r>
      <w:r w:rsidR="00292A59">
        <w:rPr>
          <w:bCs/>
          <w:sz w:val="28"/>
          <w:szCs w:val="28"/>
          <w:lang w:val="en-GB"/>
        </w:rPr>
        <w:t>’</w:t>
      </w:r>
      <w:r w:rsidR="005C6F79">
        <w:rPr>
          <w:bCs/>
          <w:sz w:val="28"/>
          <w:szCs w:val="28"/>
          <w:lang w:val="en-GB"/>
        </w:rPr>
        <w:t xml:space="preserve">ilo and the </w:t>
      </w:r>
      <w:r w:rsidR="002B093C">
        <w:rPr>
          <w:bCs/>
          <w:sz w:val="28"/>
          <w:szCs w:val="28"/>
          <w:lang w:val="en-GB"/>
        </w:rPr>
        <w:t xml:space="preserve">Unit </w:t>
      </w:r>
      <w:r w:rsidR="005C6F79">
        <w:rPr>
          <w:bCs/>
          <w:sz w:val="28"/>
          <w:szCs w:val="28"/>
          <w:lang w:val="en-GB"/>
        </w:rPr>
        <w:t xml:space="preserve">was unlawfully awarded contrary to regulation 54(5) </w:t>
      </w:r>
      <w:r w:rsidR="00C55716">
        <w:rPr>
          <w:bCs/>
          <w:sz w:val="28"/>
          <w:szCs w:val="28"/>
          <w:lang w:val="en-GB"/>
        </w:rPr>
        <w:t>as</w:t>
      </w:r>
      <w:r w:rsidR="005C6F79">
        <w:rPr>
          <w:bCs/>
          <w:sz w:val="28"/>
          <w:szCs w:val="28"/>
          <w:lang w:val="en-GB"/>
        </w:rPr>
        <w:t xml:space="preserve"> Phakoe’s complaint had not</w:t>
      </w:r>
      <w:r w:rsidR="0092141E">
        <w:rPr>
          <w:bCs/>
          <w:sz w:val="28"/>
          <w:szCs w:val="28"/>
          <w:lang w:val="en-GB"/>
        </w:rPr>
        <w:t xml:space="preserve"> yet</w:t>
      </w:r>
      <w:r w:rsidR="005C6F79">
        <w:rPr>
          <w:bCs/>
          <w:sz w:val="28"/>
          <w:szCs w:val="28"/>
          <w:lang w:val="en-GB"/>
        </w:rPr>
        <w:t xml:space="preserve"> been resolved</w:t>
      </w:r>
      <w:r w:rsidR="0092141E">
        <w:rPr>
          <w:bCs/>
          <w:sz w:val="28"/>
          <w:szCs w:val="28"/>
          <w:lang w:val="en-GB"/>
        </w:rPr>
        <w:t xml:space="preserve"> when the contract was concluded. </w:t>
      </w:r>
      <w:r w:rsidR="005C6F79">
        <w:rPr>
          <w:bCs/>
          <w:sz w:val="28"/>
          <w:szCs w:val="28"/>
          <w:lang w:val="en-GB"/>
        </w:rPr>
        <w:t xml:space="preserve">Resultantly, the contract was invalid </w:t>
      </w:r>
      <w:r w:rsidR="00C55716">
        <w:rPr>
          <w:bCs/>
          <w:sz w:val="28"/>
          <w:szCs w:val="28"/>
          <w:lang w:val="en-GB"/>
        </w:rPr>
        <w:t xml:space="preserve">regard being had to </w:t>
      </w:r>
      <w:r w:rsidR="00F00B1C">
        <w:rPr>
          <w:bCs/>
          <w:sz w:val="28"/>
          <w:szCs w:val="28"/>
          <w:lang w:val="en-GB"/>
        </w:rPr>
        <w:t xml:space="preserve">regulation </w:t>
      </w:r>
      <w:r w:rsidR="005C6F79">
        <w:rPr>
          <w:bCs/>
          <w:sz w:val="28"/>
          <w:szCs w:val="28"/>
          <w:lang w:val="en-GB"/>
        </w:rPr>
        <w:t>39(1)(c) as it was entered into in breach</w:t>
      </w:r>
      <w:r w:rsidR="007A0784">
        <w:rPr>
          <w:bCs/>
          <w:sz w:val="28"/>
          <w:szCs w:val="28"/>
          <w:lang w:val="en-GB"/>
        </w:rPr>
        <w:t xml:space="preserve"> of the procedures set out in the regulations. </w:t>
      </w:r>
    </w:p>
    <w:p w14:paraId="4BC6E6BF" w14:textId="77777777" w:rsidR="007A0784" w:rsidRDefault="007A0784" w:rsidP="00FB34AD">
      <w:pPr>
        <w:spacing w:line="480" w:lineRule="auto"/>
        <w:jc w:val="both"/>
        <w:rPr>
          <w:bCs/>
          <w:sz w:val="28"/>
          <w:szCs w:val="28"/>
          <w:lang w:val="en-GB"/>
        </w:rPr>
      </w:pPr>
    </w:p>
    <w:p w14:paraId="354247C7" w14:textId="19FEE122" w:rsidR="00537AC4" w:rsidRDefault="007A0784" w:rsidP="00FB34AD">
      <w:pPr>
        <w:spacing w:line="480" w:lineRule="auto"/>
        <w:jc w:val="both"/>
        <w:rPr>
          <w:bCs/>
          <w:sz w:val="28"/>
          <w:szCs w:val="28"/>
          <w:lang w:val="en-GB"/>
        </w:rPr>
      </w:pPr>
      <w:r>
        <w:rPr>
          <w:bCs/>
          <w:sz w:val="28"/>
          <w:szCs w:val="28"/>
          <w:lang w:val="en-GB"/>
        </w:rPr>
        <w:t>[</w:t>
      </w:r>
      <w:r w:rsidR="00A7379A">
        <w:rPr>
          <w:bCs/>
          <w:sz w:val="28"/>
          <w:szCs w:val="28"/>
          <w:lang w:val="en-GB"/>
        </w:rPr>
        <w:t>1</w:t>
      </w:r>
      <w:r>
        <w:rPr>
          <w:bCs/>
          <w:sz w:val="28"/>
          <w:szCs w:val="28"/>
          <w:lang w:val="en-GB"/>
        </w:rPr>
        <w:t>8]</w:t>
      </w:r>
      <w:r>
        <w:rPr>
          <w:bCs/>
          <w:sz w:val="28"/>
          <w:szCs w:val="28"/>
          <w:lang w:val="en-GB"/>
        </w:rPr>
        <w:tab/>
      </w:r>
      <w:r>
        <w:rPr>
          <w:bCs/>
          <w:sz w:val="28"/>
          <w:szCs w:val="28"/>
          <w:lang w:val="en-GB"/>
        </w:rPr>
        <w:tab/>
        <w:t xml:space="preserve">Concerning the argument by the respondents that </w:t>
      </w:r>
      <w:r w:rsidR="00581CDA">
        <w:rPr>
          <w:bCs/>
          <w:sz w:val="28"/>
          <w:szCs w:val="28"/>
          <w:lang w:val="en-GB"/>
        </w:rPr>
        <w:t xml:space="preserve">when the contract was concluded </w:t>
      </w:r>
      <w:r>
        <w:rPr>
          <w:bCs/>
          <w:sz w:val="28"/>
          <w:szCs w:val="28"/>
          <w:lang w:val="en-GB"/>
        </w:rPr>
        <w:t>there was no appeal pending before the PPAD</w:t>
      </w:r>
      <w:r w:rsidR="00581CDA">
        <w:rPr>
          <w:bCs/>
          <w:sz w:val="28"/>
          <w:szCs w:val="28"/>
          <w:lang w:val="en-GB"/>
        </w:rPr>
        <w:t xml:space="preserve">, </w:t>
      </w:r>
      <w:r>
        <w:rPr>
          <w:bCs/>
          <w:sz w:val="28"/>
          <w:szCs w:val="28"/>
          <w:lang w:val="en-GB"/>
        </w:rPr>
        <w:t>Counsel argued</w:t>
      </w:r>
      <w:r w:rsidR="00C55716">
        <w:rPr>
          <w:bCs/>
          <w:sz w:val="28"/>
          <w:szCs w:val="28"/>
          <w:lang w:val="en-GB"/>
        </w:rPr>
        <w:t xml:space="preserve"> that</w:t>
      </w:r>
      <w:r>
        <w:rPr>
          <w:bCs/>
          <w:sz w:val="28"/>
          <w:szCs w:val="28"/>
          <w:lang w:val="en-GB"/>
        </w:rPr>
        <w:t xml:space="preserve"> </w:t>
      </w:r>
      <w:r w:rsidR="00C55716">
        <w:rPr>
          <w:bCs/>
          <w:sz w:val="28"/>
          <w:szCs w:val="28"/>
          <w:lang w:val="en-GB"/>
        </w:rPr>
        <w:t>it is not the respondents’ contention that they were not aware of the appeal, rather they are challenging</w:t>
      </w:r>
      <w:r w:rsidR="0092141E">
        <w:rPr>
          <w:bCs/>
          <w:sz w:val="28"/>
          <w:szCs w:val="28"/>
          <w:lang w:val="en-GB"/>
        </w:rPr>
        <w:t xml:space="preserve"> the fashion the appeal was lodged, which they did not object to. </w:t>
      </w:r>
    </w:p>
    <w:p w14:paraId="0519A15A" w14:textId="77777777" w:rsidR="00537AC4" w:rsidRDefault="00537AC4" w:rsidP="00FB34AD">
      <w:pPr>
        <w:spacing w:line="480" w:lineRule="auto"/>
        <w:jc w:val="both"/>
        <w:rPr>
          <w:bCs/>
          <w:sz w:val="28"/>
          <w:szCs w:val="28"/>
          <w:lang w:val="en-GB"/>
        </w:rPr>
      </w:pPr>
    </w:p>
    <w:p w14:paraId="3ABD5FF0" w14:textId="49755D64" w:rsidR="00250FBE" w:rsidRDefault="00537AC4" w:rsidP="00FB34AD">
      <w:pPr>
        <w:spacing w:line="480" w:lineRule="auto"/>
        <w:jc w:val="both"/>
        <w:rPr>
          <w:bCs/>
          <w:sz w:val="28"/>
          <w:szCs w:val="28"/>
          <w:lang w:val="en-GB"/>
        </w:rPr>
      </w:pPr>
      <w:r>
        <w:rPr>
          <w:bCs/>
          <w:sz w:val="28"/>
          <w:szCs w:val="28"/>
          <w:lang w:val="en-GB"/>
        </w:rPr>
        <w:t>[</w:t>
      </w:r>
      <w:r w:rsidR="00A7379A">
        <w:rPr>
          <w:bCs/>
          <w:sz w:val="28"/>
          <w:szCs w:val="28"/>
          <w:lang w:val="en-GB"/>
        </w:rPr>
        <w:t>1</w:t>
      </w:r>
      <w:r>
        <w:rPr>
          <w:bCs/>
          <w:sz w:val="28"/>
          <w:szCs w:val="28"/>
          <w:lang w:val="en-GB"/>
        </w:rPr>
        <w:t>9]</w:t>
      </w:r>
      <w:r>
        <w:rPr>
          <w:bCs/>
          <w:sz w:val="28"/>
          <w:szCs w:val="28"/>
          <w:lang w:val="en-GB"/>
        </w:rPr>
        <w:tab/>
      </w:r>
      <w:r>
        <w:rPr>
          <w:bCs/>
          <w:sz w:val="28"/>
          <w:szCs w:val="28"/>
          <w:lang w:val="en-GB"/>
        </w:rPr>
        <w:tab/>
      </w:r>
      <w:r w:rsidR="0092141E">
        <w:rPr>
          <w:bCs/>
          <w:sz w:val="28"/>
          <w:szCs w:val="28"/>
          <w:lang w:val="en-GB"/>
        </w:rPr>
        <w:t>He asserted that</w:t>
      </w:r>
      <w:r w:rsidR="008E40E5">
        <w:rPr>
          <w:bCs/>
          <w:sz w:val="28"/>
          <w:szCs w:val="28"/>
          <w:lang w:val="en-GB"/>
        </w:rPr>
        <w:t xml:space="preserve"> Phakoe could not lodge a complaint with the U</w:t>
      </w:r>
      <w:r w:rsidR="002B093C">
        <w:rPr>
          <w:bCs/>
          <w:sz w:val="28"/>
          <w:szCs w:val="28"/>
          <w:lang w:val="en-GB"/>
        </w:rPr>
        <w:t>nit</w:t>
      </w:r>
      <w:r w:rsidR="008E40E5">
        <w:rPr>
          <w:bCs/>
          <w:sz w:val="28"/>
          <w:szCs w:val="28"/>
          <w:lang w:val="en-GB"/>
        </w:rPr>
        <w:t xml:space="preserve"> </w:t>
      </w:r>
      <w:r w:rsidR="008E40E5">
        <w:rPr>
          <w:bCs/>
          <w:sz w:val="28"/>
          <w:szCs w:val="28"/>
          <w:lang w:val="en-GB"/>
        </w:rPr>
        <w:lastRenderedPageBreak/>
        <w:t>in terms of regulation 54(1) because it had been advised</w:t>
      </w:r>
      <w:r w:rsidR="006E3BA7">
        <w:rPr>
          <w:bCs/>
          <w:sz w:val="28"/>
          <w:szCs w:val="28"/>
          <w:lang w:val="en-GB"/>
        </w:rPr>
        <w:t xml:space="preserve"> by</w:t>
      </w:r>
      <w:r w:rsidR="008E40E5">
        <w:rPr>
          <w:bCs/>
          <w:sz w:val="28"/>
          <w:szCs w:val="28"/>
          <w:lang w:val="en-GB"/>
        </w:rPr>
        <w:t xml:space="preserve"> </w:t>
      </w:r>
      <w:r w:rsidR="002B093C">
        <w:rPr>
          <w:bCs/>
          <w:sz w:val="28"/>
          <w:szCs w:val="28"/>
          <w:lang w:val="en-GB"/>
        </w:rPr>
        <w:t xml:space="preserve">the </w:t>
      </w:r>
      <w:r w:rsidR="008E40E5">
        <w:rPr>
          <w:bCs/>
          <w:sz w:val="28"/>
          <w:szCs w:val="28"/>
          <w:lang w:val="en-GB"/>
        </w:rPr>
        <w:t>representative of the U</w:t>
      </w:r>
      <w:r w:rsidR="002B093C">
        <w:rPr>
          <w:bCs/>
          <w:sz w:val="28"/>
          <w:szCs w:val="28"/>
          <w:lang w:val="en-GB"/>
        </w:rPr>
        <w:t>nit</w:t>
      </w:r>
      <w:r w:rsidR="008E40E5">
        <w:rPr>
          <w:bCs/>
          <w:sz w:val="28"/>
          <w:szCs w:val="28"/>
          <w:lang w:val="en-GB"/>
        </w:rPr>
        <w:t xml:space="preserve"> to lodge an appeal with the PPAD</w:t>
      </w:r>
      <w:r w:rsidR="002D3A62">
        <w:rPr>
          <w:bCs/>
          <w:sz w:val="28"/>
          <w:szCs w:val="28"/>
          <w:lang w:val="en-GB"/>
        </w:rPr>
        <w:t xml:space="preserve"> if it </w:t>
      </w:r>
      <w:r w:rsidR="00C55716">
        <w:rPr>
          <w:bCs/>
          <w:sz w:val="28"/>
          <w:szCs w:val="28"/>
          <w:lang w:val="en-GB"/>
        </w:rPr>
        <w:t xml:space="preserve">was </w:t>
      </w:r>
      <w:r w:rsidR="002B093C">
        <w:rPr>
          <w:bCs/>
          <w:sz w:val="28"/>
          <w:szCs w:val="28"/>
          <w:lang w:val="en-GB"/>
        </w:rPr>
        <w:t xml:space="preserve">not </w:t>
      </w:r>
      <w:r w:rsidR="00C55716">
        <w:rPr>
          <w:bCs/>
          <w:sz w:val="28"/>
          <w:szCs w:val="28"/>
          <w:lang w:val="en-GB"/>
        </w:rPr>
        <w:t>satisfied with the explanation provided during the de-briefing session why it was not awarded the tender</w:t>
      </w:r>
      <w:r w:rsidR="008E40E5">
        <w:rPr>
          <w:bCs/>
          <w:sz w:val="28"/>
          <w:szCs w:val="28"/>
          <w:lang w:val="en-GB"/>
        </w:rPr>
        <w:t>.</w:t>
      </w:r>
      <w:r w:rsidR="00C55716">
        <w:rPr>
          <w:bCs/>
          <w:sz w:val="28"/>
          <w:szCs w:val="28"/>
          <w:lang w:val="en-GB"/>
        </w:rPr>
        <w:t xml:space="preserve"> </w:t>
      </w:r>
    </w:p>
    <w:p w14:paraId="07FEB51A" w14:textId="77777777" w:rsidR="00250FBE" w:rsidRDefault="00250FBE" w:rsidP="00FB34AD">
      <w:pPr>
        <w:spacing w:line="480" w:lineRule="auto"/>
        <w:jc w:val="both"/>
        <w:rPr>
          <w:bCs/>
          <w:sz w:val="28"/>
          <w:szCs w:val="28"/>
          <w:lang w:val="en-GB"/>
        </w:rPr>
      </w:pPr>
    </w:p>
    <w:p w14:paraId="36B0B394" w14:textId="66D05573" w:rsidR="00380ECB" w:rsidRPr="00B27901" w:rsidRDefault="00250FBE" w:rsidP="00FB34AD">
      <w:pPr>
        <w:spacing w:line="480" w:lineRule="auto"/>
        <w:jc w:val="both"/>
        <w:rPr>
          <w:bCs/>
          <w:sz w:val="28"/>
          <w:szCs w:val="28"/>
          <w:lang w:val="en-GB"/>
        </w:rPr>
      </w:pPr>
      <w:r>
        <w:rPr>
          <w:bCs/>
          <w:sz w:val="28"/>
          <w:szCs w:val="28"/>
          <w:lang w:val="en-GB"/>
        </w:rPr>
        <w:t>[</w:t>
      </w:r>
      <w:r w:rsidR="00A7379A">
        <w:rPr>
          <w:bCs/>
          <w:sz w:val="28"/>
          <w:szCs w:val="28"/>
          <w:lang w:val="en-GB"/>
        </w:rPr>
        <w:t>2</w:t>
      </w:r>
      <w:r>
        <w:rPr>
          <w:bCs/>
          <w:sz w:val="28"/>
          <w:szCs w:val="28"/>
          <w:lang w:val="en-GB"/>
        </w:rPr>
        <w:t>0]</w:t>
      </w:r>
      <w:r>
        <w:rPr>
          <w:bCs/>
          <w:sz w:val="28"/>
          <w:szCs w:val="28"/>
          <w:lang w:val="en-GB"/>
        </w:rPr>
        <w:tab/>
      </w:r>
      <w:r>
        <w:rPr>
          <w:bCs/>
          <w:sz w:val="28"/>
          <w:szCs w:val="28"/>
          <w:lang w:val="en-GB"/>
        </w:rPr>
        <w:tab/>
        <w:t>Regarding the contention that this Court does not have jurisdiction to entertain this matter on the ground that it is being asked to glorify the recommendations of the PPAD which did not have jurisdiction to hear the appeal</w:t>
      </w:r>
      <w:r w:rsidR="00B27901">
        <w:rPr>
          <w:bCs/>
          <w:sz w:val="28"/>
          <w:szCs w:val="28"/>
          <w:lang w:val="en-GB"/>
        </w:rPr>
        <w:t xml:space="preserve"> lodged by the applicant</w:t>
      </w:r>
      <w:r>
        <w:rPr>
          <w:bCs/>
          <w:sz w:val="28"/>
          <w:szCs w:val="28"/>
          <w:lang w:val="en-GB"/>
        </w:rPr>
        <w:t xml:space="preserve">, Counsel thwarted the attack by relying on the decision of </w:t>
      </w:r>
      <w:r w:rsidRPr="00250FBE">
        <w:rPr>
          <w:b/>
          <w:sz w:val="28"/>
          <w:szCs w:val="28"/>
          <w:lang w:val="en-GB"/>
        </w:rPr>
        <w:t>Smally Trading (Pty) Ltd T/A Smally Uniform and Protective Clothing v. Lekhotla Matsaba and 10 Others</w:t>
      </w:r>
      <w:r w:rsidRPr="00250FBE">
        <w:rPr>
          <w:rStyle w:val="FootnoteReference"/>
          <w:b/>
          <w:sz w:val="28"/>
          <w:szCs w:val="28"/>
          <w:lang w:val="en-GB"/>
        </w:rPr>
        <w:footnoteReference w:id="23"/>
      </w:r>
      <w:r w:rsidR="00B27901">
        <w:rPr>
          <w:b/>
          <w:sz w:val="28"/>
          <w:szCs w:val="28"/>
          <w:lang w:val="en-GB"/>
        </w:rPr>
        <w:t xml:space="preserve">. </w:t>
      </w:r>
      <w:r w:rsidR="00B27901" w:rsidRPr="00B27901">
        <w:rPr>
          <w:bCs/>
          <w:sz w:val="28"/>
          <w:szCs w:val="28"/>
          <w:lang w:val="en-GB"/>
        </w:rPr>
        <w:t>He specifically</w:t>
      </w:r>
      <w:r w:rsidR="00B27901">
        <w:rPr>
          <w:bCs/>
          <w:sz w:val="28"/>
          <w:szCs w:val="28"/>
          <w:lang w:val="en-GB"/>
        </w:rPr>
        <w:t xml:space="preserve"> quoted the following passage by </w:t>
      </w:r>
      <w:r w:rsidRPr="00250FBE">
        <w:rPr>
          <w:bCs/>
          <w:i/>
          <w:iCs/>
          <w:sz w:val="28"/>
          <w:szCs w:val="28"/>
          <w:lang w:val="en-GB"/>
        </w:rPr>
        <w:t xml:space="preserve">Farlam </w:t>
      </w:r>
      <w:r>
        <w:rPr>
          <w:bCs/>
          <w:sz w:val="28"/>
          <w:szCs w:val="28"/>
          <w:lang w:val="en-GB"/>
        </w:rPr>
        <w:t>AP</w:t>
      </w:r>
      <w:r w:rsidR="00B27901">
        <w:rPr>
          <w:bCs/>
          <w:sz w:val="28"/>
          <w:szCs w:val="28"/>
          <w:lang w:val="en-GB"/>
        </w:rPr>
        <w:t xml:space="preserve"> wh</w:t>
      </w:r>
      <w:r w:rsidR="00DF1397">
        <w:rPr>
          <w:bCs/>
          <w:sz w:val="28"/>
          <w:szCs w:val="28"/>
          <w:lang w:val="en-GB"/>
        </w:rPr>
        <w:t xml:space="preserve">o </w:t>
      </w:r>
      <w:r w:rsidR="00B27901">
        <w:rPr>
          <w:bCs/>
          <w:sz w:val="28"/>
          <w:szCs w:val="28"/>
          <w:lang w:val="en-GB"/>
        </w:rPr>
        <w:t xml:space="preserve">took </w:t>
      </w:r>
      <w:r w:rsidR="00DF1397">
        <w:rPr>
          <w:bCs/>
          <w:sz w:val="28"/>
          <w:szCs w:val="28"/>
          <w:lang w:val="en-GB"/>
        </w:rPr>
        <w:t xml:space="preserve">cue from </w:t>
      </w:r>
      <w:r w:rsidR="00B27901">
        <w:rPr>
          <w:bCs/>
          <w:sz w:val="28"/>
          <w:szCs w:val="28"/>
          <w:lang w:val="en-GB"/>
        </w:rPr>
        <w:t>Ogilvie Thompson JA in</w:t>
      </w:r>
      <w:r>
        <w:rPr>
          <w:bCs/>
          <w:sz w:val="28"/>
          <w:szCs w:val="28"/>
          <w:lang w:val="en-GB"/>
        </w:rPr>
        <w:t xml:space="preserve"> </w:t>
      </w:r>
      <w:r w:rsidR="00B27901" w:rsidRPr="00B27901">
        <w:rPr>
          <w:rStyle w:val="Strong"/>
          <w:i/>
          <w:iCs/>
          <w:color w:val="333333"/>
          <w:sz w:val="23"/>
          <w:szCs w:val="23"/>
          <w:bdr w:val="none" w:sz="0" w:space="0" w:color="auto" w:frame="1"/>
          <w:shd w:val="clear" w:color="auto" w:fill="FFFFFF"/>
        </w:rPr>
        <w:t>Welkom Village Management Board v Leteno</w:t>
      </w:r>
      <w:r w:rsidR="00B27901" w:rsidRPr="00B27901">
        <w:rPr>
          <w:i/>
          <w:iCs/>
          <w:color w:val="333333"/>
          <w:sz w:val="23"/>
          <w:szCs w:val="23"/>
          <w:shd w:val="clear" w:color="auto" w:fill="FFFFFF"/>
        </w:rPr>
        <w:t> 1958 (1) SA 490 (AD</w:t>
      </w:r>
      <w:r w:rsidR="00B27901">
        <w:rPr>
          <w:i/>
          <w:iCs/>
          <w:color w:val="333333"/>
          <w:sz w:val="23"/>
          <w:szCs w:val="23"/>
          <w:shd w:val="clear" w:color="auto" w:fill="FFFFFF"/>
        </w:rPr>
        <w:t>)</w:t>
      </w:r>
      <w:r w:rsidR="00DF1397">
        <w:rPr>
          <w:i/>
          <w:iCs/>
          <w:color w:val="333333"/>
          <w:sz w:val="23"/>
          <w:szCs w:val="23"/>
          <w:shd w:val="clear" w:color="auto" w:fill="FFFFFF"/>
        </w:rPr>
        <w:t>:</w:t>
      </w:r>
    </w:p>
    <w:p w14:paraId="01F9BB12" w14:textId="648A4281" w:rsidR="00250FBE" w:rsidRDefault="00250FBE" w:rsidP="00FB34AD">
      <w:pPr>
        <w:spacing w:line="480" w:lineRule="auto"/>
        <w:jc w:val="both"/>
        <w:rPr>
          <w:bCs/>
          <w:sz w:val="28"/>
          <w:szCs w:val="28"/>
          <w:lang w:val="en-GB"/>
        </w:rPr>
      </w:pPr>
    </w:p>
    <w:p w14:paraId="0C2FF9E2" w14:textId="19406858" w:rsidR="00B27901" w:rsidRPr="00B27901" w:rsidRDefault="00B27901" w:rsidP="00B27901">
      <w:pPr>
        <w:pStyle w:val="NormalWeb"/>
        <w:shd w:val="clear" w:color="auto" w:fill="FFFFFF"/>
        <w:spacing w:before="0" w:beforeAutospacing="0" w:after="0" w:afterAutospacing="0"/>
        <w:ind w:left="1440"/>
        <w:jc w:val="both"/>
        <w:textAlignment w:val="baseline"/>
        <w:rPr>
          <w:color w:val="333333"/>
        </w:rPr>
      </w:pPr>
      <w:r w:rsidRPr="00B27901">
        <w:rPr>
          <w:color w:val="333333"/>
        </w:rPr>
        <w:t>“[14]        As </w:t>
      </w:r>
      <w:r w:rsidRPr="00B27901">
        <w:rPr>
          <w:rStyle w:val="Strong"/>
          <w:color w:val="333333"/>
          <w:bdr w:val="none" w:sz="0" w:space="0" w:color="auto" w:frame="1"/>
        </w:rPr>
        <w:t>Ogilvie Thompson JA</w:t>
      </w:r>
      <w:r w:rsidRPr="00B27901">
        <w:rPr>
          <w:color w:val="333333"/>
        </w:rPr>
        <w:t> said in the passage quoted above the fact that there is a domestic remedy is not in itself a sufficient reason for excluding or deferring the court’s jurisdiction: in every case all the circumstances must be considered”.</w:t>
      </w:r>
    </w:p>
    <w:p w14:paraId="61078917" w14:textId="1A4D9BE1" w:rsidR="00FC18E6" w:rsidRPr="00F01986" w:rsidRDefault="00B27901" w:rsidP="00F01986">
      <w:pPr>
        <w:pStyle w:val="NormalWeb"/>
        <w:shd w:val="clear" w:color="auto" w:fill="FFFFFF"/>
        <w:spacing w:before="0" w:beforeAutospacing="0" w:after="225" w:afterAutospacing="0"/>
        <w:jc w:val="both"/>
        <w:textAlignment w:val="baseline"/>
        <w:rPr>
          <w:color w:val="333333"/>
        </w:rPr>
      </w:pPr>
      <w:r w:rsidRPr="00B27901">
        <w:rPr>
          <w:color w:val="333333"/>
        </w:rPr>
        <w:t> </w:t>
      </w:r>
    </w:p>
    <w:p w14:paraId="006F24B1" w14:textId="1A3943C3" w:rsidR="00DF1397" w:rsidRDefault="00DF1397" w:rsidP="00FB34AD">
      <w:pPr>
        <w:spacing w:line="480" w:lineRule="auto"/>
        <w:jc w:val="both"/>
        <w:rPr>
          <w:bCs/>
          <w:sz w:val="28"/>
          <w:szCs w:val="28"/>
          <w:lang w:val="en-GB"/>
        </w:rPr>
      </w:pPr>
      <w:r w:rsidRPr="00DF1397">
        <w:rPr>
          <w:b/>
          <w:sz w:val="28"/>
          <w:szCs w:val="28"/>
          <w:u w:val="single"/>
          <w:lang w:val="en-GB"/>
        </w:rPr>
        <w:t>TSILO’S CASE</w:t>
      </w:r>
      <w:r>
        <w:rPr>
          <w:bCs/>
          <w:sz w:val="28"/>
          <w:szCs w:val="28"/>
          <w:lang w:val="en-GB"/>
        </w:rPr>
        <w:t>:</w:t>
      </w:r>
    </w:p>
    <w:p w14:paraId="21E94D22" w14:textId="0E40DB29" w:rsidR="00DF1397" w:rsidRDefault="00DF1397" w:rsidP="00FB34AD">
      <w:pPr>
        <w:spacing w:line="480" w:lineRule="auto"/>
        <w:jc w:val="both"/>
        <w:rPr>
          <w:bCs/>
          <w:sz w:val="28"/>
          <w:szCs w:val="28"/>
          <w:lang w:val="en-GB"/>
        </w:rPr>
      </w:pPr>
    </w:p>
    <w:p w14:paraId="2F6FF5FC" w14:textId="5BBCA3BD" w:rsidR="00FF2BC8" w:rsidRDefault="00DF1397" w:rsidP="00FB34AD">
      <w:pPr>
        <w:spacing w:line="480" w:lineRule="auto"/>
        <w:jc w:val="both"/>
        <w:rPr>
          <w:bCs/>
          <w:sz w:val="28"/>
          <w:szCs w:val="28"/>
          <w:lang w:val="en-GB"/>
        </w:rPr>
      </w:pPr>
      <w:r>
        <w:rPr>
          <w:bCs/>
          <w:sz w:val="28"/>
          <w:szCs w:val="28"/>
          <w:lang w:val="en-GB"/>
        </w:rPr>
        <w:t>[</w:t>
      </w:r>
      <w:r w:rsidR="00A7379A">
        <w:rPr>
          <w:bCs/>
          <w:sz w:val="28"/>
          <w:szCs w:val="28"/>
          <w:lang w:val="en-GB"/>
        </w:rPr>
        <w:t>2</w:t>
      </w:r>
      <w:r>
        <w:rPr>
          <w:bCs/>
          <w:sz w:val="28"/>
          <w:szCs w:val="28"/>
          <w:lang w:val="en-GB"/>
        </w:rPr>
        <w:t>1]</w:t>
      </w:r>
      <w:r>
        <w:rPr>
          <w:bCs/>
          <w:sz w:val="28"/>
          <w:szCs w:val="28"/>
          <w:lang w:val="en-GB"/>
        </w:rPr>
        <w:tab/>
      </w:r>
      <w:r>
        <w:rPr>
          <w:bCs/>
          <w:sz w:val="28"/>
          <w:szCs w:val="28"/>
          <w:lang w:val="en-GB"/>
        </w:rPr>
        <w:tab/>
      </w:r>
      <w:r w:rsidR="003051CB">
        <w:rPr>
          <w:bCs/>
          <w:sz w:val="28"/>
          <w:szCs w:val="28"/>
          <w:lang w:val="en-GB"/>
        </w:rPr>
        <w:t>Mr. Tsabeha commenced his brief argument by inviting this Court to</w:t>
      </w:r>
      <w:r w:rsidR="00FF2BC8">
        <w:rPr>
          <w:bCs/>
          <w:sz w:val="28"/>
          <w:szCs w:val="28"/>
          <w:lang w:val="en-GB"/>
        </w:rPr>
        <w:t xml:space="preserve"> look at the</w:t>
      </w:r>
      <w:r w:rsidR="003051CB">
        <w:rPr>
          <w:bCs/>
          <w:sz w:val="28"/>
          <w:szCs w:val="28"/>
          <w:lang w:val="en-GB"/>
        </w:rPr>
        <w:t xml:space="preserve"> PPAD’s </w:t>
      </w:r>
      <w:r w:rsidR="00FF2BC8">
        <w:rPr>
          <w:bCs/>
          <w:sz w:val="28"/>
          <w:szCs w:val="28"/>
          <w:lang w:val="en-GB"/>
        </w:rPr>
        <w:t xml:space="preserve">recommendation, annexure </w:t>
      </w:r>
      <w:r w:rsidR="00FF2BC8" w:rsidRPr="00FF2BC8">
        <w:rPr>
          <w:bCs/>
          <w:i/>
          <w:iCs/>
          <w:sz w:val="28"/>
          <w:szCs w:val="28"/>
          <w:lang w:val="en-GB"/>
        </w:rPr>
        <w:t>“PBC6”</w:t>
      </w:r>
      <w:r w:rsidR="007764CE">
        <w:rPr>
          <w:bCs/>
          <w:i/>
          <w:iCs/>
          <w:sz w:val="28"/>
          <w:szCs w:val="28"/>
          <w:lang w:val="en-GB"/>
        </w:rPr>
        <w:t xml:space="preserve"> </w:t>
      </w:r>
      <w:r w:rsidR="007764CE" w:rsidRPr="007764CE">
        <w:rPr>
          <w:bCs/>
          <w:sz w:val="28"/>
          <w:szCs w:val="28"/>
          <w:lang w:val="en-GB"/>
        </w:rPr>
        <w:t xml:space="preserve">to the founding </w:t>
      </w:r>
      <w:r w:rsidR="007764CE" w:rsidRPr="007764CE">
        <w:rPr>
          <w:bCs/>
          <w:sz w:val="28"/>
          <w:szCs w:val="28"/>
          <w:lang w:val="en-GB"/>
        </w:rPr>
        <w:lastRenderedPageBreak/>
        <w:t>affidavit</w:t>
      </w:r>
      <w:r w:rsidR="009A7EAB">
        <w:rPr>
          <w:bCs/>
          <w:i/>
          <w:iCs/>
          <w:sz w:val="28"/>
          <w:szCs w:val="28"/>
          <w:lang w:val="en-GB"/>
        </w:rPr>
        <w:t xml:space="preserve">, </w:t>
      </w:r>
      <w:r w:rsidR="003051CB">
        <w:rPr>
          <w:bCs/>
          <w:sz w:val="28"/>
          <w:szCs w:val="28"/>
          <w:lang w:val="en-GB"/>
        </w:rPr>
        <w:t xml:space="preserve">that the TP should uphold the recommendation of the ET and award the tender to Phakoe. </w:t>
      </w:r>
      <w:r w:rsidR="009A7EAB">
        <w:rPr>
          <w:bCs/>
          <w:sz w:val="28"/>
          <w:szCs w:val="28"/>
          <w:lang w:val="en-GB"/>
        </w:rPr>
        <w:t xml:space="preserve"> </w:t>
      </w:r>
      <w:r w:rsidR="003051CB">
        <w:rPr>
          <w:bCs/>
          <w:sz w:val="28"/>
          <w:szCs w:val="28"/>
          <w:lang w:val="en-GB"/>
        </w:rPr>
        <w:t>H</w:t>
      </w:r>
      <w:r w:rsidR="009A7EAB">
        <w:rPr>
          <w:bCs/>
          <w:sz w:val="28"/>
          <w:szCs w:val="28"/>
          <w:lang w:val="en-GB"/>
        </w:rPr>
        <w:t>e</w:t>
      </w:r>
      <w:r w:rsidR="003051CB">
        <w:rPr>
          <w:bCs/>
          <w:sz w:val="28"/>
          <w:szCs w:val="28"/>
          <w:lang w:val="en-GB"/>
        </w:rPr>
        <w:t xml:space="preserve"> stated </w:t>
      </w:r>
      <w:r w:rsidR="008E40E5">
        <w:rPr>
          <w:bCs/>
          <w:sz w:val="28"/>
          <w:szCs w:val="28"/>
          <w:lang w:val="en-GB"/>
        </w:rPr>
        <w:t xml:space="preserve">that </w:t>
      </w:r>
      <w:r w:rsidR="00FF2BC8" w:rsidRPr="00FF2BC8">
        <w:rPr>
          <w:bCs/>
          <w:i/>
          <w:iCs/>
          <w:sz w:val="28"/>
          <w:szCs w:val="28"/>
          <w:lang w:val="en-GB"/>
        </w:rPr>
        <w:t>ex facie</w:t>
      </w:r>
      <w:r w:rsidR="00FF2BC8">
        <w:rPr>
          <w:bCs/>
          <w:sz w:val="28"/>
          <w:szCs w:val="28"/>
          <w:lang w:val="en-GB"/>
        </w:rPr>
        <w:t xml:space="preserve"> the document, it </w:t>
      </w:r>
      <w:r w:rsidR="009A7EAB">
        <w:rPr>
          <w:bCs/>
          <w:sz w:val="28"/>
          <w:szCs w:val="28"/>
          <w:lang w:val="en-GB"/>
        </w:rPr>
        <w:t xml:space="preserve">is </w:t>
      </w:r>
      <w:r w:rsidR="00FF2BC8">
        <w:rPr>
          <w:bCs/>
          <w:sz w:val="28"/>
          <w:szCs w:val="28"/>
          <w:lang w:val="en-GB"/>
        </w:rPr>
        <w:t>patently clear that the PPAD was offering advice to the TP.  He placed reliance on the following passage:</w:t>
      </w:r>
    </w:p>
    <w:p w14:paraId="2D004267" w14:textId="77777777" w:rsidR="00FF2BC8" w:rsidRDefault="00FF2BC8" w:rsidP="00FB34AD">
      <w:pPr>
        <w:spacing w:line="480" w:lineRule="auto"/>
        <w:jc w:val="both"/>
        <w:rPr>
          <w:bCs/>
          <w:sz w:val="28"/>
          <w:szCs w:val="28"/>
          <w:lang w:val="en-GB"/>
        </w:rPr>
      </w:pPr>
    </w:p>
    <w:p w14:paraId="166EFBB7" w14:textId="77777777" w:rsidR="00FF2BC8" w:rsidRPr="00455007" w:rsidRDefault="00FF2BC8" w:rsidP="006636B3">
      <w:pPr>
        <w:jc w:val="both"/>
        <w:rPr>
          <w:bCs/>
          <w:lang w:val="en-GB"/>
        </w:rPr>
      </w:pPr>
      <w:r>
        <w:rPr>
          <w:bCs/>
          <w:sz w:val="28"/>
          <w:szCs w:val="28"/>
          <w:lang w:val="en-GB"/>
        </w:rPr>
        <w:tab/>
      </w:r>
      <w:r>
        <w:rPr>
          <w:bCs/>
          <w:sz w:val="28"/>
          <w:szCs w:val="28"/>
          <w:lang w:val="en-GB"/>
        </w:rPr>
        <w:tab/>
      </w:r>
      <w:r w:rsidRPr="00455007">
        <w:rPr>
          <w:bCs/>
          <w:lang w:val="en-GB"/>
        </w:rPr>
        <w:t>“PPAD Recommendations:</w:t>
      </w:r>
    </w:p>
    <w:p w14:paraId="400FF052" w14:textId="77777777" w:rsidR="00FF2BC8" w:rsidRDefault="00FF2BC8" w:rsidP="006636B3">
      <w:pPr>
        <w:jc w:val="both"/>
        <w:rPr>
          <w:bCs/>
          <w:sz w:val="28"/>
          <w:szCs w:val="28"/>
          <w:lang w:val="en-GB"/>
        </w:rPr>
      </w:pPr>
    </w:p>
    <w:p w14:paraId="69246425" w14:textId="30CFB056" w:rsidR="00DF1397" w:rsidRPr="00455007" w:rsidRDefault="00FF2BC8" w:rsidP="006636B3">
      <w:pPr>
        <w:ind w:left="1440"/>
        <w:jc w:val="both"/>
        <w:rPr>
          <w:bCs/>
          <w:lang w:val="en-GB"/>
        </w:rPr>
      </w:pPr>
      <w:r w:rsidRPr="00455007">
        <w:rPr>
          <w:bCs/>
          <w:lang w:val="en-GB"/>
        </w:rPr>
        <w:t>Pursuant to Regulations 55 (2) (a)</w:t>
      </w:r>
      <w:r w:rsidR="00527F3A" w:rsidRPr="00455007">
        <w:rPr>
          <w:bCs/>
          <w:lang w:val="en-GB"/>
        </w:rPr>
        <w:t>of the Public Procurement Regulations a decision is made the sub criterion</w:t>
      </w:r>
      <w:r w:rsidR="00846621" w:rsidRPr="00455007">
        <w:rPr>
          <w:bCs/>
          <w:lang w:val="en-GB"/>
        </w:rPr>
        <w:t xml:space="preserve"> that award should be based on the tendered price closet to the </w:t>
      </w:r>
      <w:r w:rsidR="00585D37" w:rsidRPr="00455007">
        <w:rPr>
          <w:bCs/>
          <w:lang w:val="en-GB"/>
        </w:rPr>
        <w:t>engineer</w:t>
      </w:r>
      <w:r w:rsidR="00576B0A" w:rsidRPr="00455007">
        <w:rPr>
          <w:bCs/>
          <w:lang w:val="en-GB"/>
        </w:rPr>
        <w:t>s</w:t>
      </w:r>
      <w:r w:rsidR="00846621" w:rsidRPr="00455007">
        <w:rPr>
          <w:bCs/>
          <w:lang w:val="en-GB"/>
        </w:rPr>
        <w:t xml:space="preserve"> estimate is valid and obey of the Public</w:t>
      </w:r>
      <w:r w:rsidR="006D6585" w:rsidRPr="00455007">
        <w:rPr>
          <w:bCs/>
          <w:lang w:val="en-GB"/>
        </w:rPr>
        <w:t xml:space="preserve"> Procurement Regulations The Tender Panel is advised to Uphold the </w:t>
      </w:r>
      <w:r w:rsidR="00DE1972" w:rsidRPr="00455007">
        <w:rPr>
          <w:bCs/>
          <w:lang w:val="en-GB"/>
        </w:rPr>
        <w:t>Recommendations of the Evaluation Team and award</w:t>
      </w:r>
      <w:r w:rsidR="00B9731E" w:rsidRPr="00455007">
        <w:rPr>
          <w:bCs/>
          <w:lang w:val="en-GB"/>
        </w:rPr>
        <w:t xml:space="preserve"> the Contractor that the Evaluation Team has identified as the pref</w:t>
      </w:r>
      <w:r w:rsidR="00715F8D" w:rsidRPr="00455007">
        <w:rPr>
          <w:bCs/>
          <w:lang w:val="en-GB"/>
        </w:rPr>
        <w:t>erred bidder.</w:t>
      </w:r>
    </w:p>
    <w:p w14:paraId="108658AB" w14:textId="0D0448E7" w:rsidR="00715F8D" w:rsidRPr="00455007" w:rsidRDefault="00715F8D" w:rsidP="006636B3">
      <w:pPr>
        <w:jc w:val="both"/>
        <w:rPr>
          <w:bCs/>
          <w:lang w:val="en-GB"/>
        </w:rPr>
      </w:pPr>
    </w:p>
    <w:p w14:paraId="786D82E8" w14:textId="42348185" w:rsidR="00715F8D" w:rsidRPr="00455007" w:rsidRDefault="00715F8D" w:rsidP="006636B3">
      <w:pPr>
        <w:ind w:left="720" w:firstLine="720"/>
        <w:jc w:val="both"/>
        <w:rPr>
          <w:bCs/>
          <w:lang w:val="en-GB"/>
        </w:rPr>
      </w:pPr>
      <w:r w:rsidRPr="00455007">
        <w:rPr>
          <w:bCs/>
          <w:lang w:val="en-GB"/>
        </w:rPr>
        <w:t>I hope you find the above in order.</w:t>
      </w:r>
      <w:r w:rsidR="001A16C6" w:rsidRPr="00455007">
        <w:rPr>
          <w:bCs/>
          <w:lang w:val="en-GB"/>
        </w:rPr>
        <w:t>”</w:t>
      </w:r>
    </w:p>
    <w:p w14:paraId="56BCD7C4" w14:textId="25AE4E6D" w:rsidR="00FF2BC8" w:rsidRDefault="00FF2BC8" w:rsidP="00FB34AD">
      <w:pPr>
        <w:spacing w:line="480" w:lineRule="auto"/>
        <w:jc w:val="both"/>
        <w:rPr>
          <w:bCs/>
          <w:sz w:val="28"/>
          <w:szCs w:val="28"/>
          <w:lang w:val="en-GB"/>
        </w:rPr>
      </w:pPr>
    </w:p>
    <w:p w14:paraId="1621F64B" w14:textId="4FFDD4E3" w:rsidR="008C363A" w:rsidRDefault="00FF2BC8" w:rsidP="00FB34AD">
      <w:pPr>
        <w:spacing w:line="480" w:lineRule="auto"/>
        <w:jc w:val="both"/>
        <w:rPr>
          <w:bCs/>
          <w:sz w:val="28"/>
          <w:szCs w:val="28"/>
          <w:lang w:val="en-GB"/>
        </w:rPr>
      </w:pPr>
      <w:r>
        <w:rPr>
          <w:bCs/>
          <w:sz w:val="28"/>
          <w:szCs w:val="28"/>
          <w:lang w:val="en-GB"/>
        </w:rPr>
        <w:t>[</w:t>
      </w:r>
      <w:r w:rsidR="00A7379A">
        <w:rPr>
          <w:bCs/>
          <w:sz w:val="28"/>
          <w:szCs w:val="28"/>
          <w:lang w:val="en-GB"/>
        </w:rPr>
        <w:t>2</w:t>
      </w:r>
      <w:r>
        <w:rPr>
          <w:bCs/>
          <w:sz w:val="28"/>
          <w:szCs w:val="28"/>
          <w:lang w:val="en-GB"/>
        </w:rPr>
        <w:t>2]</w:t>
      </w:r>
      <w:r>
        <w:rPr>
          <w:bCs/>
          <w:sz w:val="28"/>
          <w:szCs w:val="28"/>
          <w:lang w:val="en-GB"/>
        </w:rPr>
        <w:tab/>
      </w:r>
      <w:r>
        <w:rPr>
          <w:bCs/>
          <w:sz w:val="28"/>
          <w:szCs w:val="28"/>
          <w:lang w:val="en-GB"/>
        </w:rPr>
        <w:tab/>
        <w:t xml:space="preserve">Counsel argued that </w:t>
      </w:r>
      <w:r w:rsidR="008C363A">
        <w:rPr>
          <w:bCs/>
          <w:sz w:val="28"/>
          <w:szCs w:val="28"/>
          <w:lang w:val="en-GB"/>
        </w:rPr>
        <w:t xml:space="preserve">regard being had to regulation 55(2) the PPAD acted beyond its jurisdiction as it does not have advisory powers, but decision-making powers. </w:t>
      </w:r>
      <w:r w:rsidR="00273521">
        <w:rPr>
          <w:bCs/>
          <w:sz w:val="28"/>
          <w:szCs w:val="28"/>
          <w:lang w:val="en-GB"/>
        </w:rPr>
        <w:t xml:space="preserve">In addition, so goes the argument, </w:t>
      </w:r>
      <w:r w:rsidR="008C363A">
        <w:rPr>
          <w:bCs/>
          <w:sz w:val="28"/>
          <w:szCs w:val="28"/>
          <w:lang w:val="en-GB"/>
        </w:rPr>
        <w:t xml:space="preserve">the PPAD </w:t>
      </w:r>
      <w:r w:rsidR="00273521">
        <w:rPr>
          <w:bCs/>
          <w:sz w:val="28"/>
          <w:szCs w:val="28"/>
          <w:lang w:val="en-GB"/>
        </w:rPr>
        <w:t xml:space="preserve">acted </w:t>
      </w:r>
      <w:r w:rsidR="00273521" w:rsidRPr="00273521">
        <w:rPr>
          <w:bCs/>
          <w:i/>
          <w:iCs/>
          <w:sz w:val="28"/>
          <w:szCs w:val="28"/>
          <w:lang w:val="en-GB"/>
        </w:rPr>
        <w:t>ultra vires</w:t>
      </w:r>
      <w:r w:rsidR="00273521">
        <w:rPr>
          <w:bCs/>
          <w:sz w:val="28"/>
          <w:szCs w:val="28"/>
          <w:lang w:val="en-GB"/>
        </w:rPr>
        <w:t xml:space="preserve"> by </w:t>
      </w:r>
      <w:r w:rsidR="008C363A">
        <w:rPr>
          <w:bCs/>
          <w:sz w:val="28"/>
          <w:szCs w:val="28"/>
          <w:lang w:val="en-GB"/>
        </w:rPr>
        <w:t>entertain</w:t>
      </w:r>
      <w:r w:rsidR="00D72043">
        <w:rPr>
          <w:bCs/>
          <w:sz w:val="28"/>
          <w:szCs w:val="28"/>
          <w:lang w:val="en-GB"/>
        </w:rPr>
        <w:t>ing</w:t>
      </w:r>
      <w:r w:rsidR="008C363A">
        <w:rPr>
          <w:bCs/>
          <w:sz w:val="28"/>
          <w:szCs w:val="28"/>
          <w:lang w:val="en-GB"/>
        </w:rPr>
        <w:t xml:space="preserve"> the appeal when there were no jurisdictional facts entitling it to</w:t>
      </w:r>
      <w:r w:rsidR="00273521">
        <w:rPr>
          <w:bCs/>
          <w:sz w:val="28"/>
          <w:szCs w:val="28"/>
          <w:lang w:val="en-GB"/>
        </w:rPr>
        <w:t xml:space="preserve"> do</w:t>
      </w:r>
      <w:r w:rsidR="008E40E5">
        <w:rPr>
          <w:bCs/>
          <w:sz w:val="28"/>
          <w:szCs w:val="28"/>
          <w:lang w:val="en-GB"/>
        </w:rPr>
        <w:t xml:space="preserve"> so</w:t>
      </w:r>
      <w:r w:rsidR="009A7EAB">
        <w:rPr>
          <w:bCs/>
          <w:sz w:val="28"/>
          <w:szCs w:val="28"/>
          <w:lang w:val="en-GB"/>
        </w:rPr>
        <w:t>. N</w:t>
      </w:r>
      <w:r w:rsidR="008C363A">
        <w:rPr>
          <w:bCs/>
          <w:sz w:val="28"/>
          <w:szCs w:val="28"/>
          <w:lang w:val="en-GB"/>
        </w:rPr>
        <w:t>o complaint had been lodged with the U</w:t>
      </w:r>
      <w:r w:rsidR="00F01986">
        <w:rPr>
          <w:bCs/>
          <w:sz w:val="28"/>
          <w:szCs w:val="28"/>
          <w:lang w:val="en-GB"/>
        </w:rPr>
        <w:t>nit</w:t>
      </w:r>
      <w:r w:rsidR="008C363A">
        <w:rPr>
          <w:bCs/>
          <w:sz w:val="28"/>
          <w:szCs w:val="28"/>
          <w:lang w:val="en-GB"/>
        </w:rPr>
        <w:t xml:space="preserve"> from whose decision or non-decision an appeal could arise</w:t>
      </w:r>
      <w:r w:rsidR="009A7EAB">
        <w:rPr>
          <w:bCs/>
          <w:sz w:val="28"/>
          <w:szCs w:val="28"/>
          <w:lang w:val="en-GB"/>
        </w:rPr>
        <w:t>,</w:t>
      </w:r>
      <w:r w:rsidR="008E40E5">
        <w:rPr>
          <w:bCs/>
          <w:sz w:val="28"/>
          <w:szCs w:val="28"/>
          <w:lang w:val="en-GB"/>
        </w:rPr>
        <w:t xml:space="preserve"> the argument proceeded. </w:t>
      </w:r>
      <w:r w:rsidR="008C363A">
        <w:rPr>
          <w:bCs/>
          <w:sz w:val="28"/>
          <w:szCs w:val="28"/>
          <w:lang w:val="en-GB"/>
        </w:rPr>
        <w:t xml:space="preserve"> </w:t>
      </w:r>
    </w:p>
    <w:p w14:paraId="01EA7108" w14:textId="446FC3F6" w:rsidR="008C363A" w:rsidRDefault="008C363A" w:rsidP="00FB34AD">
      <w:pPr>
        <w:spacing w:line="480" w:lineRule="auto"/>
        <w:jc w:val="both"/>
        <w:rPr>
          <w:bCs/>
          <w:sz w:val="28"/>
          <w:szCs w:val="28"/>
          <w:lang w:val="en-GB"/>
        </w:rPr>
      </w:pPr>
    </w:p>
    <w:p w14:paraId="2B03655E" w14:textId="4CED7808" w:rsidR="00FF2BC8" w:rsidRDefault="008C363A" w:rsidP="00FB34AD">
      <w:pPr>
        <w:spacing w:line="480" w:lineRule="auto"/>
        <w:jc w:val="both"/>
        <w:rPr>
          <w:bCs/>
          <w:sz w:val="28"/>
          <w:szCs w:val="28"/>
          <w:lang w:val="en-GB"/>
        </w:rPr>
      </w:pPr>
      <w:r>
        <w:rPr>
          <w:bCs/>
          <w:sz w:val="28"/>
          <w:szCs w:val="28"/>
          <w:lang w:val="en-GB"/>
        </w:rPr>
        <w:t>[</w:t>
      </w:r>
      <w:r w:rsidR="00A7379A">
        <w:rPr>
          <w:bCs/>
          <w:sz w:val="28"/>
          <w:szCs w:val="28"/>
          <w:lang w:val="en-GB"/>
        </w:rPr>
        <w:t>2</w:t>
      </w:r>
      <w:r>
        <w:rPr>
          <w:bCs/>
          <w:sz w:val="28"/>
          <w:szCs w:val="28"/>
          <w:lang w:val="en-GB"/>
        </w:rPr>
        <w:t>3]</w:t>
      </w:r>
      <w:r>
        <w:rPr>
          <w:bCs/>
          <w:sz w:val="28"/>
          <w:szCs w:val="28"/>
          <w:lang w:val="en-GB"/>
        </w:rPr>
        <w:tab/>
      </w:r>
      <w:r>
        <w:rPr>
          <w:bCs/>
          <w:sz w:val="28"/>
          <w:szCs w:val="28"/>
          <w:lang w:val="en-GB"/>
        </w:rPr>
        <w:tab/>
        <w:t>Mr. Ts</w:t>
      </w:r>
      <w:r w:rsidR="00D72043">
        <w:rPr>
          <w:bCs/>
          <w:sz w:val="28"/>
          <w:szCs w:val="28"/>
          <w:lang w:val="en-GB"/>
        </w:rPr>
        <w:t>a</w:t>
      </w:r>
      <w:r>
        <w:rPr>
          <w:bCs/>
          <w:sz w:val="28"/>
          <w:szCs w:val="28"/>
          <w:lang w:val="en-GB"/>
        </w:rPr>
        <w:t xml:space="preserve">beha concluded his argument by stating that Phakoe ‘s </w:t>
      </w:r>
      <w:r w:rsidR="00151907">
        <w:rPr>
          <w:bCs/>
          <w:sz w:val="28"/>
          <w:szCs w:val="28"/>
          <w:lang w:val="en-GB"/>
        </w:rPr>
        <w:t xml:space="preserve">contention </w:t>
      </w:r>
      <w:r>
        <w:rPr>
          <w:bCs/>
          <w:sz w:val="28"/>
          <w:szCs w:val="28"/>
          <w:lang w:val="en-GB"/>
        </w:rPr>
        <w:t xml:space="preserve">that the contract was concluded when there was appeal </w:t>
      </w:r>
      <w:r w:rsidR="00B37333">
        <w:rPr>
          <w:bCs/>
          <w:sz w:val="28"/>
          <w:szCs w:val="28"/>
          <w:lang w:val="en-GB"/>
        </w:rPr>
        <w:t xml:space="preserve">pending </w:t>
      </w:r>
      <w:r>
        <w:rPr>
          <w:bCs/>
          <w:sz w:val="28"/>
          <w:szCs w:val="28"/>
          <w:lang w:val="en-GB"/>
        </w:rPr>
        <w:t xml:space="preserve">before the PPAD was misconceived </w:t>
      </w:r>
      <w:r w:rsidR="00151907">
        <w:rPr>
          <w:bCs/>
          <w:sz w:val="28"/>
          <w:szCs w:val="28"/>
          <w:lang w:val="en-GB"/>
        </w:rPr>
        <w:t xml:space="preserve">because an appeal lies before the Appeals Panel and not the PPAD. </w:t>
      </w:r>
      <w:r w:rsidR="009A7EAB">
        <w:rPr>
          <w:bCs/>
          <w:sz w:val="28"/>
          <w:szCs w:val="28"/>
          <w:lang w:val="en-GB"/>
        </w:rPr>
        <w:t xml:space="preserve">Consequently, </w:t>
      </w:r>
      <w:r w:rsidR="00B8273F">
        <w:rPr>
          <w:bCs/>
          <w:sz w:val="28"/>
          <w:szCs w:val="28"/>
          <w:lang w:val="en-GB"/>
        </w:rPr>
        <w:t xml:space="preserve">there was no appeal as envisaged by the regulations </w:t>
      </w:r>
      <w:r w:rsidR="00B8273F">
        <w:rPr>
          <w:bCs/>
          <w:sz w:val="28"/>
          <w:szCs w:val="28"/>
          <w:lang w:val="en-GB"/>
        </w:rPr>
        <w:lastRenderedPageBreak/>
        <w:t>at the time the contract was concluded.</w:t>
      </w:r>
    </w:p>
    <w:p w14:paraId="2420BBA9" w14:textId="16CC03A9" w:rsidR="00B37333" w:rsidRDefault="00B37333" w:rsidP="00FB34AD">
      <w:pPr>
        <w:spacing w:line="480" w:lineRule="auto"/>
        <w:jc w:val="both"/>
        <w:rPr>
          <w:bCs/>
          <w:sz w:val="28"/>
          <w:szCs w:val="28"/>
          <w:lang w:val="en-GB"/>
        </w:rPr>
      </w:pPr>
    </w:p>
    <w:p w14:paraId="2BB525E4" w14:textId="0CA3F684" w:rsidR="00B37333" w:rsidRDefault="00B37333" w:rsidP="00FB34AD">
      <w:pPr>
        <w:spacing w:line="480" w:lineRule="auto"/>
        <w:jc w:val="both"/>
        <w:rPr>
          <w:b/>
          <w:sz w:val="28"/>
          <w:szCs w:val="28"/>
          <w:u w:val="single"/>
          <w:lang w:val="en-GB"/>
        </w:rPr>
      </w:pPr>
      <w:r w:rsidRPr="00B37333">
        <w:rPr>
          <w:b/>
          <w:sz w:val="28"/>
          <w:szCs w:val="28"/>
          <w:u w:val="single"/>
          <w:lang w:val="en-GB"/>
        </w:rPr>
        <w:t>P</w:t>
      </w:r>
      <w:r w:rsidR="00FB0133">
        <w:rPr>
          <w:b/>
          <w:sz w:val="28"/>
          <w:szCs w:val="28"/>
          <w:u w:val="single"/>
          <w:lang w:val="en-GB"/>
        </w:rPr>
        <w:t xml:space="preserve">rocurement </w:t>
      </w:r>
      <w:r w:rsidRPr="00B37333">
        <w:rPr>
          <w:b/>
          <w:sz w:val="28"/>
          <w:szCs w:val="28"/>
          <w:u w:val="single"/>
          <w:lang w:val="en-GB"/>
        </w:rPr>
        <w:t>U</w:t>
      </w:r>
      <w:r w:rsidR="00FB0133">
        <w:rPr>
          <w:b/>
          <w:sz w:val="28"/>
          <w:szCs w:val="28"/>
          <w:u w:val="single"/>
          <w:lang w:val="en-GB"/>
        </w:rPr>
        <w:t>nit</w:t>
      </w:r>
      <w:r w:rsidRPr="00B37333">
        <w:rPr>
          <w:b/>
          <w:sz w:val="28"/>
          <w:szCs w:val="28"/>
          <w:u w:val="single"/>
          <w:lang w:val="en-GB"/>
        </w:rPr>
        <w:t>, MPW &amp; AG’S CASE:</w:t>
      </w:r>
    </w:p>
    <w:p w14:paraId="090B3766" w14:textId="0E590ADE" w:rsidR="00B37333" w:rsidRDefault="00B37333" w:rsidP="00FB34AD">
      <w:pPr>
        <w:spacing w:line="480" w:lineRule="auto"/>
        <w:jc w:val="both"/>
        <w:rPr>
          <w:b/>
          <w:sz w:val="28"/>
          <w:szCs w:val="28"/>
          <w:u w:val="single"/>
          <w:lang w:val="en-GB"/>
        </w:rPr>
      </w:pPr>
    </w:p>
    <w:p w14:paraId="09028CB7" w14:textId="446FDA73" w:rsidR="00B37333" w:rsidRDefault="00B37333" w:rsidP="00FB34AD">
      <w:pPr>
        <w:spacing w:line="480" w:lineRule="auto"/>
        <w:jc w:val="both"/>
        <w:rPr>
          <w:bCs/>
          <w:sz w:val="28"/>
          <w:szCs w:val="28"/>
          <w:lang w:val="en-GB"/>
        </w:rPr>
      </w:pPr>
      <w:r>
        <w:rPr>
          <w:bCs/>
          <w:sz w:val="28"/>
          <w:szCs w:val="28"/>
          <w:lang w:val="en-GB"/>
        </w:rPr>
        <w:t>[</w:t>
      </w:r>
      <w:r w:rsidR="00A7379A">
        <w:rPr>
          <w:bCs/>
          <w:sz w:val="28"/>
          <w:szCs w:val="28"/>
          <w:lang w:val="en-GB"/>
        </w:rPr>
        <w:t>2</w:t>
      </w:r>
      <w:r>
        <w:rPr>
          <w:bCs/>
          <w:sz w:val="28"/>
          <w:szCs w:val="28"/>
          <w:lang w:val="en-GB"/>
        </w:rPr>
        <w:t>4]</w:t>
      </w:r>
      <w:r>
        <w:rPr>
          <w:bCs/>
          <w:sz w:val="28"/>
          <w:szCs w:val="28"/>
          <w:lang w:val="en-GB"/>
        </w:rPr>
        <w:tab/>
      </w:r>
      <w:r>
        <w:rPr>
          <w:bCs/>
          <w:sz w:val="28"/>
          <w:szCs w:val="28"/>
          <w:lang w:val="en-GB"/>
        </w:rPr>
        <w:tab/>
        <w:t xml:space="preserve">Mr. Molise </w:t>
      </w:r>
      <w:r w:rsidR="003C7D59">
        <w:rPr>
          <w:bCs/>
          <w:sz w:val="28"/>
          <w:szCs w:val="28"/>
          <w:lang w:val="en-GB"/>
        </w:rPr>
        <w:t>aligned himself with Mr. Tsabeha’s argument that there was no appeal before the PPAD at the time the contract was concluded. He argue</w:t>
      </w:r>
      <w:r w:rsidR="008E40E5">
        <w:rPr>
          <w:bCs/>
          <w:sz w:val="28"/>
          <w:szCs w:val="28"/>
          <w:lang w:val="en-GB"/>
        </w:rPr>
        <w:t>d</w:t>
      </w:r>
      <w:r w:rsidR="003C7D59">
        <w:rPr>
          <w:bCs/>
          <w:sz w:val="28"/>
          <w:szCs w:val="28"/>
          <w:lang w:val="en-GB"/>
        </w:rPr>
        <w:t xml:space="preserve"> further that i</w:t>
      </w:r>
      <w:r>
        <w:rPr>
          <w:bCs/>
          <w:sz w:val="28"/>
          <w:szCs w:val="28"/>
          <w:lang w:val="en-GB"/>
        </w:rPr>
        <w:t xml:space="preserve">n terms of regulation 29(4), </w:t>
      </w:r>
      <w:r w:rsidRPr="00B37333">
        <w:rPr>
          <w:bCs/>
          <w:i/>
          <w:iCs/>
          <w:sz w:val="28"/>
          <w:szCs w:val="28"/>
          <w:lang w:val="en-GB"/>
        </w:rPr>
        <w:t>“the key criterion in evaluating apparently compliant tenders shall be the</w:t>
      </w:r>
      <w:r>
        <w:rPr>
          <w:bCs/>
          <w:sz w:val="28"/>
          <w:szCs w:val="28"/>
          <w:lang w:val="en-GB"/>
        </w:rPr>
        <w:t xml:space="preserve"> </w:t>
      </w:r>
      <w:r w:rsidRPr="00B37333">
        <w:rPr>
          <w:bCs/>
          <w:i/>
          <w:iCs/>
          <w:sz w:val="28"/>
          <w:szCs w:val="28"/>
          <w:lang w:val="en-GB"/>
        </w:rPr>
        <w:t>tendered price</w:t>
      </w:r>
      <w:r>
        <w:rPr>
          <w:bCs/>
          <w:sz w:val="28"/>
          <w:szCs w:val="28"/>
          <w:lang w:val="en-GB"/>
        </w:rPr>
        <w:t xml:space="preserve">”. </w:t>
      </w:r>
      <w:r w:rsidR="00CE48F7">
        <w:rPr>
          <w:bCs/>
          <w:sz w:val="28"/>
          <w:szCs w:val="28"/>
          <w:lang w:val="en-GB"/>
        </w:rPr>
        <w:t xml:space="preserve"> He asserted that Phakoe’s bid amount was irregular </w:t>
      </w:r>
      <w:r w:rsidR="003C7D59">
        <w:rPr>
          <w:bCs/>
          <w:sz w:val="28"/>
          <w:szCs w:val="28"/>
          <w:lang w:val="en-GB"/>
        </w:rPr>
        <w:t>because w</w:t>
      </w:r>
      <w:r w:rsidR="00CE48F7">
        <w:rPr>
          <w:bCs/>
          <w:sz w:val="28"/>
          <w:szCs w:val="28"/>
          <w:lang w:val="en-GB"/>
        </w:rPr>
        <w:t xml:space="preserve">hen the figures for different items in the bid were added </w:t>
      </w:r>
      <w:r w:rsidR="003C7D59">
        <w:rPr>
          <w:bCs/>
          <w:sz w:val="28"/>
          <w:szCs w:val="28"/>
          <w:lang w:val="en-GB"/>
        </w:rPr>
        <w:t>together,</w:t>
      </w:r>
      <w:r w:rsidR="00CE48F7">
        <w:rPr>
          <w:bCs/>
          <w:sz w:val="28"/>
          <w:szCs w:val="28"/>
          <w:lang w:val="en-GB"/>
        </w:rPr>
        <w:t xml:space="preserve"> they resulted into a different bid amount</w:t>
      </w:r>
      <w:r w:rsidR="00C41B68">
        <w:rPr>
          <w:bCs/>
          <w:sz w:val="28"/>
          <w:szCs w:val="28"/>
          <w:lang w:val="en-GB"/>
        </w:rPr>
        <w:t>,</w:t>
      </w:r>
      <w:r w:rsidR="003C7D59">
        <w:rPr>
          <w:bCs/>
          <w:sz w:val="28"/>
          <w:szCs w:val="28"/>
          <w:lang w:val="en-GB"/>
        </w:rPr>
        <w:t xml:space="preserve"> not </w:t>
      </w:r>
      <w:r w:rsidR="00CE48F7">
        <w:rPr>
          <w:bCs/>
          <w:sz w:val="28"/>
          <w:szCs w:val="28"/>
          <w:lang w:val="en-GB"/>
        </w:rPr>
        <w:t xml:space="preserve">M35,502,373.35 that is reflected </w:t>
      </w:r>
      <w:r w:rsidR="003C7D59">
        <w:rPr>
          <w:bCs/>
          <w:sz w:val="28"/>
          <w:szCs w:val="28"/>
          <w:lang w:val="en-GB"/>
        </w:rPr>
        <w:t xml:space="preserve">as the bid amount. </w:t>
      </w:r>
      <w:r w:rsidR="009F599F">
        <w:rPr>
          <w:bCs/>
          <w:sz w:val="28"/>
          <w:szCs w:val="28"/>
          <w:lang w:val="en-GB"/>
        </w:rPr>
        <w:t xml:space="preserve">As a result, </w:t>
      </w:r>
      <w:r w:rsidR="00CE48F7">
        <w:rPr>
          <w:bCs/>
          <w:sz w:val="28"/>
          <w:szCs w:val="28"/>
          <w:lang w:val="en-GB"/>
        </w:rPr>
        <w:t>Ts</w:t>
      </w:r>
      <w:r w:rsidR="00292A59">
        <w:rPr>
          <w:bCs/>
          <w:sz w:val="28"/>
          <w:szCs w:val="28"/>
          <w:lang w:val="en-GB"/>
        </w:rPr>
        <w:t>’</w:t>
      </w:r>
      <w:r w:rsidR="00CE48F7">
        <w:rPr>
          <w:bCs/>
          <w:sz w:val="28"/>
          <w:szCs w:val="28"/>
          <w:lang w:val="en-GB"/>
        </w:rPr>
        <w:t>ilo was found to be the most favourable tenderer with a tender</w:t>
      </w:r>
      <w:r w:rsidR="009F599F">
        <w:rPr>
          <w:bCs/>
          <w:sz w:val="28"/>
          <w:szCs w:val="28"/>
          <w:lang w:val="en-GB"/>
        </w:rPr>
        <w:t>ed</w:t>
      </w:r>
      <w:r w:rsidR="00CE48F7">
        <w:rPr>
          <w:bCs/>
          <w:sz w:val="28"/>
          <w:szCs w:val="28"/>
          <w:lang w:val="en-GB"/>
        </w:rPr>
        <w:t xml:space="preserve"> price closest to the estimates following the disqualification of Phakoe. </w:t>
      </w:r>
    </w:p>
    <w:p w14:paraId="10C96F07" w14:textId="1AB52CDD" w:rsidR="00CE48F7" w:rsidRDefault="00CE48F7" w:rsidP="00FB34AD">
      <w:pPr>
        <w:spacing w:line="480" w:lineRule="auto"/>
        <w:jc w:val="both"/>
        <w:rPr>
          <w:bCs/>
          <w:sz w:val="28"/>
          <w:szCs w:val="28"/>
          <w:lang w:val="en-GB"/>
        </w:rPr>
      </w:pPr>
    </w:p>
    <w:p w14:paraId="7DE91DAC" w14:textId="700FB29F" w:rsidR="00D13978" w:rsidRDefault="00CE48F7" w:rsidP="00FB34AD">
      <w:pPr>
        <w:spacing w:line="480" w:lineRule="auto"/>
        <w:jc w:val="both"/>
        <w:rPr>
          <w:bCs/>
          <w:sz w:val="28"/>
          <w:szCs w:val="28"/>
          <w:lang w:val="en-GB"/>
        </w:rPr>
      </w:pPr>
      <w:r>
        <w:rPr>
          <w:bCs/>
          <w:sz w:val="28"/>
          <w:szCs w:val="28"/>
          <w:lang w:val="en-GB"/>
        </w:rPr>
        <w:t>[</w:t>
      </w:r>
      <w:r w:rsidR="00A7379A">
        <w:rPr>
          <w:bCs/>
          <w:sz w:val="28"/>
          <w:szCs w:val="28"/>
          <w:lang w:val="en-GB"/>
        </w:rPr>
        <w:t>2</w:t>
      </w:r>
      <w:r>
        <w:rPr>
          <w:bCs/>
          <w:sz w:val="28"/>
          <w:szCs w:val="28"/>
          <w:lang w:val="en-GB"/>
        </w:rPr>
        <w:t>5]</w:t>
      </w:r>
      <w:r>
        <w:rPr>
          <w:bCs/>
          <w:sz w:val="28"/>
          <w:szCs w:val="28"/>
          <w:lang w:val="en-GB"/>
        </w:rPr>
        <w:tab/>
      </w:r>
      <w:r>
        <w:rPr>
          <w:bCs/>
          <w:sz w:val="28"/>
          <w:szCs w:val="28"/>
          <w:lang w:val="en-GB"/>
        </w:rPr>
        <w:tab/>
        <w:t>He argued further that</w:t>
      </w:r>
      <w:r w:rsidR="003C7D59">
        <w:rPr>
          <w:bCs/>
          <w:sz w:val="28"/>
          <w:szCs w:val="28"/>
          <w:lang w:val="en-GB"/>
        </w:rPr>
        <w:t xml:space="preserve"> based on regulation 50(3), </w:t>
      </w:r>
      <w:r>
        <w:rPr>
          <w:bCs/>
          <w:sz w:val="28"/>
          <w:szCs w:val="28"/>
          <w:lang w:val="en-GB"/>
        </w:rPr>
        <w:t xml:space="preserve">the TP </w:t>
      </w:r>
      <w:r w:rsidR="003C7D59">
        <w:rPr>
          <w:bCs/>
          <w:sz w:val="28"/>
          <w:szCs w:val="28"/>
          <w:lang w:val="en-GB"/>
        </w:rPr>
        <w:t xml:space="preserve">is not bound by the recommendations of the ET, but that following interrogation of the </w:t>
      </w:r>
      <w:r w:rsidR="00FB0133">
        <w:rPr>
          <w:bCs/>
          <w:sz w:val="28"/>
          <w:szCs w:val="28"/>
          <w:lang w:val="en-GB"/>
        </w:rPr>
        <w:t xml:space="preserve">report and </w:t>
      </w:r>
      <w:r w:rsidR="003C7D59">
        <w:rPr>
          <w:bCs/>
          <w:sz w:val="28"/>
          <w:szCs w:val="28"/>
          <w:lang w:val="en-GB"/>
        </w:rPr>
        <w:t>recommendations</w:t>
      </w:r>
      <w:r w:rsidR="00FB0133">
        <w:rPr>
          <w:bCs/>
          <w:sz w:val="28"/>
          <w:szCs w:val="28"/>
          <w:lang w:val="en-GB"/>
        </w:rPr>
        <w:t xml:space="preserve"> of the ET,</w:t>
      </w:r>
      <w:r w:rsidR="003C7D59">
        <w:rPr>
          <w:bCs/>
          <w:sz w:val="28"/>
          <w:szCs w:val="28"/>
          <w:lang w:val="en-GB"/>
        </w:rPr>
        <w:t xml:space="preserve"> the TP exercises its discretion as to who should be awarded a tender. </w:t>
      </w:r>
    </w:p>
    <w:p w14:paraId="3386CFE6" w14:textId="799901DB" w:rsidR="00CE48F7" w:rsidRDefault="003C7D59" w:rsidP="00FB34AD">
      <w:pPr>
        <w:spacing w:line="480" w:lineRule="auto"/>
        <w:jc w:val="both"/>
        <w:rPr>
          <w:bCs/>
          <w:sz w:val="28"/>
          <w:szCs w:val="28"/>
          <w:lang w:val="en-GB"/>
        </w:rPr>
      </w:pPr>
      <w:r>
        <w:rPr>
          <w:bCs/>
          <w:sz w:val="28"/>
          <w:szCs w:val="28"/>
          <w:lang w:val="en-GB"/>
        </w:rPr>
        <w:t xml:space="preserve"> </w:t>
      </w:r>
    </w:p>
    <w:p w14:paraId="1D0022BC" w14:textId="73245E12" w:rsidR="00C22E9A" w:rsidRPr="00D13978" w:rsidRDefault="00D13978" w:rsidP="00FB34AD">
      <w:pPr>
        <w:spacing w:line="480" w:lineRule="auto"/>
        <w:jc w:val="both"/>
        <w:rPr>
          <w:b/>
          <w:sz w:val="28"/>
          <w:szCs w:val="28"/>
          <w:u w:val="single"/>
          <w:lang w:val="en-GB"/>
        </w:rPr>
      </w:pPr>
      <w:r w:rsidRPr="00D13978">
        <w:rPr>
          <w:b/>
          <w:sz w:val="28"/>
          <w:szCs w:val="28"/>
          <w:u w:val="single"/>
          <w:lang w:val="en-GB"/>
        </w:rPr>
        <w:t>ISSUES TO BE DECIDED</w:t>
      </w:r>
      <w:r>
        <w:rPr>
          <w:b/>
          <w:sz w:val="28"/>
          <w:szCs w:val="28"/>
          <w:u w:val="single"/>
          <w:lang w:val="en-GB"/>
        </w:rPr>
        <w:t>:</w:t>
      </w:r>
    </w:p>
    <w:p w14:paraId="0DBC78F6" w14:textId="77777777" w:rsidR="00D13978" w:rsidRDefault="00D13978" w:rsidP="00FB34AD">
      <w:pPr>
        <w:spacing w:line="480" w:lineRule="auto"/>
        <w:jc w:val="both"/>
        <w:rPr>
          <w:bCs/>
          <w:sz w:val="28"/>
          <w:szCs w:val="28"/>
          <w:lang w:val="en-GB"/>
        </w:rPr>
      </w:pPr>
    </w:p>
    <w:p w14:paraId="3C472CF9" w14:textId="31BC1314" w:rsidR="00D13978" w:rsidRDefault="00D13978" w:rsidP="00FB34AD">
      <w:pPr>
        <w:spacing w:line="480" w:lineRule="auto"/>
        <w:jc w:val="both"/>
        <w:rPr>
          <w:bCs/>
          <w:sz w:val="28"/>
          <w:szCs w:val="28"/>
          <w:lang w:val="en-GB"/>
        </w:rPr>
      </w:pPr>
      <w:r>
        <w:rPr>
          <w:bCs/>
          <w:sz w:val="28"/>
          <w:szCs w:val="28"/>
          <w:lang w:val="en-GB"/>
        </w:rPr>
        <w:t>[26]</w:t>
      </w:r>
      <w:r>
        <w:rPr>
          <w:bCs/>
          <w:sz w:val="28"/>
          <w:szCs w:val="28"/>
          <w:lang w:val="en-GB"/>
        </w:rPr>
        <w:tab/>
      </w:r>
      <w:r>
        <w:rPr>
          <w:bCs/>
          <w:sz w:val="28"/>
          <w:szCs w:val="28"/>
          <w:lang w:val="en-GB"/>
        </w:rPr>
        <w:tab/>
        <w:t xml:space="preserve">The outcome of this matter hinges on </w:t>
      </w:r>
      <w:r w:rsidR="007F7789">
        <w:rPr>
          <w:bCs/>
          <w:sz w:val="28"/>
          <w:szCs w:val="28"/>
          <w:lang w:val="en-GB"/>
        </w:rPr>
        <w:t xml:space="preserve">whether </w:t>
      </w:r>
      <w:r>
        <w:rPr>
          <w:bCs/>
          <w:sz w:val="28"/>
          <w:szCs w:val="28"/>
          <w:lang w:val="en-GB"/>
        </w:rPr>
        <w:t xml:space="preserve">the TP </w:t>
      </w:r>
      <w:r w:rsidR="007F7789">
        <w:rPr>
          <w:bCs/>
          <w:sz w:val="28"/>
          <w:szCs w:val="28"/>
          <w:lang w:val="en-GB"/>
        </w:rPr>
        <w:t xml:space="preserve">was wrong in </w:t>
      </w:r>
      <w:r w:rsidR="007F7789">
        <w:rPr>
          <w:bCs/>
          <w:sz w:val="28"/>
          <w:szCs w:val="28"/>
          <w:lang w:val="en-GB"/>
        </w:rPr>
        <w:lastRenderedPageBreak/>
        <w:t>declining the</w:t>
      </w:r>
      <w:r>
        <w:rPr>
          <w:bCs/>
          <w:sz w:val="28"/>
          <w:szCs w:val="28"/>
          <w:lang w:val="en-GB"/>
        </w:rPr>
        <w:t xml:space="preserve"> ET</w:t>
      </w:r>
      <w:r w:rsidR="007F7789">
        <w:rPr>
          <w:bCs/>
          <w:sz w:val="28"/>
          <w:szCs w:val="28"/>
          <w:lang w:val="en-GB"/>
        </w:rPr>
        <w:t>’s recommendation and awarding the tender to Ts</w:t>
      </w:r>
      <w:r w:rsidR="00292A59">
        <w:rPr>
          <w:bCs/>
          <w:sz w:val="28"/>
          <w:szCs w:val="28"/>
          <w:lang w:val="en-GB"/>
        </w:rPr>
        <w:t>’</w:t>
      </w:r>
      <w:r w:rsidR="007F7789">
        <w:rPr>
          <w:bCs/>
          <w:sz w:val="28"/>
          <w:szCs w:val="28"/>
          <w:lang w:val="en-GB"/>
        </w:rPr>
        <w:t xml:space="preserve">ilo; whether there was a pending complaint </w:t>
      </w:r>
      <w:r w:rsidR="009D6C7F">
        <w:rPr>
          <w:bCs/>
          <w:sz w:val="28"/>
          <w:szCs w:val="28"/>
          <w:lang w:val="en-GB"/>
        </w:rPr>
        <w:t xml:space="preserve">justiciable before the PPAD </w:t>
      </w:r>
      <w:r w:rsidR="007F7789">
        <w:rPr>
          <w:bCs/>
          <w:sz w:val="28"/>
          <w:szCs w:val="28"/>
          <w:lang w:val="en-GB"/>
        </w:rPr>
        <w:t xml:space="preserve">at the time the contract was concluded – and if so whether that justifies </w:t>
      </w:r>
      <w:r w:rsidR="009D6C7F">
        <w:rPr>
          <w:bCs/>
          <w:sz w:val="28"/>
          <w:szCs w:val="28"/>
          <w:lang w:val="en-GB"/>
        </w:rPr>
        <w:t xml:space="preserve">the review and setting aside of the award as well as declaring the contract </w:t>
      </w:r>
      <w:r w:rsidR="008E40E5">
        <w:rPr>
          <w:bCs/>
          <w:sz w:val="28"/>
          <w:szCs w:val="28"/>
          <w:lang w:val="en-GB"/>
        </w:rPr>
        <w:t xml:space="preserve">that has already been performed </w:t>
      </w:r>
      <w:r w:rsidR="009D6C7F">
        <w:rPr>
          <w:bCs/>
          <w:sz w:val="28"/>
          <w:szCs w:val="28"/>
          <w:lang w:val="en-GB"/>
        </w:rPr>
        <w:t xml:space="preserve">unlawful. </w:t>
      </w:r>
    </w:p>
    <w:p w14:paraId="2BB7CF69" w14:textId="5A7C5F3B" w:rsidR="008E40E5" w:rsidRDefault="008E40E5" w:rsidP="00FB34AD">
      <w:pPr>
        <w:spacing w:line="480" w:lineRule="auto"/>
        <w:jc w:val="both"/>
        <w:rPr>
          <w:bCs/>
          <w:sz w:val="28"/>
          <w:szCs w:val="28"/>
          <w:lang w:val="en-GB"/>
        </w:rPr>
      </w:pPr>
    </w:p>
    <w:p w14:paraId="705E3A7D" w14:textId="54D4BE73" w:rsidR="00881DB5" w:rsidRDefault="00881DB5" w:rsidP="00FB34AD">
      <w:pPr>
        <w:spacing w:line="480" w:lineRule="auto"/>
        <w:jc w:val="both"/>
        <w:rPr>
          <w:b/>
          <w:i/>
          <w:iCs/>
          <w:sz w:val="28"/>
          <w:szCs w:val="28"/>
          <w:lang w:val="en-GB"/>
        </w:rPr>
      </w:pPr>
      <w:r w:rsidRPr="00881DB5">
        <w:rPr>
          <w:b/>
          <w:i/>
          <w:iCs/>
          <w:sz w:val="28"/>
          <w:szCs w:val="28"/>
          <w:lang w:val="en-GB"/>
        </w:rPr>
        <w:t>TP’s decision to award the tender to Ts</w:t>
      </w:r>
      <w:r w:rsidR="00085B6F">
        <w:rPr>
          <w:b/>
          <w:i/>
          <w:iCs/>
          <w:sz w:val="28"/>
          <w:szCs w:val="28"/>
          <w:lang w:val="en-GB"/>
        </w:rPr>
        <w:t>’</w:t>
      </w:r>
      <w:r w:rsidRPr="00881DB5">
        <w:rPr>
          <w:b/>
          <w:i/>
          <w:iCs/>
          <w:sz w:val="28"/>
          <w:szCs w:val="28"/>
          <w:lang w:val="en-GB"/>
        </w:rPr>
        <w:t>ilo and not Phakoe</w:t>
      </w:r>
    </w:p>
    <w:p w14:paraId="4FC69CB8" w14:textId="77777777" w:rsidR="00FB0133" w:rsidRPr="00FB0133" w:rsidRDefault="00FB0133" w:rsidP="00FB34AD">
      <w:pPr>
        <w:spacing w:line="480" w:lineRule="auto"/>
        <w:jc w:val="both"/>
        <w:rPr>
          <w:bCs/>
          <w:sz w:val="28"/>
          <w:szCs w:val="28"/>
          <w:lang w:val="en-GB"/>
        </w:rPr>
      </w:pPr>
    </w:p>
    <w:p w14:paraId="273F669B" w14:textId="6A259E60" w:rsidR="008E40E5" w:rsidRDefault="008E40E5" w:rsidP="00FB34AD">
      <w:pPr>
        <w:spacing w:line="480" w:lineRule="auto"/>
        <w:jc w:val="both"/>
        <w:rPr>
          <w:bCs/>
          <w:sz w:val="28"/>
          <w:szCs w:val="28"/>
          <w:lang w:val="en-GB"/>
        </w:rPr>
      </w:pPr>
      <w:r>
        <w:rPr>
          <w:bCs/>
          <w:sz w:val="28"/>
          <w:szCs w:val="28"/>
          <w:lang w:val="en-GB"/>
        </w:rPr>
        <w:t>[27]</w:t>
      </w:r>
      <w:r>
        <w:rPr>
          <w:bCs/>
          <w:sz w:val="28"/>
          <w:szCs w:val="28"/>
          <w:lang w:val="en-GB"/>
        </w:rPr>
        <w:tab/>
      </w:r>
      <w:r>
        <w:rPr>
          <w:bCs/>
          <w:sz w:val="28"/>
          <w:szCs w:val="28"/>
          <w:lang w:val="en-GB"/>
        </w:rPr>
        <w:tab/>
      </w:r>
      <w:r w:rsidR="00E61583">
        <w:rPr>
          <w:bCs/>
          <w:sz w:val="28"/>
          <w:szCs w:val="28"/>
          <w:lang w:val="en-GB"/>
        </w:rPr>
        <w:t>It is pellucidly clear from the powers of the TP as they appear fully in regulation 50, in particular regulation 50(3)(c)</w:t>
      </w:r>
      <w:r w:rsidR="00881DB5">
        <w:rPr>
          <w:bCs/>
          <w:sz w:val="28"/>
          <w:szCs w:val="28"/>
          <w:lang w:val="en-GB"/>
        </w:rPr>
        <w:t>,</w:t>
      </w:r>
      <w:r w:rsidR="00E61583">
        <w:rPr>
          <w:bCs/>
          <w:sz w:val="28"/>
          <w:szCs w:val="28"/>
          <w:lang w:val="en-GB"/>
        </w:rPr>
        <w:t xml:space="preserve"> that TP is not bound by the recommendations of the ET. It is the one that </w:t>
      </w:r>
      <w:r w:rsidR="00E61583" w:rsidRPr="00E61583">
        <w:rPr>
          <w:bCs/>
          <w:i/>
          <w:iCs/>
          <w:sz w:val="28"/>
          <w:szCs w:val="28"/>
          <w:lang w:val="en-GB"/>
        </w:rPr>
        <w:t>“decides which tenderer shall be awarded the procurement contract”.</w:t>
      </w:r>
      <w:r w:rsidR="00E61583">
        <w:rPr>
          <w:bCs/>
          <w:sz w:val="28"/>
          <w:szCs w:val="28"/>
          <w:lang w:val="en-GB"/>
        </w:rPr>
        <w:t xml:space="preserve"> In so doing, the TP must </w:t>
      </w:r>
      <w:r w:rsidR="00DA11F1">
        <w:rPr>
          <w:bCs/>
          <w:sz w:val="28"/>
          <w:szCs w:val="28"/>
          <w:lang w:val="en-GB"/>
        </w:rPr>
        <w:t>consider</w:t>
      </w:r>
      <w:r w:rsidR="00E61583">
        <w:rPr>
          <w:bCs/>
          <w:sz w:val="28"/>
          <w:szCs w:val="28"/>
          <w:lang w:val="en-GB"/>
        </w:rPr>
        <w:t xml:space="preserve"> the underlying principles on which public procurement is anchored.</w:t>
      </w:r>
      <w:r w:rsidR="00DA11F1">
        <w:rPr>
          <w:bCs/>
          <w:sz w:val="28"/>
          <w:szCs w:val="28"/>
          <w:lang w:val="en-GB"/>
        </w:rPr>
        <w:t xml:space="preserve"> I</w:t>
      </w:r>
      <w:r w:rsidR="00881DB5">
        <w:rPr>
          <w:bCs/>
          <w:sz w:val="28"/>
          <w:szCs w:val="28"/>
          <w:lang w:val="en-GB"/>
        </w:rPr>
        <w:t>n addition, i</w:t>
      </w:r>
      <w:r w:rsidR="00DA11F1">
        <w:rPr>
          <w:bCs/>
          <w:sz w:val="28"/>
          <w:szCs w:val="28"/>
          <w:lang w:val="en-GB"/>
        </w:rPr>
        <w:t xml:space="preserve">t has to ensure amongst others that a competitive process was followed in accordance with the regulations and that its decision will </w:t>
      </w:r>
      <w:r w:rsidR="00FB0133">
        <w:rPr>
          <w:bCs/>
          <w:sz w:val="28"/>
          <w:szCs w:val="28"/>
          <w:lang w:val="en-GB"/>
        </w:rPr>
        <w:t>with</w:t>
      </w:r>
      <w:r w:rsidR="00DA11F1">
        <w:rPr>
          <w:bCs/>
          <w:sz w:val="28"/>
          <w:szCs w:val="28"/>
          <w:lang w:val="en-GB"/>
        </w:rPr>
        <w:t xml:space="preserve">stand scrutiny by the audit authorities, the business community and the public in general. </w:t>
      </w:r>
      <w:r w:rsidR="00E61583">
        <w:rPr>
          <w:bCs/>
          <w:sz w:val="28"/>
          <w:szCs w:val="28"/>
          <w:lang w:val="en-GB"/>
        </w:rPr>
        <w:t xml:space="preserve"> </w:t>
      </w:r>
    </w:p>
    <w:p w14:paraId="453B5E1C" w14:textId="11962161" w:rsidR="00DA11F1" w:rsidRDefault="00DA11F1" w:rsidP="00FB34AD">
      <w:pPr>
        <w:spacing w:line="480" w:lineRule="auto"/>
        <w:jc w:val="both"/>
        <w:rPr>
          <w:bCs/>
          <w:sz w:val="28"/>
          <w:szCs w:val="28"/>
          <w:lang w:val="en-GB"/>
        </w:rPr>
      </w:pPr>
    </w:p>
    <w:p w14:paraId="4578E7C0" w14:textId="5F17AF50" w:rsidR="00966942" w:rsidRDefault="00DA11F1" w:rsidP="00FB34AD">
      <w:pPr>
        <w:spacing w:line="480" w:lineRule="auto"/>
        <w:jc w:val="both"/>
        <w:rPr>
          <w:bCs/>
          <w:sz w:val="28"/>
          <w:szCs w:val="28"/>
          <w:lang w:val="en-GB"/>
        </w:rPr>
      </w:pPr>
      <w:r>
        <w:rPr>
          <w:bCs/>
          <w:sz w:val="28"/>
          <w:szCs w:val="28"/>
          <w:lang w:val="en-GB"/>
        </w:rPr>
        <w:t>[28]</w:t>
      </w:r>
      <w:r>
        <w:rPr>
          <w:bCs/>
          <w:sz w:val="28"/>
          <w:szCs w:val="28"/>
          <w:lang w:val="en-GB"/>
        </w:rPr>
        <w:tab/>
      </w:r>
      <w:r>
        <w:rPr>
          <w:bCs/>
          <w:sz w:val="28"/>
          <w:szCs w:val="28"/>
          <w:lang w:val="en-GB"/>
        </w:rPr>
        <w:tab/>
        <w:t xml:space="preserve">Surely, Phakoe’s bid was irregular. </w:t>
      </w:r>
      <w:r w:rsidR="00601770">
        <w:rPr>
          <w:bCs/>
          <w:sz w:val="28"/>
          <w:szCs w:val="28"/>
          <w:lang w:val="en-GB"/>
        </w:rPr>
        <w:t>There are four items on the bid, two of which</w:t>
      </w:r>
      <w:r w:rsidR="00881DB5">
        <w:rPr>
          <w:bCs/>
          <w:sz w:val="28"/>
          <w:szCs w:val="28"/>
          <w:lang w:val="en-GB"/>
        </w:rPr>
        <w:t xml:space="preserve"> have a subtotal. </w:t>
      </w:r>
      <w:r w:rsidR="00980F00">
        <w:rPr>
          <w:bCs/>
          <w:sz w:val="28"/>
          <w:szCs w:val="28"/>
          <w:lang w:val="en-GB"/>
        </w:rPr>
        <w:t xml:space="preserve"> </w:t>
      </w:r>
      <w:r w:rsidR="00881DB5">
        <w:rPr>
          <w:bCs/>
          <w:sz w:val="28"/>
          <w:szCs w:val="28"/>
          <w:lang w:val="en-GB"/>
        </w:rPr>
        <w:t xml:space="preserve">These are </w:t>
      </w:r>
      <w:r w:rsidR="00980F00">
        <w:rPr>
          <w:bCs/>
          <w:sz w:val="28"/>
          <w:szCs w:val="28"/>
          <w:lang w:val="en-GB"/>
        </w:rPr>
        <w:t>preliminar</w:t>
      </w:r>
      <w:r w:rsidR="00CD6274">
        <w:rPr>
          <w:bCs/>
          <w:sz w:val="28"/>
          <w:szCs w:val="28"/>
          <w:lang w:val="en-GB"/>
        </w:rPr>
        <w:t xml:space="preserve">ies </w:t>
      </w:r>
      <w:r w:rsidR="00980F00">
        <w:rPr>
          <w:bCs/>
          <w:sz w:val="28"/>
          <w:szCs w:val="28"/>
          <w:lang w:val="en-GB"/>
        </w:rPr>
        <w:t>and buildings</w:t>
      </w:r>
      <w:r w:rsidR="006468BC">
        <w:rPr>
          <w:bCs/>
          <w:sz w:val="28"/>
          <w:szCs w:val="28"/>
          <w:lang w:val="en-GB"/>
        </w:rPr>
        <w:t>.</w:t>
      </w:r>
      <w:r w:rsidR="00980F00">
        <w:rPr>
          <w:bCs/>
          <w:sz w:val="28"/>
          <w:szCs w:val="28"/>
          <w:lang w:val="en-GB"/>
        </w:rPr>
        <w:t xml:space="preserve"> </w:t>
      </w:r>
      <w:r w:rsidR="00601770">
        <w:rPr>
          <w:bCs/>
          <w:sz w:val="28"/>
          <w:szCs w:val="28"/>
          <w:lang w:val="en-GB"/>
        </w:rPr>
        <w:t xml:space="preserve">The last two items are </w:t>
      </w:r>
      <w:r w:rsidR="006468BC">
        <w:rPr>
          <w:bCs/>
          <w:sz w:val="28"/>
          <w:szCs w:val="28"/>
          <w:lang w:val="en-GB"/>
        </w:rPr>
        <w:t xml:space="preserve">fixed </w:t>
      </w:r>
      <w:r w:rsidR="00601770">
        <w:rPr>
          <w:bCs/>
          <w:sz w:val="28"/>
          <w:szCs w:val="28"/>
          <w:lang w:val="en-GB"/>
        </w:rPr>
        <w:t>contingency of M1</w:t>
      </w:r>
      <w:r w:rsidR="00980F00">
        <w:rPr>
          <w:bCs/>
          <w:sz w:val="28"/>
          <w:szCs w:val="28"/>
          <w:lang w:val="en-GB"/>
        </w:rPr>
        <w:t xml:space="preserve">.5 </w:t>
      </w:r>
      <w:r w:rsidR="00FB0133">
        <w:rPr>
          <w:bCs/>
          <w:sz w:val="28"/>
          <w:szCs w:val="28"/>
          <w:lang w:val="en-GB"/>
        </w:rPr>
        <w:t>Million</w:t>
      </w:r>
      <w:r w:rsidR="00980F00">
        <w:rPr>
          <w:bCs/>
          <w:sz w:val="28"/>
          <w:szCs w:val="28"/>
          <w:lang w:val="en-GB"/>
        </w:rPr>
        <w:t xml:space="preserve"> </w:t>
      </w:r>
      <w:r w:rsidR="00601770">
        <w:rPr>
          <w:bCs/>
          <w:sz w:val="28"/>
          <w:szCs w:val="28"/>
          <w:lang w:val="en-GB"/>
        </w:rPr>
        <w:t>and Value Added Tax</w:t>
      </w:r>
      <w:r w:rsidR="00966942">
        <w:rPr>
          <w:bCs/>
          <w:sz w:val="28"/>
          <w:szCs w:val="28"/>
          <w:lang w:val="en-GB"/>
        </w:rPr>
        <w:t xml:space="preserve">, </w:t>
      </w:r>
      <w:r w:rsidR="00966942" w:rsidRPr="00966942">
        <w:rPr>
          <w:bCs/>
          <w:i/>
          <w:iCs/>
          <w:sz w:val="28"/>
          <w:szCs w:val="28"/>
          <w:lang w:val="en-GB"/>
        </w:rPr>
        <w:t>(“VAT’)</w:t>
      </w:r>
      <w:r w:rsidR="00BF4F85">
        <w:rPr>
          <w:bCs/>
          <w:i/>
          <w:iCs/>
          <w:sz w:val="28"/>
          <w:szCs w:val="28"/>
          <w:lang w:val="en-GB"/>
        </w:rPr>
        <w:t>,</w:t>
      </w:r>
      <w:r w:rsidR="00980F00">
        <w:rPr>
          <w:bCs/>
          <w:sz w:val="28"/>
          <w:szCs w:val="28"/>
          <w:lang w:val="en-GB"/>
        </w:rPr>
        <w:t xml:space="preserve"> at the standard rate of </w:t>
      </w:r>
      <w:r w:rsidR="00601770">
        <w:rPr>
          <w:bCs/>
          <w:sz w:val="28"/>
          <w:szCs w:val="28"/>
          <w:lang w:val="en-GB"/>
        </w:rPr>
        <w:t>15% which</w:t>
      </w:r>
      <w:r w:rsidR="006468BC">
        <w:rPr>
          <w:bCs/>
          <w:sz w:val="28"/>
          <w:szCs w:val="28"/>
          <w:lang w:val="en-GB"/>
        </w:rPr>
        <w:t xml:space="preserve"> has to be </w:t>
      </w:r>
      <w:r w:rsidR="00980F00">
        <w:rPr>
          <w:bCs/>
          <w:sz w:val="28"/>
          <w:szCs w:val="28"/>
          <w:lang w:val="en-GB"/>
        </w:rPr>
        <w:t xml:space="preserve">derived from the subtotal of preliminaries and buildings plus </w:t>
      </w:r>
      <w:r w:rsidR="006468BC">
        <w:rPr>
          <w:bCs/>
          <w:sz w:val="28"/>
          <w:szCs w:val="28"/>
          <w:lang w:val="en-GB"/>
        </w:rPr>
        <w:t xml:space="preserve">M1.5 Million for </w:t>
      </w:r>
      <w:r w:rsidR="00980F00">
        <w:rPr>
          <w:bCs/>
          <w:sz w:val="28"/>
          <w:szCs w:val="28"/>
          <w:lang w:val="en-GB"/>
        </w:rPr>
        <w:t xml:space="preserve">contingency. </w:t>
      </w:r>
    </w:p>
    <w:p w14:paraId="50D8778F" w14:textId="77777777" w:rsidR="00966942" w:rsidRDefault="00966942" w:rsidP="00FB34AD">
      <w:pPr>
        <w:spacing w:line="480" w:lineRule="auto"/>
        <w:jc w:val="both"/>
        <w:rPr>
          <w:bCs/>
          <w:sz w:val="28"/>
          <w:szCs w:val="28"/>
          <w:lang w:val="en-GB"/>
        </w:rPr>
      </w:pPr>
    </w:p>
    <w:p w14:paraId="5F2A35FF" w14:textId="14D28DF1" w:rsidR="00541909" w:rsidRDefault="00966942" w:rsidP="00FB34AD">
      <w:pPr>
        <w:spacing w:line="480" w:lineRule="auto"/>
        <w:jc w:val="both"/>
        <w:rPr>
          <w:bCs/>
          <w:sz w:val="28"/>
          <w:szCs w:val="28"/>
          <w:lang w:val="en-GB"/>
        </w:rPr>
      </w:pPr>
      <w:r>
        <w:rPr>
          <w:bCs/>
          <w:sz w:val="28"/>
          <w:szCs w:val="28"/>
          <w:lang w:val="en-GB"/>
        </w:rPr>
        <w:t>[29]</w:t>
      </w:r>
      <w:r>
        <w:rPr>
          <w:bCs/>
          <w:sz w:val="28"/>
          <w:szCs w:val="28"/>
          <w:lang w:val="en-GB"/>
        </w:rPr>
        <w:tab/>
      </w:r>
      <w:r>
        <w:rPr>
          <w:bCs/>
          <w:sz w:val="28"/>
          <w:szCs w:val="28"/>
          <w:lang w:val="en-GB"/>
        </w:rPr>
        <w:tab/>
      </w:r>
      <w:r w:rsidR="00980F00">
        <w:rPr>
          <w:bCs/>
          <w:sz w:val="28"/>
          <w:szCs w:val="28"/>
          <w:lang w:val="en-GB"/>
        </w:rPr>
        <w:t>The figures on the tender are handwritten</w:t>
      </w:r>
      <w:r w:rsidR="006468BC">
        <w:rPr>
          <w:bCs/>
          <w:sz w:val="28"/>
          <w:szCs w:val="28"/>
          <w:lang w:val="en-GB"/>
        </w:rPr>
        <w:t xml:space="preserve">, thus making it easy to follow where there </w:t>
      </w:r>
      <w:r w:rsidR="00FB0133">
        <w:rPr>
          <w:bCs/>
          <w:sz w:val="28"/>
          <w:szCs w:val="28"/>
          <w:lang w:val="en-GB"/>
        </w:rPr>
        <w:t xml:space="preserve">are </w:t>
      </w:r>
      <w:r w:rsidR="006468BC">
        <w:rPr>
          <w:bCs/>
          <w:sz w:val="28"/>
          <w:szCs w:val="28"/>
          <w:lang w:val="en-GB"/>
        </w:rPr>
        <w:t>cancelations or revisions</w:t>
      </w:r>
      <w:r w:rsidR="00980F00">
        <w:rPr>
          <w:bCs/>
          <w:sz w:val="28"/>
          <w:szCs w:val="28"/>
          <w:lang w:val="en-GB"/>
        </w:rPr>
        <w:t xml:space="preserve">. The tendered </w:t>
      </w:r>
      <w:r w:rsidR="00CD6274">
        <w:rPr>
          <w:bCs/>
          <w:sz w:val="28"/>
          <w:szCs w:val="28"/>
          <w:lang w:val="en-GB"/>
        </w:rPr>
        <w:t>price is</w:t>
      </w:r>
      <w:r w:rsidR="00980F00">
        <w:rPr>
          <w:bCs/>
          <w:sz w:val="28"/>
          <w:szCs w:val="28"/>
          <w:lang w:val="en-GB"/>
        </w:rPr>
        <w:t xml:space="preserve"> reflected as M35,502,373.35 and </w:t>
      </w:r>
      <w:r w:rsidR="00CD6274">
        <w:rPr>
          <w:bCs/>
          <w:sz w:val="28"/>
          <w:szCs w:val="28"/>
          <w:lang w:val="en-GB"/>
        </w:rPr>
        <w:t xml:space="preserve">it reconciles </w:t>
      </w:r>
      <w:r w:rsidR="00980F00">
        <w:rPr>
          <w:bCs/>
          <w:sz w:val="28"/>
          <w:szCs w:val="28"/>
          <w:lang w:val="en-GB"/>
        </w:rPr>
        <w:t>with the</w:t>
      </w:r>
      <w:r w:rsidR="00CD6274">
        <w:rPr>
          <w:bCs/>
          <w:sz w:val="28"/>
          <w:szCs w:val="28"/>
          <w:lang w:val="en-GB"/>
        </w:rPr>
        <w:t xml:space="preserve"> initial figures for the four items. </w:t>
      </w:r>
      <w:r>
        <w:rPr>
          <w:bCs/>
          <w:sz w:val="28"/>
          <w:szCs w:val="28"/>
          <w:lang w:val="en-GB"/>
        </w:rPr>
        <w:t xml:space="preserve">I am using the word initial figures advisedly because on the tender </w:t>
      </w:r>
      <w:r w:rsidR="00980F00">
        <w:rPr>
          <w:bCs/>
          <w:sz w:val="28"/>
          <w:szCs w:val="28"/>
          <w:lang w:val="en-GB"/>
        </w:rPr>
        <w:t xml:space="preserve">M2,650,000.00 for preliminaries </w:t>
      </w:r>
      <w:r w:rsidR="00CD6274">
        <w:rPr>
          <w:bCs/>
          <w:sz w:val="28"/>
          <w:szCs w:val="28"/>
          <w:lang w:val="en-GB"/>
        </w:rPr>
        <w:t xml:space="preserve">is </w:t>
      </w:r>
      <w:r w:rsidR="00980F00">
        <w:rPr>
          <w:bCs/>
          <w:sz w:val="28"/>
          <w:szCs w:val="28"/>
          <w:lang w:val="en-GB"/>
        </w:rPr>
        <w:t xml:space="preserve">cancelled and replaced with M1,450,000.00. </w:t>
      </w:r>
      <w:r>
        <w:rPr>
          <w:bCs/>
          <w:sz w:val="28"/>
          <w:szCs w:val="28"/>
          <w:lang w:val="en-GB"/>
        </w:rPr>
        <w:t>It takes simple arithmetic to appreciate th</w:t>
      </w:r>
      <w:r w:rsidR="00D92D2A">
        <w:rPr>
          <w:bCs/>
          <w:sz w:val="28"/>
          <w:szCs w:val="28"/>
          <w:lang w:val="en-GB"/>
        </w:rPr>
        <w:t xml:space="preserve">e </w:t>
      </w:r>
      <w:r>
        <w:rPr>
          <w:bCs/>
          <w:sz w:val="28"/>
          <w:szCs w:val="28"/>
          <w:lang w:val="en-GB"/>
        </w:rPr>
        <w:t>ripple effect</w:t>
      </w:r>
      <w:r w:rsidR="00D92D2A">
        <w:rPr>
          <w:bCs/>
          <w:sz w:val="28"/>
          <w:szCs w:val="28"/>
          <w:lang w:val="en-GB"/>
        </w:rPr>
        <w:t xml:space="preserve"> that the revision </w:t>
      </w:r>
      <w:r w:rsidR="006D4A40">
        <w:rPr>
          <w:bCs/>
          <w:sz w:val="28"/>
          <w:szCs w:val="28"/>
          <w:lang w:val="en-GB"/>
        </w:rPr>
        <w:t>had</w:t>
      </w:r>
      <w:r w:rsidR="00D92D2A">
        <w:rPr>
          <w:bCs/>
          <w:sz w:val="28"/>
          <w:szCs w:val="28"/>
          <w:lang w:val="en-GB"/>
        </w:rPr>
        <w:t xml:space="preserve">, </w:t>
      </w:r>
      <w:r>
        <w:rPr>
          <w:bCs/>
          <w:sz w:val="28"/>
          <w:szCs w:val="28"/>
          <w:lang w:val="en-GB"/>
        </w:rPr>
        <w:t>in particular on the su</w:t>
      </w:r>
      <w:r w:rsidR="006468BC">
        <w:rPr>
          <w:bCs/>
          <w:sz w:val="28"/>
          <w:szCs w:val="28"/>
          <w:lang w:val="en-GB"/>
        </w:rPr>
        <w:t>b</w:t>
      </w:r>
      <w:r>
        <w:rPr>
          <w:bCs/>
          <w:sz w:val="28"/>
          <w:szCs w:val="28"/>
          <w:lang w:val="en-GB"/>
        </w:rPr>
        <w:t xml:space="preserve">total for preliminaries and buildings, VAT amount and the tendered price. </w:t>
      </w:r>
      <w:r w:rsidR="00FB0133">
        <w:rPr>
          <w:bCs/>
          <w:sz w:val="28"/>
          <w:szCs w:val="28"/>
          <w:lang w:val="en-GB"/>
        </w:rPr>
        <w:t>Doubtlessly</w:t>
      </w:r>
      <w:r w:rsidR="00BF4F85">
        <w:rPr>
          <w:bCs/>
          <w:sz w:val="28"/>
          <w:szCs w:val="28"/>
          <w:lang w:val="en-GB"/>
        </w:rPr>
        <w:t>,</w:t>
      </w:r>
      <w:r w:rsidR="00FB0133">
        <w:rPr>
          <w:bCs/>
          <w:sz w:val="28"/>
          <w:szCs w:val="28"/>
          <w:lang w:val="en-GB"/>
        </w:rPr>
        <w:t xml:space="preserve"> revision of the amount for preliminaries </w:t>
      </w:r>
      <w:r w:rsidR="00D92D2A">
        <w:rPr>
          <w:bCs/>
          <w:sz w:val="28"/>
          <w:szCs w:val="28"/>
          <w:lang w:val="en-GB"/>
        </w:rPr>
        <w:t xml:space="preserve">necessitated revision of the </w:t>
      </w:r>
      <w:r w:rsidR="006D4A40">
        <w:rPr>
          <w:bCs/>
          <w:sz w:val="28"/>
          <w:szCs w:val="28"/>
          <w:lang w:val="en-GB"/>
        </w:rPr>
        <w:t>affected amounts,</w:t>
      </w:r>
      <w:r w:rsidR="00D92D2A">
        <w:rPr>
          <w:bCs/>
          <w:sz w:val="28"/>
          <w:szCs w:val="28"/>
          <w:lang w:val="en-GB"/>
        </w:rPr>
        <w:t xml:space="preserve"> including the tendered price. However, Phakoe did not revise the figures a</w:t>
      </w:r>
      <w:r w:rsidR="00BF4F85">
        <w:rPr>
          <w:bCs/>
          <w:sz w:val="28"/>
          <w:szCs w:val="28"/>
          <w:lang w:val="en-GB"/>
        </w:rPr>
        <w:t>s</w:t>
      </w:r>
      <w:r w:rsidR="00D92D2A">
        <w:rPr>
          <w:bCs/>
          <w:sz w:val="28"/>
          <w:szCs w:val="28"/>
          <w:lang w:val="en-GB"/>
        </w:rPr>
        <w:t xml:space="preserve"> </w:t>
      </w:r>
      <w:r w:rsidR="003979FE">
        <w:rPr>
          <w:bCs/>
          <w:sz w:val="28"/>
          <w:szCs w:val="28"/>
          <w:lang w:val="en-GB"/>
        </w:rPr>
        <w:t xml:space="preserve">it </w:t>
      </w:r>
      <w:r w:rsidR="00D92D2A">
        <w:rPr>
          <w:bCs/>
          <w:sz w:val="28"/>
          <w:szCs w:val="28"/>
          <w:lang w:val="en-GB"/>
        </w:rPr>
        <w:t>retained the tendered price of M35,502,373.35</w:t>
      </w:r>
      <w:r w:rsidR="00FB0133">
        <w:rPr>
          <w:bCs/>
          <w:sz w:val="28"/>
          <w:szCs w:val="28"/>
          <w:lang w:val="en-GB"/>
        </w:rPr>
        <w:t xml:space="preserve"> which had clearly been derived before the revision. </w:t>
      </w:r>
    </w:p>
    <w:p w14:paraId="00EE1D5A" w14:textId="77777777" w:rsidR="00541909" w:rsidRDefault="00541909" w:rsidP="00FB34AD">
      <w:pPr>
        <w:spacing w:line="480" w:lineRule="auto"/>
        <w:jc w:val="both"/>
        <w:rPr>
          <w:bCs/>
          <w:sz w:val="28"/>
          <w:szCs w:val="28"/>
          <w:lang w:val="en-GB"/>
        </w:rPr>
      </w:pPr>
    </w:p>
    <w:p w14:paraId="360ED527" w14:textId="591712DB" w:rsidR="00834D3B" w:rsidRDefault="00541909" w:rsidP="00FB34AD">
      <w:pPr>
        <w:spacing w:line="480" w:lineRule="auto"/>
        <w:jc w:val="both"/>
        <w:rPr>
          <w:bCs/>
          <w:sz w:val="28"/>
          <w:szCs w:val="28"/>
          <w:lang w:val="en-GB"/>
        </w:rPr>
      </w:pPr>
      <w:r>
        <w:rPr>
          <w:bCs/>
          <w:sz w:val="28"/>
          <w:szCs w:val="28"/>
          <w:lang w:val="en-GB"/>
        </w:rPr>
        <w:t>[30]</w:t>
      </w:r>
      <w:r>
        <w:rPr>
          <w:bCs/>
          <w:sz w:val="28"/>
          <w:szCs w:val="28"/>
          <w:lang w:val="en-GB"/>
        </w:rPr>
        <w:tab/>
      </w:r>
      <w:r>
        <w:rPr>
          <w:bCs/>
          <w:sz w:val="28"/>
          <w:szCs w:val="28"/>
          <w:lang w:val="en-GB"/>
        </w:rPr>
        <w:tab/>
        <w:t>I</w:t>
      </w:r>
      <w:r w:rsidR="00AB2C58">
        <w:rPr>
          <w:bCs/>
          <w:sz w:val="28"/>
          <w:szCs w:val="28"/>
          <w:lang w:val="en-GB"/>
        </w:rPr>
        <w:t>t does not take a rocket scientist to realise that</w:t>
      </w:r>
      <w:r>
        <w:rPr>
          <w:bCs/>
          <w:sz w:val="28"/>
          <w:szCs w:val="28"/>
          <w:lang w:val="en-GB"/>
        </w:rPr>
        <w:t xml:space="preserve"> it is mathematically impossible for the </w:t>
      </w:r>
      <w:r w:rsidR="00AB2C58">
        <w:rPr>
          <w:bCs/>
          <w:sz w:val="28"/>
          <w:szCs w:val="28"/>
          <w:lang w:val="en-GB"/>
        </w:rPr>
        <w:t xml:space="preserve">tendered price </w:t>
      </w:r>
      <w:r>
        <w:rPr>
          <w:bCs/>
          <w:sz w:val="28"/>
          <w:szCs w:val="28"/>
          <w:lang w:val="en-GB"/>
        </w:rPr>
        <w:t xml:space="preserve">to remain </w:t>
      </w:r>
      <w:r w:rsidR="00AB2C58">
        <w:rPr>
          <w:bCs/>
          <w:sz w:val="28"/>
          <w:szCs w:val="28"/>
          <w:lang w:val="en-GB"/>
        </w:rPr>
        <w:t xml:space="preserve">M35,502,373.35 following downward revision </w:t>
      </w:r>
      <w:r w:rsidR="00FB0133">
        <w:rPr>
          <w:bCs/>
          <w:sz w:val="28"/>
          <w:szCs w:val="28"/>
          <w:lang w:val="en-GB"/>
        </w:rPr>
        <w:t xml:space="preserve">of the figure </w:t>
      </w:r>
      <w:r w:rsidR="00AB2C58">
        <w:rPr>
          <w:bCs/>
          <w:sz w:val="28"/>
          <w:szCs w:val="28"/>
          <w:lang w:val="en-GB"/>
        </w:rPr>
        <w:t>for</w:t>
      </w:r>
      <w:r>
        <w:rPr>
          <w:bCs/>
          <w:sz w:val="28"/>
          <w:szCs w:val="28"/>
          <w:lang w:val="en-GB"/>
        </w:rPr>
        <w:t xml:space="preserve"> </w:t>
      </w:r>
      <w:r w:rsidR="00AB2C58">
        <w:rPr>
          <w:bCs/>
          <w:sz w:val="28"/>
          <w:szCs w:val="28"/>
          <w:lang w:val="en-GB"/>
        </w:rPr>
        <w:t>preliminaries</w:t>
      </w:r>
      <w:r w:rsidR="00FB0133">
        <w:rPr>
          <w:bCs/>
          <w:sz w:val="28"/>
          <w:szCs w:val="28"/>
          <w:lang w:val="en-GB"/>
        </w:rPr>
        <w:t xml:space="preserve"> from M2,650,000.00 to M1,450,000.00</w:t>
      </w:r>
      <w:r>
        <w:rPr>
          <w:bCs/>
          <w:sz w:val="28"/>
          <w:szCs w:val="28"/>
          <w:lang w:val="en-GB"/>
        </w:rPr>
        <w:t xml:space="preserve">. </w:t>
      </w:r>
      <w:r w:rsidR="00834D3B">
        <w:rPr>
          <w:bCs/>
          <w:sz w:val="28"/>
          <w:szCs w:val="28"/>
          <w:lang w:val="en-GB"/>
        </w:rPr>
        <w:t xml:space="preserve">TP arrived at the conclusion that </w:t>
      </w:r>
      <w:r>
        <w:rPr>
          <w:bCs/>
          <w:sz w:val="28"/>
          <w:szCs w:val="28"/>
          <w:lang w:val="en-GB"/>
        </w:rPr>
        <w:t xml:space="preserve">when considering the </w:t>
      </w:r>
      <w:r w:rsidR="00834D3B">
        <w:rPr>
          <w:bCs/>
          <w:sz w:val="28"/>
          <w:szCs w:val="28"/>
          <w:lang w:val="en-GB"/>
        </w:rPr>
        <w:t xml:space="preserve">figures </w:t>
      </w:r>
      <w:r>
        <w:rPr>
          <w:bCs/>
          <w:sz w:val="28"/>
          <w:szCs w:val="28"/>
          <w:lang w:val="en-GB"/>
        </w:rPr>
        <w:t xml:space="preserve">following the revision, Phakoe’s tendered price is below the estimates and that </w:t>
      </w:r>
      <w:r w:rsidR="00834D3B">
        <w:rPr>
          <w:bCs/>
          <w:sz w:val="28"/>
          <w:szCs w:val="28"/>
          <w:lang w:val="en-GB"/>
        </w:rPr>
        <w:t>of Ts</w:t>
      </w:r>
      <w:r w:rsidR="00085B6F">
        <w:rPr>
          <w:bCs/>
          <w:sz w:val="28"/>
          <w:szCs w:val="28"/>
          <w:lang w:val="en-GB"/>
        </w:rPr>
        <w:t>’</w:t>
      </w:r>
      <w:r w:rsidR="00834D3B">
        <w:rPr>
          <w:bCs/>
          <w:sz w:val="28"/>
          <w:szCs w:val="28"/>
          <w:lang w:val="en-GB"/>
        </w:rPr>
        <w:t>ilo</w:t>
      </w:r>
      <w:r w:rsidR="00FB0133">
        <w:rPr>
          <w:bCs/>
          <w:sz w:val="28"/>
          <w:szCs w:val="28"/>
          <w:lang w:val="en-GB"/>
        </w:rPr>
        <w:t xml:space="preserve"> </w:t>
      </w:r>
      <w:r>
        <w:rPr>
          <w:bCs/>
          <w:sz w:val="28"/>
          <w:szCs w:val="28"/>
          <w:lang w:val="en-GB"/>
        </w:rPr>
        <w:t>became the one closest to the estimates</w:t>
      </w:r>
      <w:r>
        <w:rPr>
          <w:rStyle w:val="FootnoteReference"/>
          <w:bCs/>
          <w:sz w:val="28"/>
          <w:szCs w:val="28"/>
          <w:lang w:val="en-GB"/>
        </w:rPr>
        <w:footnoteReference w:id="24"/>
      </w:r>
      <w:r>
        <w:rPr>
          <w:bCs/>
          <w:sz w:val="28"/>
          <w:szCs w:val="28"/>
          <w:lang w:val="en-GB"/>
        </w:rPr>
        <w:t xml:space="preserve">. </w:t>
      </w:r>
      <w:r w:rsidR="00AB2C58">
        <w:rPr>
          <w:bCs/>
          <w:sz w:val="28"/>
          <w:szCs w:val="28"/>
          <w:lang w:val="en-GB"/>
        </w:rPr>
        <w:t xml:space="preserve"> </w:t>
      </w:r>
    </w:p>
    <w:p w14:paraId="086BF6EB" w14:textId="77777777" w:rsidR="00834D3B" w:rsidRDefault="00834D3B" w:rsidP="00FB34AD">
      <w:pPr>
        <w:spacing w:line="480" w:lineRule="auto"/>
        <w:jc w:val="both"/>
        <w:rPr>
          <w:bCs/>
          <w:sz w:val="28"/>
          <w:szCs w:val="28"/>
          <w:lang w:val="en-GB"/>
        </w:rPr>
      </w:pPr>
    </w:p>
    <w:p w14:paraId="2E7C2ED0" w14:textId="4DECC6EE" w:rsidR="00980F00" w:rsidRDefault="00834D3B" w:rsidP="00FB34AD">
      <w:pPr>
        <w:spacing w:line="480" w:lineRule="auto"/>
        <w:jc w:val="both"/>
        <w:rPr>
          <w:bCs/>
          <w:sz w:val="28"/>
          <w:szCs w:val="28"/>
          <w:lang w:val="en-GB"/>
        </w:rPr>
      </w:pPr>
      <w:r>
        <w:rPr>
          <w:bCs/>
          <w:sz w:val="28"/>
          <w:szCs w:val="28"/>
          <w:lang w:val="en-GB"/>
        </w:rPr>
        <w:lastRenderedPageBreak/>
        <w:t>[31]</w:t>
      </w:r>
      <w:r>
        <w:rPr>
          <w:bCs/>
          <w:sz w:val="28"/>
          <w:szCs w:val="28"/>
          <w:lang w:val="en-GB"/>
        </w:rPr>
        <w:tab/>
      </w:r>
      <w:r>
        <w:rPr>
          <w:bCs/>
          <w:sz w:val="28"/>
          <w:szCs w:val="28"/>
          <w:lang w:val="en-GB"/>
        </w:rPr>
        <w:tab/>
        <w:t>In view of patent irregularities on Phakoe’s tender, I do not see how the decision to award it a tender was going to withstand audit and public scrutiny. I therefore cannot fault</w:t>
      </w:r>
      <w:r w:rsidR="006468BC">
        <w:rPr>
          <w:bCs/>
          <w:sz w:val="28"/>
          <w:szCs w:val="28"/>
          <w:lang w:val="en-GB"/>
        </w:rPr>
        <w:t xml:space="preserve"> </w:t>
      </w:r>
      <w:r>
        <w:rPr>
          <w:bCs/>
          <w:sz w:val="28"/>
          <w:szCs w:val="28"/>
          <w:lang w:val="en-GB"/>
        </w:rPr>
        <w:t>TP’s decision to award the tender to Ts</w:t>
      </w:r>
      <w:r w:rsidR="00085B6F">
        <w:rPr>
          <w:bCs/>
          <w:sz w:val="28"/>
          <w:szCs w:val="28"/>
          <w:lang w:val="en-GB"/>
        </w:rPr>
        <w:t>’</w:t>
      </w:r>
      <w:r>
        <w:rPr>
          <w:bCs/>
          <w:sz w:val="28"/>
          <w:szCs w:val="28"/>
          <w:lang w:val="en-GB"/>
        </w:rPr>
        <w:t>ilo. I prefer respondent</w:t>
      </w:r>
      <w:r w:rsidR="00881DB5">
        <w:rPr>
          <w:bCs/>
          <w:sz w:val="28"/>
          <w:szCs w:val="28"/>
          <w:lang w:val="en-GB"/>
        </w:rPr>
        <w:t>s</w:t>
      </w:r>
      <w:r>
        <w:rPr>
          <w:bCs/>
          <w:sz w:val="28"/>
          <w:szCs w:val="28"/>
          <w:lang w:val="en-GB"/>
        </w:rPr>
        <w:t>’ version that Ts</w:t>
      </w:r>
      <w:r w:rsidR="00085B6F">
        <w:rPr>
          <w:bCs/>
          <w:sz w:val="28"/>
          <w:szCs w:val="28"/>
          <w:lang w:val="en-GB"/>
        </w:rPr>
        <w:t>’</w:t>
      </w:r>
      <w:r>
        <w:rPr>
          <w:bCs/>
          <w:sz w:val="28"/>
          <w:szCs w:val="28"/>
          <w:lang w:val="en-GB"/>
        </w:rPr>
        <w:t xml:space="preserve">ilo’s tendered price was the one closest to the estimates. This version has not been disputed </w:t>
      </w:r>
      <w:r w:rsidR="006468BC">
        <w:rPr>
          <w:bCs/>
          <w:sz w:val="28"/>
          <w:szCs w:val="28"/>
          <w:lang w:val="en-GB"/>
        </w:rPr>
        <w:t xml:space="preserve">by Phakoe in </w:t>
      </w:r>
      <w:r w:rsidR="00935CF0">
        <w:rPr>
          <w:bCs/>
          <w:sz w:val="28"/>
          <w:szCs w:val="28"/>
          <w:lang w:val="en-GB"/>
        </w:rPr>
        <w:t xml:space="preserve">its </w:t>
      </w:r>
      <w:r>
        <w:rPr>
          <w:bCs/>
          <w:sz w:val="28"/>
          <w:szCs w:val="28"/>
          <w:lang w:val="en-GB"/>
        </w:rPr>
        <w:t xml:space="preserve">replying affidavit. </w:t>
      </w:r>
    </w:p>
    <w:p w14:paraId="017F3968" w14:textId="77777777" w:rsidR="00980F00" w:rsidRDefault="00980F00" w:rsidP="00FB34AD">
      <w:pPr>
        <w:spacing w:line="480" w:lineRule="auto"/>
        <w:jc w:val="both"/>
        <w:rPr>
          <w:bCs/>
          <w:sz w:val="28"/>
          <w:szCs w:val="28"/>
          <w:lang w:val="en-GB"/>
        </w:rPr>
      </w:pPr>
    </w:p>
    <w:p w14:paraId="3761BA01" w14:textId="23A0AE59" w:rsidR="00CB7485" w:rsidRDefault="00CB7485" w:rsidP="00CB7485">
      <w:pPr>
        <w:spacing w:line="480" w:lineRule="auto"/>
        <w:jc w:val="both"/>
        <w:rPr>
          <w:b/>
          <w:i/>
          <w:iCs/>
          <w:sz w:val="28"/>
          <w:szCs w:val="28"/>
          <w:lang w:val="en-GB"/>
        </w:rPr>
      </w:pPr>
      <w:r w:rsidRPr="00881DB5">
        <w:rPr>
          <w:b/>
          <w:i/>
          <w:iCs/>
          <w:sz w:val="28"/>
          <w:szCs w:val="28"/>
          <w:lang w:val="en-GB"/>
        </w:rPr>
        <w:t>T</w:t>
      </w:r>
      <w:r>
        <w:rPr>
          <w:b/>
          <w:i/>
          <w:iCs/>
          <w:sz w:val="28"/>
          <w:szCs w:val="28"/>
          <w:lang w:val="en-GB"/>
        </w:rPr>
        <w:t>he propriety of the appeal and the decision by the PPAD</w:t>
      </w:r>
    </w:p>
    <w:p w14:paraId="664D5BE7" w14:textId="77777777" w:rsidR="00CB7485" w:rsidRPr="00881DB5" w:rsidRDefault="00CB7485" w:rsidP="00CB7485">
      <w:pPr>
        <w:spacing w:line="480" w:lineRule="auto"/>
        <w:jc w:val="both"/>
        <w:rPr>
          <w:b/>
          <w:i/>
          <w:iCs/>
          <w:sz w:val="28"/>
          <w:szCs w:val="28"/>
          <w:lang w:val="en-GB"/>
        </w:rPr>
      </w:pPr>
    </w:p>
    <w:p w14:paraId="703BA99C" w14:textId="238FC26F" w:rsidR="009D6C7F" w:rsidRDefault="00CB7485" w:rsidP="00FB34AD">
      <w:pPr>
        <w:spacing w:line="480" w:lineRule="auto"/>
        <w:jc w:val="both"/>
        <w:rPr>
          <w:bCs/>
          <w:sz w:val="28"/>
          <w:szCs w:val="28"/>
          <w:lang w:val="en-GB"/>
        </w:rPr>
      </w:pPr>
      <w:r>
        <w:rPr>
          <w:bCs/>
          <w:sz w:val="28"/>
          <w:szCs w:val="28"/>
          <w:lang w:val="en-GB"/>
        </w:rPr>
        <w:t>[32]</w:t>
      </w:r>
      <w:r>
        <w:rPr>
          <w:bCs/>
          <w:sz w:val="28"/>
          <w:szCs w:val="28"/>
          <w:lang w:val="en-GB"/>
        </w:rPr>
        <w:tab/>
      </w:r>
      <w:r>
        <w:rPr>
          <w:bCs/>
          <w:sz w:val="28"/>
          <w:szCs w:val="28"/>
          <w:lang w:val="en-GB"/>
        </w:rPr>
        <w:tab/>
        <w:t xml:space="preserve">The powers of the PPAD and the legal force of its recommendations </w:t>
      </w:r>
      <w:r w:rsidR="00170952">
        <w:rPr>
          <w:bCs/>
          <w:sz w:val="28"/>
          <w:szCs w:val="28"/>
          <w:lang w:val="en-GB"/>
        </w:rPr>
        <w:t xml:space="preserve">have received </w:t>
      </w:r>
      <w:r w:rsidR="00935CF0">
        <w:rPr>
          <w:bCs/>
          <w:sz w:val="28"/>
          <w:szCs w:val="28"/>
          <w:lang w:val="en-GB"/>
        </w:rPr>
        <w:t>undoubted r</w:t>
      </w:r>
      <w:r w:rsidR="00170952">
        <w:rPr>
          <w:bCs/>
          <w:sz w:val="28"/>
          <w:szCs w:val="28"/>
          <w:lang w:val="en-GB"/>
        </w:rPr>
        <w:t xml:space="preserve">ecognition in this jurisdiction. In </w:t>
      </w:r>
      <w:r w:rsidR="00170952" w:rsidRPr="00DC0CFF">
        <w:rPr>
          <w:b/>
          <w:sz w:val="28"/>
          <w:szCs w:val="28"/>
          <w:lang w:val="en-GB"/>
        </w:rPr>
        <w:t>Drytex Lesotho (Pty) v</w:t>
      </w:r>
      <w:r w:rsidR="00DC0CFF" w:rsidRPr="00DC0CFF">
        <w:rPr>
          <w:b/>
          <w:sz w:val="28"/>
          <w:szCs w:val="28"/>
          <w:lang w:val="en-GB"/>
        </w:rPr>
        <w:t>.</w:t>
      </w:r>
      <w:r w:rsidR="00170952" w:rsidRPr="00DC0CFF">
        <w:rPr>
          <w:b/>
          <w:sz w:val="28"/>
          <w:szCs w:val="28"/>
          <w:lang w:val="en-GB"/>
        </w:rPr>
        <w:t xml:space="preserve"> Pyramid Laundry Services (Pty) Ltd and Others</w:t>
      </w:r>
      <w:r w:rsidR="00170952">
        <w:rPr>
          <w:rStyle w:val="FootnoteReference"/>
          <w:bCs/>
          <w:sz w:val="28"/>
          <w:szCs w:val="28"/>
          <w:lang w:val="en-GB"/>
        </w:rPr>
        <w:footnoteReference w:id="25"/>
      </w:r>
      <w:r w:rsidR="00AA421D">
        <w:rPr>
          <w:bCs/>
          <w:sz w:val="28"/>
          <w:szCs w:val="28"/>
          <w:lang w:val="en-GB"/>
        </w:rPr>
        <w:t xml:space="preserve"> </w:t>
      </w:r>
      <w:r w:rsidR="00AA421D" w:rsidRPr="006C1450">
        <w:rPr>
          <w:bCs/>
          <w:i/>
          <w:iCs/>
          <w:sz w:val="28"/>
          <w:szCs w:val="28"/>
          <w:lang w:val="en-GB"/>
        </w:rPr>
        <w:t>Cleaver</w:t>
      </w:r>
      <w:r w:rsidR="00AA421D">
        <w:rPr>
          <w:bCs/>
          <w:sz w:val="28"/>
          <w:szCs w:val="28"/>
          <w:lang w:val="en-GB"/>
        </w:rPr>
        <w:t xml:space="preserve"> AJA stated as follow</w:t>
      </w:r>
      <w:r w:rsidR="00935CF0">
        <w:rPr>
          <w:bCs/>
          <w:sz w:val="28"/>
          <w:szCs w:val="28"/>
          <w:lang w:val="en-GB"/>
        </w:rPr>
        <w:t>s w</w:t>
      </w:r>
      <w:r w:rsidR="00AA421D">
        <w:rPr>
          <w:bCs/>
          <w:sz w:val="28"/>
          <w:szCs w:val="28"/>
          <w:lang w:val="en-GB"/>
        </w:rPr>
        <w:t>hen speaking of the role of the PPAD:</w:t>
      </w:r>
    </w:p>
    <w:p w14:paraId="78231CB3" w14:textId="7611049F" w:rsidR="00AA421D" w:rsidRDefault="00AA421D" w:rsidP="00FB34AD">
      <w:pPr>
        <w:spacing w:line="480" w:lineRule="auto"/>
        <w:jc w:val="both"/>
        <w:rPr>
          <w:bCs/>
          <w:sz w:val="28"/>
          <w:szCs w:val="28"/>
          <w:lang w:val="en-GB"/>
        </w:rPr>
      </w:pPr>
    </w:p>
    <w:p w14:paraId="2A3AB97F" w14:textId="0E0DD0E2" w:rsidR="00B921E2" w:rsidRPr="005B01B5" w:rsidRDefault="00AA421D" w:rsidP="004C5E20">
      <w:pPr>
        <w:ind w:left="1440"/>
        <w:jc w:val="both"/>
        <w:rPr>
          <w:bCs/>
          <w:lang w:val="en-GB"/>
        </w:rPr>
      </w:pPr>
      <w:r w:rsidRPr="005B01B5">
        <w:rPr>
          <w:bCs/>
          <w:lang w:val="en-GB"/>
        </w:rPr>
        <w:t>“[17]</w:t>
      </w:r>
      <w:r w:rsidRPr="005B01B5">
        <w:rPr>
          <w:bCs/>
          <w:lang w:val="en-GB"/>
        </w:rPr>
        <w:tab/>
        <w:t>In my view the failure</w:t>
      </w:r>
      <w:r w:rsidR="001D47E0" w:rsidRPr="005B01B5">
        <w:rPr>
          <w:bCs/>
          <w:lang w:val="en-GB"/>
        </w:rPr>
        <w:t xml:space="preserve"> to comply with the recomme</w:t>
      </w:r>
      <w:r w:rsidR="000D5036" w:rsidRPr="005B01B5">
        <w:rPr>
          <w:bCs/>
          <w:lang w:val="en-GB"/>
        </w:rPr>
        <w:t>ndation of the PPAD and the requirement</w:t>
      </w:r>
      <w:r w:rsidR="0039017B" w:rsidRPr="005B01B5">
        <w:rPr>
          <w:bCs/>
          <w:lang w:val="en-GB"/>
        </w:rPr>
        <w:t xml:space="preserve">s of Regulation 30(1) is a breach of </w:t>
      </w:r>
      <w:r w:rsidR="009E5A2B" w:rsidRPr="005B01B5">
        <w:rPr>
          <w:bCs/>
          <w:lang w:val="en-GB"/>
        </w:rPr>
        <w:t xml:space="preserve">the procedure set out </w:t>
      </w:r>
      <w:r w:rsidR="00ED2D8F" w:rsidRPr="005B01B5">
        <w:rPr>
          <w:bCs/>
          <w:lang w:val="en-GB"/>
        </w:rPr>
        <w:t xml:space="preserve">under the regulations and renders the process </w:t>
      </w:r>
      <w:r w:rsidR="00B921E2" w:rsidRPr="005B01B5">
        <w:rPr>
          <w:bCs/>
          <w:lang w:val="en-GB"/>
        </w:rPr>
        <w:t xml:space="preserve">invalid and the </w:t>
      </w:r>
      <w:r w:rsidR="00F504A4" w:rsidRPr="005B01B5">
        <w:rPr>
          <w:bCs/>
          <w:lang w:val="en-GB"/>
        </w:rPr>
        <w:t xml:space="preserve">subsequent contract with the first respondent void.  </w:t>
      </w:r>
      <w:r w:rsidR="00B77559" w:rsidRPr="005B01B5">
        <w:rPr>
          <w:bCs/>
          <w:lang w:val="en-GB"/>
        </w:rPr>
        <w:t>W</w:t>
      </w:r>
      <w:r w:rsidR="00F504A4" w:rsidRPr="005B01B5">
        <w:rPr>
          <w:bCs/>
          <w:lang w:val="en-GB"/>
        </w:rPr>
        <w:t>ere</w:t>
      </w:r>
      <w:r w:rsidR="00B77559" w:rsidRPr="005B01B5">
        <w:rPr>
          <w:bCs/>
          <w:lang w:val="en-GB"/>
        </w:rPr>
        <w:t xml:space="preserve"> this finding not to be </w:t>
      </w:r>
      <w:r w:rsidR="001A09D4" w:rsidRPr="005B01B5">
        <w:rPr>
          <w:bCs/>
          <w:lang w:val="en-GB"/>
        </w:rPr>
        <w:t>made</w:t>
      </w:r>
      <w:r w:rsidR="00BC44B8">
        <w:rPr>
          <w:bCs/>
          <w:lang w:val="en-GB"/>
        </w:rPr>
        <w:t xml:space="preserve">, </w:t>
      </w:r>
      <w:r w:rsidR="00AE7BB2" w:rsidRPr="005B01B5">
        <w:rPr>
          <w:bCs/>
          <w:lang w:val="en-GB"/>
        </w:rPr>
        <w:t xml:space="preserve">the role of the PPAD </w:t>
      </w:r>
      <w:r w:rsidR="00ED39A9" w:rsidRPr="005B01B5">
        <w:rPr>
          <w:bCs/>
          <w:lang w:val="en-GB"/>
        </w:rPr>
        <w:t>as described</w:t>
      </w:r>
      <w:r w:rsidR="00FA2374" w:rsidRPr="005B01B5">
        <w:rPr>
          <w:bCs/>
          <w:lang w:val="en-GB"/>
        </w:rPr>
        <w:t xml:space="preserve"> in Reg. </w:t>
      </w:r>
      <w:r w:rsidR="005907C0" w:rsidRPr="005B01B5">
        <w:rPr>
          <w:bCs/>
          <w:lang w:val="en-GB"/>
        </w:rPr>
        <w:t>6 (1) would be nullified.  These reasons</w:t>
      </w:r>
      <w:r w:rsidR="00032980" w:rsidRPr="005B01B5">
        <w:rPr>
          <w:bCs/>
          <w:lang w:val="en-GB"/>
        </w:rPr>
        <w:t xml:space="preserve"> would also in my view satisfy the requirements for a </w:t>
      </w:r>
      <w:r w:rsidR="006F1FA0" w:rsidRPr="005B01B5">
        <w:rPr>
          <w:bCs/>
          <w:lang w:val="en-GB"/>
        </w:rPr>
        <w:t>successful review of the decision to award the contract to the first respondent.</w:t>
      </w:r>
      <w:r w:rsidR="005B01B5" w:rsidRPr="005B01B5">
        <w:rPr>
          <w:bCs/>
          <w:lang w:val="en-GB"/>
        </w:rPr>
        <w:t>”</w:t>
      </w:r>
    </w:p>
    <w:p w14:paraId="43B1BD51" w14:textId="14B89363" w:rsidR="00AA421D" w:rsidRDefault="00AA421D" w:rsidP="00FB34AD">
      <w:pPr>
        <w:spacing w:line="480" w:lineRule="auto"/>
        <w:jc w:val="both"/>
        <w:rPr>
          <w:bCs/>
          <w:sz w:val="28"/>
          <w:szCs w:val="28"/>
          <w:lang w:val="en-GB"/>
        </w:rPr>
      </w:pPr>
    </w:p>
    <w:p w14:paraId="07FAF0F8" w14:textId="43D65110" w:rsidR="00AA421D" w:rsidRDefault="00AA421D" w:rsidP="00FB34AD">
      <w:pPr>
        <w:spacing w:line="480" w:lineRule="auto"/>
        <w:jc w:val="both"/>
        <w:rPr>
          <w:bCs/>
          <w:sz w:val="28"/>
          <w:szCs w:val="28"/>
          <w:lang w:val="en-GB"/>
        </w:rPr>
      </w:pPr>
      <w:r>
        <w:rPr>
          <w:bCs/>
          <w:sz w:val="28"/>
          <w:szCs w:val="28"/>
          <w:lang w:val="en-GB"/>
        </w:rPr>
        <w:t>[33]</w:t>
      </w:r>
      <w:r>
        <w:rPr>
          <w:bCs/>
          <w:sz w:val="28"/>
          <w:szCs w:val="28"/>
          <w:lang w:val="en-GB"/>
        </w:rPr>
        <w:tab/>
      </w:r>
      <w:r>
        <w:rPr>
          <w:bCs/>
          <w:sz w:val="28"/>
          <w:szCs w:val="28"/>
          <w:lang w:val="en-GB"/>
        </w:rPr>
        <w:tab/>
        <w:t xml:space="preserve">Later in </w:t>
      </w:r>
      <w:r w:rsidR="00DC0CFF" w:rsidRPr="00DC0CFF">
        <w:rPr>
          <w:b/>
          <w:sz w:val="28"/>
          <w:szCs w:val="28"/>
          <w:lang w:val="en-GB"/>
        </w:rPr>
        <w:t>Minet Lesotho (Pty) Ltd and Others v. Minister of Defence and National Security</w:t>
      </w:r>
      <w:r w:rsidR="00DC0CFF">
        <w:rPr>
          <w:rStyle w:val="FootnoteReference"/>
          <w:bCs/>
          <w:sz w:val="28"/>
          <w:szCs w:val="28"/>
          <w:lang w:val="en-GB"/>
        </w:rPr>
        <w:footnoteReference w:id="26"/>
      </w:r>
      <w:r w:rsidR="00DC0CFF">
        <w:rPr>
          <w:bCs/>
          <w:sz w:val="28"/>
          <w:szCs w:val="28"/>
          <w:lang w:val="en-GB"/>
        </w:rPr>
        <w:t xml:space="preserve">  </w:t>
      </w:r>
      <w:r w:rsidR="00DC0CFF" w:rsidRPr="00935CF0">
        <w:rPr>
          <w:bCs/>
          <w:i/>
          <w:iCs/>
          <w:sz w:val="28"/>
          <w:szCs w:val="28"/>
          <w:lang w:val="en-GB"/>
        </w:rPr>
        <w:t>Van Der Westhuizen</w:t>
      </w:r>
      <w:r w:rsidR="00DC0CFF">
        <w:rPr>
          <w:bCs/>
          <w:sz w:val="28"/>
          <w:szCs w:val="28"/>
          <w:lang w:val="en-GB"/>
        </w:rPr>
        <w:t xml:space="preserve"> AJA emphasised the significance of the PPAD</w:t>
      </w:r>
      <w:r w:rsidR="00935CF0">
        <w:rPr>
          <w:bCs/>
          <w:sz w:val="28"/>
          <w:szCs w:val="28"/>
          <w:lang w:val="en-GB"/>
        </w:rPr>
        <w:t xml:space="preserve"> in public procurement</w:t>
      </w:r>
      <w:r w:rsidR="00DC0CFF">
        <w:rPr>
          <w:bCs/>
          <w:sz w:val="28"/>
          <w:szCs w:val="28"/>
          <w:lang w:val="en-GB"/>
        </w:rPr>
        <w:t xml:space="preserve"> as follows</w:t>
      </w:r>
      <w:r w:rsidR="00935CF0">
        <w:rPr>
          <w:bCs/>
          <w:sz w:val="28"/>
          <w:szCs w:val="28"/>
          <w:lang w:val="en-GB"/>
        </w:rPr>
        <w:t>:</w:t>
      </w:r>
      <w:r w:rsidR="00DC0CFF">
        <w:rPr>
          <w:bCs/>
          <w:sz w:val="28"/>
          <w:szCs w:val="28"/>
          <w:lang w:val="en-GB"/>
        </w:rPr>
        <w:t xml:space="preserve"> </w:t>
      </w:r>
    </w:p>
    <w:p w14:paraId="4E25F1CD" w14:textId="20BA1F50" w:rsidR="00DC0CFF" w:rsidRDefault="00DC0CFF" w:rsidP="00FB34AD">
      <w:pPr>
        <w:spacing w:line="480" w:lineRule="auto"/>
        <w:jc w:val="both"/>
        <w:rPr>
          <w:bCs/>
          <w:sz w:val="28"/>
          <w:szCs w:val="28"/>
          <w:lang w:val="en-GB"/>
        </w:rPr>
      </w:pPr>
    </w:p>
    <w:p w14:paraId="1F5011BD" w14:textId="76CE98EB" w:rsidR="00DC0CFF" w:rsidRDefault="00DC0CFF" w:rsidP="005424E6">
      <w:pPr>
        <w:ind w:left="1440"/>
        <w:jc w:val="both"/>
        <w:rPr>
          <w:bCs/>
          <w:sz w:val="28"/>
          <w:szCs w:val="28"/>
          <w:lang w:val="en-GB"/>
        </w:rPr>
      </w:pPr>
      <w:r w:rsidRPr="005424E6">
        <w:rPr>
          <w:bCs/>
          <w:lang w:val="en-GB"/>
        </w:rPr>
        <w:t>“[27]</w:t>
      </w:r>
      <w:r w:rsidRPr="005424E6">
        <w:rPr>
          <w:bCs/>
          <w:lang w:val="en-GB"/>
        </w:rPr>
        <w:tab/>
        <w:t>Besides the regulations</w:t>
      </w:r>
      <w:r w:rsidR="00983A77">
        <w:rPr>
          <w:bCs/>
          <w:sz w:val="28"/>
          <w:szCs w:val="28"/>
          <w:lang w:val="en-GB"/>
        </w:rPr>
        <w:t xml:space="preserve"> </w:t>
      </w:r>
      <w:r w:rsidR="00983A77">
        <w:t>common sense, as well as one’s sense of justice and morality, dictates that the contract should not have 10 been signed in circumstances like those at stake here. The purpose of the creation of PPAD is to deal with complaints in an area fraught with possibilities for fraud and irregularity. It should instill confidence in tenderers and the public that procurement procedures will be conducted fairly. PPAD has the power to suspend a tender under investigation. It would make no sense – other than to undermine PPAD and render it powerless and irrelevant - if a government department could simply ignore its rulings. The conduct of MoD may well create suspicion regarding its motivation.</w:t>
      </w:r>
      <w:r w:rsidR="005424E6">
        <w:t>”</w:t>
      </w:r>
    </w:p>
    <w:p w14:paraId="20084B20" w14:textId="2B7B07A0" w:rsidR="009D6C7F" w:rsidRDefault="009D6C7F" w:rsidP="00FB34AD">
      <w:pPr>
        <w:spacing w:line="480" w:lineRule="auto"/>
        <w:jc w:val="both"/>
        <w:rPr>
          <w:bCs/>
          <w:sz w:val="28"/>
          <w:szCs w:val="28"/>
          <w:lang w:val="en-GB"/>
        </w:rPr>
      </w:pPr>
    </w:p>
    <w:p w14:paraId="24B2CDB3" w14:textId="77777777" w:rsidR="00C36479" w:rsidRDefault="00B236CB" w:rsidP="00FB34AD">
      <w:pPr>
        <w:spacing w:line="480" w:lineRule="auto"/>
        <w:jc w:val="both"/>
        <w:rPr>
          <w:bCs/>
          <w:sz w:val="28"/>
          <w:szCs w:val="28"/>
          <w:lang w:val="en-GB"/>
        </w:rPr>
      </w:pPr>
      <w:r>
        <w:rPr>
          <w:bCs/>
          <w:sz w:val="28"/>
          <w:szCs w:val="28"/>
          <w:lang w:val="en-GB"/>
        </w:rPr>
        <w:t>[34]</w:t>
      </w:r>
      <w:r>
        <w:rPr>
          <w:bCs/>
          <w:sz w:val="28"/>
          <w:szCs w:val="28"/>
          <w:lang w:val="en-GB"/>
        </w:rPr>
        <w:tab/>
      </w:r>
      <w:r>
        <w:rPr>
          <w:bCs/>
          <w:sz w:val="28"/>
          <w:szCs w:val="28"/>
          <w:lang w:val="en-GB"/>
        </w:rPr>
        <w:tab/>
        <w:t xml:space="preserve">In both decisions of the Court of Appeal, the decision or recommendations of the PPAD had not been followed by the Units. In </w:t>
      </w:r>
      <w:r w:rsidRPr="00B236CB">
        <w:rPr>
          <w:b/>
          <w:sz w:val="28"/>
          <w:szCs w:val="28"/>
          <w:lang w:val="en-GB"/>
        </w:rPr>
        <w:t>Minet</w:t>
      </w:r>
      <w:r w:rsidRPr="00B236CB">
        <w:rPr>
          <w:bCs/>
          <w:sz w:val="28"/>
          <w:szCs w:val="28"/>
          <w:lang w:val="en-GB"/>
        </w:rPr>
        <w:t>,</w:t>
      </w:r>
      <w:r>
        <w:rPr>
          <w:bCs/>
          <w:sz w:val="28"/>
          <w:szCs w:val="28"/>
          <w:lang w:val="en-GB"/>
        </w:rPr>
        <w:t xml:space="preserve"> </w:t>
      </w:r>
      <w:r w:rsidRPr="00B236CB">
        <w:rPr>
          <w:bCs/>
          <w:i/>
          <w:iCs/>
          <w:sz w:val="28"/>
          <w:szCs w:val="28"/>
          <w:lang w:val="en-GB"/>
        </w:rPr>
        <w:t>supra</w:t>
      </w:r>
      <w:r>
        <w:rPr>
          <w:bCs/>
          <w:sz w:val="28"/>
          <w:szCs w:val="28"/>
          <w:lang w:val="en-GB"/>
        </w:rPr>
        <w:t>, the Unit had, fully aware of a pending dispute and contrary to the directive of the PPAD, concluded a contract. However, the Unit i</w:t>
      </w:r>
      <w:r w:rsidR="008A530B">
        <w:rPr>
          <w:bCs/>
          <w:sz w:val="28"/>
          <w:szCs w:val="28"/>
          <w:lang w:val="en-GB"/>
        </w:rPr>
        <w:t>n</w:t>
      </w:r>
      <w:r>
        <w:rPr>
          <w:bCs/>
          <w:sz w:val="28"/>
          <w:szCs w:val="28"/>
          <w:lang w:val="en-GB"/>
        </w:rPr>
        <w:t xml:space="preserve"> </w:t>
      </w:r>
      <w:r w:rsidRPr="00B236CB">
        <w:rPr>
          <w:bCs/>
          <w:i/>
          <w:iCs/>
          <w:sz w:val="28"/>
          <w:szCs w:val="28"/>
          <w:lang w:val="en-GB"/>
        </w:rPr>
        <w:t xml:space="preserve">casu </w:t>
      </w:r>
      <w:r>
        <w:rPr>
          <w:bCs/>
          <w:sz w:val="28"/>
          <w:szCs w:val="28"/>
          <w:lang w:val="en-GB"/>
        </w:rPr>
        <w:t xml:space="preserve">claims </w:t>
      </w:r>
      <w:r w:rsidR="008A530B">
        <w:rPr>
          <w:bCs/>
          <w:sz w:val="28"/>
          <w:szCs w:val="28"/>
          <w:lang w:val="en-GB"/>
        </w:rPr>
        <w:t>that to its knowledge, there was no appeal made at the time the contract was signed, more so when it had not received a notice of complaint</w:t>
      </w:r>
      <w:r w:rsidR="008A530B">
        <w:rPr>
          <w:rStyle w:val="FootnoteReference"/>
          <w:bCs/>
          <w:sz w:val="28"/>
          <w:szCs w:val="28"/>
          <w:lang w:val="en-GB"/>
        </w:rPr>
        <w:footnoteReference w:id="27"/>
      </w:r>
      <w:r w:rsidR="008A530B">
        <w:rPr>
          <w:bCs/>
          <w:sz w:val="28"/>
          <w:szCs w:val="28"/>
          <w:lang w:val="en-GB"/>
        </w:rPr>
        <w:t xml:space="preserve">. </w:t>
      </w:r>
    </w:p>
    <w:p w14:paraId="1EC4DF61" w14:textId="77777777" w:rsidR="00C36479" w:rsidRDefault="00C36479" w:rsidP="00FB34AD">
      <w:pPr>
        <w:spacing w:line="480" w:lineRule="auto"/>
        <w:jc w:val="both"/>
        <w:rPr>
          <w:bCs/>
          <w:sz w:val="28"/>
          <w:szCs w:val="28"/>
          <w:lang w:val="en-GB"/>
        </w:rPr>
      </w:pPr>
    </w:p>
    <w:p w14:paraId="29E05A65" w14:textId="10B6FE7E" w:rsidR="00B236CB" w:rsidRDefault="00C36479" w:rsidP="00FB34AD">
      <w:pPr>
        <w:spacing w:line="480" w:lineRule="auto"/>
        <w:jc w:val="both"/>
        <w:rPr>
          <w:bCs/>
          <w:sz w:val="28"/>
          <w:szCs w:val="28"/>
          <w:lang w:val="en-GB"/>
        </w:rPr>
      </w:pPr>
      <w:r>
        <w:rPr>
          <w:bCs/>
          <w:sz w:val="28"/>
          <w:szCs w:val="28"/>
          <w:lang w:val="en-GB"/>
        </w:rPr>
        <w:t>[35]</w:t>
      </w:r>
      <w:r>
        <w:rPr>
          <w:bCs/>
          <w:sz w:val="28"/>
          <w:szCs w:val="28"/>
          <w:lang w:val="en-GB"/>
        </w:rPr>
        <w:tab/>
      </w:r>
      <w:r>
        <w:rPr>
          <w:bCs/>
          <w:sz w:val="28"/>
          <w:szCs w:val="28"/>
          <w:lang w:val="en-GB"/>
        </w:rPr>
        <w:tab/>
      </w:r>
      <w:r w:rsidR="008A530B">
        <w:rPr>
          <w:bCs/>
          <w:sz w:val="28"/>
          <w:szCs w:val="28"/>
          <w:lang w:val="en-GB"/>
        </w:rPr>
        <w:t xml:space="preserve">In a </w:t>
      </w:r>
      <w:r>
        <w:rPr>
          <w:bCs/>
          <w:sz w:val="28"/>
          <w:szCs w:val="28"/>
          <w:lang w:val="en-GB"/>
        </w:rPr>
        <w:t xml:space="preserve">vain </w:t>
      </w:r>
      <w:r w:rsidR="008A530B">
        <w:rPr>
          <w:bCs/>
          <w:sz w:val="28"/>
          <w:szCs w:val="28"/>
          <w:lang w:val="en-GB"/>
        </w:rPr>
        <w:t>attempt to rebut the assertion that the Unit</w:t>
      </w:r>
      <w:r>
        <w:rPr>
          <w:bCs/>
          <w:sz w:val="28"/>
          <w:szCs w:val="28"/>
          <w:lang w:val="en-GB"/>
        </w:rPr>
        <w:t xml:space="preserve"> was</w:t>
      </w:r>
      <w:r w:rsidR="008A530B">
        <w:rPr>
          <w:bCs/>
          <w:sz w:val="28"/>
          <w:szCs w:val="28"/>
          <w:lang w:val="en-GB"/>
        </w:rPr>
        <w:t xml:space="preserve"> not aware of the appeal when it concluded the contract, Phakoe relies on the information it received from the PPAD </w:t>
      </w:r>
      <w:r>
        <w:rPr>
          <w:bCs/>
          <w:sz w:val="28"/>
          <w:szCs w:val="28"/>
          <w:lang w:val="en-GB"/>
        </w:rPr>
        <w:t>on the 29</w:t>
      </w:r>
      <w:r w:rsidRPr="00C36479">
        <w:rPr>
          <w:bCs/>
          <w:sz w:val="28"/>
          <w:szCs w:val="28"/>
          <w:vertAlign w:val="superscript"/>
          <w:lang w:val="en-GB"/>
        </w:rPr>
        <w:t>th</w:t>
      </w:r>
      <w:r>
        <w:rPr>
          <w:bCs/>
          <w:sz w:val="28"/>
          <w:szCs w:val="28"/>
          <w:lang w:val="en-GB"/>
        </w:rPr>
        <w:t xml:space="preserve"> January 2019 </w:t>
      </w:r>
      <w:r w:rsidR="008A530B">
        <w:rPr>
          <w:bCs/>
          <w:sz w:val="28"/>
          <w:szCs w:val="28"/>
          <w:lang w:val="en-GB"/>
        </w:rPr>
        <w:t xml:space="preserve">that the </w:t>
      </w:r>
      <w:r>
        <w:rPr>
          <w:bCs/>
          <w:sz w:val="28"/>
          <w:szCs w:val="28"/>
          <w:lang w:val="en-GB"/>
        </w:rPr>
        <w:t xml:space="preserve">appeal </w:t>
      </w:r>
      <w:r w:rsidR="00935CF0">
        <w:rPr>
          <w:bCs/>
          <w:sz w:val="28"/>
          <w:szCs w:val="28"/>
          <w:lang w:val="en-GB"/>
        </w:rPr>
        <w:t xml:space="preserve">could </w:t>
      </w:r>
      <w:r w:rsidR="008A530B">
        <w:rPr>
          <w:bCs/>
          <w:sz w:val="28"/>
          <w:szCs w:val="28"/>
          <w:lang w:val="en-GB"/>
        </w:rPr>
        <w:t xml:space="preserve">not proceed </w:t>
      </w:r>
      <w:r>
        <w:rPr>
          <w:bCs/>
          <w:sz w:val="28"/>
          <w:szCs w:val="28"/>
          <w:lang w:val="en-GB"/>
        </w:rPr>
        <w:t>as scheduled b</w:t>
      </w:r>
      <w:r w:rsidR="008A530B">
        <w:rPr>
          <w:bCs/>
          <w:sz w:val="28"/>
          <w:szCs w:val="28"/>
          <w:lang w:val="en-GB"/>
        </w:rPr>
        <w:t xml:space="preserve">ecause </w:t>
      </w:r>
      <w:r>
        <w:rPr>
          <w:bCs/>
          <w:sz w:val="28"/>
          <w:szCs w:val="28"/>
          <w:lang w:val="en-GB"/>
        </w:rPr>
        <w:t xml:space="preserve">contrary to the usual </w:t>
      </w:r>
      <w:r w:rsidR="00935CF0">
        <w:rPr>
          <w:bCs/>
          <w:sz w:val="28"/>
          <w:szCs w:val="28"/>
          <w:lang w:val="en-GB"/>
        </w:rPr>
        <w:t xml:space="preserve">telephone </w:t>
      </w:r>
      <w:r>
        <w:rPr>
          <w:bCs/>
          <w:sz w:val="28"/>
          <w:szCs w:val="28"/>
          <w:lang w:val="en-GB"/>
        </w:rPr>
        <w:t>invitation</w:t>
      </w:r>
      <w:r w:rsidR="00935CF0">
        <w:rPr>
          <w:bCs/>
          <w:sz w:val="28"/>
          <w:szCs w:val="28"/>
          <w:lang w:val="en-GB"/>
        </w:rPr>
        <w:t xml:space="preserve">, the Unit </w:t>
      </w:r>
      <w:r w:rsidR="008A530B">
        <w:rPr>
          <w:bCs/>
          <w:sz w:val="28"/>
          <w:szCs w:val="28"/>
          <w:lang w:val="en-GB"/>
        </w:rPr>
        <w:t xml:space="preserve">had asked for a letter of invitation to </w:t>
      </w:r>
      <w:r>
        <w:rPr>
          <w:bCs/>
          <w:sz w:val="28"/>
          <w:szCs w:val="28"/>
          <w:lang w:val="en-GB"/>
        </w:rPr>
        <w:t xml:space="preserve">PPAD’s </w:t>
      </w:r>
      <w:r w:rsidR="008A530B">
        <w:rPr>
          <w:bCs/>
          <w:sz w:val="28"/>
          <w:szCs w:val="28"/>
          <w:lang w:val="en-GB"/>
        </w:rPr>
        <w:t>proceedings</w:t>
      </w:r>
      <w:r>
        <w:rPr>
          <w:rStyle w:val="FootnoteReference"/>
          <w:bCs/>
          <w:sz w:val="28"/>
          <w:szCs w:val="28"/>
          <w:lang w:val="en-GB"/>
        </w:rPr>
        <w:footnoteReference w:id="28"/>
      </w:r>
      <w:r>
        <w:rPr>
          <w:bCs/>
          <w:sz w:val="28"/>
          <w:szCs w:val="28"/>
          <w:lang w:val="en-GB"/>
        </w:rPr>
        <w:t xml:space="preserve">. </w:t>
      </w:r>
      <w:r w:rsidR="008A530B">
        <w:rPr>
          <w:bCs/>
          <w:sz w:val="28"/>
          <w:szCs w:val="28"/>
          <w:lang w:val="en-GB"/>
        </w:rPr>
        <w:t xml:space="preserve"> </w:t>
      </w:r>
      <w:r>
        <w:rPr>
          <w:bCs/>
          <w:sz w:val="28"/>
          <w:szCs w:val="28"/>
          <w:lang w:val="en-GB"/>
        </w:rPr>
        <w:t>This is clearly hearsay and cannot be relied upon. There is no evidence that at the time the contract was concluded on 5</w:t>
      </w:r>
      <w:r w:rsidRPr="00C36479">
        <w:rPr>
          <w:bCs/>
          <w:sz w:val="28"/>
          <w:szCs w:val="28"/>
          <w:vertAlign w:val="superscript"/>
          <w:lang w:val="en-GB"/>
        </w:rPr>
        <w:t>th</w:t>
      </w:r>
      <w:r>
        <w:rPr>
          <w:bCs/>
          <w:sz w:val="28"/>
          <w:szCs w:val="28"/>
          <w:lang w:val="en-GB"/>
        </w:rPr>
        <w:t xml:space="preserve"> February 2019, the respondents were aware of the </w:t>
      </w:r>
      <w:r>
        <w:rPr>
          <w:bCs/>
          <w:sz w:val="28"/>
          <w:szCs w:val="28"/>
          <w:lang w:val="en-GB"/>
        </w:rPr>
        <w:lastRenderedPageBreak/>
        <w:t xml:space="preserve">pending appeal. </w:t>
      </w:r>
    </w:p>
    <w:p w14:paraId="4CC23A12" w14:textId="523A90AA" w:rsidR="00F61C31" w:rsidRDefault="00F61C31" w:rsidP="00FB34AD">
      <w:pPr>
        <w:spacing w:line="480" w:lineRule="auto"/>
        <w:jc w:val="both"/>
        <w:rPr>
          <w:bCs/>
          <w:sz w:val="28"/>
          <w:szCs w:val="28"/>
          <w:lang w:val="en-GB"/>
        </w:rPr>
      </w:pPr>
    </w:p>
    <w:p w14:paraId="02452951" w14:textId="0CD82071" w:rsidR="00F61C31" w:rsidRDefault="00F61C31" w:rsidP="00FB34AD">
      <w:pPr>
        <w:spacing w:line="480" w:lineRule="auto"/>
        <w:jc w:val="both"/>
        <w:rPr>
          <w:b/>
          <w:sz w:val="28"/>
          <w:szCs w:val="28"/>
          <w:lang w:val="en-GB"/>
        </w:rPr>
      </w:pPr>
      <w:r>
        <w:rPr>
          <w:bCs/>
          <w:sz w:val="28"/>
          <w:szCs w:val="28"/>
          <w:lang w:val="en-GB"/>
        </w:rPr>
        <w:t>[36]</w:t>
      </w:r>
      <w:r>
        <w:rPr>
          <w:bCs/>
          <w:sz w:val="28"/>
          <w:szCs w:val="28"/>
          <w:lang w:val="en-GB"/>
        </w:rPr>
        <w:tab/>
      </w:r>
      <w:r>
        <w:rPr>
          <w:bCs/>
          <w:sz w:val="28"/>
          <w:szCs w:val="28"/>
          <w:lang w:val="en-GB"/>
        </w:rPr>
        <w:tab/>
        <w:t xml:space="preserve">In addition, it is common cause that no complaint had been lodged with the Unit. Resultantly, there </w:t>
      </w:r>
      <w:r w:rsidR="00F37628">
        <w:rPr>
          <w:bCs/>
          <w:sz w:val="28"/>
          <w:szCs w:val="28"/>
          <w:lang w:val="en-GB"/>
        </w:rPr>
        <w:t xml:space="preserve">were no </w:t>
      </w:r>
      <w:r>
        <w:rPr>
          <w:bCs/>
          <w:sz w:val="28"/>
          <w:szCs w:val="28"/>
          <w:lang w:val="en-GB"/>
        </w:rPr>
        <w:t xml:space="preserve">jurisdictional facts in terms of the regulations for the PPAD to hear the appeal or the complaint. </w:t>
      </w:r>
      <w:r w:rsidRPr="00F61C31">
        <w:rPr>
          <w:bCs/>
          <w:i/>
          <w:iCs/>
          <w:sz w:val="28"/>
          <w:szCs w:val="28"/>
          <w:lang w:val="en-GB"/>
        </w:rPr>
        <w:t>PT Damaseb</w:t>
      </w:r>
      <w:r>
        <w:rPr>
          <w:bCs/>
          <w:sz w:val="28"/>
          <w:szCs w:val="28"/>
          <w:lang w:val="en-GB"/>
        </w:rPr>
        <w:t xml:space="preserve"> AJA said the following in </w:t>
      </w:r>
      <w:r w:rsidRPr="00F61C31">
        <w:rPr>
          <w:b/>
          <w:sz w:val="28"/>
          <w:szCs w:val="28"/>
          <w:lang w:val="en-GB"/>
        </w:rPr>
        <w:t>Procurement Policy and Advice Division and One v. Laxton Group Limited</w:t>
      </w:r>
      <w:r>
        <w:rPr>
          <w:rStyle w:val="FootnoteReference"/>
          <w:b/>
          <w:sz w:val="28"/>
          <w:szCs w:val="28"/>
          <w:lang w:val="en-GB"/>
        </w:rPr>
        <w:footnoteReference w:id="29"/>
      </w:r>
      <w:r>
        <w:rPr>
          <w:b/>
          <w:sz w:val="28"/>
          <w:szCs w:val="28"/>
          <w:lang w:val="en-GB"/>
        </w:rPr>
        <w:t xml:space="preserve"> </w:t>
      </w:r>
      <w:r w:rsidRPr="00F61C31">
        <w:rPr>
          <w:bCs/>
          <w:sz w:val="28"/>
          <w:szCs w:val="28"/>
          <w:lang w:val="en-GB"/>
        </w:rPr>
        <w:t xml:space="preserve">in circumstances similar to the one in </w:t>
      </w:r>
      <w:r w:rsidRPr="00F61C31">
        <w:rPr>
          <w:bCs/>
          <w:i/>
          <w:iCs/>
          <w:sz w:val="28"/>
          <w:szCs w:val="28"/>
          <w:lang w:val="en-GB"/>
        </w:rPr>
        <w:t>casu</w:t>
      </w:r>
      <w:r w:rsidRPr="00F61C31">
        <w:rPr>
          <w:b/>
          <w:i/>
          <w:iCs/>
          <w:sz w:val="28"/>
          <w:szCs w:val="28"/>
          <w:lang w:val="en-GB"/>
        </w:rPr>
        <w:t>:</w:t>
      </w:r>
      <w:r>
        <w:rPr>
          <w:b/>
          <w:sz w:val="28"/>
          <w:szCs w:val="28"/>
          <w:lang w:val="en-GB"/>
        </w:rPr>
        <w:t xml:space="preserve"> </w:t>
      </w:r>
    </w:p>
    <w:p w14:paraId="119F7DB1" w14:textId="0DCCB25A" w:rsidR="00F61C31" w:rsidRPr="00FE2932" w:rsidRDefault="00F61C31" w:rsidP="001464ED">
      <w:pPr>
        <w:ind w:left="1440"/>
        <w:jc w:val="both"/>
        <w:rPr>
          <w:bCs/>
          <w:lang w:val="en-GB"/>
        </w:rPr>
      </w:pPr>
      <w:r w:rsidRPr="001464ED">
        <w:rPr>
          <w:bCs/>
          <w:lang w:val="en-GB"/>
        </w:rPr>
        <w:t>“[56]</w:t>
      </w:r>
      <w:r w:rsidRPr="001464ED">
        <w:rPr>
          <w:bCs/>
          <w:lang w:val="en-GB"/>
        </w:rPr>
        <w:tab/>
        <w:t>It is clear from the</w:t>
      </w:r>
      <w:r w:rsidR="00CC3007" w:rsidRPr="001464ED">
        <w:rPr>
          <w:bCs/>
          <w:lang w:val="en-GB"/>
        </w:rPr>
        <w:t xml:space="preserve"> dispute resolution framework that I set out above</w:t>
      </w:r>
      <w:r w:rsidR="00B7251D" w:rsidRPr="001464ED">
        <w:rPr>
          <w:bCs/>
          <w:lang w:val="en-GB"/>
        </w:rPr>
        <w:t xml:space="preserve"> (in paragraphs 18-19) that it is only once the complaints procedure</w:t>
      </w:r>
      <w:r w:rsidR="000F5D78" w:rsidRPr="001464ED">
        <w:rPr>
          <w:bCs/>
          <w:lang w:val="en-GB"/>
        </w:rPr>
        <w:t xml:space="preserve"> to the Procurement Unit is exhausted that an appeal lies to the </w:t>
      </w:r>
      <w:r w:rsidR="0038481C" w:rsidRPr="001464ED">
        <w:rPr>
          <w:bCs/>
          <w:lang w:val="en-GB"/>
        </w:rPr>
        <w:t>PPAD.  The Regulations make no provision for leapfro</w:t>
      </w:r>
      <w:r w:rsidR="004D24F8">
        <w:rPr>
          <w:bCs/>
          <w:lang w:val="en-GB"/>
        </w:rPr>
        <w:t>gg</w:t>
      </w:r>
      <w:r w:rsidR="0038481C" w:rsidRPr="001464ED">
        <w:rPr>
          <w:bCs/>
          <w:lang w:val="en-GB"/>
        </w:rPr>
        <w:t>ing an appeal</w:t>
      </w:r>
      <w:r w:rsidR="0038481C" w:rsidRPr="00FE2932">
        <w:rPr>
          <w:bCs/>
          <w:lang w:val="en-GB"/>
        </w:rPr>
        <w:t xml:space="preserve"> to PPAD without recourse, in the first instance, to the Procurement Unit.  PPAD therefore acted beyond </w:t>
      </w:r>
      <w:r w:rsidR="00DC5099" w:rsidRPr="00FE2932">
        <w:rPr>
          <w:bCs/>
          <w:lang w:val="en-GB"/>
        </w:rPr>
        <w:t xml:space="preserve">its power in assuming jurisdiction over the complaints by the </w:t>
      </w:r>
      <w:r w:rsidR="00851391" w:rsidRPr="00FE2932">
        <w:rPr>
          <w:bCs/>
          <w:lang w:val="en-GB"/>
        </w:rPr>
        <w:t>unsuccessful bidders.  But that is not the end of the irregularity on PPAD’s part app</w:t>
      </w:r>
      <w:r w:rsidR="0044602E" w:rsidRPr="00FE2932">
        <w:rPr>
          <w:bCs/>
          <w:lang w:val="en-GB"/>
        </w:rPr>
        <w:t>arent on the record.</w:t>
      </w:r>
    </w:p>
    <w:p w14:paraId="5F8180A5" w14:textId="063124B8" w:rsidR="0044602E" w:rsidRDefault="0044602E" w:rsidP="00CC3007">
      <w:pPr>
        <w:spacing w:line="480" w:lineRule="auto"/>
        <w:ind w:left="1440"/>
        <w:jc w:val="both"/>
        <w:rPr>
          <w:bCs/>
          <w:sz w:val="28"/>
          <w:szCs w:val="28"/>
          <w:lang w:val="en-GB"/>
        </w:rPr>
      </w:pPr>
    </w:p>
    <w:p w14:paraId="265A541A" w14:textId="411F5887" w:rsidR="0044602E" w:rsidRDefault="0044602E" w:rsidP="00FE2932">
      <w:pPr>
        <w:ind w:left="1440"/>
        <w:jc w:val="both"/>
        <w:rPr>
          <w:bCs/>
          <w:lang w:val="en-GB"/>
        </w:rPr>
      </w:pPr>
      <w:r w:rsidRPr="00FE2932">
        <w:rPr>
          <w:bCs/>
          <w:lang w:val="en-GB"/>
        </w:rPr>
        <w:t>[57]</w:t>
      </w:r>
      <w:r w:rsidRPr="00FE2932">
        <w:rPr>
          <w:bCs/>
          <w:lang w:val="en-GB"/>
        </w:rPr>
        <w:tab/>
        <w:t xml:space="preserve">However it became seized of the </w:t>
      </w:r>
      <w:r w:rsidR="0006213B" w:rsidRPr="00FE2932">
        <w:rPr>
          <w:bCs/>
          <w:lang w:val="en-GB"/>
        </w:rPr>
        <w:t>complaints, PPAD had the duty to follow the procedure set out in the Regulations for the adju</w:t>
      </w:r>
      <w:r w:rsidR="00760FE2" w:rsidRPr="00FE2932">
        <w:rPr>
          <w:bCs/>
          <w:lang w:val="en-GB"/>
        </w:rPr>
        <w:t>dication of appeals to it.  I have set out that procedure fully and need not repeat it here.  Suffice it to say that PPAD was required to app</w:t>
      </w:r>
      <w:r w:rsidR="003445C0" w:rsidRPr="00FE2932">
        <w:rPr>
          <w:bCs/>
          <w:lang w:val="en-GB"/>
        </w:rPr>
        <w:t xml:space="preserve">rise Laxton of the </w:t>
      </w:r>
      <w:r w:rsidR="00985026" w:rsidRPr="00FE2932">
        <w:rPr>
          <w:bCs/>
          <w:lang w:val="en-GB"/>
        </w:rPr>
        <w:t>complaints and to afford it audi which it failed to do.”</w:t>
      </w:r>
      <w:r w:rsidR="003445C0" w:rsidRPr="00FE2932">
        <w:rPr>
          <w:bCs/>
          <w:lang w:val="en-GB"/>
        </w:rPr>
        <w:t xml:space="preserve"> </w:t>
      </w:r>
      <w:r w:rsidRPr="00FE2932">
        <w:rPr>
          <w:bCs/>
          <w:lang w:val="en-GB"/>
        </w:rPr>
        <w:t xml:space="preserve"> </w:t>
      </w:r>
    </w:p>
    <w:p w14:paraId="6A93F966" w14:textId="77777777" w:rsidR="005F04E8" w:rsidRDefault="005F04E8" w:rsidP="00FE2932">
      <w:pPr>
        <w:ind w:left="1440"/>
        <w:jc w:val="both"/>
        <w:rPr>
          <w:bCs/>
          <w:lang w:val="en-GB"/>
        </w:rPr>
      </w:pPr>
    </w:p>
    <w:p w14:paraId="5787417F" w14:textId="7AE87F92" w:rsidR="00F37628" w:rsidRDefault="00F37628" w:rsidP="00F37628">
      <w:pPr>
        <w:jc w:val="both"/>
        <w:rPr>
          <w:bCs/>
          <w:lang w:val="en-GB"/>
        </w:rPr>
      </w:pPr>
    </w:p>
    <w:p w14:paraId="44730D75" w14:textId="5A6147D8" w:rsidR="00F37628" w:rsidRDefault="00F37628" w:rsidP="00F37628">
      <w:pPr>
        <w:jc w:val="both"/>
        <w:rPr>
          <w:bCs/>
          <w:lang w:val="en-GB"/>
        </w:rPr>
      </w:pPr>
    </w:p>
    <w:p w14:paraId="610E1D88" w14:textId="67AD6881" w:rsidR="00F37628" w:rsidRDefault="00F37628" w:rsidP="00F37628">
      <w:pPr>
        <w:spacing w:line="480" w:lineRule="auto"/>
        <w:jc w:val="both"/>
        <w:rPr>
          <w:bCs/>
          <w:sz w:val="28"/>
          <w:szCs w:val="28"/>
          <w:lang w:val="en-GB"/>
        </w:rPr>
      </w:pPr>
      <w:r>
        <w:rPr>
          <w:bCs/>
          <w:sz w:val="28"/>
          <w:szCs w:val="28"/>
          <w:lang w:val="en-GB"/>
        </w:rPr>
        <w:t>[37]</w:t>
      </w:r>
      <w:r>
        <w:rPr>
          <w:bCs/>
          <w:sz w:val="28"/>
          <w:szCs w:val="28"/>
          <w:lang w:val="en-GB"/>
        </w:rPr>
        <w:tab/>
      </w:r>
      <w:r>
        <w:rPr>
          <w:bCs/>
          <w:sz w:val="28"/>
          <w:szCs w:val="28"/>
          <w:lang w:val="en-GB"/>
        </w:rPr>
        <w:tab/>
        <w:t>Besides the fact that the contract had already been concluded at the time the PPAD issu</w:t>
      </w:r>
      <w:r w:rsidR="00280AF9">
        <w:rPr>
          <w:bCs/>
          <w:sz w:val="28"/>
          <w:szCs w:val="28"/>
          <w:lang w:val="en-GB"/>
        </w:rPr>
        <w:t xml:space="preserve">ed </w:t>
      </w:r>
      <w:r>
        <w:rPr>
          <w:bCs/>
          <w:sz w:val="28"/>
          <w:szCs w:val="28"/>
          <w:lang w:val="en-GB"/>
        </w:rPr>
        <w:t>its decision, all that happened before</w:t>
      </w:r>
      <w:r w:rsidR="00280AF9">
        <w:rPr>
          <w:bCs/>
          <w:sz w:val="28"/>
          <w:szCs w:val="28"/>
          <w:lang w:val="en-GB"/>
        </w:rPr>
        <w:t xml:space="preserve"> the PPAD</w:t>
      </w:r>
      <w:r>
        <w:rPr>
          <w:bCs/>
          <w:sz w:val="28"/>
          <w:szCs w:val="28"/>
          <w:lang w:val="en-GB"/>
        </w:rPr>
        <w:t xml:space="preserve"> </w:t>
      </w:r>
      <w:r w:rsidR="00280AF9">
        <w:rPr>
          <w:bCs/>
          <w:sz w:val="28"/>
          <w:szCs w:val="28"/>
          <w:lang w:val="en-GB"/>
        </w:rPr>
        <w:t xml:space="preserve">is </w:t>
      </w:r>
      <w:r w:rsidR="008827ED">
        <w:rPr>
          <w:bCs/>
          <w:sz w:val="28"/>
          <w:szCs w:val="28"/>
          <w:lang w:val="en-GB"/>
        </w:rPr>
        <w:t xml:space="preserve">a </w:t>
      </w:r>
      <w:r>
        <w:rPr>
          <w:bCs/>
          <w:sz w:val="28"/>
          <w:szCs w:val="28"/>
          <w:lang w:val="en-GB"/>
        </w:rPr>
        <w:t xml:space="preserve">nullity as it did not have jurisdiction to entertain the matter. Again, the conclusion </w:t>
      </w:r>
      <w:r w:rsidR="00EB7036">
        <w:rPr>
          <w:bCs/>
          <w:sz w:val="28"/>
          <w:szCs w:val="28"/>
          <w:lang w:val="en-GB"/>
        </w:rPr>
        <w:t xml:space="preserve">it reached is not supported by its own finding that </w:t>
      </w:r>
      <w:r w:rsidR="00280AF9">
        <w:rPr>
          <w:bCs/>
          <w:sz w:val="28"/>
          <w:szCs w:val="28"/>
          <w:lang w:val="en-GB"/>
        </w:rPr>
        <w:t>t</w:t>
      </w:r>
      <w:r>
        <w:rPr>
          <w:bCs/>
          <w:sz w:val="28"/>
          <w:szCs w:val="28"/>
          <w:lang w:val="en-GB"/>
        </w:rPr>
        <w:t xml:space="preserve">he </w:t>
      </w:r>
      <w:r w:rsidR="00280AF9">
        <w:rPr>
          <w:bCs/>
          <w:sz w:val="28"/>
          <w:szCs w:val="28"/>
          <w:lang w:val="en-GB"/>
        </w:rPr>
        <w:t>“</w:t>
      </w:r>
      <w:r w:rsidRPr="00280AF9">
        <w:rPr>
          <w:bCs/>
          <w:i/>
          <w:iCs/>
          <w:sz w:val="28"/>
          <w:szCs w:val="28"/>
          <w:lang w:val="en-GB"/>
        </w:rPr>
        <w:t>response given by the ministry on the issue of the Tender Panel responding to the complaint is satisfactory and valid”</w:t>
      </w:r>
      <w:r w:rsidR="00EB7036">
        <w:rPr>
          <w:rStyle w:val="FootnoteReference"/>
          <w:bCs/>
          <w:i/>
          <w:iCs/>
          <w:sz w:val="28"/>
          <w:szCs w:val="28"/>
          <w:lang w:val="en-GB"/>
        </w:rPr>
        <w:footnoteReference w:id="30"/>
      </w:r>
      <w:r>
        <w:rPr>
          <w:bCs/>
          <w:sz w:val="28"/>
          <w:szCs w:val="28"/>
          <w:lang w:val="en-GB"/>
        </w:rPr>
        <w:t xml:space="preserve">. The immediate question is why then reverse the </w:t>
      </w:r>
      <w:r>
        <w:rPr>
          <w:bCs/>
          <w:sz w:val="28"/>
          <w:szCs w:val="28"/>
          <w:lang w:val="en-GB"/>
        </w:rPr>
        <w:lastRenderedPageBreak/>
        <w:t>decision of the TP</w:t>
      </w:r>
      <w:r w:rsidR="00280AF9">
        <w:rPr>
          <w:bCs/>
          <w:sz w:val="28"/>
          <w:szCs w:val="28"/>
          <w:lang w:val="en-GB"/>
        </w:rPr>
        <w:t xml:space="preserve"> if its response is satisfactory and valid</w:t>
      </w:r>
      <w:r>
        <w:rPr>
          <w:bCs/>
          <w:sz w:val="28"/>
          <w:szCs w:val="28"/>
          <w:lang w:val="en-GB"/>
        </w:rPr>
        <w:t xml:space="preserve">? </w:t>
      </w:r>
    </w:p>
    <w:p w14:paraId="086566BA" w14:textId="35229489" w:rsidR="0002767F" w:rsidRDefault="0002767F" w:rsidP="00F37628">
      <w:pPr>
        <w:spacing w:line="480" w:lineRule="auto"/>
        <w:jc w:val="both"/>
        <w:rPr>
          <w:bCs/>
          <w:sz w:val="28"/>
          <w:szCs w:val="28"/>
          <w:lang w:val="en-GB"/>
        </w:rPr>
      </w:pPr>
    </w:p>
    <w:p w14:paraId="64A07882" w14:textId="1E9B896C" w:rsidR="0030616F" w:rsidRPr="0030616F" w:rsidRDefault="0002767F" w:rsidP="0030616F">
      <w:pPr>
        <w:spacing w:after="360" w:line="360" w:lineRule="auto"/>
        <w:jc w:val="both"/>
        <w:rPr>
          <w:color w:val="000000" w:themeColor="text1"/>
          <w:sz w:val="28"/>
          <w:szCs w:val="28"/>
          <w:lang w:val="en-ZA"/>
        </w:rPr>
      </w:pPr>
      <w:r>
        <w:rPr>
          <w:bCs/>
          <w:sz w:val="28"/>
          <w:szCs w:val="28"/>
          <w:lang w:val="en-GB"/>
        </w:rPr>
        <w:t>[</w:t>
      </w:r>
      <w:r w:rsidR="008827ED">
        <w:rPr>
          <w:bCs/>
          <w:sz w:val="28"/>
          <w:szCs w:val="28"/>
          <w:lang w:val="en-GB"/>
        </w:rPr>
        <w:t>38</w:t>
      </w:r>
      <w:r>
        <w:rPr>
          <w:bCs/>
          <w:sz w:val="28"/>
          <w:szCs w:val="28"/>
          <w:lang w:val="en-GB"/>
        </w:rPr>
        <w:t>]</w:t>
      </w:r>
      <w:r>
        <w:rPr>
          <w:bCs/>
          <w:sz w:val="28"/>
          <w:szCs w:val="28"/>
          <w:lang w:val="en-GB"/>
        </w:rPr>
        <w:tab/>
      </w:r>
      <w:r>
        <w:rPr>
          <w:bCs/>
          <w:sz w:val="28"/>
          <w:szCs w:val="28"/>
          <w:lang w:val="en-GB"/>
        </w:rPr>
        <w:tab/>
        <w:t>One other insurmountable hurdle for the applicant is that the contract has been fully performed. This renders the application moot</w:t>
      </w:r>
      <w:r w:rsidR="00AE7FD4">
        <w:rPr>
          <w:bCs/>
          <w:sz w:val="28"/>
          <w:szCs w:val="28"/>
          <w:lang w:val="en-GB"/>
        </w:rPr>
        <w:t>.</w:t>
      </w:r>
      <w:r>
        <w:rPr>
          <w:bCs/>
          <w:sz w:val="28"/>
          <w:szCs w:val="28"/>
          <w:lang w:val="en-GB"/>
        </w:rPr>
        <w:t xml:space="preserve"> </w:t>
      </w:r>
      <w:r w:rsidR="0030616F">
        <w:rPr>
          <w:color w:val="000000" w:themeColor="text1"/>
          <w:sz w:val="28"/>
          <w:szCs w:val="28"/>
          <w:lang w:val="en-ZA"/>
        </w:rPr>
        <w:t>T</w:t>
      </w:r>
      <w:r w:rsidR="0030616F" w:rsidRPr="0030616F">
        <w:rPr>
          <w:color w:val="000000" w:themeColor="text1"/>
          <w:sz w:val="28"/>
          <w:szCs w:val="28"/>
          <w:lang w:val="en-ZA"/>
        </w:rPr>
        <w:t xml:space="preserve">he Constitutional Court </w:t>
      </w:r>
      <w:r w:rsidR="0030616F">
        <w:rPr>
          <w:color w:val="000000" w:themeColor="text1"/>
          <w:sz w:val="28"/>
          <w:szCs w:val="28"/>
          <w:lang w:val="en-ZA"/>
        </w:rPr>
        <w:t xml:space="preserve">of South Africa underscored the principle of mootness as follows in </w:t>
      </w:r>
      <w:r w:rsidR="0030616F" w:rsidRPr="0030616F">
        <w:rPr>
          <w:b/>
          <w:bCs/>
          <w:iCs/>
          <w:color w:val="000000" w:themeColor="text1"/>
          <w:sz w:val="28"/>
          <w:szCs w:val="28"/>
          <w:lang w:val="en-ZA"/>
        </w:rPr>
        <w:t>Normandien Farms v</w:t>
      </w:r>
      <w:r w:rsidR="0030616F">
        <w:rPr>
          <w:b/>
          <w:bCs/>
          <w:iCs/>
          <w:color w:val="000000" w:themeColor="text1"/>
          <w:sz w:val="28"/>
          <w:szCs w:val="28"/>
          <w:lang w:val="en-ZA"/>
        </w:rPr>
        <w:t>.</w:t>
      </w:r>
      <w:r w:rsidR="0030616F" w:rsidRPr="0030616F">
        <w:rPr>
          <w:b/>
          <w:bCs/>
          <w:iCs/>
          <w:color w:val="000000" w:themeColor="text1"/>
          <w:sz w:val="28"/>
          <w:szCs w:val="28"/>
          <w:lang w:val="en-ZA"/>
        </w:rPr>
        <w:t xml:space="preserve"> South African Agency for Promotion of Petroleum Exportation and Exploitation</w:t>
      </w:r>
      <w:r w:rsidR="0030616F" w:rsidRPr="0030616F">
        <w:rPr>
          <w:rStyle w:val="FootnoteReference"/>
          <w:rFonts w:cs="Arial"/>
          <w:color w:val="000000" w:themeColor="text1"/>
          <w:sz w:val="28"/>
          <w:szCs w:val="28"/>
          <w:lang w:val="en-ZA"/>
        </w:rPr>
        <w:footnoteReference w:id="31"/>
      </w:r>
      <w:r w:rsidR="0030616F" w:rsidRPr="0030616F">
        <w:rPr>
          <w:color w:val="000000" w:themeColor="text1"/>
          <w:sz w:val="28"/>
          <w:szCs w:val="28"/>
          <w:lang w:val="en-ZA"/>
        </w:rPr>
        <w:t xml:space="preserve"> when it pronounced that:</w:t>
      </w:r>
    </w:p>
    <w:p w14:paraId="7B3C0317" w14:textId="6DABB20A" w:rsidR="0030616F" w:rsidRDefault="00AE7FD4" w:rsidP="0030616F">
      <w:pPr>
        <w:spacing w:after="360"/>
        <w:ind w:left="1440"/>
        <w:jc w:val="both"/>
        <w:rPr>
          <w:color w:val="000000" w:themeColor="text1"/>
          <w:lang w:val="en-ZA"/>
        </w:rPr>
      </w:pPr>
      <w:r>
        <w:rPr>
          <w:color w:val="000000" w:themeColor="text1"/>
          <w:lang w:val="en-ZA"/>
        </w:rPr>
        <w:t>“[47]</w:t>
      </w:r>
      <w:r>
        <w:rPr>
          <w:color w:val="000000" w:themeColor="text1"/>
          <w:lang w:val="en-ZA"/>
        </w:rPr>
        <w:tab/>
      </w:r>
      <w:r w:rsidR="0030616F" w:rsidRPr="003B7633">
        <w:rPr>
          <w:color w:val="000000" w:themeColor="text1"/>
          <w:lang w:val="en-ZA"/>
        </w:rPr>
        <w:t xml:space="preserve">Mootness is when a matter </w:t>
      </w:r>
      <w:r>
        <w:rPr>
          <w:color w:val="000000" w:themeColor="text1"/>
          <w:lang w:val="en-ZA"/>
        </w:rPr>
        <w:t>‘</w:t>
      </w:r>
      <w:r w:rsidR="0030616F" w:rsidRPr="003B7633">
        <w:rPr>
          <w:color w:val="000000" w:themeColor="text1"/>
          <w:lang w:val="en-ZA"/>
        </w:rPr>
        <w:t>no longer presents an existing or live controversy</w:t>
      </w:r>
      <w:r>
        <w:rPr>
          <w:color w:val="000000" w:themeColor="text1"/>
          <w:lang w:val="en-ZA"/>
        </w:rPr>
        <w:t>’</w:t>
      </w:r>
      <w:r w:rsidR="0030616F" w:rsidRPr="003B7633">
        <w:rPr>
          <w:color w:val="000000" w:themeColor="text1"/>
          <w:lang w:val="en-ZA"/>
        </w:rPr>
        <w:t>. The doctrine is based on the notion that judicial resources ought to be utilised efficiently and should not be dedicated to advisory opinions or abstract propositions of law, and that courts should avoid deciding matters that are “abstract, academic or hypothetical.</w:t>
      </w:r>
      <w:r>
        <w:rPr>
          <w:color w:val="000000" w:themeColor="text1"/>
          <w:lang w:val="en-ZA"/>
        </w:rPr>
        <w:t xml:space="preserve">” Footnote omitted. </w:t>
      </w:r>
    </w:p>
    <w:p w14:paraId="6EDA208B" w14:textId="77777777" w:rsidR="005F04E8" w:rsidRPr="003B7633" w:rsidRDefault="005F04E8" w:rsidP="0030616F">
      <w:pPr>
        <w:spacing w:after="360"/>
        <w:ind w:left="1440"/>
        <w:jc w:val="both"/>
        <w:rPr>
          <w:color w:val="000000" w:themeColor="text1"/>
          <w:lang w:val="en-ZA"/>
        </w:rPr>
      </w:pPr>
    </w:p>
    <w:p w14:paraId="0AA910A2" w14:textId="475CB92F" w:rsidR="0002767F" w:rsidRDefault="00DD55B3" w:rsidP="00F37628">
      <w:pPr>
        <w:spacing w:line="480" w:lineRule="auto"/>
        <w:jc w:val="both"/>
        <w:rPr>
          <w:bCs/>
          <w:sz w:val="28"/>
          <w:szCs w:val="28"/>
          <w:lang w:val="en-GB"/>
        </w:rPr>
      </w:pPr>
      <w:r>
        <w:rPr>
          <w:bCs/>
          <w:sz w:val="28"/>
          <w:szCs w:val="28"/>
          <w:lang w:val="en-GB"/>
        </w:rPr>
        <w:t>[</w:t>
      </w:r>
      <w:r w:rsidR="008827ED">
        <w:rPr>
          <w:bCs/>
          <w:sz w:val="28"/>
          <w:szCs w:val="28"/>
          <w:lang w:val="en-GB"/>
        </w:rPr>
        <w:t>39</w:t>
      </w:r>
      <w:r>
        <w:rPr>
          <w:bCs/>
          <w:sz w:val="28"/>
          <w:szCs w:val="28"/>
          <w:lang w:val="en-GB"/>
        </w:rPr>
        <w:t>]</w:t>
      </w:r>
      <w:r>
        <w:rPr>
          <w:bCs/>
          <w:sz w:val="28"/>
          <w:szCs w:val="28"/>
          <w:lang w:val="en-GB"/>
        </w:rPr>
        <w:tab/>
      </w:r>
      <w:r>
        <w:rPr>
          <w:bCs/>
          <w:sz w:val="28"/>
          <w:szCs w:val="28"/>
          <w:lang w:val="en-GB"/>
        </w:rPr>
        <w:tab/>
        <w:t xml:space="preserve">It must be borne in mind that the main relief sought by Phakoe </w:t>
      </w:r>
      <w:r w:rsidR="00F82FB9">
        <w:rPr>
          <w:bCs/>
          <w:sz w:val="28"/>
          <w:szCs w:val="28"/>
          <w:lang w:val="en-GB"/>
        </w:rPr>
        <w:t xml:space="preserve">is </w:t>
      </w:r>
      <w:r>
        <w:rPr>
          <w:bCs/>
          <w:sz w:val="28"/>
          <w:szCs w:val="28"/>
          <w:lang w:val="en-GB"/>
        </w:rPr>
        <w:t>that the Unit must be directed to award it a contract relevant to the tender consequent upon this Court reviewing and setting aside the decision to award the contract to Ts</w:t>
      </w:r>
      <w:r w:rsidR="00085B6F">
        <w:rPr>
          <w:bCs/>
          <w:sz w:val="28"/>
          <w:szCs w:val="28"/>
          <w:lang w:val="en-GB"/>
        </w:rPr>
        <w:t>’</w:t>
      </w:r>
      <w:r>
        <w:rPr>
          <w:bCs/>
          <w:sz w:val="28"/>
          <w:szCs w:val="28"/>
          <w:lang w:val="en-GB"/>
        </w:rPr>
        <w:t>ilo and declaring t</w:t>
      </w:r>
      <w:r w:rsidR="008827ED">
        <w:rPr>
          <w:bCs/>
          <w:sz w:val="28"/>
          <w:szCs w:val="28"/>
          <w:lang w:val="en-GB"/>
        </w:rPr>
        <w:t xml:space="preserve">hat </w:t>
      </w:r>
      <w:r>
        <w:rPr>
          <w:bCs/>
          <w:sz w:val="28"/>
          <w:szCs w:val="28"/>
          <w:lang w:val="en-GB"/>
        </w:rPr>
        <w:t>contract unlawful</w:t>
      </w:r>
      <w:r w:rsidR="00F82FB9">
        <w:rPr>
          <w:bCs/>
          <w:sz w:val="28"/>
          <w:szCs w:val="28"/>
          <w:lang w:val="en-GB"/>
        </w:rPr>
        <w:t xml:space="preserve">. </w:t>
      </w:r>
      <w:r>
        <w:rPr>
          <w:bCs/>
          <w:sz w:val="28"/>
          <w:szCs w:val="28"/>
          <w:lang w:val="en-GB"/>
        </w:rPr>
        <w:t>The impugned contract was</w:t>
      </w:r>
      <w:r w:rsidR="00F82FB9">
        <w:rPr>
          <w:bCs/>
          <w:sz w:val="28"/>
          <w:szCs w:val="28"/>
          <w:lang w:val="en-GB"/>
        </w:rPr>
        <w:t xml:space="preserve"> concluded b</w:t>
      </w:r>
      <w:r>
        <w:rPr>
          <w:bCs/>
          <w:sz w:val="28"/>
          <w:szCs w:val="28"/>
          <w:lang w:val="en-GB"/>
        </w:rPr>
        <w:t xml:space="preserve">efore the proceedings were instituted and performed during the pendency of the proceedings. </w:t>
      </w:r>
      <w:r w:rsidR="00481608">
        <w:rPr>
          <w:bCs/>
          <w:sz w:val="28"/>
          <w:szCs w:val="28"/>
          <w:lang w:val="en-GB"/>
        </w:rPr>
        <w:t xml:space="preserve">Even if I were to grant the application, the judgment </w:t>
      </w:r>
      <w:r w:rsidR="00C91F24">
        <w:rPr>
          <w:bCs/>
          <w:sz w:val="28"/>
          <w:szCs w:val="28"/>
          <w:lang w:val="en-GB"/>
        </w:rPr>
        <w:t>is</w:t>
      </w:r>
      <w:r w:rsidR="00481608">
        <w:rPr>
          <w:bCs/>
          <w:sz w:val="28"/>
          <w:szCs w:val="28"/>
          <w:lang w:val="en-GB"/>
        </w:rPr>
        <w:t xml:space="preserve"> not going to have any practical effect. </w:t>
      </w:r>
      <w:r w:rsidR="00811DCA">
        <w:rPr>
          <w:bCs/>
          <w:sz w:val="28"/>
          <w:szCs w:val="28"/>
          <w:lang w:val="en-GB"/>
        </w:rPr>
        <w:t xml:space="preserve">The remaining prayer for costs </w:t>
      </w:r>
      <w:r w:rsidR="008827ED">
        <w:rPr>
          <w:bCs/>
          <w:sz w:val="28"/>
          <w:szCs w:val="28"/>
          <w:lang w:val="en-GB"/>
        </w:rPr>
        <w:t>cannot</w:t>
      </w:r>
      <w:r w:rsidR="00811DCA">
        <w:rPr>
          <w:bCs/>
          <w:sz w:val="28"/>
          <w:szCs w:val="28"/>
          <w:lang w:val="en-GB"/>
        </w:rPr>
        <w:t xml:space="preserve"> be considered in isolation as a claim for costs cannot stand alone. </w:t>
      </w:r>
      <w:r w:rsidR="00CC7A1C">
        <w:rPr>
          <w:bCs/>
          <w:sz w:val="28"/>
          <w:szCs w:val="28"/>
          <w:lang w:val="en-GB"/>
        </w:rPr>
        <w:t xml:space="preserve">I am </w:t>
      </w:r>
      <w:r w:rsidR="008827ED">
        <w:rPr>
          <w:bCs/>
          <w:sz w:val="28"/>
          <w:szCs w:val="28"/>
          <w:lang w:val="en-GB"/>
        </w:rPr>
        <w:t xml:space="preserve">in </w:t>
      </w:r>
      <w:r w:rsidR="00CC7A1C">
        <w:rPr>
          <w:bCs/>
          <w:sz w:val="28"/>
          <w:szCs w:val="28"/>
          <w:lang w:val="en-GB"/>
        </w:rPr>
        <w:t xml:space="preserve">full agreement with </w:t>
      </w:r>
      <w:r w:rsidR="00CC7A1C" w:rsidRPr="00CC7A1C">
        <w:rPr>
          <w:bCs/>
          <w:i/>
          <w:iCs/>
          <w:sz w:val="28"/>
          <w:szCs w:val="28"/>
          <w:lang w:val="en-GB"/>
        </w:rPr>
        <w:t>Mokhesi</w:t>
      </w:r>
      <w:r w:rsidR="00CC7A1C">
        <w:rPr>
          <w:bCs/>
          <w:sz w:val="28"/>
          <w:szCs w:val="28"/>
          <w:lang w:val="en-GB"/>
        </w:rPr>
        <w:t xml:space="preserve"> J’s observation in </w:t>
      </w:r>
      <w:r w:rsidR="00CC7A1C" w:rsidRPr="00CC7A1C">
        <w:rPr>
          <w:b/>
          <w:sz w:val="28"/>
          <w:szCs w:val="28"/>
          <w:lang w:val="en-GB"/>
        </w:rPr>
        <w:t>Shale v The Judicial Service Commission</w:t>
      </w:r>
      <w:r w:rsidR="00CC7A1C">
        <w:rPr>
          <w:rStyle w:val="FootnoteReference"/>
          <w:bCs/>
          <w:sz w:val="28"/>
          <w:szCs w:val="28"/>
          <w:lang w:val="en-GB"/>
        </w:rPr>
        <w:footnoteReference w:id="32"/>
      </w:r>
      <w:r w:rsidR="00CC7A1C">
        <w:rPr>
          <w:bCs/>
          <w:sz w:val="28"/>
          <w:szCs w:val="28"/>
          <w:lang w:val="en-GB"/>
        </w:rPr>
        <w:t xml:space="preserve"> where he said the following:</w:t>
      </w:r>
    </w:p>
    <w:p w14:paraId="14398B9E" w14:textId="7EADD65B" w:rsidR="00CC7A1C" w:rsidRDefault="00CC7A1C" w:rsidP="00F37628">
      <w:pPr>
        <w:spacing w:line="480" w:lineRule="auto"/>
        <w:jc w:val="both"/>
        <w:rPr>
          <w:bCs/>
          <w:sz w:val="28"/>
          <w:szCs w:val="28"/>
          <w:lang w:val="en-GB"/>
        </w:rPr>
      </w:pPr>
    </w:p>
    <w:p w14:paraId="6E055678" w14:textId="29D41A33" w:rsidR="00CC7A1C" w:rsidRPr="004C5999" w:rsidRDefault="00CC7A1C" w:rsidP="004C5999">
      <w:pPr>
        <w:ind w:left="1440"/>
        <w:jc w:val="both"/>
        <w:rPr>
          <w:bCs/>
          <w:lang w:val="en-GB"/>
        </w:rPr>
      </w:pPr>
      <w:r w:rsidRPr="004C5999">
        <w:rPr>
          <w:bCs/>
          <w:lang w:val="en-GB"/>
        </w:rPr>
        <w:t>“The</w:t>
      </w:r>
      <w:r w:rsidR="0047471A" w:rsidRPr="004C5999">
        <w:rPr>
          <w:bCs/>
          <w:lang w:val="en-GB"/>
        </w:rPr>
        <w:t xml:space="preserve"> issue for determination in this case is one of costs only as the main case has been </w:t>
      </w:r>
      <w:r w:rsidR="001C63B6" w:rsidRPr="004C5999">
        <w:rPr>
          <w:bCs/>
          <w:lang w:val="en-GB"/>
        </w:rPr>
        <w:t xml:space="preserve">rendered academic by the turn of events alluded to </w:t>
      </w:r>
      <w:r w:rsidR="00E02026" w:rsidRPr="004C5999">
        <w:rPr>
          <w:bCs/>
          <w:lang w:val="en-GB"/>
        </w:rPr>
        <w:t xml:space="preserve">above.  As a general rule, a claim for costs does not stand alone as it is </w:t>
      </w:r>
      <w:r w:rsidR="00581252" w:rsidRPr="004C5999">
        <w:rPr>
          <w:bCs/>
          <w:lang w:val="en-GB"/>
        </w:rPr>
        <w:t xml:space="preserve">consequential upon determination of the merits </w:t>
      </w:r>
      <w:r w:rsidR="007E68DD" w:rsidRPr="004C5999">
        <w:rPr>
          <w:bCs/>
          <w:lang w:val="en-GB"/>
        </w:rPr>
        <w:t>(Cats v Cats 1959 (4)</w:t>
      </w:r>
      <w:r w:rsidR="002D4134" w:rsidRPr="004C5999">
        <w:rPr>
          <w:bCs/>
          <w:lang w:val="en-GB"/>
        </w:rPr>
        <w:t xml:space="preserve"> SA 375 (c) at 379 G-H:</w:t>
      </w:r>
      <w:r w:rsidR="0065209E" w:rsidRPr="004C5999">
        <w:rPr>
          <w:bCs/>
          <w:lang w:val="en-GB"/>
        </w:rPr>
        <w:t xml:space="preserve"> Simon NO v Air Operations of </w:t>
      </w:r>
      <w:r w:rsidR="00884F3A" w:rsidRPr="004C5999">
        <w:rPr>
          <w:bCs/>
          <w:lang w:val="en-GB"/>
        </w:rPr>
        <w:t>Europe AB and Others 1999 (1)</w:t>
      </w:r>
      <w:r w:rsidR="0026634D" w:rsidRPr="004C5999">
        <w:rPr>
          <w:bCs/>
          <w:lang w:val="en-GB"/>
        </w:rPr>
        <w:t xml:space="preserve"> SA 217 at 217 at 231 C-D).  In the </w:t>
      </w:r>
      <w:r w:rsidR="002A07CE" w:rsidRPr="004C5999">
        <w:rPr>
          <w:bCs/>
          <w:lang w:val="en-GB"/>
        </w:rPr>
        <w:t xml:space="preserve">present matter the application has become moot.  The </w:t>
      </w:r>
      <w:r w:rsidR="00D93D63" w:rsidRPr="004C5999">
        <w:rPr>
          <w:bCs/>
          <w:lang w:val="en-GB"/>
        </w:rPr>
        <w:t xml:space="preserve">question of costs does not, therefore, arise in the </w:t>
      </w:r>
      <w:r w:rsidR="00C6538E" w:rsidRPr="004C5999">
        <w:rPr>
          <w:bCs/>
          <w:lang w:val="en-GB"/>
        </w:rPr>
        <w:t xml:space="preserve">absence of a decision on </w:t>
      </w:r>
      <w:r w:rsidRPr="004C5999">
        <w:rPr>
          <w:bCs/>
          <w:lang w:val="en-GB"/>
        </w:rPr>
        <w:t xml:space="preserve">the </w:t>
      </w:r>
      <w:r w:rsidR="008827ED" w:rsidRPr="004C5999">
        <w:rPr>
          <w:bCs/>
          <w:lang w:val="en-GB"/>
        </w:rPr>
        <w:t>merits”.</w:t>
      </w:r>
    </w:p>
    <w:p w14:paraId="3B658BBA" w14:textId="77777777" w:rsidR="006C1450" w:rsidRDefault="006C1450" w:rsidP="00F37628">
      <w:pPr>
        <w:spacing w:line="480" w:lineRule="auto"/>
        <w:jc w:val="both"/>
        <w:rPr>
          <w:bCs/>
          <w:sz w:val="28"/>
          <w:szCs w:val="28"/>
          <w:lang w:val="en-GB"/>
        </w:rPr>
      </w:pPr>
    </w:p>
    <w:p w14:paraId="39754600" w14:textId="2FA2174F" w:rsidR="005E05C5" w:rsidRDefault="006C1450" w:rsidP="00F37628">
      <w:pPr>
        <w:spacing w:line="480" w:lineRule="auto"/>
        <w:jc w:val="both"/>
        <w:rPr>
          <w:bCs/>
          <w:sz w:val="28"/>
          <w:szCs w:val="28"/>
          <w:lang w:val="en-GB"/>
        </w:rPr>
      </w:pPr>
      <w:r w:rsidRPr="006C1450">
        <w:rPr>
          <w:b/>
          <w:sz w:val="28"/>
          <w:szCs w:val="28"/>
          <w:u w:val="single"/>
          <w:lang w:val="en-GB"/>
        </w:rPr>
        <w:t>CONCLUSION</w:t>
      </w:r>
      <w:r>
        <w:rPr>
          <w:bCs/>
          <w:sz w:val="28"/>
          <w:szCs w:val="28"/>
          <w:lang w:val="en-GB"/>
        </w:rPr>
        <w:t>:</w:t>
      </w:r>
    </w:p>
    <w:p w14:paraId="78650970" w14:textId="5728026D" w:rsidR="006C1450" w:rsidRDefault="006C1450" w:rsidP="00F37628">
      <w:pPr>
        <w:spacing w:line="480" w:lineRule="auto"/>
        <w:jc w:val="both"/>
        <w:rPr>
          <w:bCs/>
          <w:sz w:val="28"/>
          <w:szCs w:val="28"/>
          <w:lang w:val="en-GB"/>
        </w:rPr>
      </w:pPr>
    </w:p>
    <w:p w14:paraId="15F51052" w14:textId="04454E7A" w:rsidR="00045582" w:rsidRDefault="006C1450" w:rsidP="00F37628">
      <w:pPr>
        <w:spacing w:line="480" w:lineRule="auto"/>
        <w:jc w:val="both"/>
        <w:rPr>
          <w:bCs/>
          <w:sz w:val="28"/>
          <w:szCs w:val="28"/>
          <w:lang w:val="en-GB"/>
        </w:rPr>
      </w:pPr>
      <w:r>
        <w:rPr>
          <w:bCs/>
          <w:sz w:val="28"/>
          <w:szCs w:val="28"/>
          <w:lang w:val="en-GB"/>
        </w:rPr>
        <w:t>[4</w:t>
      </w:r>
      <w:r w:rsidR="008827ED">
        <w:rPr>
          <w:bCs/>
          <w:sz w:val="28"/>
          <w:szCs w:val="28"/>
          <w:lang w:val="en-GB"/>
        </w:rPr>
        <w:t>0</w:t>
      </w:r>
      <w:r>
        <w:rPr>
          <w:bCs/>
          <w:sz w:val="28"/>
          <w:szCs w:val="28"/>
          <w:lang w:val="en-GB"/>
        </w:rPr>
        <w:t>]</w:t>
      </w:r>
      <w:r>
        <w:rPr>
          <w:bCs/>
          <w:sz w:val="28"/>
          <w:szCs w:val="28"/>
          <w:lang w:val="en-GB"/>
        </w:rPr>
        <w:tab/>
      </w:r>
      <w:r>
        <w:rPr>
          <w:bCs/>
          <w:sz w:val="28"/>
          <w:szCs w:val="28"/>
          <w:lang w:val="en-GB"/>
        </w:rPr>
        <w:tab/>
        <w:t>I conclude therefore that the TP properly discharged its powers in awarding the tender to Ts</w:t>
      </w:r>
      <w:r w:rsidR="00085B6F">
        <w:rPr>
          <w:bCs/>
          <w:sz w:val="28"/>
          <w:szCs w:val="28"/>
          <w:lang w:val="en-GB"/>
        </w:rPr>
        <w:t>’</w:t>
      </w:r>
      <w:r>
        <w:rPr>
          <w:bCs/>
          <w:sz w:val="28"/>
          <w:szCs w:val="28"/>
          <w:lang w:val="en-GB"/>
        </w:rPr>
        <w:t xml:space="preserve">ilo. Again, in the absence of </w:t>
      </w:r>
      <w:r w:rsidR="0036578A">
        <w:rPr>
          <w:bCs/>
          <w:sz w:val="28"/>
          <w:szCs w:val="28"/>
          <w:lang w:val="en-GB"/>
        </w:rPr>
        <w:t xml:space="preserve">admissible </w:t>
      </w:r>
      <w:r>
        <w:rPr>
          <w:bCs/>
          <w:sz w:val="28"/>
          <w:szCs w:val="28"/>
          <w:lang w:val="en-GB"/>
        </w:rPr>
        <w:t>evidence that TP was aware of a pending appeal at the time it concluded a contract with Ts</w:t>
      </w:r>
      <w:r w:rsidR="00085B6F">
        <w:rPr>
          <w:bCs/>
          <w:sz w:val="28"/>
          <w:szCs w:val="28"/>
          <w:lang w:val="en-GB"/>
        </w:rPr>
        <w:t>’</w:t>
      </w:r>
      <w:r>
        <w:rPr>
          <w:bCs/>
          <w:sz w:val="28"/>
          <w:szCs w:val="28"/>
          <w:lang w:val="en-GB"/>
        </w:rPr>
        <w:t>ilo and absent any irregularity in the award of the tender, there was nothing untoward or unlawful concerning</w:t>
      </w:r>
      <w:r w:rsidR="0036578A">
        <w:rPr>
          <w:bCs/>
          <w:sz w:val="28"/>
          <w:szCs w:val="28"/>
          <w:lang w:val="en-GB"/>
        </w:rPr>
        <w:t xml:space="preserve"> conclusion of the contract. Mo</w:t>
      </w:r>
      <w:r w:rsidR="0030649E">
        <w:rPr>
          <w:bCs/>
          <w:sz w:val="28"/>
          <w:szCs w:val="28"/>
          <w:lang w:val="en-GB"/>
        </w:rPr>
        <w:t>re</w:t>
      </w:r>
      <w:r w:rsidR="0036578A">
        <w:rPr>
          <w:bCs/>
          <w:sz w:val="28"/>
          <w:szCs w:val="28"/>
          <w:lang w:val="en-GB"/>
        </w:rPr>
        <w:t xml:space="preserve"> tellingly, there were no jurisdictional facts for the PPAD to entertain appeal from Phakoe without</w:t>
      </w:r>
      <w:r w:rsidR="00C91F24">
        <w:rPr>
          <w:bCs/>
          <w:sz w:val="28"/>
          <w:szCs w:val="28"/>
          <w:lang w:val="en-GB"/>
        </w:rPr>
        <w:t xml:space="preserve"> recourse, in the first instance, to the Unit.</w:t>
      </w:r>
      <w:r w:rsidR="0036578A">
        <w:rPr>
          <w:bCs/>
          <w:sz w:val="28"/>
          <w:szCs w:val="28"/>
          <w:lang w:val="en-GB"/>
        </w:rPr>
        <w:t xml:space="preserve"> Resultantly, </w:t>
      </w:r>
      <w:r w:rsidR="0014278B">
        <w:rPr>
          <w:bCs/>
          <w:sz w:val="28"/>
          <w:szCs w:val="28"/>
          <w:lang w:val="en-GB"/>
        </w:rPr>
        <w:t xml:space="preserve">whatever </w:t>
      </w:r>
      <w:r w:rsidR="0036578A">
        <w:rPr>
          <w:bCs/>
          <w:sz w:val="28"/>
          <w:szCs w:val="28"/>
          <w:lang w:val="en-GB"/>
        </w:rPr>
        <w:t>happened before the PPAD is a nullity</w:t>
      </w:r>
      <w:r w:rsidR="0014278B">
        <w:rPr>
          <w:bCs/>
          <w:sz w:val="28"/>
          <w:szCs w:val="28"/>
          <w:lang w:val="en-GB"/>
        </w:rPr>
        <w:t xml:space="preserve">. It is not even necessary for this Court to </w:t>
      </w:r>
      <w:r w:rsidR="0036578A">
        <w:rPr>
          <w:bCs/>
          <w:sz w:val="28"/>
          <w:szCs w:val="28"/>
          <w:lang w:val="en-GB"/>
        </w:rPr>
        <w:t xml:space="preserve">contribute to the debate </w:t>
      </w:r>
      <w:r w:rsidR="0014278B">
        <w:rPr>
          <w:bCs/>
          <w:sz w:val="28"/>
          <w:szCs w:val="28"/>
          <w:lang w:val="en-GB"/>
        </w:rPr>
        <w:t>concerning the status of the ruling the PPAD made</w:t>
      </w:r>
      <w:r w:rsidR="0030649E">
        <w:rPr>
          <w:bCs/>
          <w:sz w:val="28"/>
          <w:szCs w:val="28"/>
          <w:lang w:val="en-GB"/>
        </w:rPr>
        <w:t>,</w:t>
      </w:r>
      <w:r w:rsidR="0014278B">
        <w:rPr>
          <w:bCs/>
          <w:sz w:val="28"/>
          <w:szCs w:val="28"/>
          <w:lang w:val="en-GB"/>
        </w:rPr>
        <w:t xml:space="preserve"> whether it was just </w:t>
      </w:r>
      <w:r w:rsidR="0036578A">
        <w:rPr>
          <w:bCs/>
          <w:sz w:val="28"/>
          <w:szCs w:val="28"/>
          <w:lang w:val="en-GB"/>
        </w:rPr>
        <w:t>a</w:t>
      </w:r>
      <w:r w:rsidR="0014278B">
        <w:rPr>
          <w:bCs/>
          <w:sz w:val="28"/>
          <w:szCs w:val="28"/>
          <w:lang w:val="en-GB"/>
        </w:rPr>
        <w:t>n</w:t>
      </w:r>
      <w:r w:rsidR="0036578A">
        <w:rPr>
          <w:bCs/>
          <w:sz w:val="28"/>
          <w:szCs w:val="28"/>
          <w:lang w:val="en-GB"/>
        </w:rPr>
        <w:t xml:space="preserve"> advice or a decision</w:t>
      </w:r>
      <w:r w:rsidR="0030649E">
        <w:rPr>
          <w:bCs/>
          <w:sz w:val="28"/>
          <w:szCs w:val="28"/>
          <w:lang w:val="en-GB"/>
        </w:rPr>
        <w:t>,</w:t>
      </w:r>
      <w:r w:rsidR="0036578A">
        <w:rPr>
          <w:bCs/>
          <w:sz w:val="28"/>
          <w:szCs w:val="28"/>
          <w:lang w:val="en-GB"/>
        </w:rPr>
        <w:t xml:space="preserve"> </w:t>
      </w:r>
      <w:r w:rsidR="0030649E">
        <w:rPr>
          <w:bCs/>
          <w:sz w:val="28"/>
          <w:szCs w:val="28"/>
          <w:lang w:val="en-GB"/>
        </w:rPr>
        <w:t>and</w:t>
      </w:r>
      <w:r w:rsidR="0036578A">
        <w:rPr>
          <w:bCs/>
          <w:sz w:val="28"/>
          <w:szCs w:val="28"/>
          <w:lang w:val="en-GB"/>
        </w:rPr>
        <w:t xml:space="preserve"> </w:t>
      </w:r>
      <w:r w:rsidR="0014278B">
        <w:rPr>
          <w:bCs/>
          <w:sz w:val="28"/>
          <w:szCs w:val="28"/>
          <w:lang w:val="en-GB"/>
        </w:rPr>
        <w:t xml:space="preserve">to answer the question </w:t>
      </w:r>
      <w:r w:rsidR="0036578A">
        <w:rPr>
          <w:bCs/>
          <w:sz w:val="28"/>
          <w:szCs w:val="28"/>
          <w:lang w:val="en-GB"/>
        </w:rPr>
        <w:t xml:space="preserve">whether </w:t>
      </w:r>
      <w:r w:rsidR="0014278B">
        <w:rPr>
          <w:bCs/>
          <w:sz w:val="28"/>
          <w:szCs w:val="28"/>
          <w:lang w:val="en-GB"/>
        </w:rPr>
        <w:t>the PPAD</w:t>
      </w:r>
      <w:r w:rsidR="0036578A">
        <w:rPr>
          <w:bCs/>
          <w:sz w:val="28"/>
          <w:szCs w:val="28"/>
          <w:lang w:val="en-GB"/>
        </w:rPr>
        <w:t xml:space="preserve"> must at all </w:t>
      </w:r>
      <w:r w:rsidR="0030649E">
        <w:rPr>
          <w:bCs/>
          <w:sz w:val="28"/>
          <w:szCs w:val="28"/>
          <w:lang w:val="en-GB"/>
        </w:rPr>
        <w:t xml:space="preserve">times involve </w:t>
      </w:r>
      <w:r w:rsidR="0014278B">
        <w:rPr>
          <w:bCs/>
          <w:sz w:val="28"/>
          <w:szCs w:val="28"/>
          <w:lang w:val="en-GB"/>
        </w:rPr>
        <w:t>Appeals Panel</w:t>
      </w:r>
      <w:r w:rsidR="0030649E">
        <w:rPr>
          <w:bCs/>
          <w:sz w:val="28"/>
          <w:szCs w:val="28"/>
          <w:lang w:val="en-GB"/>
        </w:rPr>
        <w:t xml:space="preserve"> in handing appeals from the Unit</w:t>
      </w:r>
      <w:r w:rsidR="0014278B">
        <w:rPr>
          <w:bCs/>
          <w:sz w:val="28"/>
          <w:szCs w:val="28"/>
          <w:lang w:val="en-GB"/>
        </w:rPr>
        <w:t xml:space="preserve">. </w:t>
      </w:r>
    </w:p>
    <w:p w14:paraId="41EFC704" w14:textId="77777777" w:rsidR="00045582" w:rsidRDefault="00045582" w:rsidP="00F37628">
      <w:pPr>
        <w:spacing w:line="480" w:lineRule="auto"/>
        <w:jc w:val="both"/>
        <w:rPr>
          <w:bCs/>
          <w:sz w:val="28"/>
          <w:szCs w:val="28"/>
          <w:lang w:val="en-GB"/>
        </w:rPr>
      </w:pPr>
    </w:p>
    <w:p w14:paraId="2812B7F0" w14:textId="3F873FC8" w:rsidR="00045582" w:rsidRDefault="00045582" w:rsidP="00F37628">
      <w:pPr>
        <w:spacing w:line="480" w:lineRule="auto"/>
        <w:jc w:val="both"/>
        <w:rPr>
          <w:bCs/>
          <w:sz w:val="28"/>
          <w:szCs w:val="28"/>
          <w:lang w:val="en-GB"/>
        </w:rPr>
      </w:pPr>
      <w:r>
        <w:rPr>
          <w:bCs/>
          <w:sz w:val="28"/>
          <w:szCs w:val="28"/>
          <w:lang w:val="en-GB"/>
        </w:rPr>
        <w:t>[4</w:t>
      </w:r>
      <w:r w:rsidR="0030649E">
        <w:rPr>
          <w:bCs/>
          <w:sz w:val="28"/>
          <w:szCs w:val="28"/>
          <w:lang w:val="en-GB"/>
        </w:rPr>
        <w:t>1</w:t>
      </w:r>
      <w:r>
        <w:rPr>
          <w:bCs/>
          <w:sz w:val="28"/>
          <w:szCs w:val="28"/>
          <w:lang w:val="en-GB"/>
        </w:rPr>
        <w:t>]</w:t>
      </w:r>
      <w:r>
        <w:rPr>
          <w:bCs/>
          <w:sz w:val="28"/>
          <w:szCs w:val="28"/>
          <w:lang w:val="en-GB"/>
        </w:rPr>
        <w:tab/>
      </w:r>
      <w:r>
        <w:rPr>
          <w:bCs/>
          <w:sz w:val="28"/>
          <w:szCs w:val="28"/>
          <w:lang w:val="en-GB"/>
        </w:rPr>
        <w:tab/>
      </w:r>
      <w:r w:rsidR="00B36F4F">
        <w:rPr>
          <w:bCs/>
          <w:sz w:val="28"/>
          <w:szCs w:val="28"/>
          <w:lang w:val="en-GB"/>
        </w:rPr>
        <w:t>However, if I am wrong that the TP properly awarded the tender to Ts</w:t>
      </w:r>
      <w:r w:rsidR="00085B6F">
        <w:rPr>
          <w:bCs/>
          <w:sz w:val="28"/>
          <w:szCs w:val="28"/>
          <w:lang w:val="en-GB"/>
        </w:rPr>
        <w:t>’</w:t>
      </w:r>
      <w:r w:rsidR="00B36F4F">
        <w:rPr>
          <w:bCs/>
          <w:sz w:val="28"/>
          <w:szCs w:val="28"/>
          <w:lang w:val="en-GB"/>
        </w:rPr>
        <w:t xml:space="preserve">ilo, I am satisfied that the application became moot </w:t>
      </w:r>
      <w:r>
        <w:rPr>
          <w:bCs/>
          <w:sz w:val="28"/>
          <w:szCs w:val="28"/>
          <w:lang w:val="en-GB"/>
        </w:rPr>
        <w:t xml:space="preserve">the minute the contract was performed and renovations completed. There is no reason why the applicant </w:t>
      </w:r>
      <w:r>
        <w:rPr>
          <w:bCs/>
          <w:sz w:val="28"/>
          <w:szCs w:val="28"/>
          <w:lang w:val="en-GB"/>
        </w:rPr>
        <w:lastRenderedPageBreak/>
        <w:t>should not be ordered to pay the costs of this application.</w:t>
      </w:r>
    </w:p>
    <w:p w14:paraId="077D89AE" w14:textId="77777777" w:rsidR="00045582" w:rsidRDefault="00045582" w:rsidP="00F37628">
      <w:pPr>
        <w:spacing w:line="480" w:lineRule="auto"/>
        <w:jc w:val="both"/>
        <w:rPr>
          <w:bCs/>
          <w:sz w:val="28"/>
          <w:szCs w:val="28"/>
          <w:lang w:val="en-GB"/>
        </w:rPr>
      </w:pPr>
    </w:p>
    <w:p w14:paraId="34F1E970" w14:textId="62EF5019" w:rsidR="006C1450" w:rsidRDefault="00045582" w:rsidP="00F37628">
      <w:pPr>
        <w:spacing w:line="480" w:lineRule="auto"/>
        <w:jc w:val="both"/>
        <w:rPr>
          <w:b/>
          <w:sz w:val="28"/>
          <w:szCs w:val="28"/>
          <w:u w:val="single"/>
          <w:lang w:val="en-GB"/>
        </w:rPr>
      </w:pPr>
      <w:r w:rsidRPr="00045582">
        <w:rPr>
          <w:b/>
          <w:sz w:val="28"/>
          <w:szCs w:val="28"/>
          <w:u w:val="single"/>
          <w:lang w:val="en-GB"/>
        </w:rPr>
        <w:t>ORDER:</w:t>
      </w:r>
      <w:r w:rsidR="0014278B" w:rsidRPr="00045582">
        <w:rPr>
          <w:b/>
          <w:sz w:val="28"/>
          <w:szCs w:val="28"/>
          <w:u w:val="single"/>
          <w:lang w:val="en-GB"/>
        </w:rPr>
        <w:t xml:space="preserve"> </w:t>
      </w:r>
    </w:p>
    <w:p w14:paraId="11E0CC5E" w14:textId="77777777" w:rsidR="0030649E" w:rsidRDefault="0030649E" w:rsidP="00F37628">
      <w:pPr>
        <w:spacing w:line="480" w:lineRule="auto"/>
        <w:jc w:val="both"/>
        <w:rPr>
          <w:b/>
          <w:sz w:val="28"/>
          <w:szCs w:val="28"/>
          <w:u w:val="single"/>
          <w:lang w:val="en-GB"/>
        </w:rPr>
      </w:pPr>
    </w:p>
    <w:p w14:paraId="0D810937" w14:textId="6EE2758E" w:rsidR="00045582" w:rsidRPr="00045582" w:rsidRDefault="00045582" w:rsidP="00F37628">
      <w:pPr>
        <w:spacing w:line="480" w:lineRule="auto"/>
        <w:jc w:val="both"/>
        <w:rPr>
          <w:bCs/>
          <w:sz w:val="28"/>
          <w:szCs w:val="28"/>
          <w:lang w:val="en-GB"/>
        </w:rPr>
      </w:pPr>
      <w:r w:rsidRPr="00045582">
        <w:rPr>
          <w:bCs/>
          <w:sz w:val="28"/>
          <w:szCs w:val="28"/>
          <w:lang w:val="en-GB"/>
        </w:rPr>
        <w:t>[4</w:t>
      </w:r>
      <w:r w:rsidR="0030649E">
        <w:rPr>
          <w:bCs/>
          <w:sz w:val="28"/>
          <w:szCs w:val="28"/>
          <w:lang w:val="en-GB"/>
        </w:rPr>
        <w:t>2</w:t>
      </w:r>
      <w:r w:rsidRPr="00045582">
        <w:rPr>
          <w:bCs/>
          <w:sz w:val="28"/>
          <w:szCs w:val="28"/>
          <w:lang w:val="en-GB"/>
        </w:rPr>
        <w:t>]</w:t>
      </w:r>
      <w:r>
        <w:rPr>
          <w:bCs/>
          <w:sz w:val="28"/>
          <w:szCs w:val="28"/>
          <w:lang w:val="en-GB"/>
        </w:rPr>
        <w:tab/>
      </w:r>
      <w:r>
        <w:rPr>
          <w:bCs/>
          <w:sz w:val="28"/>
          <w:szCs w:val="28"/>
          <w:lang w:val="en-GB"/>
        </w:rPr>
        <w:tab/>
        <w:t>Therefore</w:t>
      </w:r>
      <w:r w:rsidR="007764CE">
        <w:rPr>
          <w:bCs/>
          <w:sz w:val="28"/>
          <w:szCs w:val="28"/>
          <w:lang w:val="en-GB"/>
        </w:rPr>
        <w:t>,</w:t>
      </w:r>
      <w:r>
        <w:rPr>
          <w:bCs/>
          <w:sz w:val="28"/>
          <w:szCs w:val="28"/>
          <w:lang w:val="en-GB"/>
        </w:rPr>
        <w:t xml:space="preserve"> I dismiss the application with costs.</w:t>
      </w:r>
    </w:p>
    <w:p w14:paraId="3EF8C102" w14:textId="77777777" w:rsidR="005E05C5" w:rsidRDefault="005E05C5" w:rsidP="00F37628">
      <w:pPr>
        <w:spacing w:line="480" w:lineRule="auto"/>
        <w:jc w:val="both"/>
        <w:rPr>
          <w:bCs/>
          <w:sz w:val="28"/>
          <w:szCs w:val="28"/>
          <w:lang w:val="en-GB"/>
        </w:rPr>
      </w:pPr>
    </w:p>
    <w:p w14:paraId="1C801151" w14:textId="77777777" w:rsidR="00DF3308" w:rsidRDefault="00DF3308" w:rsidP="00DF3308"/>
    <w:p w14:paraId="782522C5" w14:textId="77777777" w:rsidR="00DF3308" w:rsidRDefault="00DF3308" w:rsidP="00DF3308">
      <w:pPr>
        <w:jc w:val="center"/>
        <w:rPr>
          <w:color w:val="0E101A"/>
          <w:sz w:val="28"/>
          <w:szCs w:val="28"/>
        </w:rPr>
      </w:pPr>
    </w:p>
    <w:p w14:paraId="43B3D14F" w14:textId="77777777" w:rsidR="00DF3308" w:rsidRDefault="00DF3308" w:rsidP="00DF3308">
      <w:pPr>
        <w:jc w:val="center"/>
        <w:rPr>
          <w:color w:val="0E101A"/>
          <w:sz w:val="28"/>
          <w:szCs w:val="28"/>
        </w:rPr>
      </w:pPr>
      <w:r>
        <w:rPr>
          <w:color w:val="0E101A"/>
          <w:sz w:val="28"/>
          <w:szCs w:val="28"/>
        </w:rPr>
        <w:t>_____________________</w:t>
      </w:r>
    </w:p>
    <w:p w14:paraId="64719359" w14:textId="77777777" w:rsidR="00DF3308" w:rsidRDefault="00DF3308" w:rsidP="00DF3308">
      <w:pPr>
        <w:jc w:val="center"/>
        <w:rPr>
          <w:b/>
          <w:bCs/>
          <w:color w:val="0E101A"/>
          <w:sz w:val="28"/>
          <w:szCs w:val="28"/>
        </w:rPr>
      </w:pPr>
      <w:r>
        <w:rPr>
          <w:b/>
          <w:bCs/>
          <w:color w:val="0E101A"/>
          <w:sz w:val="28"/>
          <w:szCs w:val="28"/>
        </w:rPr>
        <w:t>A.R. MATHABA J</w:t>
      </w:r>
    </w:p>
    <w:p w14:paraId="742E9A64" w14:textId="77777777" w:rsidR="00DF3308" w:rsidRDefault="00DF3308" w:rsidP="00DF3308">
      <w:pPr>
        <w:jc w:val="center"/>
        <w:rPr>
          <w:color w:val="0E101A"/>
          <w:sz w:val="28"/>
          <w:szCs w:val="28"/>
        </w:rPr>
      </w:pPr>
      <w:r>
        <w:rPr>
          <w:color w:val="0E101A"/>
          <w:sz w:val="28"/>
          <w:szCs w:val="28"/>
        </w:rPr>
        <w:t>Judge of the High Court</w:t>
      </w:r>
    </w:p>
    <w:p w14:paraId="3AE5DF19" w14:textId="77777777" w:rsidR="00DF3308" w:rsidRDefault="00DF3308" w:rsidP="00DF3308">
      <w:pPr>
        <w:jc w:val="center"/>
        <w:rPr>
          <w:color w:val="0E101A"/>
          <w:sz w:val="28"/>
          <w:szCs w:val="28"/>
        </w:rPr>
      </w:pPr>
    </w:p>
    <w:p w14:paraId="1FAC83CC" w14:textId="77777777" w:rsidR="00DF3308" w:rsidRDefault="00DF3308" w:rsidP="00DF3308">
      <w:pPr>
        <w:jc w:val="both"/>
        <w:rPr>
          <w:strike/>
          <w:color w:val="0E101A"/>
          <w:sz w:val="28"/>
          <w:szCs w:val="28"/>
        </w:rPr>
      </w:pPr>
    </w:p>
    <w:p w14:paraId="3848E80D" w14:textId="77777777" w:rsidR="00DF3308" w:rsidRDefault="00DF3308" w:rsidP="00DF3308"/>
    <w:p w14:paraId="5FFB0460" w14:textId="77777777" w:rsidR="00DF3308" w:rsidRDefault="00DF3308" w:rsidP="00DF3308"/>
    <w:p w14:paraId="3BE3C5EB" w14:textId="60FD554C" w:rsidR="00DF3308" w:rsidRPr="00373415" w:rsidRDefault="00DF3308" w:rsidP="00DF3308">
      <w:pPr>
        <w:spacing w:line="360" w:lineRule="auto"/>
        <w:rPr>
          <w:sz w:val="28"/>
          <w:szCs w:val="28"/>
        </w:rPr>
      </w:pPr>
      <w:r w:rsidRPr="00373415">
        <w:rPr>
          <w:sz w:val="28"/>
          <w:szCs w:val="28"/>
        </w:rPr>
        <w:t xml:space="preserve">For the </w:t>
      </w:r>
      <w:r w:rsidR="00323E14">
        <w:rPr>
          <w:sz w:val="28"/>
          <w:szCs w:val="28"/>
        </w:rPr>
        <w:t>Applicant</w:t>
      </w:r>
      <w:r w:rsidRPr="00373415">
        <w:rPr>
          <w:sz w:val="28"/>
          <w:szCs w:val="28"/>
        </w:rPr>
        <w:t>:</w:t>
      </w:r>
      <w:r w:rsidRPr="00373415">
        <w:rPr>
          <w:sz w:val="28"/>
          <w:szCs w:val="28"/>
        </w:rPr>
        <w:tab/>
      </w:r>
      <w:r w:rsidRPr="00373415">
        <w:rPr>
          <w:sz w:val="28"/>
          <w:szCs w:val="28"/>
        </w:rPr>
        <w:tab/>
      </w:r>
      <w:r w:rsidR="004E4F26">
        <w:rPr>
          <w:sz w:val="28"/>
          <w:szCs w:val="28"/>
        </w:rPr>
        <w:t xml:space="preserve">Mr. </w:t>
      </w:r>
      <w:r w:rsidR="009F2548">
        <w:rPr>
          <w:sz w:val="28"/>
          <w:szCs w:val="28"/>
        </w:rPr>
        <w:t>K.</w:t>
      </w:r>
      <w:r w:rsidR="0029686C">
        <w:rPr>
          <w:sz w:val="28"/>
          <w:szCs w:val="28"/>
        </w:rPr>
        <w:t xml:space="preserve"> Ndebele</w:t>
      </w:r>
    </w:p>
    <w:p w14:paraId="3F5F37F0" w14:textId="77777777" w:rsidR="00BD34EA" w:rsidRDefault="00DF3308" w:rsidP="00DF3308">
      <w:pPr>
        <w:spacing w:line="360" w:lineRule="auto"/>
        <w:rPr>
          <w:sz w:val="28"/>
          <w:szCs w:val="28"/>
        </w:rPr>
      </w:pPr>
      <w:r w:rsidRPr="00373415">
        <w:rPr>
          <w:sz w:val="28"/>
          <w:szCs w:val="28"/>
        </w:rPr>
        <w:t xml:space="preserve">For the </w:t>
      </w:r>
      <w:r w:rsidR="0029686C">
        <w:rPr>
          <w:sz w:val="28"/>
          <w:szCs w:val="28"/>
        </w:rPr>
        <w:t>1</w:t>
      </w:r>
      <w:r w:rsidR="0029686C" w:rsidRPr="0029686C">
        <w:rPr>
          <w:sz w:val="28"/>
          <w:szCs w:val="28"/>
          <w:vertAlign w:val="superscript"/>
        </w:rPr>
        <w:t>st</w:t>
      </w:r>
      <w:r w:rsidR="0029686C">
        <w:rPr>
          <w:sz w:val="28"/>
          <w:szCs w:val="28"/>
        </w:rPr>
        <w:t xml:space="preserve"> </w:t>
      </w:r>
      <w:r w:rsidR="00492538">
        <w:rPr>
          <w:sz w:val="28"/>
          <w:szCs w:val="28"/>
        </w:rPr>
        <w:t>Responde</w:t>
      </w:r>
      <w:r w:rsidRPr="00373415">
        <w:rPr>
          <w:sz w:val="28"/>
          <w:szCs w:val="28"/>
        </w:rPr>
        <w:t>nt:</w:t>
      </w:r>
      <w:r w:rsidR="00971EC3">
        <w:rPr>
          <w:sz w:val="28"/>
          <w:szCs w:val="28"/>
        </w:rPr>
        <w:tab/>
        <w:t>Adv. S. S. Tsabeha</w:t>
      </w:r>
    </w:p>
    <w:p w14:paraId="2C2CA98E" w14:textId="7AB36BB9" w:rsidR="00DF3308" w:rsidRPr="00373415" w:rsidRDefault="00BD34EA" w:rsidP="00DF3308">
      <w:pPr>
        <w:spacing w:line="360" w:lineRule="auto"/>
        <w:rPr>
          <w:sz w:val="28"/>
          <w:szCs w:val="28"/>
        </w:rPr>
      </w:pPr>
      <w:r>
        <w:rPr>
          <w:sz w:val="28"/>
          <w:szCs w:val="28"/>
        </w:rPr>
        <w:t xml:space="preserve">For the </w:t>
      </w:r>
      <w:r w:rsidR="000B76A7">
        <w:rPr>
          <w:sz w:val="28"/>
          <w:szCs w:val="28"/>
        </w:rPr>
        <w:t>2</w:t>
      </w:r>
      <w:r w:rsidR="000B76A7" w:rsidRPr="000B76A7">
        <w:rPr>
          <w:sz w:val="28"/>
          <w:szCs w:val="28"/>
          <w:vertAlign w:val="superscript"/>
        </w:rPr>
        <w:t>nd</w:t>
      </w:r>
      <w:r w:rsidR="000B76A7">
        <w:rPr>
          <w:sz w:val="28"/>
          <w:szCs w:val="28"/>
        </w:rPr>
        <w:t xml:space="preserve"> Respondent:</w:t>
      </w:r>
      <w:r w:rsidR="000B76A7">
        <w:rPr>
          <w:sz w:val="28"/>
          <w:szCs w:val="28"/>
        </w:rPr>
        <w:tab/>
      </w:r>
      <w:r w:rsidR="0078663F">
        <w:rPr>
          <w:sz w:val="28"/>
          <w:szCs w:val="28"/>
        </w:rPr>
        <w:t xml:space="preserve">Adv. </w:t>
      </w:r>
      <w:r w:rsidR="00F93857">
        <w:rPr>
          <w:sz w:val="28"/>
          <w:szCs w:val="28"/>
        </w:rPr>
        <w:t>T.</w:t>
      </w:r>
      <w:r w:rsidR="00134211">
        <w:rPr>
          <w:sz w:val="28"/>
          <w:szCs w:val="28"/>
        </w:rPr>
        <w:t xml:space="preserve"> V. </w:t>
      </w:r>
      <w:r w:rsidR="000B76A7">
        <w:rPr>
          <w:sz w:val="28"/>
          <w:szCs w:val="28"/>
        </w:rPr>
        <w:t>Molise</w:t>
      </w:r>
      <w:r w:rsidR="00DF3308" w:rsidRPr="00373415">
        <w:rPr>
          <w:sz w:val="28"/>
          <w:szCs w:val="28"/>
        </w:rPr>
        <w:tab/>
      </w:r>
    </w:p>
    <w:p w14:paraId="6A726363" w14:textId="0861D033" w:rsidR="00EB7036" w:rsidRPr="00DF3308" w:rsidRDefault="00DF3308" w:rsidP="00DF3308">
      <w:pPr>
        <w:pStyle w:val="BodyText"/>
        <w:kinsoku w:val="0"/>
        <w:overflowPunct w:val="0"/>
        <w:spacing w:line="480" w:lineRule="auto"/>
        <w:ind w:left="2160" w:hanging="720"/>
        <w:jc w:val="both"/>
        <w:rPr>
          <w:rFonts w:ascii="Times New Roman" w:hAnsi="Times New Roman" w:cs="Times New Roman"/>
          <w:sz w:val="28"/>
          <w:szCs w:val="28"/>
        </w:rPr>
      </w:pPr>
      <w:r w:rsidRPr="00373415">
        <w:rPr>
          <w:rFonts w:ascii="Times New Roman" w:hAnsi="Times New Roman" w:cs="Times New Roman"/>
          <w:sz w:val="28"/>
          <w:szCs w:val="28"/>
        </w:rPr>
        <w:t xml:space="preserve"> </w:t>
      </w:r>
    </w:p>
    <w:p w14:paraId="792B642E" w14:textId="77777777" w:rsidR="00EB7036" w:rsidRPr="00F37628" w:rsidRDefault="00EB7036" w:rsidP="00F37628">
      <w:pPr>
        <w:spacing w:line="480" w:lineRule="auto"/>
        <w:jc w:val="both"/>
        <w:rPr>
          <w:bCs/>
          <w:sz w:val="28"/>
          <w:szCs w:val="28"/>
          <w:lang w:val="en-GB"/>
        </w:rPr>
      </w:pPr>
    </w:p>
    <w:sectPr w:rsidR="00EB7036" w:rsidRPr="00F37628" w:rsidSect="00FE7D5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0799" w14:textId="77777777" w:rsidR="00B0328C" w:rsidRDefault="00B0328C" w:rsidP="00AE1D7D">
      <w:r>
        <w:separator/>
      </w:r>
    </w:p>
  </w:endnote>
  <w:endnote w:type="continuationSeparator" w:id="0">
    <w:p w14:paraId="3C54B64A" w14:textId="77777777" w:rsidR="00B0328C" w:rsidRDefault="00B0328C" w:rsidP="00AE1D7D">
      <w:r>
        <w:continuationSeparator/>
      </w:r>
    </w:p>
  </w:endnote>
  <w:endnote w:type="continuationNotice" w:id="1">
    <w:p w14:paraId="3341C20B" w14:textId="77777777" w:rsidR="00B0328C" w:rsidRDefault="00B03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27105"/>
      <w:docPartObj>
        <w:docPartGallery w:val="Page Numbers (Bottom of Page)"/>
        <w:docPartUnique/>
      </w:docPartObj>
    </w:sdtPr>
    <w:sdtEndPr>
      <w:rPr>
        <w:noProof/>
      </w:rPr>
    </w:sdtEndPr>
    <w:sdtContent>
      <w:p w14:paraId="604B6889" w14:textId="6F205C24" w:rsidR="00FE7D53" w:rsidRDefault="00FE7D53">
        <w:pPr>
          <w:pStyle w:val="Footer"/>
          <w:jc w:val="right"/>
        </w:pPr>
        <w:r>
          <w:fldChar w:fldCharType="begin"/>
        </w:r>
        <w:r>
          <w:instrText xml:space="preserve"> PAGE   \* MERGEFORMAT </w:instrText>
        </w:r>
        <w:r>
          <w:fldChar w:fldCharType="separate"/>
        </w:r>
        <w:r w:rsidR="00EC4F61">
          <w:rPr>
            <w:noProof/>
          </w:rPr>
          <w:t>13</w:t>
        </w:r>
        <w:r>
          <w:rPr>
            <w:noProof/>
          </w:rPr>
          <w:fldChar w:fldCharType="end"/>
        </w:r>
      </w:p>
    </w:sdtContent>
  </w:sdt>
  <w:p w14:paraId="61E6DDCB" w14:textId="77777777" w:rsidR="00FE7D53" w:rsidRDefault="00FE7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FAA6" w14:textId="77777777" w:rsidR="00B0328C" w:rsidRDefault="00B0328C" w:rsidP="00AE1D7D">
      <w:r>
        <w:separator/>
      </w:r>
    </w:p>
  </w:footnote>
  <w:footnote w:type="continuationSeparator" w:id="0">
    <w:p w14:paraId="60C1E63B" w14:textId="77777777" w:rsidR="00B0328C" w:rsidRDefault="00B0328C" w:rsidP="00AE1D7D">
      <w:r>
        <w:continuationSeparator/>
      </w:r>
    </w:p>
  </w:footnote>
  <w:footnote w:type="continuationNotice" w:id="1">
    <w:p w14:paraId="650A9DED" w14:textId="77777777" w:rsidR="00B0328C" w:rsidRDefault="00B0328C"/>
  </w:footnote>
  <w:footnote w:id="2">
    <w:p w14:paraId="21AA0B42" w14:textId="77777777" w:rsidR="00801E7F" w:rsidRPr="008F45C3" w:rsidRDefault="00801E7F" w:rsidP="00801E7F">
      <w:pPr>
        <w:pStyle w:val="FootnoteText"/>
        <w:rPr>
          <w:lang w:val="en-ZA"/>
        </w:rPr>
      </w:pPr>
      <w:r>
        <w:rPr>
          <w:rStyle w:val="FootnoteReference"/>
        </w:rPr>
        <w:footnoteRef/>
      </w:r>
      <w:r>
        <w:t xml:space="preserve"> </w:t>
      </w:r>
      <w:r>
        <w:rPr>
          <w:lang w:val="en-ZA"/>
        </w:rPr>
        <w:t>Regulation 22(1)</w:t>
      </w:r>
    </w:p>
  </w:footnote>
  <w:footnote w:id="3">
    <w:p w14:paraId="137EAEE2" w14:textId="77777777" w:rsidR="00801E7F" w:rsidRPr="008F45C3" w:rsidRDefault="00801E7F" w:rsidP="00801E7F">
      <w:pPr>
        <w:pStyle w:val="FootnoteText"/>
        <w:rPr>
          <w:lang w:val="en-ZA"/>
        </w:rPr>
      </w:pPr>
      <w:r>
        <w:rPr>
          <w:rStyle w:val="FootnoteReference"/>
        </w:rPr>
        <w:footnoteRef/>
      </w:r>
      <w:r>
        <w:t xml:space="preserve"> </w:t>
      </w:r>
      <w:r>
        <w:rPr>
          <w:lang w:val="en-ZA"/>
        </w:rPr>
        <w:t>Regulation 20(4)</w:t>
      </w:r>
    </w:p>
  </w:footnote>
  <w:footnote w:id="4">
    <w:p w14:paraId="7E07C7A6" w14:textId="77777777" w:rsidR="00801E7F" w:rsidRPr="008F45C3" w:rsidRDefault="00801E7F" w:rsidP="00801E7F">
      <w:pPr>
        <w:pStyle w:val="FootnoteText"/>
        <w:rPr>
          <w:lang w:val="en-ZA"/>
        </w:rPr>
      </w:pPr>
      <w:r>
        <w:rPr>
          <w:rStyle w:val="FootnoteReference"/>
        </w:rPr>
        <w:footnoteRef/>
      </w:r>
      <w:r>
        <w:t xml:space="preserve"> </w:t>
      </w:r>
      <w:r>
        <w:rPr>
          <w:lang w:val="en-ZA"/>
        </w:rPr>
        <w:t>Regulation 20(5)</w:t>
      </w:r>
    </w:p>
  </w:footnote>
  <w:footnote w:id="5">
    <w:p w14:paraId="0B832A50" w14:textId="77777777" w:rsidR="00801E7F" w:rsidRPr="008F45C3" w:rsidRDefault="00801E7F" w:rsidP="00801E7F">
      <w:pPr>
        <w:pStyle w:val="FootnoteText"/>
        <w:rPr>
          <w:lang w:val="en-ZA"/>
        </w:rPr>
      </w:pPr>
      <w:r>
        <w:rPr>
          <w:rStyle w:val="FootnoteReference"/>
        </w:rPr>
        <w:footnoteRef/>
      </w:r>
      <w:r>
        <w:t xml:space="preserve"> </w:t>
      </w:r>
      <w:r>
        <w:rPr>
          <w:lang w:val="en-ZA"/>
        </w:rPr>
        <w:t>Regulation 29(1)</w:t>
      </w:r>
    </w:p>
  </w:footnote>
  <w:footnote w:id="6">
    <w:p w14:paraId="41FAEE0B" w14:textId="77777777" w:rsidR="00801E7F" w:rsidRPr="008F45C3" w:rsidRDefault="00801E7F" w:rsidP="00801E7F">
      <w:pPr>
        <w:pStyle w:val="FootnoteText"/>
        <w:rPr>
          <w:lang w:val="en-ZA"/>
        </w:rPr>
      </w:pPr>
      <w:r>
        <w:rPr>
          <w:rStyle w:val="FootnoteReference"/>
        </w:rPr>
        <w:footnoteRef/>
      </w:r>
      <w:r>
        <w:t xml:space="preserve"> </w:t>
      </w:r>
      <w:r>
        <w:rPr>
          <w:lang w:val="en-ZA"/>
        </w:rPr>
        <w:t>Regulation 30(1)</w:t>
      </w:r>
    </w:p>
  </w:footnote>
  <w:footnote w:id="7">
    <w:p w14:paraId="528AF190" w14:textId="77777777" w:rsidR="00801E7F" w:rsidRPr="008F45C3" w:rsidRDefault="00801E7F" w:rsidP="00801E7F">
      <w:pPr>
        <w:pStyle w:val="FootnoteText"/>
        <w:rPr>
          <w:lang w:val="en-ZA"/>
        </w:rPr>
      </w:pPr>
      <w:r>
        <w:rPr>
          <w:rStyle w:val="FootnoteReference"/>
        </w:rPr>
        <w:footnoteRef/>
      </w:r>
      <w:r>
        <w:t xml:space="preserve"> </w:t>
      </w:r>
      <w:r>
        <w:rPr>
          <w:lang w:val="en-ZA"/>
        </w:rPr>
        <w:t>Regulation 29(4)</w:t>
      </w:r>
    </w:p>
  </w:footnote>
  <w:footnote w:id="8">
    <w:p w14:paraId="37620BC9" w14:textId="77777777" w:rsidR="00801E7F" w:rsidRPr="00F91B72" w:rsidRDefault="00801E7F" w:rsidP="00801E7F">
      <w:pPr>
        <w:pStyle w:val="FootnoteText"/>
        <w:rPr>
          <w:lang w:val="en-ZA"/>
        </w:rPr>
      </w:pPr>
      <w:r>
        <w:rPr>
          <w:rStyle w:val="FootnoteReference"/>
        </w:rPr>
        <w:footnoteRef/>
      </w:r>
      <w:r>
        <w:t xml:space="preserve"> </w:t>
      </w:r>
      <w:r>
        <w:rPr>
          <w:lang w:val="en-ZA"/>
        </w:rPr>
        <w:t>Regulation 48 (1)(d)</w:t>
      </w:r>
    </w:p>
  </w:footnote>
  <w:footnote w:id="9">
    <w:p w14:paraId="476AFC21" w14:textId="7D259F7E" w:rsidR="00801E7F" w:rsidRPr="00AB1AD1" w:rsidRDefault="00801E7F" w:rsidP="00801E7F">
      <w:pPr>
        <w:pStyle w:val="FootnoteText"/>
        <w:rPr>
          <w:lang w:val="en-ZA"/>
        </w:rPr>
      </w:pPr>
      <w:r>
        <w:rPr>
          <w:rStyle w:val="FootnoteReference"/>
        </w:rPr>
        <w:footnoteRef/>
      </w:r>
      <w:r w:rsidR="0048445A">
        <w:rPr>
          <w:lang w:val="en-ZA"/>
        </w:rPr>
        <w:t xml:space="preserve"> </w:t>
      </w:r>
      <w:r>
        <w:rPr>
          <w:lang w:val="en-ZA"/>
        </w:rPr>
        <w:t>Regulation 32(1)</w:t>
      </w:r>
    </w:p>
  </w:footnote>
  <w:footnote w:id="10">
    <w:p w14:paraId="6E575D38" w14:textId="77777777" w:rsidR="00801E7F" w:rsidRPr="00AB1AD1" w:rsidRDefault="00801E7F" w:rsidP="00801E7F">
      <w:pPr>
        <w:pStyle w:val="FootnoteText"/>
        <w:rPr>
          <w:lang w:val="en-ZA"/>
        </w:rPr>
      </w:pPr>
      <w:r>
        <w:rPr>
          <w:rStyle w:val="FootnoteReference"/>
        </w:rPr>
        <w:footnoteRef/>
      </w:r>
      <w:r>
        <w:t xml:space="preserve"> </w:t>
      </w:r>
      <w:r>
        <w:rPr>
          <w:lang w:val="en-ZA"/>
        </w:rPr>
        <w:t>Regulation 33(3)</w:t>
      </w:r>
    </w:p>
  </w:footnote>
  <w:footnote w:id="11">
    <w:p w14:paraId="28A02861" w14:textId="77777777" w:rsidR="00801E7F" w:rsidRPr="00AB1AD1" w:rsidRDefault="00801E7F" w:rsidP="00801E7F">
      <w:pPr>
        <w:pStyle w:val="FootnoteText"/>
        <w:rPr>
          <w:lang w:val="en-ZA"/>
        </w:rPr>
      </w:pPr>
      <w:r>
        <w:rPr>
          <w:rStyle w:val="FootnoteReference"/>
        </w:rPr>
        <w:footnoteRef/>
      </w:r>
      <w:r>
        <w:t xml:space="preserve"> </w:t>
      </w:r>
      <w:r>
        <w:rPr>
          <w:lang w:val="en-ZA"/>
        </w:rPr>
        <w:t>Regulation 33(4)</w:t>
      </w:r>
    </w:p>
  </w:footnote>
  <w:footnote w:id="12">
    <w:p w14:paraId="2339CE9B" w14:textId="77777777" w:rsidR="00801E7F" w:rsidRPr="009E2E16" w:rsidRDefault="00801E7F" w:rsidP="00801E7F">
      <w:pPr>
        <w:pStyle w:val="FootnoteText"/>
        <w:rPr>
          <w:lang w:val="en-ZA"/>
        </w:rPr>
      </w:pPr>
      <w:r>
        <w:rPr>
          <w:rStyle w:val="FootnoteReference"/>
        </w:rPr>
        <w:footnoteRef/>
      </w:r>
      <w:r>
        <w:t xml:space="preserve"> </w:t>
      </w:r>
      <w:r>
        <w:rPr>
          <w:lang w:val="en-ZA"/>
        </w:rPr>
        <w:t>Regulation 54(1)</w:t>
      </w:r>
    </w:p>
  </w:footnote>
  <w:footnote w:id="13">
    <w:p w14:paraId="7BB7E114" w14:textId="77777777" w:rsidR="00801E7F" w:rsidRPr="009E2E16" w:rsidRDefault="00801E7F" w:rsidP="00801E7F">
      <w:pPr>
        <w:pStyle w:val="FootnoteText"/>
        <w:rPr>
          <w:lang w:val="en-ZA"/>
        </w:rPr>
      </w:pPr>
      <w:r>
        <w:rPr>
          <w:rStyle w:val="FootnoteReference"/>
        </w:rPr>
        <w:footnoteRef/>
      </w:r>
      <w:r>
        <w:t xml:space="preserve"> </w:t>
      </w:r>
      <w:r>
        <w:rPr>
          <w:lang w:val="en-ZA"/>
        </w:rPr>
        <w:t>Regulation 54(4)</w:t>
      </w:r>
    </w:p>
  </w:footnote>
  <w:footnote w:id="14">
    <w:p w14:paraId="5842B520" w14:textId="77777777" w:rsidR="00801E7F" w:rsidRPr="00F44D72" w:rsidRDefault="00801E7F" w:rsidP="00801E7F">
      <w:pPr>
        <w:pStyle w:val="FootnoteText"/>
        <w:rPr>
          <w:lang w:val="en-ZA"/>
        </w:rPr>
      </w:pPr>
      <w:r>
        <w:rPr>
          <w:rStyle w:val="FootnoteReference"/>
        </w:rPr>
        <w:footnoteRef/>
      </w:r>
      <w:r>
        <w:t xml:space="preserve"> </w:t>
      </w:r>
      <w:r>
        <w:rPr>
          <w:lang w:val="en-ZA"/>
        </w:rPr>
        <w:t>Regulation 54(2)</w:t>
      </w:r>
    </w:p>
  </w:footnote>
  <w:footnote w:id="15">
    <w:p w14:paraId="122B6604" w14:textId="77777777" w:rsidR="00801E7F" w:rsidRPr="00F44D72" w:rsidRDefault="00801E7F" w:rsidP="00801E7F">
      <w:pPr>
        <w:pStyle w:val="FootnoteText"/>
        <w:rPr>
          <w:lang w:val="en-ZA"/>
        </w:rPr>
      </w:pPr>
      <w:r>
        <w:rPr>
          <w:rStyle w:val="FootnoteReference"/>
        </w:rPr>
        <w:footnoteRef/>
      </w:r>
      <w:r>
        <w:t xml:space="preserve"> </w:t>
      </w:r>
      <w:r>
        <w:rPr>
          <w:lang w:val="en-ZA"/>
        </w:rPr>
        <w:t>Regulation 54(5)</w:t>
      </w:r>
    </w:p>
  </w:footnote>
  <w:footnote w:id="16">
    <w:p w14:paraId="25F575AE" w14:textId="77777777" w:rsidR="00801E7F" w:rsidRPr="006C0730" w:rsidRDefault="00801E7F" w:rsidP="00801E7F">
      <w:pPr>
        <w:pStyle w:val="FootnoteText"/>
        <w:rPr>
          <w:lang w:val="en-ZA"/>
        </w:rPr>
      </w:pPr>
      <w:r>
        <w:rPr>
          <w:rStyle w:val="FootnoteReference"/>
        </w:rPr>
        <w:footnoteRef/>
      </w:r>
      <w:r>
        <w:t xml:space="preserve"> </w:t>
      </w:r>
      <w:r>
        <w:rPr>
          <w:lang w:val="en-ZA"/>
        </w:rPr>
        <w:t>Regulation 48(1)</w:t>
      </w:r>
    </w:p>
  </w:footnote>
  <w:footnote w:id="17">
    <w:p w14:paraId="54B05FF6" w14:textId="77777777" w:rsidR="00801E7F" w:rsidRPr="006C0730" w:rsidRDefault="00801E7F" w:rsidP="00801E7F">
      <w:pPr>
        <w:pStyle w:val="FootnoteText"/>
        <w:rPr>
          <w:lang w:val="en-ZA"/>
        </w:rPr>
      </w:pPr>
      <w:r>
        <w:rPr>
          <w:rStyle w:val="FootnoteReference"/>
        </w:rPr>
        <w:footnoteRef/>
      </w:r>
      <w:r>
        <w:t xml:space="preserve"> </w:t>
      </w:r>
      <w:r>
        <w:rPr>
          <w:lang w:val="en-ZA"/>
        </w:rPr>
        <w:t>Regulation 49(2)</w:t>
      </w:r>
    </w:p>
  </w:footnote>
  <w:footnote w:id="18">
    <w:p w14:paraId="1B2A97C6" w14:textId="200FEE53" w:rsidR="0009722C" w:rsidRPr="0009722C" w:rsidRDefault="0009722C">
      <w:pPr>
        <w:pStyle w:val="FootnoteText"/>
        <w:rPr>
          <w:lang w:val="en-ZA"/>
        </w:rPr>
      </w:pPr>
      <w:r>
        <w:rPr>
          <w:rStyle w:val="FootnoteReference"/>
        </w:rPr>
        <w:footnoteRef/>
      </w:r>
      <w:r>
        <w:t xml:space="preserve"> </w:t>
      </w:r>
      <w:r>
        <w:rPr>
          <w:lang w:val="en-ZA"/>
        </w:rPr>
        <w:t>Regulation 27(1)</w:t>
      </w:r>
    </w:p>
  </w:footnote>
  <w:footnote w:id="19">
    <w:p w14:paraId="0D5E52B6" w14:textId="77777777" w:rsidR="00801E7F" w:rsidRPr="00274717" w:rsidRDefault="00801E7F" w:rsidP="00801E7F">
      <w:pPr>
        <w:pStyle w:val="FootnoteText"/>
        <w:rPr>
          <w:lang w:val="en-ZA"/>
        </w:rPr>
      </w:pPr>
      <w:r>
        <w:rPr>
          <w:rStyle w:val="FootnoteReference"/>
        </w:rPr>
        <w:footnoteRef/>
      </w:r>
      <w:r>
        <w:t xml:space="preserve"> </w:t>
      </w:r>
      <w:r>
        <w:rPr>
          <w:lang w:val="en-ZA"/>
        </w:rPr>
        <w:t>Regulation 50(3)(b)</w:t>
      </w:r>
    </w:p>
  </w:footnote>
  <w:footnote w:id="20">
    <w:p w14:paraId="7697CAA2" w14:textId="77777777" w:rsidR="00801E7F" w:rsidRPr="00274717" w:rsidRDefault="00801E7F" w:rsidP="00801E7F">
      <w:pPr>
        <w:pStyle w:val="FootnoteText"/>
        <w:rPr>
          <w:lang w:val="en-ZA"/>
        </w:rPr>
      </w:pPr>
      <w:r>
        <w:rPr>
          <w:rStyle w:val="FootnoteReference"/>
        </w:rPr>
        <w:footnoteRef/>
      </w:r>
      <w:r>
        <w:t xml:space="preserve"> </w:t>
      </w:r>
      <w:r>
        <w:rPr>
          <w:lang w:val="en-ZA"/>
        </w:rPr>
        <w:t>Regulation 50(c)</w:t>
      </w:r>
    </w:p>
  </w:footnote>
  <w:footnote w:id="21">
    <w:p w14:paraId="3845A3BC" w14:textId="77777777" w:rsidR="00801E7F" w:rsidRPr="0076734B" w:rsidRDefault="00801E7F" w:rsidP="00801E7F">
      <w:pPr>
        <w:pStyle w:val="FootnoteText"/>
        <w:rPr>
          <w:lang w:val="en-ZA"/>
        </w:rPr>
      </w:pPr>
      <w:r>
        <w:rPr>
          <w:rStyle w:val="FootnoteReference"/>
        </w:rPr>
        <w:footnoteRef/>
      </w:r>
      <w:r>
        <w:t xml:space="preserve"> </w:t>
      </w:r>
      <w:r>
        <w:rPr>
          <w:lang w:val="en-ZA"/>
        </w:rPr>
        <w:t>Regulation 6(2) (a) and (c)</w:t>
      </w:r>
    </w:p>
  </w:footnote>
  <w:footnote w:id="22">
    <w:p w14:paraId="62A738F0" w14:textId="77777777" w:rsidR="00801E7F" w:rsidRPr="002D7EEF" w:rsidRDefault="00801E7F" w:rsidP="00801E7F">
      <w:pPr>
        <w:pStyle w:val="FootnoteText"/>
        <w:rPr>
          <w:lang w:val="en-ZA"/>
        </w:rPr>
      </w:pPr>
      <w:r>
        <w:rPr>
          <w:rStyle w:val="FootnoteReference"/>
        </w:rPr>
        <w:footnoteRef/>
      </w:r>
      <w:r>
        <w:t xml:space="preserve"> </w:t>
      </w:r>
      <w:r>
        <w:rPr>
          <w:lang w:val="en-ZA"/>
        </w:rPr>
        <w:t>Regulation 6(2)(m)</w:t>
      </w:r>
    </w:p>
  </w:footnote>
  <w:footnote w:id="23">
    <w:p w14:paraId="40E13228" w14:textId="0BF08F79" w:rsidR="00250FBE" w:rsidRPr="00250FBE" w:rsidRDefault="00250FBE">
      <w:pPr>
        <w:pStyle w:val="FootnoteText"/>
        <w:rPr>
          <w:lang w:val="en-GB"/>
        </w:rPr>
      </w:pPr>
      <w:r>
        <w:rPr>
          <w:rStyle w:val="FootnoteReference"/>
        </w:rPr>
        <w:footnoteRef/>
      </w:r>
      <w:r>
        <w:t xml:space="preserve"> </w:t>
      </w:r>
      <w:r>
        <w:rPr>
          <w:lang w:val="en-GB"/>
        </w:rPr>
        <w:t>(C of A (CIV/17/2016) para 14</w:t>
      </w:r>
    </w:p>
  </w:footnote>
  <w:footnote w:id="24">
    <w:p w14:paraId="738FF430" w14:textId="54ADB576" w:rsidR="00541909" w:rsidRPr="00541909" w:rsidRDefault="00541909">
      <w:pPr>
        <w:pStyle w:val="FootnoteText"/>
        <w:rPr>
          <w:lang w:val="en-ZA"/>
        </w:rPr>
      </w:pPr>
      <w:r>
        <w:rPr>
          <w:rStyle w:val="FootnoteReference"/>
        </w:rPr>
        <w:footnoteRef/>
      </w:r>
      <w:r>
        <w:t xml:space="preserve"> </w:t>
      </w:r>
      <w:r>
        <w:rPr>
          <w:lang w:val="en-ZA"/>
        </w:rPr>
        <w:t>Pleadings</w:t>
      </w:r>
      <w:r w:rsidR="00935CF0">
        <w:rPr>
          <w:lang w:val="en-ZA"/>
        </w:rPr>
        <w:t xml:space="preserve"> page 42, para 15 and page 40 para 7, </w:t>
      </w:r>
      <w:r w:rsidR="00834D3B">
        <w:rPr>
          <w:lang w:val="en-ZA"/>
        </w:rPr>
        <w:t>Mothabathe Hlalele’s Answering Affidavit</w:t>
      </w:r>
    </w:p>
  </w:footnote>
  <w:footnote w:id="25">
    <w:p w14:paraId="113C4292" w14:textId="329441CB" w:rsidR="00170952" w:rsidRPr="00170952" w:rsidRDefault="00170952">
      <w:pPr>
        <w:pStyle w:val="FootnoteText"/>
        <w:rPr>
          <w:lang w:val="en-ZA"/>
        </w:rPr>
      </w:pPr>
      <w:r>
        <w:rPr>
          <w:rStyle w:val="FootnoteReference"/>
        </w:rPr>
        <w:footnoteRef/>
      </w:r>
      <w:r>
        <w:t xml:space="preserve"> </w:t>
      </w:r>
      <w:r>
        <w:rPr>
          <w:lang w:val="en-ZA"/>
        </w:rPr>
        <w:t>LAC (2015 – 2016) 387 at 394</w:t>
      </w:r>
      <w:r w:rsidR="00AA421D">
        <w:rPr>
          <w:lang w:val="en-ZA"/>
        </w:rPr>
        <w:t xml:space="preserve"> para 17</w:t>
      </w:r>
    </w:p>
  </w:footnote>
  <w:footnote w:id="26">
    <w:p w14:paraId="5C3ECEB6" w14:textId="2CAF8FA8" w:rsidR="00DC0CFF" w:rsidRPr="00DC0CFF" w:rsidRDefault="00DC0CFF">
      <w:pPr>
        <w:pStyle w:val="FootnoteText"/>
        <w:rPr>
          <w:lang w:val="en-ZA"/>
        </w:rPr>
      </w:pPr>
      <w:r>
        <w:rPr>
          <w:rStyle w:val="FootnoteReference"/>
        </w:rPr>
        <w:footnoteRef/>
      </w:r>
      <w:r>
        <w:t xml:space="preserve"> </w:t>
      </w:r>
      <w:r>
        <w:rPr>
          <w:lang w:val="en-ZA"/>
        </w:rPr>
        <w:t>C of A (CIV) 15/2020, para 27</w:t>
      </w:r>
    </w:p>
  </w:footnote>
  <w:footnote w:id="27">
    <w:p w14:paraId="3B71A8AB" w14:textId="4EB00AAC" w:rsidR="008A530B" w:rsidRPr="008A530B" w:rsidRDefault="008A530B">
      <w:pPr>
        <w:pStyle w:val="FootnoteText"/>
        <w:rPr>
          <w:lang w:val="en-ZA"/>
        </w:rPr>
      </w:pPr>
      <w:r>
        <w:rPr>
          <w:rStyle w:val="FootnoteReference"/>
        </w:rPr>
        <w:footnoteRef/>
      </w:r>
      <w:r>
        <w:t xml:space="preserve"> </w:t>
      </w:r>
      <w:r>
        <w:rPr>
          <w:lang w:val="en-ZA"/>
        </w:rPr>
        <w:t xml:space="preserve">Pleadings, page 42, </w:t>
      </w:r>
      <w:r w:rsidR="00935CF0">
        <w:rPr>
          <w:lang w:val="en-ZA"/>
        </w:rPr>
        <w:t xml:space="preserve">para 12, </w:t>
      </w:r>
      <w:r>
        <w:rPr>
          <w:lang w:val="en-ZA"/>
        </w:rPr>
        <w:t>Mothabathe Hlalele’s Answering Affidavit</w:t>
      </w:r>
    </w:p>
  </w:footnote>
  <w:footnote w:id="28">
    <w:p w14:paraId="4E30A0A8" w14:textId="0CB3AF7B" w:rsidR="00C36479" w:rsidRPr="00C36479" w:rsidRDefault="00C36479">
      <w:pPr>
        <w:pStyle w:val="FootnoteText"/>
        <w:rPr>
          <w:lang w:val="en-ZA"/>
        </w:rPr>
      </w:pPr>
      <w:r>
        <w:rPr>
          <w:rStyle w:val="FootnoteReference"/>
        </w:rPr>
        <w:footnoteRef/>
      </w:r>
      <w:r>
        <w:t xml:space="preserve"> </w:t>
      </w:r>
      <w:r>
        <w:rPr>
          <w:lang w:val="en-ZA"/>
        </w:rPr>
        <w:t xml:space="preserve">Ibid, page 60, </w:t>
      </w:r>
      <w:r w:rsidR="008827ED">
        <w:rPr>
          <w:lang w:val="en-ZA"/>
        </w:rPr>
        <w:t xml:space="preserve">para 14, </w:t>
      </w:r>
      <w:r>
        <w:rPr>
          <w:lang w:val="en-ZA"/>
        </w:rPr>
        <w:t xml:space="preserve">Pokello Phakoe’s Replying Affidavit </w:t>
      </w:r>
    </w:p>
  </w:footnote>
  <w:footnote w:id="29">
    <w:p w14:paraId="55F7349C" w14:textId="4BFD7FCE" w:rsidR="00F61C31" w:rsidRPr="00F61C31" w:rsidRDefault="00F61C31">
      <w:pPr>
        <w:pStyle w:val="FootnoteText"/>
        <w:rPr>
          <w:lang w:val="en-ZA"/>
        </w:rPr>
      </w:pPr>
      <w:r>
        <w:rPr>
          <w:rStyle w:val="FootnoteReference"/>
        </w:rPr>
        <w:footnoteRef/>
      </w:r>
      <w:r>
        <w:t xml:space="preserve"> </w:t>
      </w:r>
      <w:r>
        <w:rPr>
          <w:lang w:val="en-ZA"/>
        </w:rPr>
        <w:t>C of A (CIV) No. 26/2022</w:t>
      </w:r>
    </w:p>
  </w:footnote>
  <w:footnote w:id="30">
    <w:p w14:paraId="3ADA6451" w14:textId="5943D512" w:rsidR="00EB7036" w:rsidRPr="00EB7036" w:rsidRDefault="00EB7036">
      <w:pPr>
        <w:pStyle w:val="FootnoteText"/>
        <w:rPr>
          <w:lang w:val="en-ZA"/>
        </w:rPr>
      </w:pPr>
      <w:r>
        <w:rPr>
          <w:rStyle w:val="FootnoteReference"/>
        </w:rPr>
        <w:footnoteRef/>
      </w:r>
      <w:r>
        <w:t xml:space="preserve"> </w:t>
      </w:r>
      <w:r>
        <w:rPr>
          <w:lang w:val="en-ZA"/>
        </w:rPr>
        <w:t>Pleadings, page 28, A recordal by Director of PPAD</w:t>
      </w:r>
    </w:p>
  </w:footnote>
  <w:footnote w:id="31">
    <w:p w14:paraId="2F73D814" w14:textId="77777777" w:rsidR="0030616F" w:rsidRDefault="0030616F" w:rsidP="0030616F">
      <w:pPr>
        <w:pStyle w:val="FootnoteText"/>
        <w:jc w:val="both"/>
      </w:pPr>
      <w:r>
        <w:rPr>
          <w:rStyle w:val="FootnoteReference"/>
          <w:rFonts w:cs="Arial"/>
        </w:rPr>
        <w:footnoteRef/>
      </w:r>
      <w:r>
        <w:t xml:space="preserve"> </w:t>
      </w:r>
      <w:r w:rsidRPr="00366AC4">
        <w:rPr>
          <w:i/>
          <w:lang w:val="en-ZA"/>
        </w:rPr>
        <w:t>Normandien Farms (P</w:t>
      </w:r>
      <w:r>
        <w:rPr>
          <w:i/>
          <w:lang w:val="en-ZA"/>
        </w:rPr>
        <w:t>ty</w:t>
      </w:r>
      <w:r w:rsidRPr="00366AC4">
        <w:rPr>
          <w:i/>
          <w:lang w:val="en-ZA"/>
        </w:rPr>
        <w:t>) Limited v South African Agency for Promotion of Petroleum Exportation and Exploitation SOC Limited and Others</w:t>
      </w:r>
      <w:r>
        <w:rPr>
          <w:lang w:val="en-ZA"/>
        </w:rPr>
        <w:t xml:space="preserve"> [2020] ZACC 5; 2020 (6) BCLR 748 (CC); 2020 (4) SA 409 (CC).</w:t>
      </w:r>
    </w:p>
  </w:footnote>
  <w:footnote w:id="32">
    <w:p w14:paraId="63F92DCF" w14:textId="0F7CD06B" w:rsidR="00CC7A1C" w:rsidRPr="00CC7A1C" w:rsidRDefault="00CC7A1C">
      <w:pPr>
        <w:pStyle w:val="FootnoteText"/>
        <w:rPr>
          <w:lang w:val="en-ZA"/>
        </w:rPr>
      </w:pPr>
      <w:r>
        <w:rPr>
          <w:rStyle w:val="FootnoteReference"/>
        </w:rPr>
        <w:footnoteRef/>
      </w:r>
      <w:r>
        <w:t xml:space="preserve"> </w:t>
      </w:r>
      <w:r>
        <w:rPr>
          <w:lang w:val="en-ZA"/>
        </w:rPr>
        <w:t>(CIV/APN/49/18) [2020] LSHC 39 (26 June 2020) para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0B8E"/>
    <w:multiLevelType w:val="hybridMultilevel"/>
    <w:tmpl w:val="3A842D66"/>
    <w:lvl w:ilvl="0" w:tplc="37480C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5F47358"/>
    <w:multiLevelType w:val="hybridMultilevel"/>
    <w:tmpl w:val="11763146"/>
    <w:lvl w:ilvl="0" w:tplc="AAB8FF12">
      <w:start w:val="1"/>
      <w:numFmt w:val="lowerLetter"/>
      <w:lvlText w:val="(%1)"/>
      <w:lvlJc w:val="left"/>
      <w:pPr>
        <w:ind w:left="3240" w:hanging="360"/>
      </w:pPr>
      <w:rPr>
        <w:rFonts w:hint="default"/>
      </w:rPr>
    </w:lvl>
    <w:lvl w:ilvl="1" w:tplc="20000019" w:tentative="1">
      <w:start w:val="1"/>
      <w:numFmt w:val="lowerLetter"/>
      <w:lvlText w:val="%2."/>
      <w:lvlJc w:val="left"/>
      <w:pPr>
        <w:ind w:left="3960" w:hanging="360"/>
      </w:pPr>
    </w:lvl>
    <w:lvl w:ilvl="2" w:tplc="2000001B" w:tentative="1">
      <w:start w:val="1"/>
      <w:numFmt w:val="lowerRoman"/>
      <w:lvlText w:val="%3."/>
      <w:lvlJc w:val="right"/>
      <w:pPr>
        <w:ind w:left="4680" w:hanging="180"/>
      </w:pPr>
    </w:lvl>
    <w:lvl w:ilvl="3" w:tplc="2000000F" w:tentative="1">
      <w:start w:val="1"/>
      <w:numFmt w:val="decimal"/>
      <w:lvlText w:val="%4."/>
      <w:lvlJc w:val="left"/>
      <w:pPr>
        <w:ind w:left="5400" w:hanging="360"/>
      </w:pPr>
    </w:lvl>
    <w:lvl w:ilvl="4" w:tplc="20000019" w:tentative="1">
      <w:start w:val="1"/>
      <w:numFmt w:val="lowerLetter"/>
      <w:lvlText w:val="%5."/>
      <w:lvlJc w:val="left"/>
      <w:pPr>
        <w:ind w:left="6120" w:hanging="360"/>
      </w:pPr>
    </w:lvl>
    <w:lvl w:ilvl="5" w:tplc="2000001B" w:tentative="1">
      <w:start w:val="1"/>
      <w:numFmt w:val="lowerRoman"/>
      <w:lvlText w:val="%6."/>
      <w:lvlJc w:val="right"/>
      <w:pPr>
        <w:ind w:left="6840" w:hanging="180"/>
      </w:pPr>
    </w:lvl>
    <w:lvl w:ilvl="6" w:tplc="2000000F" w:tentative="1">
      <w:start w:val="1"/>
      <w:numFmt w:val="decimal"/>
      <w:lvlText w:val="%7."/>
      <w:lvlJc w:val="left"/>
      <w:pPr>
        <w:ind w:left="7560" w:hanging="360"/>
      </w:pPr>
    </w:lvl>
    <w:lvl w:ilvl="7" w:tplc="20000019" w:tentative="1">
      <w:start w:val="1"/>
      <w:numFmt w:val="lowerLetter"/>
      <w:lvlText w:val="%8."/>
      <w:lvlJc w:val="left"/>
      <w:pPr>
        <w:ind w:left="8280" w:hanging="360"/>
      </w:pPr>
    </w:lvl>
    <w:lvl w:ilvl="8" w:tplc="2000001B" w:tentative="1">
      <w:start w:val="1"/>
      <w:numFmt w:val="lowerRoman"/>
      <w:lvlText w:val="%9."/>
      <w:lvlJc w:val="right"/>
      <w:pPr>
        <w:ind w:left="9000" w:hanging="180"/>
      </w:pPr>
    </w:lvl>
  </w:abstractNum>
  <w:num w:numId="1" w16cid:durableId="611471446">
    <w:abstractNumId w:val="0"/>
  </w:num>
  <w:num w:numId="2" w16cid:durableId="146716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69"/>
    <w:rsid w:val="00000B20"/>
    <w:rsid w:val="0000100D"/>
    <w:rsid w:val="00006204"/>
    <w:rsid w:val="00007C29"/>
    <w:rsid w:val="000213D1"/>
    <w:rsid w:val="000216A1"/>
    <w:rsid w:val="00023B72"/>
    <w:rsid w:val="00025FB3"/>
    <w:rsid w:val="0002767F"/>
    <w:rsid w:val="00032980"/>
    <w:rsid w:val="00037377"/>
    <w:rsid w:val="0004202E"/>
    <w:rsid w:val="00045582"/>
    <w:rsid w:val="0004660F"/>
    <w:rsid w:val="00047E5C"/>
    <w:rsid w:val="00052B51"/>
    <w:rsid w:val="000557C8"/>
    <w:rsid w:val="000620E6"/>
    <w:rsid w:val="0006213B"/>
    <w:rsid w:val="00071698"/>
    <w:rsid w:val="00080DE3"/>
    <w:rsid w:val="00085B6F"/>
    <w:rsid w:val="000860B3"/>
    <w:rsid w:val="000868F9"/>
    <w:rsid w:val="00086975"/>
    <w:rsid w:val="0009323E"/>
    <w:rsid w:val="00093911"/>
    <w:rsid w:val="00094D24"/>
    <w:rsid w:val="000968A0"/>
    <w:rsid w:val="0009714B"/>
    <w:rsid w:val="0009722C"/>
    <w:rsid w:val="000A067F"/>
    <w:rsid w:val="000A0998"/>
    <w:rsid w:val="000A327C"/>
    <w:rsid w:val="000B4165"/>
    <w:rsid w:val="000B76A7"/>
    <w:rsid w:val="000C7E56"/>
    <w:rsid w:val="000D3C11"/>
    <w:rsid w:val="000D5036"/>
    <w:rsid w:val="000D5471"/>
    <w:rsid w:val="000D5662"/>
    <w:rsid w:val="000E1AB1"/>
    <w:rsid w:val="000E4B8B"/>
    <w:rsid w:val="000F5D78"/>
    <w:rsid w:val="000F6163"/>
    <w:rsid w:val="00105215"/>
    <w:rsid w:val="0010571B"/>
    <w:rsid w:val="00121C8D"/>
    <w:rsid w:val="001241CA"/>
    <w:rsid w:val="00134211"/>
    <w:rsid w:val="00134A92"/>
    <w:rsid w:val="00135BDC"/>
    <w:rsid w:val="00136550"/>
    <w:rsid w:val="00137181"/>
    <w:rsid w:val="00141B4B"/>
    <w:rsid w:val="0014233C"/>
    <w:rsid w:val="0014278B"/>
    <w:rsid w:val="001464ED"/>
    <w:rsid w:val="00151907"/>
    <w:rsid w:val="00160665"/>
    <w:rsid w:val="00161E99"/>
    <w:rsid w:val="001620EA"/>
    <w:rsid w:val="00164F0D"/>
    <w:rsid w:val="00170952"/>
    <w:rsid w:val="0017298F"/>
    <w:rsid w:val="00172AC5"/>
    <w:rsid w:val="0017357E"/>
    <w:rsid w:val="00175B61"/>
    <w:rsid w:val="00181AC7"/>
    <w:rsid w:val="0018359D"/>
    <w:rsid w:val="0019639E"/>
    <w:rsid w:val="001A09D4"/>
    <w:rsid w:val="001A16C6"/>
    <w:rsid w:val="001A22F4"/>
    <w:rsid w:val="001A5F1D"/>
    <w:rsid w:val="001B5A01"/>
    <w:rsid w:val="001B7D6F"/>
    <w:rsid w:val="001C2849"/>
    <w:rsid w:val="001C63B6"/>
    <w:rsid w:val="001D0A21"/>
    <w:rsid w:val="001D1B4B"/>
    <w:rsid w:val="001D35C8"/>
    <w:rsid w:val="001D47E0"/>
    <w:rsid w:val="001E3B9F"/>
    <w:rsid w:val="001F0F7D"/>
    <w:rsid w:val="001F14F5"/>
    <w:rsid w:val="001F3AEB"/>
    <w:rsid w:val="001F514D"/>
    <w:rsid w:val="002060D4"/>
    <w:rsid w:val="00207D0D"/>
    <w:rsid w:val="0021231A"/>
    <w:rsid w:val="00212C84"/>
    <w:rsid w:val="00212D3A"/>
    <w:rsid w:val="00215E0A"/>
    <w:rsid w:val="00222223"/>
    <w:rsid w:val="00231992"/>
    <w:rsid w:val="00233268"/>
    <w:rsid w:val="00235B3C"/>
    <w:rsid w:val="00237C7B"/>
    <w:rsid w:val="002445B5"/>
    <w:rsid w:val="00245599"/>
    <w:rsid w:val="00250FBE"/>
    <w:rsid w:val="002532DE"/>
    <w:rsid w:val="00256213"/>
    <w:rsid w:val="002564C8"/>
    <w:rsid w:val="002578EB"/>
    <w:rsid w:val="00261182"/>
    <w:rsid w:val="00262C0B"/>
    <w:rsid w:val="0026634D"/>
    <w:rsid w:val="00271BBF"/>
    <w:rsid w:val="0027245A"/>
    <w:rsid w:val="002727B3"/>
    <w:rsid w:val="00273521"/>
    <w:rsid w:val="00274717"/>
    <w:rsid w:val="00274D6E"/>
    <w:rsid w:val="00280AF9"/>
    <w:rsid w:val="002860F5"/>
    <w:rsid w:val="002916A2"/>
    <w:rsid w:val="00292A59"/>
    <w:rsid w:val="0029686C"/>
    <w:rsid w:val="00297C68"/>
    <w:rsid w:val="002A07CE"/>
    <w:rsid w:val="002A1F7B"/>
    <w:rsid w:val="002A47FA"/>
    <w:rsid w:val="002B093C"/>
    <w:rsid w:val="002B323F"/>
    <w:rsid w:val="002B419E"/>
    <w:rsid w:val="002B5DBC"/>
    <w:rsid w:val="002C0AD3"/>
    <w:rsid w:val="002C48C4"/>
    <w:rsid w:val="002C618E"/>
    <w:rsid w:val="002D3A62"/>
    <w:rsid w:val="002D4134"/>
    <w:rsid w:val="002D7EEF"/>
    <w:rsid w:val="002E0929"/>
    <w:rsid w:val="002E1857"/>
    <w:rsid w:val="002E5165"/>
    <w:rsid w:val="002E755D"/>
    <w:rsid w:val="002F5155"/>
    <w:rsid w:val="00304F6A"/>
    <w:rsid w:val="003051CB"/>
    <w:rsid w:val="0030616F"/>
    <w:rsid w:val="0030649E"/>
    <w:rsid w:val="003107DB"/>
    <w:rsid w:val="0031767F"/>
    <w:rsid w:val="0032045C"/>
    <w:rsid w:val="00321455"/>
    <w:rsid w:val="00323E14"/>
    <w:rsid w:val="00324D96"/>
    <w:rsid w:val="00326A4E"/>
    <w:rsid w:val="00327A64"/>
    <w:rsid w:val="00330C8F"/>
    <w:rsid w:val="0033217F"/>
    <w:rsid w:val="00332DC1"/>
    <w:rsid w:val="003445C0"/>
    <w:rsid w:val="00350D04"/>
    <w:rsid w:val="00353F17"/>
    <w:rsid w:val="003559C4"/>
    <w:rsid w:val="00357D7B"/>
    <w:rsid w:val="0036578A"/>
    <w:rsid w:val="00374C9C"/>
    <w:rsid w:val="00376E45"/>
    <w:rsid w:val="003777C4"/>
    <w:rsid w:val="00377ED4"/>
    <w:rsid w:val="00377F9C"/>
    <w:rsid w:val="0038088A"/>
    <w:rsid w:val="00380ECB"/>
    <w:rsid w:val="00382E1E"/>
    <w:rsid w:val="0038478E"/>
    <w:rsid w:val="0038481C"/>
    <w:rsid w:val="00386024"/>
    <w:rsid w:val="00387E3B"/>
    <w:rsid w:val="0039017B"/>
    <w:rsid w:val="003975C9"/>
    <w:rsid w:val="00397655"/>
    <w:rsid w:val="003979FE"/>
    <w:rsid w:val="003A4F4F"/>
    <w:rsid w:val="003A690E"/>
    <w:rsid w:val="003B1969"/>
    <w:rsid w:val="003B4FA2"/>
    <w:rsid w:val="003B67EE"/>
    <w:rsid w:val="003B6A6D"/>
    <w:rsid w:val="003C7D59"/>
    <w:rsid w:val="003D018F"/>
    <w:rsid w:val="003D049B"/>
    <w:rsid w:val="003D4C87"/>
    <w:rsid w:val="003D5823"/>
    <w:rsid w:val="003E3F0F"/>
    <w:rsid w:val="003E4463"/>
    <w:rsid w:val="003F0F5C"/>
    <w:rsid w:val="003F1414"/>
    <w:rsid w:val="003F2819"/>
    <w:rsid w:val="0040210E"/>
    <w:rsid w:val="00412F00"/>
    <w:rsid w:val="0041386D"/>
    <w:rsid w:val="00415220"/>
    <w:rsid w:val="0042354A"/>
    <w:rsid w:val="00426D5B"/>
    <w:rsid w:val="0043160B"/>
    <w:rsid w:val="004320D8"/>
    <w:rsid w:val="0043310C"/>
    <w:rsid w:val="004340EE"/>
    <w:rsid w:val="00442E30"/>
    <w:rsid w:val="0044602E"/>
    <w:rsid w:val="004476CA"/>
    <w:rsid w:val="004513F7"/>
    <w:rsid w:val="004528AF"/>
    <w:rsid w:val="00454C3B"/>
    <w:rsid w:val="00455007"/>
    <w:rsid w:val="00461B32"/>
    <w:rsid w:val="0046768C"/>
    <w:rsid w:val="00471903"/>
    <w:rsid w:val="00471B12"/>
    <w:rsid w:val="004729A4"/>
    <w:rsid w:val="0047471A"/>
    <w:rsid w:val="00477B3B"/>
    <w:rsid w:val="00481608"/>
    <w:rsid w:val="004825DB"/>
    <w:rsid w:val="00482623"/>
    <w:rsid w:val="0048445A"/>
    <w:rsid w:val="004873A0"/>
    <w:rsid w:val="00490505"/>
    <w:rsid w:val="0049193E"/>
    <w:rsid w:val="00491CAA"/>
    <w:rsid w:val="00492538"/>
    <w:rsid w:val="00495671"/>
    <w:rsid w:val="004A3925"/>
    <w:rsid w:val="004A791A"/>
    <w:rsid w:val="004B7BEA"/>
    <w:rsid w:val="004C1A38"/>
    <w:rsid w:val="004C5999"/>
    <w:rsid w:val="004C5E20"/>
    <w:rsid w:val="004D24F8"/>
    <w:rsid w:val="004D268D"/>
    <w:rsid w:val="004D4028"/>
    <w:rsid w:val="004E2C34"/>
    <w:rsid w:val="004E4F26"/>
    <w:rsid w:val="004F0F75"/>
    <w:rsid w:val="004F19F6"/>
    <w:rsid w:val="0050206E"/>
    <w:rsid w:val="00510927"/>
    <w:rsid w:val="00512BCC"/>
    <w:rsid w:val="005216D5"/>
    <w:rsid w:val="00523D96"/>
    <w:rsid w:val="00527F3A"/>
    <w:rsid w:val="00532292"/>
    <w:rsid w:val="005371E0"/>
    <w:rsid w:val="00537AC4"/>
    <w:rsid w:val="00541909"/>
    <w:rsid w:val="00541C1D"/>
    <w:rsid w:val="005424E6"/>
    <w:rsid w:val="00543318"/>
    <w:rsid w:val="00543766"/>
    <w:rsid w:val="0054493E"/>
    <w:rsid w:val="00544E88"/>
    <w:rsid w:val="00557337"/>
    <w:rsid w:val="0056497E"/>
    <w:rsid w:val="0056610A"/>
    <w:rsid w:val="00570F3E"/>
    <w:rsid w:val="00576B0A"/>
    <w:rsid w:val="0057755D"/>
    <w:rsid w:val="00581252"/>
    <w:rsid w:val="00581CDA"/>
    <w:rsid w:val="005823AD"/>
    <w:rsid w:val="00583EB1"/>
    <w:rsid w:val="00584307"/>
    <w:rsid w:val="00584E09"/>
    <w:rsid w:val="00585D37"/>
    <w:rsid w:val="00587E0B"/>
    <w:rsid w:val="005907C0"/>
    <w:rsid w:val="00593021"/>
    <w:rsid w:val="005937E0"/>
    <w:rsid w:val="00593E5B"/>
    <w:rsid w:val="005979F7"/>
    <w:rsid w:val="005A17DB"/>
    <w:rsid w:val="005A75F9"/>
    <w:rsid w:val="005B01B5"/>
    <w:rsid w:val="005B27AB"/>
    <w:rsid w:val="005B35BE"/>
    <w:rsid w:val="005B73EF"/>
    <w:rsid w:val="005C388F"/>
    <w:rsid w:val="005C5C27"/>
    <w:rsid w:val="005C6F79"/>
    <w:rsid w:val="005D3218"/>
    <w:rsid w:val="005D6896"/>
    <w:rsid w:val="005D7E01"/>
    <w:rsid w:val="005E05C5"/>
    <w:rsid w:val="005E1E51"/>
    <w:rsid w:val="005E5216"/>
    <w:rsid w:val="005E6028"/>
    <w:rsid w:val="005F04E8"/>
    <w:rsid w:val="005F7D62"/>
    <w:rsid w:val="00601770"/>
    <w:rsid w:val="00606B52"/>
    <w:rsid w:val="006159BE"/>
    <w:rsid w:val="006207D3"/>
    <w:rsid w:val="00622FB2"/>
    <w:rsid w:val="00633A42"/>
    <w:rsid w:val="0063516E"/>
    <w:rsid w:val="006412F9"/>
    <w:rsid w:val="006415F9"/>
    <w:rsid w:val="00643DA7"/>
    <w:rsid w:val="00645CD3"/>
    <w:rsid w:val="006468BC"/>
    <w:rsid w:val="0065209E"/>
    <w:rsid w:val="0066337C"/>
    <w:rsid w:val="00663483"/>
    <w:rsid w:val="006636B3"/>
    <w:rsid w:val="00664033"/>
    <w:rsid w:val="006655B4"/>
    <w:rsid w:val="00665CA6"/>
    <w:rsid w:val="00671853"/>
    <w:rsid w:val="00677A83"/>
    <w:rsid w:val="00677B89"/>
    <w:rsid w:val="0068278F"/>
    <w:rsid w:val="00682862"/>
    <w:rsid w:val="006877FF"/>
    <w:rsid w:val="006912E6"/>
    <w:rsid w:val="006A2714"/>
    <w:rsid w:val="006A37EB"/>
    <w:rsid w:val="006A5C9A"/>
    <w:rsid w:val="006C0730"/>
    <w:rsid w:val="006C0E32"/>
    <w:rsid w:val="006C104A"/>
    <w:rsid w:val="006C1450"/>
    <w:rsid w:val="006C1B80"/>
    <w:rsid w:val="006C6C9C"/>
    <w:rsid w:val="006D394F"/>
    <w:rsid w:val="006D4A40"/>
    <w:rsid w:val="006D6585"/>
    <w:rsid w:val="006E16A1"/>
    <w:rsid w:val="006E3BA7"/>
    <w:rsid w:val="006F1AFA"/>
    <w:rsid w:val="006F1FA0"/>
    <w:rsid w:val="006F220E"/>
    <w:rsid w:val="006F2734"/>
    <w:rsid w:val="00714B1C"/>
    <w:rsid w:val="00715F8D"/>
    <w:rsid w:val="007237F2"/>
    <w:rsid w:val="007240A0"/>
    <w:rsid w:val="00730073"/>
    <w:rsid w:val="00731044"/>
    <w:rsid w:val="00742527"/>
    <w:rsid w:val="00744481"/>
    <w:rsid w:val="00744E13"/>
    <w:rsid w:val="00746B1F"/>
    <w:rsid w:val="00750253"/>
    <w:rsid w:val="00760FE2"/>
    <w:rsid w:val="0076282A"/>
    <w:rsid w:val="00766364"/>
    <w:rsid w:val="0076734B"/>
    <w:rsid w:val="007729FA"/>
    <w:rsid w:val="0077308A"/>
    <w:rsid w:val="007750AF"/>
    <w:rsid w:val="007764CE"/>
    <w:rsid w:val="00777328"/>
    <w:rsid w:val="0078663F"/>
    <w:rsid w:val="007867DF"/>
    <w:rsid w:val="007871F5"/>
    <w:rsid w:val="007924B9"/>
    <w:rsid w:val="007A0784"/>
    <w:rsid w:val="007A092E"/>
    <w:rsid w:val="007A361E"/>
    <w:rsid w:val="007A6C12"/>
    <w:rsid w:val="007B572F"/>
    <w:rsid w:val="007C1738"/>
    <w:rsid w:val="007C1C68"/>
    <w:rsid w:val="007D243F"/>
    <w:rsid w:val="007D6965"/>
    <w:rsid w:val="007D705E"/>
    <w:rsid w:val="007D793C"/>
    <w:rsid w:val="007E0D38"/>
    <w:rsid w:val="007E49E2"/>
    <w:rsid w:val="007E68DD"/>
    <w:rsid w:val="007E7F5B"/>
    <w:rsid w:val="007F2A52"/>
    <w:rsid w:val="007F620A"/>
    <w:rsid w:val="007F7789"/>
    <w:rsid w:val="007F7B4E"/>
    <w:rsid w:val="00801E7F"/>
    <w:rsid w:val="00804BF4"/>
    <w:rsid w:val="00805A5D"/>
    <w:rsid w:val="00807D20"/>
    <w:rsid w:val="00811DCA"/>
    <w:rsid w:val="00814747"/>
    <w:rsid w:val="00820B17"/>
    <w:rsid w:val="00825D57"/>
    <w:rsid w:val="00826962"/>
    <w:rsid w:val="00832C8C"/>
    <w:rsid w:val="00834D3B"/>
    <w:rsid w:val="00840F83"/>
    <w:rsid w:val="0084437C"/>
    <w:rsid w:val="00844506"/>
    <w:rsid w:val="00845AA6"/>
    <w:rsid w:val="00846621"/>
    <w:rsid w:val="00851391"/>
    <w:rsid w:val="00853FE7"/>
    <w:rsid w:val="00856087"/>
    <w:rsid w:val="00863CE0"/>
    <w:rsid w:val="00865549"/>
    <w:rsid w:val="0086624E"/>
    <w:rsid w:val="008673BE"/>
    <w:rsid w:val="00867995"/>
    <w:rsid w:val="00873028"/>
    <w:rsid w:val="00874192"/>
    <w:rsid w:val="008745A5"/>
    <w:rsid w:val="0087763E"/>
    <w:rsid w:val="00880AEA"/>
    <w:rsid w:val="00881DB5"/>
    <w:rsid w:val="008827ED"/>
    <w:rsid w:val="00884F3A"/>
    <w:rsid w:val="00887245"/>
    <w:rsid w:val="00890843"/>
    <w:rsid w:val="008914C5"/>
    <w:rsid w:val="00896C46"/>
    <w:rsid w:val="008A530B"/>
    <w:rsid w:val="008A6DA6"/>
    <w:rsid w:val="008B03A8"/>
    <w:rsid w:val="008B122E"/>
    <w:rsid w:val="008C3292"/>
    <w:rsid w:val="008C363A"/>
    <w:rsid w:val="008C49D4"/>
    <w:rsid w:val="008C6C86"/>
    <w:rsid w:val="008D0660"/>
    <w:rsid w:val="008D6B7E"/>
    <w:rsid w:val="008E1EA7"/>
    <w:rsid w:val="008E40E5"/>
    <w:rsid w:val="008F2C84"/>
    <w:rsid w:val="008F45C3"/>
    <w:rsid w:val="008F6930"/>
    <w:rsid w:val="0090270C"/>
    <w:rsid w:val="009028D6"/>
    <w:rsid w:val="009043D7"/>
    <w:rsid w:val="00906100"/>
    <w:rsid w:val="00907D59"/>
    <w:rsid w:val="00911AAD"/>
    <w:rsid w:val="00916BA3"/>
    <w:rsid w:val="00917282"/>
    <w:rsid w:val="00920161"/>
    <w:rsid w:val="009201E4"/>
    <w:rsid w:val="0092141E"/>
    <w:rsid w:val="00931567"/>
    <w:rsid w:val="00935CF0"/>
    <w:rsid w:val="009366C8"/>
    <w:rsid w:val="00941C61"/>
    <w:rsid w:val="0094219B"/>
    <w:rsid w:val="009438EA"/>
    <w:rsid w:val="00950176"/>
    <w:rsid w:val="009555A0"/>
    <w:rsid w:val="00955DEF"/>
    <w:rsid w:val="00960B47"/>
    <w:rsid w:val="00960C6D"/>
    <w:rsid w:val="009661E3"/>
    <w:rsid w:val="00966942"/>
    <w:rsid w:val="00971EC3"/>
    <w:rsid w:val="0097342E"/>
    <w:rsid w:val="009773DB"/>
    <w:rsid w:val="00977C87"/>
    <w:rsid w:val="00980F00"/>
    <w:rsid w:val="00983A77"/>
    <w:rsid w:val="00985026"/>
    <w:rsid w:val="00985514"/>
    <w:rsid w:val="009855DF"/>
    <w:rsid w:val="00986BCA"/>
    <w:rsid w:val="00987BFC"/>
    <w:rsid w:val="00992311"/>
    <w:rsid w:val="00992F71"/>
    <w:rsid w:val="00993229"/>
    <w:rsid w:val="009A163E"/>
    <w:rsid w:val="009A7EAB"/>
    <w:rsid w:val="009B3421"/>
    <w:rsid w:val="009B4172"/>
    <w:rsid w:val="009C536A"/>
    <w:rsid w:val="009C5CCE"/>
    <w:rsid w:val="009C6796"/>
    <w:rsid w:val="009C7A65"/>
    <w:rsid w:val="009D1184"/>
    <w:rsid w:val="009D14F4"/>
    <w:rsid w:val="009D6173"/>
    <w:rsid w:val="009D6570"/>
    <w:rsid w:val="009D6C7F"/>
    <w:rsid w:val="009D73E6"/>
    <w:rsid w:val="009E199D"/>
    <w:rsid w:val="009E2E16"/>
    <w:rsid w:val="009E3662"/>
    <w:rsid w:val="009E5A2B"/>
    <w:rsid w:val="009E7DC8"/>
    <w:rsid w:val="009F095D"/>
    <w:rsid w:val="009F1ADA"/>
    <w:rsid w:val="009F2548"/>
    <w:rsid w:val="009F3CC6"/>
    <w:rsid w:val="009F599F"/>
    <w:rsid w:val="00A02484"/>
    <w:rsid w:val="00A05979"/>
    <w:rsid w:val="00A05C58"/>
    <w:rsid w:val="00A11515"/>
    <w:rsid w:val="00A143CA"/>
    <w:rsid w:val="00A20417"/>
    <w:rsid w:val="00A229CC"/>
    <w:rsid w:val="00A22E08"/>
    <w:rsid w:val="00A26ABD"/>
    <w:rsid w:val="00A3113A"/>
    <w:rsid w:val="00A33C8A"/>
    <w:rsid w:val="00A42285"/>
    <w:rsid w:val="00A44747"/>
    <w:rsid w:val="00A53741"/>
    <w:rsid w:val="00A56ADB"/>
    <w:rsid w:val="00A66569"/>
    <w:rsid w:val="00A7379A"/>
    <w:rsid w:val="00A76464"/>
    <w:rsid w:val="00A852F5"/>
    <w:rsid w:val="00A85739"/>
    <w:rsid w:val="00A85F2D"/>
    <w:rsid w:val="00A90644"/>
    <w:rsid w:val="00A91918"/>
    <w:rsid w:val="00A93F1B"/>
    <w:rsid w:val="00AA1137"/>
    <w:rsid w:val="00AA421D"/>
    <w:rsid w:val="00AA767E"/>
    <w:rsid w:val="00AB10F8"/>
    <w:rsid w:val="00AB1AD1"/>
    <w:rsid w:val="00AB2C58"/>
    <w:rsid w:val="00AB713E"/>
    <w:rsid w:val="00AB776C"/>
    <w:rsid w:val="00AC0014"/>
    <w:rsid w:val="00AC0B1C"/>
    <w:rsid w:val="00AC25C5"/>
    <w:rsid w:val="00AC5F27"/>
    <w:rsid w:val="00AC6FC0"/>
    <w:rsid w:val="00AC77D1"/>
    <w:rsid w:val="00AD14C0"/>
    <w:rsid w:val="00AE1D7D"/>
    <w:rsid w:val="00AE23FA"/>
    <w:rsid w:val="00AE28CE"/>
    <w:rsid w:val="00AE7BB2"/>
    <w:rsid w:val="00AE7FD4"/>
    <w:rsid w:val="00AF22A0"/>
    <w:rsid w:val="00AF5F02"/>
    <w:rsid w:val="00AF7B2A"/>
    <w:rsid w:val="00B0328C"/>
    <w:rsid w:val="00B04AE4"/>
    <w:rsid w:val="00B11DCC"/>
    <w:rsid w:val="00B14518"/>
    <w:rsid w:val="00B2044A"/>
    <w:rsid w:val="00B22AE4"/>
    <w:rsid w:val="00B22E16"/>
    <w:rsid w:val="00B236CB"/>
    <w:rsid w:val="00B25989"/>
    <w:rsid w:val="00B27901"/>
    <w:rsid w:val="00B3101B"/>
    <w:rsid w:val="00B3438F"/>
    <w:rsid w:val="00B36F4F"/>
    <w:rsid w:val="00B37333"/>
    <w:rsid w:val="00B41049"/>
    <w:rsid w:val="00B42458"/>
    <w:rsid w:val="00B44E9C"/>
    <w:rsid w:val="00B452AB"/>
    <w:rsid w:val="00B46ED8"/>
    <w:rsid w:val="00B474F3"/>
    <w:rsid w:val="00B50011"/>
    <w:rsid w:val="00B52C63"/>
    <w:rsid w:val="00B540A3"/>
    <w:rsid w:val="00B6587C"/>
    <w:rsid w:val="00B67803"/>
    <w:rsid w:val="00B7251D"/>
    <w:rsid w:val="00B75613"/>
    <w:rsid w:val="00B761BF"/>
    <w:rsid w:val="00B77559"/>
    <w:rsid w:val="00B8273F"/>
    <w:rsid w:val="00B834B0"/>
    <w:rsid w:val="00B83C78"/>
    <w:rsid w:val="00B921E2"/>
    <w:rsid w:val="00B957DC"/>
    <w:rsid w:val="00B9731E"/>
    <w:rsid w:val="00B97895"/>
    <w:rsid w:val="00BA1A92"/>
    <w:rsid w:val="00BB1B91"/>
    <w:rsid w:val="00BB7502"/>
    <w:rsid w:val="00BC0C63"/>
    <w:rsid w:val="00BC2D3A"/>
    <w:rsid w:val="00BC306E"/>
    <w:rsid w:val="00BC44B8"/>
    <w:rsid w:val="00BC75D1"/>
    <w:rsid w:val="00BD00CD"/>
    <w:rsid w:val="00BD34EA"/>
    <w:rsid w:val="00BD355F"/>
    <w:rsid w:val="00BE0C11"/>
    <w:rsid w:val="00BE0EE0"/>
    <w:rsid w:val="00BE7E19"/>
    <w:rsid w:val="00BF39CD"/>
    <w:rsid w:val="00BF4F85"/>
    <w:rsid w:val="00C02412"/>
    <w:rsid w:val="00C05C4E"/>
    <w:rsid w:val="00C11010"/>
    <w:rsid w:val="00C122FB"/>
    <w:rsid w:val="00C12D1A"/>
    <w:rsid w:val="00C15162"/>
    <w:rsid w:val="00C1601F"/>
    <w:rsid w:val="00C22E9A"/>
    <w:rsid w:val="00C22ED2"/>
    <w:rsid w:val="00C317BF"/>
    <w:rsid w:val="00C31F66"/>
    <w:rsid w:val="00C33092"/>
    <w:rsid w:val="00C36479"/>
    <w:rsid w:val="00C412D9"/>
    <w:rsid w:val="00C41B68"/>
    <w:rsid w:val="00C42F2B"/>
    <w:rsid w:val="00C55716"/>
    <w:rsid w:val="00C56399"/>
    <w:rsid w:val="00C6538E"/>
    <w:rsid w:val="00C744B0"/>
    <w:rsid w:val="00C76C76"/>
    <w:rsid w:val="00C77785"/>
    <w:rsid w:val="00C8200E"/>
    <w:rsid w:val="00C82CEF"/>
    <w:rsid w:val="00C84E42"/>
    <w:rsid w:val="00C86C8C"/>
    <w:rsid w:val="00C91F24"/>
    <w:rsid w:val="00CA0F92"/>
    <w:rsid w:val="00CA10FA"/>
    <w:rsid w:val="00CA16EB"/>
    <w:rsid w:val="00CA182F"/>
    <w:rsid w:val="00CA1D1F"/>
    <w:rsid w:val="00CA22E1"/>
    <w:rsid w:val="00CA5900"/>
    <w:rsid w:val="00CA5943"/>
    <w:rsid w:val="00CB4D4F"/>
    <w:rsid w:val="00CB567B"/>
    <w:rsid w:val="00CB5DA1"/>
    <w:rsid w:val="00CB7485"/>
    <w:rsid w:val="00CC3007"/>
    <w:rsid w:val="00CC7A1C"/>
    <w:rsid w:val="00CC7A53"/>
    <w:rsid w:val="00CD135B"/>
    <w:rsid w:val="00CD1B0E"/>
    <w:rsid w:val="00CD6274"/>
    <w:rsid w:val="00CE2BAF"/>
    <w:rsid w:val="00CE48F7"/>
    <w:rsid w:val="00CF170B"/>
    <w:rsid w:val="00CF2BE8"/>
    <w:rsid w:val="00CF3606"/>
    <w:rsid w:val="00CF3D84"/>
    <w:rsid w:val="00D007CD"/>
    <w:rsid w:val="00D014AF"/>
    <w:rsid w:val="00D01C1A"/>
    <w:rsid w:val="00D05995"/>
    <w:rsid w:val="00D0632E"/>
    <w:rsid w:val="00D13214"/>
    <w:rsid w:val="00D13978"/>
    <w:rsid w:val="00D1441D"/>
    <w:rsid w:val="00D14CB8"/>
    <w:rsid w:val="00D16C19"/>
    <w:rsid w:val="00D222AF"/>
    <w:rsid w:val="00D30FD4"/>
    <w:rsid w:val="00D31632"/>
    <w:rsid w:val="00D347E8"/>
    <w:rsid w:val="00D40C29"/>
    <w:rsid w:val="00D40E8C"/>
    <w:rsid w:val="00D42FC9"/>
    <w:rsid w:val="00D4501A"/>
    <w:rsid w:val="00D55E8F"/>
    <w:rsid w:val="00D5613D"/>
    <w:rsid w:val="00D63CBD"/>
    <w:rsid w:val="00D64556"/>
    <w:rsid w:val="00D702E4"/>
    <w:rsid w:val="00D72043"/>
    <w:rsid w:val="00D76985"/>
    <w:rsid w:val="00D8719A"/>
    <w:rsid w:val="00D87A51"/>
    <w:rsid w:val="00D92D2A"/>
    <w:rsid w:val="00D93028"/>
    <w:rsid w:val="00D93D63"/>
    <w:rsid w:val="00D9675E"/>
    <w:rsid w:val="00DA0948"/>
    <w:rsid w:val="00DA11F1"/>
    <w:rsid w:val="00DA2E3D"/>
    <w:rsid w:val="00DB7E45"/>
    <w:rsid w:val="00DC0CFF"/>
    <w:rsid w:val="00DC3170"/>
    <w:rsid w:val="00DC468D"/>
    <w:rsid w:val="00DC5099"/>
    <w:rsid w:val="00DC7FA3"/>
    <w:rsid w:val="00DD04D1"/>
    <w:rsid w:val="00DD55B3"/>
    <w:rsid w:val="00DE11F4"/>
    <w:rsid w:val="00DE16F8"/>
    <w:rsid w:val="00DE1972"/>
    <w:rsid w:val="00DE22C8"/>
    <w:rsid w:val="00DE46C5"/>
    <w:rsid w:val="00DF1397"/>
    <w:rsid w:val="00DF3308"/>
    <w:rsid w:val="00DF7CBF"/>
    <w:rsid w:val="00E00A0C"/>
    <w:rsid w:val="00E02026"/>
    <w:rsid w:val="00E07873"/>
    <w:rsid w:val="00E121A3"/>
    <w:rsid w:val="00E1368C"/>
    <w:rsid w:val="00E14CB6"/>
    <w:rsid w:val="00E252C3"/>
    <w:rsid w:val="00E33AAE"/>
    <w:rsid w:val="00E36351"/>
    <w:rsid w:val="00E51F47"/>
    <w:rsid w:val="00E5733C"/>
    <w:rsid w:val="00E57D98"/>
    <w:rsid w:val="00E611E0"/>
    <w:rsid w:val="00E61583"/>
    <w:rsid w:val="00E63553"/>
    <w:rsid w:val="00E63C56"/>
    <w:rsid w:val="00E77E7C"/>
    <w:rsid w:val="00E82BD3"/>
    <w:rsid w:val="00E87B97"/>
    <w:rsid w:val="00E91340"/>
    <w:rsid w:val="00E94C15"/>
    <w:rsid w:val="00EA1A24"/>
    <w:rsid w:val="00EA63D0"/>
    <w:rsid w:val="00EA67A6"/>
    <w:rsid w:val="00EA6FBB"/>
    <w:rsid w:val="00EB2238"/>
    <w:rsid w:val="00EB7036"/>
    <w:rsid w:val="00EB741D"/>
    <w:rsid w:val="00EC0F03"/>
    <w:rsid w:val="00EC182C"/>
    <w:rsid w:val="00EC435D"/>
    <w:rsid w:val="00EC4782"/>
    <w:rsid w:val="00EC4F61"/>
    <w:rsid w:val="00EC5163"/>
    <w:rsid w:val="00EC7B88"/>
    <w:rsid w:val="00EC7EC7"/>
    <w:rsid w:val="00ED05EF"/>
    <w:rsid w:val="00ED2D8F"/>
    <w:rsid w:val="00ED39A9"/>
    <w:rsid w:val="00ED624F"/>
    <w:rsid w:val="00EE35B1"/>
    <w:rsid w:val="00EE6ECC"/>
    <w:rsid w:val="00EF0680"/>
    <w:rsid w:val="00EF08E6"/>
    <w:rsid w:val="00EF3592"/>
    <w:rsid w:val="00EF42B0"/>
    <w:rsid w:val="00EF7BE6"/>
    <w:rsid w:val="00F00B1C"/>
    <w:rsid w:val="00F01986"/>
    <w:rsid w:val="00F111E9"/>
    <w:rsid w:val="00F12CED"/>
    <w:rsid w:val="00F131CA"/>
    <w:rsid w:val="00F14507"/>
    <w:rsid w:val="00F24CD2"/>
    <w:rsid w:val="00F3288B"/>
    <w:rsid w:val="00F35961"/>
    <w:rsid w:val="00F36B24"/>
    <w:rsid w:val="00F37628"/>
    <w:rsid w:val="00F44D72"/>
    <w:rsid w:val="00F503E8"/>
    <w:rsid w:val="00F504A4"/>
    <w:rsid w:val="00F557DC"/>
    <w:rsid w:val="00F61C31"/>
    <w:rsid w:val="00F629B6"/>
    <w:rsid w:val="00F638E1"/>
    <w:rsid w:val="00F670FC"/>
    <w:rsid w:val="00F71F57"/>
    <w:rsid w:val="00F77503"/>
    <w:rsid w:val="00F77996"/>
    <w:rsid w:val="00F80856"/>
    <w:rsid w:val="00F818C2"/>
    <w:rsid w:val="00F82FB9"/>
    <w:rsid w:val="00F8584E"/>
    <w:rsid w:val="00F86092"/>
    <w:rsid w:val="00F876BD"/>
    <w:rsid w:val="00F91B72"/>
    <w:rsid w:val="00F93857"/>
    <w:rsid w:val="00FA2374"/>
    <w:rsid w:val="00FB0133"/>
    <w:rsid w:val="00FB02D9"/>
    <w:rsid w:val="00FB1717"/>
    <w:rsid w:val="00FB34AD"/>
    <w:rsid w:val="00FB6640"/>
    <w:rsid w:val="00FB75A6"/>
    <w:rsid w:val="00FC18E6"/>
    <w:rsid w:val="00FC470F"/>
    <w:rsid w:val="00FC75FE"/>
    <w:rsid w:val="00FC7B5E"/>
    <w:rsid w:val="00FD0200"/>
    <w:rsid w:val="00FD1D98"/>
    <w:rsid w:val="00FD7743"/>
    <w:rsid w:val="00FE26C6"/>
    <w:rsid w:val="00FE2932"/>
    <w:rsid w:val="00FE7D53"/>
    <w:rsid w:val="00FF1A28"/>
    <w:rsid w:val="00FF2206"/>
    <w:rsid w:val="00FF2BC8"/>
    <w:rsid w:val="00FF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F3E6F"/>
  <w15:docId w15:val="{281CF55E-4CFB-44BD-AC3F-3E6C12DC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6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96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customStyle="1" w:styleId="Default">
    <w:name w:val="Default"/>
    <w:rsid w:val="007237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1D7D"/>
    <w:pPr>
      <w:tabs>
        <w:tab w:val="center" w:pos="4513"/>
        <w:tab w:val="right" w:pos="9026"/>
      </w:tabs>
    </w:pPr>
  </w:style>
  <w:style w:type="character" w:customStyle="1" w:styleId="HeaderChar">
    <w:name w:val="Header Char"/>
    <w:basedOn w:val="DefaultParagraphFont"/>
    <w:link w:val="Header"/>
    <w:uiPriority w:val="99"/>
    <w:rsid w:val="00AE1D7D"/>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AE1D7D"/>
    <w:pPr>
      <w:tabs>
        <w:tab w:val="center" w:pos="4513"/>
        <w:tab w:val="right" w:pos="9026"/>
      </w:tabs>
    </w:pPr>
  </w:style>
  <w:style w:type="character" w:customStyle="1" w:styleId="FooterChar">
    <w:name w:val="Footer Char"/>
    <w:basedOn w:val="DefaultParagraphFont"/>
    <w:link w:val="Footer"/>
    <w:uiPriority w:val="99"/>
    <w:rsid w:val="00AE1D7D"/>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A44747"/>
    <w:pPr>
      <w:ind w:left="720"/>
      <w:contextualSpacing/>
    </w:pPr>
  </w:style>
  <w:style w:type="paragraph" w:styleId="FootnoteText">
    <w:name w:val="footnote text"/>
    <w:basedOn w:val="Normal"/>
    <w:link w:val="FootnoteTextChar"/>
    <w:uiPriority w:val="99"/>
    <w:semiHidden/>
    <w:unhideWhenUsed/>
    <w:rsid w:val="0038478E"/>
    <w:rPr>
      <w:sz w:val="20"/>
      <w:szCs w:val="20"/>
    </w:rPr>
  </w:style>
  <w:style w:type="character" w:customStyle="1" w:styleId="FootnoteTextChar">
    <w:name w:val="Footnote Text Char"/>
    <w:basedOn w:val="DefaultParagraphFont"/>
    <w:link w:val="FootnoteText"/>
    <w:uiPriority w:val="99"/>
    <w:semiHidden/>
    <w:rsid w:val="0038478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8478E"/>
    <w:rPr>
      <w:vertAlign w:val="superscript"/>
    </w:rPr>
  </w:style>
  <w:style w:type="paragraph" w:styleId="BalloonText">
    <w:name w:val="Balloon Text"/>
    <w:basedOn w:val="Normal"/>
    <w:link w:val="BalloonTextChar"/>
    <w:uiPriority w:val="99"/>
    <w:semiHidden/>
    <w:unhideWhenUsed/>
    <w:rsid w:val="00384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8E"/>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986BCA"/>
    <w:rPr>
      <w:sz w:val="16"/>
      <w:szCs w:val="16"/>
    </w:rPr>
  </w:style>
  <w:style w:type="paragraph" w:styleId="CommentText">
    <w:name w:val="annotation text"/>
    <w:basedOn w:val="Normal"/>
    <w:link w:val="CommentTextChar"/>
    <w:uiPriority w:val="99"/>
    <w:unhideWhenUsed/>
    <w:rsid w:val="00986BCA"/>
    <w:rPr>
      <w:sz w:val="20"/>
      <w:szCs w:val="20"/>
    </w:rPr>
  </w:style>
  <w:style w:type="character" w:customStyle="1" w:styleId="CommentTextChar">
    <w:name w:val="Comment Text Char"/>
    <w:basedOn w:val="DefaultParagraphFont"/>
    <w:link w:val="CommentText"/>
    <w:uiPriority w:val="99"/>
    <w:rsid w:val="00986BC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986BCA"/>
    <w:rPr>
      <w:b/>
      <w:bCs/>
    </w:rPr>
  </w:style>
  <w:style w:type="character" w:customStyle="1" w:styleId="CommentSubjectChar">
    <w:name w:val="Comment Subject Char"/>
    <w:basedOn w:val="CommentTextChar"/>
    <w:link w:val="CommentSubject"/>
    <w:uiPriority w:val="99"/>
    <w:semiHidden/>
    <w:rsid w:val="00986BCA"/>
    <w:rPr>
      <w:rFonts w:ascii="Times New Roman" w:eastAsia="Times New Roman" w:hAnsi="Times New Roman" w:cs="Times New Roman"/>
      <w:b/>
      <w:bCs/>
      <w:sz w:val="20"/>
      <w:szCs w:val="20"/>
      <w:lang w:val="en-US" w:eastAsia="en-GB"/>
    </w:rPr>
  </w:style>
  <w:style w:type="paragraph" w:styleId="NormalWeb">
    <w:name w:val="Normal (Web)"/>
    <w:basedOn w:val="Normal"/>
    <w:uiPriority w:val="99"/>
    <w:unhideWhenUsed/>
    <w:rsid w:val="00B27901"/>
    <w:pPr>
      <w:widowControl/>
      <w:autoSpaceDE/>
      <w:autoSpaceDN/>
      <w:adjustRightInd/>
      <w:spacing w:before="100" w:beforeAutospacing="1" w:after="100" w:afterAutospacing="1"/>
    </w:pPr>
    <w:rPr>
      <w:lang w:val="en-ZA" w:eastAsia="en-ZA"/>
    </w:rPr>
  </w:style>
  <w:style w:type="character" w:styleId="Strong">
    <w:name w:val="Strong"/>
    <w:basedOn w:val="DefaultParagraphFont"/>
    <w:uiPriority w:val="22"/>
    <w:qFormat/>
    <w:rsid w:val="00B27901"/>
    <w:rPr>
      <w:b/>
      <w:bCs/>
    </w:rPr>
  </w:style>
  <w:style w:type="paragraph" w:styleId="BodyText">
    <w:name w:val="Body Text"/>
    <w:basedOn w:val="Normal"/>
    <w:link w:val="BodyTextChar"/>
    <w:uiPriority w:val="1"/>
    <w:qFormat/>
    <w:rsid w:val="00DF3308"/>
    <w:pPr>
      <w:ind w:left="1980"/>
    </w:pPr>
    <w:rPr>
      <w:rFonts w:ascii="Arial" w:eastAsiaTheme="minorEastAsia" w:hAnsi="Arial" w:cs="Arial"/>
      <w:sz w:val="19"/>
      <w:szCs w:val="19"/>
      <w:lang w:val="en-ZA" w:eastAsia="en-ZA"/>
    </w:rPr>
  </w:style>
  <w:style w:type="character" w:customStyle="1" w:styleId="BodyTextChar">
    <w:name w:val="Body Text Char"/>
    <w:basedOn w:val="DefaultParagraphFont"/>
    <w:link w:val="BodyText"/>
    <w:uiPriority w:val="1"/>
    <w:rsid w:val="00DF3308"/>
    <w:rPr>
      <w:rFonts w:ascii="Arial" w:eastAsiaTheme="minorEastAsia" w:hAnsi="Arial" w:cs="Arial"/>
      <w:sz w:val="19"/>
      <w:szCs w:val="19"/>
      <w:lang w:val="en-ZA" w:eastAsia="en-ZA"/>
    </w:rPr>
  </w:style>
  <w:style w:type="paragraph" w:styleId="Revision">
    <w:name w:val="Revision"/>
    <w:hidden/>
    <w:uiPriority w:val="99"/>
    <w:semiHidden/>
    <w:rsid w:val="000E4B8B"/>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8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9396-2F07-48DF-8162-F3744667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Limakatso Tsekela</cp:lastModifiedBy>
  <cp:revision>5</cp:revision>
  <cp:lastPrinted>2023-03-15T13:46:00Z</cp:lastPrinted>
  <dcterms:created xsi:type="dcterms:W3CDTF">2023-03-20T13:31:00Z</dcterms:created>
  <dcterms:modified xsi:type="dcterms:W3CDTF">2023-03-23T05:46:00Z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2023-03-09T09:25:38Z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752ed606-1e3e-429a-accb-1a2cc2e32527</vt:lpwstr>
  </property>
  <property fmtid="{D5CDD505-2E9C-101B-9397-08002B2CF9AE}" pid="8" name="MSIP_Label_9f914f9e-4c1b-4005-a7de-34e254df930c_ContentBits">
    <vt:lpwstr>0</vt:lpwstr>
  </property>
</Properties>
</file>