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597E" w14:textId="1C0D912D" w:rsidR="00A360A8" w:rsidRDefault="00A360A8" w:rsidP="00A360A8">
      <w:pPr>
        <w:spacing w:line="600" w:lineRule="auto"/>
        <w:rPr>
          <w:rFonts w:ascii="Arial" w:eastAsia="Calibri" w:hAnsi="Arial" w:cs="Arial"/>
          <w:sz w:val="28"/>
          <w:szCs w:val="28"/>
          <w:lang w:val="en-ZA"/>
        </w:rPr>
      </w:pPr>
    </w:p>
    <w:p w14:paraId="4F872138" w14:textId="77777777" w:rsidR="0052725E" w:rsidRPr="00A360A8" w:rsidRDefault="0052725E" w:rsidP="00A360A8">
      <w:pPr>
        <w:spacing w:line="600" w:lineRule="auto"/>
        <w:rPr>
          <w:rFonts w:ascii="Arial" w:eastAsia="Calibri" w:hAnsi="Arial" w:cs="Arial"/>
          <w:sz w:val="28"/>
          <w:szCs w:val="28"/>
          <w:lang w:val="en-ZA"/>
        </w:rPr>
      </w:pPr>
    </w:p>
    <w:p w14:paraId="3C85E980" w14:textId="77777777" w:rsidR="00A360A8" w:rsidRPr="00396B56" w:rsidRDefault="00A360A8" w:rsidP="00A360A8">
      <w:pPr>
        <w:spacing w:after="0" w:line="360" w:lineRule="auto"/>
        <w:jc w:val="both"/>
        <w:rPr>
          <w:rFonts w:ascii="Arial" w:eastAsia="Calibri" w:hAnsi="Arial" w:cs="Arial"/>
          <w:b/>
          <w:bCs/>
          <w:sz w:val="28"/>
          <w:szCs w:val="28"/>
          <w:lang w:val="en-ZA"/>
        </w:rPr>
      </w:pPr>
      <w:r w:rsidRPr="00396B56">
        <w:rPr>
          <w:rFonts w:ascii="Arial" w:eastAsia="Calibri" w:hAnsi="Arial" w:cs="Arial"/>
          <w:b/>
          <w:bCs/>
          <w:sz w:val="28"/>
          <w:szCs w:val="28"/>
          <w:lang w:val="en-ZA"/>
        </w:rPr>
        <w:t>IN THE HIGH COURT OF LESOTHO</w:t>
      </w:r>
    </w:p>
    <w:p w14:paraId="785BAC37" w14:textId="191C3D59" w:rsidR="00A360A8" w:rsidRPr="00396B56" w:rsidRDefault="00A360A8" w:rsidP="00A360A8">
      <w:pPr>
        <w:spacing w:after="0" w:line="360" w:lineRule="auto"/>
        <w:rPr>
          <w:rFonts w:ascii="Arial" w:eastAsia="Calibri" w:hAnsi="Arial" w:cs="Arial"/>
          <w:b/>
          <w:bCs/>
          <w:sz w:val="28"/>
          <w:szCs w:val="28"/>
          <w:lang w:val="en-ZA"/>
        </w:rPr>
      </w:pPr>
      <w:r w:rsidRPr="00396B56">
        <w:rPr>
          <w:rFonts w:ascii="Arial" w:eastAsia="Calibri" w:hAnsi="Arial" w:cs="Arial"/>
          <w:b/>
          <w:bCs/>
          <w:sz w:val="28"/>
          <w:szCs w:val="28"/>
          <w:lang w:val="en-ZA"/>
        </w:rPr>
        <w:t xml:space="preserve">HELD AT MASERU                                                </w:t>
      </w:r>
      <w:r w:rsidR="00316D07" w:rsidRPr="00396B56">
        <w:rPr>
          <w:rFonts w:ascii="Arial" w:eastAsia="Calibri" w:hAnsi="Arial" w:cs="Arial"/>
          <w:b/>
          <w:bCs/>
          <w:sz w:val="28"/>
          <w:szCs w:val="28"/>
          <w:lang w:val="en-ZA"/>
        </w:rPr>
        <w:t xml:space="preserve">      </w:t>
      </w:r>
      <w:r w:rsidRPr="00396B56">
        <w:rPr>
          <w:rFonts w:ascii="Arial" w:eastAsia="Calibri" w:hAnsi="Arial" w:cs="Arial"/>
          <w:b/>
          <w:bCs/>
          <w:sz w:val="28"/>
          <w:szCs w:val="28"/>
          <w:lang w:val="en-ZA"/>
        </w:rPr>
        <w:t xml:space="preserve"> CIV/APN/2</w:t>
      </w:r>
      <w:r w:rsidR="00316D07" w:rsidRPr="00396B56">
        <w:rPr>
          <w:rFonts w:ascii="Arial" w:eastAsia="Calibri" w:hAnsi="Arial" w:cs="Arial"/>
          <w:b/>
          <w:bCs/>
          <w:sz w:val="28"/>
          <w:szCs w:val="28"/>
          <w:lang w:val="en-ZA"/>
        </w:rPr>
        <w:t>53</w:t>
      </w:r>
      <w:r w:rsidRPr="00396B56">
        <w:rPr>
          <w:rFonts w:ascii="Arial" w:eastAsia="Calibri" w:hAnsi="Arial" w:cs="Arial"/>
          <w:b/>
          <w:bCs/>
          <w:sz w:val="28"/>
          <w:szCs w:val="28"/>
          <w:lang w:val="en-ZA"/>
        </w:rPr>
        <w:t>/2</w:t>
      </w:r>
      <w:r w:rsidR="00316D07" w:rsidRPr="00396B56">
        <w:rPr>
          <w:rFonts w:ascii="Arial" w:eastAsia="Calibri" w:hAnsi="Arial" w:cs="Arial"/>
          <w:b/>
          <w:bCs/>
          <w:sz w:val="28"/>
          <w:szCs w:val="28"/>
          <w:lang w:val="en-ZA"/>
        </w:rPr>
        <w:t>1</w:t>
      </w:r>
    </w:p>
    <w:p w14:paraId="6FEAAD38" w14:textId="77777777" w:rsidR="00A360A8" w:rsidRPr="00396B56" w:rsidRDefault="00A360A8" w:rsidP="00A360A8">
      <w:pPr>
        <w:spacing w:after="0" w:line="360" w:lineRule="auto"/>
        <w:jc w:val="both"/>
        <w:rPr>
          <w:rFonts w:ascii="Arial" w:eastAsia="Calibri" w:hAnsi="Arial" w:cs="Arial"/>
          <w:b/>
          <w:bCs/>
          <w:sz w:val="28"/>
          <w:szCs w:val="28"/>
          <w:lang w:val="en-ZA"/>
        </w:rPr>
      </w:pPr>
      <w:r w:rsidRPr="00396B56">
        <w:rPr>
          <w:rFonts w:ascii="Arial" w:eastAsia="Calibri" w:hAnsi="Arial" w:cs="Arial"/>
          <w:b/>
          <w:bCs/>
          <w:sz w:val="28"/>
          <w:szCs w:val="28"/>
          <w:lang w:val="en-ZA"/>
        </w:rPr>
        <w:t>In the matter between:</w:t>
      </w:r>
    </w:p>
    <w:p w14:paraId="19042546" w14:textId="77777777" w:rsidR="00A360A8" w:rsidRPr="00396B56" w:rsidRDefault="00A360A8" w:rsidP="00A360A8">
      <w:pPr>
        <w:spacing w:after="0" w:line="240" w:lineRule="auto"/>
        <w:jc w:val="both"/>
        <w:rPr>
          <w:rFonts w:ascii="Arial" w:eastAsia="Calibri" w:hAnsi="Arial" w:cs="Arial"/>
          <w:b/>
          <w:bCs/>
          <w:sz w:val="28"/>
          <w:szCs w:val="28"/>
          <w:lang w:val="en-ZA"/>
        </w:rPr>
      </w:pPr>
    </w:p>
    <w:p w14:paraId="4F169F82" w14:textId="37397813" w:rsidR="00A360A8" w:rsidRPr="00396B56" w:rsidRDefault="00316D07" w:rsidP="00316D07">
      <w:pPr>
        <w:spacing w:after="0" w:line="240" w:lineRule="auto"/>
        <w:rPr>
          <w:rFonts w:ascii="Arial" w:eastAsia="Calibri" w:hAnsi="Arial" w:cs="Arial"/>
          <w:b/>
          <w:bCs/>
          <w:sz w:val="28"/>
          <w:szCs w:val="28"/>
          <w:lang w:val="en-ZA"/>
        </w:rPr>
      </w:pPr>
      <w:r w:rsidRPr="00396B56">
        <w:rPr>
          <w:rFonts w:ascii="Arial" w:eastAsia="Calibri" w:hAnsi="Arial" w:cs="Arial"/>
          <w:b/>
          <w:bCs/>
          <w:sz w:val="28"/>
          <w:szCs w:val="28"/>
          <w:lang w:val="en-ZA"/>
        </w:rPr>
        <w:t>LESOTHO NATIONAL GENERAL INSURANCE</w:t>
      </w:r>
      <w:r w:rsidR="00A360A8" w:rsidRPr="00396B56">
        <w:rPr>
          <w:rFonts w:ascii="Arial" w:eastAsia="Calibri" w:hAnsi="Arial" w:cs="Arial"/>
          <w:b/>
          <w:bCs/>
          <w:sz w:val="28"/>
          <w:szCs w:val="28"/>
          <w:lang w:val="en-ZA"/>
        </w:rPr>
        <w:t xml:space="preserve"> </w:t>
      </w:r>
      <w:r w:rsidR="00396B56">
        <w:rPr>
          <w:rFonts w:ascii="Arial" w:eastAsia="Calibri" w:hAnsi="Arial" w:cs="Arial"/>
          <w:b/>
          <w:bCs/>
          <w:sz w:val="28"/>
          <w:szCs w:val="28"/>
          <w:lang w:val="en-ZA"/>
        </w:rPr>
        <w:tab/>
      </w:r>
      <w:r w:rsidR="00A360A8" w:rsidRPr="00396B56">
        <w:rPr>
          <w:rFonts w:ascii="Arial" w:eastAsia="Calibri" w:hAnsi="Arial" w:cs="Arial"/>
          <w:b/>
          <w:bCs/>
          <w:sz w:val="28"/>
          <w:szCs w:val="28"/>
          <w:lang w:val="en-ZA"/>
        </w:rPr>
        <w:t>APPLICANT</w:t>
      </w:r>
    </w:p>
    <w:p w14:paraId="31F21718" w14:textId="77777777" w:rsidR="00A360A8" w:rsidRPr="00396B56" w:rsidRDefault="00A360A8" w:rsidP="00A360A8">
      <w:pPr>
        <w:spacing w:after="0" w:line="240" w:lineRule="auto"/>
        <w:jc w:val="both"/>
        <w:rPr>
          <w:rFonts w:ascii="Arial" w:eastAsia="Calibri" w:hAnsi="Arial" w:cs="Arial"/>
          <w:b/>
          <w:bCs/>
          <w:sz w:val="28"/>
          <w:szCs w:val="28"/>
          <w:lang w:val="en-ZA"/>
        </w:rPr>
      </w:pPr>
    </w:p>
    <w:p w14:paraId="2F6CB788" w14:textId="77777777" w:rsidR="00A360A8" w:rsidRPr="00396B56" w:rsidRDefault="00A360A8" w:rsidP="00A360A8">
      <w:pPr>
        <w:spacing w:after="0" w:line="240" w:lineRule="auto"/>
        <w:jc w:val="both"/>
        <w:rPr>
          <w:rFonts w:ascii="Arial" w:eastAsia="Calibri" w:hAnsi="Arial" w:cs="Arial"/>
          <w:b/>
          <w:bCs/>
          <w:sz w:val="28"/>
          <w:szCs w:val="28"/>
          <w:lang w:val="en-ZA"/>
        </w:rPr>
      </w:pPr>
      <w:r w:rsidRPr="00396B56">
        <w:rPr>
          <w:rFonts w:ascii="Arial" w:eastAsia="Calibri" w:hAnsi="Arial" w:cs="Arial"/>
          <w:b/>
          <w:bCs/>
          <w:sz w:val="28"/>
          <w:szCs w:val="28"/>
          <w:lang w:val="en-ZA"/>
        </w:rPr>
        <w:t>AND</w:t>
      </w:r>
    </w:p>
    <w:p w14:paraId="78C99EA4" w14:textId="77777777" w:rsidR="00A360A8" w:rsidRPr="00396B56" w:rsidRDefault="00A360A8" w:rsidP="00A360A8">
      <w:pPr>
        <w:spacing w:after="0" w:line="240" w:lineRule="auto"/>
        <w:rPr>
          <w:rFonts w:ascii="Arial" w:eastAsia="Calibri" w:hAnsi="Arial" w:cs="Arial"/>
          <w:b/>
          <w:bCs/>
          <w:sz w:val="28"/>
          <w:szCs w:val="28"/>
          <w:lang w:val="en-ZA"/>
        </w:rPr>
      </w:pPr>
    </w:p>
    <w:p w14:paraId="1B1DDBDB" w14:textId="1B7144DA" w:rsidR="00A360A8" w:rsidRPr="00396B56" w:rsidRDefault="00316D07" w:rsidP="00A360A8">
      <w:pPr>
        <w:spacing w:after="0" w:line="240" w:lineRule="auto"/>
        <w:rPr>
          <w:rFonts w:ascii="Arial" w:eastAsia="Calibri" w:hAnsi="Arial" w:cs="Arial"/>
          <w:b/>
          <w:bCs/>
          <w:sz w:val="28"/>
          <w:szCs w:val="28"/>
          <w:lang w:val="en-ZA"/>
        </w:rPr>
      </w:pPr>
      <w:r w:rsidRPr="00396B56">
        <w:rPr>
          <w:rFonts w:ascii="Arial" w:eastAsia="Calibri" w:hAnsi="Arial" w:cs="Arial"/>
          <w:b/>
          <w:bCs/>
          <w:sz w:val="28"/>
          <w:szCs w:val="28"/>
          <w:lang w:val="en-ZA"/>
        </w:rPr>
        <w:t>RHYTHM AND STEAL</w:t>
      </w:r>
      <w:r w:rsidR="00C43A0E">
        <w:rPr>
          <w:rFonts w:ascii="Arial" w:eastAsia="Calibri" w:hAnsi="Arial" w:cs="Arial"/>
          <w:b/>
          <w:bCs/>
          <w:sz w:val="28"/>
          <w:szCs w:val="28"/>
          <w:lang w:val="en-ZA"/>
        </w:rPr>
        <w:t>H</w:t>
      </w:r>
      <w:r w:rsidRPr="00396B56">
        <w:rPr>
          <w:rFonts w:ascii="Arial" w:eastAsia="Calibri" w:hAnsi="Arial" w:cs="Arial"/>
          <w:b/>
          <w:bCs/>
          <w:sz w:val="28"/>
          <w:szCs w:val="28"/>
          <w:lang w:val="en-ZA"/>
        </w:rPr>
        <w:t xml:space="preserve"> (PTY)</w:t>
      </w:r>
      <w:r w:rsidR="00C43A0E">
        <w:rPr>
          <w:rFonts w:ascii="Arial" w:eastAsia="Calibri" w:hAnsi="Arial" w:cs="Arial"/>
          <w:b/>
          <w:bCs/>
          <w:sz w:val="28"/>
          <w:szCs w:val="28"/>
          <w:lang w:val="en-ZA"/>
        </w:rPr>
        <w:t xml:space="preserve"> </w:t>
      </w:r>
      <w:r w:rsidRPr="00396B56">
        <w:rPr>
          <w:rFonts w:ascii="Arial" w:eastAsia="Calibri" w:hAnsi="Arial" w:cs="Arial"/>
          <w:b/>
          <w:bCs/>
          <w:sz w:val="28"/>
          <w:szCs w:val="28"/>
          <w:lang w:val="en-ZA"/>
        </w:rPr>
        <w:t xml:space="preserve">LTD    </w:t>
      </w:r>
      <w:r w:rsidR="00A360A8" w:rsidRPr="00396B56">
        <w:rPr>
          <w:rFonts w:ascii="Arial" w:eastAsia="Calibri" w:hAnsi="Arial" w:cs="Arial"/>
          <w:b/>
          <w:bCs/>
          <w:sz w:val="28"/>
          <w:szCs w:val="28"/>
          <w:lang w:val="en-ZA"/>
        </w:rPr>
        <w:t xml:space="preserve">           </w:t>
      </w:r>
      <w:r w:rsidR="00396B56">
        <w:rPr>
          <w:rFonts w:ascii="Arial" w:eastAsia="Calibri" w:hAnsi="Arial" w:cs="Arial"/>
          <w:b/>
          <w:bCs/>
          <w:sz w:val="28"/>
          <w:szCs w:val="28"/>
          <w:lang w:val="en-ZA"/>
        </w:rPr>
        <w:tab/>
      </w:r>
      <w:r w:rsidR="00396B56">
        <w:rPr>
          <w:rFonts w:ascii="Arial" w:eastAsia="Calibri" w:hAnsi="Arial" w:cs="Arial"/>
          <w:b/>
          <w:bCs/>
          <w:sz w:val="28"/>
          <w:szCs w:val="28"/>
          <w:lang w:val="en-ZA"/>
        </w:rPr>
        <w:tab/>
      </w:r>
      <w:r w:rsidR="00A360A8" w:rsidRPr="00396B56">
        <w:rPr>
          <w:rFonts w:ascii="Arial" w:eastAsia="Calibri" w:hAnsi="Arial" w:cs="Arial"/>
          <w:b/>
          <w:bCs/>
          <w:sz w:val="28"/>
          <w:szCs w:val="28"/>
          <w:lang w:val="en-ZA"/>
        </w:rPr>
        <w:t>RESPONDENT</w:t>
      </w:r>
    </w:p>
    <w:p w14:paraId="02CCE4FF" w14:textId="427F4628" w:rsidR="00A360A8" w:rsidRDefault="00A360A8" w:rsidP="00A360A8">
      <w:pPr>
        <w:spacing w:after="0" w:line="600" w:lineRule="auto"/>
        <w:jc w:val="both"/>
        <w:rPr>
          <w:rFonts w:ascii="Arial" w:eastAsia="Calibri" w:hAnsi="Arial" w:cs="Arial"/>
          <w:b/>
          <w:bCs/>
          <w:sz w:val="28"/>
          <w:szCs w:val="28"/>
          <w:lang w:val="en-ZA"/>
        </w:rPr>
      </w:pPr>
    </w:p>
    <w:p w14:paraId="27B33703" w14:textId="77777777" w:rsidR="00396B56" w:rsidRPr="00396B56" w:rsidRDefault="00396B56" w:rsidP="00A360A8">
      <w:pPr>
        <w:spacing w:after="0" w:line="600" w:lineRule="auto"/>
        <w:jc w:val="both"/>
        <w:rPr>
          <w:rFonts w:ascii="Arial" w:eastAsia="Calibri" w:hAnsi="Arial" w:cs="Arial"/>
          <w:b/>
          <w:bCs/>
          <w:sz w:val="28"/>
          <w:szCs w:val="28"/>
          <w:lang w:val="en-ZA"/>
        </w:rPr>
      </w:pPr>
    </w:p>
    <w:p w14:paraId="1E45B2CC" w14:textId="0718CC7E" w:rsidR="00A360A8" w:rsidRPr="00396B56" w:rsidRDefault="00A360A8" w:rsidP="00C236CD">
      <w:pPr>
        <w:spacing w:after="0" w:line="600" w:lineRule="auto"/>
        <w:jc w:val="center"/>
        <w:rPr>
          <w:rFonts w:ascii="Arial" w:eastAsia="Calibri" w:hAnsi="Arial" w:cs="Arial"/>
          <w:b/>
          <w:bCs/>
          <w:sz w:val="28"/>
          <w:szCs w:val="28"/>
          <w:u w:val="single"/>
          <w:lang w:val="en-ZA"/>
        </w:rPr>
      </w:pPr>
      <w:r w:rsidRPr="00396B56">
        <w:rPr>
          <w:rFonts w:ascii="Arial" w:eastAsia="Calibri" w:hAnsi="Arial" w:cs="Arial"/>
          <w:b/>
          <w:bCs/>
          <w:sz w:val="28"/>
          <w:szCs w:val="28"/>
          <w:u w:val="single"/>
          <w:lang w:val="en-ZA"/>
        </w:rPr>
        <w:t>JUDGEMENT</w:t>
      </w:r>
    </w:p>
    <w:p w14:paraId="72E90BD2" w14:textId="7746BA34" w:rsidR="00A360A8" w:rsidRPr="00396B56" w:rsidRDefault="00A360A8" w:rsidP="00A360A8">
      <w:pPr>
        <w:spacing w:after="0" w:line="240" w:lineRule="auto"/>
        <w:jc w:val="both"/>
        <w:rPr>
          <w:rFonts w:ascii="Arial" w:eastAsia="Calibri" w:hAnsi="Arial" w:cs="Arial"/>
          <w:b/>
          <w:bCs/>
          <w:sz w:val="28"/>
          <w:szCs w:val="28"/>
          <w:lang w:val="en-ZA"/>
        </w:rPr>
      </w:pPr>
      <w:r w:rsidRPr="00396B56">
        <w:rPr>
          <w:rFonts w:ascii="Arial" w:eastAsia="Calibri" w:hAnsi="Arial" w:cs="Arial"/>
          <w:b/>
          <w:bCs/>
          <w:sz w:val="28"/>
          <w:szCs w:val="28"/>
          <w:lang w:val="en-ZA"/>
        </w:rPr>
        <w:t xml:space="preserve">Coram                             </w:t>
      </w:r>
      <w:r w:rsidR="00396B56">
        <w:rPr>
          <w:rFonts w:ascii="Arial" w:eastAsia="Calibri" w:hAnsi="Arial" w:cs="Arial"/>
          <w:b/>
          <w:bCs/>
          <w:sz w:val="28"/>
          <w:szCs w:val="28"/>
          <w:lang w:val="en-ZA"/>
        </w:rPr>
        <w:tab/>
        <w:t>:</w:t>
      </w:r>
      <w:r w:rsidRPr="00396B56">
        <w:rPr>
          <w:rFonts w:ascii="Arial" w:eastAsia="Calibri" w:hAnsi="Arial" w:cs="Arial"/>
          <w:b/>
          <w:bCs/>
          <w:sz w:val="28"/>
          <w:szCs w:val="28"/>
          <w:lang w:val="en-ZA"/>
        </w:rPr>
        <w:t xml:space="preserve">      </w:t>
      </w:r>
      <w:r w:rsidR="00396B56">
        <w:rPr>
          <w:rFonts w:ascii="Arial" w:eastAsia="Calibri" w:hAnsi="Arial" w:cs="Arial"/>
          <w:b/>
          <w:bCs/>
          <w:sz w:val="28"/>
          <w:szCs w:val="28"/>
          <w:lang w:val="en-ZA"/>
        </w:rPr>
        <w:tab/>
      </w:r>
      <w:r w:rsidRPr="00396B56">
        <w:rPr>
          <w:rFonts w:ascii="Arial" w:eastAsia="Calibri" w:hAnsi="Arial" w:cs="Arial"/>
          <w:b/>
          <w:bCs/>
          <w:sz w:val="28"/>
          <w:szCs w:val="28"/>
          <w:lang w:val="en-ZA"/>
        </w:rPr>
        <w:t xml:space="preserve">Hon. Mr. Justice T.E </w:t>
      </w:r>
      <w:proofErr w:type="spellStart"/>
      <w:r w:rsidRPr="00396B56">
        <w:rPr>
          <w:rFonts w:ascii="Arial" w:eastAsia="Calibri" w:hAnsi="Arial" w:cs="Arial"/>
          <w:b/>
          <w:bCs/>
          <w:sz w:val="28"/>
          <w:szCs w:val="28"/>
          <w:lang w:val="en-ZA"/>
        </w:rPr>
        <w:t>Monapathi</w:t>
      </w:r>
      <w:proofErr w:type="spellEnd"/>
    </w:p>
    <w:p w14:paraId="7177726E" w14:textId="191F7E80" w:rsidR="00A360A8" w:rsidRPr="00396B56" w:rsidRDefault="00A360A8" w:rsidP="00A360A8">
      <w:pPr>
        <w:spacing w:after="0" w:line="240" w:lineRule="auto"/>
        <w:jc w:val="both"/>
        <w:rPr>
          <w:rFonts w:ascii="Arial" w:eastAsia="Calibri" w:hAnsi="Arial" w:cs="Arial"/>
          <w:b/>
          <w:bCs/>
          <w:sz w:val="28"/>
          <w:szCs w:val="28"/>
          <w:lang w:val="en-ZA"/>
        </w:rPr>
      </w:pPr>
      <w:r w:rsidRPr="00396B56">
        <w:rPr>
          <w:rFonts w:ascii="Arial" w:eastAsia="Calibri" w:hAnsi="Arial" w:cs="Arial"/>
          <w:b/>
          <w:bCs/>
          <w:sz w:val="28"/>
          <w:szCs w:val="28"/>
          <w:lang w:val="en-ZA"/>
        </w:rPr>
        <w:t xml:space="preserve">Date of Hearing               </w:t>
      </w:r>
      <w:r w:rsidR="00396B56">
        <w:rPr>
          <w:rFonts w:ascii="Arial" w:eastAsia="Calibri" w:hAnsi="Arial" w:cs="Arial"/>
          <w:b/>
          <w:bCs/>
          <w:sz w:val="28"/>
          <w:szCs w:val="28"/>
          <w:lang w:val="en-ZA"/>
        </w:rPr>
        <w:tab/>
      </w:r>
      <w:r w:rsidRPr="00396B56">
        <w:rPr>
          <w:rFonts w:ascii="Arial" w:eastAsia="Calibri" w:hAnsi="Arial" w:cs="Arial"/>
          <w:b/>
          <w:bCs/>
          <w:sz w:val="28"/>
          <w:szCs w:val="28"/>
          <w:lang w:val="en-ZA"/>
        </w:rPr>
        <w:t xml:space="preserve">:      </w:t>
      </w:r>
      <w:r w:rsidR="00396B56">
        <w:rPr>
          <w:rFonts w:ascii="Arial" w:eastAsia="Calibri" w:hAnsi="Arial" w:cs="Arial"/>
          <w:b/>
          <w:bCs/>
          <w:sz w:val="28"/>
          <w:szCs w:val="28"/>
          <w:lang w:val="en-ZA"/>
        </w:rPr>
        <w:tab/>
      </w:r>
      <w:r w:rsidR="00566245" w:rsidRPr="00396B56">
        <w:rPr>
          <w:rFonts w:ascii="Arial" w:eastAsia="Calibri" w:hAnsi="Arial" w:cs="Arial"/>
          <w:b/>
          <w:bCs/>
          <w:sz w:val="28"/>
          <w:szCs w:val="28"/>
          <w:lang w:val="en-ZA"/>
        </w:rPr>
        <w:t>26</w:t>
      </w:r>
      <w:r w:rsidR="00566245" w:rsidRPr="00396B56">
        <w:rPr>
          <w:rFonts w:ascii="Arial" w:eastAsia="Calibri" w:hAnsi="Arial" w:cs="Arial"/>
          <w:b/>
          <w:bCs/>
          <w:sz w:val="28"/>
          <w:szCs w:val="28"/>
          <w:vertAlign w:val="superscript"/>
          <w:lang w:val="en-ZA"/>
        </w:rPr>
        <w:t>th</w:t>
      </w:r>
      <w:r w:rsidR="00566245" w:rsidRPr="00396B56">
        <w:rPr>
          <w:rFonts w:ascii="Arial" w:eastAsia="Calibri" w:hAnsi="Arial" w:cs="Arial"/>
          <w:b/>
          <w:bCs/>
          <w:sz w:val="28"/>
          <w:szCs w:val="28"/>
          <w:lang w:val="en-ZA"/>
        </w:rPr>
        <w:t xml:space="preserve"> October 2021</w:t>
      </w:r>
    </w:p>
    <w:p w14:paraId="0E6DE737" w14:textId="4ABD3BFF" w:rsidR="00A360A8" w:rsidRPr="00A360A8" w:rsidRDefault="00A360A8" w:rsidP="00A360A8">
      <w:pPr>
        <w:spacing w:after="0" w:line="240" w:lineRule="auto"/>
        <w:jc w:val="both"/>
        <w:rPr>
          <w:rFonts w:ascii="Arial" w:eastAsia="Calibri" w:hAnsi="Arial" w:cs="Arial"/>
          <w:sz w:val="28"/>
          <w:szCs w:val="28"/>
          <w:lang w:val="en-ZA"/>
        </w:rPr>
      </w:pPr>
      <w:r w:rsidRPr="00396B56">
        <w:rPr>
          <w:rFonts w:ascii="Arial" w:eastAsia="Calibri" w:hAnsi="Arial" w:cs="Arial"/>
          <w:b/>
          <w:bCs/>
          <w:sz w:val="28"/>
          <w:szCs w:val="28"/>
          <w:lang w:val="en-ZA"/>
        </w:rPr>
        <w:t xml:space="preserve">Date of judgement           </w:t>
      </w:r>
      <w:r w:rsidR="00396B56">
        <w:rPr>
          <w:rFonts w:ascii="Arial" w:eastAsia="Calibri" w:hAnsi="Arial" w:cs="Arial"/>
          <w:b/>
          <w:bCs/>
          <w:sz w:val="28"/>
          <w:szCs w:val="28"/>
          <w:lang w:val="en-ZA"/>
        </w:rPr>
        <w:tab/>
      </w:r>
      <w:r w:rsidRPr="00396B56">
        <w:rPr>
          <w:rFonts w:ascii="Arial" w:eastAsia="Calibri" w:hAnsi="Arial" w:cs="Arial"/>
          <w:b/>
          <w:bCs/>
          <w:sz w:val="28"/>
          <w:szCs w:val="28"/>
          <w:lang w:val="en-ZA"/>
        </w:rPr>
        <w:t xml:space="preserve">:      </w:t>
      </w:r>
      <w:r w:rsidR="00396B56">
        <w:rPr>
          <w:rFonts w:ascii="Arial" w:eastAsia="Calibri" w:hAnsi="Arial" w:cs="Arial"/>
          <w:b/>
          <w:bCs/>
          <w:sz w:val="28"/>
          <w:szCs w:val="28"/>
          <w:lang w:val="en-ZA"/>
        </w:rPr>
        <w:tab/>
      </w:r>
      <w:r w:rsidR="006910FC" w:rsidRPr="006910FC">
        <w:rPr>
          <w:rFonts w:ascii="Arial" w:eastAsia="Calibri" w:hAnsi="Arial" w:cs="Arial"/>
          <w:b/>
          <w:bCs/>
          <w:sz w:val="28"/>
          <w:szCs w:val="28"/>
          <w:lang w:val="en-ZA"/>
        </w:rPr>
        <w:t>16</w:t>
      </w:r>
      <w:r w:rsidR="006910FC" w:rsidRPr="006910FC">
        <w:rPr>
          <w:rFonts w:ascii="Arial" w:eastAsia="Calibri" w:hAnsi="Arial" w:cs="Arial"/>
          <w:b/>
          <w:bCs/>
          <w:sz w:val="28"/>
          <w:szCs w:val="28"/>
          <w:vertAlign w:val="superscript"/>
          <w:lang w:val="en-ZA"/>
        </w:rPr>
        <w:t>th</w:t>
      </w:r>
      <w:r w:rsidR="006910FC" w:rsidRPr="006910FC">
        <w:rPr>
          <w:rFonts w:ascii="Arial" w:eastAsia="Calibri" w:hAnsi="Arial" w:cs="Arial"/>
          <w:b/>
          <w:bCs/>
          <w:sz w:val="28"/>
          <w:szCs w:val="28"/>
          <w:lang w:val="en-ZA"/>
        </w:rPr>
        <w:t xml:space="preserve"> March 2022</w:t>
      </w:r>
    </w:p>
    <w:p w14:paraId="6920BBBF" w14:textId="5FE16D1E" w:rsidR="00396B56" w:rsidRDefault="00396B56" w:rsidP="00396B56">
      <w:pPr>
        <w:spacing w:after="0" w:line="360" w:lineRule="auto"/>
        <w:jc w:val="both"/>
        <w:rPr>
          <w:rFonts w:ascii="Arial" w:eastAsia="Calibri" w:hAnsi="Arial" w:cs="Arial"/>
          <w:b/>
          <w:sz w:val="28"/>
          <w:szCs w:val="28"/>
          <w:u w:val="single"/>
          <w:lang w:val="en-ZA"/>
        </w:rPr>
      </w:pPr>
    </w:p>
    <w:p w14:paraId="13AF37D2" w14:textId="43FD3800" w:rsidR="00396B56" w:rsidRDefault="00396B56" w:rsidP="00396B56">
      <w:pPr>
        <w:spacing w:after="0" w:line="360" w:lineRule="auto"/>
        <w:jc w:val="both"/>
        <w:rPr>
          <w:rFonts w:ascii="Arial" w:eastAsia="Calibri" w:hAnsi="Arial" w:cs="Arial"/>
          <w:b/>
          <w:sz w:val="28"/>
          <w:szCs w:val="28"/>
          <w:u w:val="single"/>
          <w:lang w:val="en-ZA"/>
        </w:rPr>
      </w:pPr>
    </w:p>
    <w:p w14:paraId="47FDD77F" w14:textId="7F989809" w:rsidR="0052725E" w:rsidRPr="00F82B26" w:rsidRDefault="0052725E" w:rsidP="0052725E">
      <w:pPr>
        <w:spacing w:line="360" w:lineRule="auto"/>
        <w:jc w:val="both"/>
        <w:rPr>
          <w:rFonts w:ascii="Times New Roman" w:hAnsi="Times New Roman" w:cs="Times New Roman"/>
          <w:bCs/>
          <w:sz w:val="28"/>
          <w:szCs w:val="28"/>
        </w:rPr>
      </w:pPr>
      <w:r w:rsidRPr="00F82B26">
        <w:rPr>
          <w:rFonts w:ascii="Times New Roman" w:hAnsi="Times New Roman" w:cs="Times New Roman"/>
          <w:bCs/>
          <w:sz w:val="28"/>
          <w:szCs w:val="28"/>
        </w:rPr>
        <w:t>Neutral</w:t>
      </w:r>
      <w:r>
        <w:rPr>
          <w:rFonts w:ascii="Times New Roman" w:hAnsi="Times New Roman" w:cs="Times New Roman"/>
          <w:bCs/>
          <w:sz w:val="28"/>
          <w:szCs w:val="28"/>
        </w:rPr>
        <w:t xml:space="preserve"> citation: </w:t>
      </w:r>
      <w:r>
        <w:rPr>
          <w:rFonts w:ascii="Times New Roman" w:hAnsi="Times New Roman" w:cs="Times New Roman"/>
          <w:bCs/>
          <w:sz w:val="28"/>
          <w:szCs w:val="28"/>
        </w:rPr>
        <w:t>Lesotho National General Insurance v Rhythm and Steal (PTY) LTD</w:t>
      </w:r>
      <w:r>
        <w:rPr>
          <w:rFonts w:ascii="Times New Roman" w:hAnsi="Times New Roman" w:cs="Times New Roman"/>
          <w:bCs/>
          <w:sz w:val="28"/>
          <w:szCs w:val="28"/>
        </w:rPr>
        <w:t xml:space="preserve"> [202</w:t>
      </w:r>
      <w:r>
        <w:rPr>
          <w:rFonts w:ascii="Times New Roman" w:hAnsi="Times New Roman" w:cs="Times New Roman"/>
          <w:bCs/>
          <w:sz w:val="28"/>
          <w:szCs w:val="28"/>
        </w:rPr>
        <w:t>2</w:t>
      </w:r>
      <w:r>
        <w:rPr>
          <w:rFonts w:ascii="Times New Roman" w:hAnsi="Times New Roman" w:cs="Times New Roman"/>
          <w:bCs/>
          <w:sz w:val="28"/>
          <w:szCs w:val="28"/>
        </w:rPr>
        <w:t xml:space="preserve">] LSHC Civ </w:t>
      </w:r>
      <w:r>
        <w:rPr>
          <w:rFonts w:ascii="Times New Roman" w:hAnsi="Times New Roman" w:cs="Times New Roman"/>
          <w:bCs/>
          <w:sz w:val="28"/>
          <w:szCs w:val="28"/>
        </w:rPr>
        <w:t>44</w:t>
      </w:r>
      <w:r>
        <w:rPr>
          <w:rFonts w:ascii="Times New Roman" w:hAnsi="Times New Roman" w:cs="Times New Roman"/>
          <w:bCs/>
          <w:sz w:val="28"/>
          <w:szCs w:val="28"/>
        </w:rPr>
        <w:t xml:space="preserve"> (</w:t>
      </w:r>
      <w:r>
        <w:rPr>
          <w:rFonts w:ascii="Times New Roman" w:hAnsi="Times New Roman" w:cs="Times New Roman"/>
          <w:bCs/>
          <w:sz w:val="28"/>
          <w:szCs w:val="28"/>
        </w:rPr>
        <w:t>16</w:t>
      </w:r>
      <w:r>
        <w:rPr>
          <w:rFonts w:ascii="Times New Roman" w:hAnsi="Times New Roman" w:cs="Times New Roman"/>
          <w:bCs/>
          <w:sz w:val="28"/>
          <w:szCs w:val="28"/>
        </w:rPr>
        <w:t xml:space="preserve"> March 202</w:t>
      </w:r>
      <w:r>
        <w:rPr>
          <w:rFonts w:ascii="Times New Roman" w:hAnsi="Times New Roman" w:cs="Times New Roman"/>
          <w:bCs/>
          <w:sz w:val="28"/>
          <w:szCs w:val="28"/>
        </w:rPr>
        <w:t>2</w:t>
      </w:r>
      <w:r>
        <w:rPr>
          <w:rFonts w:ascii="Times New Roman" w:hAnsi="Times New Roman" w:cs="Times New Roman"/>
          <w:bCs/>
          <w:sz w:val="28"/>
          <w:szCs w:val="28"/>
        </w:rPr>
        <w:t>)</w:t>
      </w:r>
    </w:p>
    <w:p w14:paraId="645A2121" w14:textId="70B5D39D" w:rsidR="00396B56" w:rsidRDefault="00396B56" w:rsidP="00396B56">
      <w:pPr>
        <w:spacing w:after="0" w:line="360" w:lineRule="auto"/>
        <w:jc w:val="both"/>
        <w:rPr>
          <w:rFonts w:ascii="Arial" w:eastAsia="Calibri" w:hAnsi="Arial" w:cs="Arial"/>
          <w:b/>
          <w:sz w:val="28"/>
          <w:szCs w:val="28"/>
          <w:u w:val="single"/>
          <w:lang w:val="en-ZA"/>
        </w:rPr>
      </w:pPr>
    </w:p>
    <w:p w14:paraId="67F9B68B" w14:textId="77777777" w:rsidR="006910FC" w:rsidRDefault="006910FC" w:rsidP="006910FC">
      <w:pPr>
        <w:spacing w:after="0" w:line="240" w:lineRule="auto"/>
        <w:jc w:val="center"/>
        <w:rPr>
          <w:rFonts w:ascii="Arial" w:eastAsia="Calibri" w:hAnsi="Arial" w:cs="Arial"/>
          <w:b/>
          <w:sz w:val="28"/>
          <w:szCs w:val="28"/>
          <w:u w:val="single"/>
          <w:lang w:val="en-ZA"/>
        </w:rPr>
      </w:pPr>
      <w:r w:rsidRPr="00A360A8">
        <w:rPr>
          <w:rFonts w:ascii="Arial" w:eastAsia="Calibri" w:hAnsi="Arial" w:cs="Arial"/>
          <w:b/>
          <w:sz w:val="28"/>
          <w:szCs w:val="28"/>
          <w:u w:val="single"/>
          <w:lang w:val="en-ZA"/>
        </w:rPr>
        <w:t>SUMMARY</w:t>
      </w:r>
    </w:p>
    <w:p w14:paraId="71DCF252" w14:textId="77777777" w:rsidR="006910FC" w:rsidRDefault="006910FC" w:rsidP="006910FC">
      <w:pPr>
        <w:spacing w:after="0" w:line="240" w:lineRule="auto"/>
        <w:jc w:val="center"/>
        <w:rPr>
          <w:rFonts w:ascii="Arial" w:eastAsia="Calibri" w:hAnsi="Arial" w:cs="Arial"/>
          <w:b/>
          <w:sz w:val="28"/>
          <w:szCs w:val="28"/>
          <w:u w:val="single"/>
          <w:lang w:val="en-ZA"/>
        </w:rPr>
      </w:pPr>
    </w:p>
    <w:p w14:paraId="44492F59" w14:textId="77777777" w:rsidR="006910FC" w:rsidRDefault="006910FC" w:rsidP="006910FC">
      <w:pPr>
        <w:spacing w:after="0" w:line="240" w:lineRule="auto"/>
        <w:jc w:val="center"/>
        <w:rPr>
          <w:rFonts w:ascii="Arial" w:eastAsia="Calibri" w:hAnsi="Arial" w:cs="Arial"/>
          <w:b/>
          <w:sz w:val="28"/>
          <w:szCs w:val="28"/>
          <w:u w:val="single"/>
          <w:lang w:val="en-ZA"/>
        </w:rPr>
      </w:pPr>
    </w:p>
    <w:p w14:paraId="46AA310A" w14:textId="77777777" w:rsidR="006910FC" w:rsidRPr="0058401A" w:rsidRDefault="006910FC" w:rsidP="006910FC">
      <w:pPr>
        <w:spacing w:after="0" w:line="240" w:lineRule="auto"/>
        <w:jc w:val="both"/>
        <w:rPr>
          <w:rFonts w:ascii="Arial" w:eastAsia="Calibri" w:hAnsi="Arial" w:cs="Arial"/>
          <w:i/>
          <w:iCs/>
          <w:sz w:val="28"/>
          <w:szCs w:val="28"/>
          <w:lang w:val="en-ZA"/>
        </w:rPr>
      </w:pPr>
      <w:r w:rsidRPr="0058401A">
        <w:rPr>
          <w:rFonts w:ascii="Arial" w:eastAsia="Calibri" w:hAnsi="Arial" w:cs="Arial"/>
          <w:i/>
          <w:iCs/>
          <w:sz w:val="28"/>
          <w:szCs w:val="28"/>
          <w:lang w:val="en-ZA"/>
        </w:rPr>
        <w:t>Contract- two motor vehicles having been involved in a collision-Toyota Fortuner</w:t>
      </w:r>
      <w:r>
        <w:rPr>
          <w:rFonts w:ascii="Arial" w:eastAsia="Calibri" w:hAnsi="Arial" w:cs="Arial"/>
          <w:i/>
          <w:iCs/>
          <w:sz w:val="28"/>
          <w:szCs w:val="28"/>
          <w:lang w:val="en-ZA"/>
        </w:rPr>
        <w:t xml:space="preserve"> </w:t>
      </w:r>
      <w:r w:rsidRPr="0058401A">
        <w:rPr>
          <w:rFonts w:ascii="Arial" w:eastAsia="Calibri" w:hAnsi="Arial" w:cs="Arial"/>
          <w:i/>
          <w:iCs/>
          <w:sz w:val="28"/>
          <w:szCs w:val="28"/>
          <w:lang w:val="en-ZA"/>
        </w:rPr>
        <w:t>having been taken to Respondent’s workshop- Respondent demanding payment of asse</w:t>
      </w:r>
      <w:r>
        <w:rPr>
          <w:rFonts w:ascii="Arial" w:eastAsia="Calibri" w:hAnsi="Arial" w:cs="Arial"/>
          <w:i/>
          <w:iCs/>
          <w:sz w:val="28"/>
          <w:szCs w:val="28"/>
          <w:lang w:val="en-ZA"/>
        </w:rPr>
        <w:t>ss</w:t>
      </w:r>
      <w:r w:rsidRPr="0058401A">
        <w:rPr>
          <w:rFonts w:ascii="Arial" w:eastAsia="Calibri" w:hAnsi="Arial" w:cs="Arial"/>
          <w:i/>
          <w:iCs/>
          <w:sz w:val="28"/>
          <w:szCs w:val="28"/>
          <w:lang w:val="en-ZA"/>
        </w:rPr>
        <w:t xml:space="preserve">ment of damages and storage costs- Applicant disputing existence of an agreement- Held: Parties had intention of being contractually bound and have acted in their agreement- Held: </w:t>
      </w:r>
      <w:r w:rsidRPr="0058401A">
        <w:rPr>
          <w:rFonts w:ascii="Arial" w:eastAsia="Calibri" w:hAnsi="Arial" w:cs="Arial"/>
          <w:i/>
          <w:iCs/>
          <w:sz w:val="28"/>
          <w:szCs w:val="28"/>
          <w:lang w:val="en-ZA"/>
        </w:rPr>
        <w:lastRenderedPageBreak/>
        <w:t>conduct of the parties clear enough to show intention- Held: Application dismissed with costs.</w:t>
      </w:r>
    </w:p>
    <w:p w14:paraId="604EA4AE" w14:textId="441088B1" w:rsidR="00396B56" w:rsidRDefault="00396B56" w:rsidP="00396B56">
      <w:pPr>
        <w:spacing w:after="0" w:line="360" w:lineRule="auto"/>
        <w:jc w:val="both"/>
        <w:rPr>
          <w:rFonts w:ascii="Arial" w:eastAsia="Calibri" w:hAnsi="Arial" w:cs="Arial"/>
          <w:b/>
          <w:sz w:val="28"/>
          <w:szCs w:val="28"/>
          <w:u w:val="single"/>
          <w:lang w:val="en-ZA"/>
        </w:rPr>
      </w:pPr>
    </w:p>
    <w:p w14:paraId="06D1E171" w14:textId="77777777" w:rsidR="00396B56" w:rsidRDefault="00396B56" w:rsidP="00396B56">
      <w:pPr>
        <w:spacing w:after="0" w:line="360" w:lineRule="auto"/>
        <w:jc w:val="both"/>
        <w:rPr>
          <w:rFonts w:ascii="Arial" w:eastAsia="Calibri" w:hAnsi="Arial" w:cs="Arial"/>
          <w:b/>
          <w:sz w:val="28"/>
          <w:szCs w:val="28"/>
          <w:u w:val="single"/>
          <w:lang w:val="en-ZA"/>
        </w:rPr>
      </w:pPr>
    </w:p>
    <w:p w14:paraId="031FDAB2" w14:textId="2A4D0E0C" w:rsidR="00797328" w:rsidRPr="00037663" w:rsidRDefault="00A360A8" w:rsidP="00396B56">
      <w:pPr>
        <w:spacing w:after="0" w:line="360" w:lineRule="auto"/>
        <w:jc w:val="both"/>
        <w:rPr>
          <w:rFonts w:ascii="Arial" w:eastAsia="Calibri" w:hAnsi="Arial" w:cs="Arial"/>
          <w:sz w:val="28"/>
          <w:szCs w:val="28"/>
          <w:lang w:val="en-ZA"/>
        </w:rPr>
      </w:pPr>
      <w:r w:rsidRPr="00A360A8">
        <w:rPr>
          <w:rFonts w:ascii="Arial" w:eastAsia="Calibri" w:hAnsi="Arial" w:cs="Arial"/>
          <w:b/>
          <w:i/>
          <w:sz w:val="28"/>
          <w:szCs w:val="28"/>
          <w:u w:val="single"/>
          <w:lang w:val="en-ZA"/>
        </w:rPr>
        <w:t>Annotations:</w:t>
      </w:r>
    </w:p>
    <w:p w14:paraId="7F11A4A9" w14:textId="67354EE0" w:rsidR="00A360A8" w:rsidRPr="00A360A8" w:rsidRDefault="00A360A8" w:rsidP="00B63A31">
      <w:pPr>
        <w:spacing w:after="0" w:line="360" w:lineRule="auto"/>
        <w:ind w:left="720" w:hanging="720"/>
        <w:jc w:val="both"/>
        <w:rPr>
          <w:rFonts w:ascii="Arial" w:eastAsia="Calibri" w:hAnsi="Arial" w:cs="Arial"/>
          <w:b/>
          <w:sz w:val="28"/>
          <w:szCs w:val="28"/>
          <w:u w:val="single"/>
          <w:lang w:val="en-ZA"/>
        </w:rPr>
      </w:pPr>
      <w:r w:rsidRPr="00A360A8">
        <w:rPr>
          <w:rFonts w:ascii="Arial" w:eastAsia="Calibri" w:hAnsi="Arial" w:cs="Arial"/>
          <w:b/>
          <w:sz w:val="28"/>
          <w:szCs w:val="28"/>
          <w:u w:val="single"/>
          <w:lang w:val="en-ZA"/>
        </w:rPr>
        <w:t>REPORTED CASES</w:t>
      </w:r>
    </w:p>
    <w:p w14:paraId="19C2CEC8" w14:textId="4F889F15" w:rsidR="001C1EEF" w:rsidRDefault="001C1EEF" w:rsidP="00B63A31">
      <w:pPr>
        <w:spacing w:line="276" w:lineRule="auto"/>
        <w:ind w:right="-1440"/>
        <w:jc w:val="both"/>
        <w:rPr>
          <w:rFonts w:ascii="Arial" w:eastAsia="Calibri" w:hAnsi="Arial" w:cs="Arial"/>
          <w:bCs/>
          <w:sz w:val="28"/>
          <w:szCs w:val="28"/>
          <w:lang w:val="en-ZA"/>
        </w:rPr>
      </w:pPr>
      <w:r w:rsidRPr="001C1EEF">
        <w:rPr>
          <w:rFonts w:ascii="Arial" w:eastAsia="Calibri" w:hAnsi="Arial" w:cs="Arial"/>
          <w:bCs/>
          <w:sz w:val="28"/>
          <w:szCs w:val="28"/>
          <w:lang w:val="en-ZA"/>
        </w:rPr>
        <w:t>N</w:t>
      </w:r>
      <w:r>
        <w:rPr>
          <w:rFonts w:ascii="Arial" w:eastAsia="Calibri" w:hAnsi="Arial" w:cs="Arial"/>
          <w:bCs/>
          <w:sz w:val="28"/>
          <w:szCs w:val="28"/>
          <w:lang w:val="en-ZA"/>
        </w:rPr>
        <w:t>aidoo v Marine &amp; Trade Insurance No. Ltd Pty 1978(3) SA</w:t>
      </w:r>
    </w:p>
    <w:p w14:paraId="474BC6E3" w14:textId="3A54C553" w:rsidR="001C1EEF" w:rsidRDefault="001C1EEF" w:rsidP="00B63A31">
      <w:pPr>
        <w:spacing w:line="276" w:lineRule="auto"/>
        <w:ind w:right="-1440"/>
        <w:jc w:val="both"/>
        <w:rPr>
          <w:rFonts w:ascii="Arial" w:eastAsia="Calibri" w:hAnsi="Arial" w:cs="Arial"/>
          <w:bCs/>
          <w:sz w:val="28"/>
          <w:szCs w:val="28"/>
          <w:lang w:val="en-ZA"/>
        </w:rPr>
      </w:pPr>
      <w:r>
        <w:rPr>
          <w:rFonts w:ascii="Arial" w:eastAsia="Calibri" w:hAnsi="Arial" w:cs="Arial"/>
          <w:bCs/>
          <w:sz w:val="28"/>
          <w:szCs w:val="28"/>
          <w:lang w:val="en-ZA"/>
        </w:rPr>
        <w:t>KDL Residential CC v Empire Earth Investment 17 (Pty) Ltd</w:t>
      </w:r>
    </w:p>
    <w:p w14:paraId="6122D931" w14:textId="34D292B4" w:rsidR="001C1EEF" w:rsidRDefault="001C1EEF" w:rsidP="00B63A31">
      <w:pPr>
        <w:spacing w:line="276" w:lineRule="auto"/>
        <w:ind w:right="-1440"/>
        <w:jc w:val="both"/>
        <w:rPr>
          <w:rFonts w:ascii="Arial" w:eastAsia="Calibri" w:hAnsi="Arial" w:cs="Arial"/>
          <w:bCs/>
          <w:sz w:val="28"/>
          <w:szCs w:val="28"/>
          <w:lang w:val="en-ZA"/>
        </w:rPr>
      </w:pPr>
      <w:r>
        <w:rPr>
          <w:rFonts w:ascii="Arial" w:eastAsia="Calibri" w:hAnsi="Arial" w:cs="Arial"/>
          <w:bCs/>
          <w:sz w:val="28"/>
          <w:szCs w:val="28"/>
          <w:lang w:val="en-ZA"/>
        </w:rPr>
        <w:t>Wasmuch v Jacobs 1983(3) SA 629 (SWA) 633D</w:t>
      </w:r>
    </w:p>
    <w:p w14:paraId="0D52C196" w14:textId="78C64765" w:rsidR="00BF4574" w:rsidRDefault="00BF4574" w:rsidP="00BE4ECA">
      <w:pPr>
        <w:spacing w:line="240" w:lineRule="auto"/>
        <w:ind w:right="-1440"/>
        <w:jc w:val="both"/>
        <w:rPr>
          <w:rFonts w:ascii="Arial" w:eastAsia="Calibri" w:hAnsi="Arial" w:cs="Arial"/>
          <w:bCs/>
          <w:sz w:val="28"/>
          <w:szCs w:val="28"/>
          <w:lang w:val="en-ZA"/>
        </w:rPr>
      </w:pPr>
      <w:r>
        <w:rPr>
          <w:rFonts w:ascii="Arial" w:eastAsia="Calibri" w:hAnsi="Arial" w:cs="Arial"/>
          <w:bCs/>
          <w:sz w:val="28"/>
          <w:szCs w:val="28"/>
          <w:lang w:val="en-ZA"/>
        </w:rPr>
        <w:t>MMC Construction Co. (Pty) Ltd v Southern Lesotho Construction (Pty) Ltd &amp;Others</w:t>
      </w:r>
    </w:p>
    <w:p w14:paraId="7336D0D9" w14:textId="40EF1957" w:rsidR="00B63A31" w:rsidRDefault="00B63A31" w:rsidP="00BE4ECA">
      <w:pPr>
        <w:spacing w:line="240" w:lineRule="auto"/>
        <w:ind w:right="-1440"/>
        <w:jc w:val="both"/>
        <w:rPr>
          <w:rFonts w:ascii="Arial" w:eastAsia="Calibri" w:hAnsi="Arial" w:cs="Arial"/>
          <w:bCs/>
          <w:sz w:val="28"/>
          <w:szCs w:val="28"/>
          <w:lang w:val="en-ZA"/>
        </w:rPr>
      </w:pPr>
      <w:r>
        <w:rPr>
          <w:rFonts w:ascii="Arial" w:eastAsia="Calibri" w:hAnsi="Arial" w:cs="Arial"/>
          <w:bCs/>
          <w:sz w:val="28"/>
          <w:szCs w:val="28"/>
          <w:lang w:val="en-ZA"/>
        </w:rPr>
        <w:t xml:space="preserve">(CIV)1/2005 [2005] LSCA 5 (20 April 2005) </w:t>
      </w:r>
    </w:p>
    <w:p w14:paraId="69ADE9B2" w14:textId="6FE7C40A" w:rsidR="00BF4574" w:rsidRDefault="00BF4574" w:rsidP="00E42A05">
      <w:pPr>
        <w:spacing w:line="360" w:lineRule="auto"/>
        <w:ind w:right="-1440"/>
        <w:jc w:val="both"/>
        <w:rPr>
          <w:rFonts w:ascii="Arial" w:eastAsia="Calibri" w:hAnsi="Arial" w:cs="Arial"/>
          <w:bCs/>
          <w:sz w:val="28"/>
          <w:szCs w:val="28"/>
          <w:lang w:val="en-ZA"/>
        </w:rPr>
      </w:pPr>
      <w:r>
        <w:rPr>
          <w:rFonts w:ascii="Arial" w:eastAsia="Calibri" w:hAnsi="Arial" w:cs="Arial"/>
          <w:bCs/>
          <w:sz w:val="28"/>
          <w:szCs w:val="28"/>
          <w:lang w:val="en-ZA"/>
        </w:rPr>
        <w:t xml:space="preserve">Raffles v </w:t>
      </w:r>
      <w:proofErr w:type="spellStart"/>
      <w:r>
        <w:rPr>
          <w:rFonts w:ascii="Arial" w:eastAsia="Calibri" w:hAnsi="Arial" w:cs="Arial"/>
          <w:bCs/>
          <w:sz w:val="28"/>
          <w:szCs w:val="28"/>
          <w:lang w:val="en-ZA"/>
        </w:rPr>
        <w:t>Wichelhaus</w:t>
      </w:r>
      <w:proofErr w:type="spellEnd"/>
      <w:r>
        <w:rPr>
          <w:rFonts w:ascii="Arial" w:eastAsia="Calibri" w:hAnsi="Arial" w:cs="Arial"/>
          <w:bCs/>
          <w:sz w:val="28"/>
          <w:szCs w:val="28"/>
          <w:lang w:val="en-ZA"/>
        </w:rPr>
        <w:t xml:space="preserve"> 2,</w:t>
      </w:r>
      <w:r w:rsidR="0052725E">
        <w:rPr>
          <w:rFonts w:ascii="Arial" w:eastAsia="Calibri" w:hAnsi="Arial" w:cs="Arial"/>
          <w:bCs/>
          <w:sz w:val="28"/>
          <w:szCs w:val="28"/>
          <w:lang w:val="en-ZA"/>
        </w:rPr>
        <w:t xml:space="preserve"> </w:t>
      </w:r>
      <w:r>
        <w:rPr>
          <w:rFonts w:ascii="Arial" w:eastAsia="Calibri" w:hAnsi="Arial" w:cs="Arial"/>
          <w:bCs/>
          <w:sz w:val="28"/>
          <w:szCs w:val="28"/>
          <w:lang w:val="en-ZA"/>
        </w:rPr>
        <w:t>Hurl</w:t>
      </w:r>
      <w:r w:rsidR="0052725E">
        <w:rPr>
          <w:rFonts w:ascii="Arial" w:eastAsia="Calibri" w:hAnsi="Arial" w:cs="Arial"/>
          <w:bCs/>
          <w:sz w:val="28"/>
          <w:szCs w:val="28"/>
          <w:lang w:val="en-ZA"/>
        </w:rPr>
        <w:t xml:space="preserve"> </w:t>
      </w:r>
      <w:r>
        <w:rPr>
          <w:rFonts w:ascii="Arial" w:eastAsia="Calibri" w:hAnsi="Arial" w:cs="Arial"/>
          <w:bCs/>
          <w:sz w:val="28"/>
          <w:szCs w:val="28"/>
          <w:lang w:val="en-ZA"/>
        </w:rPr>
        <w:t>&amp; C 906 (1864)</w:t>
      </w:r>
      <w:r w:rsidR="008F03D0">
        <w:rPr>
          <w:rFonts w:ascii="Arial" w:eastAsia="Calibri" w:hAnsi="Arial" w:cs="Arial"/>
          <w:bCs/>
          <w:sz w:val="28"/>
          <w:szCs w:val="28"/>
          <w:lang w:val="en-ZA"/>
        </w:rPr>
        <w:t>.</w:t>
      </w:r>
    </w:p>
    <w:p w14:paraId="4F0EF883" w14:textId="54426149" w:rsidR="00BF4574" w:rsidRDefault="00BF4574" w:rsidP="00E42A05">
      <w:pPr>
        <w:spacing w:line="360" w:lineRule="auto"/>
        <w:ind w:right="-1440"/>
        <w:jc w:val="both"/>
        <w:rPr>
          <w:rFonts w:ascii="Arial" w:eastAsia="Calibri" w:hAnsi="Arial" w:cs="Arial"/>
          <w:bCs/>
          <w:sz w:val="28"/>
          <w:szCs w:val="28"/>
          <w:lang w:val="en-ZA"/>
        </w:rPr>
      </w:pPr>
      <w:r>
        <w:rPr>
          <w:rFonts w:ascii="Arial" w:eastAsia="Calibri" w:hAnsi="Arial" w:cs="Arial"/>
          <w:bCs/>
          <w:sz w:val="28"/>
          <w:szCs w:val="28"/>
          <w:lang w:val="en-ZA"/>
        </w:rPr>
        <w:t>Rodolph v Lyons 1930 TPD 85 91</w:t>
      </w:r>
    </w:p>
    <w:p w14:paraId="4F67E2D5" w14:textId="4FDE2CAA" w:rsidR="00037663" w:rsidRPr="00396B56" w:rsidRDefault="00BF4574" w:rsidP="00396B56">
      <w:pPr>
        <w:spacing w:line="360" w:lineRule="auto"/>
        <w:ind w:right="-1440"/>
        <w:jc w:val="both"/>
        <w:rPr>
          <w:rFonts w:ascii="Arial" w:eastAsia="Calibri" w:hAnsi="Arial" w:cs="Arial"/>
          <w:bCs/>
          <w:sz w:val="28"/>
          <w:szCs w:val="28"/>
          <w:lang w:val="en-ZA"/>
        </w:rPr>
      </w:pPr>
      <w:r>
        <w:rPr>
          <w:rFonts w:ascii="Arial" w:eastAsia="Calibri" w:hAnsi="Arial" w:cs="Arial"/>
          <w:bCs/>
          <w:sz w:val="28"/>
          <w:szCs w:val="28"/>
          <w:lang w:val="en-ZA"/>
        </w:rPr>
        <w:t xml:space="preserve">Wells v </w:t>
      </w:r>
      <w:proofErr w:type="spellStart"/>
      <w:r>
        <w:rPr>
          <w:rFonts w:ascii="Arial" w:eastAsia="Calibri" w:hAnsi="Arial" w:cs="Arial"/>
          <w:bCs/>
          <w:sz w:val="28"/>
          <w:szCs w:val="28"/>
          <w:lang w:val="en-ZA"/>
        </w:rPr>
        <w:t>Devani</w:t>
      </w:r>
      <w:proofErr w:type="spellEnd"/>
      <w:r>
        <w:rPr>
          <w:rFonts w:ascii="Arial" w:eastAsia="Calibri" w:hAnsi="Arial" w:cs="Arial"/>
          <w:bCs/>
          <w:sz w:val="28"/>
          <w:szCs w:val="28"/>
          <w:lang w:val="en-ZA"/>
        </w:rPr>
        <w:t xml:space="preserve"> -2019 UKSC 4</w:t>
      </w:r>
    </w:p>
    <w:p w14:paraId="2026B0EA" w14:textId="1A4475CC" w:rsidR="00037663" w:rsidRPr="00A360A8" w:rsidRDefault="00037663" w:rsidP="00037663">
      <w:pPr>
        <w:spacing w:after="0" w:line="360" w:lineRule="auto"/>
        <w:rPr>
          <w:rFonts w:ascii="Arial" w:eastAsia="Calibri" w:hAnsi="Arial" w:cs="Arial"/>
          <w:sz w:val="28"/>
          <w:szCs w:val="28"/>
          <w:u w:val="single"/>
          <w:lang w:val="en-ZA"/>
        </w:rPr>
      </w:pPr>
      <w:r w:rsidRPr="00A360A8">
        <w:rPr>
          <w:rFonts w:ascii="Arial" w:eastAsia="Calibri" w:hAnsi="Arial" w:cs="Arial"/>
          <w:sz w:val="28"/>
          <w:szCs w:val="28"/>
          <w:u w:val="single"/>
          <w:lang w:val="en-ZA"/>
        </w:rPr>
        <w:t>BOOKS:</w:t>
      </w:r>
    </w:p>
    <w:p w14:paraId="075DB4C9" w14:textId="77777777" w:rsidR="00037663" w:rsidRDefault="00037663" w:rsidP="00037663">
      <w:pPr>
        <w:spacing w:after="0" w:line="360" w:lineRule="auto"/>
        <w:ind w:left="720" w:hanging="720"/>
        <w:jc w:val="both"/>
        <w:rPr>
          <w:rFonts w:ascii="Arial" w:eastAsia="Calibri" w:hAnsi="Arial" w:cs="Arial"/>
          <w:sz w:val="28"/>
          <w:szCs w:val="28"/>
          <w:lang w:val="en-ZA"/>
        </w:rPr>
      </w:pPr>
      <w:r>
        <w:rPr>
          <w:rFonts w:ascii="Arial" w:eastAsia="Calibri" w:hAnsi="Arial" w:cs="Arial"/>
          <w:sz w:val="28"/>
          <w:szCs w:val="28"/>
          <w:lang w:val="en-ZA"/>
        </w:rPr>
        <w:t>The Law of Contract in South Africa 5</w:t>
      </w:r>
      <w:r w:rsidRPr="001C1EEF">
        <w:rPr>
          <w:rFonts w:ascii="Arial" w:eastAsia="Calibri" w:hAnsi="Arial" w:cs="Arial"/>
          <w:sz w:val="28"/>
          <w:szCs w:val="28"/>
          <w:vertAlign w:val="superscript"/>
          <w:lang w:val="en-ZA"/>
        </w:rPr>
        <w:t>th</w:t>
      </w:r>
      <w:r>
        <w:rPr>
          <w:rFonts w:ascii="Arial" w:eastAsia="Calibri" w:hAnsi="Arial" w:cs="Arial"/>
          <w:sz w:val="28"/>
          <w:szCs w:val="28"/>
          <w:lang w:val="en-ZA"/>
        </w:rPr>
        <w:t xml:space="preserve"> Edition</w:t>
      </w:r>
    </w:p>
    <w:p w14:paraId="6F90C6C7" w14:textId="215236B3" w:rsidR="00037663" w:rsidRDefault="00037663" w:rsidP="00BE4ECA">
      <w:pPr>
        <w:spacing w:after="0" w:line="240" w:lineRule="auto"/>
        <w:jc w:val="center"/>
        <w:rPr>
          <w:rFonts w:ascii="Arial" w:eastAsia="Calibri" w:hAnsi="Arial" w:cs="Arial"/>
          <w:b/>
          <w:sz w:val="28"/>
          <w:szCs w:val="28"/>
          <w:u w:val="single"/>
          <w:lang w:val="en-ZA"/>
        </w:rPr>
      </w:pPr>
    </w:p>
    <w:p w14:paraId="6A0924E0" w14:textId="77777777" w:rsidR="00396B56" w:rsidRDefault="00396B56" w:rsidP="00BE4ECA">
      <w:pPr>
        <w:spacing w:after="0" w:line="240" w:lineRule="auto"/>
        <w:jc w:val="center"/>
        <w:rPr>
          <w:rFonts w:ascii="Arial" w:eastAsia="Calibri" w:hAnsi="Arial" w:cs="Arial"/>
          <w:b/>
          <w:sz w:val="28"/>
          <w:szCs w:val="28"/>
          <w:u w:val="single"/>
          <w:lang w:val="en-ZA"/>
        </w:rPr>
      </w:pPr>
    </w:p>
    <w:p w14:paraId="44D54C52" w14:textId="45DDC71F" w:rsidR="0058401A" w:rsidRPr="0058401A" w:rsidRDefault="0058401A" w:rsidP="0058401A">
      <w:pPr>
        <w:spacing w:after="0" w:line="240" w:lineRule="auto"/>
        <w:jc w:val="both"/>
        <w:rPr>
          <w:rFonts w:ascii="Arial" w:eastAsia="Calibri" w:hAnsi="Arial" w:cs="Arial"/>
          <w:i/>
          <w:iCs/>
          <w:sz w:val="28"/>
          <w:szCs w:val="28"/>
          <w:lang w:val="en-ZA"/>
        </w:rPr>
      </w:pPr>
    </w:p>
    <w:p w14:paraId="682CC83A" w14:textId="77777777" w:rsidR="0058401A" w:rsidRDefault="0058401A" w:rsidP="00655A93">
      <w:pPr>
        <w:spacing w:after="0" w:line="240" w:lineRule="auto"/>
        <w:jc w:val="center"/>
        <w:rPr>
          <w:rFonts w:ascii="Arial" w:eastAsia="Calibri" w:hAnsi="Arial" w:cs="Arial"/>
          <w:b/>
          <w:sz w:val="28"/>
          <w:szCs w:val="28"/>
          <w:u w:val="single"/>
          <w:lang w:val="en-ZA"/>
        </w:rPr>
      </w:pPr>
    </w:p>
    <w:p w14:paraId="3912AA39" w14:textId="42D1A1B1" w:rsidR="00655A93" w:rsidRPr="00655A93" w:rsidRDefault="00655A93" w:rsidP="00655A93">
      <w:pPr>
        <w:spacing w:after="0" w:line="240" w:lineRule="auto"/>
        <w:rPr>
          <w:rFonts w:ascii="Arial" w:eastAsia="Calibri" w:hAnsi="Arial" w:cs="Arial"/>
          <w:bCs/>
          <w:i/>
          <w:iCs/>
          <w:sz w:val="28"/>
          <w:szCs w:val="28"/>
          <w:lang w:val="en-ZA"/>
        </w:rPr>
      </w:pPr>
    </w:p>
    <w:p w14:paraId="07591569" w14:textId="77777777" w:rsidR="00396B56" w:rsidRDefault="00396B56" w:rsidP="00E42A05">
      <w:pPr>
        <w:spacing w:line="360" w:lineRule="auto"/>
        <w:ind w:right="-1440"/>
        <w:jc w:val="both"/>
        <w:rPr>
          <w:rFonts w:ascii="Arial" w:eastAsia="Calibri" w:hAnsi="Arial" w:cs="Arial"/>
          <w:b/>
          <w:sz w:val="28"/>
          <w:szCs w:val="28"/>
          <w:lang w:val="en-ZA"/>
        </w:rPr>
      </w:pPr>
    </w:p>
    <w:p w14:paraId="5FC1C850" w14:textId="77777777" w:rsidR="00396B56" w:rsidRDefault="00396B56" w:rsidP="00E42A05">
      <w:pPr>
        <w:spacing w:line="360" w:lineRule="auto"/>
        <w:ind w:right="-1440"/>
        <w:jc w:val="both"/>
        <w:rPr>
          <w:rFonts w:ascii="Arial" w:eastAsia="Calibri" w:hAnsi="Arial" w:cs="Arial"/>
          <w:b/>
          <w:sz w:val="28"/>
          <w:szCs w:val="28"/>
          <w:lang w:val="en-ZA"/>
        </w:rPr>
      </w:pPr>
    </w:p>
    <w:p w14:paraId="6704FCAC" w14:textId="77777777" w:rsidR="00396B56" w:rsidRDefault="00396B56" w:rsidP="00E42A05">
      <w:pPr>
        <w:spacing w:line="360" w:lineRule="auto"/>
        <w:ind w:right="-1440"/>
        <w:jc w:val="both"/>
        <w:rPr>
          <w:rFonts w:ascii="Arial" w:eastAsia="Calibri" w:hAnsi="Arial" w:cs="Arial"/>
          <w:b/>
          <w:sz w:val="28"/>
          <w:szCs w:val="28"/>
          <w:lang w:val="en-ZA"/>
        </w:rPr>
      </w:pPr>
    </w:p>
    <w:p w14:paraId="405EACE1" w14:textId="77777777" w:rsidR="006910FC" w:rsidRDefault="006910FC" w:rsidP="00E42A05">
      <w:pPr>
        <w:spacing w:line="360" w:lineRule="auto"/>
        <w:ind w:right="-1440"/>
        <w:jc w:val="both"/>
        <w:rPr>
          <w:rFonts w:ascii="Arial" w:eastAsia="Calibri" w:hAnsi="Arial" w:cs="Arial"/>
          <w:b/>
          <w:sz w:val="28"/>
          <w:szCs w:val="28"/>
          <w:lang w:val="en-ZA"/>
        </w:rPr>
      </w:pPr>
    </w:p>
    <w:p w14:paraId="29D04253" w14:textId="77777777" w:rsidR="006910FC" w:rsidRDefault="006910FC" w:rsidP="00E42A05">
      <w:pPr>
        <w:spacing w:line="360" w:lineRule="auto"/>
        <w:ind w:right="-1440"/>
        <w:jc w:val="both"/>
        <w:rPr>
          <w:rFonts w:ascii="Arial" w:eastAsia="Calibri" w:hAnsi="Arial" w:cs="Arial"/>
          <w:b/>
          <w:sz w:val="28"/>
          <w:szCs w:val="28"/>
          <w:lang w:val="en-ZA"/>
        </w:rPr>
      </w:pPr>
    </w:p>
    <w:p w14:paraId="0545B22B" w14:textId="77777777" w:rsidR="006910FC" w:rsidRDefault="006910FC" w:rsidP="00E42A05">
      <w:pPr>
        <w:spacing w:line="360" w:lineRule="auto"/>
        <w:ind w:right="-1440"/>
        <w:jc w:val="both"/>
        <w:rPr>
          <w:rFonts w:ascii="Arial" w:eastAsia="Calibri" w:hAnsi="Arial" w:cs="Arial"/>
          <w:b/>
          <w:sz w:val="28"/>
          <w:szCs w:val="28"/>
          <w:lang w:val="en-ZA"/>
        </w:rPr>
      </w:pPr>
    </w:p>
    <w:p w14:paraId="56944B1B" w14:textId="77777777" w:rsidR="006910FC" w:rsidRDefault="006910FC" w:rsidP="00E42A05">
      <w:pPr>
        <w:spacing w:line="360" w:lineRule="auto"/>
        <w:ind w:right="-1440"/>
        <w:jc w:val="both"/>
        <w:rPr>
          <w:rFonts w:ascii="Arial" w:eastAsia="Calibri" w:hAnsi="Arial" w:cs="Arial"/>
          <w:b/>
          <w:sz w:val="28"/>
          <w:szCs w:val="28"/>
          <w:lang w:val="en-ZA"/>
        </w:rPr>
      </w:pPr>
    </w:p>
    <w:p w14:paraId="0194B63D" w14:textId="2804AE02" w:rsidR="00601459" w:rsidRDefault="00A360A8" w:rsidP="00E42A05">
      <w:pPr>
        <w:spacing w:line="360" w:lineRule="auto"/>
        <w:ind w:right="-1440"/>
        <w:jc w:val="both"/>
        <w:rPr>
          <w:rFonts w:ascii="Arial" w:eastAsia="Calibri" w:hAnsi="Arial" w:cs="Arial"/>
          <w:sz w:val="28"/>
          <w:szCs w:val="28"/>
          <w:vertAlign w:val="superscript"/>
          <w:lang w:val="en-ZA"/>
        </w:rPr>
      </w:pPr>
      <w:r w:rsidRPr="00A360A8">
        <w:rPr>
          <w:rFonts w:ascii="Arial" w:eastAsia="Calibri" w:hAnsi="Arial" w:cs="Arial"/>
          <w:b/>
          <w:sz w:val="28"/>
          <w:szCs w:val="28"/>
          <w:lang w:val="en-ZA"/>
        </w:rPr>
        <w:lastRenderedPageBreak/>
        <w:t>[1]</w:t>
      </w:r>
      <w:r w:rsidR="00C236CD">
        <w:rPr>
          <w:rFonts w:ascii="Arial" w:eastAsia="Calibri" w:hAnsi="Arial" w:cs="Arial"/>
          <w:sz w:val="28"/>
          <w:szCs w:val="28"/>
          <w:lang w:val="en-ZA"/>
        </w:rPr>
        <w:t xml:space="preserve"> </w:t>
      </w:r>
      <w:r w:rsidR="00C236CD">
        <w:rPr>
          <w:rFonts w:ascii="Arial" w:eastAsia="Calibri" w:hAnsi="Arial" w:cs="Arial"/>
          <w:sz w:val="28"/>
          <w:szCs w:val="28"/>
          <w:lang w:val="en-ZA"/>
        </w:rPr>
        <w:tab/>
      </w:r>
      <w:r w:rsidR="00566245">
        <w:rPr>
          <w:rFonts w:ascii="Arial" w:eastAsia="Calibri" w:hAnsi="Arial" w:cs="Arial"/>
          <w:sz w:val="28"/>
          <w:szCs w:val="28"/>
          <w:lang w:val="en-ZA"/>
        </w:rPr>
        <w:t>In this matter, two motor vehicles got involved in a collision on the 27</w:t>
      </w:r>
      <w:r w:rsidR="00566245" w:rsidRPr="00566245">
        <w:rPr>
          <w:rFonts w:ascii="Arial" w:eastAsia="Calibri" w:hAnsi="Arial" w:cs="Arial"/>
          <w:sz w:val="28"/>
          <w:szCs w:val="28"/>
          <w:vertAlign w:val="superscript"/>
          <w:lang w:val="en-ZA"/>
        </w:rPr>
        <w:t>th</w:t>
      </w:r>
    </w:p>
    <w:p w14:paraId="4CBF5A60" w14:textId="77777777" w:rsidR="00E42A05" w:rsidRDefault="00601459" w:rsidP="00E42A05">
      <w:pPr>
        <w:spacing w:line="360" w:lineRule="auto"/>
        <w:ind w:left="720" w:right="-1440" w:hanging="720"/>
        <w:jc w:val="both"/>
        <w:rPr>
          <w:rFonts w:ascii="Arial" w:eastAsia="Calibri" w:hAnsi="Arial" w:cs="Arial"/>
          <w:sz w:val="28"/>
          <w:szCs w:val="28"/>
          <w:lang w:val="en-ZA"/>
        </w:rPr>
      </w:pPr>
      <w:r>
        <w:rPr>
          <w:rFonts w:ascii="Arial" w:eastAsia="Calibri" w:hAnsi="Arial" w:cs="Arial"/>
          <w:b/>
          <w:sz w:val="28"/>
          <w:szCs w:val="28"/>
          <w:lang w:val="en-ZA"/>
        </w:rPr>
        <w:tab/>
      </w:r>
      <w:r w:rsidR="00566245">
        <w:rPr>
          <w:rFonts w:ascii="Arial" w:eastAsia="Calibri" w:hAnsi="Arial" w:cs="Arial"/>
          <w:sz w:val="28"/>
          <w:szCs w:val="28"/>
          <w:lang w:val="en-ZA"/>
        </w:rPr>
        <w:t xml:space="preserve">April 2020. It was a Toyota Yaris with registration number AR336 and </w:t>
      </w:r>
    </w:p>
    <w:p w14:paraId="6BD8F87B" w14:textId="1BA9661E" w:rsidR="00601459" w:rsidRDefault="00566245" w:rsidP="00E42A05">
      <w:pPr>
        <w:spacing w:line="360" w:lineRule="auto"/>
        <w:ind w:left="720" w:right="-1440"/>
        <w:jc w:val="both"/>
        <w:rPr>
          <w:rFonts w:ascii="Arial" w:eastAsia="Calibri" w:hAnsi="Arial" w:cs="Arial"/>
          <w:sz w:val="28"/>
          <w:szCs w:val="28"/>
          <w:lang w:val="en-ZA"/>
        </w:rPr>
      </w:pPr>
      <w:r>
        <w:rPr>
          <w:rFonts w:ascii="Arial" w:eastAsia="Calibri" w:hAnsi="Arial" w:cs="Arial"/>
          <w:sz w:val="28"/>
          <w:szCs w:val="28"/>
          <w:lang w:val="en-ZA"/>
        </w:rPr>
        <w:t>a Toyota Fortuner with registration number M0114.</w:t>
      </w:r>
      <w:r w:rsidR="006A47FB">
        <w:rPr>
          <w:rFonts w:ascii="Arial" w:eastAsia="Calibri" w:hAnsi="Arial" w:cs="Arial"/>
          <w:sz w:val="28"/>
          <w:szCs w:val="28"/>
          <w:lang w:val="en-ZA"/>
        </w:rPr>
        <w:t xml:space="preserve"> The former vehicle </w:t>
      </w:r>
    </w:p>
    <w:p w14:paraId="17D3D97C" w14:textId="77777777" w:rsidR="00601459" w:rsidRDefault="00601459" w:rsidP="00E42A05">
      <w:pPr>
        <w:spacing w:line="360" w:lineRule="auto"/>
        <w:ind w:left="720" w:right="-1440" w:hanging="720"/>
        <w:jc w:val="both"/>
        <w:rPr>
          <w:rFonts w:ascii="Arial" w:eastAsia="Calibri" w:hAnsi="Arial" w:cs="Arial"/>
          <w:sz w:val="28"/>
          <w:szCs w:val="28"/>
          <w:lang w:val="en-ZA"/>
        </w:rPr>
      </w:pPr>
      <w:r>
        <w:rPr>
          <w:rFonts w:ascii="Arial" w:eastAsia="Calibri" w:hAnsi="Arial" w:cs="Arial"/>
          <w:sz w:val="28"/>
          <w:szCs w:val="28"/>
          <w:lang w:val="en-ZA"/>
        </w:rPr>
        <w:tab/>
      </w:r>
      <w:r w:rsidR="006A47FB">
        <w:rPr>
          <w:rFonts w:ascii="Arial" w:eastAsia="Calibri" w:hAnsi="Arial" w:cs="Arial"/>
          <w:sz w:val="28"/>
          <w:szCs w:val="28"/>
          <w:lang w:val="en-ZA"/>
        </w:rPr>
        <w:t xml:space="preserve">belonged to the Lesotho Council of NGO’S (LNC). The Applicant was </w:t>
      </w:r>
    </w:p>
    <w:p w14:paraId="58F2EF5D" w14:textId="77777777" w:rsidR="00601459" w:rsidRDefault="00601459" w:rsidP="00E42A05">
      <w:pPr>
        <w:spacing w:line="360" w:lineRule="auto"/>
        <w:ind w:left="720" w:right="-1440" w:hanging="720"/>
        <w:jc w:val="both"/>
        <w:rPr>
          <w:rFonts w:ascii="Arial" w:eastAsia="Calibri" w:hAnsi="Arial" w:cs="Arial"/>
          <w:sz w:val="28"/>
          <w:szCs w:val="28"/>
          <w:lang w:val="en-ZA"/>
        </w:rPr>
      </w:pPr>
      <w:r>
        <w:rPr>
          <w:rFonts w:ascii="Arial" w:eastAsia="Calibri" w:hAnsi="Arial" w:cs="Arial"/>
          <w:sz w:val="28"/>
          <w:szCs w:val="28"/>
          <w:lang w:val="en-ZA"/>
        </w:rPr>
        <w:tab/>
      </w:r>
      <w:r w:rsidR="006A47FB">
        <w:rPr>
          <w:rFonts w:ascii="Arial" w:eastAsia="Calibri" w:hAnsi="Arial" w:cs="Arial"/>
          <w:sz w:val="28"/>
          <w:szCs w:val="28"/>
          <w:lang w:val="en-ZA"/>
        </w:rPr>
        <w:t>at all material times the insurer of the Toyota Yaris.</w:t>
      </w:r>
      <w:r w:rsidR="00204832">
        <w:rPr>
          <w:rFonts w:ascii="Arial" w:eastAsia="Calibri" w:hAnsi="Arial" w:cs="Arial"/>
          <w:sz w:val="28"/>
          <w:szCs w:val="28"/>
          <w:lang w:val="en-ZA"/>
        </w:rPr>
        <w:t xml:space="preserve"> The parties are </w:t>
      </w:r>
    </w:p>
    <w:p w14:paraId="4261E43F" w14:textId="25737F47" w:rsidR="00601459" w:rsidRDefault="00601459" w:rsidP="00E42A05">
      <w:pPr>
        <w:spacing w:line="360" w:lineRule="auto"/>
        <w:ind w:left="720" w:right="-1440" w:hanging="720"/>
        <w:jc w:val="both"/>
        <w:rPr>
          <w:rFonts w:ascii="Arial" w:eastAsia="Calibri" w:hAnsi="Arial" w:cs="Arial"/>
          <w:sz w:val="28"/>
          <w:szCs w:val="28"/>
          <w:lang w:val="en-ZA"/>
        </w:rPr>
      </w:pPr>
      <w:r>
        <w:rPr>
          <w:rFonts w:ascii="Arial" w:eastAsia="Calibri" w:hAnsi="Arial" w:cs="Arial"/>
          <w:sz w:val="28"/>
          <w:szCs w:val="28"/>
          <w:lang w:val="en-ZA"/>
        </w:rPr>
        <w:tab/>
      </w:r>
      <w:r w:rsidR="00204832">
        <w:rPr>
          <w:rFonts w:ascii="Arial" w:eastAsia="Calibri" w:hAnsi="Arial" w:cs="Arial"/>
          <w:sz w:val="28"/>
          <w:szCs w:val="28"/>
          <w:lang w:val="en-ZA"/>
        </w:rPr>
        <w:t xml:space="preserve">pitted against each other over the storage costs after the </w:t>
      </w:r>
      <w:r w:rsidR="00543C4A">
        <w:rPr>
          <w:rFonts w:ascii="Arial" w:eastAsia="Calibri" w:hAnsi="Arial" w:cs="Arial"/>
          <w:sz w:val="28"/>
          <w:szCs w:val="28"/>
          <w:lang w:val="en-ZA"/>
        </w:rPr>
        <w:t>Toyota Fortuner</w:t>
      </w:r>
      <w:r w:rsidR="00204832">
        <w:rPr>
          <w:rFonts w:ascii="Arial" w:eastAsia="Calibri" w:hAnsi="Arial" w:cs="Arial"/>
          <w:sz w:val="28"/>
          <w:szCs w:val="28"/>
          <w:lang w:val="en-ZA"/>
        </w:rPr>
        <w:t xml:space="preserve"> </w:t>
      </w:r>
    </w:p>
    <w:p w14:paraId="08484FB0" w14:textId="77777777" w:rsidR="00E42A05" w:rsidRDefault="00204832" w:rsidP="00E42A05">
      <w:pPr>
        <w:spacing w:line="360" w:lineRule="auto"/>
        <w:ind w:left="720" w:right="-1440"/>
        <w:jc w:val="both"/>
        <w:rPr>
          <w:rFonts w:ascii="Arial" w:eastAsia="Calibri" w:hAnsi="Arial" w:cs="Arial"/>
          <w:sz w:val="28"/>
          <w:szCs w:val="28"/>
          <w:lang w:val="en-ZA"/>
        </w:rPr>
      </w:pPr>
      <w:r>
        <w:rPr>
          <w:rFonts w:ascii="Arial" w:eastAsia="Calibri" w:hAnsi="Arial" w:cs="Arial"/>
          <w:sz w:val="28"/>
          <w:szCs w:val="28"/>
          <w:lang w:val="en-ZA"/>
        </w:rPr>
        <w:t xml:space="preserve">was taken to the </w:t>
      </w:r>
      <w:r w:rsidR="00AD05AE">
        <w:rPr>
          <w:rFonts w:ascii="Arial" w:eastAsia="Calibri" w:hAnsi="Arial" w:cs="Arial"/>
          <w:sz w:val="28"/>
          <w:szCs w:val="28"/>
          <w:lang w:val="en-ZA"/>
        </w:rPr>
        <w:t>Respondent’s</w:t>
      </w:r>
      <w:r>
        <w:rPr>
          <w:rFonts w:ascii="Arial" w:eastAsia="Calibri" w:hAnsi="Arial" w:cs="Arial"/>
          <w:sz w:val="28"/>
          <w:szCs w:val="28"/>
          <w:lang w:val="en-ZA"/>
        </w:rPr>
        <w:t xml:space="preserve"> workshop</w:t>
      </w:r>
      <w:r w:rsidR="00E42A05">
        <w:rPr>
          <w:rFonts w:ascii="Arial" w:eastAsia="Calibri" w:hAnsi="Arial" w:cs="Arial"/>
          <w:sz w:val="28"/>
          <w:szCs w:val="28"/>
          <w:lang w:val="en-ZA"/>
        </w:rPr>
        <w:t xml:space="preserve"> for assessment of it being </w:t>
      </w:r>
    </w:p>
    <w:p w14:paraId="74FF7CEE" w14:textId="77777777" w:rsidR="00655A93" w:rsidRDefault="00E42A05" w:rsidP="00655A93">
      <w:pPr>
        <w:spacing w:line="360" w:lineRule="auto"/>
        <w:ind w:left="720" w:right="-1440"/>
        <w:jc w:val="both"/>
        <w:rPr>
          <w:rFonts w:ascii="Arial" w:eastAsia="Calibri" w:hAnsi="Arial" w:cs="Arial"/>
          <w:sz w:val="28"/>
          <w:szCs w:val="28"/>
          <w:lang w:val="en-ZA"/>
        </w:rPr>
      </w:pPr>
      <w:r>
        <w:rPr>
          <w:rFonts w:ascii="Arial" w:eastAsia="Calibri" w:hAnsi="Arial" w:cs="Arial"/>
          <w:sz w:val="28"/>
          <w:szCs w:val="28"/>
          <w:lang w:val="en-ZA"/>
        </w:rPr>
        <w:t>damaged</w:t>
      </w:r>
      <w:r w:rsidR="00204832">
        <w:rPr>
          <w:rFonts w:ascii="Arial" w:eastAsia="Calibri" w:hAnsi="Arial" w:cs="Arial"/>
          <w:sz w:val="28"/>
          <w:szCs w:val="28"/>
          <w:lang w:val="en-ZA"/>
        </w:rPr>
        <w:t xml:space="preserve">. </w:t>
      </w:r>
    </w:p>
    <w:p w14:paraId="33AD4F82" w14:textId="77777777" w:rsidR="00655A93" w:rsidRDefault="00655A93" w:rsidP="00655A93">
      <w:pPr>
        <w:spacing w:line="360" w:lineRule="auto"/>
        <w:ind w:left="720" w:right="-1440"/>
        <w:jc w:val="both"/>
        <w:rPr>
          <w:rFonts w:ascii="Arial" w:eastAsia="Calibri" w:hAnsi="Arial" w:cs="Arial"/>
          <w:sz w:val="28"/>
          <w:szCs w:val="28"/>
          <w:lang w:val="en-ZA"/>
        </w:rPr>
      </w:pPr>
    </w:p>
    <w:p w14:paraId="56B7EE1D" w14:textId="57F9B797" w:rsidR="00C93B0F" w:rsidRDefault="00655A93" w:rsidP="00655A93">
      <w:pPr>
        <w:spacing w:line="360" w:lineRule="auto"/>
        <w:ind w:right="-1440"/>
        <w:jc w:val="both"/>
        <w:rPr>
          <w:rFonts w:ascii="Arial" w:eastAsia="Calibri" w:hAnsi="Arial" w:cs="Arial"/>
          <w:sz w:val="28"/>
          <w:szCs w:val="28"/>
          <w:lang w:val="en-ZA"/>
        </w:rPr>
      </w:pPr>
      <w:r w:rsidRPr="00655A93">
        <w:rPr>
          <w:rFonts w:ascii="Arial" w:eastAsia="Calibri" w:hAnsi="Arial" w:cs="Arial"/>
          <w:b/>
          <w:bCs/>
          <w:sz w:val="28"/>
          <w:szCs w:val="28"/>
          <w:lang w:val="en-ZA"/>
        </w:rPr>
        <w:t>[2]</w:t>
      </w:r>
      <w:r>
        <w:rPr>
          <w:rFonts w:ascii="Arial" w:eastAsia="Calibri" w:hAnsi="Arial" w:cs="Arial"/>
          <w:sz w:val="28"/>
          <w:szCs w:val="28"/>
          <w:lang w:val="en-ZA"/>
        </w:rPr>
        <w:t xml:space="preserve"> </w:t>
      </w:r>
      <w:r>
        <w:rPr>
          <w:rFonts w:ascii="Arial" w:eastAsia="Calibri" w:hAnsi="Arial" w:cs="Arial"/>
          <w:sz w:val="28"/>
          <w:szCs w:val="28"/>
          <w:lang w:val="en-ZA"/>
        </w:rPr>
        <w:tab/>
      </w:r>
      <w:r w:rsidR="00204832">
        <w:rPr>
          <w:rFonts w:ascii="Arial" w:eastAsia="Calibri" w:hAnsi="Arial" w:cs="Arial"/>
          <w:sz w:val="28"/>
          <w:szCs w:val="28"/>
          <w:lang w:val="en-ZA"/>
        </w:rPr>
        <w:t>This application was lodged on urgent basis by the Applicant</w:t>
      </w:r>
    </w:p>
    <w:p w14:paraId="62CDCEFF" w14:textId="749DB1BD" w:rsidR="00A360A8" w:rsidRPr="00A360A8" w:rsidRDefault="00204832" w:rsidP="00C93B0F">
      <w:pPr>
        <w:spacing w:line="360" w:lineRule="auto"/>
        <w:ind w:left="720" w:right="-1440"/>
        <w:jc w:val="both"/>
        <w:rPr>
          <w:rFonts w:ascii="Arial" w:eastAsia="Calibri" w:hAnsi="Arial" w:cs="Arial"/>
          <w:sz w:val="28"/>
          <w:szCs w:val="28"/>
          <w:lang w:val="en-ZA"/>
        </w:rPr>
      </w:pPr>
      <w:r>
        <w:rPr>
          <w:rFonts w:ascii="Arial" w:eastAsia="Calibri" w:hAnsi="Arial" w:cs="Arial"/>
          <w:sz w:val="28"/>
          <w:szCs w:val="28"/>
          <w:lang w:val="en-ZA"/>
        </w:rPr>
        <w:t xml:space="preserve"> on the 20</w:t>
      </w:r>
      <w:r w:rsidRPr="00204832">
        <w:rPr>
          <w:rFonts w:ascii="Arial" w:eastAsia="Calibri" w:hAnsi="Arial" w:cs="Arial"/>
          <w:sz w:val="28"/>
          <w:szCs w:val="28"/>
          <w:vertAlign w:val="superscript"/>
          <w:lang w:val="en-ZA"/>
        </w:rPr>
        <w:t>th</w:t>
      </w:r>
      <w:r>
        <w:rPr>
          <w:rFonts w:ascii="Arial" w:eastAsia="Calibri" w:hAnsi="Arial" w:cs="Arial"/>
          <w:sz w:val="28"/>
          <w:szCs w:val="28"/>
          <w:lang w:val="en-ZA"/>
        </w:rPr>
        <w:t xml:space="preserve"> July 2020, seeking the following reliefs:</w:t>
      </w:r>
    </w:p>
    <w:p w14:paraId="0C8AF9D0" w14:textId="63F11EA1" w:rsidR="00A360A8" w:rsidRPr="00A360A8" w:rsidRDefault="00A360A8" w:rsidP="00A360A8">
      <w:pPr>
        <w:spacing w:line="360" w:lineRule="auto"/>
        <w:ind w:left="720" w:hanging="720"/>
        <w:jc w:val="both"/>
        <w:rPr>
          <w:rFonts w:ascii="Arial" w:eastAsia="Calibri" w:hAnsi="Arial" w:cs="Arial"/>
          <w:sz w:val="28"/>
          <w:szCs w:val="28"/>
          <w:lang w:val="en-ZA"/>
        </w:rPr>
      </w:pPr>
      <w:r w:rsidRPr="00A360A8">
        <w:rPr>
          <w:rFonts w:ascii="Arial" w:eastAsia="Calibri" w:hAnsi="Arial" w:cs="Arial"/>
          <w:sz w:val="28"/>
          <w:szCs w:val="28"/>
          <w:lang w:val="en-ZA"/>
        </w:rPr>
        <w:t xml:space="preserve"> 1. </w:t>
      </w:r>
      <w:r w:rsidRPr="00A360A8">
        <w:rPr>
          <w:rFonts w:ascii="Arial" w:eastAsia="Calibri" w:hAnsi="Arial" w:cs="Arial"/>
          <w:sz w:val="28"/>
          <w:szCs w:val="28"/>
          <w:lang w:val="en-ZA"/>
        </w:rPr>
        <w:tab/>
        <w:t xml:space="preserve">Dispensing with the rules </w:t>
      </w:r>
      <w:r w:rsidR="009C62EB">
        <w:rPr>
          <w:rFonts w:ascii="Arial" w:eastAsia="Calibri" w:hAnsi="Arial" w:cs="Arial"/>
          <w:sz w:val="28"/>
          <w:szCs w:val="28"/>
          <w:lang w:val="en-ZA"/>
        </w:rPr>
        <w:t>regarding modes and periods of service and dealing with this matter on urgent basis</w:t>
      </w:r>
      <w:r w:rsidRPr="00A360A8">
        <w:rPr>
          <w:rFonts w:ascii="Arial" w:eastAsia="Calibri" w:hAnsi="Arial" w:cs="Arial"/>
          <w:sz w:val="28"/>
          <w:szCs w:val="28"/>
          <w:lang w:val="en-ZA"/>
        </w:rPr>
        <w:t>.</w:t>
      </w:r>
    </w:p>
    <w:p w14:paraId="4A9E46A0" w14:textId="2D5D8ADD" w:rsidR="00A360A8" w:rsidRPr="00A360A8" w:rsidRDefault="00A360A8" w:rsidP="00601459">
      <w:pPr>
        <w:spacing w:line="360" w:lineRule="auto"/>
        <w:jc w:val="both"/>
        <w:rPr>
          <w:rFonts w:ascii="Arial" w:eastAsia="Calibri" w:hAnsi="Arial" w:cs="Arial"/>
          <w:sz w:val="28"/>
          <w:szCs w:val="28"/>
          <w:lang w:val="en-ZA"/>
        </w:rPr>
      </w:pPr>
      <w:r w:rsidRPr="00A360A8">
        <w:rPr>
          <w:rFonts w:ascii="Arial" w:eastAsia="Calibri" w:hAnsi="Arial" w:cs="Arial"/>
          <w:sz w:val="28"/>
          <w:szCs w:val="28"/>
          <w:lang w:val="en-ZA"/>
        </w:rPr>
        <w:t>2.</w:t>
      </w:r>
      <w:r w:rsidR="009C62EB">
        <w:rPr>
          <w:rFonts w:ascii="Arial" w:eastAsia="Calibri" w:hAnsi="Arial" w:cs="Arial"/>
          <w:sz w:val="28"/>
          <w:szCs w:val="28"/>
          <w:lang w:val="en-ZA"/>
        </w:rPr>
        <w:t xml:space="preserve"> </w:t>
      </w:r>
      <w:r w:rsidR="00601459">
        <w:rPr>
          <w:rFonts w:ascii="Arial" w:eastAsia="Calibri" w:hAnsi="Arial" w:cs="Arial"/>
          <w:sz w:val="28"/>
          <w:szCs w:val="28"/>
          <w:lang w:val="en-ZA"/>
        </w:rPr>
        <w:tab/>
      </w:r>
      <w:r w:rsidR="009C62EB">
        <w:rPr>
          <w:rFonts w:ascii="Arial" w:eastAsia="Calibri" w:hAnsi="Arial" w:cs="Arial"/>
          <w:sz w:val="28"/>
          <w:szCs w:val="28"/>
          <w:lang w:val="en-ZA"/>
        </w:rPr>
        <w:t xml:space="preserve">The Respondent shall, against the provision of a security bond in </w:t>
      </w:r>
      <w:r w:rsidR="00601459">
        <w:rPr>
          <w:rFonts w:ascii="Arial" w:eastAsia="Calibri" w:hAnsi="Arial" w:cs="Arial"/>
          <w:sz w:val="28"/>
          <w:szCs w:val="28"/>
          <w:lang w:val="en-ZA"/>
        </w:rPr>
        <w:tab/>
      </w:r>
      <w:r w:rsidR="009C62EB">
        <w:rPr>
          <w:rFonts w:ascii="Arial" w:eastAsia="Calibri" w:hAnsi="Arial" w:cs="Arial"/>
          <w:sz w:val="28"/>
          <w:szCs w:val="28"/>
          <w:lang w:val="en-ZA"/>
        </w:rPr>
        <w:t xml:space="preserve">the </w:t>
      </w:r>
      <w:r w:rsidR="009C62EB">
        <w:rPr>
          <w:rFonts w:ascii="Arial" w:eastAsia="Calibri" w:hAnsi="Arial" w:cs="Arial"/>
          <w:sz w:val="28"/>
          <w:szCs w:val="28"/>
          <w:lang w:val="en-ZA"/>
        </w:rPr>
        <w:tab/>
        <w:t xml:space="preserve">amount of M80,200.00 release the motor vehicle to the </w:t>
      </w:r>
      <w:r w:rsidR="00601459">
        <w:rPr>
          <w:rFonts w:ascii="Arial" w:eastAsia="Calibri" w:hAnsi="Arial" w:cs="Arial"/>
          <w:sz w:val="28"/>
          <w:szCs w:val="28"/>
          <w:lang w:val="en-ZA"/>
        </w:rPr>
        <w:tab/>
      </w:r>
      <w:r w:rsidR="009C62EB">
        <w:rPr>
          <w:rFonts w:ascii="Arial" w:eastAsia="Calibri" w:hAnsi="Arial" w:cs="Arial"/>
          <w:sz w:val="28"/>
          <w:szCs w:val="28"/>
          <w:lang w:val="en-ZA"/>
        </w:rPr>
        <w:t xml:space="preserve">Applicant, </w:t>
      </w:r>
      <w:r w:rsidR="009C62EB">
        <w:rPr>
          <w:rFonts w:ascii="Arial" w:eastAsia="Calibri" w:hAnsi="Arial" w:cs="Arial"/>
          <w:sz w:val="28"/>
          <w:szCs w:val="28"/>
          <w:lang w:val="en-ZA"/>
        </w:rPr>
        <w:tab/>
        <w:t xml:space="preserve">described as: Toyota Fortuner motor vehicle, Vehicle </w:t>
      </w:r>
      <w:r w:rsidR="00601459">
        <w:rPr>
          <w:rFonts w:ascii="Arial" w:eastAsia="Calibri" w:hAnsi="Arial" w:cs="Arial"/>
          <w:sz w:val="28"/>
          <w:szCs w:val="28"/>
          <w:lang w:val="en-ZA"/>
        </w:rPr>
        <w:tab/>
      </w:r>
      <w:r w:rsidR="009C62EB">
        <w:rPr>
          <w:rFonts w:ascii="Arial" w:eastAsia="Calibri" w:hAnsi="Arial" w:cs="Arial"/>
          <w:sz w:val="28"/>
          <w:szCs w:val="28"/>
          <w:lang w:val="en-ZA"/>
        </w:rPr>
        <w:t xml:space="preserve">registration number:RDB625J,VIN:AHTYZ59G608010817,Engine </w:t>
      </w:r>
      <w:r w:rsidR="009C62EB">
        <w:rPr>
          <w:rFonts w:ascii="Arial" w:eastAsia="Calibri" w:hAnsi="Arial" w:cs="Arial"/>
          <w:sz w:val="28"/>
          <w:szCs w:val="28"/>
          <w:lang w:val="en-ZA"/>
        </w:rPr>
        <w:tab/>
        <w:t>number:1KD5019262</w:t>
      </w:r>
      <w:r w:rsidR="00C100D6">
        <w:rPr>
          <w:rFonts w:ascii="Arial" w:eastAsia="Calibri" w:hAnsi="Arial" w:cs="Arial"/>
          <w:sz w:val="28"/>
          <w:szCs w:val="28"/>
          <w:lang w:val="en-ZA"/>
        </w:rPr>
        <w:t>, Registration number M0114.</w:t>
      </w:r>
    </w:p>
    <w:p w14:paraId="35084C74" w14:textId="77777777" w:rsidR="00A360A8" w:rsidRPr="00A360A8" w:rsidRDefault="00A360A8" w:rsidP="00A360A8">
      <w:pPr>
        <w:spacing w:line="360" w:lineRule="auto"/>
        <w:jc w:val="both"/>
        <w:rPr>
          <w:rFonts w:ascii="Arial" w:eastAsia="Calibri" w:hAnsi="Arial" w:cs="Arial"/>
          <w:sz w:val="28"/>
          <w:szCs w:val="28"/>
          <w:lang w:val="en-ZA"/>
        </w:rPr>
      </w:pPr>
    </w:p>
    <w:p w14:paraId="1A69E04D" w14:textId="718452CF" w:rsidR="00A360A8" w:rsidRPr="00C100D6" w:rsidRDefault="00C100D6" w:rsidP="00C100D6">
      <w:pPr>
        <w:pStyle w:val="ListParagraph"/>
        <w:numPr>
          <w:ilvl w:val="0"/>
          <w:numId w:val="2"/>
        </w:numPr>
        <w:spacing w:line="360" w:lineRule="auto"/>
        <w:jc w:val="both"/>
        <w:rPr>
          <w:rFonts w:ascii="Arial" w:eastAsia="Calibri" w:hAnsi="Arial" w:cs="Arial"/>
          <w:sz w:val="28"/>
          <w:szCs w:val="28"/>
          <w:lang w:val="en-ZA"/>
        </w:rPr>
      </w:pPr>
      <w:r>
        <w:rPr>
          <w:rFonts w:ascii="Arial" w:eastAsia="Calibri" w:hAnsi="Arial" w:cs="Arial"/>
          <w:sz w:val="28"/>
          <w:szCs w:val="28"/>
          <w:lang w:val="en-ZA"/>
        </w:rPr>
        <w:t xml:space="preserve">Should the Respondent fail to present the vehicle against receipt of the </w:t>
      </w:r>
      <w:r w:rsidR="00C94EB2">
        <w:rPr>
          <w:rFonts w:ascii="Arial" w:eastAsia="Calibri" w:hAnsi="Arial" w:cs="Arial"/>
          <w:sz w:val="28"/>
          <w:szCs w:val="28"/>
          <w:lang w:val="en-ZA"/>
        </w:rPr>
        <w:t>security bond, the Sheriff of the Court is authorized to attach and remove the vehicle to the premises of the Applicant, which costs shall be borne by the Respondent.</w:t>
      </w:r>
    </w:p>
    <w:p w14:paraId="6ACE9B7F" w14:textId="77777777" w:rsidR="00A360A8" w:rsidRPr="00A360A8" w:rsidRDefault="00A360A8" w:rsidP="00A360A8">
      <w:pPr>
        <w:spacing w:line="360" w:lineRule="auto"/>
        <w:ind w:left="840"/>
        <w:contextualSpacing/>
        <w:jc w:val="both"/>
        <w:rPr>
          <w:rFonts w:ascii="Arial" w:eastAsia="Calibri" w:hAnsi="Arial" w:cs="Arial"/>
          <w:sz w:val="28"/>
          <w:szCs w:val="28"/>
          <w:lang w:val="en-ZA"/>
        </w:rPr>
      </w:pPr>
    </w:p>
    <w:p w14:paraId="133059D1" w14:textId="77747F85" w:rsidR="00A360A8" w:rsidRPr="00C100D6" w:rsidRDefault="00372A34" w:rsidP="00C100D6">
      <w:pPr>
        <w:pStyle w:val="ListParagraph"/>
        <w:numPr>
          <w:ilvl w:val="0"/>
          <w:numId w:val="2"/>
        </w:numPr>
        <w:spacing w:line="360" w:lineRule="auto"/>
        <w:jc w:val="both"/>
        <w:rPr>
          <w:rFonts w:ascii="Arial" w:eastAsia="Calibri" w:hAnsi="Arial" w:cs="Arial"/>
          <w:sz w:val="28"/>
          <w:szCs w:val="28"/>
          <w:lang w:val="en-ZA"/>
        </w:rPr>
      </w:pPr>
      <w:r>
        <w:rPr>
          <w:rFonts w:ascii="Arial" w:eastAsia="Calibri" w:hAnsi="Arial" w:cs="Arial"/>
          <w:sz w:val="28"/>
          <w:szCs w:val="28"/>
          <w:lang w:val="en-ZA"/>
        </w:rPr>
        <w:lastRenderedPageBreak/>
        <w:t xml:space="preserve">The Respondent shall not be entitled to any further costs in respect of the disputed claims from date of service of the Application on the Respondent. </w:t>
      </w:r>
    </w:p>
    <w:p w14:paraId="40F25203" w14:textId="77777777" w:rsidR="00A360A8" w:rsidRPr="00A360A8" w:rsidRDefault="00A360A8" w:rsidP="00A360A8">
      <w:pPr>
        <w:spacing w:line="360" w:lineRule="auto"/>
        <w:ind w:left="840"/>
        <w:contextualSpacing/>
        <w:jc w:val="both"/>
        <w:rPr>
          <w:rFonts w:ascii="Arial" w:eastAsia="Calibri" w:hAnsi="Arial" w:cs="Arial"/>
          <w:sz w:val="28"/>
          <w:szCs w:val="28"/>
          <w:lang w:val="en-ZA"/>
        </w:rPr>
      </w:pPr>
    </w:p>
    <w:p w14:paraId="2B410193" w14:textId="7DA8E470" w:rsidR="00A360A8" w:rsidRPr="00A360A8" w:rsidRDefault="00372A34" w:rsidP="00C100D6">
      <w:pPr>
        <w:numPr>
          <w:ilvl w:val="0"/>
          <w:numId w:val="2"/>
        </w:numPr>
        <w:spacing w:line="360" w:lineRule="auto"/>
        <w:contextualSpacing/>
        <w:jc w:val="both"/>
        <w:rPr>
          <w:rFonts w:ascii="Arial" w:eastAsia="Calibri" w:hAnsi="Arial" w:cs="Arial"/>
          <w:sz w:val="28"/>
          <w:szCs w:val="28"/>
          <w:lang w:val="en-ZA"/>
        </w:rPr>
      </w:pPr>
      <w:r>
        <w:rPr>
          <w:rFonts w:ascii="Arial" w:eastAsia="Calibri" w:hAnsi="Arial" w:cs="Arial"/>
          <w:sz w:val="28"/>
          <w:szCs w:val="28"/>
          <w:lang w:val="en-ZA"/>
        </w:rPr>
        <w:t>Respondent to pay the costs of the application.</w:t>
      </w:r>
    </w:p>
    <w:p w14:paraId="56FE843B" w14:textId="77777777" w:rsidR="00372A34" w:rsidRDefault="00372A34" w:rsidP="00372A34">
      <w:pPr>
        <w:spacing w:line="360" w:lineRule="auto"/>
        <w:ind w:left="720"/>
        <w:contextualSpacing/>
        <w:jc w:val="both"/>
        <w:rPr>
          <w:rFonts w:ascii="Arial" w:eastAsia="Calibri" w:hAnsi="Arial" w:cs="Arial"/>
          <w:sz w:val="28"/>
          <w:szCs w:val="28"/>
          <w:lang w:val="en-ZA"/>
        </w:rPr>
      </w:pPr>
    </w:p>
    <w:p w14:paraId="38A52BB9" w14:textId="7FBCA808" w:rsidR="00A360A8" w:rsidRPr="00C236CD" w:rsidRDefault="00372A34" w:rsidP="00C236CD">
      <w:pPr>
        <w:numPr>
          <w:ilvl w:val="0"/>
          <w:numId w:val="2"/>
        </w:numPr>
        <w:spacing w:line="360" w:lineRule="auto"/>
        <w:contextualSpacing/>
        <w:jc w:val="both"/>
        <w:rPr>
          <w:rFonts w:ascii="Arial" w:eastAsia="Calibri" w:hAnsi="Arial" w:cs="Arial"/>
          <w:sz w:val="28"/>
          <w:szCs w:val="28"/>
          <w:lang w:val="en-ZA"/>
        </w:rPr>
      </w:pPr>
      <w:r>
        <w:rPr>
          <w:rFonts w:ascii="Arial" w:eastAsia="Calibri" w:hAnsi="Arial" w:cs="Arial"/>
          <w:sz w:val="28"/>
          <w:szCs w:val="28"/>
          <w:lang w:val="en-ZA"/>
        </w:rPr>
        <w:t>Further and</w:t>
      </w:r>
      <w:r w:rsidR="007C3F31">
        <w:rPr>
          <w:rFonts w:ascii="Arial" w:eastAsia="Calibri" w:hAnsi="Arial" w:cs="Arial"/>
          <w:sz w:val="28"/>
          <w:szCs w:val="28"/>
          <w:lang w:val="en-ZA"/>
        </w:rPr>
        <w:t>/ or alternative relief.</w:t>
      </w:r>
    </w:p>
    <w:p w14:paraId="6BF67EE2" w14:textId="77777777" w:rsidR="00797328" w:rsidRDefault="00797328" w:rsidP="00A360A8">
      <w:pPr>
        <w:spacing w:line="480" w:lineRule="auto"/>
        <w:ind w:left="720" w:hanging="720"/>
        <w:jc w:val="both"/>
        <w:rPr>
          <w:rFonts w:ascii="Arial" w:eastAsia="Calibri" w:hAnsi="Arial" w:cs="Arial"/>
          <w:b/>
          <w:sz w:val="28"/>
          <w:szCs w:val="28"/>
          <w:lang w:val="en-ZA"/>
        </w:rPr>
      </w:pPr>
    </w:p>
    <w:p w14:paraId="338B3366" w14:textId="33835D23" w:rsidR="00A360A8" w:rsidRPr="00A360A8" w:rsidRDefault="00A360A8" w:rsidP="00A360A8">
      <w:pPr>
        <w:spacing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3</w:t>
      </w:r>
      <w:r w:rsidRPr="00A360A8">
        <w:rPr>
          <w:rFonts w:ascii="Arial" w:eastAsia="Calibri" w:hAnsi="Arial" w:cs="Arial"/>
          <w:b/>
          <w:sz w:val="28"/>
          <w:szCs w:val="28"/>
          <w:lang w:val="en-ZA"/>
        </w:rPr>
        <w:t xml:space="preserve">] </w:t>
      </w:r>
      <w:r w:rsidRPr="00A360A8">
        <w:rPr>
          <w:rFonts w:ascii="Arial" w:eastAsia="Calibri" w:hAnsi="Arial" w:cs="Arial"/>
          <w:b/>
          <w:sz w:val="28"/>
          <w:szCs w:val="28"/>
          <w:lang w:val="en-ZA"/>
        </w:rPr>
        <w:tab/>
      </w:r>
      <w:r w:rsidR="005C6BDE">
        <w:rPr>
          <w:rFonts w:ascii="Arial" w:eastAsia="Calibri" w:hAnsi="Arial" w:cs="Arial"/>
          <w:sz w:val="28"/>
          <w:szCs w:val="28"/>
          <w:lang w:val="en-ZA"/>
        </w:rPr>
        <w:t>This application is opposed. On the 26</w:t>
      </w:r>
      <w:r w:rsidR="005C6BDE" w:rsidRPr="005C6BDE">
        <w:rPr>
          <w:rFonts w:ascii="Arial" w:eastAsia="Calibri" w:hAnsi="Arial" w:cs="Arial"/>
          <w:sz w:val="28"/>
          <w:szCs w:val="28"/>
          <w:vertAlign w:val="superscript"/>
          <w:lang w:val="en-ZA"/>
        </w:rPr>
        <w:t>th</w:t>
      </w:r>
      <w:r w:rsidR="005C6BDE">
        <w:rPr>
          <w:rFonts w:ascii="Arial" w:eastAsia="Calibri" w:hAnsi="Arial" w:cs="Arial"/>
          <w:sz w:val="28"/>
          <w:szCs w:val="28"/>
          <w:lang w:val="en-ZA"/>
        </w:rPr>
        <w:t xml:space="preserve"> October 2021, the matter was argued holistically. No interim reliefs were issued. </w:t>
      </w:r>
    </w:p>
    <w:p w14:paraId="67B0F28A" w14:textId="72006B85" w:rsidR="00A360A8" w:rsidRPr="00F43342" w:rsidRDefault="00A360A8" w:rsidP="00F43342">
      <w:pPr>
        <w:spacing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4</w:t>
      </w:r>
      <w:r w:rsidRPr="00A360A8">
        <w:rPr>
          <w:rFonts w:ascii="Arial" w:eastAsia="Calibri" w:hAnsi="Arial" w:cs="Arial"/>
          <w:b/>
          <w:sz w:val="28"/>
          <w:szCs w:val="28"/>
          <w:lang w:val="en-ZA"/>
        </w:rPr>
        <w:t xml:space="preserve">] </w:t>
      </w:r>
      <w:r w:rsidRPr="00A360A8">
        <w:rPr>
          <w:rFonts w:ascii="Arial" w:eastAsia="Calibri" w:hAnsi="Arial" w:cs="Arial"/>
          <w:b/>
          <w:sz w:val="28"/>
          <w:szCs w:val="28"/>
          <w:lang w:val="en-ZA"/>
        </w:rPr>
        <w:tab/>
      </w:r>
      <w:r w:rsidR="00601459">
        <w:rPr>
          <w:rFonts w:ascii="Arial" w:eastAsia="Calibri" w:hAnsi="Arial" w:cs="Arial"/>
          <w:sz w:val="28"/>
          <w:szCs w:val="28"/>
          <w:lang w:val="en-ZA"/>
        </w:rPr>
        <w:t>The Applicant was at all material times the insurer of the Toyota Yaris motor vehicle</w:t>
      </w:r>
      <w:r w:rsidR="00D358D0">
        <w:rPr>
          <w:rFonts w:ascii="Arial" w:eastAsia="Calibri" w:hAnsi="Arial" w:cs="Arial"/>
          <w:sz w:val="28"/>
          <w:szCs w:val="28"/>
          <w:lang w:val="en-ZA"/>
        </w:rPr>
        <w:t>. On the 27</w:t>
      </w:r>
      <w:r w:rsidR="00D358D0" w:rsidRPr="00D358D0">
        <w:rPr>
          <w:rFonts w:ascii="Arial" w:eastAsia="Calibri" w:hAnsi="Arial" w:cs="Arial"/>
          <w:sz w:val="28"/>
          <w:szCs w:val="28"/>
          <w:vertAlign w:val="superscript"/>
          <w:lang w:val="en-ZA"/>
        </w:rPr>
        <w:t>th</w:t>
      </w:r>
      <w:r w:rsidR="00D358D0">
        <w:rPr>
          <w:rFonts w:ascii="Arial" w:eastAsia="Calibri" w:hAnsi="Arial" w:cs="Arial"/>
          <w:sz w:val="28"/>
          <w:szCs w:val="28"/>
          <w:lang w:val="en-ZA"/>
        </w:rPr>
        <w:t xml:space="preserve"> May 2020 after the collision of the said vehicles, Lesotho Council of the NGO’S </w:t>
      </w:r>
      <w:r w:rsidR="00A91704">
        <w:rPr>
          <w:rFonts w:ascii="Arial" w:eastAsia="Calibri" w:hAnsi="Arial" w:cs="Arial"/>
          <w:sz w:val="28"/>
          <w:szCs w:val="28"/>
          <w:lang w:val="en-ZA"/>
        </w:rPr>
        <w:t>(LNC</w:t>
      </w:r>
      <w:r w:rsidR="00D358D0">
        <w:rPr>
          <w:rFonts w:ascii="Arial" w:eastAsia="Calibri" w:hAnsi="Arial" w:cs="Arial"/>
          <w:sz w:val="28"/>
          <w:szCs w:val="28"/>
          <w:lang w:val="en-ZA"/>
        </w:rPr>
        <w:t xml:space="preserve">) made </w:t>
      </w:r>
      <w:r w:rsidR="00C236CD">
        <w:rPr>
          <w:rFonts w:ascii="Arial" w:eastAsia="Calibri" w:hAnsi="Arial" w:cs="Arial"/>
          <w:sz w:val="28"/>
          <w:szCs w:val="28"/>
          <w:lang w:val="en-ZA"/>
        </w:rPr>
        <w:t>a demand</w:t>
      </w:r>
      <w:r w:rsidR="00D358D0">
        <w:rPr>
          <w:rFonts w:ascii="Arial" w:eastAsia="Calibri" w:hAnsi="Arial" w:cs="Arial"/>
          <w:sz w:val="28"/>
          <w:szCs w:val="28"/>
          <w:lang w:val="en-ZA"/>
        </w:rPr>
        <w:t xml:space="preserve"> for repair or replacement of its vehicle</w:t>
      </w:r>
      <w:r w:rsidR="00A91704">
        <w:rPr>
          <w:rFonts w:ascii="Arial" w:eastAsia="Calibri" w:hAnsi="Arial" w:cs="Arial"/>
          <w:sz w:val="28"/>
          <w:szCs w:val="28"/>
          <w:lang w:val="en-ZA"/>
        </w:rPr>
        <w:t xml:space="preserve"> to the Applicant’s insured vehicle. </w:t>
      </w:r>
      <w:r w:rsidR="00225624">
        <w:rPr>
          <w:rFonts w:ascii="Arial" w:eastAsia="Calibri" w:hAnsi="Arial" w:cs="Arial"/>
          <w:sz w:val="28"/>
          <w:szCs w:val="28"/>
          <w:lang w:val="en-ZA"/>
        </w:rPr>
        <w:t>After the insured vehicle received the demand letter, it forwarded same to the Applicant to handle LNC’s claim.</w:t>
      </w:r>
      <w:r w:rsidR="006F0B3C">
        <w:rPr>
          <w:rFonts w:ascii="Arial" w:eastAsia="Calibri" w:hAnsi="Arial" w:cs="Arial"/>
          <w:sz w:val="28"/>
          <w:szCs w:val="28"/>
          <w:lang w:val="en-ZA"/>
        </w:rPr>
        <w:t xml:space="preserve"> It is common cause that LNC thereafter submitted its claim together with documentation which included a quotation for repairs from the Respondent. What had led to the assessment of damages to the vehicle and storage costs are </w:t>
      </w:r>
      <w:r w:rsidR="00BC3739">
        <w:rPr>
          <w:rFonts w:ascii="Arial" w:eastAsia="Calibri" w:hAnsi="Arial" w:cs="Arial"/>
          <w:sz w:val="28"/>
          <w:szCs w:val="28"/>
          <w:lang w:val="en-ZA"/>
        </w:rPr>
        <w:t>pitted against</w:t>
      </w:r>
      <w:r w:rsidR="006F0B3C">
        <w:rPr>
          <w:rFonts w:ascii="Arial" w:eastAsia="Calibri" w:hAnsi="Arial" w:cs="Arial"/>
          <w:sz w:val="28"/>
          <w:szCs w:val="28"/>
          <w:lang w:val="en-ZA"/>
        </w:rPr>
        <w:t xml:space="preserve">. </w:t>
      </w:r>
      <w:r w:rsidR="00A91704">
        <w:rPr>
          <w:rFonts w:ascii="Arial" w:eastAsia="Calibri" w:hAnsi="Arial" w:cs="Arial"/>
          <w:sz w:val="28"/>
          <w:szCs w:val="28"/>
          <w:lang w:val="en-ZA"/>
        </w:rPr>
        <w:t xml:space="preserve"> </w:t>
      </w:r>
    </w:p>
    <w:p w14:paraId="0A5582C2" w14:textId="6596EEB6" w:rsidR="00A360A8" w:rsidRPr="00F43342" w:rsidRDefault="00A360A8" w:rsidP="00F43342">
      <w:pPr>
        <w:spacing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5</w:t>
      </w:r>
      <w:r w:rsidRPr="00A360A8">
        <w:rPr>
          <w:rFonts w:ascii="Arial" w:eastAsia="Calibri" w:hAnsi="Arial" w:cs="Arial"/>
          <w:b/>
          <w:sz w:val="28"/>
          <w:szCs w:val="28"/>
          <w:lang w:val="en-ZA"/>
        </w:rPr>
        <w:t xml:space="preserve">] </w:t>
      </w:r>
      <w:r w:rsidRPr="00A360A8">
        <w:rPr>
          <w:rFonts w:ascii="Arial" w:eastAsia="Calibri" w:hAnsi="Arial" w:cs="Arial"/>
          <w:b/>
          <w:sz w:val="28"/>
          <w:szCs w:val="28"/>
          <w:lang w:val="en-ZA"/>
        </w:rPr>
        <w:tab/>
      </w:r>
      <w:r w:rsidR="00EC6291">
        <w:rPr>
          <w:rFonts w:ascii="Arial" w:eastAsia="Calibri" w:hAnsi="Arial" w:cs="Arial"/>
          <w:sz w:val="28"/>
          <w:szCs w:val="28"/>
          <w:lang w:val="en-ZA"/>
        </w:rPr>
        <w:t>On the 29</w:t>
      </w:r>
      <w:r w:rsidR="00EC6291" w:rsidRPr="00EC6291">
        <w:rPr>
          <w:rFonts w:ascii="Arial" w:eastAsia="Calibri" w:hAnsi="Arial" w:cs="Arial"/>
          <w:sz w:val="28"/>
          <w:szCs w:val="28"/>
          <w:vertAlign w:val="superscript"/>
          <w:lang w:val="en-ZA"/>
        </w:rPr>
        <w:t>th</w:t>
      </w:r>
      <w:r w:rsidR="00EC6291">
        <w:rPr>
          <w:rFonts w:ascii="Arial" w:eastAsia="Calibri" w:hAnsi="Arial" w:cs="Arial"/>
          <w:sz w:val="28"/>
          <w:szCs w:val="28"/>
          <w:lang w:val="en-ZA"/>
        </w:rPr>
        <w:t xml:space="preserve"> July 2020, the Applicant received a </w:t>
      </w:r>
      <w:r w:rsidR="00310E04">
        <w:rPr>
          <w:rFonts w:ascii="Arial" w:eastAsia="Calibri" w:hAnsi="Arial" w:cs="Arial"/>
          <w:sz w:val="28"/>
          <w:szCs w:val="28"/>
          <w:lang w:val="en-ZA"/>
        </w:rPr>
        <w:t xml:space="preserve">letter from Respondent’s lawyer demanding payment of M4,800.00 for </w:t>
      </w:r>
      <w:r w:rsidR="00310E04">
        <w:rPr>
          <w:rFonts w:ascii="Arial" w:eastAsia="Calibri" w:hAnsi="Arial" w:cs="Arial"/>
          <w:sz w:val="28"/>
          <w:szCs w:val="28"/>
          <w:lang w:val="en-ZA"/>
        </w:rPr>
        <w:lastRenderedPageBreak/>
        <w:t>assessment costs and M48,100.00 (M650.00 per day) in respect of storage costs</w:t>
      </w:r>
      <w:r w:rsidR="00A154B6">
        <w:rPr>
          <w:rFonts w:ascii="Arial" w:eastAsia="Calibri" w:hAnsi="Arial" w:cs="Arial"/>
          <w:sz w:val="28"/>
          <w:szCs w:val="28"/>
          <w:lang w:val="en-ZA"/>
        </w:rPr>
        <w:t xml:space="preserve"> as reflected </w:t>
      </w:r>
      <w:r w:rsidR="00A672FE">
        <w:rPr>
          <w:rFonts w:ascii="Arial" w:eastAsia="Calibri" w:hAnsi="Arial" w:cs="Arial"/>
          <w:sz w:val="28"/>
          <w:szCs w:val="28"/>
          <w:lang w:val="en-ZA"/>
        </w:rPr>
        <w:t>by</w:t>
      </w:r>
      <w:r w:rsidR="00A154B6">
        <w:rPr>
          <w:rFonts w:ascii="Arial" w:eastAsia="Calibri" w:hAnsi="Arial" w:cs="Arial"/>
          <w:sz w:val="28"/>
          <w:szCs w:val="28"/>
          <w:lang w:val="en-ZA"/>
        </w:rPr>
        <w:t xml:space="preserve"> Annexure “B”.</w:t>
      </w:r>
      <w:r w:rsidR="005F5EB4">
        <w:rPr>
          <w:rFonts w:ascii="Arial" w:eastAsia="Calibri" w:hAnsi="Arial" w:cs="Arial"/>
          <w:sz w:val="28"/>
          <w:szCs w:val="28"/>
          <w:lang w:val="en-ZA"/>
        </w:rPr>
        <w:t xml:space="preserve"> The Applicant’s case is that it never requested the Respondent to assess the damaged Toyota </w:t>
      </w:r>
      <w:r w:rsidR="00D13192">
        <w:rPr>
          <w:rFonts w:ascii="Arial" w:eastAsia="Calibri" w:hAnsi="Arial" w:cs="Arial"/>
          <w:sz w:val="28"/>
          <w:szCs w:val="28"/>
          <w:lang w:val="en-ZA"/>
        </w:rPr>
        <w:t>Fortuner</w:t>
      </w:r>
      <w:r w:rsidR="005F5EB4">
        <w:rPr>
          <w:rFonts w:ascii="Arial" w:eastAsia="Calibri" w:hAnsi="Arial" w:cs="Arial"/>
          <w:sz w:val="28"/>
          <w:szCs w:val="28"/>
          <w:lang w:val="en-ZA"/>
        </w:rPr>
        <w:t xml:space="preserve"> and disputed ever having an agreement in relation to storage costs. </w:t>
      </w:r>
      <w:r w:rsidRPr="00A360A8">
        <w:rPr>
          <w:rFonts w:ascii="Arial" w:eastAsia="Calibri" w:hAnsi="Arial" w:cs="Arial"/>
          <w:sz w:val="28"/>
          <w:szCs w:val="28"/>
          <w:lang w:val="en-ZA"/>
        </w:rPr>
        <w:t xml:space="preserve"> </w:t>
      </w:r>
      <w:r w:rsidR="003A7F10">
        <w:rPr>
          <w:rFonts w:ascii="Arial" w:eastAsia="Calibri" w:hAnsi="Arial" w:cs="Arial"/>
          <w:sz w:val="28"/>
          <w:szCs w:val="28"/>
          <w:lang w:val="en-ZA"/>
        </w:rPr>
        <w:t>Therefore,</w:t>
      </w:r>
      <w:r w:rsidR="005F5EB4">
        <w:rPr>
          <w:rFonts w:ascii="Arial" w:eastAsia="Calibri" w:hAnsi="Arial" w:cs="Arial"/>
          <w:sz w:val="28"/>
          <w:szCs w:val="28"/>
          <w:lang w:val="en-ZA"/>
        </w:rPr>
        <w:t xml:space="preserve"> Applicant </w:t>
      </w:r>
      <w:r w:rsidR="003A7F10">
        <w:rPr>
          <w:rFonts w:ascii="Arial" w:eastAsia="Calibri" w:hAnsi="Arial" w:cs="Arial"/>
          <w:sz w:val="28"/>
          <w:szCs w:val="28"/>
          <w:lang w:val="en-ZA"/>
        </w:rPr>
        <w:t>is</w:t>
      </w:r>
      <w:r w:rsidR="005F5EB4">
        <w:rPr>
          <w:rFonts w:ascii="Arial" w:eastAsia="Calibri" w:hAnsi="Arial" w:cs="Arial"/>
          <w:sz w:val="28"/>
          <w:szCs w:val="28"/>
          <w:lang w:val="en-ZA"/>
        </w:rPr>
        <w:t xml:space="preserve"> </w:t>
      </w:r>
      <w:r w:rsidR="003A7F10">
        <w:rPr>
          <w:rFonts w:ascii="Arial" w:eastAsia="Calibri" w:hAnsi="Arial" w:cs="Arial"/>
          <w:sz w:val="28"/>
          <w:szCs w:val="28"/>
          <w:lang w:val="en-ZA"/>
        </w:rPr>
        <w:t xml:space="preserve">asking this </w:t>
      </w:r>
      <w:r w:rsidR="005F5EB4">
        <w:rPr>
          <w:rFonts w:ascii="Arial" w:eastAsia="Calibri" w:hAnsi="Arial" w:cs="Arial"/>
          <w:sz w:val="28"/>
          <w:szCs w:val="28"/>
          <w:lang w:val="en-ZA"/>
        </w:rPr>
        <w:t xml:space="preserve">Court </w:t>
      </w:r>
      <w:r w:rsidR="003A7F10">
        <w:rPr>
          <w:rFonts w:ascii="Arial" w:eastAsia="Calibri" w:hAnsi="Arial" w:cs="Arial"/>
          <w:sz w:val="28"/>
          <w:szCs w:val="28"/>
          <w:lang w:val="en-ZA"/>
        </w:rPr>
        <w:t xml:space="preserve">to order </w:t>
      </w:r>
      <w:r w:rsidR="005F5EB4">
        <w:rPr>
          <w:rFonts w:ascii="Arial" w:eastAsia="Calibri" w:hAnsi="Arial" w:cs="Arial"/>
          <w:sz w:val="28"/>
          <w:szCs w:val="28"/>
          <w:lang w:val="en-ZA"/>
        </w:rPr>
        <w:t>for release of the said vehicle</w:t>
      </w:r>
      <w:r w:rsidR="00D13192">
        <w:rPr>
          <w:rFonts w:ascii="Arial" w:eastAsia="Calibri" w:hAnsi="Arial" w:cs="Arial"/>
          <w:sz w:val="28"/>
          <w:szCs w:val="28"/>
          <w:lang w:val="en-ZA"/>
        </w:rPr>
        <w:t>. Applicant</w:t>
      </w:r>
      <w:r w:rsidR="005F5EB4">
        <w:rPr>
          <w:rFonts w:ascii="Arial" w:eastAsia="Calibri" w:hAnsi="Arial" w:cs="Arial"/>
          <w:sz w:val="28"/>
          <w:szCs w:val="28"/>
          <w:lang w:val="en-ZA"/>
        </w:rPr>
        <w:t xml:space="preserve"> contended</w:t>
      </w:r>
      <w:r w:rsidR="0076092D">
        <w:rPr>
          <w:rFonts w:ascii="Arial" w:eastAsia="Calibri" w:hAnsi="Arial" w:cs="Arial"/>
          <w:sz w:val="28"/>
          <w:szCs w:val="28"/>
          <w:lang w:val="en-ZA"/>
        </w:rPr>
        <w:t xml:space="preserve"> further</w:t>
      </w:r>
      <w:r w:rsidR="005F5EB4">
        <w:rPr>
          <w:rFonts w:ascii="Arial" w:eastAsia="Calibri" w:hAnsi="Arial" w:cs="Arial"/>
          <w:sz w:val="28"/>
          <w:szCs w:val="28"/>
          <w:lang w:val="en-ZA"/>
        </w:rPr>
        <w:t xml:space="preserve"> that Respondent’s conduct in holding </w:t>
      </w:r>
      <w:r w:rsidR="00D13192">
        <w:rPr>
          <w:rFonts w:ascii="Arial" w:eastAsia="Calibri" w:hAnsi="Arial" w:cs="Arial"/>
          <w:sz w:val="28"/>
          <w:szCs w:val="28"/>
          <w:lang w:val="en-ZA"/>
        </w:rPr>
        <w:t>the said vehicle</w:t>
      </w:r>
      <w:r w:rsidR="005F5EB4">
        <w:rPr>
          <w:rFonts w:ascii="Arial" w:eastAsia="Calibri" w:hAnsi="Arial" w:cs="Arial"/>
          <w:sz w:val="28"/>
          <w:szCs w:val="28"/>
          <w:lang w:val="en-ZA"/>
        </w:rPr>
        <w:t xml:space="preserve"> is tantamount to self-help.</w:t>
      </w:r>
      <w:r w:rsidR="002A4791">
        <w:rPr>
          <w:rFonts w:ascii="Arial" w:eastAsia="Calibri" w:hAnsi="Arial" w:cs="Arial"/>
          <w:sz w:val="28"/>
          <w:szCs w:val="28"/>
          <w:lang w:val="en-ZA"/>
        </w:rPr>
        <w:t xml:space="preserve"> Applicant has further offered an amount of M80,200.00 as security bond to avoid escalating of storage costs. </w:t>
      </w:r>
    </w:p>
    <w:p w14:paraId="0D86122A" w14:textId="77777777" w:rsidR="00A360A8" w:rsidRPr="00A360A8" w:rsidRDefault="00A360A8" w:rsidP="00A360A8">
      <w:pPr>
        <w:spacing w:line="360" w:lineRule="auto"/>
        <w:jc w:val="both"/>
        <w:rPr>
          <w:rFonts w:ascii="Arial" w:eastAsia="Calibri" w:hAnsi="Arial" w:cs="Arial"/>
          <w:b/>
          <w:sz w:val="28"/>
          <w:szCs w:val="28"/>
          <w:lang w:val="en-ZA"/>
        </w:rPr>
      </w:pPr>
    </w:p>
    <w:p w14:paraId="49E42AE2" w14:textId="0334BEB5" w:rsidR="00A360A8" w:rsidRPr="00AC186B" w:rsidRDefault="00A360A8" w:rsidP="00AC186B">
      <w:pPr>
        <w:spacing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6</w:t>
      </w:r>
      <w:r w:rsidRPr="00A360A8">
        <w:rPr>
          <w:rFonts w:ascii="Arial" w:eastAsia="Calibri" w:hAnsi="Arial" w:cs="Arial"/>
          <w:b/>
          <w:sz w:val="28"/>
          <w:szCs w:val="28"/>
          <w:lang w:val="en-ZA"/>
        </w:rPr>
        <w:t xml:space="preserve">] </w:t>
      </w:r>
      <w:r w:rsidRPr="00A360A8">
        <w:rPr>
          <w:rFonts w:ascii="Arial" w:eastAsia="Calibri" w:hAnsi="Arial" w:cs="Arial"/>
          <w:b/>
          <w:sz w:val="28"/>
          <w:szCs w:val="28"/>
          <w:lang w:val="en-ZA"/>
        </w:rPr>
        <w:tab/>
      </w:r>
      <w:r w:rsidR="0040796B">
        <w:rPr>
          <w:rFonts w:ascii="Arial" w:eastAsia="Calibri" w:hAnsi="Arial" w:cs="Arial"/>
          <w:bCs/>
          <w:sz w:val="28"/>
          <w:szCs w:val="28"/>
          <w:lang w:val="en-ZA"/>
        </w:rPr>
        <w:t xml:space="preserve">On the other hand, Respondent’s argument is that, the Toyota Fortuner was </w:t>
      </w:r>
      <w:r w:rsidR="0040796B">
        <w:rPr>
          <w:rFonts w:ascii="Arial" w:eastAsia="Calibri" w:hAnsi="Arial" w:cs="Arial"/>
          <w:sz w:val="28"/>
          <w:szCs w:val="28"/>
          <w:lang w:val="en-ZA"/>
        </w:rPr>
        <w:t xml:space="preserve"> brought into its workshop on the 19</w:t>
      </w:r>
      <w:r w:rsidR="0040796B" w:rsidRPr="0040796B">
        <w:rPr>
          <w:rFonts w:ascii="Arial" w:eastAsia="Calibri" w:hAnsi="Arial" w:cs="Arial"/>
          <w:sz w:val="28"/>
          <w:szCs w:val="28"/>
          <w:vertAlign w:val="superscript"/>
          <w:lang w:val="en-ZA"/>
        </w:rPr>
        <w:t>th</w:t>
      </w:r>
      <w:r w:rsidR="0040796B">
        <w:rPr>
          <w:rFonts w:ascii="Arial" w:eastAsia="Calibri" w:hAnsi="Arial" w:cs="Arial"/>
          <w:sz w:val="28"/>
          <w:szCs w:val="28"/>
          <w:lang w:val="en-ZA"/>
        </w:rPr>
        <w:t xml:space="preserve"> May 2021 by one </w:t>
      </w:r>
      <w:r w:rsidR="00ED387C">
        <w:rPr>
          <w:rFonts w:ascii="Arial" w:eastAsia="Calibri" w:hAnsi="Arial" w:cs="Arial"/>
          <w:sz w:val="28"/>
          <w:szCs w:val="28"/>
          <w:lang w:val="en-ZA"/>
        </w:rPr>
        <w:t xml:space="preserve"> </w:t>
      </w:r>
      <w:r w:rsidR="00A91FFA">
        <w:rPr>
          <w:rFonts w:ascii="Arial" w:eastAsia="Calibri" w:hAnsi="Arial" w:cs="Arial"/>
          <w:sz w:val="28"/>
          <w:szCs w:val="28"/>
          <w:lang w:val="en-ZA"/>
        </w:rPr>
        <w:t>Vusi</w:t>
      </w:r>
      <w:r w:rsidR="00ED387C">
        <w:rPr>
          <w:rFonts w:ascii="Arial" w:eastAsia="Calibri" w:hAnsi="Arial" w:cs="Arial"/>
          <w:sz w:val="28"/>
          <w:szCs w:val="28"/>
          <w:lang w:val="en-ZA"/>
        </w:rPr>
        <w:t xml:space="preserve"> Matsoso </w:t>
      </w:r>
      <w:r w:rsidR="0040796B">
        <w:rPr>
          <w:rFonts w:ascii="Arial" w:eastAsia="Calibri" w:hAnsi="Arial" w:cs="Arial"/>
          <w:sz w:val="28"/>
          <w:szCs w:val="28"/>
          <w:lang w:val="en-ZA"/>
        </w:rPr>
        <w:t>and that the Applicant was not present at the time</w:t>
      </w:r>
      <w:r w:rsidR="00F17BCE">
        <w:rPr>
          <w:rFonts w:ascii="Arial" w:eastAsia="Calibri" w:hAnsi="Arial" w:cs="Arial"/>
          <w:sz w:val="28"/>
          <w:szCs w:val="28"/>
          <w:lang w:val="en-ZA"/>
        </w:rPr>
        <w:t xml:space="preserve"> the vehicle was taken to the workshop, he therefore has no knowledge of what had transpired</w:t>
      </w:r>
      <w:r w:rsidR="0040796B">
        <w:rPr>
          <w:rFonts w:ascii="Arial" w:eastAsia="Calibri" w:hAnsi="Arial" w:cs="Arial"/>
          <w:sz w:val="28"/>
          <w:szCs w:val="28"/>
          <w:lang w:val="en-ZA"/>
        </w:rPr>
        <w:t xml:space="preserve">. It is Respondent’s case that, the parties </w:t>
      </w:r>
      <w:r w:rsidR="00F17BCE">
        <w:rPr>
          <w:rFonts w:ascii="Arial" w:eastAsia="Calibri" w:hAnsi="Arial" w:cs="Arial"/>
          <w:sz w:val="28"/>
          <w:szCs w:val="28"/>
          <w:lang w:val="en-ZA"/>
        </w:rPr>
        <w:t xml:space="preserve">had </w:t>
      </w:r>
      <w:r w:rsidR="0040796B">
        <w:rPr>
          <w:rFonts w:ascii="Arial" w:eastAsia="Calibri" w:hAnsi="Arial" w:cs="Arial"/>
          <w:sz w:val="28"/>
          <w:szCs w:val="28"/>
          <w:lang w:val="en-ZA"/>
        </w:rPr>
        <w:t>entered into an agreement which was verbal relating to the assessment of damaged Toyota Fortuner as wel</w:t>
      </w:r>
      <w:r w:rsidR="00AC186B">
        <w:rPr>
          <w:rFonts w:ascii="Arial" w:eastAsia="Calibri" w:hAnsi="Arial" w:cs="Arial"/>
          <w:sz w:val="28"/>
          <w:szCs w:val="28"/>
          <w:lang w:val="en-ZA"/>
        </w:rPr>
        <w:t>l.</w:t>
      </w:r>
    </w:p>
    <w:p w14:paraId="514DFCA3" w14:textId="77777777" w:rsidR="00A360A8" w:rsidRPr="00A360A8" w:rsidRDefault="00A360A8" w:rsidP="00A360A8">
      <w:pPr>
        <w:spacing w:line="480" w:lineRule="auto"/>
        <w:jc w:val="both"/>
        <w:rPr>
          <w:rFonts w:ascii="Arial" w:eastAsia="Calibri" w:hAnsi="Arial" w:cs="Arial"/>
          <w:b/>
          <w:sz w:val="28"/>
          <w:szCs w:val="28"/>
          <w:lang w:val="en-ZA"/>
        </w:rPr>
      </w:pPr>
    </w:p>
    <w:p w14:paraId="37E1DF91" w14:textId="36C68D77" w:rsidR="00A360A8" w:rsidRDefault="00A360A8" w:rsidP="00A360A8">
      <w:pPr>
        <w:spacing w:after="0" w:line="480" w:lineRule="auto"/>
        <w:ind w:left="720" w:hanging="720"/>
        <w:jc w:val="both"/>
        <w:rPr>
          <w:rFonts w:ascii="Arial" w:eastAsia="Calibri" w:hAnsi="Arial" w:cs="Arial"/>
          <w:b/>
          <w:bCs/>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7</w:t>
      </w:r>
      <w:r w:rsidRPr="00A360A8">
        <w:rPr>
          <w:rFonts w:ascii="Arial" w:eastAsia="Calibri" w:hAnsi="Arial" w:cs="Arial"/>
          <w:b/>
          <w:sz w:val="28"/>
          <w:szCs w:val="28"/>
          <w:lang w:val="en-ZA"/>
        </w:rPr>
        <w:t xml:space="preserve">] </w:t>
      </w:r>
      <w:r w:rsidRPr="00A360A8">
        <w:rPr>
          <w:rFonts w:ascii="Arial" w:eastAsia="Calibri" w:hAnsi="Arial" w:cs="Arial"/>
          <w:b/>
          <w:sz w:val="28"/>
          <w:szCs w:val="28"/>
          <w:lang w:val="en-ZA"/>
        </w:rPr>
        <w:tab/>
      </w:r>
      <w:r w:rsidR="00CD0BF4">
        <w:rPr>
          <w:rFonts w:ascii="Arial" w:eastAsia="Calibri" w:hAnsi="Arial" w:cs="Arial"/>
          <w:sz w:val="28"/>
          <w:szCs w:val="28"/>
          <w:lang w:val="en-ZA"/>
        </w:rPr>
        <w:t xml:space="preserve">Before going into the law and principles governing contracts, </w:t>
      </w:r>
      <w:r w:rsidR="00F17BCE">
        <w:rPr>
          <w:rFonts w:ascii="Arial" w:eastAsia="Calibri" w:hAnsi="Arial" w:cs="Arial"/>
          <w:sz w:val="28"/>
          <w:szCs w:val="28"/>
          <w:lang w:val="en-ZA"/>
        </w:rPr>
        <w:t>I</w:t>
      </w:r>
      <w:r w:rsidR="00CD0BF4">
        <w:rPr>
          <w:rFonts w:ascii="Arial" w:eastAsia="Calibri" w:hAnsi="Arial" w:cs="Arial"/>
          <w:sz w:val="28"/>
          <w:szCs w:val="28"/>
          <w:lang w:val="en-ZA"/>
        </w:rPr>
        <w:t xml:space="preserve"> would deal with the point of law that was raised by the Applicant regarding the notice to strike out.</w:t>
      </w:r>
      <w:r w:rsidR="00910A00">
        <w:rPr>
          <w:rFonts w:ascii="Arial" w:eastAsia="Calibri" w:hAnsi="Arial" w:cs="Arial"/>
          <w:sz w:val="28"/>
          <w:szCs w:val="28"/>
          <w:lang w:val="en-ZA"/>
        </w:rPr>
        <w:t xml:space="preserve"> According to Advocate Cronje, the </w:t>
      </w:r>
      <w:r w:rsidR="00910A00">
        <w:rPr>
          <w:rFonts w:ascii="Arial" w:eastAsia="Calibri" w:hAnsi="Arial" w:cs="Arial"/>
          <w:sz w:val="28"/>
          <w:szCs w:val="28"/>
          <w:lang w:val="en-ZA"/>
        </w:rPr>
        <w:lastRenderedPageBreak/>
        <w:t xml:space="preserve">averments in the Respondent’s answering affidavit are inadmissible as they are being made without prejudice, hence application to strike them out. </w:t>
      </w:r>
      <w:r w:rsidR="00F17BCE">
        <w:rPr>
          <w:rFonts w:ascii="Arial" w:eastAsia="Calibri" w:hAnsi="Arial" w:cs="Arial"/>
          <w:sz w:val="28"/>
          <w:szCs w:val="28"/>
          <w:lang w:val="en-ZA"/>
        </w:rPr>
        <w:t>In his answering affidavit, the</w:t>
      </w:r>
      <w:r w:rsidR="00910A00">
        <w:rPr>
          <w:rFonts w:ascii="Arial" w:eastAsia="Calibri" w:hAnsi="Arial" w:cs="Arial"/>
          <w:sz w:val="28"/>
          <w:szCs w:val="28"/>
          <w:lang w:val="en-ZA"/>
        </w:rPr>
        <w:t xml:space="preserve"> Respondent had referred to the two letters which </w:t>
      </w:r>
      <w:r w:rsidR="000E050A">
        <w:rPr>
          <w:rFonts w:ascii="Arial" w:eastAsia="Calibri" w:hAnsi="Arial" w:cs="Arial"/>
          <w:sz w:val="28"/>
          <w:szCs w:val="28"/>
          <w:lang w:val="en-ZA"/>
        </w:rPr>
        <w:t>were addressed</w:t>
      </w:r>
      <w:r w:rsidR="008B0C60">
        <w:rPr>
          <w:rFonts w:ascii="Arial" w:eastAsia="Calibri" w:hAnsi="Arial" w:cs="Arial"/>
          <w:sz w:val="28"/>
          <w:szCs w:val="28"/>
          <w:lang w:val="en-ZA"/>
        </w:rPr>
        <w:t xml:space="preserve"> by </w:t>
      </w:r>
      <w:r w:rsidR="00B25387">
        <w:rPr>
          <w:rFonts w:ascii="Arial" w:eastAsia="Calibri" w:hAnsi="Arial" w:cs="Arial"/>
          <w:sz w:val="28"/>
          <w:szCs w:val="28"/>
          <w:lang w:val="en-ZA"/>
        </w:rPr>
        <w:t>Applicant’s</w:t>
      </w:r>
      <w:r w:rsidR="008B0C60">
        <w:rPr>
          <w:rFonts w:ascii="Arial" w:eastAsia="Calibri" w:hAnsi="Arial" w:cs="Arial"/>
          <w:sz w:val="28"/>
          <w:szCs w:val="28"/>
          <w:lang w:val="en-ZA"/>
        </w:rPr>
        <w:t xml:space="preserve"> Counsel where he submitted that Applicant made an admission in that an offer was made in respect of the assessment and storage costs. </w:t>
      </w:r>
      <w:r w:rsidR="000E050A" w:rsidRPr="000E050A">
        <w:rPr>
          <w:rFonts w:ascii="Arial" w:eastAsia="Calibri" w:hAnsi="Arial" w:cs="Arial"/>
          <w:b/>
          <w:bCs/>
          <w:sz w:val="28"/>
          <w:szCs w:val="28"/>
          <w:lang w:val="en-ZA"/>
        </w:rPr>
        <w:t>See annexure NS3.</w:t>
      </w:r>
    </w:p>
    <w:p w14:paraId="6A9FD46A" w14:textId="53EACC85" w:rsidR="000E050A" w:rsidRDefault="000E050A" w:rsidP="00A360A8">
      <w:pPr>
        <w:spacing w:after="0" w:line="480" w:lineRule="auto"/>
        <w:ind w:left="720" w:hanging="720"/>
        <w:jc w:val="both"/>
        <w:rPr>
          <w:rFonts w:ascii="Arial" w:eastAsia="Calibri" w:hAnsi="Arial" w:cs="Arial"/>
          <w:sz w:val="28"/>
          <w:szCs w:val="28"/>
          <w:lang w:val="en-ZA"/>
        </w:rPr>
      </w:pPr>
      <w:r>
        <w:rPr>
          <w:rFonts w:ascii="Arial" w:eastAsia="Calibri" w:hAnsi="Arial" w:cs="Arial"/>
          <w:b/>
          <w:bCs/>
          <w:sz w:val="28"/>
          <w:szCs w:val="28"/>
          <w:lang w:val="en-ZA"/>
        </w:rPr>
        <w:t xml:space="preserve">        </w:t>
      </w:r>
      <w:r>
        <w:rPr>
          <w:rFonts w:ascii="Arial" w:eastAsia="Calibri" w:hAnsi="Arial" w:cs="Arial"/>
          <w:sz w:val="28"/>
          <w:szCs w:val="28"/>
          <w:lang w:val="en-ZA"/>
        </w:rPr>
        <w:t xml:space="preserve">The letter reads: </w:t>
      </w:r>
    </w:p>
    <w:p w14:paraId="71B4E9C6" w14:textId="7D6BA836" w:rsidR="000E050A" w:rsidRDefault="000E050A" w:rsidP="00A360A8">
      <w:pPr>
        <w:spacing w:after="0" w:line="480" w:lineRule="auto"/>
        <w:ind w:left="720" w:hanging="720"/>
        <w:jc w:val="both"/>
        <w:rPr>
          <w:rFonts w:ascii="Arial" w:eastAsia="Calibri" w:hAnsi="Arial" w:cs="Arial"/>
          <w:i/>
          <w:iCs/>
          <w:sz w:val="28"/>
          <w:szCs w:val="28"/>
          <w:lang w:val="en-ZA"/>
        </w:rPr>
      </w:pPr>
      <w:r>
        <w:rPr>
          <w:rFonts w:ascii="Arial" w:eastAsia="Calibri" w:hAnsi="Arial" w:cs="Arial"/>
          <w:sz w:val="28"/>
          <w:szCs w:val="28"/>
          <w:lang w:val="en-ZA"/>
        </w:rPr>
        <w:t xml:space="preserve">        </w:t>
      </w:r>
      <w:r w:rsidRPr="001923F8">
        <w:rPr>
          <w:rFonts w:ascii="Arial" w:eastAsia="Calibri" w:hAnsi="Arial" w:cs="Arial"/>
          <w:i/>
          <w:iCs/>
          <w:sz w:val="28"/>
          <w:szCs w:val="28"/>
          <w:lang w:val="en-ZA"/>
        </w:rPr>
        <w:t>“we confirm that we have been instructed herein by our clients’ to offer your client M13,474.08 in full and final settlement of your client’s claim for storage costs.</w:t>
      </w:r>
      <w:r w:rsidR="0074213C" w:rsidRPr="001923F8">
        <w:rPr>
          <w:rFonts w:ascii="Arial" w:eastAsia="Calibri" w:hAnsi="Arial" w:cs="Arial"/>
          <w:i/>
          <w:iCs/>
          <w:sz w:val="28"/>
          <w:szCs w:val="28"/>
          <w:lang w:val="en-ZA"/>
        </w:rPr>
        <w:t xml:space="preserve"> The long delay in the finalization for this claim was occasioned by the insured, however, in the interests of arriving at an </w:t>
      </w:r>
      <w:r w:rsidR="001923F8" w:rsidRPr="001923F8">
        <w:rPr>
          <w:rFonts w:ascii="Arial" w:eastAsia="Calibri" w:hAnsi="Arial" w:cs="Arial"/>
          <w:i/>
          <w:iCs/>
          <w:sz w:val="28"/>
          <w:szCs w:val="28"/>
          <w:lang w:val="en-ZA"/>
        </w:rPr>
        <w:t>amicable resolution</w:t>
      </w:r>
      <w:r w:rsidR="00ED24DE" w:rsidRPr="001923F8">
        <w:rPr>
          <w:rFonts w:ascii="Arial" w:eastAsia="Calibri" w:hAnsi="Arial" w:cs="Arial"/>
          <w:i/>
          <w:iCs/>
          <w:sz w:val="28"/>
          <w:szCs w:val="28"/>
          <w:lang w:val="en-ZA"/>
        </w:rPr>
        <w:t>, we have made an offer for the full period.</w:t>
      </w:r>
    </w:p>
    <w:p w14:paraId="2621279D" w14:textId="2A28FCE2" w:rsidR="002E4129" w:rsidRDefault="002E4129" w:rsidP="00A360A8">
      <w:pPr>
        <w:spacing w:after="0" w:line="480" w:lineRule="auto"/>
        <w:ind w:left="720" w:hanging="720"/>
        <w:jc w:val="both"/>
        <w:rPr>
          <w:rFonts w:ascii="Arial" w:eastAsia="Calibri" w:hAnsi="Arial" w:cs="Arial"/>
          <w:i/>
          <w:iCs/>
          <w:sz w:val="28"/>
          <w:szCs w:val="28"/>
          <w:lang w:val="en-ZA"/>
        </w:rPr>
      </w:pPr>
      <w:r>
        <w:rPr>
          <w:rFonts w:ascii="Arial" w:eastAsia="Calibri" w:hAnsi="Arial" w:cs="Arial"/>
          <w:i/>
          <w:iCs/>
          <w:sz w:val="28"/>
          <w:szCs w:val="28"/>
          <w:lang w:val="en-ZA"/>
        </w:rPr>
        <w:tab/>
        <w:t xml:space="preserve">In the absence of a contractual agreement between our client and your client, we have calculated our offer based on an average daily storage of M1187.14, being a reasonable and fair market rate. Kindly note that this offer is made without prejudice of rights on the part of our client, without admitting </w:t>
      </w:r>
      <w:r w:rsidR="00F17BCE">
        <w:rPr>
          <w:rFonts w:ascii="Arial" w:eastAsia="Calibri" w:hAnsi="Arial" w:cs="Arial"/>
          <w:i/>
          <w:iCs/>
          <w:sz w:val="28"/>
          <w:szCs w:val="28"/>
          <w:lang w:val="en-ZA"/>
        </w:rPr>
        <w:t>liability,</w:t>
      </w:r>
      <w:r>
        <w:rPr>
          <w:rFonts w:ascii="Arial" w:eastAsia="Calibri" w:hAnsi="Arial" w:cs="Arial"/>
          <w:i/>
          <w:iCs/>
          <w:sz w:val="28"/>
          <w:szCs w:val="28"/>
          <w:lang w:val="en-ZA"/>
        </w:rPr>
        <w:t xml:space="preserve"> and solely in an attempt to settle this matter”. </w:t>
      </w:r>
    </w:p>
    <w:p w14:paraId="2997A245" w14:textId="2648EA5C" w:rsidR="002E4129" w:rsidRDefault="002E4129" w:rsidP="002E4129">
      <w:pPr>
        <w:spacing w:after="0" w:line="480" w:lineRule="auto"/>
        <w:ind w:left="720"/>
        <w:jc w:val="both"/>
        <w:rPr>
          <w:rFonts w:ascii="Arial" w:eastAsia="Calibri" w:hAnsi="Arial" w:cs="Arial"/>
          <w:i/>
          <w:iCs/>
          <w:sz w:val="28"/>
          <w:szCs w:val="28"/>
          <w:lang w:val="en-ZA"/>
        </w:rPr>
      </w:pPr>
      <w:r w:rsidRPr="002E4129">
        <w:rPr>
          <w:rFonts w:ascii="Arial" w:eastAsia="Calibri" w:hAnsi="Arial" w:cs="Arial"/>
          <w:sz w:val="28"/>
          <w:szCs w:val="28"/>
          <w:lang w:val="en-ZA"/>
        </w:rPr>
        <w:t>The second letter</w:t>
      </w:r>
      <w:r>
        <w:rPr>
          <w:rFonts w:ascii="Arial" w:eastAsia="Calibri" w:hAnsi="Arial" w:cs="Arial"/>
          <w:sz w:val="28"/>
          <w:szCs w:val="28"/>
          <w:lang w:val="en-ZA"/>
        </w:rPr>
        <w:t xml:space="preserve"> </w:t>
      </w:r>
      <w:r w:rsidRPr="002E4129">
        <w:rPr>
          <w:rFonts w:ascii="Arial" w:eastAsia="Calibri" w:hAnsi="Arial" w:cs="Arial"/>
          <w:b/>
          <w:bCs/>
          <w:sz w:val="28"/>
          <w:szCs w:val="28"/>
          <w:lang w:val="en-ZA"/>
        </w:rPr>
        <w:t>(NS4)</w:t>
      </w:r>
      <w:r>
        <w:rPr>
          <w:rFonts w:ascii="Arial" w:eastAsia="Calibri" w:hAnsi="Arial" w:cs="Arial"/>
          <w:sz w:val="28"/>
          <w:szCs w:val="28"/>
          <w:lang w:val="en-ZA"/>
        </w:rPr>
        <w:t xml:space="preserve"> </w:t>
      </w:r>
      <w:r w:rsidRPr="002E4129">
        <w:rPr>
          <w:rFonts w:ascii="Arial" w:eastAsia="Calibri" w:hAnsi="Arial" w:cs="Arial"/>
          <w:sz w:val="28"/>
          <w:szCs w:val="28"/>
          <w:lang w:val="en-ZA"/>
        </w:rPr>
        <w:t>reads</w:t>
      </w:r>
      <w:r>
        <w:rPr>
          <w:rFonts w:ascii="Arial" w:eastAsia="Calibri" w:hAnsi="Arial" w:cs="Arial"/>
          <w:i/>
          <w:iCs/>
          <w:sz w:val="28"/>
          <w:szCs w:val="28"/>
          <w:lang w:val="en-ZA"/>
        </w:rPr>
        <w:t>:</w:t>
      </w:r>
    </w:p>
    <w:p w14:paraId="565393BA" w14:textId="2C97D7EA" w:rsidR="002E4129" w:rsidRDefault="002E4129" w:rsidP="002E4129">
      <w:pPr>
        <w:spacing w:after="0" w:line="480" w:lineRule="auto"/>
        <w:ind w:left="720"/>
        <w:jc w:val="both"/>
        <w:rPr>
          <w:rFonts w:ascii="Arial" w:eastAsia="Calibri" w:hAnsi="Arial" w:cs="Arial"/>
          <w:i/>
          <w:iCs/>
          <w:sz w:val="28"/>
          <w:szCs w:val="28"/>
          <w:lang w:val="en-ZA"/>
        </w:rPr>
      </w:pPr>
      <w:r>
        <w:rPr>
          <w:rFonts w:ascii="Arial" w:eastAsia="Calibri" w:hAnsi="Arial" w:cs="Arial"/>
          <w:i/>
          <w:iCs/>
          <w:sz w:val="28"/>
          <w:szCs w:val="28"/>
          <w:lang w:val="en-ZA"/>
        </w:rPr>
        <w:lastRenderedPageBreak/>
        <w:t xml:space="preserve">…………we are pleased to advise that client has instructed us to make advised offer of 18,500.00 in full and final settlement of your claim for storage costs. This offer is made on the basis of daily rate of M250.00 for storage fee as per our discussion. </w:t>
      </w:r>
    </w:p>
    <w:p w14:paraId="5842FD14" w14:textId="1CA1B537" w:rsidR="002E4129" w:rsidRDefault="002E4129" w:rsidP="002E4129">
      <w:pPr>
        <w:spacing w:after="0" w:line="480" w:lineRule="auto"/>
        <w:ind w:left="720"/>
        <w:jc w:val="both"/>
        <w:rPr>
          <w:rFonts w:ascii="Arial" w:eastAsia="Calibri" w:hAnsi="Arial" w:cs="Arial"/>
          <w:i/>
          <w:iCs/>
          <w:sz w:val="28"/>
          <w:szCs w:val="28"/>
          <w:lang w:val="en-ZA"/>
        </w:rPr>
      </w:pPr>
      <w:r>
        <w:rPr>
          <w:rFonts w:ascii="Arial" w:eastAsia="Calibri" w:hAnsi="Arial" w:cs="Arial"/>
          <w:i/>
          <w:iCs/>
          <w:sz w:val="28"/>
          <w:szCs w:val="28"/>
          <w:lang w:val="en-ZA"/>
        </w:rPr>
        <w:t>Kindly note that this offer is made without prejudice of rights on the part of our client, without admitting liability and solely, an attempt to settle the matter.”</w:t>
      </w:r>
    </w:p>
    <w:p w14:paraId="44C341E3" w14:textId="77777777" w:rsidR="001923F8" w:rsidRPr="001923F8" w:rsidRDefault="001923F8" w:rsidP="00A360A8">
      <w:pPr>
        <w:spacing w:after="0" w:line="480" w:lineRule="auto"/>
        <w:ind w:left="720" w:hanging="720"/>
        <w:jc w:val="both"/>
        <w:rPr>
          <w:rFonts w:ascii="Arial" w:eastAsia="Calibri" w:hAnsi="Arial" w:cs="Arial"/>
          <w:i/>
          <w:iCs/>
          <w:sz w:val="28"/>
          <w:szCs w:val="28"/>
          <w:lang w:val="en-ZA"/>
        </w:rPr>
      </w:pPr>
    </w:p>
    <w:p w14:paraId="6F4A9C28" w14:textId="77777777" w:rsidR="00A360A8" w:rsidRPr="00A360A8" w:rsidRDefault="00A360A8" w:rsidP="00A360A8">
      <w:pPr>
        <w:spacing w:line="480" w:lineRule="auto"/>
        <w:jc w:val="both"/>
        <w:rPr>
          <w:rFonts w:ascii="Arial" w:eastAsia="Calibri" w:hAnsi="Arial" w:cs="Arial"/>
          <w:sz w:val="28"/>
          <w:szCs w:val="28"/>
          <w:lang w:val="en-ZA"/>
        </w:rPr>
      </w:pPr>
    </w:p>
    <w:p w14:paraId="1C55AC9C" w14:textId="623CB1B2" w:rsidR="00A360A8" w:rsidRDefault="00A360A8" w:rsidP="00A360A8">
      <w:pPr>
        <w:spacing w:line="480" w:lineRule="auto"/>
        <w:ind w:left="720" w:hanging="720"/>
        <w:jc w:val="both"/>
        <w:rPr>
          <w:rFonts w:ascii="Arial" w:eastAsia="Calibri" w:hAnsi="Arial" w:cs="Arial"/>
          <w:b/>
          <w:bCs/>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8</w:t>
      </w:r>
      <w:r w:rsidRPr="00A360A8">
        <w:rPr>
          <w:rFonts w:ascii="Arial" w:eastAsia="Calibri" w:hAnsi="Arial" w:cs="Arial"/>
          <w:b/>
          <w:sz w:val="28"/>
          <w:szCs w:val="28"/>
          <w:lang w:val="en-ZA"/>
        </w:rPr>
        <w:t>]</w:t>
      </w:r>
      <w:r w:rsidRPr="00A360A8">
        <w:rPr>
          <w:rFonts w:ascii="Arial" w:eastAsia="Calibri" w:hAnsi="Arial" w:cs="Arial"/>
          <w:sz w:val="28"/>
          <w:szCs w:val="28"/>
          <w:lang w:val="en-ZA"/>
        </w:rPr>
        <w:t xml:space="preserve"> </w:t>
      </w:r>
      <w:r w:rsidRPr="00A360A8">
        <w:rPr>
          <w:rFonts w:ascii="Arial" w:eastAsia="Calibri" w:hAnsi="Arial" w:cs="Arial"/>
          <w:sz w:val="28"/>
          <w:szCs w:val="28"/>
          <w:lang w:val="en-ZA"/>
        </w:rPr>
        <w:tab/>
      </w:r>
      <w:r w:rsidR="002E4129">
        <w:rPr>
          <w:rFonts w:ascii="Arial" w:eastAsia="Calibri" w:hAnsi="Arial" w:cs="Arial"/>
          <w:sz w:val="28"/>
          <w:szCs w:val="28"/>
          <w:lang w:val="en-ZA"/>
        </w:rPr>
        <w:t xml:space="preserve">It is on the basis of the two above mentioned letters that the Applicant asked that answering affidavit of the Respondent </w:t>
      </w:r>
      <w:r w:rsidR="00875358">
        <w:rPr>
          <w:rFonts w:ascii="Arial" w:eastAsia="Calibri" w:hAnsi="Arial" w:cs="Arial"/>
          <w:sz w:val="28"/>
          <w:szCs w:val="28"/>
          <w:lang w:val="en-ZA"/>
        </w:rPr>
        <w:t>referring</w:t>
      </w:r>
      <w:r w:rsidR="00B676C2">
        <w:rPr>
          <w:rFonts w:ascii="Arial" w:eastAsia="Calibri" w:hAnsi="Arial" w:cs="Arial"/>
          <w:sz w:val="28"/>
          <w:szCs w:val="28"/>
          <w:lang w:val="en-ZA"/>
        </w:rPr>
        <w:t xml:space="preserve"> to them be struck out</w:t>
      </w:r>
      <w:r w:rsidR="003A317D">
        <w:rPr>
          <w:rFonts w:ascii="Arial" w:eastAsia="Calibri" w:hAnsi="Arial" w:cs="Arial"/>
          <w:sz w:val="28"/>
          <w:szCs w:val="28"/>
          <w:lang w:val="en-ZA"/>
        </w:rPr>
        <w:t xml:space="preserve"> as inadmissible evidence.</w:t>
      </w:r>
      <w:r w:rsidR="00E21D30">
        <w:rPr>
          <w:rFonts w:ascii="Arial" w:eastAsia="Calibri" w:hAnsi="Arial" w:cs="Arial"/>
          <w:sz w:val="28"/>
          <w:szCs w:val="28"/>
          <w:lang w:val="en-ZA"/>
        </w:rPr>
        <w:t xml:space="preserve"> Advocate Cronje cited the case of </w:t>
      </w:r>
      <w:r w:rsidR="00E21D30" w:rsidRPr="00E21D30">
        <w:rPr>
          <w:rFonts w:ascii="Arial" w:eastAsia="Calibri" w:hAnsi="Arial" w:cs="Arial"/>
          <w:b/>
          <w:bCs/>
          <w:i/>
          <w:iCs/>
          <w:sz w:val="28"/>
          <w:szCs w:val="28"/>
          <w:lang w:val="en-ZA"/>
        </w:rPr>
        <w:t>Naido</w:t>
      </w:r>
      <w:r w:rsidR="00E21D30">
        <w:rPr>
          <w:rFonts w:ascii="Arial" w:eastAsia="Calibri" w:hAnsi="Arial" w:cs="Arial"/>
          <w:b/>
          <w:bCs/>
          <w:i/>
          <w:iCs/>
          <w:sz w:val="28"/>
          <w:szCs w:val="28"/>
          <w:lang w:val="en-ZA"/>
        </w:rPr>
        <w:t>o</w:t>
      </w:r>
      <w:r w:rsidR="00E21D30" w:rsidRPr="00E21D30">
        <w:rPr>
          <w:rFonts w:ascii="Arial" w:eastAsia="Calibri" w:hAnsi="Arial" w:cs="Arial"/>
          <w:b/>
          <w:bCs/>
          <w:i/>
          <w:iCs/>
          <w:sz w:val="28"/>
          <w:szCs w:val="28"/>
          <w:lang w:val="en-ZA"/>
        </w:rPr>
        <w:t xml:space="preserve"> v Marine</w:t>
      </w:r>
      <w:r w:rsidR="00E21D30">
        <w:rPr>
          <w:rFonts w:ascii="Arial" w:eastAsia="Calibri" w:hAnsi="Arial" w:cs="Arial"/>
          <w:b/>
          <w:bCs/>
          <w:i/>
          <w:iCs/>
          <w:sz w:val="28"/>
          <w:szCs w:val="28"/>
          <w:lang w:val="en-ZA"/>
        </w:rPr>
        <w:t xml:space="preserve"> and Trade Insurance Co. Ltd. Pty</w:t>
      </w:r>
      <w:r w:rsidR="00E21D30">
        <w:rPr>
          <w:rStyle w:val="FootnoteReference"/>
          <w:rFonts w:ascii="Arial" w:eastAsia="Calibri" w:hAnsi="Arial" w:cs="Arial"/>
          <w:b/>
          <w:bCs/>
          <w:i/>
          <w:iCs/>
          <w:sz w:val="28"/>
          <w:szCs w:val="28"/>
          <w:lang w:val="en-ZA"/>
        </w:rPr>
        <w:footnoteReference w:id="1"/>
      </w:r>
      <w:r w:rsidR="00E21D30" w:rsidRPr="00E21D30">
        <w:rPr>
          <w:rFonts w:ascii="Arial" w:eastAsia="Calibri" w:hAnsi="Arial" w:cs="Arial"/>
          <w:b/>
          <w:bCs/>
          <w:i/>
          <w:iCs/>
          <w:sz w:val="28"/>
          <w:szCs w:val="28"/>
          <w:lang w:val="en-ZA"/>
        </w:rPr>
        <w:t xml:space="preserve"> </w:t>
      </w:r>
      <w:r w:rsidR="00E21D30">
        <w:rPr>
          <w:rFonts w:ascii="Arial" w:eastAsia="Calibri" w:hAnsi="Arial" w:cs="Arial"/>
          <w:sz w:val="28"/>
          <w:szCs w:val="28"/>
          <w:lang w:val="en-ZA"/>
        </w:rPr>
        <w:t xml:space="preserve">where the court held that correspondence conducted ‘without prejudice’ in </w:t>
      </w:r>
      <w:r w:rsidR="00E21D30" w:rsidRPr="00E21D30">
        <w:rPr>
          <w:rFonts w:ascii="Arial" w:eastAsia="Calibri" w:hAnsi="Arial" w:cs="Arial"/>
          <w:i/>
          <w:iCs/>
          <w:sz w:val="28"/>
          <w:szCs w:val="28"/>
          <w:lang w:val="en-ZA"/>
        </w:rPr>
        <w:t xml:space="preserve">bona fide </w:t>
      </w:r>
      <w:r w:rsidR="00E21D30">
        <w:rPr>
          <w:rFonts w:ascii="Arial" w:eastAsia="Calibri" w:hAnsi="Arial" w:cs="Arial"/>
          <w:sz w:val="28"/>
          <w:szCs w:val="28"/>
          <w:lang w:val="en-ZA"/>
        </w:rPr>
        <w:t xml:space="preserve">efforts of both parties to an action to settle the plaintiff’s claim is in accordance with general evidence, wholly inadmissible”. </w:t>
      </w:r>
      <w:r w:rsidR="00E21D30" w:rsidRPr="00E21D30">
        <w:rPr>
          <w:rFonts w:ascii="Arial" w:eastAsia="Calibri" w:hAnsi="Arial" w:cs="Arial"/>
          <w:b/>
          <w:bCs/>
          <w:sz w:val="28"/>
          <w:szCs w:val="28"/>
          <w:lang w:val="en-ZA"/>
        </w:rPr>
        <w:t>See Law of South Africa Vol.9 page 290.</w:t>
      </w:r>
    </w:p>
    <w:p w14:paraId="5322277A" w14:textId="77777777" w:rsidR="00DC7B01" w:rsidRDefault="00875358" w:rsidP="00A360A8">
      <w:pPr>
        <w:spacing w:line="480" w:lineRule="auto"/>
        <w:ind w:left="720" w:hanging="720"/>
        <w:jc w:val="both"/>
        <w:rPr>
          <w:rFonts w:ascii="Arial" w:eastAsia="Calibri" w:hAnsi="Arial" w:cs="Arial"/>
          <w:b/>
          <w:bCs/>
          <w:sz w:val="28"/>
          <w:szCs w:val="28"/>
          <w:lang w:val="en-ZA"/>
        </w:rPr>
      </w:pPr>
      <w:r>
        <w:rPr>
          <w:rFonts w:ascii="Arial" w:eastAsia="Calibri" w:hAnsi="Arial" w:cs="Arial"/>
          <w:b/>
          <w:bCs/>
          <w:sz w:val="28"/>
          <w:szCs w:val="28"/>
          <w:lang w:val="en-ZA"/>
        </w:rPr>
        <w:tab/>
      </w:r>
    </w:p>
    <w:p w14:paraId="5B8569B6" w14:textId="3AC5646F" w:rsidR="00875358" w:rsidRPr="00875358" w:rsidRDefault="00875358" w:rsidP="00DC7B01">
      <w:pPr>
        <w:spacing w:line="480" w:lineRule="auto"/>
        <w:ind w:left="720"/>
        <w:jc w:val="both"/>
        <w:rPr>
          <w:rFonts w:ascii="Arial" w:eastAsia="Calibri" w:hAnsi="Arial" w:cs="Arial"/>
          <w:sz w:val="28"/>
          <w:szCs w:val="28"/>
          <w:lang w:val="en-ZA"/>
        </w:rPr>
      </w:pPr>
      <w:r>
        <w:rPr>
          <w:rFonts w:ascii="Arial" w:eastAsia="Calibri" w:hAnsi="Arial" w:cs="Arial"/>
          <w:sz w:val="28"/>
          <w:szCs w:val="28"/>
          <w:lang w:val="en-ZA"/>
        </w:rPr>
        <w:t xml:space="preserve">He also referred to the case of </w:t>
      </w:r>
      <w:r w:rsidRPr="00875358">
        <w:rPr>
          <w:rFonts w:ascii="Arial" w:eastAsia="Calibri" w:hAnsi="Arial" w:cs="Arial"/>
          <w:b/>
          <w:bCs/>
          <w:sz w:val="28"/>
          <w:szCs w:val="28"/>
          <w:lang w:val="en-ZA"/>
        </w:rPr>
        <w:t>KLD Residential CC v Empire Earth Investments 17 (Pty) Ltd</w:t>
      </w:r>
      <w:r>
        <w:rPr>
          <w:rFonts w:ascii="Arial" w:eastAsia="Calibri" w:hAnsi="Arial" w:cs="Arial"/>
          <w:sz w:val="28"/>
          <w:szCs w:val="28"/>
          <w:lang w:val="en-ZA"/>
        </w:rPr>
        <w:t xml:space="preserve"> where the court held that “the policy as I </w:t>
      </w:r>
      <w:r>
        <w:rPr>
          <w:rFonts w:ascii="Arial" w:eastAsia="Calibri" w:hAnsi="Arial" w:cs="Arial"/>
          <w:sz w:val="28"/>
          <w:szCs w:val="28"/>
          <w:lang w:val="en-ZA"/>
        </w:rPr>
        <w:lastRenderedPageBreak/>
        <w:t xml:space="preserve">indicated earlier, is to promote </w:t>
      </w:r>
      <w:r w:rsidR="00F17BCE">
        <w:rPr>
          <w:rFonts w:ascii="Arial" w:eastAsia="Calibri" w:hAnsi="Arial" w:cs="Arial"/>
          <w:sz w:val="28"/>
          <w:szCs w:val="28"/>
          <w:lang w:val="en-ZA"/>
        </w:rPr>
        <w:t>t</w:t>
      </w:r>
      <w:r>
        <w:rPr>
          <w:rFonts w:ascii="Arial" w:eastAsia="Calibri" w:hAnsi="Arial" w:cs="Arial"/>
          <w:sz w:val="28"/>
          <w:szCs w:val="28"/>
          <w:lang w:val="en-ZA"/>
        </w:rPr>
        <w:t xml:space="preserve">he settlement of disputes without resort to litigation, and was discussed at length by Trollip JA in </w:t>
      </w:r>
      <w:r w:rsidRPr="00BE4ECA">
        <w:rPr>
          <w:rFonts w:ascii="Arial" w:eastAsia="Calibri" w:hAnsi="Arial" w:cs="Arial"/>
          <w:b/>
          <w:bCs/>
          <w:sz w:val="28"/>
          <w:szCs w:val="28"/>
          <w:lang w:val="en-ZA"/>
        </w:rPr>
        <w:t xml:space="preserve">Naidoo v Maine &amp;Trade Insurance </w:t>
      </w:r>
      <w:r w:rsidR="00C92F5E" w:rsidRPr="00BE4ECA">
        <w:rPr>
          <w:rFonts w:ascii="Arial" w:eastAsia="Calibri" w:hAnsi="Arial" w:cs="Arial"/>
          <w:b/>
          <w:bCs/>
          <w:sz w:val="28"/>
          <w:szCs w:val="28"/>
          <w:lang w:val="en-ZA"/>
        </w:rPr>
        <w:t>Co Ltd 1978(3) SA 666(A). Referring (at 674A-B</w:t>
      </w:r>
      <w:r w:rsidR="00C92F5E">
        <w:rPr>
          <w:rFonts w:ascii="Arial" w:eastAsia="Calibri" w:hAnsi="Arial" w:cs="Arial"/>
          <w:sz w:val="28"/>
          <w:szCs w:val="28"/>
          <w:lang w:val="en-ZA"/>
        </w:rPr>
        <w:t>) to a statement made by Lord Mansfield in the 19</w:t>
      </w:r>
      <w:r w:rsidR="00C92F5E" w:rsidRPr="00C92F5E">
        <w:rPr>
          <w:rFonts w:ascii="Arial" w:eastAsia="Calibri" w:hAnsi="Arial" w:cs="Arial"/>
          <w:sz w:val="28"/>
          <w:szCs w:val="28"/>
          <w:vertAlign w:val="superscript"/>
          <w:lang w:val="en-ZA"/>
        </w:rPr>
        <w:t>th</w:t>
      </w:r>
      <w:r w:rsidR="00C92F5E">
        <w:rPr>
          <w:rFonts w:ascii="Arial" w:eastAsia="Calibri" w:hAnsi="Arial" w:cs="Arial"/>
          <w:sz w:val="28"/>
          <w:szCs w:val="28"/>
          <w:lang w:val="en-ZA"/>
        </w:rPr>
        <w:t xml:space="preserve"> century that ‘it must be permitted to men to “buy their peace” without prejudice to them, if the offer did not succeed; and such offers are made to stop litigation without regard to the question whether </w:t>
      </w:r>
      <w:r w:rsidR="00F17BCE">
        <w:rPr>
          <w:rFonts w:ascii="Arial" w:eastAsia="Calibri" w:hAnsi="Arial" w:cs="Arial"/>
          <w:sz w:val="28"/>
          <w:szCs w:val="28"/>
          <w:lang w:val="en-ZA"/>
        </w:rPr>
        <w:t>anything</w:t>
      </w:r>
      <w:r w:rsidR="00C92F5E">
        <w:rPr>
          <w:rFonts w:ascii="Arial" w:eastAsia="Calibri" w:hAnsi="Arial" w:cs="Arial"/>
          <w:sz w:val="28"/>
          <w:szCs w:val="28"/>
          <w:lang w:val="en-ZA"/>
        </w:rPr>
        <w:t xml:space="preserve"> or what is due, Trollip JA said that the origin and the rationale for the without prejudice rule was public policy </w:t>
      </w:r>
      <w:r w:rsidR="00DC7B01">
        <w:rPr>
          <w:rFonts w:ascii="Arial" w:eastAsia="Calibri" w:hAnsi="Arial" w:cs="Arial"/>
          <w:sz w:val="28"/>
          <w:szCs w:val="28"/>
          <w:lang w:val="en-ZA"/>
        </w:rPr>
        <w:t>.</w:t>
      </w:r>
    </w:p>
    <w:p w14:paraId="1DCB9CBD" w14:textId="77777777" w:rsidR="00A360A8" w:rsidRPr="00A360A8" w:rsidRDefault="00A360A8" w:rsidP="00A360A8">
      <w:pPr>
        <w:spacing w:line="480" w:lineRule="auto"/>
        <w:jc w:val="both"/>
        <w:rPr>
          <w:rFonts w:ascii="Arial" w:eastAsia="Calibri" w:hAnsi="Arial" w:cs="Arial"/>
          <w:sz w:val="28"/>
          <w:szCs w:val="28"/>
          <w:lang w:val="en-ZA"/>
        </w:rPr>
      </w:pPr>
    </w:p>
    <w:p w14:paraId="2748BDC0" w14:textId="5B00907E" w:rsidR="00A360A8" w:rsidRDefault="00A360A8" w:rsidP="00A360A8">
      <w:pPr>
        <w:spacing w:after="0"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9</w:t>
      </w:r>
      <w:r w:rsidRPr="00A360A8">
        <w:rPr>
          <w:rFonts w:ascii="Arial" w:eastAsia="Calibri" w:hAnsi="Arial" w:cs="Arial"/>
          <w:b/>
          <w:sz w:val="28"/>
          <w:szCs w:val="28"/>
          <w:lang w:val="en-ZA"/>
        </w:rPr>
        <w:t xml:space="preserve">] </w:t>
      </w:r>
      <w:r w:rsidRPr="00A360A8">
        <w:rPr>
          <w:rFonts w:ascii="Arial" w:eastAsia="Calibri" w:hAnsi="Arial" w:cs="Arial"/>
          <w:b/>
          <w:sz w:val="28"/>
          <w:szCs w:val="28"/>
          <w:lang w:val="en-ZA"/>
        </w:rPr>
        <w:tab/>
      </w:r>
      <w:r w:rsidR="004B1616">
        <w:rPr>
          <w:rFonts w:ascii="Arial" w:eastAsia="Calibri" w:hAnsi="Arial" w:cs="Arial"/>
          <w:sz w:val="28"/>
          <w:szCs w:val="28"/>
          <w:lang w:val="en-ZA"/>
        </w:rPr>
        <w:t xml:space="preserve">In </w:t>
      </w:r>
      <w:r w:rsidR="004B1616" w:rsidRPr="004B1616">
        <w:rPr>
          <w:rFonts w:ascii="Arial" w:eastAsia="Calibri" w:hAnsi="Arial" w:cs="Arial"/>
          <w:b/>
          <w:bCs/>
          <w:sz w:val="28"/>
          <w:szCs w:val="28"/>
          <w:lang w:val="en-ZA"/>
        </w:rPr>
        <w:t xml:space="preserve">Naidoo </w:t>
      </w:r>
      <w:r w:rsidR="004B1616" w:rsidRPr="004B1616">
        <w:rPr>
          <w:rStyle w:val="FootnoteReference"/>
          <w:rFonts w:ascii="Arial" w:eastAsia="Calibri" w:hAnsi="Arial" w:cs="Arial"/>
          <w:sz w:val="28"/>
          <w:szCs w:val="28"/>
          <w:lang w:val="en-ZA"/>
        </w:rPr>
        <w:footnoteReference w:id="2"/>
      </w:r>
      <w:r w:rsidR="004B1616">
        <w:rPr>
          <w:rFonts w:ascii="Arial" w:eastAsia="Calibri" w:hAnsi="Arial" w:cs="Arial"/>
          <w:b/>
          <w:bCs/>
          <w:sz w:val="28"/>
          <w:szCs w:val="28"/>
          <w:lang w:val="en-ZA"/>
        </w:rPr>
        <w:t xml:space="preserve"> </w:t>
      </w:r>
      <w:r w:rsidR="004B1616">
        <w:rPr>
          <w:rFonts w:ascii="Arial" w:eastAsia="Calibri" w:hAnsi="Arial" w:cs="Arial"/>
          <w:sz w:val="28"/>
          <w:szCs w:val="28"/>
          <w:lang w:val="en-ZA"/>
        </w:rPr>
        <w:t>the Respondent, a third-party insurer, wrote a number of without prejudice letters to the attorney of Mr. Naidoo</w:t>
      </w:r>
      <w:r w:rsidR="00D853B2">
        <w:rPr>
          <w:rFonts w:ascii="Arial" w:eastAsia="Calibri" w:hAnsi="Arial" w:cs="Arial"/>
          <w:sz w:val="28"/>
          <w:szCs w:val="28"/>
          <w:lang w:val="en-ZA"/>
        </w:rPr>
        <w:t xml:space="preserve"> (the plaintiff), admitting that it was on risk as the insurer of the negligent driver. Settlement negotiations failed and in subsequent proceedings the insurer denied that it was negligent driver’s </w:t>
      </w:r>
      <w:r w:rsidR="00FC1869">
        <w:rPr>
          <w:rFonts w:ascii="Arial" w:eastAsia="Calibri" w:hAnsi="Arial" w:cs="Arial"/>
          <w:sz w:val="28"/>
          <w:szCs w:val="28"/>
          <w:lang w:val="en-ZA"/>
        </w:rPr>
        <w:t>insurer. Naidoo in his replication asserted that the insurer was estopped from denying the admission. The trial court found that the correspondence was inadmissible as the letters were written without prejudice to the insurer’s rights. Trollip AJ, finding that the letters had been written without prejudice, said at 677B-D:</w:t>
      </w:r>
    </w:p>
    <w:p w14:paraId="4E6EE2BF" w14:textId="6D3E393C" w:rsidR="00FC1869" w:rsidRPr="00FC1869" w:rsidRDefault="00FC1869" w:rsidP="00A360A8">
      <w:pPr>
        <w:spacing w:after="0" w:line="480" w:lineRule="auto"/>
        <w:ind w:left="720" w:hanging="720"/>
        <w:jc w:val="both"/>
        <w:rPr>
          <w:rFonts w:ascii="Arial" w:eastAsia="Calibri" w:hAnsi="Arial" w:cs="Arial"/>
          <w:bCs/>
          <w:i/>
          <w:iCs/>
          <w:sz w:val="28"/>
          <w:szCs w:val="28"/>
          <w:lang w:val="en-ZA"/>
        </w:rPr>
      </w:pPr>
      <w:r>
        <w:rPr>
          <w:rFonts w:ascii="Arial" w:eastAsia="Calibri" w:hAnsi="Arial" w:cs="Arial"/>
          <w:b/>
          <w:sz w:val="28"/>
          <w:szCs w:val="28"/>
          <w:lang w:val="en-ZA"/>
        </w:rPr>
        <w:lastRenderedPageBreak/>
        <w:tab/>
      </w:r>
      <w:r w:rsidRPr="00FC1869">
        <w:rPr>
          <w:rFonts w:ascii="Arial" w:eastAsia="Calibri" w:hAnsi="Arial" w:cs="Arial"/>
          <w:bCs/>
          <w:i/>
          <w:iCs/>
          <w:sz w:val="28"/>
          <w:szCs w:val="28"/>
          <w:lang w:val="en-ZA"/>
        </w:rPr>
        <w:t>“Such correspondence, once respondent objected to its being adduced in evidence, was wholly inadmissible. The rationale of the rule is public policy:</w:t>
      </w:r>
      <w:r>
        <w:rPr>
          <w:rFonts w:ascii="Arial" w:eastAsia="Calibri" w:hAnsi="Arial" w:cs="Arial"/>
          <w:bCs/>
          <w:i/>
          <w:iCs/>
          <w:sz w:val="28"/>
          <w:szCs w:val="28"/>
          <w:lang w:val="en-ZA"/>
        </w:rPr>
        <w:t xml:space="preserve"> parties to disputes are to be encouraged to avoid litigation and all the expenses(nowadays, very high), delays hostility, and </w:t>
      </w:r>
      <w:r w:rsidR="00FF6403">
        <w:rPr>
          <w:rFonts w:ascii="Arial" w:eastAsia="Calibri" w:hAnsi="Arial" w:cs="Arial"/>
          <w:bCs/>
          <w:i/>
          <w:iCs/>
          <w:sz w:val="28"/>
          <w:szCs w:val="28"/>
          <w:lang w:val="en-ZA"/>
        </w:rPr>
        <w:t>inconvenience it usually entails, by resolving their differences amicably in full and frank discussions without the fear that, if the negotiations fail, any admissions made by them during such discussions will be used against them in the ensuring litigation”</w:t>
      </w:r>
    </w:p>
    <w:p w14:paraId="2DA9B8D5" w14:textId="77777777" w:rsidR="00FC1869" w:rsidRPr="004B1616" w:rsidRDefault="00FC1869" w:rsidP="00A360A8">
      <w:pPr>
        <w:spacing w:after="0" w:line="480" w:lineRule="auto"/>
        <w:ind w:left="720" w:hanging="720"/>
        <w:jc w:val="both"/>
        <w:rPr>
          <w:rFonts w:ascii="Arial" w:eastAsia="Calibri" w:hAnsi="Arial" w:cs="Arial"/>
          <w:sz w:val="28"/>
          <w:szCs w:val="28"/>
          <w:lang w:val="en-ZA"/>
        </w:rPr>
      </w:pPr>
    </w:p>
    <w:p w14:paraId="2CA44658" w14:textId="77777777" w:rsidR="00A360A8" w:rsidRPr="00A360A8" w:rsidRDefault="00A360A8" w:rsidP="00A360A8">
      <w:pPr>
        <w:spacing w:after="0" w:line="480" w:lineRule="auto"/>
        <w:jc w:val="both"/>
        <w:rPr>
          <w:rFonts w:ascii="Arial" w:eastAsia="Calibri" w:hAnsi="Arial" w:cs="Arial"/>
          <w:b/>
          <w:sz w:val="28"/>
          <w:szCs w:val="28"/>
          <w:lang w:val="en-ZA"/>
        </w:rPr>
      </w:pPr>
    </w:p>
    <w:p w14:paraId="352B5E68" w14:textId="0DB0DB59" w:rsidR="00A360A8" w:rsidRPr="00D13217" w:rsidRDefault="00A360A8" w:rsidP="00A360A8">
      <w:pPr>
        <w:spacing w:after="0" w:line="480" w:lineRule="auto"/>
        <w:ind w:left="720" w:hanging="720"/>
        <w:jc w:val="both"/>
        <w:rPr>
          <w:rFonts w:ascii="Arial" w:eastAsia="Calibri" w:hAnsi="Arial" w:cs="Arial"/>
          <w:bCs/>
          <w:sz w:val="28"/>
          <w:szCs w:val="28"/>
          <w:lang w:val="en-ZA"/>
        </w:rPr>
      </w:pPr>
      <w:r w:rsidRPr="00A360A8">
        <w:rPr>
          <w:rFonts w:ascii="Arial" w:eastAsia="Calibri" w:hAnsi="Arial" w:cs="Arial"/>
          <w:b/>
          <w:sz w:val="28"/>
          <w:szCs w:val="28"/>
          <w:lang w:val="en-ZA"/>
        </w:rPr>
        <w:t>[</w:t>
      </w:r>
      <w:r w:rsidR="00655A93">
        <w:rPr>
          <w:rFonts w:ascii="Arial" w:eastAsia="Calibri" w:hAnsi="Arial" w:cs="Arial"/>
          <w:b/>
          <w:sz w:val="28"/>
          <w:szCs w:val="28"/>
          <w:lang w:val="en-ZA"/>
        </w:rPr>
        <w:t>10</w:t>
      </w:r>
      <w:r w:rsidR="00D13217">
        <w:rPr>
          <w:rFonts w:ascii="Arial" w:eastAsia="Calibri" w:hAnsi="Arial" w:cs="Arial"/>
          <w:b/>
          <w:sz w:val="28"/>
          <w:szCs w:val="28"/>
          <w:lang w:val="en-ZA"/>
        </w:rPr>
        <w:t>]</w:t>
      </w:r>
      <w:r w:rsidR="00D13217">
        <w:rPr>
          <w:rFonts w:ascii="Arial" w:eastAsia="Calibri" w:hAnsi="Arial" w:cs="Arial"/>
          <w:b/>
          <w:sz w:val="28"/>
          <w:szCs w:val="28"/>
          <w:lang w:val="en-ZA"/>
        </w:rPr>
        <w:tab/>
      </w:r>
      <w:r w:rsidR="00D13217">
        <w:rPr>
          <w:rFonts w:ascii="Arial" w:eastAsia="Calibri" w:hAnsi="Arial" w:cs="Arial"/>
          <w:bCs/>
          <w:sz w:val="28"/>
          <w:szCs w:val="28"/>
          <w:lang w:val="en-ZA"/>
        </w:rPr>
        <w:t xml:space="preserve">In his submissions, Advocate </w:t>
      </w:r>
      <w:proofErr w:type="spellStart"/>
      <w:r w:rsidR="00D13217">
        <w:rPr>
          <w:rFonts w:ascii="Arial" w:eastAsia="Calibri" w:hAnsi="Arial" w:cs="Arial"/>
          <w:bCs/>
          <w:sz w:val="28"/>
          <w:szCs w:val="28"/>
          <w:lang w:val="en-ZA"/>
        </w:rPr>
        <w:t>Sekatle</w:t>
      </w:r>
      <w:proofErr w:type="spellEnd"/>
      <w:r w:rsidR="00D13217">
        <w:rPr>
          <w:rFonts w:ascii="Arial" w:eastAsia="Calibri" w:hAnsi="Arial" w:cs="Arial"/>
          <w:bCs/>
          <w:sz w:val="28"/>
          <w:szCs w:val="28"/>
          <w:lang w:val="en-ZA"/>
        </w:rPr>
        <w:t xml:space="preserve"> argued that such information is not privileged and /or obtained by a criminal act or otherwise improperly. He contended that the Court in the circumstances has discretion. He argued further that the Respondent </w:t>
      </w:r>
      <w:r w:rsidR="00C82D28">
        <w:rPr>
          <w:rFonts w:ascii="Arial" w:eastAsia="Calibri" w:hAnsi="Arial" w:cs="Arial"/>
          <w:bCs/>
          <w:sz w:val="28"/>
          <w:szCs w:val="28"/>
          <w:lang w:val="en-ZA"/>
        </w:rPr>
        <w:t xml:space="preserve">had </w:t>
      </w:r>
      <w:r w:rsidR="00D13217">
        <w:rPr>
          <w:rFonts w:ascii="Arial" w:eastAsia="Calibri" w:hAnsi="Arial" w:cs="Arial"/>
          <w:bCs/>
          <w:sz w:val="28"/>
          <w:szCs w:val="28"/>
          <w:lang w:val="en-ZA"/>
        </w:rPr>
        <w:t xml:space="preserve">relied on the information given by the Applicant as shown in both annexures </w:t>
      </w:r>
      <w:r w:rsidR="00D13217" w:rsidRPr="00D13217">
        <w:rPr>
          <w:rFonts w:ascii="Arial" w:eastAsia="Calibri" w:hAnsi="Arial" w:cs="Arial"/>
          <w:b/>
          <w:sz w:val="28"/>
          <w:szCs w:val="28"/>
          <w:lang w:val="en-ZA"/>
        </w:rPr>
        <w:t>NS3</w:t>
      </w:r>
      <w:r w:rsidR="00D13217">
        <w:rPr>
          <w:rFonts w:ascii="Arial" w:eastAsia="Calibri" w:hAnsi="Arial" w:cs="Arial"/>
          <w:bCs/>
          <w:sz w:val="28"/>
          <w:szCs w:val="28"/>
          <w:lang w:val="en-ZA"/>
        </w:rPr>
        <w:t xml:space="preserve"> and </w:t>
      </w:r>
      <w:r w:rsidR="00D13217" w:rsidRPr="00D13217">
        <w:rPr>
          <w:rFonts w:ascii="Arial" w:eastAsia="Calibri" w:hAnsi="Arial" w:cs="Arial"/>
          <w:b/>
          <w:sz w:val="28"/>
          <w:szCs w:val="28"/>
          <w:lang w:val="en-ZA"/>
        </w:rPr>
        <w:t>NS</w:t>
      </w:r>
      <w:r w:rsidR="00CE7B73" w:rsidRPr="00D13217">
        <w:rPr>
          <w:rFonts w:ascii="Arial" w:eastAsia="Calibri" w:hAnsi="Arial" w:cs="Arial"/>
          <w:b/>
          <w:sz w:val="28"/>
          <w:szCs w:val="28"/>
          <w:lang w:val="en-ZA"/>
        </w:rPr>
        <w:t xml:space="preserve">4 </w:t>
      </w:r>
      <w:r w:rsidR="00CE7B73" w:rsidRPr="00CE7B73">
        <w:rPr>
          <w:rFonts w:ascii="Arial" w:eastAsia="Calibri" w:hAnsi="Arial" w:cs="Arial"/>
          <w:bCs/>
          <w:sz w:val="28"/>
          <w:szCs w:val="28"/>
          <w:lang w:val="en-ZA"/>
        </w:rPr>
        <w:t>and</w:t>
      </w:r>
      <w:r w:rsidR="00D13217">
        <w:rPr>
          <w:rFonts w:ascii="Arial" w:eastAsia="Calibri" w:hAnsi="Arial" w:cs="Arial"/>
          <w:bCs/>
          <w:sz w:val="28"/>
          <w:szCs w:val="28"/>
          <w:lang w:val="en-ZA"/>
        </w:rPr>
        <w:t xml:space="preserve"> therefore Applicant cannot claim privilege </w:t>
      </w:r>
      <w:r w:rsidR="00E22414">
        <w:rPr>
          <w:rFonts w:ascii="Arial" w:eastAsia="Calibri" w:hAnsi="Arial" w:cs="Arial"/>
          <w:bCs/>
          <w:sz w:val="28"/>
          <w:szCs w:val="28"/>
          <w:lang w:val="en-ZA"/>
        </w:rPr>
        <w:t xml:space="preserve">over those annexures. </w:t>
      </w:r>
      <w:r w:rsidR="00D13217">
        <w:rPr>
          <w:rFonts w:ascii="Arial" w:eastAsia="Calibri" w:hAnsi="Arial" w:cs="Arial"/>
          <w:bCs/>
          <w:sz w:val="28"/>
          <w:szCs w:val="28"/>
          <w:lang w:val="en-ZA"/>
        </w:rPr>
        <w:t xml:space="preserve"> </w:t>
      </w:r>
    </w:p>
    <w:p w14:paraId="5BD19DB6" w14:textId="77777777" w:rsidR="00A360A8" w:rsidRPr="00A360A8" w:rsidRDefault="00A360A8" w:rsidP="00A360A8">
      <w:pPr>
        <w:spacing w:line="480" w:lineRule="auto"/>
        <w:jc w:val="both"/>
        <w:rPr>
          <w:rFonts w:ascii="Arial" w:eastAsia="Calibri" w:hAnsi="Arial" w:cs="Arial"/>
          <w:sz w:val="28"/>
          <w:szCs w:val="28"/>
          <w:lang w:val="en-ZA"/>
        </w:rPr>
      </w:pPr>
    </w:p>
    <w:p w14:paraId="139C3878" w14:textId="09E09396" w:rsidR="00A360A8" w:rsidRPr="00CD03EE" w:rsidRDefault="00A360A8" w:rsidP="00A360A8">
      <w:pPr>
        <w:spacing w:line="480" w:lineRule="auto"/>
        <w:ind w:left="720" w:hanging="720"/>
        <w:jc w:val="both"/>
        <w:rPr>
          <w:rFonts w:ascii="Arial" w:eastAsia="Calibri" w:hAnsi="Arial" w:cs="Arial"/>
          <w:bCs/>
          <w:sz w:val="28"/>
          <w:szCs w:val="28"/>
          <w:lang w:val="en-ZA"/>
        </w:rPr>
      </w:pPr>
      <w:r w:rsidRPr="00A360A8">
        <w:rPr>
          <w:rFonts w:ascii="Arial" w:eastAsia="Calibri" w:hAnsi="Arial" w:cs="Arial"/>
          <w:b/>
          <w:sz w:val="28"/>
          <w:szCs w:val="28"/>
          <w:lang w:val="en-ZA"/>
        </w:rPr>
        <w:t>[1</w:t>
      </w:r>
      <w:r w:rsidR="00655A93">
        <w:rPr>
          <w:rFonts w:ascii="Arial" w:eastAsia="Calibri" w:hAnsi="Arial" w:cs="Arial"/>
          <w:b/>
          <w:sz w:val="28"/>
          <w:szCs w:val="28"/>
          <w:lang w:val="en-ZA"/>
        </w:rPr>
        <w:t>1</w:t>
      </w:r>
      <w:r w:rsidRPr="00A360A8">
        <w:rPr>
          <w:rFonts w:ascii="Arial" w:eastAsia="Calibri" w:hAnsi="Arial" w:cs="Arial"/>
          <w:b/>
          <w:sz w:val="28"/>
          <w:szCs w:val="28"/>
          <w:lang w:val="en-ZA"/>
        </w:rPr>
        <w:t>]</w:t>
      </w:r>
      <w:r w:rsidRPr="00A360A8">
        <w:rPr>
          <w:rFonts w:ascii="Arial" w:eastAsia="Calibri" w:hAnsi="Arial" w:cs="Arial"/>
          <w:b/>
          <w:sz w:val="28"/>
          <w:szCs w:val="28"/>
          <w:lang w:val="en-ZA"/>
        </w:rPr>
        <w:tab/>
      </w:r>
      <w:r w:rsidR="00CD03EE" w:rsidRPr="00CD03EE">
        <w:rPr>
          <w:rFonts w:ascii="Arial" w:eastAsia="Calibri" w:hAnsi="Arial" w:cs="Arial"/>
          <w:bCs/>
          <w:sz w:val="28"/>
          <w:szCs w:val="28"/>
          <w:lang w:val="en-ZA"/>
        </w:rPr>
        <w:t>Just</w:t>
      </w:r>
      <w:r w:rsidR="00CD03EE">
        <w:rPr>
          <w:rFonts w:ascii="Arial" w:eastAsia="Calibri" w:hAnsi="Arial" w:cs="Arial"/>
          <w:b/>
          <w:sz w:val="28"/>
          <w:szCs w:val="28"/>
          <w:lang w:val="en-ZA"/>
        </w:rPr>
        <w:t xml:space="preserve"> </w:t>
      </w:r>
      <w:r w:rsidR="00CD03EE" w:rsidRPr="00CD03EE">
        <w:rPr>
          <w:rFonts w:ascii="Arial" w:eastAsia="Calibri" w:hAnsi="Arial" w:cs="Arial"/>
          <w:bCs/>
          <w:sz w:val="28"/>
          <w:szCs w:val="28"/>
          <w:lang w:val="en-ZA"/>
        </w:rPr>
        <w:t>like</w:t>
      </w:r>
      <w:r w:rsidR="00CD03EE">
        <w:rPr>
          <w:rFonts w:ascii="Arial" w:eastAsia="Calibri" w:hAnsi="Arial" w:cs="Arial"/>
          <w:b/>
          <w:sz w:val="28"/>
          <w:szCs w:val="28"/>
          <w:lang w:val="en-ZA"/>
        </w:rPr>
        <w:t xml:space="preserve"> </w:t>
      </w:r>
      <w:r w:rsidR="00CD03EE">
        <w:rPr>
          <w:rFonts w:ascii="Arial" w:eastAsia="Calibri" w:hAnsi="Arial" w:cs="Arial"/>
          <w:bCs/>
          <w:sz w:val="28"/>
          <w:szCs w:val="28"/>
          <w:lang w:val="en-ZA"/>
        </w:rPr>
        <w:t xml:space="preserve">in the case of </w:t>
      </w:r>
      <w:r w:rsidR="00CD03EE" w:rsidRPr="00DE70CD">
        <w:rPr>
          <w:rFonts w:ascii="Arial" w:eastAsia="Calibri" w:hAnsi="Arial" w:cs="Arial"/>
          <w:b/>
          <w:sz w:val="28"/>
          <w:szCs w:val="28"/>
          <w:lang w:val="en-ZA"/>
        </w:rPr>
        <w:t>Naidoo</w:t>
      </w:r>
      <w:r w:rsidR="00DE70CD">
        <w:rPr>
          <w:rFonts w:ascii="Arial" w:eastAsia="Calibri" w:hAnsi="Arial" w:cs="Arial"/>
          <w:b/>
          <w:sz w:val="28"/>
          <w:szCs w:val="28"/>
          <w:lang w:val="en-ZA"/>
        </w:rPr>
        <w:t xml:space="preserve"> </w:t>
      </w:r>
      <w:r w:rsidR="00DE70CD" w:rsidRPr="00DE70CD">
        <w:rPr>
          <w:rFonts w:ascii="Arial" w:eastAsia="Calibri" w:hAnsi="Arial" w:cs="Arial"/>
          <w:bCs/>
          <w:i/>
          <w:iCs/>
          <w:sz w:val="28"/>
          <w:szCs w:val="28"/>
          <w:lang w:val="en-ZA"/>
        </w:rPr>
        <w:t>(supra)</w:t>
      </w:r>
      <w:r w:rsidR="00DE70CD">
        <w:rPr>
          <w:rFonts w:ascii="Arial" w:eastAsia="Calibri" w:hAnsi="Arial" w:cs="Arial"/>
          <w:bCs/>
          <w:i/>
          <w:iCs/>
          <w:sz w:val="28"/>
          <w:szCs w:val="28"/>
          <w:lang w:val="en-ZA"/>
        </w:rPr>
        <w:t>,</w:t>
      </w:r>
      <w:r w:rsidR="00CD03EE">
        <w:rPr>
          <w:rFonts w:ascii="Arial" w:eastAsia="Calibri" w:hAnsi="Arial" w:cs="Arial"/>
          <w:bCs/>
          <w:sz w:val="28"/>
          <w:szCs w:val="28"/>
          <w:lang w:val="en-ZA"/>
        </w:rPr>
        <w:t xml:space="preserve"> there were letters written to the other party </w:t>
      </w:r>
      <w:r w:rsidR="00DE70CD">
        <w:rPr>
          <w:rFonts w:ascii="Arial" w:eastAsia="Calibri" w:hAnsi="Arial" w:cs="Arial"/>
          <w:bCs/>
          <w:sz w:val="28"/>
          <w:szCs w:val="28"/>
          <w:lang w:val="en-ZA"/>
        </w:rPr>
        <w:t>‘</w:t>
      </w:r>
      <w:r w:rsidR="00CD03EE">
        <w:rPr>
          <w:rFonts w:ascii="Arial" w:eastAsia="Calibri" w:hAnsi="Arial" w:cs="Arial"/>
          <w:bCs/>
          <w:sz w:val="28"/>
          <w:szCs w:val="28"/>
          <w:lang w:val="en-ZA"/>
        </w:rPr>
        <w:t>without prejudice</w:t>
      </w:r>
      <w:r w:rsidR="00DE70CD">
        <w:rPr>
          <w:rFonts w:ascii="Arial" w:eastAsia="Calibri" w:hAnsi="Arial" w:cs="Arial"/>
          <w:bCs/>
          <w:sz w:val="28"/>
          <w:szCs w:val="28"/>
          <w:lang w:val="en-ZA"/>
        </w:rPr>
        <w:t>’</w:t>
      </w:r>
      <w:r w:rsidR="00CD03EE">
        <w:rPr>
          <w:rFonts w:ascii="Arial" w:eastAsia="Calibri" w:hAnsi="Arial" w:cs="Arial"/>
          <w:bCs/>
          <w:sz w:val="28"/>
          <w:szCs w:val="28"/>
          <w:lang w:val="en-ZA"/>
        </w:rPr>
        <w:t xml:space="preserve"> in trying to settle the disputes between the parties. Similarly, in </w:t>
      </w:r>
      <w:r w:rsidR="00CD03EE" w:rsidRPr="00CD03EE">
        <w:rPr>
          <w:rFonts w:ascii="Arial" w:eastAsia="Calibri" w:hAnsi="Arial" w:cs="Arial"/>
          <w:bCs/>
          <w:i/>
          <w:iCs/>
          <w:sz w:val="28"/>
          <w:szCs w:val="28"/>
          <w:lang w:val="en-ZA"/>
        </w:rPr>
        <w:t>casu</w:t>
      </w:r>
      <w:r w:rsidR="00CD03EE">
        <w:rPr>
          <w:rFonts w:ascii="Arial" w:eastAsia="Calibri" w:hAnsi="Arial" w:cs="Arial"/>
          <w:bCs/>
          <w:sz w:val="28"/>
          <w:szCs w:val="28"/>
          <w:lang w:val="en-ZA"/>
        </w:rPr>
        <w:t>, Applicant wrote two letters</w:t>
      </w:r>
      <w:r w:rsidR="00D14EAC">
        <w:rPr>
          <w:rFonts w:ascii="Arial" w:eastAsia="Calibri" w:hAnsi="Arial" w:cs="Arial"/>
          <w:bCs/>
          <w:sz w:val="28"/>
          <w:szCs w:val="28"/>
          <w:lang w:val="en-ZA"/>
        </w:rPr>
        <w:t xml:space="preserve"> </w:t>
      </w:r>
      <w:r w:rsidR="00D14EAC">
        <w:rPr>
          <w:rFonts w:ascii="Arial" w:eastAsia="Calibri" w:hAnsi="Arial" w:cs="Arial"/>
          <w:bCs/>
          <w:sz w:val="28"/>
          <w:szCs w:val="28"/>
          <w:lang w:val="en-ZA"/>
        </w:rPr>
        <w:lastRenderedPageBreak/>
        <w:t>to the Respondent’s Counsel,</w:t>
      </w:r>
      <w:r w:rsidR="00CD03EE">
        <w:rPr>
          <w:rFonts w:ascii="Arial" w:eastAsia="Calibri" w:hAnsi="Arial" w:cs="Arial"/>
          <w:bCs/>
          <w:sz w:val="28"/>
          <w:szCs w:val="28"/>
          <w:lang w:val="en-ZA"/>
        </w:rPr>
        <w:t xml:space="preserve"> (annexures NS3 </w:t>
      </w:r>
      <w:r w:rsidR="00DE70CD">
        <w:rPr>
          <w:rFonts w:ascii="Arial" w:eastAsia="Calibri" w:hAnsi="Arial" w:cs="Arial"/>
          <w:bCs/>
          <w:sz w:val="28"/>
          <w:szCs w:val="28"/>
          <w:lang w:val="en-ZA"/>
        </w:rPr>
        <w:t>and NS4</w:t>
      </w:r>
      <w:r w:rsidR="0081154D">
        <w:rPr>
          <w:rFonts w:ascii="Arial" w:eastAsia="Calibri" w:hAnsi="Arial" w:cs="Arial"/>
          <w:bCs/>
          <w:sz w:val="28"/>
          <w:szCs w:val="28"/>
          <w:lang w:val="en-ZA"/>
        </w:rPr>
        <w:t xml:space="preserve"> respectively</w:t>
      </w:r>
      <w:r w:rsidR="00DE70CD">
        <w:rPr>
          <w:rFonts w:ascii="Arial" w:eastAsia="Calibri" w:hAnsi="Arial" w:cs="Arial"/>
          <w:bCs/>
          <w:sz w:val="28"/>
          <w:szCs w:val="28"/>
          <w:lang w:val="en-ZA"/>
        </w:rPr>
        <w:t xml:space="preserve">) in trying to settle the disputes over the assessment damages and storage costs. Such letters were written without prejudice </w:t>
      </w:r>
      <w:r w:rsidR="00D14EAC">
        <w:rPr>
          <w:rFonts w:ascii="Arial" w:eastAsia="Calibri" w:hAnsi="Arial" w:cs="Arial"/>
          <w:bCs/>
          <w:sz w:val="28"/>
          <w:szCs w:val="28"/>
          <w:lang w:val="en-ZA"/>
        </w:rPr>
        <w:t xml:space="preserve">as </w:t>
      </w:r>
      <w:r w:rsidR="00AF0195">
        <w:rPr>
          <w:rFonts w:ascii="Arial" w:eastAsia="Calibri" w:hAnsi="Arial" w:cs="Arial"/>
          <w:bCs/>
          <w:sz w:val="28"/>
          <w:szCs w:val="28"/>
          <w:lang w:val="en-ZA"/>
        </w:rPr>
        <w:t xml:space="preserve">such is </w:t>
      </w:r>
      <w:r w:rsidR="00DE70CD">
        <w:rPr>
          <w:rFonts w:ascii="Arial" w:eastAsia="Calibri" w:hAnsi="Arial" w:cs="Arial"/>
          <w:bCs/>
          <w:sz w:val="28"/>
          <w:szCs w:val="28"/>
          <w:lang w:val="en-ZA"/>
        </w:rPr>
        <w:t xml:space="preserve">reflected on </w:t>
      </w:r>
      <w:r w:rsidR="00AF0195">
        <w:rPr>
          <w:rFonts w:ascii="Arial" w:eastAsia="Calibri" w:hAnsi="Arial" w:cs="Arial"/>
          <w:bCs/>
          <w:sz w:val="28"/>
          <w:szCs w:val="28"/>
          <w:lang w:val="en-ZA"/>
        </w:rPr>
        <w:t>them</w:t>
      </w:r>
      <w:r w:rsidR="00DE70CD">
        <w:rPr>
          <w:rFonts w:ascii="Arial" w:eastAsia="Calibri" w:hAnsi="Arial" w:cs="Arial"/>
          <w:bCs/>
          <w:sz w:val="28"/>
          <w:szCs w:val="28"/>
          <w:lang w:val="en-ZA"/>
        </w:rPr>
        <w:t xml:space="preserve">. Based on the authority of </w:t>
      </w:r>
      <w:r w:rsidR="00DE70CD" w:rsidRPr="00DE70CD">
        <w:rPr>
          <w:rFonts w:ascii="Arial" w:eastAsia="Calibri" w:hAnsi="Arial" w:cs="Arial"/>
          <w:b/>
          <w:sz w:val="28"/>
          <w:szCs w:val="28"/>
          <w:lang w:val="en-ZA"/>
        </w:rPr>
        <w:t>Naidoo v</w:t>
      </w:r>
      <w:r w:rsidR="00DE70CD">
        <w:rPr>
          <w:rFonts w:ascii="Arial" w:eastAsia="Calibri" w:hAnsi="Arial" w:cs="Arial"/>
          <w:bCs/>
          <w:sz w:val="28"/>
          <w:szCs w:val="28"/>
          <w:lang w:val="en-ZA"/>
        </w:rPr>
        <w:t xml:space="preserve"> </w:t>
      </w:r>
      <w:r w:rsidR="00DE70CD" w:rsidRPr="00E21D30">
        <w:rPr>
          <w:rFonts w:ascii="Arial" w:eastAsia="Calibri" w:hAnsi="Arial" w:cs="Arial"/>
          <w:b/>
          <w:bCs/>
          <w:i/>
          <w:iCs/>
          <w:sz w:val="28"/>
          <w:szCs w:val="28"/>
          <w:lang w:val="en-ZA"/>
        </w:rPr>
        <w:t>Marine</w:t>
      </w:r>
      <w:r w:rsidR="00DE70CD">
        <w:rPr>
          <w:rFonts w:ascii="Arial" w:eastAsia="Calibri" w:hAnsi="Arial" w:cs="Arial"/>
          <w:b/>
          <w:bCs/>
          <w:i/>
          <w:iCs/>
          <w:sz w:val="28"/>
          <w:szCs w:val="28"/>
          <w:lang w:val="en-ZA"/>
        </w:rPr>
        <w:t xml:space="preserve"> and Trade Insurance Co. Ltd. Pty,</w:t>
      </w:r>
      <w:r w:rsidR="00DE70CD">
        <w:rPr>
          <w:rFonts w:ascii="Arial" w:eastAsia="Calibri" w:hAnsi="Arial" w:cs="Arial"/>
          <w:sz w:val="28"/>
          <w:szCs w:val="28"/>
          <w:lang w:val="en-ZA"/>
        </w:rPr>
        <w:t xml:space="preserve"> the Court is inclined to grant that the averments in the answering affidavit of the Respondent on the basis that such averments in and annexures </w:t>
      </w:r>
      <w:r w:rsidR="00BD1035">
        <w:rPr>
          <w:rFonts w:ascii="Arial" w:eastAsia="Calibri" w:hAnsi="Arial" w:cs="Arial"/>
          <w:sz w:val="28"/>
          <w:szCs w:val="28"/>
          <w:lang w:val="en-ZA"/>
        </w:rPr>
        <w:t>to the answering affidavit be struck out as are inadmissible since they were made without prejudice.</w:t>
      </w:r>
      <w:r w:rsidR="00DE70CD">
        <w:rPr>
          <w:rFonts w:ascii="Arial" w:eastAsia="Calibri" w:hAnsi="Arial" w:cs="Arial"/>
          <w:sz w:val="28"/>
          <w:szCs w:val="28"/>
          <w:lang w:val="en-ZA"/>
        </w:rPr>
        <w:t xml:space="preserve"> </w:t>
      </w:r>
      <w:r w:rsidR="00DE70CD">
        <w:rPr>
          <w:rFonts w:ascii="Arial" w:eastAsia="Calibri" w:hAnsi="Arial" w:cs="Arial"/>
          <w:b/>
          <w:bCs/>
          <w:i/>
          <w:iCs/>
          <w:sz w:val="28"/>
          <w:szCs w:val="28"/>
          <w:lang w:val="en-ZA"/>
        </w:rPr>
        <w:t xml:space="preserve"> </w:t>
      </w:r>
    </w:p>
    <w:p w14:paraId="6B2F15E7" w14:textId="77777777" w:rsidR="00A360A8" w:rsidRPr="00DE70CD" w:rsidRDefault="00A360A8" w:rsidP="00A360A8">
      <w:pPr>
        <w:spacing w:line="480" w:lineRule="auto"/>
        <w:jc w:val="both"/>
        <w:rPr>
          <w:rFonts w:ascii="Arial" w:eastAsia="Calibri" w:hAnsi="Arial" w:cs="Arial"/>
          <w:bCs/>
          <w:sz w:val="28"/>
          <w:szCs w:val="28"/>
          <w:lang w:val="en-ZA"/>
        </w:rPr>
      </w:pPr>
    </w:p>
    <w:p w14:paraId="5D61F688" w14:textId="6C5C0A6D" w:rsidR="00091A69" w:rsidRDefault="00A360A8" w:rsidP="00A360A8">
      <w:pPr>
        <w:spacing w:after="0"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[1</w:t>
      </w:r>
      <w:r w:rsidR="00655A93">
        <w:rPr>
          <w:rFonts w:ascii="Arial" w:eastAsia="Calibri" w:hAnsi="Arial" w:cs="Arial"/>
          <w:b/>
          <w:sz w:val="28"/>
          <w:szCs w:val="28"/>
          <w:lang w:val="en-ZA"/>
        </w:rPr>
        <w:t>2</w:t>
      </w:r>
      <w:r w:rsidRPr="00A360A8">
        <w:rPr>
          <w:rFonts w:ascii="Arial" w:eastAsia="Calibri" w:hAnsi="Arial" w:cs="Arial"/>
          <w:b/>
          <w:sz w:val="28"/>
          <w:szCs w:val="28"/>
          <w:lang w:val="en-ZA"/>
        </w:rPr>
        <w:t>]</w:t>
      </w:r>
      <w:r w:rsidRPr="00A360A8">
        <w:rPr>
          <w:rFonts w:ascii="Arial" w:eastAsia="Calibri" w:hAnsi="Arial" w:cs="Arial"/>
          <w:b/>
          <w:sz w:val="28"/>
          <w:szCs w:val="28"/>
          <w:lang w:val="en-ZA"/>
        </w:rPr>
        <w:tab/>
      </w:r>
      <w:r w:rsidR="00D82983">
        <w:rPr>
          <w:rFonts w:ascii="Arial" w:eastAsia="Calibri" w:hAnsi="Arial" w:cs="Arial"/>
          <w:bCs/>
          <w:sz w:val="28"/>
          <w:szCs w:val="28"/>
          <w:lang w:val="en-ZA"/>
        </w:rPr>
        <w:t>Coming</w:t>
      </w:r>
      <w:r w:rsidR="00037663">
        <w:rPr>
          <w:rFonts w:ascii="Arial" w:eastAsia="Calibri" w:hAnsi="Arial" w:cs="Arial"/>
          <w:bCs/>
          <w:sz w:val="28"/>
          <w:szCs w:val="28"/>
          <w:lang w:val="en-ZA"/>
        </w:rPr>
        <w:t xml:space="preserve"> </w:t>
      </w:r>
      <w:r w:rsidR="005F5A1C">
        <w:rPr>
          <w:rFonts w:ascii="Arial" w:eastAsia="Calibri" w:hAnsi="Arial" w:cs="Arial"/>
          <w:sz w:val="28"/>
          <w:szCs w:val="28"/>
          <w:lang w:val="en-ZA"/>
        </w:rPr>
        <w:t xml:space="preserve">into the merits, the salient issue is whether in the circumstances there was an agreement relating to the assessment of the damaged Toyota Fortuner as well as its storage costs. </w:t>
      </w:r>
      <w:r w:rsidR="009E0C3D">
        <w:rPr>
          <w:rFonts w:ascii="Arial" w:eastAsia="Calibri" w:hAnsi="Arial" w:cs="Arial"/>
          <w:sz w:val="28"/>
          <w:szCs w:val="28"/>
          <w:lang w:val="en-ZA"/>
        </w:rPr>
        <w:t xml:space="preserve"> </w:t>
      </w:r>
    </w:p>
    <w:p w14:paraId="257D57B3" w14:textId="77777777" w:rsidR="00091A69" w:rsidRDefault="00091A69" w:rsidP="00A360A8">
      <w:pPr>
        <w:spacing w:after="0" w:line="480" w:lineRule="auto"/>
        <w:ind w:left="720" w:hanging="720"/>
        <w:jc w:val="both"/>
        <w:rPr>
          <w:rFonts w:ascii="Arial" w:eastAsia="Calibri" w:hAnsi="Arial" w:cs="Arial"/>
          <w:b/>
          <w:sz w:val="28"/>
          <w:szCs w:val="28"/>
          <w:lang w:val="en-ZA"/>
        </w:rPr>
      </w:pPr>
    </w:p>
    <w:p w14:paraId="4C0E9289" w14:textId="48DB960D" w:rsidR="00875CAC" w:rsidRPr="00091A69" w:rsidRDefault="00091A69" w:rsidP="00091A69">
      <w:pPr>
        <w:spacing w:after="0" w:line="480" w:lineRule="auto"/>
        <w:ind w:left="720" w:hanging="720"/>
        <w:jc w:val="both"/>
        <w:rPr>
          <w:rFonts w:ascii="Arial" w:eastAsia="Calibri" w:hAnsi="Arial" w:cs="Arial"/>
          <w:b/>
          <w:sz w:val="28"/>
          <w:szCs w:val="28"/>
          <w:lang w:val="en-ZA"/>
        </w:rPr>
      </w:pPr>
      <w:r>
        <w:rPr>
          <w:rFonts w:ascii="Arial" w:eastAsia="Calibri" w:hAnsi="Arial" w:cs="Arial"/>
          <w:b/>
          <w:sz w:val="28"/>
          <w:szCs w:val="28"/>
          <w:lang w:val="en-ZA"/>
        </w:rPr>
        <w:t>[1</w:t>
      </w:r>
      <w:r w:rsidR="00655A93">
        <w:rPr>
          <w:rFonts w:ascii="Arial" w:eastAsia="Calibri" w:hAnsi="Arial" w:cs="Arial"/>
          <w:b/>
          <w:sz w:val="28"/>
          <w:szCs w:val="28"/>
          <w:lang w:val="en-ZA"/>
        </w:rPr>
        <w:t>3</w:t>
      </w:r>
      <w:r>
        <w:rPr>
          <w:rFonts w:ascii="Arial" w:eastAsia="Calibri" w:hAnsi="Arial" w:cs="Arial"/>
          <w:b/>
          <w:sz w:val="28"/>
          <w:szCs w:val="28"/>
          <w:lang w:val="en-ZA"/>
        </w:rPr>
        <w:t>]</w:t>
      </w:r>
      <w:r>
        <w:rPr>
          <w:rFonts w:ascii="Arial" w:eastAsia="Calibri" w:hAnsi="Arial" w:cs="Arial"/>
          <w:b/>
          <w:sz w:val="28"/>
          <w:szCs w:val="28"/>
          <w:lang w:val="en-ZA"/>
        </w:rPr>
        <w:tab/>
      </w:r>
      <w:r w:rsidR="00BE7CBD">
        <w:rPr>
          <w:rFonts w:ascii="Arial" w:eastAsia="Calibri" w:hAnsi="Arial" w:cs="Arial"/>
          <w:sz w:val="28"/>
          <w:szCs w:val="28"/>
          <w:lang w:val="en-ZA"/>
        </w:rPr>
        <w:t>The law is that for</w:t>
      </w:r>
      <w:r w:rsidR="00A77E5C">
        <w:rPr>
          <w:rFonts w:ascii="Arial" w:eastAsia="Calibri" w:hAnsi="Arial" w:cs="Arial"/>
          <w:sz w:val="28"/>
          <w:szCs w:val="28"/>
          <w:lang w:val="en-ZA"/>
        </w:rPr>
        <w:t xml:space="preserve"> a contract to be enforceable, it </w:t>
      </w:r>
      <w:r w:rsidR="000F248B">
        <w:rPr>
          <w:rFonts w:ascii="Arial" w:eastAsia="Calibri" w:hAnsi="Arial" w:cs="Arial"/>
          <w:sz w:val="28"/>
          <w:szCs w:val="28"/>
          <w:lang w:val="en-ZA"/>
        </w:rPr>
        <w:t xml:space="preserve">must </w:t>
      </w:r>
      <w:r w:rsidR="00A77E5C">
        <w:rPr>
          <w:rFonts w:ascii="Arial" w:eastAsia="Calibri" w:hAnsi="Arial" w:cs="Arial"/>
          <w:sz w:val="28"/>
          <w:szCs w:val="28"/>
          <w:lang w:val="en-ZA"/>
        </w:rPr>
        <w:t xml:space="preserve">consist </w:t>
      </w:r>
      <w:r w:rsidR="003A423F">
        <w:rPr>
          <w:rFonts w:ascii="Arial" w:eastAsia="Calibri" w:hAnsi="Arial" w:cs="Arial"/>
          <w:sz w:val="28"/>
          <w:szCs w:val="28"/>
          <w:lang w:val="en-ZA"/>
        </w:rPr>
        <w:t xml:space="preserve">of </w:t>
      </w:r>
      <w:r w:rsidR="00A77E5C">
        <w:rPr>
          <w:rFonts w:ascii="Arial" w:eastAsia="Calibri" w:hAnsi="Arial" w:cs="Arial"/>
          <w:sz w:val="28"/>
          <w:szCs w:val="28"/>
          <w:lang w:val="en-ZA"/>
        </w:rPr>
        <w:t xml:space="preserve">an offer and acceptance. The offer requires a manifestation of willingness to enter bargain. Therefore, an offer requires some act that gives another person the power to create contractual relationship between the parties. For a special purpose of analysing transaction to decide whether an agreement has been reached, and </w:t>
      </w:r>
      <w:r w:rsidR="00A77E5C">
        <w:rPr>
          <w:rFonts w:ascii="Arial" w:eastAsia="Calibri" w:hAnsi="Arial" w:cs="Arial"/>
          <w:sz w:val="28"/>
          <w:szCs w:val="28"/>
          <w:lang w:val="en-ZA"/>
        </w:rPr>
        <w:lastRenderedPageBreak/>
        <w:t xml:space="preserve">if so, where and when the word “offer” has acquired </w:t>
      </w:r>
      <w:r w:rsidR="005E1C58">
        <w:rPr>
          <w:rFonts w:ascii="Arial" w:eastAsia="Calibri" w:hAnsi="Arial" w:cs="Arial"/>
          <w:sz w:val="28"/>
          <w:szCs w:val="28"/>
          <w:lang w:val="en-ZA"/>
        </w:rPr>
        <w:t xml:space="preserve">some characteristics of a term of art. </w:t>
      </w:r>
    </w:p>
    <w:p w14:paraId="53AB3CE9" w14:textId="77777777" w:rsidR="00875CAC" w:rsidRDefault="00875CAC" w:rsidP="00875CAC">
      <w:pPr>
        <w:spacing w:after="0" w:line="480" w:lineRule="auto"/>
        <w:ind w:left="720"/>
        <w:jc w:val="both"/>
        <w:rPr>
          <w:rFonts w:ascii="Arial" w:eastAsia="Calibri" w:hAnsi="Arial" w:cs="Arial"/>
          <w:b/>
          <w:sz w:val="28"/>
          <w:szCs w:val="28"/>
          <w:lang w:val="en-ZA"/>
        </w:rPr>
      </w:pPr>
    </w:p>
    <w:p w14:paraId="0868359C" w14:textId="75CBE42F" w:rsidR="00A360A8" w:rsidRDefault="005E1C58" w:rsidP="00875CAC">
      <w:pPr>
        <w:spacing w:after="0" w:line="480" w:lineRule="auto"/>
        <w:ind w:left="720"/>
        <w:jc w:val="both"/>
        <w:rPr>
          <w:rFonts w:ascii="Arial" w:eastAsia="Calibri" w:hAnsi="Arial" w:cs="Arial"/>
          <w:b/>
          <w:bCs/>
          <w:sz w:val="28"/>
          <w:szCs w:val="28"/>
          <w:lang w:val="en-ZA"/>
        </w:rPr>
      </w:pPr>
      <w:r>
        <w:rPr>
          <w:rFonts w:ascii="Arial" w:eastAsia="Calibri" w:hAnsi="Arial" w:cs="Arial"/>
          <w:sz w:val="28"/>
          <w:szCs w:val="28"/>
          <w:lang w:val="en-ZA"/>
        </w:rPr>
        <w:t xml:space="preserve">A person is said to make an offer when he puts forward a proposal with the intention that by its mere acceptance without more, a contract should be formed. </w:t>
      </w:r>
      <w:r w:rsidR="003A3D94">
        <w:rPr>
          <w:rFonts w:ascii="Arial" w:eastAsia="Calibri" w:hAnsi="Arial" w:cs="Arial"/>
          <w:sz w:val="28"/>
          <w:szCs w:val="28"/>
          <w:lang w:val="en-ZA"/>
        </w:rPr>
        <w:t xml:space="preserve"> The intention, of course may be express of implied. </w:t>
      </w:r>
      <w:r w:rsidR="003A3D94" w:rsidRPr="003A3D94">
        <w:rPr>
          <w:rFonts w:ascii="Arial" w:eastAsia="Calibri" w:hAnsi="Arial" w:cs="Arial"/>
          <w:b/>
          <w:bCs/>
          <w:sz w:val="28"/>
          <w:szCs w:val="28"/>
          <w:lang w:val="en-ZA"/>
        </w:rPr>
        <w:t>See</w:t>
      </w:r>
      <w:r w:rsidR="004C5E22">
        <w:rPr>
          <w:rFonts w:ascii="Arial" w:eastAsia="Calibri" w:hAnsi="Arial" w:cs="Arial"/>
          <w:b/>
          <w:bCs/>
          <w:sz w:val="28"/>
          <w:szCs w:val="28"/>
          <w:lang w:val="en-ZA"/>
        </w:rPr>
        <w:t>:</w:t>
      </w:r>
      <w:r w:rsidR="003A3D94" w:rsidRPr="003A3D94">
        <w:rPr>
          <w:rFonts w:ascii="Arial" w:eastAsia="Calibri" w:hAnsi="Arial" w:cs="Arial"/>
          <w:b/>
          <w:bCs/>
          <w:sz w:val="28"/>
          <w:szCs w:val="28"/>
          <w:lang w:val="en-ZA"/>
        </w:rPr>
        <w:t xml:space="preserve"> The Law of Contract in South Africa 5</w:t>
      </w:r>
      <w:r w:rsidR="003A3D94" w:rsidRPr="003A3D94">
        <w:rPr>
          <w:rFonts w:ascii="Arial" w:eastAsia="Calibri" w:hAnsi="Arial" w:cs="Arial"/>
          <w:b/>
          <w:bCs/>
          <w:sz w:val="28"/>
          <w:szCs w:val="28"/>
          <w:vertAlign w:val="superscript"/>
          <w:lang w:val="en-ZA"/>
        </w:rPr>
        <w:t>th</w:t>
      </w:r>
      <w:r w:rsidR="003A3D94" w:rsidRPr="003A3D94">
        <w:rPr>
          <w:rFonts w:ascii="Arial" w:eastAsia="Calibri" w:hAnsi="Arial" w:cs="Arial"/>
          <w:b/>
          <w:bCs/>
          <w:sz w:val="28"/>
          <w:szCs w:val="28"/>
          <w:lang w:val="en-ZA"/>
        </w:rPr>
        <w:t xml:space="preserve"> Edition by RH Christie at page 29.</w:t>
      </w:r>
    </w:p>
    <w:p w14:paraId="0AB77DD2" w14:textId="0201BDCC" w:rsidR="00875CAC" w:rsidRDefault="00875CAC" w:rsidP="00A360A8">
      <w:pPr>
        <w:spacing w:after="0" w:line="480" w:lineRule="auto"/>
        <w:ind w:left="720" w:hanging="720"/>
        <w:jc w:val="both"/>
        <w:rPr>
          <w:rFonts w:ascii="Arial" w:eastAsia="Calibri" w:hAnsi="Arial" w:cs="Arial"/>
          <w:sz w:val="28"/>
          <w:szCs w:val="28"/>
          <w:lang w:val="en-ZA"/>
        </w:rPr>
      </w:pPr>
      <w:r>
        <w:rPr>
          <w:rFonts w:ascii="Arial" w:eastAsia="Calibri" w:hAnsi="Arial" w:cs="Arial"/>
          <w:b/>
          <w:bCs/>
          <w:sz w:val="28"/>
          <w:szCs w:val="28"/>
          <w:lang w:val="en-ZA"/>
        </w:rPr>
        <w:tab/>
      </w:r>
      <w:r>
        <w:rPr>
          <w:rFonts w:ascii="Arial" w:eastAsia="Calibri" w:hAnsi="Arial" w:cs="Arial"/>
          <w:sz w:val="28"/>
          <w:szCs w:val="28"/>
          <w:lang w:val="en-ZA"/>
        </w:rPr>
        <w:t xml:space="preserve">In </w:t>
      </w:r>
      <w:proofErr w:type="spellStart"/>
      <w:r w:rsidRPr="00875CAC">
        <w:rPr>
          <w:rFonts w:ascii="Arial" w:eastAsia="Calibri" w:hAnsi="Arial" w:cs="Arial"/>
          <w:b/>
          <w:bCs/>
          <w:i/>
          <w:iCs/>
          <w:sz w:val="28"/>
          <w:szCs w:val="28"/>
          <w:lang w:val="en-ZA"/>
        </w:rPr>
        <w:t>Wasmuch</w:t>
      </w:r>
      <w:proofErr w:type="spellEnd"/>
      <w:r w:rsidRPr="00875CAC">
        <w:rPr>
          <w:rFonts w:ascii="Arial" w:eastAsia="Calibri" w:hAnsi="Arial" w:cs="Arial"/>
          <w:b/>
          <w:bCs/>
          <w:i/>
          <w:iCs/>
          <w:sz w:val="28"/>
          <w:szCs w:val="28"/>
          <w:lang w:val="en-ZA"/>
        </w:rPr>
        <w:t xml:space="preserve"> v J</w:t>
      </w:r>
      <w:r w:rsidR="00B25387" w:rsidRPr="00875CAC">
        <w:rPr>
          <w:rFonts w:ascii="Arial" w:eastAsia="Calibri" w:hAnsi="Arial" w:cs="Arial"/>
          <w:b/>
          <w:bCs/>
          <w:i/>
          <w:iCs/>
          <w:sz w:val="28"/>
          <w:szCs w:val="28"/>
          <w:lang w:val="en-ZA"/>
        </w:rPr>
        <w:t>a</w:t>
      </w:r>
      <w:r w:rsidRPr="00875CAC">
        <w:rPr>
          <w:rFonts w:ascii="Arial" w:eastAsia="Calibri" w:hAnsi="Arial" w:cs="Arial"/>
          <w:b/>
          <w:bCs/>
          <w:i/>
          <w:iCs/>
          <w:sz w:val="28"/>
          <w:szCs w:val="28"/>
          <w:lang w:val="en-ZA"/>
        </w:rPr>
        <w:t>cobs</w:t>
      </w:r>
      <w:r>
        <w:rPr>
          <w:rStyle w:val="FootnoteReference"/>
          <w:rFonts w:ascii="Arial" w:eastAsia="Calibri" w:hAnsi="Arial" w:cs="Arial"/>
          <w:b/>
          <w:bCs/>
          <w:i/>
          <w:iCs/>
          <w:sz w:val="28"/>
          <w:szCs w:val="28"/>
          <w:lang w:val="en-ZA"/>
        </w:rPr>
        <w:footnoteReference w:id="3"/>
      </w:r>
      <w:r>
        <w:rPr>
          <w:rFonts w:ascii="Arial" w:eastAsia="Calibri" w:hAnsi="Arial" w:cs="Arial"/>
          <w:b/>
          <w:bCs/>
          <w:i/>
          <w:iCs/>
          <w:sz w:val="28"/>
          <w:szCs w:val="28"/>
          <w:lang w:val="en-ZA"/>
        </w:rPr>
        <w:t xml:space="preserve"> </w:t>
      </w:r>
      <w:proofErr w:type="spellStart"/>
      <w:r>
        <w:rPr>
          <w:rFonts w:ascii="Arial" w:eastAsia="Calibri" w:hAnsi="Arial" w:cs="Arial"/>
          <w:sz w:val="28"/>
          <w:szCs w:val="28"/>
          <w:lang w:val="en-ZA"/>
        </w:rPr>
        <w:t>Hevy</w:t>
      </w:r>
      <w:proofErr w:type="spellEnd"/>
      <w:r>
        <w:rPr>
          <w:rFonts w:ascii="Arial" w:eastAsia="Calibri" w:hAnsi="Arial" w:cs="Arial"/>
          <w:sz w:val="28"/>
          <w:szCs w:val="28"/>
          <w:lang w:val="en-ZA"/>
        </w:rPr>
        <w:t xml:space="preserve"> J said:</w:t>
      </w:r>
    </w:p>
    <w:p w14:paraId="67FCB740" w14:textId="1C9A043E" w:rsidR="00875CAC" w:rsidRPr="00875CAC" w:rsidRDefault="00875CAC" w:rsidP="00A360A8">
      <w:pPr>
        <w:spacing w:after="0" w:line="480" w:lineRule="auto"/>
        <w:ind w:left="720" w:hanging="720"/>
        <w:jc w:val="both"/>
        <w:rPr>
          <w:rFonts w:ascii="Arial" w:eastAsia="Calibri" w:hAnsi="Arial" w:cs="Arial"/>
          <w:sz w:val="28"/>
          <w:szCs w:val="28"/>
          <w:lang w:val="en-ZA"/>
        </w:rPr>
      </w:pPr>
      <w:r>
        <w:rPr>
          <w:rFonts w:ascii="Arial" w:eastAsia="Calibri" w:hAnsi="Arial" w:cs="Arial"/>
          <w:sz w:val="28"/>
          <w:szCs w:val="28"/>
          <w:lang w:val="en-ZA"/>
        </w:rPr>
        <w:tab/>
        <w:t>“</w:t>
      </w:r>
      <w:r w:rsidRPr="00875CAC">
        <w:rPr>
          <w:rFonts w:ascii="Arial" w:eastAsia="Calibri" w:hAnsi="Arial" w:cs="Arial"/>
          <w:i/>
          <w:iCs/>
          <w:sz w:val="28"/>
          <w:szCs w:val="28"/>
          <w:lang w:val="en-ZA"/>
        </w:rPr>
        <w:t>it is fundamental to the nature of any offer that it should be certain and definite in its terms. It must be firm, that is, made with intention that when it is accepted, it will bind the offeror”</w:t>
      </w:r>
    </w:p>
    <w:p w14:paraId="20DD4A5C" w14:textId="77777777" w:rsidR="00A360A8" w:rsidRPr="00A360A8" w:rsidRDefault="00A360A8" w:rsidP="00A360A8">
      <w:pPr>
        <w:spacing w:line="480" w:lineRule="auto"/>
        <w:jc w:val="both"/>
        <w:rPr>
          <w:rFonts w:ascii="Arial" w:eastAsia="Calibri" w:hAnsi="Arial" w:cs="Arial"/>
          <w:sz w:val="28"/>
          <w:szCs w:val="28"/>
          <w:lang w:val="en-ZA"/>
        </w:rPr>
      </w:pPr>
      <w:r w:rsidRPr="00A360A8">
        <w:rPr>
          <w:rFonts w:ascii="Arial" w:eastAsia="Calibri" w:hAnsi="Arial" w:cs="Arial"/>
          <w:b/>
          <w:sz w:val="28"/>
          <w:szCs w:val="28"/>
          <w:lang w:val="en-ZA"/>
        </w:rPr>
        <w:t xml:space="preserve"> </w:t>
      </w:r>
    </w:p>
    <w:p w14:paraId="647A7719" w14:textId="5D13F1F1" w:rsidR="00A360A8" w:rsidRDefault="00A360A8" w:rsidP="00A360A8">
      <w:pPr>
        <w:spacing w:line="480" w:lineRule="auto"/>
        <w:ind w:left="720" w:hanging="720"/>
        <w:jc w:val="both"/>
        <w:rPr>
          <w:rFonts w:ascii="Arial" w:eastAsia="Calibri" w:hAnsi="Arial" w:cs="Arial"/>
          <w:sz w:val="28"/>
          <w:szCs w:val="28"/>
          <w:lang w:val="en-ZA"/>
        </w:rPr>
      </w:pPr>
      <w:r w:rsidRPr="00A360A8">
        <w:rPr>
          <w:rFonts w:ascii="Arial" w:eastAsia="Calibri" w:hAnsi="Arial" w:cs="Arial"/>
          <w:b/>
          <w:sz w:val="28"/>
          <w:szCs w:val="28"/>
          <w:lang w:val="en-ZA"/>
        </w:rPr>
        <w:t>[</w:t>
      </w:r>
      <w:r w:rsidR="00AD05AE">
        <w:rPr>
          <w:rFonts w:ascii="Arial" w:eastAsia="Calibri" w:hAnsi="Arial" w:cs="Arial"/>
          <w:b/>
          <w:sz w:val="28"/>
          <w:szCs w:val="28"/>
          <w:lang w:val="en-ZA"/>
        </w:rPr>
        <w:t>1</w:t>
      </w:r>
      <w:r w:rsidR="00655A93">
        <w:rPr>
          <w:rFonts w:ascii="Arial" w:eastAsia="Calibri" w:hAnsi="Arial" w:cs="Arial"/>
          <w:b/>
          <w:sz w:val="28"/>
          <w:szCs w:val="28"/>
          <w:lang w:val="en-ZA"/>
        </w:rPr>
        <w:t>4</w:t>
      </w:r>
      <w:r w:rsidRPr="00A360A8">
        <w:rPr>
          <w:rFonts w:ascii="Arial" w:eastAsia="Calibri" w:hAnsi="Arial" w:cs="Arial"/>
          <w:b/>
          <w:sz w:val="28"/>
          <w:szCs w:val="28"/>
          <w:lang w:val="en-ZA"/>
        </w:rPr>
        <w:t>]</w:t>
      </w:r>
      <w:r w:rsidRPr="00A360A8">
        <w:rPr>
          <w:rFonts w:ascii="Arial" w:eastAsia="Calibri" w:hAnsi="Arial" w:cs="Arial"/>
          <w:sz w:val="28"/>
          <w:szCs w:val="28"/>
          <w:lang w:val="en-ZA"/>
        </w:rPr>
        <w:t xml:space="preserve"> </w:t>
      </w:r>
      <w:r w:rsidRPr="00A360A8">
        <w:rPr>
          <w:rFonts w:ascii="Arial" w:eastAsia="Calibri" w:hAnsi="Arial" w:cs="Arial"/>
          <w:sz w:val="28"/>
          <w:szCs w:val="28"/>
          <w:lang w:val="en-ZA"/>
        </w:rPr>
        <w:tab/>
      </w:r>
      <w:r w:rsidR="004C5E22">
        <w:rPr>
          <w:rFonts w:ascii="Arial" w:eastAsia="Calibri" w:hAnsi="Arial" w:cs="Arial"/>
          <w:sz w:val="28"/>
          <w:szCs w:val="28"/>
          <w:lang w:val="en-ZA"/>
        </w:rPr>
        <w:t xml:space="preserve">While </w:t>
      </w:r>
      <w:r w:rsidR="00AE7089">
        <w:rPr>
          <w:rFonts w:ascii="Arial" w:eastAsia="Calibri" w:hAnsi="Arial" w:cs="Arial"/>
          <w:sz w:val="28"/>
          <w:szCs w:val="28"/>
          <w:lang w:val="en-ZA"/>
        </w:rPr>
        <w:t>the Applicant dispute</w:t>
      </w:r>
      <w:r w:rsidR="000F248B">
        <w:rPr>
          <w:rFonts w:ascii="Arial" w:eastAsia="Calibri" w:hAnsi="Arial" w:cs="Arial"/>
          <w:sz w:val="28"/>
          <w:szCs w:val="28"/>
          <w:lang w:val="en-ZA"/>
        </w:rPr>
        <w:t>s</w:t>
      </w:r>
      <w:r w:rsidR="00AE7089">
        <w:rPr>
          <w:rFonts w:ascii="Arial" w:eastAsia="Calibri" w:hAnsi="Arial" w:cs="Arial"/>
          <w:sz w:val="28"/>
          <w:szCs w:val="28"/>
          <w:lang w:val="en-ZA"/>
        </w:rPr>
        <w:t xml:space="preserve"> the existence of any agreement between the parties, significantly, in their answering affidavit, at paragraph 4, Respondent indicated that the vehicle was brought by one Vusi Matsoso to his workshop on the 19</w:t>
      </w:r>
      <w:r w:rsidR="00AE7089" w:rsidRPr="00AE7089">
        <w:rPr>
          <w:rFonts w:ascii="Arial" w:eastAsia="Calibri" w:hAnsi="Arial" w:cs="Arial"/>
          <w:sz w:val="28"/>
          <w:szCs w:val="28"/>
          <w:vertAlign w:val="superscript"/>
          <w:lang w:val="en-ZA"/>
        </w:rPr>
        <w:t>th</w:t>
      </w:r>
      <w:r w:rsidR="00AE7089">
        <w:rPr>
          <w:rFonts w:ascii="Arial" w:eastAsia="Calibri" w:hAnsi="Arial" w:cs="Arial"/>
          <w:sz w:val="28"/>
          <w:szCs w:val="28"/>
          <w:lang w:val="en-ZA"/>
        </w:rPr>
        <w:t xml:space="preserve"> May 2020, and this averments were not denied or rebutted by the Applicant.</w:t>
      </w:r>
      <w:r w:rsidR="005E75A8">
        <w:rPr>
          <w:rFonts w:ascii="Arial" w:eastAsia="Calibri" w:hAnsi="Arial" w:cs="Arial"/>
          <w:sz w:val="28"/>
          <w:szCs w:val="28"/>
          <w:lang w:val="en-ZA"/>
        </w:rPr>
        <w:t xml:space="preserve"> It is </w:t>
      </w:r>
      <w:r w:rsidR="00F309A8">
        <w:rPr>
          <w:rFonts w:ascii="Arial" w:eastAsia="Calibri" w:hAnsi="Arial" w:cs="Arial"/>
          <w:sz w:val="28"/>
          <w:szCs w:val="28"/>
          <w:lang w:val="en-ZA"/>
        </w:rPr>
        <w:t>clear</w:t>
      </w:r>
      <w:r w:rsidR="005E75A8">
        <w:rPr>
          <w:rFonts w:ascii="Arial" w:eastAsia="Calibri" w:hAnsi="Arial" w:cs="Arial"/>
          <w:sz w:val="28"/>
          <w:szCs w:val="28"/>
          <w:lang w:val="en-ZA"/>
        </w:rPr>
        <w:t xml:space="preserve"> that there is a dispute of fact in this case, namely the existence of an agreement.</w:t>
      </w:r>
      <w:r w:rsidR="00B0368C">
        <w:rPr>
          <w:rFonts w:ascii="Arial" w:eastAsia="Calibri" w:hAnsi="Arial" w:cs="Arial"/>
          <w:sz w:val="28"/>
          <w:szCs w:val="28"/>
          <w:lang w:val="en-ZA"/>
        </w:rPr>
        <w:t xml:space="preserve"> Applicant denies ever been any agreement between </w:t>
      </w:r>
      <w:r w:rsidR="00B0368C">
        <w:rPr>
          <w:rFonts w:ascii="Arial" w:eastAsia="Calibri" w:hAnsi="Arial" w:cs="Arial"/>
          <w:sz w:val="28"/>
          <w:szCs w:val="28"/>
          <w:lang w:val="en-ZA"/>
        </w:rPr>
        <w:lastRenderedPageBreak/>
        <w:t>the parties, while on the other hand, Respondent insisted the existence of such.</w:t>
      </w:r>
      <w:r w:rsidR="0032005D">
        <w:rPr>
          <w:rFonts w:ascii="Arial" w:eastAsia="Calibri" w:hAnsi="Arial" w:cs="Arial"/>
          <w:sz w:val="28"/>
          <w:szCs w:val="28"/>
          <w:lang w:val="en-ZA"/>
        </w:rPr>
        <w:t xml:space="preserve"> In </w:t>
      </w:r>
      <w:r w:rsidR="0032005D" w:rsidRPr="0032005D">
        <w:rPr>
          <w:rFonts w:ascii="Arial" w:eastAsia="Calibri" w:hAnsi="Arial" w:cs="Arial"/>
          <w:b/>
          <w:bCs/>
          <w:sz w:val="28"/>
          <w:szCs w:val="28"/>
          <w:lang w:val="en-ZA"/>
        </w:rPr>
        <w:t>MMC Construction Co (Pty) Ltd v Southern Lesotho Construction (Pty) Ltd and Others</w:t>
      </w:r>
      <w:r w:rsidR="0032005D">
        <w:rPr>
          <w:rFonts w:ascii="Arial" w:eastAsia="Calibri" w:hAnsi="Arial" w:cs="Arial"/>
          <w:sz w:val="28"/>
          <w:szCs w:val="28"/>
          <w:lang w:val="en-ZA"/>
        </w:rPr>
        <w:t>,</w:t>
      </w:r>
      <w:r w:rsidR="00394A7A">
        <w:rPr>
          <w:rStyle w:val="FootnoteReference"/>
          <w:rFonts w:ascii="Arial" w:eastAsia="Calibri" w:hAnsi="Arial" w:cs="Arial"/>
          <w:sz w:val="28"/>
          <w:szCs w:val="28"/>
          <w:lang w:val="en-ZA"/>
        </w:rPr>
        <w:footnoteReference w:id="4"/>
      </w:r>
      <w:r w:rsidR="0032005D">
        <w:rPr>
          <w:rFonts w:ascii="Arial" w:eastAsia="Calibri" w:hAnsi="Arial" w:cs="Arial"/>
          <w:sz w:val="28"/>
          <w:szCs w:val="28"/>
          <w:lang w:val="en-ZA"/>
        </w:rPr>
        <w:t xml:space="preserve"> </w:t>
      </w:r>
      <w:r w:rsidR="00890195">
        <w:rPr>
          <w:rFonts w:ascii="Arial" w:eastAsia="Calibri" w:hAnsi="Arial" w:cs="Arial"/>
          <w:sz w:val="28"/>
          <w:szCs w:val="28"/>
          <w:lang w:val="en-ZA"/>
        </w:rPr>
        <w:t>F.H Groskopf held that:</w:t>
      </w:r>
    </w:p>
    <w:p w14:paraId="0D37EA2A" w14:textId="75C1C8DE" w:rsidR="00890195" w:rsidRPr="00890195" w:rsidRDefault="00890195" w:rsidP="00A360A8">
      <w:pPr>
        <w:spacing w:line="480" w:lineRule="auto"/>
        <w:ind w:left="720" w:hanging="720"/>
        <w:jc w:val="both"/>
        <w:rPr>
          <w:rFonts w:ascii="Arial" w:eastAsia="Calibri" w:hAnsi="Arial" w:cs="Arial"/>
          <w:bCs/>
          <w:i/>
          <w:iCs/>
          <w:sz w:val="28"/>
          <w:szCs w:val="28"/>
          <w:lang w:val="en-ZA"/>
        </w:rPr>
      </w:pPr>
      <w:r>
        <w:rPr>
          <w:rFonts w:ascii="Arial" w:eastAsia="Calibri" w:hAnsi="Arial" w:cs="Arial"/>
          <w:b/>
          <w:sz w:val="28"/>
          <w:szCs w:val="28"/>
          <w:lang w:val="en-ZA"/>
        </w:rPr>
        <w:tab/>
      </w:r>
      <w:r w:rsidRPr="00890195">
        <w:rPr>
          <w:rFonts w:ascii="Arial" w:eastAsia="Calibri" w:hAnsi="Arial" w:cs="Arial"/>
          <w:bCs/>
          <w:sz w:val="28"/>
          <w:szCs w:val="28"/>
          <w:lang w:val="en-ZA"/>
        </w:rPr>
        <w:t>“</w:t>
      </w:r>
      <w:r w:rsidRPr="00890195">
        <w:rPr>
          <w:rFonts w:ascii="Arial" w:eastAsia="Calibri" w:hAnsi="Arial" w:cs="Arial"/>
          <w:bCs/>
          <w:i/>
          <w:iCs/>
          <w:sz w:val="28"/>
          <w:szCs w:val="28"/>
          <w:lang w:val="en-ZA"/>
        </w:rPr>
        <w:t>The le</w:t>
      </w:r>
      <w:r>
        <w:rPr>
          <w:rFonts w:ascii="Arial" w:eastAsia="Calibri" w:hAnsi="Arial" w:cs="Arial"/>
          <w:bCs/>
          <w:i/>
          <w:iCs/>
          <w:sz w:val="28"/>
          <w:szCs w:val="28"/>
          <w:lang w:val="en-ZA"/>
        </w:rPr>
        <w:t xml:space="preserve">gal position is clear. Where in proceedings on notice of motion, disputes of facts have arisen on affidavits, a final order, whether it be an interdict or some form of relief, may only be granted if those facts averred </w:t>
      </w:r>
      <w:r w:rsidR="00134854">
        <w:rPr>
          <w:rFonts w:ascii="Arial" w:eastAsia="Calibri" w:hAnsi="Arial" w:cs="Arial"/>
          <w:bCs/>
          <w:i/>
          <w:iCs/>
          <w:sz w:val="28"/>
          <w:szCs w:val="28"/>
          <w:lang w:val="en-ZA"/>
        </w:rPr>
        <w:t xml:space="preserve">in the applicant’s affidavit which have been admitted by the respondent, together with facts allegedly by the </w:t>
      </w:r>
      <w:r w:rsidR="007424AB">
        <w:rPr>
          <w:rFonts w:ascii="Arial" w:eastAsia="Calibri" w:hAnsi="Arial" w:cs="Arial"/>
          <w:bCs/>
          <w:i/>
          <w:iCs/>
          <w:sz w:val="28"/>
          <w:szCs w:val="28"/>
          <w:lang w:val="en-ZA"/>
        </w:rPr>
        <w:t>respondent, justify</w:t>
      </w:r>
      <w:r w:rsidR="00134854">
        <w:rPr>
          <w:rFonts w:ascii="Arial" w:eastAsia="Calibri" w:hAnsi="Arial" w:cs="Arial"/>
          <w:bCs/>
          <w:i/>
          <w:iCs/>
          <w:sz w:val="28"/>
          <w:szCs w:val="28"/>
          <w:lang w:val="en-ZA"/>
        </w:rPr>
        <w:t xml:space="preserve"> such an order.</w:t>
      </w:r>
      <w:r w:rsidR="007424AB">
        <w:rPr>
          <w:rFonts w:ascii="Arial" w:eastAsia="Calibri" w:hAnsi="Arial" w:cs="Arial"/>
          <w:bCs/>
          <w:i/>
          <w:iCs/>
          <w:sz w:val="28"/>
          <w:szCs w:val="28"/>
          <w:lang w:val="en-ZA"/>
        </w:rPr>
        <w:t>”</w:t>
      </w:r>
    </w:p>
    <w:p w14:paraId="4937E574" w14:textId="77777777" w:rsidR="00A360A8" w:rsidRPr="00A360A8" w:rsidRDefault="00A360A8" w:rsidP="00A360A8">
      <w:pPr>
        <w:spacing w:line="480" w:lineRule="auto"/>
        <w:jc w:val="both"/>
        <w:rPr>
          <w:rFonts w:ascii="Arial" w:eastAsia="Calibri" w:hAnsi="Arial" w:cs="Arial"/>
          <w:sz w:val="28"/>
          <w:szCs w:val="28"/>
          <w:lang w:val="en-ZA"/>
        </w:rPr>
      </w:pPr>
    </w:p>
    <w:p w14:paraId="006A7826" w14:textId="5EA310CC" w:rsidR="00A360A8" w:rsidRPr="00A360A8" w:rsidRDefault="00A360A8" w:rsidP="00A360A8">
      <w:pPr>
        <w:spacing w:line="480" w:lineRule="auto"/>
        <w:ind w:left="720" w:hanging="720"/>
        <w:jc w:val="both"/>
        <w:rPr>
          <w:rFonts w:ascii="Arial" w:eastAsia="Calibri" w:hAnsi="Arial" w:cs="Arial"/>
          <w:sz w:val="28"/>
          <w:szCs w:val="28"/>
          <w:lang w:val="en-ZA"/>
        </w:rPr>
      </w:pPr>
      <w:r w:rsidRPr="00A360A8">
        <w:rPr>
          <w:rFonts w:ascii="Arial" w:eastAsia="Calibri" w:hAnsi="Arial" w:cs="Arial"/>
          <w:b/>
          <w:bCs/>
          <w:sz w:val="28"/>
          <w:szCs w:val="28"/>
          <w:lang w:val="en-ZA"/>
        </w:rPr>
        <w:t>[</w:t>
      </w:r>
      <w:r w:rsidR="00AD05AE">
        <w:rPr>
          <w:rFonts w:ascii="Arial" w:eastAsia="Calibri" w:hAnsi="Arial" w:cs="Arial"/>
          <w:b/>
          <w:bCs/>
          <w:sz w:val="28"/>
          <w:szCs w:val="28"/>
          <w:lang w:val="en-ZA"/>
        </w:rPr>
        <w:t>1</w:t>
      </w:r>
      <w:r w:rsidR="00655A93">
        <w:rPr>
          <w:rFonts w:ascii="Arial" w:eastAsia="Calibri" w:hAnsi="Arial" w:cs="Arial"/>
          <w:b/>
          <w:bCs/>
          <w:sz w:val="28"/>
          <w:szCs w:val="28"/>
          <w:lang w:val="en-ZA"/>
        </w:rPr>
        <w:t>5</w:t>
      </w:r>
      <w:r w:rsidRPr="00A360A8">
        <w:rPr>
          <w:rFonts w:ascii="Arial" w:eastAsia="Calibri" w:hAnsi="Arial" w:cs="Arial"/>
          <w:b/>
          <w:bCs/>
          <w:sz w:val="28"/>
          <w:szCs w:val="28"/>
          <w:lang w:val="en-ZA"/>
        </w:rPr>
        <w:t xml:space="preserve">] </w:t>
      </w:r>
      <w:r w:rsidRPr="00A360A8">
        <w:rPr>
          <w:rFonts w:ascii="Arial" w:eastAsia="Calibri" w:hAnsi="Arial" w:cs="Arial"/>
          <w:sz w:val="28"/>
          <w:szCs w:val="28"/>
          <w:lang w:val="en-ZA"/>
        </w:rPr>
        <w:tab/>
        <w:t xml:space="preserve">According to the law of contract, every enforceable contract consists of an offer, acceptance, and consideration.  The offer requires a manifestation of willingness to enter bargain. Therefore, an offer requires some act that gives another person the power to create contractual relationship between the parties. For the special purpose of analysing transaction to decide whether an agreement has been reached and if so, where, and when the word “offer” has acquired some characteristics of a term of art. A person is said to make an offer when he puts forward a proposal with the intention </w:t>
      </w:r>
      <w:r w:rsidRPr="00A360A8">
        <w:rPr>
          <w:rFonts w:ascii="Arial" w:eastAsia="Calibri" w:hAnsi="Arial" w:cs="Arial"/>
          <w:sz w:val="28"/>
          <w:szCs w:val="28"/>
          <w:lang w:val="en-ZA"/>
        </w:rPr>
        <w:lastRenderedPageBreak/>
        <w:t xml:space="preserve">that by its mere acceptance without more, a contract should be formed. The intention, of course may be express or implied. </w:t>
      </w:r>
      <w:r w:rsidRPr="00A360A8">
        <w:rPr>
          <w:rFonts w:ascii="Arial" w:eastAsia="Calibri" w:hAnsi="Arial" w:cs="Arial"/>
          <w:b/>
          <w:bCs/>
          <w:sz w:val="28"/>
          <w:szCs w:val="28"/>
          <w:lang w:val="en-ZA"/>
        </w:rPr>
        <w:t>See</w:t>
      </w:r>
      <w:r w:rsidRPr="00A360A8">
        <w:rPr>
          <w:rFonts w:ascii="Arial" w:eastAsia="Calibri" w:hAnsi="Arial" w:cs="Arial"/>
          <w:sz w:val="28"/>
          <w:szCs w:val="28"/>
          <w:lang w:val="en-ZA"/>
        </w:rPr>
        <w:t xml:space="preserve"> </w:t>
      </w:r>
      <w:r w:rsidRPr="00A360A8">
        <w:rPr>
          <w:rFonts w:ascii="Arial" w:eastAsia="Calibri" w:hAnsi="Arial" w:cs="Arial"/>
          <w:b/>
          <w:bCs/>
          <w:sz w:val="28"/>
          <w:szCs w:val="28"/>
          <w:lang w:val="en-ZA"/>
        </w:rPr>
        <w:t>The Law of Contract in South Africa 5</w:t>
      </w:r>
      <w:r w:rsidRPr="00A360A8">
        <w:rPr>
          <w:rFonts w:ascii="Arial" w:eastAsia="Calibri" w:hAnsi="Arial" w:cs="Arial"/>
          <w:b/>
          <w:bCs/>
          <w:sz w:val="28"/>
          <w:szCs w:val="28"/>
          <w:vertAlign w:val="superscript"/>
          <w:lang w:val="en-ZA"/>
        </w:rPr>
        <w:t>th</w:t>
      </w:r>
      <w:r w:rsidRPr="00A360A8">
        <w:rPr>
          <w:rFonts w:ascii="Arial" w:eastAsia="Calibri" w:hAnsi="Arial" w:cs="Arial"/>
          <w:b/>
          <w:bCs/>
          <w:sz w:val="28"/>
          <w:szCs w:val="28"/>
          <w:lang w:val="en-ZA"/>
        </w:rPr>
        <w:t xml:space="preserve"> Edition by RH CHRITIE </w:t>
      </w:r>
      <w:r w:rsidRPr="00A360A8">
        <w:rPr>
          <w:rFonts w:ascii="Arial" w:eastAsia="Calibri" w:hAnsi="Arial" w:cs="Arial"/>
          <w:sz w:val="28"/>
          <w:szCs w:val="28"/>
          <w:lang w:val="en-ZA"/>
        </w:rPr>
        <w:t>page 29.</w:t>
      </w:r>
    </w:p>
    <w:p w14:paraId="0F8FF797" w14:textId="77777777" w:rsidR="00A360A8" w:rsidRPr="00A360A8" w:rsidRDefault="00A360A8" w:rsidP="00A360A8">
      <w:pPr>
        <w:spacing w:line="480" w:lineRule="auto"/>
        <w:ind w:left="720"/>
        <w:jc w:val="both"/>
        <w:rPr>
          <w:rFonts w:ascii="Arial" w:eastAsia="Calibri" w:hAnsi="Arial" w:cs="Arial"/>
          <w:sz w:val="28"/>
          <w:szCs w:val="28"/>
          <w:lang w:val="en-ZA"/>
        </w:rPr>
      </w:pPr>
      <w:r w:rsidRPr="00A360A8">
        <w:rPr>
          <w:rFonts w:ascii="Arial" w:eastAsia="Calibri" w:hAnsi="Arial" w:cs="Arial"/>
          <w:sz w:val="28"/>
          <w:szCs w:val="28"/>
          <w:lang w:val="en-ZA"/>
        </w:rPr>
        <w:t xml:space="preserve">In </w:t>
      </w:r>
      <w:proofErr w:type="spellStart"/>
      <w:r w:rsidRPr="00A360A8">
        <w:rPr>
          <w:rFonts w:ascii="Arial" w:eastAsia="Calibri" w:hAnsi="Arial" w:cs="Arial"/>
          <w:b/>
          <w:bCs/>
          <w:i/>
          <w:iCs/>
          <w:sz w:val="28"/>
          <w:szCs w:val="28"/>
          <w:lang w:val="en-ZA"/>
        </w:rPr>
        <w:t>Wasmuth</w:t>
      </w:r>
      <w:proofErr w:type="spellEnd"/>
      <w:r w:rsidRPr="00A360A8">
        <w:rPr>
          <w:rFonts w:ascii="Arial" w:eastAsia="Calibri" w:hAnsi="Arial" w:cs="Arial"/>
          <w:b/>
          <w:bCs/>
          <w:i/>
          <w:iCs/>
          <w:sz w:val="28"/>
          <w:szCs w:val="28"/>
          <w:lang w:val="en-ZA"/>
        </w:rPr>
        <w:t xml:space="preserve"> v Jacobs</w:t>
      </w:r>
      <w:r w:rsidRPr="00A360A8">
        <w:rPr>
          <w:rFonts w:ascii="Arial" w:eastAsia="Calibri" w:hAnsi="Arial" w:cs="Arial"/>
          <w:sz w:val="28"/>
          <w:szCs w:val="28"/>
          <w:lang w:val="en-ZA"/>
        </w:rPr>
        <w:t xml:space="preserve"> </w:t>
      </w:r>
      <w:r w:rsidRPr="00A360A8">
        <w:rPr>
          <w:rFonts w:ascii="Arial" w:eastAsia="Calibri" w:hAnsi="Arial" w:cs="Arial"/>
          <w:sz w:val="28"/>
          <w:szCs w:val="28"/>
          <w:vertAlign w:val="superscript"/>
          <w:lang w:val="en-ZA"/>
        </w:rPr>
        <w:footnoteReference w:id="5"/>
      </w:r>
      <w:r w:rsidRPr="00A360A8">
        <w:rPr>
          <w:rFonts w:ascii="Arial" w:eastAsia="Calibri" w:hAnsi="Arial" w:cs="Arial"/>
          <w:sz w:val="28"/>
          <w:szCs w:val="28"/>
          <w:lang w:val="en-ZA"/>
        </w:rPr>
        <w:t xml:space="preserve"> Levy J said:</w:t>
      </w:r>
    </w:p>
    <w:p w14:paraId="211A0EA9" w14:textId="77777777" w:rsidR="00A360A8" w:rsidRPr="00A360A8" w:rsidRDefault="00A360A8" w:rsidP="00A360A8">
      <w:pPr>
        <w:spacing w:line="480" w:lineRule="auto"/>
        <w:ind w:left="720"/>
        <w:jc w:val="both"/>
        <w:rPr>
          <w:rFonts w:ascii="Arial" w:eastAsia="Calibri" w:hAnsi="Arial" w:cs="Arial"/>
          <w:i/>
          <w:iCs/>
          <w:sz w:val="28"/>
          <w:szCs w:val="28"/>
          <w:lang w:val="en-ZA"/>
        </w:rPr>
      </w:pPr>
      <w:r w:rsidRPr="00A360A8">
        <w:rPr>
          <w:rFonts w:ascii="Arial" w:eastAsia="Calibri" w:hAnsi="Arial" w:cs="Arial"/>
          <w:i/>
          <w:iCs/>
          <w:sz w:val="28"/>
          <w:szCs w:val="28"/>
          <w:lang w:val="en-ZA"/>
        </w:rPr>
        <w:t xml:space="preserve">“it is fundamental to the nature of any offer that it should be certain and definite in its terms. It must be firm, that is, made with intention that when it is accepted, it will bind the offeror. </w:t>
      </w:r>
    </w:p>
    <w:p w14:paraId="7FB12E36" w14:textId="10B89C86" w:rsidR="00A360A8" w:rsidRPr="00A360A8" w:rsidRDefault="00A360A8" w:rsidP="00A360A8">
      <w:pPr>
        <w:spacing w:line="480" w:lineRule="auto"/>
        <w:ind w:left="720" w:hanging="720"/>
        <w:jc w:val="both"/>
        <w:rPr>
          <w:rFonts w:ascii="Arial" w:eastAsia="Calibri" w:hAnsi="Arial" w:cs="Arial"/>
          <w:sz w:val="28"/>
          <w:szCs w:val="28"/>
          <w:lang w:val="en-ZA"/>
        </w:rPr>
      </w:pPr>
      <w:r w:rsidRPr="00655A93">
        <w:rPr>
          <w:rFonts w:ascii="Arial" w:eastAsia="Calibri" w:hAnsi="Arial" w:cs="Arial"/>
          <w:b/>
          <w:bCs/>
          <w:sz w:val="28"/>
          <w:szCs w:val="28"/>
          <w:lang w:val="en-ZA"/>
        </w:rPr>
        <w:t>[</w:t>
      </w:r>
      <w:r w:rsidR="00AD05AE" w:rsidRPr="00655A93">
        <w:rPr>
          <w:rFonts w:ascii="Arial" w:eastAsia="Calibri" w:hAnsi="Arial" w:cs="Arial"/>
          <w:b/>
          <w:bCs/>
          <w:sz w:val="28"/>
          <w:szCs w:val="28"/>
          <w:lang w:val="en-ZA"/>
        </w:rPr>
        <w:t>1</w:t>
      </w:r>
      <w:r w:rsidR="00655A93">
        <w:rPr>
          <w:rFonts w:ascii="Arial" w:eastAsia="Calibri" w:hAnsi="Arial" w:cs="Arial"/>
          <w:b/>
          <w:bCs/>
          <w:sz w:val="28"/>
          <w:szCs w:val="28"/>
          <w:lang w:val="en-ZA"/>
        </w:rPr>
        <w:t>6</w:t>
      </w:r>
      <w:r w:rsidRPr="00655A93">
        <w:rPr>
          <w:rFonts w:ascii="Arial" w:eastAsia="Calibri" w:hAnsi="Arial" w:cs="Arial"/>
          <w:b/>
          <w:bCs/>
          <w:sz w:val="28"/>
          <w:szCs w:val="28"/>
          <w:lang w:val="en-ZA"/>
        </w:rPr>
        <w:t>]</w:t>
      </w:r>
      <w:r w:rsidRPr="00A360A8">
        <w:rPr>
          <w:rFonts w:ascii="Arial" w:eastAsia="Calibri" w:hAnsi="Arial" w:cs="Arial"/>
          <w:sz w:val="28"/>
          <w:szCs w:val="28"/>
          <w:lang w:val="en-ZA"/>
        </w:rPr>
        <w:t xml:space="preserve"> </w:t>
      </w:r>
      <w:r w:rsidRPr="00A360A8">
        <w:rPr>
          <w:rFonts w:ascii="Arial" w:eastAsia="Calibri" w:hAnsi="Arial" w:cs="Arial"/>
          <w:sz w:val="28"/>
          <w:szCs w:val="28"/>
          <w:lang w:val="en-ZA"/>
        </w:rPr>
        <w:tab/>
        <w:t xml:space="preserve">For acceptance, the general rule is that a contract invites acceptance in any manner and by means reasonable under circumstances, unless the language and circumstances clearly indicate otherwise. Meeting of the minds is a phrase in contract law used to describe the intentions of the parties forming the contract. It refers to the situation where there is a common understanding in the formation of the contract. </w:t>
      </w:r>
      <w:r w:rsidRPr="00A360A8">
        <w:rPr>
          <w:rFonts w:ascii="Arial" w:eastAsia="Calibri" w:hAnsi="Arial" w:cs="Arial"/>
          <w:b/>
          <w:bCs/>
          <w:sz w:val="28"/>
          <w:szCs w:val="28"/>
          <w:lang w:val="en-ZA"/>
        </w:rPr>
        <w:t xml:space="preserve">See </w:t>
      </w:r>
      <w:bookmarkStart w:id="0" w:name="_Hlk84320403"/>
      <w:r w:rsidRPr="00A360A8">
        <w:rPr>
          <w:rFonts w:ascii="Arial" w:eastAsia="Calibri" w:hAnsi="Arial" w:cs="Arial"/>
          <w:b/>
          <w:bCs/>
          <w:sz w:val="28"/>
          <w:szCs w:val="28"/>
          <w:lang w:val="en-ZA"/>
        </w:rPr>
        <w:t>Raffles v Wichelhaus 2, Hurl &amp; C. 906 (1864</w:t>
      </w:r>
      <w:r w:rsidRPr="00A360A8">
        <w:rPr>
          <w:rFonts w:ascii="Arial" w:eastAsia="Calibri" w:hAnsi="Arial" w:cs="Arial"/>
          <w:sz w:val="28"/>
          <w:szCs w:val="28"/>
          <w:lang w:val="en-ZA"/>
        </w:rPr>
        <w:t>).</w:t>
      </w:r>
    </w:p>
    <w:bookmarkEnd w:id="0"/>
    <w:p w14:paraId="4B46DABF" w14:textId="77777777" w:rsidR="00A360A8" w:rsidRPr="00A360A8" w:rsidRDefault="00A360A8" w:rsidP="00A360A8">
      <w:pPr>
        <w:spacing w:line="480" w:lineRule="auto"/>
        <w:ind w:left="720" w:hanging="720"/>
        <w:jc w:val="both"/>
        <w:rPr>
          <w:rFonts w:ascii="Arial" w:eastAsia="Calibri" w:hAnsi="Arial" w:cs="Arial"/>
          <w:sz w:val="28"/>
          <w:szCs w:val="28"/>
          <w:lang w:val="en-ZA"/>
        </w:rPr>
      </w:pPr>
      <w:r w:rsidRPr="00A360A8">
        <w:rPr>
          <w:rFonts w:ascii="Arial" w:eastAsia="Calibri" w:hAnsi="Arial" w:cs="Arial"/>
          <w:sz w:val="28"/>
          <w:szCs w:val="28"/>
          <w:lang w:val="en-ZA"/>
        </w:rPr>
        <w:tab/>
        <w:t xml:space="preserve">An unaccepted offer obviously cannot create a contract since it emanates from the offeror alone and the necessary agreement cannot be held to exist without some evidence of the state of mind </w:t>
      </w:r>
      <w:r w:rsidRPr="00A360A8">
        <w:rPr>
          <w:rFonts w:ascii="Arial" w:eastAsia="Calibri" w:hAnsi="Arial" w:cs="Arial"/>
          <w:sz w:val="28"/>
          <w:szCs w:val="28"/>
          <w:lang w:val="en-ZA"/>
        </w:rPr>
        <w:lastRenderedPageBreak/>
        <w:t xml:space="preserve">of the offeree. Hence the general rule that no contract can come into existence unless the offer is accepted. </w:t>
      </w:r>
      <w:r w:rsidRPr="00A360A8">
        <w:rPr>
          <w:rFonts w:ascii="Arial" w:eastAsia="Calibri" w:hAnsi="Arial" w:cs="Arial"/>
          <w:b/>
          <w:bCs/>
          <w:i/>
          <w:iCs/>
          <w:sz w:val="28"/>
          <w:szCs w:val="28"/>
          <w:lang w:val="en-ZA"/>
        </w:rPr>
        <w:t>See Rodolph v Lyons</w:t>
      </w:r>
      <w:r w:rsidRPr="00A360A8">
        <w:rPr>
          <w:rFonts w:ascii="Arial" w:eastAsia="Calibri" w:hAnsi="Arial" w:cs="Arial"/>
          <w:b/>
          <w:bCs/>
          <w:i/>
          <w:iCs/>
          <w:sz w:val="28"/>
          <w:szCs w:val="28"/>
          <w:vertAlign w:val="superscript"/>
          <w:lang w:val="en-ZA"/>
        </w:rPr>
        <w:footnoteReference w:id="6"/>
      </w:r>
      <w:r w:rsidRPr="00A360A8">
        <w:rPr>
          <w:rFonts w:ascii="Arial" w:eastAsia="Calibri" w:hAnsi="Arial" w:cs="Arial"/>
          <w:b/>
          <w:bCs/>
          <w:i/>
          <w:iCs/>
          <w:sz w:val="28"/>
          <w:szCs w:val="28"/>
          <w:lang w:val="en-ZA"/>
        </w:rPr>
        <w:t>.</w:t>
      </w:r>
    </w:p>
    <w:p w14:paraId="78429CB0" w14:textId="77777777" w:rsidR="00A360A8" w:rsidRPr="00A360A8" w:rsidRDefault="00A360A8" w:rsidP="00A360A8">
      <w:pPr>
        <w:spacing w:line="480" w:lineRule="auto"/>
        <w:ind w:left="720" w:hanging="720"/>
        <w:jc w:val="both"/>
        <w:rPr>
          <w:rFonts w:ascii="Arial" w:eastAsia="Calibri" w:hAnsi="Arial" w:cs="Arial"/>
          <w:b/>
          <w:sz w:val="28"/>
          <w:szCs w:val="28"/>
          <w:lang w:val="en-ZA"/>
        </w:rPr>
      </w:pPr>
    </w:p>
    <w:p w14:paraId="2E81FAD5" w14:textId="2639B824" w:rsidR="00A360A8" w:rsidRDefault="00A360A8" w:rsidP="00A360A8">
      <w:pPr>
        <w:spacing w:line="480" w:lineRule="auto"/>
        <w:ind w:left="720" w:hanging="720"/>
        <w:jc w:val="both"/>
        <w:rPr>
          <w:rFonts w:ascii="Arial" w:eastAsia="Calibri" w:hAnsi="Arial" w:cs="Arial"/>
          <w:bCs/>
          <w:iCs/>
          <w:sz w:val="28"/>
          <w:szCs w:val="28"/>
          <w:lang w:val="en-ZA"/>
        </w:rPr>
      </w:pPr>
      <w:r w:rsidRPr="00A360A8">
        <w:rPr>
          <w:rFonts w:ascii="Arial" w:eastAsia="Calibri" w:hAnsi="Arial" w:cs="Arial"/>
          <w:b/>
          <w:sz w:val="28"/>
          <w:szCs w:val="28"/>
          <w:lang w:val="en-ZA"/>
        </w:rPr>
        <w:t>[</w:t>
      </w:r>
      <w:r w:rsidR="00AD05AE">
        <w:rPr>
          <w:rFonts w:ascii="Arial" w:eastAsia="Calibri" w:hAnsi="Arial" w:cs="Arial"/>
          <w:b/>
          <w:sz w:val="28"/>
          <w:szCs w:val="28"/>
          <w:lang w:val="en-ZA"/>
        </w:rPr>
        <w:t>1</w:t>
      </w:r>
      <w:r w:rsidR="00655A93">
        <w:rPr>
          <w:rFonts w:ascii="Arial" w:eastAsia="Calibri" w:hAnsi="Arial" w:cs="Arial"/>
          <w:b/>
          <w:sz w:val="28"/>
          <w:szCs w:val="28"/>
          <w:lang w:val="en-ZA"/>
        </w:rPr>
        <w:t>7</w:t>
      </w:r>
      <w:r w:rsidRPr="00A360A8">
        <w:rPr>
          <w:rFonts w:ascii="Arial" w:eastAsia="Calibri" w:hAnsi="Arial" w:cs="Arial"/>
          <w:b/>
          <w:sz w:val="28"/>
          <w:szCs w:val="28"/>
          <w:lang w:val="en-ZA"/>
        </w:rPr>
        <w:t>]</w:t>
      </w:r>
      <w:r w:rsidR="005455F6">
        <w:rPr>
          <w:rFonts w:ascii="Arial" w:eastAsia="Calibri" w:hAnsi="Arial" w:cs="Arial"/>
          <w:b/>
          <w:sz w:val="28"/>
          <w:szCs w:val="28"/>
          <w:lang w:val="en-ZA"/>
        </w:rPr>
        <w:t xml:space="preserve"> </w:t>
      </w:r>
      <w:r w:rsidR="00821630" w:rsidRPr="005455F6">
        <w:rPr>
          <w:rFonts w:ascii="Arial" w:eastAsia="Calibri" w:hAnsi="Arial" w:cs="Arial"/>
          <w:bCs/>
          <w:sz w:val="28"/>
          <w:szCs w:val="28"/>
          <w:lang w:val="en-ZA"/>
        </w:rPr>
        <w:t xml:space="preserve">In </w:t>
      </w:r>
      <w:r w:rsidR="00821630" w:rsidRPr="00821630">
        <w:rPr>
          <w:rFonts w:ascii="Arial" w:eastAsia="Calibri" w:hAnsi="Arial" w:cs="Arial"/>
          <w:b/>
          <w:i/>
          <w:sz w:val="28"/>
          <w:szCs w:val="28"/>
          <w:lang w:val="en-ZA"/>
        </w:rPr>
        <w:t>Wells</w:t>
      </w:r>
      <w:r w:rsidR="005455F6" w:rsidRPr="00821630">
        <w:rPr>
          <w:rFonts w:ascii="Arial" w:eastAsia="Calibri" w:hAnsi="Arial" w:cs="Arial"/>
          <w:b/>
          <w:i/>
          <w:sz w:val="28"/>
          <w:szCs w:val="28"/>
          <w:lang w:val="en-ZA"/>
        </w:rPr>
        <w:t xml:space="preserve"> v Devani</w:t>
      </w:r>
      <w:r w:rsidR="00821630">
        <w:rPr>
          <w:rStyle w:val="FootnoteReference"/>
          <w:rFonts w:ascii="Arial" w:eastAsia="Calibri" w:hAnsi="Arial" w:cs="Arial"/>
          <w:b/>
          <w:i/>
          <w:sz w:val="28"/>
          <w:szCs w:val="28"/>
          <w:lang w:val="en-ZA"/>
        </w:rPr>
        <w:footnoteReference w:id="7"/>
      </w:r>
      <w:r w:rsidR="00821630">
        <w:rPr>
          <w:rFonts w:ascii="Arial" w:eastAsia="Calibri" w:hAnsi="Arial" w:cs="Arial"/>
          <w:bCs/>
          <w:iCs/>
          <w:sz w:val="28"/>
          <w:szCs w:val="28"/>
          <w:lang w:val="en-ZA"/>
        </w:rPr>
        <w:t xml:space="preserve"> Mr. Wells developed a block of flats, which he initially struggled to sell. He mentioned this to a neighbour, who put him in a contract with Mr. Devani. Wells and Devani spoke on the phone; Devani explained that there was an estate agent and that his commission would be 20% plus value added tax. There was no discussion of the circumstances in which that commission would fall due.</w:t>
      </w:r>
      <w:r w:rsidR="00DD57B0">
        <w:rPr>
          <w:rFonts w:ascii="Arial" w:eastAsia="Calibri" w:hAnsi="Arial" w:cs="Arial"/>
          <w:bCs/>
          <w:iCs/>
          <w:sz w:val="28"/>
          <w:szCs w:val="28"/>
          <w:lang w:val="en-ZA"/>
        </w:rPr>
        <w:t xml:space="preserve"> Devani subsequently introduced a purchaser to Wells, who bought the flats; however, Wells refused to pay Devani any commission. As a </w:t>
      </w:r>
      <w:r w:rsidR="00D30FEB">
        <w:rPr>
          <w:rFonts w:ascii="Arial" w:eastAsia="Calibri" w:hAnsi="Arial" w:cs="Arial"/>
          <w:bCs/>
          <w:iCs/>
          <w:sz w:val="28"/>
          <w:szCs w:val="28"/>
          <w:lang w:val="en-ZA"/>
        </w:rPr>
        <w:t>result,</w:t>
      </w:r>
      <w:r w:rsidR="00DD57B0">
        <w:rPr>
          <w:rFonts w:ascii="Arial" w:eastAsia="Calibri" w:hAnsi="Arial" w:cs="Arial"/>
          <w:bCs/>
          <w:iCs/>
          <w:sz w:val="28"/>
          <w:szCs w:val="28"/>
          <w:lang w:val="en-ZA"/>
        </w:rPr>
        <w:t xml:space="preserve"> Devani issued court proceedings.</w:t>
      </w:r>
    </w:p>
    <w:p w14:paraId="33CD0A46" w14:textId="29804541" w:rsidR="00D30FEB" w:rsidRDefault="00D30FEB" w:rsidP="00A360A8">
      <w:pPr>
        <w:spacing w:line="480" w:lineRule="auto"/>
        <w:ind w:left="720" w:hanging="720"/>
        <w:jc w:val="both"/>
        <w:rPr>
          <w:rFonts w:ascii="Arial" w:eastAsia="Calibri" w:hAnsi="Arial" w:cs="Arial"/>
          <w:bCs/>
          <w:sz w:val="28"/>
          <w:szCs w:val="28"/>
          <w:lang w:val="en-ZA"/>
        </w:rPr>
      </w:pPr>
      <w:r>
        <w:rPr>
          <w:rFonts w:ascii="Arial" w:eastAsia="Calibri" w:hAnsi="Arial" w:cs="Arial"/>
          <w:b/>
          <w:sz w:val="28"/>
          <w:szCs w:val="28"/>
          <w:lang w:val="en-ZA"/>
        </w:rPr>
        <w:tab/>
      </w:r>
      <w:r>
        <w:rPr>
          <w:rFonts w:ascii="Arial" w:eastAsia="Calibri" w:hAnsi="Arial" w:cs="Arial"/>
          <w:bCs/>
          <w:sz w:val="28"/>
          <w:szCs w:val="28"/>
          <w:lang w:val="en-ZA"/>
        </w:rPr>
        <w:t xml:space="preserve">At first instance, the Judge found for Devani by </w:t>
      </w:r>
      <w:r w:rsidR="00C155FD">
        <w:rPr>
          <w:rFonts w:ascii="Arial" w:eastAsia="Calibri" w:hAnsi="Arial" w:cs="Arial"/>
          <w:bCs/>
          <w:sz w:val="28"/>
          <w:szCs w:val="28"/>
          <w:lang w:val="en-ZA"/>
        </w:rPr>
        <w:t>implying</w:t>
      </w:r>
      <w:r>
        <w:rPr>
          <w:rFonts w:ascii="Arial" w:eastAsia="Calibri" w:hAnsi="Arial" w:cs="Arial"/>
          <w:bCs/>
          <w:sz w:val="28"/>
          <w:szCs w:val="28"/>
          <w:lang w:val="en-ZA"/>
        </w:rPr>
        <w:t xml:space="preserve"> term on payment. The Court of Appea</w:t>
      </w:r>
      <w:r w:rsidR="00C155FD">
        <w:rPr>
          <w:rFonts w:ascii="Arial" w:eastAsia="Calibri" w:hAnsi="Arial" w:cs="Arial"/>
          <w:bCs/>
          <w:sz w:val="28"/>
          <w:szCs w:val="28"/>
          <w:lang w:val="en-ZA"/>
        </w:rPr>
        <w:t>l, finding for Wells, found that there was an “incomplete bargain” and that therefore, there was no binding contract into which the term could be implied.</w:t>
      </w:r>
    </w:p>
    <w:p w14:paraId="3C67FEF6" w14:textId="77777777" w:rsidR="00BD0503" w:rsidRDefault="00BD0503" w:rsidP="00A360A8">
      <w:pPr>
        <w:spacing w:line="480" w:lineRule="auto"/>
        <w:ind w:left="720" w:hanging="720"/>
        <w:jc w:val="both"/>
        <w:rPr>
          <w:rFonts w:ascii="Arial" w:eastAsia="Calibri" w:hAnsi="Arial" w:cs="Arial"/>
          <w:bCs/>
          <w:sz w:val="28"/>
          <w:szCs w:val="28"/>
          <w:lang w:val="en-ZA"/>
        </w:rPr>
      </w:pPr>
    </w:p>
    <w:p w14:paraId="38EDA1B6" w14:textId="0C53BC63" w:rsidR="00445A76" w:rsidRDefault="00445A76" w:rsidP="00BD0503">
      <w:pPr>
        <w:spacing w:line="480" w:lineRule="auto"/>
        <w:ind w:left="720" w:hanging="720"/>
        <w:jc w:val="both"/>
        <w:rPr>
          <w:rFonts w:ascii="Arial" w:eastAsia="Calibri" w:hAnsi="Arial" w:cs="Arial"/>
          <w:bCs/>
          <w:sz w:val="28"/>
          <w:szCs w:val="28"/>
          <w:lang w:val="en-ZA"/>
        </w:rPr>
      </w:pPr>
      <w:r w:rsidRPr="00655A93">
        <w:rPr>
          <w:rFonts w:ascii="Arial" w:eastAsia="Calibri" w:hAnsi="Arial" w:cs="Arial"/>
          <w:b/>
          <w:sz w:val="28"/>
          <w:szCs w:val="28"/>
          <w:lang w:val="en-ZA"/>
        </w:rPr>
        <w:t>[</w:t>
      </w:r>
      <w:r w:rsidR="00AD05AE" w:rsidRPr="00655A93">
        <w:rPr>
          <w:rFonts w:ascii="Arial" w:eastAsia="Calibri" w:hAnsi="Arial" w:cs="Arial"/>
          <w:b/>
          <w:sz w:val="28"/>
          <w:szCs w:val="28"/>
          <w:lang w:val="en-ZA"/>
        </w:rPr>
        <w:t>1</w:t>
      </w:r>
      <w:r w:rsidR="00655A93">
        <w:rPr>
          <w:rFonts w:ascii="Arial" w:eastAsia="Calibri" w:hAnsi="Arial" w:cs="Arial"/>
          <w:b/>
          <w:sz w:val="28"/>
          <w:szCs w:val="28"/>
          <w:lang w:val="en-ZA"/>
        </w:rPr>
        <w:t>8</w:t>
      </w:r>
      <w:r w:rsidRPr="00655A93">
        <w:rPr>
          <w:rFonts w:ascii="Arial" w:eastAsia="Calibri" w:hAnsi="Arial" w:cs="Arial"/>
          <w:b/>
          <w:sz w:val="28"/>
          <w:szCs w:val="28"/>
          <w:lang w:val="en-ZA"/>
        </w:rPr>
        <w:t>]</w:t>
      </w:r>
      <w:r>
        <w:rPr>
          <w:rFonts w:ascii="Arial" w:eastAsia="Calibri" w:hAnsi="Arial" w:cs="Arial"/>
          <w:bCs/>
          <w:sz w:val="28"/>
          <w:szCs w:val="28"/>
          <w:lang w:val="en-ZA"/>
        </w:rPr>
        <w:t xml:space="preserve"> </w:t>
      </w:r>
      <w:r>
        <w:rPr>
          <w:rFonts w:ascii="Arial" w:eastAsia="Calibri" w:hAnsi="Arial" w:cs="Arial"/>
          <w:bCs/>
          <w:sz w:val="28"/>
          <w:szCs w:val="28"/>
          <w:lang w:val="en-ZA"/>
        </w:rPr>
        <w:tab/>
        <w:t>The case reached the Supreme Court where the Court explored circumstances of a binding contract</w:t>
      </w:r>
      <w:r w:rsidR="00F9236B">
        <w:rPr>
          <w:rFonts w:ascii="Arial" w:eastAsia="Calibri" w:hAnsi="Arial" w:cs="Arial"/>
          <w:bCs/>
          <w:sz w:val="28"/>
          <w:szCs w:val="28"/>
          <w:lang w:val="en-ZA"/>
        </w:rPr>
        <w:t>. The Court emphasized that:</w:t>
      </w:r>
    </w:p>
    <w:p w14:paraId="01FF713B" w14:textId="3E3B32E5" w:rsidR="00F9236B" w:rsidRDefault="00F9236B" w:rsidP="00B25387">
      <w:pPr>
        <w:spacing w:line="240" w:lineRule="auto"/>
        <w:ind w:left="720"/>
        <w:jc w:val="both"/>
        <w:rPr>
          <w:rFonts w:ascii="Arial" w:eastAsia="Calibri" w:hAnsi="Arial" w:cs="Arial"/>
          <w:bCs/>
          <w:i/>
          <w:iCs/>
          <w:sz w:val="28"/>
          <w:szCs w:val="28"/>
          <w:lang w:val="en-ZA"/>
        </w:rPr>
      </w:pPr>
      <w:r w:rsidRPr="00F9236B">
        <w:rPr>
          <w:rFonts w:ascii="Arial" w:eastAsia="Calibri" w:hAnsi="Arial" w:cs="Arial"/>
          <w:bCs/>
          <w:i/>
          <w:iCs/>
          <w:sz w:val="28"/>
          <w:szCs w:val="28"/>
          <w:lang w:val="en-ZA"/>
        </w:rPr>
        <w:lastRenderedPageBreak/>
        <w:t>“the Courts are reluctant to find an agreement is too vague or uncertain to be enforced where it is found that the parties had intention of being contractually bound and have acted on their agreement.”</w:t>
      </w:r>
    </w:p>
    <w:p w14:paraId="0B27F1A2" w14:textId="77777777" w:rsidR="00B25387" w:rsidRDefault="00B25387" w:rsidP="00F9236B">
      <w:pPr>
        <w:spacing w:line="480" w:lineRule="auto"/>
        <w:ind w:left="720"/>
        <w:jc w:val="both"/>
        <w:rPr>
          <w:rFonts w:ascii="Arial" w:eastAsia="Calibri" w:hAnsi="Arial" w:cs="Arial"/>
          <w:bCs/>
          <w:sz w:val="28"/>
          <w:szCs w:val="28"/>
          <w:lang w:val="en-ZA"/>
        </w:rPr>
      </w:pPr>
    </w:p>
    <w:p w14:paraId="001C5D5A" w14:textId="496D8F86" w:rsidR="00F9236B" w:rsidRDefault="00F9236B" w:rsidP="00F9236B">
      <w:pPr>
        <w:spacing w:line="480" w:lineRule="auto"/>
        <w:ind w:left="720"/>
        <w:jc w:val="both"/>
        <w:rPr>
          <w:rFonts w:ascii="Arial" w:eastAsia="Calibri" w:hAnsi="Arial" w:cs="Arial"/>
          <w:bCs/>
          <w:sz w:val="28"/>
          <w:szCs w:val="28"/>
          <w:lang w:val="en-ZA"/>
        </w:rPr>
      </w:pPr>
      <w:r>
        <w:rPr>
          <w:rFonts w:ascii="Arial" w:eastAsia="Calibri" w:hAnsi="Arial" w:cs="Arial"/>
          <w:bCs/>
          <w:sz w:val="28"/>
          <w:szCs w:val="28"/>
          <w:lang w:val="en-ZA"/>
        </w:rPr>
        <w:t xml:space="preserve">The Court held that, Wells and </w:t>
      </w:r>
      <w:proofErr w:type="spellStart"/>
      <w:r>
        <w:rPr>
          <w:rFonts w:ascii="Arial" w:eastAsia="Calibri" w:hAnsi="Arial" w:cs="Arial"/>
          <w:bCs/>
          <w:sz w:val="28"/>
          <w:szCs w:val="28"/>
          <w:lang w:val="en-ZA"/>
        </w:rPr>
        <w:t>Devanis</w:t>
      </w:r>
      <w:proofErr w:type="spellEnd"/>
      <w:r>
        <w:rPr>
          <w:rFonts w:ascii="Arial" w:eastAsia="Calibri" w:hAnsi="Arial" w:cs="Arial"/>
          <w:bCs/>
          <w:sz w:val="28"/>
          <w:szCs w:val="28"/>
          <w:lang w:val="en-ZA"/>
        </w:rPr>
        <w:t xml:space="preserve">’ words and conduct were clear enough to show intention; there had been no need to imply a term into the agreement (as the Judge of first instance had done). Furthermore, while the parties had not discussed the precise event that would trigger the payment of </w:t>
      </w:r>
      <w:r w:rsidR="00C00D71">
        <w:rPr>
          <w:rFonts w:ascii="Arial" w:eastAsia="Calibri" w:hAnsi="Arial" w:cs="Arial"/>
          <w:bCs/>
          <w:sz w:val="28"/>
          <w:szCs w:val="28"/>
          <w:lang w:val="en-ZA"/>
        </w:rPr>
        <w:t>commission, it</w:t>
      </w:r>
      <w:r>
        <w:rPr>
          <w:rFonts w:ascii="Arial" w:eastAsia="Calibri" w:hAnsi="Arial" w:cs="Arial"/>
          <w:bCs/>
          <w:sz w:val="28"/>
          <w:szCs w:val="28"/>
          <w:lang w:val="en-ZA"/>
        </w:rPr>
        <w:t xml:space="preserve"> would have been </w:t>
      </w:r>
      <w:r w:rsidR="00C00D71">
        <w:rPr>
          <w:rFonts w:ascii="Arial" w:eastAsia="Calibri" w:hAnsi="Arial" w:cs="Arial"/>
          <w:bCs/>
          <w:sz w:val="28"/>
          <w:szCs w:val="28"/>
          <w:lang w:val="en-ZA"/>
        </w:rPr>
        <w:t>naturally understood that the payment would be due on completion.</w:t>
      </w:r>
    </w:p>
    <w:p w14:paraId="64F70999" w14:textId="4C5894BC" w:rsidR="00BD0503" w:rsidRDefault="00BD0503" w:rsidP="00850045">
      <w:pPr>
        <w:spacing w:line="480" w:lineRule="auto"/>
        <w:ind w:left="720" w:hanging="720"/>
        <w:jc w:val="both"/>
        <w:rPr>
          <w:rFonts w:ascii="Arial" w:eastAsia="Calibri" w:hAnsi="Arial" w:cs="Arial"/>
          <w:bCs/>
          <w:sz w:val="28"/>
          <w:szCs w:val="28"/>
          <w:lang w:val="en-ZA"/>
        </w:rPr>
      </w:pPr>
      <w:r w:rsidRPr="00655A93">
        <w:rPr>
          <w:rFonts w:ascii="Arial" w:eastAsia="Calibri" w:hAnsi="Arial" w:cs="Arial"/>
          <w:b/>
          <w:sz w:val="28"/>
          <w:szCs w:val="28"/>
          <w:lang w:val="en-ZA"/>
        </w:rPr>
        <w:t>[</w:t>
      </w:r>
      <w:r w:rsidR="00AD05AE" w:rsidRPr="00655A93">
        <w:rPr>
          <w:rFonts w:ascii="Arial" w:eastAsia="Calibri" w:hAnsi="Arial" w:cs="Arial"/>
          <w:b/>
          <w:sz w:val="28"/>
          <w:szCs w:val="28"/>
          <w:lang w:val="en-ZA"/>
        </w:rPr>
        <w:t>1</w:t>
      </w:r>
      <w:r w:rsidR="00655A93">
        <w:rPr>
          <w:rFonts w:ascii="Arial" w:eastAsia="Calibri" w:hAnsi="Arial" w:cs="Arial"/>
          <w:b/>
          <w:sz w:val="28"/>
          <w:szCs w:val="28"/>
          <w:lang w:val="en-ZA"/>
        </w:rPr>
        <w:t>9</w:t>
      </w:r>
      <w:r w:rsidRPr="00655A93">
        <w:rPr>
          <w:rFonts w:ascii="Arial" w:eastAsia="Calibri" w:hAnsi="Arial" w:cs="Arial"/>
          <w:b/>
          <w:sz w:val="28"/>
          <w:szCs w:val="28"/>
          <w:lang w:val="en-ZA"/>
        </w:rPr>
        <w:t>]</w:t>
      </w:r>
      <w:r>
        <w:rPr>
          <w:rFonts w:ascii="Arial" w:eastAsia="Calibri" w:hAnsi="Arial" w:cs="Arial"/>
          <w:bCs/>
          <w:sz w:val="28"/>
          <w:szCs w:val="28"/>
          <w:lang w:val="en-ZA"/>
        </w:rPr>
        <w:tab/>
        <w:t xml:space="preserve">In </w:t>
      </w:r>
      <w:r w:rsidRPr="00BD0503">
        <w:rPr>
          <w:rFonts w:ascii="Arial" w:eastAsia="Calibri" w:hAnsi="Arial" w:cs="Arial"/>
          <w:bCs/>
          <w:i/>
          <w:iCs/>
          <w:sz w:val="28"/>
          <w:szCs w:val="28"/>
          <w:lang w:val="en-ZA"/>
        </w:rPr>
        <w:t>casu</w:t>
      </w:r>
      <w:r>
        <w:rPr>
          <w:rFonts w:ascii="Arial" w:eastAsia="Calibri" w:hAnsi="Arial" w:cs="Arial"/>
          <w:bCs/>
          <w:sz w:val="28"/>
          <w:szCs w:val="28"/>
          <w:lang w:val="en-ZA"/>
        </w:rPr>
        <w:t xml:space="preserve">, the Applicant is denying </w:t>
      </w:r>
      <w:r w:rsidR="00850045">
        <w:rPr>
          <w:rFonts w:ascii="Arial" w:eastAsia="Calibri" w:hAnsi="Arial" w:cs="Arial"/>
          <w:bCs/>
          <w:sz w:val="28"/>
          <w:szCs w:val="28"/>
          <w:lang w:val="en-ZA"/>
        </w:rPr>
        <w:t>existence of any agreement between the parties in relation to the issues pertaining to assessment of damaged Toyota Fortuner as well as storage costs. While Applicant is denying that there was never an agreement, significantly, they are not denying that the said vehicle was brought into the workshop of the Respondent by one Vusi Matsoso</w:t>
      </w:r>
      <w:r w:rsidR="00F309A8">
        <w:rPr>
          <w:rFonts w:ascii="Arial" w:eastAsia="Calibri" w:hAnsi="Arial" w:cs="Arial"/>
          <w:bCs/>
          <w:sz w:val="28"/>
          <w:szCs w:val="28"/>
          <w:lang w:val="en-ZA"/>
        </w:rPr>
        <w:t>.</w:t>
      </w:r>
      <w:r w:rsidR="0010279E">
        <w:rPr>
          <w:rFonts w:ascii="Arial" w:eastAsia="Calibri" w:hAnsi="Arial" w:cs="Arial"/>
          <w:bCs/>
          <w:sz w:val="28"/>
          <w:szCs w:val="28"/>
          <w:lang w:val="en-ZA"/>
        </w:rPr>
        <w:t xml:space="preserve"> Respondent had </w:t>
      </w:r>
      <w:r w:rsidR="009E572E">
        <w:rPr>
          <w:rFonts w:ascii="Arial" w:eastAsia="Calibri" w:hAnsi="Arial" w:cs="Arial"/>
          <w:bCs/>
          <w:sz w:val="28"/>
          <w:szCs w:val="28"/>
          <w:lang w:val="en-ZA"/>
        </w:rPr>
        <w:t xml:space="preserve">submitted </w:t>
      </w:r>
      <w:r w:rsidR="0010279E">
        <w:rPr>
          <w:rFonts w:ascii="Arial" w:eastAsia="Calibri" w:hAnsi="Arial" w:cs="Arial"/>
          <w:bCs/>
          <w:sz w:val="28"/>
          <w:szCs w:val="28"/>
          <w:lang w:val="en-ZA"/>
        </w:rPr>
        <w:t>that at that time</w:t>
      </w:r>
      <w:r w:rsidR="00592A6E">
        <w:rPr>
          <w:rFonts w:ascii="Arial" w:eastAsia="Calibri" w:hAnsi="Arial" w:cs="Arial"/>
          <w:bCs/>
          <w:sz w:val="28"/>
          <w:szCs w:val="28"/>
          <w:lang w:val="en-ZA"/>
        </w:rPr>
        <w:t xml:space="preserve"> when the vehicle was brought to the workshop</w:t>
      </w:r>
      <w:r w:rsidR="0010279E">
        <w:rPr>
          <w:rFonts w:ascii="Arial" w:eastAsia="Calibri" w:hAnsi="Arial" w:cs="Arial"/>
          <w:bCs/>
          <w:sz w:val="28"/>
          <w:szCs w:val="28"/>
          <w:lang w:val="en-ZA"/>
        </w:rPr>
        <w:t>, the Applicant was not in the pictu</w:t>
      </w:r>
      <w:r w:rsidR="00007793">
        <w:rPr>
          <w:rFonts w:ascii="Arial" w:eastAsia="Calibri" w:hAnsi="Arial" w:cs="Arial"/>
          <w:bCs/>
          <w:sz w:val="28"/>
          <w:szCs w:val="28"/>
          <w:lang w:val="en-ZA"/>
        </w:rPr>
        <w:t xml:space="preserve">re, therefore they cannot dispute that. </w:t>
      </w:r>
      <w:r w:rsidR="009E572E">
        <w:rPr>
          <w:rFonts w:ascii="Arial" w:eastAsia="Calibri" w:hAnsi="Arial" w:cs="Arial"/>
          <w:bCs/>
          <w:sz w:val="28"/>
          <w:szCs w:val="28"/>
          <w:lang w:val="en-ZA"/>
        </w:rPr>
        <w:t>Accepting the Applicant’s version to be true, it certainly seems strange that</w:t>
      </w:r>
      <w:r w:rsidR="00850045">
        <w:rPr>
          <w:rFonts w:ascii="Arial" w:eastAsia="Calibri" w:hAnsi="Arial" w:cs="Arial"/>
          <w:bCs/>
          <w:sz w:val="28"/>
          <w:szCs w:val="28"/>
          <w:lang w:val="en-ZA"/>
        </w:rPr>
        <w:t xml:space="preserve"> </w:t>
      </w:r>
      <w:r w:rsidR="005E4386">
        <w:rPr>
          <w:rFonts w:ascii="Arial" w:eastAsia="Calibri" w:hAnsi="Arial" w:cs="Arial"/>
          <w:bCs/>
          <w:sz w:val="28"/>
          <w:szCs w:val="28"/>
          <w:lang w:val="en-ZA"/>
        </w:rPr>
        <w:t xml:space="preserve">the </w:t>
      </w:r>
      <w:r w:rsidR="00850045">
        <w:rPr>
          <w:rFonts w:ascii="Arial" w:eastAsia="Calibri" w:hAnsi="Arial" w:cs="Arial"/>
          <w:bCs/>
          <w:sz w:val="28"/>
          <w:szCs w:val="28"/>
          <w:lang w:val="en-ZA"/>
        </w:rPr>
        <w:t xml:space="preserve">said vehicle </w:t>
      </w:r>
      <w:r w:rsidR="009E572E">
        <w:rPr>
          <w:rFonts w:ascii="Arial" w:eastAsia="Calibri" w:hAnsi="Arial" w:cs="Arial"/>
          <w:bCs/>
          <w:sz w:val="28"/>
          <w:szCs w:val="28"/>
          <w:lang w:val="en-ZA"/>
        </w:rPr>
        <w:t>could be</w:t>
      </w:r>
      <w:r w:rsidR="00850045">
        <w:rPr>
          <w:rFonts w:ascii="Arial" w:eastAsia="Calibri" w:hAnsi="Arial" w:cs="Arial"/>
          <w:bCs/>
          <w:sz w:val="28"/>
          <w:szCs w:val="28"/>
          <w:lang w:val="en-ZA"/>
        </w:rPr>
        <w:t xml:space="preserve"> brought into someone’s premises without any agreement</w:t>
      </w:r>
      <w:r w:rsidR="009E572E">
        <w:rPr>
          <w:rFonts w:ascii="Arial" w:eastAsia="Calibri" w:hAnsi="Arial" w:cs="Arial"/>
          <w:bCs/>
          <w:sz w:val="28"/>
          <w:szCs w:val="28"/>
          <w:lang w:val="en-ZA"/>
        </w:rPr>
        <w:t>.</w:t>
      </w:r>
      <w:r w:rsidR="001074A5">
        <w:rPr>
          <w:rFonts w:ascii="Arial" w:eastAsia="Calibri" w:hAnsi="Arial" w:cs="Arial"/>
          <w:bCs/>
          <w:sz w:val="28"/>
          <w:szCs w:val="28"/>
          <w:lang w:val="en-ZA"/>
        </w:rPr>
        <w:t xml:space="preserve"> </w:t>
      </w:r>
      <w:r w:rsidR="00F309A8">
        <w:rPr>
          <w:rFonts w:ascii="Arial" w:eastAsia="Calibri" w:hAnsi="Arial" w:cs="Arial"/>
          <w:bCs/>
          <w:sz w:val="28"/>
          <w:szCs w:val="28"/>
          <w:lang w:val="en-ZA"/>
        </w:rPr>
        <w:t>Their conduct was clear to show intention.</w:t>
      </w:r>
    </w:p>
    <w:p w14:paraId="35F64A1C" w14:textId="20CEFF3E" w:rsidR="009B657D" w:rsidRDefault="00B90CD5" w:rsidP="00B90CD5">
      <w:pPr>
        <w:spacing w:line="480" w:lineRule="auto"/>
        <w:ind w:left="720" w:hanging="720"/>
        <w:jc w:val="both"/>
        <w:rPr>
          <w:rFonts w:ascii="Arial" w:eastAsia="Calibri" w:hAnsi="Arial" w:cs="Arial"/>
          <w:bCs/>
          <w:sz w:val="28"/>
          <w:szCs w:val="28"/>
          <w:lang w:val="en-ZA"/>
        </w:rPr>
      </w:pPr>
      <w:r w:rsidRPr="00655A93">
        <w:rPr>
          <w:rFonts w:ascii="Arial" w:eastAsia="Calibri" w:hAnsi="Arial" w:cs="Arial"/>
          <w:b/>
          <w:sz w:val="28"/>
          <w:szCs w:val="28"/>
          <w:lang w:val="en-ZA"/>
        </w:rPr>
        <w:lastRenderedPageBreak/>
        <w:t>[</w:t>
      </w:r>
      <w:r w:rsidR="00655A93" w:rsidRPr="00655A93">
        <w:rPr>
          <w:rFonts w:ascii="Arial" w:eastAsia="Calibri" w:hAnsi="Arial" w:cs="Arial"/>
          <w:b/>
          <w:sz w:val="28"/>
          <w:szCs w:val="28"/>
          <w:lang w:val="en-ZA"/>
        </w:rPr>
        <w:t>20</w:t>
      </w:r>
      <w:r w:rsidRPr="00655A93">
        <w:rPr>
          <w:rFonts w:ascii="Arial" w:eastAsia="Calibri" w:hAnsi="Arial" w:cs="Arial"/>
          <w:b/>
          <w:sz w:val="28"/>
          <w:szCs w:val="28"/>
          <w:lang w:val="en-ZA"/>
        </w:rPr>
        <w:t>]</w:t>
      </w:r>
      <w:r>
        <w:rPr>
          <w:rFonts w:ascii="Arial" w:eastAsia="Calibri" w:hAnsi="Arial" w:cs="Arial"/>
          <w:bCs/>
          <w:sz w:val="28"/>
          <w:szCs w:val="28"/>
          <w:lang w:val="en-ZA"/>
        </w:rPr>
        <w:t xml:space="preserve"> </w:t>
      </w:r>
      <w:r>
        <w:rPr>
          <w:rFonts w:ascii="Arial" w:eastAsia="Calibri" w:hAnsi="Arial" w:cs="Arial"/>
          <w:bCs/>
          <w:sz w:val="28"/>
          <w:szCs w:val="28"/>
          <w:lang w:val="en-ZA"/>
        </w:rPr>
        <w:tab/>
      </w:r>
      <w:r w:rsidR="009B657D">
        <w:rPr>
          <w:rFonts w:ascii="Arial" w:eastAsia="Calibri" w:hAnsi="Arial" w:cs="Arial"/>
          <w:bCs/>
          <w:sz w:val="28"/>
          <w:szCs w:val="28"/>
          <w:lang w:val="en-ZA"/>
        </w:rPr>
        <w:t xml:space="preserve">The facts are clear enough to show that there had been an agreement even though such was not reduced into writing. </w:t>
      </w:r>
      <w:r w:rsidR="006E1A64">
        <w:rPr>
          <w:rFonts w:ascii="Arial" w:eastAsia="Calibri" w:hAnsi="Arial" w:cs="Arial"/>
          <w:bCs/>
          <w:sz w:val="28"/>
          <w:szCs w:val="28"/>
          <w:lang w:val="en-ZA"/>
        </w:rPr>
        <w:t>While the parties might have not made a written agreement, it would have been naturally understood that the payment assessment of damages as well as storage costs would be due upon completion of the assessment.</w:t>
      </w:r>
    </w:p>
    <w:p w14:paraId="1E391C66" w14:textId="44C27DDF" w:rsidR="00A360A8" w:rsidRPr="00093330" w:rsidRDefault="00093330" w:rsidP="00093330">
      <w:pPr>
        <w:spacing w:line="480" w:lineRule="auto"/>
        <w:ind w:left="720" w:hanging="720"/>
        <w:jc w:val="both"/>
        <w:rPr>
          <w:rFonts w:ascii="Arial" w:eastAsia="Calibri" w:hAnsi="Arial" w:cs="Arial"/>
          <w:bCs/>
          <w:sz w:val="28"/>
          <w:szCs w:val="28"/>
          <w:lang w:val="en-ZA"/>
        </w:rPr>
      </w:pPr>
      <w:r w:rsidRPr="005345C1">
        <w:rPr>
          <w:rFonts w:ascii="Arial" w:eastAsia="Calibri" w:hAnsi="Arial" w:cs="Arial"/>
          <w:b/>
          <w:sz w:val="28"/>
          <w:szCs w:val="28"/>
          <w:lang w:val="en-ZA"/>
        </w:rPr>
        <w:t>[</w:t>
      </w:r>
      <w:r w:rsidR="00655A93" w:rsidRPr="005345C1">
        <w:rPr>
          <w:rFonts w:ascii="Arial" w:eastAsia="Calibri" w:hAnsi="Arial" w:cs="Arial"/>
          <w:b/>
          <w:sz w:val="28"/>
          <w:szCs w:val="28"/>
          <w:lang w:val="en-ZA"/>
        </w:rPr>
        <w:t>21</w:t>
      </w:r>
      <w:r w:rsidRPr="005345C1">
        <w:rPr>
          <w:rFonts w:ascii="Arial" w:eastAsia="Calibri" w:hAnsi="Arial" w:cs="Arial"/>
          <w:b/>
          <w:sz w:val="28"/>
          <w:szCs w:val="28"/>
          <w:lang w:val="en-ZA"/>
        </w:rPr>
        <w:t>]</w:t>
      </w:r>
      <w:r>
        <w:rPr>
          <w:rFonts w:ascii="Arial" w:eastAsia="Calibri" w:hAnsi="Arial" w:cs="Arial"/>
          <w:bCs/>
          <w:sz w:val="28"/>
          <w:szCs w:val="28"/>
          <w:lang w:val="en-ZA"/>
        </w:rPr>
        <w:t xml:space="preserve"> </w:t>
      </w:r>
      <w:r>
        <w:rPr>
          <w:rFonts w:ascii="Arial" w:eastAsia="Calibri" w:hAnsi="Arial" w:cs="Arial"/>
          <w:bCs/>
          <w:sz w:val="28"/>
          <w:szCs w:val="28"/>
          <w:lang w:val="en-ZA"/>
        </w:rPr>
        <w:tab/>
        <w:t>In the result, the Court makes the following order:</w:t>
      </w:r>
    </w:p>
    <w:p w14:paraId="10033978" w14:textId="057A6469" w:rsidR="00A360A8" w:rsidRPr="00A360A8" w:rsidRDefault="000052B7" w:rsidP="00093330">
      <w:pPr>
        <w:spacing w:line="276" w:lineRule="auto"/>
        <w:jc w:val="both"/>
        <w:rPr>
          <w:rFonts w:ascii="Arial" w:eastAsia="Calibri" w:hAnsi="Arial" w:cs="Arial"/>
          <w:sz w:val="28"/>
          <w:szCs w:val="28"/>
          <w:lang w:val="en-ZA"/>
        </w:rPr>
      </w:pPr>
      <w:r>
        <w:rPr>
          <w:rFonts w:ascii="Arial" w:eastAsia="Calibri" w:hAnsi="Arial" w:cs="Arial"/>
          <w:sz w:val="28"/>
          <w:szCs w:val="28"/>
          <w:lang w:val="en-ZA"/>
        </w:rPr>
        <w:t xml:space="preserve">       </w:t>
      </w:r>
      <w:r w:rsidR="00A360A8" w:rsidRPr="00A360A8">
        <w:rPr>
          <w:rFonts w:ascii="Arial" w:eastAsia="Calibri" w:hAnsi="Arial" w:cs="Arial"/>
          <w:sz w:val="28"/>
          <w:szCs w:val="28"/>
          <w:lang w:val="en-ZA"/>
        </w:rPr>
        <w:t xml:space="preserve">a) The application </w:t>
      </w:r>
      <w:r w:rsidR="00093330">
        <w:rPr>
          <w:rFonts w:ascii="Arial" w:eastAsia="Calibri" w:hAnsi="Arial" w:cs="Arial"/>
          <w:sz w:val="28"/>
          <w:szCs w:val="28"/>
          <w:lang w:val="en-ZA"/>
        </w:rPr>
        <w:t>to struck out is granted.</w:t>
      </w:r>
    </w:p>
    <w:p w14:paraId="002C038B" w14:textId="36538B78" w:rsidR="006E5333" w:rsidRDefault="000052B7" w:rsidP="00093330">
      <w:pPr>
        <w:spacing w:line="276" w:lineRule="auto"/>
        <w:jc w:val="both"/>
        <w:rPr>
          <w:rFonts w:ascii="Arial" w:eastAsia="Calibri" w:hAnsi="Arial" w:cs="Arial"/>
          <w:sz w:val="28"/>
          <w:szCs w:val="28"/>
          <w:lang w:val="en-ZA"/>
        </w:rPr>
      </w:pPr>
      <w:r>
        <w:rPr>
          <w:rFonts w:ascii="Arial" w:eastAsia="Calibri" w:hAnsi="Arial" w:cs="Arial"/>
          <w:sz w:val="28"/>
          <w:szCs w:val="28"/>
          <w:lang w:val="en-ZA"/>
        </w:rPr>
        <w:t xml:space="preserve">       </w:t>
      </w:r>
      <w:r w:rsidR="00A360A8" w:rsidRPr="00A360A8">
        <w:rPr>
          <w:rFonts w:ascii="Arial" w:eastAsia="Calibri" w:hAnsi="Arial" w:cs="Arial"/>
          <w:sz w:val="28"/>
          <w:szCs w:val="28"/>
          <w:lang w:val="en-ZA"/>
        </w:rPr>
        <w:t xml:space="preserve">b) </w:t>
      </w:r>
      <w:r w:rsidR="00093330">
        <w:rPr>
          <w:rFonts w:ascii="Arial" w:eastAsia="Calibri" w:hAnsi="Arial" w:cs="Arial"/>
          <w:sz w:val="28"/>
          <w:szCs w:val="28"/>
          <w:lang w:val="en-ZA"/>
        </w:rPr>
        <w:t xml:space="preserve"> The </w:t>
      </w:r>
      <w:r w:rsidR="006E5333">
        <w:rPr>
          <w:rFonts w:ascii="Arial" w:eastAsia="Calibri" w:hAnsi="Arial" w:cs="Arial"/>
          <w:sz w:val="28"/>
          <w:szCs w:val="28"/>
          <w:lang w:val="en-ZA"/>
        </w:rPr>
        <w:t xml:space="preserve">main </w:t>
      </w:r>
      <w:r w:rsidR="00093330">
        <w:rPr>
          <w:rFonts w:ascii="Arial" w:eastAsia="Calibri" w:hAnsi="Arial" w:cs="Arial"/>
          <w:sz w:val="28"/>
          <w:szCs w:val="28"/>
          <w:lang w:val="en-ZA"/>
        </w:rPr>
        <w:t>application is dismissed</w:t>
      </w:r>
      <w:r w:rsidR="006E5333">
        <w:rPr>
          <w:rFonts w:ascii="Arial" w:eastAsia="Calibri" w:hAnsi="Arial" w:cs="Arial"/>
          <w:sz w:val="28"/>
          <w:szCs w:val="28"/>
          <w:lang w:val="en-ZA"/>
        </w:rPr>
        <w:t>.</w:t>
      </w:r>
    </w:p>
    <w:p w14:paraId="66C05DD9" w14:textId="54EFEFFB" w:rsidR="00A360A8" w:rsidRPr="00A360A8" w:rsidRDefault="000052B7" w:rsidP="00093330">
      <w:pPr>
        <w:spacing w:line="276" w:lineRule="auto"/>
        <w:jc w:val="both"/>
        <w:rPr>
          <w:rFonts w:ascii="Arial" w:eastAsia="Calibri" w:hAnsi="Arial" w:cs="Arial"/>
          <w:b/>
          <w:sz w:val="28"/>
          <w:szCs w:val="28"/>
          <w:lang w:val="en-ZA"/>
        </w:rPr>
      </w:pPr>
      <w:r>
        <w:rPr>
          <w:rFonts w:ascii="Arial" w:eastAsia="Calibri" w:hAnsi="Arial" w:cs="Arial"/>
          <w:sz w:val="28"/>
          <w:szCs w:val="28"/>
          <w:lang w:val="en-ZA"/>
        </w:rPr>
        <w:t xml:space="preserve">       </w:t>
      </w:r>
      <w:r w:rsidR="006E5333">
        <w:rPr>
          <w:rFonts w:ascii="Arial" w:eastAsia="Calibri" w:hAnsi="Arial" w:cs="Arial"/>
          <w:sz w:val="28"/>
          <w:szCs w:val="28"/>
          <w:lang w:val="en-ZA"/>
        </w:rPr>
        <w:t xml:space="preserve">c) </w:t>
      </w:r>
      <w:r w:rsidR="00093330">
        <w:rPr>
          <w:rFonts w:ascii="Arial" w:eastAsia="Calibri" w:hAnsi="Arial" w:cs="Arial"/>
          <w:sz w:val="28"/>
          <w:szCs w:val="28"/>
          <w:lang w:val="en-ZA"/>
        </w:rPr>
        <w:t xml:space="preserve"> </w:t>
      </w:r>
      <w:r w:rsidR="006E5333">
        <w:rPr>
          <w:rFonts w:ascii="Arial" w:eastAsia="Calibri" w:hAnsi="Arial" w:cs="Arial"/>
          <w:sz w:val="28"/>
          <w:szCs w:val="28"/>
          <w:lang w:val="en-ZA"/>
        </w:rPr>
        <w:t>C</w:t>
      </w:r>
      <w:r w:rsidR="00093330">
        <w:rPr>
          <w:rFonts w:ascii="Arial" w:eastAsia="Calibri" w:hAnsi="Arial" w:cs="Arial"/>
          <w:sz w:val="28"/>
          <w:szCs w:val="28"/>
          <w:lang w:val="en-ZA"/>
        </w:rPr>
        <w:t xml:space="preserve">osts </w:t>
      </w:r>
      <w:r w:rsidR="006E5333">
        <w:rPr>
          <w:rFonts w:ascii="Arial" w:eastAsia="Calibri" w:hAnsi="Arial" w:cs="Arial"/>
          <w:sz w:val="28"/>
          <w:szCs w:val="28"/>
          <w:lang w:val="en-ZA"/>
        </w:rPr>
        <w:t xml:space="preserve">of suit are </w:t>
      </w:r>
      <w:r w:rsidR="00093330">
        <w:rPr>
          <w:rFonts w:ascii="Arial" w:eastAsia="Calibri" w:hAnsi="Arial" w:cs="Arial"/>
          <w:sz w:val="28"/>
          <w:szCs w:val="28"/>
          <w:lang w:val="en-ZA"/>
        </w:rPr>
        <w:t>awarded to the Respondent.</w:t>
      </w:r>
    </w:p>
    <w:p w14:paraId="7CDD42F1" w14:textId="77777777" w:rsidR="00A360A8" w:rsidRPr="00A360A8" w:rsidRDefault="00A360A8" w:rsidP="00A360A8">
      <w:pPr>
        <w:spacing w:line="360" w:lineRule="auto"/>
        <w:jc w:val="both"/>
        <w:rPr>
          <w:rFonts w:ascii="Arial" w:eastAsia="Calibri" w:hAnsi="Arial" w:cs="Arial"/>
          <w:sz w:val="28"/>
          <w:szCs w:val="28"/>
          <w:lang w:val="en-ZA"/>
        </w:rPr>
      </w:pPr>
    </w:p>
    <w:p w14:paraId="4F5E1415" w14:textId="77777777" w:rsidR="00A360A8" w:rsidRPr="00A360A8" w:rsidRDefault="00A360A8" w:rsidP="00A360A8">
      <w:pPr>
        <w:spacing w:line="360" w:lineRule="auto"/>
        <w:jc w:val="both"/>
        <w:rPr>
          <w:rFonts w:ascii="Arial" w:eastAsia="Calibri" w:hAnsi="Arial" w:cs="Arial"/>
          <w:sz w:val="28"/>
          <w:szCs w:val="28"/>
          <w:lang w:val="en-ZA"/>
        </w:rPr>
      </w:pPr>
      <w:r w:rsidRPr="00A360A8">
        <w:rPr>
          <w:rFonts w:ascii="Arial" w:eastAsia="Calibri" w:hAnsi="Arial" w:cs="Arial"/>
          <w:sz w:val="28"/>
          <w:szCs w:val="28"/>
          <w:lang w:val="en-ZA"/>
        </w:rPr>
        <w:t xml:space="preserve">  </w:t>
      </w:r>
    </w:p>
    <w:p w14:paraId="67353F45" w14:textId="77777777" w:rsidR="00A360A8" w:rsidRPr="00A360A8" w:rsidRDefault="00A360A8" w:rsidP="00A360A8">
      <w:pPr>
        <w:spacing w:after="0" w:line="360" w:lineRule="auto"/>
        <w:ind w:left="493" w:hanging="720"/>
        <w:jc w:val="center"/>
        <w:rPr>
          <w:rFonts w:ascii="Arial" w:eastAsia="Calibri" w:hAnsi="Arial" w:cs="Arial"/>
          <w:b/>
          <w:sz w:val="28"/>
          <w:szCs w:val="28"/>
          <w:lang w:val="en-ZA"/>
        </w:rPr>
      </w:pPr>
      <w:r w:rsidRPr="00A360A8">
        <w:rPr>
          <w:rFonts w:ascii="Arial" w:eastAsia="Calibri" w:hAnsi="Arial" w:cs="Arial"/>
          <w:b/>
          <w:sz w:val="28"/>
          <w:szCs w:val="28"/>
          <w:lang w:val="en-ZA"/>
        </w:rPr>
        <w:t xml:space="preserve">   T.E. MONAPATHI</w:t>
      </w:r>
    </w:p>
    <w:p w14:paraId="00C92B83" w14:textId="77777777" w:rsidR="00A360A8" w:rsidRPr="00A360A8" w:rsidRDefault="00A360A8" w:rsidP="00A360A8">
      <w:pPr>
        <w:spacing w:after="0" w:line="240" w:lineRule="auto"/>
        <w:ind w:left="493" w:hanging="720"/>
        <w:jc w:val="center"/>
        <w:rPr>
          <w:rFonts w:ascii="Arial" w:eastAsia="Calibri" w:hAnsi="Arial" w:cs="Arial"/>
          <w:b/>
          <w:sz w:val="28"/>
          <w:szCs w:val="28"/>
          <w:lang w:val="en-ZA"/>
        </w:rPr>
      </w:pPr>
      <w:r w:rsidRPr="00A360A8">
        <w:rPr>
          <w:rFonts w:ascii="Arial" w:eastAsia="Calibri" w:hAnsi="Arial" w:cs="Arial"/>
          <w:b/>
          <w:sz w:val="28"/>
          <w:szCs w:val="28"/>
          <w:lang w:val="en-ZA"/>
        </w:rPr>
        <w:t>______________________</w:t>
      </w:r>
    </w:p>
    <w:p w14:paraId="4096F437" w14:textId="77777777" w:rsidR="00A360A8" w:rsidRPr="00A360A8" w:rsidRDefault="00A360A8" w:rsidP="00A360A8">
      <w:pPr>
        <w:spacing w:after="0" w:line="240" w:lineRule="auto"/>
        <w:ind w:left="493" w:hanging="720"/>
        <w:rPr>
          <w:rFonts w:ascii="Arial" w:eastAsia="Calibri" w:hAnsi="Arial" w:cs="Arial"/>
          <w:b/>
          <w:sz w:val="28"/>
          <w:szCs w:val="28"/>
          <w:lang w:val="en-ZA"/>
        </w:rPr>
      </w:pPr>
      <w:r w:rsidRPr="00A360A8">
        <w:rPr>
          <w:rFonts w:ascii="Arial" w:eastAsia="Calibri" w:hAnsi="Arial" w:cs="Arial"/>
          <w:b/>
          <w:sz w:val="28"/>
          <w:szCs w:val="28"/>
          <w:lang w:val="en-ZA"/>
        </w:rPr>
        <w:t xml:space="preserve">                                                 JUDGE</w:t>
      </w:r>
    </w:p>
    <w:p w14:paraId="7A23C196" w14:textId="77777777" w:rsidR="00A360A8" w:rsidRPr="00A360A8" w:rsidRDefault="00A360A8" w:rsidP="00A360A8">
      <w:pPr>
        <w:spacing w:after="0" w:line="360" w:lineRule="auto"/>
        <w:ind w:left="493" w:hanging="720"/>
        <w:jc w:val="both"/>
        <w:rPr>
          <w:rFonts w:ascii="Arial" w:eastAsia="Calibri" w:hAnsi="Arial" w:cs="Arial"/>
          <w:sz w:val="28"/>
          <w:szCs w:val="28"/>
          <w:lang w:val="en-ZA"/>
        </w:rPr>
      </w:pPr>
    </w:p>
    <w:p w14:paraId="48C69A77" w14:textId="77777777" w:rsidR="00A360A8" w:rsidRPr="00A360A8" w:rsidRDefault="00A360A8" w:rsidP="00A360A8">
      <w:pPr>
        <w:spacing w:after="0" w:line="360" w:lineRule="auto"/>
        <w:ind w:left="493" w:hanging="720"/>
        <w:jc w:val="both"/>
        <w:rPr>
          <w:rFonts w:ascii="Arial" w:eastAsia="Calibri" w:hAnsi="Arial" w:cs="Arial"/>
          <w:sz w:val="28"/>
          <w:szCs w:val="28"/>
          <w:lang w:val="en-ZA"/>
        </w:rPr>
      </w:pPr>
    </w:p>
    <w:p w14:paraId="0620B48E" w14:textId="6A741DF1" w:rsidR="00A360A8" w:rsidRPr="0058401A" w:rsidRDefault="00A360A8" w:rsidP="0058401A">
      <w:pPr>
        <w:spacing w:line="360" w:lineRule="auto"/>
        <w:jc w:val="both"/>
        <w:rPr>
          <w:rFonts w:ascii="Arial" w:hAnsi="Arial" w:cs="Arial"/>
          <w:b/>
          <w:bCs/>
          <w:sz w:val="28"/>
          <w:szCs w:val="28"/>
          <w:lang w:val="en-ZA"/>
        </w:rPr>
      </w:pPr>
      <w:r w:rsidRPr="0058401A">
        <w:rPr>
          <w:rFonts w:ascii="Arial" w:hAnsi="Arial" w:cs="Arial"/>
          <w:b/>
          <w:bCs/>
          <w:sz w:val="28"/>
          <w:szCs w:val="28"/>
          <w:lang w:val="en-ZA"/>
        </w:rPr>
        <w:t xml:space="preserve">For Applicant                        </w:t>
      </w:r>
      <w:r w:rsidR="0058401A" w:rsidRPr="0058401A">
        <w:rPr>
          <w:rFonts w:ascii="Arial" w:hAnsi="Arial" w:cs="Arial"/>
          <w:b/>
          <w:bCs/>
          <w:sz w:val="28"/>
          <w:szCs w:val="28"/>
          <w:lang w:val="en-ZA"/>
        </w:rPr>
        <w:tab/>
      </w:r>
      <w:r w:rsidRPr="0058401A">
        <w:rPr>
          <w:rFonts w:ascii="Arial" w:hAnsi="Arial" w:cs="Arial"/>
          <w:b/>
          <w:bCs/>
          <w:sz w:val="28"/>
          <w:szCs w:val="28"/>
          <w:lang w:val="en-ZA"/>
        </w:rPr>
        <w:t xml:space="preserve">: </w:t>
      </w:r>
      <w:r w:rsidR="0058401A" w:rsidRPr="0058401A">
        <w:rPr>
          <w:rFonts w:ascii="Arial" w:hAnsi="Arial" w:cs="Arial"/>
          <w:b/>
          <w:bCs/>
          <w:sz w:val="28"/>
          <w:szCs w:val="28"/>
          <w:lang w:val="en-ZA"/>
        </w:rPr>
        <w:tab/>
      </w:r>
      <w:r w:rsidR="0058401A" w:rsidRPr="0058401A">
        <w:rPr>
          <w:rFonts w:ascii="Arial" w:hAnsi="Arial" w:cs="Arial"/>
          <w:b/>
          <w:bCs/>
          <w:sz w:val="28"/>
          <w:szCs w:val="28"/>
          <w:lang w:val="en-ZA"/>
        </w:rPr>
        <w:tab/>
      </w:r>
      <w:proofErr w:type="spellStart"/>
      <w:r w:rsidRPr="0058401A">
        <w:rPr>
          <w:rFonts w:ascii="Arial" w:hAnsi="Arial" w:cs="Arial"/>
          <w:b/>
          <w:bCs/>
          <w:sz w:val="28"/>
          <w:szCs w:val="28"/>
          <w:lang w:val="en-ZA"/>
        </w:rPr>
        <w:t>Adv.</w:t>
      </w:r>
      <w:r w:rsidR="00E229D5" w:rsidRPr="0058401A">
        <w:rPr>
          <w:rFonts w:ascii="Arial" w:hAnsi="Arial" w:cs="Arial"/>
          <w:b/>
          <w:bCs/>
          <w:sz w:val="28"/>
          <w:szCs w:val="28"/>
          <w:lang w:val="en-ZA"/>
        </w:rPr>
        <w:t>Gronjie</w:t>
      </w:r>
      <w:proofErr w:type="spellEnd"/>
    </w:p>
    <w:p w14:paraId="2FBB5F96" w14:textId="337F1E5A" w:rsidR="00A360A8" w:rsidRPr="0058401A" w:rsidRDefault="00A360A8" w:rsidP="0058401A">
      <w:pPr>
        <w:spacing w:line="360" w:lineRule="auto"/>
        <w:jc w:val="both"/>
        <w:rPr>
          <w:rFonts w:ascii="Arial" w:hAnsi="Arial" w:cs="Arial"/>
          <w:b/>
          <w:bCs/>
          <w:sz w:val="28"/>
          <w:szCs w:val="28"/>
          <w:lang w:val="en-ZA"/>
        </w:rPr>
      </w:pPr>
      <w:r w:rsidRPr="0058401A">
        <w:rPr>
          <w:rFonts w:ascii="Arial" w:hAnsi="Arial" w:cs="Arial"/>
          <w:b/>
          <w:bCs/>
          <w:sz w:val="28"/>
          <w:szCs w:val="28"/>
          <w:lang w:val="en-ZA"/>
        </w:rPr>
        <w:t xml:space="preserve">For Respondent   </w:t>
      </w:r>
      <w:r w:rsidR="0058401A" w:rsidRPr="0058401A">
        <w:rPr>
          <w:rFonts w:ascii="Arial" w:hAnsi="Arial" w:cs="Arial"/>
          <w:b/>
          <w:bCs/>
          <w:sz w:val="28"/>
          <w:szCs w:val="28"/>
          <w:lang w:val="en-ZA"/>
        </w:rPr>
        <w:tab/>
      </w:r>
      <w:r w:rsidR="0058401A" w:rsidRPr="0058401A">
        <w:rPr>
          <w:rFonts w:ascii="Arial" w:hAnsi="Arial" w:cs="Arial"/>
          <w:b/>
          <w:bCs/>
          <w:sz w:val="28"/>
          <w:szCs w:val="28"/>
          <w:lang w:val="en-ZA"/>
        </w:rPr>
        <w:tab/>
      </w:r>
      <w:r w:rsidR="0058401A">
        <w:rPr>
          <w:rFonts w:ascii="Arial" w:hAnsi="Arial" w:cs="Arial"/>
          <w:b/>
          <w:bCs/>
          <w:sz w:val="28"/>
          <w:szCs w:val="28"/>
          <w:lang w:val="en-ZA"/>
        </w:rPr>
        <w:tab/>
      </w:r>
      <w:r w:rsidRPr="0058401A">
        <w:rPr>
          <w:rFonts w:ascii="Arial" w:hAnsi="Arial" w:cs="Arial"/>
          <w:b/>
          <w:bCs/>
          <w:sz w:val="28"/>
          <w:szCs w:val="28"/>
          <w:lang w:val="en-ZA"/>
        </w:rPr>
        <w:t xml:space="preserve">: </w:t>
      </w:r>
      <w:r w:rsidR="0058401A" w:rsidRPr="0058401A">
        <w:rPr>
          <w:rFonts w:ascii="Arial" w:hAnsi="Arial" w:cs="Arial"/>
          <w:b/>
          <w:bCs/>
          <w:sz w:val="28"/>
          <w:szCs w:val="28"/>
          <w:lang w:val="en-ZA"/>
        </w:rPr>
        <w:tab/>
      </w:r>
      <w:r w:rsidR="0058401A" w:rsidRPr="0058401A">
        <w:rPr>
          <w:rFonts w:ascii="Arial" w:hAnsi="Arial" w:cs="Arial"/>
          <w:b/>
          <w:bCs/>
          <w:sz w:val="28"/>
          <w:szCs w:val="28"/>
          <w:lang w:val="en-ZA"/>
        </w:rPr>
        <w:tab/>
      </w:r>
      <w:r w:rsidRPr="0058401A">
        <w:rPr>
          <w:rFonts w:ascii="Arial" w:hAnsi="Arial" w:cs="Arial"/>
          <w:b/>
          <w:bCs/>
          <w:sz w:val="28"/>
          <w:szCs w:val="28"/>
          <w:lang w:val="en-ZA"/>
        </w:rPr>
        <w:t xml:space="preserve">Adv. </w:t>
      </w:r>
      <w:proofErr w:type="spellStart"/>
      <w:r w:rsidR="00E229D5" w:rsidRPr="0058401A">
        <w:rPr>
          <w:rFonts w:ascii="Arial" w:hAnsi="Arial" w:cs="Arial"/>
          <w:b/>
          <w:bCs/>
          <w:sz w:val="28"/>
          <w:szCs w:val="28"/>
          <w:lang w:val="en-ZA"/>
        </w:rPr>
        <w:t>Sekatle</w:t>
      </w:r>
      <w:proofErr w:type="spellEnd"/>
    </w:p>
    <w:p w14:paraId="424ED994" w14:textId="77777777" w:rsidR="00C717CB" w:rsidRDefault="00C717CB"/>
    <w:sectPr w:rsidR="00C717CB" w:rsidSect="008829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7E07" w14:textId="77777777" w:rsidR="00AF2BB2" w:rsidRDefault="00AF2BB2" w:rsidP="00A360A8">
      <w:pPr>
        <w:spacing w:after="0" w:line="240" w:lineRule="auto"/>
      </w:pPr>
      <w:r>
        <w:separator/>
      </w:r>
    </w:p>
  </w:endnote>
  <w:endnote w:type="continuationSeparator" w:id="0">
    <w:p w14:paraId="5D089690" w14:textId="77777777" w:rsidR="00AF2BB2" w:rsidRDefault="00AF2BB2" w:rsidP="00A3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F729" w14:textId="77777777" w:rsidR="00AF2BB2" w:rsidRDefault="00AF2BB2" w:rsidP="00A360A8">
      <w:pPr>
        <w:spacing w:after="0" w:line="240" w:lineRule="auto"/>
      </w:pPr>
      <w:r>
        <w:separator/>
      </w:r>
    </w:p>
  </w:footnote>
  <w:footnote w:type="continuationSeparator" w:id="0">
    <w:p w14:paraId="4EC8CA6B" w14:textId="77777777" w:rsidR="00AF2BB2" w:rsidRDefault="00AF2BB2" w:rsidP="00A360A8">
      <w:pPr>
        <w:spacing w:after="0" w:line="240" w:lineRule="auto"/>
      </w:pPr>
      <w:r>
        <w:continuationSeparator/>
      </w:r>
    </w:p>
  </w:footnote>
  <w:footnote w:id="1">
    <w:p w14:paraId="3709B98F" w14:textId="7A83FF6F" w:rsidR="00E21D30" w:rsidRPr="00E21D30" w:rsidRDefault="00E21D30">
      <w:pPr>
        <w:pStyle w:val="FootnoteText"/>
        <w:rPr>
          <w:lang w:val="en-US"/>
        </w:rPr>
      </w:pPr>
      <w:r>
        <w:rPr>
          <w:rStyle w:val="FootnoteReference"/>
        </w:rPr>
        <w:footnoteRef/>
      </w:r>
      <w:r>
        <w:t xml:space="preserve"> </w:t>
      </w:r>
      <w:r>
        <w:rPr>
          <w:lang w:val="en-US"/>
        </w:rPr>
        <w:t>1978 (3) SA 666</w:t>
      </w:r>
    </w:p>
  </w:footnote>
  <w:footnote w:id="2">
    <w:p w14:paraId="06E8D8A5" w14:textId="26AA3661" w:rsidR="004B1616" w:rsidRPr="004B1616" w:rsidRDefault="004B1616">
      <w:pPr>
        <w:pStyle w:val="FootnoteText"/>
        <w:rPr>
          <w:lang w:val="en-US"/>
        </w:rPr>
      </w:pPr>
      <w:r>
        <w:rPr>
          <w:rStyle w:val="FootnoteReference"/>
        </w:rPr>
        <w:footnoteRef/>
      </w:r>
      <w:r>
        <w:t xml:space="preserve"> </w:t>
      </w:r>
      <w:r>
        <w:rPr>
          <w:lang w:val="en-US"/>
        </w:rPr>
        <w:t>supra</w:t>
      </w:r>
    </w:p>
  </w:footnote>
  <w:footnote w:id="3">
    <w:p w14:paraId="5536D382" w14:textId="16890B62" w:rsidR="00875CAC" w:rsidRPr="00875CAC" w:rsidRDefault="00875CAC">
      <w:pPr>
        <w:pStyle w:val="FootnoteText"/>
        <w:rPr>
          <w:lang w:val="en-US"/>
        </w:rPr>
      </w:pPr>
      <w:r>
        <w:rPr>
          <w:rStyle w:val="FootnoteReference"/>
        </w:rPr>
        <w:footnoteRef/>
      </w:r>
      <w:r>
        <w:t xml:space="preserve"> </w:t>
      </w:r>
      <w:r>
        <w:rPr>
          <w:lang w:val="en-US"/>
        </w:rPr>
        <w:t>1983(3) SA 629 (SWA)633D</w:t>
      </w:r>
    </w:p>
  </w:footnote>
  <w:footnote w:id="4">
    <w:p w14:paraId="4CF7D78D" w14:textId="5A8A6076" w:rsidR="00394A7A" w:rsidRPr="00394A7A" w:rsidRDefault="00394A7A">
      <w:pPr>
        <w:pStyle w:val="FootnoteText"/>
        <w:rPr>
          <w:lang w:val="en-US"/>
        </w:rPr>
      </w:pPr>
      <w:r>
        <w:rPr>
          <w:rStyle w:val="FootnoteReference"/>
        </w:rPr>
        <w:footnoteRef/>
      </w:r>
      <w:r>
        <w:t xml:space="preserve"> (</w:t>
      </w:r>
      <w:r>
        <w:rPr>
          <w:lang w:val="en-US"/>
        </w:rPr>
        <w:t>CIV)1/2005) [2005] LSCA 5 (20 April 2005)</w:t>
      </w:r>
    </w:p>
  </w:footnote>
  <w:footnote w:id="5">
    <w:p w14:paraId="2B758CA1" w14:textId="77777777" w:rsidR="00A360A8" w:rsidRDefault="00A360A8" w:rsidP="00A360A8">
      <w:pPr>
        <w:pStyle w:val="FootnoteText"/>
      </w:pPr>
      <w:r>
        <w:rPr>
          <w:rStyle w:val="FootnoteReference"/>
        </w:rPr>
        <w:footnoteRef/>
      </w:r>
      <w:r>
        <w:t xml:space="preserve"> 1983 (3) SA 629 (SWA) 633D</w:t>
      </w:r>
    </w:p>
  </w:footnote>
  <w:footnote w:id="6">
    <w:p w14:paraId="57A0CCE3" w14:textId="77777777" w:rsidR="00A360A8" w:rsidRDefault="00A360A8" w:rsidP="00A360A8">
      <w:pPr>
        <w:pStyle w:val="FootnoteText"/>
      </w:pPr>
      <w:r>
        <w:rPr>
          <w:rStyle w:val="FootnoteReference"/>
        </w:rPr>
        <w:footnoteRef/>
      </w:r>
      <w:r>
        <w:t xml:space="preserve"> 1930 TPD 85  91</w:t>
      </w:r>
    </w:p>
  </w:footnote>
  <w:footnote w:id="7">
    <w:p w14:paraId="3D9C1CD8" w14:textId="33D27210" w:rsidR="00821630" w:rsidRPr="00821630" w:rsidRDefault="00821630">
      <w:pPr>
        <w:pStyle w:val="FootnoteText"/>
        <w:rPr>
          <w:lang w:val="en-US"/>
        </w:rPr>
      </w:pPr>
      <w:r>
        <w:rPr>
          <w:rStyle w:val="FootnoteReference"/>
        </w:rPr>
        <w:footnoteRef/>
      </w:r>
      <w:r>
        <w:t xml:space="preserve"> </w:t>
      </w:r>
      <w:r>
        <w:rPr>
          <w:lang w:val="en-US"/>
        </w:rPr>
        <w:t>2019,UKSC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1271"/>
    <w:multiLevelType w:val="hybridMultilevel"/>
    <w:tmpl w:val="74765AE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16F37"/>
    <w:multiLevelType w:val="hybridMultilevel"/>
    <w:tmpl w:val="6F58EC4A"/>
    <w:lvl w:ilvl="0" w:tplc="5F4686CE">
      <w:start w:val="1"/>
      <w:numFmt w:val="lowerLetter"/>
      <w:lvlText w:val="(%1)"/>
      <w:lvlJc w:val="left"/>
      <w:pPr>
        <w:ind w:left="84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A8"/>
    <w:rsid w:val="000052B7"/>
    <w:rsid w:val="00007793"/>
    <w:rsid w:val="00037663"/>
    <w:rsid w:val="00091A69"/>
    <w:rsid w:val="00093330"/>
    <w:rsid w:val="000E050A"/>
    <w:rsid w:val="000F248B"/>
    <w:rsid w:val="0010279E"/>
    <w:rsid w:val="00105BB9"/>
    <w:rsid w:val="001074A5"/>
    <w:rsid w:val="00134854"/>
    <w:rsid w:val="001923F8"/>
    <w:rsid w:val="001B1810"/>
    <w:rsid w:val="001C1EEF"/>
    <w:rsid w:val="001F30AD"/>
    <w:rsid w:val="00204832"/>
    <w:rsid w:val="00225624"/>
    <w:rsid w:val="002917BB"/>
    <w:rsid w:val="002A4791"/>
    <w:rsid w:val="002B055D"/>
    <w:rsid w:val="002C2E7B"/>
    <w:rsid w:val="002E4129"/>
    <w:rsid w:val="00310E04"/>
    <w:rsid w:val="00316D07"/>
    <w:rsid w:val="0032005D"/>
    <w:rsid w:val="00342648"/>
    <w:rsid w:val="0035640E"/>
    <w:rsid w:val="00372A34"/>
    <w:rsid w:val="003917CE"/>
    <w:rsid w:val="00394A7A"/>
    <w:rsid w:val="00396B56"/>
    <w:rsid w:val="003A317D"/>
    <w:rsid w:val="003A3B3E"/>
    <w:rsid w:val="003A3D94"/>
    <w:rsid w:val="003A423F"/>
    <w:rsid w:val="003A7F10"/>
    <w:rsid w:val="0040796B"/>
    <w:rsid w:val="00445A76"/>
    <w:rsid w:val="00471221"/>
    <w:rsid w:val="004B1616"/>
    <w:rsid w:val="004C5E22"/>
    <w:rsid w:val="004E2679"/>
    <w:rsid w:val="0052725E"/>
    <w:rsid w:val="005345C1"/>
    <w:rsid w:val="00543C4A"/>
    <w:rsid w:val="005455F6"/>
    <w:rsid w:val="00566245"/>
    <w:rsid w:val="0058401A"/>
    <w:rsid w:val="00592A6E"/>
    <w:rsid w:val="005C6BDE"/>
    <w:rsid w:val="005E1C58"/>
    <w:rsid w:val="005E4386"/>
    <w:rsid w:val="005E75A8"/>
    <w:rsid w:val="005F5A1C"/>
    <w:rsid w:val="005F5EB4"/>
    <w:rsid w:val="00601459"/>
    <w:rsid w:val="00655A93"/>
    <w:rsid w:val="006910FC"/>
    <w:rsid w:val="006A47FB"/>
    <w:rsid w:val="006C7D12"/>
    <w:rsid w:val="006E1A64"/>
    <w:rsid w:val="006E5333"/>
    <w:rsid w:val="006F0B3C"/>
    <w:rsid w:val="0074213C"/>
    <w:rsid w:val="007424AB"/>
    <w:rsid w:val="0076092D"/>
    <w:rsid w:val="00797328"/>
    <w:rsid w:val="007C3F31"/>
    <w:rsid w:val="0081154D"/>
    <w:rsid w:val="00821630"/>
    <w:rsid w:val="00825681"/>
    <w:rsid w:val="00850045"/>
    <w:rsid w:val="008562A9"/>
    <w:rsid w:val="00875358"/>
    <w:rsid w:val="00875CAC"/>
    <w:rsid w:val="008762CE"/>
    <w:rsid w:val="0088290D"/>
    <w:rsid w:val="00890195"/>
    <w:rsid w:val="008B0C60"/>
    <w:rsid w:val="008F03D0"/>
    <w:rsid w:val="00910A00"/>
    <w:rsid w:val="009B657D"/>
    <w:rsid w:val="009C62EB"/>
    <w:rsid w:val="009E0C3D"/>
    <w:rsid w:val="009E572E"/>
    <w:rsid w:val="009F2145"/>
    <w:rsid w:val="00A154B6"/>
    <w:rsid w:val="00A360A8"/>
    <w:rsid w:val="00A672FE"/>
    <w:rsid w:val="00A77E5C"/>
    <w:rsid w:val="00A91704"/>
    <w:rsid w:val="00A91FFA"/>
    <w:rsid w:val="00AC186B"/>
    <w:rsid w:val="00AD05AE"/>
    <w:rsid w:val="00AE7089"/>
    <w:rsid w:val="00AF0195"/>
    <w:rsid w:val="00AF2BB2"/>
    <w:rsid w:val="00B02F5D"/>
    <w:rsid w:val="00B0368C"/>
    <w:rsid w:val="00B25387"/>
    <w:rsid w:val="00B63A31"/>
    <w:rsid w:val="00B676C2"/>
    <w:rsid w:val="00B90CD5"/>
    <w:rsid w:val="00BC3739"/>
    <w:rsid w:val="00BD0503"/>
    <w:rsid w:val="00BD1035"/>
    <w:rsid w:val="00BE4ECA"/>
    <w:rsid w:val="00BE7CBD"/>
    <w:rsid w:val="00BF4574"/>
    <w:rsid w:val="00C00D71"/>
    <w:rsid w:val="00C100D6"/>
    <w:rsid w:val="00C155FD"/>
    <w:rsid w:val="00C236CD"/>
    <w:rsid w:val="00C27BC1"/>
    <w:rsid w:val="00C43A0E"/>
    <w:rsid w:val="00C56148"/>
    <w:rsid w:val="00C717CB"/>
    <w:rsid w:val="00C82D28"/>
    <w:rsid w:val="00C92F5E"/>
    <w:rsid w:val="00C93B0F"/>
    <w:rsid w:val="00C94EB2"/>
    <w:rsid w:val="00CD03EE"/>
    <w:rsid w:val="00CD0BF4"/>
    <w:rsid w:val="00CE7B73"/>
    <w:rsid w:val="00D13192"/>
    <w:rsid w:val="00D13217"/>
    <w:rsid w:val="00D14EAC"/>
    <w:rsid w:val="00D30FEB"/>
    <w:rsid w:val="00D358D0"/>
    <w:rsid w:val="00D82983"/>
    <w:rsid w:val="00D853B2"/>
    <w:rsid w:val="00DC7B01"/>
    <w:rsid w:val="00DD57B0"/>
    <w:rsid w:val="00DE70CD"/>
    <w:rsid w:val="00E21D30"/>
    <w:rsid w:val="00E22414"/>
    <w:rsid w:val="00E229D5"/>
    <w:rsid w:val="00E42A05"/>
    <w:rsid w:val="00EC6291"/>
    <w:rsid w:val="00ED24DE"/>
    <w:rsid w:val="00ED387C"/>
    <w:rsid w:val="00EE25E1"/>
    <w:rsid w:val="00F17BCE"/>
    <w:rsid w:val="00F309A8"/>
    <w:rsid w:val="00F43342"/>
    <w:rsid w:val="00F840CE"/>
    <w:rsid w:val="00F9236B"/>
    <w:rsid w:val="00FA4C1D"/>
    <w:rsid w:val="00FC1869"/>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AEA0"/>
  <w15:chartTrackingRefBased/>
  <w15:docId w15:val="{65B30D1E-8D6C-428E-B000-6DA6911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60A8"/>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A360A8"/>
    <w:rPr>
      <w:sz w:val="20"/>
      <w:szCs w:val="20"/>
      <w:lang w:val="en-ZA"/>
    </w:rPr>
  </w:style>
  <w:style w:type="character" w:styleId="FootnoteReference">
    <w:name w:val="footnote reference"/>
    <w:basedOn w:val="DefaultParagraphFont"/>
    <w:uiPriority w:val="99"/>
    <w:semiHidden/>
    <w:unhideWhenUsed/>
    <w:rsid w:val="00A360A8"/>
    <w:rPr>
      <w:vertAlign w:val="superscript"/>
    </w:rPr>
  </w:style>
  <w:style w:type="paragraph" w:styleId="ListParagraph">
    <w:name w:val="List Paragraph"/>
    <w:basedOn w:val="Normal"/>
    <w:uiPriority w:val="34"/>
    <w:qFormat/>
    <w:rsid w:val="00C100D6"/>
    <w:pPr>
      <w:ind w:left="720"/>
      <w:contextualSpacing/>
    </w:pPr>
  </w:style>
  <w:style w:type="paragraph" w:styleId="Header">
    <w:name w:val="header"/>
    <w:basedOn w:val="Normal"/>
    <w:link w:val="HeaderChar"/>
    <w:uiPriority w:val="99"/>
    <w:unhideWhenUsed/>
    <w:rsid w:val="00B6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31"/>
  </w:style>
  <w:style w:type="paragraph" w:styleId="Footer">
    <w:name w:val="footer"/>
    <w:basedOn w:val="Normal"/>
    <w:link w:val="FooterChar"/>
    <w:uiPriority w:val="99"/>
    <w:unhideWhenUsed/>
    <w:rsid w:val="00B6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7FC9-1E4E-4A1F-AE5D-E9BF118B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15233</TotalTime>
  <Pages>16</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Pheello Paul Rampheane</dc:creator>
  <cp:keywords/>
  <dc:description/>
  <cp:lastModifiedBy>Tsele (T) Molorane</cp:lastModifiedBy>
  <cp:revision>89</cp:revision>
  <cp:lastPrinted>2022-03-16T08:56:00Z</cp:lastPrinted>
  <dcterms:created xsi:type="dcterms:W3CDTF">2021-11-01T07:02:00Z</dcterms:created>
  <dcterms:modified xsi:type="dcterms:W3CDTF">2022-03-16T09:11:00Z</dcterms:modified>
</cp:coreProperties>
</file>