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C7B1B" w14:textId="79D0953C" w:rsidR="00EA1B28" w:rsidRPr="00EA1B28" w:rsidRDefault="00EA1B28" w:rsidP="00EA1B28">
      <w:pPr>
        <w:spacing w:line="360" w:lineRule="auto"/>
        <w:ind w:left="6480"/>
        <w:jc w:val="both"/>
        <w:rPr>
          <w:rFonts w:ascii="Arial" w:hAnsi="Arial" w:cs="Arial"/>
          <w:b/>
          <w:sz w:val="28"/>
          <w:szCs w:val="28"/>
          <w:lang w:val="en-US"/>
        </w:rPr>
      </w:pPr>
      <w:r w:rsidRPr="00EA1B28">
        <w:rPr>
          <w:rFonts w:ascii="Arial" w:hAnsi="Arial" w:cs="Arial"/>
          <w:b/>
          <w:sz w:val="28"/>
          <w:szCs w:val="28"/>
          <w:lang w:val="en-US"/>
        </w:rPr>
        <w:t>CIV/</w:t>
      </w:r>
      <w:r>
        <w:rPr>
          <w:rFonts w:ascii="Arial" w:hAnsi="Arial" w:cs="Arial"/>
          <w:b/>
          <w:sz w:val="28"/>
          <w:szCs w:val="28"/>
          <w:lang w:val="en-US"/>
        </w:rPr>
        <w:t>APN</w:t>
      </w:r>
      <w:r w:rsidRPr="00EA1B28">
        <w:rPr>
          <w:rFonts w:ascii="Arial" w:hAnsi="Arial" w:cs="Arial"/>
          <w:b/>
          <w:sz w:val="28"/>
          <w:szCs w:val="28"/>
          <w:lang w:val="en-US"/>
        </w:rPr>
        <w:t>/</w:t>
      </w:r>
      <w:r>
        <w:rPr>
          <w:rFonts w:ascii="Arial" w:hAnsi="Arial" w:cs="Arial"/>
          <w:b/>
          <w:sz w:val="28"/>
          <w:szCs w:val="28"/>
          <w:lang w:val="en-US"/>
        </w:rPr>
        <w:t>289</w:t>
      </w:r>
      <w:r w:rsidRPr="00EA1B28">
        <w:rPr>
          <w:rFonts w:ascii="Arial" w:hAnsi="Arial" w:cs="Arial"/>
          <w:b/>
          <w:sz w:val="28"/>
          <w:szCs w:val="28"/>
          <w:lang w:val="en-US"/>
        </w:rPr>
        <w:t>/20</w:t>
      </w:r>
      <w:r>
        <w:rPr>
          <w:rFonts w:ascii="Arial" w:hAnsi="Arial" w:cs="Arial"/>
          <w:b/>
          <w:sz w:val="28"/>
          <w:szCs w:val="28"/>
          <w:lang w:val="en-US"/>
        </w:rPr>
        <w:t>17</w:t>
      </w:r>
    </w:p>
    <w:p w14:paraId="50BB6092" w14:textId="77777777" w:rsidR="00EA1B28" w:rsidRPr="00EA1B28" w:rsidRDefault="00EA1B28" w:rsidP="00EA1B28">
      <w:pPr>
        <w:spacing w:line="360" w:lineRule="auto"/>
        <w:jc w:val="both"/>
        <w:rPr>
          <w:rFonts w:ascii="Arial" w:hAnsi="Arial" w:cs="Arial"/>
          <w:b/>
          <w:sz w:val="28"/>
          <w:szCs w:val="28"/>
          <w:lang w:val="en-US"/>
        </w:rPr>
      </w:pPr>
      <w:r w:rsidRPr="00EA1B28">
        <w:rPr>
          <w:rFonts w:ascii="Arial" w:hAnsi="Arial" w:cs="Arial"/>
          <w:b/>
          <w:sz w:val="28"/>
          <w:szCs w:val="28"/>
          <w:lang w:val="en-US"/>
        </w:rPr>
        <w:t>IN THE HIGH COURT OF LESOTHO</w:t>
      </w:r>
    </w:p>
    <w:p w14:paraId="3F74AFDC" w14:textId="77777777" w:rsidR="00EA1B28" w:rsidRPr="00EA1B28" w:rsidRDefault="00EA1B28" w:rsidP="00EA1B28">
      <w:pPr>
        <w:spacing w:line="360" w:lineRule="auto"/>
        <w:jc w:val="both"/>
        <w:rPr>
          <w:rFonts w:ascii="Arial" w:hAnsi="Arial" w:cs="Arial"/>
          <w:b/>
          <w:sz w:val="28"/>
          <w:szCs w:val="28"/>
          <w:lang w:val="en-US"/>
        </w:rPr>
      </w:pPr>
      <w:r w:rsidRPr="00EA1B28">
        <w:rPr>
          <w:rFonts w:ascii="Arial" w:hAnsi="Arial" w:cs="Arial"/>
          <w:b/>
          <w:sz w:val="28"/>
          <w:szCs w:val="28"/>
          <w:lang w:val="en-US"/>
        </w:rPr>
        <w:t>Held at Maseru</w:t>
      </w:r>
    </w:p>
    <w:p w14:paraId="7A8B5732" w14:textId="77777777" w:rsidR="00EA1B28" w:rsidRPr="00EA1B28" w:rsidRDefault="00EA1B28" w:rsidP="00EA1B28">
      <w:pPr>
        <w:spacing w:line="360" w:lineRule="auto"/>
        <w:jc w:val="both"/>
        <w:rPr>
          <w:rFonts w:ascii="Arial" w:hAnsi="Arial" w:cs="Arial"/>
          <w:b/>
          <w:sz w:val="28"/>
          <w:szCs w:val="28"/>
          <w:lang w:val="en-US"/>
        </w:rPr>
      </w:pPr>
      <w:r w:rsidRPr="00EA1B28">
        <w:rPr>
          <w:rFonts w:ascii="Arial" w:hAnsi="Arial" w:cs="Arial"/>
          <w:b/>
          <w:sz w:val="28"/>
          <w:szCs w:val="28"/>
          <w:lang w:val="en-US"/>
        </w:rPr>
        <w:t xml:space="preserve">In the matter </w:t>
      </w:r>
      <w:proofErr w:type="gramStart"/>
      <w:r w:rsidRPr="00EA1B28">
        <w:rPr>
          <w:rFonts w:ascii="Arial" w:hAnsi="Arial" w:cs="Arial"/>
          <w:b/>
          <w:sz w:val="28"/>
          <w:szCs w:val="28"/>
          <w:lang w:val="en-US"/>
        </w:rPr>
        <w:t>between:-</w:t>
      </w:r>
      <w:proofErr w:type="gramEnd"/>
    </w:p>
    <w:p w14:paraId="4E9D15EB" w14:textId="77777777" w:rsidR="00EA1B28" w:rsidRPr="00EA1B28" w:rsidRDefault="00EA1B28" w:rsidP="00EA1B28">
      <w:pPr>
        <w:spacing w:line="360" w:lineRule="auto"/>
        <w:jc w:val="both"/>
        <w:rPr>
          <w:rFonts w:ascii="Arial" w:hAnsi="Arial" w:cs="Arial"/>
          <w:b/>
          <w:sz w:val="28"/>
          <w:szCs w:val="28"/>
          <w:lang w:val="en-US"/>
        </w:rPr>
      </w:pPr>
    </w:p>
    <w:p w14:paraId="7B5EC2D7" w14:textId="12EECD25" w:rsidR="00EA1B28" w:rsidRDefault="00EA1B28" w:rsidP="00EA1B28">
      <w:pPr>
        <w:spacing w:line="360" w:lineRule="auto"/>
        <w:jc w:val="both"/>
        <w:rPr>
          <w:rFonts w:ascii="Arial" w:hAnsi="Arial" w:cs="Arial"/>
          <w:b/>
          <w:sz w:val="28"/>
          <w:szCs w:val="28"/>
          <w:lang w:val="en-US"/>
        </w:rPr>
      </w:pPr>
      <w:proofErr w:type="spellStart"/>
      <w:r>
        <w:rPr>
          <w:rFonts w:ascii="Arial" w:hAnsi="Arial" w:cs="Arial"/>
          <w:b/>
          <w:sz w:val="28"/>
          <w:szCs w:val="28"/>
          <w:lang w:val="en-US"/>
        </w:rPr>
        <w:t>Martinus</w:t>
      </w:r>
      <w:proofErr w:type="spellEnd"/>
      <w:r>
        <w:rPr>
          <w:rFonts w:ascii="Arial" w:hAnsi="Arial" w:cs="Arial"/>
          <w:b/>
          <w:sz w:val="28"/>
          <w:szCs w:val="28"/>
          <w:lang w:val="en-US"/>
        </w:rPr>
        <w:t xml:space="preserve"> Christoffel Botha</w:t>
      </w:r>
      <w:r w:rsidRPr="00EA1B28">
        <w:rPr>
          <w:rFonts w:ascii="Arial" w:hAnsi="Arial" w:cs="Arial"/>
          <w:b/>
          <w:sz w:val="28"/>
          <w:szCs w:val="28"/>
          <w:lang w:val="en-US"/>
        </w:rPr>
        <w:t xml:space="preserve">                                    </w:t>
      </w:r>
      <w:r>
        <w:rPr>
          <w:rFonts w:ascii="Arial" w:hAnsi="Arial" w:cs="Arial"/>
          <w:b/>
          <w:sz w:val="28"/>
          <w:szCs w:val="28"/>
          <w:lang w:val="en-US"/>
        </w:rPr>
        <w:tab/>
        <w:t>1</w:t>
      </w:r>
      <w:r w:rsidRPr="00EA1B28">
        <w:rPr>
          <w:rFonts w:ascii="Arial" w:hAnsi="Arial" w:cs="Arial"/>
          <w:b/>
          <w:sz w:val="28"/>
          <w:szCs w:val="28"/>
          <w:vertAlign w:val="superscript"/>
          <w:lang w:val="en-US"/>
        </w:rPr>
        <w:t>st</w:t>
      </w:r>
      <w:r>
        <w:rPr>
          <w:rFonts w:ascii="Arial" w:hAnsi="Arial" w:cs="Arial"/>
          <w:b/>
          <w:sz w:val="28"/>
          <w:szCs w:val="28"/>
          <w:lang w:val="en-US"/>
        </w:rPr>
        <w:t xml:space="preserve"> Applicant</w:t>
      </w:r>
    </w:p>
    <w:p w14:paraId="30B9C08F" w14:textId="3D2F522A" w:rsidR="00EA1B28" w:rsidRPr="00EA1B28" w:rsidRDefault="00EA1B28" w:rsidP="00EA1B28">
      <w:pPr>
        <w:spacing w:line="360" w:lineRule="auto"/>
        <w:jc w:val="both"/>
        <w:rPr>
          <w:rFonts w:ascii="Arial" w:hAnsi="Arial" w:cs="Arial"/>
          <w:b/>
          <w:sz w:val="28"/>
          <w:szCs w:val="28"/>
          <w:lang w:val="en-US"/>
        </w:rPr>
      </w:pPr>
      <w:proofErr w:type="spellStart"/>
      <w:r>
        <w:rPr>
          <w:rFonts w:ascii="Arial" w:hAnsi="Arial" w:cs="Arial"/>
          <w:b/>
          <w:sz w:val="28"/>
          <w:szCs w:val="28"/>
          <w:lang w:val="en-US"/>
        </w:rPr>
        <w:t>Emseebee</w:t>
      </w:r>
      <w:proofErr w:type="spellEnd"/>
      <w:r>
        <w:rPr>
          <w:rFonts w:ascii="Arial" w:hAnsi="Arial" w:cs="Arial"/>
          <w:b/>
          <w:sz w:val="28"/>
          <w:szCs w:val="28"/>
          <w:lang w:val="en-US"/>
        </w:rPr>
        <w:t xml:space="preserve"> (PTY) LTD</w:t>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t>2</w:t>
      </w:r>
      <w:r w:rsidRPr="00EA1B28">
        <w:rPr>
          <w:rFonts w:ascii="Arial" w:hAnsi="Arial" w:cs="Arial"/>
          <w:b/>
          <w:sz w:val="28"/>
          <w:szCs w:val="28"/>
          <w:vertAlign w:val="superscript"/>
          <w:lang w:val="en-US"/>
        </w:rPr>
        <w:t>nd</w:t>
      </w:r>
      <w:r>
        <w:rPr>
          <w:rFonts w:ascii="Arial" w:hAnsi="Arial" w:cs="Arial"/>
          <w:b/>
          <w:sz w:val="28"/>
          <w:szCs w:val="28"/>
          <w:lang w:val="en-US"/>
        </w:rPr>
        <w:t xml:space="preserve"> Applicant</w:t>
      </w:r>
    </w:p>
    <w:p w14:paraId="7D65B693" w14:textId="77777777" w:rsidR="00EA1B28" w:rsidRPr="00EA1B28" w:rsidRDefault="00EA1B28" w:rsidP="00EA1B28">
      <w:pPr>
        <w:spacing w:line="360" w:lineRule="auto"/>
        <w:ind w:left="720" w:firstLine="720"/>
        <w:jc w:val="both"/>
        <w:rPr>
          <w:rFonts w:ascii="Arial" w:hAnsi="Arial" w:cs="Arial"/>
          <w:b/>
          <w:sz w:val="28"/>
          <w:szCs w:val="28"/>
          <w:lang w:val="en-US"/>
        </w:rPr>
      </w:pPr>
      <w:r w:rsidRPr="00EA1B28">
        <w:rPr>
          <w:rFonts w:ascii="Arial" w:hAnsi="Arial" w:cs="Arial"/>
          <w:b/>
          <w:sz w:val="28"/>
          <w:szCs w:val="28"/>
          <w:lang w:val="en-US"/>
        </w:rPr>
        <w:t>Vs</w:t>
      </w:r>
    </w:p>
    <w:p w14:paraId="421A2B00" w14:textId="420C113A" w:rsidR="00EA1B28" w:rsidRPr="00EA1B28" w:rsidRDefault="00EA1B28" w:rsidP="00EA1B28">
      <w:pPr>
        <w:spacing w:line="360" w:lineRule="auto"/>
        <w:jc w:val="both"/>
        <w:rPr>
          <w:rFonts w:ascii="Arial" w:hAnsi="Arial" w:cs="Arial"/>
          <w:b/>
          <w:sz w:val="28"/>
          <w:szCs w:val="28"/>
          <w:lang w:val="en-US"/>
        </w:rPr>
      </w:pPr>
      <w:r>
        <w:rPr>
          <w:rFonts w:ascii="Arial" w:hAnsi="Arial" w:cs="Arial"/>
          <w:b/>
          <w:sz w:val="28"/>
          <w:szCs w:val="28"/>
          <w:lang w:val="en-US"/>
        </w:rPr>
        <w:t>Lesotho Revenue Authority</w:t>
      </w:r>
      <w:r w:rsidRPr="00EA1B28">
        <w:rPr>
          <w:rFonts w:ascii="Arial" w:hAnsi="Arial" w:cs="Arial"/>
          <w:b/>
          <w:sz w:val="28"/>
          <w:szCs w:val="28"/>
          <w:lang w:val="en-US"/>
        </w:rPr>
        <w:t xml:space="preserve">                        </w:t>
      </w:r>
      <w:r w:rsidRPr="00EA1B28">
        <w:rPr>
          <w:rFonts w:ascii="Arial" w:hAnsi="Arial" w:cs="Arial"/>
          <w:b/>
          <w:sz w:val="28"/>
          <w:szCs w:val="28"/>
          <w:lang w:val="en-US"/>
        </w:rPr>
        <w:tab/>
      </w:r>
      <w:r>
        <w:rPr>
          <w:rFonts w:ascii="Arial" w:hAnsi="Arial" w:cs="Arial"/>
          <w:b/>
          <w:sz w:val="28"/>
          <w:szCs w:val="28"/>
          <w:lang w:val="en-US"/>
        </w:rPr>
        <w:tab/>
      </w:r>
      <w:r w:rsidRPr="00EA1B28">
        <w:rPr>
          <w:rFonts w:ascii="Arial" w:hAnsi="Arial" w:cs="Arial"/>
          <w:b/>
          <w:sz w:val="28"/>
          <w:szCs w:val="28"/>
          <w:lang w:val="en-US"/>
        </w:rPr>
        <w:t>1</w:t>
      </w:r>
      <w:r w:rsidRPr="00EA1B28">
        <w:rPr>
          <w:rFonts w:ascii="Arial" w:hAnsi="Arial" w:cs="Arial"/>
          <w:b/>
          <w:sz w:val="28"/>
          <w:szCs w:val="28"/>
          <w:vertAlign w:val="superscript"/>
          <w:lang w:val="en-US"/>
        </w:rPr>
        <w:t>st</w:t>
      </w:r>
      <w:r w:rsidRPr="00EA1B28">
        <w:rPr>
          <w:rFonts w:ascii="Arial" w:hAnsi="Arial" w:cs="Arial"/>
          <w:b/>
          <w:sz w:val="28"/>
          <w:szCs w:val="28"/>
          <w:lang w:val="en-US"/>
        </w:rPr>
        <w:t xml:space="preserve"> </w:t>
      </w:r>
      <w:r>
        <w:rPr>
          <w:rFonts w:ascii="Arial" w:hAnsi="Arial" w:cs="Arial"/>
          <w:b/>
          <w:sz w:val="28"/>
          <w:szCs w:val="28"/>
          <w:lang w:val="en-US"/>
        </w:rPr>
        <w:t>Respondent</w:t>
      </w:r>
    </w:p>
    <w:p w14:paraId="00F073C0" w14:textId="13D399D8" w:rsidR="00EA1B28" w:rsidRDefault="00EA1B28" w:rsidP="00EA1B28">
      <w:pPr>
        <w:spacing w:line="360" w:lineRule="auto"/>
        <w:jc w:val="both"/>
        <w:rPr>
          <w:rFonts w:ascii="Arial" w:hAnsi="Arial" w:cs="Arial"/>
          <w:b/>
          <w:sz w:val="28"/>
          <w:szCs w:val="28"/>
          <w:lang w:val="en-US"/>
        </w:rPr>
      </w:pPr>
      <w:r>
        <w:rPr>
          <w:rFonts w:ascii="Arial" w:hAnsi="Arial" w:cs="Arial"/>
          <w:b/>
          <w:sz w:val="28"/>
          <w:szCs w:val="28"/>
          <w:lang w:val="en-US"/>
        </w:rPr>
        <w:t>Commissioner – General, LRA</w:t>
      </w:r>
      <w:r w:rsidRPr="00EA1B28">
        <w:rPr>
          <w:rFonts w:ascii="Arial" w:hAnsi="Arial" w:cs="Arial"/>
          <w:b/>
          <w:sz w:val="28"/>
          <w:szCs w:val="28"/>
          <w:lang w:val="en-US"/>
        </w:rPr>
        <w:t xml:space="preserve">                              </w:t>
      </w:r>
      <w:r>
        <w:rPr>
          <w:rFonts w:ascii="Arial" w:hAnsi="Arial" w:cs="Arial"/>
          <w:b/>
          <w:sz w:val="28"/>
          <w:szCs w:val="28"/>
          <w:lang w:val="en-US"/>
        </w:rPr>
        <w:tab/>
      </w:r>
      <w:r w:rsidRPr="00EA1B28">
        <w:rPr>
          <w:rFonts w:ascii="Arial" w:hAnsi="Arial" w:cs="Arial"/>
          <w:b/>
          <w:sz w:val="28"/>
          <w:szCs w:val="28"/>
          <w:lang w:val="en-US"/>
        </w:rPr>
        <w:t>2</w:t>
      </w:r>
      <w:r w:rsidRPr="00EA1B28">
        <w:rPr>
          <w:rFonts w:ascii="Arial" w:hAnsi="Arial" w:cs="Arial"/>
          <w:b/>
          <w:sz w:val="28"/>
          <w:szCs w:val="28"/>
          <w:vertAlign w:val="superscript"/>
          <w:lang w:val="en-US"/>
        </w:rPr>
        <w:t>nd</w:t>
      </w:r>
      <w:r w:rsidRPr="00EA1B28">
        <w:rPr>
          <w:rFonts w:ascii="Arial" w:hAnsi="Arial" w:cs="Arial"/>
          <w:b/>
          <w:sz w:val="28"/>
          <w:szCs w:val="28"/>
          <w:lang w:val="en-US"/>
        </w:rPr>
        <w:t xml:space="preserve"> Defendant</w:t>
      </w:r>
    </w:p>
    <w:p w14:paraId="37C1B76E" w14:textId="6F9E29F1" w:rsidR="00EA1B28" w:rsidRPr="00EA1B28" w:rsidRDefault="00EA1B28" w:rsidP="00EA1B28">
      <w:pPr>
        <w:spacing w:line="360" w:lineRule="auto"/>
        <w:jc w:val="both"/>
        <w:rPr>
          <w:rFonts w:ascii="Arial" w:hAnsi="Arial" w:cs="Arial"/>
          <w:b/>
          <w:sz w:val="28"/>
          <w:szCs w:val="28"/>
          <w:lang w:val="en-US"/>
        </w:rPr>
      </w:pPr>
      <w:r>
        <w:rPr>
          <w:rFonts w:ascii="Arial" w:hAnsi="Arial" w:cs="Arial"/>
          <w:b/>
          <w:sz w:val="28"/>
          <w:szCs w:val="28"/>
          <w:lang w:val="en-US"/>
        </w:rPr>
        <w:t>Attorney – General</w:t>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t>3</w:t>
      </w:r>
      <w:r w:rsidRPr="00EA1B28">
        <w:rPr>
          <w:rFonts w:ascii="Arial" w:hAnsi="Arial" w:cs="Arial"/>
          <w:b/>
          <w:sz w:val="28"/>
          <w:szCs w:val="28"/>
          <w:vertAlign w:val="superscript"/>
          <w:lang w:val="en-US"/>
        </w:rPr>
        <w:t>rd</w:t>
      </w:r>
      <w:r>
        <w:rPr>
          <w:rFonts w:ascii="Arial" w:hAnsi="Arial" w:cs="Arial"/>
          <w:b/>
          <w:sz w:val="28"/>
          <w:szCs w:val="28"/>
          <w:lang w:val="en-US"/>
        </w:rPr>
        <w:t xml:space="preserve"> Respondent</w:t>
      </w:r>
    </w:p>
    <w:p w14:paraId="23952A93" w14:textId="77777777" w:rsidR="00EA1B28" w:rsidRPr="00EA1B28" w:rsidRDefault="00EA1B28" w:rsidP="00EA1B28">
      <w:pPr>
        <w:spacing w:line="360" w:lineRule="auto"/>
        <w:jc w:val="both"/>
        <w:rPr>
          <w:rFonts w:ascii="Arial" w:hAnsi="Arial" w:cs="Arial"/>
          <w:b/>
          <w:sz w:val="28"/>
          <w:szCs w:val="28"/>
          <w:lang w:val="en-US"/>
        </w:rPr>
      </w:pPr>
    </w:p>
    <w:p w14:paraId="2C8F081F" w14:textId="77777777" w:rsidR="00EA1B28" w:rsidRPr="00EA1B28" w:rsidRDefault="00EA1B28" w:rsidP="00EA1B28">
      <w:pPr>
        <w:spacing w:line="360" w:lineRule="auto"/>
        <w:jc w:val="center"/>
        <w:rPr>
          <w:rFonts w:ascii="Arial" w:hAnsi="Arial" w:cs="Arial"/>
          <w:b/>
          <w:sz w:val="28"/>
          <w:szCs w:val="28"/>
          <w:lang w:val="en-US"/>
        </w:rPr>
      </w:pPr>
      <w:r w:rsidRPr="00EA1B28">
        <w:rPr>
          <w:rFonts w:ascii="Arial" w:hAnsi="Arial" w:cs="Arial"/>
          <w:b/>
          <w:sz w:val="28"/>
          <w:szCs w:val="28"/>
          <w:lang w:val="en-US"/>
        </w:rPr>
        <w:t>JUDGMENT</w:t>
      </w:r>
    </w:p>
    <w:p w14:paraId="06374D84" w14:textId="77777777" w:rsidR="00EA1B28" w:rsidRPr="00EA1B28" w:rsidRDefault="00EA1B28" w:rsidP="00EA1B28">
      <w:pPr>
        <w:spacing w:line="360" w:lineRule="auto"/>
        <w:jc w:val="both"/>
        <w:rPr>
          <w:rFonts w:ascii="Arial" w:hAnsi="Arial" w:cs="Arial"/>
          <w:b/>
          <w:sz w:val="28"/>
          <w:szCs w:val="28"/>
          <w:lang w:val="en-US"/>
        </w:rPr>
      </w:pPr>
    </w:p>
    <w:p w14:paraId="12A57E49" w14:textId="16C20938" w:rsidR="00EA1B28" w:rsidRPr="00EA1B28" w:rsidRDefault="00EA1B28" w:rsidP="00EA1B28">
      <w:pPr>
        <w:spacing w:line="360" w:lineRule="auto"/>
        <w:jc w:val="both"/>
        <w:rPr>
          <w:rFonts w:ascii="Arial" w:hAnsi="Arial" w:cs="Arial"/>
          <w:b/>
          <w:bCs/>
          <w:sz w:val="28"/>
          <w:szCs w:val="28"/>
          <w:lang w:val="en-US"/>
        </w:rPr>
      </w:pPr>
      <w:r w:rsidRPr="00EA1B28">
        <w:rPr>
          <w:rFonts w:ascii="Arial" w:hAnsi="Arial" w:cs="Arial"/>
          <w:b/>
          <w:bCs/>
          <w:sz w:val="28"/>
          <w:szCs w:val="28"/>
          <w:lang w:val="en-US"/>
        </w:rPr>
        <w:t>Coram</w:t>
      </w:r>
      <w:r w:rsidRPr="00EA1B28">
        <w:rPr>
          <w:rFonts w:ascii="Arial" w:hAnsi="Arial" w:cs="Arial"/>
          <w:b/>
          <w:bCs/>
          <w:sz w:val="28"/>
          <w:szCs w:val="28"/>
          <w:lang w:val="en-US"/>
        </w:rPr>
        <w:tab/>
      </w:r>
      <w:r w:rsidRPr="00EA1B28">
        <w:rPr>
          <w:rFonts w:ascii="Arial" w:hAnsi="Arial" w:cs="Arial"/>
          <w:b/>
          <w:bCs/>
          <w:sz w:val="28"/>
          <w:szCs w:val="28"/>
          <w:lang w:val="en-US"/>
        </w:rPr>
        <w:tab/>
      </w:r>
      <w:r w:rsidRPr="00EA1B28">
        <w:rPr>
          <w:rFonts w:ascii="Arial" w:hAnsi="Arial" w:cs="Arial"/>
          <w:b/>
          <w:bCs/>
          <w:sz w:val="28"/>
          <w:szCs w:val="28"/>
          <w:lang w:val="en-US"/>
        </w:rPr>
        <w:tab/>
        <w:t>:</w:t>
      </w:r>
      <w:r w:rsidRPr="00EA1B28">
        <w:rPr>
          <w:rFonts w:ascii="Arial" w:hAnsi="Arial" w:cs="Arial"/>
          <w:b/>
          <w:bCs/>
          <w:sz w:val="28"/>
          <w:szCs w:val="28"/>
          <w:lang w:val="en-US"/>
        </w:rPr>
        <w:tab/>
      </w:r>
      <w:r w:rsidRPr="00EA1B28">
        <w:rPr>
          <w:rFonts w:ascii="Arial" w:hAnsi="Arial" w:cs="Arial"/>
          <w:b/>
          <w:bCs/>
          <w:sz w:val="28"/>
          <w:szCs w:val="28"/>
          <w:lang w:val="en-US"/>
        </w:rPr>
        <w:tab/>
        <w:t xml:space="preserve">Hon. </w:t>
      </w:r>
      <w:proofErr w:type="spellStart"/>
      <w:r w:rsidRPr="00EA1B28">
        <w:rPr>
          <w:rFonts w:ascii="Arial" w:hAnsi="Arial" w:cs="Arial"/>
          <w:b/>
          <w:bCs/>
          <w:sz w:val="28"/>
          <w:szCs w:val="28"/>
          <w:lang w:val="en-US"/>
        </w:rPr>
        <w:t>Monapathi</w:t>
      </w:r>
      <w:proofErr w:type="spellEnd"/>
      <w:r>
        <w:rPr>
          <w:rFonts w:ascii="Arial" w:hAnsi="Arial" w:cs="Arial"/>
          <w:b/>
          <w:bCs/>
          <w:sz w:val="28"/>
          <w:szCs w:val="28"/>
          <w:lang w:val="en-US"/>
        </w:rPr>
        <w:t xml:space="preserve"> J.</w:t>
      </w:r>
    </w:p>
    <w:p w14:paraId="71EA70A0" w14:textId="322733BE" w:rsidR="00EA1B28" w:rsidRPr="00EA1B28" w:rsidRDefault="00EA1B28" w:rsidP="00EA1B28">
      <w:pPr>
        <w:spacing w:line="360" w:lineRule="auto"/>
        <w:jc w:val="both"/>
        <w:rPr>
          <w:rFonts w:ascii="Arial" w:hAnsi="Arial" w:cs="Arial"/>
          <w:b/>
          <w:bCs/>
          <w:sz w:val="28"/>
          <w:szCs w:val="28"/>
          <w:lang w:val="en-US"/>
        </w:rPr>
      </w:pPr>
      <w:r w:rsidRPr="00EA1B28">
        <w:rPr>
          <w:rFonts w:ascii="Arial" w:hAnsi="Arial" w:cs="Arial"/>
          <w:b/>
          <w:bCs/>
          <w:sz w:val="28"/>
          <w:szCs w:val="28"/>
          <w:lang w:val="en-US"/>
        </w:rPr>
        <w:t>Date of Hearing</w:t>
      </w:r>
      <w:r w:rsidRPr="00EA1B28">
        <w:rPr>
          <w:rFonts w:ascii="Arial" w:hAnsi="Arial" w:cs="Arial"/>
          <w:b/>
          <w:bCs/>
          <w:sz w:val="28"/>
          <w:szCs w:val="28"/>
          <w:lang w:val="en-US"/>
        </w:rPr>
        <w:tab/>
      </w:r>
      <w:r w:rsidRPr="00EA1B28">
        <w:rPr>
          <w:rFonts w:ascii="Arial" w:hAnsi="Arial" w:cs="Arial"/>
          <w:b/>
          <w:bCs/>
          <w:sz w:val="28"/>
          <w:szCs w:val="28"/>
          <w:lang w:val="en-US"/>
        </w:rPr>
        <w:tab/>
        <w:t>:</w:t>
      </w:r>
      <w:r w:rsidRPr="00EA1B28">
        <w:rPr>
          <w:rFonts w:ascii="Arial" w:hAnsi="Arial" w:cs="Arial"/>
          <w:b/>
          <w:bCs/>
          <w:sz w:val="28"/>
          <w:szCs w:val="28"/>
          <w:lang w:val="en-US"/>
        </w:rPr>
        <w:tab/>
      </w:r>
      <w:r w:rsidRPr="00EA1B28">
        <w:rPr>
          <w:rFonts w:ascii="Arial" w:hAnsi="Arial" w:cs="Arial"/>
          <w:b/>
          <w:bCs/>
          <w:sz w:val="28"/>
          <w:szCs w:val="28"/>
          <w:lang w:val="en-US"/>
        </w:rPr>
        <w:tab/>
      </w:r>
      <w:r w:rsidR="00A12DC7">
        <w:rPr>
          <w:rFonts w:ascii="Arial" w:hAnsi="Arial" w:cs="Arial"/>
          <w:b/>
          <w:bCs/>
          <w:sz w:val="28"/>
          <w:szCs w:val="28"/>
          <w:lang w:val="en-US"/>
        </w:rPr>
        <w:t>5</w:t>
      </w:r>
      <w:r w:rsidR="00A12DC7" w:rsidRPr="00A12DC7">
        <w:rPr>
          <w:rFonts w:ascii="Arial" w:hAnsi="Arial" w:cs="Arial"/>
          <w:b/>
          <w:bCs/>
          <w:sz w:val="28"/>
          <w:szCs w:val="28"/>
          <w:vertAlign w:val="superscript"/>
          <w:lang w:val="en-US"/>
        </w:rPr>
        <w:t>th</w:t>
      </w:r>
      <w:r w:rsidR="00A12DC7">
        <w:rPr>
          <w:rFonts w:ascii="Arial" w:hAnsi="Arial" w:cs="Arial"/>
          <w:b/>
          <w:bCs/>
          <w:sz w:val="28"/>
          <w:szCs w:val="28"/>
          <w:lang w:val="en-US"/>
        </w:rPr>
        <w:t xml:space="preserve"> August 2019</w:t>
      </w:r>
    </w:p>
    <w:p w14:paraId="49EF91DD" w14:textId="37D9A6B3" w:rsidR="00EA1B28" w:rsidRPr="00EA1B28" w:rsidRDefault="00EA1B28" w:rsidP="00EA1B28">
      <w:pPr>
        <w:spacing w:line="360" w:lineRule="auto"/>
        <w:jc w:val="both"/>
        <w:rPr>
          <w:rFonts w:ascii="Arial" w:hAnsi="Arial" w:cs="Arial"/>
          <w:b/>
          <w:bCs/>
          <w:sz w:val="28"/>
          <w:szCs w:val="28"/>
          <w:lang w:val="en-US"/>
        </w:rPr>
      </w:pPr>
      <w:r w:rsidRPr="00EA1B28">
        <w:rPr>
          <w:rFonts w:ascii="Arial" w:hAnsi="Arial" w:cs="Arial"/>
          <w:b/>
          <w:bCs/>
          <w:sz w:val="28"/>
          <w:szCs w:val="28"/>
          <w:lang w:val="en-US"/>
        </w:rPr>
        <w:t>Date of judgment</w:t>
      </w:r>
      <w:r w:rsidRPr="00EA1B28">
        <w:rPr>
          <w:rFonts w:ascii="Arial" w:hAnsi="Arial" w:cs="Arial"/>
          <w:b/>
          <w:bCs/>
          <w:sz w:val="28"/>
          <w:szCs w:val="28"/>
          <w:lang w:val="en-US"/>
        </w:rPr>
        <w:tab/>
        <w:t>:</w:t>
      </w:r>
      <w:r w:rsidRPr="00EA1B28">
        <w:rPr>
          <w:rFonts w:ascii="Arial" w:hAnsi="Arial" w:cs="Arial"/>
          <w:b/>
          <w:bCs/>
          <w:sz w:val="28"/>
          <w:szCs w:val="28"/>
          <w:lang w:val="en-US"/>
        </w:rPr>
        <w:tab/>
      </w:r>
      <w:r w:rsidRPr="00EA1B28">
        <w:rPr>
          <w:rFonts w:ascii="Arial" w:hAnsi="Arial" w:cs="Arial"/>
          <w:b/>
          <w:bCs/>
          <w:sz w:val="28"/>
          <w:szCs w:val="28"/>
          <w:lang w:val="en-US"/>
        </w:rPr>
        <w:tab/>
      </w:r>
      <w:bookmarkStart w:id="0" w:name="_Hlk100224153"/>
      <w:r w:rsidR="00A12DC7">
        <w:rPr>
          <w:rFonts w:ascii="Arial" w:hAnsi="Arial" w:cs="Arial"/>
          <w:b/>
          <w:bCs/>
          <w:sz w:val="28"/>
          <w:szCs w:val="28"/>
          <w:lang w:val="en-US"/>
        </w:rPr>
        <w:t>16</w:t>
      </w:r>
      <w:r w:rsidR="00A12DC7" w:rsidRPr="00A12DC7">
        <w:rPr>
          <w:rFonts w:ascii="Arial" w:hAnsi="Arial" w:cs="Arial"/>
          <w:b/>
          <w:bCs/>
          <w:sz w:val="28"/>
          <w:szCs w:val="28"/>
          <w:vertAlign w:val="superscript"/>
          <w:lang w:val="en-US"/>
        </w:rPr>
        <w:t>th</w:t>
      </w:r>
      <w:r w:rsidR="00A12DC7">
        <w:rPr>
          <w:rFonts w:ascii="Arial" w:hAnsi="Arial" w:cs="Arial"/>
          <w:b/>
          <w:bCs/>
          <w:sz w:val="28"/>
          <w:szCs w:val="28"/>
          <w:lang w:val="en-US"/>
        </w:rPr>
        <w:t xml:space="preserve"> March 2022</w:t>
      </w:r>
      <w:bookmarkEnd w:id="0"/>
    </w:p>
    <w:p w14:paraId="06BBA487" w14:textId="4553968E" w:rsidR="00EA1B28" w:rsidRDefault="00EA1B28" w:rsidP="00EA1B28">
      <w:pPr>
        <w:spacing w:line="360" w:lineRule="auto"/>
        <w:jc w:val="both"/>
        <w:rPr>
          <w:rFonts w:ascii="Arial" w:hAnsi="Arial" w:cs="Arial"/>
          <w:b/>
          <w:bCs/>
          <w:sz w:val="28"/>
          <w:szCs w:val="28"/>
          <w:lang w:val="en-US"/>
        </w:rPr>
      </w:pPr>
    </w:p>
    <w:p w14:paraId="32C3B05C" w14:textId="6283CB43" w:rsidR="00CC3C55" w:rsidRDefault="00CC3C55" w:rsidP="00EA1B28">
      <w:pPr>
        <w:spacing w:line="360" w:lineRule="auto"/>
        <w:jc w:val="both"/>
        <w:rPr>
          <w:rFonts w:ascii="Arial" w:hAnsi="Arial" w:cs="Arial"/>
          <w:sz w:val="28"/>
          <w:szCs w:val="28"/>
          <w:lang w:val="en-US"/>
        </w:rPr>
      </w:pPr>
      <w:r>
        <w:rPr>
          <w:rFonts w:ascii="Arial" w:hAnsi="Arial" w:cs="Arial"/>
          <w:sz w:val="28"/>
          <w:szCs w:val="28"/>
          <w:lang w:val="en-US"/>
        </w:rPr>
        <w:t>Neutral Citation:</w:t>
      </w:r>
      <w:r w:rsidR="00160461">
        <w:rPr>
          <w:rFonts w:ascii="Arial" w:hAnsi="Arial" w:cs="Arial"/>
          <w:sz w:val="28"/>
          <w:szCs w:val="28"/>
          <w:lang w:val="en-US"/>
        </w:rPr>
        <w:t xml:space="preserve"> Botha &amp; other vs LRA &amp; 2 others [2022] LSHC 62 Civ </w:t>
      </w:r>
      <w:r w:rsidR="00160461" w:rsidRPr="00160461">
        <w:rPr>
          <w:rFonts w:ascii="Arial" w:hAnsi="Arial" w:cs="Arial"/>
          <w:sz w:val="28"/>
          <w:szCs w:val="28"/>
          <w:lang w:val="en-US"/>
        </w:rPr>
        <w:t>(</w:t>
      </w:r>
      <w:r w:rsidR="00160461" w:rsidRPr="00160461">
        <w:rPr>
          <w:rFonts w:ascii="Arial" w:hAnsi="Arial" w:cs="Arial"/>
          <w:sz w:val="28"/>
          <w:szCs w:val="28"/>
          <w:lang w:val="en-US"/>
        </w:rPr>
        <w:t>16</w:t>
      </w:r>
      <w:r w:rsidR="00160461" w:rsidRPr="00160461">
        <w:rPr>
          <w:rFonts w:ascii="Arial" w:hAnsi="Arial" w:cs="Arial"/>
          <w:sz w:val="28"/>
          <w:szCs w:val="28"/>
          <w:vertAlign w:val="superscript"/>
          <w:lang w:val="en-US"/>
        </w:rPr>
        <w:t>th</w:t>
      </w:r>
      <w:r w:rsidR="00160461" w:rsidRPr="00160461">
        <w:rPr>
          <w:rFonts w:ascii="Arial" w:hAnsi="Arial" w:cs="Arial"/>
          <w:sz w:val="28"/>
          <w:szCs w:val="28"/>
          <w:lang w:val="en-US"/>
        </w:rPr>
        <w:t xml:space="preserve"> March 2022</w:t>
      </w:r>
      <w:r w:rsidR="00160461" w:rsidRPr="00160461">
        <w:rPr>
          <w:rFonts w:ascii="Arial" w:hAnsi="Arial" w:cs="Arial"/>
          <w:sz w:val="28"/>
          <w:szCs w:val="28"/>
          <w:lang w:val="en-US"/>
        </w:rPr>
        <w:t>)</w:t>
      </w:r>
    </w:p>
    <w:p w14:paraId="75431D2B" w14:textId="77777777" w:rsidR="00CC3C55" w:rsidRPr="00CC3C55" w:rsidRDefault="00CC3C55" w:rsidP="00EA1B28">
      <w:pPr>
        <w:spacing w:line="360" w:lineRule="auto"/>
        <w:jc w:val="both"/>
        <w:rPr>
          <w:rFonts w:ascii="Arial" w:hAnsi="Arial" w:cs="Arial"/>
          <w:sz w:val="28"/>
          <w:szCs w:val="28"/>
          <w:lang w:val="en-US"/>
        </w:rPr>
      </w:pPr>
    </w:p>
    <w:p w14:paraId="35A3673C" w14:textId="7519C4AB" w:rsidR="00362992" w:rsidRPr="00160461" w:rsidRDefault="00EA1B28" w:rsidP="00160461">
      <w:pPr>
        <w:spacing w:line="360" w:lineRule="auto"/>
        <w:jc w:val="center"/>
        <w:rPr>
          <w:rFonts w:ascii="Arial" w:hAnsi="Arial" w:cs="Arial"/>
          <w:b/>
          <w:iCs/>
          <w:sz w:val="28"/>
          <w:szCs w:val="28"/>
          <w:u w:val="single"/>
          <w:lang w:val="en-US"/>
        </w:rPr>
      </w:pPr>
      <w:r w:rsidRPr="00CC3C55">
        <w:rPr>
          <w:rFonts w:ascii="Arial" w:hAnsi="Arial" w:cs="Arial"/>
          <w:b/>
          <w:iCs/>
          <w:sz w:val="28"/>
          <w:szCs w:val="28"/>
          <w:u w:val="single"/>
          <w:lang w:val="en-US"/>
        </w:rPr>
        <w:t>SUMMARY</w:t>
      </w:r>
    </w:p>
    <w:p w14:paraId="4877E2D8" w14:textId="589578EB" w:rsidR="00362992" w:rsidRDefault="00362992" w:rsidP="003F243B">
      <w:pPr>
        <w:spacing w:line="360" w:lineRule="auto"/>
        <w:ind w:left="720" w:hanging="720"/>
        <w:jc w:val="both"/>
        <w:rPr>
          <w:rFonts w:ascii="Arial" w:hAnsi="Arial" w:cs="Arial"/>
          <w:sz w:val="28"/>
          <w:szCs w:val="28"/>
        </w:rPr>
      </w:pPr>
      <w:r>
        <w:rPr>
          <w:rFonts w:ascii="Arial" w:hAnsi="Arial" w:cs="Arial"/>
          <w:sz w:val="28"/>
          <w:szCs w:val="28"/>
        </w:rPr>
        <w:lastRenderedPageBreak/>
        <w:t>[1]</w:t>
      </w:r>
      <w:r>
        <w:rPr>
          <w:rFonts w:ascii="Arial" w:hAnsi="Arial" w:cs="Arial"/>
          <w:sz w:val="28"/>
          <w:szCs w:val="28"/>
        </w:rPr>
        <w:tab/>
        <w:t>The Applicants approached this Court for an order in the following terms:</w:t>
      </w:r>
    </w:p>
    <w:p w14:paraId="794CBCD7" w14:textId="3ED40B37" w:rsidR="00362992" w:rsidRDefault="00362992" w:rsidP="00362992">
      <w:pPr>
        <w:spacing w:line="360" w:lineRule="auto"/>
        <w:ind w:left="720"/>
        <w:jc w:val="both"/>
        <w:rPr>
          <w:rFonts w:ascii="Arial" w:hAnsi="Arial" w:cs="Arial"/>
          <w:sz w:val="28"/>
          <w:szCs w:val="28"/>
        </w:rPr>
      </w:pPr>
      <w:r>
        <w:rPr>
          <w:rFonts w:ascii="Arial" w:hAnsi="Arial" w:cs="Arial"/>
          <w:sz w:val="28"/>
          <w:szCs w:val="28"/>
        </w:rPr>
        <w:t xml:space="preserve">1. An order declaring the Applicants interested persons in the application in that they have an existing, </w:t>
      </w:r>
      <w:proofErr w:type="gramStart"/>
      <w:r>
        <w:rPr>
          <w:rFonts w:ascii="Arial" w:hAnsi="Arial" w:cs="Arial"/>
          <w:sz w:val="28"/>
          <w:szCs w:val="28"/>
        </w:rPr>
        <w:t>future</w:t>
      </w:r>
      <w:proofErr w:type="gramEnd"/>
      <w:r>
        <w:rPr>
          <w:rFonts w:ascii="Arial" w:hAnsi="Arial" w:cs="Arial"/>
          <w:sz w:val="28"/>
          <w:szCs w:val="28"/>
        </w:rPr>
        <w:t xml:space="preserve"> or contingent right or obligation relevant to the proceedings. </w:t>
      </w:r>
    </w:p>
    <w:p w14:paraId="71F46F20" w14:textId="7219E3CA" w:rsidR="00362992" w:rsidRDefault="00362992" w:rsidP="00362992">
      <w:pPr>
        <w:spacing w:line="360" w:lineRule="auto"/>
        <w:ind w:left="720"/>
        <w:jc w:val="both"/>
        <w:rPr>
          <w:rFonts w:ascii="Arial" w:hAnsi="Arial" w:cs="Arial"/>
          <w:sz w:val="28"/>
          <w:szCs w:val="28"/>
        </w:rPr>
      </w:pPr>
      <w:r>
        <w:rPr>
          <w:rFonts w:ascii="Arial" w:hAnsi="Arial" w:cs="Arial"/>
          <w:sz w:val="28"/>
          <w:szCs w:val="28"/>
        </w:rPr>
        <w:t xml:space="preserve">2. An order declaring the Specified Rates published by the Second Respondent in the Legal Notice 130 of 2004 and 65 of 2015 </w:t>
      </w:r>
      <w:proofErr w:type="gramStart"/>
      <w:r>
        <w:rPr>
          <w:rFonts w:ascii="Arial" w:hAnsi="Arial" w:cs="Arial"/>
          <w:sz w:val="28"/>
          <w:szCs w:val="28"/>
        </w:rPr>
        <w:t>in excess of</w:t>
      </w:r>
      <w:proofErr w:type="gramEnd"/>
      <w:r>
        <w:rPr>
          <w:rFonts w:ascii="Arial" w:hAnsi="Arial" w:cs="Arial"/>
          <w:sz w:val="28"/>
          <w:szCs w:val="28"/>
        </w:rPr>
        <w:t xml:space="preserve"> the normal Commercial lending rates in Lesotho during the period 2004 to 2016, and therefore unlawful by not being compliant with the powers conferred by the provisions of Section 192 of the Income Tax Act of 1993.</w:t>
      </w:r>
    </w:p>
    <w:p w14:paraId="2EE0689C" w14:textId="1163F2F6" w:rsidR="00362992" w:rsidRDefault="00362992" w:rsidP="00951F50">
      <w:pPr>
        <w:spacing w:line="360" w:lineRule="auto"/>
        <w:ind w:left="720"/>
        <w:jc w:val="both"/>
        <w:rPr>
          <w:rFonts w:ascii="Arial" w:hAnsi="Arial" w:cs="Arial"/>
          <w:sz w:val="28"/>
          <w:szCs w:val="28"/>
        </w:rPr>
      </w:pPr>
      <w:r>
        <w:rPr>
          <w:rFonts w:ascii="Arial" w:hAnsi="Arial" w:cs="Arial"/>
          <w:sz w:val="28"/>
          <w:szCs w:val="28"/>
        </w:rPr>
        <w:t xml:space="preserve">3. An order setting aside the Specified Rates published or such </w:t>
      </w:r>
      <w:r w:rsidR="00951F50">
        <w:rPr>
          <w:rFonts w:ascii="Arial" w:hAnsi="Arial" w:cs="Arial"/>
          <w:sz w:val="28"/>
          <w:szCs w:val="28"/>
        </w:rPr>
        <w:t>and substituting it with rates of 6% per year, compounded annually, in relation to Legal Notice 130 of 2004, and 7% per year, compounded annually, in relation to Legal Notice 65 of 2015.</w:t>
      </w:r>
    </w:p>
    <w:p w14:paraId="426C70CD" w14:textId="1793BE0D" w:rsidR="00951F50" w:rsidRDefault="00951F50" w:rsidP="00951F50">
      <w:pPr>
        <w:spacing w:line="360" w:lineRule="auto"/>
        <w:ind w:left="720"/>
        <w:jc w:val="both"/>
        <w:rPr>
          <w:rFonts w:ascii="Arial" w:hAnsi="Arial" w:cs="Arial"/>
          <w:sz w:val="28"/>
          <w:szCs w:val="28"/>
        </w:rPr>
      </w:pPr>
      <w:r>
        <w:rPr>
          <w:rFonts w:ascii="Arial" w:hAnsi="Arial" w:cs="Arial"/>
          <w:sz w:val="28"/>
          <w:szCs w:val="28"/>
        </w:rPr>
        <w:t xml:space="preserve">4. An order in terms of which the First &amp; Second Respondents are to pay the costs of the application, but only the costs of the opposing the application. </w:t>
      </w:r>
    </w:p>
    <w:p w14:paraId="19EEAA67" w14:textId="4634F8CC" w:rsidR="00951F50" w:rsidRDefault="00951F50" w:rsidP="00951F50">
      <w:pPr>
        <w:spacing w:line="360" w:lineRule="auto"/>
        <w:ind w:left="720"/>
        <w:jc w:val="both"/>
        <w:rPr>
          <w:rFonts w:ascii="Arial" w:hAnsi="Arial" w:cs="Arial"/>
          <w:sz w:val="28"/>
          <w:szCs w:val="28"/>
        </w:rPr>
      </w:pPr>
      <w:r>
        <w:rPr>
          <w:rFonts w:ascii="Arial" w:hAnsi="Arial" w:cs="Arial"/>
          <w:sz w:val="28"/>
          <w:szCs w:val="28"/>
        </w:rPr>
        <w:t xml:space="preserve">5. An order in terms of which such further and /or alternative relief be granted to the Applicants as may be deemed appropriate. </w:t>
      </w:r>
    </w:p>
    <w:p w14:paraId="4528D123" w14:textId="49EC1729" w:rsidR="00A44416" w:rsidRDefault="00A44416" w:rsidP="00A44416">
      <w:pPr>
        <w:spacing w:line="360" w:lineRule="auto"/>
        <w:jc w:val="both"/>
        <w:rPr>
          <w:rFonts w:ascii="Arial" w:hAnsi="Arial" w:cs="Arial"/>
          <w:sz w:val="28"/>
          <w:szCs w:val="28"/>
        </w:rPr>
      </w:pPr>
    </w:p>
    <w:p w14:paraId="01416BDF" w14:textId="65CAF283" w:rsidR="00A44416" w:rsidRDefault="00A44416" w:rsidP="00A44416">
      <w:pPr>
        <w:spacing w:line="360" w:lineRule="auto"/>
        <w:jc w:val="both"/>
        <w:rPr>
          <w:rFonts w:ascii="Arial" w:hAnsi="Arial" w:cs="Arial"/>
          <w:sz w:val="28"/>
          <w:szCs w:val="28"/>
        </w:rPr>
      </w:pPr>
      <w:r>
        <w:rPr>
          <w:rFonts w:ascii="Arial" w:hAnsi="Arial" w:cs="Arial"/>
          <w:sz w:val="28"/>
          <w:szCs w:val="28"/>
        </w:rPr>
        <w:t>[2]</w:t>
      </w:r>
      <w:r>
        <w:rPr>
          <w:rFonts w:ascii="Arial" w:hAnsi="Arial" w:cs="Arial"/>
          <w:sz w:val="28"/>
          <w:szCs w:val="28"/>
        </w:rPr>
        <w:tab/>
        <w:t>This application is opposed.</w:t>
      </w:r>
    </w:p>
    <w:p w14:paraId="35C67D7B" w14:textId="77777777" w:rsidR="00A44416" w:rsidRDefault="00A44416" w:rsidP="00A44416">
      <w:pPr>
        <w:spacing w:line="360" w:lineRule="auto"/>
        <w:jc w:val="both"/>
        <w:rPr>
          <w:rFonts w:ascii="Arial" w:hAnsi="Arial" w:cs="Arial"/>
          <w:sz w:val="28"/>
          <w:szCs w:val="28"/>
        </w:rPr>
      </w:pPr>
    </w:p>
    <w:p w14:paraId="1347174D" w14:textId="04C4DBAF" w:rsidR="00A44416" w:rsidRDefault="00A44416" w:rsidP="00A44416">
      <w:pPr>
        <w:spacing w:line="360" w:lineRule="auto"/>
        <w:ind w:left="360" w:hanging="360"/>
        <w:jc w:val="both"/>
        <w:rPr>
          <w:rFonts w:ascii="Arial" w:hAnsi="Arial" w:cs="Arial"/>
          <w:sz w:val="28"/>
          <w:szCs w:val="28"/>
        </w:rPr>
      </w:pPr>
      <w:r>
        <w:rPr>
          <w:rFonts w:ascii="Arial" w:hAnsi="Arial" w:cs="Arial"/>
          <w:sz w:val="28"/>
          <w:szCs w:val="28"/>
        </w:rPr>
        <w:t>[3]</w:t>
      </w:r>
      <w:r>
        <w:rPr>
          <w:rFonts w:ascii="Arial" w:hAnsi="Arial" w:cs="Arial"/>
          <w:sz w:val="28"/>
          <w:szCs w:val="28"/>
        </w:rPr>
        <w:tab/>
      </w:r>
      <w:proofErr w:type="spellStart"/>
      <w:r w:rsidR="00EA1B28" w:rsidRPr="00A44416">
        <w:rPr>
          <w:rFonts w:ascii="Arial" w:hAnsi="Arial" w:cs="Arial"/>
          <w:sz w:val="28"/>
          <w:szCs w:val="28"/>
        </w:rPr>
        <w:t>Emseebe</w:t>
      </w:r>
      <w:proofErr w:type="spellEnd"/>
      <w:r>
        <w:rPr>
          <w:rFonts w:ascii="Arial" w:hAnsi="Arial" w:cs="Arial"/>
          <w:sz w:val="28"/>
          <w:szCs w:val="28"/>
        </w:rPr>
        <w:t xml:space="preserve"> (Pty) Ltd</w:t>
      </w:r>
      <w:r w:rsidR="00EA1B28" w:rsidRPr="00A44416">
        <w:rPr>
          <w:rFonts w:ascii="Arial" w:hAnsi="Arial" w:cs="Arial"/>
          <w:sz w:val="28"/>
          <w:szCs w:val="28"/>
        </w:rPr>
        <w:t xml:space="preserve"> is a company</w:t>
      </w:r>
      <w:r>
        <w:rPr>
          <w:rFonts w:ascii="Arial" w:hAnsi="Arial" w:cs="Arial"/>
          <w:sz w:val="28"/>
          <w:szCs w:val="28"/>
        </w:rPr>
        <w:t xml:space="preserve"> du</w:t>
      </w:r>
      <w:r w:rsidR="00961F13">
        <w:rPr>
          <w:rFonts w:ascii="Arial" w:hAnsi="Arial" w:cs="Arial"/>
          <w:sz w:val="28"/>
          <w:szCs w:val="28"/>
        </w:rPr>
        <w:t>l</w:t>
      </w:r>
      <w:r>
        <w:rPr>
          <w:rFonts w:ascii="Arial" w:hAnsi="Arial" w:cs="Arial"/>
          <w:sz w:val="28"/>
          <w:szCs w:val="28"/>
        </w:rPr>
        <w:t>y</w:t>
      </w:r>
      <w:r w:rsidR="00EA1B28" w:rsidRPr="00A44416">
        <w:rPr>
          <w:rFonts w:ascii="Arial" w:hAnsi="Arial" w:cs="Arial"/>
          <w:sz w:val="28"/>
          <w:szCs w:val="28"/>
        </w:rPr>
        <w:t xml:space="preserve"> registered in</w:t>
      </w:r>
      <w:r>
        <w:rPr>
          <w:rFonts w:ascii="Arial" w:hAnsi="Arial" w:cs="Arial"/>
          <w:sz w:val="28"/>
          <w:szCs w:val="28"/>
        </w:rPr>
        <w:t xml:space="preserve"> terms of the laws of</w:t>
      </w:r>
      <w:r w:rsidR="00EA1B28" w:rsidRPr="00A44416">
        <w:rPr>
          <w:rFonts w:ascii="Arial" w:hAnsi="Arial" w:cs="Arial"/>
          <w:sz w:val="28"/>
          <w:szCs w:val="28"/>
        </w:rPr>
        <w:t xml:space="preserve"> Lesotho</w:t>
      </w:r>
      <w:r>
        <w:rPr>
          <w:rFonts w:ascii="Arial" w:hAnsi="Arial" w:cs="Arial"/>
          <w:sz w:val="28"/>
          <w:szCs w:val="28"/>
        </w:rPr>
        <w:t xml:space="preserve"> with</w:t>
      </w:r>
      <w:r w:rsidR="00EA1B28" w:rsidRPr="00A44416">
        <w:rPr>
          <w:rFonts w:ascii="Arial" w:hAnsi="Arial" w:cs="Arial"/>
          <w:sz w:val="28"/>
          <w:szCs w:val="28"/>
        </w:rPr>
        <w:t xml:space="preserve"> </w:t>
      </w:r>
      <w:r>
        <w:rPr>
          <w:rFonts w:ascii="Arial" w:hAnsi="Arial" w:cs="Arial"/>
          <w:sz w:val="28"/>
          <w:szCs w:val="28"/>
        </w:rPr>
        <w:t>i</w:t>
      </w:r>
      <w:r w:rsidR="00EA1B28" w:rsidRPr="00A44416">
        <w:rPr>
          <w:rFonts w:ascii="Arial" w:hAnsi="Arial" w:cs="Arial"/>
          <w:sz w:val="28"/>
          <w:szCs w:val="28"/>
        </w:rPr>
        <w:t xml:space="preserve">ts registered address at House B7, </w:t>
      </w:r>
      <w:proofErr w:type="spellStart"/>
      <w:r w:rsidR="00EA1B28" w:rsidRPr="00A44416">
        <w:rPr>
          <w:rFonts w:ascii="Arial" w:hAnsi="Arial" w:cs="Arial"/>
          <w:sz w:val="28"/>
          <w:szCs w:val="28"/>
        </w:rPr>
        <w:t>Tsapane</w:t>
      </w:r>
      <w:proofErr w:type="spellEnd"/>
      <w:r w:rsidR="00EA1B28" w:rsidRPr="00A44416">
        <w:rPr>
          <w:rFonts w:ascii="Arial" w:hAnsi="Arial" w:cs="Arial"/>
          <w:sz w:val="28"/>
          <w:szCs w:val="28"/>
        </w:rPr>
        <w:t xml:space="preserve"> Street, </w:t>
      </w:r>
      <w:proofErr w:type="spellStart"/>
      <w:r w:rsidR="00EA1B28" w:rsidRPr="00A44416">
        <w:rPr>
          <w:rFonts w:ascii="Arial" w:hAnsi="Arial" w:cs="Arial"/>
          <w:sz w:val="28"/>
          <w:szCs w:val="28"/>
        </w:rPr>
        <w:t>Mohale</w:t>
      </w:r>
      <w:proofErr w:type="spellEnd"/>
      <w:r w:rsidR="00EA1B28" w:rsidRPr="00A44416">
        <w:rPr>
          <w:rFonts w:ascii="Arial" w:hAnsi="Arial" w:cs="Arial"/>
          <w:sz w:val="28"/>
          <w:szCs w:val="28"/>
        </w:rPr>
        <w:t xml:space="preserve"> Town sites, </w:t>
      </w:r>
      <w:proofErr w:type="spellStart"/>
      <w:r w:rsidR="00E77919" w:rsidRPr="00A44416">
        <w:rPr>
          <w:rFonts w:ascii="Arial" w:hAnsi="Arial" w:cs="Arial"/>
          <w:sz w:val="28"/>
          <w:szCs w:val="28"/>
        </w:rPr>
        <w:t>Mohale</w:t>
      </w:r>
      <w:proofErr w:type="spellEnd"/>
      <w:r w:rsidR="00E77919" w:rsidRPr="00A44416">
        <w:rPr>
          <w:rFonts w:ascii="Arial" w:hAnsi="Arial" w:cs="Arial"/>
          <w:sz w:val="28"/>
          <w:szCs w:val="28"/>
        </w:rPr>
        <w:t xml:space="preserve"> Lesotho. It is registered as a resident </w:t>
      </w:r>
      <w:r w:rsidR="00E77919" w:rsidRPr="00A44416">
        <w:rPr>
          <w:rFonts w:ascii="Arial" w:hAnsi="Arial" w:cs="Arial"/>
          <w:sz w:val="28"/>
          <w:szCs w:val="28"/>
        </w:rPr>
        <w:lastRenderedPageBreak/>
        <w:t>taxpayer with Lesotho Revenue Authority</w:t>
      </w:r>
      <w:r>
        <w:rPr>
          <w:rFonts w:ascii="Arial" w:hAnsi="Arial" w:cs="Arial"/>
          <w:sz w:val="28"/>
          <w:szCs w:val="28"/>
        </w:rPr>
        <w:t xml:space="preserve"> and </w:t>
      </w:r>
      <w:proofErr w:type="spellStart"/>
      <w:r w:rsidR="00E77919" w:rsidRPr="00A44416">
        <w:rPr>
          <w:rFonts w:ascii="Arial" w:hAnsi="Arial" w:cs="Arial"/>
          <w:sz w:val="28"/>
          <w:szCs w:val="28"/>
        </w:rPr>
        <w:t>Martinus</w:t>
      </w:r>
      <w:proofErr w:type="spellEnd"/>
      <w:r w:rsidR="00E77919" w:rsidRPr="00A44416">
        <w:rPr>
          <w:rFonts w:ascii="Arial" w:hAnsi="Arial" w:cs="Arial"/>
          <w:sz w:val="28"/>
          <w:szCs w:val="28"/>
        </w:rPr>
        <w:t xml:space="preserve"> Christoffel Botha is </w:t>
      </w:r>
      <w:r>
        <w:rPr>
          <w:rFonts w:ascii="Arial" w:hAnsi="Arial" w:cs="Arial"/>
          <w:sz w:val="28"/>
          <w:szCs w:val="28"/>
        </w:rPr>
        <w:t>its</w:t>
      </w:r>
      <w:r w:rsidR="00E77919" w:rsidRPr="00A44416">
        <w:rPr>
          <w:rFonts w:ascii="Arial" w:hAnsi="Arial" w:cs="Arial"/>
          <w:sz w:val="28"/>
          <w:szCs w:val="28"/>
        </w:rPr>
        <w:t xml:space="preserve"> Director and Shareholder</w:t>
      </w:r>
      <w:r>
        <w:rPr>
          <w:rFonts w:ascii="Arial" w:hAnsi="Arial" w:cs="Arial"/>
          <w:sz w:val="28"/>
          <w:szCs w:val="28"/>
        </w:rPr>
        <w:t>.</w:t>
      </w:r>
      <w:r w:rsidR="00E77919" w:rsidRPr="00A44416">
        <w:rPr>
          <w:rFonts w:ascii="Arial" w:hAnsi="Arial" w:cs="Arial"/>
          <w:sz w:val="28"/>
          <w:szCs w:val="28"/>
        </w:rPr>
        <w:t xml:space="preserve"> </w:t>
      </w:r>
    </w:p>
    <w:p w14:paraId="1CEA2C53" w14:textId="5C2AC070" w:rsidR="00E77919" w:rsidRDefault="00A44416" w:rsidP="00A44416">
      <w:pPr>
        <w:spacing w:line="360" w:lineRule="auto"/>
        <w:ind w:left="360" w:hanging="360"/>
        <w:jc w:val="both"/>
        <w:rPr>
          <w:rFonts w:ascii="Arial" w:hAnsi="Arial" w:cs="Arial"/>
          <w:sz w:val="28"/>
          <w:szCs w:val="28"/>
        </w:rPr>
      </w:pPr>
      <w:r>
        <w:rPr>
          <w:rFonts w:ascii="Arial" w:hAnsi="Arial" w:cs="Arial"/>
          <w:sz w:val="28"/>
          <w:szCs w:val="28"/>
        </w:rPr>
        <w:t>[4]</w:t>
      </w:r>
      <w:r>
        <w:rPr>
          <w:rFonts w:ascii="Arial" w:hAnsi="Arial" w:cs="Arial"/>
          <w:sz w:val="28"/>
          <w:szCs w:val="28"/>
        </w:rPr>
        <w:tab/>
      </w:r>
      <w:r w:rsidR="00E77919">
        <w:rPr>
          <w:rFonts w:ascii="Arial" w:hAnsi="Arial" w:cs="Arial"/>
          <w:sz w:val="28"/>
          <w:szCs w:val="28"/>
        </w:rPr>
        <w:t>On the 21</w:t>
      </w:r>
      <w:r w:rsidR="00E77919" w:rsidRPr="00E77919">
        <w:rPr>
          <w:rFonts w:ascii="Arial" w:hAnsi="Arial" w:cs="Arial"/>
          <w:sz w:val="28"/>
          <w:szCs w:val="28"/>
          <w:vertAlign w:val="superscript"/>
        </w:rPr>
        <w:t>st</w:t>
      </w:r>
      <w:r w:rsidR="00E77919">
        <w:rPr>
          <w:rFonts w:ascii="Arial" w:hAnsi="Arial" w:cs="Arial"/>
          <w:sz w:val="28"/>
          <w:szCs w:val="28"/>
        </w:rPr>
        <w:t xml:space="preserve"> September 2016</w:t>
      </w:r>
      <w:r w:rsidR="00961F13">
        <w:rPr>
          <w:rFonts w:ascii="Arial" w:hAnsi="Arial" w:cs="Arial"/>
          <w:sz w:val="28"/>
          <w:szCs w:val="28"/>
        </w:rPr>
        <w:t>,</w:t>
      </w:r>
      <w:r w:rsidR="00E77919">
        <w:rPr>
          <w:rFonts w:ascii="Arial" w:hAnsi="Arial" w:cs="Arial"/>
          <w:sz w:val="28"/>
          <w:szCs w:val="28"/>
        </w:rPr>
        <w:t xml:space="preserve"> the division of Domestic Taxes, Lesotho Revenue Authority authored a letter to</w:t>
      </w:r>
      <w:r>
        <w:rPr>
          <w:rFonts w:ascii="Arial" w:hAnsi="Arial" w:cs="Arial"/>
          <w:sz w:val="28"/>
          <w:szCs w:val="28"/>
        </w:rPr>
        <w:t xml:space="preserve"> the Director </w:t>
      </w:r>
      <w:proofErr w:type="spellStart"/>
      <w:r>
        <w:rPr>
          <w:rFonts w:ascii="Arial" w:hAnsi="Arial" w:cs="Arial"/>
          <w:sz w:val="28"/>
          <w:szCs w:val="28"/>
        </w:rPr>
        <w:t>Emseebee</w:t>
      </w:r>
      <w:proofErr w:type="spellEnd"/>
      <w:r>
        <w:rPr>
          <w:rFonts w:ascii="Arial" w:hAnsi="Arial" w:cs="Arial"/>
          <w:sz w:val="28"/>
          <w:szCs w:val="28"/>
        </w:rPr>
        <w:t xml:space="preserve"> (Pty) Ltd whose postal address is 612 Maseru 100.</w:t>
      </w:r>
    </w:p>
    <w:p w14:paraId="60A5A875" w14:textId="4E3C67DF" w:rsidR="00E77919" w:rsidRDefault="00E77919" w:rsidP="00E77919">
      <w:pPr>
        <w:pStyle w:val="ListParagraph"/>
        <w:spacing w:line="360" w:lineRule="auto"/>
        <w:jc w:val="both"/>
        <w:rPr>
          <w:rFonts w:ascii="Arial" w:hAnsi="Arial" w:cs="Arial"/>
          <w:sz w:val="28"/>
          <w:szCs w:val="28"/>
        </w:rPr>
      </w:pPr>
    </w:p>
    <w:p w14:paraId="76495CA4" w14:textId="5C43A5F3" w:rsidR="00E77919" w:rsidRDefault="00E77919" w:rsidP="00E77919">
      <w:pPr>
        <w:spacing w:line="360" w:lineRule="auto"/>
        <w:jc w:val="both"/>
        <w:rPr>
          <w:rFonts w:ascii="Arial" w:hAnsi="Arial" w:cs="Arial"/>
          <w:sz w:val="28"/>
          <w:szCs w:val="28"/>
        </w:rPr>
      </w:pPr>
    </w:p>
    <w:p w14:paraId="72AF3D61" w14:textId="38CAEE75" w:rsidR="00932FF6" w:rsidRPr="00A44416" w:rsidRDefault="00A44416" w:rsidP="00A44416">
      <w:pPr>
        <w:spacing w:line="360" w:lineRule="auto"/>
        <w:ind w:left="360" w:hanging="360"/>
        <w:jc w:val="both"/>
        <w:rPr>
          <w:rFonts w:ascii="Arial" w:hAnsi="Arial" w:cs="Arial"/>
          <w:sz w:val="28"/>
          <w:szCs w:val="28"/>
        </w:rPr>
      </w:pPr>
      <w:r>
        <w:rPr>
          <w:rFonts w:ascii="Arial" w:hAnsi="Arial" w:cs="Arial"/>
          <w:sz w:val="28"/>
          <w:szCs w:val="28"/>
        </w:rPr>
        <w:t>[5]</w:t>
      </w:r>
      <w:r>
        <w:rPr>
          <w:rFonts w:ascii="Arial" w:hAnsi="Arial" w:cs="Arial"/>
          <w:sz w:val="28"/>
          <w:szCs w:val="28"/>
        </w:rPr>
        <w:tab/>
      </w:r>
      <w:r w:rsidR="00E77919" w:rsidRPr="00A44416">
        <w:rPr>
          <w:rFonts w:ascii="Arial" w:hAnsi="Arial" w:cs="Arial"/>
          <w:sz w:val="28"/>
          <w:szCs w:val="28"/>
        </w:rPr>
        <w:t xml:space="preserve">The letter advised that </w:t>
      </w:r>
      <w:r w:rsidRPr="00A44416">
        <w:rPr>
          <w:rFonts w:ascii="Arial" w:hAnsi="Arial" w:cs="Arial"/>
          <w:sz w:val="28"/>
          <w:szCs w:val="28"/>
        </w:rPr>
        <w:t>if</w:t>
      </w:r>
      <w:r w:rsidR="00E77919" w:rsidRPr="00A44416">
        <w:rPr>
          <w:rFonts w:ascii="Arial" w:hAnsi="Arial" w:cs="Arial"/>
          <w:sz w:val="28"/>
          <w:szCs w:val="28"/>
        </w:rPr>
        <w:t xml:space="preserve"> Mr. Botha was dissatisfied with the assessment </w:t>
      </w:r>
      <w:r w:rsidR="00932FF6" w:rsidRPr="00A44416">
        <w:rPr>
          <w:rFonts w:ascii="Arial" w:hAnsi="Arial" w:cs="Arial"/>
          <w:sz w:val="28"/>
          <w:szCs w:val="28"/>
        </w:rPr>
        <w:t xml:space="preserve">he may file objection with the </w:t>
      </w:r>
      <w:r w:rsidR="00961F13">
        <w:rPr>
          <w:rFonts w:ascii="Arial" w:hAnsi="Arial" w:cs="Arial"/>
          <w:sz w:val="28"/>
          <w:szCs w:val="28"/>
        </w:rPr>
        <w:t>C</w:t>
      </w:r>
      <w:r w:rsidR="00932FF6" w:rsidRPr="00A44416">
        <w:rPr>
          <w:rFonts w:ascii="Arial" w:hAnsi="Arial" w:cs="Arial"/>
          <w:sz w:val="28"/>
          <w:szCs w:val="28"/>
        </w:rPr>
        <w:t>ommissioner Domestic Taxes within four (4) years for Income Tax and Thirty (30) days for VAT after the service of notice of assessment, and such objection should be in writing and specify in detail the grounds upon which it is made. However, objection to the assessments does not suspend the obligation to pay liability – the letter continued to advise. To the letter is attached; a four-audit report.</w:t>
      </w:r>
    </w:p>
    <w:p w14:paraId="41EEFEAB" w14:textId="0E1F0109" w:rsidR="00932FF6" w:rsidRDefault="00932FF6" w:rsidP="00932FF6">
      <w:pPr>
        <w:spacing w:line="360" w:lineRule="auto"/>
        <w:ind w:left="360"/>
        <w:jc w:val="both"/>
        <w:rPr>
          <w:rFonts w:ascii="Arial" w:hAnsi="Arial" w:cs="Arial"/>
          <w:sz w:val="28"/>
          <w:szCs w:val="28"/>
        </w:rPr>
      </w:pPr>
    </w:p>
    <w:p w14:paraId="79CF7C71" w14:textId="0D1B6ED9" w:rsidR="00932FF6" w:rsidRPr="009545F2" w:rsidRDefault="009545F2" w:rsidP="009545F2">
      <w:pPr>
        <w:spacing w:line="360" w:lineRule="auto"/>
        <w:ind w:left="360" w:hanging="360"/>
        <w:jc w:val="both"/>
        <w:rPr>
          <w:rFonts w:ascii="Arial" w:hAnsi="Arial" w:cs="Arial"/>
          <w:sz w:val="28"/>
          <w:szCs w:val="28"/>
        </w:rPr>
      </w:pPr>
      <w:r>
        <w:rPr>
          <w:rFonts w:ascii="Arial" w:hAnsi="Arial" w:cs="Arial"/>
          <w:sz w:val="28"/>
          <w:szCs w:val="28"/>
        </w:rPr>
        <w:t>[6]</w:t>
      </w:r>
      <w:r>
        <w:rPr>
          <w:rFonts w:ascii="Arial" w:hAnsi="Arial" w:cs="Arial"/>
          <w:sz w:val="28"/>
          <w:szCs w:val="28"/>
        </w:rPr>
        <w:tab/>
      </w:r>
      <w:r w:rsidR="00932FF6" w:rsidRPr="009545F2">
        <w:rPr>
          <w:rFonts w:ascii="Arial" w:hAnsi="Arial" w:cs="Arial"/>
          <w:sz w:val="28"/>
          <w:szCs w:val="28"/>
        </w:rPr>
        <w:t>On the 22</w:t>
      </w:r>
      <w:r w:rsidR="00932FF6" w:rsidRPr="009545F2">
        <w:rPr>
          <w:rFonts w:ascii="Arial" w:hAnsi="Arial" w:cs="Arial"/>
          <w:sz w:val="28"/>
          <w:szCs w:val="28"/>
          <w:vertAlign w:val="superscript"/>
        </w:rPr>
        <w:t>nd</w:t>
      </w:r>
      <w:r w:rsidR="00932FF6" w:rsidRPr="009545F2">
        <w:rPr>
          <w:rFonts w:ascii="Arial" w:hAnsi="Arial" w:cs="Arial"/>
          <w:sz w:val="28"/>
          <w:szCs w:val="28"/>
        </w:rPr>
        <w:t xml:space="preserve"> September 2016 the </w:t>
      </w:r>
      <w:r w:rsidR="00961F13">
        <w:rPr>
          <w:rFonts w:ascii="Arial" w:hAnsi="Arial" w:cs="Arial"/>
          <w:sz w:val="28"/>
          <w:szCs w:val="28"/>
        </w:rPr>
        <w:t>C</w:t>
      </w:r>
      <w:r w:rsidR="00932FF6" w:rsidRPr="009545F2">
        <w:rPr>
          <w:rFonts w:ascii="Arial" w:hAnsi="Arial" w:cs="Arial"/>
          <w:sz w:val="28"/>
          <w:szCs w:val="28"/>
        </w:rPr>
        <w:t>ommissioner addressed another letter to the Applicant</w:t>
      </w:r>
      <w:r>
        <w:rPr>
          <w:rFonts w:ascii="Arial" w:hAnsi="Arial" w:cs="Arial"/>
          <w:sz w:val="28"/>
          <w:szCs w:val="28"/>
        </w:rPr>
        <w:t xml:space="preserve"> which was final assessment for the year 2013 to 2015 in which 2</w:t>
      </w:r>
      <w:r w:rsidRPr="009545F2">
        <w:rPr>
          <w:rFonts w:ascii="Arial" w:hAnsi="Arial" w:cs="Arial"/>
          <w:sz w:val="28"/>
          <w:szCs w:val="28"/>
          <w:vertAlign w:val="superscript"/>
        </w:rPr>
        <w:t>nd</w:t>
      </w:r>
      <w:r>
        <w:rPr>
          <w:rFonts w:ascii="Arial" w:hAnsi="Arial" w:cs="Arial"/>
          <w:sz w:val="28"/>
          <w:szCs w:val="28"/>
        </w:rPr>
        <w:t xml:space="preserve"> Respondent included additional tax 3% per month. </w:t>
      </w:r>
    </w:p>
    <w:p w14:paraId="6FAFE50B" w14:textId="779C1D65" w:rsidR="00863C4A" w:rsidRDefault="00863C4A" w:rsidP="00863C4A">
      <w:pPr>
        <w:spacing w:line="360" w:lineRule="auto"/>
        <w:jc w:val="both"/>
        <w:rPr>
          <w:rFonts w:ascii="Arial" w:hAnsi="Arial" w:cs="Arial"/>
          <w:sz w:val="28"/>
          <w:szCs w:val="28"/>
        </w:rPr>
      </w:pPr>
    </w:p>
    <w:p w14:paraId="3B20A05B" w14:textId="6C0EA41A" w:rsidR="00863C4A" w:rsidRPr="009545F2" w:rsidRDefault="009545F2" w:rsidP="009545F2">
      <w:pPr>
        <w:spacing w:line="360" w:lineRule="auto"/>
        <w:ind w:left="360" w:hanging="360"/>
        <w:jc w:val="both"/>
        <w:rPr>
          <w:rFonts w:ascii="Arial" w:hAnsi="Arial" w:cs="Arial"/>
          <w:sz w:val="28"/>
          <w:szCs w:val="28"/>
        </w:rPr>
      </w:pPr>
      <w:r>
        <w:rPr>
          <w:rFonts w:ascii="Arial" w:hAnsi="Arial" w:cs="Arial"/>
          <w:sz w:val="28"/>
          <w:szCs w:val="28"/>
        </w:rPr>
        <w:t>[5]</w:t>
      </w:r>
      <w:r>
        <w:rPr>
          <w:rFonts w:ascii="Arial" w:hAnsi="Arial" w:cs="Arial"/>
          <w:sz w:val="28"/>
          <w:szCs w:val="28"/>
        </w:rPr>
        <w:tab/>
      </w:r>
      <w:r w:rsidR="00863C4A" w:rsidRPr="009545F2">
        <w:rPr>
          <w:rFonts w:ascii="Arial" w:hAnsi="Arial" w:cs="Arial"/>
          <w:sz w:val="28"/>
          <w:szCs w:val="28"/>
        </w:rPr>
        <w:t xml:space="preserve">In 2015, Legal Notice </w:t>
      </w:r>
      <w:r>
        <w:rPr>
          <w:rFonts w:ascii="Arial" w:hAnsi="Arial" w:cs="Arial"/>
          <w:sz w:val="28"/>
          <w:szCs w:val="28"/>
        </w:rPr>
        <w:t>N</w:t>
      </w:r>
      <w:r w:rsidR="00863C4A" w:rsidRPr="009545F2">
        <w:rPr>
          <w:rFonts w:ascii="Arial" w:hAnsi="Arial" w:cs="Arial"/>
          <w:sz w:val="28"/>
          <w:szCs w:val="28"/>
        </w:rPr>
        <w:t xml:space="preserve">o 65 of 2015 was published. It revoked the Income Tax (Specified Rate) Legal Notice No 130 of 2004. The 2015 Legal Notice set the specified rate for additional tax for </w:t>
      </w:r>
      <w:r w:rsidR="00717D76" w:rsidRPr="009545F2">
        <w:rPr>
          <w:rFonts w:ascii="Arial" w:hAnsi="Arial" w:cs="Arial"/>
          <w:sz w:val="28"/>
          <w:szCs w:val="28"/>
        </w:rPr>
        <w:t xml:space="preserve">(a) failure to file a tax return, (b) failure to pay tax on due date, </w:t>
      </w:r>
      <w:r w:rsidR="00B67DBD" w:rsidRPr="009545F2">
        <w:rPr>
          <w:rFonts w:ascii="Arial" w:hAnsi="Arial" w:cs="Arial"/>
          <w:sz w:val="28"/>
          <w:szCs w:val="28"/>
        </w:rPr>
        <w:t xml:space="preserve">(c) under estimation of tax payable, and (d) failure to withhold or pay tax withheld at 22% per twelve months, compounded annually, apportionable per month, where </w:t>
      </w:r>
      <w:r w:rsidR="00B67DBD" w:rsidRPr="009545F2">
        <w:rPr>
          <w:rFonts w:ascii="Arial" w:hAnsi="Arial" w:cs="Arial"/>
          <w:sz w:val="28"/>
          <w:szCs w:val="28"/>
        </w:rPr>
        <w:lastRenderedPageBreak/>
        <w:t>a month includes p</w:t>
      </w:r>
      <w:r>
        <w:rPr>
          <w:rFonts w:ascii="Arial" w:hAnsi="Arial" w:cs="Arial"/>
          <w:sz w:val="28"/>
          <w:szCs w:val="28"/>
        </w:rPr>
        <w:t>a</w:t>
      </w:r>
      <w:r w:rsidR="00B67DBD" w:rsidRPr="009545F2">
        <w:rPr>
          <w:rFonts w:ascii="Arial" w:hAnsi="Arial" w:cs="Arial"/>
          <w:sz w:val="28"/>
          <w:szCs w:val="28"/>
        </w:rPr>
        <w:t xml:space="preserve">rt of the month. The 2004 Legal Notice – the revoked Notice provided that the specified rate would be 3% compounded </w:t>
      </w:r>
      <w:proofErr w:type="gramStart"/>
      <w:r w:rsidR="00B67DBD" w:rsidRPr="009545F2">
        <w:rPr>
          <w:rFonts w:ascii="Arial" w:hAnsi="Arial" w:cs="Arial"/>
          <w:sz w:val="28"/>
          <w:szCs w:val="28"/>
        </w:rPr>
        <w:t>on a monthly basis</w:t>
      </w:r>
      <w:proofErr w:type="gramEnd"/>
      <w:r w:rsidR="00B67DBD" w:rsidRPr="009545F2">
        <w:rPr>
          <w:rFonts w:ascii="Arial" w:hAnsi="Arial" w:cs="Arial"/>
          <w:sz w:val="28"/>
          <w:szCs w:val="28"/>
        </w:rPr>
        <w:t xml:space="preserve"> as ‘specified rate’ for the purposes of Sections 193 to 196 of the Income Tax Act.</w:t>
      </w:r>
    </w:p>
    <w:p w14:paraId="686701BC" w14:textId="29D9D5F6" w:rsidR="00B67DBD" w:rsidRDefault="00B67DBD" w:rsidP="00B67DBD">
      <w:pPr>
        <w:spacing w:line="360" w:lineRule="auto"/>
        <w:jc w:val="both"/>
        <w:rPr>
          <w:rFonts w:ascii="Arial" w:hAnsi="Arial" w:cs="Arial"/>
          <w:sz w:val="28"/>
          <w:szCs w:val="28"/>
        </w:rPr>
      </w:pPr>
    </w:p>
    <w:p w14:paraId="24F1F644" w14:textId="30D65340" w:rsidR="00B67DBD" w:rsidRPr="009545F2" w:rsidRDefault="009545F2" w:rsidP="009545F2">
      <w:pPr>
        <w:spacing w:line="360" w:lineRule="auto"/>
        <w:ind w:left="360" w:hanging="360"/>
        <w:jc w:val="both"/>
        <w:rPr>
          <w:rFonts w:ascii="Arial" w:hAnsi="Arial" w:cs="Arial"/>
          <w:sz w:val="28"/>
          <w:szCs w:val="28"/>
        </w:rPr>
      </w:pPr>
      <w:r>
        <w:rPr>
          <w:rFonts w:ascii="Arial" w:hAnsi="Arial" w:cs="Arial"/>
          <w:sz w:val="28"/>
          <w:szCs w:val="28"/>
        </w:rPr>
        <w:t>[6]</w:t>
      </w:r>
      <w:r>
        <w:rPr>
          <w:rFonts w:ascii="Arial" w:hAnsi="Arial" w:cs="Arial"/>
          <w:sz w:val="28"/>
          <w:szCs w:val="28"/>
        </w:rPr>
        <w:tab/>
      </w:r>
      <w:r w:rsidR="00B67DBD" w:rsidRPr="009545F2">
        <w:rPr>
          <w:rFonts w:ascii="Arial" w:hAnsi="Arial" w:cs="Arial"/>
          <w:sz w:val="28"/>
          <w:szCs w:val="28"/>
        </w:rPr>
        <w:t>Applicant was issued Notice of Final Assessment for the 2013 to 2015 years which included additional tax at 3% per month.</w:t>
      </w:r>
      <w:r w:rsidR="00ED696A" w:rsidRPr="009545F2">
        <w:rPr>
          <w:rFonts w:ascii="Arial" w:hAnsi="Arial" w:cs="Arial"/>
          <w:sz w:val="28"/>
          <w:szCs w:val="28"/>
        </w:rPr>
        <w:t xml:space="preserve"> Additional tax in respect of PAYE was imposed in the amount of M864,581.00 for 2013, M469,502.00 for 2014 and M192,696.00 for 2015. Legal Notice No 65 of 2015 come </w:t>
      </w:r>
      <w:r w:rsidR="00961F13">
        <w:rPr>
          <w:rFonts w:ascii="Arial" w:hAnsi="Arial" w:cs="Arial"/>
          <w:sz w:val="28"/>
          <w:szCs w:val="28"/>
        </w:rPr>
        <w:t>in</w:t>
      </w:r>
      <w:r w:rsidR="00ED696A" w:rsidRPr="009545F2">
        <w:rPr>
          <w:rFonts w:ascii="Arial" w:hAnsi="Arial" w:cs="Arial"/>
          <w:sz w:val="28"/>
          <w:szCs w:val="28"/>
        </w:rPr>
        <w:t xml:space="preserve"> effect on the 19</w:t>
      </w:r>
      <w:r w:rsidR="00ED696A" w:rsidRPr="009545F2">
        <w:rPr>
          <w:rFonts w:ascii="Arial" w:hAnsi="Arial" w:cs="Arial"/>
          <w:sz w:val="28"/>
          <w:szCs w:val="28"/>
          <w:vertAlign w:val="superscript"/>
        </w:rPr>
        <w:t>th</w:t>
      </w:r>
      <w:r w:rsidR="00ED696A" w:rsidRPr="009545F2">
        <w:rPr>
          <w:rFonts w:ascii="Arial" w:hAnsi="Arial" w:cs="Arial"/>
          <w:sz w:val="28"/>
          <w:szCs w:val="28"/>
        </w:rPr>
        <w:t xml:space="preserve"> June 2015.</w:t>
      </w:r>
    </w:p>
    <w:p w14:paraId="04FF3353" w14:textId="77777777" w:rsidR="00ED696A" w:rsidRPr="00ED696A" w:rsidRDefault="00ED696A" w:rsidP="00ED696A">
      <w:pPr>
        <w:pStyle w:val="ListParagraph"/>
        <w:rPr>
          <w:rFonts w:ascii="Arial" w:hAnsi="Arial" w:cs="Arial"/>
          <w:sz w:val="28"/>
          <w:szCs w:val="28"/>
        </w:rPr>
      </w:pPr>
    </w:p>
    <w:p w14:paraId="5A839530" w14:textId="477D1CAC" w:rsidR="00ED696A" w:rsidRPr="009545F2" w:rsidRDefault="009545F2" w:rsidP="009545F2">
      <w:pPr>
        <w:spacing w:line="360" w:lineRule="auto"/>
        <w:ind w:left="360" w:hanging="360"/>
        <w:jc w:val="both"/>
        <w:rPr>
          <w:rFonts w:ascii="Arial" w:hAnsi="Arial" w:cs="Arial"/>
          <w:sz w:val="28"/>
          <w:szCs w:val="28"/>
        </w:rPr>
      </w:pPr>
      <w:r>
        <w:rPr>
          <w:rFonts w:ascii="Arial" w:hAnsi="Arial" w:cs="Arial"/>
          <w:sz w:val="28"/>
          <w:szCs w:val="28"/>
        </w:rPr>
        <w:t>[7]</w:t>
      </w:r>
      <w:r>
        <w:rPr>
          <w:rFonts w:ascii="Arial" w:hAnsi="Arial" w:cs="Arial"/>
          <w:sz w:val="28"/>
          <w:szCs w:val="28"/>
        </w:rPr>
        <w:tab/>
      </w:r>
      <w:r w:rsidR="00ED696A" w:rsidRPr="009545F2">
        <w:rPr>
          <w:rFonts w:ascii="Arial" w:hAnsi="Arial" w:cs="Arial"/>
          <w:sz w:val="28"/>
          <w:szCs w:val="28"/>
        </w:rPr>
        <w:t xml:space="preserve">In 2016 Applicant was assessed for income tax in the amount of M659,007.80. This assessment did not include imposition of apprehensive that the </w:t>
      </w:r>
      <w:r w:rsidR="00961F13">
        <w:rPr>
          <w:rFonts w:ascii="Arial" w:hAnsi="Arial" w:cs="Arial"/>
          <w:sz w:val="28"/>
          <w:szCs w:val="28"/>
        </w:rPr>
        <w:t>C</w:t>
      </w:r>
      <w:r w:rsidR="00ED696A" w:rsidRPr="009545F2">
        <w:rPr>
          <w:rFonts w:ascii="Arial" w:hAnsi="Arial" w:cs="Arial"/>
          <w:sz w:val="28"/>
          <w:szCs w:val="28"/>
        </w:rPr>
        <w:t xml:space="preserve">ommissioner may impose such additional tax at 3% per month and in future, impose additional at 22% per month in respect of the 2016 and future years. </w:t>
      </w:r>
    </w:p>
    <w:p w14:paraId="52EEDFBB" w14:textId="77777777" w:rsidR="00ED696A" w:rsidRPr="00ED696A" w:rsidRDefault="00ED696A" w:rsidP="00ED696A">
      <w:pPr>
        <w:pStyle w:val="ListParagraph"/>
        <w:rPr>
          <w:rFonts w:ascii="Arial" w:hAnsi="Arial" w:cs="Arial"/>
          <w:sz w:val="28"/>
          <w:szCs w:val="28"/>
        </w:rPr>
      </w:pPr>
    </w:p>
    <w:p w14:paraId="19289E6F" w14:textId="7FC185A0" w:rsidR="009B288F" w:rsidRPr="009545F2" w:rsidRDefault="009545F2" w:rsidP="009545F2">
      <w:pPr>
        <w:spacing w:line="360" w:lineRule="auto"/>
        <w:ind w:left="360" w:hanging="360"/>
        <w:jc w:val="both"/>
        <w:rPr>
          <w:rFonts w:ascii="Arial" w:hAnsi="Arial" w:cs="Arial"/>
          <w:sz w:val="28"/>
          <w:szCs w:val="28"/>
        </w:rPr>
      </w:pPr>
      <w:r>
        <w:rPr>
          <w:rFonts w:ascii="Arial" w:hAnsi="Arial" w:cs="Arial"/>
          <w:sz w:val="28"/>
          <w:szCs w:val="28"/>
        </w:rPr>
        <w:t>[8]</w:t>
      </w:r>
      <w:r>
        <w:rPr>
          <w:rFonts w:ascii="Arial" w:hAnsi="Arial" w:cs="Arial"/>
          <w:sz w:val="28"/>
          <w:szCs w:val="28"/>
        </w:rPr>
        <w:tab/>
      </w:r>
      <w:r w:rsidR="00ED696A" w:rsidRPr="009545F2">
        <w:rPr>
          <w:rFonts w:ascii="Arial" w:hAnsi="Arial" w:cs="Arial"/>
          <w:sz w:val="28"/>
          <w:szCs w:val="28"/>
        </w:rPr>
        <w:t xml:space="preserve">Therefore, it is </w:t>
      </w:r>
      <w:r w:rsidR="00961F13">
        <w:rPr>
          <w:rFonts w:ascii="Arial" w:hAnsi="Arial" w:cs="Arial"/>
          <w:sz w:val="28"/>
          <w:szCs w:val="28"/>
        </w:rPr>
        <w:t>A</w:t>
      </w:r>
      <w:r w:rsidR="00ED696A" w:rsidRPr="009545F2">
        <w:rPr>
          <w:rFonts w:ascii="Arial" w:hAnsi="Arial" w:cs="Arial"/>
          <w:sz w:val="28"/>
          <w:szCs w:val="28"/>
        </w:rPr>
        <w:t xml:space="preserve">pplicant`s case that the rates so imposed by the Commissioner are “unlawful.” He states at para 8 of his founding affidavit “the rates of 3% per month from 2004 to 2015 and 22% per annum from 2016 onwards can only be clothed with lawfulness and legal admissibility if they </w:t>
      </w:r>
      <w:r w:rsidR="00CB613D" w:rsidRPr="009545F2">
        <w:rPr>
          <w:rFonts w:ascii="Arial" w:hAnsi="Arial" w:cs="Arial"/>
          <w:sz w:val="28"/>
          <w:szCs w:val="28"/>
        </w:rPr>
        <w:t>were based on the normal commercial lending rates in force in Lesotho during the said periods.” According to Applicant</w:t>
      </w:r>
      <w:r w:rsidR="00961F13">
        <w:rPr>
          <w:rFonts w:ascii="Arial" w:hAnsi="Arial" w:cs="Arial"/>
          <w:sz w:val="28"/>
          <w:szCs w:val="28"/>
        </w:rPr>
        <w:t>,</w:t>
      </w:r>
      <w:r w:rsidR="00CB613D" w:rsidRPr="009545F2">
        <w:rPr>
          <w:rFonts w:ascii="Arial" w:hAnsi="Arial" w:cs="Arial"/>
          <w:sz w:val="28"/>
          <w:szCs w:val="28"/>
        </w:rPr>
        <w:t xml:space="preserve"> interest rates are regulated by the </w:t>
      </w:r>
      <w:r>
        <w:rPr>
          <w:rFonts w:ascii="Arial" w:hAnsi="Arial" w:cs="Arial"/>
          <w:sz w:val="28"/>
          <w:szCs w:val="28"/>
        </w:rPr>
        <w:t>M</w:t>
      </w:r>
      <w:r w:rsidR="00CB613D" w:rsidRPr="009545F2">
        <w:rPr>
          <w:rFonts w:ascii="Arial" w:hAnsi="Arial" w:cs="Arial"/>
          <w:sz w:val="28"/>
          <w:szCs w:val="28"/>
        </w:rPr>
        <w:t>oney Lenders Act. In terms of Section 6 of the Money Lenders Act</w:t>
      </w:r>
      <w:r>
        <w:rPr>
          <w:rFonts w:ascii="Arial" w:hAnsi="Arial" w:cs="Arial"/>
          <w:sz w:val="28"/>
          <w:szCs w:val="28"/>
        </w:rPr>
        <w:t>,</w:t>
      </w:r>
      <w:r w:rsidR="00CB613D" w:rsidRPr="009545F2">
        <w:rPr>
          <w:rFonts w:ascii="Arial" w:hAnsi="Arial" w:cs="Arial"/>
          <w:sz w:val="28"/>
          <w:szCs w:val="28"/>
        </w:rPr>
        <w:t xml:space="preserve"> any interest rate </w:t>
      </w:r>
      <w:proofErr w:type="gramStart"/>
      <w:r w:rsidR="00CB613D" w:rsidRPr="009545F2">
        <w:rPr>
          <w:rFonts w:ascii="Arial" w:hAnsi="Arial" w:cs="Arial"/>
          <w:sz w:val="28"/>
          <w:szCs w:val="28"/>
        </w:rPr>
        <w:t>in excess of</w:t>
      </w:r>
      <w:proofErr w:type="gramEnd"/>
      <w:r w:rsidR="00CB613D" w:rsidRPr="009545F2">
        <w:rPr>
          <w:rFonts w:ascii="Arial" w:hAnsi="Arial" w:cs="Arial"/>
          <w:sz w:val="28"/>
          <w:szCs w:val="28"/>
        </w:rPr>
        <w:t xml:space="preserve"> 25% is deemed harsh and unconscionable. </w:t>
      </w:r>
    </w:p>
    <w:p w14:paraId="4652B56E" w14:textId="77777777" w:rsidR="009B288F" w:rsidRPr="009B288F" w:rsidRDefault="009B288F" w:rsidP="009B288F">
      <w:pPr>
        <w:pStyle w:val="ListParagraph"/>
        <w:rPr>
          <w:rFonts w:ascii="Arial" w:hAnsi="Arial" w:cs="Arial"/>
          <w:sz w:val="28"/>
          <w:szCs w:val="28"/>
        </w:rPr>
      </w:pPr>
    </w:p>
    <w:p w14:paraId="2EE66B37" w14:textId="56070836" w:rsidR="004746E5" w:rsidRPr="009545F2" w:rsidRDefault="009545F2" w:rsidP="009545F2">
      <w:pPr>
        <w:spacing w:line="360" w:lineRule="auto"/>
        <w:ind w:left="360" w:hanging="360"/>
        <w:jc w:val="both"/>
        <w:rPr>
          <w:rFonts w:ascii="Arial" w:hAnsi="Arial" w:cs="Arial"/>
          <w:sz w:val="28"/>
          <w:szCs w:val="28"/>
        </w:rPr>
      </w:pPr>
      <w:r>
        <w:rPr>
          <w:rFonts w:ascii="Arial" w:hAnsi="Arial" w:cs="Arial"/>
          <w:sz w:val="28"/>
          <w:szCs w:val="28"/>
        </w:rPr>
        <w:lastRenderedPageBreak/>
        <w:t>[9]</w:t>
      </w:r>
      <w:r>
        <w:rPr>
          <w:rFonts w:ascii="Arial" w:hAnsi="Arial" w:cs="Arial"/>
          <w:sz w:val="28"/>
          <w:szCs w:val="28"/>
        </w:rPr>
        <w:tab/>
      </w:r>
      <w:r w:rsidR="009B288F" w:rsidRPr="009545F2">
        <w:rPr>
          <w:rFonts w:ascii="Arial" w:hAnsi="Arial" w:cs="Arial"/>
          <w:sz w:val="28"/>
          <w:szCs w:val="28"/>
        </w:rPr>
        <w:t xml:space="preserve">Applicant contends that where a debt is due and payable, as in the case of assessed tax, the interest thereon is referred to as </w:t>
      </w:r>
      <w:r w:rsidR="009B288F" w:rsidRPr="007052C5">
        <w:rPr>
          <w:rFonts w:ascii="Arial" w:hAnsi="Arial" w:cs="Arial"/>
          <w:i/>
          <w:iCs/>
          <w:sz w:val="28"/>
          <w:szCs w:val="28"/>
        </w:rPr>
        <w:t xml:space="preserve">morae </w:t>
      </w:r>
      <w:r w:rsidR="009B288F" w:rsidRPr="009545F2">
        <w:rPr>
          <w:rFonts w:ascii="Arial" w:hAnsi="Arial" w:cs="Arial"/>
          <w:sz w:val="28"/>
          <w:szCs w:val="28"/>
        </w:rPr>
        <w:t xml:space="preserve">interest. According to Applicant the correct rate at </w:t>
      </w:r>
      <w:r w:rsidR="009B288F" w:rsidRPr="007052C5">
        <w:rPr>
          <w:rFonts w:ascii="Arial" w:hAnsi="Arial" w:cs="Arial"/>
          <w:i/>
          <w:iCs/>
          <w:sz w:val="28"/>
          <w:szCs w:val="28"/>
        </w:rPr>
        <w:t>morae</w:t>
      </w:r>
      <w:r w:rsidR="009B288F" w:rsidRPr="009545F2">
        <w:rPr>
          <w:rFonts w:ascii="Arial" w:hAnsi="Arial" w:cs="Arial"/>
          <w:sz w:val="28"/>
          <w:szCs w:val="28"/>
        </w:rPr>
        <w:t xml:space="preserve"> interest, or legal rate is 6%. Authority for this assertion is the Court of Appeal judgement in </w:t>
      </w:r>
      <w:r w:rsidR="009B288F" w:rsidRPr="009545F2">
        <w:rPr>
          <w:rFonts w:ascii="Arial" w:hAnsi="Arial" w:cs="Arial"/>
          <w:b/>
          <w:bCs/>
          <w:sz w:val="28"/>
          <w:szCs w:val="28"/>
        </w:rPr>
        <w:t>Lesotho Marketing Enterprises Pty Ltd v Minister of Commerce and Others’</w:t>
      </w:r>
      <w:r w:rsidR="00E543EA">
        <w:rPr>
          <w:rStyle w:val="FootnoteReference"/>
          <w:rFonts w:ascii="Arial" w:hAnsi="Arial" w:cs="Arial"/>
          <w:b/>
          <w:bCs/>
          <w:sz w:val="28"/>
          <w:szCs w:val="28"/>
        </w:rPr>
        <w:footnoteReference w:id="1"/>
      </w:r>
      <w:r w:rsidR="009B288F" w:rsidRPr="009545F2">
        <w:rPr>
          <w:rFonts w:ascii="Arial" w:hAnsi="Arial" w:cs="Arial"/>
          <w:b/>
          <w:bCs/>
          <w:sz w:val="28"/>
          <w:szCs w:val="28"/>
        </w:rPr>
        <w:t xml:space="preserve">, Attorney General </w:t>
      </w:r>
      <w:proofErr w:type="spellStart"/>
      <w:r w:rsidR="009B288F" w:rsidRPr="009545F2">
        <w:rPr>
          <w:rFonts w:ascii="Arial" w:hAnsi="Arial" w:cs="Arial"/>
          <w:b/>
          <w:bCs/>
          <w:sz w:val="28"/>
          <w:szCs w:val="28"/>
        </w:rPr>
        <w:t>Bolepo</w:t>
      </w:r>
      <w:proofErr w:type="spellEnd"/>
      <w:r w:rsidR="009B288F" w:rsidRPr="009545F2">
        <w:rPr>
          <w:rFonts w:ascii="Arial" w:hAnsi="Arial" w:cs="Arial"/>
          <w:b/>
          <w:bCs/>
          <w:sz w:val="28"/>
          <w:szCs w:val="28"/>
        </w:rPr>
        <w:t xml:space="preserve"> &amp; Anor, </w:t>
      </w:r>
      <w:r w:rsidR="00E543EA">
        <w:rPr>
          <w:rStyle w:val="FootnoteReference"/>
          <w:rFonts w:ascii="Arial" w:hAnsi="Arial" w:cs="Arial"/>
          <w:b/>
          <w:bCs/>
          <w:sz w:val="28"/>
          <w:szCs w:val="28"/>
        </w:rPr>
        <w:footnoteReference w:id="2"/>
      </w:r>
      <w:r w:rsidR="009B288F" w:rsidRPr="009545F2">
        <w:rPr>
          <w:rFonts w:ascii="Arial" w:hAnsi="Arial" w:cs="Arial"/>
          <w:b/>
          <w:bCs/>
          <w:sz w:val="28"/>
          <w:szCs w:val="28"/>
        </w:rPr>
        <w:t xml:space="preserve">and the Case of Xing Long Enterprise Pty Ltd v </w:t>
      </w:r>
      <w:proofErr w:type="spellStart"/>
      <w:r w:rsidR="009B288F" w:rsidRPr="009545F2">
        <w:rPr>
          <w:rFonts w:ascii="Arial" w:hAnsi="Arial" w:cs="Arial"/>
          <w:b/>
          <w:bCs/>
          <w:sz w:val="28"/>
          <w:szCs w:val="28"/>
        </w:rPr>
        <w:t>Zhingsing</w:t>
      </w:r>
      <w:proofErr w:type="spellEnd"/>
      <w:r w:rsidR="009B288F" w:rsidRPr="009545F2">
        <w:rPr>
          <w:rFonts w:ascii="Arial" w:hAnsi="Arial" w:cs="Arial"/>
          <w:b/>
          <w:bCs/>
          <w:sz w:val="28"/>
          <w:szCs w:val="28"/>
        </w:rPr>
        <w:t xml:space="preserve"> Pty Ltd</w:t>
      </w:r>
      <w:r w:rsidR="00E543EA">
        <w:rPr>
          <w:rStyle w:val="FootnoteReference"/>
          <w:rFonts w:ascii="Arial" w:hAnsi="Arial" w:cs="Arial"/>
          <w:b/>
          <w:bCs/>
          <w:sz w:val="28"/>
          <w:szCs w:val="28"/>
        </w:rPr>
        <w:footnoteReference w:id="3"/>
      </w:r>
      <w:r w:rsidR="009B288F" w:rsidRPr="009545F2">
        <w:rPr>
          <w:rFonts w:ascii="Arial" w:hAnsi="Arial" w:cs="Arial"/>
          <w:sz w:val="28"/>
          <w:szCs w:val="28"/>
        </w:rPr>
        <w:t xml:space="preserve"> which held the lending rates in 2015 were 7% based on the commercial repo rate. </w:t>
      </w:r>
    </w:p>
    <w:p w14:paraId="01AE2AE9" w14:textId="77777777" w:rsidR="004746E5" w:rsidRDefault="004746E5" w:rsidP="004746E5">
      <w:pPr>
        <w:spacing w:line="360" w:lineRule="auto"/>
        <w:ind w:left="360"/>
        <w:jc w:val="both"/>
        <w:rPr>
          <w:rFonts w:ascii="Arial" w:hAnsi="Arial" w:cs="Arial"/>
          <w:sz w:val="28"/>
          <w:szCs w:val="28"/>
        </w:rPr>
      </w:pPr>
    </w:p>
    <w:p w14:paraId="09782C1C" w14:textId="6D21BFBD" w:rsidR="001E43E4" w:rsidRPr="00E543EA" w:rsidRDefault="00E543EA" w:rsidP="00E543EA">
      <w:pPr>
        <w:spacing w:line="360" w:lineRule="auto"/>
        <w:ind w:left="360" w:hanging="360"/>
        <w:jc w:val="both"/>
        <w:rPr>
          <w:rFonts w:ascii="Arial" w:hAnsi="Arial" w:cs="Arial"/>
          <w:sz w:val="28"/>
          <w:szCs w:val="28"/>
        </w:rPr>
      </w:pPr>
      <w:r>
        <w:rPr>
          <w:rFonts w:ascii="Arial" w:hAnsi="Arial" w:cs="Arial"/>
          <w:sz w:val="28"/>
          <w:szCs w:val="28"/>
        </w:rPr>
        <w:t xml:space="preserve">[10] </w:t>
      </w:r>
      <w:r w:rsidR="004746E5" w:rsidRPr="00E543EA">
        <w:rPr>
          <w:rFonts w:ascii="Arial" w:hAnsi="Arial" w:cs="Arial"/>
          <w:sz w:val="28"/>
          <w:szCs w:val="28"/>
        </w:rPr>
        <w:t xml:space="preserve">Commercial lending rates are </w:t>
      </w:r>
      <w:r w:rsidRPr="00E543EA">
        <w:rPr>
          <w:rFonts w:ascii="Arial" w:hAnsi="Arial" w:cs="Arial"/>
          <w:sz w:val="28"/>
          <w:szCs w:val="28"/>
        </w:rPr>
        <w:t>meant</w:t>
      </w:r>
      <w:r w:rsidR="004746E5" w:rsidRPr="00E543EA">
        <w:rPr>
          <w:rFonts w:ascii="Arial" w:hAnsi="Arial" w:cs="Arial"/>
          <w:sz w:val="28"/>
          <w:szCs w:val="28"/>
        </w:rPr>
        <w:t xml:space="preserve"> to protect consumers usury or to make credit cheaper and more accessible.</w:t>
      </w:r>
      <w:r w:rsidRPr="00E543EA">
        <w:rPr>
          <w:rFonts w:ascii="Arial" w:hAnsi="Arial" w:cs="Arial"/>
          <w:sz w:val="28"/>
          <w:szCs w:val="28"/>
        </w:rPr>
        <w:t xml:space="preserve"> </w:t>
      </w:r>
      <w:r w:rsidR="004746E5" w:rsidRPr="00E543EA">
        <w:rPr>
          <w:rFonts w:ascii="Arial" w:hAnsi="Arial" w:cs="Arial"/>
          <w:sz w:val="28"/>
          <w:szCs w:val="28"/>
        </w:rPr>
        <w:t xml:space="preserve">They are a </w:t>
      </w:r>
      <w:r w:rsidRPr="00E543EA">
        <w:rPr>
          <w:rFonts w:ascii="Arial" w:hAnsi="Arial" w:cs="Arial"/>
          <w:sz w:val="28"/>
          <w:szCs w:val="28"/>
        </w:rPr>
        <w:t>government</w:t>
      </w:r>
      <w:r w:rsidR="004746E5" w:rsidRPr="00E543EA">
        <w:rPr>
          <w:rFonts w:ascii="Arial" w:hAnsi="Arial" w:cs="Arial"/>
          <w:sz w:val="28"/>
          <w:szCs w:val="28"/>
        </w:rPr>
        <w:t xml:space="preserve">` intervention in the </w:t>
      </w:r>
      <w:proofErr w:type="gramStart"/>
      <w:r w:rsidRPr="00E543EA">
        <w:rPr>
          <w:rFonts w:ascii="Arial" w:hAnsi="Arial" w:cs="Arial"/>
          <w:sz w:val="28"/>
          <w:szCs w:val="28"/>
        </w:rPr>
        <w:t>market place</w:t>
      </w:r>
      <w:proofErr w:type="gramEnd"/>
      <w:r w:rsidR="004746E5" w:rsidRPr="00E543EA">
        <w:rPr>
          <w:rFonts w:ascii="Arial" w:hAnsi="Arial" w:cs="Arial"/>
          <w:sz w:val="28"/>
          <w:szCs w:val="28"/>
        </w:rPr>
        <w:t xml:space="preserve"> and a response to perceived market failures. </w:t>
      </w:r>
      <w:r w:rsidRPr="00E543EA">
        <w:rPr>
          <w:rFonts w:ascii="Arial" w:hAnsi="Arial" w:cs="Arial"/>
          <w:sz w:val="28"/>
          <w:szCs w:val="28"/>
        </w:rPr>
        <w:t>Interests’</w:t>
      </w:r>
      <w:r w:rsidR="004746E5" w:rsidRPr="00E543EA">
        <w:rPr>
          <w:rFonts w:ascii="Arial" w:hAnsi="Arial" w:cs="Arial"/>
          <w:sz w:val="28"/>
          <w:szCs w:val="28"/>
        </w:rPr>
        <w:t xml:space="preserve"> rates are meant to cover (a) profit, (b) risk premium, (c) overhead cost, (d) costs of funds and (e) taxation. Different caps or rates are used for different types of credit </w:t>
      </w:r>
      <w:proofErr w:type="spellStart"/>
      <w:r w:rsidR="004746E5" w:rsidRPr="00E543EA">
        <w:rPr>
          <w:rFonts w:ascii="Arial" w:hAnsi="Arial" w:cs="Arial"/>
          <w:sz w:val="28"/>
          <w:szCs w:val="28"/>
        </w:rPr>
        <w:t>e.g</w:t>
      </w:r>
      <w:proofErr w:type="spellEnd"/>
      <w:r w:rsidR="004746E5" w:rsidRPr="00E543EA">
        <w:rPr>
          <w:rFonts w:ascii="Arial" w:hAnsi="Arial" w:cs="Arial"/>
          <w:sz w:val="28"/>
          <w:szCs w:val="28"/>
        </w:rPr>
        <w:t xml:space="preserve"> mortgage agreements, credit facilities, unsecured credit </w:t>
      </w:r>
      <w:r w:rsidR="0050216A" w:rsidRPr="00E543EA">
        <w:rPr>
          <w:rFonts w:ascii="Arial" w:hAnsi="Arial" w:cs="Arial"/>
          <w:sz w:val="28"/>
          <w:szCs w:val="28"/>
        </w:rPr>
        <w:t xml:space="preserve">transactions among others. Each credit facility or agreement would attract its own interest rate or cap to be used depending on the risk and other factors. That is, there is no fixed rate for all types of credit, others attract a higher rate than others and vice versa. </w:t>
      </w:r>
      <w:r w:rsidR="004746E5" w:rsidRPr="00E543EA">
        <w:rPr>
          <w:rFonts w:ascii="Arial" w:hAnsi="Arial" w:cs="Arial"/>
          <w:sz w:val="28"/>
          <w:szCs w:val="28"/>
        </w:rPr>
        <w:t xml:space="preserve"> </w:t>
      </w:r>
    </w:p>
    <w:p w14:paraId="6240E7B7" w14:textId="77777777" w:rsidR="001E43E4" w:rsidRPr="001E43E4" w:rsidRDefault="001E43E4" w:rsidP="001E43E4">
      <w:pPr>
        <w:pStyle w:val="ListParagraph"/>
        <w:rPr>
          <w:rFonts w:ascii="Arial" w:hAnsi="Arial" w:cs="Arial"/>
          <w:sz w:val="28"/>
          <w:szCs w:val="28"/>
        </w:rPr>
      </w:pPr>
    </w:p>
    <w:p w14:paraId="1601DD50" w14:textId="77777777" w:rsidR="001E43E4" w:rsidRDefault="001E43E4" w:rsidP="001E43E4">
      <w:pPr>
        <w:spacing w:line="360" w:lineRule="auto"/>
        <w:jc w:val="both"/>
        <w:rPr>
          <w:rFonts w:ascii="Arial" w:hAnsi="Arial" w:cs="Arial"/>
          <w:sz w:val="28"/>
          <w:szCs w:val="28"/>
        </w:rPr>
      </w:pPr>
    </w:p>
    <w:p w14:paraId="1B7D682A" w14:textId="483142D0" w:rsidR="00E854DF" w:rsidRPr="00E543EA" w:rsidRDefault="00E543EA" w:rsidP="00E543EA">
      <w:pPr>
        <w:spacing w:line="360" w:lineRule="auto"/>
        <w:ind w:left="720" w:hanging="720"/>
        <w:jc w:val="both"/>
        <w:rPr>
          <w:rFonts w:ascii="Arial" w:hAnsi="Arial" w:cs="Arial"/>
          <w:sz w:val="28"/>
          <w:szCs w:val="28"/>
        </w:rPr>
      </w:pPr>
      <w:r>
        <w:rPr>
          <w:rFonts w:ascii="Arial" w:hAnsi="Arial" w:cs="Arial"/>
          <w:sz w:val="28"/>
          <w:szCs w:val="28"/>
        </w:rPr>
        <w:t>[11]</w:t>
      </w:r>
      <w:r>
        <w:rPr>
          <w:rFonts w:ascii="Arial" w:hAnsi="Arial" w:cs="Arial"/>
          <w:sz w:val="28"/>
          <w:szCs w:val="28"/>
        </w:rPr>
        <w:tab/>
      </w:r>
      <w:r w:rsidR="001E43E4" w:rsidRPr="00E543EA">
        <w:rPr>
          <w:rFonts w:ascii="Arial" w:hAnsi="Arial" w:cs="Arial"/>
          <w:sz w:val="28"/>
          <w:szCs w:val="28"/>
        </w:rPr>
        <w:t xml:space="preserve">Tax rates in Lesotho are set by the law and overseen by the Lesotho Revenue Authority. There are five (5) main tax brackets in Lesotho; </w:t>
      </w:r>
      <w:r w:rsidR="001E43E4" w:rsidRPr="00E543EA">
        <w:rPr>
          <w:rFonts w:ascii="Arial" w:hAnsi="Arial" w:cs="Arial"/>
          <w:sz w:val="28"/>
          <w:szCs w:val="28"/>
        </w:rPr>
        <w:lastRenderedPageBreak/>
        <w:t>Personal Income Tax (P</w:t>
      </w:r>
      <w:r w:rsidR="001E43E4" w:rsidRPr="00E543EA">
        <w:rPr>
          <w:rFonts w:ascii="Arial" w:hAnsi="Arial" w:cs="Arial"/>
          <w:sz w:val="28"/>
          <w:szCs w:val="28"/>
          <w:vertAlign w:val="subscript"/>
        </w:rPr>
        <w:t>I</w:t>
      </w:r>
      <w:r w:rsidR="001E43E4" w:rsidRPr="00E543EA">
        <w:rPr>
          <w:rFonts w:ascii="Arial" w:hAnsi="Arial" w:cs="Arial"/>
          <w:sz w:val="28"/>
          <w:szCs w:val="28"/>
        </w:rPr>
        <w:t>T) (employe</w:t>
      </w:r>
      <w:r w:rsidR="009A7F9A" w:rsidRPr="00E543EA">
        <w:rPr>
          <w:rFonts w:ascii="Arial" w:hAnsi="Arial" w:cs="Arial"/>
          <w:sz w:val="28"/>
          <w:szCs w:val="28"/>
        </w:rPr>
        <w:t>e</w:t>
      </w:r>
      <w:r w:rsidR="001E43E4" w:rsidRPr="00E543EA">
        <w:rPr>
          <w:rFonts w:ascii="Arial" w:hAnsi="Arial" w:cs="Arial"/>
          <w:sz w:val="28"/>
          <w:szCs w:val="28"/>
        </w:rPr>
        <w:t>s and sole</w:t>
      </w:r>
      <w:r w:rsidR="009A7F9A" w:rsidRPr="00E543EA">
        <w:rPr>
          <w:rFonts w:ascii="Arial" w:hAnsi="Arial" w:cs="Arial"/>
          <w:sz w:val="28"/>
          <w:szCs w:val="28"/>
        </w:rPr>
        <w:t xml:space="preserve"> </w:t>
      </w:r>
      <w:r w:rsidR="001E43E4" w:rsidRPr="00E543EA">
        <w:rPr>
          <w:rFonts w:ascii="Arial" w:hAnsi="Arial" w:cs="Arial"/>
          <w:sz w:val="28"/>
          <w:szCs w:val="28"/>
        </w:rPr>
        <w:t>traders</w:t>
      </w:r>
      <w:r w:rsidR="009A7F9A" w:rsidRPr="00E543EA">
        <w:rPr>
          <w:rFonts w:ascii="Arial" w:hAnsi="Arial" w:cs="Arial"/>
          <w:sz w:val="28"/>
          <w:szCs w:val="28"/>
        </w:rPr>
        <w:t xml:space="preserve"> – Two marginal rates are applicable for P</w:t>
      </w:r>
      <w:r w:rsidR="009A7F9A" w:rsidRPr="00E543EA">
        <w:rPr>
          <w:rFonts w:ascii="Arial" w:hAnsi="Arial" w:cs="Arial"/>
          <w:sz w:val="28"/>
          <w:szCs w:val="28"/>
          <w:vertAlign w:val="subscript"/>
        </w:rPr>
        <w:t>I</w:t>
      </w:r>
      <w:r w:rsidR="009A7F9A" w:rsidRPr="00E543EA">
        <w:rPr>
          <w:rFonts w:ascii="Arial" w:hAnsi="Arial" w:cs="Arial"/>
          <w:sz w:val="28"/>
          <w:szCs w:val="28"/>
        </w:rPr>
        <w:t>T 20% and 30%, (b) Company Income Tax (for manufacturing companies and commercial farming 10%) and other companies 25%, (c) Withholding tax and non-resident technical services 7.5 (RSA only)), (d) fringe benefit taxable at the rate of 40%, (e) value added tax (0% - exports and basic commodities, 9% electricity, 12% - telecommunications, 15% other goods and services).</w:t>
      </w:r>
    </w:p>
    <w:p w14:paraId="5B9FBB24" w14:textId="77777777" w:rsidR="00E854DF" w:rsidRDefault="00E854DF" w:rsidP="00E854DF">
      <w:pPr>
        <w:spacing w:line="360" w:lineRule="auto"/>
        <w:jc w:val="both"/>
        <w:rPr>
          <w:rFonts w:ascii="Arial" w:hAnsi="Arial" w:cs="Arial"/>
          <w:sz w:val="28"/>
          <w:szCs w:val="28"/>
        </w:rPr>
      </w:pPr>
    </w:p>
    <w:p w14:paraId="2CB17AB9" w14:textId="2ACDCCFE" w:rsidR="00E854DF" w:rsidRPr="00E543EA" w:rsidRDefault="00E543EA" w:rsidP="00E543EA">
      <w:pPr>
        <w:spacing w:line="360" w:lineRule="auto"/>
        <w:ind w:left="720" w:hanging="720"/>
        <w:jc w:val="both"/>
        <w:rPr>
          <w:rFonts w:ascii="Arial" w:hAnsi="Arial" w:cs="Arial"/>
          <w:sz w:val="28"/>
          <w:szCs w:val="28"/>
        </w:rPr>
      </w:pPr>
      <w:r>
        <w:rPr>
          <w:rFonts w:ascii="Arial" w:hAnsi="Arial" w:cs="Arial"/>
          <w:sz w:val="28"/>
          <w:szCs w:val="28"/>
        </w:rPr>
        <w:t>[12]</w:t>
      </w:r>
      <w:r>
        <w:rPr>
          <w:rFonts w:ascii="Arial" w:hAnsi="Arial" w:cs="Arial"/>
          <w:sz w:val="28"/>
          <w:szCs w:val="28"/>
        </w:rPr>
        <w:tab/>
      </w:r>
      <w:r w:rsidR="00E854DF" w:rsidRPr="00E543EA">
        <w:rPr>
          <w:rFonts w:ascii="Arial" w:hAnsi="Arial" w:cs="Arial"/>
          <w:sz w:val="28"/>
          <w:szCs w:val="28"/>
        </w:rPr>
        <w:t xml:space="preserve">The law has further specified rates for additional tax for (a) failure to file a tax return, </w:t>
      </w:r>
      <w:r w:rsidR="007052C5">
        <w:rPr>
          <w:rFonts w:ascii="Arial" w:hAnsi="Arial" w:cs="Arial"/>
          <w:sz w:val="28"/>
          <w:szCs w:val="28"/>
        </w:rPr>
        <w:t xml:space="preserve">(b) </w:t>
      </w:r>
      <w:r w:rsidR="00E854DF" w:rsidRPr="00E543EA">
        <w:rPr>
          <w:rFonts w:ascii="Arial" w:hAnsi="Arial" w:cs="Arial"/>
          <w:sz w:val="28"/>
          <w:szCs w:val="28"/>
        </w:rPr>
        <w:t xml:space="preserve">failure to pay tax on due date, </w:t>
      </w:r>
      <w:r w:rsidR="007052C5">
        <w:rPr>
          <w:rFonts w:ascii="Arial" w:hAnsi="Arial" w:cs="Arial"/>
          <w:sz w:val="28"/>
          <w:szCs w:val="28"/>
        </w:rPr>
        <w:t xml:space="preserve">(c) </w:t>
      </w:r>
      <w:r w:rsidR="00E854DF" w:rsidRPr="00E543EA">
        <w:rPr>
          <w:rFonts w:ascii="Arial" w:hAnsi="Arial" w:cs="Arial"/>
          <w:sz w:val="28"/>
          <w:szCs w:val="28"/>
        </w:rPr>
        <w:t xml:space="preserve">under-estimation of tax payable, and </w:t>
      </w:r>
      <w:r w:rsidR="007052C5">
        <w:rPr>
          <w:rFonts w:ascii="Arial" w:hAnsi="Arial" w:cs="Arial"/>
          <w:sz w:val="28"/>
          <w:szCs w:val="28"/>
        </w:rPr>
        <w:t xml:space="preserve">(d) </w:t>
      </w:r>
      <w:r w:rsidR="00E854DF" w:rsidRPr="00E543EA">
        <w:rPr>
          <w:rFonts w:ascii="Arial" w:hAnsi="Arial" w:cs="Arial"/>
          <w:sz w:val="28"/>
          <w:szCs w:val="28"/>
        </w:rPr>
        <w:t xml:space="preserve">failure to withhold tax or pay tax withheld at 22% per twelve months, compounded annually, apportionable per month where a month includes pot of the month. </w:t>
      </w:r>
    </w:p>
    <w:p w14:paraId="2FBDE858" w14:textId="77777777" w:rsidR="00E854DF" w:rsidRPr="00E854DF" w:rsidRDefault="00E854DF" w:rsidP="00E854DF">
      <w:pPr>
        <w:pStyle w:val="ListParagraph"/>
        <w:rPr>
          <w:rFonts w:ascii="Arial" w:hAnsi="Arial" w:cs="Arial"/>
          <w:sz w:val="28"/>
          <w:szCs w:val="28"/>
        </w:rPr>
      </w:pPr>
    </w:p>
    <w:p w14:paraId="6987B310" w14:textId="1D1F576D" w:rsidR="00F45D93" w:rsidRPr="00E543EA" w:rsidRDefault="00E543EA" w:rsidP="00E543EA">
      <w:pPr>
        <w:spacing w:line="360" w:lineRule="auto"/>
        <w:ind w:left="720" w:hanging="720"/>
        <w:jc w:val="both"/>
        <w:rPr>
          <w:rFonts w:ascii="Arial" w:hAnsi="Arial" w:cs="Arial"/>
          <w:sz w:val="28"/>
          <w:szCs w:val="28"/>
        </w:rPr>
      </w:pPr>
      <w:r>
        <w:rPr>
          <w:rFonts w:ascii="Arial" w:hAnsi="Arial" w:cs="Arial"/>
          <w:sz w:val="28"/>
          <w:szCs w:val="28"/>
        </w:rPr>
        <w:t>[13]</w:t>
      </w:r>
      <w:r>
        <w:rPr>
          <w:rFonts w:ascii="Arial" w:hAnsi="Arial" w:cs="Arial"/>
          <w:sz w:val="28"/>
          <w:szCs w:val="28"/>
        </w:rPr>
        <w:tab/>
      </w:r>
      <w:r w:rsidR="00E854DF" w:rsidRPr="00E543EA">
        <w:rPr>
          <w:rFonts w:ascii="Arial" w:hAnsi="Arial" w:cs="Arial"/>
          <w:sz w:val="28"/>
          <w:szCs w:val="28"/>
        </w:rPr>
        <w:t xml:space="preserve">It is Applicant`s contention that Section 192 of the Income Tax Act refers to lending rates in Lesotho as a basis for specified rates. They argue that 22% specified </w:t>
      </w:r>
      <w:r w:rsidR="00F45D93" w:rsidRPr="00E543EA">
        <w:rPr>
          <w:rFonts w:ascii="Arial" w:hAnsi="Arial" w:cs="Arial"/>
          <w:sz w:val="28"/>
          <w:szCs w:val="28"/>
        </w:rPr>
        <w:t xml:space="preserve">rates are outside or higher than the lending rate. Therefore, Applicant prays for an </w:t>
      </w:r>
      <w:proofErr w:type="gramStart"/>
      <w:r w:rsidR="00F45D93" w:rsidRPr="00E543EA">
        <w:rPr>
          <w:rFonts w:ascii="Arial" w:hAnsi="Arial" w:cs="Arial"/>
          <w:sz w:val="28"/>
          <w:szCs w:val="28"/>
        </w:rPr>
        <w:t>order:</w:t>
      </w:r>
      <w:proofErr w:type="gramEnd"/>
      <w:r w:rsidR="007052C5">
        <w:rPr>
          <w:rFonts w:ascii="Arial" w:hAnsi="Arial" w:cs="Arial"/>
          <w:sz w:val="28"/>
          <w:szCs w:val="28"/>
        </w:rPr>
        <w:t xml:space="preserve"> as appears in the Notice of Motion.</w:t>
      </w:r>
    </w:p>
    <w:p w14:paraId="2593FCDD" w14:textId="77777777" w:rsidR="00E543EA" w:rsidRDefault="00E543EA" w:rsidP="00E543EA">
      <w:pPr>
        <w:spacing w:line="360" w:lineRule="auto"/>
        <w:jc w:val="both"/>
        <w:rPr>
          <w:rFonts w:ascii="Arial" w:hAnsi="Arial" w:cs="Arial"/>
          <w:sz w:val="28"/>
          <w:szCs w:val="28"/>
        </w:rPr>
      </w:pPr>
    </w:p>
    <w:p w14:paraId="43BB8D99" w14:textId="6A33F6A8" w:rsidR="0003483D" w:rsidRPr="00E543EA" w:rsidRDefault="00E543EA" w:rsidP="00E543EA">
      <w:pPr>
        <w:spacing w:line="360" w:lineRule="auto"/>
        <w:ind w:left="720" w:hanging="720"/>
        <w:jc w:val="both"/>
        <w:rPr>
          <w:rFonts w:ascii="Arial" w:hAnsi="Arial" w:cs="Arial"/>
          <w:sz w:val="28"/>
          <w:szCs w:val="28"/>
        </w:rPr>
      </w:pPr>
      <w:r>
        <w:rPr>
          <w:rFonts w:ascii="Arial" w:hAnsi="Arial" w:cs="Arial"/>
          <w:sz w:val="28"/>
          <w:szCs w:val="28"/>
        </w:rPr>
        <w:t>[14]</w:t>
      </w:r>
      <w:r>
        <w:rPr>
          <w:rFonts w:ascii="Arial" w:hAnsi="Arial" w:cs="Arial"/>
          <w:sz w:val="28"/>
          <w:szCs w:val="28"/>
        </w:rPr>
        <w:tab/>
      </w:r>
      <w:r w:rsidR="0003483D" w:rsidRPr="00E543EA">
        <w:rPr>
          <w:rFonts w:ascii="Arial" w:hAnsi="Arial" w:cs="Arial"/>
          <w:sz w:val="28"/>
          <w:szCs w:val="28"/>
        </w:rPr>
        <w:t xml:space="preserve">Section 192 of the Income Tax Act provide “in this Division, the “specified rate” is the rate as published from time to time by the Commissioner General based on the normal commercial lending rates in Lesotho.” Section 193 – 198 deal with provision on additional taxes. Section 199 of the Act deals with recovery of additional tax. </w:t>
      </w:r>
    </w:p>
    <w:p w14:paraId="52DD46AC" w14:textId="0DED1A0E" w:rsidR="0003483D" w:rsidRPr="00E543EA" w:rsidRDefault="0003483D" w:rsidP="00E543EA">
      <w:pPr>
        <w:spacing w:line="360" w:lineRule="auto"/>
        <w:jc w:val="both"/>
        <w:rPr>
          <w:rFonts w:ascii="Arial" w:hAnsi="Arial" w:cs="Arial"/>
          <w:sz w:val="28"/>
          <w:szCs w:val="28"/>
          <w:u w:val="double"/>
        </w:rPr>
      </w:pPr>
    </w:p>
    <w:p w14:paraId="0F2AAB2D" w14:textId="5E90081D" w:rsidR="00175670" w:rsidRPr="00E543EA" w:rsidRDefault="00E543EA" w:rsidP="00E543EA">
      <w:pPr>
        <w:spacing w:line="360" w:lineRule="auto"/>
        <w:ind w:left="720" w:hanging="720"/>
        <w:jc w:val="both"/>
        <w:rPr>
          <w:rFonts w:ascii="Arial" w:hAnsi="Arial" w:cs="Arial"/>
          <w:sz w:val="28"/>
          <w:szCs w:val="28"/>
        </w:rPr>
      </w:pPr>
      <w:r>
        <w:rPr>
          <w:rFonts w:ascii="Arial" w:hAnsi="Arial" w:cs="Arial"/>
          <w:sz w:val="28"/>
          <w:szCs w:val="28"/>
        </w:rPr>
        <w:t>[15]</w:t>
      </w:r>
      <w:r>
        <w:rPr>
          <w:rFonts w:ascii="Arial" w:hAnsi="Arial" w:cs="Arial"/>
          <w:sz w:val="28"/>
          <w:szCs w:val="28"/>
        </w:rPr>
        <w:tab/>
      </w:r>
      <w:r w:rsidR="0003483D" w:rsidRPr="00E543EA">
        <w:rPr>
          <w:rFonts w:ascii="Arial" w:hAnsi="Arial" w:cs="Arial"/>
          <w:sz w:val="28"/>
          <w:szCs w:val="28"/>
        </w:rPr>
        <w:t xml:space="preserve">Repo rate is the rate at which the </w:t>
      </w:r>
      <w:r w:rsidR="0022487A">
        <w:rPr>
          <w:rFonts w:ascii="Arial" w:hAnsi="Arial" w:cs="Arial"/>
          <w:sz w:val="28"/>
          <w:szCs w:val="28"/>
        </w:rPr>
        <w:t>C</w:t>
      </w:r>
      <w:r w:rsidR="0003483D" w:rsidRPr="00E543EA">
        <w:rPr>
          <w:rFonts w:ascii="Arial" w:hAnsi="Arial" w:cs="Arial"/>
          <w:sz w:val="28"/>
          <w:szCs w:val="28"/>
        </w:rPr>
        <w:t xml:space="preserve">entral </w:t>
      </w:r>
      <w:r w:rsidR="0022487A">
        <w:rPr>
          <w:rFonts w:ascii="Arial" w:hAnsi="Arial" w:cs="Arial"/>
          <w:sz w:val="28"/>
          <w:szCs w:val="28"/>
        </w:rPr>
        <w:t>B</w:t>
      </w:r>
      <w:r w:rsidR="0003483D" w:rsidRPr="00E543EA">
        <w:rPr>
          <w:rFonts w:ascii="Arial" w:hAnsi="Arial" w:cs="Arial"/>
          <w:sz w:val="28"/>
          <w:szCs w:val="28"/>
        </w:rPr>
        <w:t xml:space="preserve">ank of a country lends money to </w:t>
      </w:r>
      <w:r w:rsidR="00175670" w:rsidRPr="00E543EA">
        <w:rPr>
          <w:rFonts w:ascii="Arial" w:hAnsi="Arial" w:cs="Arial"/>
          <w:sz w:val="28"/>
          <w:szCs w:val="28"/>
        </w:rPr>
        <w:t xml:space="preserve">commercial banks in the event of any shortfall of funds. According to the Central </w:t>
      </w:r>
      <w:r w:rsidR="0022487A">
        <w:rPr>
          <w:rFonts w:ascii="Arial" w:hAnsi="Arial" w:cs="Arial"/>
          <w:sz w:val="28"/>
          <w:szCs w:val="28"/>
        </w:rPr>
        <w:t>B</w:t>
      </w:r>
      <w:r w:rsidR="00175670" w:rsidRPr="00E543EA">
        <w:rPr>
          <w:rFonts w:ascii="Arial" w:hAnsi="Arial" w:cs="Arial"/>
          <w:sz w:val="28"/>
          <w:szCs w:val="28"/>
        </w:rPr>
        <w:t xml:space="preserve">ank of Lesotho repo rate </w:t>
      </w:r>
      <w:r w:rsidR="0022487A">
        <w:rPr>
          <w:rFonts w:ascii="Arial" w:hAnsi="Arial" w:cs="Arial"/>
          <w:sz w:val="28"/>
          <w:szCs w:val="28"/>
        </w:rPr>
        <w:t>wa</w:t>
      </w:r>
      <w:r w:rsidR="00175670" w:rsidRPr="00E543EA">
        <w:rPr>
          <w:rFonts w:ascii="Arial" w:hAnsi="Arial" w:cs="Arial"/>
          <w:sz w:val="28"/>
          <w:szCs w:val="28"/>
        </w:rPr>
        <w:t xml:space="preserve">s 8.9756% in 2020. </w:t>
      </w:r>
      <w:r>
        <w:rPr>
          <w:rFonts w:ascii="Arial" w:hAnsi="Arial" w:cs="Arial"/>
          <w:sz w:val="28"/>
          <w:szCs w:val="28"/>
        </w:rPr>
        <w:t>S</w:t>
      </w:r>
      <w:r w:rsidR="00175670" w:rsidRPr="00E543EA">
        <w:rPr>
          <w:rFonts w:ascii="Arial" w:hAnsi="Arial" w:cs="Arial"/>
          <w:sz w:val="28"/>
          <w:szCs w:val="28"/>
        </w:rPr>
        <w:t>o</w:t>
      </w:r>
      <w:r w:rsidR="0022487A">
        <w:rPr>
          <w:rFonts w:ascii="Arial" w:hAnsi="Arial" w:cs="Arial"/>
          <w:sz w:val="28"/>
          <w:szCs w:val="28"/>
        </w:rPr>
        <w:t>,</w:t>
      </w:r>
      <w:r w:rsidR="00175670" w:rsidRPr="00E543EA">
        <w:rPr>
          <w:rFonts w:ascii="Arial" w:hAnsi="Arial" w:cs="Arial"/>
          <w:sz w:val="28"/>
          <w:szCs w:val="28"/>
        </w:rPr>
        <w:t xml:space="preserve"> these banks will charge interest when lending money to the client. Interest charged to clients is variable depending on the type of local credit agreement and client. The commercial banks` prime lending rate is usually 4% to 5% above the report rate. It can even go higher than that in 2014 the maximum prime lending rate was 20.61% while was 26.19%. </w:t>
      </w:r>
    </w:p>
    <w:p w14:paraId="08B6EA64" w14:textId="77777777" w:rsidR="00175670" w:rsidRDefault="00175670" w:rsidP="00175670">
      <w:pPr>
        <w:spacing w:line="360" w:lineRule="auto"/>
        <w:jc w:val="both"/>
        <w:rPr>
          <w:rFonts w:ascii="Arial" w:hAnsi="Arial" w:cs="Arial"/>
          <w:sz w:val="28"/>
          <w:szCs w:val="28"/>
        </w:rPr>
      </w:pPr>
    </w:p>
    <w:p w14:paraId="31E1BCDA" w14:textId="08885DCF" w:rsidR="00B66006" w:rsidRPr="00E543EA" w:rsidRDefault="00E543EA" w:rsidP="00E543EA">
      <w:pPr>
        <w:spacing w:line="360" w:lineRule="auto"/>
        <w:ind w:left="720" w:hanging="720"/>
        <w:jc w:val="both"/>
        <w:rPr>
          <w:rFonts w:ascii="Arial" w:hAnsi="Arial" w:cs="Arial"/>
          <w:sz w:val="28"/>
          <w:szCs w:val="28"/>
        </w:rPr>
      </w:pPr>
      <w:r>
        <w:rPr>
          <w:rFonts w:ascii="Arial" w:hAnsi="Arial" w:cs="Arial"/>
          <w:sz w:val="28"/>
          <w:szCs w:val="28"/>
        </w:rPr>
        <w:t>[16]</w:t>
      </w:r>
      <w:r>
        <w:rPr>
          <w:rFonts w:ascii="Arial" w:hAnsi="Arial" w:cs="Arial"/>
          <w:sz w:val="28"/>
          <w:szCs w:val="28"/>
        </w:rPr>
        <w:tab/>
      </w:r>
      <w:r w:rsidR="00175670" w:rsidRPr="00E543EA">
        <w:rPr>
          <w:rFonts w:ascii="Arial" w:hAnsi="Arial" w:cs="Arial"/>
          <w:sz w:val="28"/>
          <w:szCs w:val="28"/>
        </w:rPr>
        <w:t xml:space="preserve">A tax debt is an amount of tax liability due in terms of the Income Tax Act to the Lesotho Revenue Authority. It arises by operation of statute and not by way of credit agreement or contract as in the case of commercial banks of individuals. On the other </w:t>
      </w:r>
      <w:r w:rsidR="008E1692" w:rsidRPr="00E543EA">
        <w:rPr>
          <w:rFonts w:ascii="Arial" w:hAnsi="Arial" w:cs="Arial"/>
          <w:sz w:val="28"/>
          <w:szCs w:val="28"/>
        </w:rPr>
        <w:t>hand,</w:t>
      </w:r>
      <w:r w:rsidR="00175670" w:rsidRPr="00E543EA">
        <w:rPr>
          <w:rFonts w:ascii="Arial" w:hAnsi="Arial" w:cs="Arial"/>
          <w:sz w:val="28"/>
          <w:szCs w:val="28"/>
        </w:rPr>
        <w:t xml:space="preserve"> the report rate (Central bank) and the commercial lending rate (Commercial banks) is not regulated by any law. </w:t>
      </w:r>
      <w:r w:rsidR="00B66006" w:rsidRPr="00E543EA">
        <w:rPr>
          <w:rFonts w:ascii="Arial" w:hAnsi="Arial" w:cs="Arial"/>
          <w:sz w:val="28"/>
          <w:szCs w:val="28"/>
        </w:rPr>
        <w:t xml:space="preserve">The latter are enacted by act of Parliament. They are rather regulated by the Central </w:t>
      </w:r>
      <w:r w:rsidR="008E1692">
        <w:rPr>
          <w:rFonts w:ascii="Arial" w:hAnsi="Arial" w:cs="Arial"/>
          <w:sz w:val="28"/>
          <w:szCs w:val="28"/>
        </w:rPr>
        <w:t>B</w:t>
      </w:r>
      <w:r w:rsidR="00B66006" w:rsidRPr="00E543EA">
        <w:rPr>
          <w:rFonts w:ascii="Arial" w:hAnsi="Arial" w:cs="Arial"/>
          <w:sz w:val="28"/>
          <w:szCs w:val="28"/>
        </w:rPr>
        <w:t xml:space="preserve">ank of the country </w:t>
      </w:r>
      <w:proofErr w:type="gramStart"/>
      <w:r w:rsidR="00B66006" w:rsidRPr="00E543EA">
        <w:rPr>
          <w:rFonts w:ascii="Arial" w:hAnsi="Arial" w:cs="Arial"/>
          <w:sz w:val="28"/>
          <w:szCs w:val="28"/>
        </w:rPr>
        <w:t>in order to</w:t>
      </w:r>
      <w:proofErr w:type="gramEnd"/>
      <w:r w:rsidR="00B66006" w:rsidRPr="00E543EA">
        <w:rPr>
          <w:rFonts w:ascii="Arial" w:hAnsi="Arial" w:cs="Arial"/>
          <w:sz w:val="28"/>
          <w:szCs w:val="28"/>
        </w:rPr>
        <w:t xml:space="preserve"> protect vulnerable debtors and to make credit cheaper.</w:t>
      </w:r>
    </w:p>
    <w:p w14:paraId="3C16BB28" w14:textId="77777777" w:rsidR="00B66006" w:rsidRPr="00B66006" w:rsidRDefault="00B66006" w:rsidP="00B66006">
      <w:pPr>
        <w:pStyle w:val="ListParagraph"/>
        <w:rPr>
          <w:rFonts w:ascii="Arial" w:hAnsi="Arial" w:cs="Arial"/>
          <w:sz w:val="28"/>
          <w:szCs w:val="28"/>
        </w:rPr>
      </w:pPr>
    </w:p>
    <w:p w14:paraId="5C0D338C" w14:textId="47E97CF6" w:rsidR="0003483D" w:rsidRPr="00E543EA" w:rsidRDefault="00E543EA" w:rsidP="00E543EA">
      <w:pPr>
        <w:spacing w:line="360" w:lineRule="auto"/>
        <w:ind w:left="720" w:hanging="720"/>
        <w:jc w:val="both"/>
        <w:rPr>
          <w:rFonts w:ascii="Arial" w:hAnsi="Arial" w:cs="Arial"/>
          <w:sz w:val="28"/>
          <w:szCs w:val="28"/>
        </w:rPr>
      </w:pPr>
      <w:r>
        <w:rPr>
          <w:rFonts w:ascii="Arial" w:hAnsi="Arial" w:cs="Arial"/>
          <w:sz w:val="28"/>
          <w:szCs w:val="28"/>
        </w:rPr>
        <w:t>[17]</w:t>
      </w:r>
      <w:r>
        <w:rPr>
          <w:rFonts w:ascii="Arial" w:hAnsi="Arial" w:cs="Arial"/>
          <w:sz w:val="28"/>
          <w:szCs w:val="28"/>
        </w:rPr>
        <w:tab/>
      </w:r>
      <w:r w:rsidR="00B66006" w:rsidRPr="00E543EA">
        <w:rPr>
          <w:rFonts w:ascii="Arial" w:hAnsi="Arial" w:cs="Arial"/>
          <w:sz w:val="28"/>
          <w:szCs w:val="28"/>
        </w:rPr>
        <w:t xml:space="preserve">Tax debt on the other hand is by the result of operation of the law. Public policy may not require the taxpayer to be protected. Setting and regulating the repo rate and commercial lending rate is important for public policy considerations, </w:t>
      </w:r>
      <w:proofErr w:type="spellStart"/>
      <w:r w:rsidR="00B66006" w:rsidRPr="00E543EA">
        <w:rPr>
          <w:rFonts w:ascii="Arial" w:hAnsi="Arial" w:cs="Arial"/>
          <w:sz w:val="28"/>
          <w:szCs w:val="28"/>
        </w:rPr>
        <w:t>i.e</w:t>
      </w:r>
      <w:proofErr w:type="spellEnd"/>
      <w:r w:rsidR="00B66006" w:rsidRPr="00E543EA">
        <w:rPr>
          <w:rFonts w:ascii="Arial" w:hAnsi="Arial" w:cs="Arial"/>
          <w:sz w:val="28"/>
          <w:szCs w:val="28"/>
        </w:rPr>
        <w:t xml:space="preserve"> protection of vulnerable debtors among others.  </w:t>
      </w:r>
      <w:r w:rsidR="00175670" w:rsidRPr="00E543EA">
        <w:rPr>
          <w:rFonts w:ascii="Arial" w:hAnsi="Arial" w:cs="Arial"/>
          <w:sz w:val="28"/>
          <w:szCs w:val="28"/>
        </w:rPr>
        <w:t xml:space="preserve">   </w:t>
      </w:r>
    </w:p>
    <w:p w14:paraId="3D1203AF" w14:textId="77777777" w:rsidR="00055C0F" w:rsidRPr="00055C0F" w:rsidRDefault="00055C0F" w:rsidP="00055C0F">
      <w:pPr>
        <w:pStyle w:val="ListParagraph"/>
        <w:rPr>
          <w:rFonts w:ascii="Arial" w:hAnsi="Arial" w:cs="Arial"/>
          <w:sz w:val="28"/>
          <w:szCs w:val="28"/>
        </w:rPr>
      </w:pPr>
    </w:p>
    <w:p w14:paraId="511E9A4E" w14:textId="6F0B4C3C" w:rsidR="00055C0F" w:rsidRDefault="00055C0F" w:rsidP="008E1692">
      <w:pPr>
        <w:spacing w:line="360" w:lineRule="auto"/>
        <w:ind w:firstLine="720"/>
        <w:jc w:val="both"/>
        <w:rPr>
          <w:rFonts w:ascii="Arial" w:hAnsi="Arial" w:cs="Arial"/>
          <w:sz w:val="28"/>
          <w:szCs w:val="28"/>
        </w:rPr>
      </w:pPr>
      <w:r>
        <w:rPr>
          <w:rFonts w:ascii="Arial" w:hAnsi="Arial" w:cs="Arial"/>
          <w:sz w:val="28"/>
          <w:szCs w:val="28"/>
        </w:rPr>
        <w:lastRenderedPageBreak/>
        <w:t>Can policy override the law?</w:t>
      </w:r>
      <w:r w:rsidR="008E1692">
        <w:rPr>
          <w:rFonts w:ascii="Arial" w:hAnsi="Arial" w:cs="Arial"/>
          <w:sz w:val="28"/>
          <w:szCs w:val="28"/>
        </w:rPr>
        <w:t xml:space="preserve"> </w:t>
      </w:r>
      <w:r w:rsidR="00155788">
        <w:rPr>
          <w:rFonts w:ascii="Arial" w:hAnsi="Arial" w:cs="Arial"/>
          <w:sz w:val="28"/>
          <w:szCs w:val="28"/>
        </w:rPr>
        <w:t>No matter how important</w:t>
      </w:r>
    </w:p>
    <w:p w14:paraId="0F03821F" w14:textId="14A390CB" w:rsidR="000C0D02" w:rsidRDefault="000C0D02" w:rsidP="00055C0F">
      <w:pPr>
        <w:spacing w:line="360" w:lineRule="auto"/>
        <w:jc w:val="both"/>
        <w:rPr>
          <w:rFonts w:ascii="Arial" w:hAnsi="Arial" w:cs="Arial"/>
          <w:sz w:val="28"/>
          <w:szCs w:val="28"/>
        </w:rPr>
      </w:pPr>
    </w:p>
    <w:p w14:paraId="36109D4F" w14:textId="6E3200EB" w:rsidR="009A4D0A" w:rsidRPr="00E543EA" w:rsidRDefault="00E543EA" w:rsidP="00E543EA">
      <w:pPr>
        <w:spacing w:line="360" w:lineRule="auto"/>
        <w:ind w:left="720" w:hanging="720"/>
        <w:jc w:val="both"/>
        <w:rPr>
          <w:rFonts w:ascii="Arial" w:hAnsi="Arial" w:cs="Arial"/>
          <w:sz w:val="28"/>
          <w:szCs w:val="28"/>
        </w:rPr>
      </w:pPr>
      <w:r>
        <w:rPr>
          <w:rFonts w:ascii="Arial" w:hAnsi="Arial" w:cs="Arial"/>
          <w:sz w:val="28"/>
          <w:szCs w:val="28"/>
        </w:rPr>
        <w:t>[18]</w:t>
      </w:r>
      <w:r>
        <w:rPr>
          <w:rFonts w:ascii="Arial" w:hAnsi="Arial" w:cs="Arial"/>
          <w:sz w:val="28"/>
          <w:szCs w:val="28"/>
        </w:rPr>
        <w:tab/>
      </w:r>
      <w:r w:rsidR="009A4D0A" w:rsidRPr="00E543EA">
        <w:rPr>
          <w:rFonts w:ascii="Arial" w:hAnsi="Arial" w:cs="Arial"/>
          <w:sz w:val="28"/>
          <w:szCs w:val="28"/>
        </w:rPr>
        <w:t>At para 5</w:t>
      </w:r>
      <w:r w:rsidRPr="00E543EA">
        <w:rPr>
          <w:rFonts w:ascii="Arial" w:hAnsi="Arial" w:cs="Arial"/>
          <w:sz w:val="28"/>
          <w:szCs w:val="28"/>
        </w:rPr>
        <w:t xml:space="preserve"> of</w:t>
      </w:r>
      <w:r w:rsidR="009A4D0A" w:rsidRPr="00E543EA">
        <w:rPr>
          <w:rFonts w:ascii="Arial" w:hAnsi="Arial" w:cs="Arial"/>
          <w:sz w:val="28"/>
          <w:szCs w:val="28"/>
        </w:rPr>
        <w:t xml:space="preserve"> the founding </w:t>
      </w:r>
      <w:r w:rsidRPr="00E543EA">
        <w:rPr>
          <w:rFonts w:ascii="Arial" w:hAnsi="Arial" w:cs="Arial"/>
          <w:sz w:val="28"/>
          <w:szCs w:val="28"/>
        </w:rPr>
        <w:t xml:space="preserve">affidavit </w:t>
      </w:r>
      <w:r w:rsidR="008E1692">
        <w:rPr>
          <w:rFonts w:ascii="Arial" w:hAnsi="Arial" w:cs="Arial"/>
          <w:sz w:val="28"/>
          <w:szCs w:val="28"/>
        </w:rPr>
        <w:t>A</w:t>
      </w:r>
      <w:r w:rsidR="009A4D0A" w:rsidRPr="00E543EA">
        <w:rPr>
          <w:rFonts w:ascii="Arial" w:hAnsi="Arial" w:cs="Arial"/>
          <w:sz w:val="28"/>
          <w:szCs w:val="28"/>
        </w:rPr>
        <w:t>pplicants contend that the setting of specified rate at 3% per month, compounded monthly in terms of Legal Notice 130 of 2004 and subsequent setting of the specified Rate from 19 June 2015 per annum, compounded annually, is unlawful and should be substituted with interest rate based on normal commercial rate.</w:t>
      </w:r>
    </w:p>
    <w:p w14:paraId="1CF0B017" w14:textId="77777777" w:rsidR="009A4D0A" w:rsidRDefault="009A4D0A" w:rsidP="009A4D0A">
      <w:pPr>
        <w:spacing w:line="360" w:lineRule="auto"/>
        <w:jc w:val="both"/>
        <w:rPr>
          <w:rFonts w:ascii="Arial" w:hAnsi="Arial" w:cs="Arial"/>
          <w:sz w:val="28"/>
          <w:szCs w:val="28"/>
        </w:rPr>
      </w:pPr>
    </w:p>
    <w:p w14:paraId="35E90267" w14:textId="5A229DB8" w:rsidR="009A4D0A" w:rsidRPr="00E543EA" w:rsidRDefault="00E543EA" w:rsidP="00E543EA">
      <w:pPr>
        <w:spacing w:line="360" w:lineRule="auto"/>
        <w:ind w:left="720" w:hanging="720"/>
        <w:jc w:val="both"/>
        <w:rPr>
          <w:rFonts w:ascii="Arial" w:hAnsi="Arial" w:cs="Arial"/>
          <w:sz w:val="28"/>
          <w:szCs w:val="28"/>
        </w:rPr>
      </w:pPr>
      <w:r>
        <w:rPr>
          <w:rFonts w:ascii="Arial" w:hAnsi="Arial" w:cs="Arial"/>
          <w:sz w:val="28"/>
          <w:szCs w:val="28"/>
        </w:rPr>
        <w:t>[19]</w:t>
      </w:r>
      <w:r>
        <w:rPr>
          <w:rFonts w:ascii="Arial" w:hAnsi="Arial" w:cs="Arial"/>
          <w:sz w:val="28"/>
          <w:szCs w:val="28"/>
        </w:rPr>
        <w:tab/>
      </w:r>
      <w:r w:rsidR="009A4D0A" w:rsidRPr="00E543EA">
        <w:rPr>
          <w:rFonts w:ascii="Arial" w:hAnsi="Arial" w:cs="Arial"/>
          <w:sz w:val="28"/>
          <w:szCs w:val="28"/>
        </w:rPr>
        <w:t>At para 18.2 of the answering affidavit 1</w:t>
      </w:r>
      <w:r w:rsidR="009A4D0A" w:rsidRPr="00E543EA">
        <w:rPr>
          <w:rFonts w:ascii="Arial" w:hAnsi="Arial" w:cs="Arial"/>
          <w:sz w:val="28"/>
          <w:szCs w:val="28"/>
          <w:vertAlign w:val="superscript"/>
        </w:rPr>
        <w:t>st</w:t>
      </w:r>
      <w:r w:rsidR="009A4D0A" w:rsidRPr="00E543EA">
        <w:rPr>
          <w:rFonts w:ascii="Arial" w:hAnsi="Arial" w:cs="Arial"/>
          <w:sz w:val="28"/>
          <w:szCs w:val="28"/>
        </w:rPr>
        <w:t xml:space="preserve"> and 2</w:t>
      </w:r>
      <w:r w:rsidR="009A4D0A" w:rsidRPr="00E543EA">
        <w:rPr>
          <w:rFonts w:ascii="Arial" w:hAnsi="Arial" w:cs="Arial"/>
          <w:sz w:val="28"/>
          <w:szCs w:val="28"/>
          <w:vertAlign w:val="superscript"/>
        </w:rPr>
        <w:t>nd</w:t>
      </w:r>
      <w:r w:rsidR="009A4D0A" w:rsidRPr="00E543EA">
        <w:rPr>
          <w:rFonts w:ascii="Arial" w:hAnsi="Arial" w:cs="Arial"/>
          <w:sz w:val="28"/>
          <w:szCs w:val="28"/>
        </w:rPr>
        <w:t xml:space="preserve"> Respondents </w:t>
      </w:r>
      <w:r w:rsidRPr="00E543EA">
        <w:rPr>
          <w:rFonts w:ascii="Arial" w:hAnsi="Arial" w:cs="Arial"/>
          <w:sz w:val="28"/>
          <w:szCs w:val="28"/>
        </w:rPr>
        <w:t>i</w:t>
      </w:r>
      <w:r w:rsidR="009A4D0A" w:rsidRPr="00E543EA">
        <w:rPr>
          <w:rFonts w:ascii="Arial" w:hAnsi="Arial" w:cs="Arial"/>
          <w:sz w:val="28"/>
          <w:szCs w:val="28"/>
        </w:rPr>
        <w:t>n pot concede to the contention above as follows:</w:t>
      </w:r>
    </w:p>
    <w:p w14:paraId="470DF3AC" w14:textId="77777777" w:rsidR="009A4D0A" w:rsidRPr="009A4D0A" w:rsidRDefault="009A4D0A" w:rsidP="009A4D0A">
      <w:pPr>
        <w:pStyle w:val="ListParagraph"/>
        <w:rPr>
          <w:rFonts w:ascii="Arial" w:hAnsi="Arial" w:cs="Arial"/>
          <w:sz w:val="28"/>
          <w:szCs w:val="28"/>
        </w:rPr>
      </w:pPr>
    </w:p>
    <w:p w14:paraId="4789AAA5" w14:textId="00806E84" w:rsidR="00EB4937" w:rsidRDefault="009A4D0A" w:rsidP="009A4D0A">
      <w:pPr>
        <w:pStyle w:val="ListParagraph"/>
        <w:spacing w:line="360" w:lineRule="auto"/>
        <w:ind w:left="1440"/>
        <w:jc w:val="both"/>
        <w:rPr>
          <w:rFonts w:ascii="Arial" w:hAnsi="Arial" w:cs="Arial"/>
          <w:sz w:val="28"/>
          <w:szCs w:val="28"/>
        </w:rPr>
      </w:pPr>
      <w:r>
        <w:rPr>
          <w:rFonts w:ascii="Arial" w:hAnsi="Arial" w:cs="Arial"/>
          <w:sz w:val="28"/>
          <w:szCs w:val="28"/>
        </w:rPr>
        <w:t>“</w:t>
      </w:r>
      <w:r w:rsidRPr="003B3F79">
        <w:rPr>
          <w:rFonts w:ascii="Arial" w:hAnsi="Arial" w:cs="Arial"/>
          <w:i/>
          <w:iCs/>
          <w:sz w:val="28"/>
          <w:szCs w:val="28"/>
        </w:rPr>
        <w:t>Whilst the repeated Legal Notice No 130 of 2004 cannot be declared null and void because it is no longer in existen</w:t>
      </w:r>
      <w:r w:rsidR="00EB4937" w:rsidRPr="003B3F79">
        <w:rPr>
          <w:rFonts w:ascii="Arial" w:hAnsi="Arial" w:cs="Arial"/>
          <w:i/>
          <w:iCs/>
          <w:sz w:val="28"/>
          <w:szCs w:val="28"/>
        </w:rPr>
        <w:t>c</w:t>
      </w:r>
      <w:r w:rsidRPr="003B3F79">
        <w:rPr>
          <w:rFonts w:ascii="Arial" w:hAnsi="Arial" w:cs="Arial"/>
          <w:i/>
          <w:iCs/>
          <w:sz w:val="28"/>
          <w:szCs w:val="28"/>
        </w:rPr>
        <w:t xml:space="preserve">e; given that the published specified rate of the afore-stated Legal Notice No 130 was </w:t>
      </w:r>
      <w:r w:rsidRPr="003B3F79">
        <w:rPr>
          <w:rFonts w:ascii="Arial" w:hAnsi="Arial" w:cs="Arial"/>
          <w:i/>
          <w:iCs/>
          <w:sz w:val="28"/>
          <w:szCs w:val="28"/>
          <w:u w:val="single"/>
        </w:rPr>
        <w:t>well beyond contemplated rates, the LRA will concede in the</w:t>
      </w:r>
      <w:r w:rsidRPr="003B3F79">
        <w:rPr>
          <w:rFonts w:ascii="Arial" w:hAnsi="Arial" w:cs="Arial"/>
          <w:i/>
          <w:iCs/>
          <w:sz w:val="28"/>
          <w:szCs w:val="28"/>
        </w:rPr>
        <w:t xml:space="preserve"> pending Revenue Appeals Tribunal proceedings between the second Applicant and 1</w:t>
      </w:r>
      <w:r w:rsidRPr="003B3F79">
        <w:rPr>
          <w:rFonts w:ascii="Arial" w:hAnsi="Arial" w:cs="Arial"/>
          <w:i/>
          <w:iCs/>
          <w:sz w:val="28"/>
          <w:szCs w:val="28"/>
          <w:vertAlign w:val="superscript"/>
        </w:rPr>
        <w:t>st</w:t>
      </w:r>
      <w:r w:rsidRPr="003B3F79">
        <w:rPr>
          <w:rFonts w:ascii="Arial" w:hAnsi="Arial" w:cs="Arial"/>
          <w:i/>
          <w:iCs/>
          <w:sz w:val="28"/>
          <w:szCs w:val="28"/>
        </w:rPr>
        <w:t xml:space="preserve"> and 2</w:t>
      </w:r>
      <w:r w:rsidRPr="003B3F79">
        <w:rPr>
          <w:rFonts w:ascii="Arial" w:hAnsi="Arial" w:cs="Arial"/>
          <w:i/>
          <w:iCs/>
          <w:sz w:val="28"/>
          <w:szCs w:val="28"/>
          <w:vertAlign w:val="superscript"/>
        </w:rPr>
        <w:t>nd</w:t>
      </w:r>
      <w:r w:rsidRPr="003B3F79">
        <w:rPr>
          <w:rFonts w:ascii="Arial" w:hAnsi="Arial" w:cs="Arial"/>
          <w:i/>
          <w:iCs/>
          <w:sz w:val="28"/>
          <w:szCs w:val="28"/>
        </w:rPr>
        <w:t xml:space="preserve"> Respondents, to the amendment of the assessment which made on the second Applicant.</w:t>
      </w:r>
      <w:r w:rsidR="00EB4937" w:rsidRPr="003B3F79">
        <w:rPr>
          <w:rFonts w:ascii="Arial" w:hAnsi="Arial" w:cs="Arial"/>
          <w:i/>
          <w:iCs/>
          <w:sz w:val="28"/>
          <w:szCs w:val="28"/>
        </w:rPr>
        <w:t xml:space="preserve"> This concession was well accepted by Applicant who advisedly state they would await the assessment when </w:t>
      </w:r>
      <w:proofErr w:type="spellStart"/>
      <w:r w:rsidR="00EB4937" w:rsidRPr="003B3F79">
        <w:rPr>
          <w:rFonts w:ascii="Arial" w:hAnsi="Arial" w:cs="Arial"/>
          <w:i/>
          <w:iCs/>
          <w:sz w:val="28"/>
          <w:szCs w:val="28"/>
        </w:rPr>
        <w:t>its</w:t>
      </w:r>
      <w:proofErr w:type="spellEnd"/>
      <w:r w:rsidR="00EB4937" w:rsidRPr="003B3F79">
        <w:rPr>
          <w:rFonts w:ascii="Arial" w:hAnsi="Arial" w:cs="Arial"/>
          <w:i/>
          <w:iCs/>
          <w:sz w:val="28"/>
          <w:szCs w:val="28"/>
        </w:rPr>
        <w:t xml:space="preserve"> done and respond accordingly</w:t>
      </w:r>
      <w:r w:rsidR="00EB4937">
        <w:rPr>
          <w:rFonts w:ascii="Arial" w:hAnsi="Arial" w:cs="Arial"/>
          <w:sz w:val="28"/>
          <w:szCs w:val="28"/>
        </w:rPr>
        <w:t>.</w:t>
      </w:r>
      <w:r w:rsidR="003B3F79">
        <w:rPr>
          <w:rFonts w:ascii="Arial" w:hAnsi="Arial" w:cs="Arial"/>
          <w:sz w:val="28"/>
          <w:szCs w:val="28"/>
        </w:rPr>
        <w:t>”</w:t>
      </w:r>
    </w:p>
    <w:p w14:paraId="3D98DF8B" w14:textId="77777777" w:rsidR="00EB4937" w:rsidRDefault="00EB4937" w:rsidP="00EB4937">
      <w:pPr>
        <w:spacing w:line="360" w:lineRule="auto"/>
        <w:jc w:val="both"/>
        <w:rPr>
          <w:rFonts w:ascii="Arial" w:hAnsi="Arial" w:cs="Arial"/>
          <w:sz w:val="28"/>
          <w:szCs w:val="28"/>
        </w:rPr>
      </w:pPr>
    </w:p>
    <w:p w14:paraId="04D68A56" w14:textId="0F5A2538" w:rsidR="003B3F79" w:rsidRPr="00165637" w:rsidRDefault="00165637" w:rsidP="00165637">
      <w:pPr>
        <w:spacing w:line="360" w:lineRule="auto"/>
        <w:ind w:left="720" w:hanging="720"/>
        <w:jc w:val="both"/>
        <w:rPr>
          <w:rFonts w:ascii="Arial" w:hAnsi="Arial" w:cs="Arial"/>
          <w:sz w:val="28"/>
          <w:szCs w:val="28"/>
        </w:rPr>
      </w:pPr>
      <w:r>
        <w:rPr>
          <w:rFonts w:ascii="Arial" w:hAnsi="Arial" w:cs="Arial"/>
          <w:sz w:val="28"/>
          <w:szCs w:val="28"/>
        </w:rPr>
        <w:t>[20]</w:t>
      </w:r>
      <w:r>
        <w:rPr>
          <w:rFonts w:ascii="Arial" w:hAnsi="Arial" w:cs="Arial"/>
          <w:sz w:val="28"/>
          <w:szCs w:val="28"/>
        </w:rPr>
        <w:tab/>
      </w:r>
      <w:r w:rsidR="00EB4937" w:rsidRPr="00165637">
        <w:rPr>
          <w:rFonts w:ascii="Arial" w:hAnsi="Arial" w:cs="Arial"/>
          <w:sz w:val="28"/>
          <w:szCs w:val="28"/>
        </w:rPr>
        <w:t>For the time being the thrust of the issue remains on additional tax rate 22%. Previous paragraphs of this judgement attempt to explain different type of rate</w:t>
      </w:r>
      <w:r w:rsidR="008E1692">
        <w:rPr>
          <w:rFonts w:ascii="Arial" w:hAnsi="Arial" w:cs="Arial"/>
          <w:sz w:val="28"/>
          <w:szCs w:val="28"/>
        </w:rPr>
        <w:t>s</w:t>
      </w:r>
      <w:r w:rsidR="00EB4937" w:rsidRPr="00165637">
        <w:rPr>
          <w:rFonts w:ascii="Arial" w:hAnsi="Arial" w:cs="Arial"/>
          <w:sz w:val="28"/>
          <w:szCs w:val="28"/>
        </w:rPr>
        <w:t xml:space="preserve"> and rational economic or whatever for setting rates. This was done with a view also to distinguish between rates. </w:t>
      </w:r>
      <w:r w:rsidR="009A4D0A" w:rsidRPr="00165637">
        <w:rPr>
          <w:rFonts w:ascii="Arial" w:hAnsi="Arial" w:cs="Arial"/>
          <w:sz w:val="28"/>
          <w:szCs w:val="28"/>
        </w:rPr>
        <w:t xml:space="preserve">  </w:t>
      </w:r>
    </w:p>
    <w:p w14:paraId="2B5EE250" w14:textId="1A04B677" w:rsidR="003B3F79" w:rsidRDefault="003B3F79" w:rsidP="003B3F79">
      <w:pPr>
        <w:spacing w:line="360" w:lineRule="auto"/>
        <w:ind w:left="360"/>
        <w:jc w:val="both"/>
        <w:rPr>
          <w:rFonts w:ascii="Arial" w:hAnsi="Arial" w:cs="Arial"/>
          <w:sz w:val="28"/>
          <w:szCs w:val="28"/>
        </w:rPr>
      </w:pPr>
    </w:p>
    <w:p w14:paraId="41D8BF82" w14:textId="4B011ED2" w:rsidR="003B3F79" w:rsidRPr="00165637" w:rsidRDefault="00165637" w:rsidP="00165637">
      <w:pPr>
        <w:spacing w:line="360" w:lineRule="auto"/>
        <w:ind w:left="720" w:hanging="720"/>
        <w:jc w:val="both"/>
        <w:rPr>
          <w:rFonts w:ascii="Arial" w:hAnsi="Arial" w:cs="Arial"/>
          <w:sz w:val="28"/>
          <w:szCs w:val="28"/>
        </w:rPr>
      </w:pPr>
      <w:r>
        <w:rPr>
          <w:rFonts w:ascii="Arial" w:hAnsi="Arial" w:cs="Arial"/>
          <w:sz w:val="28"/>
          <w:szCs w:val="28"/>
        </w:rPr>
        <w:t>[21]</w:t>
      </w:r>
      <w:r>
        <w:rPr>
          <w:rFonts w:ascii="Arial" w:hAnsi="Arial" w:cs="Arial"/>
          <w:sz w:val="28"/>
          <w:szCs w:val="28"/>
        </w:rPr>
        <w:tab/>
      </w:r>
      <w:r w:rsidR="003B3F79" w:rsidRPr="00165637">
        <w:rPr>
          <w:rFonts w:ascii="Arial" w:hAnsi="Arial" w:cs="Arial"/>
          <w:sz w:val="28"/>
          <w:szCs w:val="28"/>
        </w:rPr>
        <w:t xml:space="preserve">The issue is whether additional tax rate ought to be married at the hip with the tied to the repo rate or the commercial lending rate, whichever is lower. This is the </w:t>
      </w:r>
      <w:r w:rsidR="00F22F60" w:rsidRPr="00165637">
        <w:rPr>
          <w:rFonts w:ascii="Arial" w:hAnsi="Arial" w:cs="Arial"/>
          <w:sz w:val="28"/>
          <w:szCs w:val="28"/>
        </w:rPr>
        <w:t xml:space="preserve">basis of the Applicant`s case. Further, the other issue centres on the import or the meaning of the words/phrase. “…the specified rate” </w:t>
      </w:r>
      <w:r>
        <w:rPr>
          <w:rFonts w:ascii="Arial" w:hAnsi="Arial" w:cs="Arial"/>
          <w:sz w:val="28"/>
          <w:szCs w:val="28"/>
        </w:rPr>
        <w:t xml:space="preserve">which </w:t>
      </w:r>
      <w:r w:rsidR="00F22F60" w:rsidRPr="00165637">
        <w:rPr>
          <w:rFonts w:ascii="Arial" w:hAnsi="Arial" w:cs="Arial"/>
          <w:sz w:val="28"/>
          <w:szCs w:val="28"/>
        </w:rPr>
        <w:t xml:space="preserve">is the rate as published from time to time by the </w:t>
      </w:r>
      <w:r w:rsidR="008E1692">
        <w:rPr>
          <w:rFonts w:ascii="Arial" w:hAnsi="Arial" w:cs="Arial"/>
          <w:sz w:val="28"/>
          <w:szCs w:val="28"/>
        </w:rPr>
        <w:t>C</w:t>
      </w:r>
      <w:r w:rsidR="00F22F60" w:rsidRPr="00165637">
        <w:rPr>
          <w:rFonts w:ascii="Arial" w:hAnsi="Arial" w:cs="Arial"/>
          <w:sz w:val="28"/>
          <w:szCs w:val="28"/>
        </w:rPr>
        <w:t>ommissioner based on the normal lending rates in Lesotho.”</w:t>
      </w:r>
    </w:p>
    <w:p w14:paraId="4700F987" w14:textId="77777777" w:rsidR="00F22F60" w:rsidRPr="00F22F60" w:rsidRDefault="00F22F60" w:rsidP="00F22F60">
      <w:pPr>
        <w:pStyle w:val="ListParagraph"/>
        <w:rPr>
          <w:rFonts w:ascii="Arial" w:hAnsi="Arial" w:cs="Arial"/>
          <w:sz w:val="28"/>
          <w:szCs w:val="28"/>
        </w:rPr>
      </w:pPr>
    </w:p>
    <w:p w14:paraId="25E11575" w14:textId="30FF02C1" w:rsidR="00F22F60" w:rsidRDefault="00165637" w:rsidP="00165637">
      <w:pPr>
        <w:spacing w:line="360" w:lineRule="auto"/>
        <w:ind w:left="720" w:hanging="720"/>
        <w:jc w:val="both"/>
        <w:rPr>
          <w:rFonts w:ascii="Arial" w:hAnsi="Arial" w:cs="Arial"/>
          <w:sz w:val="28"/>
          <w:szCs w:val="28"/>
        </w:rPr>
      </w:pPr>
      <w:r>
        <w:rPr>
          <w:rFonts w:ascii="Arial" w:hAnsi="Arial" w:cs="Arial"/>
          <w:sz w:val="28"/>
          <w:szCs w:val="28"/>
        </w:rPr>
        <w:t>[22]</w:t>
      </w:r>
      <w:r>
        <w:rPr>
          <w:rFonts w:ascii="Arial" w:hAnsi="Arial" w:cs="Arial"/>
          <w:sz w:val="28"/>
          <w:szCs w:val="28"/>
        </w:rPr>
        <w:tab/>
      </w:r>
      <w:r w:rsidR="00F22F60" w:rsidRPr="00165637">
        <w:rPr>
          <w:rFonts w:ascii="Arial" w:hAnsi="Arial" w:cs="Arial"/>
          <w:sz w:val="28"/>
          <w:szCs w:val="28"/>
        </w:rPr>
        <w:t xml:space="preserve">Additional tax rate is a penalty imposed on a defaulting taxpayer. It is penal in nature. This is because taxes are a compulsory contribution to the fiscal to finance government activities. </w:t>
      </w:r>
      <w:r w:rsidR="00F22F60" w:rsidRPr="00165637">
        <w:rPr>
          <w:rStyle w:val="FootnoteReference"/>
          <w:rFonts w:ascii="Arial" w:hAnsi="Arial" w:cs="Arial"/>
          <w:sz w:val="28"/>
          <w:szCs w:val="28"/>
        </w:rPr>
        <w:footnoteReference w:customMarkFollows="1" w:id="4"/>
        <w:t>1</w:t>
      </w:r>
      <w:r w:rsidR="00F22F60" w:rsidRPr="00165637">
        <w:rPr>
          <w:rFonts w:ascii="Arial" w:hAnsi="Arial" w:cs="Arial"/>
          <w:sz w:val="28"/>
          <w:szCs w:val="28"/>
        </w:rPr>
        <w:t xml:space="preserve"> Failure on the p</w:t>
      </w:r>
      <w:r w:rsidR="008E1692">
        <w:rPr>
          <w:rFonts w:ascii="Arial" w:hAnsi="Arial" w:cs="Arial"/>
          <w:sz w:val="28"/>
          <w:szCs w:val="28"/>
        </w:rPr>
        <w:t>ar</w:t>
      </w:r>
      <w:r w:rsidR="00F22F60" w:rsidRPr="00165637">
        <w:rPr>
          <w:rFonts w:ascii="Arial" w:hAnsi="Arial" w:cs="Arial"/>
          <w:sz w:val="28"/>
          <w:szCs w:val="28"/>
        </w:rPr>
        <w:t xml:space="preserve">t of LRA to collect taxes in each period affects the parliamentary budgetary process and allocation of funds to various government departments and ministries. </w:t>
      </w:r>
      <w:r w:rsidR="00F22F60" w:rsidRPr="00165637">
        <w:rPr>
          <w:rStyle w:val="FootnoteReference"/>
          <w:rFonts w:ascii="Arial" w:hAnsi="Arial" w:cs="Arial"/>
          <w:sz w:val="28"/>
          <w:szCs w:val="28"/>
        </w:rPr>
        <w:footnoteReference w:customMarkFollows="1" w:id="5"/>
        <w:t>2</w:t>
      </w:r>
      <w:r w:rsidR="00F22F60" w:rsidRPr="00165637">
        <w:rPr>
          <w:rFonts w:ascii="Arial" w:hAnsi="Arial" w:cs="Arial"/>
          <w:sz w:val="28"/>
          <w:szCs w:val="28"/>
        </w:rPr>
        <w:t xml:space="preserve"> </w:t>
      </w:r>
    </w:p>
    <w:p w14:paraId="2E1102B8" w14:textId="5DA209C2" w:rsidR="00165637" w:rsidRDefault="00165637" w:rsidP="00165637">
      <w:pPr>
        <w:spacing w:line="360" w:lineRule="auto"/>
        <w:ind w:left="720" w:hanging="720"/>
        <w:jc w:val="both"/>
        <w:rPr>
          <w:rFonts w:ascii="Arial" w:hAnsi="Arial" w:cs="Arial"/>
          <w:sz w:val="28"/>
          <w:szCs w:val="28"/>
        </w:rPr>
      </w:pPr>
    </w:p>
    <w:p w14:paraId="2C5D4B2B" w14:textId="6A1ADA92" w:rsidR="00165637" w:rsidRDefault="00165637" w:rsidP="00165637">
      <w:pPr>
        <w:spacing w:line="360" w:lineRule="auto"/>
        <w:ind w:left="720" w:hanging="720"/>
        <w:jc w:val="both"/>
        <w:rPr>
          <w:rFonts w:ascii="Arial" w:hAnsi="Arial" w:cs="Arial"/>
          <w:sz w:val="28"/>
          <w:szCs w:val="28"/>
        </w:rPr>
      </w:pPr>
      <w:r>
        <w:rPr>
          <w:rFonts w:ascii="Arial" w:hAnsi="Arial" w:cs="Arial"/>
          <w:sz w:val="28"/>
          <w:szCs w:val="28"/>
        </w:rPr>
        <w:t>[23</w:t>
      </w:r>
      <w:r w:rsidR="00E027C9">
        <w:rPr>
          <w:rFonts w:ascii="Arial" w:hAnsi="Arial" w:cs="Arial"/>
          <w:sz w:val="28"/>
          <w:szCs w:val="28"/>
        </w:rPr>
        <w:t>]</w:t>
      </w:r>
      <w:r w:rsidR="00E027C9">
        <w:rPr>
          <w:rFonts w:ascii="Arial" w:hAnsi="Arial" w:cs="Arial"/>
          <w:sz w:val="28"/>
          <w:szCs w:val="28"/>
        </w:rPr>
        <w:tab/>
        <w:t xml:space="preserve">Commercial lending rates on the other hand are meant to protect consumers usury and </w:t>
      </w:r>
      <w:r w:rsidR="008E1692">
        <w:rPr>
          <w:rFonts w:ascii="Arial" w:hAnsi="Arial" w:cs="Arial"/>
          <w:sz w:val="28"/>
          <w:szCs w:val="28"/>
        </w:rPr>
        <w:t>t</w:t>
      </w:r>
      <w:r w:rsidR="00E027C9">
        <w:rPr>
          <w:rFonts w:ascii="Arial" w:hAnsi="Arial" w:cs="Arial"/>
          <w:sz w:val="28"/>
          <w:szCs w:val="28"/>
        </w:rPr>
        <w:t xml:space="preserve">o make credit cheaper and more accessible. Additional tax is a rate levied upon a </w:t>
      </w:r>
      <w:proofErr w:type="gramStart"/>
      <w:r w:rsidR="00E027C9">
        <w:rPr>
          <w:rFonts w:ascii="Arial" w:hAnsi="Arial" w:cs="Arial"/>
          <w:sz w:val="28"/>
          <w:szCs w:val="28"/>
        </w:rPr>
        <w:t>tax payer</w:t>
      </w:r>
      <w:proofErr w:type="gramEnd"/>
      <w:r w:rsidR="00E027C9">
        <w:rPr>
          <w:rFonts w:ascii="Arial" w:hAnsi="Arial" w:cs="Arial"/>
          <w:sz w:val="28"/>
          <w:szCs w:val="28"/>
        </w:rPr>
        <w:t xml:space="preserve">`s failure to comply with Section 198 of the Act. Commercial lending rates are not fixed and are regulated by the Central </w:t>
      </w:r>
      <w:r w:rsidR="008E1692">
        <w:rPr>
          <w:rFonts w:ascii="Arial" w:hAnsi="Arial" w:cs="Arial"/>
          <w:sz w:val="28"/>
          <w:szCs w:val="28"/>
        </w:rPr>
        <w:t>B</w:t>
      </w:r>
      <w:r w:rsidR="00E027C9">
        <w:rPr>
          <w:rFonts w:ascii="Arial" w:hAnsi="Arial" w:cs="Arial"/>
          <w:sz w:val="28"/>
          <w:szCs w:val="28"/>
        </w:rPr>
        <w:t>ank. They are determined by several factors, such as:</w:t>
      </w:r>
    </w:p>
    <w:p w14:paraId="21E5DB1F" w14:textId="3982DBF1" w:rsidR="00E027C9" w:rsidRDefault="00E027C9" w:rsidP="00165637">
      <w:pPr>
        <w:spacing w:line="360" w:lineRule="auto"/>
        <w:ind w:left="720" w:hanging="720"/>
        <w:jc w:val="both"/>
        <w:rPr>
          <w:rFonts w:ascii="Arial" w:hAnsi="Arial" w:cs="Arial"/>
          <w:sz w:val="28"/>
          <w:szCs w:val="28"/>
        </w:rPr>
      </w:pPr>
      <w:r>
        <w:rPr>
          <w:rFonts w:ascii="Arial" w:hAnsi="Arial" w:cs="Arial"/>
          <w:sz w:val="28"/>
          <w:szCs w:val="28"/>
        </w:rPr>
        <w:tab/>
      </w:r>
      <w:r>
        <w:rPr>
          <w:rFonts w:ascii="Arial" w:hAnsi="Arial" w:cs="Arial"/>
          <w:sz w:val="28"/>
          <w:szCs w:val="28"/>
        </w:rPr>
        <w:tab/>
        <w:t>1. Appeal case A5017/15 ‘Tax Court’ VAT 1132</w:t>
      </w:r>
    </w:p>
    <w:p w14:paraId="6C3C83EA" w14:textId="7480FD32" w:rsidR="00E027C9" w:rsidRDefault="00E027C9" w:rsidP="00165637">
      <w:pPr>
        <w:spacing w:line="360" w:lineRule="auto"/>
        <w:ind w:left="720" w:hanging="720"/>
        <w:jc w:val="both"/>
        <w:rPr>
          <w:rFonts w:ascii="Arial" w:hAnsi="Arial" w:cs="Arial"/>
          <w:sz w:val="28"/>
          <w:szCs w:val="28"/>
        </w:rPr>
      </w:pPr>
      <w:r>
        <w:rPr>
          <w:rFonts w:ascii="Arial" w:hAnsi="Arial" w:cs="Arial"/>
          <w:sz w:val="28"/>
          <w:szCs w:val="28"/>
        </w:rPr>
        <w:lastRenderedPageBreak/>
        <w:tab/>
      </w:r>
      <w:r>
        <w:rPr>
          <w:rFonts w:ascii="Arial" w:hAnsi="Arial" w:cs="Arial"/>
          <w:sz w:val="28"/>
          <w:szCs w:val="28"/>
        </w:rPr>
        <w:tab/>
        <w:t>2. Appeal case A5017/15 ‘Tax Court’ 1132</w:t>
      </w:r>
    </w:p>
    <w:p w14:paraId="137E5550" w14:textId="3DBD689B" w:rsidR="00E027C9" w:rsidRDefault="00E027C9" w:rsidP="00165637">
      <w:pPr>
        <w:spacing w:line="360" w:lineRule="auto"/>
        <w:ind w:left="720" w:hanging="720"/>
        <w:jc w:val="both"/>
        <w:rPr>
          <w:rFonts w:ascii="Arial" w:hAnsi="Arial" w:cs="Arial"/>
          <w:sz w:val="28"/>
          <w:szCs w:val="28"/>
        </w:rPr>
      </w:pPr>
      <w:r>
        <w:rPr>
          <w:rFonts w:ascii="Arial" w:hAnsi="Arial" w:cs="Arial"/>
          <w:sz w:val="28"/>
          <w:szCs w:val="28"/>
        </w:rPr>
        <w:tab/>
      </w:r>
      <w:r>
        <w:rPr>
          <w:rFonts w:ascii="Arial" w:hAnsi="Arial" w:cs="Arial"/>
          <w:sz w:val="28"/>
          <w:szCs w:val="28"/>
        </w:rPr>
        <w:tab/>
        <w:t>3. Act 89 of 1991</w:t>
      </w:r>
    </w:p>
    <w:p w14:paraId="2662E5F7" w14:textId="53711A97" w:rsidR="00E027C9" w:rsidRDefault="00E027C9" w:rsidP="00165637">
      <w:pPr>
        <w:spacing w:line="360" w:lineRule="auto"/>
        <w:ind w:left="720" w:hanging="720"/>
        <w:jc w:val="both"/>
        <w:rPr>
          <w:rFonts w:ascii="Arial" w:hAnsi="Arial" w:cs="Arial"/>
          <w:sz w:val="28"/>
          <w:szCs w:val="28"/>
        </w:rPr>
      </w:pPr>
      <w:r>
        <w:rPr>
          <w:rFonts w:ascii="Arial" w:hAnsi="Arial" w:cs="Arial"/>
          <w:sz w:val="28"/>
          <w:szCs w:val="28"/>
        </w:rPr>
        <w:t>[24]</w:t>
      </w:r>
      <w:r>
        <w:rPr>
          <w:rFonts w:ascii="Arial" w:hAnsi="Arial" w:cs="Arial"/>
          <w:sz w:val="28"/>
          <w:szCs w:val="28"/>
        </w:rPr>
        <w:tab/>
        <w:t xml:space="preserve">In the end the Court finds that the rate of 22% imposed by the Act is not excessive, considering the type of </w:t>
      </w:r>
      <w:r w:rsidR="00160461">
        <w:rPr>
          <w:rFonts w:ascii="Arial" w:hAnsi="Arial" w:cs="Arial"/>
          <w:sz w:val="28"/>
          <w:szCs w:val="28"/>
        </w:rPr>
        <w:t>m</w:t>
      </w:r>
      <w:r>
        <w:rPr>
          <w:rFonts w:ascii="Arial" w:hAnsi="Arial" w:cs="Arial"/>
          <w:sz w:val="28"/>
          <w:szCs w:val="28"/>
        </w:rPr>
        <w:t xml:space="preserve">ischief committed by the defaulting taxpayer. The failure of the Revenue Authority to collect moneys due and its effect on the government budgetary process and allocation of funds. This rate is </w:t>
      </w:r>
      <w:r w:rsidR="00160461">
        <w:rPr>
          <w:rFonts w:ascii="Arial" w:hAnsi="Arial" w:cs="Arial"/>
          <w:sz w:val="28"/>
          <w:szCs w:val="28"/>
        </w:rPr>
        <w:t>even lower</w:t>
      </w:r>
      <w:r>
        <w:rPr>
          <w:rFonts w:ascii="Arial" w:hAnsi="Arial" w:cs="Arial"/>
          <w:sz w:val="28"/>
          <w:szCs w:val="28"/>
        </w:rPr>
        <w:t xml:space="preserve"> than the rate imposed by money lenders under the law. </w:t>
      </w:r>
      <w:r w:rsidR="00D950FC">
        <w:rPr>
          <w:rFonts w:ascii="Arial" w:hAnsi="Arial" w:cs="Arial"/>
          <w:sz w:val="28"/>
          <w:szCs w:val="28"/>
        </w:rPr>
        <w:t>Therefore,</w:t>
      </w:r>
      <w:r>
        <w:rPr>
          <w:rFonts w:ascii="Arial" w:hAnsi="Arial" w:cs="Arial"/>
          <w:sz w:val="28"/>
          <w:szCs w:val="28"/>
        </w:rPr>
        <w:t xml:space="preserve"> the penalty levied at 22% is neither excessive nor unreasonable </w:t>
      </w:r>
      <w:r w:rsidR="00C847D8">
        <w:rPr>
          <w:rFonts w:ascii="Arial" w:hAnsi="Arial" w:cs="Arial"/>
          <w:sz w:val="28"/>
          <w:szCs w:val="28"/>
        </w:rPr>
        <w:t xml:space="preserve">for reasons given. </w:t>
      </w:r>
    </w:p>
    <w:p w14:paraId="0D76577E" w14:textId="206C5D36" w:rsidR="00C847D8" w:rsidRDefault="00C847D8" w:rsidP="00165637">
      <w:pPr>
        <w:spacing w:line="360" w:lineRule="auto"/>
        <w:ind w:left="720" w:hanging="720"/>
        <w:jc w:val="both"/>
        <w:rPr>
          <w:rFonts w:ascii="Arial" w:hAnsi="Arial" w:cs="Arial"/>
          <w:sz w:val="28"/>
          <w:szCs w:val="28"/>
        </w:rPr>
      </w:pPr>
      <w:r>
        <w:rPr>
          <w:rFonts w:ascii="Arial" w:hAnsi="Arial" w:cs="Arial"/>
          <w:sz w:val="28"/>
          <w:szCs w:val="28"/>
        </w:rPr>
        <w:t>[25]</w:t>
      </w:r>
      <w:r>
        <w:rPr>
          <w:rFonts w:ascii="Arial" w:hAnsi="Arial" w:cs="Arial"/>
          <w:sz w:val="28"/>
          <w:szCs w:val="28"/>
        </w:rPr>
        <w:tab/>
        <w:t xml:space="preserve">In the end, the Court makes the following order: </w:t>
      </w:r>
    </w:p>
    <w:p w14:paraId="7840A300" w14:textId="0278D2C4" w:rsidR="00C847D8" w:rsidRDefault="00C847D8" w:rsidP="00165637">
      <w:pPr>
        <w:spacing w:line="360" w:lineRule="auto"/>
        <w:ind w:left="720" w:hanging="720"/>
        <w:jc w:val="both"/>
        <w:rPr>
          <w:rFonts w:ascii="Arial" w:hAnsi="Arial" w:cs="Arial"/>
          <w:sz w:val="28"/>
          <w:szCs w:val="28"/>
        </w:rPr>
      </w:pPr>
      <w:r>
        <w:rPr>
          <w:rFonts w:ascii="Arial" w:hAnsi="Arial" w:cs="Arial"/>
          <w:sz w:val="28"/>
          <w:szCs w:val="28"/>
        </w:rPr>
        <w:tab/>
      </w:r>
      <w:r>
        <w:rPr>
          <w:rFonts w:ascii="Arial" w:hAnsi="Arial" w:cs="Arial"/>
          <w:sz w:val="28"/>
          <w:szCs w:val="28"/>
        </w:rPr>
        <w:tab/>
        <w:t>(a) The application is dismissed.</w:t>
      </w:r>
    </w:p>
    <w:p w14:paraId="703A5B7A" w14:textId="6BD875F9" w:rsidR="00C847D8" w:rsidRDefault="00C847D8" w:rsidP="00165637">
      <w:pPr>
        <w:spacing w:line="360" w:lineRule="auto"/>
        <w:ind w:left="720" w:hanging="720"/>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(b) Costs of suit are awarded to the Applicants. </w:t>
      </w:r>
    </w:p>
    <w:p w14:paraId="6A32CB23" w14:textId="39A7FD52" w:rsidR="00C847D8" w:rsidRDefault="00C847D8" w:rsidP="00165637">
      <w:pPr>
        <w:spacing w:line="360" w:lineRule="auto"/>
        <w:ind w:left="720" w:hanging="720"/>
        <w:jc w:val="both"/>
        <w:rPr>
          <w:rFonts w:ascii="Arial" w:hAnsi="Arial" w:cs="Arial"/>
          <w:sz w:val="28"/>
          <w:szCs w:val="28"/>
        </w:rPr>
      </w:pPr>
    </w:p>
    <w:p w14:paraId="7CADF313" w14:textId="2A0C5B52" w:rsidR="00C847D8" w:rsidRDefault="00C847D8" w:rsidP="00165637">
      <w:pPr>
        <w:spacing w:line="360" w:lineRule="auto"/>
        <w:ind w:left="720" w:hanging="720"/>
        <w:jc w:val="both"/>
        <w:rPr>
          <w:rFonts w:ascii="Arial" w:hAnsi="Arial" w:cs="Arial"/>
          <w:sz w:val="28"/>
          <w:szCs w:val="28"/>
        </w:rPr>
      </w:pPr>
      <w:r>
        <w:rPr>
          <w:rFonts w:ascii="Arial" w:hAnsi="Arial" w:cs="Arial"/>
          <w:sz w:val="28"/>
          <w:szCs w:val="28"/>
        </w:rPr>
        <w:tab/>
        <w:t>___________________</w:t>
      </w:r>
    </w:p>
    <w:p w14:paraId="37181196" w14:textId="588D6BB5" w:rsidR="00C847D8" w:rsidRPr="00C847D8" w:rsidRDefault="00C847D8" w:rsidP="00C847D8">
      <w:pPr>
        <w:spacing w:line="360" w:lineRule="auto"/>
        <w:jc w:val="both"/>
        <w:rPr>
          <w:rFonts w:ascii="Arial" w:hAnsi="Arial" w:cs="Arial"/>
          <w:b/>
          <w:bCs/>
          <w:sz w:val="28"/>
          <w:szCs w:val="28"/>
        </w:rPr>
      </w:pPr>
      <w:r>
        <w:rPr>
          <w:rFonts w:ascii="Arial" w:hAnsi="Arial" w:cs="Arial"/>
          <w:sz w:val="28"/>
          <w:szCs w:val="28"/>
        </w:rPr>
        <w:tab/>
      </w:r>
      <w:r w:rsidRPr="00C847D8">
        <w:rPr>
          <w:rFonts w:ascii="Arial" w:hAnsi="Arial" w:cs="Arial"/>
          <w:b/>
          <w:bCs/>
          <w:sz w:val="28"/>
          <w:szCs w:val="28"/>
        </w:rPr>
        <w:t>T. E. MONAPATHI</w:t>
      </w:r>
    </w:p>
    <w:p w14:paraId="4469F31E" w14:textId="28AA0073" w:rsidR="00C847D8" w:rsidRDefault="00C847D8" w:rsidP="00C847D8">
      <w:pPr>
        <w:spacing w:line="360" w:lineRule="auto"/>
        <w:jc w:val="both"/>
        <w:rPr>
          <w:rFonts w:ascii="Arial" w:hAnsi="Arial" w:cs="Arial"/>
          <w:b/>
          <w:bCs/>
          <w:sz w:val="28"/>
          <w:szCs w:val="28"/>
        </w:rPr>
      </w:pPr>
      <w:r w:rsidRPr="00C847D8">
        <w:rPr>
          <w:rFonts w:ascii="Arial" w:hAnsi="Arial" w:cs="Arial"/>
          <w:b/>
          <w:bCs/>
          <w:sz w:val="28"/>
          <w:szCs w:val="28"/>
        </w:rPr>
        <w:tab/>
      </w:r>
      <w:r w:rsidRPr="00C847D8">
        <w:rPr>
          <w:rFonts w:ascii="Arial" w:hAnsi="Arial" w:cs="Arial"/>
          <w:b/>
          <w:bCs/>
          <w:sz w:val="28"/>
          <w:szCs w:val="28"/>
        </w:rPr>
        <w:tab/>
        <w:t>JUDGE</w:t>
      </w:r>
    </w:p>
    <w:p w14:paraId="1CE01731" w14:textId="5BE67D5A" w:rsidR="00C847D8" w:rsidRDefault="00C847D8" w:rsidP="00C847D8">
      <w:pPr>
        <w:spacing w:line="360" w:lineRule="auto"/>
        <w:jc w:val="both"/>
        <w:rPr>
          <w:rFonts w:ascii="Arial" w:hAnsi="Arial" w:cs="Arial"/>
          <w:b/>
          <w:bCs/>
          <w:sz w:val="28"/>
          <w:szCs w:val="28"/>
        </w:rPr>
      </w:pPr>
    </w:p>
    <w:p w14:paraId="3463DBA2" w14:textId="6DF0E6FA" w:rsidR="00C847D8" w:rsidRDefault="00C847D8" w:rsidP="00C847D8">
      <w:pPr>
        <w:spacing w:line="360" w:lineRule="auto"/>
        <w:jc w:val="both"/>
        <w:rPr>
          <w:rFonts w:ascii="Arial" w:hAnsi="Arial" w:cs="Arial"/>
          <w:b/>
          <w:bCs/>
          <w:sz w:val="28"/>
          <w:szCs w:val="28"/>
        </w:rPr>
      </w:pPr>
      <w:r>
        <w:rPr>
          <w:rFonts w:ascii="Arial" w:hAnsi="Arial" w:cs="Arial"/>
          <w:b/>
          <w:bCs/>
          <w:sz w:val="28"/>
          <w:szCs w:val="28"/>
        </w:rPr>
        <w:tab/>
        <w:t>FOR APPLICANTS</w:t>
      </w:r>
      <w:r w:rsidR="00160461">
        <w:rPr>
          <w:rFonts w:ascii="Arial" w:hAnsi="Arial" w:cs="Arial"/>
          <w:b/>
          <w:bCs/>
          <w:sz w:val="28"/>
          <w:szCs w:val="28"/>
        </w:rPr>
        <w:tab/>
      </w:r>
      <w:r>
        <w:rPr>
          <w:rFonts w:ascii="Arial" w:hAnsi="Arial" w:cs="Arial"/>
          <w:b/>
          <w:bCs/>
          <w:sz w:val="28"/>
          <w:szCs w:val="28"/>
        </w:rPr>
        <w:t>:</w:t>
      </w:r>
      <w:r w:rsidR="00160461">
        <w:rPr>
          <w:rFonts w:ascii="Arial" w:hAnsi="Arial" w:cs="Arial"/>
          <w:b/>
          <w:bCs/>
          <w:sz w:val="28"/>
          <w:szCs w:val="28"/>
        </w:rPr>
        <w:tab/>
        <w:t>ADV. SAKOANE</w:t>
      </w:r>
    </w:p>
    <w:p w14:paraId="67767E95" w14:textId="2C019214" w:rsidR="00B50629" w:rsidRPr="005A7F97" w:rsidRDefault="00C847D8" w:rsidP="005A7F97">
      <w:pPr>
        <w:spacing w:line="360" w:lineRule="auto"/>
        <w:jc w:val="both"/>
        <w:rPr>
          <w:rFonts w:ascii="Arial" w:hAnsi="Arial" w:cs="Arial"/>
          <w:b/>
          <w:bCs/>
          <w:sz w:val="28"/>
          <w:szCs w:val="28"/>
        </w:rPr>
      </w:pPr>
      <w:r>
        <w:rPr>
          <w:rFonts w:ascii="Arial" w:hAnsi="Arial" w:cs="Arial"/>
          <w:b/>
          <w:bCs/>
          <w:sz w:val="28"/>
          <w:szCs w:val="28"/>
        </w:rPr>
        <w:tab/>
        <w:t>FOR RESPONDENTS</w:t>
      </w:r>
      <w:r w:rsidR="00160461">
        <w:rPr>
          <w:rFonts w:ascii="Arial" w:hAnsi="Arial" w:cs="Arial"/>
          <w:b/>
          <w:bCs/>
          <w:sz w:val="28"/>
          <w:szCs w:val="28"/>
        </w:rPr>
        <w:tab/>
      </w:r>
      <w:r>
        <w:rPr>
          <w:rFonts w:ascii="Arial" w:hAnsi="Arial" w:cs="Arial"/>
          <w:b/>
          <w:bCs/>
          <w:sz w:val="28"/>
          <w:szCs w:val="28"/>
        </w:rPr>
        <w:t>:</w:t>
      </w:r>
      <w:bookmarkStart w:id="1" w:name="_Hlk86309038"/>
      <w:bookmarkEnd w:id="1"/>
      <w:r w:rsidR="00160461">
        <w:rPr>
          <w:rFonts w:ascii="Arial" w:hAnsi="Arial" w:cs="Arial"/>
          <w:b/>
          <w:bCs/>
          <w:sz w:val="28"/>
          <w:szCs w:val="28"/>
        </w:rPr>
        <w:tab/>
        <w:t xml:space="preserve">ADV. MOFILIKOANE </w:t>
      </w:r>
    </w:p>
    <w:sectPr w:rsidR="00B50629" w:rsidRPr="005A7F97" w:rsidSect="00961F13">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E6217" w14:textId="77777777" w:rsidR="005351F7" w:rsidRDefault="005351F7" w:rsidP="0050216A">
      <w:pPr>
        <w:spacing w:after="0" w:line="240" w:lineRule="auto"/>
      </w:pPr>
      <w:r>
        <w:separator/>
      </w:r>
    </w:p>
  </w:endnote>
  <w:endnote w:type="continuationSeparator" w:id="0">
    <w:p w14:paraId="7437A4E0" w14:textId="77777777" w:rsidR="005351F7" w:rsidRDefault="005351F7" w:rsidP="0050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248803"/>
      <w:docPartObj>
        <w:docPartGallery w:val="Page Numbers (Bottom of Page)"/>
        <w:docPartUnique/>
      </w:docPartObj>
    </w:sdtPr>
    <w:sdtEndPr>
      <w:rPr>
        <w:noProof/>
      </w:rPr>
    </w:sdtEndPr>
    <w:sdtContent>
      <w:p w14:paraId="0AB36AE0" w14:textId="4A65742E" w:rsidR="00961F13" w:rsidRDefault="00961F13">
        <w:pPr>
          <w:pStyle w:val="Footer"/>
        </w:pPr>
        <w:r>
          <w:fldChar w:fldCharType="begin"/>
        </w:r>
        <w:r>
          <w:instrText xml:space="preserve"> PAGE   \* MERGEFORMAT </w:instrText>
        </w:r>
        <w:r>
          <w:fldChar w:fldCharType="separate"/>
        </w:r>
        <w:r>
          <w:rPr>
            <w:noProof/>
          </w:rPr>
          <w:t>2</w:t>
        </w:r>
        <w:r>
          <w:rPr>
            <w:noProof/>
          </w:rPr>
          <w:fldChar w:fldCharType="end"/>
        </w:r>
      </w:p>
    </w:sdtContent>
  </w:sdt>
  <w:p w14:paraId="7D30EF5C" w14:textId="77777777" w:rsidR="00961F13" w:rsidRDefault="00961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BCD15" w14:textId="77777777" w:rsidR="005351F7" w:rsidRDefault="005351F7" w:rsidP="0050216A">
      <w:pPr>
        <w:spacing w:after="0" w:line="240" w:lineRule="auto"/>
      </w:pPr>
      <w:r>
        <w:separator/>
      </w:r>
    </w:p>
  </w:footnote>
  <w:footnote w:type="continuationSeparator" w:id="0">
    <w:p w14:paraId="1AEEC7BA" w14:textId="77777777" w:rsidR="005351F7" w:rsidRDefault="005351F7" w:rsidP="0050216A">
      <w:pPr>
        <w:spacing w:after="0" w:line="240" w:lineRule="auto"/>
      </w:pPr>
      <w:r>
        <w:continuationSeparator/>
      </w:r>
    </w:p>
  </w:footnote>
  <w:footnote w:id="1">
    <w:p w14:paraId="30F60E38" w14:textId="3245335B" w:rsidR="00E543EA" w:rsidRPr="00E543EA" w:rsidRDefault="00E543EA">
      <w:pPr>
        <w:pStyle w:val="FootnoteText"/>
        <w:rPr>
          <w:lang w:val="en-GB"/>
        </w:rPr>
      </w:pPr>
      <w:r>
        <w:rPr>
          <w:rStyle w:val="FootnoteReference"/>
        </w:rPr>
        <w:footnoteRef/>
      </w:r>
      <w:r>
        <w:t xml:space="preserve"> (CIA (CIV) 61 of 2015 [2016] LSCA 16 (29 April 2016)</w:t>
      </w:r>
    </w:p>
  </w:footnote>
  <w:footnote w:id="2">
    <w:p w14:paraId="40063331" w14:textId="09B04838" w:rsidR="00E543EA" w:rsidRPr="00E543EA" w:rsidRDefault="00E543EA">
      <w:pPr>
        <w:pStyle w:val="FootnoteText"/>
        <w:rPr>
          <w:lang w:val="en-GB"/>
        </w:rPr>
      </w:pPr>
      <w:r>
        <w:rPr>
          <w:rStyle w:val="FootnoteReference"/>
        </w:rPr>
        <w:footnoteRef/>
      </w:r>
      <w:r>
        <w:t xml:space="preserve"> LAC (2000 – 2004) 522</w:t>
      </w:r>
    </w:p>
  </w:footnote>
  <w:footnote w:id="3">
    <w:p w14:paraId="66D2EF7C" w14:textId="1E5DED31" w:rsidR="00E543EA" w:rsidRPr="00E543EA" w:rsidRDefault="00E543EA">
      <w:pPr>
        <w:pStyle w:val="FootnoteText"/>
        <w:rPr>
          <w:lang w:val="en-GB"/>
        </w:rPr>
      </w:pPr>
      <w:r>
        <w:rPr>
          <w:rStyle w:val="FootnoteReference"/>
        </w:rPr>
        <w:footnoteRef/>
      </w:r>
      <w:r>
        <w:t xml:space="preserve"> LAC (2000 – 2004) 62.</w:t>
      </w:r>
    </w:p>
  </w:footnote>
  <w:footnote w:id="4">
    <w:p w14:paraId="7AA6AE3B" w14:textId="10B6E96D" w:rsidR="00F22F60" w:rsidRPr="00165637" w:rsidRDefault="00F22F60" w:rsidP="00165637">
      <w:pPr>
        <w:pStyle w:val="FootnoteText"/>
      </w:pPr>
      <w:r>
        <w:rPr>
          <w:rStyle w:val="FootnoteReference"/>
        </w:rPr>
        <w:t>1</w:t>
      </w:r>
      <w:r>
        <w:t xml:space="preserve"> </w:t>
      </w:r>
      <w:r w:rsidR="00165637">
        <w:t>ABC Pty Ltd v Commissioner for SARS case NO: IT 14247 at para 43</w:t>
      </w:r>
    </w:p>
  </w:footnote>
  <w:footnote w:id="5">
    <w:p w14:paraId="65542A7F" w14:textId="6BE2AA60" w:rsidR="00F22F60" w:rsidRPr="00F22F60" w:rsidRDefault="00F22F60">
      <w:pPr>
        <w:pStyle w:val="FootnoteText"/>
        <w:rPr>
          <w:lang w:val="en-GB"/>
        </w:rPr>
      </w:pPr>
      <w:r>
        <w:rPr>
          <w:rStyle w:val="FootnoteReference"/>
        </w:rPr>
        <w:t>2</w:t>
      </w:r>
      <w:r>
        <w:t xml:space="preserve"> </w:t>
      </w:r>
      <w:r w:rsidR="00165637" w:rsidRPr="00165637">
        <w:t xml:space="preserve">See above a reason that additional tax can be imposed at any rate. In Commissioner for the South African </w:t>
      </w:r>
      <w:r w:rsidR="00165637">
        <w:t>Revenue</w:t>
      </w:r>
      <w:r w:rsidR="00165637" w:rsidRPr="00165637">
        <w:t xml:space="preserve"> Services v </w:t>
      </w:r>
      <w:proofErr w:type="spellStart"/>
      <w:r w:rsidR="00165637" w:rsidRPr="00165637">
        <w:t>Afriguard</w:t>
      </w:r>
      <w:proofErr w:type="spellEnd"/>
      <w:r w:rsidR="00165637" w:rsidRPr="00165637">
        <w:t xml:space="preserve"> additional tax rate was imposed at 200% against Respondent in terms of Section 60 (1) of the Value Added Tax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B278A"/>
    <w:multiLevelType w:val="hybridMultilevel"/>
    <w:tmpl w:val="AC20C3DE"/>
    <w:lvl w:ilvl="0" w:tplc="20CEF222">
      <w:start w:val="1"/>
      <w:numFmt w:val="decimal"/>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 w15:restartNumberingAfterBreak="0">
    <w:nsid w:val="23E3697C"/>
    <w:multiLevelType w:val="hybridMultilevel"/>
    <w:tmpl w:val="3536BD0C"/>
    <w:lvl w:ilvl="0" w:tplc="39C0F7C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30531453"/>
    <w:multiLevelType w:val="hybridMultilevel"/>
    <w:tmpl w:val="D368C55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E0C12DF"/>
    <w:multiLevelType w:val="hybridMultilevel"/>
    <w:tmpl w:val="8EBC6B12"/>
    <w:lvl w:ilvl="0" w:tplc="9D4CEF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F5"/>
    <w:rsid w:val="0003483D"/>
    <w:rsid w:val="00055C0F"/>
    <w:rsid w:val="0007718F"/>
    <w:rsid w:val="000C0D02"/>
    <w:rsid w:val="00155788"/>
    <w:rsid w:val="00160461"/>
    <w:rsid w:val="00165637"/>
    <w:rsid w:val="00175670"/>
    <w:rsid w:val="001E43E4"/>
    <w:rsid w:val="0022487A"/>
    <w:rsid w:val="00362992"/>
    <w:rsid w:val="003A3134"/>
    <w:rsid w:val="003B3F79"/>
    <w:rsid w:val="003F243B"/>
    <w:rsid w:val="004746E5"/>
    <w:rsid w:val="004C155B"/>
    <w:rsid w:val="0050216A"/>
    <w:rsid w:val="005351F7"/>
    <w:rsid w:val="005A7F97"/>
    <w:rsid w:val="00684D9A"/>
    <w:rsid w:val="007052C5"/>
    <w:rsid w:val="00717D76"/>
    <w:rsid w:val="00767B47"/>
    <w:rsid w:val="007B1E48"/>
    <w:rsid w:val="00863C4A"/>
    <w:rsid w:val="008E1692"/>
    <w:rsid w:val="00932FF6"/>
    <w:rsid w:val="00951F50"/>
    <w:rsid w:val="009545F2"/>
    <w:rsid w:val="00961F13"/>
    <w:rsid w:val="009A4D0A"/>
    <w:rsid w:val="009A7F9A"/>
    <w:rsid w:val="009B288F"/>
    <w:rsid w:val="00A107F5"/>
    <w:rsid w:val="00A12DC7"/>
    <w:rsid w:val="00A44416"/>
    <w:rsid w:val="00B50629"/>
    <w:rsid w:val="00B66006"/>
    <w:rsid w:val="00B67DBD"/>
    <w:rsid w:val="00C847D8"/>
    <w:rsid w:val="00CB613D"/>
    <w:rsid w:val="00CC3C55"/>
    <w:rsid w:val="00D950FC"/>
    <w:rsid w:val="00E027C9"/>
    <w:rsid w:val="00E37439"/>
    <w:rsid w:val="00E543EA"/>
    <w:rsid w:val="00E77919"/>
    <w:rsid w:val="00E854DF"/>
    <w:rsid w:val="00EA1B28"/>
    <w:rsid w:val="00EA25A7"/>
    <w:rsid w:val="00EB4937"/>
    <w:rsid w:val="00ED696A"/>
    <w:rsid w:val="00F22F60"/>
    <w:rsid w:val="00F45D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A97E"/>
  <w15:chartTrackingRefBased/>
  <w15:docId w15:val="{547D3393-9475-4A10-8C2C-7976AD24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28"/>
    <w:pPr>
      <w:ind w:left="720"/>
      <w:contextualSpacing/>
    </w:pPr>
  </w:style>
  <w:style w:type="paragraph" w:styleId="FootnoteText">
    <w:name w:val="footnote text"/>
    <w:basedOn w:val="Normal"/>
    <w:link w:val="FootnoteTextChar"/>
    <w:uiPriority w:val="99"/>
    <w:semiHidden/>
    <w:unhideWhenUsed/>
    <w:rsid w:val="005021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16A"/>
    <w:rPr>
      <w:sz w:val="20"/>
      <w:szCs w:val="20"/>
    </w:rPr>
  </w:style>
  <w:style w:type="character" w:styleId="FootnoteReference">
    <w:name w:val="footnote reference"/>
    <w:basedOn w:val="DefaultParagraphFont"/>
    <w:uiPriority w:val="99"/>
    <w:semiHidden/>
    <w:unhideWhenUsed/>
    <w:rsid w:val="0050216A"/>
    <w:rPr>
      <w:vertAlign w:val="superscript"/>
    </w:rPr>
  </w:style>
  <w:style w:type="paragraph" w:styleId="Header">
    <w:name w:val="header"/>
    <w:basedOn w:val="Normal"/>
    <w:link w:val="HeaderChar"/>
    <w:uiPriority w:val="99"/>
    <w:unhideWhenUsed/>
    <w:rsid w:val="0096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F13"/>
  </w:style>
  <w:style w:type="paragraph" w:styleId="Footer">
    <w:name w:val="footer"/>
    <w:basedOn w:val="Normal"/>
    <w:link w:val="FooterChar"/>
    <w:uiPriority w:val="99"/>
    <w:unhideWhenUsed/>
    <w:rsid w:val="0096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A21D1-59FE-4EB0-A854-FE2512BC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10</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Tsele (T) Molorane</dc:creator>
  <cp:keywords/>
  <dc:description/>
  <cp:lastModifiedBy>Tsele (T) Molorane</cp:lastModifiedBy>
  <cp:revision>25</cp:revision>
  <cp:lastPrinted>2021-10-28T13:46:00Z</cp:lastPrinted>
  <dcterms:created xsi:type="dcterms:W3CDTF">2021-08-18T07:59:00Z</dcterms:created>
  <dcterms:modified xsi:type="dcterms:W3CDTF">2022-04-07T09:43:00Z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2021-08-18T07:59:48Z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8c4d8ee6-5363-42ce-8f8e-e978a3c6ad5d</vt:lpwstr>
  </property>
  <property fmtid="{D5CDD505-2E9C-101B-9397-08002B2CF9AE}" pid="8" name="MSIP_Label_9f914f9e-4c1b-4005-a7de-34e254df930c_ContentBits">
    <vt:lpwstr>0</vt:lpwstr>
  </property>
</Properties>
</file>