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0F2F" w14:textId="77777777" w:rsidR="00132C62" w:rsidRDefault="00132C62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89B49B9" w14:textId="77777777" w:rsidR="00132C62" w:rsidRDefault="00132C62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1D4F8BF2" w14:textId="77777777" w:rsidR="00132C62" w:rsidRDefault="00132C62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62383A7" w14:textId="77777777" w:rsidR="00132C62" w:rsidRDefault="00132C62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AB36AD2" w14:textId="77777777" w:rsidR="00132C62" w:rsidRDefault="00132C62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AAC8A64" w14:textId="77777777" w:rsidR="00132C62" w:rsidRDefault="00132C62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2EEAF204" w14:textId="2015AD78" w:rsidR="00905F40" w:rsidRPr="004F6330" w:rsidRDefault="0036344C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F6330">
        <w:rPr>
          <w:rFonts w:ascii="Times New Roman" w:hAnsi="Times New Roman" w:cs="Times New Roman"/>
          <w:b/>
          <w:sz w:val="32"/>
          <w:szCs w:val="32"/>
          <w:lang w:val="en-GB"/>
        </w:rPr>
        <w:t xml:space="preserve">IN THE HIGH COURT OF LESOTHO </w:t>
      </w:r>
    </w:p>
    <w:p w14:paraId="06535BA6" w14:textId="79BD30F4" w:rsidR="009D2358" w:rsidRDefault="0036344C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6344C">
        <w:rPr>
          <w:rFonts w:ascii="Times New Roman" w:hAnsi="Times New Roman" w:cs="Times New Roman"/>
          <w:b/>
          <w:sz w:val="28"/>
          <w:szCs w:val="28"/>
          <w:lang w:val="en-GB"/>
        </w:rPr>
        <w:t>(COMMERCIAL DIVISION)</w:t>
      </w:r>
    </w:p>
    <w:p w14:paraId="6A0BF753" w14:textId="6CFDDDF5" w:rsidR="00132C62" w:rsidRDefault="00132C62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238EC80" w14:textId="77777777" w:rsidR="0083013B" w:rsidRDefault="0083013B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A1A265B" w14:textId="77777777" w:rsidR="00132C62" w:rsidRDefault="00132C62" w:rsidP="004F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6EF9AC3" w14:textId="48460834" w:rsidR="0036344C" w:rsidRDefault="0036344C" w:rsidP="0036344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HELD AT MASERU                                                               CCT/0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/22</w:t>
      </w:r>
    </w:p>
    <w:p w14:paraId="41B57FB1" w14:textId="77777777" w:rsidR="00132C62" w:rsidRPr="0036344C" w:rsidRDefault="00132C62" w:rsidP="0036344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111122A" w14:textId="77777777" w:rsidR="0036344C" w:rsidRDefault="0036344C" w:rsidP="0036344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the matter between –</w:t>
      </w:r>
    </w:p>
    <w:p w14:paraId="36F2C19B" w14:textId="77777777" w:rsidR="0036344C" w:rsidRDefault="0036344C" w:rsidP="00DF1615">
      <w:pPr>
        <w:pStyle w:val="NoSpacing"/>
        <w:rPr>
          <w:lang w:val="en-GB"/>
        </w:rPr>
      </w:pPr>
    </w:p>
    <w:p w14:paraId="19FA23F6" w14:textId="69A2BF9D" w:rsidR="0036344C" w:rsidRDefault="0082179A" w:rsidP="0036344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MASERU ENTERTAINMENT COMPANY</w:t>
      </w:r>
      <w:r w:rsidR="0036344C" w:rsidRPr="006511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APPLICANT</w:t>
      </w:r>
    </w:p>
    <w:p w14:paraId="239DD24D" w14:textId="77777777" w:rsidR="00DF1615" w:rsidRPr="00DF1615" w:rsidRDefault="00DF1615" w:rsidP="00DF1615">
      <w:pPr>
        <w:pStyle w:val="NoSpacing"/>
      </w:pPr>
    </w:p>
    <w:p w14:paraId="2C42673D" w14:textId="7899911C" w:rsidR="00651108" w:rsidRDefault="00132C62" w:rsidP="0036344C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132C62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="00651108" w:rsidRPr="00132C62">
        <w:rPr>
          <w:rFonts w:ascii="Times New Roman" w:hAnsi="Times New Roman" w:cs="Times New Roman"/>
          <w:bCs/>
          <w:sz w:val="28"/>
          <w:szCs w:val="28"/>
          <w:lang w:val="en-GB"/>
        </w:rPr>
        <w:t>nd</w:t>
      </w:r>
    </w:p>
    <w:p w14:paraId="3660E7C4" w14:textId="77777777" w:rsidR="00DF1615" w:rsidRPr="00132C62" w:rsidRDefault="00DF1615" w:rsidP="00DF1615">
      <w:pPr>
        <w:pStyle w:val="NoSpacing"/>
        <w:rPr>
          <w:lang w:val="en-GB"/>
        </w:rPr>
      </w:pPr>
    </w:p>
    <w:p w14:paraId="0A7F64F5" w14:textId="44BB7629" w:rsidR="00651108" w:rsidRDefault="0082179A" w:rsidP="0036344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TITAN LENS PHOTOGRAPHY</w:t>
      </w:r>
      <w:r w:rsidR="00651108" w:rsidRPr="006511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</w:t>
      </w:r>
      <w:r w:rsidR="00651108" w:rsidRPr="006511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RESPONDENT</w:t>
      </w:r>
    </w:p>
    <w:p w14:paraId="66B0E2BA" w14:textId="77777777" w:rsidR="00A20453" w:rsidRPr="00651108" w:rsidRDefault="00A20453" w:rsidP="00A20453">
      <w:pPr>
        <w:pStyle w:val="NoSpacing"/>
        <w:rPr>
          <w:lang w:val="en-GB"/>
        </w:rPr>
      </w:pPr>
    </w:p>
    <w:p w14:paraId="5450BDA8" w14:textId="77777777" w:rsidR="00651108" w:rsidRDefault="00651108" w:rsidP="00B22C09">
      <w:pPr>
        <w:pStyle w:val="NoSpacing"/>
        <w:rPr>
          <w:lang w:val="en-GB"/>
        </w:rPr>
      </w:pPr>
    </w:p>
    <w:p w14:paraId="65316DAB" w14:textId="21EB0D54" w:rsidR="00B22C09" w:rsidRDefault="00B22C09" w:rsidP="00B22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70B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Neutral</w:t>
      </w:r>
      <w:r w:rsidR="00883DE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Pr="00470B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Citation</w:t>
      </w:r>
      <w:r w:rsidRPr="00470B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B71BD2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Maseru Entertainment Company </w:t>
      </w:r>
      <w:r w:rsidRPr="00470B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v </w:t>
      </w:r>
      <w:r w:rsidR="00B71BD2">
        <w:rPr>
          <w:rFonts w:ascii="Times New Roman" w:hAnsi="Times New Roman" w:cs="Times New Roman"/>
          <w:b/>
          <w:sz w:val="28"/>
          <w:szCs w:val="28"/>
          <w:lang w:val="en-GB"/>
        </w:rPr>
        <w:t>Titan Lens Photography</w:t>
      </w:r>
      <w:r w:rsidRPr="00470B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[2022] LSH</w:t>
      </w:r>
      <w:r w:rsidR="00C93154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470B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</w:t>
      </w:r>
      <w:r w:rsidR="00B71BD2">
        <w:rPr>
          <w:rFonts w:ascii="Times New Roman" w:hAnsi="Times New Roman" w:cs="Times New Roman"/>
          <w:b/>
          <w:sz w:val="28"/>
          <w:szCs w:val="28"/>
          <w:lang w:val="en-GB"/>
        </w:rPr>
        <w:t>79</w:t>
      </w:r>
      <w:r w:rsidRPr="00470B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</w:t>
      </w:r>
      <w:r w:rsidR="00B71BD2">
        <w:rPr>
          <w:rFonts w:ascii="Times New Roman" w:hAnsi="Times New Roman" w:cs="Times New Roman"/>
          <w:b/>
          <w:sz w:val="28"/>
          <w:szCs w:val="28"/>
          <w:lang w:val="en-GB"/>
        </w:rPr>
        <w:t>om</w:t>
      </w:r>
      <w:r w:rsidR="00C93154">
        <w:rPr>
          <w:rFonts w:ascii="Times New Roman" w:hAnsi="Times New Roman" w:cs="Times New Roman"/>
          <w:b/>
          <w:sz w:val="28"/>
          <w:szCs w:val="28"/>
          <w:lang w:val="en-GB"/>
        </w:rPr>
        <w:t>m.</w:t>
      </w:r>
      <w:bookmarkStart w:id="0" w:name="_GoBack"/>
      <w:bookmarkEnd w:id="0"/>
      <w:r w:rsidRPr="00470B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 w:rsidR="00B71BD2">
        <w:rPr>
          <w:rFonts w:ascii="Times New Roman" w:hAnsi="Times New Roman" w:cs="Times New Roman"/>
          <w:b/>
          <w:sz w:val="28"/>
          <w:szCs w:val="28"/>
          <w:lang w:val="en-GB"/>
        </w:rPr>
        <w:t>28</w:t>
      </w:r>
      <w:r w:rsidR="0012078D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="0012078D">
        <w:rPr>
          <w:rFonts w:ascii="Times New Roman" w:hAnsi="Times New Roman" w:cs="Times New Roman"/>
          <w:b/>
          <w:sz w:val="28"/>
          <w:szCs w:val="28"/>
          <w:lang w:val="en-GB"/>
        </w:rPr>
        <w:t>July</w:t>
      </w:r>
      <w:r w:rsidRPr="00470B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2022)</w:t>
      </w:r>
    </w:p>
    <w:p w14:paraId="111744EA" w14:textId="77777777" w:rsidR="00A20453" w:rsidRPr="00470BDE" w:rsidRDefault="00A20453" w:rsidP="00B22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4492C8D" w14:textId="77777777" w:rsidR="00B22C09" w:rsidRPr="00900C97" w:rsidRDefault="00B22C09" w:rsidP="00B22C09">
      <w:pPr>
        <w:pStyle w:val="NoSpacing"/>
        <w:rPr>
          <w:bCs/>
          <w:lang w:val="en-GB"/>
        </w:rPr>
      </w:pPr>
    </w:p>
    <w:p w14:paraId="2FAA99C6" w14:textId="77777777" w:rsidR="00DA1F24" w:rsidRDefault="00DA1F24" w:rsidP="00B22C09">
      <w:pPr>
        <w:pStyle w:val="NoSpacing"/>
        <w:rPr>
          <w:lang w:val="en-GB"/>
        </w:rPr>
      </w:pPr>
    </w:p>
    <w:p w14:paraId="3EDA0D22" w14:textId="77777777" w:rsidR="00651108" w:rsidRDefault="00817FFC" w:rsidP="0036344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CORAM: </w:t>
      </w:r>
      <w:r w:rsidR="00DA1F2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</w:t>
      </w:r>
      <w:r w:rsidR="0067248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DA1F2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</w:t>
      </w:r>
      <w:r w:rsidR="0067248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DA1F2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KOPO, J</w:t>
      </w:r>
    </w:p>
    <w:p w14:paraId="4E36A0C6" w14:textId="77777777" w:rsidR="00DA1F24" w:rsidRDefault="00DA1F24" w:rsidP="0036344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HEARD:   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>27</w:t>
      </w:r>
      <w:r w:rsidR="0082179A" w:rsidRPr="0082179A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JULY 2022</w:t>
      </w:r>
    </w:p>
    <w:p w14:paraId="20C2BA73" w14:textId="77777777" w:rsidR="00905F40" w:rsidRDefault="00905F40" w:rsidP="0036344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RULING: 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>28</w:t>
      </w:r>
      <w:r w:rsidR="0082179A" w:rsidRPr="0082179A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JU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>LY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2022</w:t>
      </w:r>
    </w:p>
    <w:p w14:paraId="6977A48B" w14:textId="77777777" w:rsidR="002E289E" w:rsidRDefault="002E289E" w:rsidP="00DA1F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2DF04F60" w14:textId="77777777" w:rsidR="002E289E" w:rsidRDefault="002E289E" w:rsidP="00DA1F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7721D869" w14:textId="77777777" w:rsidR="002E289E" w:rsidRDefault="002E289E" w:rsidP="00DA1F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08444DBA" w14:textId="4E2440DF" w:rsidR="00DA1F24" w:rsidRPr="006C392C" w:rsidRDefault="00DA1F24" w:rsidP="00DA1F2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GB"/>
        </w:rPr>
      </w:pPr>
      <w:r w:rsidRPr="006C392C">
        <w:rPr>
          <w:rFonts w:ascii="Times New Roman" w:hAnsi="Times New Roman" w:cs="Times New Roman"/>
          <w:b/>
          <w:i/>
          <w:sz w:val="32"/>
          <w:szCs w:val="32"/>
          <w:lang w:val="en-GB"/>
        </w:rPr>
        <w:lastRenderedPageBreak/>
        <w:t>SUMMARY</w:t>
      </w:r>
    </w:p>
    <w:p w14:paraId="46FD014F" w14:textId="77777777" w:rsidR="006C392C" w:rsidRDefault="006C392C" w:rsidP="00DA1F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3F668873" w14:textId="18586AEB" w:rsidR="00DA1F24" w:rsidRDefault="0082179A" w:rsidP="006946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Procedure –</w:t>
      </w:r>
      <w:r w:rsidR="00511BB7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Rule 30 (1)- Is filing a plea after filing an application under it taking further step?</w:t>
      </w:r>
      <w:r w:rsidR="00511BB7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- Urgency</w:t>
      </w:r>
      <w:r w:rsidR="00511BB7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- what constitute</w:t>
      </w:r>
    </w:p>
    <w:p w14:paraId="5B8D803D" w14:textId="77777777" w:rsidR="00A57606" w:rsidRPr="006C392C" w:rsidRDefault="00A57606" w:rsidP="006C392C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en-GB"/>
        </w:rPr>
      </w:pPr>
    </w:p>
    <w:p w14:paraId="5E7D838B" w14:textId="37BAEC9B" w:rsidR="00694631" w:rsidRDefault="006C392C" w:rsidP="006C392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6C392C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ANNOTATION</w:t>
      </w:r>
    </w:p>
    <w:p w14:paraId="1913CCC7" w14:textId="77777777" w:rsidR="006C392C" w:rsidRPr="006C392C" w:rsidRDefault="006C392C" w:rsidP="006C392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</w:p>
    <w:p w14:paraId="102C4E1B" w14:textId="77777777" w:rsidR="00C36EA1" w:rsidRPr="006C392C" w:rsidRDefault="00C36EA1" w:rsidP="006946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6C392C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Books</w:t>
      </w:r>
    </w:p>
    <w:p w14:paraId="0EBD16C9" w14:textId="27A3B94C" w:rsidR="00C36EA1" w:rsidRDefault="00896F39" w:rsidP="00694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Herbstein &amp; Van Winsen. </w:t>
      </w:r>
      <w:r w:rsidRPr="00896F39">
        <w:rPr>
          <w:rFonts w:ascii="Times New Roman" w:hAnsi="Times New Roman" w:cs="Times New Roman"/>
          <w:sz w:val="28"/>
          <w:szCs w:val="28"/>
          <w:u w:val="single"/>
          <w:lang w:val="en-GB"/>
        </w:rPr>
        <w:t>The Civil Practice of the High Courts of South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Africa. 2009. </w:t>
      </w:r>
    </w:p>
    <w:p w14:paraId="4F086BA1" w14:textId="77777777" w:rsidR="006C392C" w:rsidRPr="00C36EA1" w:rsidRDefault="006C392C" w:rsidP="006C392C">
      <w:pPr>
        <w:pStyle w:val="NoSpacing"/>
        <w:rPr>
          <w:lang w:val="en-GB"/>
        </w:rPr>
      </w:pPr>
    </w:p>
    <w:p w14:paraId="071FE09C" w14:textId="77777777" w:rsidR="00294334" w:rsidRPr="006C392C" w:rsidRDefault="00C36EA1" w:rsidP="006946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6C392C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Cases</w:t>
      </w:r>
    </w:p>
    <w:p w14:paraId="74952685" w14:textId="77777777" w:rsidR="00896F39" w:rsidRPr="00896F39" w:rsidRDefault="00896F39" w:rsidP="0089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6F39">
        <w:rPr>
          <w:rFonts w:ascii="Times New Roman" w:hAnsi="Times New Roman" w:cs="Times New Roman"/>
          <w:sz w:val="28"/>
          <w:szCs w:val="28"/>
          <w:lang w:val="en-GB"/>
        </w:rPr>
        <w:t>Jowell v Bramwell-Junes 1998 (1) SA 836</w:t>
      </w:r>
    </w:p>
    <w:p w14:paraId="18606718" w14:textId="0C33C208" w:rsidR="00896F39" w:rsidRDefault="00896F39" w:rsidP="0089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6F39">
        <w:rPr>
          <w:rFonts w:ascii="Times New Roman" w:hAnsi="Times New Roman" w:cs="Times New Roman"/>
          <w:sz w:val="28"/>
          <w:szCs w:val="28"/>
          <w:lang w:val="en-GB"/>
        </w:rPr>
        <w:t>Killaney of Durban (PTY) LTD v Lomax 1940 NPD</w:t>
      </w:r>
    </w:p>
    <w:p w14:paraId="06A57FB8" w14:textId="1115E339" w:rsidR="002534DC" w:rsidRDefault="00896F39" w:rsidP="0089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96F39">
        <w:rPr>
          <w:rFonts w:ascii="Times New Roman" w:hAnsi="Times New Roman" w:cs="Times New Roman"/>
          <w:sz w:val="28"/>
          <w:szCs w:val="28"/>
          <w:lang w:val="en-GB"/>
        </w:rPr>
        <w:t>Pettersen v Burnside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1961</w:t>
      </w:r>
      <w:r w:rsidR="004F3B8B">
        <w:rPr>
          <w:rFonts w:ascii="Times New Roman" w:hAnsi="Times New Roman" w:cs="Times New Roman"/>
          <w:sz w:val="28"/>
          <w:szCs w:val="28"/>
          <w:lang w:val="en-GB"/>
        </w:rPr>
        <w:t xml:space="preserve"> (4) SA 93</w:t>
      </w:r>
      <w:r w:rsidRPr="00896F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FBAAC1F" w14:textId="77777777" w:rsidR="006C392C" w:rsidRDefault="006C392C" w:rsidP="006C392C">
      <w:pPr>
        <w:pStyle w:val="NoSpacing"/>
        <w:rPr>
          <w:lang w:val="en-GB"/>
        </w:rPr>
      </w:pPr>
    </w:p>
    <w:p w14:paraId="3E33584A" w14:textId="5C08FE02" w:rsidR="004F3B8B" w:rsidRPr="006C392C" w:rsidRDefault="004F3B8B" w:rsidP="00896F3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6C392C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Statutes</w:t>
      </w:r>
    </w:p>
    <w:p w14:paraId="16216F77" w14:textId="46A8CB55" w:rsidR="002534DC" w:rsidRPr="004F3B8B" w:rsidRDefault="004F3B8B" w:rsidP="00694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High Court Rules No. 9 of 1980</w:t>
      </w:r>
    </w:p>
    <w:p w14:paraId="1BBDF5DC" w14:textId="548D49CE" w:rsidR="002534DC" w:rsidRDefault="002534DC" w:rsidP="006946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4B553A14" w14:textId="1FA1EDBB" w:rsidR="004F3B8B" w:rsidRDefault="004F3B8B" w:rsidP="006946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2229D7F5" w14:textId="3A4E8E3F" w:rsidR="004F3B8B" w:rsidRDefault="004F3B8B" w:rsidP="006946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72B3E239" w14:textId="79FA8EA7" w:rsidR="004F3B8B" w:rsidRDefault="004F3B8B" w:rsidP="006946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1C3F96E1" w14:textId="4E8BF31B" w:rsidR="004F3B8B" w:rsidRDefault="004F3B8B" w:rsidP="006946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2A46A532" w14:textId="0BC97C5E" w:rsidR="004F3B8B" w:rsidRPr="006C392C" w:rsidRDefault="004F3B8B" w:rsidP="004F3B8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C392C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RULING</w:t>
      </w:r>
    </w:p>
    <w:p w14:paraId="1FF2170F" w14:textId="77777777" w:rsidR="004F3B8B" w:rsidRPr="006C392C" w:rsidRDefault="004F3B8B" w:rsidP="00AD1723">
      <w:pPr>
        <w:pStyle w:val="NoSpacing"/>
        <w:rPr>
          <w:lang w:val="en-GB"/>
        </w:rPr>
      </w:pPr>
    </w:p>
    <w:p w14:paraId="618DB34A" w14:textId="43A5053C" w:rsidR="00694631" w:rsidRPr="00731F39" w:rsidRDefault="006C392C" w:rsidP="0069463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 w:rsidRPr="00731F39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I</w:t>
      </w:r>
      <w:r w:rsidR="0063380D" w:rsidRPr="00731F39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ntroduction</w:t>
      </w:r>
    </w:p>
    <w:p w14:paraId="0BB6017D" w14:textId="13314909" w:rsidR="0082316F" w:rsidRPr="00E52F76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1723">
        <w:rPr>
          <w:rFonts w:ascii="Times New Roman" w:hAnsi="Times New Roman" w:cs="Times New Roman"/>
          <w:b/>
          <w:bCs/>
          <w:sz w:val="28"/>
          <w:szCs w:val="28"/>
          <w:lang w:val="en-GB"/>
        </w:rPr>
        <w:t>[1]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In brief, Respondent </w:t>
      </w:r>
      <w:r w:rsidR="00BE07B7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(Plaintiff in the main) </w:t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in this matter launched summons in </w:t>
      </w:r>
      <w:r w:rsidR="0082316F" w:rsidRPr="00E52F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CCT/0241/2022 </w:t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>against the present Applicant</w:t>
      </w:r>
      <w:r w:rsidR="00BE07B7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(Defendant in the main)</w:t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. For the sake of clarity, that matter will be referred to as the main </w:t>
      </w:r>
      <w:r w:rsidR="004373D2" w:rsidRPr="00E52F76">
        <w:rPr>
          <w:rFonts w:ascii="Times New Roman" w:hAnsi="Times New Roman" w:cs="Times New Roman"/>
          <w:sz w:val="28"/>
          <w:szCs w:val="28"/>
          <w:lang w:val="en-GB"/>
        </w:rPr>
        <w:t>action</w:t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715200F6" w14:textId="77777777" w:rsidR="0082316F" w:rsidRDefault="0082316F" w:rsidP="00412BC4">
      <w:pPr>
        <w:pStyle w:val="NoSpacing"/>
        <w:rPr>
          <w:lang w:val="en-GB"/>
        </w:rPr>
      </w:pPr>
    </w:p>
    <w:p w14:paraId="52BE5CCF" w14:textId="5AF64EC0" w:rsidR="0082179A" w:rsidRPr="00E52F76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[2]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Before Applicant could file a plea in the main </w:t>
      </w:r>
      <w:r w:rsidR="004373D2" w:rsidRPr="00E52F76">
        <w:rPr>
          <w:rFonts w:ascii="Times New Roman" w:hAnsi="Times New Roman" w:cs="Times New Roman"/>
          <w:sz w:val="28"/>
          <w:szCs w:val="28"/>
          <w:lang w:val="en-GB"/>
        </w:rPr>
        <w:t>action</w:t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, it launched a Notice of Motion among others seeking to set aside as irregular the said summons in the main </w:t>
      </w:r>
      <w:r w:rsidR="004373D2" w:rsidRPr="00E52F76">
        <w:rPr>
          <w:rFonts w:ascii="Times New Roman" w:hAnsi="Times New Roman" w:cs="Times New Roman"/>
          <w:sz w:val="28"/>
          <w:szCs w:val="28"/>
          <w:lang w:val="en-GB"/>
        </w:rPr>
        <w:t>action</w:t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E07B7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That Application will be referred to as the Rule 30 Application.</w:t>
      </w:r>
    </w:p>
    <w:p w14:paraId="38BC3588" w14:textId="77777777" w:rsidR="0082316F" w:rsidRPr="0082316F" w:rsidRDefault="0082316F" w:rsidP="0082316F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62036EBD" w14:textId="4B3851B0" w:rsidR="0082316F" w:rsidRPr="00E52F76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[3]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>Before t</w:t>
      </w:r>
      <w:r w:rsidR="00BE07B7" w:rsidRPr="00E52F76">
        <w:rPr>
          <w:rFonts w:ascii="Times New Roman" w:hAnsi="Times New Roman" w:cs="Times New Roman"/>
          <w:sz w:val="28"/>
          <w:szCs w:val="28"/>
          <w:lang w:val="en-GB"/>
        </w:rPr>
        <w:t>he Rule 30 application</w:t>
      </w:r>
      <w:r w:rsidR="0082316F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could be argued Respondent then </w:t>
      </w:r>
      <w:r w:rsidR="00BE07B7" w:rsidRPr="00E52F76">
        <w:rPr>
          <w:rFonts w:ascii="Times New Roman" w:hAnsi="Times New Roman" w:cs="Times New Roman"/>
          <w:sz w:val="28"/>
          <w:szCs w:val="28"/>
          <w:lang w:val="en-GB"/>
        </w:rPr>
        <w:t>filed a Notice to file Plea in the main matter. Upon receipt of the said Notice to file Plea, Applicant the</w:t>
      </w:r>
      <w:r w:rsidR="00FC0CFE" w:rsidRPr="00E52F76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BE07B7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launched the present Application on an urgent basis. This application will therefore be referred to as the Urgent Application.</w:t>
      </w:r>
    </w:p>
    <w:p w14:paraId="259C87EB" w14:textId="77777777" w:rsidR="00BE07B7" w:rsidRPr="00BE07B7" w:rsidRDefault="00BE07B7" w:rsidP="00BE07B7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6144C092" w14:textId="3B308C5E" w:rsidR="00BE07B7" w:rsidRPr="00E52F76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[4]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BE07B7" w:rsidRPr="00E52F76">
        <w:rPr>
          <w:rFonts w:ascii="Times New Roman" w:hAnsi="Times New Roman" w:cs="Times New Roman"/>
          <w:sz w:val="28"/>
          <w:szCs w:val="28"/>
          <w:lang w:val="en-GB"/>
        </w:rPr>
        <w:t>In the Urgent Application, applicant moves this court for an order in the following terms</w:t>
      </w:r>
    </w:p>
    <w:p w14:paraId="72378111" w14:textId="28673B2F" w:rsidR="00BE07B7" w:rsidRDefault="00BE07B7" w:rsidP="00BE07B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Dispensing with the ordinary and other rules pertaining to modes and periods of service on account of urgency.</w:t>
      </w:r>
    </w:p>
    <w:p w14:paraId="3EB476AB" w14:textId="77777777" w:rsidR="00BE07B7" w:rsidRDefault="00BE07B7" w:rsidP="00BE07B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Notice to file plea be stayed pending finalisation of this application.</w:t>
      </w:r>
    </w:p>
    <w:p w14:paraId="73400D65" w14:textId="05CEB92E" w:rsidR="004373D2" w:rsidRDefault="00BE07B7" w:rsidP="004373D2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Rule be issued returnable on a date and time to be determined by this court calling up</w:t>
      </w:r>
      <w:r w:rsidR="00FC0C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Respondent to show c</w:t>
      </w:r>
      <w:r w:rsidR="004373D2">
        <w:rPr>
          <w:rFonts w:ascii="Times New Roman" w:hAnsi="Times New Roman" w:cs="Times New Roman"/>
          <w:sz w:val="28"/>
          <w:szCs w:val="28"/>
          <w:lang w:val="en-GB"/>
        </w:rPr>
        <w:t>ause, if any, why t</w:t>
      </w:r>
      <w:r w:rsidR="004373D2" w:rsidRPr="004373D2">
        <w:rPr>
          <w:rFonts w:ascii="Times New Roman" w:hAnsi="Times New Roman" w:cs="Times New Roman"/>
          <w:sz w:val="28"/>
          <w:szCs w:val="28"/>
          <w:lang w:val="en-GB"/>
        </w:rPr>
        <w:t>he proceedings in the main action cannot be stayed pending the outcome of the Rule 30 Application</w:t>
      </w:r>
    </w:p>
    <w:p w14:paraId="543FF7AA" w14:textId="0409558E" w:rsidR="004373D2" w:rsidRDefault="004373D2" w:rsidP="004373D2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first two prayers to operate with immediate effect as an interim order.</w:t>
      </w:r>
    </w:p>
    <w:p w14:paraId="43B0D62B" w14:textId="287604FA" w:rsidR="004373D2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[5]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2A181D" w:rsidRPr="00E52F76">
        <w:rPr>
          <w:rFonts w:ascii="Times New Roman" w:hAnsi="Times New Roman" w:cs="Times New Roman"/>
          <w:sz w:val="28"/>
          <w:szCs w:val="28"/>
          <w:lang w:val="en-GB"/>
        </w:rPr>
        <w:t>Respondent has opposed the Urgent Application on the following grounds</w:t>
      </w:r>
    </w:p>
    <w:p w14:paraId="52A9BAD8" w14:textId="77777777" w:rsidR="00177A76" w:rsidRPr="00E52F76" w:rsidRDefault="00177A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36D22B6" w14:textId="722DC635" w:rsidR="002A181D" w:rsidRDefault="002A181D" w:rsidP="002A181D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Lack of urgency</w:t>
      </w:r>
    </w:p>
    <w:p w14:paraId="6119C0E2" w14:textId="0B40A3FB" w:rsidR="002A181D" w:rsidRDefault="002A181D" w:rsidP="002A181D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Abuse of court process</w:t>
      </w:r>
    </w:p>
    <w:p w14:paraId="49DF9C30" w14:textId="77777777" w:rsidR="002A181D" w:rsidRDefault="002A181D" w:rsidP="002A181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D68188F" w14:textId="4CF4224F" w:rsidR="002A181D" w:rsidRPr="00E52F76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[6]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2A181D" w:rsidRPr="00E52F76">
        <w:rPr>
          <w:rFonts w:ascii="Times New Roman" w:hAnsi="Times New Roman" w:cs="Times New Roman"/>
          <w:sz w:val="28"/>
          <w:szCs w:val="28"/>
          <w:lang w:val="en-GB"/>
        </w:rPr>
        <w:t>On the 22</w:t>
      </w:r>
      <w:r w:rsidR="002A181D" w:rsidRPr="00E52F7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2A181D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day of July, the matter was before court and the court then directed both counsel to appear on the 25</w:t>
      </w:r>
      <w:r w:rsidR="002A181D" w:rsidRPr="00E52F7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2A181D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and argue the urgency of the matter and whether there is any law preventing a party from filing a plea while such a party has challenge</w:t>
      </w:r>
      <w:r w:rsidR="00A035B4" w:rsidRPr="00E52F76">
        <w:rPr>
          <w:rFonts w:ascii="Times New Roman" w:hAnsi="Times New Roman" w:cs="Times New Roman"/>
          <w:sz w:val="28"/>
          <w:szCs w:val="28"/>
          <w:lang w:val="en-GB"/>
        </w:rPr>
        <w:t>d a pleading or procedure as irregular.</w:t>
      </w:r>
    </w:p>
    <w:p w14:paraId="7A2E23F6" w14:textId="77777777" w:rsidR="00A035B4" w:rsidRDefault="00A035B4" w:rsidP="00177A76">
      <w:pPr>
        <w:pStyle w:val="NoSpacing"/>
        <w:rPr>
          <w:lang w:val="en-GB"/>
        </w:rPr>
      </w:pPr>
    </w:p>
    <w:p w14:paraId="7BA0537E" w14:textId="50B009A6" w:rsidR="00A035B4" w:rsidRPr="00FC0CFE" w:rsidRDefault="00A035B4" w:rsidP="00A035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0CFE">
        <w:rPr>
          <w:rFonts w:ascii="Times New Roman" w:hAnsi="Times New Roman" w:cs="Times New Roman"/>
          <w:b/>
          <w:sz w:val="28"/>
          <w:szCs w:val="28"/>
          <w:lang w:val="en-GB"/>
        </w:rPr>
        <w:t>ANALYSIS OF THE LAW AND FACTS</w:t>
      </w:r>
    </w:p>
    <w:p w14:paraId="3827EF7B" w14:textId="4B40CED5" w:rsidR="00A035B4" w:rsidRPr="00E52F76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[7]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A035B4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Rule 30 does not seem to have words </w:t>
      </w:r>
      <w:proofErr w:type="gramStart"/>
      <w:r w:rsidR="00A035B4" w:rsidRPr="00E52F76">
        <w:rPr>
          <w:rFonts w:ascii="Times New Roman" w:hAnsi="Times New Roman" w:cs="Times New Roman"/>
          <w:sz w:val="28"/>
          <w:szCs w:val="28"/>
          <w:lang w:val="en-GB"/>
        </w:rPr>
        <w:t>similar to</w:t>
      </w:r>
      <w:proofErr w:type="gramEnd"/>
      <w:r w:rsidR="00A035B4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the ones used in Rule 29. Rule 29 has the following proviso;</w:t>
      </w:r>
    </w:p>
    <w:p w14:paraId="06C8D7C8" w14:textId="0ECEBA4D" w:rsidR="00A035B4" w:rsidRDefault="007144FE" w:rsidP="00A035B4">
      <w:pPr>
        <w:pStyle w:val="ListParagraph"/>
        <w:spacing w:line="360" w:lineRule="auto"/>
        <w:ind w:left="1417" w:right="141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Whenever an exception is taken to a pleading or whenever an application to strike ou</w:t>
      </w:r>
      <w:r w:rsidR="00FC0CFE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made, no plea, replication or other pleading will be compulsory but may be delivered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CE30E60" w14:textId="77777777" w:rsidR="007144FE" w:rsidRDefault="007144FE" w:rsidP="00177A76">
      <w:pPr>
        <w:pStyle w:val="NoSpacing"/>
        <w:rPr>
          <w:lang w:val="en-GB"/>
        </w:rPr>
      </w:pPr>
    </w:p>
    <w:p w14:paraId="676A652A" w14:textId="48F0B189" w:rsidR="007144FE" w:rsidRPr="00E52F76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[8]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7144FE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Should Rule 30 be treated in the same manner as Rule 29 </w:t>
      </w:r>
      <w:proofErr w:type="gramStart"/>
      <w:r w:rsidR="007144FE" w:rsidRPr="00E52F76">
        <w:rPr>
          <w:rFonts w:ascii="Times New Roman" w:hAnsi="Times New Roman" w:cs="Times New Roman"/>
          <w:sz w:val="28"/>
          <w:szCs w:val="28"/>
          <w:lang w:val="en-GB"/>
        </w:rPr>
        <w:t>on the basis of</w:t>
      </w:r>
      <w:proofErr w:type="gramEnd"/>
      <w:r w:rsidR="007144FE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the above proviso</w:t>
      </w:r>
      <w:r w:rsidR="005422B2" w:rsidRPr="00E52F76">
        <w:rPr>
          <w:rFonts w:ascii="Times New Roman" w:hAnsi="Times New Roman" w:cs="Times New Roman"/>
          <w:sz w:val="28"/>
          <w:szCs w:val="28"/>
          <w:lang w:val="en-GB"/>
        </w:rPr>
        <w:t>?</w:t>
      </w:r>
      <w:r w:rsidR="007144FE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This is important because, i</w:t>
      </w:r>
      <w:r w:rsidR="005422B2" w:rsidRPr="00E52F76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7144FE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 that is the case, then the Respondent should not have issued a Notice to file Plea and as a result there would be no need for this application. </w:t>
      </w:r>
    </w:p>
    <w:p w14:paraId="27CECEBC" w14:textId="77777777" w:rsidR="005422B2" w:rsidRDefault="005422B2" w:rsidP="00412BC4">
      <w:pPr>
        <w:pStyle w:val="NoSpacing"/>
        <w:rPr>
          <w:lang w:val="en-GB"/>
        </w:rPr>
      </w:pPr>
    </w:p>
    <w:p w14:paraId="317886D3" w14:textId="77777777" w:rsidR="00177A76" w:rsidRDefault="00177A76" w:rsidP="00177A76">
      <w:pPr>
        <w:pStyle w:val="NoSpacing"/>
        <w:rPr>
          <w:lang w:val="en-GB"/>
        </w:rPr>
      </w:pPr>
    </w:p>
    <w:p w14:paraId="3B19D198" w14:textId="08229346" w:rsidR="005422B2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[9]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5422B2" w:rsidRPr="00E52F76">
        <w:rPr>
          <w:rFonts w:ascii="Times New Roman" w:hAnsi="Times New Roman" w:cs="Times New Roman"/>
          <w:sz w:val="28"/>
          <w:szCs w:val="28"/>
          <w:lang w:val="en-GB"/>
        </w:rPr>
        <w:t>On the contrary, Rule 30 has the following proviso;</w:t>
      </w:r>
    </w:p>
    <w:p w14:paraId="61CBFC8E" w14:textId="77777777" w:rsidR="00177A76" w:rsidRDefault="00177A76" w:rsidP="00177A76">
      <w:pPr>
        <w:pStyle w:val="NoSpacing"/>
        <w:rPr>
          <w:lang w:val="en-GB"/>
        </w:rPr>
      </w:pPr>
    </w:p>
    <w:p w14:paraId="0CB98D7F" w14:textId="289D50D9" w:rsidR="005422B2" w:rsidRDefault="005422B2" w:rsidP="005422B2">
      <w:pPr>
        <w:pStyle w:val="ListParagraph"/>
        <w:spacing w:line="360" w:lineRule="auto"/>
        <w:ind w:left="1417" w:right="141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Where a party to any cause takes an irregular or improper proceeding or improper step any party to such cause may within </w:t>
      </w:r>
      <w:r w:rsidR="00C8064B">
        <w:rPr>
          <w:rFonts w:ascii="Times New Roman" w:hAnsi="Times New Roman" w:cs="Times New Roman"/>
          <w:sz w:val="28"/>
          <w:szCs w:val="28"/>
          <w:lang w:val="en-GB"/>
        </w:rPr>
        <w:t>fourteen days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taking of such step proceeding apply to court to have it set aside:</w:t>
      </w:r>
    </w:p>
    <w:p w14:paraId="5E17FBB2" w14:textId="2BCDE208" w:rsidR="005422B2" w:rsidRDefault="005422B2" w:rsidP="003D2CA9">
      <w:pPr>
        <w:pStyle w:val="ListParagraph"/>
        <w:spacing w:line="360" w:lineRule="auto"/>
        <w:ind w:left="1417" w:right="141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Provide</w:t>
      </w:r>
      <w:r w:rsidR="00FC0CFE">
        <w:rPr>
          <w:rFonts w:ascii="Times New Roman" w:hAnsi="Times New Roman" w:cs="Times New Roman"/>
          <w:sz w:val="28"/>
          <w:szCs w:val="28"/>
          <w:lang w:val="en-GB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that no such party who has </w:t>
      </w:r>
      <w:r w:rsidR="00C8064B">
        <w:rPr>
          <w:rFonts w:ascii="Times New Roman" w:hAnsi="Times New Roman" w:cs="Times New Roman"/>
          <w:sz w:val="28"/>
          <w:szCs w:val="28"/>
          <w:lang w:val="en-GB"/>
        </w:rPr>
        <w:t>taken any step in the cause with knowledge of the irregularity or impropriety shall be entitled to make such application</w:t>
      </w:r>
    </w:p>
    <w:p w14:paraId="04F85922" w14:textId="6FE2CF9B" w:rsidR="00C8064B" w:rsidRDefault="00C8064B" w:rsidP="00177A76">
      <w:pPr>
        <w:pStyle w:val="NoSpacing"/>
        <w:rPr>
          <w:lang w:val="en-GB"/>
        </w:rPr>
      </w:pPr>
    </w:p>
    <w:p w14:paraId="6B435EAC" w14:textId="511C36FB" w:rsidR="00C8064B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[10]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C8064B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On the reading of these two provisions, it looks like the legislature intended for them to be treated differently. </w:t>
      </w:r>
      <w:r w:rsidR="003D2CA9" w:rsidRPr="00E52F76">
        <w:rPr>
          <w:rFonts w:ascii="Times New Roman" w:hAnsi="Times New Roman" w:cs="Times New Roman"/>
          <w:sz w:val="28"/>
          <w:szCs w:val="28"/>
          <w:lang w:val="en-GB"/>
        </w:rPr>
        <w:t>It is obvious therefore that if Applicant would take a further step, he would be precluded from advancing his application under this rule. A further step has been described as</w:t>
      </w:r>
      <w:r w:rsidR="00804CC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2761D44" w14:textId="77777777" w:rsidR="00177A76" w:rsidRPr="00E52F76" w:rsidRDefault="00177A76" w:rsidP="00177A76">
      <w:pPr>
        <w:pStyle w:val="NoSpacing"/>
        <w:rPr>
          <w:lang w:val="en-GB"/>
        </w:rPr>
      </w:pPr>
    </w:p>
    <w:p w14:paraId="125DDC73" w14:textId="77D90E70" w:rsidR="003D2CA9" w:rsidRDefault="003D2CA9" w:rsidP="003D2CA9">
      <w:pPr>
        <w:spacing w:line="360" w:lineRule="auto"/>
        <w:ind w:left="1417" w:right="141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…one which advances the proceedings one stage nearer completion and which, objectively viewed, manifests an intention to pursue the cause despite the </w:t>
      </w:r>
      <w:r w:rsidRPr="00E52F76">
        <w:rPr>
          <w:rFonts w:ascii="Times New Roman" w:hAnsi="Times New Roman" w:cs="Times New Roman"/>
          <w:sz w:val="28"/>
          <w:szCs w:val="28"/>
          <w:lang w:val="en-GB"/>
        </w:rPr>
        <w:t>irregularity…</w:t>
      </w:r>
      <w:r w:rsidRPr="00E52F76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2"/>
      </w:r>
    </w:p>
    <w:p w14:paraId="5D0BCAF5" w14:textId="77777777" w:rsidR="00177A76" w:rsidRPr="00E52F76" w:rsidRDefault="00177A76" w:rsidP="00177A76">
      <w:pPr>
        <w:pStyle w:val="NoSpacing"/>
        <w:rPr>
          <w:lang w:val="en-GB"/>
        </w:rPr>
      </w:pPr>
    </w:p>
    <w:p w14:paraId="6838C476" w14:textId="3F06A04E" w:rsidR="00C57219" w:rsidRDefault="00E52F76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52F76">
        <w:rPr>
          <w:rFonts w:ascii="Times New Roman" w:hAnsi="Times New Roman" w:cs="Times New Roman"/>
          <w:b/>
          <w:bCs/>
          <w:sz w:val="28"/>
          <w:szCs w:val="28"/>
          <w:lang w:val="en-GB"/>
        </w:rPr>
        <w:t>[11]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C57219" w:rsidRPr="00E52F76">
        <w:rPr>
          <w:rFonts w:ascii="Times New Roman" w:hAnsi="Times New Roman" w:cs="Times New Roman"/>
          <w:sz w:val="28"/>
          <w:szCs w:val="28"/>
          <w:lang w:val="en-GB"/>
        </w:rPr>
        <w:t>It becomes clear therefore that, was Applicant to file a plea, he would lose his right under the Application under rule 30. Mr. Leisanyane argued that Applicant was not precluded from filing a plea even if it challenges the summons as irregular. The above case and others</w:t>
      </w:r>
      <w:r w:rsidR="00C57219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3"/>
      </w:r>
      <w:r w:rsidR="00C57219" w:rsidRPr="00E52F76">
        <w:rPr>
          <w:rFonts w:ascii="Times New Roman" w:hAnsi="Times New Roman" w:cs="Times New Roman"/>
          <w:sz w:val="28"/>
          <w:szCs w:val="28"/>
          <w:lang w:val="en-GB"/>
        </w:rPr>
        <w:t xml:space="preserve">, seem to be against his argument. </w:t>
      </w:r>
    </w:p>
    <w:p w14:paraId="7C40A3F4" w14:textId="77777777" w:rsidR="00412BC4" w:rsidRPr="00E52F76" w:rsidRDefault="00412BC4" w:rsidP="00E52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CD485AE" w14:textId="1C404C4B" w:rsidR="00C57219" w:rsidRPr="00125CF2" w:rsidRDefault="00125CF2" w:rsidP="00125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25CF2">
        <w:rPr>
          <w:rFonts w:ascii="Times New Roman" w:hAnsi="Times New Roman" w:cs="Times New Roman"/>
          <w:b/>
          <w:bCs/>
          <w:sz w:val="28"/>
          <w:szCs w:val="28"/>
          <w:lang w:val="en-GB"/>
        </w:rPr>
        <w:t>[12]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C57219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As Respondent filed a Notice to file Plea, I believe that Respondent was left with no option but to move urgently </w:t>
      </w:r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to seek an order that the Notice to file Plea be stayed. It is true that </w:t>
      </w:r>
      <w:r w:rsidR="00527C59" w:rsidRPr="00804CC6">
        <w:rPr>
          <w:rFonts w:ascii="Times New Roman" w:hAnsi="Times New Roman" w:cs="Times New Roman"/>
          <w:sz w:val="28"/>
          <w:szCs w:val="28"/>
          <w:lang w:val="en-GB"/>
        </w:rPr>
        <w:t>Mr. Leisanyane</w:t>
      </w:r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 argued that Applicant should have applied for stay of the proceedings in the Application under Rule 30. However, I </w:t>
      </w:r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lastRenderedPageBreak/>
        <w:t>believe there was no need to do that under the circumstance</w:t>
      </w:r>
      <w:r w:rsidR="00FC0CFE" w:rsidRPr="00125CF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 in which the law is clear that no further step needed to be taken.</w:t>
      </w:r>
    </w:p>
    <w:p w14:paraId="7B35F027" w14:textId="77777777" w:rsidR="00527C59" w:rsidRPr="00527C59" w:rsidRDefault="00527C59" w:rsidP="00527C59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28763480" w14:textId="3AB118F4" w:rsidR="004E0E7B" w:rsidRPr="00125CF2" w:rsidRDefault="00125CF2" w:rsidP="00125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25CF2">
        <w:rPr>
          <w:rFonts w:ascii="Times New Roman" w:hAnsi="Times New Roman" w:cs="Times New Roman"/>
          <w:b/>
          <w:bCs/>
          <w:sz w:val="28"/>
          <w:szCs w:val="28"/>
          <w:lang w:val="en-GB"/>
        </w:rPr>
        <w:t>[13]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The parties herein argued </w:t>
      </w:r>
      <w:proofErr w:type="gramStart"/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>on the basis of</w:t>
      </w:r>
      <w:proofErr w:type="gramEnd"/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 the interim orders only. During arguments, I asked both counsel if, </w:t>
      </w:r>
      <w:proofErr w:type="gramStart"/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>in the event that</w:t>
      </w:r>
      <w:proofErr w:type="gramEnd"/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 I find for the Applicant, would it still be necessary to grant only a rule and have the </w:t>
      </w:r>
      <w:r w:rsidR="004E0E7B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final relief be argued later. Advocate Leisanyane argued that there would still be </w:t>
      </w:r>
      <w:proofErr w:type="gramStart"/>
      <w:r w:rsidR="004E0E7B" w:rsidRPr="00125CF2">
        <w:rPr>
          <w:rFonts w:ascii="Times New Roman" w:hAnsi="Times New Roman" w:cs="Times New Roman"/>
          <w:sz w:val="28"/>
          <w:szCs w:val="28"/>
          <w:lang w:val="en-GB"/>
        </w:rPr>
        <w:t>need</w:t>
      </w:r>
      <w:proofErr w:type="gramEnd"/>
      <w:r w:rsidR="004E0E7B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 to come and argue if the Main action need to be stayed pending the outcome </w:t>
      </w:r>
      <w:r w:rsidR="005571E5" w:rsidRPr="00125CF2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4E0E7B" w:rsidRPr="00125CF2">
        <w:rPr>
          <w:rFonts w:ascii="Times New Roman" w:hAnsi="Times New Roman" w:cs="Times New Roman"/>
          <w:sz w:val="28"/>
          <w:szCs w:val="28"/>
          <w:lang w:val="en-GB"/>
        </w:rPr>
        <w:t>f the Application under Rule 30.</w:t>
      </w:r>
      <w:r w:rsidR="00BA7E9B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 However, </w:t>
      </w:r>
      <w:r w:rsidR="00773331" w:rsidRPr="00125CF2">
        <w:rPr>
          <w:rFonts w:ascii="Times New Roman" w:hAnsi="Times New Roman" w:cs="Times New Roman"/>
          <w:sz w:val="28"/>
          <w:szCs w:val="28"/>
          <w:lang w:val="en-GB"/>
        </w:rPr>
        <w:t>on the day of the reading of the judgment Mr</w:t>
      </w:r>
      <w:r w:rsidR="005571E5" w:rsidRPr="00125CF2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73331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 Leisanyane conceded that he has presented his argument entirely.</w:t>
      </w:r>
    </w:p>
    <w:p w14:paraId="59C8D5C9" w14:textId="77777777" w:rsidR="004E0E7B" w:rsidRPr="00125CF2" w:rsidRDefault="004E0E7B" w:rsidP="004E0E7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14841D3" w14:textId="6F7099BA" w:rsidR="005571E5" w:rsidRPr="00125CF2" w:rsidRDefault="00125CF2" w:rsidP="00125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25CF2">
        <w:rPr>
          <w:rFonts w:ascii="Times New Roman" w:hAnsi="Times New Roman" w:cs="Times New Roman"/>
          <w:b/>
          <w:bCs/>
          <w:sz w:val="28"/>
          <w:szCs w:val="28"/>
          <w:lang w:val="en-GB"/>
        </w:rPr>
        <w:t>[14]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>In conclusion therefore</w:t>
      </w:r>
      <w:r w:rsidR="005571E5" w:rsidRPr="00125CF2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527C59" w:rsidRPr="00125CF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C120F47" w14:textId="77777777" w:rsidR="005571E5" w:rsidRPr="005571E5" w:rsidRDefault="005571E5" w:rsidP="00177A76">
      <w:pPr>
        <w:pStyle w:val="NoSpacing"/>
        <w:rPr>
          <w:lang w:val="en-GB"/>
        </w:rPr>
      </w:pPr>
    </w:p>
    <w:p w14:paraId="24E92B87" w14:textId="77777777" w:rsidR="005571E5" w:rsidRDefault="004E0E7B" w:rsidP="005571E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matter is indeed urgent</w:t>
      </w:r>
      <w:r w:rsidR="005571E5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768BF243" w14:textId="598573B1" w:rsidR="005571E5" w:rsidRDefault="005571E5" w:rsidP="005571E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Order dispensing with the ordinary rules of court pertaining to modes and period of service on account of such urgency is granted; </w:t>
      </w:r>
    </w:p>
    <w:p w14:paraId="0B9B2CD4" w14:textId="6FB4239E" w:rsidR="005571E5" w:rsidRDefault="005571E5" w:rsidP="005571E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Notice to file plea is stayed pending finalisation of this application</w:t>
      </w:r>
    </w:p>
    <w:p w14:paraId="6CC747D3" w14:textId="44E39F90" w:rsidR="005571E5" w:rsidRDefault="005571E5" w:rsidP="005571E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Both </w:t>
      </w:r>
      <w:r w:rsidR="001D4480">
        <w:rPr>
          <w:rFonts w:ascii="Times New Roman" w:hAnsi="Times New Roman" w:cs="Times New Roman"/>
          <w:sz w:val="28"/>
          <w:szCs w:val="28"/>
          <w:lang w:val="en-GB"/>
        </w:rPr>
        <w:t>the above orders to operate with immediate effect; and</w:t>
      </w:r>
    </w:p>
    <w:p w14:paraId="6B6D43BB" w14:textId="543294F9" w:rsidR="001D4480" w:rsidRPr="005571E5" w:rsidRDefault="001D4480" w:rsidP="005571E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23DF">
        <w:rPr>
          <w:rFonts w:ascii="Times New Roman" w:hAnsi="Times New Roman" w:cs="Times New Roman"/>
          <w:i/>
          <w:iCs/>
          <w:sz w:val="28"/>
          <w:szCs w:val="28"/>
          <w:lang w:val="en-GB"/>
        </w:rPr>
        <w:t>Rule Nisi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granted returnable on 09</w:t>
      </w:r>
      <w:r w:rsidRPr="001D4480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day of August 2022</w:t>
      </w:r>
    </w:p>
    <w:p w14:paraId="0EEA94CF" w14:textId="3AE859A9" w:rsidR="00DC441C" w:rsidRDefault="00DC441C" w:rsidP="00DC44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EC48C6C" w14:textId="554BF7E1" w:rsidR="00B80F1F" w:rsidRDefault="00B80F1F" w:rsidP="00DC44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85B9121" w14:textId="23805F55" w:rsidR="00DC441C" w:rsidRPr="00DC441C" w:rsidRDefault="00DC441C" w:rsidP="00F806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DC441C">
        <w:rPr>
          <w:rFonts w:ascii="Times New Roman" w:hAnsi="Times New Roman" w:cs="Times New Roman"/>
          <w:sz w:val="28"/>
          <w:szCs w:val="28"/>
          <w:lang w:val="en-GB"/>
        </w:rPr>
        <w:t>_________</w:t>
      </w:r>
      <w:r w:rsidR="00F806E2">
        <w:rPr>
          <w:rFonts w:ascii="Times New Roman" w:hAnsi="Times New Roman" w:cs="Times New Roman"/>
          <w:sz w:val="28"/>
          <w:szCs w:val="28"/>
          <w:lang w:val="en-GB"/>
        </w:rPr>
        <w:t>____</w:t>
      </w:r>
      <w:r w:rsidRPr="00DC441C">
        <w:rPr>
          <w:rFonts w:ascii="Times New Roman" w:hAnsi="Times New Roman" w:cs="Times New Roman"/>
          <w:sz w:val="28"/>
          <w:szCs w:val="28"/>
          <w:lang w:val="en-GB"/>
        </w:rPr>
        <w:t>__________</w:t>
      </w:r>
    </w:p>
    <w:p w14:paraId="4BDB8737" w14:textId="54874A38" w:rsidR="00DC441C" w:rsidRPr="00DC441C" w:rsidRDefault="00DC441C" w:rsidP="00F80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C441C">
        <w:rPr>
          <w:rFonts w:ascii="Times New Roman" w:hAnsi="Times New Roman" w:cs="Times New Roman"/>
          <w:b/>
          <w:bCs/>
          <w:sz w:val="28"/>
          <w:szCs w:val="28"/>
          <w:lang w:val="en-GB"/>
        </w:rPr>
        <w:t>M.S. KOPO J</w:t>
      </w:r>
    </w:p>
    <w:p w14:paraId="3FDF15DB" w14:textId="77777777" w:rsidR="00DC441C" w:rsidRPr="00DC441C" w:rsidRDefault="00DC441C" w:rsidP="00F80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C441C">
        <w:rPr>
          <w:rFonts w:ascii="Times New Roman" w:hAnsi="Times New Roman" w:cs="Times New Roman"/>
          <w:b/>
          <w:bCs/>
          <w:sz w:val="28"/>
          <w:szCs w:val="28"/>
          <w:lang w:val="en-GB"/>
        </w:rPr>
        <w:t>Judge of the High Court</w:t>
      </w:r>
    </w:p>
    <w:p w14:paraId="14240AD5" w14:textId="2A7E46D8" w:rsidR="002E289E" w:rsidRPr="00DC441C" w:rsidRDefault="002E289E" w:rsidP="00F806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F9C9BD8" w14:textId="77777777" w:rsidR="00D36B19" w:rsidRDefault="00D36B19" w:rsidP="00177A76">
      <w:pPr>
        <w:pStyle w:val="NoSpacing"/>
        <w:rPr>
          <w:lang w:val="en-GB"/>
        </w:rPr>
      </w:pPr>
    </w:p>
    <w:p w14:paraId="6331AC5C" w14:textId="6A6A6B20" w:rsidR="00760A5D" w:rsidRPr="00760A5D" w:rsidRDefault="00760A5D" w:rsidP="00760A5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60A5D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 Applicant: Adv. 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>T. Potsane</w:t>
      </w:r>
    </w:p>
    <w:p w14:paraId="68012C57" w14:textId="72BA3513" w:rsidR="00DA1F24" w:rsidRPr="00DA1F24" w:rsidRDefault="00760A5D" w:rsidP="007B596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760A5D">
        <w:rPr>
          <w:rFonts w:ascii="Times New Roman" w:hAnsi="Times New Roman" w:cs="Times New Roman"/>
          <w:b/>
          <w:sz w:val="28"/>
          <w:szCs w:val="28"/>
          <w:lang w:val="en-GB"/>
        </w:rPr>
        <w:t>For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760A5D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Respondent: Adv. </w:t>
      </w:r>
      <w:r w:rsidR="0082179A">
        <w:rPr>
          <w:rFonts w:ascii="Times New Roman" w:hAnsi="Times New Roman" w:cs="Times New Roman"/>
          <w:b/>
          <w:sz w:val="28"/>
          <w:szCs w:val="28"/>
          <w:lang w:val="en-GB"/>
        </w:rPr>
        <w:t>L. Leisanyane</w:t>
      </w:r>
    </w:p>
    <w:sectPr w:rsidR="00DA1F24" w:rsidRPr="00DA1F24" w:rsidSect="002B3B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D76D" w14:textId="77777777" w:rsidR="00FB34A6" w:rsidRDefault="00FB34A6" w:rsidP="00630ADC">
      <w:pPr>
        <w:spacing w:after="0" w:line="240" w:lineRule="auto"/>
      </w:pPr>
      <w:r>
        <w:separator/>
      </w:r>
    </w:p>
  </w:endnote>
  <w:endnote w:type="continuationSeparator" w:id="0">
    <w:p w14:paraId="52264672" w14:textId="77777777" w:rsidR="00FB34A6" w:rsidRDefault="00FB34A6" w:rsidP="0063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23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C3774" w14:textId="77777777" w:rsidR="002E289E" w:rsidRDefault="002E2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82CCB" w14:textId="77777777" w:rsidR="002E289E" w:rsidRDefault="002E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3712" w14:textId="77777777" w:rsidR="00FB34A6" w:rsidRDefault="00FB34A6" w:rsidP="00630ADC">
      <w:pPr>
        <w:spacing w:after="0" w:line="240" w:lineRule="auto"/>
      </w:pPr>
      <w:r>
        <w:separator/>
      </w:r>
    </w:p>
  </w:footnote>
  <w:footnote w:type="continuationSeparator" w:id="0">
    <w:p w14:paraId="360DC535" w14:textId="77777777" w:rsidR="00FB34A6" w:rsidRDefault="00FB34A6" w:rsidP="00630ADC">
      <w:pPr>
        <w:spacing w:after="0" w:line="240" w:lineRule="auto"/>
      </w:pPr>
      <w:r>
        <w:continuationSeparator/>
      </w:r>
    </w:p>
  </w:footnote>
  <w:footnote w:id="1">
    <w:p w14:paraId="239BECE1" w14:textId="58226450" w:rsidR="007144FE" w:rsidRPr="007144FE" w:rsidRDefault="007144F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Rule 29 (6) of the High Court Rules No. 9 of 1980</w:t>
      </w:r>
    </w:p>
  </w:footnote>
  <w:footnote w:id="2">
    <w:p w14:paraId="638C194E" w14:textId="31A1A3E9" w:rsidR="003D2CA9" w:rsidRPr="003D2CA9" w:rsidRDefault="003D2CA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Jowell v Bramwell-Junes 1998 (1) SA 836</w:t>
      </w:r>
    </w:p>
  </w:footnote>
  <w:footnote w:id="3">
    <w:p w14:paraId="2AE2249A" w14:textId="790D7C9B" w:rsidR="00C57219" w:rsidRPr="00C57219" w:rsidRDefault="00C5721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Pettersen v Burnside 1940 NPD, Killaney of Durban (PTY) LTD v Lomax </w:t>
      </w:r>
      <w:r w:rsidR="004F3B8B">
        <w:rPr>
          <w:lang w:val="en-GB"/>
        </w:rPr>
        <w:t>1961 (4) SA 93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565"/>
    <w:multiLevelType w:val="hybridMultilevel"/>
    <w:tmpl w:val="5D529D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562"/>
    <w:multiLevelType w:val="hybridMultilevel"/>
    <w:tmpl w:val="E95ACF02"/>
    <w:lvl w:ilvl="0" w:tplc="7B1E9E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304EE"/>
    <w:multiLevelType w:val="hybridMultilevel"/>
    <w:tmpl w:val="BCB4D4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195C"/>
    <w:multiLevelType w:val="hybridMultilevel"/>
    <w:tmpl w:val="1C38E378"/>
    <w:lvl w:ilvl="0" w:tplc="2000000F">
      <w:start w:val="1"/>
      <w:numFmt w:val="decimal"/>
      <w:lvlText w:val="%1."/>
      <w:lvlJc w:val="left"/>
      <w:pPr>
        <w:ind w:left="790" w:hanging="360"/>
      </w:p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4530017B"/>
    <w:multiLevelType w:val="multilevel"/>
    <w:tmpl w:val="0B6CA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8882841"/>
    <w:multiLevelType w:val="hybridMultilevel"/>
    <w:tmpl w:val="8514DF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4274A6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1DAE"/>
    <w:multiLevelType w:val="hybridMultilevel"/>
    <w:tmpl w:val="E4AC3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506E0"/>
    <w:multiLevelType w:val="hybridMultilevel"/>
    <w:tmpl w:val="EE3E73C2"/>
    <w:lvl w:ilvl="0" w:tplc="7B1E9E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2175"/>
    <w:multiLevelType w:val="multilevel"/>
    <w:tmpl w:val="80F23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7FD8430F"/>
    <w:multiLevelType w:val="hybridMultilevel"/>
    <w:tmpl w:val="F0B88988"/>
    <w:lvl w:ilvl="0" w:tplc="7B1E9E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C"/>
    <w:rsid w:val="00043956"/>
    <w:rsid w:val="000F4A8A"/>
    <w:rsid w:val="00105CEA"/>
    <w:rsid w:val="0012078D"/>
    <w:rsid w:val="00124CFE"/>
    <w:rsid w:val="00125CF2"/>
    <w:rsid w:val="00132C62"/>
    <w:rsid w:val="00151414"/>
    <w:rsid w:val="00177A76"/>
    <w:rsid w:val="001B65FA"/>
    <w:rsid w:val="001C51FB"/>
    <w:rsid w:val="001D4480"/>
    <w:rsid w:val="002150E3"/>
    <w:rsid w:val="00237F2F"/>
    <w:rsid w:val="002423DF"/>
    <w:rsid w:val="00245897"/>
    <w:rsid w:val="00250B37"/>
    <w:rsid w:val="002534DC"/>
    <w:rsid w:val="00263840"/>
    <w:rsid w:val="002735FA"/>
    <w:rsid w:val="00275FEF"/>
    <w:rsid w:val="00280987"/>
    <w:rsid w:val="00293414"/>
    <w:rsid w:val="00293DD8"/>
    <w:rsid w:val="00294334"/>
    <w:rsid w:val="002A181D"/>
    <w:rsid w:val="002B2249"/>
    <w:rsid w:val="002B3BD8"/>
    <w:rsid w:val="002C66CD"/>
    <w:rsid w:val="002E289E"/>
    <w:rsid w:val="0036344C"/>
    <w:rsid w:val="003747A6"/>
    <w:rsid w:val="00376A62"/>
    <w:rsid w:val="00384B76"/>
    <w:rsid w:val="003874D6"/>
    <w:rsid w:val="003917D9"/>
    <w:rsid w:val="0039236C"/>
    <w:rsid w:val="003A102D"/>
    <w:rsid w:val="003D2CA9"/>
    <w:rsid w:val="003D6B2F"/>
    <w:rsid w:val="003D7ED6"/>
    <w:rsid w:val="003E401C"/>
    <w:rsid w:val="003F202A"/>
    <w:rsid w:val="003F4D2E"/>
    <w:rsid w:val="00412BC4"/>
    <w:rsid w:val="00434F51"/>
    <w:rsid w:val="004373D2"/>
    <w:rsid w:val="00450235"/>
    <w:rsid w:val="00486613"/>
    <w:rsid w:val="00497DB3"/>
    <w:rsid w:val="004A3D04"/>
    <w:rsid w:val="004B06EB"/>
    <w:rsid w:val="004C3062"/>
    <w:rsid w:val="004E0E7B"/>
    <w:rsid w:val="004F32E1"/>
    <w:rsid w:val="004F3B8B"/>
    <w:rsid w:val="004F6330"/>
    <w:rsid w:val="004F6D9F"/>
    <w:rsid w:val="00511BB7"/>
    <w:rsid w:val="00522372"/>
    <w:rsid w:val="00525085"/>
    <w:rsid w:val="00527C59"/>
    <w:rsid w:val="00534678"/>
    <w:rsid w:val="005422B2"/>
    <w:rsid w:val="00545ECA"/>
    <w:rsid w:val="005571E5"/>
    <w:rsid w:val="00563080"/>
    <w:rsid w:val="00585BEE"/>
    <w:rsid w:val="005A7854"/>
    <w:rsid w:val="005B0AE2"/>
    <w:rsid w:val="005D6E57"/>
    <w:rsid w:val="005D7B71"/>
    <w:rsid w:val="0062265C"/>
    <w:rsid w:val="00630205"/>
    <w:rsid w:val="00630ADC"/>
    <w:rsid w:val="0063380D"/>
    <w:rsid w:val="00651108"/>
    <w:rsid w:val="0067248C"/>
    <w:rsid w:val="00676B6D"/>
    <w:rsid w:val="0068716D"/>
    <w:rsid w:val="00694631"/>
    <w:rsid w:val="00695B52"/>
    <w:rsid w:val="006C392C"/>
    <w:rsid w:val="007144FE"/>
    <w:rsid w:val="00731F39"/>
    <w:rsid w:val="00750A21"/>
    <w:rsid w:val="0075123B"/>
    <w:rsid w:val="00760A5D"/>
    <w:rsid w:val="00763655"/>
    <w:rsid w:val="00763805"/>
    <w:rsid w:val="00767722"/>
    <w:rsid w:val="00770060"/>
    <w:rsid w:val="0077215D"/>
    <w:rsid w:val="00773331"/>
    <w:rsid w:val="0079139E"/>
    <w:rsid w:val="007939D5"/>
    <w:rsid w:val="007B0F92"/>
    <w:rsid w:val="007B5961"/>
    <w:rsid w:val="007C0A5F"/>
    <w:rsid w:val="007D7A91"/>
    <w:rsid w:val="007D7E44"/>
    <w:rsid w:val="007F353A"/>
    <w:rsid w:val="00804CC6"/>
    <w:rsid w:val="00805FE8"/>
    <w:rsid w:val="00813F29"/>
    <w:rsid w:val="00817FFC"/>
    <w:rsid w:val="0082179A"/>
    <w:rsid w:val="0082316F"/>
    <w:rsid w:val="0083013B"/>
    <w:rsid w:val="008448D7"/>
    <w:rsid w:val="008700FE"/>
    <w:rsid w:val="00883DE8"/>
    <w:rsid w:val="0088497F"/>
    <w:rsid w:val="00892172"/>
    <w:rsid w:val="00896F39"/>
    <w:rsid w:val="008D61F5"/>
    <w:rsid w:val="00905F40"/>
    <w:rsid w:val="009134E3"/>
    <w:rsid w:val="009234C7"/>
    <w:rsid w:val="00935A2B"/>
    <w:rsid w:val="00951C37"/>
    <w:rsid w:val="009640BC"/>
    <w:rsid w:val="00964B26"/>
    <w:rsid w:val="0097014B"/>
    <w:rsid w:val="009B35DD"/>
    <w:rsid w:val="009B3891"/>
    <w:rsid w:val="009B74AC"/>
    <w:rsid w:val="009D2358"/>
    <w:rsid w:val="009E5598"/>
    <w:rsid w:val="009E5D6E"/>
    <w:rsid w:val="009E7AF9"/>
    <w:rsid w:val="00A035B4"/>
    <w:rsid w:val="00A05139"/>
    <w:rsid w:val="00A20453"/>
    <w:rsid w:val="00A45C5A"/>
    <w:rsid w:val="00A57606"/>
    <w:rsid w:val="00A6678D"/>
    <w:rsid w:val="00AC7D5D"/>
    <w:rsid w:val="00AD1723"/>
    <w:rsid w:val="00AE182D"/>
    <w:rsid w:val="00B22C09"/>
    <w:rsid w:val="00B67B9A"/>
    <w:rsid w:val="00B71BD2"/>
    <w:rsid w:val="00B80F1F"/>
    <w:rsid w:val="00B9253B"/>
    <w:rsid w:val="00BA42C6"/>
    <w:rsid w:val="00BA7E9B"/>
    <w:rsid w:val="00BD3003"/>
    <w:rsid w:val="00BD6617"/>
    <w:rsid w:val="00BE07B7"/>
    <w:rsid w:val="00C04B66"/>
    <w:rsid w:val="00C35375"/>
    <w:rsid w:val="00C36EA1"/>
    <w:rsid w:val="00C57219"/>
    <w:rsid w:val="00C8064B"/>
    <w:rsid w:val="00C93154"/>
    <w:rsid w:val="00CA18E2"/>
    <w:rsid w:val="00CB7915"/>
    <w:rsid w:val="00CD5A37"/>
    <w:rsid w:val="00CE7140"/>
    <w:rsid w:val="00D1328C"/>
    <w:rsid w:val="00D36B19"/>
    <w:rsid w:val="00D41CEF"/>
    <w:rsid w:val="00D55FE3"/>
    <w:rsid w:val="00D72363"/>
    <w:rsid w:val="00D77FA2"/>
    <w:rsid w:val="00DA1F24"/>
    <w:rsid w:val="00DA23E4"/>
    <w:rsid w:val="00DA32BA"/>
    <w:rsid w:val="00DA7E26"/>
    <w:rsid w:val="00DC441C"/>
    <w:rsid w:val="00DC5527"/>
    <w:rsid w:val="00DE028A"/>
    <w:rsid w:val="00DF1615"/>
    <w:rsid w:val="00E24D9C"/>
    <w:rsid w:val="00E27A9D"/>
    <w:rsid w:val="00E52F76"/>
    <w:rsid w:val="00E8444B"/>
    <w:rsid w:val="00E9663E"/>
    <w:rsid w:val="00EA3AE9"/>
    <w:rsid w:val="00EB0E84"/>
    <w:rsid w:val="00EB12C2"/>
    <w:rsid w:val="00EB7FBE"/>
    <w:rsid w:val="00EE426B"/>
    <w:rsid w:val="00F0158C"/>
    <w:rsid w:val="00F3570A"/>
    <w:rsid w:val="00F4048C"/>
    <w:rsid w:val="00F536A3"/>
    <w:rsid w:val="00F806E2"/>
    <w:rsid w:val="00FA318C"/>
    <w:rsid w:val="00FB34A6"/>
    <w:rsid w:val="00FC0CFE"/>
    <w:rsid w:val="00FE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D684"/>
  <w15:docId w15:val="{DDA538BE-E80C-4959-A724-0CB1A79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0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0A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14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4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B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E"/>
  </w:style>
  <w:style w:type="paragraph" w:styleId="Footer">
    <w:name w:val="footer"/>
    <w:basedOn w:val="Normal"/>
    <w:link w:val="FooterChar"/>
    <w:uiPriority w:val="99"/>
    <w:unhideWhenUsed/>
    <w:rsid w:val="002E2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E"/>
  </w:style>
  <w:style w:type="paragraph" w:styleId="NoSpacing">
    <w:name w:val="No Spacing"/>
    <w:uiPriority w:val="1"/>
    <w:qFormat/>
    <w:rsid w:val="00DF1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EE73-B5F5-48F9-BAD4-774F8F8D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Moneuoa Kopo</dc:creator>
  <cp:keywords/>
  <dc:description/>
  <cp:lastModifiedBy>Limakatso Tsekela</cp:lastModifiedBy>
  <cp:revision>32</cp:revision>
  <dcterms:created xsi:type="dcterms:W3CDTF">2022-08-15T12:53:00Z</dcterms:created>
  <dcterms:modified xsi:type="dcterms:W3CDTF">2022-08-25T10:30:00Z</dcterms:modified>
</cp:coreProperties>
</file>