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52CC" w14:textId="7AC7614E" w:rsidR="002A6BC0" w:rsidRDefault="002A6BC0" w:rsidP="008727B9">
      <w:pPr>
        <w:spacing w:after="0" w:line="360" w:lineRule="auto"/>
        <w:jc w:val="center"/>
        <w:rPr>
          <w:rFonts w:ascii="Times New Roman" w:hAnsi="Times New Roman" w:cs="Times New Roman"/>
          <w:b/>
          <w:bCs/>
          <w:sz w:val="28"/>
          <w:szCs w:val="28"/>
          <w:u w:val="single"/>
          <w:lang w:val="en-ZA"/>
        </w:rPr>
      </w:pPr>
    </w:p>
    <w:p w14:paraId="0225920C" w14:textId="7660844A" w:rsidR="002A6BC0" w:rsidRDefault="002A6BC0" w:rsidP="008727B9">
      <w:pPr>
        <w:spacing w:after="0" w:line="360" w:lineRule="auto"/>
        <w:jc w:val="center"/>
        <w:rPr>
          <w:rFonts w:ascii="Times New Roman" w:hAnsi="Times New Roman" w:cs="Times New Roman"/>
          <w:b/>
          <w:bCs/>
          <w:sz w:val="28"/>
          <w:szCs w:val="28"/>
          <w:u w:val="single"/>
          <w:lang w:val="en-ZA"/>
        </w:rPr>
      </w:pPr>
    </w:p>
    <w:p w14:paraId="6FBFF1FC" w14:textId="23E49837" w:rsidR="002A6BC0" w:rsidRDefault="002A6BC0" w:rsidP="008727B9">
      <w:pPr>
        <w:spacing w:after="0" w:line="360" w:lineRule="auto"/>
        <w:jc w:val="center"/>
        <w:rPr>
          <w:rFonts w:ascii="Times New Roman" w:hAnsi="Times New Roman" w:cs="Times New Roman"/>
          <w:b/>
          <w:bCs/>
          <w:sz w:val="28"/>
          <w:szCs w:val="28"/>
          <w:u w:val="single"/>
          <w:lang w:val="en-ZA"/>
        </w:rPr>
      </w:pPr>
    </w:p>
    <w:p w14:paraId="13B0487B" w14:textId="77777777" w:rsidR="002A6BC0" w:rsidRDefault="002A6BC0" w:rsidP="008727B9">
      <w:pPr>
        <w:spacing w:after="0" w:line="360" w:lineRule="auto"/>
        <w:jc w:val="center"/>
        <w:rPr>
          <w:rFonts w:ascii="Times New Roman" w:hAnsi="Times New Roman" w:cs="Times New Roman"/>
          <w:b/>
          <w:bCs/>
          <w:sz w:val="28"/>
          <w:szCs w:val="28"/>
          <w:u w:val="single"/>
          <w:lang w:val="en-ZA"/>
        </w:rPr>
      </w:pPr>
    </w:p>
    <w:p w14:paraId="44874605" w14:textId="320D3FA4" w:rsidR="002A6BC0" w:rsidRDefault="002A6BC0" w:rsidP="008727B9">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414F336C" w14:textId="6CD949A2" w:rsidR="002A6BC0" w:rsidRDefault="002A6BC0" w:rsidP="008727B9">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66EAB978" w14:textId="55DA26E8" w:rsidR="002A6BC0" w:rsidRDefault="002A6BC0" w:rsidP="002A6BC0">
      <w:pPr>
        <w:spacing w:after="0" w:line="360" w:lineRule="auto"/>
        <w:jc w:val="both"/>
        <w:rPr>
          <w:rFonts w:ascii="Times New Roman" w:hAnsi="Times New Roman" w:cs="Times New Roman"/>
          <w:b/>
          <w:bCs/>
          <w:sz w:val="32"/>
          <w:szCs w:val="32"/>
          <w:lang w:val="en-ZA"/>
        </w:rPr>
      </w:pPr>
    </w:p>
    <w:p w14:paraId="2D1364DB" w14:textId="79C58A94" w:rsidR="002A6BC0" w:rsidRDefault="002A6BC0" w:rsidP="002A6BC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CCA/0057/2022</w:t>
      </w:r>
    </w:p>
    <w:p w14:paraId="2A625477" w14:textId="194F2715" w:rsidR="002A6BC0" w:rsidRDefault="002A6BC0" w:rsidP="002A6BC0">
      <w:pPr>
        <w:spacing w:after="0" w:line="360" w:lineRule="auto"/>
        <w:jc w:val="both"/>
        <w:rPr>
          <w:rFonts w:ascii="Times New Roman" w:hAnsi="Times New Roman" w:cs="Times New Roman"/>
          <w:b/>
          <w:bCs/>
          <w:sz w:val="28"/>
          <w:szCs w:val="28"/>
          <w:lang w:val="en-ZA"/>
        </w:rPr>
      </w:pPr>
    </w:p>
    <w:p w14:paraId="0C9B1FE8" w14:textId="2EB0DE0B" w:rsidR="002A6BC0" w:rsidRDefault="002A6BC0" w:rsidP="002A6BC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52431726" w14:textId="72DBEDC2" w:rsidR="002A6BC0" w:rsidRDefault="002A6BC0" w:rsidP="002A6BC0">
      <w:pPr>
        <w:spacing w:after="0" w:line="360" w:lineRule="auto"/>
        <w:jc w:val="both"/>
        <w:rPr>
          <w:rFonts w:ascii="Times New Roman" w:hAnsi="Times New Roman" w:cs="Times New Roman"/>
          <w:sz w:val="28"/>
          <w:szCs w:val="28"/>
          <w:lang w:val="en-ZA"/>
        </w:rPr>
      </w:pPr>
    </w:p>
    <w:p w14:paraId="7A3D2D53" w14:textId="58073738" w:rsidR="002A6BC0" w:rsidRDefault="002A6BC0" w:rsidP="002A6BC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PLATINUM CREDIT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27DE4240" w14:textId="14A0621A" w:rsidR="002A6BC0" w:rsidRDefault="002A6BC0" w:rsidP="002A6BC0">
      <w:pPr>
        <w:spacing w:after="0" w:line="360" w:lineRule="auto"/>
        <w:jc w:val="both"/>
        <w:rPr>
          <w:rFonts w:ascii="Times New Roman" w:hAnsi="Times New Roman" w:cs="Times New Roman"/>
          <w:b/>
          <w:bCs/>
          <w:sz w:val="28"/>
          <w:szCs w:val="28"/>
          <w:lang w:val="en-ZA"/>
        </w:rPr>
      </w:pPr>
    </w:p>
    <w:p w14:paraId="67E0328B" w14:textId="4BB91B1B" w:rsidR="002A6BC0" w:rsidRDefault="002A6BC0" w:rsidP="002A6BC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AND </w:t>
      </w:r>
    </w:p>
    <w:p w14:paraId="1751C057" w14:textId="364C81CD" w:rsidR="002A6BC0" w:rsidRDefault="002A6BC0" w:rsidP="002A6BC0">
      <w:pPr>
        <w:spacing w:after="0" w:line="360" w:lineRule="auto"/>
        <w:jc w:val="both"/>
        <w:rPr>
          <w:rFonts w:ascii="Times New Roman" w:hAnsi="Times New Roman" w:cs="Times New Roman"/>
          <w:b/>
          <w:bCs/>
          <w:sz w:val="28"/>
          <w:szCs w:val="28"/>
          <w:lang w:val="en-ZA"/>
        </w:rPr>
      </w:pPr>
    </w:p>
    <w:p w14:paraId="301C7828" w14:textId="01CD72C5" w:rsidR="002A6BC0" w:rsidRDefault="002A6BC0" w:rsidP="002A6BC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PLATCORP HOLDINGS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RESPONDENT</w:t>
      </w:r>
    </w:p>
    <w:p w14:paraId="41B88E70" w14:textId="603D323C" w:rsidR="002A6BC0" w:rsidRDefault="002A6BC0" w:rsidP="002A6BC0">
      <w:pPr>
        <w:spacing w:after="0" w:line="360" w:lineRule="auto"/>
        <w:jc w:val="both"/>
        <w:rPr>
          <w:rFonts w:ascii="Times New Roman" w:hAnsi="Times New Roman" w:cs="Times New Roman"/>
          <w:b/>
          <w:bCs/>
          <w:sz w:val="28"/>
          <w:szCs w:val="28"/>
          <w:lang w:val="en-ZA"/>
        </w:rPr>
      </w:pPr>
    </w:p>
    <w:p w14:paraId="26BD0695" w14:textId="3CB2535A" w:rsidR="002A6BC0" w:rsidRDefault="002A6BC0" w:rsidP="002A6BC0">
      <w:pPr>
        <w:spacing w:after="0" w:line="360" w:lineRule="auto"/>
        <w:jc w:val="both"/>
        <w:rPr>
          <w:rFonts w:ascii="Times New Roman" w:hAnsi="Times New Roman" w:cs="Times New Roman"/>
          <w:b/>
          <w:bCs/>
          <w:sz w:val="28"/>
          <w:szCs w:val="28"/>
          <w:lang w:val="en-ZA"/>
        </w:rPr>
      </w:pPr>
    </w:p>
    <w:p w14:paraId="5A5BCE83" w14:textId="68E4A248" w:rsidR="0015514D" w:rsidRDefault="002A6BC0" w:rsidP="0036364B">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Platinum Credit Ltd v Platcorp Holdings Limited [2022] LSHC</w:t>
      </w:r>
      <w:r w:rsidR="006E1E13">
        <w:rPr>
          <w:rFonts w:ascii="Times New Roman" w:hAnsi="Times New Roman" w:cs="Times New Roman"/>
          <w:sz w:val="28"/>
          <w:szCs w:val="28"/>
          <w:lang w:val="en-ZA"/>
        </w:rPr>
        <w:t xml:space="preserve"> </w:t>
      </w:r>
      <w:bookmarkStart w:id="0" w:name="_GoBack"/>
      <w:bookmarkEnd w:id="0"/>
      <w:r w:rsidR="00861A6E">
        <w:rPr>
          <w:rFonts w:ascii="Times New Roman" w:hAnsi="Times New Roman" w:cs="Times New Roman"/>
          <w:sz w:val="28"/>
          <w:szCs w:val="28"/>
          <w:lang w:val="en-ZA"/>
        </w:rPr>
        <w:t>199</w:t>
      </w:r>
      <w:r>
        <w:rPr>
          <w:rFonts w:ascii="Times New Roman" w:hAnsi="Times New Roman" w:cs="Times New Roman"/>
          <w:sz w:val="28"/>
          <w:szCs w:val="28"/>
          <w:lang w:val="en-ZA"/>
        </w:rPr>
        <w:t xml:space="preserve"> Comm. (</w:t>
      </w:r>
      <w:r w:rsidR="0036364B">
        <w:rPr>
          <w:rFonts w:ascii="Times New Roman" w:hAnsi="Times New Roman" w:cs="Times New Roman"/>
          <w:sz w:val="28"/>
          <w:szCs w:val="28"/>
          <w:lang w:val="en-ZA"/>
        </w:rPr>
        <w:t xml:space="preserve">25 AUGUST </w:t>
      </w:r>
      <w:r>
        <w:rPr>
          <w:rFonts w:ascii="Times New Roman" w:hAnsi="Times New Roman" w:cs="Times New Roman"/>
          <w:sz w:val="28"/>
          <w:szCs w:val="28"/>
          <w:lang w:val="en-ZA"/>
        </w:rPr>
        <w:t>2022)</w:t>
      </w:r>
    </w:p>
    <w:p w14:paraId="0EDD6BF2" w14:textId="77777777" w:rsidR="00C538D8" w:rsidRDefault="00C538D8" w:rsidP="0036364B">
      <w:pPr>
        <w:spacing w:after="0" w:line="360" w:lineRule="auto"/>
        <w:jc w:val="both"/>
        <w:rPr>
          <w:rFonts w:ascii="Times New Roman" w:hAnsi="Times New Roman" w:cs="Times New Roman"/>
          <w:sz w:val="28"/>
          <w:szCs w:val="28"/>
          <w:lang w:val="en-ZA"/>
        </w:rPr>
      </w:pPr>
    </w:p>
    <w:p w14:paraId="659D9B50" w14:textId="77777777" w:rsidR="0015514D" w:rsidRDefault="0015514D" w:rsidP="0036364B">
      <w:pPr>
        <w:spacing w:after="0" w:line="360" w:lineRule="auto"/>
        <w:jc w:val="both"/>
        <w:rPr>
          <w:rFonts w:ascii="Times New Roman" w:hAnsi="Times New Roman" w:cs="Times New Roman"/>
          <w:sz w:val="28"/>
          <w:szCs w:val="28"/>
          <w:lang w:val="en-ZA"/>
        </w:rPr>
      </w:pPr>
    </w:p>
    <w:p w14:paraId="268D6F35" w14:textId="1C27B1E3" w:rsidR="0036364B" w:rsidRPr="0015514D" w:rsidRDefault="0036364B" w:rsidP="0036364B">
      <w:pPr>
        <w:spacing w:after="0" w:line="360" w:lineRule="auto"/>
        <w:jc w:val="both"/>
        <w:rPr>
          <w:rFonts w:ascii="Times New Roman" w:hAnsi="Times New Roman" w:cs="Times New Roman"/>
          <w:b/>
          <w:bCs/>
          <w:sz w:val="28"/>
          <w:szCs w:val="28"/>
          <w:lang w:val="en-ZA"/>
        </w:rPr>
      </w:pPr>
      <w:r w:rsidRPr="0015514D">
        <w:rPr>
          <w:rFonts w:ascii="Times New Roman" w:hAnsi="Times New Roman" w:cs="Times New Roman"/>
          <w:b/>
          <w:bCs/>
          <w:sz w:val="28"/>
          <w:szCs w:val="28"/>
          <w:lang w:val="en-ZA"/>
        </w:rPr>
        <w:t xml:space="preserve">CORAM: </w:t>
      </w:r>
      <w:r w:rsidR="00861A6E">
        <w:rPr>
          <w:rFonts w:ascii="Times New Roman" w:hAnsi="Times New Roman" w:cs="Times New Roman"/>
          <w:b/>
          <w:bCs/>
          <w:sz w:val="28"/>
          <w:szCs w:val="28"/>
          <w:lang w:val="en-ZA"/>
        </w:rPr>
        <w:tab/>
      </w:r>
      <w:r w:rsidR="00861A6E">
        <w:rPr>
          <w:rFonts w:ascii="Times New Roman" w:hAnsi="Times New Roman" w:cs="Times New Roman"/>
          <w:b/>
          <w:bCs/>
          <w:sz w:val="28"/>
          <w:szCs w:val="28"/>
          <w:lang w:val="en-ZA"/>
        </w:rPr>
        <w:tab/>
      </w:r>
      <w:r w:rsidR="00861A6E">
        <w:rPr>
          <w:rFonts w:ascii="Times New Roman" w:hAnsi="Times New Roman" w:cs="Times New Roman"/>
          <w:b/>
          <w:bCs/>
          <w:sz w:val="28"/>
          <w:szCs w:val="28"/>
          <w:lang w:val="en-ZA"/>
        </w:rPr>
        <w:tab/>
      </w:r>
      <w:r w:rsidR="00861A6E">
        <w:rPr>
          <w:rFonts w:ascii="Times New Roman" w:hAnsi="Times New Roman" w:cs="Times New Roman"/>
          <w:b/>
          <w:bCs/>
          <w:sz w:val="28"/>
          <w:szCs w:val="28"/>
          <w:lang w:val="en-ZA"/>
        </w:rPr>
        <w:tab/>
      </w:r>
      <w:r w:rsidRPr="0015514D">
        <w:rPr>
          <w:rFonts w:ascii="Times New Roman" w:hAnsi="Times New Roman" w:cs="Times New Roman"/>
          <w:b/>
          <w:bCs/>
          <w:sz w:val="28"/>
          <w:szCs w:val="28"/>
          <w:lang w:val="en-ZA"/>
        </w:rPr>
        <w:t>MOKHESI J</w:t>
      </w:r>
    </w:p>
    <w:p w14:paraId="62C45A9E" w14:textId="663DEB47" w:rsidR="0036364B" w:rsidRPr="0015514D" w:rsidRDefault="0009531B" w:rsidP="0036364B">
      <w:pPr>
        <w:spacing w:after="0" w:line="360" w:lineRule="auto"/>
        <w:jc w:val="both"/>
        <w:rPr>
          <w:rFonts w:ascii="Times New Roman" w:hAnsi="Times New Roman" w:cs="Times New Roman"/>
          <w:b/>
          <w:bCs/>
          <w:sz w:val="28"/>
          <w:szCs w:val="28"/>
          <w:lang w:val="en-ZA"/>
        </w:rPr>
      </w:pPr>
      <w:r w:rsidRPr="0015514D">
        <w:rPr>
          <w:rFonts w:ascii="Times New Roman" w:hAnsi="Times New Roman" w:cs="Times New Roman"/>
          <w:b/>
          <w:bCs/>
          <w:sz w:val="28"/>
          <w:szCs w:val="28"/>
          <w:lang w:val="en-ZA"/>
        </w:rPr>
        <w:t xml:space="preserve">DATE OF </w:t>
      </w:r>
      <w:r w:rsidR="0036364B" w:rsidRPr="0015514D">
        <w:rPr>
          <w:rFonts w:ascii="Times New Roman" w:hAnsi="Times New Roman" w:cs="Times New Roman"/>
          <w:b/>
          <w:bCs/>
          <w:sz w:val="28"/>
          <w:szCs w:val="28"/>
          <w:lang w:val="en-ZA"/>
        </w:rPr>
        <w:t>HEAR</w:t>
      </w:r>
      <w:r w:rsidRPr="0015514D">
        <w:rPr>
          <w:rFonts w:ascii="Times New Roman" w:hAnsi="Times New Roman" w:cs="Times New Roman"/>
          <w:b/>
          <w:bCs/>
          <w:sz w:val="28"/>
          <w:szCs w:val="28"/>
          <w:lang w:val="en-ZA"/>
        </w:rPr>
        <w:t>ING</w:t>
      </w:r>
      <w:r w:rsidR="0036364B" w:rsidRPr="0015514D">
        <w:rPr>
          <w:rFonts w:ascii="Times New Roman" w:hAnsi="Times New Roman" w:cs="Times New Roman"/>
          <w:b/>
          <w:bCs/>
          <w:sz w:val="28"/>
          <w:szCs w:val="28"/>
          <w:lang w:val="en-ZA"/>
        </w:rPr>
        <w:t>:</w:t>
      </w:r>
      <w:r w:rsidR="00861A6E">
        <w:rPr>
          <w:rFonts w:ascii="Times New Roman" w:hAnsi="Times New Roman" w:cs="Times New Roman"/>
          <w:b/>
          <w:bCs/>
          <w:sz w:val="28"/>
          <w:szCs w:val="28"/>
          <w:lang w:val="en-ZA"/>
        </w:rPr>
        <w:tab/>
      </w:r>
      <w:r w:rsidRPr="0015514D">
        <w:rPr>
          <w:rFonts w:ascii="Times New Roman" w:hAnsi="Times New Roman" w:cs="Times New Roman"/>
          <w:b/>
          <w:bCs/>
          <w:sz w:val="28"/>
          <w:szCs w:val="28"/>
          <w:lang w:val="en-ZA"/>
        </w:rPr>
        <w:t xml:space="preserve"> </w:t>
      </w:r>
      <w:r w:rsidR="00861A6E">
        <w:rPr>
          <w:rFonts w:ascii="Times New Roman" w:hAnsi="Times New Roman" w:cs="Times New Roman"/>
          <w:b/>
          <w:bCs/>
          <w:sz w:val="28"/>
          <w:szCs w:val="28"/>
          <w:lang w:val="en-ZA"/>
        </w:rPr>
        <w:tab/>
      </w:r>
      <w:r w:rsidRPr="0015514D">
        <w:rPr>
          <w:rFonts w:ascii="Times New Roman" w:hAnsi="Times New Roman" w:cs="Times New Roman"/>
          <w:b/>
          <w:bCs/>
          <w:sz w:val="28"/>
          <w:szCs w:val="28"/>
          <w:lang w:val="en-ZA"/>
        </w:rPr>
        <w:t>07</w:t>
      </w:r>
      <w:r w:rsidRPr="0015514D">
        <w:rPr>
          <w:rFonts w:ascii="Times New Roman" w:hAnsi="Times New Roman" w:cs="Times New Roman"/>
          <w:b/>
          <w:bCs/>
          <w:sz w:val="28"/>
          <w:szCs w:val="28"/>
          <w:vertAlign w:val="superscript"/>
          <w:lang w:val="en-ZA"/>
        </w:rPr>
        <w:t>TH</w:t>
      </w:r>
      <w:r w:rsidRPr="0015514D">
        <w:rPr>
          <w:rFonts w:ascii="Times New Roman" w:hAnsi="Times New Roman" w:cs="Times New Roman"/>
          <w:b/>
          <w:bCs/>
          <w:sz w:val="28"/>
          <w:szCs w:val="28"/>
          <w:lang w:val="en-ZA"/>
        </w:rPr>
        <w:t xml:space="preserve"> JULY 2022</w:t>
      </w:r>
    </w:p>
    <w:p w14:paraId="75DECE8A" w14:textId="7077F9B4" w:rsidR="0009531B" w:rsidRDefault="0009531B" w:rsidP="0036364B">
      <w:pPr>
        <w:spacing w:after="0" w:line="360" w:lineRule="auto"/>
        <w:jc w:val="both"/>
        <w:rPr>
          <w:rFonts w:ascii="Times New Roman" w:hAnsi="Times New Roman" w:cs="Times New Roman"/>
          <w:b/>
          <w:bCs/>
          <w:sz w:val="28"/>
          <w:szCs w:val="28"/>
          <w:lang w:val="en-ZA"/>
        </w:rPr>
      </w:pPr>
      <w:r w:rsidRPr="0015514D">
        <w:rPr>
          <w:rFonts w:ascii="Times New Roman" w:hAnsi="Times New Roman" w:cs="Times New Roman"/>
          <w:b/>
          <w:bCs/>
          <w:sz w:val="28"/>
          <w:szCs w:val="28"/>
          <w:lang w:val="en-ZA"/>
        </w:rPr>
        <w:t xml:space="preserve">DATE OF </w:t>
      </w:r>
      <w:r w:rsidR="0015514D" w:rsidRPr="0015514D">
        <w:rPr>
          <w:rFonts w:ascii="Times New Roman" w:hAnsi="Times New Roman" w:cs="Times New Roman"/>
          <w:b/>
          <w:bCs/>
          <w:sz w:val="28"/>
          <w:szCs w:val="28"/>
          <w:lang w:val="en-ZA"/>
        </w:rPr>
        <w:t xml:space="preserve">JUDGMENT: </w:t>
      </w:r>
      <w:r w:rsidR="00861A6E">
        <w:rPr>
          <w:rFonts w:ascii="Times New Roman" w:hAnsi="Times New Roman" w:cs="Times New Roman"/>
          <w:b/>
          <w:bCs/>
          <w:sz w:val="28"/>
          <w:szCs w:val="28"/>
          <w:lang w:val="en-ZA"/>
        </w:rPr>
        <w:tab/>
      </w:r>
      <w:r w:rsidR="0015514D" w:rsidRPr="0015514D">
        <w:rPr>
          <w:rFonts w:ascii="Times New Roman" w:hAnsi="Times New Roman" w:cs="Times New Roman"/>
          <w:b/>
          <w:bCs/>
          <w:sz w:val="28"/>
          <w:szCs w:val="28"/>
          <w:lang w:val="en-ZA"/>
        </w:rPr>
        <w:t>25</w:t>
      </w:r>
      <w:r w:rsidR="0015514D" w:rsidRPr="0015514D">
        <w:rPr>
          <w:rFonts w:ascii="Times New Roman" w:hAnsi="Times New Roman" w:cs="Times New Roman"/>
          <w:b/>
          <w:bCs/>
          <w:sz w:val="28"/>
          <w:szCs w:val="28"/>
          <w:vertAlign w:val="superscript"/>
          <w:lang w:val="en-ZA"/>
        </w:rPr>
        <w:t>TH</w:t>
      </w:r>
      <w:r w:rsidR="0015514D" w:rsidRPr="0015514D">
        <w:rPr>
          <w:rFonts w:ascii="Times New Roman" w:hAnsi="Times New Roman" w:cs="Times New Roman"/>
          <w:b/>
          <w:bCs/>
          <w:sz w:val="28"/>
          <w:szCs w:val="28"/>
          <w:lang w:val="en-ZA"/>
        </w:rPr>
        <w:t xml:space="preserve"> AUGUST 2022</w:t>
      </w:r>
    </w:p>
    <w:p w14:paraId="6F711AB2" w14:textId="05352A1C" w:rsidR="0015514D" w:rsidRDefault="0015514D" w:rsidP="0036364B">
      <w:pPr>
        <w:spacing w:after="0" w:line="360" w:lineRule="auto"/>
        <w:jc w:val="both"/>
        <w:rPr>
          <w:rFonts w:ascii="Times New Roman" w:hAnsi="Times New Roman" w:cs="Times New Roman"/>
          <w:b/>
          <w:bCs/>
          <w:sz w:val="28"/>
          <w:szCs w:val="28"/>
          <w:lang w:val="en-ZA"/>
        </w:rPr>
      </w:pPr>
    </w:p>
    <w:p w14:paraId="639D20FA" w14:textId="77777777" w:rsidR="00C538D8" w:rsidRDefault="00C538D8" w:rsidP="0036364B">
      <w:pPr>
        <w:spacing w:after="0" w:line="360" w:lineRule="auto"/>
        <w:jc w:val="both"/>
        <w:rPr>
          <w:rFonts w:ascii="Times New Roman" w:hAnsi="Times New Roman" w:cs="Times New Roman"/>
          <w:b/>
          <w:bCs/>
          <w:sz w:val="28"/>
          <w:szCs w:val="28"/>
          <w:lang w:val="en-ZA"/>
        </w:rPr>
      </w:pPr>
    </w:p>
    <w:p w14:paraId="2DC3AF3B" w14:textId="18567324" w:rsidR="0015514D" w:rsidRPr="007C6906" w:rsidRDefault="0015514D" w:rsidP="0036364B">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7C6906">
        <w:rPr>
          <w:rFonts w:ascii="Times New Roman" w:hAnsi="Times New Roman" w:cs="Times New Roman"/>
          <w:b/>
          <w:bCs/>
          <w:sz w:val="28"/>
          <w:szCs w:val="28"/>
          <w:u w:val="single"/>
          <w:lang w:val="en-ZA"/>
        </w:rPr>
        <w:t>SUMMARY</w:t>
      </w:r>
    </w:p>
    <w:p w14:paraId="478BFB47" w14:textId="56306D4D" w:rsidR="009815CC" w:rsidRPr="007035F3" w:rsidRDefault="009815CC" w:rsidP="0036364B">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AND PROCEDURE: </w:t>
      </w:r>
      <w:r w:rsidRPr="007035F3">
        <w:rPr>
          <w:rFonts w:ascii="Times New Roman" w:hAnsi="Times New Roman" w:cs="Times New Roman"/>
          <w:i/>
          <w:iCs/>
          <w:sz w:val="28"/>
          <w:szCs w:val="28"/>
          <w:lang w:val="en-ZA"/>
        </w:rPr>
        <w:t xml:space="preserve">Abuse of urgency procedure- Application dismissed with punitive costs for abuse of urgency procedure- Law of property- counter application for a spoliatory relief in relation to </w:t>
      </w:r>
      <w:r w:rsidR="007035F3" w:rsidRPr="007035F3">
        <w:rPr>
          <w:rFonts w:ascii="Times New Roman" w:hAnsi="Times New Roman" w:cs="Times New Roman"/>
          <w:i/>
          <w:iCs/>
          <w:sz w:val="28"/>
          <w:szCs w:val="28"/>
          <w:lang w:val="en-ZA"/>
        </w:rPr>
        <w:t>incorporeal property- principles considered and applied.</w:t>
      </w:r>
    </w:p>
    <w:p w14:paraId="53D590A0" w14:textId="77777777" w:rsidR="007D0960" w:rsidRDefault="007D0960" w:rsidP="0036364B">
      <w:pPr>
        <w:spacing w:after="0" w:line="360" w:lineRule="auto"/>
        <w:jc w:val="both"/>
        <w:rPr>
          <w:rFonts w:ascii="Times New Roman" w:hAnsi="Times New Roman" w:cs="Times New Roman"/>
          <w:b/>
          <w:bCs/>
          <w:sz w:val="28"/>
          <w:szCs w:val="28"/>
          <w:lang w:val="en-ZA"/>
        </w:rPr>
      </w:pPr>
    </w:p>
    <w:p w14:paraId="625386EF" w14:textId="73F16EA4" w:rsidR="0015514D" w:rsidRDefault="0015514D" w:rsidP="0036364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102E81FE" w14:textId="5C73FF3C" w:rsidR="0015514D" w:rsidRDefault="0015514D" w:rsidP="0036364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STATUTES</w:t>
      </w:r>
    </w:p>
    <w:p w14:paraId="4E798515" w14:textId="5CA3BEC2" w:rsidR="00681F49" w:rsidRPr="009815CC" w:rsidRDefault="00681F49" w:rsidP="00681F49">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Financial Institutions Act of 2012.</w:t>
      </w:r>
    </w:p>
    <w:p w14:paraId="10DA0474" w14:textId="6C4FB03B" w:rsidR="0002072E" w:rsidRPr="009815CC" w:rsidRDefault="0002072E" w:rsidP="00681F49">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High Court Rules 1980</w:t>
      </w:r>
    </w:p>
    <w:p w14:paraId="616D511F" w14:textId="39CE055A" w:rsidR="0002072E" w:rsidRDefault="0002072E" w:rsidP="00681F49">
      <w:pPr>
        <w:spacing w:after="0" w:line="360" w:lineRule="auto"/>
        <w:jc w:val="both"/>
        <w:rPr>
          <w:rFonts w:ascii="Times New Roman" w:hAnsi="Times New Roman" w:cs="Times New Roman"/>
          <w:b/>
          <w:bCs/>
          <w:sz w:val="28"/>
          <w:szCs w:val="28"/>
          <w:lang w:val="en-ZA"/>
        </w:rPr>
      </w:pPr>
    </w:p>
    <w:p w14:paraId="2FB02789" w14:textId="55816115" w:rsidR="0002072E" w:rsidRDefault="0002072E" w:rsidP="00681F4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5F763FB0" w14:textId="091EA64E" w:rsidR="0002072E" w:rsidRDefault="0002072E" w:rsidP="00681F49">
      <w:pPr>
        <w:spacing w:after="0" w:line="360" w:lineRule="auto"/>
        <w:jc w:val="both"/>
        <w:rPr>
          <w:rFonts w:ascii="Times New Roman" w:hAnsi="Times New Roman" w:cs="Times New Roman"/>
          <w:b/>
          <w:bCs/>
          <w:sz w:val="28"/>
          <w:szCs w:val="28"/>
          <w:lang w:val="en-ZA"/>
        </w:rPr>
      </w:pPr>
      <w:r w:rsidRPr="0002072E">
        <w:rPr>
          <w:rFonts w:ascii="Times New Roman" w:hAnsi="Times New Roman" w:cs="Times New Roman"/>
          <w:sz w:val="28"/>
          <w:szCs w:val="28"/>
          <w:lang w:val="en-ZA"/>
        </w:rPr>
        <w:t>Cilliers &amp; Benade</w:t>
      </w:r>
      <w:r w:rsidRPr="0002072E">
        <w:rPr>
          <w:rFonts w:ascii="Times New Roman" w:hAnsi="Times New Roman" w:cs="Times New Roman"/>
          <w:b/>
          <w:bCs/>
          <w:sz w:val="28"/>
          <w:szCs w:val="28"/>
          <w:lang w:val="en-ZA"/>
        </w:rPr>
        <w:t xml:space="preserve"> 3 ed. Corporate Law</w:t>
      </w:r>
    </w:p>
    <w:p w14:paraId="77DEA632" w14:textId="339ABE48" w:rsidR="0002072E" w:rsidRPr="00681F49" w:rsidRDefault="0002072E" w:rsidP="00681F49">
      <w:pPr>
        <w:spacing w:after="0" w:line="360" w:lineRule="auto"/>
        <w:jc w:val="both"/>
        <w:rPr>
          <w:rFonts w:ascii="Times New Roman" w:hAnsi="Times New Roman" w:cs="Times New Roman"/>
          <w:b/>
          <w:bCs/>
          <w:sz w:val="28"/>
          <w:szCs w:val="28"/>
          <w:lang w:val="en-ZA"/>
        </w:rPr>
      </w:pPr>
      <w:r w:rsidRPr="0002072E">
        <w:rPr>
          <w:rFonts w:ascii="Times New Roman" w:hAnsi="Times New Roman" w:cs="Times New Roman"/>
          <w:sz w:val="28"/>
          <w:szCs w:val="28"/>
          <w:lang w:val="en-ZA"/>
        </w:rPr>
        <w:t>Harms</w:t>
      </w:r>
      <w:r w:rsidRPr="0002072E">
        <w:rPr>
          <w:rFonts w:ascii="Times New Roman" w:hAnsi="Times New Roman" w:cs="Times New Roman"/>
          <w:b/>
          <w:bCs/>
          <w:sz w:val="28"/>
          <w:szCs w:val="28"/>
          <w:lang w:val="en-ZA"/>
        </w:rPr>
        <w:t xml:space="preserve"> Civil Procedure in the Superior Court,</w:t>
      </w:r>
    </w:p>
    <w:p w14:paraId="2A4249B5" w14:textId="565EFC3C" w:rsidR="0015514D" w:rsidRDefault="0002072E" w:rsidP="0036364B">
      <w:pPr>
        <w:spacing w:after="0" w:line="360" w:lineRule="auto"/>
        <w:jc w:val="both"/>
        <w:rPr>
          <w:rFonts w:ascii="Times New Roman" w:hAnsi="Times New Roman" w:cs="Times New Roman"/>
          <w:b/>
          <w:bCs/>
          <w:sz w:val="28"/>
          <w:szCs w:val="28"/>
          <w:lang w:val="en-ZA"/>
        </w:rPr>
      </w:pPr>
      <w:r w:rsidRPr="0002072E">
        <w:rPr>
          <w:rFonts w:ascii="Times New Roman" w:hAnsi="Times New Roman" w:cs="Times New Roman"/>
          <w:sz w:val="28"/>
          <w:szCs w:val="28"/>
          <w:lang w:val="en-ZA"/>
        </w:rPr>
        <w:t>Herbstein and Van Winsen</w:t>
      </w:r>
      <w:r w:rsidRPr="0002072E">
        <w:rPr>
          <w:rFonts w:ascii="Times New Roman" w:hAnsi="Times New Roman" w:cs="Times New Roman"/>
          <w:b/>
          <w:bCs/>
          <w:sz w:val="28"/>
          <w:szCs w:val="28"/>
          <w:lang w:val="en-ZA"/>
        </w:rPr>
        <w:t xml:space="preserve"> The Civil Practice of Supreme Court of South Africa 5</w:t>
      </w:r>
      <w:r w:rsidRPr="0002072E">
        <w:rPr>
          <w:rFonts w:ascii="Times New Roman" w:hAnsi="Times New Roman" w:cs="Times New Roman"/>
          <w:b/>
          <w:bCs/>
          <w:sz w:val="28"/>
          <w:szCs w:val="28"/>
          <w:vertAlign w:val="superscript"/>
          <w:lang w:val="en-ZA"/>
        </w:rPr>
        <w:t>th</w:t>
      </w:r>
      <w:r w:rsidRPr="0002072E">
        <w:rPr>
          <w:rFonts w:ascii="Times New Roman" w:hAnsi="Times New Roman" w:cs="Times New Roman"/>
          <w:b/>
          <w:bCs/>
          <w:sz w:val="28"/>
          <w:szCs w:val="28"/>
          <w:lang w:val="en-ZA"/>
        </w:rPr>
        <w:t xml:space="preserve"> ed. Vol.1</w:t>
      </w:r>
    </w:p>
    <w:p w14:paraId="306CC9D6" w14:textId="77777777" w:rsidR="0015514D" w:rsidRDefault="0015514D" w:rsidP="0036364B">
      <w:pPr>
        <w:spacing w:after="0" w:line="360" w:lineRule="auto"/>
        <w:jc w:val="both"/>
        <w:rPr>
          <w:rFonts w:ascii="Times New Roman" w:hAnsi="Times New Roman" w:cs="Times New Roman"/>
          <w:b/>
          <w:bCs/>
          <w:sz w:val="28"/>
          <w:szCs w:val="28"/>
          <w:lang w:val="en-ZA"/>
        </w:rPr>
      </w:pPr>
    </w:p>
    <w:p w14:paraId="15173761" w14:textId="78B36A31" w:rsidR="002A6BC0" w:rsidRDefault="0015514D" w:rsidP="0002072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15FDC9D2" w14:textId="633814F6" w:rsidR="0002072E"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Beinash v Wixley 1997 (3) SA 721</w:t>
      </w:r>
    </w:p>
    <w:p w14:paraId="79890458" w14:textId="05DE02B0" w:rsidR="00DC1672" w:rsidRPr="009815CC" w:rsidRDefault="00DC1672"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Blendrite (Pty) Ltd and Another v Moonsami and Another (227/2020) [2021] ZASCA 77 (10 June 2021)</w:t>
      </w:r>
    </w:p>
    <w:p w14:paraId="10C2D7D8" w14:textId="292BE6D1" w:rsidR="0002072E"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Commissioner SARS v Hawker Air Services (Pty) Ltd 2006 (4) SA 292 (SCA)</w:t>
      </w:r>
    </w:p>
    <w:p w14:paraId="1442AFE1" w14:textId="7CA2E652" w:rsidR="00DC1672" w:rsidRPr="009815CC" w:rsidRDefault="00DC1672"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First Rand Ltd. t/a Rand Merchant Bank and Another v Scholtz NO and Others [2006] SCA 98 (RSA); 2008 (2) SA 503 (SCA)</w:t>
      </w:r>
    </w:p>
    <w:p w14:paraId="106ACAF5" w14:textId="6BF8D385" w:rsidR="00DC1672" w:rsidRPr="009815CC" w:rsidRDefault="00DC1672"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Khabo v Khabo (C of A (Civ) 72/18 [2019] LSCA 56 (01 Nov. 2019)</w:t>
      </w:r>
    </w:p>
    <w:p w14:paraId="1D9E3D81" w14:textId="6CF2F5B9" w:rsidR="0002072E"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LNDC v LNDC Employees and Allied Workers Union LAC (2000 – 2004) 315</w:t>
      </w:r>
    </w:p>
    <w:p w14:paraId="3FC9AF05" w14:textId="7649CD43" w:rsidR="00DC1672" w:rsidRPr="009815CC" w:rsidRDefault="00DC1672" w:rsidP="00DC1672">
      <w:pPr>
        <w:pStyle w:val="Heading1"/>
        <w:rPr>
          <w:b w:val="0"/>
          <w:bCs w:val="0"/>
          <w:i/>
          <w:iCs/>
        </w:rPr>
      </w:pPr>
      <w:r w:rsidRPr="009815CC">
        <w:rPr>
          <w:b w:val="0"/>
          <w:bCs w:val="0"/>
          <w:i/>
          <w:iCs/>
        </w:rPr>
        <w:lastRenderedPageBreak/>
        <w:t>Makoala v Makoala LAC (2009 – 2010) 40</w:t>
      </w:r>
    </w:p>
    <w:p w14:paraId="08548425" w14:textId="24A7D0CE" w:rsidR="00DC1672" w:rsidRPr="009815CC" w:rsidRDefault="00DC1672"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Nino Bonino v De lange 1906 T.S 120</w:t>
      </w:r>
    </w:p>
    <w:p w14:paraId="55022815" w14:textId="0AAD78BD" w:rsidR="00DC1672" w:rsidRPr="009815CC" w:rsidRDefault="00DC1672"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Tigon Ltd v Bestyet Investments (Pty) Ltd 2001 (4) SA 634</w:t>
      </w:r>
    </w:p>
    <w:p w14:paraId="6DCB1ED0" w14:textId="6239F7AE" w:rsidR="0002072E"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Vena and Another v Vena and Others 2010 (2) SA 248 (ECP)</w:t>
      </w:r>
    </w:p>
    <w:p w14:paraId="415402FD" w14:textId="1E7798F2" w:rsidR="0015514D"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Vice-Chancellor of NUL and Another v Putsoa LAC (2000-2004) 458</w:t>
      </w:r>
    </w:p>
    <w:p w14:paraId="27F9DC83" w14:textId="77777777" w:rsidR="0002072E"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 xml:space="preserve">Zietsman v Electronic Media Network Ltd and Another (771/2010) [2011] ZASCA 169 (29 September 2011) </w:t>
      </w:r>
    </w:p>
    <w:p w14:paraId="6D333CF3" w14:textId="609DFCD8" w:rsidR="0002072E" w:rsidRPr="009815CC" w:rsidRDefault="0002072E" w:rsidP="0002072E">
      <w:pPr>
        <w:spacing w:after="0" w:line="360" w:lineRule="auto"/>
        <w:jc w:val="both"/>
        <w:rPr>
          <w:rFonts w:ascii="Times New Roman" w:hAnsi="Times New Roman" w:cs="Times New Roman"/>
          <w:i/>
          <w:iCs/>
          <w:sz w:val="28"/>
          <w:szCs w:val="28"/>
          <w:lang w:val="en-ZA"/>
        </w:rPr>
      </w:pPr>
      <w:r w:rsidRPr="009815CC">
        <w:rPr>
          <w:rFonts w:ascii="Times New Roman" w:hAnsi="Times New Roman" w:cs="Times New Roman"/>
          <w:i/>
          <w:iCs/>
          <w:sz w:val="28"/>
          <w:szCs w:val="28"/>
          <w:lang w:val="en-ZA"/>
        </w:rPr>
        <w:t>United Enterprises Corporation v STR Pan Ocean Co. Ltd [2008] ZASCA 21: 2008 (3) SA 585 (SCA)</w:t>
      </w:r>
    </w:p>
    <w:p w14:paraId="5524131A" w14:textId="63FDA35C" w:rsidR="0015514D" w:rsidRPr="009815CC" w:rsidRDefault="0015514D" w:rsidP="008727B9">
      <w:pPr>
        <w:spacing w:after="0" w:line="360" w:lineRule="auto"/>
        <w:jc w:val="center"/>
        <w:rPr>
          <w:rFonts w:ascii="Times New Roman" w:hAnsi="Times New Roman" w:cs="Times New Roman"/>
          <w:i/>
          <w:iCs/>
          <w:sz w:val="28"/>
          <w:szCs w:val="28"/>
          <w:u w:val="single"/>
          <w:lang w:val="en-ZA"/>
        </w:rPr>
      </w:pPr>
    </w:p>
    <w:p w14:paraId="1470F53D" w14:textId="4C7CDF74" w:rsidR="0015514D" w:rsidRPr="009815CC" w:rsidRDefault="0015514D" w:rsidP="008727B9">
      <w:pPr>
        <w:spacing w:after="0" w:line="360" w:lineRule="auto"/>
        <w:jc w:val="center"/>
        <w:rPr>
          <w:rFonts w:ascii="Times New Roman" w:hAnsi="Times New Roman" w:cs="Times New Roman"/>
          <w:i/>
          <w:iCs/>
          <w:sz w:val="28"/>
          <w:szCs w:val="28"/>
          <w:u w:val="single"/>
          <w:lang w:val="en-ZA"/>
        </w:rPr>
      </w:pPr>
    </w:p>
    <w:p w14:paraId="6D954B1E" w14:textId="136F9FE8" w:rsidR="0015514D" w:rsidRPr="009815CC" w:rsidRDefault="0015514D" w:rsidP="008727B9">
      <w:pPr>
        <w:spacing w:after="0" w:line="360" w:lineRule="auto"/>
        <w:jc w:val="center"/>
        <w:rPr>
          <w:rFonts w:ascii="Times New Roman" w:hAnsi="Times New Roman" w:cs="Times New Roman"/>
          <w:i/>
          <w:iCs/>
          <w:sz w:val="28"/>
          <w:szCs w:val="28"/>
          <w:u w:val="single"/>
          <w:lang w:val="en-ZA"/>
        </w:rPr>
      </w:pPr>
    </w:p>
    <w:p w14:paraId="3C56513C" w14:textId="56774F59" w:rsidR="0015514D" w:rsidRDefault="0015514D" w:rsidP="008727B9">
      <w:pPr>
        <w:spacing w:after="0" w:line="360" w:lineRule="auto"/>
        <w:jc w:val="center"/>
        <w:rPr>
          <w:rFonts w:ascii="Times New Roman" w:hAnsi="Times New Roman" w:cs="Times New Roman"/>
          <w:b/>
          <w:bCs/>
          <w:sz w:val="28"/>
          <w:szCs w:val="28"/>
          <w:u w:val="single"/>
          <w:lang w:val="en-ZA"/>
        </w:rPr>
      </w:pPr>
    </w:p>
    <w:p w14:paraId="3A2C0065" w14:textId="4517EE38" w:rsidR="0015514D" w:rsidRDefault="0015514D" w:rsidP="008727B9">
      <w:pPr>
        <w:spacing w:after="0" w:line="360" w:lineRule="auto"/>
        <w:jc w:val="center"/>
        <w:rPr>
          <w:rFonts w:ascii="Times New Roman" w:hAnsi="Times New Roman" w:cs="Times New Roman"/>
          <w:b/>
          <w:bCs/>
          <w:sz w:val="28"/>
          <w:szCs w:val="28"/>
          <w:u w:val="single"/>
          <w:lang w:val="en-ZA"/>
        </w:rPr>
      </w:pPr>
    </w:p>
    <w:p w14:paraId="421AB7C8" w14:textId="16093A8B" w:rsidR="0015514D" w:rsidRDefault="0015514D" w:rsidP="008727B9">
      <w:pPr>
        <w:spacing w:after="0" w:line="360" w:lineRule="auto"/>
        <w:jc w:val="center"/>
        <w:rPr>
          <w:rFonts w:ascii="Times New Roman" w:hAnsi="Times New Roman" w:cs="Times New Roman"/>
          <w:b/>
          <w:bCs/>
          <w:sz w:val="28"/>
          <w:szCs w:val="28"/>
          <w:u w:val="single"/>
          <w:lang w:val="en-ZA"/>
        </w:rPr>
      </w:pPr>
    </w:p>
    <w:p w14:paraId="7B179386" w14:textId="52838240" w:rsidR="0015514D" w:rsidRDefault="0015514D" w:rsidP="008727B9">
      <w:pPr>
        <w:spacing w:after="0" w:line="360" w:lineRule="auto"/>
        <w:jc w:val="center"/>
        <w:rPr>
          <w:rFonts w:ascii="Times New Roman" w:hAnsi="Times New Roman" w:cs="Times New Roman"/>
          <w:b/>
          <w:bCs/>
          <w:sz w:val="28"/>
          <w:szCs w:val="28"/>
          <w:u w:val="single"/>
          <w:lang w:val="en-ZA"/>
        </w:rPr>
      </w:pPr>
    </w:p>
    <w:p w14:paraId="1A28B3C9" w14:textId="2685D407" w:rsidR="0015514D" w:rsidRDefault="0015514D" w:rsidP="008727B9">
      <w:pPr>
        <w:spacing w:after="0" w:line="360" w:lineRule="auto"/>
        <w:jc w:val="center"/>
        <w:rPr>
          <w:rFonts w:ascii="Times New Roman" w:hAnsi="Times New Roman" w:cs="Times New Roman"/>
          <w:b/>
          <w:bCs/>
          <w:sz w:val="28"/>
          <w:szCs w:val="28"/>
          <w:u w:val="single"/>
          <w:lang w:val="en-ZA"/>
        </w:rPr>
      </w:pPr>
    </w:p>
    <w:p w14:paraId="7723D83F" w14:textId="352BE292" w:rsidR="0015514D" w:rsidRDefault="0015514D" w:rsidP="008727B9">
      <w:pPr>
        <w:spacing w:after="0" w:line="360" w:lineRule="auto"/>
        <w:jc w:val="center"/>
        <w:rPr>
          <w:rFonts w:ascii="Times New Roman" w:hAnsi="Times New Roman" w:cs="Times New Roman"/>
          <w:b/>
          <w:bCs/>
          <w:sz w:val="28"/>
          <w:szCs w:val="28"/>
          <w:u w:val="single"/>
          <w:lang w:val="en-ZA"/>
        </w:rPr>
      </w:pPr>
    </w:p>
    <w:p w14:paraId="6F9FD447" w14:textId="77777777" w:rsidR="0015514D" w:rsidRDefault="0015514D" w:rsidP="008727B9">
      <w:pPr>
        <w:spacing w:after="0" w:line="360" w:lineRule="auto"/>
        <w:jc w:val="center"/>
        <w:rPr>
          <w:rFonts w:ascii="Times New Roman" w:hAnsi="Times New Roman" w:cs="Times New Roman"/>
          <w:b/>
          <w:bCs/>
          <w:sz w:val="28"/>
          <w:szCs w:val="28"/>
          <w:u w:val="single"/>
          <w:lang w:val="en-ZA"/>
        </w:rPr>
      </w:pPr>
    </w:p>
    <w:p w14:paraId="6707DCD8" w14:textId="77777777" w:rsidR="002A6BC0" w:rsidRDefault="002A6BC0" w:rsidP="008727B9">
      <w:pPr>
        <w:spacing w:after="0" w:line="360" w:lineRule="auto"/>
        <w:jc w:val="center"/>
        <w:rPr>
          <w:rFonts w:ascii="Times New Roman" w:hAnsi="Times New Roman" w:cs="Times New Roman"/>
          <w:b/>
          <w:bCs/>
          <w:sz w:val="28"/>
          <w:szCs w:val="28"/>
          <w:u w:val="single"/>
          <w:lang w:val="en-ZA"/>
        </w:rPr>
      </w:pPr>
    </w:p>
    <w:p w14:paraId="41E2BA45" w14:textId="573D8498" w:rsidR="002A6BC0" w:rsidRDefault="002A6BC0" w:rsidP="008727B9">
      <w:pPr>
        <w:spacing w:after="0" w:line="360" w:lineRule="auto"/>
        <w:jc w:val="center"/>
        <w:rPr>
          <w:rFonts w:ascii="Times New Roman" w:hAnsi="Times New Roman" w:cs="Times New Roman"/>
          <w:b/>
          <w:bCs/>
          <w:sz w:val="28"/>
          <w:szCs w:val="28"/>
          <w:u w:val="single"/>
          <w:lang w:val="en-ZA"/>
        </w:rPr>
      </w:pPr>
    </w:p>
    <w:p w14:paraId="6E149043" w14:textId="25EF3A66" w:rsidR="000D72FB" w:rsidRDefault="000D72FB" w:rsidP="008727B9">
      <w:pPr>
        <w:spacing w:after="0" w:line="360" w:lineRule="auto"/>
        <w:jc w:val="center"/>
        <w:rPr>
          <w:rFonts w:ascii="Times New Roman" w:hAnsi="Times New Roman" w:cs="Times New Roman"/>
          <w:b/>
          <w:bCs/>
          <w:sz w:val="28"/>
          <w:szCs w:val="28"/>
          <w:u w:val="single"/>
          <w:lang w:val="en-ZA"/>
        </w:rPr>
      </w:pPr>
    </w:p>
    <w:p w14:paraId="65A02FCC" w14:textId="4D568FA8" w:rsidR="000D72FB" w:rsidRDefault="000D72FB" w:rsidP="008727B9">
      <w:pPr>
        <w:spacing w:after="0" w:line="360" w:lineRule="auto"/>
        <w:jc w:val="center"/>
        <w:rPr>
          <w:rFonts w:ascii="Times New Roman" w:hAnsi="Times New Roman" w:cs="Times New Roman"/>
          <w:b/>
          <w:bCs/>
          <w:sz w:val="28"/>
          <w:szCs w:val="28"/>
          <w:u w:val="single"/>
          <w:lang w:val="en-ZA"/>
        </w:rPr>
      </w:pPr>
    </w:p>
    <w:p w14:paraId="0CD2051D" w14:textId="701ADE48" w:rsidR="000D72FB" w:rsidRDefault="000D72FB" w:rsidP="008727B9">
      <w:pPr>
        <w:spacing w:after="0" w:line="360" w:lineRule="auto"/>
        <w:jc w:val="center"/>
        <w:rPr>
          <w:rFonts w:ascii="Times New Roman" w:hAnsi="Times New Roman" w:cs="Times New Roman"/>
          <w:b/>
          <w:bCs/>
          <w:sz w:val="28"/>
          <w:szCs w:val="28"/>
          <w:u w:val="single"/>
          <w:lang w:val="en-ZA"/>
        </w:rPr>
      </w:pPr>
    </w:p>
    <w:p w14:paraId="51CE6B90" w14:textId="77015371" w:rsidR="000D72FB" w:rsidRDefault="000D72FB" w:rsidP="008727B9">
      <w:pPr>
        <w:spacing w:after="0" w:line="360" w:lineRule="auto"/>
        <w:jc w:val="center"/>
        <w:rPr>
          <w:rFonts w:ascii="Times New Roman" w:hAnsi="Times New Roman" w:cs="Times New Roman"/>
          <w:b/>
          <w:bCs/>
          <w:sz w:val="28"/>
          <w:szCs w:val="28"/>
          <w:u w:val="single"/>
          <w:lang w:val="en-ZA"/>
        </w:rPr>
      </w:pPr>
    </w:p>
    <w:p w14:paraId="08EB17FB" w14:textId="3E03AA76" w:rsidR="000D72FB" w:rsidRDefault="000D72FB" w:rsidP="008727B9">
      <w:pPr>
        <w:spacing w:after="0" w:line="360" w:lineRule="auto"/>
        <w:jc w:val="center"/>
        <w:rPr>
          <w:rFonts w:ascii="Times New Roman" w:hAnsi="Times New Roman" w:cs="Times New Roman"/>
          <w:b/>
          <w:bCs/>
          <w:sz w:val="28"/>
          <w:szCs w:val="28"/>
          <w:u w:val="single"/>
          <w:lang w:val="en-ZA"/>
        </w:rPr>
      </w:pPr>
    </w:p>
    <w:p w14:paraId="59A36511" w14:textId="77777777" w:rsidR="00F66B47" w:rsidRDefault="00F66B47" w:rsidP="008727B9">
      <w:pPr>
        <w:spacing w:after="0" w:line="360" w:lineRule="auto"/>
        <w:jc w:val="center"/>
        <w:rPr>
          <w:rFonts w:ascii="Times New Roman" w:hAnsi="Times New Roman" w:cs="Times New Roman"/>
          <w:b/>
          <w:bCs/>
          <w:sz w:val="28"/>
          <w:szCs w:val="28"/>
          <w:u w:val="single"/>
          <w:lang w:val="en-ZA"/>
        </w:rPr>
      </w:pPr>
    </w:p>
    <w:p w14:paraId="1DC32BBB" w14:textId="39FF95A7" w:rsidR="008727B9" w:rsidRDefault="008727B9" w:rsidP="008727B9">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1123E747" w14:textId="296C5BBF" w:rsidR="008727B9" w:rsidRDefault="008727B9" w:rsidP="008727B9">
      <w:pPr>
        <w:spacing w:after="0" w:line="360" w:lineRule="auto"/>
        <w:jc w:val="both"/>
        <w:rPr>
          <w:rFonts w:ascii="Times New Roman" w:hAnsi="Times New Roman" w:cs="Times New Roman"/>
          <w:b/>
          <w:bCs/>
          <w:sz w:val="28"/>
          <w:szCs w:val="28"/>
          <w:u w:val="single"/>
          <w:lang w:val="en-ZA"/>
        </w:rPr>
      </w:pPr>
    </w:p>
    <w:p w14:paraId="7EC0CC4F" w14:textId="7E8FD269" w:rsidR="005A1184" w:rsidRDefault="008727B9" w:rsidP="008727B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5A1184" w:rsidRPr="005A1184">
        <w:rPr>
          <w:rFonts w:ascii="Times New Roman" w:hAnsi="Times New Roman" w:cs="Times New Roman"/>
          <w:b/>
          <w:bCs/>
          <w:sz w:val="28"/>
          <w:szCs w:val="28"/>
          <w:lang w:val="en-ZA"/>
        </w:rPr>
        <w:t>Introduction</w:t>
      </w:r>
    </w:p>
    <w:p w14:paraId="3D0876C5" w14:textId="456AE9FC" w:rsidR="008727B9" w:rsidRDefault="005A1184" w:rsidP="00F66B47">
      <w:pPr>
        <w:pStyle w:val="BodyTextIndent"/>
      </w:pPr>
      <w:r>
        <w:tab/>
      </w:r>
      <w:r w:rsidR="008727B9">
        <w:t>This judgment has two facets to it.  The main application and the counter</w:t>
      </w:r>
      <w:r w:rsidR="004D5084">
        <w:t xml:space="preserve"> </w:t>
      </w:r>
      <w:r w:rsidR="008727B9">
        <w:t>application.  Both applications are opposed.  In the main application the applicant (Platinum Credit Ltd) had approached this court on an urgent basis seeking the following reliefs:</w:t>
      </w:r>
    </w:p>
    <w:p w14:paraId="12B3E7ED" w14:textId="1AD523C6" w:rsidR="008727B9" w:rsidRDefault="008727B9" w:rsidP="008727B9">
      <w:pPr>
        <w:spacing w:after="0" w:line="360" w:lineRule="auto"/>
        <w:ind w:left="720" w:hanging="720"/>
        <w:jc w:val="both"/>
        <w:rPr>
          <w:rFonts w:ascii="Times New Roman" w:hAnsi="Times New Roman" w:cs="Times New Roman"/>
          <w:sz w:val="28"/>
          <w:szCs w:val="28"/>
          <w:lang w:val="en-ZA"/>
        </w:rPr>
      </w:pPr>
    </w:p>
    <w:p w14:paraId="7DCA3100" w14:textId="1F324262" w:rsidR="008727B9" w:rsidRPr="004D5084" w:rsidRDefault="008727B9" w:rsidP="008727B9">
      <w:pPr>
        <w:pStyle w:val="ListParagraph"/>
        <w:numPr>
          <w:ilvl w:val="0"/>
          <w:numId w:val="1"/>
        </w:numPr>
        <w:spacing w:after="0" w:line="360" w:lineRule="auto"/>
        <w:jc w:val="both"/>
        <w:rPr>
          <w:rFonts w:ascii="Times New Roman" w:hAnsi="Times New Roman" w:cs="Times New Roman"/>
          <w:i/>
          <w:iCs/>
          <w:sz w:val="28"/>
          <w:szCs w:val="28"/>
          <w:lang w:val="en-ZA"/>
        </w:rPr>
      </w:pPr>
      <w:r w:rsidRPr="004D5084">
        <w:rPr>
          <w:rFonts w:ascii="Times New Roman" w:hAnsi="Times New Roman" w:cs="Times New Roman"/>
          <w:i/>
          <w:iCs/>
          <w:sz w:val="28"/>
          <w:szCs w:val="28"/>
          <w:lang w:val="en-ZA"/>
        </w:rPr>
        <w:t>Dispensing with normal rules of this honourable court pertaining to periods and modes of service due to the urgency of this matter.</w:t>
      </w:r>
    </w:p>
    <w:p w14:paraId="66296DA2" w14:textId="77777777" w:rsidR="008727B9" w:rsidRPr="004D5084" w:rsidRDefault="008727B9" w:rsidP="008727B9">
      <w:pPr>
        <w:pStyle w:val="ListParagraph"/>
        <w:spacing w:after="0" w:line="360" w:lineRule="auto"/>
        <w:ind w:left="1080"/>
        <w:jc w:val="both"/>
        <w:rPr>
          <w:rFonts w:ascii="Times New Roman" w:hAnsi="Times New Roman" w:cs="Times New Roman"/>
          <w:i/>
          <w:iCs/>
          <w:sz w:val="28"/>
          <w:szCs w:val="28"/>
          <w:lang w:val="en-ZA"/>
        </w:rPr>
      </w:pPr>
    </w:p>
    <w:p w14:paraId="23A17573" w14:textId="5E5FDD5B" w:rsidR="008727B9" w:rsidRPr="004D5084" w:rsidRDefault="008727B9" w:rsidP="008727B9">
      <w:pPr>
        <w:pStyle w:val="ListParagraph"/>
        <w:numPr>
          <w:ilvl w:val="0"/>
          <w:numId w:val="1"/>
        </w:numPr>
        <w:spacing w:after="0" w:line="360" w:lineRule="auto"/>
        <w:jc w:val="both"/>
        <w:rPr>
          <w:rFonts w:ascii="Times New Roman" w:hAnsi="Times New Roman" w:cs="Times New Roman"/>
          <w:i/>
          <w:iCs/>
          <w:sz w:val="28"/>
          <w:szCs w:val="28"/>
          <w:lang w:val="en-ZA"/>
        </w:rPr>
      </w:pPr>
      <w:r w:rsidRPr="004D5084">
        <w:rPr>
          <w:rFonts w:ascii="Times New Roman" w:hAnsi="Times New Roman" w:cs="Times New Roman"/>
          <w:i/>
          <w:iCs/>
          <w:sz w:val="28"/>
          <w:szCs w:val="28"/>
          <w:lang w:val="en-ZA"/>
        </w:rPr>
        <w:t>A rule nisi be issued, returnable on the date and time to be determined by this honourable court, calling upon the Respondent to show cause if any, why:</w:t>
      </w:r>
    </w:p>
    <w:p w14:paraId="2610E9CE" w14:textId="77777777" w:rsidR="008727B9" w:rsidRPr="008727B9" w:rsidRDefault="008727B9" w:rsidP="008727B9">
      <w:pPr>
        <w:pStyle w:val="ListParagraph"/>
        <w:rPr>
          <w:rFonts w:ascii="Times New Roman" w:hAnsi="Times New Roman" w:cs="Times New Roman"/>
          <w:sz w:val="28"/>
          <w:szCs w:val="28"/>
          <w:lang w:val="en-ZA"/>
        </w:rPr>
      </w:pPr>
    </w:p>
    <w:p w14:paraId="1EBBCF6A" w14:textId="1CD627DD" w:rsidR="008727B9" w:rsidRPr="00703B8E" w:rsidRDefault="008727B9" w:rsidP="008727B9">
      <w:pPr>
        <w:pStyle w:val="ListParagraph"/>
        <w:numPr>
          <w:ilvl w:val="0"/>
          <w:numId w:val="2"/>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This application shall not be served by edictal citation on Phillipus Fourie, an employee of the respondent based here in Lesotho pending finalization hereof;</w:t>
      </w:r>
    </w:p>
    <w:p w14:paraId="5EC4030E" w14:textId="178434AE" w:rsidR="008727B9" w:rsidRPr="00703B8E" w:rsidRDefault="008727B9" w:rsidP="008727B9">
      <w:pPr>
        <w:pStyle w:val="ListParagraph"/>
        <w:spacing w:after="0" w:line="360" w:lineRule="auto"/>
        <w:ind w:left="1440"/>
        <w:jc w:val="both"/>
        <w:rPr>
          <w:rFonts w:ascii="Times New Roman" w:hAnsi="Times New Roman" w:cs="Times New Roman"/>
          <w:i/>
          <w:iCs/>
          <w:sz w:val="28"/>
          <w:szCs w:val="28"/>
          <w:lang w:val="en-ZA"/>
        </w:rPr>
      </w:pPr>
    </w:p>
    <w:p w14:paraId="45E5AC8F" w14:textId="7A2BA0B0" w:rsidR="008727B9" w:rsidRPr="00703B8E" w:rsidRDefault="008727B9" w:rsidP="008727B9">
      <w:pPr>
        <w:pStyle w:val="ListParagraph"/>
        <w:spacing w:after="0" w:line="360" w:lineRule="auto"/>
        <w:ind w:left="1440"/>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Alternatively</w:t>
      </w:r>
    </w:p>
    <w:p w14:paraId="76C066E3" w14:textId="008D34E5" w:rsidR="008727B9" w:rsidRPr="00703B8E" w:rsidRDefault="008727B9" w:rsidP="008727B9">
      <w:pPr>
        <w:spacing w:after="0" w:line="360" w:lineRule="auto"/>
        <w:jc w:val="both"/>
        <w:rPr>
          <w:rFonts w:ascii="Times New Roman" w:hAnsi="Times New Roman" w:cs="Times New Roman"/>
          <w:i/>
          <w:iCs/>
          <w:sz w:val="28"/>
          <w:szCs w:val="28"/>
          <w:lang w:val="en-ZA"/>
        </w:rPr>
      </w:pPr>
    </w:p>
    <w:p w14:paraId="4432EC7D" w14:textId="185A4D06" w:rsidR="008727B9" w:rsidRPr="00703B8E" w:rsidRDefault="008345D6" w:rsidP="008345D6">
      <w:pPr>
        <w:pStyle w:val="ListParagraph"/>
        <w:numPr>
          <w:ilvl w:val="0"/>
          <w:numId w:val="2"/>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This application shall not be served by edictal citation via email to the corresponding officer of the Respondent pending finalization hereof;</w:t>
      </w:r>
    </w:p>
    <w:p w14:paraId="5B498BC3" w14:textId="32FDCC71" w:rsidR="008345D6" w:rsidRPr="00703B8E" w:rsidRDefault="008345D6" w:rsidP="008345D6">
      <w:pPr>
        <w:spacing w:after="0" w:line="360" w:lineRule="auto"/>
        <w:ind w:left="1080"/>
        <w:jc w:val="both"/>
        <w:rPr>
          <w:rFonts w:ascii="Times New Roman" w:hAnsi="Times New Roman" w:cs="Times New Roman"/>
          <w:i/>
          <w:iCs/>
          <w:sz w:val="28"/>
          <w:szCs w:val="28"/>
          <w:lang w:val="en-ZA"/>
        </w:rPr>
      </w:pPr>
    </w:p>
    <w:p w14:paraId="4D98E843" w14:textId="204BDBEF" w:rsidR="008345D6" w:rsidRPr="00703B8E" w:rsidRDefault="008345D6" w:rsidP="008345D6">
      <w:pPr>
        <w:pStyle w:val="ListParagraph"/>
        <w:numPr>
          <w:ilvl w:val="0"/>
          <w:numId w:val="1"/>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The Respondent shall not be interdicted from interfering with the management of the Respondent (sic)</w:t>
      </w:r>
    </w:p>
    <w:p w14:paraId="19413445" w14:textId="77777777" w:rsidR="008345D6" w:rsidRPr="00703B8E" w:rsidRDefault="008345D6" w:rsidP="008345D6">
      <w:pPr>
        <w:pStyle w:val="ListParagraph"/>
        <w:spacing w:after="0" w:line="360" w:lineRule="auto"/>
        <w:ind w:left="1080"/>
        <w:jc w:val="both"/>
        <w:rPr>
          <w:rFonts w:ascii="Times New Roman" w:hAnsi="Times New Roman" w:cs="Times New Roman"/>
          <w:i/>
          <w:iCs/>
          <w:sz w:val="28"/>
          <w:szCs w:val="28"/>
          <w:lang w:val="en-ZA"/>
        </w:rPr>
      </w:pPr>
    </w:p>
    <w:p w14:paraId="54B927B2" w14:textId="3BCD9B29" w:rsidR="008345D6" w:rsidRPr="00703B8E" w:rsidRDefault="008345D6" w:rsidP="008345D6">
      <w:pPr>
        <w:pStyle w:val="ListParagraph"/>
        <w:numPr>
          <w:ilvl w:val="0"/>
          <w:numId w:val="1"/>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lastRenderedPageBreak/>
        <w:t xml:space="preserve">The Respondent shall not be interdicted from acting as the Board of Directors </w:t>
      </w:r>
      <w:r w:rsidR="002619CD" w:rsidRPr="00703B8E">
        <w:rPr>
          <w:rFonts w:ascii="Times New Roman" w:hAnsi="Times New Roman" w:cs="Times New Roman"/>
          <w:i/>
          <w:iCs/>
          <w:sz w:val="28"/>
          <w:szCs w:val="28"/>
          <w:lang w:val="en-ZA"/>
        </w:rPr>
        <w:t xml:space="preserve">of the Applicant </w:t>
      </w:r>
      <w:r w:rsidR="00884DCF" w:rsidRPr="00703B8E">
        <w:rPr>
          <w:rFonts w:ascii="Times New Roman" w:hAnsi="Times New Roman" w:cs="Times New Roman"/>
          <w:i/>
          <w:iCs/>
          <w:sz w:val="28"/>
          <w:szCs w:val="28"/>
          <w:lang w:val="en-ZA"/>
        </w:rPr>
        <w:t>and/or management and or Principal of the Applicant.</w:t>
      </w:r>
    </w:p>
    <w:p w14:paraId="25C98C2E" w14:textId="77777777" w:rsidR="00884DCF" w:rsidRPr="00703B8E" w:rsidRDefault="00884DCF" w:rsidP="00884DCF">
      <w:pPr>
        <w:pStyle w:val="ListParagraph"/>
        <w:rPr>
          <w:rFonts w:ascii="Times New Roman" w:hAnsi="Times New Roman" w:cs="Times New Roman"/>
          <w:i/>
          <w:iCs/>
          <w:sz w:val="28"/>
          <w:szCs w:val="28"/>
          <w:lang w:val="en-ZA"/>
        </w:rPr>
      </w:pPr>
    </w:p>
    <w:p w14:paraId="59C64172" w14:textId="028EC2D0" w:rsidR="00884DCF" w:rsidRPr="00703B8E" w:rsidRDefault="00884DCF" w:rsidP="008345D6">
      <w:pPr>
        <w:pStyle w:val="ListParagraph"/>
        <w:numPr>
          <w:ilvl w:val="0"/>
          <w:numId w:val="1"/>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The employees and or agents of the Respondents shall not be interdicted from interfering with the management of the Applicant and or act as the management of the Applicant.</w:t>
      </w:r>
    </w:p>
    <w:p w14:paraId="238259A3" w14:textId="77777777" w:rsidR="00884DCF" w:rsidRPr="00703B8E" w:rsidRDefault="00884DCF" w:rsidP="00884DCF">
      <w:pPr>
        <w:pStyle w:val="ListParagraph"/>
        <w:rPr>
          <w:rFonts w:ascii="Times New Roman" w:hAnsi="Times New Roman" w:cs="Times New Roman"/>
          <w:i/>
          <w:iCs/>
          <w:sz w:val="28"/>
          <w:szCs w:val="28"/>
          <w:lang w:val="en-ZA"/>
        </w:rPr>
      </w:pPr>
    </w:p>
    <w:p w14:paraId="39D46062" w14:textId="201DB957" w:rsidR="00884DCF" w:rsidRPr="00703B8E" w:rsidRDefault="00884DCF" w:rsidP="008345D6">
      <w:pPr>
        <w:pStyle w:val="ListParagraph"/>
        <w:numPr>
          <w:ilvl w:val="0"/>
          <w:numId w:val="1"/>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Respondent shall not be interdicted from communicating with the Central Bank of Lesotho, the Regulat</w:t>
      </w:r>
      <w:r w:rsidR="00633B17">
        <w:rPr>
          <w:rFonts w:ascii="Times New Roman" w:hAnsi="Times New Roman" w:cs="Times New Roman"/>
          <w:i/>
          <w:iCs/>
          <w:sz w:val="28"/>
          <w:szCs w:val="28"/>
          <w:lang w:val="en-ZA"/>
        </w:rPr>
        <w:t>or</w:t>
      </w:r>
      <w:r w:rsidRPr="00703B8E">
        <w:rPr>
          <w:rFonts w:ascii="Times New Roman" w:hAnsi="Times New Roman" w:cs="Times New Roman"/>
          <w:i/>
          <w:iCs/>
          <w:sz w:val="28"/>
          <w:szCs w:val="28"/>
          <w:lang w:val="en-ZA"/>
        </w:rPr>
        <w:t>, on Applicant’s behalf on issues concerning the Applicant.</w:t>
      </w:r>
    </w:p>
    <w:p w14:paraId="53139415" w14:textId="77777777" w:rsidR="00884DCF" w:rsidRPr="00703B8E" w:rsidRDefault="00884DCF" w:rsidP="00884DCF">
      <w:pPr>
        <w:pStyle w:val="ListParagraph"/>
        <w:rPr>
          <w:rFonts w:ascii="Times New Roman" w:hAnsi="Times New Roman" w:cs="Times New Roman"/>
          <w:i/>
          <w:iCs/>
          <w:sz w:val="28"/>
          <w:szCs w:val="28"/>
          <w:lang w:val="en-ZA"/>
        </w:rPr>
      </w:pPr>
    </w:p>
    <w:p w14:paraId="4C6829AC" w14:textId="15B81679" w:rsidR="00884DCF" w:rsidRPr="00703B8E" w:rsidRDefault="00884DCF" w:rsidP="008345D6">
      <w:pPr>
        <w:pStyle w:val="ListParagraph"/>
        <w:numPr>
          <w:ilvl w:val="0"/>
          <w:numId w:val="1"/>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It shall not be declared that the relationship between applicant and Respondent is purely that of debtor and creditor.</w:t>
      </w:r>
    </w:p>
    <w:p w14:paraId="3142C254" w14:textId="77777777" w:rsidR="00884DCF" w:rsidRPr="00703B8E" w:rsidRDefault="00884DCF" w:rsidP="00884DCF">
      <w:pPr>
        <w:pStyle w:val="ListParagraph"/>
        <w:rPr>
          <w:rFonts w:ascii="Times New Roman" w:hAnsi="Times New Roman" w:cs="Times New Roman"/>
          <w:i/>
          <w:iCs/>
          <w:sz w:val="28"/>
          <w:szCs w:val="28"/>
          <w:lang w:val="en-ZA"/>
        </w:rPr>
      </w:pPr>
    </w:p>
    <w:p w14:paraId="2F4CD2E1" w14:textId="6F1F1010" w:rsidR="00884DCF" w:rsidRPr="00703B8E" w:rsidRDefault="00884DCF" w:rsidP="008345D6">
      <w:pPr>
        <w:pStyle w:val="ListParagraph"/>
        <w:numPr>
          <w:ilvl w:val="0"/>
          <w:numId w:val="1"/>
        </w:numPr>
        <w:spacing w:after="0" w:line="360" w:lineRule="auto"/>
        <w:jc w:val="both"/>
        <w:rPr>
          <w:rFonts w:ascii="Times New Roman" w:hAnsi="Times New Roman" w:cs="Times New Roman"/>
          <w:i/>
          <w:iCs/>
          <w:sz w:val="28"/>
          <w:szCs w:val="28"/>
          <w:lang w:val="en-ZA"/>
        </w:rPr>
      </w:pPr>
      <w:r w:rsidRPr="00703B8E">
        <w:rPr>
          <w:rFonts w:ascii="Times New Roman" w:hAnsi="Times New Roman" w:cs="Times New Roman"/>
          <w:i/>
          <w:iCs/>
          <w:sz w:val="28"/>
          <w:szCs w:val="28"/>
          <w:lang w:val="en-ZA"/>
        </w:rPr>
        <w:t>Costs of suit.</w:t>
      </w:r>
    </w:p>
    <w:p w14:paraId="30AFA11C" w14:textId="2619F791" w:rsidR="008727B9" w:rsidRDefault="008727B9" w:rsidP="008727B9">
      <w:pPr>
        <w:spacing w:after="0" w:line="360" w:lineRule="auto"/>
        <w:jc w:val="both"/>
        <w:rPr>
          <w:rFonts w:ascii="Times New Roman" w:hAnsi="Times New Roman" w:cs="Times New Roman"/>
          <w:sz w:val="28"/>
          <w:szCs w:val="28"/>
          <w:lang w:val="en-ZA"/>
        </w:rPr>
      </w:pPr>
    </w:p>
    <w:p w14:paraId="4D3B4DA4" w14:textId="1A9B27F3" w:rsidR="00513C09" w:rsidRPr="00513C09" w:rsidRDefault="00513C09" w:rsidP="008727B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Parties</w:t>
      </w:r>
    </w:p>
    <w:p w14:paraId="70F67B87" w14:textId="3C8C4D89" w:rsidR="00513C09" w:rsidRDefault="00513C09" w:rsidP="00513C0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 is a company registered in terms of the laws of the Kingdom and conduct its business as micro-lender.  </w:t>
      </w:r>
      <w:r w:rsidR="00104329">
        <w:rPr>
          <w:rFonts w:ascii="Times New Roman" w:hAnsi="Times New Roman" w:cs="Times New Roman"/>
          <w:sz w:val="28"/>
          <w:szCs w:val="28"/>
          <w:lang w:val="en-ZA"/>
        </w:rPr>
        <w:t xml:space="preserve">It </w:t>
      </w:r>
      <w:r w:rsidR="00104329" w:rsidRPr="00104329">
        <w:rPr>
          <w:rFonts w:ascii="Times New Roman" w:hAnsi="Times New Roman" w:cs="Times New Roman"/>
          <w:sz w:val="28"/>
          <w:szCs w:val="28"/>
          <w:lang w:val="en-ZA"/>
        </w:rPr>
        <w:t>advances money to the public and charges interest on the monies advanced.  It has a Tier II licence.</w:t>
      </w:r>
      <w:r w:rsidR="00104329">
        <w:rPr>
          <w:rFonts w:ascii="Times New Roman" w:hAnsi="Times New Roman" w:cs="Times New Roman"/>
          <w:sz w:val="28"/>
          <w:szCs w:val="28"/>
          <w:lang w:val="en-ZA"/>
        </w:rPr>
        <w:t xml:space="preserve"> </w:t>
      </w:r>
      <w:r>
        <w:rPr>
          <w:rFonts w:ascii="Times New Roman" w:hAnsi="Times New Roman" w:cs="Times New Roman"/>
          <w:sz w:val="28"/>
          <w:szCs w:val="28"/>
          <w:lang w:val="en-ZA"/>
        </w:rPr>
        <w:t>The respondent is a company duly registered in terms of the laws of Mauritius and is based at Port Louis, Mauritius.</w:t>
      </w:r>
    </w:p>
    <w:p w14:paraId="52B95639" w14:textId="77777777" w:rsidR="00513C09" w:rsidRDefault="00513C09" w:rsidP="00513C09">
      <w:pPr>
        <w:spacing w:after="0" w:line="360" w:lineRule="auto"/>
        <w:jc w:val="both"/>
        <w:rPr>
          <w:rFonts w:ascii="Times New Roman" w:hAnsi="Times New Roman" w:cs="Times New Roman"/>
          <w:sz w:val="28"/>
          <w:szCs w:val="28"/>
          <w:lang w:val="en-ZA"/>
        </w:rPr>
      </w:pPr>
    </w:p>
    <w:p w14:paraId="21AF42CC" w14:textId="77777777" w:rsidR="00513C09" w:rsidRDefault="00513C09" w:rsidP="00513C09">
      <w:pPr>
        <w:spacing w:after="0" w:line="360" w:lineRule="auto"/>
        <w:jc w:val="both"/>
        <w:rPr>
          <w:rFonts w:ascii="Times New Roman" w:hAnsi="Times New Roman" w:cs="Times New Roman"/>
          <w:b/>
          <w:bCs/>
          <w:sz w:val="28"/>
          <w:szCs w:val="28"/>
          <w:lang w:val="en-ZA"/>
        </w:rPr>
      </w:pPr>
      <w:r w:rsidRPr="00836389">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55DABB45" w14:textId="33131E36" w:rsidR="0016152D" w:rsidRPr="008444C5" w:rsidRDefault="00513C09" w:rsidP="00681F4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 has two directors who are also </w:t>
      </w:r>
      <w:r w:rsidR="00563841">
        <w:rPr>
          <w:rFonts w:ascii="Times New Roman" w:hAnsi="Times New Roman" w:cs="Times New Roman"/>
          <w:sz w:val="28"/>
          <w:szCs w:val="28"/>
          <w:lang w:val="en-ZA"/>
        </w:rPr>
        <w:t>its</w:t>
      </w:r>
      <w:r>
        <w:rPr>
          <w:rFonts w:ascii="Times New Roman" w:hAnsi="Times New Roman" w:cs="Times New Roman"/>
          <w:sz w:val="28"/>
          <w:szCs w:val="28"/>
          <w:lang w:val="en-ZA"/>
        </w:rPr>
        <w:t xml:space="preserve"> main shareholders, namely Ms Motena Lishea</w:t>
      </w:r>
      <w:r w:rsidR="00563841">
        <w:rPr>
          <w:rFonts w:ascii="Times New Roman" w:hAnsi="Times New Roman" w:cs="Times New Roman"/>
          <w:sz w:val="28"/>
          <w:szCs w:val="28"/>
          <w:lang w:val="en-ZA"/>
        </w:rPr>
        <w:t>,</w:t>
      </w:r>
      <w:r>
        <w:rPr>
          <w:rFonts w:ascii="Times New Roman" w:hAnsi="Times New Roman" w:cs="Times New Roman"/>
          <w:sz w:val="28"/>
          <w:szCs w:val="28"/>
          <w:lang w:val="en-ZA"/>
        </w:rPr>
        <w:t xml:space="preserve"> Managing Director and majority shareholder (995 shares); Ms Nthabiseng Nthako</w:t>
      </w:r>
      <w:r w:rsidR="00563841">
        <w:rPr>
          <w:rFonts w:ascii="Times New Roman" w:hAnsi="Times New Roman" w:cs="Times New Roman"/>
          <w:sz w:val="28"/>
          <w:szCs w:val="28"/>
          <w:lang w:val="en-ZA"/>
        </w:rPr>
        <w:t>,</w:t>
      </w:r>
      <w:r>
        <w:rPr>
          <w:rFonts w:ascii="Times New Roman" w:hAnsi="Times New Roman" w:cs="Times New Roman"/>
          <w:sz w:val="28"/>
          <w:szCs w:val="28"/>
          <w:lang w:val="en-ZA"/>
        </w:rPr>
        <w:t xml:space="preserve"> a director and minority shareholders (5 shares).  Mr </w:t>
      </w:r>
      <w:r>
        <w:rPr>
          <w:rFonts w:ascii="Times New Roman" w:hAnsi="Times New Roman" w:cs="Times New Roman"/>
          <w:sz w:val="28"/>
          <w:szCs w:val="28"/>
          <w:lang w:val="en-ZA"/>
        </w:rPr>
        <w:lastRenderedPageBreak/>
        <w:t xml:space="preserve">Phillipus Jacobus Fourie, the </w:t>
      </w:r>
      <w:r w:rsidRPr="00836389">
        <w:rPr>
          <w:rFonts w:ascii="Times New Roman" w:hAnsi="Times New Roman" w:cs="Times New Roman"/>
          <w:sz w:val="28"/>
          <w:szCs w:val="28"/>
          <w:lang w:val="en-ZA"/>
        </w:rPr>
        <w:t xml:space="preserve">applicant’s </w:t>
      </w:r>
      <w:r w:rsidR="00E17380" w:rsidRPr="00E17380">
        <w:rPr>
          <w:rFonts w:ascii="Times New Roman" w:hAnsi="Times New Roman" w:cs="Times New Roman"/>
          <w:i/>
          <w:iCs/>
          <w:sz w:val="28"/>
          <w:szCs w:val="28"/>
          <w:lang w:val="en-ZA"/>
        </w:rPr>
        <w:t>de facto</w:t>
      </w:r>
      <w:r w:rsidR="00E17380">
        <w:rPr>
          <w:rFonts w:ascii="Times New Roman" w:hAnsi="Times New Roman" w:cs="Times New Roman"/>
          <w:sz w:val="28"/>
          <w:szCs w:val="28"/>
          <w:lang w:val="en-ZA"/>
        </w:rPr>
        <w:t xml:space="preserve"> </w:t>
      </w:r>
      <w:r w:rsidRPr="00E17380">
        <w:rPr>
          <w:rFonts w:ascii="Times New Roman" w:hAnsi="Times New Roman" w:cs="Times New Roman"/>
          <w:sz w:val="28"/>
          <w:szCs w:val="28"/>
          <w:lang w:val="en-ZA"/>
        </w:rPr>
        <w:t>operational manager</w:t>
      </w:r>
      <w:r>
        <w:rPr>
          <w:rFonts w:ascii="Times New Roman" w:hAnsi="Times New Roman" w:cs="Times New Roman"/>
          <w:sz w:val="28"/>
          <w:szCs w:val="28"/>
          <w:lang w:val="en-ZA"/>
        </w:rPr>
        <w:t xml:space="preserve"> and formerly the applicant’s 50% shareholder prior to its conversion from private company to a public company and its erstwhile managing director.  There are third parties who are also involved in the dealings between the applicant and the respondent: </w:t>
      </w:r>
      <w:r w:rsidR="0016152D">
        <w:rPr>
          <w:rFonts w:ascii="Times New Roman" w:hAnsi="Times New Roman" w:cs="Times New Roman"/>
          <w:sz w:val="28"/>
          <w:szCs w:val="28"/>
          <w:lang w:val="en-ZA"/>
        </w:rPr>
        <w:t>First National Bank (FNB) Lesotho, where the applicant holds four banking accounts comprising of operations account, a collections account, a disbursements account and a call account</w:t>
      </w:r>
      <w:r w:rsidR="00681F49">
        <w:rPr>
          <w:rFonts w:ascii="Times New Roman" w:hAnsi="Times New Roman" w:cs="Times New Roman"/>
          <w:sz w:val="28"/>
          <w:szCs w:val="28"/>
          <w:lang w:val="en-ZA"/>
        </w:rPr>
        <w:t xml:space="preserve">; </w:t>
      </w:r>
      <w:r w:rsidR="0016152D" w:rsidRPr="008444C5">
        <w:rPr>
          <w:rFonts w:ascii="Times New Roman" w:hAnsi="Times New Roman" w:cs="Times New Roman"/>
          <w:sz w:val="28"/>
          <w:szCs w:val="28"/>
          <w:lang w:val="en-ZA"/>
        </w:rPr>
        <w:t>Standard Lesotho Bank (SLB), where the applicant holds two banking accounts consisting of collections and disbursement accounts</w:t>
      </w:r>
      <w:r w:rsidR="00681F49">
        <w:rPr>
          <w:rFonts w:ascii="Times New Roman" w:hAnsi="Times New Roman" w:cs="Times New Roman"/>
          <w:sz w:val="28"/>
          <w:szCs w:val="28"/>
          <w:lang w:val="en-ZA"/>
        </w:rPr>
        <w:t xml:space="preserve"> and </w:t>
      </w:r>
      <w:r w:rsidR="0016152D" w:rsidRPr="008444C5">
        <w:rPr>
          <w:rFonts w:ascii="Times New Roman" w:hAnsi="Times New Roman" w:cs="Times New Roman"/>
          <w:sz w:val="28"/>
          <w:szCs w:val="28"/>
          <w:lang w:val="en-ZA"/>
        </w:rPr>
        <w:t xml:space="preserve">The Central Bank of Lesotho </w:t>
      </w:r>
      <w:r w:rsidR="00681F49">
        <w:rPr>
          <w:rFonts w:ascii="Times New Roman" w:hAnsi="Times New Roman" w:cs="Times New Roman"/>
          <w:sz w:val="28"/>
          <w:szCs w:val="28"/>
          <w:lang w:val="en-ZA"/>
        </w:rPr>
        <w:t xml:space="preserve">(CBL) </w:t>
      </w:r>
      <w:r w:rsidR="008444C5" w:rsidRPr="008444C5">
        <w:rPr>
          <w:rFonts w:ascii="Times New Roman" w:hAnsi="Times New Roman" w:cs="Times New Roman"/>
          <w:sz w:val="28"/>
          <w:szCs w:val="28"/>
          <w:lang w:val="en-ZA"/>
        </w:rPr>
        <w:t xml:space="preserve">as the Regulator of financial institutions in terms of the </w:t>
      </w:r>
      <w:bookmarkStart w:id="1" w:name="_Hlk111979722"/>
      <w:r w:rsidR="008444C5" w:rsidRPr="008444C5">
        <w:rPr>
          <w:rFonts w:ascii="Times New Roman" w:hAnsi="Times New Roman" w:cs="Times New Roman"/>
          <w:sz w:val="28"/>
          <w:szCs w:val="28"/>
          <w:lang w:val="en-ZA"/>
        </w:rPr>
        <w:t>Financial Institutions Act of 2012</w:t>
      </w:r>
      <w:r w:rsidR="00220822">
        <w:rPr>
          <w:rFonts w:ascii="Times New Roman" w:hAnsi="Times New Roman" w:cs="Times New Roman"/>
          <w:sz w:val="28"/>
          <w:szCs w:val="28"/>
          <w:lang w:val="en-ZA"/>
        </w:rPr>
        <w:t xml:space="preserve"> (hereinafter ‘FIA’)</w:t>
      </w:r>
      <w:r w:rsidR="008444C5" w:rsidRPr="008444C5">
        <w:rPr>
          <w:rFonts w:ascii="Times New Roman" w:hAnsi="Times New Roman" w:cs="Times New Roman"/>
          <w:sz w:val="28"/>
          <w:szCs w:val="28"/>
          <w:lang w:val="en-ZA"/>
        </w:rPr>
        <w:t>.</w:t>
      </w:r>
    </w:p>
    <w:bookmarkEnd w:id="1"/>
    <w:p w14:paraId="5BC3D2F5" w14:textId="26E6DEA9" w:rsidR="00594334" w:rsidRDefault="008444C5" w:rsidP="008444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24BFDD7D" w14:textId="62590DD1" w:rsidR="00594334" w:rsidRDefault="00594334" w:rsidP="008444C5">
      <w:pPr>
        <w:spacing w:after="0" w:line="360" w:lineRule="auto"/>
        <w:ind w:left="720" w:hanging="720"/>
        <w:jc w:val="both"/>
        <w:rPr>
          <w:rFonts w:ascii="Times New Roman" w:hAnsi="Times New Roman" w:cs="Times New Roman"/>
          <w:sz w:val="28"/>
          <w:szCs w:val="28"/>
          <w:lang w:val="en-ZA"/>
        </w:rPr>
      </w:pPr>
      <w:r w:rsidRPr="00064C25">
        <w:rPr>
          <w:rFonts w:ascii="Times New Roman" w:hAnsi="Times New Roman" w:cs="Times New Roman"/>
          <w:sz w:val="28"/>
          <w:szCs w:val="28"/>
          <w:lang w:val="en-ZA"/>
        </w:rPr>
        <w:t>[4]</w:t>
      </w:r>
      <w:r>
        <w:rPr>
          <w:rFonts w:ascii="Times New Roman" w:hAnsi="Times New Roman" w:cs="Times New Roman"/>
          <w:sz w:val="28"/>
          <w:szCs w:val="28"/>
          <w:lang w:val="en-ZA"/>
        </w:rPr>
        <w:tab/>
        <w:t xml:space="preserve">The applicant was formerly known as Wazzah (Pty) Ltd.  It was registered on the 30 November 2017.  At the time of its incorporation, Mr Fourie was its 50% shareholder and the managing director.  On the 31 August 2018 the former shareholders of Wazzah (Pty) Ltd transferred their shares to Ms Motena Lishea, whom </w:t>
      </w:r>
      <w:r w:rsidR="00104329">
        <w:rPr>
          <w:rFonts w:ascii="Times New Roman" w:hAnsi="Times New Roman" w:cs="Times New Roman"/>
          <w:sz w:val="28"/>
          <w:szCs w:val="28"/>
          <w:lang w:val="en-ZA"/>
        </w:rPr>
        <w:t xml:space="preserve">Mr </w:t>
      </w:r>
      <w:r>
        <w:rPr>
          <w:rFonts w:ascii="Times New Roman" w:hAnsi="Times New Roman" w:cs="Times New Roman"/>
          <w:sz w:val="28"/>
          <w:szCs w:val="28"/>
          <w:lang w:val="en-ZA"/>
        </w:rPr>
        <w:t xml:space="preserve">Fourie had been acquainted to for ten years, and Ms Nthako.  </w:t>
      </w:r>
    </w:p>
    <w:p w14:paraId="0365E30B" w14:textId="76C3CE5F" w:rsidR="00594334" w:rsidRDefault="00594334" w:rsidP="008444C5">
      <w:pPr>
        <w:spacing w:after="0" w:line="360" w:lineRule="auto"/>
        <w:ind w:left="720" w:hanging="720"/>
        <w:jc w:val="both"/>
        <w:rPr>
          <w:rFonts w:ascii="Times New Roman" w:hAnsi="Times New Roman" w:cs="Times New Roman"/>
          <w:sz w:val="28"/>
          <w:szCs w:val="28"/>
          <w:lang w:val="en-ZA"/>
        </w:rPr>
      </w:pPr>
    </w:p>
    <w:p w14:paraId="50D10740" w14:textId="7C8E57E7" w:rsidR="00594334" w:rsidRDefault="00594334" w:rsidP="008444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On 17 January 2019, Wazza</w:t>
      </w:r>
      <w:r w:rsidR="00104329">
        <w:rPr>
          <w:rFonts w:ascii="Times New Roman" w:hAnsi="Times New Roman" w:cs="Times New Roman"/>
          <w:sz w:val="28"/>
          <w:szCs w:val="28"/>
          <w:lang w:val="en-ZA"/>
        </w:rPr>
        <w:t>h</w:t>
      </w:r>
      <w:r>
        <w:rPr>
          <w:rFonts w:ascii="Times New Roman" w:hAnsi="Times New Roman" w:cs="Times New Roman"/>
          <w:sz w:val="28"/>
          <w:szCs w:val="28"/>
          <w:lang w:val="en-ZA"/>
        </w:rPr>
        <w:t xml:space="preserve"> was converted into a public company and had its name changed to Wazzah Limited.  Wazzah Limited had an issued share capital of M1000 divided into One Thousand ordinary shares with a par value of M1.00 each.  Ms Motena Lishea owned 995 shares a</w:t>
      </w:r>
      <w:r w:rsidR="00104329">
        <w:rPr>
          <w:rFonts w:ascii="Times New Roman" w:hAnsi="Times New Roman" w:cs="Times New Roman"/>
          <w:sz w:val="28"/>
          <w:szCs w:val="28"/>
          <w:lang w:val="en-ZA"/>
        </w:rPr>
        <w:t>n</w:t>
      </w:r>
      <w:r>
        <w:rPr>
          <w:rFonts w:ascii="Times New Roman" w:hAnsi="Times New Roman" w:cs="Times New Roman"/>
          <w:sz w:val="28"/>
          <w:szCs w:val="28"/>
          <w:lang w:val="en-ZA"/>
        </w:rPr>
        <w:t>d Ms Nthabiseng Nthako 5 shares.  On 29 May 2020</w:t>
      </w:r>
      <w:r w:rsidR="00104329">
        <w:rPr>
          <w:rFonts w:ascii="Times New Roman" w:hAnsi="Times New Roman" w:cs="Times New Roman"/>
          <w:sz w:val="28"/>
          <w:szCs w:val="28"/>
          <w:lang w:val="en-ZA"/>
        </w:rPr>
        <w:t>,</w:t>
      </w:r>
      <w:r>
        <w:rPr>
          <w:rFonts w:ascii="Times New Roman" w:hAnsi="Times New Roman" w:cs="Times New Roman"/>
          <w:sz w:val="28"/>
          <w:szCs w:val="28"/>
          <w:lang w:val="en-ZA"/>
        </w:rPr>
        <w:t xml:space="preserve"> Wazzah Limited changed its name to Platinum Credit Limited</w:t>
      </w:r>
      <w:r w:rsidR="00104329">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104329">
        <w:rPr>
          <w:rFonts w:ascii="Times New Roman" w:hAnsi="Times New Roman" w:cs="Times New Roman"/>
          <w:sz w:val="28"/>
          <w:szCs w:val="28"/>
          <w:lang w:val="en-ZA"/>
        </w:rPr>
        <w:t>T</w:t>
      </w:r>
      <w:r>
        <w:rPr>
          <w:rFonts w:ascii="Times New Roman" w:hAnsi="Times New Roman" w:cs="Times New Roman"/>
          <w:sz w:val="28"/>
          <w:szCs w:val="28"/>
          <w:lang w:val="en-ZA"/>
        </w:rPr>
        <w:t xml:space="preserve">his was done in anticipation of a sale of shares which was done on the 01 June 2020, whereby </w:t>
      </w:r>
      <w:r w:rsidR="00104329">
        <w:rPr>
          <w:rFonts w:ascii="Times New Roman" w:hAnsi="Times New Roman" w:cs="Times New Roman"/>
          <w:sz w:val="28"/>
          <w:szCs w:val="28"/>
          <w:lang w:val="en-ZA"/>
        </w:rPr>
        <w:t xml:space="preserve">the two </w:t>
      </w:r>
      <w:r>
        <w:rPr>
          <w:rFonts w:ascii="Times New Roman" w:hAnsi="Times New Roman" w:cs="Times New Roman"/>
          <w:sz w:val="28"/>
          <w:szCs w:val="28"/>
          <w:lang w:val="en-ZA"/>
        </w:rPr>
        <w:t xml:space="preserve">ladies mentioned above, entered into a share Purchase Agreement with the Respondent </w:t>
      </w:r>
      <w:r>
        <w:rPr>
          <w:rFonts w:ascii="Times New Roman" w:hAnsi="Times New Roman" w:cs="Times New Roman"/>
          <w:sz w:val="28"/>
          <w:szCs w:val="28"/>
          <w:lang w:val="en-ZA"/>
        </w:rPr>
        <w:lastRenderedPageBreak/>
        <w:t>repres</w:t>
      </w:r>
      <w:r w:rsidR="00104329">
        <w:rPr>
          <w:rFonts w:ascii="Times New Roman" w:hAnsi="Times New Roman" w:cs="Times New Roman"/>
          <w:sz w:val="28"/>
          <w:szCs w:val="28"/>
          <w:lang w:val="en-ZA"/>
        </w:rPr>
        <w:t>en</w:t>
      </w:r>
      <w:r>
        <w:rPr>
          <w:rFonts w:ascii="Times New Roman" w:hAnsi="Times New Roman" w:cs="Times New Roman"/>
          <w:sz w:val="28"/>
          <w:szCs w:val="28"/>
          <w:lang w:val="en-ZA"/>
        </w:rPr>
        <w:t xml:space="preserve">ted by </w:t>
      </w:r>
      <w:r w:rsidR="00104329">
        <w:rPr>
          <w:rFonts w:ascii="Times New Roman" w:hAnsi="Times New Roman" w:cs="Times New Roman"/>
          <w:sz w:val="28"/>
          <w:szCs w:val="28"/>
          <w:lang w:val="en-ZA"/>
        </w:rPr>
        <w:t xml:space="preserve">Mr </w:t>
      </w:r>
      <w:r>
        <w:rPr>
          <w:rFonts w:ascii="Times New Roman" w:hAnsi="Times New Roman" w:cs="Times New Roman"/>
          <w:sz w:val="28"/>
          <w:szCs w:val="28"/>
          <w:lang w:val="en-ZA"/>
        </w:rPr>
        <w:t xml:space="preserve">Ignatius Obara.  On the same day Lishea and Nthako resigned as directors of the applicant and the new board was </w:t>
      </w:r>
      <w:r w:rsidRPr="00826730">
        <w:rPr>
          <w:rFonts w:ascii="Times New Roman" w:hAnsi="Times New Roman" w:cs="Times New Roman"/>
          <w:sz w:val="28"/>
          <w:szCs w:val="28"/>
          <w:lang w:val="en-ZA"/>
        </w:rPr>
        <w:t>“constituted.”  I</w:t>
      </w:r>
      <w:r>
        <w:rPr>
          <w:rFonts w:ascii="Times New Roman" w:hAnsi="Times New Roman" w:cs="Times New Roman"/>
          <w:sz w:val="28"/>
          <w:szCs w:val="28"/>
          <w:lang w:val="en-ZA"/>
        </w:rPr>
        <w:t xml:space="preserve"> am using the inverted commas advisedly, in the light of </w:t>
      </w:r>
      <w:r w:rsidR="002223DD">
        <w:rPr>
          <w:rFonts w:ascii="Times New Roman" w:hAnsi="Times New Roman" w:cs="Times New Roman"/>
          <w:sz w:val="28"/>
          <w:szCs w:val="28"/>
          <w:lang w:val="en-ZA"/>
        </w:rPr>
        <w:t>the fact that the CBL has not yet approved the share purchase agreement</w:t>
      </w:r>
      <w:r>
        <w:rPr>
          <w:rFonts w:ascii="Times New Roman" w:hAnsi="Times New Roman" w:cs="Times New Roman"/>
          <w:sz w:val="28"/>
          <w:szCs w:val="28"/>
          <w:lang w:val="en-ZA"/>
        </w:rPr>
        <w:t>.  It is</w:t>
      </w:r>
      <w:r w:rsidR="002223DD">
        <w:rPr>
          <w:rFonts w:ascii="Times New Roman" w:hAnsi="Times New Roman" w:cs="Times New Roman"/>
          <w:sz w:val="28"/>
          <w:szCs w:val="28"/>
          <w:lang w:val="en-ZA"/>
        </w:rPr>
        <w:t xml:space="preserve"> trite</w:t>
      </w:r>
      <w:r w:rsidR="00AC3B4A">
        <w:rPr>
          <w:rFonts w:ascii="Times New Roman" w:hAnsi="Times New Roman" w:cs="Times New Roman"/>
          <w:sz w:val="28"/>
          <w:szCs w:val="28"/>
          <w:lang w:val="en-ZA"/>
        </w:rPr>
        <w:t xml:space="preserve"> that in terms of the FIA</w:t>
      </w:r>
      <w:r w:rsidR="002223DD">
        <w:rPr>
          <w:rFonts w:ascii="Times New Roman" w:hAnsi="Times New Roman" w:cs="Times New Roman"/>
          <w:sz w:val="28"/>
          <w:szCs w:val="28"/>
          <w:lang w:val="en-ZA"/>
        </w:rPr>
        <w:t>,</w:t>
      </w:r>
      <w:r w:rsidR="00AC3B4A">
        <w:rPr>
          <w:rFonts w:ascii="Times New Roman" w:hAnsi="Times New Roman" w:cs="Times New Roman"/>
          <w:sz w:val="28"/>
          <w:szCs w:val="28"/>
          <w:lang w:val="en-ZA"/>
        </w:rPr>
        <w:t xml:space="preserve"> prior a</w:t>
      </w:r>
      <w:r w:rsidR="00220822">
        <w:rPr>
          <w:rFonts w:ascii="Times New Roman" w:hAnsi="Times New Roman" w:cs="Times New Roman"/>
          <w:sz w:val="28"/>
          <w:szCs w:val="28"/>
          <w:lang w:val="en-ZA"/>
        </w:rPr>
        <w:t>uthorisation by</w:t>
      </w:r>
      <w:r w:rsidR="00AC3B4A">
        <w:rPr>
          <w:rFonts w:ascii="Times New Roman" w:hAnsi="Times New Roman" w:cs="Times New Roman"/>
          <w:sz w:val="28"/>
          <w:szCs w:val="28"/>
          <w:lang w:val="en-ZA"/>
        </w:rPr>
        <w:t xml:space="preserve"> the Central Bank is the requirement for share transfer agreement to be effective.</w:t>
      </w:r>
      <w:r>
        <w:rPr>
          <w:rFonts w:ascii="Times New Roman" w:hAnsi="Times New Roman" w:cs="Times New Roman"/>
          <w:sz w:val="28"/>
          <w:szCs w:val="28"/>
          <w:lang w:val="en-ZA"/>
        </w:rPr>
        <w:t xml:space="preserve"> </w:t>
      </w:r>
    </w:p>
    <w:p w14:paraId="7722BC73" w14:textId="0AA49086" w:rsidR="00322C3C" w:rsidRDefault="00322C3C" w:rsidP="00322C3C">
      <w:pPr>
        <w:spacing w:after="0" w:line="360" w:lineRule="auto"/>
        <w:jc w:val="both"/>
        <w:rPr>
          <w:rFonts w:ascii="Times New Roman" w:hAnsi="Times New Roman" w:cs="Times New Roman"/>
          <w:sz w:val="28"/>
          <w:szCs w:val="28"/>
          <w:lang w:val="en-ZA"/>
        </w:rPr>
      </w:pPr>
    </w:p>
    <w:p w14:paraId="5236340A" w14:textId="55D8177C" w:rsidR="00DD25B7" w:rsidRDefault="00322C3C" w:rsidP="00322C3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 xml:space="preserve">Authorisation </w:t>
      </w:r>
      <w:r w:rsidR="00220822">
        <w:rPr>
          <w:rFonts w:ascii="Times New Roman" w:hAnsi="Times New Roman" w:cs="Times New Roman"/>
          <w:sz w:val="28"/>
          <w:szCs w:val="28"/>
          <w:lang w:val="en-ZA"/>
        </w:rPr>
        <w:t>by</w:t>
      </w:r>
      <w:r>
        <w:rPr>
          <w:rFonts w:ascii="Times New Roman" w:hAnsi="Times New Roman" w:cs="Times New Roman"/>
          <w:sz w:val="28"/>
          <w:szCs w:val="28"/>
          <w:lang w:val="en-ZA"/>
        </w:rPr>
        <w:t xml:space="preserve"> the CBL was accordingly sought 30 May 2022.  Pending authorisation by the CBL, the </w:t>
      </w:r>
      <w:r w:rsidRPr="00220822">
        <w:rPr>
          <w:rFonts w:ascii="Times New Roman" w:hAnsi="Times New Roman" w:cs="Times New Roman"/>
          <w:i/>
          <w:iCs/>
          <w:sz w:val="28"/>
          <w:szCs w:val="28"/>
          <w:lang w:val="en-ZA"/>
        </w:rPr>
        <w:t>de facto</w:t>
      </w:r>
      <w:r>
        <w:rPr>
          <w:rFonts w:ascii="Times New Roman" w:hAnsi="Times New Roman" w:cs="Times New Roman"/>
          <w:sz w:val="28"/>
          <w:szCs w:val="28"/>
          <w:lang w:val="en-ZA"/>
        </w:rPr>
        <w:t xml:space="preserve"> position between the parties was that the respondent advanced substantial amounts of unsecured loans to the applicant</w:t>
      </w:r>
      <w:r w:rsidR="00220822">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220822" w:rsidRPr="00220822">
        <w:rPr>
          <w:rFonts w:ascii="Times New Roman" w:hAnsi="Times New Roman" w:cs="Times New Roman"/>
          <w:sz w:val="28"/>
          <w:szCs w:val="28"/>
          <w:lang w:val="en-ZA"/>
        </w:rPr>
        <w:t>In order to mitigate the risk of misappropriation of funds respondent’s officers were granted authorisation and signatory powers to FNB and SLB account</w:t>
      </w:r>
      <w:r w:rsidR="00220822">
        <w:rPr>
          <w:rFonts w:ascii="Times New Roman" w:hAnsi="Times New Roman" w:cs="Times New Roman"/>
          <w:sz w:val="28"/>
          <w:szCs w:val="28"/>
          <w:lang w:val="en-ZA"/>
        </w:rPr>
        <w:t xml:space="preserve"> by M</w:t>
      </w:r>
      <w:r w:rsidR="00220822" w:rsidRPr="00220822">
        <w:rPr>
          <w:rFonts w:ascii="Times New Roman" w:hAnsi="Times New Roman" w:cs="Times New Roman"/>
          <w:sz w:val="28"/>
          <w:szCs w:val="28"/>
          <w:lang w:val="en-ZA"/>
        </w:rPr>
        <w:t>s</w:t>
      </w:r>
      <w:r w:rsidR="00220822">
        <w:rPr>
          <w:rFonts w:ascii="Times New Roman" w:hAnsi="Times New Roman" w:cs="Times New Roman"/>
          <w:sz w:val="28"/>
          <w:szCs w:val="28"/>
          <w:lang w:val="en-ZA"/>
        </w:rPr>
        <w:t xml:space="preserve"> Lishea</w:t>
      </w:r>
      <w:r w:rsidR="00220822" w:rsidRPr="00220822">
        <w:rPr>
          <w:rFonts w:ascii="Times New Roman" w:hAnsi="Times New Roman" w:cs="Times New Roman"/>
          <w:sz w:val="28"/>
          <w:szCs w:val="28"/>
          <w:lang w:val="en-ZA"/>
        </w:rPr>
        <w:t>, essentially participating in functions such as authorising disbursements, making disbursements and ensuring effective running of the payroll every month.</w:t>
      </w:r>
      <w:r w:rsidR="00092104">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Ms Lishea </w:t>
      </w:r>
      <w:r w:rsidR="00092104">
        <w:rPr>
          <w:rFonts w:ascii="Times New Roman" w:hAnsi="Times New Roman" w:cs="Times New Roman"/>
          <w:sz w:val="28"/>
          <w:szCs w:val="28"/>
          <w:lang w:val="en-ZA"/>
        </w:rPr>
        <w:t xml:space="preserve">had effectively </w:t>
      </w:r>
      <w:r>
        <w:rPr>
          <w:rFonts w:ascii="Times New Roman" w:hAnsi="Times New Roman" w:cs="Times New Roman"/>
          <w:sz w:val="28"/>
          <w:szCs w:val="28"/>
          <w:lang w:val="en-ZA"/>
        </w:rPr>
        <w:t xml:space="preserve">authorised the respondent, through its representatives (Fourie) to administer and to take joint control of the applicant’s daily operations. The respondent made use of its </w:t>
      </w:r>
      <w:r w:rsidR="00220822">
        <w:rPr>
          <w:rFonts w:ascii="Times New Roman" w:hAnsi="Times New Roman" w:cs="Times New Roman"/>
          <w:sz w:val="28"/>
          <w:szCs w:val="28"/>
          <w:lang w:val="en-ZA"/>
        </w:rPr>
        <w:t xml:space="preserve">Mambu software to conduct the applicant’s </w:t>
      </w:r>
      <w:r>
        <w:rPr>
          <w:rFonts w:ascii="Times New Roman" w:hAnsi="Times New Roman" w:cs="Times New Roman"/>
          <w:sz w:val="28"/>
          <w:szCs w:val="28"/>
          <w:lang w:val="en-ZA"/>
        </w:rPr>
        <w:t xml:space="preserve">daily operations </w:t>
      </w:r>
      <w:r w:rsidR="009D0429">
        <w:rPr>
          <w:rFonts w:ascii="Times New Roman" w:hAnsi="Times New Roman" w:cs="Times New Roman"/>
          <w:sz w:val="28"/>
          <w:szCs w:val="28"/>
          <w:lang w:val="en-ZA"/>
        </w:rPr>
        <w:t>pertaining to collections, disbursements and</w:t>
      </w:r>
      <w:r w:rsidR="00220822">
        <w:rPr>
          <w:rFonts w:ascii="Times New Roman" w:hAnsi="Times New Roman" w:cs="Times New Roman"/>
          <w:sz w:val="28"/>
          <w:szCs w:val="28"/>
          <w:lang w:val="en-ZA"/>
        </w:rPr>
        <w:t xml:space="preserve"> other</w:t>
      </w:r>
      <w:r w:rsidR="009D0429">
        <w:rPr>
          <w:rFonts w:ascii="Times New Roman" w:hAnsi="Times New Roman" w:cs="Times New Roman"/>
          <w:sz w:val="28"/>
          <w:szCs w:val="28"/>
          <w:lang w:val="en-ZA"/>
        </w:rPr>
        <w:t xml:space="preserve"> operational payments.  On 31 May 2022 the re</w:t>
      </w:r>
      <w:r w:rsidR="00220822">
        <w:rPr>
          <w:rFonts w:ascii="Times New Roman" w:hAnsi="Times New Roman" w:cs="Times New Roman"/>
          <w:sz w:val="28"/>
          <w:szCs w:val="28"/>
          <w:lang w:val="en-ZA"/>
        </w:rPr>
        <w:t>minded the CBL that its authorisation of the share transfer agreement had been sought and wanted to know the progress regarding the matter</w:t>
      </w:r>
      <w:r w:rsidR="009D0429">
        <w:rPr>
          <w:rFonts w:ascii="Times New Roman" w:hAnsi="Times New Roman" w:cs="Times New Roman"/>
          <w:sz w:val="28"/>
          <w:szCs w:val="28"/>
          <w:lang w:val="en-ZA"/>
        </w:rPr>
        <w:t xml:space="preserve">.  The latter’s response was that it recognized only </w:t>
      </w:r>
      <w:r w:rsidR="00220822">
        <w:rPr>
          <w:rFonts w:ascii="Times New Roman" w:hAnsi="Times New Roman" w:cs="Times New Roman"/>
          <w:sz w:val="28"/>
          <w:szCs w:val="28"/>
          <w:lang w:val="en-ZA"/>
        </w:rPr>
        <w:t xml:space="preserve">Ms </w:t>
      </w:r>
      <w:r w:rsidR="009D0429">
        <w:rPr>
          <w:rFonts w:ascii="Times New Roman" w:hAnsi="Times New Roman" w:cs="Times New Roman"/>
          <w:sz w:val="28"/>
          <w:szCs w:val="28"/>
          <w:lang w:val="en-ZA"/>
        </w:rPr>
        <w:t xml:space="preserve">Lishea as the person who could engage them on the matter.  </w:t>
      </w:r>
      <w:r w:rsidR="00563DA2">
        <w:rPr>
          <w:rFonts w:ascii="Times New Roman" w:hAnsi="Times New Roman" w:cs="Times New Roman"/>
          <w:sz w:val="28"/>
          <w:szCs w:val="28"/>
          <w:lang w:val="en-ZA"/>
        </w:rPr>
        <w:t xml:space="preserve">Unbeknown to the respondent Ms Lishea constituted the applicant’s new board on the 13 June 2022, and this was the turning </w:t>
      </w:r>
      <w:r w:rsidR="00DD25B7">
        <w:rPr>
          <w:rFonts w:ascii="Times New Roman" w:hAnsi="Times New Roman" w:cs="Times New Roman"/>
          <w:sz w:val="28"/>
          <w:szCs w:val="28"/>
          <w:lang w:val="en-ZA"/>
        </w:rPr>
        <w:t>point in</w:t>
      </w:r>
      <w:r w:rsidR="00563DA2">
        <w:rPr>
          <w:rFonts w:ascii="Times New Roman" w:hAnsi="Times New Roman" w:cs="Times New Roman"/>
          <w:sz w:val="28"/>
          <w:szCs w:val="28"/>
          <w:lang w:val="en-ZA"/>
        </w:rPr>
        <w:t xml:space="preserve"> the worsening relationship between the parties</w:t>
      </w:r>
      <w:r w:rsidR="00DD25B7">
        <w:rPr>
          <w:rFonts w:ascii="Times New Roman" w:hAnsi="Times New Roman" w:cs="Times New Roman"/>
          <w:sz w:val="28"/>
          <w:szCs w:val="28"/>
          <w:lang w:val="en-ZA"/>
        </w:rPr>
        <w:t xml:space="preserve">. </w:t>
      </w:r>
      <w:r w:rsidR="00732DAD" w:rsidRPr="00732DAD">
        <w:rPr>
          <w:rFonts w:ascii="Times New Roman" w:hAnsi="Times New Roman" w:cs="Times New Roman"/>
          <w:sz w:val="28"/>
          <w:szCs w:val="28"/>
          <w:lang w:val="en-ZA"/>
        </w:rPr>
        <w:t xml:space="preserve">The respondent’s </w:t>
      </w:r>
      <w:r w:rsidR="00732DAD">
        <w:rPr>
          <w:rFonts w:ascii="Times New Roman" w:hAnsi="Times New Roman" w:cs="Times New Roman"/>
          <w:sz w:val="28"/>
          <w:szCs w:val="28"/>
          <w:lang w:val="en-ZA"/>
        </w:rPr>
        <w:t>employee</w:t>
      </w:r>
      <w:r w:rsidR="00732DAD" w:rsidRPr="00732DAD">
        <w:rPr>
          <w:rFonts w:ascii="Times New Roman" w:hAnsi="Times New Roman" w:cs="Times New Roman"/>
          <w:sz w:val="28"/>
          <w:szCs w:val="28"/>
          <w:lang w:val="en-ZA"/>
        </w:rPr>
        <w:t>s</w:t>
      </w:r>
      <w:r w:rsidR="00732DAD">
        <w:rPr>
          <w:rFonts w:ascii="Times New Roman" w:hAnsi="Times New Roman" w:cs="Times New Roman"/>
          <w:sz w:val="28"/>
          <w:szCs w:val="28"/>
          <w:lang w:val="en-ZA"/>
        </w:rPr>
        <w:t>’</w:t>
      </w:r>
      <w:r w:rsidR="00732DAD" w:rsidRPr="00732DAD">
        <w:rPr>
          <w:rFonts w:ascii="Times New Roman" w:hAnsi="Times New Roman" w:cs="Times New Roman"/>
          <w:sz w:val="28"/>
          <w:szCs w:val="28"/>
          <w:lang w:val="en-ZA"/>
        </w:rPr>
        <w:t xml:space="preserve"> involvement in the operations of the applicant was </w:t>
      </w:r>
      <w:r w:rsidR="00732DAD" w:rsidRPr="00732DAD">
        <w:rPr>
          <w:rFonts w:ascii="Times New Roman" w:hAnsi="Times New Roman" w:cs="Times New Roman"/>
          <w:sz w:val="28"/>
          <w:szCs w:val="28"/>
          <w:lang w:val="en-ZA"/>
        </w:rPr>
        <w:lastRenderedPageBreak/>
        <w:t xml:space="preserve">in terms of the Management Contract which was signed between the applicant and the respondent. </w:t>
      </w:r>
      <w:r w:rsidR="009D0429">
        <w:rPr>
          <w:rFonts w:ascii="Times New Roman" w:hAnsi="Times New Roman" w:cs="Times New Roman"/>
          <w:sz w:val="28"/>
          <w:szCs w:val="28"/>
          <w:lang w:val="en-ZA"/>
        </w:rPr>
        <w:t>The application is opposed.</w:t>
      </w:r>
    </w:p>
    <w:p w14:paraId="0B37CA80" w14:textId="766047B8" w:rsidR="000129CE" w:rsidRDefault="000129CE" w:rsidP="000129CE">
      <w:pPr>
        <w:spacing w:after="0" w:line="360" w:lineRule="auto"/>
        <w:jc w:val="both"/>
        <w:rPr>
          <w:rFonts w:ascii="Times New Roman" w:hAnsi="Times New Roman" w:cs="Times New Roman"/>
          <w:sz w:val="28"/>
          <w:szCs w:val="28"/>
          <w:lang w:val="en-ZA"/>
        </w:rPr>
      </w:pPr>
    </w:p>
    <w:p w14:paraId="66AC5906" w14:textId="358F4F0B" w:rsidR="000129CE" w:rsidRDefault="000129CE" w:rsidP="000129C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064C25">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Counter Application</w:t>
      </w:r>
    </w:p>
    <w:p w14:paraId="38F9AC75" w14:textId="3F9501B5" w:rsidR="000129CE" w:rsidRDefault="00C812CB" w:rsidP="000129CE">
      <w:pPr>
        <w:spacing w:after="0" w:line="360" w:lineRule="auto"/>
        <w:ind w:left="720"/>
        <w:jc w:val="both"/>
        <w:rPr>
          <w:rFonts w:ascii="Times New Roman" w:hAnsi="Times New Roman" w:cs="Times New Roman"/>
          <w:sz w:val="28"/>
          <w:szCs w:val="28"/>
          <w:lang w:val="en-ZA"/>
        </w:rPr>
      </w:pPr>
      <w:r w:rsidRPr="00C812CB">
        <w:rPr>
          <w:rFonts w:ascii="Times New Roman" w:hAnsi="Times New Roman" w:cs="Times New Roman"/>
          <w:sz w:val="28"/>
          <w:szCs w:val="28"/>
          <w:lang w:val="en-ZA"/>
        </w:rPr>
        <w:t>For convenience, the parties will be referred to as they are in the main application.</w:t>
      </w:r>
      <w:r>
        <w:rPr>
          <w:rFonts w:ascii="Times New Roman" w:hAnsi="Times New Roman" w:cs="Times New Roman"/>
          <w:sz w:val="28"/>
          <w:szCs w:val="28"/>
          <w:lang w:val="en-ZA"/>
        </w:rPr>
        <w:t xml:space="preserve"> </w:t>
      </w:r>
      <w:r w:rsidR="000129CE">
        <w:rPr>
          <w:rFonts w:ascii="Times New Roman" w:hAnsi="Times New Roman" w:cs="Times New Roman"/>
          <w:sz w:val="28"/>
          <w:szCs w:val="28"/>
          <w:lang w:val="en-ZA"/>
        </w:rPr>
        <w:t>In its answering affidavit, the respondent included the counter</w:t>
      </w:r>
      <w:r>
        <w:rPr>
          <w:rFonts w:ascii="Times New Roman" w:hAnsi="Times New Roman" w:cs="Times New Roman"/>
          <w:sz w:val="28"/>
          <w:szCs w:val="28"/>
          <w:lang w:val="en-ZA"/>
        </w:rPr>
        <w:t xml:space="preserve"> </w:t>
      </w:r>
      <w:r w:rsidR="000129CE">
        <w:rPr>
          <w:rFonts w:ascii="Times New Roman" w:hAnsi="Times New Roman" w:cs="Times New Roman"/>
          <w:sz w:val="28"/>
          <w:szCs w:val="28"/>
          <w:lang w:val="en-ZA"/>
        </w:rPr>
        <w:t xml:space="preserve">application in terms of which it </w:t>
      </w:r>
      <w:r>
        <w:rPr>
          <w:rFonts w:ascii="Times New Roman" w:hAnsi="Times New Roman" w:cs="Times New Roman"/>
          <w:sz w:val="28"/>
          <w:szCs w:val="28"/>
          <w:lang w:val="en-ZA"/>
        </w:rPr>
        <w:t xml:space="preserve">sought </w:t>
      </w:r>
      <w:r w:rsidR="000129CE">
        <w:rPr>
          <w:rFonts w:ascii="Times New Roman" w:hAnsi="Times New Roman" w:cs="Times New Roman"/>
          <w:sz w:val="28"/>
          <w:szCs w:val="28"/>
          <w:lang w:val="en-ZA"/>
        </w:rPr>
        <w:t>spoliatory relief against the applicant in the main.  The reliefs were couched as follows:</w:t>
      </w:r>
    </w:p>
    <w:p w14:paraId="232E6E65" w14:textId="474DE2B8" w:rsidR="000129CE" w:rsidRDefault="000129CE" w:rsidP="000129CE">
      <w:pPr>
        <w:spacing w:after="0" w:line="360" w:lineRule="auto"/>
        <w:jc w:val="both"/>
        <w:rPr>
          <w:rFonts w:ascii="Times New Roman" w:hAnsi="Times New Roman" w:cs="Times New Roman"/>
          <w:sz w:val="28"/>
          <w:szCs w:val="28"/>
          <w:lang w:val="en-ZA"/>
        </w:rPr>
      </w:pPr>
    </w:p>
    <w:p w14:paraId="11FF985E" w14:textId="7F7F1315" w:rsidR="000129CE" w:rsidRDefault="00403F69"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That the applicati</w:t>
      </w:r>
      <w:r w:rsidR="002A2996">
        <w:rPr>
          <w:rFonts w:ascii="Times New Roman" w:hAnsi="Times New Roman" w:cs="Times New Roman"/>
          <w:i/>
          <w:iCs/>
          <w:sz w:val="24"/>
          <w:szCs w:val="24"/>
          <w:lang w:val="en-ZA"/>
        </w:rPr>
        <w:t>on be dealt with as an urgent application in terms of Rule 8 of the Court Rules, condoning non-compliance with procedural prescripts.</w:t>
      </w:r>
    </w:p>
    <w:p w14:paraId="490C0E8E" w14:textId="6E973639" w:rsidR="002A2996" w:rsidRDefault="002A2996" w:rsidP="000129CE">
      <w:pPr>
        <w:spacing w:after="0" w:line="360" w:lineRule="auto"/>
        <w:ind w:left="1440" w:right="1008"/>
        <w:jc w:val="both"/>
        <w:rPr>
          <w:rFonts w:ascii="Times New Roman" w:hAnsi="Times New Roman" w:cs="Times New Roman"/>
          <w:i/>
          <w:iCs/>
          <w:sz w:val="24"/>
          <w:szCs w:val="24"/>
          <w:lang w:val="en-ZA"/>
        </w:rPr>
      </w:pPr>
    </w:p>
    <w:p w14:paraId="58CF8483" w14:textId="77777777" w:rsidR="00C37A27" w:rsidRDefault="002A2996"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w:t>
      </w:r>
      <w:r w:rsidR="00C37A27">
        <w:rPr>
          <w:rFonts w:ascii="Times New Roman" w:hAnsi="Times New Roman" w:cs="Times New Roman"/>
          <w:i/>
          <w:iCs/>
          <w:sz w:val="24"/>
          <w:szCs w:val="24"/>
          <w:lang w:val="en-ZA"/>
        </w:rPr>
        <w:t>That the status quo ante be restored as at its position on 14 June 2022, whereby the Respondent (through its authorized representatives) is:</w:t>
      </w:r>
    </w:p>
    <w:p w14:paraId="37C1B044" w14:textId="77777777" w:rsidR="00C37A27" w:rsidRDefault="00C37A27" w:rsidP="000129CE">
      <w:pPr>
        <w:spacing w:after="0" w:line="360" w:lineRule="auto"/>
        <w:ind w:left="1440" w:right="1008"/>
        <w:jc w:val="both"/>
        <w:rPr>
          <w:rFonts w:ascii="Times New Roman" w:hAnsi="Times New Roman" w:cs="Times New Roman"/>
          <w:i/>
          <w:iCs/>
          <w:sz w:val="24"/>
          <w:szCs w:val="24"/>
          <w:lang w:val="en-ZA"/>
        </w:rPr>
      </w:pPr>
    </w:p>
    <w:p w14:paraId="005A9F31" w14:textId="77777777" w:rsidR="00C37A27" w:rsidRDefault="00C37A27"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2.1 Granted access to the Applicant banking accounts with FNB Lesotho and the Standard Lesotho Bank;</w:t>
      </w:r>
    </w:p>
    <w:p w14:paraId="3A772C5F" w14:textId="77777777" w:rsidR="00C37A27" w:rsidRDefault="00C37A27" w:rsidP="000129CE">
      <w:pPr>
        <w:spacing w:after="0" w:line="360" w:lineRule="auto"/>
        <w:ind w:left="1440" w:right="1008"/>
        <w:jc w:val="both"/>
        <w:rPr>
          <w:rFonts w:ascii="Times New Roman" w:hAnsi="Times New Roman" w:cs="Times New Roman"/>
          <w:i/>
          <w:iCs/>
          <w:sz w:val="24"/>
          <w:szCs w:val="24"/>
          <w:lang w:val="en-ZA"/>
        </w:rPr>
      </w:pPr>
    </w:p>
    <w:p w14:paraId="1E975DA1" w14:textId="77777777" w:rsidR="00C37A27" w:rsidRDefault="00C37A27"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2.2 Granted signatory rights to the Applicant’s banking accounts with FNB Lesotho and the Standard Lesotho Bank;</w:t>
      </w:r>
    </w:p>
    <w:p w14:paraId="1953BFA7" w14:textId="77777777" w:rsidR="00C37A27" w:rsidRDefault="00C37A27" w:rsidP="000129CE">
      <w:pPr>
        <w:spacing w:after="0" w:line="360" w:lineRule="auto"/>
        <w:ind w:left="1440" w:right="1008"/>
        <w:jc w:val="both"/>
        <w:rPr>
          <w:rFonts w:ascii="Times New Roman" w:hAnsi="Times New Roman" w:cs="Times New Roman"/>
          <w:i/>
          <w:iCs/>
          <w:sz w:val="24"/>
          <w:szCs w:val="24"/>
          <w:lang w:val="en-ZA"/>
        </w:rPr>
      </w:pPr>
    </w:p>
    <w:p w14:paraId="3A082457" w14:textId="4154739F" w:rsidR="002A2996" w:rsidRDefault="00C37A27"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2.3 It’s (de facto) position pertaining to the authorization of the Applicant’s transactions and disbu</w:t>
      </w:r>
      <w:r w:rsidR="008F7B8A">
        <w:rPr>
          <w:rFonts w:ascii="Times New Roman" w:hAnsi="Times New Roman" w:cs="Times New Roman"/>
          <w:i/>
          <w:iCs/>
          <w:sz w:val="24"/>
          <w:szCs w:val="24"/>
          <w:lang w:val="en-ZA"/>
        </w:rPr>
        <w:t>r</w:t>
      </w:r>
      <w:r>
        <w:rPr>
          <w:rFonts w:ascii="Times New Roman" w:hAnsi="Times New Roman" w:cs="Times New Roman"/>
          <w:i/>
          <w:iCs/>
          <w:sz w:val="24"/>
          <w:szCs w:val="24"/>
          <w:lang w:val="en-ZA"/>
        </w:rPr>
        <w:t>sements (by was of the implemented</w:t>
      </w:r>
      <w:r w:rsidR="008F7B8A">
        <w:rPr>
          <w:rFonts w:ascii="Times New Roman" w:hAnsi="Times New Roman" w:cs="Times New Roman"/>
          <w:i/>
          <w:iCs/>
          <w:sz w:val="24"/>
          <w:szCs w:val="24"/>
          <w:lang w:val="en-ZA"/>
        </w:rPr>
        <w:t xml:space="preserve"> systems) be restored.</w:t>
      </w:r>
      <w:r>
        <w:rPr>
          <w:rFonts w:ascii="Times New Roman" w:hAnsi="Times New Roman" w:cs="Times New Roman"/>
          <w:i/>
          <w:iCs/>
          <w:sz w:val="24"/>
          <w:szCs w:val="24"/>
          <w:lang w:val="en-ZA"/>
        </w:rPr>
        <w:t xml:space="preserve"> </w:t>
      </w:r>
    </w:p>
    <w:p w14:paraId="5FE4646A" w14:textId="57ED258D" w:rsidR="008F7B8A" w:rsidRDefault="008F7B8A" w:rsidP="000129CE">
      <w:pPr>
        <w:spacing w:after="0" w:line="360" w:lineRule="auto"/>
        <w:ind w:left="1440" w:right="1008"/>
        <w:jc w:val="both"/>
        <w:rPr>
          <w:rFonts w:ascii="Times New Roman" w:hAnsi="Times New Roman" w:cs="Times New Roman"/>
          <w:i/>
          <w:iCs/>
          <w:sz w:val="24"/>
          <w:szCs w:val="24"/>
          <w:lang w:val="en-ZA"/>
        </w:rPr>
      </w:pPr>
    </w:p>
    <w:p w14:paraId="3FC67368" w14:textId="3FA66D80" w:rsidR="008F7B8A" w:rsidRDefault="008F7B8A"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An order whereby FNB Lesotho and the Standard Lesotho Bank be authorised to give effect to the court order.</w:t>
      </w:r>
    </w:p>
    <w:p w14:paraId="6EC3920D" w14:textId="5FC6F2A8" w:rsidR="008F7B8A" w:rsidRDefault="008F7B8A" w:rsidP="000129CE">
      <w:pPr>
        <w:spacing w:after="0" w:line="360" w:lineRule="auto"/>
        <w:ind w:left="1440" w:right="1008"/>
        <w:jc w:val="both"/>
        <w:rPr>
          <w:rFonts w:ascii="Times New Roman" w:hAnsi="Times New Roman" w:cs="Times New Roman"/>
          <w:i/>
          <w:iCs/>
          <w:sz w:val="24"/>
          <w:szCs w:val="24"/>
          <w:lang w:val="en-ZA"/>
        </w:rPr>
      </w:pPr>
    </w:p>
    <w:p w14:paraId="6E5813A2" w14:textId="4745B472" w:rsidR="008F7B8A" w:rsidRDefault="008F7B8A"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4. A copy of the court order be served forthwith on FNB Lesotho, the Standard Lesotho Bank and the Applicant’s board of directors.</w:t>
      </w:r>
    </w:p>
    <w:p w14:paraId="179805AD" w14:textId="3E1E6FAD" w:rsidR="008F7B8A" w:rsidRDefault="008F7B8A" w:rsidP="000129CE">
      <w:pPr>
        <w:spacing w:after="0" w:line="360" w:lineRule="auto"/>
        <w:ind w:left="1440" w:right="1008"/>
        <w:jc w:val="both"/>
        <w:rPr>
          <w:rFonts w:ascii="Times New Roman" w:hAnsi="Times New Roman" w:cs="Times New Roman"/>
          <w:i/>
          <w:iCs/>
          <w:sz w:val="24"/>
          <w:szCs w:val="24"/>
          <w:lang w:val="en-ZA"/>
        </w:rPr>
      </w:pPr>
    </w:p>
    <w:p w14:paraId="10E7032D" w14:textId="77777777" w:rsidR="0047639A" w:rsidRDefault="008F7B8A"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The abovementioned order be of interim immediate force and effect, PENDING the institution of an application/action by the Respondent (within 30 days), until its finalization, broadly aimed at and with reference to the Sale of Shares Agreement entered into by the Respondent</w:t>
      </w:r>
      <w:r w:rsidR="0047639A">
        <w:rPr>
          <w:rFonts w:ascii="Times New Roman" w:hAnsi="Times New Roman" w:cs="Times New Roman"/>
          <w:i/>
          <w:iCs/>
          <w:sz w:val="24"/>
          <w:szCs w:val="24"/>
          <w:lang w:val="en-ZA"/>
        </w:rPr>
        <w:t xml:space="preserve"> and the Applicant’s shareholders, namely;</w:t>
      </w:r>
    </w:p>
    <w:p w14:paraId="669A55CB" w14:textId="77777777" w:rsidR="0047639A" w:rsidRDefault="0047639A" w:rsidP="000129CE">
      <w:pPr>
        <w:spacing w:after="0" w:line="360" w:lineRule="auto"/>
        <w:ind w:left="1440" w:right="1008"/>
        <w:jc w:val="both"/>
        <w:rPr>
          <w:rFonts w:ascii="Times New Roman" w:hAnsi="Times New Roman" w:cs="Times New Roman"/>
          <w:i/>
          <w:iCs/>
          <w:sz w:val="24"/>
          <w:szCs w:val="24"/>
          <w:lang w:val="en-ZA"/>
        </w:rPr>
      </w:pPr>
    </w:p>
    <w:p w14:paraId="14988ABE" w14:textId="77777777" w:rsidR="0047639A" w:rsidRDefault="0047639A"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5.1 Motena Lishea and</w:t>
      </w:r>
    </w:p>
    <w:p w14:paraId="16867A6C" w14:textId="303914F0" w:rsidR="0047639A" w:rsidRDefault="0047639A"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5.2 Nthabiseng Nthako.</w:t>
      </w:r>
    </w:p>
    <w:p w14:paraId="18E4F94E" w14:textId="77777777" w:rsidR="00F6248F" w:rsidRDefault="00F6248F" w:rsidP="000129CE">
      <w:pPr>
        <w:spacing w:after="0" w:line="360" w:lineRule="auto"/>
        <w:ind w:left="1440" w:right="1008"/>
        <w:jc w:val="both"/>
        <w:rPr>
          <w:rFonts w:ascii="Times New Roman" w:hAnsi="Times New Roman" w:cs="Times New Roman"/>
          <w:i/>
          <w:iCs/>
          <w:sz w:val="24"/>
          <w:szCs w:val="24"/>
          <w:lang w:val="en-ZA"/>
        </w:rPr>
      </w:pPr>
    </w:p>
    <w:p w14:paraId="634A9AE5" w14:textId="77777777" w:rsidR="0047639A" w:rsidRDefault="0047639A" w:rsidP="000129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 Cost to be costs in the cause.”</w:t>
      </w:r>
    </w:p>
    <w:p w14:paraId="6DA90D1D" w14:textId="77777777" w:rsidR="0047639A" w:rsidRDefault="0047639A" w:rsidP="0047639A">
      <w:pPr>
        <w:spacing w:after="0" w:line="360" w:lineRule="auto"/>
        <w:ind w:right="1008"/>
        <w:jc w:val="both"/>
        <w:rPr>
          <w:rFonts w:ascii="Times New Roman" w:hAnsi="Times New Roman" w:cs="Times New Roman"/>
          <w:i/>
          <w:iCs/>
          <w:sz w:val="24"/>
          <w:szCs w:val="24"/>
          <w:lang w:val="en-ZA"/>
        </w:rPr>
      </w:pPr>
    </w:p>
    <w:p w14:paraId="1032B5CD" w14:textId="25B10FC6" w:rsidR="0047639A" w:rsidRDefault="0047639A" w:rsidP="0047639A">
      <w:pPr>
        <w:spacing w:after="0" w:line="360" w:lineRule="auto"/>
        <w:ind w:right="1008"/>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064C25">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Factual Matrix</w:t>
      </w:r>
    </w:p>
    <w:p w14:paraId="6B61F7F8" w14:textId="59F91101" w:rsidR="00F955E3" w:rsidRDefault="00280D3A" w:rsidP="00AE224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Following the Constitution of the new board by Ms Lishea, as alluded to above</w:t>
      </w:r>
      <w:r w:rsidR="00AE224D">
        <w:rPr>
          <w:rFonts w:ascii="Times New Roman" w:hAnsi="Times New Roman" w:cs="Times New Roman"/>
          <w:sz w:val="28"/>
          <w:szCs w:val="28"/>
          <w:lang w:val="en-ZA"/>
        </w:rPr>
        <w:t xml:space="preserve">, on the 13 June, unbeknown to the respondent, the newly appointed board made the following resolutions which affected the </w:t>
      </w:r>
      <w:r w:rsidR="00AE224D" w:rsidRPr="00EC6798">
        <w:rPr>
          <w:rFonts w:ascii="Times New Roman" w:hAnsi="Times New Roman" w:cs="Times New Roman"/>
          <w:i/>
          <w:iCs/>
          <w:sz w:val="28"/>
          <w:szCs w:val="28"/>
          <w:lang w:val="en-ZA"/>
        </w:rPr>
        <w:t>status quo</w:t>
      </w:r>
      <w:r w:rsidR="00AE224D">
        <w:rPr>
          <w:rFonts w:ascii="Times New Roman" w:hAnsi="Times New Roman" w:cs="Times New Roman"/>
          <w:sz w:val="28"/>
          <w:szCs w:val="28"/>
          <w:lang w:val="en-ZA"/>
        </w:rPr>
        <w:t xml:space="preserve"> mentioned above;</w:t>
      </w:r>
    </w:p>
    <w:p w14:paraId="56137CFC" w14:textId="77777777" w:rsidR="00F955E3" w:rsidRDefault="00F955E3" w:rsidP="00AE224D">
      <w:pPr>
        <w:spacing w:after="0" w:line="360" w:lineRule="auto"/>
        <w:ind w:left="720"/>
        <w:jc w:val="both"/>
        <w:rPr>
          <w:rFonts w:ascii="Times New Roman" w:hAnsi="Times New Roman" w:cs="Times New Roman"/>
          <w:sz w:val="28"/>
          <w:szCs w:val="28"/>
          <w:lang w:val="en-ZA"/>
        </w:rPr>
      </w:pPr>
    </w:p>
    <w:p w14:paraId="07E6EDD4" w14:textId="37BF5CC8" w:rsidR="00F955E3" w:rsidRPr="00F955E3" w:rsidRDefault="00EC6798" w:rsidP="00F955E3">
      <w:pPr>
        <w:pStyle w:val="ListParagraph"/>
        <w:numPr>
          <w:ilvl w:val="0"/>
          <w:numId w:val="4"/>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Messrs</w:t>
      </w:r>
      <w:r w:rsidR="00F955E3">
        <w:rPr>
          <w:rFonts w:ascii="Times New Roman" w:hAnsi="Times New Roman" w:cs="Times New Roman"/>
          <w:sz w:val="28"/>
          <w:szCs w:val="28"/>
          <w:lang w:val="en-ZA"/>
        </w:rPr>
        <w:t xml:space="preserve"> Fourie and Mangana be removed from their positions and evicted, and the respondent be interdicted from any management functions.</w:t>
      </w:r>
    </w:p>
    <w:p w14:paraId="136EC6BF" w14:textId="77777777" w:rsidR="00F955E3" w:rsidRPr="00F955E3" w:rsidRDefault="00F955E3" w:rsidP="00F955E3">
      <w:pPr>
        <w:pStyle w:val="ListParagraph"/>
        <w:spacing w:after="0" w:line="360" w:lineRule="auto"/>
        <w:ind w:left="1440"/>
        <w:jc w:val="both"/>
        <w:rPr>
          <w:rFonts w:ascii="Times New Roman" w:hAnsi="Times New Roman" w:cs="Times New Roman"/>
          <w:i/>
          <w:iCs/>
          <w:sz w:val="24"/>
          <w:szCs w:val="24"/>
          <w:lang w:val="en-ZA"/>
        </w:rPr>
      </w:pPr>
    </w:p>
    <w:p w14:paraId="30AF11AC" w14:textId="58E6451D" w:rsidR="008F7B8A" w:rsidRPr="00F955E3" w:rsidRDefault="00F955E3" w:rsidP="00F955E3">
      <w:pPr>
        <w:pStyle w:val="ListParagraph"/>
        <w:numPr>
          <w:ilvl w:val="0"/>
          <w:numId w:val="4"/>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Webber Newdigate be removed as Company Secretary and Adv. E. K Mahase appointed instead.</w:t>
      </w:r>
    </w:p>
    <w:p w14:paraId="48E4F021" w14:textId="77777777" w:rsidR="00F955E3" w:rsidRPr="00F955E3" w:rsidRDefault="00F955E3" w:rsidP="00F955E3">
      <w:pPr>
        <w:pStyle w:val="ListParagraph"/>
        <w:rPr>
          <w:rFonts w:ascii="Times New Roman" w:hAnsi="Times New Roman" w:cs="Times New Roman"/>
          <w:i/>
          <w:iCs/>
          <w:sz w:val="24"/>
          <w:szCs w:val="24"/>
          <w:lang w:val="en-ZA"/>
        </w:rPr>
      </w:pPr>
    </w:p>
    <w:p w14:paraId="14F65343" w14:textId="2BD5E6C5" w:rsidR="00F955E3" w:rsidRDefault="00F955E3" w:rsidP="00F955E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064C25">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On the same day, the Applicant, wrote a letter to Fourie advising that he is not an employee or officer of the company and that his role was to facilitate a loan </w:t>
      </w:r>
      <w:r>
        <w:rPr>
          <w:rFonts w:ascii="Times New Roman" w:hAnsi="Times New Roman" w:cs="Times New Roman"/>
          <w:sz w:val="28"/>
          <w:szCs w:val="28"/>
          <w:lang w:val="en-ZA"/>
        </w:rPr>
        <w:lastRenderedPageBreak/>
        <w:t xml:space="preserve">agreement between the applicant and respondent, which agreement does not bestow him with the status of being its employee.  Fourie was given an order to leave the applicant’s premises immediately.  A similar letter was sent to </w:t>
      </w:r>
      <w:r w:rsidR="00064C25">
        <w:rPr>
          <w:rFonts w:ascii="Times New Roman" w:hAnsi="Times New Roman" w:cs="Times New Roman"/>
          <w:sz w:val="28"/>
          <w:szCs w:val="28"/>
          <w:lang w:val="en-ZA"/>
        </w:rPr>
        <w:t>Mangana.</w:t>
      </w:r>
      <w:r>
        <w:rPr>
          <w:rFonts w:ascii="Times New Roman" w:hAnsi="Times New Roman" w:cs="Times New Roman"/>
          <w:sz w:val="28"/>
          <w:szCs w:val="28"/>
          <w:lang w:val="en-ZA"/>
        </w:rPr>
        <w:t xml:space="preserve">  He was also ordered to vacate the premises.</w:t>
      </w:r>
    </w:p>
    <w:p w14:paraId="08C04D22" w14:textId="545BCF8B" w:rsidR="00F955E3" w:rsidRDefault="00F955E3" w:rsidP="00F955E3">
      <w:pPr>
        <w:spacing w:after="0" w:line="360" w:lineRule="auto"/>
        <w:ind w:left="720" w:hanging="720"/>
        <w:jc w:val="both"/>
        <w:rPr>
          <w:rFonts w:ascii="Times New Roman" w:hAnsi="Times New Roman" w:cs="Times New Roman"/>
          <w:sz w:val="28"/>
          <w:szCs w:val="28"/>
          <w:lang w:val="en-ZA"/>
        </w:rPr>
      </w:pPr>
    </w:p>
    <w:p w14:paraId="6135D831" w14:textId="2FD9A8CE" w:rsidR="00F955E3" w:rsidRDefault="00F955E3" w:rsidP="00F955E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064C25">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t>On 15 June 2022</w:t>
      </w:r>
      <w:r w:rsidR="0083504F">
        <w:rPr>
          <w:rFonts w:ascii="Times New Roman" w:hAnsi="Times New Roman" w:cs="Times New Roman"/>
          <w:sz w:val="28"/>
          <w:szCs w:val="28"/>
          <w:lang w:val="en-ZA"/>
        </w:rPr>
        <w:t>,</w:t>
      </w:r>
      <w:r>
        <w:rPr>
          <w:rFonts w:ascii="Times New Roman" w:hAnsi="Times New Roman" w:cs="Times New Roman"/>
          <w:sz w:val="28"/>
          <w:szCs w:val="28"/>
          <w:lang w:val="en-ZA"/>
        </w:rPr>
        <w:t xml:space="preserve"> Ms Lishea </w:t>
      </w:r>
      <w:r w:rsidR="0083504F">
        <w:rPr>
          <w:rFonts w:ascii="Times New Roman" w:hAnsi="Times New Roman" w:cs="Times New Roman"/>
          <w:sz w:val="28"/>
          <w:szCs w:val="28"/>
          <w:lang w:val="en-ZA"/>
        </w:rPr>
        <w:t>wrote</w:t>
      </w:r>
      <w:r>
        <w:rPr>
          <w:rFonts w:ascii="Times New Roman" w:hAnsi="Times New Roman" w:cs="Times New Roman"/>
          <w:sz w:val="28"/>
          <w:szCs w:val="28"/>
          <w:lang w:val="en-ZA"/>
        </w:rPr>
        <w:t xml:space="preserve"> an e-mail to FNB instructing it to have only a direct contact with her, Ms Nthako or Adv. Mahase</w:t>
      </w:r>
      <w:r w:rsidR="0083504F">
        <w:rPr>
          <w:rFonts w:ascii="Times New Roman" w:hAnsi="Times New Roman" w:cs="Times New Roman"/>
          <w:sz w:val="28"/>
          <w:szCs w:val="28"/>
          <w:lang w:val="en-ZA"/>
        </w:rPr>
        <w:t xml:space="preserve"> who is the applicant’s new Company Secretary</w:t>
      </w:r>
      <w:r>
        <w:rPr>
          <w:rFonts w:ascii="Times New Roman" w:hAnsi="Times New Roman" w:cs="Times New Roman"/>
          <w:sz w:val="28"/>
          <w:szCs w:val="28"/>
          <w:lang w:val="en-ZA"/>
        </w:rPr>
        <w:t>.  On the 19 June 2022 Adv. Mahase</w:t>
      </w:r>
      <w:r w:rsidR="0083504F">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directed a letter to the </w:t>
      </w:r>
      <w:r w:rsidR="0083504F">
        <w:rPr>
          <w:rFonts w:ascii="Times New Roman" w:hAnsi="Times New Roman" w:cs="Times New Roman"/>
          <w:sz w:val="28"/>
          <w:szCs w:val="28"/>
          <w:lang w:val="en-ZA"/>
        </w:rPr>
        <w:t>respondent</w:t>
      </w:r>
      <w:r>
        <w:rPr>
          <w:rFonts w:ascii="Times New Roman" w:hAnsi="Times New Roman" w:cs="Times New Roman"/>
          <w:sz w:val="28"/>
          <w:szCs w:val="28"/>
          <w:lang w:val="en-ZA"/>
        </w:rPr>
        <w:t>, on behalf of the board</w:t>
      </w:r>
      <w:r w:rsidR="0083504F">
        <w:rPr>
          <w:rFonts w:ascii="Times New Roman" w:hAnsi="Times New Roman" w:cs="Times New Roman"/>
          <w:sz w:val="28"/>
          <w:szCs w:val="28"/>
          <w:lang w:val="en-ZA"/>
        </w:rPr>
        <w:t xml:space="preserve">, </w:t>
      </w:r>
      <w:r>
        <w:rPr>
          <w:rFonts w:ascii="Times New Roman" w:hAnsi="Times New Roman" w:cs="Times New Roman"/>
          <w:sz w:val="28"/>
          <w:szCs w:val="28"/>
          <w:lang w:val="en-ZA"/>
        </w:rPr>
        <w:t>in</w:t>
      </w:r>
      <w:r w:rsidR="0083504F">
        <w:rPr>
          <w:rFonts w:ascii="Times New Roman" w:hAnsi="Times New Roman" w:cs="Times New Roman"/>
          <w:sz w:val="28"/>
          <w:szCs w:val="28"/>
          <w:lang w:val="en-ZA"/>
        </w:rPr>
        <w:t xml:space="preserve"> which</w:t>
      </w:r>
      <w:r w:rsidR="00F11DE9">
        <w:rPr>
          <w:rFonts w:ascii="Times New Roman" w:hAnsi="Times New Roman" w:cs="Times New Roman"/>
          <w:sz w:val="28"/>
          <w:szCs w:val="28"/>
          <w:lang w:val="en-ZA"/>
        </w:rPr>
        <w:t>, in relevant</w:t>
      </w:r>
      <w:r>
        <w:rPr>
          <w:rFonts w:ascii="Times New Roman" w:hAnsi="Times New Roman" w:cs="Times New Roman"/>
          <w:sz w:val="28"/>
          <w:szCs w:val="28"/>
          <w:lang w:val="en-ZA"/>
        </w:rPr>
        <w:t xml:space="preserve"> parts</w:t>
      </w:r>
      <w:r w:rsidR="0083504F">
        <w:rPr>
          <w:rFonts w:ascii="Times New Roman" w:hAnsi="Times New Roman" w:cs="Times New Roman"/>
          <w:sz w:val="28"/>
          <w:szCs w:val="28"/>
          <w:lang w:val="en-ZA"/>
        </w:rPr>
        <w:t>, the following was communicated</w:t>
      </w:r>
      <w:r>
        <w:rPr>
          <w:rFonts w:ascii="Times New Roman" w:hAnsi="Times New Roman" w:cs="Times New Roman"/>
          <w:sz w:val="28"/>
          <w:szCs w:val="28"/>
          <w:lang w:val="en-ZA"/>
        </w:rPr>
        <w:t>:</w:t>
      </w:r>
    </w:p>
    <w:p w14:paraId="2B47E338" w14:textId="7FE4927D" w:rsidR="00F955E3" w:rsidRDefault="00F955E3" w:rsidP="00F955E3">
      <w:pPr>
        <w:spacing w:after="0" w:line="360" w:lineRule="auto"/>
        <w:ind w:left="720" w:hanging="720"/>
        <w:jc w:val="both"/>
        <w:rPr>
          <w:rFonts w:ascii="Times New Roman" w:hAnsi="Times New Roman" w:cs="Times New Roman"/>
          <w:sz w:val="28"/>
          <w:szCs w:val="28"/>
          <w:lang w:val="en-ZA"/>
        </w:rPr>
      </w:pPr>
    </w:p>
    <w:p w14:paraId="6725E4B1" w14:textId="14F026FA" w:rsidR="00F955E3" w:rsidRDefault="00F955E3" w:rsidP="00F955E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The purpo</w:t>
      </w:r>
      <w:r w:rsidR="00F11DE9">
        <w:rPr>
          <w:rFonts w:ascii="Times New Roman" w:hAnsi="Times New Roman" w:cs="Times New Roman"/>
          <w:i/>
          <w:iCs/>
          <w:sz w:val="24"/>
          <w:szCs w:val="24"/>
          <w:lang w:val="en-ZA"/>
        </w:rPr>
        <w:t>r</w:t>
      </w:r>
      <w:r>
        <w:rPr>
          <w:rFonts w:ascii="Times New Roman" w:hAnsi="Times New Roman" w:cs="Times New Roman"/>
          <w:i/>
          <w:iCs/>
          <w:sz w:val="24"/>
          <w:szCs w:val="24"/>
          <w:lang w:val="en-ZA"/>
        </w:rPr>
        <w:t>ted “share transfer agreement” is non-existent on the basis of the following –</w:t>
      </w:r>
    </w:p>
    <w:p w14:paraId="6357F360" w14:textId="77777777" w:rsidR="00F955E3" w:rsidRDefault="00F955E3" w:rsidP="00F955E3">
      <w:pPr>
        <w:spacing w:after="0" w:line="360" w:lineRule="auto"/>
        <w:ind w:left="1440" w:right="1008"/>
        <w:jc w:val="both"/>
        <w:rPr>
          <w:rFonts w:ascii="Times New Roman" w:hAnsi="Times New Roman" w:cs="Times New Roman"/>
          <w:i/>
          <w:iCs/>
          <w:sz w:val="24"/>
          <w:szCs w:val="24"/>
          <w:lang w:val="en-ZA"/>
        </w:rPr>
      </w:pPr>
    </w:p>
    <w:p w14:paraId="3AFB65B2" w14:textId="4E6EE281" w:rsidR="00F955E3" w:rsidRDefault="00F955E3" w:rsidP="00F955E3">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Same was not submitted to the Commissioner (CBL) for pre-approval in terms of the law;</w:t>
      </w:r>
    </w:p>
    <w:p w14:paraId="0EF442A3" w14:textId="77777777" w:rsidR="0003624C" w:rsidRDefault="0003624C" w:rsidP="0003624C">
      <w:pPr>
        <w:pStyle w:val="ListParagraph"/>
        <w:spacing w:after="0" w:line="360" w:lineRule="auto"/>
        <w:ind w:left="2160" w:right="1008"/>
        <w:jc w:val="both"/>
        <w:rPr>
          <w:rFonts w:ascii="Times New Roman" w:hAnsi="Times New Roman" w:cs="Times New Roman"/>
          <w:i/>
          <w:iCs/>
          <w:sz w:val="24"/>
          <w:szCs w:val="24"/>
          <w:lang w:val="en-ZA"/>
        </w:rPr>
      </w:pPr>
    </w:p>
    <w:p w14:paraId="569BE510" w14:textId="77777777" w:rsidR="0003624C" w:rsidRDefault="0003624C" w:rsidP="00F955E3">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Neither was it signed by both parties thereto and existed only as an offer and/or intent to contract nor was it executed in accordance with its own purported terms and conditions thereto.</w:t>
      </w:r>
    </w:p>
    <w:p w14:paraId="35AF6CAE" w14:textId="77777777" w:rsidR="0003624C" w:rsidRPr="0003624C" w:rsidRDefault="0003624C" w:rsidP="0003624C">
      <w:pPr>
        <w:pStyle w:val="ListParagraph"/>
        <w:rPr>
          <w:rFonts w:ascii="Times New Roman" w:hAnsi="Times New Roman" w:cs="Times New Roman"/>
          <w:i/>
          <w:iCs/>
          <w:sz w:val="24"/>
          <w:szCs w:val="24"/>
          <w:lang w:val="en-ZA"/>
        </w:rPr>
      </w:pPr>
    </w:p>
    <w:p w14:paraId="2F29536D" w14:textId="77777777" w:rsidR="0003624C" w:rsidRDefault="0003624C" w:rsidP="0003624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purported “Management Contract” between Platcorp Holdings and Platinum Credit is unlawful and contrary to the regulations of CBL.</w:t>
      </w:r>
    </w:p>
    <w:p w14:paraId="3F8AA272" w14:textId="77777777" w:rsidR="0003624C" w:rsidRDefault="0003624C" w:rsidP="0003624C">
      <w:pPr>
        <w:spacing w:after="0" w:line="360" w:lineRule="auto"/>
        <w:ind w:left="1440" w:right="1008"/>
        <w:jc w:val="both"/>
        <w:rPr>
          <w:rFonts w:ascii="Times New Roman" w:hAnsi="Times New Roman" w:cs="Times New Roman"/>
          <w:i/>
          <w:iCs/>
          <w:sz w:val="24"/>
          <w:szCs w:val="24"/>
          <w:lang w:val="en-ZA"/>
        </w:rPr>
      </w:pPr>
    </w:p>
    <w:p w14:paraId="600C5DF1" w14:textId="55489EA3" w:rsidR="0003624C" w:rsidRDefault="0003624C" w:rsidP="0003624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The purported US $15 million apparently the basis of your concern is neither in conformity</w:t>
      </w:r>
      <w:r w:rsidR="00A84793">
        <w:rPr>
          <w:rFonts w:ascii="Times New Roman" w:hAnsi="Times New Roman" w:cs="Times New Roman"/>
          <w:i/>
          <w:iCs/>
          <w:sz w:val="24"/>
          <w:szCs w:val="24"/>
          <w:lang w:val="en-ZA"/>
        </w:rPr>
        <w:t xml:space="preserve"> with the law and regulations</w:t>
      </w:r>
      <w:r>
        <w:rPr>
          <w:rFonts w:ascii="Times New Roman" w:hAnsi="Times New Roman" w:cs="Times New Roman"/>
          <w:i/>
          <w:iCs/>
          <w:sz w:val="24"/>
          <w:szCs w:val="24"/>
          <w:lang w:val="en-ZA"/>
        </w:rPr>
        <w:t xml:space="preserve"> of CBL, nor does it reflect how same was requisitioned, approved and/or authenticated and disbursed.</w:t>
      </w:r>
    </w:p>
    <w:p w14:paraId="31EA0017" w14:textId="77777777" w:rsidR="0003624C" w:rsidRDefault="0003624C" w:rsidP="0003624C">
      <w:pPr>
        <w:spacing w:after="0" w:line="360" w:lineRule="auto"/>
        <w:ind w:left="1440" w:right="1008"/>
        <w:jc w:val="both"/>
        <w:rPr>
          <w:rFonts w:ascii="Times New Roman" w:hAnsi="Times New Roman" w:cs="Times New Roman"/>
          <w:i/>
          <w:iCs/>
          <w:sz w:val="24"/>
          <w:szCs w:val="24"/>
          <w:lang w:val="en-ZA"/>
        </w:rPr>
      </w:pPr>
    </w:p>
    <w:p w14:paraId="3202AFAD" w14:textId="77777777" w:rsidR="00E11AE6" w:rsidRDefault="0003624C" w:rsidP="0003624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4. The requisitioned, approved, and disbursed US $2 million is neither reflective of pre-agreement quotation for does it reflect loan amortization of same.”</w:t>
      </w:r>
    </w:p>
    <w:p w14:paraId="07C79F72" w14:textId="77777777" w:rsidR="00E11AE6" w:rsidRDefault="00E11AE6" w:rsidP="00E11AE6">
      <w:pPr>
        <w:spacing w:after="0" w:line="360" w:lineRule="auto"/>
        <w:ind w:right="1008"/>
        <w:jc w:val="both"/>
        <w:rPr>
          <w:rFonts w:ascii="Times New Roman" w:hAnsi="Times New Roman" w:cs="Times New Roman"/>
          <w:i/>
          <w:iCs/>
          <w:sz w:val="24"/>
          <w:szCs w:val="24"/>
          <w:lang w:val="en-ZA"/>
        </w:rPr>
      </w:pPr>
    </w:p>
    <w:p w14:paraId="4954030E" w14:textId="77777777" w:rsidR="00AA2C67" w:rsidRDefault="00E11AE6" w:rsidP="00F6248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effect the applicant was repudiating the contract it had concluded with the respondent.</w:t>
      </w:r>
    </w:p>
    <w:p w14:paraId="7C86E87A" w14:textId="77777777" w:rsidR="00AA2C67" w:rsidRDefault="00AA2C67" w:rsidP="00AA2C67">
      <w:pPr>
        <w:spacing w:after="0" w:line="360" w:lineRule="auto"/>
        <w:ind w:right="1008"/>
        <w:jc w:val="both"/>
        <w:rPr>
          <w:rFonts w:ascii="Times New Roman" w:hAnsi="Times New Roman" w:cs="Times New Roman"/>
          <w:sz w:val="28"/>
          <w:szCs w:val="28"/>
          <w:lang w:val="en-ZA"/>
        </w:rPr>
      </w:pPr>
    </w:p>
    <w:p w14:paraId="3649F13E" w14:textId="0F6B5F5F" w:rsidR="00AA2C67" w:rsidRDefault="00AA2C67" w:rsidP="00AA2C6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064C25">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In its replying affidavit, through Ms Lishea</w:t>
      </w:r>
      <w:r w:rsidR="0026342D">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 dealt with the respondent’s averments, but as </w:t>
      </w:r>
      <w:r w:rsidR="0026342D">
        <w:rPr>
          <w:rFonts w:ascii="Times New Roman" w:hAnsi="Times New Roman" w:cs="Times New Roman"/>
          <w:sz w:val="28"/>
          <w:szCs w:val="28"/>
          <w:lang w:val="en-ZA"/>
        </w:rPr>
        <w:t>it</w:t>
      </w:r>
      <w:r>
        <w:rPr>
          <w:rFonts w:ascii="Times New Roman" w:hAnsi="Times New Roman" w:cs="Times New Roman"/>
          <w:sz w:val="28"/>
          <w:szCs w:val="28"/>
          <w:lang w:val="en-ZA"/>
        </w:rPr>
        <w:t xml:space="preserve"> the</w:t>
      </w:r>
      <w:r w:rsidR="0026342D">
        <w:rPr>
          <w:rFonts w:ascii="Times New Roman" w:hAnsi="Times New Roman" w:cs="Times New Roman"/>
          <w:sz w:val="28"/>
          <w:szCs w:val="28"/>
          <w:lang w:val="en-ZA"/>
        </w:rPr>
        <w:t xml:space="preserve"> factual </w:t>
      </w:r>
      <w:r>
        <w:rPr>
          <w:rFonts w:ascii="Times New Roman" w:hAnsi="Times New Roman" w:cs="Times New Roman"/>
          <w:sz w:val="28"/>
          <w:szCs w:val="28"/>
          <w:lang w:val="en-ZA"/>
        </w:rPr>
        <w:t xml:space="preserve">averments </w:t>
      </w:r>
      <w:r w:rsidR="0026342D">
        <w:rPr>
          <w:rFonts w:ascii="Times New Roman" w:hAnsi="Times New Roman" w:cs="Times New Roman"/>
          <w:sz w:val="28"/>
          <w:szCs w:val="28"/>
          <w:lang w:val="en-ZA"/>
        </w:rPr>
        <w:t xml:space="preserve">between the parties </w:t>
      </w:r>
      <w:r>
        <w:rPr>
          <w:rFonts w:ascii="Times New Roman" w:hAnsi="Times New Roman" w:cs="Times New Roman"/>
          <w:sz w:val="28"/>
          <w:szCs w:val="28"/>
          <w:lang w:val="en-ZA"/>
        </w:rPr>
        <w:t xml:space="preserve">are largely common cause, except </w:t>
      </w:r>
      <w:r w:rsidR="0026342D">
        <w:rPr>
          <w:rFonts w:ascii="Times New Roman" w:hAnsi="Times New Roman" w:cs="Times New Roman"/>
          <w:sz w:val="28"/>
          <w:szCs w:val="28"/>
          <w:lang w:val="en-ZA"/>
        </w:rPr>
        <w:t>the applicant’s</w:t>
      </w:r>
      <w:r>
        <w:rPr>
          <w:rFonts w:ascii="Times New Roman" w:hAnsi="Times New Roman" w:cs="Times New Roman"/>
          <w:sz w:val="28"/>
          <w:szCs w:val="28"/>
          <w:lang w:val="en-ZA"/>
        </w:rPr>
        <w:t xml:space="preserve"> insist</w:t>
      </w:r>
      <w:r w:rsidR="0026342D">
        <w:rPr>
          <w:rFonts w:ascii="Times New Roman" w:hAnsi="Times New Roman" w:cs="Times New Roman"/>
          <w:sz w:val="28"/>
          <w:szCs w:val="28"/>
          <w:lang w:val="en-ZA"/>
        </w:rPr>
        <w:t>ence</w:t>
      </w:r>
      <w:r>
        <w:rPr>
          <w:rFonts w:ascii="Times New Roman" w:hAnsi="Times New Roman" w:cs="Times New Roman"/>
          <w:sz w:val="28"/>
          <w:szCs w:val="28"/>
          <w:lang w:val="en-ZA"/>
        </w:rPr>
        <w:t xml:space="preserve"> that the parties’ relationship is that of a creditor and debtor.  Before pleading over, the applicant raised three of the so-called points in </w:t>
      </w:r>
      <w:r>
        <w:rPr>
          <w:rFonts w:ascii="Times New Roman" w:hAnsi="Times New Roman" w:cs="Times New Roman"/>
          <w:i/>
          <w:iCs/>
          <w:sz w:val="28"/>
          <w:szCs w:val="28"/>
          <w:lang w:val="en-ZA"/>
        </w:rPr>
        <w:t>limine</w:t>
      </w:r>
      <w:r>
        <w:rPr>
          <w:rFonts w:ascii="Times New Roman" w:hAnsi="Times New Roman" w:cs="Times New Roman"/>
          <w:sz w:val="28"/>
          <w:szCs w:val="28"/>
          <w:lang w:val="en-ZA"/>
        </w:rPr>
        <w:t>, namely (i) Non-compliance with the rules of this court as to form of applications; (ii) Non-joinder of the Banks and the applicant\s board of directors, and the shareholders, (iii) lack of urgency.</w:t>
      </w:r>
    </w:p>
    <w:p w14:paraId="3FDB2115" w14:textId="77777777" w:rsidR="00AA2C67" w:rsidRDefault="00AA2C67" w:rsidP="00AA2C67">
      <w:pPr>
        <w:spacing w:after="0" w:line="360" w:lineRule="auto"/>
        <w:ind w:left="720" w:hanging="720"/>
        <w:jc w:val="both"/>
        <w:rPr>
          <w:rFonts w:ascii="Times New Roman" w:hAnsi="Times New Roman" w:cs="Times New Roman"/>
          <w:sz w:val="28"/>
          <w:szCs w:val="28"/>
          <w:lang w:val="en-ZA"/>
        </w:rPr>
      </w:pPr>
    </w:p>
    <w:p w14:paraId="29CFFCDC" w14:textId="7EF16A17" w:rsidR="007B7BC6" w:rsidRDefault="00AA2C67" w:rsidP="00AA2C6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064C25">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On the merits, the applicant insists that the purported transfer of shares by the shareholders was unlawful for non-compliance with the F</w:t>
      </w:r>
      <w:r w:rsidR="00C36C43">
        <w:rPr>
          <w:rFonts w:ascii="Times New Roman" w:hAnsi="Times New Roman" w:cs="Times New Roman"/>
          <w:sz w:val="28"/>
          <w:szCs w:val="28"/>
          <w:lang w:val="en-ZA"/>
        </w:rPr>
        <w:t xml:space="preserve">IA. </w:t>
      </w:r>
      <w:r>
        <w:rPr>
          <w:rFonts w:ascii="Times New Roman" w:hAnsi="Times New Roman" w:cs="Times New Roman"/>
          <w:sz w:val="28"/>
          <w:szCs w:val="28"/>
          <w:lang w:val="en-ZA"/>
        </w:rPr>
        <w:t>The long and the short of the applicant</w:t>
      </w:r>
      <w:r w:rsidR="00CE1079">
        <w:rPr>
          <w:rFonts w:ascii="Times New Roman" w:hAnsi="Times New Roman" w:cs="Times New Roman"/>
          <w:sz w:val="28"/>
          <w:szCs w:val="28"/>
          <w:lang w:val="en-ZA"/>
        </w:rPr>
        <w:t xml:space="preserve">’s response is that the respondent was lawfully ousted from the functions it was accorded in the applicant company.  After hearing arguments in the counter applicant, the court acceded to the spoliatory reliefs sought by the respondent and promised to deliver written reasons for the decision in due course.  The order in which I propose </w:t>
      </w:r>
      <w:r w:rsidR="00A60C17">
        <w:rPr>
          <w:rFonts w:ascii="Times New Roman" w:hAnsi="Times New Roman" w:cs="Times New Roman"/>
          <w:sz w:val="28"/>
          <w:szCs w:val="28"/>
          <w:lang w:val="en-ZA"/>
        </w:rPr>
        <w:t>to follow in this judgment, is to start with the main application and then conclude with the spoliation application</w:t>
      </w:r>
      <w:r w:rsidR="00064C25">
        <w:rPr>
          <w:rFonts w:ascii="Times New Roman" w:hAnsi="Times New Roman" w:cs="Times New Roman"/>
          <w:sz w:val="28"/>
          <w:szCs w:val="28"/>
          <w:lang w:val="en-ZA"/>
        </w:rPr>
        <w:t>.</w:t>
      </w:r>
    </w:p>
    <w:p w14:paraId="157CA4AC" w14:textId="77777777" w:rsidR="00064C25" w:rsidRPr="00064C25" w:rsidRDefault="00064C25" w:rsidP="00AA2C67">
      <w:pPr>
        <w:spacing w:after="0" w:line="360" w:lineRule="auto"/>
        <w:ind w:left="720" w:hanging="720"/>
        <w:jc w:val="both"/>
        <w:rPr>
          <w:rFonts w:ascii="Times New Roman" w:hAnsi="Times New Roman" w:cs="Times New Roman"/>
          <w:sz w:val="28"/>
          <w:szCs w:val="28"/>
          <w:lang w:val="en-ZA"/>
        </w:rPr>
      </w:pPr>
    </w:p>
    <w:p w14:paraId="65621CBE" w14:textId="77777777" w:rsidR="00F572C9" w:rsidRPr="00F572C9" w:rsidRDefault="00F572C9" w:rsidP="00F572C9">
      <w:pPr>
        <w:spacing w:after="0" w:line="360" w:lineRule="auto"/>
        <w:ind w:left="720" w:hanging="720"/>
        <w:jc w:val="both"/>
        <w:rPr>
          <w:rFonts w:ascii="Times New Roman" w:hAnsi="Times New Roman" w:cs="Times New Roman"/>
          <w:b/>
          <w:bCs/>
          <w:sz w:val="28"/>
          <w:szCs w:val="28"/>
          <w:lang w:val="en-ZA"/>
        </w:rPr>
      </w:pPr>
      <w:r w:rsidRPr="00F572C9">
        <w:rPr>
          <w:rFonts w:ascii="Times New Roman" w:hAnsi="Times New Roman" w:cs="Times New Roman"/>
          <w:b/>
          <w:bCs/>
          <w:sz w:val="28"/>
          <w:szCs w:val="28"/>
          <w:lang w:val="en-ZA"/>
        </w:rPr>
        <w:t>The Parties’ Respective cases</w:t>
      </w:r>
    </w:p>
    <w:p w14:paraId="7FF58D78" w14:textId="77777777" w:rsidR="00F572C9" w:rsidRPr="00F572C9" w:rsidRDefault="00F572C9" w:rsidP="00F572C9">
      <w:pPr>
        <w:spacing w:after="0" w:line="360" w:lineRule="auto"/>
        <w:ind w:left="720" w:hanging="720"/>
        <w:jc w:val="both"/>
        <w:rPr>
          <w:rFonts w:ascii="Times New Roman" w:hAnsi="Times New Roman" w:cs="Times New Roman"/>
          <w:sz w:val="28"/>
          <w:szCs w:val="28"/>
          <w:lang w:val="en-ZA"/>
        </w:rPr>
      </w:pPr>
    </w:p>
    <w:p w14:paraId="0A413CBE" w14:textId="31A0DC02" w:rsidR="00F572C9" w:rsidRPr="00F572C9" w:rsidRDefault="00F572C9" w:rsidP="00F572C9">
      <w:pPr>
        <w:spacing w:after="0" w:line="360" w:lineRule="auto"/>
        <w:ind w:left="720" w:hanging="720"/>
        <w:jc w:val="both"/>
        <w:rPr>
          <w:rFonts w:ascii="Times New Roman" w:hAnsi="Times New Roman" w:cs="Times New Roman"/>
          <w:sz w:val="28"/>
          <w:szCs w:val="28"/>
          <w:lang w:val="en-ZA"/>
        </w:rPr>
      </w:pPr>
      <w:r w:rsidRPr="00F572C9">
        <w:rPr>
          <w:rFonts w:ascii="Times New Roman" w:hAnsi="Times New Roman" w:cs="Times New Roman"/>
          <w:sz w:val="28"/>
          <w:szCs w:val="28"/>
          <w:lang w:val="en-ZA"/>
        </w:rPr>
        <w:t>[</w:t>
      </w:r>
      <w:r w:rsidR="00064C25">
        <w:rPr>
          <w:rFonts w:ascii="Times New Roman" w:hAnsi="Times New Roman" w:cs="Times New Roman"/>
          <w:sz w:val="28"/>
          <w:szCs w:val="28"/>
          <w:lang w:val="en-ZA"/>
        </w:rPr>
        <w:t>13</w:t>
      </w:r>
      <w:r w:rsidRPr="00F572C9">
        <w:rPr>
          <w:rFonts w:ascii="Times New Roman" w:hAnsi="Times New Roman" w:cs="Times New Roman"/>
          <w:sz w:val="28"/>
          <w:szCs w:val="28"/>
          <w:lang w:val="en-ZA"/>
        </w:rPr>
        <w:t>]</w:t>
      </w:r>
      <w:r w:rsidRPr="00F572C9">
        <w:rPr>
          <w:rFonts w:ascii="Times New Roman" w:hAnsi="Times New Roman" w:cs="Times New Roman"/>
          <w:sz w:val="28"/>
          <w:szCs w:val="28"/>
          <w:lang w:val="en-ZA"/>
        </w:rPr>
        <w:tab/>
      </w:r>
      <w:r w:rsidRPr="00064C25">
        <w:rPr>
          <w:rFonts w:ascii="Times New Roman" w:hAnsi="Times New Roman" w:cs="Times New Roman"/>
          <w:b/>
          <w:bCs/>
          <w:sz w:val="28"/>
          <w:szCs w:val="28"/>
          <w:lang w:val="en-ZA"/>
        </w:rPr>
        <w:t>The Applicant</w:t>
      </w:r>
      <w:r w:rsidR="00064C25">
        <w:rPr>
          <w:rFonts w:ascii="Times New Roman" w:hAnsi="Times New Roman" w:cs="Times New Roman"/>
          <w:b/>
          <w:bCs/>
          <w:sz w:val="28"/>
          <w:szCs w:val="28"/>
          <w:lang w:val="en-ZA"/>
        </w:rPr>
        <w:t>’s case.</w:t>
      </w:r>
    </w:p>
    <w:p w14:paraId="03C3FA27" w14:textId="215A5B3E" w:rsidR="00F572C9" w:rsidRPr="00F572C9" w:rsidRDefault="00F572C9" w:rsidP="00064C25">
      <w:pPr>
        <w:pStyle w:val="BodyTextIndent"/>
      </w:pPr>
      <w:r>
        <w:tab/>
      </w:r>
      <w:r w:rsidRPr="00F572C9">
        <w:t>It is the applicant’s case (through Ms Lishea), that it agreed to have Mr Fourie to advice on its daily operations in order to safeguard the respondent’s financial interests.  It argues that it was not its intention to be taken over by the respondent as the latter’s employee, Mr Fourie, has access to and control of the applicant’s financial assets.  The applicant says what brought about its application are the activities of Mr Fourie within the applicant which seem to interfere with its smooth running. As an example of the said interference, Mr Fourie, even contacts the Regulator on behalf of the applicant.</w:t>
      </w:r>
    </w:p>
    <w:p w14:paraId="10605554" w14:textId="77777777" w:rsidR="00F572C9" w:rsidRPr="00F572C9" w:rsidRDefault="00F572C9" w:rsidP="00F572C9">
      <w:pPr>
        <w:spacing w:after="0" w:line="360" w:lineRule="auto"/>
        <w:ind w:left="720" w:hanging="720"/>
        <w:jc w:val="both"/>
        <w:rPr>
          <w:rFonts w:ascii="Times New Roman" w:hAnsi="Times New Roman" w:cs="Times New Roman"/>
          <w:sz w:val="28"/>
          <w:szCs w:val="28"/>
          <w:lang w:val="en-ZA"/>
        </w:rPr>
      </w:pPr>
    </w:p>
    <w:p w14:paraId="5AB642F8" w14:textId="360093C5" w:rsidR="00F572C9" w:rsidRPr="00064C25" w:rsidRDefault="00F572C9" w:rsidP="00F572C9">
      <w:pPr>
        <w:spacing w:after="0" w:line="360" w:lineRule="auto"/>
        <w:ind w:left="720" w:hanging="720"/>
        <w:jc w:val="both"/>
        <w:rPr>
          <w:rFonts w:ascii="Times New Roman" w:hAnsi="Times New Roman" w:cs="Times New Roman"/>
          <w:b/>
          <w:bCs/>
          <w:sz w:val="28"/>
          <w:szCs w:val="28"/>
          <w:lang w:val="en-ZA"/>
        </w:rPr>
      </w:pPr>
      <w:r w:rsidRPr="00F572C9">
        <w:rPr>
          <w:rFonts w:ascii="Times New Roman" w:hAnsi="Times New Roman" w:cs="Times New Roman"/>
          <w:sz w:val="28"/>
          <w:szCs w:val="28"/>
          <w:lang w:val="en-ZA"/>
        </w:rPr>
        <w:t>[</w:t>
      </w:r>
      <w:r w:rsidR="00064C25">
        <w:rPr>
          <w:rFonts w:ascii="Times New Roman" w:hAnsi="Times New Roman" w:cs="Times New Roman"/>
          <w:sz w:val="28"/>
          <w:szCs w:val="28"/>
          <w:lang w:val="en-ZA"/>
        </w:rPr>
        <w:t>14</w:t>
      </w:r>
      <w:r w:rsidRPr="00F572C9">
        <w:rPr>
          <w:rFonts w:ascii="Times New Roman" w:hAnsi="Times New Roman" w:cs="Times New Roman"/>
          <w:sz w:val="28"/>
          <w:szCs w:val="28"/>
          <w:lang w:val="en-ZA"/>
        </w:rPr>
        <w:t>]</w:t>
      </w:r>
      <w:r w:rsidRPr="00F572C9">
        <w:rPr>
          <w:rFonts w:ascii="Times New Roman" w:hAnsi="Times New Roman" w:cs="Times New Roman"/>
          <w:sz w:val="28"/>
          <w:szCs w:val="28"/>
          <w:lang w:val="en-ZA"/>
        </w:rPr>
        <w:tab/>
      </w:r>
      <w:r w:rsidRPr="00064C25">
        <w:rPr>
          <w:rFonts w:ascii="Times New Roman" w:hAnsi="Times New Roman" w:cs="Times New Roman"/>
          <w:b/>
          <w:bCs/>
          <w:sz w:val="28"/>
          <w:szCs w:val="28"/>
          <w:lang w:val="en-ZA"/>
        </w:rPr>
        <w:t>The Respondent’s case</w:t>
      </w:r>
      <w:r w:rsidR="00064C25">
        <w:rPr>
          <w:rFonts w:ascii="Times New Roman" w:hAnsi="Times New Roman" w:cs="Times New Roman"/>
          <w:b/>
          <w:bCs/>
          <w:sz w:val="28"/>
          <w:szCs w:val="28"/>
          <w:lang w:val="en-ZA"/>
        </w:rPr>
        <w:t>.</w:t>
      </w:r>
      <w:r w:rsidRPr="00064C25">
        <w:rPr>
          <w:rFonts w:ascii="Times New Roman" w:hAnsi="Times New Roman" w:cs="Times New Roman"/>
          <w:b/>
          <w:bCs/>
          <w:sz w:val="28"/>
          <w:szCs w:val="28"/>
          <w:lang w:val="en-ZA"/>
        </w:rPr>
        <w:t xml:space="preserve"> </w:t>
      </w:r>
    </w:p>
    <w:p w14:paraId="06E39ABB" w14:textId="713082E1" w:rsidR="00E375D1" w:rsidRDefault="00F572C9" w:rsidP="00AA2C6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Pr="00F572C9">
        <w:rPr>
          <w:rFonts w:ascii="Times New Roman" w:hAnsi="Times New Roman" w:cs="Times New Roman"/>
          <w:sz w:val="28"/>
          <w:szCs w:val="28"/>
          <w:lang w:val="en-ZA"/>
        </w:rPr>
        <w:t xml:space="preserve">The respondent, as already said, opposes this application and had raised a points in </w:t>
      </w:r>
      <w:r w:rsidRPr="00F572C9">
        <w:rPr>
          <w:rFonts w:ascii="Times New Roman" w:hAnsi="Times New Roman" w:cs="Times New Roman"/>
          <w:i/>
          <w:iCs/>
          <w:sz w:val="28"/>
          <w:szCs w:val="28"/>
          <w:lang w:val="en-ZA"/>
        </w:rPr>
        <w:t>limine</w:t>
      </w:r>
      <w:r w:rsidRPr="00F572C9">
        <w:rPr>
          <w:rFonts w:ascii="Times New Roman" w:hAnsi="Times New Roman" w:cs="Times New Roman"/>
          <w:sz w:val="28"/>
          <w:szCs w:val="28"/>
          <w:lang w:val="en-ZA"/>
        </w:rPr>
        <w:t xml:space="preserve"> that the matter is not urgent in view of the two-year working relationship between the parties; that it amounts to abuse of court process; that the reliefs sought are legally untenable, and failure to satisfy the requirements of final interdict.  On the merits, it argues that this application goes against the </w:t>
      </w:r>
      <w:r w:rsidRPr="00F572C9">
        <w:rPr>
          <w:rFonts w:ascii="Times New Roman" w:hAnsi="Times New Roman" w:cs="Times New Roman"/>
          <w:i/>
          <w:iCs/>
          <w:sz w:val="28"/>
          <w:szCs w:val="28"/>
          <w:lang w:val="en-ZA"/>
        </w:rPr>
        <w:t>de facto</w:t>
      </w:r>
      <w:r w:rsidRPr="00F572C9">
        <w:rPr>
          <w:rFonts w:ascii="Times New Roman" w:hAnsi="Times New Roman" w:cs="Times New Roman"/>
          <w:sz w:val="28"/>
          <w:szCs w:val="28"/>
          <w:lang w:val="en-ZA"/>
        </w:rPr>
        <w:t xml:space="preserve"> working relationship of the parties and that the orders sought are impractical.</w:t>
      </w:r>
      <w:r>
        <w:rPr>
          <w:rFonts w:ascii="Times New Roman" w:hAnsi="Times New Roman" w:cs="Times New Roman"/>
          <w:sz w:val="28"/>
          <w:szCs w:val="28"/>
          <w:lang w:val="en-ZA"/>
        </w:rPr>
        <w:t xml:space="preserve"> I turn to deal with the main application and the issues raised.</w:t>
      </w:r>
    </w:p>
    <w:p w14:paraId="5C75E4CC" w14:textId="77777777" w:rsidR="00E375D1" w:rsidRDefault="00E375D1" w:rsidP="00E375D1">
      <w:pPr>
        <w:spacing w:after="0" w:line="360" w:lineRule="auto"/>
        <w:jc w:val="both"/>
        <w:rPr>
          <w:rFonts w:ascii="Times New Roman" w:hAnsi="Times New Roman" w:cs="Times New Roman"/>
          <w:sz w:val="28"/>
          <w:szCs w:val="28"/>
          <w:lang w:val="en-ZA"/>
        </w:rPr>
      </w:pPr>
    </w:p>
    <w:p w14:paraId="1E43D88A" w14:textId="3F9043C1" w:rsidR="00E375D1" w:rsidRDefault="00E375D1" w:rsidP="00E375D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064C25">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Abuse of urgency procedure</w:t>
      </w:r>
    </w:p>
    <w:p w14:paraId="6704B700" w14:textId="2A44A373" w:rsidR="00B258AF" w:rsidRDefault="00E375D1" w:rsidP="00C41022">
      <w:pPr>
        <w:spacing w:after="0" w:line="360" w:lineRule="auto"/>
        <w:ind w:left="720"/>
        <w:jc w:val="both"/>
        <w:rPr>
          <w:rFonts w:ascii="Times New Roman" w:hAnsi="Times New Roman" w:cs="Times New Roman"/>
          <w:i/>
          <w:iCs/>
          <w:sz w:val="24"/>
          <w:szCs w:val="24"/>
          <w:lang w:val="en-ZA"/>
        </w:rPr>
      </w:pPr>
      <w:r>
        <w:rPr>
          <w:rFonts w:ascii="Times New Roman" w:hAnsi="Times New Roman" w:cs="Times New Roman"/>
          <w:sz w:val="28"/>
          <w:szCs w:val="28"/>
          <w:lang w:val="en-ZA"/>
        </w:rPr>
        <w:t>It is trite that the urgency procedure as provided for in Rule 8 (22) of the High Court Rules 1980 is invoked only there are “…. extraordinary circumstances…. to prevent immediate and serious damage, prejudice or harm being caused” (</w:t>
      </w:r>
      <w:bookmarkStart w:id="2" w:name="_Hlk112080385"/>
      <w:r>
        <w:rPr>
          <w:rFonts w:ascii="Times New Roman" w:hAnsi="Times New Roman" w:cs="Times New Roman"/>
          <w:b/>
          <w:bCs/>
          <w:sz w:val="28"/>
          <w:szCs w:val="28"/>
          <w:lang w:val="en-ZA"/>
        </w:rPr>
        <w:t xml:space="preserve">LNDC v LNDC Employees and Allied Workers Union </w:t>
      </w:r>
      <w:r w:rsidR="00211914">
        <w:rPr>
          <w:rFonts w:ascii="Times New Roman" w:hAnsi="Times New Roman" w:cs="Times New Roman"/>
          <w:b/>
          <w:bCs/>
          <w:sz w:val="28"/>
          <w:szCs w:val="28"/>
          <w:lang w:val="en-ZA"/>
        </w:rPr>
        <w:t xml:space="preserve">LAC (2000 – 2004) 315 </w:t>
      </w:r>
      <w:bookmarkEnd w:id="2"/>
      <w:r w:rsidR="00211914">
        <w:rPr>
          <w:rFonts w:ascii="Times New Roman" w:hAnsi="Times New Roman" w:cs="Times New Roman"/>
          <w:b/>
          <w:bCs/>
          <w:sz w:val="28"/>
          <w:szCs w:val="28"/>
          <w:lang w:val="en-ZA"/>
        </w:rPr>
        <w:t>at 325 B – C).</w:t>
      </w:r>
      <w:r w:rsidR="00211914">
        <w:rPr>
          <w:rFonts w:ascii="Times New Roman" w:hAnsi="Times New Roman" w:cs="Times New Roman"/>
          <w:sz w:val="28"/>
          <w:szCs w:val="28"/>
          <w:lang w:val="en-ZA"/>
        </w:rPr>
        <w:t xml:space="preserve">  </w:t>
      </w:r>
    </w:p>
    <w:p w14:paraId="40E4AADC" w14:textId="77777777" w:rsidR="00B258AF" w:rsidRDefault="00B258AF" w:rsidP="00B258AF">
      <w:pPr>
        <w:spacing w:after="0" w:line="360" w:lineRule="auto"/>
        <w:ind w:right="1008"/>
        <w:jc w:val="both"/>
        <w:rPr>
          <w:rFonts w:ascii="Times New Roman" w:hAnsi="Times New Roman" w:cs="Times New Roman"/>
          <w:i/>
          <w:iCs/>
          <w:sz w:val="24"/>
          <w:szCs w:val="24"/>
          <w:lang w:val="en-ZA"/>
        </w:rPr>
      </w:pPr>
    </w:p>
    <w:p w14:paraId="21B8EB12" w14:textId="77777777" w:rsidR="0002072E" w:rsidRPr="0002072E" w:rsidRDefault="00B258AF" w:rsidP="0002072E">
      <w:pPr>
        <w:spacing w:after="0" w:line="360" w:lineRule="auto"/>
        <w:ind w:left="720" w:hanging="720"/>
        <w:jc w:val="both"/>
        <w:rPr>
          <w:rFonts w:ascii="Times New Roman" w:hAnsi="Times New Roman" w:cs="Times New Roman"/>
          <w:b/>
          <w:bCs/>
          <w:i/>
          <w:iCs/>
          <w:sz w:val="28"/>
          <w:szCs w:val="28"/>
          <w:lang w:val="en-ZA"/>
        </w:rPr>
      </w:pPr>
      <w:r>
        <w:rPr>
          <w:rFonts w:ascii="Times New Roman" w:hAnsi="Times New Roman" w:cs="Times New Roman"/>
          <w:sz w:val="28"/>
          <w:szCs w:val="28"/>
          <w:lang w:val="en-ZA"/>
        </w:rPr>
        <w:lastRenderedPageBreak/>
        <w:t>[1</w:t>
      </w:r>
      <w:r w:rsidR="00064C25">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sidR="00D57995">
        <w:rPr>
          <w:rFonts w:ascii="Times New Roman" w:hAnsi="Times New Roman" w:cs="Times New Roman"/>
          <w:sz w:val="28"/>
          <w:szCs w:val="28"/>
          <w:lang w:val="en-ZA"/>
        </w:rPr>
        <w:t>It is equally trite that urgency relates to the abridgement of the periods and forms provided for in the rules of this court, and does not relate to the substance of the dispute between the parties and for that reason, it is not “a prerequisite</w:t>
      </w:r>
      <w:r w:rsidR="00007326">
        <w:rPr>
          <w:rFonts w:ascii="Times New Roman" w:hAnsi="Times New Roman" w:cs="Times New Roman"/>
          <w:sz w:val="28"/>
          <w:szCs w:val="28"/>
          <w:lang w:val="en-ZA"/>
        </w:rPr>
        <w:t xml:space="preserve"> for a substantive</w:t>
      </w:r>
      <w:r w:rsidR="00D57995">
        <w:rPr>
          <w:rFonts w:ascii="Times New Roman" w:hAnsi="Times New Roman" w:cs="Times New Roman"/>
          <w:sz w:val="28"/>
          <w:szCs w:val="28"/>
          <w:lang w:val="en-ZA"/>
        </w:rPr>
        <w:t xml:space="preserve"> relief” (</w:t>
      </w:r>
      <w:bookmarkStart w:id="3" w:name="_Hlk112080415"/>
      <w:r w:rsidR="00D57995">
        <w:rPr>
          <w:rFonts w:ascii="Times New Roman" w:hAnsi="Times New Roman" w:cs="Times New Roman"/>
          <w:b/>
          <w:bCs/>
          <w:sz w:val="28"/>
          <w:szCs w:val="28"/>
          <w:lang w:val="en-ZA"/>
        </w:rPr>
        <w:t xml:space="preserve">Commissioner SARS v Hawker Air Services (Pty) Ltd 2006 (4) SA 292 (SCA) </w:t>
      </w:r>
      <w:bookmarkEnd w:id="3"/>
      <w:r w:rsidR="00D57995">
        <w:rPr>
          <w:rFonts w:ascii="Times New Roman" w:hAnsi="Times New Roman" w:cs="Times New Roman"/>
          <w:b/>
          <w:bCs/>
          <w:sz w:val="28"/>
          <w:szCs w:val="28"/>
          <w:lang w:val="en-ZA"/>
        </w:rPr>
        <w:t>at para. 9).</w:t>
      </w:r>
      <w:r w:rsidR="00D57995">
        <w:rPr>
          <w:rFonts w:ascii="Times New Roman" w:hAnsi="Times New Roman" w:cs="Times New Roman"/>
          <w:sz w:val="28"/>
          <w:szCs w:val="28"/>
          <w:lang w:val="en-ZA"/>
        </w:rPr>
        <w:t xml:space="preserve"> </w:t>
      </w:r>
      <w:r w:rsidR="00CF785A">
        <w:rPr>
          <w:rFonts w:ascii="Times New Roman" w:hAnsi="Times New Roman" w:cs="Times New Roman"/>
          <w:sz w:val="28"/>
          <w:szCs w:val="28"/>
          <w:lang w:val="en-ZA"/>
        </w:rPr>
        <w:t xml:space="preserve">The court </w:t>
      </w:r>
      <w:r w:rsidR="00D57995">
        <w:rPr>
          <w:rFonts w:ascii="Times New Roman" w:hAnsi="Times New Roman" w:cs="Times New Roman"/>
          <w:sz w:val="28"/>
          <w:szCs w:val="28"/>
          <w:lang w:val="en-ZA"/>
        </w:rPr>
        <w:t xml:space="preserve">stated that where urgency is determined </w:t>
      </w:r>
      <w:r w:rsidR="00CF785A">
        <w:rPr>
          <w:rFonts w:ascii="Times New Roman" w:hAnsi="Times New Roman" w:cs="Times New Roman"/>
          <w:sz w:val="28"/>
          <w:szCs w:val="28"/>
          <w:lang w:val="en-ZA"/>
        </w:rPr>
        <w:t xml:space="preserve">not </w:t>
      </w:r>
      <w:r w:rsidR="00D57995">
        <w:rPr>
          <w:rFonts w:ascii="Times New Roman" w:hAnsi="Times New Roman" w:cs="Times New Roman"/>
          <w:sz w:val="28"/>
          <w:szCs w:val="28"/>
          <w:lang w:val="en-ZA"/>
        </w:rPr>
        <w:t xml:space="preserve">to exist, the appropriate order is to strike the application from the roll and not to dismiss it. </w:t>
      </w:r>
      <w:r w:rsidR="0002072E" w:rsidRPr="0002072E">
        <w:rPr>
          <w:rFonts w:ascii="Times New Roman" w:hAnsi="Times New Roman" w:cs="Times New Roman"/>
          <w:sz w:val="28"/>
          <w:szCs w:val="28"/>
          <w:lang w:val="en-ZA"/>
        </w:rPr>
        <w:t>In determining whether urgency exist, some of the following factors are considered:</w:t>
      </w:r>
    </w:p>
    <w:p w14:paraId="4E1EE71B" w14:textId="77777777" w:rsidR="0002072E" w:rsidRPr="0002072E" w:rsidRDefault="0002072E" w:rsidP="0002072E">
      <w:pPr>
        <w:spacing w:after="0" w:line="360" w:lineRule="auto"/>
        <w:ind w:left="720" w:hanging="720"/>
        <w:jc w:val="both"/>
        <w:rPr>
          <w:rFonts w:ascii="Times New Roman" w:hAnsi="Times New Roman" w:cs="Times New Roman"/>
          <w:sz w:val="28"/>
          <w:szCs w:val="28"/>
          <w:lang w:val="en-ZA"/>
        </w:rPr>
      </w:pPr>
    </w:p>
    <w:p w14:paraId="74936543" w14:textId="43497303" w:rsidR="0002072E" w:rsidRPr="0002072E" w:rsidRDefault="0002072E" w:rsidP="0002072E">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i/>
          <w:iCs/>
          <w:sz w:val="28"/>
          <w:szCs w:val="28"/>
          <w:lang w:val="en-ZA"/>
        </w:rPr>
        <w:tab/>
      </w:r>
      <w:r>
        <w:rPr>
          <w:rFonts w:ascii="Times New Roman" w:hAnsi="Times New Roman" w:cs="Times New Roman"/>
          <w:i/>
          <w:iCs/>
          <w:sz w:val="28"/>
          <w:szCs w:val="28"/>
          <w:lang w:val="en-ZA"/>
        </w:rPr>
        <w:tab/>
      </w:r>
      <w:r w:rsidRPr="0002072E">
        <w:rPr>
          <w:rFonts w:ascii="Times New Roman" w:hAnsi="Times New Roman" w:cs="Times New Roman"/>
          <w:i/>
          <w:iCs/>
          <w:sz w:val="28"/>
          <w:szCs w:val="28"/>
          <w:lang w:val="en-ZA"/>
        </w:rPr>
        <w:t>“(a) the consequence of the relief not being granted</w:t>
      </w:r>
    </w:p>
    <w:p w14:paraId="13168BEF" w14:textId="0061CEDC" w:rsidR="0002072E" w:rsidRPr="0002072E" w:rsidRDefault="0002072E" w:rsidP="0002072E">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i/>
          <w:iCs/>
          <w:sz w:val="28"/>
          <w:szCs w:val="28"/>
          <w:lang w:val="en-ZA"/>
        </w:rPr>
        <w:tab/>
      </w:r>
      <w:r>
        <w:rPr>
          <w:rFonts w:ascii="Times New Roman" w:hAnsi="Times New Roman" w:cs="Times New Roman"/>
          <w:i/>
          <w:iCs/>
          <w:sz w:val="28"/>
          <w:szCs w:val="28"/>
          <w:lang w:val="en-ZA"/>
        </w:rPr>
        <w:tab/>
        <w:t xml:space="preserve">   </w:t>
      </w:r>
      <w:r w:rsidRPr="0002072E">
        <w:rPr>
          <w:rFonts w:ascii="Times New Roman" w:hAnsi="Times New Roman" w:cs="Times New Roman"/>
          <w:i/>
          <w:iCs/>
          <w:sz w:val="28"/>
          <w:szCs w:val="28"/>
          <w:lang w:val="en-ZA"/>
        </w:rPr>
        <w:t xml:space="preserve">(b) whether the relief would become irrelevant if it is not immediately </w:t>
      </w:r>
      <w:r>
        <w:rPr>
          <w:rFonts w:ascii="Times New Roman" w:hAnsi="Times New Roman" w:cs="Times New Roman"/>
          <w:i/>
          <w:iCs/>
          <w:sz w:val="28"/>
          <w:szCs w:val="28"/>
          <w:lang w:val="en-ZA"/>
        </w:rPr>
        <w:tab/>
        <w:t xml:space="preserve">    </w:t>
      </w:r>
      <w:r w:rsidRPr="0002072E">
        <w:rPr>
          <w:rFonts w:ascii="Times New Roman" w:hAnsi="Times New Roman" w:cs="Times New Roman"/>
          <w:i/>
          <w:iCs/>
          <w:sz w:val="28"/>
          <w:szCs w:val="28"/>
          <w:lang w:val="en-ZA"/>
        </w:rPr>
        <w:t>granted.</w:t>
      </w:r>
    </w:p>
    <w:p w14:paraId="63031402" w14:textId="233CEF11" w:rsidR="0002072E" w:rsidRDefault="0002072E" w:rsidP="0002072E">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i/>
          <w:iCs/>
          <w:sz w:val="28"/>
          <w:szCs w:val="28"/>
          <w:lang w:val="en-ZA"/>
        </w:rPr>
        <w:tab/>
      </w:r>
      <w:r>
        <w:rPr>
          <w:rFonts w:ascii="Times New Roman" w:hAnsi="Times New Roman" w:cs="Times New Roman"/>
          <w:i/>
          <w:iCs/>
          <w:sz w:val="28"/>
          <w:szCs w:val="28"/>
          <w:lang w:val="en-ZA"/>
        </w:rPr>
        <w:tab/>
        <w:t xml:space="preserve">   </w:t>
      </w:r>
      <w:r w:rsidRPr="0002072E">
        <w:rPr>
          <w:rFonts w:ascii="Times New Roman" w:hAnsi="Times New Roman" w:cs="Times New Roman"/>
          <w:i/>
          <w:iCs/>
          <w:sz w:val="28"/>
          <w:szCs w:val="28"/>
          <w:lang w:val="en-ZA"/>
        </w:rPr>
        <w:t>(c) whether the urgency was self-created.”  (</w:t>
      </w:r>
      <w:r w:rsidRPr="0002072E">
        <w:rPr>
          <w:rFonts w:ascii="Times New Roman" w:hAnsi="Times New Roman" w:cs="Times New Roman"/>
          <w:b/>
          <w:bCs/>
          <w:i/>
          <w:iCs/>
          <w:sz w:val="28"/>
          <w:szCs w:val="28"/>
          <w:lang w:val="en-ZA"/>
        </w:rPr>
        <w:t xml:space="preserve">New Nation Movement </w:t>
      </w:r>
      <w:r>
        <w:rPr>
          <w:rFonts w:ascii="Times New Roman" w:hAnsi="Times New Roman" w:cs="Times New Roman"/>
          <w:b/>
          <w:bCs/>
          <w:i/>
          <w:iCs/>
          <w:sz w:val="28"/>
          <w:szCs w:val="28"/>
          <w:lang w:val="en-ZA"/>
        </w:rPr>
        <w:tab/>
        <w:t xml:space="preserve">      </w:t>
      </w:r>
      <w:r w:rsidRPr="0002072E">
        <w:rPr>
          <w:rFonts w:ascii="Times New Roman" w:hAnsi="Times New Roman" w:cs="Times New Roman"/>
          <w:b/>
          <w:bCs/>
          <w:i/>
          <w:iCs/>
          <w:sz w:val="28"/>
          <w:szCs w:val="28"/>
          <w:lang w:val="en-ZA"/>
        </w:rPr>
        <w:t xml:space="preserve">NPC and Others v President of the Republic of South Africa and </w:t>
      </w:r>
      <w:r>
        <w:rPr>
          <w:rFonts w:ascii="Times New Roman" w:hAnsi="Times New Roman" w:cs="Times New Roman"/>
          <w:b/>
          <w:bCs/>
          <w:i/>
          <w:iCs/>
          <w:sz w:val="28"/>
          <w:szCs w:val="28"/>
          <w:lang w:val="en-ZA"/>
        </w:rPr>
        <w:tab/>
        <w:t xml:space="preserve">      O</w:t>
      </w:r>
      <w:r w:rsidRPr="0002072E">
        <w:rPr>
          <w:rFonts w:ascii="Times New Roman" w:hAnsi="Times New Roman" w:cs="Times New Roman"/>
          <w:b/>
          <w:bCs/>
          <w:i/>
          <w:iCs/>
          <w:sz w:val="28"/>
          <w:szCs w:val="28"/>
          <w:lang w:val="en-ZA"/>
        </w:rPr>
        <w:t>thers 2019 (9) BCLR 1104 (CC)</w:t>
      </w:r>
      <w:r w:rsidRPr="0002072E">
        <w:rPr>
          <w:rFonts w:ascii="Times New Roman" w:hAnsi="Times New Roman" w:cs="Times New Roman"/>
          <w:i/>
          <w:iCs/>
          <w:sz w:val="28"/>
          <w:szCs w:val="28"/>
          <w:lang w:val="en-ZA"/>
        </w:rPr>
        <w:t xml:space="preserve"> (3 July 2019) at par. 8)</w:t>
      </w:r>
    </w:p>
    <w:p w14:paraId="73AC2ED2" w14:textId="77777777" w:rsidR="00F6248F" w:rsidRPr="0002072E" w:rsidRDefault="00F6248F" w:rsidP="0002072E">
      <w:pPr>
        <w:spacing w:after="0" w:line="360" w:lineRule="auto"/>
        <w:ind w:left="720" w:hanging="720"/>
        <w:jc w:val="both"/>
        <w:rPr>
          <w:rFonts w:ascii="Times New Roman" w:hAnsi="Times New Roman" w:cs="Times New Roman"/>
          <w:i/>
          <w:iCs/>
          <w:sz w:val="28"/>
          <w:szCs w:val="28"/>
          <w:lang w:val="en-ZA"/>
        </w:rPr>
      </w:pPr>
    </w:p>
    <w:p w14:paraId="3A3E80AE" w14:textId="015E4E3D" w:rsidR="00B575D2" w:rsidRPr="00BB017C" w:rsidRDefault="0002072E" w:rsidP="0002072E">
      <w:pPr>
        <w:spacing w:after="0" w:line="36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ab/>
      </w:r>
      <w:r w:rsidR="00D57995">
        <w:rPr>
          <w:rFonts w:ascii="Times New Roman" w:hAnsi="Times New Roman" w:cs="Times New Roman"/>
          <w:sz w:val="28"/>
          <w:szCs w:val="28"/>
          <w:lang w:val="en-ZA"/>
        </w:rPr>
        <w:t xml:space="preserve"> Anyone familiar with the jurisprudence of the courts in this jurisdiction will attest to the fact that for the two decades and more, the courts have lamented the fact that litigants and counsel abuse urgency procedure and have even warned that in the exercise of its inherent power to protect itself and others against abuse of its processes, the </w:t>
      </w:r>
      <w:r w:rsidR="00FE664F">
        <w:rPr>
          <w:rFonts w:ascii="Times New Roman" w:hAnsi="Times New Roman" w:cs="Times New Roman"/>
          <w:sz w:val="28"/>
          <w:szCs w:val="28"/>
          <w:lang w:val="en-ZA"/>
        </w:rPr>
        <w:t xml:space="preserve">applications may be dismissed and made costs </w:t>
      </w:r>
      <w:r w:rsidR="00FE664F">
        <w:rPr>
          <w:rFonts w:ascii="Times New Roman" w:hAnsi="Times New Roman" w:cs="Times New Roman"/>
          <w:i/>
          <w:iCs/>
          <w:sz w:val="28"/>
          <w:szCs w:val="28"/>
          <w:lang w:val="en-ZA"/>
        </w:rPr>
        <w:t xml:space="preserve">de bonis propriis </w:t>
      </w:r>
      <w:r w:rsidR="00FE664F">
        <w:rPr>
          <w:rFonts w:ascii="Times New Roman" w:hAnsi="Times New Roman" w:cs="Times New Roman"/>
          <w:sz w:val="28"/>
          <w:szCs w:val="28"/>
          <w:lang w:val="en-ZA"/>
        </w:rPr>
        <w:t>against counsel (</w:t>
      </w:r>
      <w:r w:rsidR="00FE664F">
        <w:rPr>
          <w:rFonts w:ascii="Times New Roman" w:hAnsi="Times New Roman" w:cs="Times New Roman"/>
          <w:b/>
          <w:bCs/>
          <w:sz w:val="28"/>
          <w:szCs w:val="28"/>
          <w:lang w:val="en-ZA"/>
        </w:rPr>
        <w:t xml:space="preserve">Vice-Chancellor </w:t>
      </w:r>
      <w:r w:rsidR="00B575D2">
        <w:rPr>
          <w:rFonts w:ascii="Times New Roman" w:hAnsi="Times New Roman" w:cs="Times New Roman"/>
          <w:b/>
          <w:bCs/>
          <w:sz w:val="28"/>
          <w:szCs w:val="28"/>
          <w:lang w:val="en-ZA"/>
        </w:rPr>
        <w:t>of NUL and Another v Putsoa LAC (2000-2004) 458 at 462 F – I</w:t>
      </w:r>
      <w:r w:rsidR="00D4027F">
        <w:rPr>
          <w:rFonts w:ascii="Times New Roman" w:hAnsi="Times New Roman" w:cs="Times New Roman"/>
          <w:b/>
          <w:bCs/>
          <w:sz w:val="28"/>
          <w:szCs w:val="28"/>
          <w:lang w:val="en-ZA"/>
        </w:rPr>
        <w:t>:</w:t>
      </w:r>
      <w:r w:rsidR="00B575D2">
        <w:rPr>
          <w:rFonts w:ascii="Times New Roman" w:hAnsi="Times New Roman" w:cs="Times New Roman"/>
          <w:b/>
          <w:bCs/>
          <w:sz w:val="28"/>
          <w:szCs w:val="28"/>
          <w:lang w:val="en-ZA"/>
        </w:rPr>
        <w:t xml:space="preserve"> </w:t>
      </w:r>
      <w:r w:rsidR="00B575D2" w:rsidRPr="00B575D2">
        <w:rPr>
          <w:rFonts w:ascii="Times New Roman" w:hAnsi="Times New Roman" w:cs="Times New Roman"/>
          <w:sz w:val="28"/>
          <w:szCs w:val="28"/>
          <w:lang w:val="en-ZA"/>
        </w:rPr>
        <w:t>on abuse of urgency procedure</w:t>
      </w:r>
      <w:r w:rsidR="00B575D2">
        <w:rPr>
          <w:rFonts w:ascii="Times New Roman" w:hAnsi="Times New Roman" w:cs="Times New Roman"/>
          <w:sz w:val="28"/>
          <w:szCs w:val="28"/>
          <w:lang w:val="en-ZA"/>
        </w:rPr>
        <w:t xml:space="preserve"> see also the views expressed in </w:t>
      </w:r>
      <w:bookmarkStart w:id="4" w:name="_Hlk112080485"/>
      <w:r w:rsidR="00B575D2">
        <w:rPr>
          <w:rFonts w:ascii="Times New Roman" w:hAnsi="Times New Roman" w:cs="Times New Roman"/>
          <w:b/>
          <w:bCs/>
          <w:sz w:val="28"/>
          <w:szCs w:val="28"/>
          <w:lang w:val="en-ZA"/>
        </w:rPr>
        <w:t xml:space="preserve">Vena and Another v Vena and Others 2010 (2) SA 248 (ECP) </w:t>
      </w:r>
      <w:bookmarkEnd w:id="4"/>
      <w:r w:rsidR="00B575D2">
        <w:rPr>
          <w:rFonts w:ascii="Times New Roman" w:hAnsi="Times New Roman" w:cs="Times New Roman"/>
          <w:b/>
          <w:bCs/>
          <w:sz w:val="28"/>
          <w:szCs w:val="28"/>
          <w:lang w:val="en-ZA"/>
        </w:rPr>
        <w:t>at paras. 5 – 7).</w:t>
      </w:r>
      <w:r w:rsidR="00BB017C">
        <w:rPr>
          <w:rFonts w:ascii="Times New Roman" w:hAnsi="Times New Roman" w:cs="Times New Roman"/>
          <w:b/>
          <w:bCs/>
          <w:sz w:val="28"/>
          <w:szCs w:val="28"/>
          <w:lang w:val="en-ZA"/>
        </w:rPr>
        <w:t xml:space="preserve"> </w:t>
      </w:r>
      <w:r w:rsidR="00C41022" w:rsidRPr="00C41022">
        <w:rPr>
          <w:rFonts w:ascii="Times New Roman" w:hAnsi="Times New Roman" w:cs="Times New Roman"/>
          <w:sz w:val="28"/>
          <w:szCs w:val="28"/>
          <w:lang w:val="en-ZA"/>
        </w:rPr>
        <w:t xml:space="preserve">On the one hand, abuse of court process in an issue to be determined on the basis of the circumstances of each case and does not have a catch-all meaning to be used to characterize </w:t>
      </w:r>
      <w:r w:rsidR="00C41022" w:rsidRPr="00C41022">
        <w:rPr>
          <w:rFonts w:ascii="Times New Roman" w:hAnsi="Times New Roman" w:cs="Times New Roman"/>
          <w:sz w:val="28"/>
          <w:szCs w:val="28"/>
          <w:lang w:val="en-ZA"/>
        </w:rPr>
        <w:lastRenderedPageBreak/>
        <w:t>the circumstance of every case</w:t>
      </w:r>
      <w:r w:rsidR="00C41022" w:rsidRPr="00C41022">
        <w:rPr>
          <w:rFonts w:ascii="Times New Roman" w:hAnsi="Times New Roman" w:cs="Times New Roman"/>
          <w:b/>
          <w:bCs/>
          <w:sz w:val="28"/>
          <w:szCs w:val="28"/>
          <w:lang w:val="en-ZA"/>
        </w:rPr>
        <w:t xml:space="preserve"> (Beinash v Wixley 1997 (3) SA 721 </w:t>
      </w:r>
      <w:r w:rsidR="00C41022" w:rsidRPr="00E676D8">
        <w:rPr>
          <w:rFonts w:ascii="Times New Roman" w:hAnsi="Times New Roman" w:cs="Times New Roman"/>
          <w:sz w:val="28"/>
          <w:szCs w:val="28"/>
          <w:lang w:val="en-ZA"/>
        </w:rPr>
        <w:t>at 734 F – G).</w:t>
      </w:r>
      <w:r w:rsidR="00BB017C">
        <w:rPr>
          <w:rFonts w:ascii="Times New Roman" w:hAnsi="Times New Roman" w:cs="Times New Roman"/>
          <w:b/>
          <w:bCs/>
          <w:sz w:val="28"/>
          <w:szCs w:val="28"/>
          <w:lang w:val="en-ZA"/>
        </w:rPr>
        <w:t xml:space="preserve"> </w:t>
      </w:r>
    </w:p>
    <w:p w14:paraId="3D158168" w14:textId="7D1250D0" w:rsidR="00BB0ED5" w:rsidRPr="00BB017C" w:rsidRDefault="00BB0ED5" w:rsidP="00BB0ED5">
      <w:pPr>
        <w:spacing w:after="0" w:line="360" w:lineRule="auto"/>
        <w:ind w:right="1008"/>
        <w:jc w:val="both"/>
        <w:rPr>
          <w:rFonts w:ascii="Times New Roman" w:hAnsi="Times New Roman" w:cs="Times New Roman"/>
          <w:i/>
          <w:iCs/>
          <w:sz w:val="24"/>
          <w:szCs w:val="24"/>
          <w:lang w:val="en-ZA"/>
        </w:rPr>
      </w:pPr>
    </w:p>
    <w:p w14:paraId="2E01E948" w14:textId="3FD372C8" w:rsidR="00BB0ED5" w:rsidRDefault="00BB0ED5" w:rsidP="00BB017C">
      <w:pPr>
        <w:pStyle w:val="BodyTextIndent"/>
      </w:pPr>
      <w:r>
        <w:t>[1</w:t>
      </w:r>
      <w:r w:rsidR="00064C25">
        <w:t>7</w:t>
      </w:r>
      <w:r>
        <w:t>]</w:t>
      </w:r>
      <w:r>
        <w:tab/>
        <w:t>In the present matter the parties have known each other for two years with the respondent advancing substantial unsecured loan amounts to the applicant.  Banking services, disbursements and payments were made through the Mambu system in terms of which Ms Lishea would request the respondent to load payment</w:t>
      </w:r>
      <w:r w:rsidR="007B2133">
        <w:t>s</w:t>
      </w:r>
      <w:r>
        <w:t xml:space="preserve"> and for the latter to disburse the funds.  Authorization was only done by the respondent through Mambu system to make payments, disbursement and to effect payroll.  This was done through the bank accounts operated by the applicant.  Since the conclusion of the agreement for the purchase of shares</w:t>
      </w:r>
      <w:r w:rsidR="007B2133">
        <w:t>,</w:t>
      </w:r>
      <w:r>
        <w:t xml:space="preserve"> Mr Fourie was posted to the applicant to oversee the utilization of funds advanced.</w:t>
      </w:r>
    </w:p>
    <w:p w14:paraId="05395729" w14:textId="03D1820F" w:rsidR="00BB0ED5" w:rsidRDefault="00BB0ED5" w:rsidP="00BB0ED5">
      <w:pPr>
        <w:spacing w:after="0" w:line="360" w:lineRule="auto"/>
        <w:jc w:val="both"/>
        <w:rPr>
          <w:rFonts w:ascii="Times New Roman" w:hAnsi="Times New Roman" w:cs="Times New Roman"/>
          <w:sz w:val="28"/>
          <w:szCs w:val="28"/>
          <w:lang w:val="en-ZA"/>
        </w:rPr>
      </w:pPr>
    </w:p>
    <w:p w14:paraId="5EE500D4" w14:textId="1953B978" w:rsidR="009848FF" w:rsidRDefault="00BB0ED5" w:rsidP="009848F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064C25">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September 2020 the Forex application from First National Bank of Lesotho/Central Bank of Lesotho was initiated.  But during this time the regulator’s authorization was not sought to effect the transfer of shares.  It is common cause that during this time Covid-19 had caused havoc everywhere on the globe</w:t>
      </w:r>
      <w:r w:rsidR="0068436F">
        <w:rPr>
          <w:rFonts w:ascii="Times New Roman" w:hAnsi="Times New Roman" w:cs="Times New Roman"/>
          <w:sz w:val="28"/>
          <w:szCs w:val="28"/>
          <w:lang w:val="en-ZA"/>
        </w:rPr>
        <w:t xml:space="preserve"> and this country was no exception as the country was operating on running lockdowns.  It should be stated that on 01 June 2020, the applicant engaged Mr Fourie on a fixed term contract as Operations Manager and Wayne and Barratt signed on behalf of the applicant as </w:t>
      </w:r>
      <w:r w:rsidR="0068436F" w:rsidRPr="007B2133">
        <w:rPr>
          <w:rFonts w:ascii="Times New Roman" w:hAnsi="Times New Roman" w:cs="Times New Roman"/>
          <w:i/>
          <w:iCs/>
          <w:sz w:val="28"/>
          <w:szCs w:val="28"/>
          <w:lang w:val="en-ZA"/>
        </w:rPr>
        <w:t>de facto</w:t>
      </w:r>
      <w:r w:rsidR="0068436F">
        <w:rPr>
          <w:rFonts w:ascii="Times New Roman" w:hAnsi="Times New Roman" w:cs="Times New Roman"/>
          <w:sz w:val="28"/>
          <w:szCs w:val="28"/>
          <w:lang w:val="en-ZA"/>
        </w:rPr>
        <w:t xml:space="preserve"> directors.  Fourie’s remuneration was therefore paid out of the applicant’s coffers.  With this little uncontested factual background, it is clear that the </w:t>
      </w:r>
      <w:r w:rsidR="007217FF">
        <w:rPr>
          <w:rFonts w:ascii="Times New Roman" w:hAnsi="Times New Roman" w:cs="Times New Roman"/>
          <w:sz w:val="28"/>
          <w:szCs w:val="28"/>
          <w:lang w:val="en-ZA"/>
        </w:rPr>
        <w:t xml:space="preserve">applicant’s directors granted the respondent’s officials unprecedented and far-reaching access to the applicant’s assets even before share transfer could be effected.  This state of affairs has been going on for two years until earlier this year </w:t>
      </w:r>
      <w:r w:rsidR="007217FF">
        <w:rPr>
          <w:rFonts w:ascii="Times New Roman" w:hAnsi="Times New Roman" w:cs="Times New Roman"/>
          <w:sz w:val="28"/>
          <w:szCs w:val="28"/>
          <w:lang w:val="en-ZA"/>
        </w:rPr>
        <w:lastRenderedPageBreak/>
        <w:t xml:space="preserve">when things took an unexpected turn.  In the light of these facts should the applicant have approached this court on an urgent basis, as if to deal with a situation of sudden emergency which could occasion harm or prejudice to its interests, when its directors consciously for the past two years had granted the respondent’s representatives access to its bank accounts and its operational machinery.  It should be said unprecedented and far-reaching access in view of the fact the CBL had not yet given </w:t>
      </w:r>
      <w:r w:rsidR="009848FF">
        <w:rPr>
          <w:rFonts w:ascii="Times New Roman" w:hAnsi="Times New Roman" w:cs="Times New Roman"/>
          <w:sz w:val="28"/>
          <w:szCs w:val="28"/>
          <w:lang w:val="en-ZA"/>
        </w:rPr>
        <w:t>a green light to the share-purchase agreement between the parties.  My considered view is that the lodging of the present matter on an urgent basis was an abuse of court process which should attract a dismissal of the matter with punitive costs to mark this court’s displeasure about this unabating conduct by legal practitioners.</w:t>
      </w:r>
    </w:p>
    <w:p w14:paraId="7968E7A5" w14:textId="488B8B5E" w:rsidR="009848FF" w:rsidRDefault="009848FF" w:rsidP="009848FF">
      <w:pPr>
        <w:spacing w:after="0" w:line="360" w:lineRule="auto"/>
        <w:jc w:val="both"/>
        <w:rPr>
          <w:rFonts w:ascii="Times New Roman" w:hAnsi="Times New Roman" w:cs="Times New Roman"/>
          <w:sz w:val="28"/>
          <w:szCs w:val="28"/>
          <w:lang w:val="en-ZA"/>
        </w:rPr>
      </w:pPr>
    </w:p>
    <w:p w14:paraId="2C6E7AAE" w14:textId="54E59E74" w:rsidR="009848FF" w:rsidRDefault="009848FF" w:rsidP="009848FF">
      <w:pPr>
        <w:spacing w:after="0" w:line="360" w:lineRule="auto"/>
        <w:ind w:left="720" w:hanging="720"/>
        <w:jc w:val="both"/>
        <w:rPr>
          <w:rFonts w:ascii="Times New Roman" w:hAnsi="Times New Roman" w:cs="Times New Roman"/>
          <w:sz w:val="28"/>
          <w:szCs w:val="28"/>
          <w:lang w:val="en-ZA"/>
        </w:rPr>
      </w:pPr>
      <w:r w:rsidRPr="00064C25">
        <w:rPr>
          <w:rFonts w:ascii="Times New Roman" w:hAnsi="Times New Roman" w:cs="Times New Roman"/>
          <w:sz w:val="28"/>
          <w:szCs w:val="28"/>
          <w:lang w:val="en-ZA"/>
        </w:rPr>
        <w:t>[</w:t>
      </w:r>
      <w:r w:rsidR="006C73E2">
        <w:rPr>
          <w:rFonts w:ascii="Times New Roman" w:hAnsi="Times New Roman" w:cs="Times New Roman"/>
          <w:sz w:val="28"/>
          <w:szCs w:val="28"/>
          <w:lang w:val="en-ZA"/>
        </w:rPr>
        <w:t>19</w:t>
      </w:r>
      <w:r w:rsidRPr="00064C25">
        <w:rPr>
          <w:rFonts w:ascii="Times New Roman" w:hAnsi="Times New Roman" w:cs="Times New Roman"/>
          <w:sz w:val="28"/>
          <w:szCs w:val="28"/>
          <w:lang w:val="en-ZA"/>
        </w:rPr>
        <w:t>]</w:t>
      </w:r>
      <w:r w:rsidRPr="00064C25">
        <w:rPr>
          <w:rFonts w:ascii="Times New Roman" w:hAnsi="Times New Roman" w:cs="Times New Roman"/>
          <w:sz w:val="28"/>
          <w:szCs w:val="28"/>
          <w:lang w:val="en-ZA"/>
        </w:rPr>
        <w:tab/>
        <w:t>It should, however, be stated that by dismissing this case on a procedural ground, this court is by no means shutting its doors on the face of the applicant</w:t>
      </w:r>
      <w:r w:rsidR="007B2133" w:rsidRPr="00064C25">
        <w:rPr>
          <w:rFonts w:ascii="Times New Roman" w:hAnsi="Times New Roman" w:cs="Times New Roman"/>
          <w:sz w:val="28"/>
          <w:szCs w:val="28"/>
          <w:lang w:val="en-ZA"/>
        </w:rPr>
        <w:t>,</w:t>
      </w:r>
      <w:r w:rsidRPr="00064C25">
        <w:rPr>
          <w:rFonts w:ascii="Times New Roman" w:hAnsi="Times New Roman" w:cs="Times New Roman"/>
          <w:sz w:val="28"/>
          <w:szCs w:val="28"/>
          <w:lang w:val="en-ZA"/>
        </w:rPr>
        <w:t xml:space="preserve"> </w:t>
      </w:r>
      <w:r w:rsidR="00064C25" w:rsidRPr="00064C25">
        <w:rPr>
          <w:rFonts w:ascii="Times New Roman" w:hAnsi="Times New Roman" w:cs="Times New Roman"/>
          <w:sz w:val="28"/>
          <w:szCs w:val="28"/>
          <w:lang w:val="en-ZA"/>
        </w:rPr>
        <w:t xml:space="preserve">because </w:t>
      </w:r>
      <w:r w:rsidRPr="00064C25">
        <w:rPr>
          <w:rFonts w:ascii="Times New Roman" w:hAnsi="Times New Roman" w:cs="Times New Roman"/>
          <w:sz w:val="28"/>
          <w:szCs w:val="28"/>
          <w:lang w:val="en-ZA"/>
        </w:rPr>
        <w:t>if advised</w:t>
      </w:r>
      <w:r w:rsidR="00064C25" w:rsidRPr="00064C25">
        <w:rPr>
          <w:rFonts w:ascii="Times New Roman" w:hAnsi="Times New Roman" w:cs="Times New Roman"/>
          <w:sz w:val="28"/>
          <w:szCs w:val="28"/>
          <w:lang w:val="en-ZA"/>
        </w:rPr>
        <w:t>,</w:t>
      </w:r>
      <w:r w:rsidRPr="00064C25">
        <w:rPr>
          <w:rFonts w:ascii="Times New Roman" w:hAnsi="Times New Roman" w:cs="Times New Roman"/>
          <w:sz w:val="28"/>
          <w:szCs w:val="28"/>
          <w:lang w:val="en-ZA"/>
        </w:rPr>
        <w:t xml:space="preserve"> </w:t>
      </w:r>
      <w:r w:rsidR="007B2133" w:rsidRPr="00064C25">
        <w:rPr>
          <w:rFonts w:ascii="Times New Roman" w:hAnsi="Times New Roman" w:cs="Times New Roman"/>
          <w:sz w:val="28"/>
          <w:szCs w:val="28"/>
          <w:lang w:val="en-ZA"/>
        </w:rPr>
        <w:t>it can</w:t>
      </w:r>
      <w:r w:rsidR="007B2133">
        <w:rPr>
          <w:rFonts w:ascii="Times New Roman" w:hAnsi="Times New Roman" w:cs="Times New Roman"/>
          <w:sz w:val="28"/>
          <w:szCs w:val="28"/>
          <w:lang w:val="en-ZA"/>
        </w:rPr>
        <w:t xml:space="preserve"> </w:t>
      </w:r>
      <w:r>
        <w:rPr>
          <w:rFonts w:ascii="Times New Roman" w:hAnsi="Times New Roman" w:cs="Times New Roman"/>
          <w:sz w:val="28"/>
          <w:szCs w:val="28"/>
          <w:lang w:val="en-ZA"/>
        </w:rPr>
        <w:t>re-</w:t>
      </w:r>
      <w:r w:rsidR="007B2133">
        <w:rPr>
          <w:rFonts w:ascii="Times New Roman" w:hAnsi="Times New Roman" w:cs="Times New Roman"/>
          <w:sz w:val="28"/>
          <w:szCs w:val="28"/>
          <w:lang w:val="en-ZA"/>
        </w:rPr>
        <w:t>enroll</w:t>
      </w:r>
      <w:r>
        <w:rPr>
          <w:rFonts w:ascii="Times New Roman" w:hAnsi="Times New Roman" w:cs="Times New Roman"/>
          <w:sz w:val="28"/>
          <w:szCs w:val="28"/>
          <w:lang w:val="en-ZA"/>
        </w:rPr>
        <w:t xml:space="preserve"> the matter on proper notice.  Plea of </w:t>
      </w:r>
      <w:r w:rsidRPr="007B2133">
        <w:rPr>
          <w:rFonts w:ascii="Times New Roman" w:hAnsi="Times New Roman" w:cs="Times New Roman"/>
          <w:i/>
          <w:iCs/>
          <w:sz w:val="28"/>
          <w:szCs w:val="28"/>
          <w:lang w:val="en-ZA"/>
        </w:rPr>
        <w:t xml:space="preserve">res judicata </w:t>
      </w:r>
      <w:r>
        <w:rPr>
          <w:rFonts w:ascii="Times New Roman" w:hAnsi="Times New Roman" w:cs="Times New Roman"/>
          <w:sz w:val="28"/>
          <w:szCs w:val="28"/>
          <w:lang w:val="en-ZA"/>
        </w:rPr>
        <w:t xml:space="preserve">would not be sustainable in the circumstances.  I am supported on this position by the following decisions: </w:t>
      </w:r>
      <w:r>
        <w:rPr>
          <w:rFonts w:ascii="Times New Roman" w:hAnsi="Times New Roman" w:cs="Times New Roman"/>
          <w:b/>
          <w:bCs/>
          <w:sz w:val="28"/>
          <w:szCs w:val="28"/>
          <w:lang w:val="en-ZA"/>
        </w:rPr>
        <w:t xml:space="preserve">Zietsman v Electronic Media Network Ltd and Another (771/2010) [2011] ZASCA 169 (29 September 2011) at par. 14: United </w:t>
      </w:r>
      <w:r w:rsidR="00B40D3B">
        <w:rPr>
          <w:rFonts w:ascii="Times New Roman" w:hAnsi="Times New Roman" w:cs="Times New Roman"/>
          <w:b/>
          <w:bCs/>
          <w:sz w:val="28"/>
          <w:szCs w:val="28"/>
          <w:lang w:val="en-ZA"/>
        </w:rPr>
        <w:t>Enterprises Corporation v STR Pan Ocean Co. Ltd [2008] ZASCA 21: 2008 (3) SA 585 (SCA) at para.9).</w:t>
      </w:r>
      <w:r w:rsidR="00B40D3B">
        <w:rPr>
          <w:rFonts w:ascii="Times New Roman" w:hAnsi="Times New Roman" w:cs="Times New Roman"/>
          <w:sz w:val="28"/>
          <w:szCs w:val="28"/>
          <w:lang w:val="en-ZA"/>
        </w:rPr>
        <w:t xml:space="preserve">  </w:t>
      </w:r>
      <w:r w:rsidR="007B2133">
        <w:rPr>
          <w:rFonts w:ascii="Times New Roman" w:hAnsi="Times New Roman" w:cs="Times New Roman"/>
          <w:sz w:val="28"/>
          <w:szCs w:val="28"/>
          <w:lang w:val="en-ZA"/>
        </w:rPr>
        <w:t>D</w:t>
      </w:r>
      <w:r w:rsidR="00B40D3B">
        <w:rPr>
          <w:rFonts w:ascii="Times New Roman" w:hAnsi="Times New Roman" w:cs="Times New Roman"/>
          <w:sz w:val="28"/>
          <w:szCs w:val="28"/>
          <w:lang w:val="en-ZA"/>
        </w:rPr>
        <w:t>ismissal of a case in these circumstances i</w:t>
      </w:r>
      <w:r w:rsidR="007B2133">
        <w:rPr>
          <w:rFonts w:ascii="Times New Roman" w:hAnsi="Times New Roman" w:cs="Times New Roman"/>
          <w:sz w:val="28"/>
          <w:szCs w:val="28"/>
          <w:lang w:val="en-ZA"/>
        </w:rPr>
        <w:t>s</w:t>
      </w:r>
      <w:r w:rsidR="00B40D3B">
        <w:rPr>
          <w:rFonts w:ascii="Times New Roman" w:hAnsi="Times New Roman" w:cs="Times New Roman"/>
          <w:sz w:val="28"/>
          <w:szCs w:val="28"/>
          <w:lang w:val="en-ZA"/>
        </w:rPr>
        <w:t xml:space="preserve"> an equivalent of an absolution from the instance in actions (</w:t>
      </w:r>
      <w:bookmarkStart w:id="5" w:name="_Hlk112080768"/>
      <w:r w:rsidR="00B40D3B" w:rsidRPr="00F33E35">
        <w:rPr>
          <w:rFonts w:ascii="Times New Roman" w:hAnsi="Times New Roman" w:cs="Times New Roman"/>
          <w:sz w:val="28"/>
          <w:szCs w:val="28"/>
          <w:lang w:val="en-ZA"/>
        </w:rPr>
        <w:t>Herbstein and Van Winsen</w:t>
      </w:r>
      <w:r w:rsidR="00B40D3B">
        <w:rPr>
          <w:rFonts w:ascii="Times New Roman" w:hAnsi="Times New Roman" w:cs="Times New Roman"/>
          <w:b/>
          <w:bCs/>
          <w:sz w:val="28"/>
          <w:szCs w:val="28"/>
          <w:lang w:val="en-ZA"/>
        </w:rPr>
        <w:t xml:space="preserve"> The Civil Practice of Supreme Court of South Africa 5</w:t>
      </w:r>
      <w:r w:rsidR="00B40D3B" w:rsidRPr="00B40D3B">
        <w:rPr>
          <w:rFonts w:ascii="Times New Roman" w:hAnsi="Times New Roman" w:cs="Times New Roman"/>
          <w:b/>
          <w:bCs/>
          <w:sz w:val="28"/>
          <w:szCs w:val="28"/>
          <w:vertAlign w:val="superscript"/>
          <w:lang w:val="en-ZA"/>
        </w:rPr>
        <w:t>th</w:t>
      </w:r>
      <w:r w:rsidR="00B40D3B">
        <w:rPr>
          <w:rFonts w:ascii="Times New Roman" w:hAnsi="Times New Roman" w:cs="Times New Roman"/>
          <w:b/>
          <w:bCs/>
          <w:sz w:val="28"/>
          <w:szCs w:val="28"/>
          <w:lang w:val="en-ZA"/>
        </w:rPr>
        <w:t xml:space="preserve"> ed. </w:t>
      </w:r>
      <w:r w:rsidR="00666C95">
        <w:rPr>
          <w:rFonts w:ascii="Times New Roman" w:hAnsi="Times New Roman" w:cs="Times New Roman"/>
          <w:b/>
          <w:bCs/>
          <w:sz w:val="28"/>
          <w:szCs w:val="28"/>
          <w:lang w:val="en-ZA"/>
        </w:rPr>
        <w:t xml:space="preserve">Vol.1 </w:t>
      </w:r>
      <w:bookmarkEnd w:id="5"/>
      <w:r w:rsidR="00666C95" w:rsidRPr="00666C95">
        <w:rPr>
          <w:rFonts w:ascii="Times New Roman" w:hAnsi="Times New Roman" w:cs="Times New Roman"/>
          <w:sz w:val="28"/>
          <w:szCs w:val="28"/>
          <w:lang w:val="en-ZA"/>
        </w:rPr>
        <w:t xml:space="preserve">at </w:t>
      </w:r>
      <w:r w:rsidR="00B40D3B" w:rsidRPr="00666C95">
        <w:rPr>
          <w:rFonts w:ascii="Times New Roman" w:hAnsi="Times New Roman" w:cs="Times New Roman"/>
          <w:sz w:val="28"/>
          <w:szCs w:val="28"/>
          <w:lang w:val="en-ZA"/>
        </w:rPr>
        <w:t xml:space="preserve">924 </w:t>
      </w:r>
      <w:r w:rsidR="00B40D3B">
        <w:rPr>
          <w:rFonts w:ascii="Times New Roman" w:hAnsi="Times New Roman" w:cs="Times New Roman"/>
          <w:sz w:val="28"/>
          <w:szCs w:val="28"/>
          <w:lang w:val="en-ZA"/>
        </w:rPr>
        <w:t>and the authorities cited</w:t>
      </w:r>
      <w:r w:rsidR="007B2133">
        <w:rPr>
          <w:rFonts w:ascii="Times New Roman" w:hAnsi="Times New Roman" w:cs="Times New Roman"/>
          <w:sz w:val="28"/>
          <w:szCs w:val="28"/>
          <w:lang w:val="en-ZA"/>
        </w:rPr>
        <w:t>). The conclusion that the</w:t>
      </w:r>
      <w:r w:rsidR="00B40D3B">
        <w:rPr>
          <w:rFonts w:ascii="Times New Roman" w:hAnsi="Times New Roman" w:cs="Times New Roman"/>
          <w:sz w:val="28"/>
          <w:szCs w:val="28"/>
          <w:lang w:val="en-ZA"/>
        </w:rPr>
        <w:t xml:space="preserve"> application be dismissed renders it unnecessary for this court to deal with </w:t>
      </w:r>
      <w:r w:rsidR="00F33E35">
        <w:rPr>
          <w:rFonts w:ascii="Times New Roman" w:hAnsi="Times New Roman" w:cs="Times New Roman"/>
          <w:sz w:val="28"/>
          <w:szCs w:val="28"/>
          <w:lang w:val="en-ZA"/>
        </w:rPr>
        <w:t>other points</w:t>
      </w:r>
      <w:r w:rsidR="00B40D3B">
        <w:rPr>
          <w:rFonts w:ascii="Times New Roman" w:hAnsi="Times New Roman" w:cs="Times New Roman"/>
          <w:sz w:val="28"/>
          <w:szCs w:val="28"/>
          <w:lang w:val="en-ZA"/>
        </w:rPr>
        <w:t xml:space="preserve"> in </w:t>
      </w:r>
      <w:r w:rsidR="00B40D3B" w:rsidRPr="00B40D3B">
        <w:rPr>
          <w:rFonts w:ascii="Times New Roman" w:hAnsi="Times New Roman" w:cs="Times New Roman"/>
          <w:i/>
          <w:iCs/>
          <w:sz w:val="28"/>
          <w:szCs w:val="28"/>
          <w:lang w:val="en-ZA"/>
        </w:rPr>
        <w:t xml:space="preserve">limine </w:t>
      </w:r>
      <w:r w:rsidR="00B40D3B">
        <w:rPr>
          <w:rFonts w:ascii="Times New Roman" w:hAnsi="Times New Roman" w:cs="Times New Roman"/>
          <w:sz w:val="28"/>
          <w:szCs w:val="28"/>
          <w:lang w:val="en-ZA"/>
        </w:rPr>
        <w:t>raised by the respondent.</w:t>
      </w:r>
    </w:p>
    <w:p w14:paraId="59B06F12" w14:textId="2F8D31B7" w:rsidR="00B40D3B" w:rsidRDefault="00B40D3B" w:rsidP="009848FF">
      <w:pPr>
        <w:spacing w:after="0" w:line="360" w:lineRule="auto"/>
        <w:ind w:left="720" w:hanging="720"/>
        <w:jc w:val="both"/>
        <w:rPr>
          <w:rFonts w:ascii="Times New Roman" w:hAnsi="Times New Roman" w:cs="Times New Roman"/>
          <w:sz w:val="28"/>
          <w:szCs w:val="28"/>
          <w:lang w:val="en-ZA"/>
        </w:rPr>
      </w:pPr>
    </w:p>
    <w:p w14:paraId="56B90408" w14:textId="77777777" w:rsidR="00F6248F" w:rsidRDefault="00F6248F" w:rsidP="009848FF">
      <w:pPr>
        <w:spacing w:after="0" w:line="360" w:lineRule="auto"/>
        <w:ind w:left="720" w:hanging="720"/>
        <w:jc w:val="both"/>
        <w:rPr>
          <w:rFonts w:ascii="Times New Roman" w:hAnsi="Times New Roman" w:cs="Times New Roman"/>
          <w:sz w:val="28"/>
          <w:szCs w:val="28"/>
          <w:lang w:val="en-ZA"/>
        </w:rPr>
      </w:pPr>
    </w:p>
    <w:p w14:paraId="3EBE09FF" w14:textId="0334FC78" w:rsidR="00B40D3B" w:rsidRDefault="00B40D3B" w:rsidP="009848FF">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[2</w:t>
      </w:r>
      <w:r w:rsidR="006C73E2">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r>
      <w:r w:rsidR="00ED338C">
        <w:rPr>
          <w:rFonts w:ascii="Times New Roman" w:hAnsi="Times New Roman" w:cs="Times New Roman"/>
          <w:b/>
          <w:bCs/>
          <w:sz w:val="28"/>
          <w:szCs w:val="28"/>
          <w:lang w:val="en-ZA"/>
        </w:rPr>
        <w:t>Counter Application</w:t>
      </w:r>
    </w:p>
    <w:p w14:paraId="27F2EE7B" w14:textId="446CB860" w:rsidR="00ED338C" w:rsidRDefault="00ED338C" w:rsidP="009848F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As already stated, after hearing arguments on the counter application (spoliation)</w:t>
      </w:r>
      <w:r w:rsidR="00681B8F">
        <w:rPr>
          <w:rFonts w:ascii="Times New Roman" w:hAnsi="Times New Roman" w:cs="Times New Roman"/>
          <w:sz w:val="28"/>
          <w:szCs w:val="28"/>
          <w:lang w:val="en-ZA"/>
        </w:rPr>
        <w:t>,</w:t>
      </w:r>
      <w:r>
        <w:rPr>
          <w:rFonts w:ascii="Times New Roman" w:hAnsi="Times New Roman" w:cs="Times New Roman"/>
          <w:sz w:val="28"/>
          <w:szCs w:val="28"/>
          <w:lang w:val="en-ZA"/>
        </w:rPr>
        <w:t xml:space="preserve"> I made an order granting the reliefs sought and promised to deliver written reasons in due course. </w:t>
      </w:r>
      <w:r w:rsidR="00681B8F">
        <w:rPr>
          <w:rFonts w:ascii="Times New Roman" w:hAnsi="Times New Roman" w:cs="Times New Roman"/>
          <w:sz w:val="28"/>
          <w:szCs w:val="28"/>
          <w:lang w:val="en-ZA"/>
        </w:rPr>
        <w:t>I</w:t>
      </w:r>
      <w:r>
        <w:rPr>
          <w:rFonts w:ascii="Times New Roman" w:hAnsi="Times New Roman" w:cs="Times New Roman"/>
          <w:sz w:val="28"/>
          <w:szCs w:val="28"/>
          <w:lang w:val="en-ZA"/>
        </w:rPr>
        <w:t xml:space="preserve">n the counter application, the respondent the respondent sought the restoration of the </w:t>
      </w:r>
      <w:r w:rsidRPr="00681B8F">
        <w:rPr>
          <w:rFonts w:ascii="Times New Roman" w:hAnsi="Times New Roman" w:cs="Times New Roman"/>
          <w:i/>
          <w:iCs/>
          <w:sz w:val="28"/>
          <w:szCs w:val="28"/>
          <w:lang w:val="en-ZA"/>
        </w:rPr>
        <w:t>status quo ante</w:t>
      </w:r>
      <w:r>
        <w:rPr>
          <w:rFonts w:ascii="Times New Roman" w:hAnsi="Times New Roman" w:cs="Times New Roman"/>
          <w:sz w:val="28"/>
          <w:szCs w:val="28"/>
          <w:lang w:val="en-ZA"/>
        </w:rPr>
        <w:t xml:space="preserve"> pending the institution of proceedings to resolve the share sale agreement dispute.  </w:t>
      </w:r>
      <w:r w:rsidR="007D18B6">
        <w:rPr>
          <w:rFonts w:ascii="Times New Roman" w:hAnsi="Times New Roman" w:cs="Times New Roman"/>
          <w:sz w:val="28"/>
          <w:szCs w:val="28"/>
          <w:lang w:val="en-ZA"/>
        </w:rPr>
        <w:t>Perhaps, at the risk of being repetitious, t</w:t>
      </w:r>
      <w:r>
        <w:rPr>
          <w:rFonts w:ascii="Times New Roman" w:hAnsi="Times New Roman" w:cs="Times New Roman"/>
          <w:sz w:val="28"/>
          <w:szCs w:val="28"/>
          <w:lang w:val="en-ZA"/>
        </w:rPr>
        <w:t xml:space="preserve">he obtaining situation </w:t>
      </w:r>
      <w:r w:rsidR="007D18B6">
        <w:rPr>
          <w:rFonts w:ascii="Times New Roman" w:hAnsi="Times New Roman" w:cs="Times New Roman"/>
          <w:sz w:val="28"/>
          <w:szCs w:val="28"/>
          <w:lang w:val="en-ZA"/>
        </w:rPr>
        <w:t xml:space="preserve">at which this application is directed, </w:t>
      </w:r>
      <w:r>
        <w:rPr>
          <w:rFonts w:ascii="Times New Roman" w:hAnsi="Times New Roman" w:cs="Times New Roman"/>
          <w:sz w:val="28"/>
          <w:szCs w:val="28"/>
          <w:lang w:val="en-ZA"/>
        </w:rPr>
        <w:t>is that:</w:t>
      </w:r>
    </w:p>
    <w:p w14:paraId="06CABA24" w14:textId="2A53B3D9" w:rsidR="00ED338C" w:rsidRDefault="00ED338C" w:rsidP="009848FF">
      <w:pPr>
        <w:spacing w:after="0" w:line="360" w:lineRule="auto"/>
        <w:ind w:left="720" w:hanging="720"/>
        <w:jc w:val="both"/>
        <w:rPr>
          <w:rFonts w:ascii="Times New Roman" w:hAnsi="Times New Roman" w:cs="Times New Roman"/>
          <w:sz w:val="28"/>
          <w:szCs w:val="28"/>
          <w:lang w:val="en-ZA"/>
        </w:rPr>
      </w:pPr>
    </w:p>
    <w:p w14:paraId="68274B38" w14:textId="4389C4ED" w:rsidR="00ED338C" w:rsidRDefault="00ED338C" w:rsidP="00ED338C">
      <w:pPr>
        <w:pStyle w:val="ListParagraph"/>
        <w:numPr>
          <w:ilvl w:val="0"/>
          <w:numId w:val="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parties have been jointly managing the applicant’s daily operations for the past two years.</w:t>
      </w:r>
    </w:p>
    <w:p w14:paraId="1754A1E6" w14:textId="77777777" w:rsidR="00ED338C" w:rsidRDefault="00ED338C" w:rsidP="00ED338C">
      <w:pPr>
        <w:pStyle w:val="ListParagraph"/>
        <w:spacing w:after="0" w:line="360" w:lineRule="auto"/>
        <w:ind w:left="1440"/>
        <w:jc w:val="both"/>
        <w:rPr>
          <w:rFonts w:ascii="Times New Roman" w:hAnsi="Times New Roman" w:cs="Times New Roman"/>
          <w:sz w:val="28"/>
          <w:szCs w:val="28"/>
          <w:lang w:val="en-ZA"/>
        </w:rPr>
      </w:pPr>
    </w:p>
    <w:p w14:paraId="3F1E1A14" w14:textId="119606A6" w:rsidR="00ED338C" w:rsidRPr="00ED338C" w:rsidRDefault="00ED338C" w:rsidP="00ED338C">
      <w:pPr>
        <w:pStyle w:val="ListParagraph"/>
        <w:numPr>
          <w:ilvl w:val="0"/>
          <w:numId w:val="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respondent was in possession of the applicant’s corporeal property (bank accounts etc.) which made it possible for the respondent’s employees to authorise transactions, make disbursements and run applicant’s payroll.</w:t>
      </w:r>
    </w:p>
    <w:p w14:paraId="04A2E460" w14:textId="24D3BA51" w:rsidR="009848FF" w:rsidRDefault="009848FF" w:rsidP="00BB0ED5">
      <w:pPr>
        <w:spacing w:after="0" w:line="360" w:lineRule="auto"/>
        <w:jc w:val="both"/>
        <w:rPr>
          <w:rFonts w:ascii="Times New Roman" w:hAnsi="Times New Roman" w:cs="Times New Roman"/>
          <w:sz w:val="28"/>
          <w:szCs w:val="28"/>
          <w:lang w:val="en-ZA"/>
        </w:rPr>
      </w:pPr>
    </w:p>
    <w:p w14:paraId="699F6D05" w14:textId="2B02C5A3" w:rsidR="00ED338C" w:rsidRDefault="0008239B" w:rsidP="00696B8A">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sz w:val="28"/>
          <w:szCs w:val="28"/>
          <w:lang w:val="en-ZA"/>
        </w:rPr>
        <w:t>[2</w:t>
      </w:r>
      <w:r w:rsidR="006C73E2">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replying to the court application, the applicant raised two points in </w:t>
      </w:r>
      <w:r>
        <w:rPr>
          <w:rFonts w:ascii="Times New Roman" w:hAnsi="Times New Roman" w:cs="Times New Roman"/>
          <w:i/>
          <w:iCs/>
          <w:sz w:val="28"/>
          <w:szCs w:val="28"/>
          <w:lang w:val="en-ZA"/>
        </w:rPr>
        <w:t xml:space="preserve">limine, </w:t>
      </w:r>
      <w:r>
        <w:rPr>
          <w:rFonts w:ascii="Times New Roman" w:hAnsi="Times New Roman" w:cs="Times New Roman"/>
          <w:sz w:val="28"/>
          <w:szCs w:val="28"/>
          <w:lang w:val="en-ZA"/>
        </w:rPr>
        <w:t>namely, (</w:t>
      </w:r>
      <w:r w:rsidR="00696B8A">
        <w:rPr>
          <w:rFonts w:ascii="Times New Roman" w:hAnsi="Times New Roman" w:cs="Times New Roman"/>
          <w:sz w:val="28"/>
          <w:szCs w:val="28"/>
          <w:lang w:val="en-ZA"/>
        </w:rPr>
        <w:t>i</w:t>
      </w:r>
      <w:r>
        <w:rPr>
          <w:rFonts w:ascii="Times New Roman" w:hAnsi="Times New Roman" w:cs="Times New Roman"/>
          <w:sz w:val="28"/>
          <w:szCs w:val="28"/>
          <w:lang w:val="en-ZA"/>
        </w:rPr>
        <w:t>) lack of urgency, (ii)</w:t>
      </w:r>
      <w:r w:rsidR="00696B8A">
        <w:rPr>
          <w:rFonts w:ascii="Times New Roman" w:hAnsi="Times New Roman" w:cs="Times New Roman"/>
          <w:sz w:val="28"/>
          <w:szCs w:val="28"/>
          <w:lang w:val="en-ZA"/>
        </w:rPr>
        <w:t xml:space="preserve"> the impermissibility of the respondent’s consolidated answering affidavit serving both as answer and a founding affidavit in the counter application.  (iii) non-joinder of the applicant’s board of directors and the shareholders.  I turn to deal with the points in </w:t>
      </w:r>
      <w:r w:rsidR="00696B8A">
        <w:rPr>
          <w:rFonts w:ascii="Times New Roman" w:hAnsi="Times New Roman" w:cs="Times New Roman"/>
          <w:i/>
          <w:iCs/>
          <w:sz w:val="28"/>
          <w:szCs w:val="28"/>
          <w:lang w:val="en-ZA"/>
        </w:rPr>
        <w:t>limine</w:t>
      </w:r>
      <w:r w:rsidR="00696B8A">
        <w:rPr>
          <w:rFonts w:ascii="Times New Roman" w:hAnsi="Times New Roman" w:cs="Times New Roman"/>
          <w:sz w:val="28"/>
          <w:szCs w:val="28"/>
          <w:lang w:val="en-ZA"/>
        </w:rPr>
        <w:t xml:space="preserve"> raised.  The issue related to urgency is without any merit given that it is the applicant who first lodged the application on urgent basis.  The respondent was therefore entitled to include its counter application in the answering affidavit as I demonstrate in the ensuing discussion of the next point in </w:t>
      </w:r>
      <w:r w:rsidR="00696B8A">
        <w:rPr>
          <w:rFonts w:ascii="Times New Roman" w:hAnsi="Times New Roman" w:cs="Times New Roman"/>
          <w:i/>
          <w:iCs/>
          <w:sz w:val="28"/>
          <w:szCs w:val="28"/>
          <w:lang w:val="en-ZA"/>
        </w:rPr>
        <w:t>limine.</w:t>
      </w:r>
    </w:p>
    <w:p w14:paraId="0321BFF2" w14:textId="40CD5931" w:rsidR="00696B8A" w:rsidRDefault="00696B8A" w:rsidP="00696B8A">
      <w:pPr>
        <w:spacing w:after="0" w:line="360" w:lineRule="auto"/>
        <w:ind w:left="720" w:hanging="720"/>
        <w:jc w:val="both"/>
        <w:rPr>
          <w:rFonts w:ascii="Times New Roman" w:hAnsi="Times New Roman" w:cs="Times New Roman"/>
          <w:i/>
          <w:iCs/>
          <w:sz w:val="28"/>
          <w:szCs w:val="28"/>
          <w:lang w:val="en-ZA"/>
        </w:rPr>
      </w:pPr>
    </w:p>
    <w:p w14:paraId="20E38213" w14:textId="495960D7" w:rsidR="00696B8A" w:rsidRPr="00754B3D" w:rsidRDefault="00696B8A" w:rsidP="00696B8A">
      <w:pPr>
        <w:pStyle w:val="ListParagraph"/>
        <w:numPr>
          <w:ilvl w:val="0"/>
          <w:numId w:val="6"/>
        </w:numPr>
        <w:spacing w:after="0" w:line="360" w:lineRule="auto"/>
        <w:jc w:val="both"/>
        <w:rPr>
          <w:rFonts w:ascii="Times New Roman" w:hAnsi="Times New Roman" w:cs="Times New Roman"/>
          <w:b/>
          <w:bCs/>
          <w:sz w:val="28"/>
          <w:szCs w:val="28"/>
          <w:lang w:val="en-ZA"/>
        </w:rPr>
      </w:pPr>
      <w:r w:rsidRPr="00754B3D">
        <w:rPr>
          <w:rFonts w:ascii="Times New Roman" w:hAnsi="Times New Roman" w:cs="Times New Roman"/>
          <w:b/>
          <w:bCs/>
          <w:sz w:val="28"/>
          <w:szCs w:val="28"/>
          <w:lang w:val="en-ZA"/>
        </w:rPr>
        <w:lastRenderedPageBreak/>
        <w:t>Impermissibility of including the counter</w:t>
      </w:r>
      <w:r w:rsidR="00754B3D">
        <w:rPr>
          <w:rFonts w:ascii="Times New Roman" w:hAnsi="Times New Roman" w:cs="Times New Roman"/>
          <w:b/>
          <w:bCs/>
          <w:sz w:val="28"/>
          <w:szCs w:val="28"/>
          <w:lang w:val="en-ZA"/>
        </w:rPr>
        <w:t xml:space="preserve"> </w:t>
      </w:r>
      <w:r w:rsidRPr="00754B3D">
        <w:rPr>
          <w:rFonts w:ascii="Times New Roman" w:hAnsi="Times New Roman" w:cs="Times New Roman"/>
          <w:b/>
          <w:bCs/>
          <w:sz w:val="28"/>
          <w:szCs w:val="28"/>
          <w:lang w:val="en-ZA"/>
        </w:rPr>
        <w:t>application in the answering affidavit.</w:t>
      </w:r>
    </w:p>
    <w:p w14:paraId="0AA21E9E" w14:textId="087D411C" w:rsidR="00696B8A" w:rsidRPr="00754B3D" w:rsidRDefault="00696B8A" w:rsidP="00696B8A">
      <w:pPr>
        <w:pStyle w:val="ListParagraph"/>
        <w:spacing w:after="0" w:line="360" w:lineRule="auto"/>
        <w:ind w:left="1440"/>
        <w:jc w:val="both"/>
        <w:rPr>
          <w:rFonts w:ascii="Times New Roman" w:hAnsi="Times New Roman" w:cs="Times New Roman"/>
          <w:b/>
          <w:bCs/>
          <w:sz w:val="28"/>
          <w:szCs w:val="28"/>
          <w:lang w:val="en-ZA"/>
        </w:rPr>
      </w:pPr>
    </w:p>
    <w:p w14:paraId="5197B1CE" w14:textId="38C26AD4" w:rsidR="00BB0ED5" w:rsidRDefault="00696B8A" w:rsidP="00696B8A">
      <w:pPr>
        <w:pStyle w:val="ListParagraph"/>
        <w:spacing w:after="0" w:line="360" w:lineRule="auto"/>
        <w:ind w:left="1440"/>
        <w:jc w:val="both"/>
        <w:rPr>
          <w:rFonts w:ascii="Times New Roman" w:hAnsi="Times New Roman" w:cs="Times New Roman"/>
          <w:sz w:val="28"/>
          <w:szCs w:val="28"/>
          <w:lang w:val="en-ZA"/>
        </w:rPr>
      </w:pPr>
      <w:r>
        <w:rPr>
          <w:rFonts w:ascii="Times New Roman" w:hAnsi="Times New Roman" w:cs="Times New Roman"/>
          <w:sz w:val="28"/>
          <w:szCs w:val="28"/>
          <w:lang w:val="en-ZA"/>
        </w:rPr>
        <w:t>In terms of Rule 8(16) of the High Court Rules 1980:</w:t>
      </w:r>
    </w:p>
    <w:p w14:paraId="158907C2" w14:textId="44FB4E8E" w:rsidR="00696B8A" w:rsidRDefault="00696B8A" w:rsidP="00696B8A">
      <w:pPr>
        <w:pStyle w:val="ListParagraph"/>
        <w:spacing w:after="0" w:line="360" w:lineRule="auto"/>
        <w:ind w:left="1440"/>
        <w:jc w:val="both"/>
        <w:rPr>
          <w:rFonts w:ascii="Times New Roman" w:hAnsi="Times New Roman" w:cs="Times New Roman"/>
          <w:sz w:val="28"/>
          <w:szCs w:val="28"/>
          <w:lang w:val="en-ZA"/>
        </w:rPr>
      </w:pPr>
    </w:p>
    <w:p w14:paraId="7596FA75" w14:textId="2D6593E3" w:rsidR="00B64FC4" w:rsidRDefault="00A46262" w:rsidP="00696B8A">
      <w:pPr>
        <w:pStyle w:val="ListParagraph"/>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“8(16) Any party to an application may bring a counter-application or may join any party to the extent as would be competent if the party wishing to bring such counter-application of join such party were a defendant in an action and the other parties to the application were parties in such action.</w:t>
      </w:r>
      <w:r w:rsidR="00B64FC4">
        <w:rPr>
          <w:rFonts w:ascii="Times New Roman" w:hAnsi="Times New Roman" w:cs="Times New Roman"/>
          <w:i/>
          <w:iCs/>
          <w:sz w:val="24"/>
          <w:szCs w:val="24"/>
          <w:lang w:val="en-ZA"/>
        </w:rPr>
        <w:t>”</w:t>
      </w:r>
    </w:p>
    <w:p w14:paraId="2CE7478E" w14:textId="69398547" w:rsidR="00B64FC4" w:rsidRDefault="00B64FC4" w:rsidP="00B64FC4">
      <w:pPr>
        <w:spacing w:after="0" w:line="360" w:lineRule="auto"/>
        <w:ind w:right="1008"/>
        <w:jc w:val="both"/>
        <w:rPr>
          <w:rFonts w:ascii="Times New Roman" w:hAnsi="Times New Roman" w:cs="Times New Roman"/>
          <w:i/>
          <w:iCs/>
          <w:sz w:val="24"/>
          <w:szCs w:val="24"/>
          <w:lang w:val="en-ZA"/>
        </w:rPr>
      </w:pPr>
    </w:p>
    <w:p w14:paraId="5EBAD2E7" w14:textId="6FEE55F6" w:rsidR="00B64FC4" w:rsidRDefault="00B64FC4" w:rsidP="00355A6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C73E2">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Like in the equivalent South African Rule 6 (7)</w:t>
      </w:r>
      <w:r w:rsidR="00856749">
        <w:rPr>
          <w:rFonts w:ascii="Times New Roman" w:hAnsi="Times New Roman" w:cs="Times New Roman"/>
          <w:sz w:val="28"/>
          <w:szCs w:val="28"/>
          <w:lang w:val="en-ZA"/>
        </w:rPr>
        <w:t>,</w:t>
      </w:r>
      <w:r w:rsidR="00355A6D">
        <w:rPr>
          <w:rFonts w:ascii="Times New Roman" w:hAnsi="Times New Roman" w:cs="Times New Roman"/>
          <w:sz w:val="28"/>
          <w:szCs w:val="28"/>
          <w:lang w:val="en-ZA"/>
        </w:rPr>
        <w:t xml:space="preserve"> th</w:t>
      </w:r>
      <w:r w:rsidR="00856749">
        <w:rPr>
          <w:rFonts w:ascii="Times New Roman" w:hAnsi="Times New Roman" w:cs="Times New Roman"/>
          <w:sz w:val="28"/>
          <w:szCs w:val="28"/>
          <w:lang w:val="en-ZA"/>
        </w:rPr>
        <w:t>e above</w:t>
      </w:r>
      <w:r w:rsidR="00355A6D">
        <w:rPr>
          <w:rFonts w:ascii="Times New Roman" w:hAnsi="Times New Roman" w:cs="Times New Roman"/>
          <w:sz w:val="28"/>
          <w:szCs w:val="28"/>
          <w:lang w:val="en-ZA"/>
        </w:rPr>
        <w:t xml:space="preserve"> sub-rule is silent about how the counter</w:t>
      </w:r>
      <w:r w:rsidR="00856749">
        <w:rPr>
          <w:rFonts w:ascii="Times New Roman" w:hAnsi="Times New Roman" w:cs="Times New Roman"/>
          <w:sz w:val="28"/>
          <w:szCs w:val="28"/>
          <w:lang w:val="en-ZA"/>
        </w:rPr>
        <w:t xml:space="preserve"> </w:t>
      </w:r>
      <w:r w:rsidR="00355A6D">
        <w:rPr>
          <w:rFonts w:ascii="Times New Roman" w:hAnsi="Times New Roman" w:cs="Times New Roman"/>
          <w:sz w:val="28"/>
          <w:szCs w:val="28"/>
          <w:lang w:val="en-ZA"/>
        </w:rPr>
        <w:t xml:space="preserve">application should be launched.  The learned author </w:t>
      </w:r>
      <w:r w:rsidR="00355A6D" w:rsidRPr="0002072E">
        <w:rPr>
          <w:rFonts w:ascii="Times New Roman" w:hAnsi="Times New Roman" w:cs="Times New Roman"/>
          <w:sz w:val="28"/>
          <w:szCs w:val="28"/>
          <w:lang w:val="en-ZA"/>
        </w:rPr>
        <w:t>Harms</w:t>
      </w:r>
      <w:r w:rsidR="00355A6D">
        <w:rPr>
          <w:rFonts w:ascii="Times New Roman" w:hAnsi="Times New Roman" w:cs="Times New Roman"/>
          <w:b/>
          <w:bCs/>
          <w:sz w:val="28"/>
          <w:szCs w:val="28"/>
          <w:lang w:val="en-ZA"/>
        </w:rPr>
        <w:t xml:space="preserve"> Civil Procedure in the Superior Court, B. 57</w:t>
      </w:r>
      <w:r w:rsidR="00355A6D">
        <w:rPr>
          <w:rFonts w:ascii="Times New Roman" w:hAnsi="Times New Roman" w:cs="Times New Roman"/>
          <w:sz w:val="28"/>
          <w:szCs w:val="28"/>
          <w:lang w:val="en-ZA"/>
        </w:rPr>
        <w:t xml:space="preserve"> explains in the following manner why a separate affidavit pertaining to counter</w:t>
      </w:r>
      <w:r w:rsidR="00856749">
        <w:rPr>
          <w:rFonts w:ascii="Times New Roman" w:hAnsi="Times New Roman" w:cs="Times New Roman"/>
          <w:sz w:val="28"/>
          <w:szCs w:val="28"/>
          <w:lang w:val="en-ZA"/>
        </w:rPr>
        <w:t xml:space="preserve"> </w:t>
      </w:r>
      <w:r w:rsidR="00355A6D">
        <w:rPr>
          <w:rFonts w:ascii="Times New Roman" w:hAnsi="Times New Roman" w:cs="Times New Roman"/>
          <w:sz w:val="28"/>
          <w:szCs w:val="28"/>
          <w:lang w:val="en-ZA"/>
        </w:rPr>
        <w:t>application i</w:t>
      </w:r>
      <w:r w:rsidR="00856749">
        <w:rPr>
          <w:rFonts w:ascii="Times New Roman" w:hAnsi="Times New Roman" w:cs="Times New Roman"/>
          <w:sz w:val="28"/>
          <w:szCs w:val="28"/>
          <w:lang w:val="en-ZA"/>
        </w:rPr>
        <w:t>s</w:t>
      </w:r>
      <w:r w:rsidR="00355A6D">
        <w:rPr>
          <w:rFonts w:ascii="Times New Roman" w:hAnsi="Times New Roman" w:cs="Times New Roman"/>
          <w:sz w:val="28"/>
          <w:szCs w:val="28"/>
          <w:lang w:val="en-ZA"/>
        </w:rPr>
        <w:t xml:space="preserve"> unnecessary:</w:t>
      </w:r>
    </w:p>
    <w:p w14:paraId="72E0EF98" w14:textId="3A5495ED" w:rsidR="00355A6D" w:rsidRDefault="00355A6D" w:rsidP="00355A6D">
      <w:pPr>
        <w:spacing w:after="0" w:line="360" w:lineRule="auto"/>
        <w:ind w:left="720" w:hanging="720"/>
        <w:jc w:val="both"/>
        <w:rPr>
          <w:rFonts w:ascii="Times New Roman" w:hAnsi="Times New Roman" w:cs="Times New Roman"/>
          <w:sz w:val="28"/>
          <w:szCs w:val="28"/>
          <w:lang w:val="en-ZA"/>
        </w:rPr>
      </w:pPr>
    </w:p>
    <w:p w14:paraId="72851DAC" w14:textId="4B72AC17" w:rsidR="009567C5" w:rsidRDefault="00355A6D" w:rsidP="009567C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“If a respondent requires more than the dismissal of the </w:t>
      </w:r>
      <w:r w:rsidR="009567C5">
        <w:rPr>
          <w:rFonts w:ascii="Times New Roman" w:hAnsi="Times New Roman" w:cs="Times New Roman"/>
          <w:i/>
          <w:iCs/>
          <w:sz w:val="24"/>
          <w:szCs w:val="24"/>
          <w:lang w:val="en-ZA"/>
        </w:rPr>
        <w:t>application and a consequent order for costs, it</w:t>
      </w:r>
      <w:r w:rsidR="00856749">
        <w:rPr>
          <w:rFonts w:ascii="Times New Roman" w:hAnsi="Times New Roman" w:cs="Times New Roman"/>
          <w:i/>
          <w:iCs/>
          <w:sz w:val="24"/>
          <w:szCs w:val="24"/>
          <w:lang w:val="en-ZA"/>
        </w:rPr>
        <w:t xml:space="preserve"> i</w:t>
      </w:r>
      <w:r w:rsidR="009567C5">
        <w:rPr>
          <w:rFonts w:ascii="Times New Roman" w:hAnsi="Times New Roman" w:cs="Times New Roman"/>
          <w:i/>
          <w:iCs/>
          <w:sz w:val="24"/>
          <w:szCs w:val="24"/>
          <w:lang w:val="en-ZA"/>
        </w:rPr>
        <w:t>s incumbent upon him to make a counter-application.  The rules are silent about how this should be done, but by analogy with the bringing of a counterclaim in actions it is unnecessary, although preferable, to file a separate notice of motion.  It is sufficient to include the prayers in the answering affidavit.  The answering affidavit may also serve as the founding affidavit in the counter-application.  The applicant’s replying affidavit then serves additionally as his answering affidavit and the respondent has a right of reply.”</w:t>
      </w:r>
    </w:p>
    <w:p w14:paraId="09CFD7DC" w14:textId="0598BADD" w:rsidR="009567C5" w:rsidRDefault="009567C5" w:rsidP="009567C5">
      <w:pPr>
        <w:spacing w:after="0" w:line="360" w:lineRule="auto"/>
        <w:ind w:right="1008"/>
        <w:jc w:val="both"/>
        <w:rPr>
          <w:rFonts w:ascii="Times New Roman" w:hAnsi="Times New Roman" w:cs="Times New Roman"/>
          <w:i/>
          <w:iCs/>
          <w:sz w:val="24"/>
          <w:szCs w:val="24"/>
          <w:lang w:val="en-ZA"/>
        </w:rPr>
      </w:pPr>
    </w:p>
    <w:p w14:paraId="4F455CA4" w14:textId="2032AF5D" w:rsidR="009567C5" w:rsidRDefault="00975925" w:rsidP="0097592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sidR="006C73E2">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In the present matter the respondent did exactly what the learned author says is sufficient for the purposes of a counter</w:t>
      </w:r>
      <w:r w:rsidR="006B24BE">
        <w:rPr>
          <w:rFonts w:ascii="Times New Roman" w:hAnsi="Times New Roman" w:cs="Times New Roman"/>
          <w:sz w:val="28"/>
          <w:szCs w:val="28"/>
          <w:lang w:val="en-ZA"/>
        </w:rPr>
        <w:t xml:space="preserve"> </w:t>
      </w:r>
      <w:r>
        <w:rPr>
          <w:rFonts w:ascii="Times New Roman" w:hAnsi="Times New Roman" w:cs="Times New Roman"/>
          <w:sz w:val="28"/>
          <w:szCs w:val="28"/>
          <w:lang w:val="en-ZA"/>
        </w:rPr>
        <w:t>application.  I therefore</w:t>
      </w:r>
      <w:r w:rsidR="006B24BE">
        <w:rPr>
          <w:rFonts w:ascii="Times New Roman" w:hAnsi="Times New Roman" w:cs="Times New Roman"/>
          <w:sz w:val="28"/>
          <w:szCs w:val="28"/>
          <w:lang w:val="en-ZA"/>
        </w:rPr>
        <w:t>,</w:t>
      </w:r>
      <w:r>
        <w:rPr>
          <w:rFonts w:ascii="Times New Roman" w:hAnsi="Times New Roman" w:cs="Times New Roman"/>
          <w:sz w:val="28"/>
          <w:szCs w:val="28"/>
          <w:lang w:val="en-ZA"/>
        </w:rPr>
        <w:t xml:space="preserve"> find that the point is without any merit.</w:t>
      </w:r>
    </w:p>
    <w:p w14:paraId="63C66E9B" w14:textId="4E8E27F8" w:rsidR="00975925" w:rsidRDefault="00975925" w:rsidP="00975925">
      <w:pPr>
        <w:spacing w:after="0" w:line="360" w:lineRule="auto"/>
        <w:ind w:left="720" w:hanging="720"/>
        <w:jc w:val="both"/>
        <w:rPr>
          <w:rFonts w:ascii="Times New Roman" w:hAnsi="Times New Roman" w:cs="Times New Roman"/>
          <w:sz w:val="28"/>
          <w:szCs w:val="28"/>
          <w:lang w:val="en-ZA"/>
        </w:rPr>
      </w:pPr>
    </w:p>
    <w:p w14:paraId="3EA03201" w14:textId="2E2727EF" w:rsidR="00975925" w:rsidRDefault="00975925" w:rsidP="00975925">
      <w:pPr>
        <w:spacing w:after="0" w:line="360" w:lineRule="auto"/>
        <w:ind w:left="144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r>
      <w:r w:rsidRPr="00975925">
        <w:rPr>
          <w:rFonts w:ascii="Times New Roman" w:hAnsi="Times New Roman" w:cs="Times New Roman"/>
          <w:b/>
          <w:bCs/>
          <w:sz w:val="28"/>
          <w:szCs w:val="28"/>
          <w:lang w:val="en-ZA"/>
        </w:rPr>
        <w:t>Non joinder of the applicant’s shareholders and the board of directors.</w:t>
      </w:r>
    </w:p>
    <w:p w14:paraId="2F33D6F0" w14:textId="3479E090" w:rsidR="00975925" w:rsidRDefault="00975925" w:rsidP="00F6248F">
      <w:pPr>
        <w:spacing w:after="0" w:line="360" w:lineRule="auto"/>
        <w:ind w:left="144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point is without any merit because the shareholders are part of these proceedings, the main one has even deposed to the founding affidavit.  (See: </w:t>
      </w:r>
      <w:r>
        <w:rPr>
          <w:rFonts w:ascii="Times New Roman" w:hAnsi="Times New Roman" w:cs="Times New Roman"/>
          <w:b/>
          <w:bCs/>
          <w:sz w:val="28"/>
          <w:szCs w:val="28"/>
          <w:lang w:val="en-ZA"/>
        </w:rPr>
        <w:t xml:space="preserve">Makoala v Makoala LAC (2009 – 2010) 40 </w:t>
      </w:r>
      <w:r w:rsidRPr="00B11B94">
        <w:rPr>
          <w:rFonts w:ascii="Times New Roman" w:hAnsi="Times New Roman" w:cs="Times New Roman"/>
          <w:sz w:val="28"/>
          <w:szCs w:val="28"/>
          <w:lang w:val="en-ZA"/>
        </w:rPr>
        <w:t>at 43 at para.6</w:t>
      </w:r>
      <w:r w:rsidR="00B11B94">
        <w:rPr>
          <w:rFonts w:ascii="Times New Roman" w:hAnsi="Times New Roman" w:cs="Times New Roman"/>
          <w:sz w:val="28"/>
          <w:szCs w:val="28"/>
          <w:lang w:val="en-ZA"/>
        </w:rPr>
        <w:t>,</w:t>
      </w:r>
      <w:r w:rsidRPr="00B11B94">
        <w:rPr>
          <w:rFonts w:ascii="Times New Roman" w:hAnsi="Times New Roman" w:cs="Times New Roman"/>
          <w:sz w:val="28"/>
          <w:szCs w:val="28"/>
          <w:lang w:val="en-ZA"/>
        </w:rPr>
        <w:t xml:space="preserve"> on the approach to non-joinder</w:t>
      </w:r>
      <w:r w:rsidR="00B11B94">
        <w:rPr>
          <w:rFonts w:ascii="Times New Roman" w:hAnsi="Times New Roman" w:cs="Times New Roman"/>
          <w:sz w:val="28"/>
          <w:szCs w:val="28"/>
          <w:lang w:val="en-ZA"/>
        </w:rPr>
        <w:t xml:space="preserve"> issue</w:t>
      </w:r>
      <w:r w:rsidRPr="00B11B94">
        <w:rPr>
          <w:rFonts w:ascii="Times New Roman" w:hAnsi="Times New Roman" w:cs="Times New Roman"/>
          <w:sz w:val="28"/>
          <w:szCs w:val="28"/>
          <w:lang w:val="en-ZA"/>
        </w:rPr>
        <w:t xml:space="preserve"> when raised).</w:t>
      </w:r>
      <w:r>
        <w:rPr>
          <w:rFonts w:ascii="Times New Roman" w:hAnsi="Times New Roman" w:cs="Times New Roman"/>
          <w:sz w:val="28"/>
          <w:szCs w:val="28"/>
          <w:lang w:val="en-ZA"/>
        </w:rPr>
        <w:t xml:space="preserve">  As regards board of directors, there was no need to join them where the company is sued.  I turn to consider the merits of the application.</w:t>
      </w:r>
    </w:p>
    <w:p w14:paraId="2F760A20" w14:textId="5E6F3208" w:rsidR="00975925" w:rsidRDefault="00975925" w:rsidP="00975925">
      <w:pPr>
        <w:spacing w:after="0" w:line="360" w:lineRule="auto"/>
        <w:jc w:val="both"/>
        <w:rPr>
          <w:rFonts w:ascii="Times New Roman" w:hAnsi="Times New Roman" w:cs="Times New Roman"/>
          <w:sz w:val="28"/>
          <w:szCs w:val="28"/>
          <w:lang w:val="en-ZA"/>
        </w:rPr>
      </w:pPr>
    </w:p>
    <w:p w14:paraId="6ADF56E3" w14:textId="2ED738C7" w:rsidR="00975925" w:rsidRDefault="00975925" w:rsidP="00C5387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C73E2">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53877">
        <w:rPr>
          <w:rFonts w:ascii="Times New Roman" w:hAnsi="Times New Roman" w:cs="Times New Roman"/>
          <w:sz w:val="28"/>
          <w:szCs w:val="28"/>
          <w:lang w:val="en-ZA"/>
        </w:rPr>
        <w:t xml:space="preserve">The </w:t>
      </w:r>
      <w:r w:rsidR="00C53877" w:rsidRPr="00C53877">
        <w:rPr>
          <w:rFonts w:ascii="Times New Roman" w:hAnsi="Times New Roman" w:cs="Times New Roman"/>
          <w:i/>
          <w:iCs/>
          <w:sz w:val="28"/>
          <w:szCs w:val="28"/>
          <w:lang w:val="en-ZA"/>
        </w:rPr>
        <w:t>mandament van spolie</w:t>
      </w:r>
      <w:r w:rsidR="00C53877">
        <w:rPr>
          <w:rFonts w:ascii="Times New Roman" w:hAnsi="Times New Roman" w:cs="Times New Roman"/>
          <w:sz w:val="28"/>
          <w:szCs w:val="28"/>
          <w:lang w:val="en-ZA"/>
        </w:rPr>
        <w:t xml:space="preserve"> remedy is aimed at restoring possession which has been taken away without consent or forcibly:  In a well-known case of </w:t>
      </w:r>
      <w:r w:rsidR="00C53877">
        <w:rPr>
          <w:rFonts w:ascii="Times New Roman" w:hAnsi="Times New Roman" w:cs="Times New Roman"/>
          <w:b/>
          <w:bCs/>
          <w:sz w:val="28"/>
          <w:szCs w:val="28"/>
          <w:lang w:val="en-ZA"/>
        </w:rPr>
        <w:t>Nino Bonino v De lange 1906 T.S 120 at 122,</w:t>
      </w:r>
      <w:r w:rsidR="00C53877">
        <w:rPr>
          <w:rFonts w:ascii="Times New Roman" w:hAnsi="Times New Roman" w:cs="Times New Roman"/>
          <w:sz w:val="28"/>
          <w:szCs w:val="28"/>
          <w:lang w:val="en-ZA"/>
        </w:rPr>
        <w:t xml:space="preserve"> it was stated to be:</w:t>
      </w:r>
    </w:p>
    <w:p w14:paraId="525A3E44" w14:textId="6B13884C" w:rsidR="00C53877" w:rsidRDefault="00C53877" w:rsidP="00C53877">
      <w:pPr>
        <w:spacing w:after="0" w:line="360" w:lineRule="auto"/>
        <w:ind w:left="720" w:hanging="720"/>
        <w:jc w:val="both"/>
        <w:rPr>
          <w:rFonts w:ascii="Times New Roman" w:hAnsi="Times New Roman" w:cs="Times New Roman"/>
          <w:sz w:val="28"/>
          <w:szCs w:val="28"/>
          <w:lang w:val="en-ZA"/>
        </w:rPr>
      </w:pPr>
    </w:p>
    <w:p w14:paraId="6760C464" w14:textId="193CAD4E" w:rsidR="00C53877" w:rsidRDefault="007B6232" w:rsidP="007B623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“[S]poliation is any illicit deprivation of another of the right of possession which he has, whether in regard to movable or immovable property or even in regard to a legal right.”</w:t>
      </w:r>
    </w:p>
    <w:p w14:paraId="47D15205" w14:textId="44445BA3" w:rsidR="007B6232" w:rsidRDefault="007B6232" w:rsidP="007B6232">
      <w:pPr>
        <w:spacing w:after="0" w:line="360" w:lineRule="auto"/>
        <w:ind w:right="1008"/>
        <w:jc w:val="both"/>
        <w:rPr>
          <w:rFonts w:ascii="Times New Roman" w:hAnsi="Times New Roman" w:cs="Times New Roman"/>
          <w:i/>
          <w:iCs/>
          <w:sz w:val="24"/>
          <w:szCs w:val="24"/>
          <w:lang w:val="en-ZA"/>
        </w:rPr>
      </w:pPr>
    </w:p>
    <w:p w14:paraId="0D7C638B" w14:textId="042A2F65" w:rsidR="007B6232" w:rsidRDefault="007B6232" w:rsidP="007B623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remedy is granted in order to restore possession before an enquiry into the right of ownership or legality of possession is enquired into.  </w:t>
      </w:r>
      <w:r>
        <w:rPr>
          <w:rFonts w:ascii="Times New Roman" w:hAnsi="Times New Roman" w:cs="Times New Roman"/>
          <w:b/>
          <w:bCs/>
          <w:sz w:val="28"/>
          <w:szCs w:val="28"/>
          <w:lang w:val="en-ZA"/>
        </w:rPr>
        <w:t>(Nino Bonino v De Lange ibid at p. 122).</w:t>
      </w:r>
      <w:r>
        <w:rPr>
          <w:rFonts w:ascii="Times New Roman" w:hAnsi="Times New Roman" w:cs="Times New Roman"/>
          <w:sz w:val="28"/>
          <w:szCs w:val="28"/>
          <w:lang w:val="en-ZA"/>
        </w:rPr>
        <w:t xml:space="preserve">  It is trite that this remedy is </w:t>
      </w:r>
      <w:r w:rsidR="002478C8">
        <w:rPr>
          <w:rFonts w:ascii="Times New Roman" w:hAnsi="Times New Roman" w:cs="Times New Roman"/>
          <w:sz w:val="28"/>
          <w:szCs w:val="28"/>
          <w:lang w:val="en-ZA"/>
        </w:rPr>
        <w:t xml:space="preserve">also </w:t>
      </w:r>
      <w:r>
        <w:rPr>
          <w:rFonts w:ascii="Times New Roman" w:hAnsi="Times New Roman" w:cs="Times New Roman"/>
          <w:sz w:val="28"/>
          <w:szCs w:val="28"/>
          <w:lang w:val="en-ZA"/>
        </w:rPr>
        <w:t>available where incorporeal property is spoliated (</w:t>
      </w:r>
      <w:bookmarkStart w:id="6" w:name="_Hlk112081031"/>
      <w:r>
        <w:rPr>
          <w:rFonts w:ascii="Times New Roman" w:hAnsi="Times New Roman" w:cs="Times New Roman"/>
          <w:b/>
          <w:bCs/>
          <w:sz w:val="28"/>
          <w:szCs w:val="28"/>
          <w:lang w:val="en-ZA"/>
        </w:rPr>
        <w:t xml:space="preserve">Blendrite (Pty) Ltd and Another </w:t>
      </w:r>
      <w:r w:rsidR="002478C8">
        <w:rPr>
          <w:rFonts w:ascii="Times New Roman" w:hAnsi="Times New Roman" w:cs="Times New Roman"/>
          <w:b/>
          <w:bCs/>
          <w:sz w:val="28"/>
          <w:szCs w:val="28"/>
          <w:lang w:val="en-ZA"/>
        </w:rPr>
        <w:t xml:space="preserve">v Moonsami and Another </w:t>
      </w:r>
      <w:r>
        <w:rPr>
          <w:rFonts w:ascii="Times New Roman" w:hAnsi="Times New Roman" w:cs="Times New Roman"/>
          <w:b/>
          <w:bCs/>
          <w:sz w:val="28"/>
          <w:szCs w:val="28"/>
          <w:lang w:val="en-ZA"/>
        </w:rPr>
        <w:t>(227/2020) [2021] ZASCA 77 (</w:t>
      </w:r>
      <w:bookmarkStart w:id="7" w:name="_Hlk112080993"/>
      <w:r>
        <w:rPr>
          <w:rFonts w:ascii="Times New Roman" w:hAnsi="Times New Roman" w:cs="Times New Roman"/>
          <w:b/>
          <w:bCs/>
          <w:sz w:val="28"/>
          <w:szCs w:val="28"/>
          <w:lang w:val="en-ZA"/>
        </w:rPr>
        <w:t>10 June 2021)</w:t>
      </w:r>
      <w:bookmarkEnd w:id="6"/>
      <w:r>
        <w:rPr>
          <w:rFonts w:ascii="Times New Roman" w:hAnsi="Times New Roman" w:cs="Times New Roman"/>
          <w:b/>
          <w:bCs/>
          <w:sz w:val="28"/>
          <w:szCs w:val="28"/>
          <w:lang w:val="en-ZA"/>
        </w:rPr>
        <w:t xml:space="preserve"> </w:t>
      </w:r>
      <w:bookmarkEnd w:id="7"/>
      <w:r>
        <w:rPr>
          <w:rFonts w:ascii="Times New Roman" w:hAnsi="Times New Roman" w:cs="Times New Roman"/>
          <w:b/>
          <w:bCs/>
          <w:sz w:val="28"/>
          <w:szCs w:val="28"/>
          <w:lang w:val="en-ZA"/>
        </w:rPr>
        <w:t>at para. 9).</w:t>
      </w:r>
      <w:r>
        <w:rPr>
          <w:rFonts w:ascii="Times New Roman" w:hAnsi="Times New Roman" w:cs="Times New Roman"/>
          <w:sz w:val="28"/>
          <w:szCs w:val="28"/>
          <w:lang w:val="en-ZA"/>
        </w:rPr>
        <w:t xml:space="preserve">  In this incident it used to protect “the quasi-possession” of </w:t>
      </w:r>
      <w:r>
        <w:rPr>
          <w:rFonts w:ascii="Times New Roman" w:hAnsi="Times New Roman" w:cs="Times New Roman"/>
          <w:sz w:val="28"/>
          <w:szCs w:val="28"/>
          <w:lang w:val="en-ZA"/>
        </w:rPr>
        <w:lastRenderedPageBreak/>
        <w:t>incorporeal rights.  However</w:t>
      </w:r>
      <w:r w:rsidR="002478C8">
        <w:rPr>
          <w:rFonts w:ascii="Times New Roman" w:hAnsi="Times New Roman" w:cs="Times New Roman"/>
          <w:sz w:val="28"/>
          <w:szCs w:val="28"/>
          <w:lang w:val="en-ZA"/>
        </w:rPr>
        <w:t>,</w:t>
      </w:r>
      <w:r>
        <w:rPr>
          <w:rFonts w:ascii="Times New Roman" w:hAnsi="Times New Roman" w:cs="Times New Roman"/>
          <w:sz w:val="28"/>
          <w:szCs w:val="28"/>
          <w:lang w:val="en-ZA"/>
        </w:rPr>
        <w:t xml:space="preserve"> not all incorporeal rights may be protected through this remedy:</w:t>
      </w:r>
    </w:p>
    <w:p w14:paraId="3EF50D77" w14:textId="5A127063" w:rsidR="007B6232" w:rsidRDefault="007B6232" w:rsidP="007B6232">
      <w:pPr>
        <w:spacing w:after="0" w:line="360" w:lineRule="auto"/>
        <w:ind w:left="720"/>
        <w:jc w:val="both"/>
        <w:rPr>
          <w:rFonts w:ascii="Times New Roman" w:hAnsi="Times New Roman" w:cs="Times New Roman"/>
          <w:sz w:val="28"/>
          <w:szCs w:val="28"/>
          <w:lang w:val="en-ZA"/>
        </w:rPr>
      </w:pPr>
    </w:p>
    <w:p w14:paraId="106E5DDC" w14:textId="4AC7A247" w:rsidR="007B6232" w:rsidRDefault="00377768" w:rsidP="0037776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mandament van spolie does not have a “catch-all function” to protect the quasi-possession of all kinds of rights irrespective of their nature.  In cases such as where a purported servitude is concerned the mandament van spolie </w:t>
      </w:r>
      <w:r w:rsidR="00CB39DC">
        <w:rPr>
          <w:rFonts w:ascii="Times New Roman" w:hAnsi="Times New Roman" w:cs="Times New Roman"/>
          <w:i/>
          <w:iCs/>
          <w:sz w:val="24"/>
          <w:szCs w:val="24"/>
          <w:lang w:val="en-ZA"/>
        </w:rPr>
        <w:t>is obviously the appropriate remedy, but not where contractual rights are in dispute or specific performance of contractual obligation is claimed: its purpose is the protection of quasi-possessio of certain rights.  It follows that the nature of the professed right, even if need not be proved, must be determined or the right characterised to establish whether quasi-possessio is des</w:t>
      </w:r>
      <w:r w:rsidR="003D2CD8">
        <w:rPr>
          <w:rFonts w:ascii="Times New Roman" w:hAnsi="Times New Roman" w:cs="Times New Roman"/>
          <w:i/>
          <w:iCs/>
          <w:sz w:val="24"/>
          <w:szCs w:val="24"/>
          <w:lang w:val="en-ZA"/>
        </w:rPr>
        <w:t>e</w:t>
      </w:r>
      <w:r w:rsidR="00CB39DC">
        <w:rPr>
          <w:rFonts w:ascii="Times New Roman" w:hAnsi="Times New Roman" w:cs="Times New Roman"/>
          <w:i/>
          <w:iCs/>
          <w:sz w:val="24"/>
          <w:szCs w:val="24"/>
          <w:lang w:val="en-ZA"/>
        </w:rPr>
        <w:t>rving</w:t>
      </w:r>
      <w:r w:rsidR="003D2CD8">
        <w:rPr>
          <w:rFonts w:ascii="Times New Roman" w:hAnsi="Times New Roman" w:cs="Times New Roman"/>
          <w:i/>
          <w:iCs/>
          <w:sz w:val="24"/>
          <w:szCs w:val="24"/>
          <w:lang w:val="en-ZA"/>
        </w:rPr>
        <w:t xml:space="preserve"> of protection by the mandament.</w:t>
      </w:r>
      <w:r w:rsidR="00CB39DC">
        <w:rPr>
          <w:rFonts w:ascii="Times New Roman" w:hAnsi="Times New Roman" w:cs="Times New Roman"/>
          <w:i/>
          <w:iCs/>
          <w:sz w:val="24"/>
          <w:szCs w:val="24"/>
          <w:lang w:val="en-ZA"/>
        </w:rPr>
        <w:t xml:space="preserve"> Kleys seeks to limit the rights concerned to … such as rights of way, a right of access through a gate or the right to affix a nameplate to a wall regardless of whether the alleged right is real or personal.  That explains why possession of “mere” personal rights (or their exercise) is not protected by the mandament.  The right held in quasi-possession must be a ‘gebruiksreg’ or an </w:t>
      </w:r>
      <w:r w:rsidR="00CB39DC">
        <w:rPr>
          <w:rFonts w:ascii="Times New Roman" w:hAnsi="Times New Roman" w:cs="Times New Roman"/>
          <w:i/>
          <w:iCs/>
          <w:sz w:val="24"/>
          <w:szCs w:val="24"/>
          <w:u w:val="single"/>
          <w:lang w:val="en-ZA"/>
        </w:rPr>
        <w:t>in</w:t>
      </w:r>
      <w:r w:rsidR="0043035D">
        <w:rPr>
          <w:rFonts w:ascii="Times New Roman" w:hAnsi="Times New Roman" w:cs="Times New Roman"/>
          <w:i/>
          <w:iCs/>
          <w:sz w:val="24"/>
          <w:szCs w:val="24"/>
          <w:u w:val="single"/>
          <w:lang w:val="en-ZA"/>
        </w:rPr>
        <w:t>c</w:t>
      </w:r>
      <w:r w:rsidR="00CB39DC">
        <w:rPr>
          <w:rFonts w:ascii="Times New Roman" w:hAnsi="Times New Roman" w:cs="Times New Roman"/>
          <w:i/>
          <w:iCs/>
          <w:sz w:val="24"/>
          <w:szCs w:val="24"/>
          <w:u w:val="single"/>
          <w:lang w:val="en-ZA"/>
        </w:rPr>
        <w:t>ident of the possession or control of the property</w:t>
      </w:r>
      <w:r w:rsidR="00CB39DC">
        <w:rPr>
          <w:rFonts w:ascii="Times New Roman" w:hAnsi="Times New Roman" w:cs="Times New Roman"/>
          <w:b/>
          <w:bCs/>
          <w:i/>
          <w:iCs/>
          <w:sz w:val="24"/>
          <w:szCs w:val="24"/>
          <w:lang w:val="en-ZA"/>
        </w:rPr>
        <w:t xml:space="preserve"> (</w:t>
      </w:r>
      <w:bookmarkStart w:id="8" w:name="_Hlk112081080"/>
      <w:r w:rsidR="00CB39DC">
        <w:rPr>
          <w:rFonts w:ascii="Times New Roman" w:hAnsi="Times New Roman" w:cs="Times New Roman"/>
          <w:b/>
          <w:bCs/>
          <w:i/>
          <w:iCs/>
          <w:sz w:val="24"/>
          <w:szCs w:val="24"/>
          <w:lang w:val="en-ZA"/>
        </w:rPr>
        <w:t>First Rand Ltd. t/a Rand Merchant Bank and Another v Scholtz NO and Others [2006] SCA 98 (RSA); 2008 (2) SA 503 (SCA)</w:t>
      </w:r>
      <w:bookmarkEnd w:id="8"/>
      <w:r w:rsidR="00CB39DC">
        <w:rPr>
          <w:rFonts w:ascii="Times New Roman" w:hAnsi="Times New Roman" w:cs="Times New Roman"/>
          <w:b/>
          <w:bCs/>
          <w:i/>
          <w:iCs/>
          <w:sz w:val="24"/>
          <w:szCs w:val="24"/>
          <w:lang w:val="en-ZA"/>
        </w:rPr>
        <w:t xml:space="preserve"> at para. 13: </w:t>
      </w:r>
      <w:r w:rsidR="0043035D">
        <w:rPr>
          <w:rFonts w:ascii="Times New Roman" w:hAnsi="Times New Roman" w:cs="Times New Roman"/>
          <w:i/>
          <w:iCs/>
          <w:sz w:val="24"/>
          <w:szCs w:val="24"/>
          <w:lang w:val="en-ZA"/>
        </w:rPr>
        <w:t>(underlining is provided for emphasis).</w:t>
      </w:r>
    </w:p>
    <w:p w14:paraId="104D318D" w14:textId="77777777" w:rsidR="0043035D" w:rsidRDefault="0043035D" w:rsidP="0043035D">
      <w:pPr>
        <w:spacing w:after="0" w:line="360" w:lineRule="auto"/>
        <w:ind w:right="1008"/>
        <w:jc w:val="both"/>
        <w:rPr>
          <w:rFonts w:ascii="Times New Roman" w:hAnsi="Times New Roman" w:cs="Times New Roman"/>
          <w:i/>
          <w:iCs/>
          <w:sz w:val="24"/>
          <w:szCs w:val="24"/>
          <w:lang w:val="en-ZA"/>
        </w:rPr>
      </w:pPr>
    </w:p>
    <w:p w14:paraId="2BE2D311" w14:textId="3EDE2705" w:rsidR="00755587" w:rsidRDefault="0043035D" w:rsidP="0043035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6C73E2">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Possession worthy of protection need not be exclusive but can be joint (</w:t>
      </w:r>
      <w:r>
        <w:rPr>
          <w:rFonts w:ascii="Times New Roman" w:hAnsi="Times New Roman" w:cs="Times New Roman"/>
          <w:b/>
          <w:bCs/>
          <w:sz w:val="28"/>
          <w:szCs w:val="28"/>
          <w:lang w:val="en-ZA"/>
        </w:rPr>
        <w:t xml:space="preserve">Khabo v Khabo (C of A (Civ) 72/18 [2019] LSCA 56 (01 Nov. 2019) </w:t>
      </w:r>
      <w:r w:rsidRPr="003D2CD8">
        <w:rPr>
          <w:rFonts w:ascii="Times New Roman" w:hAnsi="Times New Roman" w:cs="Times New Roman"/>
          <w:sz w:val="28"/>
          <w:szCs w:val="28"/>
          <w:lang w:val="en-ZA"/>
        </w:rPr>
        <w:t>at para. 17.</w:t>
      </w:r>
      <w:r>
        <w:rPr>
          <w:rFonts w:ascii="Times New Roman" w:hAnsi="Times New Roman" w:cs="Times New Roman"/>
          <w:sz w:val="28"/>
          <w:szCs w:val="28"/>
          <w:lang w:val="en-ZA"/>
        </w:rPr>
        <w:t xml:space="preserve">  All that the applicant must allege and prove is that he was in peaceful and disturbed possession (</w:t>
      </w:r>
      <w:r>
        <w:rPr>
          <w:rFonts w:ascii="Times New Roman" w:hAnsi="Times New Roman" w:cs="Times New Roman"/>
          <w:b/>
          <w:bCs/>
          <w:sz w:val="28"/>
          <w:szCs w:val="28"/>
          <w:lang w:val="en-ZA"/>
        </w:rPr>
        <w:t>Khabo v Khabo ibid at para. 16).</w:t>
      </w:r>
      <w:r>
        <w:rPr>
          <w:rFonts w:ascii="Times New Roman" w:hAnsi="Times New Roman" w:cs="Times New Roman"/>
          <w:sz w:val="28"/>
          <w:szCs w:val="28"/>
          <w:lang w:val="en-ZA"/>
        </w:rPr>
        <w:t xml:space="preserve">  In the present matter, in order to succeed, the respondent had to prove that it had quasi-possession of the right and that it actively exercised it until it was unlawfully spoliated.  All it needed to prove was the factual position of the exercise of </w:t>
      </w:r>
      <w:r>
        <w:rPr>
          <w:rFonts w:ascii="Times New Roman" w:hAnsi="Times New Roman" w:cs="Times New Roman"/>
          <w:sz w:val="28"/>
          <w:szCs w:val="28"/>
          <w:lang w:val="en-ZA"/>
        </w:rPr>
        <w:lastRenderedPageBreak/>
        <w:t>such a right</w:t>
      </w:r>
      <w:r w:rsidR="00755587">
        <w:rPr>
          <w:rFonts w:ascii="Times New Roman" w:hAnsi="Times New Roman" w:cs="Times New Roman"/>
          <w:sz w:val="28"/>
          <w:szCs w:val="28"/>
          <w:lang w:val="en-ZA"/>
        </w:rPr>
        <w:t xml:space="preserve"> not its physical existence (</w:t>
      </w:r>
      <w:bookmarkStart w:id="9" w:name="_Hlk112081157"/>
      <w:r w:rsidR="00755587">
        <w:rPr>
          <w:rFonts w:ascii="Times New Roman" w:hAnsi="Times New Roman" w:cs="Times New Roman"/>
          <w:b/>
          <w:bCs/>
          <w:sz w:val="28"/>
          <w:szCs w:val="28"/>
          <w:lang w:val="en-ZA"/>
        </w:rPr>
        <w:t>Tigon Ltd v Bestyet Investments (Pty) Ltd 2001 (4) SA 634</w:t>
      </w:r>
      <w:r w:rsidR="00755587" w:rsidRPr="003D2CD8">
        <w:rPr>
          <w:rFonts w:ascii="Times New Roman" w:hAnsi="Times New Roman" w:cs="Times New Roman"/>
          <w:sz w:val="28"/>
          <w:szCs w:val="28"/>
          <w:lang w:val="en-ZA"/>
        </w:rPr>
        <w:t xml:space="preserve"> </w:t>
      </w:r>
      <w:bookmarkEnd w:id="9"/>
      <w:r w:rsidR="00755587" w:rsidRPr="003D2CD8">
        <w:rPr>
          <w:rFonts w:ascii="Times New Roman" w:hAnsi="Times New Roman" w:cs="Times New Roman"/>
          <w:sz w:val="28"/>
          <w:szCs w:val="28"/>
          <w:lang w:val="en-ZA"/>
        </w:rPr>
        <w:t>at 642 C – D).</w:t>
      </w:r>
    </w:p>
    <w:p w14:paraId="0B94DE95" w14:textId="77777777" w:rsidR="00755587" w:rsidRDefault="00755587" w:rsidP="0043035D">
      <w:pPr>
        <w:spacing w:after="0" w:line="360" w:lineRule="auto"/>
        <w:ind w:left="720" w:hanging="720"/>
        <w:jc w:val="both"/>
        <w:rPr>
          <w:rFonts w:ascii="Times New Roman" w:hAnsi="Times New Roman" w:cs="Times New Roman"/>
          <w:b/>
          <w:bCs/>
          <w:sz w:val="28"/>
          <w:szCs w:val="28"/>
          <w:lang w:val="en-ZA"/>
        </w:rPr>
      </w:pPr>
    </w:p>
    <w:p w14:paraId="29EAFA52" w14:textId="6C408FFC" w:rsidR="002F4E65" w:rsidRDefault="007C1250" w:rsidP="00FA31E7">
      <w:pPr>
        <w:pStyle w:val="BodyTextIndent"/>
      </w:pPr>
      <w:r>
        <w:t>[2</w:t>
      </w:r>
      <w:r w:rsidR="006C73E2">
        <w:t>6</w:t>
      </w:r>
      <w:r>
        <w:t>]</w:t>
      </w:r>
      <w:r>
        <w:tab/>
        <w:t xml:space="preserve">In the present matter, it is common cause that the applicant’s shareholders and the respondent signed a share purchase agreement in terms of which all the shares in the applicant were </w:t>
      </w:r>
      <w:r w:rsidR="008F1FB2">
        <w:t xml:space="preserve">to be transferred to </w:t>
      </w:r>
      <w:r>
        <w:t xml:space="preserve">the respondent.  It is also common cause that since the conclusion of the agreement, the applicant provided the respondent (its agents) with joint control of certain of its bank accounts and </w:t>
      </w:r>
      <w:r w:rsidR="008F1FB2">
        <w:t xml:space="preserve">its </w:t>
      </w:r>
      <w:r>
        <w:t>joint managemen</w:t>
      </w:r>
      <w:r w:rsidR="008F1FB2">
        <w:t>t</w:t>
      </w:r>
      <w:r>
        <w:t xml:space="preserve">.  </w:t>
      </w:r>
      <w:r w:rsidR="008F1FB2">
        <w:t>In terms of this arrangement, t</w:t>
      </w:r>
      <w:r>
        <w:t xml:space="preserve">he respondent would make authorizations, </w:t>
      </w:r>
      <w:r w:rsidR="00926680">
        <w:t xml:space="preserve">make </w:t>
      </w:r>
      <w:r>
        <w:t>disbursements and managed payroll, and even provided its main banking platform</w:t>
      </w:r>
      <w:r w:rsidR="002F4E65">
        <w:t xml:space="preserve"> software for carrying out these transactions (Mambu System).  Was the respondent dispossessed of any of </w:t>
      </w:r>
      <w:r w:rsidR="00926680">
        <w:t>the</w:t>
      </w:r>
      <w:r w:rsidR="002F4E65">
        <w:t xml:space="preserve"> incorporeal rights?  In order to answer this question, resort must be had to the Companies Act 2011 and the F</w:t>
      </w:r>
      <w:r w:rsidR="00FA31E7">
        <w:t>IA</w:t>
      </w:r>
      <w:r w:rsidR="002F4E65">
        <w:t>.</w:t>
      </w:r>
    </w:p>
    <w:p w14:paraId="177D9F31" w14:textId="77777777" w:rsidR="002F4E65" w:rsidRDefault="002F4E65" w:rsidP="0043035D">
      <w:pPr>
        <w:spacing w:after="0" w:line="360" w:lineRule="auto"/>
        <w:ind w:left="720" w:hanging="720"/>
        <w:jc w:val="both"/>
        <w:rPr>
          <w:rFonts w:ascii="Times New Roman" w:hAnsi="Times New Roman" w:cs="Times New Roman"/>
          <w:sz w:val="28"/>
          <w:szCs w:val="28"/>
          <w:lang w:val="en-ZA"/>
        </w:rPr>
      </w:pPr>
    </w:p>
    <w:p w14:paraId="7C3A85E6" w14:textId="5D48C715" w:rsidR="0043035D" w:rsidRDefault="002F4E65" w:rsidP="0043035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C73E2">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E47B7">
        <w:rPr>
          <w:rFonts w:ascii="Times New Roman" w:hAnsi="Times New Roman" w:cs="Times New Roman"/>
          <w:sz w:val="28"/>
          <w:szCs w:val="28"/>
          <w:lang w:val="en-ZA"/>
        </w:rPr>
        <w:t>In our law a person becomes a shareholder and a member of the company by means of a contract, which can either be through applying for shareholding and being allotted the shares</w:t>
      </w:r>
      <w:r w:rsidR="00FA31E7">
        <w:rPr>
          <w:rFonts w:ascii="Times New Roman" w:hAnsi="Times New Roman" w:cs="Times New Roman"/>
          <w:sz w:val="28"/>
          <w:szCs w:val="28"/>
          <w:lang w:val="en-ZA"/>
        </w:rPr>
        <w:t xml:space="preserve"> or through acquisition of </w:t>
      </w:r>
      <w:r w:rsidR="004E19C3">
        <w:rPr>
          <w:rFonts w:ascii="Times New Roman" w:hAnsi="Times New Roman" w:cs="Times New Roman"/>
          <w:sz w:val="28"/>
          <w:szCs w:val="28"/>
          <w:lang w:val="en-ZA"/>
        </w:rPr>
        <w:t>shares by transfer.</w:t>
      </w:r>
    </w:p>
    <w:p w14:paraId="00B656A9" w14:textId="6E2750B5" w:rsidR="00CE47B7" w:rsidRDefault="00CE47B7" w:rsidP="0043035D">
      <w:pPr>
        <w:spacing w:after="0" w:line="360" w:lineRule="auto"/>
        <w:ind w:left="720" w:hanging="720"/>
        <w:jc w:val="both"/>
        <w:rPr>
          <w:rFonts w:ascii="Times New Roman" w:hAnsi="Times New Roman" w:cs="Times New Roman"/>
          <w:sz w:val="28"/>
          <w:szCs w:val="28"/>
          <w:lang w:val="en-ZA"/>
        </w:rPr>
      </w:pPr>
    </w:p>
    <w:p w14:paraId="75501C40" w14:textId="016770DA" w:rsidR="00CE47B7" w:rsidRDefault="00CE47B7" w:rsidP="0043035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C73E2">
        <w:rPr>
          <w:rFonts w:ascii="Times New Roman" w:hAnsi="Times New Roman" w:cs="Times New Roman"/>
          <w:sz w:val="28"/>
          <w:szCs w:val="28"/>
          <w:lang w:val="en-ZA"/>
        </w:rPr>
        <w:t>28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terms of section 28 of the Companies Act 2011 shares in a company may be transferred by entry of the name of the transferee of the shares in the share register of the company (transferor).  In the circumstances of the case, this legal position must be read with the provisions of </w:t>
      </w:r>
      <w:r w:rsidR="00D461A4">
        <w:rPr>
          <w:rFonts w:ascii="Times New Roman" w:hAnsi="Times New Roman" w:cs="Times New Roman"/>
          <w:sz w:val="28"/>
          <w:szCs w:val="28"/>
          <w:lang w:val="en-ZA"/>
        </w:rPr>
        <w:t>section 19(2) of the F</w:t>
      </w:r>
      <w:r w:rsidR="004E19C3">
        <w:rPr>
          <w:rFonts w:ascii="Times New Roman" w:hAnsi="Times New Roman" w:cs="Times New Roman"/>
          <w:sz w:val="28"/>
          <w:szCs w:val="28"/>
          <w:lang w:val="en-ZA"/>
        </w:rPr>
        <w:t>IA,</w:t>
      </w:r>
      <w:r w:rsidR="00D461A4">
        <w:rPr>
          <w:rFonts w:ascii="Times New Roman" w:hAnsi="Times New Roman" w:cs="Times New Roman"/>
          <w:sz w:val="28"/>
          <w:szCs w:val="28"/>
          <w:lang w:val="en-ZA"/>
        </w:rPr>
        <w:t xml:space="preserve"> which provides that:</w:t>
      </w:r>
    </w:p>
    <w:p w14:paraId="49FD250F" w14:textId="0F838DD0" w:rsidR="00D461A4" w:rsidRDefault="00D461A4" w:rsidP="0043035D">
      <w:pPr>
        <w:spacing w:after="0" w:line="360" w:lineRule="auto"/>
        <w:ind w:left="720" w:hanging="720"/>
        <w:jc w:val="both"/>
        <w:rPr>
          <w:rFonts w:ascii="Times New Roman" w:hAnsi="Times New Roman" w:cs="Times New Roman"/>
          <w:sz w:val="28"/>
          <w:szCs w:val="28"/>
          <w:lang w:val="en-ZA"/>
        </w:rPr>
      </w:pPr>
    </w:p>
    <w:p w14:paraId="44E4247A" w14:textId="4D81ACCD" w:rsidR="00D461A4" w:rsidRDefault="00D461A4" w:rsidP="00D461A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Without prior approval of the Commissioner, a person may not acquire or hold either directly or indirectly, acting alone or through or </w:t>
      </w:r>
      <w:r>
        <w:rPr>
          <w:rFonts w:ascii="Times New Roman" w:hAnsi="Times New Roman" w:cs="Times New Roman"/>
          <w:i/>
          <w:iCs/>
          <w:sz w:val="24"/>
          <w:szCs w:val="24"/>
          <w:lang w:val="en-ZA"/>
        </w:rPr>
        <w:lastRenderedPageBreak/>
        <w:t>in concert with other persons, any interest in the capital share of a local financial institution which would confer upon him a voting share that reaches or exceeds ten percent of the total.”</w:t>
      </w:r>
    </w:p>
    <w:p w14:paraId="02CF2086" w14:textId="5F1F654E" w:rsidR="00EF29CD" w:rsidRDefault="00EF29CD" w:rsidP="00EF29CD">
      <w:pPr>
        <w:spacing w:after="0" w:line="360" w:lineRule="auto"/>
        <w:ind w:right="1008"/>
        <w:jc w:val="both"/>
        <w:rPr>
          <w:rFonts w:ascii="Times New Roman" w:hAnsi="Times New Roman" w:cs="Times New Roman"/>
          <w:i/>
          <w:iCs/>
          <w:sz w:val="24"/>
          <w:szCs w:val="24"/>
          <w:lang w:val="en-ZA"/>
        </w:rPr>
      </w:pPr>
    </w:p>
    <w:p w14:paraId="11B14E13" w14:textId="36EF6186" w:rsidR="0085305A" w:rsidRDefault="00EF29CD" w:rsidP="00EF29C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C73E2">
        <w:rPr>
          <w:rFonts w:ascii="Times New Roman" w:hAnsi="Times New Roman" w:cs="Times New Roman"/>
          <w:sz w:val="28"/>
          <w:szCs w:val="28"/>
          <w:lang w:val="en-ZA"/>
        </w:rPr>
        <w:t>29</w:t>
      </w:r>
      <w:r>
        <w:rPr>
          <w:rFonts w:ascii="Times New Roman" w:hAnsi="Times New Roman" w:cs="Times New Roman"/>
          <w:sz w:val="28"/>
          <w:szCs w:val="28"/>
          <w:lang w:val="en-ZA"/>
        </w:rPr>
        <w:t>]</w:t>
      </w:r>
      <w:r>
        <w:rPr>
          <w:rFonts w:ascii="Times New Roman" w:hAnsi="Times New Roman" w:cs="Times New Roman"/>
          <w:sz w:val="28"/>
          <w:szCs w:val="28"/>
          <w:lang w:val="en-ZA"/>
        </w:rPr>
        <w:tab/>
        <w:t>The parties in the present matter concluded a share purchase agreement.  The shares which the respondent bought could not be transferred (registered in the applicant’s share register) before the C</w:t>
      </w:r>
      <w:r w:rsidR="00BA1BB4">
        <w:rPr>
          <w:rFonts w:ascii="Times New Roman" w:hAnsi="Times New Roman" w:cs="Times New Roman"/>
          <w:sz w:val="28"/>
          <w:szCs w:val="28"/>
          <w:lang w:val="en-ZA"/>
        </w:rPr>
        <w:t>BL</w:t>
      </w:r>
      <w:r>
        <w:rPr>
          <w:rFonts w:ascii="Times New Roman" w:hAnsi="Times New Roman" w:cs="Times New Roman"/>
          <w:sz w:val="28"/>
          <w:szCs w:val="28"/>
          <w:lang w:val="en-ZA"/>
        </w:rPr>
        <w:t xml:space="preserve"> could approve of the sale </w:t>
      </w:r>
      <w:r w:rsidR="00BA1BB4">
        <w:rPr>
          <w:rFonts w:ascii="Times New Roman" w:hAnsi="Times New Roman" w:cs="Times New Roman"/>
          <w:sz w:val="28"/>
          <w:szCs w:val="28"/>
          <w:lang w:val="en-ZA"/>
        </w:rPr>
        <w:t xml:space="preserve">as it </w:t>
      </w:r>
      <w:r>
        <w:rPr>
          <w:rFonts w:ascii="Times New Roman" w:hAnsi="Times New Roman" w:cs="Times New Roman"/>
          <w:sz w:val="28"/>
          <w:szCs w:val="28"/>
          <w:lang w:val="en-ZA"/>
        </w:rPr>
        <w:t>fell within the</w:t>
      </w:r>
      <w:r w:rsidR="0070311E">
        <w:rPr>
          <w:rFonts w:ascii="Times New Roman" w:hAnsi="Times New Roman" w:cs="Times New Roman"/>
          <w:sz w:val="28"/>
          <w:szCs w:val="28"/>
          <w:lang w:val="en-ZA"/>
        </w:rPr>
        <w:t xml:space="preserve"> threshold provided by s. </w:t>
      </w:r>
      <w:r w:rsidR="0085305A">
        <w:rPr>
          <w:rFonts w:ascii="Times New Roman" w:hAnsi="Times New Roman" w:cs="Times New Roman"/>
          <w:sz w:val="28"/>
          <w:szCs w:val="28"/>
          <w:lang w:val="en-ZA"/>
        </w:rPr>
        <w:t>19(2).</w:t>
      </w:r>
    </w:p>
    <w:p w14:paraId="3BABB108" w14:textId="77777777" w:rsidR="0085305A" w:rsidRDefault="0085305A" w:rsidP="00EF29CD">
      <w:pPr>
        <w:spacing w:after="0" w:line="360" w:lineRule="auto"/>
        <w:ind w:left="720" w:hanging="720"/>
        <w:jc w:val="both"/>
        <w:rPr>
          <w:rFonts w:ascii="Times New Roman" w:hAnsi="Times New Roman" w:cs="Times New Roman"/>
          <w:sz w:val="28"/>
          <w:szCs w:val="28"/>
          <w:lang w:val="en-ZA"/>
        </w:rPr>
      </w:pPr>
    </w:p>
    <w:p w14:paraId="1D60056F" w14:textId="134C3264" w:rsidR="0085305A" w:rsidRDefault="0085305A" w:rsidP="00EF29C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6C73E2">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applicant contends that the </w:t>
      </w:r>
      <w:r w:rsidR="00BA1BB4">
        <w:rPr>
          <w:rFonts w:ascii="Times New Roman" w:hAnsi="Times New Roman" w:cs="Times New Roman"/>
          <w:sz w:val="28"/>
          <w:szCs w:val="28"/>
          <w:lang w:val="en-ZA"/>
        </w:rPr>
        <w:t xml:space="preserve">share </w:t>
      </w:r>
      <w:r>
        <w:rPr>
          <w:rFonts w:ascii="Times New Roman" w:hAnsi="Times New Roman" w:cs="Times New Roman"/>
          <w:sz w:val="28"/>
          <w:szCs w:val="28"/>
          <w:lang w:val="en-ZA"/>
        </w:rPr>
        <w:t xml:space="preserve">transfer </w:t>
      </w:r>
      <w:r w:rsidR="00BA1BB4">
        <w:rPr>
          <w:rFonts w:ascii="Times New Roman" w:hAnsi="Times New Roman" w:cs="Times New Roman"/>
          <w:sz w:val="28"/>
          <w:szCs w:val="28"/>
          <w:lang w:val="en-ZA"/>
        </w:rPr>
        <w:t>agreement had</w:t>
      </w:r>
      <w:r>
        <w:rPr>
          <w:rFonts w:ascii="Times New Roman" w:hAnsi="Times New Roman" w:cs="Times New Roman"/>
          <w:sz w:val="28"/>
          <w:szCs w:val="28"/>
          <w:lang w:val="en-ZA"/>
        </w:rPr>
        <w:t xml:space="preserve"> not taken place in accordance with the Companies Act 2012, renders the whole transaction unlawful. And this is stated in para. 8.1</w:t>
      </w:r>
      <w:r w:rsidR="00BA1BB4">
        <w:rPr>
          <w:rFonts w:ascii="Times New Roman" w:hAnsi="Times New Roman" w:cs="Times New Roman"/>
          <w:sz w:val="28"/>
          <w:szCs w:val="28"/>
          <w:lang w:val="en-ZA"/>
        </w:rPr>
        <w:t xml:space="preserve"> of its replying affidavit</w:t>
      </w:r>
      <w:r>
        <w:rPr>
          <w:rFonts w:ascii="Times New Roman" w:hAnsi="Times New Roman" w:cs="Times New Roman"/>
          <w:sz w:val="28"/>
          <w:szCs w:val="28"/>
          <w:lang w:val="en-ZA"/>
        </w:rPr>
        <w:t>:</w:t>
      </w:r>
    </w:p>
    <w:p w14:paraId="02494CD3" w14:textId="77777777" w:rsidR="0085305A" w:rsidRDefault="0085305A" w:rsidP="00EF29CD">
      <w:pPr>
        <w:spacing w:after="0" w:line="360" w:lineRule="auto"/>
        <w:ind w:left="720" w:hanging="720"/>
        <w:jc w:val="both"/>
        <w:rPr>
          <w:rFonts w:ascii="Times New Roman" w:hAnsi="Times New Roman" w:cs="Times New Roman"/>
          <w:sz w:val="28"/>
          <w:szCs w:val="28"/>
          <w:lang w:val="en-ZA"/>
        </w:rPr>
      </w:pPr>
    </w:p>
    <w:p w14:paraId="1920BE74" w14:textId="77777777" w:rsidR="00E42B96" w:rsidRDefault="0085305A" w:rsidP="0085305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“…Transfer of shares especially of financial institution is regulated by both the Companies act and the Financial Institutions Act.  Therefore any purported transfer of shares in a financial institution not done in accordance with the two laws is not </w:t>
      </w:r>
      <w:r w:rsidR="00B72D84">
        <w:rPr>
          <w:rFonts w:ascii="Times New Roman" w:hAnsi="Times New Roman" w:cs="Times New Roman"/>
          <w:i/>
          <w:iCs/>
          <w:sz w:val="24"/>
          <w:szCs w:val="24"/>
          <w:lang w:val="en-ZA"/>
        </w:rPr>
        <w:t xml:space="preserve">only unlawful but does not factually </w:t>
      </w:r>
      <w:r w:rsidR="00E42B96">
        <w:rPr>
          <w:rFonts w:ascii="Times New Roman" w:hAnsi="Times New Roman" w:cs="Times New Roman"/>
          <w:i/>
          <w:iCs/>
          <w:sz w:val="24"/>
          <w:szCs w:val="24"/>
          <w:lang w:val="en-ZA"/>
        </w:rPr>
        <w:t>exist.  Therefore the Applicant in reconvention was lawfully ousted from the critical functions of the Applicant…”</w:t>
      </w:r>
    </w:p>
    <w:p w14:paraId="195E5DB5" w14:textId="543D9509" w:rsidR="00E42B96" w:rsidRDefault="00E42B96" w:rsidP="00E42B96">
      <w:pPr>
        <w:spacing w:after="0" w:line="360" w:lineRule="auto"/>
        <w:ind w:right="1008"/>
        <w:jc w:val="both"/>
        <w:rPr>
          <w:rFonts w:ascii="Times New Roman" w:hAnsi="Times New Roman" w:cs="Times New Roman"/>
          <w:i/>
          <w:iCs/>
          <w:sz w:val="24"/>
          <w:szCs w:val="24"/>
          <w:lang w:val="en-ZA"/>
        </w:rPr>
      </w:pPr>
    </w:p>
    <w:p w14:paraId="598B6185" w14:textId="4686FEC8" w:rsidR="00E42B96" w:rsidRDefault="00E42B96" w:rsidP="00E42B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6C73E2">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As I understand the factual situation of the present matter, it is inaccurate to say </w:t>
      </w:r>
      <w:r w:rsidR="00BA1BB4">
        <w:rPr>
          <w:rFonts w:ascii="Times New Roman" w:hAnsi="Times New Roman" w:cs="Times New Roman"/>
          <w:sz w:val="28"/>
          <w:szCs w:val="28"/>
          <w:lang w:val="en-ZA"/>
        </w:rPr>
        <w:t xml:space="preserve">that </w:t>
      </w:r>
      <w:r>
        <w:rPr>
          <w:rFonts w:ascii="Times New Roman" w:hAnsi="Times New Roman" w:cs="Times New Roman"/>
          <w:sz w:val="28"/>
          <w:szCs w:val="28"/>
          <w:lang w:val="en-ZA"/>
        </w:rPr>
        <w:t>the shares were transferred to the respondent.  The transfer was awaiting the approval by the CBL. Without the shares being transferred to the respondent, what right did the latter have in the said shares?  The position regarding unregistered shares has been stated as follows:</w:t>
      </w:r>
    </w:p>
    <w:p w14:paraId="79D802E5" w14:textId="6EF4161B" w:rsidR="00E42B96" w:rsidRDefault="00E42B96" w:rsidP="00E42B96">
      <w:pPr>
        <w:spacing w:after="0" w:line="360" w:lineRule="auto"/>
        <w:ind w:left="720" w:hanging="720"/>
        <w:jc w:val="both"/>
        <w:rPr>
          <w:rFonts w:ascii="Times New Roman" w:hAnsi="Times New Roman" w:cs="Times New Roman"/>
          <w:sz w:val="28"/>
          <w:szCs w:val="28"/>
          <w:lang w:val="en-ZA"/>
        </w:rPr>
      </w:pPr>
    </w:p>
    <w:p w14:paraId="25010105" w14:textId="4203FEC4" w:rsidR="00E42B96" w:rsidRDefault="00FE32FB" w:rsidP="00FE32FB">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 xml:space="preserve">“the transferor holds the shares and the rights deriving from the shares for the exclusive benefit of the transferee.  The transferor will have to act in accordance with the instructions of the transferee as the beneficial </w:t>
      </w:r>
      <w:r>
        <w:rPr>
          <w:rFonts w:ascii="Times New Roman" w:hAnsi="Times New Roman" w:cs="Times New Roman"/>
          <w:i/>
          <w:iCs/>
          <w:sz w:val="24"/>
          <w:szCs w:val="24"/>
          <w:lang w:val="en-ZA"/>
        </w:rPr>
        <w:lastRenderedPageBreak/>
        <w:t xml:space="preserve">holder and owner of the shares” </w:t>
      </w:r>
      <w:r>
        <w:rPr>
          <w:rFonts w:ascii="Times New Roman" w:hAnsi="Times New Roman" w:cs="Times New Roman"/>
          <w:b/>
          <w:bCs/>
          <w:sz w:val="24"/>
          <w:szCs w:val="24"/>
          <w:lang w:val="en-ZA"/>
        </w:rPr>
        <w:t>(Cilliers &amp; Benade 3 ed. Corporate Law para. 18</w:t>
      </w:r>
      <w:r w:rsidR="001630FA">
        <w:rPr>
          <w:rFonts w:ascii="Times New Roman" w:hAnsi="Times New Roman" w:cs="Times New Roman"/>
          <w:b/>
          <w:bCs/>
          <w:sz w:val="24"/>
          <w:szCs w:val="24"/>
          <w:lang w:val="en-ZA"/>
        </w:rPr>
        <w:t>.16)</w:t>
      </w:r>
    </w:p>
    <w:p w14:paraId="0C81BAB2" w14:textId="67E3E3D4" w:rsidR="001630FA" w:rsidRDefault="001630FA" w:rsidP="001630FA">
      <w:pPr>
        <w:spacing w:after="0" w:line="360" w:lineRule="auto"/>
        <w:ind w:right="1008"/>
        <w:jc w:val="both"/>
        <w:rPr>
          <w:rFonts w:ascii="Times New Roman" w:hAnsi="Times New Roman" w:cs="Times New Roman"/>
          <w:b/>
          <w:bCs/>
          <w:sz w:val="24"/>
          <w:szCs w:val="24"/>
          <w:lang w:val="en-ZA"/>
        </w:rPr>
      </w:pPr>
    </w:p>
    <w:p w14:paraId="1CC5F642" w14:textId="62B376E8" w:rsidR="00AA2BCA" w:rsidRDefault="00AA2BCA" w:rsidP="00AA2BC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6C73E2">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sidR="001630FA">
        <w:rPr>
          <w:rFonts w:ascii="Times New Roman" w:hAnsi="Times New Roman" w:cs="Times New Roman"/>
          <w:sz w:val="28"/>
          <w:szCs w:val="28"/>
          <w:lang w:val="en-ZA"/>
        </w:rPr>
        <w:t>In the circumstances, therefore</w:t>
      </w:r>
      <w:r w:rsidR="00BA1BB4">
        <w:rPr>
          <w:rFonts w:ascii="Times New Roman" w:hAnsi="Times New Roman" w:cs="Times New Roman"/>
          <w:sz w:val="28"/>
          <w:szCs w:val="28"/>
          <w:lang w:val="en-ZA"/>
        </w:rPr>
        <w:t>,</w:t>
      </w:r>
      <w:r w:rsidR="001630FA">
        <w:rPr>
          <w:rFonts w:ascii="Times New Roman" w:hAnsi="Times New Roman" w:cs="Times New Roman"/>
          <w:sz w:val="28"/>
          <w:szCs w:val="28"/>
          <w:lang w:val="en-ZA"/>
        </w:rPr>
        <w:t xml:space="preserve"> it can hardly be surprising that the respondent exercised the amount of influence and control over the affairs of the applicant.  When the transferor (Ms Lishea and Nthako) granted the respondent the far-reaching powers in the applicant, </w:t>
      </w:r>
      <w:r>
        <w:rPr>
          <w:rFonts w:ascii="Times New Roman" w:hAnsi="Times New Roman" w:cs="Times New Roman"/>
          <w:sz w:val="28"/>
          <w:szCs w:val="28"/>
          <w:lang w:val="en-ZA"/>
        </w:rPr>
        <w:t>it was in recognition of the share purchase agreement.  In my considered view, therefore, when the applicant ousted the respondent from controlling the applicant, it committed an act of spoliation which warranted this court’s intervention to reverse this act of self-help.</w:t>
      </w:r>
    </w:p>
    <w:p w14:paraId="16FAD07F" w14:textId="2F1D659D" w:rsidR="00AA2BCA" w:rsidRDefault="00AA2BCA" w:rsidP="00AA2BCA">
      <w:pPr>
        <w:spacing w:after="0" w:line="360" w:lineRule="auto"/>
        <w:ind w:left="720" w:hanging="720"/>
        <w:jc w:val="both"/>
        <w:rPr>
          <w:rFonts w:ascii="Times New Roman" w:hAnsi="Times New Roman" w:cs="Times New Roman"/>
          <w:sz w:val="28"/>
          <w:szCs w:val="28"/>
          <w:lang w:val="en-ZA"/>
        </w:rPr>
      </w:pPr>
    </w:p>
    <w:p w14:paraId="15D00AD5" w14:textId="178C1842" w:rsidR="00AA2BCA" w:rsidRDefault="00AA2BCA" w:rsidP="00AA2BCA">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sidR="006C73E2">
        <w:rPr>
          <w:rFonts w:ascii="Times New Roman" w:hAnsi="Times New Roman" w:cs="Times New Roman"/>
          <w:sz w:val="28"/>
          <w:szCs w:val="28"/>
          <w:lang w:val="en-ZA"/>
        </w:rPr>
        <w:t>3</w:t>
      </w:r>
      <w:r>
        <w:rPr>
          <w:rFonts w:ascii="Times New Roman" w:hAnsi="Times New Roman" w:cs="Times New Roman"/>
          <w:sz w:val="28"/>
          <w:szCs w:val="28"/>
          <w:lang w:val="en-ZA"/>
        </w:rPr>
        <w:t xml:space="preserve">] </w:t>
      </w:r>
      <w:r>
        <w:rPr>
          <w:rFonts w:ascii="Times New Roman" w:hAnsi="Times New Roman" w:cs="Times New Roman"/>
          <w:sz w:val="28"/>
          <w:szCs w:val="28"/>
          <w:lang w:val="en-ZA"/>
        </w:rPr>
        <w:tab/>
      </w:r>
      <w:r w:rsidR="004404A4">
        <w:rPr>
          <w:rFonts w:ascii="Times New Roman" w:hAnsi="Times New Roman" w:cs="Times New Roman"/>
          <w:b/>
          <w:bCs/>
          <w:sz w:val="28"/>
          <w:szCs w:val="28"/>
          <w:lang w:val="en-ZA"/>
        </w:rPr>
        <w:t>Costs</w:t>
      </w:r>
    </w:p>
    <w:p w14:paraId="6B73AF88" w14:textId="43DE2E1B" w:rsidR="004404A4" w:rsidRDefault="004404A4" w:rsidP="00AA2BC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 lodged the present matter on an urgent basis within highly compressed periods.  Within those ti</w:t>
      </w:r>
      <w:r w:rsidR="00185C1D">
        <w:rPr>
          <w:rFonts w:ascii="Times New Roman" w:hAnsi="Times New Roman" w:cs="Times New Roman"/>
          <w:sz w:val="28"/>
          <w:szCs w:val="28"/>
          <w:lang w:val="en-ZA"/>
        </w:rPr>
        <w:t>ght</w:t>
      </w:r>
      <w:r>
        <w:rPr>
          <w:rFonts w:ascii="Times New Roman" w:hAnsi="Times New Roman" w:cs="Times New Roman"/>
          <w:sz w:val="28"/>
          <w:szCs w:val="28"/>
          <w:lang w:val="en-ZA"/>
        </w:rPr>
        <w:t xml:space="preserve"> time frames set by the applicant’s counsel</w:t>
      </w:r>
      <w:r w:rsidR="00185C1D">
        <w:rPr>
          <w:rFonts w:ascii="Times New Roman" w:hAnsi="Times New Roman" w:cs="Times New Roman"/>
          <w:sz w:val="28"/>
          <w:szCs w:val="28"/>
          <w:lang w:val="en-ZA"/>
        </w:rPr>
        <w:t>, the</w:t>
      </w:r>
      <w:r>
        <w:rPr>
          <w:rFonts w:ascii="Times New Roman" w:hAnsi="Times New Roman" w:cs="Times New Roman"/>
          <w:sz w:val="28"/>
          <w:szCs w:val="28"/>
          <w:lang w:val="en-ZA"/>
        </w:rPr>
        <w:t xml:space="preserve"> </w:t>
      </w:r>
      <w:r w:rsidR="00185C1D">
        <w:rPr>
          <w:rFonts w:ascii="Times New Roman" w:hAnsi="Times New Roman" w:cs="Times New Roman"/>
          <w:sz w:val="28"/>
          <w:szCs w:val="28"/>
          <w:lang w:val="en-ZA"/>
        </w:rPr>
        <w:t xml:space="preserve">respondent </w:t>
      </w:r>
      <w:r>
        <w:rPr>
          <w:rFonts w:ascii="Times New Roman" w:hAnsi="Times New Roman" w:cs="Times New Roman"/>
          <w:sz w:val="28"/>
          <w:szCs w:val="28"/>
          <w:lang w:val="en-ZA"/>
        </w:rPr>
        <w:t>managed to file the answering affidavit as well as the head of argument.  On the 04 July 2022 when both counsel appeared before court</w:t>
      </w:r>
      <w:r w:rsidR="00185C1D">
        <w:rPr>
          <w:rFonts w:ascii="Times New Roman" w:hAnsi="Times New Roman" w:cs="Times New Roman"/>
          <w:sz w:val="28"/>
          <w:szCs w:val="28"/>
          <w:lang w:val="en-ZA"/>
        </w:rPr>
        <w:t>,</w:t>
      </w:r>
      <w:r>
        <w:rPr>
          <w:rFonts w:ascii="Times New Roman" w:hAnsi="Times New Roman" w:cs="Times New Roman"/>
          <w:sz w:val="28"/>
          <w:szCs w:val="28"/>
          <w:lang w:val="en-ZA"/>
        </w:rPr>
        <w:t xml:space="preserve"> Adv. Tšenase had not yet filed the applicant’s heads of argument, and was directed by this court that they should be filed by 13:00 hours that day, and postponed the matter for hearing on the 06 July 2022.  Mr Tš</w:t>
      </w:r>
      <w:r w:rsidR="004A5D3D">
        <w:rPr>
          <w:rFonts w:ascii="Times New Roman" w:hAnsi="Times New Roman" w:cs="Times New Roman"/>
          <w:sz w:val="28"/>
          <w:szCs w:val="28"/>
          <w:lang w:val="en-ZA"/>
        </w:rPr>
        <w:t>enase did not file the heads as directed by the Court, instead they were filed on the hearing date, 06 July 2022 accompanied by a medical prescription by Mago Clinic together with Mr Tšenase’s explanation that he did not file the heads of argument because he fell ill.  But even if I were to accept that he got ill on the 04 July 2022, there was no explanation why he could not file same on the 05 July 2022.  In view of this unsatisfactory state of affairs</w:t>
      </w:r>
      <w:r w:rsidR="00185C1D">
        <w:rPr>
          <w:rFonts w:ascii="Times New Roman" w:hAnsi="Times New Roman" w:cs="Times New Roman"/>
          <w:sz w:val="28"/>
          <w:szCs w:val="28"/>
          <w:lang w:val="en-ZA"/>
        </w:rPr>
        <w:t>,</w:t>
      </w:r>
      <w:r w:rsidR="004A5D3D">
        <w:rPr>
          <w:rFonts w:ascii="Times New Roman" w:hAnsi="Times New Roman" w:cs="Times New Roman"/>
          <w:sz w:val="28"/>
          <w:szCs w:val="28"/>
          <w:lang w:val="en-ZA"/>
        </w:rPr>
        <w:t xml:space="preserve"> I requested Mr Tšenase to file an affidavit explaining why he should not be made to pay costs </w:t>
      </w:r>
      <w:r w:rsidR="004A5D3D">
        <w:rPr>
          <w:rFonts w:ascii="Times New Roman" w:hAnsi="Times New Roman" w:cs="Times New Roman"/>
          <w:i/>
          <w:iCs/>
          <w:sz w:val="28"/>
          <w:szCs w:val="28"/>
          <w:lang w:val="en-ZA"/>
        </w:rPr>
        <w:t>de bonis propriis</w:t>
      </w:r>
      <w:r w:rsidR="004A5D3D">
        <w:rPr>
          <w:rFonts w:ascii="Times New Roman" w:hAnsi="Times New Roman" w:cs="Times New Roman"/>
          <w:sz w:val="28"/>
          <w:szCs w:val="28"/>
          <w:lang w:val="en-ZA"/>
        </w:rPr>
        <w:t xml:space="preserve"> as a mark of this court’s displeasure at his conduct.  </w:t>
      </w:r>
      <w:r w:rsidR="00185C1D">
        <w:rPr>
          <w:rFonts w:ascii="Times New Roman" w:hAnsi="Times New Roman" w:cs="Times New Roman"/>
          <w:sz w:val="28"/>
          <w:szCs w:val="28"/>
          <w:lang w:val="en-ZA"/>
        </w:rPr>
        <w:t>S</w:t>
      </w:r>
      <w:r w:rsidR="004A5D3D">
        <w:rPr>
          <w:rFonts w:ascii="Times New Roman" w:hAnsi="Times New Roman" w:cs="Times New Roman"/>
          <w:sz w:val="28"/>
          <w:szCs w:val="28"/>
          <w:lang w:val="en-ZA"/>
        </w:rPr>
        <w:t xml:space="preserve">till, he </w:t>
      </w:r>
      <w:r w:rsidR="004A5D3D">
        <w:rPr>
          <w:rFonts w:ascii="Times New Roman" w:hAnsi="Times New Roman" w:cs="Times New Roman"/>
          <w:sz w:val="28"/>
          <w:szCs w:val="28"/>
          <w:lang w:val="en-ZA"/>
        </w:rPr>
        <w:lastRenderedPageBreak/>
        <w:t>did not file the said affidavit despite being given an opportunity</w:t>
      </w:r>
      <w:r w:rsidR="0007230E">
        <w:rPr>
          <w:rFonts w:ascii="Times New Roman" w:hAnsi="Times New Roman" w:cs="Times New Roman"/>
          <w:sz w:val="28"/>
          <w:szCs w:val="28"/>
          <w:lang w:val="en-ZA"/>
        </w:rPr>
        <w:t xml:space="preserve"> to do.  So, the costs order which will follow, will be representative of this court’s censure of this behaviour and the abuse of urgency procedure.</w:t>
      </w:r>
    </w:p>
    <w:p w14:paraId="6FCEDC6B" w14:textId="6DEAEA82" w:rsidR="0007230E" w:rsidRDefault="0007230E" w:rsidP="00AA2BCA">
      <w:pPr>
        <w:spacing w:after="0" w:line="360" w:lineRule="auto"/>
        <w:ind w:left="720" w:hanging="720"/>
        <w:jc w:val="both"/>
        <w:rPr>
          <w:rFonts w:ascii="Times New Roman" w:hAnsi="Times New Roman" w:cs="Times New Roman"/>
          <w:sz w:val="28"/>
          <w:szCs w:val="28"/>
          <w:lang w:val="en-ZA"/>
        </w:rPr>
      </w:pPr>
    </w:p>
    <w:p w14:paraId="68335DF5" w14:textId="228D431F" w:rsidR="0007230E" w:rsidRDefault="0007230E" w:rsidP="00AA2BC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6C73E2">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orders are made:</w:t>
      </w:r>
    </w:p>
    <w:p w14:paraId="585075A8" w14:textId="21BE89D2" w:rsidR="0007230E" w:rsidRDefault="0007230E" w:rsidP="00AA2BCA">
      <w:pPr>
        <w:spacing w:after="0" w:line="360" w:lineRule="auto"/>
        <w:ind w:left="720" w:hanging="720"/>
        <w:jc w:val="both"/>
        <w:rPr>
          <w:rFonts w:ascii="Times New Roman" w:hAnsi="Times New Roman" w:cs="Times New Roman"/>
          <w:sz w:val="28"/>
          <w:szCs w:val="28"/>
          <w:lang w:val="en-ZA"/>
        </w:rPr>
      </w:pPr>
    </w:p>
    <w:p w14:paraId="007924C8" w14:textId="65F01AE5" w:rsidR="0007230E" w:rsidRDefault="0007230E" w:rsidP="0007230E">
      <w:pPr>
        <w:pStyle w:val="ListParagraph"/>
        <w:numPr>
          <w:ilvl w:val="0"/>
          <w:numId w:val="8"/>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main application is dismissed with costs on attorney and client scale</w:t>
      </w:r>
      <w:r w:rsidR="003D578F">
        <w:rPr>
          <w:rFonts w:ascii="Times New Roman" w:hAnsi="Times New Roman" w:cs="Times New Roman"/>
          <w:sz w:val="28"/>
          <w:szCs w:val="28"/>
          <w:lang w:val="en-ZA"/>
        </w:rPr>
        <w:t xml:space="preserve"> which costs shall include costs consequent upon employment of senior counsel</w:t>
      </w:r>
      <w:r w:rsidR="001B16A8">
        <w:rPr>
          <w:rFonts w:ascii="Times New Roman" w:hAnsi="Times New Roman" w:cs="Times New Roman"/>
          <w:sz w:val="28"/>
          <w:szCs w:val="28"/>
          <w:lang w:val="en-ZA"/>
        </w:rPr>
        <w:t xml:space="preserve">, while </w:t>
      </w:r>
      <w:r w:rsidR="003D578F" w:rsidRPr="003D578F">
        <w:rPr>
          <w:rFonts w:ascii="Times New Roman" w:hAnsi="Times New Roman" w:cs="Times New Roman"/>
          <w:sz w:val="28"/>
          <w:szCs w:val="28"/>
          <w:lang w:val="en-ZA"/>
        </w:rPr>
        <w:t xml:space="preserve">Adv. Tšenase </w:t>
      </w:r>
      <w:r w:rsidR="001B16A8">
        <w:rPr>
          <w:rFonts w:ascii="Times New Roman" w:hAnsi="Times New Roman" w:cs="Times New Roman"/>
          <w:sz w:val="28"/>
          <w:szCs w:val="28"/>
          <w:lang w:val="en-ZA"/>
        </w:rPr>
        <w:t xml:space="preserve">should </w:t>
      </w:r>
      <w:r w:rsidR="003D578F" w:rsidRPr="003D578F">
        <w:rPr>
          <w:rFonts w:ascii="Times New Roman" w:hAnsi="Times New Roman" w:cs="Times New Roman"/>
          <w:sz w:val="28"/>
          <w:szCs w:val="28"/>
          <w:lang w:val="en-ZA"/>
        </w:rPr>
        <w:t xml:space="preserve">pay 15% of the costs personally – </w:t>
      </w:r>
      <w:r w:rsidR="003D578F" w:rsidRPr="003D578F">
        <w:rPr>
          <w:rFonts w:ascii="Times New Roman" w:hAnsi="Times New Roman" w:cs="Times New Roman"/>
          <w:i/>
          <w:iCs/>
          <w:sz w:val="28"/>
          <w:szCs w:val="28"/>
          <w:lang w:val="en-ZA"/>
        </w:rPr>
        <w:t xml:space="preserve">de bonis proprii </w:t>
      </w:r>
      <w:r w:rsidR="003D578F">
        <w:rPr>
          <w:rFonts w:ascii="Times New Roman" w:hAnsi="Times New Roman" w:cs="Times New Roman"/>
          <w:sz w:val="28"/>
          <w:szCs w:val="28"/>
          <w:lang w:val="en-ZA"/>
        </w:rPr>
        <w:t>on the same scale</w:t>
      </w:r>
      <w:r w:rsidR="003D578F" w:rsidRPr="003D578F">
        <w:rPr>
          <w:rFonts w:ascii="Times New Roman" w:hAnsi="Times New Roman" w:cs="Times New Roman"/>
          <w:sz w:val="28"/>
          <w:szCs w:val="28"/>
          <w:lang w:val="en-ZA"/>
        </w:rPr>
        <w:t>.</w:t>
      </w:r>
    </w:p>
    <w:p w14:paraId="4744C138" w14:textId="77777777" w:rsidR="001B16A8" w:rsidRPr="001B16A8" w:rsidRDefault="001B16A8" w:rsidP="001B16A8">
      <w:pPr>
        <w:pStyle w:val="ListParagraph"/>
        <w:spacing w:after="0" w:line="360" w:lineRule="auto"/>
        <w:ind w:left="1440"/>
        <w:jc w:val="both"/>
        <w:rPr>
          <w:rFonts w:ascii="Times New Roman" w:hAnsi="Times New Roman" w:cs="Times New Roman"/>
          <w:sz w:val="28"/>
          <w:szCs w:val="28"/>
          <w:lang w:val="en-ZA"/>
        </w:rPr>
      </w:pPr>
    </w:p>
    <w:p w14:paraId="33DB4223" w14:textId="56AA728E" w:rsidR="003B5119" w:rsidRDefault="0007230E" w:rsidP="003D578F">
      <w:pPr>
        <w:pStyle w:val="ListParagraph"/>
        <w:numPr>
          <w:ilvl w:val="0"/>
          <w:numId w:val="8"/>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Counter</w:t>
      </w:r>
      <w:r w:rsidR="000C4710">
        <w:rPr>
          <w:rFonts w:ascii="Times New Roman" w:hAnsi="Times New Roman" w:cs="Times New Roman"/>
          <w:sz w:val="28"/>
          <w:szCs w:val="28"/>
          <w:lang w:val="en-ZA"/>
        </w:rPr>
        <w:t xml:space="preserve"> </w:t>
      </w:r>
      <w:r>
        <w:rPr>
          <w:rFonts w:ascii="Times New Roman" w:hAnsi="Times New Roman" w:cs="Times New Roman"/>
          <w:sz w:val="28"/>
          <w:szCs w:val="28"/>
          <w:lang w:val="en-ZA"/>
        </w:rPr>
        <w:t>Application is granted as prayed with costs.</w:t>
      </w:r>
      <w:r w:rsidR="003D578F">
        <w:rPr>
          <w:rFonts w:ascii="Times New Roman" w:hAnsi="Times New Roman" w:cs="Times New Roman"/>
          <w:sz w:val="28"/>
          <w:szCs w:val="28"/>
          <w:lang w:val="en-ZA"/>
        </w:rPr>
        <w:t xml:space="preserve"> </w:t>
      </w:r>
    </w:p>
    <w:p w14:paraId="51E29B82" w14:textId="686BAEDE" w:rsidR="003B5119" w:rsidRDefault="003B5119" w:rsidP="003B5119">
      <w:pPr>
        <w:spacing w:after="0" w:line="240" w:lineRule="auto"/>
        <w:jc w:val="both"/>
        <w:rPr>
          <w:rFonts w:ascii="Times New Roman" w:hAnsi="Times New Roman" w:cs="Times New Roman"/>
          <w:sz w:val="28"/>
          <w:szCs w:val="28"/>
          <w:lang w:val="en-ZA"/>
        </w:rPr>
      </w:pPr>
    </w:p>
    <w:p w14:paraId="67790208" w14:textId="284FD7E8" w:rsidR="003B5119" w:rsidRDefault="003B5119" w:rsidP="003B5119">
      <w:pPr>
        <w:spacing w:after="0" w:line="240" w:lineRule="auto"/>
        <w:jc w:val="both"/>
        <w:rPr>
          <w:rFonts w:ascii="Times New Roman" w:hAnsi="Times New Roman" w:cs="Times New Roman"/>
          <w:sz w:val="28"/>
          <w:szCs w:val="28"/>
          <w:lang w:val="en-ZA"/>
        </w:rPr>
      </w:pPr>
    </w:p>
    <w:p w14:paraId="22AD9F23" w14:textId="77777777" w:rsidR="003B5119" w:rsidRDefault="003B5119" w:rsidP="003B5119">
      <w:pPr>
        <w:spacing w:after="0" w:line="240" w:lineRule="auto"/>
        <w:jc w:val="both"/>
        <w:rPr>
          <w:rFonts w:ascii="Times New Roman" w:hAnsi="Times New Roman" w:cs="Times New Roman"/>
          <w:sz w:val="28"/>
          <w:szCs w:val="28"/>
          <w:lang w:val="en-ZA"/>
        </w:rPr>
      </w:pPr>
    </w:p>
    <w:p w14:paraId="29B213C4" w14:textId="4F7F22DE" w:rsidR="003B5119" w:rsidRDefault="003B5119" w:rsidP="003B5119">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w:t>
      </w:r>
    </w:p>
    <w:p w14:paraId="1D771168" w14:textId="639BA1CB" w:rsidR="003B5119" w:rsidRDefault="003B5119" w:rsidP="003B5119">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649AD2B1" w14:textId="2291CA5C" w:rsidR="003B5119" w:rsidRDefault="003B5119" w:rsidP="003B5119">
      <w:pPr>
        <w:spacing w:after="0" w:line="240" w:lineRule="auto"/>
        <w:jc w:val="center"/>
        <w:rPr>
          <w:rFonts w:ascii="Times New Roman" w:hAnsi="Times New Roman" w:cs="Times New Roman"/>
          <w:b/>
          <w:bCs/>
          <w:sz w:val="28"/>
          <w:szCs w:val="28"/>
          <w:lang w:val="en-ZA"/>
        </w:rPr>
      </w:pPr>
    </w:p>
    <w:p w14:paraId="4E0D0124" w14:textId="758AF873" w:rsidR="003B5119" w:rsidRDefault="003B5119" w:rsidP="003B5119">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Adv. Tšenase instructed by K.M Thabane &amp; Co. Attorneys</w:t>
      </w:r>
    </w:p>
    <w:p w14:paraId="6F6A4E35" w14:textId="5C473FF6" w:rsidR="003B5119" w:rsidRDefault="003B5119" w:rsidP="003B5119">
      <w:pPr>
        <w:spacing w:after="0" w:line="240" w:lineRule="auto"/>
        <w:ind w:left="2880" w:hanging="2880"/>
        <w:jc w:val="both"/>
        <w:rPr>
          <w:rFonts w:ascii="Times New Roman" w:hAnsi="Times New Roman" w:cs="Times New Roman"/>
          <w:b/>
          <w:bCs/>
          <w:sz w:val="28"/>
          <w:szCs w:val="28"/>
          <w:lang w:val="en-ZA"/>
        </w:rPr>
      </w:pPr>
    </w:p>
    <w:p w14:paraId="346DB22F" w14:textId="49DCB0CB" w:rsidR="003B5119" w:rsidRPr="003B5119" w:rsidRDefault="003B5119" w:rsidP="003B5119">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Respondent:</w:t>
      </w:r>
      <w:r>
        <w:rPr>
          <w:rFonts w:ascii="Times New Roman" w:hAnsi="Times New Roman" w:cs="Times New Roman"/>
          <w:b/>
          <w:bCs/>
          <w:sz w:val="28"/>
          <w:szCs w:val="28"/>
          <w:lang w:val="en-ZA"/>
        </w:rPr>
        <w:tab/>
        <w:t>Adv. Jaco Roux</w:t>
      </w:r>
      <w:r w:rsidR="00971E74">
        <w:rPr>
          <w:rFonts w:ascii="Times New Roman" w:hAnsi="Times New Roman" w:cs="Times New Roman"/>
          <w:b/>
          <w:bCs/>
          <w:sz w:val="28"/>
          <w:szCs w:val="28"/>
          <w:lang w:val="en-ZA"/>
        </w:rPr>
        <w:t xml:space="preserve"> SC</w:t>
      </w:r>
      <w:r>
        <w:rPr>
          <w:rFonts w:ascii="Times New Roman" w:hAnsi="Times New Roman" w:cs="Times New Roman"/>
          <w:b/>
          <w:bCs/>
          <w:sz w:val="28"/>
          <w:szCs w:val="28"/>
          <w:lang w:val="en-ZA"/>
        </w:rPr>
        <w:t xml:space="preserve"> instructed by Webber Newdigate Attorneys </w:t>
      </w:r>
    </w:p>
    <w:p w14:paraId="3F3A5010" w14:textId="77777777" w:rsidR="00304046" w:rsidRPr="00304046" w:rsidRDefault="00304046" w:rsidP="00304046">
      <w:pPr>
        <w:pStyle w:val="ListParagraph"/>
        <w:rPr>
          <w:rFonts w:ascii="Times New Roman" w:hAnsi="Times New Roman" w:cs="Times New Roman"/>
          <w:sz w:val="28"/>
          <w:szCs w:val="28"/>
          <w:lang w:val="en-ZA"/>
        </w:rPr>
      </w:pPr>
    </w:p>
    <w:p w14:paraId="47E0C757" w14:textId="33C2A7C2" w:rsidR="00304046" w:rsidRDefault="00304046" w:rsidP="00304046">
      <w:pPr>
        <w:pStyle w:val="ListParagraph"/>
        <w:spacing w:after="0" w:line="360" w:lineRule="auto"/>
        <w:ind w:left="1440"/>
        <w:jc w:val="both"/>
        <w:rPr>
          <w:rFonts w:ascii="Times New Roman" w:hAnsi="Times New Roman" w:cs="Times New Roman"/>
          <w:sz w:val="28"/>
          <w:szCs w:val="28"/>
          <w:lang w:val="en-ZA"/>
        </w:rPr>
      </w:pPr>
    </w:p>
    <w:sectPr w:rsidR="00304046" w:rsidSect="002A6BC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7FC0" w14:textId="77777777" w:rsidR="002A6BC0" w:rsidRDefault="002A6BC0" w:rsidP="002A6BC0">
      <w:pPr>
        <w:spacing w:after="0" w:line="240" w:lineRule="auto"/>
      </w:pPr>
      <w:r>
        <w:separator/>
      </w:r>
    </w:p>
  </w:endnote>
  <w:endnote w:type="continuationSeparator" w:id="0">
    <w:p w14:paraId="6B35D0F4" w14:textId="77777777" w:rsidR="002A6BC0" w:rsidRDefault="002A6BC0" w:rsidP="002A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934955"/>
      <w:docPartObj>
        <w:docPartGallery w:val="Page Numbers (Bottom of Page)"/>
        <w:docPartUnique/>
      </w:docPartObj>
    </w:sdtPr>
    <w:sdtEndPr>
      <w:rPr>
        <w:noProof/>
      </w:rPr>
    </w:sdtEndPr>
    <w:sdtContent>
      <w:p w14:paraId="30BC4C80" w14:textId="315980DE" w:rsidR="002A6BC0" w:rsidRDefault="002A6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699771" w14:textId="77777777" w:rsidR="002A6BC0" w:rsidRDefault="002A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2772" w14:textId="77777777" w:rsidR="002A6BC0" w:rsidRDefault="002A6BC0" w:rsidP="002A6BC0">
      <w:pPr>
        <w:spacing w:after="0" w:line="240" w:lineRule="auto"/>
      </w:pPr>
      <w:r>
        <w:separator/>
      </w:r>
    </w:p>
  </w:footnote>
  <w:footnote w:type="continuationSeparator" w:id="0">
    <w:p w14:paraId="7C16BB41" w14:textId="77777777" w:rsidR="002A6BC0" w:rsidRDefault="002A6BC0" w:rsidP="002A6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56E"/>
    <w:multiLevelType w:val="hybridMultilevel"/>
    <w:tmpl w:val="3E769256"/>
    <w:lvl w:ilvl="0" w:tplc="965A6934">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794561"/>
    <w:multiLevelType w:val="hybridMultilevel"/>
    <w:tmpl w:val="8206B0BA"/>
    <w:lvl w:ilvl="0" w:tplc="A260E5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BA62C6"/>
    <w:multiLevelType w:val="hybridMultilevel"/>
    <w:tmpl w:val="D682C0DC"/>
    <w:lvl w:ilvl="0" w:tplc="00262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64273"/>
    <w:multiLevelType w:val="hybridMultilevel"/>
    <w:tmpl w:val="D682C0DC"/>
    <w:lvl w:ilvl="0" w:tplc="00262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3078F"/>
    <w:multiLevelType w:val="hybridMultilevel"/>
    <w:tmpl w:val="C632E7D6"/>
    <w:lvl w:ilvl="0" w:tplc="67CA0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324390"/>
    <w:multiLevelType w:val="hybridMultilevel"/>
    <w:tmpl w:val="C518D3D2"/>
    <w:lvl w:ilvl="0" w:tplc="B56E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8718FF"/>
    <w:multiLevelType w:val="hybridMultilevel"/>
    <w:tmpl w:val="96860236"/>
    <w:lvl w:ilvl="0" w:tplc="9236AE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3779B0"/>
    <w:multiLevelType w:val="hybridMultilevel"/>
    <w:tmpl w:val="4CC48558"/>
    <w:lvl w:ilvl="0" w:tplc="EB084416">
      <w:start w:val="1"/>
      <w:numFmt w:val="lowerRoman"/>
      <w:lvlText w:val="(%1)"/>
      <w:lvlJc w:val="left"/>
      <w:pPr>
        <w:ind w:left="1440" w:hanging="72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B9"/>
    <w:rsid w:val="00000846"/>
    <w:rsid w:val="000066CC"/>
    <w:rsid w:val="00007326"/>
    <w:rsid w:val="000129CE"/>
    <w:rsid w:val="000131EF"/>
    <w:rsid w:val="0001601F"/>
    <w:rsid w:val="0002072E"/>
    <w:rsid w:val="00026BCA"/>
    <w:rsid w:val="00034313"/>
    <w:rsid w:val="000343A6"/>
    <w:rsid w:val="0003624C"/>
    <w:rsid w:val="000426E4"/>
    <w:rsid w:val="00042F0C"/>
    <w:rsid w:val="000453CF"/>
    <w:rsid w:val="0005044B"/>
    <w:rsid w:val="00051CD5"/>
    <w:rsid w:val="00064C25"/>
    <w:rsid w:val="00065C3E"/>
    <w:rsid w:val="00065FB2"/>
    <w:rsid w:val="0007230E"/>
    <w:rsid w:val="00076061"/>
    <w:rsid w:val="0008239B"/>
    <w:rsid w:val="000913DC"/>
    <w:rsid w:val="00091E1F"/>
    <w:rsid w:val="00092104"/>
    <w:rsid w:val="0009531B"/>
    <w:rsid w:val="000971FD"/>
    <w:rsid w:val="000A1389"/>
    <w:rsid w:val="000A4D4C"/>
    <w:rsid w:val="000B23E9"/>
    <w:rsid w:val="000B2961"/>
    <w:rsid w:val="000B36B6"/>
    <w:rsid w:val="000B6000"/>
    <w:rsid w:val="000C4710"/>
    <w:rsid w:val="000C7209"/>
    <w:rsid w:val="000D72FB"/>
    <w:rsid w:val="000E0AA0"/>
    <w:rsid w:val="000E2089"/>
    <w:rsid w:val="000F378F"/>
    <w:rsid w:val="0010167A"/>
    <w:rsid w:val="00104329"/>
    <w:rsid w:val="0011332E"/>
    <w:rsid w:val="001278A1"/>
    <w:rsid w:val="00135917"/>
    <w:rsid w:val="0014190E"/>
    <w:rsid w:val="00154E7E"/>
    <w:rsid w:val="0015514D"/>
    <w:rsid w:val="0016152D"/>
    <w:rsid w:val="001630FA"/>
    <w:rsid w:val="00164E88"/>
    <w:rsid w:val="00170876"/>
    <w:rsid w:val="0018029E"/>
    <w:rsid w:val="00185C1D"/>
    <w:rsid w:val="00195E59"/>
    <w:rsid w:val="001B16A8"/>
    <w:rsid w:val="001C21C2"/>
    <w:rsid w:val="001C68DA"/>
    <w:rsid w:val="001D1E69"/>
    <w:rsid w:val="001D3CBD"/>
    <w:rsid w:val="001D3E94"/>
    <w:rsid w:val="001E1553"/>
    <w:rsid w:val="001E248A"/>
    <w:rsid w:val="001F2E3B"/>
    <w:rsid w:val="001F310F"/>
    <w:rsid w:val="001F6BB4"/>
    <w:rsid w:val="00211914"/>
    <w:rsid w:val="002200B1"/>
    <w:rsid w:val="00220822"/>
    <w:rsid w:val="002223DD"/>
    <w:rsid w:val="00222C06"/>
    <w:rsid w:val="002478C8"/>
    <w:rsid w:val="002559CC"/>
    <w:rsid w:val="002619CD"/>
    <w:rsid w:val="0026252D"/>
    <w:rsid w:val="002629BB"/>
    <w:rsid w:val="0026342D"/>
    <w:rsid w:val="00267634"/>
    <w:rsid w:val="002764E2"/>
    <w:rsid w:val="00280B96"/>
    <w:rsid w:val="00280D3A"/>
    <w:rsid w:val="00281FB8"/>
    <w:rsid w:val="002846C0"/>
    <w:rsid w:val="002933D8"/>
    <w:rsid w:val="002A1DD1"/>
    <w:rsid w:val="002A2996"/>
    <w:rsid w:val="002A4190"/>
    <w:rsid w:val="002A4F03"/>
    <w:rsid w:val="002A6BC0"/>
    <w:rsid w:val="002B3037"/>
    <w:rsid w:val="002B5ACB"/>
    <w:rsid w:val="002C0524"/>
    <w:rsid w:val="002E0143"/>
    <w:rsid w:val="002F4E65"/>
    <w:rsid w:val="002F75C7"/>
    <w:rsid w:val="002F7E0C"/>
    <w:rsid w:val="00304046"/>
    <w:rsid w:val="00307795"/>
    <w:rsid w:val="00322C3C"/>
    <w:rsid w:val="00326482"/>
    <w:rsid w:val="00330C3A"/>
    <w:rsid w:val="00333358"/>
    <w:rsid w:val="00350337"/>
    <w:rsid w:val="00354AE4"/>
    <w:rsid w:val="00355A6D"/>
    <w:rsid w:val="00361739"/>
    <w:rsid w:val="003625F4"/>
    <w:rsid w:val="0036364B"/>
    <w:rsid w:val="00374B28"/>
    <w:rsid w:val="00375EFF"/>
    <w:rsid w:val="00376395"/>
    <w:rsid w:val="00377768"/>
    <w:rsid w:val="00387E4C"/>
    <w:rsid w:val="00393164"/>
    <w:rsid w:val="00393EB3"/>
    <w:rsid w:val="003A6D7F"/>
    <w:rsid w:val="003A7597"/>
    <w:rsid w:val="003B0600"/>
    <w:rsid w:val="003B50DE"/>
    <w:rsid w:val="003B5119"/>
    <w:rsid w:val="003D2CD8"/>
    <w:rsid w:val="003D578F"/>
    <w:rsid w:val="003E288D"/>
    <w:rsid w:val="003F1348"/>
    <w:rsid w:val="00400DA5"/>
    <w:rsid w:val="00403A62"/>
    <w:rsid w:val="00403F69"/>
    <w:rsid w:val="00410190"/>
    <w:rsid w:val="00410DE9"/>
    <w:rsid w:val="00426B5F"/>
    <w:rsid w:val="0043035D"/>
    <w:rsid w:val="00434430"/>
    <w:rsid w:val="004362C2"/>
    <w:rsid w:val="0043647C"/>
    <w:rsid w:val="004404A4"/>
    <w:rsid w:val="00444F68"/>
    <w:rsid w:val="004451D5"/>
    <w:rsid w:val="004459C2"/>
    <w:rsid w:val="004460FB"/>
    <w:rsid w:val="00446811"/>
    <w:rsid w:val="00462F29"/>
    <w:rsid w:val="00463360"/>
    <w:rsid w:val="004761F3"/>
    <w:rsid w:val="0047639A"/>
    <w:rsid w:val="00487D58"/>
    <w:rsid w:val="00496F21"/>
    <w:rsid w:val="00496F64"/>
    <w:rsid w:val="004A3826"/>
    <w:rsid w:val="004A5D3D"/>
    <w:rsid w:val="004B78EA"/>
    <w:rsid w:val="004C4185"/>
    <w:rsid w:val="004D37C8"/>
    <w:rsid w:val="004D5084"/>
    <w:rsid w:val="004E0628"/>
    <w:rsid w:val="004E07C9"/>
    <w:rsid w:val="004E1490"/>
    <w:rsid w:val="004E19C3"/>
    <w:rsid w:val="004E1AFB"/>
    <w:rsid w:val="004E27D1"/>
    <w:rsid w:val="004F092B"/>
    <w:rsid w:val="005001E5"/>
    <w:rsid w:val="0050162A"/>
    <w:rsid w:val="00505C7B"/>
    <w:rsid w:val="00513165"/>
    <w:rsid w:val="00513C09"/>
    <w:rsid w:val="00513F02"/>
    <w:rsid w:val="005156C7"/>
    <w:rsid w:val="00522E21"/>
    <w:rsid w:val="0052645E"/>
    <w:rsid w:val="00526704"/>
    <w:rsid w:val="00531334"/>
    <w:rsid w:val="00535512"/>
    <w:rsid w:val="005355B1"/>
    <w:rsid w:val="00551861"/>
    <w:rsid w:val="00560845"/>
    <w:rsid w:val="00561B1D"/>
    <w:rsid w:val="00563841"/>
    <w:rsid w:val="00563DA2"/>
    <w:rsid w:val="00566D45"/>
    <w:rsid w:val="00572904"/>
    <w:rsid w:val="00583A58"/>
    <w:rsid w:val="00583A68"/>
    <w:rsid w:val="0058510F"/>
    <w:rsid w:val="0059342C"/>
    <w:rsid w:val="00594334"/>
    <w:rsid w:val="00595EC4"/>
    <w:rsid w:val="005A1184"/>
    <w:rsid w:val="005A699D"/>
    <w:rsid w:val="005C5E30"/>
    <w:rsid w:val="005C7D96"/>
    <w:rsid w:val="005D188E"/>
    <w:rsid w:val="005D28AA"/>
    <w:rsid w:val="005D42F7"/>
    <w:rsid w:val="005D510B"/>
    <w:rsid w:val="005E040F"/>
    <w:rsid w:val="005E7FA2"/>
    <w:rsid w:val="005F628B"/>
    <w:rsid w:val="00614286"/>
    <w:rsid w:val="00623743"/>
    <w:rsid w:val="00633B17"/>
    <w:rsid w:val="00634220"/>
    <w:rsid w:val="00634AB0"/>
    <w:rsid w:val="00636641"/>
    <w:rsid w:val="00652727"/>
    <w:rsid w:val="0065382F"/>
    <w:rsid w:val="006614CF"/>
    <w:rsid w:val="00666C95"/>
    <w:rsid w:val="00667347"/>
    <w:rsid w:val="00681B8F"/>
    <w:rsid w:val="00681F49"/>
    <w:rsid w:val="0068436F"/>
    <w:rsid w:val="006867F5"/>
    <w:rsid w:val="006955C1"/>
    <w:rsid w:val="00696B8A"/>
    <w:rsid w:val="006A19E8"/>
    <w:rsid w:val="006A69D6"/>
    <w:rsid w:val="006A6D74"/>
    <w:rsid w:val="006B24BE"/>
    <w:rsid w:val="006C01DD"/>
    <w:rsid w:val="006C0C0E"/>
    <w:rsid w:val="006C2EF4"/>
    <w:rsid w:val="006C45BB"/>
    <w:rsid w:val="006C5E38"/>
    <w:rsid w:val="006C5F71"/>
    <w:rsid w:val="006C6160"/>
    <w:rsid w:val="006C73E2"/>
    <w:rsid w:val="006C7566"/>
    <w:rsid w:val="006D26C8"/>
    <w:rsid w:val="006D2976"/>
    <w:rsid w:val="006D2EAE"/>
    <w:rsid w:val="006E0635"/>
    <w:rsid w:val="006E1E13"/>
    <w:rsid w:val="006E337E"/>
    <w:rsid w:val="006F1D4D"/>
    <w:rsid w:val="006F5690"/>
    <w:rsid w:val="0070213C"/>
    <w:rsid w:val="0070311E"/>
    <w:rsid w:val="007035F3"/>
    <w:rsid w:val="00703B8E"/>
    <w:rsid w:val="00703C37"/>
    <w:rsid w:val="0070538F"/>
    <w:rsid w:val="0071122D"/>
    <w:rsid w:val="00712311"/>
    <w:rsid w:val="00717F56"/>
    <w:rsid w:val="007217FF"/>
    <w:rsid w:val="007235ED"/>
    <w:rsid w:val="00732DAD"/>
    <w:rsid w:val="0073469A"/>
    <w:rsid w:val="00741AFA"/>
    <w:rsid w:val="0074226F"/>
    <w:rsid w:val="007515BF"/>
    <w:rsid w:val="0075279A"/>
    <w:rsid w:val="00754B3D"/>
    <w:rsid w:val="00755587"/>
    <w:rsid w:val="00756DE7"/>
    <w:rsid w:val="00766EB0"/>
    <w:rsid w:val="0078089F"/>
    <w:rsid w:val="00780D56"/>
    <w:rsid w:val="00785A16"/>
    <w:rsid w:val="00796C80"/>
    <w:rsid w:val="007A24CD"/>
    <w:rsid w:val="007A3848"/>
    <w:rsid w:val="007A757A"/>
    <w:rsid w:val="007B2133"/>
    <w:rsid w:val="007B6232"/>
    <w:rsid w:val="007B6D56"/>
    <w:rsid w:val="007B73EE"/>
    <w:rsid w:val="007B7BC6"/>
    <w:rsid w:val="007C1250"/>
    <w:rsid w:val="007C27D6"/>
    <w:rsid w:val="007C28F8"/>
    <w:rsid w:val="007C3315"/>
    <w:rsid w:val="007C6906"/>
    <w:rsid w:val="007D0960"/>
    <w:rsid w:val="007D18B6"/>
    <w:rsid w:val="007E440A"/>
    <w:rsid w:val="007E536E"/>
    <w:rsid w:val="007E66D0"/>
    <w:rsid w:val="007F11FD"/>
    <w:rsid w:val="007F2AF3"/>
    <w:rsid w:val="007F488D"/>
    <w:rsid w:val="007F4BBD"/>
    <w:rsid w:val="008041E7"/>
    <w:rsid w:val="00807E13"/>
    <w:rsid w:val="00811210"/>
    <w:rsid w:val="008145B0"/>
    <w:rsid w:val="00816F9C"/>
    <w:rsid w:val="00825985"/>
    <w:rsid w:val="00826730"/>
    <w:rsid w:val="00831F3E"/>
    <w:rsid w:val="00832F55"/>
    <w:rsid w:val="008345D6"/>
    <w:rsid w:val="0083504F"/>
    <w:rsid w:val="00836389"/>
    <w:rsid w:val="008444C5"/>
    <w:rsid w:val="00847CE9"/>
    <w:rsid w:val="0085305A"/>
    <w:rsid w:val="008539F0"/>
    <w:rsid w:val="00856749"/>
    <w:rsid w:val="00861039"/>
    <w:rsid w:val="00861A6E"/>
    <w:rsid w:val="00866139"/>
    <w:rsid w:val="00867497"/>
    <w:rsid w:val="0087199E"/>
    <w:rsid w:val="008727B9"/>
    <w:rsid w:val="00877546"/>
    <w:rsid w:val="00880068"/>
    <w:rsid w:val="008814AA"/>
    <w:rsid w:val="00884DCF"/>
    <w:rsid w:val="00891F3F"/>
    <w:rsid w:val="00896B24"/>
    <w:rsid w:val="008A418A"/>
    <w:rsid w:val="008A4988"/>
    <w:rsid w:val="008A6021"/>
    <w:rsid w:val="008B282B"/>
    <w:rsid w:val="008B4B7D"/>
    <w:rsid w:val="008B6B04"/>
    <w:rsid w:val="008B6F66"/>
    <w:rsid w:val="008C1C3A"/>
    <w:rsid w:val="008D097B"/>
    <w:rsid w:val="008D26C6"/>
    <w:rsid w:val="008D4799"/>
    <w:rsid w:val="008D51E0"/>
    <w:rsid w:val="008D748C"/>
    <w:rsid w:val="008F164D"/>
    <w:rsid w:val="008F1E4E"/>
    <w:rsid w:val="008F1FB2"/>
    <w:rsid w:val="008F45B4"/>
    <w:rsid w:val="008F591C"/>
    <w:rsid w:val="008F5F20"/>
    <w:rsid w:val="008F7B8A"/>
    <w:rsid w:val="00900754"/>
    <w:rsid w:val="00902687"/>
    <w:rsid w:val="00905C14"/>
    <w:rsid w:val="009107DB"/>
    <w:rsid w:val="00911CD5"/>
    <w:rsid w:val="0091518D"/>
    <w:rsid w:val="009263EB"/>
    <w:rsid w:val="00926680"/>
    <w:rsid w:val="00930E6B"/>
    <w:rsid w:val="00932574"/>
    <w:rsid w:val="00932ECB"/>
    <w:rsid w:val="00933966"/>
    <w:rsid w:val="009364B6"/>
    <w:rsid w:val="009410EA"/>
    <w:rsid w:val="00943520"/>
    <w:rsid w:val="00951B05"/>
    <w:rsid w:val="009567C5"/>
    <w:rsid w:val="0096153C"/>
    <w:rsid w:val="00971E74"/>
    <w:rsid w:val="00973A7D"/>
    <w:rsid w:val="00975925"/>
    <w:rsid w:val="009815CC"/>
    <w:rsid w:val="009848FF"/>
    <w:rsid w:val="009855FD"/>
    <w:rsid w:val="009870AF"/>
    <w:rsid w:val="00993BC0"/>
    <w:rsid w:val="00994A7F"/>
    <w:rsid w:val="00997486"/>
    <w:rsid w:val="009A0F1E"/>
    <w:rsid w:val="009A3692"/>
    <w:rsid w:val="009B77FD"/>
    <w:rsid w:val="009C17BE"/>
    <w:rsid w:val="009C1B66"/>
    <w:rsid w:val="009D0429"/>
    <w:rsid w:val="009D615E"/>
    <w:rsid w:val="009F2B85"/>
    <w:rsid w:val="009F7CE6"/>
    <w:rsid w:val="00A006B8"/>
    <w:rsid w:val="00A05642"/>
    <w:rsid w:val="00A103BD"/>
    <w:rsid w:val="00A16721"/>
    <w:rsid w:val="00A27B01"/>
    <w:rsid w:val="00A35E9D"/>
    <w:rsid w:val="00A36586"/>
    <w:rsid w:val="00A46262"/>
    <w:rsid w:val="00A52215"/>
    <w:rsid w:val="00A60C17"/>
    <w:rsid w:val="00A648B3"/>
    <w:rsid w:val="00A76E4D"/>
    <w:rsid w:val="00A82055"/>
    <w:rsid w:val="00A82A43"/>
    <w:rsid w:val="00A84793"/>
    <w:rsid w:val="00AA2BCA"/>
    <w:rsid w:val="00AA2C67"/>
    <w:rsid w:val="00AB41BF"/>
    <w:rsid w:val="00AC3B4A"/>
    <w:rsid w:val="00AE224D"/>
    <w:rsid w:val="00AE41D6"/>
    <w:rsid w:val="00AE4C79"/>
    <w:rsid w:val="00AF19EA"/>
    <w:rsid w:val="00AF7248"/>
    <w:rsid w:val="00AF728B"/>
    <w:rsid w:val="00B11B94"/>
    <w:rsid w:val="00B258AF"/>
    <w:rsid w:val="00B37BD6"/>
    <w:rsid w:val="00B40D3B"/>
    <w:rsid w:val="00B4694F"/>
    <w:rsid w:val="00B50A70"/>
    <w:rsid w:val="00B546FB"/>
    <w:rsid w:val="00B575D2"/>
    <w:rsid w:val="00B63A6F"/>
    <w:rsid w:val="00B64FC4"/>
    <w:rsid w:val="00B72D84"/>
    <w:rsid w:val="00B73A51"/>
    <w:rsid w:val="00B74921"/>
    <w:rsid w:val="00B75C65"/>
    <w:rsid w:val="00B804E0"/>
    <w:rsid w:val="00B80E3C"/>
    <w:rsid w:val="00B9175A"/>
    <w:rsid w:val="00BA1BB4"/>
    <w:rsid w:val="00BA2359"/>
    <w:rsid w:val="00BB017C"/>
    <w:rsid w:val="00BB0ED5"/>
    <w:rsid w:val="00BB1B18"/>
    <w:rsid w:val="00BC2539"/>
    <w:rsid w:val="00BC401D"/>
    <w:rsid w:val="00BC49DC"/>
    <w:rsid w:val="00BC713D"/>
    <w:rsid w:val="00BE7261"/>
    <w:rsid w:val="00BF4EA8"/>
    <w:rsid w:val="00BF5943"/>
    <w:rsid w:val="00BF6BE4"/>
    <w:rsid w:val="00C02FBD"/>
    <w:rsid w:val="00C15171"/>
    <w:rsid w:val="00C1586A"/>
    <w:rsid w:val="00C25D81"/>
    <w:rsid w:val="00C26B00"/>
    <w:rsid w:val="00C36C43"/>
    <w:rsid w:val="00C37A27"/>
    <w:rsid w:val="00C41022"/>
    <w:rsid w:val="00C45251"/>
    <w:rsid w:val="00C53877"/>
    <w:rsid w:val="00C538D8"/>
    <w:rsid w:val="00C54899"/>
    <w:rsid w:val="00C554A4"/>
    <w:rsid w:val="00C621C8"/>
    <w:rsid w:val="00C63C12"/>
    <w:rsid w:val="00C666FF"/>
    <w:rsid w:val="00C670E7"/>
    <w:rsid w:val="00C6780D"/>
    <w:rsid w:val="00C7309B"/>
    <w:rsid w:val="00C77423"/>
    <w:rsid w:val="00C812CB"/>
    <w:rsid w:val="00C87714"/>
    <w:rsid w:val="00C94B92"/>
    <w:rsid w:val="00CA47FE"/>
    <w:rsid w:val="00CA4FD6"/>
    <w:rsid w:val="00CA50D3"/>
    <w:rsid w:val="00CB39DC"/>
    <w:rsid w:val="00CC3CE0"/>
    <w:rsid w:val="00CE1079"/>
    <w:rsid w:val="00CE47B7"/>
    <w:rsid w:val="00CF71E8"/>
    <w:rsid w:val="00CF785A"/>
    <w:rsid w:val="00D0335C"/>
    <w:rsid w:val="00D070DB"/>
    <w:rsid w:val="00D129FE"/>
    <w:rsid w:val="00D1667F"/>
    <w:rsid w:val="00D1775E"/>
    <w:rsid w:val="00D21326"/>
    <w:rsid w:val="00D21705"/>
    <w:rsid w:val="00D267FF"/>
    <w:rsid w:val="00D31D90"/>
    <w:rsid w:val="00D4027F"/>
    <w:rsid w:val="00D43737"/>
    <w:rsid w:val="00D461A4"/>
    <w:rsid w:val="00D50AD8"/>
    <w:rsid w:val="00D57995"/>
    <w:rsid w:val="00D657D2"/>
    <w:rsid w:val="00D72C5D"/>
    <w:rsid w:val="00D9131E"/>
    <w:rsid w:val="00D91BE3"/>
    <w:rsid w:val="00D945E8"/>
    <w:rsid w:val="00D946AD"/>
    <w:rsid w:val="00DA06A6"/>
    <w:rsid w:val="00DC1672"/>
    <w:rsid w:val="00DD25B7"/>
    <w:rsid w:val="00DE1340"/>
    <w:rsid w:val="00DE292F"/>
    <w:rsid w:val="00DE3BA4"/>
    <w:rsid w:val="00DE5193"/>
    <w:rsid w:val="00E11AE6"/>
    <w:rsid w:val="00E122DA"/>
    <w:rsid w:val="00E14744"/>
    <w:rsid w:val="00E17380"/>
    <w:rsid w:val="00E223F9"/>
    <w:rsid w:val="00E320DB"/>
    <w:rsid w:val="00E34AE9"/>
    <w:rsid w:val="00E375D1"/>
    <w:rsid w:val="00E42B96"/>
    <w:rsid w:val="00E4312B"/>
    <w:rsid w:val="00E44638"/>
    <w:rsid w:val="00E54FA7"/>
    <w:rsid w:val="00E6068D"/>
    <w:rsid w:val="00E62376"/>
    <w:rsid w:val="00E65EA7"/>
    <w:rsid w:val="00E676D8"/>
    <w:rsid w:val="00E821CB"/>
    <w:rsid w:val="00E84116"/>
    <w:rsid w:val="00E8736A"/>
    <w:rsid w:val="00E91366"/>
    <w:rsid w:val="00E93E2F"/>
    <w:rsid w:val="00E96362"/>
    <w:rsid w:val="00EA0260"/>
    <w:rsid w:val="00EA2756"/>
    <w:rsid w:val="00EA298F"/>
    <w:rsid w:val="00EA67A1"/>
    <w:rsid w:val="00EB25BE"/>
    <w:rsid w:val="00EB6582"/>
    <w:rsid w:val="00EB6792"/>
    <w:rsid w:val="00EC6798"/>
    <w:rsid w:val="00ED2F4E"/>
    <w:rsid w:val="00ED338C"/>
    <w:rsid w:val="00ED6957"/>
    <w:rsid w:val="00EE65FD"/>
    <w:rsid w:val="00EF07A1"/>
    <w:rsid w:val="00EF29CD"/>
    <w:rsid w:val="00F017DA"/>
    <w:rsid w:val="00F11DE9"/>
    <w:rsid w:val="00F14FB1"/>
    <w:rsid w:val="00F211FE"/>
    <w:rsid w:val="00F23785"/>
    <w:rsid w:val="00F33E35"/>
    <w:rsid w:val="00F36C37"/>
    <w:rsid w:val="00F44C00"/>
    <w:rsid w:val="00F45A10"/>
    <w:rsid w:val="00F51196"/>
    <w:rsid w:val="00F514A5"/>
    <w:rsid w:val="00F53873"/>
    <w:rsid w:val="00F572C9"/>
    <w:rsid w:val="00F6248F"/>
    <w:rsid w:val="00F66B47"/>
    <w:rsid w:val="00F67532"/>
    <w:rsid w:val="00F7072E"/>
    <w:rsid w:val="00F739D0"/>
    <w:rsid w:val="00F917C9"/>
    <w:rsid w:val="00F955E3"/>
    <w:rsid w:val="00F9646C"/>
    <w:rsid w:val="00FA0C50"/>
    <w:rsid w:val="00FA31E7"/>
    <w:rsid w:val="00FB39D3"/>
    <w:rsid w:val="00FD4AB5"/>
    <w:rsid w:val="00FE32FB"/>
    <w:rsid w:val="00FE664F"/>
    <w:rsid w:val="00FF0344"/>
    <w:rsid w:val="00FF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EF93"/>
  <w15:chartTrackingRefBased/>
  <w15:docId w15:val="{363D08EE-8B69-446F-B3A3-4637DF37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672"/>
    <w:pPr>
      <w:keepNext/>
      <w:spacing w:after="0" w:line="360" w:lineRule="auto"/>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B9"/>
    <w:pPr>
      <w:ind w:left="720"/>
      <w:contextualSpacing/>
    </w:pPr>
  </w:style>
  <w:style w:type="paragraph" w:styleId="Header">
    <w:name w:val="header"/>
    <w:basedOn w:val="Normal"/>
    <w:link w:val="HeaderChar"/>
    <w:uiPriority w:val="99"/>
    <w:unhideWhenUsed/>
    <w:rsid w:val="002A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C0"/>
  </w:style>
  <w:style w:type="paragraph" w:styleId="Footer">
    <w:name w:val="footer"/>
    <w:basedOn w:val="Normal"/>
    <w:link w:val="FooterChar"/>
    <w:uiPriority w:val="99"/>
    <w:unhideWhenUsed/>
    <w:rsid w:val="002A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C0"/>
  </w:style>
  <w:style w:type="paragraph" w:styleId="BodyTextIndent">
    <w:name w:val="Body Text Indent"/>
    <w:basedOn w:val="Normal"/>
    <w:link w:val="BodyTextIndentChar"/>
    <w:uiPriority w:val="99"/>
    <w:unhideWhenUsed/>
    <w:rsid w:val="00BB017C"/>
    <w:pPr>
      <w:spacing w:after="0" w:line="360" w:lineRule="auto"/>
      <w:ind w:left="720" w:hanging="720"/>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BB017C"/>
    <w:rPr>
      <w:rFonts w:ascii="Times New Roman" w:hAnsi="Times New Roman" w:cs="Times New Roman"/>
      <w:sz w:val="28"/>
      <w:szCs w:val="28"/>
      <w:lang w:val="en-ZA"/>
    </w:rPr>
  </w:style>
  <w:style w:type="character" w:customStyle="1" w:styleId="Heading1Char">
    <w:name w:val="Heading 1 Char"/>
    <w:basedOn w:val="DefaultParagraphFont"/>
    <w:link w:val="Heading1"/>
    <w:uiPriority w:val="9"/>
    <w:rsid w:val="00DC1672"/>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56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3BE9-9B86-4D6E-AC7E-DFF6E991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458</cp:revision>
  <cp:lastPrinted>2022-08-24T09:10:00Z</cp:lastPrinted>
  <dcterms:created xsi:type="dcterms:W3CDTF">2022-08-19T12:26:00Z</dcterms:created>
  <dcterms:modified xsi:type="dcterms:W3CDTF">2022-08-24T09:12:00Z</dcterms:modified>
</cp:coreProperties>
</file>