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063A" w14:textId="5DE70B48" w:rsidR="0073147E" w:rsidRDefault="0073147E" w:rsidP="001F5957">
      <w:pPr>
        <w:spacing w:after="0" w:line="360" w:lineRule="auto"/>
        <w:jc w:val="center"/>
        <w:rPr>
          <w:rFonts w:ascii="Times New Roman" w:hAnsi="Times New Roman" w:cs="Times New Roman"/>
          <w:b/>
          <w:bCs/>
          <w:sz w:val="28"/>
          <w:szCs w:val="28"/>
          <w:u w:val="single"/>
          <w:lang w:val="en-ZA"/>
        </w:rPr>
      </w:pPr>
    </w:p>
    <w:p w14:paraId="03A8A40C" w14:textId="77777777" w:rsidR="008D53F6" w:rsidRDefault="008D53F6" w:rsidP="001F5957">
      <w:pPr>
        <w:spacing w:after="0" w:line="360" w:lineRule="auto"/>
        <w:jc w:val="center"/>
        <w:rPr>
          <w:rFonts w:ascii="Times New Roman" w:hAnsi="Times New Roman" w:cs="Times New Roman"/>
          <w:b/>
          <w:bCs/>
          <w:sz w:val="28"/>
          <w:szCs w:val="28"/>
          <w:u w:val="single"/>
          <w:lang w:val="en-ZA"/>
        </w:rPr>
      </w:pPr>
    </w:p>
    <w:p w14:paraId="40970B07" w14:textId="2229057F" w:rsidR="0073147E" w:rsidRDefault="0073147E" w:rsidP="001F5957">
      <w:pPr>
        <w:spacing w:after="0" w:line="360" w:lineRule="auto"/>
        <w:jc w:val="center"/>
        <w:rPr>
          <w:rFonts w:ascii="Times New Roman" w:hAnsi="Times New Roman" w:cs="Times New Roman"/>
          <w:b/>
          <w:bCs/>
          <w:sz w:val="28"/>
          <w:szCs w:val="28"/>
          <w:u w:val="single"/>
          <w:lang w:val="en-ZA"/>
        </w:rPr>
      </w:pPr>
    </w:p>
    <w:p w14:paraId="1AC4A0EC" w14:textId="77777777" w:rsidR="008D53F6" w:rsidRDefault="008D53F6" w:rsidP="001F5957">
      <w:pPr>
        <w:spacing w:after="0" w:line="360" w:lineRule="auto"/>
        <w:jc w:val="center"/>
        <w:rPr>
          <w:rFonts w:ascii="Times New Roman" w:hAnsi="Times New Roman" w:cs="Times New Roman"/>
          <w:b/>
          <w:bCs/>
          <w:sz w:val="28"/>
          <w:szCs w:val="28"/>
          <w:u w:val="single"/>
          <w:lang w:val="en-ZA"/>
        </w:rPr>
      </w:pPr>
    </w:p>
    <w:p w14:paraId="6DEBB34E" w14:textId="2519294F" w:rsidR="0073147E" w:rsidRDefault="00CB7F83" w:rsidP="001F5957">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1527D30" w14:textId="7C708CA6" w:rsidR="00CB7F83" w:rsidRDefault="00CB7F83" w:rsidP="001F5957">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04D0C401" w14:textId="57FC0C0A" w:rsidR="00CB7F83" w:rsidRDefault="00CB7F83" w:rsidP="00CB7F83">
      <w:pPr>
        <w:spacing w:after="0" w:line="360" w:lineRule="auto"/>
        <w:jc w:val="both"/>
        <w:rPr>
          <w:rFonts w:ascii="Times New Roman" w:hAnsi="Times New Roman" w:cs="Times New Roman"/>
          <w:b/>
          <w:bCs/>
          <w:sz w:val="32"/>
          <w:szCs w:val="32"/>
          <w:lang w:val="en-ZA"/>
        </w:rPr>
      </w:pPr>
    </w:p>
    <w:p w14:paraId="7B66C5E1" w14:textId="01C18AFF" w:rsidR="00CB7F83" w:rsidRDefault="00CB7F83"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CCA/0045/2022</w:t>
      </w:r>
    </w:p>
    <w:p w14:paraId="506D65BD" w14:textId="0FE4D9D5" w:rsidR="00CB7F83" w:rsidRDefault="00CB7F83" w:rsidP="008D53F6">
      <w:pPr>
        <w:spacing w:after="0" w:line="240" w:lineRule="auto"/>
        <w:jc w:val="both"/>
        <w:rPr>
          <w:rFonts w:ascii="Times New Roman" w:hAnsi="Times New Roman" w:cs="Times New Roman"/>
          <w:b/>
          <w:bCs/>
          <w:sz w:val="28"/>
          <w:szCs w:val="28"/>
          <w:lang w:val="en-ZA"/>
        </w:rPr>
      </w:pPr>
    </w:p>
    <w:p w14:paraId="59856F82" w14:textId="40B83DA7" w:rsidR="00CB7F83" w:rsidRDefault="00CB7F83" w:rsidP="008D53F6">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77221904" w14:textId="72269720" w:rsidR="00CB7F83" w:rsidRDefault="00CB7F83" w:rsidP="008D53F6">
      <w:pPr>
        <w:spacing w:after="0" w:line="240" w:lineRule="auto"/>
        <w:jc w:val="both"/>
        <w:rPr>
          <w:rFonts w:ascii="Times New Roman" w:hAnsi="Times New Roman" w:cs="Times New Roman"/>
          <w:sz w:val="28"/>
          <w:szCs w:val="28"/>
          <w:lang w:val="en-ZA"/>
        </w:rPr>
      </w:pPr>
    </w:p>
    <w:p w14:paraId="4D809D63" w14:textId="377B85FB" w:rsidR="00CB7F83" w:rsidRDefault="00CB7F83"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EXECUTORS ESTATE LATE LEBAMANG</w:t>
      </w:r>
    </w:p>
    <w:p w14:paraId="18CFCE8B" w14:textId="2E536827" w:rsidR="00CB7F83" w:rsidRDefault="00CB7F83"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JAMES MONAPHATHI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2AC34678" w14:textId="207339B2" w:rsidR="00CB7F83" w:rsidRDefault="00CB7F83" w:rsidP="008D53F6">
      <w:pPr>
        <w:spacing w:after="0" w:line="240" w:lineRule="auto"/>
        <w:jc w:val="both"/>
        <w:rPr>
          <w:rFonts w:ascii="Times New Roman" w:hAnsi="Times New Roman" w:cs="Times New Roman"/>
          <w:b/>
          <w:bCs/>
          <w:sz w:val="28"/>
          <w:szCs w:val="28"/>
          <w:lang w:val="en-ZA"/>
        </w:rPr>
      </w:pPr>
    </w:p>
    <w:p w14:paraId="7F791BCE" w14:textId="3C6156D2" w:rsidR="00CB7F83" w:rsidRDefault="00CB7F83"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D4C8A35" w14:textId="7C5EFDE0" w:rsidR="00CB7F83" w:rsidRDefault="00CB7F83" w:rsidP="008D53F6">
      <w:pPr>
        <w:spacing w:after="0" w:line="240" w:lineRule="auto"/>
        <w:jc w:val="both"/>
        <w:rPr>
          <w:rFonts w:ascii="Times New Roman" w:hAnsi="Times New Roman" w:cs="Times New Roman"/>
          <w:b/>
          <w:bCs/>
          <w:sz w:val="28"/>
          <w:szCs w:val="28"/>
          <w:lang w:val="en-ZA"/>
        </w:rPr>
      </w:pPr>
    </w:p>
    <w:p w14:paraId="633E667F" w14:textId="0E532B73" w:rsidR="00CB7F83" w:rsidRDefault="00CB7F83"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DUST BUSTERS (PTY) LTD</w:t>
      </w:r>
      <w:r w:rsidR="00D37EC7">
        <w:rPr>
          <w:rFonts w:ascii="Times New Roman" w:hAnsi="Times New Roman" w:cs="Times New Roman"/>
          <w:b/>
          <w:bCs/>
          <w:sz w:val="28"/>
          <w:szCs w:val="28"/>
          <w:lang w:val="en-ZA"/>
        </w:rPr>
        <w:tab/>
      </w:r>
      <w:r w:rsidR="00D37EC7">
        <w:rPr>
          <w:rFonts w:ascii="Times New Roman" w:hAnsi="Times New Roman" w:cs="Times New Roman"/>
          <w:b/>
          <w:bCs/>
          <w:sz w:val="28"/>
          <w:szCs w:val="28"/>
          <w:lang w:val="en-ZA"/>
        </w:rPr>
        <w:tab/>
      </w:r>
      <w:r w:rsidR="00D37EC7">
        <w:rPr>
          <w:rFonts w:ascii="Times New Roman" w:hAnsi="Times New Roman" w:cs="Times New Roman"/>
          <w:b/>
          <w:bCs/>
          <w:sz w:val="28"/>
          <w:szCs w:val="28"/>
          <w:lang w:val="en-ZA"/>
        </w:rPr>
        <w:tab/>
      </w:r>
      <w:r w:rsidR="00D37EC7">
        <w:rPr>
          <w:rFonts w:ascii="Times New Roman" w:hAnsi="Times New Roman" w:cs="Times New Roman"/>
          <w:b/>
          <w:bCs/>
          <w:sz w:val="28"/>
          <w:szCs w:val="28"/>
          <w:lang w:val="en-ZA"/>
        </w:rPr>
        <w:tab/>
      </w:r>
      <w:r w:rsidR="00D37EC7">
        <w:rPr>
          <w:rFonts w:ascii="Times New Roman" w:hAnsi="Times New Roman" w:cs="Times New Roman"/>
          <w:b/>
          <w:bCs/>
          <w:sz w:val="28"/>
          <w:szCs w:val="28"/>
          <w:lang w:val="en-ZA"/>
        </w:rPr>
        <w:tab/>
        <w:t>1</w:t>
      </w:r>
      <w:r w:rsidR="00D37EC7">
        <w:rPr>
          <w:rFonts w:ascii="Times New Roman" w:hAnsi="Times New Roman" w:cs="Times New Roman"/>
          <w:b/>
          <w:bCs/>
          <w:sz w:val="28"/>
          <w:szCs w:val="28"/>
          <w:vertAlign w:val="superscript"/>
          <w:lang w:val="en-ZA"/>
        </w:rPr>
        <w:t>ST</w:t>
      </w:r>
      <w:r w:rsidR="00D37EC7">
        <w:rPr>
          <w:rFonts w:ascii="Times New Roman" w:hAnsi="Times New Roman" w:cs="Times New Roman"/>
          <w:b/>
          <w:bCs/>
          <w:sz w:val="28"/>
          <w:szCs w:val="28"/>
          <w:lang w:val="en-ZA"/>
        </w:rPr>
        <w:t xml:space="preserve"> RESPONDENT</w:t>
      </w:r>
    </w:p>
    <w:p w14:paraId="3F5DD4DE" w14:textId="5779922A"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NETWORK OF EARLY CHILDHOOD</w:t>
      </w:r>
    </w:p>
    <w:p w14:paraId="6DE94AE5" w14:textId="23975E61"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DEVELOPMENT OF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Pr>
          <w:rFonts w:ascii="Times New Roman" w:hAnsi="Times New Roman" w:cs="Times New Roman"/>
          <w:b/>
          <w:bCs/>
          <w:sz w:val="28"/>
          <w:szCs w:val="28"/>
          <w:vertAlign w:val="superscript"/>
          <w:lang w:val="en-ZA"/>
        </w:rPr>
        <w:t xml:space="preserve">ND </w:t>
      </w:r>
      <w:r>
        <w:rPr>
          <w:rFonts w:ascii="Times New Roman" w:hAnsi="Times New Roman" w:cs="Times New Roman"/>
          <w:b/>
          <w:bCs/>
          <w:sz w:val="28"/>
          <w:szCs w:val="28"/>
          <w:lang w:val="en-ZA"/>
        </w:rPr>
        <w:t>RESPONDENT</w:t>
      </w:r>
    </w:p>
    <w:p w14:paraId="010C7FF1" w14:textId="5F9DC287"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SPARETRONICS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D37EC7">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423C98C6" w14:textId="0EB1E7CF"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COURT SHERIFF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D37E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A169C55" w14:textId="5BE957FB"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OFFICER COMMANDING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D37E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1E11120" w14:textId="70C658D1"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PITSO GROUND POLICE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D37E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44A44BD" w14:textId="045E31AA" w:rsidR="00D37EC7" w:rsidRDefault="00D37EC7" w:rsidP="008D53F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D37E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CA3F584" w14:textId="77777777" w:rsidR="008D53F6" w:rsidRDefault="008D53F6" w:rsidP="008D53F6">
      <w:pPr>
        <w:spacing w:after="0" w:line="240" w:lineRule="auto"/>
        <w:jc w:val="both"/>
        <w:rPr>
          <w:rFonts w:ascii="Times New Roman" w:hAnsi="Times New Roman" w:cs="Times New Roman"/>
          <w:b/>
          <w:bCs/>
          <w:sz w:val="28"/>
          <w:szCs w:val="28"/>
          <w:lang w:val="en-ZA"/>
        </w:rPr>
      </w:pPr>
    </w:p>
    <w:p w14:paraId="251F7B63" w14:textId="43CD3F7C" w:rsidR="00D37EC7" w:rsidRDefault="00D37EC7" w:rsidP="008D53F6">
      <w:pPr>
        <w:spacing w:after="0" w:line="240" w:lineRule="auto"/>
        <w:jc w:val="both"/>
        <w:rPr>
          <w:rFonts w:ascii="Times New Roman" w:hAnsi="Times New Roman" w:cs="Times New Roman"/>
          <w:b/>
          <w:bCs/>
          <w:sz w:val="28"/>
          <w:szCs w:val="28"/>
          <w:lang w:val="en-ZA"/>
        </w:rPr>
      </w:pPr>
    </w:p>
    <w:p w14:paraId="34094C91" w14:textId="3A3DCC64" w:rsidR="00D37EC7" w:rsidRPr="00D37EC7" w:rsidRDefault="00D37EC7" w:rsidP="00CB7F83">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r w:rsidR="00C347AB">
        <w:rPr>
          <w:rFonts w:ascii="Times New Roman" w:hAnsi="Times New Roman" w:cs="Times New Roman"/>
          <w:sz w:val="28"/>
          <w:szCs w:val="28"/>
          <w:lang w:val="en-ZA"/>
        </w:rPr>
        <w:t xml:space="preserve">Executors Estate Late </w:t>
      </w:r>
      <w:proofErr w:type="spellStart"/>
      <w:r w:rsidR="00C347AB">
        <w:rPr>
          <w:rFonts w:ascii="Times New Roman" w:hAnsi="Times New Roman" w:cs="Times New Roman"/>
          <w:sz w:val="28"/>
          <w:szCs w:val="28"/>
          <w:lang w:val="en-ZA"/>
        </w:rPr>
        <w:t>Lebamang</w:t>
      </w:r>
      <w:proofErr w:type="spellEnd"/>
      <w:r w:rsidR="00C347AB">
        <w:rPr>
          <w:rFonts w:ascii="Times New Roman" w:hAnsi="Times New Roman" w:cs="Times New Roman"/>
          <w:sz w:val="28"/>
          <w:szCs w:val="28"/>
          <w:lang w:val="en-ZA"/>
        </w:rPr>
        <w:t xml:space="preserve"> </w:t>
      </w:r>
      <w:proofErr w:type="spellStart"/>
      <w:r w:rsidR="00C347AB">
        <w:rPr>
          <w:rFonts w:ascii="Times New Roman" w:hAnsi="Times New Roman" w:cs="Times New Roman"/>
          <w:sz w:val="28"/>
          <w:szCs w:val="28"/>
          <w:lang w:val="en-ZA"/>
        </w:rPr>
        <w:t>Monaphathi</w:t>
      </w:r>
      <w:proofErr w:type="spellEnd"/>
      <w:r w:rsidR="00C347AB">
        <w:rPr>
          <w:rFonts w:ascii="Times New Roman" w:hAnsi="Times New Roman" w:cs="Times New Roman"/>
          <w:sz w:val="28"/>
          <w:szCs w:val="28"/>
          <w:lang w:val="en-ZA"/>
        </w:rPr>
        <w:t xml:space="preserve"> v Dust Buster (Pty) Ltd &amp; </w:t>
      </w:r>
      <w:r w:rsidR="00F46FA3">
        <w:rPr>
          <w:rFonts w:ascii="Times New Roman" w:hAnsi="Times New Roman" w:cs="Times New Roman"/>
          <w:sz w:val="28"/>
          <w:szCs w:val="28"/>
          <w:lang w:val="en-ZA"/>
        </w:rPr>
        <w:t>O</w:t>
      </w:r>
      <w:r w:rsidR="00C347AB">
        <w:rPr>
          <w:rFonts w:ascii="Times New Roman" w:hAnsi="Times New Roman" w:cs="Times New Roman"/>
          <w:sz w:val="28"/>
          <w:szCs w:val="28"/>
          <w:lang w:val="en-ZA"/>
        </w:rPr>
        <w:t xml:space="preserve">thers [2022] LSHC </w:t>
      </w:r>
      <w:r w:rsidR="001E4A20">
        <w:rPr>
          <w:rFonts w:ascii="Times New Roman" w:hAnsi="Times New Roman" w:cs="Times New Roman"/>
          <w:sz w:val="28"/>
          <w:szCs w:val="28"/>
          <w:lang w:val="en-ZA"/>
        </w:rPr>
        <w:t>171</w:t>
      </w:r>
      <w:r w:rsidR="00C347AB">
        <w:rPr>
          <w:rFonts w:ascii="Times New Roman" w:hAnsi="Times New Roman" w:cs="Times New Roman"/>
          <w:sz w:val="28"/>
          <w:szCs w:val="28"/>
          <w:lang w:val="en-ZA"/>
        </w:rPr>
        <w:t xml:space="preserve"> Comm. (</w:t>
      </w:r>
      <w:r w:rsidR="00F46FA3">
        <w:rPr>
          <w:rFonts w:ascii="Times New Roman" w:hAnsi="Times New Roman" w:cs="Times New Roman"/>
          <w:sz w:val="28"/>
          <w:szCs w:val="28"/>
          <w:lang w:val="en-ZA"/>
        </w:rPr>
        <w:t xml:space="preserve">18 AUGUST </w:t>
      </w:r>
      <w:r w:rsidR="00C347AB">
        <w:rPr>
          <w:rFonts w:ascii="Times New Roman" w:hAnsi="Times New Roman" w:cs="Times New Roman"/>
          <w:sz w:val="28"/>
          <w:szCs w:val="28"/>
          <w:lang w:val="en-ZA"/>
        </w:rPr>
        <w:t>2022)</w:t>
      </w:r>
    </w:p>
    <w:p w14:paraId="08C32907" w14:textId="324AE4D2" w:rsidR="00CB7F83" w:rsidRDefault="00CB7F83" w:rsidP="00CB7F83">
      <w:pPr>
        <w:spacing w:after="0" w:line="360" w:lineRule="auto"/>
        <w:jc w:val="both"/>
        <w:rPr>
          <w:rFonts w:ascii="Times New Roman" w:hAnsi="Times New Roman" w:cs="Times New Roman"/>
          <w:b/>
          <w:bCs/>
          <w:sz w:val="28"/>
          <w:szCs w:val="28"/>
          <w:lang w:val="en-ZA"/>
        </w:rPr>
      </w:pPr>
    </w:p>
    <w:p w14:paraId="04DD4F0B" w14:textId="603D0E9A"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 MOKHESI J</w:t>
      </w:r>
    </w:p>
    <w:p w14:paraId="21660369" w14:textId="63144C56"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 27</w:t>
      </w:r>
      <w:r w:rsidRPr="00F46FA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MAY 2022</w:t>
      </w:r>
    </w:p>
    <w:p w14:paraId="1CC171F6" w14:textId="4F80EB44"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 18</w:t>
      </w:r>
      <w:r w:rsidRPr="00F46FA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AUGUST 2022</w:t>
      </w:r>
    </w:p>
    <w:p w14:paraId="3AE51DE2" w14:textId="39D45385"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SUMMARY</w:t>
      </w:r>
    </w:p>
    <w:p w14:paraId="2194EEB5" w14:textId="699663FA" w:rsidR="00F46FA3" w:rsidRDefault="00F46FA3" w:rsidP="00CB7F83">
      <w:pPr>
        <w:spacing w:after="0" w:line="360" w:lineRule="auto"/>
        <w:jc w:val="both"/>
        <w:rPr>
          <w:rFonts w:ascii="Times New Roman" w:hAnsi="Times New Roman" w:cs="Times New Roman"/>
          <w:b/>
          <w:bCs/>
          <w:sz w:val="28"/>
          <w:szCs w:val="28"/>
          <w:lang w:val="en-ZA"/>
        </w:rPr>
      </w:pPr>
    </w:p>
    <w:p w14:paraId="49865FF0" w14:textId="594B1595" w:rsidR="00F46FA3" w:rsidRPr="009E51DA" w:rsidRDefault="009E51DA" w:rsidP="00CB7F83">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PROPERTY: </w:t>
      </w:r>
      <w:r w:rsidRPr="009E51DA">
        <w:rPr>
          <w:rFonts w:ascii="Times New Roman" w:hAnsi="Times New Roman" w:cs="Times New Roman"/>
          <w:i/>
          <w:iCs/>
          <w:sz w:val="28"/>
          <w:szCs w:val="28"/>
          <w:lang w:val="en-ZA"/>
        </w:rPr>
        <w:t xml:space="preserve">Application for a </w:t>
      </w:r>
      <w:proofErr w:type="spellStart"/>
      <w:r w:rsidRPr="009E51DA">
        <w:rPr>
          <w:rFonts w:ascii="Times New Roman" w:hAnsi="Times New Roman" w:cs="Times New Roman"/>
          <w:i/>
          <w:iCs/>
          <w:sz w:val="28"/>
          <w:szCs w:val="28"/>
          <w:lang w:val="en-ZA"/>
        </w:rPr>
        <w:t>tacid</w:t>
      </w:r>
      <w:proofErr w:type="spellEnd"/>
      <w:r w:rsidRPr="009E51DA">
        <w:rPr>
          <w:rFonts w:ascii="Times New Roman" w:hAnsi="Times New Roman" w:cs="Times New Roman"/>
          <w:i/>
          <w:iCs/>
          <w:sz w:val="28"/>
          <w:szCs w:val="28"/>
          <w:lang w:val="en-ZA"/>
        </w:rPr>
        <w:t xml:space="preserve"> hypothec-The requirements thereof</w:t>
      </w:r>
      <w:r w:rsidR="005D21A6" w:rsidRPr="009E51DA">
        <w:rPr>
          <w:rFonts w:ascii="Times New Roman" w:hAnsi="Times New Roman" w:cs="Times New Roman"/>
          <w:i/>
          <w:iCs/>
          <w:sz w:val="28"/>
          <w:szCs w:val="28"/>
          <w:lang w:val="en-ZA"/>
        </w:rPr>
        <w:t>- Civil</w:t>
      </w:r>
      <w:r w:rsidRPr="009E51DA">
        <w:rPr>
          <w:rFonts w:ascii="Times New Roman" w:hAnsi="Times New Roman" w:cs="Times New Roman"/>
          <w:i/>
          <w:iCs/>
          <w:sz w:val="28"/>
          <w:szCs w:val="28"/>
          <w:lang w:val="en-ZA"/>
        </w:rPr>
        <w:t xml:space="preserve"> practice- how evidence which is adduced for the first time in reply should be dealt with- Unjust enrichment- Principles considered and applied.</w:t>
      </w:r>
    </w:p>
    <w:p w14:paraId="085F9A25" w14:textId="77777777" w:rsidR="00F46FA3" w:rsidRDefault="00F46FA3" w:rsidP="00CB7F83">
      <w:pPr>
        <w:spacing w:after="0" w:line="360" w:lineRule="auto"/>
        <w:jc w:val="both"/>
        <w:rPr>
          <w:rFonts w:ascii="Times New Roman" w:hAnsi="Times New Roman" w:cs="Times New Roman"/>
          <w:b/>
          <w:bCs/>
          <w:sz w:val="28"/>
          <w:szCs w:val="28"/>
          <w:lang w:val="en-ZA"/>
        </w:rPr>
      </w:pPr>
    </w:p>
    <w:p w14:paraId="33EA6F01" w14:textId="43B15B4B" w:rsidR="00F46FA3" w:rsidRDefault="00F46FA3" w:rsidP="00CB7F83">
      <w:pPr>
        <w:spacing w:after="0" w:line="360" w:lineRule="auto"/>
        <w:jc w:val="both"/>
        <w:rPr>
          <w:rFonts w:ascii="Times New Roman" w:hAnsi="Times New Roman" w:cs="Times New Roman"/>
          <w:b/>
          <w:bCs/>
          <w:sz w:val="28"/>
          <w:szCs w:val="28"/>
          <w:lang w:val="en-ZA"/>
        </w:rPr>
      </w:pPr>
    </w:p>
    <w:p w14:paraId="06083599" w14:textId="057A1157"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6F7FC37" w14:textId="394B3520" w:rsidR="00F46FA3" w:rsidRDefault="00F46FA3" w:rsidP="00CB7F8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541D59C" w14:textId="0D663BCE" w:rsidR="005D21A6" w:rsidRPr="005D21A6" w:rsidRDefault="005D21A6" w:rsidP="00CB7F83">
      <w:pPr>
        <w:spacing w:after="0" w:line="360" w:lineRule="auto"/>
        <w:jc w:val="both"/>
        <w:rPr>
          <w:rFonts w:ascii="Times New Roman" w:hAnsi="Times New Roman" w:cs="Times New Roman"/>
          <w:i/>
          <w:iCs/>
          <w:sz w:val="28"/>
          <w:szCs w:val="28"/>
          <w:lang w:val="en-ZA"/>
        </w:rPr>
      </w:pPr>
      <w:proofErr w:type="spellStart"/>
      <w:r w:rsidRPr="005D21A6">
        <w:rPr>
          <w:rFonts w:ascii="Times New Roman" w:hAnsi="Times New Roman" w:cs="Times New Roman"/>
          <w:i/>
          <w:iCs/>
          <w:sz w:val="28"/>
          <w:szCs w:val="28"/>
          <w:lang w:val="en-ZA"/>
        </w:rPr>
        <w:t>Lehlohonolo</w:t>
      </w:r>
      <w:proofErr w:type="spellEnd"/>
      <w:r w:rsidRPr="005D21A6">
        <w:rPr>
          <w:rFonts w:ascii="Times New Roman" w:hAnsi="Times New Roman" w:cs="Times New Roman"/>
          <w:i/>
          <w:iCs/>
          <w:sz w:val="28"/>
          <w:szCs w:val="28"/>
          <w:lang w:val="en-ZA"/>
        </w:rPr>
        <w:t xml:space="preserve"> </w:t>
      </w:r>
      <w:proofErr w:type="spellStart"/>
      <w:r w:rsidRPr="005D21A6">
        <w:rPr>
          <w:rFonts w:ascii="Times New Roman" w:hAnsi="Times New Roman" w:cs="Times New Roman"/>
          <w:i/>
          <w:iCs/>
          <w:sz w:val="28"/>
          <w:szCs w:val="28"/>
          <w:lang w:val="en-ZA"/>
        </w:rPr>
        <w:t>Mangoejane</w:t>
      </w:r>
      <w:proofErr w:type="spellEnd"/>
      <w:r w:rsidRPr="005D21A6">
        <w:rPr>
          <w:rFonts w:ascii="Times New Roman" w:hAnsi="Times New Roman" w:cs="Times New Roman"/>
          <w:i/>
          <w:iCs/>
          <w:sz w:val="28"/>
          <w:szCs w:val="28"/>
          <w:lang w:val="en-ZA"/>
        </w:rPr>
        <w:t xml:space="preserve"> and Another v </w:t>
      </w:r>
      <w:proofErr w:type="spellStart"/>
      <w:r w:rsidRPr="005D21A6">
        <w:rPr>
          <w:rFonts w:ascii="Times New Roman" w:hAnsi="Times New Roman" w:cs="Times New Roman"/>
          <w:i/>
          <w:iCs/>
          <w:sz w:val="28"/>
          <w:szCs w:val="28"/>
          <w:lang w:val="en-ZA"/>
        </w:rPr>
        <w:t>Seabata</w:t>
      </w:r>
      <w:proofErr w:type="spellEnd"/>
      <w:r w:rsidRPr="005D21A6">
        <w:rPr>
          <w:rFonts w:ascii="Times New Roman" w:hAnsi="Times New Roman" w:cs="Times New Roman"/>
          <w:i/>
          <w:iCs/>
          <w:sz w:val="28"/>
          <w:szCs w:val="28"/>
          <w:lang w:val="en-ZA"/>
        </w:rPr>
        <w:t xml:space="preserve"> </w:t>
      </w:r>
      <w:proofErr w:type="spellStart"/>
      <w:r w:rsidRPr="005D21A6">
        <w:rPr>
          <w:rFonts w:ascii="Times New Roman" w:hAnsi="Times New Roman" w:cs="Times New Roman"/>
          <w:i/>
          <w:iCs/>
          <w:sz w:val="28"/>
          <w:szCs w:val="28"/>
          <w:lang w:val="en-ZA"/>
        </w:rPr>
        <w:t>Mangoejane</w:t>
      </w:r>
      <w:proofErr w:type="spellEnd"/>
      <w:r w:rsidRPr="005D21A6">
        <w:rPr>
          <w:rFonts w:ascii="Times New Roman" w:hAnsi="Times New Roman" w:cs="Times New Roman"/>
          <w:i/>
          <w:iCs/>
          <w:sz w:val="28"/>
          <w:szCs w:val="28"/>
          <w:lang w:val="en-ZA"/>
        </w:rPr>
        <w:t xml:space="preserve"> and Another C of A (CIV) 43/2017 (07 December 2018)</w:t>
      </w:r>
    </w:p>
    <w:p w14:paraId="2610F8EC" w14:textId="4D556809" w:rsidR="005D21A6" w:rsidRPr="005D21A6" w:rsidRDefault="005D21A6" w:rsidP="00CB7F83">
      <w:pPr>
        <w:spacing w:after="0" w:line="360" w:lineRule="auto"/>
        <w:jc w:val="both"/>
        <w:rPr>
          <w:rFonts w:ascii="Times New Roman" w:hAnsi="Times New Roman" w:cs="Times New Roman"/>
          <w:i/>
          <w:iCs/>
          <w:sz w:val="28"/>
          <w:szCs w:val="28"/>
          <w:lang w:val="en-ZA"/>
        </w:rPr>
      </w:pPr>
      <w:r w:rsidRPr="005D21A6">
        <w:rPr>
          <w:rFonts w:ascii="Times New Roman" w:hAnsi="Times New Roman" w:cs="Times New Roman"/>
          <w:i/>
          <w:iCs/>
          <w:sz w:val="28"/>
          <w:szCs w:val="28"/>
          <w:lang w:val="en-ZA"/>
        </w:rPr>
        <w:t>LNDC v Crayon and Wing on Garment (Pty) Ltd; Wing on Garment (Pty) Ltd v LNDC and Another (CIV/APN/39/99, CIV/APN/39/99 [1999] LSCA 21 (12 March 1999)</w:t>
      </w:r>
    </w:p>
    <w:p w14:paraId="5A9E8E14" w14:textId="5D17BF16" w:rsidR="0076466B" w:rsidRPr="005D21A6" w:rsidRDefault="0076466B" w:rsidP="00CB7F83">
      <w:pPr>
        <w:spacing w:after="0" w:line="360" w:lineRule="auto"/>
        <w:jc w:val="both"/>
        <w:rPr>
          <w:rFonts w:ascii="Times New Roman" w:hAnsi="Times New Roman" w:cs="Times New Roman"/>
          <w:i/>
          <w:iCs/>
          <w:sz w:val="28"/>
          <w:szCs w:val="28"/>
          <w:lang w:val="en-ZA"/>
        </w:rPr>
      </w:pPr>
      <w:proofErr w:type="spellStart"/>
      <w:r w:rsidRPr="005D21A6">
        <w:rPr>
          <w:rFonts w:ascii="Times New Roman" w:hAnsi="Times New Roman" w:cs="Times New Roman"/>
          <w:i/>
          <w:iCs/>
          <w:sz w:val="28"/>
          <w:szCs w:val="28"/>
          <w:lang w:val="en-ZA"/>
        </w:rPr>
        <w:t>Makoala</w:t>
      </w:r>
      <w:proofErr w:type="spellEnd"/>
      <w:r w:rsidRPr="005D21A6">
        <w:rPr>
          <w:rFonts w:ascii="Times New Roman" w:hAnsi="Times New Roman" w:cs="Times New Roman"/>
          <w:i/>
          <w:iCs/>
          <w:sz w:val="28"/>
          <w:szCs w:val="28"/>
          <w:lang w:val="en-ZA"/>
        </w:rPr>
        <w:t xml:space="preserve"> v </w:t>
      </w:r>
      <w:proofErr w:type="spellStart"/>
      <w:r w:rsidRPr="005D21A6">
        <w:rPr>
          <w:rFonts w:ascii="Times New Roman" w:hAnsi="Times New Roman" w:cs="Times New Roman"/>
          <w:i/>
          <w:iCs/>
          <w:sz w:val="28"/>
          <w:szCs w:val="28"/>
          <w:lang w:val="en-ZA"/>
        </w:rPr>
        <w:t>Makoala</w:t>
      </w:r>
      <w:proofErr w:type="spellEnd"/>
      <w:r w:rsidRPr="005D21A6">
        <w:rPr>
          <w:rFonts w:ascii="Times New Roman" w:hAnsi="Times New Roman" w:cs="Times New Roman"/>
          <w:i/>
          <w:iCs/>
          <w:sz w:val="28"/>
          <w:szCs w:val="28"/>
          <w:lang w:val="en-ZA"/>
        </w:rPr>
        <w:t xml:space="preserve"> (C of A (CIV) 04/09) [2009] LSCA 3 (09 April 2009)</w:t>
      </w:r>
    </w:p>
    <w:p w14:paraId="730A83F5" w14:textId="40955841" w:rsidR="0076466B" w:rsidRPr="005D21A6" w:rsidRDefault="0076466B" w:rsidP="00CB7F83">
      <w:pPr>
        <w:spacing w:after="0" w:line="360" w:lineRule="auto"/>
        <w:jc w:val="both"/>
        <w:rPr>
          <w:rFonts w:ascii="Times New Roman" w:hAnsi="Times New Roman" w:cs="Times New Roman"/>
          <w:i/>
          <w:iCs/>
          <w:sz w:val="28"/>
          <w:szCs w:val="28"/>
          <w:lang w:val="en-ZA"/>
        </w:rPr>
      </w:pPr>
      <w:r w:rsidRPr="005D21A6">
        <w:rPr>
          <w:rFonts w:ascii="Times New Roman" w:hAnsi="Times New Roman" w:cs="Times New Roman"/>
          <w:i/>
          <w:iCs/>
          <w:sz w:val="28"/>
          <w:szCs w:val="28"/>
          <w:lang w:val="en-ZA"/>
        </w:rPr>
        <w:t xml:space="preserve">Minister of Land Affairs and Agriculture v D &amp; F </w:t>
      </w:r>
      <w:proofErr w:type="spellStart"/>
      <w:r w:rsidRPr="005D21A6">
        <w:rPr>
          <w:rFonts w:ascii="Times New Roman" w:hAnsi="Times New Roman" w:cs="Times New Roman"/>
          <w:i/>
          <w:iCs/>
          <w:sz w:val="28"/>
          <w:szCs w:val="28"/>
          <w:lang w:val="en-ZA"/>
        </w:rPr>
        <w:t>Wevell</w:t>
      </w:r>
      <w:proofErr w:type="spellEnd"/>
      <w:r w:rsidRPr="005D21A6">
        <w:rPr>
          <w:rFonts w:ascii="Times New Roman" w:hAnsi="Times New Roman" w:cs="Times New Roman"/>
          <w:i/>
          <w:iCs/>
          <w:sz w:val="28"/>
          <w:szCs w:val="28"/>
          <w:lang w:val="en-ZA"/>
        </w:rPr>
        <w:t xml:space="preserve"> Trust 2008 (2) SA 184 (SCA)</w:t>
      </w:r>
    </w:p>
    <w:p w14:paraId="3C678915" w14:textId="4178BC59" w:rsidR="005D21A6" w:rsidRPr="005D21A6" w:rsidRDefault="005D21A6" w:rsidP="00CB7F83">
      <w:pPr>
        <w:spacing w:after="0" w:line="360" w:lineRule="auto"/>
        <w:jc w:val="both"/>
        <w:rPr>
          <w:rFonts w:ascii="Times New Roman" w:hAnsi="Times New Roman" w:cs="Times New Roman"/>
          <w:i/>
          <w:iCs/>
          <w:sz w:val="28"/>
          <w:szCs w:val="28"/>
          <w:lang w:val="en-ZA"/>
        </w:rPr>
      </w:pPr>
      <w:proofErr w:type="spellStart"/>
      <w:r w:rsidRPr="005D21A6">
        <w:rPr>
          <w:rFonts w:ascii="Times New Roman" w:hAnsi="Times New Roman" w:cs="Times New Roman"/>
          <w:i/>
          <w:iCs/>
          <w:sz w:val="28"/>
          <w:szCs w:val="28"/>
          <w:lang w:val="en-ZA"/>
        </w:rPr>
        <w:t>Mokhutle</w:t>
      </w:r>
      <w:proofErr w:type="spellEnd"/>
      <w:r w:rsidRPr="005D21A6">
        <w:rPr>
          <w:rFonts w:ascii="Times New Roman" w:hAnsi="Times New Roman" w:cs="Times New Roman"/>
          <w:i/>
          <w:iCs/>
          <w:sz w:val="28"/>
          <w:szCs w:val="28"/>
          <w:lang w:val="en-ZA"/>
        </w:rPr>
        <w:t xml:space="preserve"> N.O v MJM (Pty) Ltd and Others LAC (2000 – 2004) 186</w:t>
      </w:r>
    </w:p>
    <w:p w14:paraId="5698FC11" w14:textId="460AF22A" w:rsidR="0076466B" w:rsidRPr="005D21A6" w:rsidRDefault="0076466B" w:rsidP="00CB7F83">
      <w:pPr>
        <w:spacing w:after="0" w:line="360" w:lineRule="auto"/>
        <w:jc w:val="both"/>
        <w:rPr>
          <w:rFonts w:ascii="Times New Roman" w:hAnsi="Times New Roman" w:cs="Times New Roman"/>
          <w:i/>
          <w:iCs/>
          <w:sz w:val="28"/>
          <w:szCs w:val="28"/>
          <w:lang w:val="en-ZA"/>
        </w:rPr>
      </w:pPr>
      <w:proofErr w:type="spellStart"/>
      <w:r w:rsidRPr="005D21A6">
        <w:rPr>
          <w:rFonts w:ascii="Times New Roman" w:hAnsi="Times New Roman" w:cs="Times New Roman"/>
          <w:i/>
          <w:iCs/>
          <w:sz w:val="28"/>
          <w:szCs w:val="28"/>
          <w:lang w:val="en-ZA"/>
        </w:rPr>
        <w:t>Mohaleroe</w:t>
      </w:r>
      <w:proofErr w:type="spellEnd"/>
      <w:r w:rsidRPr="005D21A6">
        <w:rPr>
          <w:rFonts w:ascii="Times New Roman" w:hAnsi="Times New Roman" w:cs="Times New Roman"/>
          <w:i/>
          <w:iCs/>
          <w:sz w:val="28"/>
          <w:szCs w:val="28"/>
          <w:lang w:val="en-ZA"/>
        </w:rPr>
        <w:t xml:space="preserve"> v Lesotho Public Motor Transport Co. (Pty) Ltd and Another (C of A (CIV) 16/2010)</w:t>
      </w:r>
    </w:p>
    <w:p w14:paraId="45F8A325" w14:textId="77777777" w:rsidR="0076466B" w:rsidRPr="005D21A6" w:rsidRDefault="0076466B" w:rsidP="0076466B">
      <w:pPr>
        <w:pStyle w:val="BodyText"/>
        <w:rPr>
          <w:i/>
          <w:iCs/>
        </w:rPr>
      </w:pPr>
      <w:r w:rsidRPr="005D21A6">
        <w:rPr>
          <w:i/>
          <w:iCs/>
        </w:rPr>
        <w:t xml:space="preserve">National Executive Committee of the Lesotho National Olympic Committee and Others v </w:t>
      </w:r>
      <w:proofErr w:type="spellStart"/>
      <w:r w:rsidRPr="005D21A6">
        <w:rPr>
          <w:i/>
          <w:iCs/>
        </w:rPr>
        <w:t>Morolong</w:t>
      </w:r>
      <w:proofErr w:type="spellEnd"/>
      <w:r w:rsidRPr="005D21A6">
        <w:rPr>
          <w:i/>
          <w:iCs/>
        </w:rPr>
        <w:t xml:space="preserve"> (C of A (CIV) NO. 26 of 2001) (NULL) [2002] LSHC 10 (12 April 2002).) </w:t>
      </w:r>
    </w:p>
    <w:p w14:paraId="30295A4C" w14:textId="2A9EE73A" w:rsidR="0076466B" w:rsidRPr="005D21A6" w:rsidRDefault="005D21A6" w:rsidP="00CB7F83">
      <w:pPr>
        <w:spacing w:after="0" w:line="360" w:lineRule="auto"/>
        <w:jc w:val="both"/>
        <w:rPr>
          <w:rFonts w:ascii="Times New Roman" w:hAnsi="Times New Roman" w:cs="Times New Roman"/>
          <w:i/>
          <w:iCs/>
          <w:sz w:val="28"/>
          <w:szCs w:val="28"/>
          <w:lang w:val="en-ZA"/>
        </w:rPr>
      </w:pPr>
      <w:proofErr w:type="spellStart"/>
      <w:r w:rsidRPr="00703462">
        <w:rPr>
          <w:rFonts w:ascii="Times New Roman" w:hAnsi="Times New Roman" w:cs="Times New Roman"/>
          <w:i/>
          <w:iCs/>
          <w:sz w:val="28"/>
          <w:szCs w:val="28"/>
          <w:lang w:val="en-ZA"/>
        </w:rPr>
        <w:t>Plascon</w:t>
      </w:r>
      <w:proofErr w:type="spellEnd"/>
      <w:r w:rsidRPr="00703462">
        <w:rPr>
          <w:rFonts w:ascii="Times New Roman" w:hAnsi="Times New Roman" w:cs="Times New Roman"/>
          <w:i/>
          <w:iCs/>
          <w:sz w:val="28"/>
          <w:szCs w:val="28"/>
          <w:lang w:val="en-ZA"/>
        </w:rPr>
        <w:t xml:space="preserve"> – </w:t>
      </w:r>
      <w:r w:rsidRPr="005D21A6">
        <w:rPr>
          <w:rFonts w:ascii="Times New Roman" w:hAnsi="Times New Roman" w:cs="Times New Roman"/>
          <w:i/>
          <w:iCs/>
          <w:sz w:val="28"/>
          <w:szCs w:val="28"/>
          <w:lang w:val="en-ZA"/>
        </w:rPr>
        <w:tab/>
      </w:r>
      <w:r w:rsidRPr="00703462">
        <w:rPr>
          <w:rFonts w:ascii="Times New Roman" w:hAnsi="Times New Roman" w:cs="Times New Roman"/>
          <w:i/>
          <w:iCs/>
          <w:sz w:val="28"/>
          <w:szCs w:val="28"/>
          <w:lang w:val="en-ZA"/>
        </w:rPr>
        <w:t>Evans Paints v Van Riebeek Paints (Pty</w:t>
      </w:r>
      <w:r w:rsidRPr="005D21A6">
        <w:rPr>
          <w:rFonts w:ascii="Times New Roman" w:hAnsi="Times New Roman" w:cs="Times New Roman"/>
          <w:i/>
          <w:iCs/>
          <w:sz w:val="28"/>
          <w:szCs w:val="28"/>
          <w:lang w:val="en-ZA"/>
        </w:rPr>
        <w:t>) Ltd 1984 (3) 623 (A)</w:t>
      </w:r>
    </w:p>
    <w:p w14:paraId="058E525F" w14:textId="2BBF2120" w:rsidR="0076466B" w:rsidRPr="005D21A6" w:rsidRDefault="005D21A6" w:rsidP="005D21A6">
      <w:pPr>
        <w:pStyle w:val="BodyText2"/>
      </w:pPr>
      <w:r w:rsidRPr="00703462">
        <w:t>Wightman t/a J</w:t>
      </w:r>
      <w:r w:rsidRPr="005D21A6">
        <w:t>W</w:t>
      </w:r>
      <w:r w:rsidRPr="00703462">
        <w:t xml:space="preserve"> </w:t>
      </w:r>
      <w:r w:rsidRPr="005D21A6">
        <w:tab/>
      </w:r>
      <w:r w:rsidRPr="00703462">
        <w:t xml:space="preserve">Construction v </w:t>
      </w:r>
      <w:proofErr w:type="spellStart"/>
      <w:r w:rsidRPr="00703462">
        <w:t>Headfour</w:t>
      </w:r>
      <w:proofErr w:type="spellEnd"/>
      <w:r w:rsidRPr="00703462">
        <w:t xml:space="preserve"> (Pty) Ltd </w:t>
      </w:r>
      <w:r w:rsidRPr="005D21A6">
        <w:tab/>
      </w:r>
      <w:r w:rsidRPr="00703462">
        <w:t>and Another 2008 (3) SA 371 (SCA)</w:t>
      </w:r>
    </w:p>
    <w:p w14:paraId="2070F80E" w14:textId="77777777" w:rsidR="005D21A6" w:rsidRPr="005D21A6" w:rsidRDefault="005D21A6" w:rsidP="00CB7F83">
      <w:pPr>
        <w:spacing w:after="0" w:line="360" w:lineRule="auto"/>
        <w:jc w:val="both"/>
        <w:rPr>
          <w:rFonts w:ascii="Times New Roman" w:hAnsi="Times New Roman" w:cs="Times New Roman"/>
          <w:i/>
          <w:iCs/>
          <w:sz w:val="28"/>
          <w:szCs w:val="28"/>
          <w:lang w:val="en-ZA"/>
        </w:rPr>
      </w:pPr>
    </w:p>
    <w:p w14:paraId="15F138A9" w14:textId="5E66950D" w:rsidR="0076466B" w:rsidRPr="005D21A6" w:rsidRDefault="0076466B" w:rsidP="005D21A6">
      <w:pPr>
        <w:pStyle w:val="Heading1"/>
      </w:pPr>
      <w:r w:rsidRPr="005D21A6">
        <w:lastRenderedPageBreak/>
        <w:t>BOOKS</w:t>
      </w:r>
    </w:p>
    <w:p w14:paraId="5035AC31" w14:textId="441D3C17" w:rsidR="00F46FA3" w:rsidRPr="00CB7F83" w:rsidRDefault="005D21A6" w:rsidP="00CB7F83">
      <w:pPr>
        <w:spacing w:after="0" w:line="360" w:lineRule="auto"/>
        <w:jc w:val="both"/>
        <w:rPr>
          <w:rFonts w:ascii="Times New Roman" w:hAnsi="Times New Roman" w:cs="Times New Roman"/>
          <w:b/>
          <w:bCs/>
          <w:sz w:val="28"/>
          <w:szCs w:val="28"/>
          <w:lang w:val="en-ZA"/>
        </w:rPr>
      </w:pPr>
      <w:proofErr w:type="spellStart"/>
      <w:r w:rsidRPr="005D21A6">
        <w:rPr>
          <w:rFonts w:ascii="Times New Roman" w:hAnsi="Times New Roman" w:cs="Times New Roman"/>
          <w:sz w:val="28"/>
          <w:szCs w:val="28"/>
          <w:lang w:val="en-ZA"/>
        </w:rPr>
        <w:t>Eiselen</w:t>
      </w:r>
      <w:proofErr w:type="spellEnd"/>
      <w:r w:rsidRPr="005D21A6">
        <w:rPr>
          <w:rFonts w:ascii="Times New Roman" w:hAnsi="Times New Roman" w:cs="Times New Roman"/>
          <w:sz w:val="28"/>
          <w:szCs w:val="28"/>
          <w:lang w:val="en-ZA"/>
        </w:rPr>
        <w:t xml:space="preserve"> and Pienaar</w:t>
      </w:r>
      <w:r w:rsidRPr="005D21A6">
        <w:rPr>
          <w:rFonts w:ascii="Times New Roman" w:hAnsi="Times New Roman" w:cs="Times New Roman"/>
          <w:b/>
          <w:bCs/>
          <w:sz w:val="28"/>
          <w:szCs w:val="28"/>
          <w:lang w:val="en-ZA"/>
        </w:rPr>
        <w:t xml:space="preserve"> Unjust Enrichment: A casebook 2</w:t>
      </w:r>
      <w:r w:rsidRPr="005D21A6">
        <w:rPr>
          <w:rFonts w:ascii="Times New Roman" w:hAnsi="Times New Roman" w:cs="Times New Roman"/>
          <w:b/>
          <w:bCs/>
          <w:sz w:val="28"/>
          <w:szCs w:val="28"/>
          <w:vertAlign w:val="superscript"/>
          <w:lang w:val="en-ZA"/>
        </w:rPr>
        <w:t>nd</w:t>
      </w:r>
      <w:r w:rsidRPr="005D21A6">
        <w:rPr>
          <w:rFonts w:ascii="Times New Roman" w:hAnsi="Times New Roman" w:cs="Times New Roman"/>
          <w:b/>
          <w:bCs/>
          <w:sz w:val="28"/>
          <w:szCs w:val="28"/>
          <w:lang w:val="en-ZA"/>
        </w:rPr>
        <w:t xml:space="preserve"> ed. Butterworths</w:t>
      </w:r>
    </w:p>
    <w:p w14:paraId="5A1E95B3" w14:textId="6261EB9C" w:rsidR="0073147E" w:rsidRDefault="0073147E" w:rsidP="001F5957">
      <w:pPr>
        <w:spacing w:after="0" w:line="360" w:lineRule="auto"/>
        <w:jc w:val="center"/>
        <w:rPr>
          <w:rFonts w:ascii="Times New Roman" w:hAnsi="Times New Roman" w:cs="Times New Roman"/>
          <w:b/>
          <w:bCs/>
          <w:sz w:val="28"/>
          <w:szCs w:val="28"/>
          <w:u w:val="single"/>
          <w:lang w:val="en-ZA"/>
        </w:rPr>
      </w:pPr>
    </w:p>
    <w:p w14:paraId="6198BBFA" w14:textId="3B704CC6" w:rsidR="0073147E" w:rsidRDefault="0073147E" w:rsidP="001F5957">
      <w:pPr>
        <w:spacing w:after="0" w:line="360" w:lineRule="auto"/>
        <w:jc w:val="center"/>
        <w:rPr>
          <w:rFonts w:ascii="Times New Roman" w:hAnsi="Times New Roman" w:cs="Times New Roman"/>
          <w:b/>
          <w:bCs/>
          <w:sz w:val="28"/>
          <w:szCs w:val="28"/>
          <w:u w:val="single"/>
          <w:lang w:val="en-ZA"/>
        </w:rPr>
      </w:pPr>
    </w:p>
    <w:p w14:paraId="5E3E116F" w14:textId="0E2FB06F" w:rsidR="0073147E" w:rsidRDefault="0073147E" w:rsidP="001F5957">
      <w:pPr>
        <w:spacing w:after="0" w:line="360" w:lineRule="auto"/>
        <w:jc w:val="center"/>
        <w:rPr>
          <w:rFonts w:ascii="Times New Roman" w:hAnsi="Times New Roman" w:cs="Times New Roman"/>
          <w:b/>
          <w:bCs/>
          <w:sz w:val="28"/>
          <w:szCs w:val="28"/>
          <w:u w:val="single"/>
          <w:lang w:val="en-ZA"/>
        </w:rPr>
      </w:pPr>
    </w:p>
    <w:p w14:paraId="56905562" w14:textId="7A28803E" w:rsidR="0073147E" w:rsidRDefault="0073147E" w:rsidP="001F5957">
      <w:pPr>
        <w:spacing w:after="0" w:line="360" w:lineRule="auto"/>
        <w:jc w:val="center"/>
        <w:rPr>
          <w:rFonts w:ascii="Times New Roman" w:hAnsi="Times New Roman" w:cs="Times New Roman"/>
          <w:b/>
          <w:bCs/>
          <w:sz w:val="28"/>
          <w:szCs w:val="28"/>
          <w:u w:val="single"/>
          <w:lang w:val="en-ZA"/>
        </w:rPr>
      </w:pPr>
    </w:p>
    <w:p w14:paraId="7ECCBD16" w14:textId="0F7EEADC" w:rsidR="0073147E" w:rsidRDefault="0073147E" w:rsidP="001F5957">
      <w:pPr>
        <w:spacing w:after="0" w:line="360" w:lineRule="auto"/>
        <w:jc w:val="center"/>
        <w:rPr>
          <w:rFonts w:ascii="Times New Roman" w:hAnsi="Times New Roman" w:cs="Times New Roman"/>
          <w:b/>
          <w:bCs/>
          <w:sz w:val="28"/>
          <w:szCs w:val="28"/>
          <w:u w:val="single"/>
          <w:lang w:val="en-ZA"/>
        </w:rPr>
      </w:pPr>
    </w:p>
    <w:p w14:paraId="1304A2C3" w14:textId="33E4C618" w:rsidR="0073147E" w:rsidRDefault="0073147E" w:rsidP="001F5957">
      <w:pPr>
        <w:spacing w:after="0" w:line="360" w:lineRule="auto"/>
        <w:jc w:val="center"/>
        <w:rPr>
          <w:rFonts w:ascii="Times New Roman" w:hAnsi="Times New Roman" w:cs="Times New Roman"/>
          <w:b/>
          <w:bCs/>
          <w:sz w:val="28"/>
          <w:szCs w:val="28"/>
          <w:u w:val="single"/>
          <w:lang w:val="en-ZA"/>
        </w:rPr>
      </w:pPr>
    </w:p>
    <w:p w14:paraId="6A90437C" w14:textId="3B79D1CD" w:rsidR="0073147E" w:rsidRDefault="0073147E" w:rsidP="001F5957">
      <w:pPr>
        <w:spacing w:after="0" w:line="360" w:lineRule="auto"/>
        <w:jc w:val="center"/>
        <w:rPr>
          <w:rFonts w:ascii="Times New Roman" w:hAnsi="Times New Roman" w:cs="Times New Roman"/>
          <w:b/>
          <w:bCs/>
          <w:sz w:val="28"/>
          <w:szCs w:val="28"/>
          <w:u w:val="single"/>
          <w:lang w:val="en-ZA"/>
        </w:rPr>
      </w:pPr>
    </w:p>
    <w:p w14:paraId="4B727293" w14:textId="00A247B9" w:rsidR="0073147E" w:rsidRDefault="0073147E" w:rsidP="001F5957">
      <w:pPr>
        <w:spacing w:after="0" w:line="360" w:lineRule="auto"/>
        <w:jc w:val="center"/>
        <w:rPr>
          <w:rFonts w:ascii="Times New Roman" w:hAnsi="Times New Roman" w:cs="Times New Roman"/>
          <w:b/>
          <w:bCs/>
          <w:sz w:val="28"/>
          <w:szCs w:val="28"/>
          <w:u w:val="single"/>
          <w:lang w:val="en-ZA"/>
        </w:rPr>
      </w:pPr>
    </w:p>
    <w:p w14:paraId="6CA64145" w14:textId="4122F5B2" w:rsidR="0073147E" w:rsidRDefault="0073147E" w:rsidP="001F5957">
      <w:pPr>
        <w:spacing w:after="0" w:line="360" w:lineRule="auto"/>
        <w:jc w:val="center"/>
        <w:rPr>
          <w:rFonts w:ascii="Times New Roman" w:hAnsi="Times New Roman" w:cs="Times New Roman"/>
          <w:b/>
          <w:bCs/>
          <w:sz w:val="28"/>
          <w:szCs w:val="28"/>
          <w:u w:val="single"/>
          <w:lang w:val="en-ZA"/>
        </w:rPr>
      </w:pPr>
    </w:p>
    <w:p w14:paraId="753875D1" w14:textId="120CD00F" w:rsidR="0073147E" w:rsidRDefault="0073147E" w:rsidP="001F5957">
      <w:pPr>
        <w:spacing w:after="0" w:line="360" w:lineRule="auto"/>
        <w:jc w:val="center"/>
        <w:rPr>
          <w:rFonts w:ascii="Times New Roman" w:hAnsi="Times New Roman" w:cs="Times New Roman"/>
          <w:b/>
          <w:bCs/>
          <w:sz w:val="28"/>
          <w:szCs w:val="28"/>
          <w:u w:val="single"/>
          <w:lang w:val="en-ZA"/>
        </w:rPr>
      </w:pPr>
    </w:p>
    <w:p w14:paraId="1096901E" w14:textId="7B237901" w:rsidR="0073147E" w:rsidRDefault="0073147E" w:rsidP="001F5957">
      <w:pPr>
        <w:spacing w:after="0" w:line="360" w:lineRule="auto"/>
        <w:jc w:val="center"/>
        <w:rPr>
          <w:rFonts w:ascii="Times New Roman" w:hAnsi="Times New Roman" w:cs="Times New Roman"/>
          <w:b/>
          <w:bCs/>
          <w:sz w:val="28"/>
          <w:szCs w:val="28"/>
          <w:u w:val="single"/>
          <w:lang w:val="en-ZA"/>
        </w:rPr>
      </w:pPr>
    </w:p>
    <w:p w14:paraId="1AE61EB7" w14:textId="093515FF" w:rsidR="0073147E" w:rsidRDefault="0073147E" w:rsidP="001F5957">
      <w:pPr>
        <w:spacing w:after="0" w:line="360" w:lineRule="auto"/>
        <w:jc w:val="center"/>
        <w:rPr>
          <w:rFonts w:ascii="Times New Roman" w:hAnsi="Times New Roman" w:cs="Times New Roman"/>
          <w:b/>
          <w:bCs/>
          <w:sz w:val="28"/>
          <w:szCs w:val="28"/>
          <w:u w:val="single"/>
          <w:lang w:val="en-ZA"/>
        </w:rPr>
      </w:pPr>
    </w:p>
    <w:p w14:paraId="54997E00" w14:textId="1F839FD7" w:rsidR="0073147E" w:rsidRDefault="0073147E" w:rsidP="001F5957">
      <w:pPr>
        <w:spacing w:after="0" w:line="360" w:lineRule="auto"/>
        <w:jc w:val="center"/>
        <w:rPr>
          <w:rFonts w:ascii="Times New Roman" w:hAnsi="Times New Roman" w:cs="Times New Roman"/>
          <w:b/>
          <w:bCs/>
          <w:sz w:val="28"/>
          <w:szCs w:val="28"/>
          <w:u w:val="single"/>
          <w:lang w:val="en-ZA"/>
        </w:rPr>
      </w:pPr>
    </w:p>
    <w:p w14:paraId="1797CCC8" w14:textId="3597C7AF" w:rsidR="0073147E" w:rsidRDefault="0073147E" w:rsidP="001F5957">
      <w:pPr>
        <w:spacing w:after="0" w:line="360" w:lineRule="auto"/>
        <w:jc w:val="center"/>
        <w:rPr>
          <w:rFonts w:ascii="Times New Roman" w:hAnsi="Times New Roman" w:cs="Times New Roman"/>
          <w:b/>
          <w:bCs/>
          <w:sz w:val="28"/>
          <w:szCs w:val="28"/>
          <w:u w:val="single"/>
          <w:lang w:val="en-ZA"/>
        </w:rPr>
      </w:pPr>
    </w:p>
    <w:p w14:paraId="1AD452CD" w14:textId="5E794E39" w:rsidR="0073147E" w:rsidRDefault="0073147E" w:rsidP="001F5957">
      <w:pPr>
        <w:spacing w:after="0" w:line="360" w:lineRule="auto"/>
        <w:jc w:val="center"/>
        <w:rPr>
          <w:rFonts w:ascii="Times New Roman" w:hAnsi="Times New Roman" w:cs="Times New Roman"/>
          <w:b/>
          <w:bCs/>
          <w:sz w:val="28"/>
          <w:szCs w:val="28"/>
          <w:u w:val="single"/>
          <w:lang w:val="en-ZA"/>
        </w:rPr>
      </w:pPr>
    </w:p>
    <w:p w14:paraId="6EBAD30C" w14:textId="103F543F" w:rsidR="0073147E" w:rsidRDefault="0073147E" w:rsidP="001F5957">
      <w:pPr>
        <w:spacing w:after="0" w:line="360" w:lineRule="auto"/>
        <w:jc w:val="center"/>
        <w:rPr>
          <w:rFonts w:ascii="Times New Roman" w:hAnsi="Times New Roman" w:cs="Times New Roman"/>
          <w:b/>
          <w:bCs/>
          <w:sz w:val="28"/>
          <w:szCs w:val="28"/>
          <w:u w:val="single"/>
          <w:lang w:val="en-ZA"/>
        </w:rPr>
      </w:pPr>
    </w:p>
    <w:p w14:paraId="688FA31E" w14:textId="69719282" w:rsidR="0073147E" w:rsidRDefault="0073147E" w:rsidP="001F5957">
      <w:pPr>
        <w:spacing w:after="0" w:line="360" w:lineRule="auto"/>
        <w:jc w:val="center"/>
        <w:rPr>
          <w:rFonts w:ascii="Times New Roman" w:hAnsi="Times New Roman" w:cs="Times New Roman"/>
          <w:b/>
          <w:bCs/>
          <w:sz w:val="28"/>
          <w:szCs w:val="28"/>
          <w:u w:val="single"/>
          <w:lang w:val="en-ZA"/>
        </w:rPr>
      </w:pPr>
    </w:p>
    <w:p w14:paraId="450E728C" w14:textId="6EB51424" w:rsidR="0073147E" w:rsidRDefault="0073147E" w:rsidP="001F5957">
      <w:pPr>
        <w:spacing w:after="0" w:line="360" w:lineRule="auto"/>
        <w:jc w:val="center"/>
        <w:rPr>
          <w:rFonts w:ascii="Times New Roman" w:hAnsi="Times New Roman" w:cs="Times New Roman"/>
          <w:b/>
          <w:bCs/>
          <w:sz w:val="28"/>
          <w:szCs w:val="28"/>
          <w:u w:val="single"/>
          <w:lang w:val="en-ZA"/>
        </w:rPr>
      </w:pPr>
    </w:p>
    <w:p w14:paraId="33D28BAF" w14:textId="2F4593EA" w:rsidR="00BD5E0F" w:rsidRDefault="00BD5E0F" w:rsidP="001F5957">
      <w:pPr>
        <w:spacing w:after="0" w:line="360" w:lineRule="auto"/>
        <w:jc w:val="center"/>
        <w:rPr>
          <w:rFonts w:ascii="Times New Roman" w:hAnsi="Times New Roman" w:cs="Times New Roman"/>
          <w:b/>
          <w:bCs/>
          <w:sz w:val="28"/>
          <w:szCs w:val="28"/>
          <w:u w:val="single"/>
          <w:lang w:val="en-ZA"/>
        </w:rPr>
      </w:pPr>
    </w:p>
    <w:p w14:paraId="1B483B98" w14:textId="3D2309EA" w:rsidR="00BD5E0F" w:rsidRDefault="00BD5E0F" w:rsidP="001F5957">
      <w:pPr>
        <w:spacing w:after="0" w:line="360" w:lineRule="auto"/>
        <w:jc w:val="center"/>
        <w:rPr>
          <w:rFonts w:ascii="Times New Roman" w:hAnsi="Times New Roman" w:cs="Times New Roman"/>
          <w:b/>
          <w:bCs/>
          <w:sz w:val="28"/>
          <w:szCs w:val="28"/>
          <w:u w:val="single"/>
          <w:lang w:val="en-ZA"/>
        </w:rPr>
      </w:pPr>
    </w:p>
    <w:p w14:paraId="04402BBB" w14:textId="77777777" w:rsidR="00BD5E0F" w:rsidRDefault="00BD5E0F" w:rsidP="001F5957">
      <w:pPr>
        <w:spacing w:after="0" w:line="360" w:lineRule="auto"/>
        <w:jc w:val="center"/>
        <w:rPr>
          <w:rFonts w:ascii="Times New Roman" w:hAnsi="Times New Roman" w:cs="Times New Roman"/>
          <w:b/>
          <w:bCs/>
          <w:sz w:val="28"/>
          <w:szCs w:val="28"/>
          <w:u w:val="single"/>
          <w:lang w:val="en-ZA"/>
        </w:rPr>
      </w:pPr>
      <w:bookmarkStart w:id="0" w:name="_GoBack"/>
      <w:bookmarkEnd w:id="0"/>
    </w:p>
    <w:p w14:paraId="6C7F49CB" w14:textId="6A3ED3A6" w:rsidR="0073147E" w:rsidRDefault="0073147E" w:rsidP="001F5957">
      <w:pPr>
        <w:spacing w:after="0" w:line="360" w:lineRule="auto"/>
        <w:jc w:val="center"/>
        <w:rPr>
          <w:rFonts w:ascii="Times New Roman" w:hAnsi="Times New Roman" w:cs="Times New Roman"/>
          <w:b/>
          <w:bCs/>
          <w:sz w:val="28"/>
          <w:szCs w:val="28"/>
          <w:u w:val="single"/>
          <w:lang w:val="en-ZA"/>
        </w:rPr>
      </w:pPr>
    </w:p>
    <w:p w14:paraId="074A7E85" w14:textId="4FE4676B" w:rsidR="0073147E" w:rsidRDefault="0073147E" w:rsidP="001F5957">
      <w:pPr>
        <w:spacing w:after="0" w:line="360" w:lineRule="auto"/>
        <w:jc w:val="center"/>
        <w:rPr>
          <w:rFonts w:ascii="Times New Roman" w:hAnsi="Times New Roman" w:cs="Times New Roman"/>
          <w:b/>
          <w:bCs/>
          <w:sz w:val="28"/>
          <w:szCs w:val="28"/>
          <w:u w:val="single"/>
          <w:lang w:val="en-ZA"/>
        </w:rPr>
      </w:pPr>
    </w:p>
    <w:p w14:paraId="3D06B147" w14:textId="3087DEA1" w:rsidR="0073147E" w:rsidRDefault="0073147E" w:rsidP="001F5957">
      <w:pPr>
        <w:spacing w:after="0" w:line="360" w:lineRule="auto"/>
        <w:jc w:val="center"/>
        <w:rPr>
          <w:rFonts w:ascii="Times New Roman" w:hAnsi="Times New Roman" w:cs="Times New Roman"/>
          <w:b/>
          <w:bCs/>
          <w:sz w:val="28"/>
          <w:szCs w:val="28"/>
          <w:u w:val="single"/>
          <w:lang w:val="en-ZA"/>
        </w:rPr>
      </w:pPr>
    </w:p>
    <w:p w14:paraId="677496BC" w14:textId="77777777" w:rsidR="005D21A6" w:rsidRDefault="005D21A6" w:rsidP="001F5957">
      <w:pPr>
        <w:spacing w:after="0" w:line="360" w:lineRule="auto"/>
        <w:jc w:val="center"/>
        <w:rPr>
          <w:rFonts w:ascii="Times New Roman" w:hAnsi="Times New Roman" w:cs="Times New Roman"/>
          <w:b/>
          <w:bCs/>
          <w:sz w:val="28"/>
          <w:szCs w:val="28"/>
          <w:u w:val="single"/>
          <w:lang w:val="en-ZA"/>
        </w:rPr>
      </w:pPr>
    </w:p>
    <w:p w14:paraId="3B84BE78" w14:textId="6459CF53" w:rsidR="001F5957" w:rsidRDefault="0073147E" w:rsidP="001F5957">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w:t>
      </w:r>
      <w:r w:rsidR="001F5957">
        <w:rPr>
          <w:rFonts w:ascii="Times New Roman" w:hAnsi="Times New Roman" w:cs="Times New Roman"/>
          <w:b/>
          <w:bCs/>
          <w:sz w:val="28"/>
          <w:szCs w:val="28"/>
          <w:u w:val="single"/>
          <w:lang w:val="en-ZA"/>
        </w:rPr>
        <w:t>UDGMENT</w:t>
      </w:r>
    </w:p>
    <w:p w14:paraId="6E81B903" w14:textId="01A3AC44" w:rsidR="001F5957" w:rsidRDefault="001F5957" w:rsidP="001F5957">
      <w:pPr>
        <w:spacing w:after="0" w:line="360" w:lineRule="auto"/>
        <w:jc w:val="center"/>
        <w:rPr>
          <w:rFonts w:ascii="Times New Roman" w:hAnsi="Times New Roman" w:cs="Times New Roman"/>
          <w:b/>
          <w:bCs/>
          <w:sz w:val="28"/>
          <w:szCs w:val="28"/>
          <w:u w:val="single"/>
          <w:lang w:val="en-ZA"/>
        </w:rPr>
      </w:pPr>
    </w:p>
    <w:p w14:paraId="7F14700F" w14:textId="1F6DF5DA" w:rsidR="001F5957" w:rsidRDefault="001F5957" w:rsidP="001F595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587D8103" w14:textId="36036500" w:rsidR="001F5957" w:rsidRDefault="001F5957" w:rsidP="001F595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is an application for a </w:t>
      </w:r>
      <w:proofErr w:type="spellStart"/>
      <w:r>
        <w:rPr>
          <w:rFonts w:ascii="Times New Roman" w:hAnsi="Times New Roman" w:cs="Times New Roman"/>
          <w:sz w:val="28"/>
          <w:szCs w:val="28"/>
          <w:lang w:val="en-ZA"/>
        </w:rPr>
        <w:t>tacid</w:t>
      </w:r>
      <w:proofErr w:type="spellEnd"/>
      <w:r>
        <w:rPr>
          <w:rFonts w:ascii="Times New Roman" w:hAnsi="Times New Roman" w:cs="Times New Roman"/>
          <w:sz w:val="28"/>
          <w:szCs w:val="28"/>
          <w:lang w:val="en-ZA"/>
        </w:rPr>
        <w:t xml:space="preserve"> hypothec and other ancillary reliefs.  The application was launched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and on urgent basis.  </w:t>
      </w:r>
      <w:r w:rsidR="00F46FA3">
        <w:rPr>
          <w:rFonts w:ascii="Times New Roman" w:hAnsi="Times New Roman" w:cs="Times New Roman"/>
          <w:sz w:val="28"/>
          <w:szCs w:val="28"/>
          <w:lang w:val="en-ZA"/>
        </w:rPr>
        <w:t xml:space="preserve">It </w:t>
      </w:r>
      <w:r>
        <w:rPr>
          <w:rFonts w:ascii="Times New Roman" w:hAnsi="Times New Roman" w:cs="Times New Roman"/>
          <w:sz w:val="28"/>
          <w:szCs w:val="28"/>
          <w:lang w:val="en-ZA"/>
        </w:rPr>
        <w:t xml:space="preserve">was couched as follows: </w:t>
      </w:r>
    </w:p>
    <w:p w14:paraId="32616B70" w14:textId="5E6362F4" w:rsidR="001F5957" w:rsidRDefault="001F5957" w:rsidP="001F5957">
      <w:pPr>
        <w:spacing w:after="0" w:line="360" w:lineRule="auto"/>
        <w:jc w:val="both"/>
        <w:rPr>
          <w:rFonts w:ascii="Times New Roman" w:hAnsi="Times New Roman" w:cs="Times New Roman"/>
          <w:sz w:val="28"/>
          <w:szCs w:val="28"/>
          <w:lang w:val="en-ZA"/>
        </w:rPr>
      </w:pPr>
    </w:p>
    <w:p w14:paraId="25D81E7B" w14:textId="4E0908BC" w:rsidR="001F5957" w:rsidRDefault="001F5957" w:rsidP="001F595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Dispensing with the rules and forms of service of this Honourable Court on account of urgency of this matter</w:t>
      </w:r>
    </w:p>
    <w:p w14:paraId="4BA0F40E" w14:textId="78BF9C2B" w:rsidR="001F5957" w:rsidRDefault="001F5957" w:rsidP="001F5957">
      <w:pPr>
        <w:spacing w:after="0" w:line="360" w:lineRule="auto"/>
        <w:ind w:left="1440" w:right="1008"/>
        <w:jc w:val="both"/>
        <w:rPr>
          <w:rFonts w:ascii="Times New Roman" w:hAnsi="Times New Roman" w:cs="Times New Roman"/>
          <w:i/>
          <w:iCs/>
          <w:sz w:val="24"/>
          <w:szCs w:val="24"/>
          <w:lang w:val="en-ZA"/>
        </w:rPr>
      </w:pPr>
    </w:p>
    <w:p w14:paraId="4AC517DA" w14:textId="496376F8" w:rsidR="00475B14" w:rsidRDefault="001F5957" w:rsidP="001F595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w:t>
      </w:r>
      <w:r w:rsidR="00966CA1">
        <w:rPr>
          <w:rFonts w:ascii="Times New Roman" w:hAnsi="Times New Roman" w:cs="Times New Roman"/>
          <w:i/>
          <w:iCs/>
          <w:sz w:val="24"/>
          <w:szCs w:val="24"/>
          <w:lang w:val="en-ZA"/>
        </w:rPr>
        <w:t>T</w:t>
      </w:r>
      <w:r>
        <w:rPr>
          <w:rFonts w:ascii="Times New Roman" w:hAnsi="Times New Roman" w:cs="Times New Roman"/>
          <w:i/>
          <w:iCs/>
          <w:sz w:val="24"/>
          <w:szCs w:val="24"/>
          <w:lang w:val="en-ZA"/>
        </w:rPr>
        <w:t>hat a rule nisi be issued returnable</w:t>
      </w:r>
      <w:r w:rsidR="00D340B5">
        <w:rPr>
          <w:rFonts w:ascii="Times New Roman" w:hAnsi="Times New Roman" w:cs="Times New Roman"/>
          <w:i/>
          <w:iCs/>
          <w:sz w:val="24"/>
          <w:szCs w:val="24"/>
          <w:lang w:val="en-ZA"/>
        </w:rPr>
        <w:t xml:space="preserve"> on a date to be determined by this Honourable Court calling upon the Respondent</w:t>
      </w:r>
      <w:r w:rsidR="00475B14">
        <w:rPr>
          <w:rFonts w:ascii="Times New Roman" w:hAnsi="Times New Roman" w:cs="Times New Roman"/>
          <w:i/>
          <w:iCs/>
          <w:sz w:val="24"/>
          <w:szCs w:val="24"/>
          <w:lang w:val="en-ZA"/>
        </w:rPr>
        <w:t>s to show cause (if any) why:</w:t>
      </w:r>
    </w:p>
    <w:p w14:paraId="1BFE4BB8" w14:textId="07D7EA07" w:rsidR="00475B14" w:rsidRDefault="00475B14" w:rsidP="001F5957">
      <w:pPr>
        <w:spacing w:after="0" w:line="360" w:lineRule="auto"/>
        <w:ind w:left="1440" w:right="1008"/>
        <w:jc w:val="both"/>
        <w:rPr>
          <w:rFonts w:ascii="Times New Roman" w:hAnsi="Times New Roman" w:cs="Times New Roman"/>
          <w:i/>
          <w:iCs/>
          <w:sz w:val="24"/>
          <w:szCs w:val="24"/>
          <w:lang w:val="en-ZA"/>
        </w:rPr>
      </w:pPr>
    </w:p>
    <w:p w14:paraId="0139D188" w14:textId="4212582A" w:rsidR="00475B14" w:rsidRDefault="00475B14" w:rsidP="00475B14">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All movable assets presently within the Estate’s property shall not be attached in exercise of Applicant’s </w:t>
      </w:r>
      <w:proofErr w:type="spellStart"/>
      <w:r>
        <w:rPr>
          <w:rFonts w:ascii="Times New Roman" w:hAnsi="Times New Roman" w:cs="Times New Roman"/>
          <w:i/>
          <w:iCs/>
          <w:sz w:val="24"/>
          <w:szCs w:val="24"/>
          <w:lang w:val="en-ZA"/>
        </w:rPr>
        <w:t>tacid</w:t>
      </w:r>
      <w:proofErr w:type="spellEnd"/>
      <w:r>
        <w:rPr>
          <w:rFonts w:ascii="Times New Roman" w:hAnsi="Times New Roman" w:cs="Times New Roman"/>
          <w:i/>
          <w:iCs/>
          <w:sz w:val="24"/>
          <w:szCs w:val="24"/>
          <w:lang w:val="en-ZA"/>
        </w:rPr>
        <w:t xml:space="preserve"> hypothec;</w:t>
      </w:r>
    </w:p>
    <w:p w14:paraId="54CD1993" w14:textId="77777777" w:rsidR="00475B14" w:rsidRDefault="00475B14" w:rsidP="00475B14">
      <w:pPr>
        <w:pStyle w:val="ListParagraph"/>
        <w:spacing w:after="0" w:line="360" w:lineRule="auto"/>
        <w:ind w:left="1800" w:right="1008"/>
        <w:jc w:val="both"/>
        <w:rPr>
          <w:rFonts w:ascii="Times New Roman" w:hAnsi="Times New Roman" w:cs="Times New Roman"/>
          <w:i/>
          <w:iCs/>
          <w:sz w:val="24"/>
          <w:szCs w:val="24"/>
          <w:lang w:val="en-ZA"/>
        </w:rPr>
      </w:pPr>
    </w:p>
    <w:p w14:paraId="5D5A0B7A" w14:textId="5B5AFFD5" w:rsidR="00475B14" w:rsidRDefault="00475B14" w:rsidP="00475B14">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w:t>
      </w:r>
      <w:r w:rsidRPr="00475B14">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interdicted and/or restrained from removing, disposing off or otherwise dealing with the said movable assets in any manner except by due process of law, pending finalisation of this application.</w:t>
      </w:r>
    </w:p>
    <w:p w14:paraId="49829B8F" w14:textId="77777777" w:rsidR="00475B14" w:rsidRPr="00475B14" w:rsidRDefault="00475B14" w:rsidP="00475B14">
      <w:pPr>
        <w:pStyle w:val="ListParagraph"/>
        <w:rPr>
          <w:rFonts w:ascii="Times New Roman" w:hAnsi="Times New Roman" w:cs="Times New Roman"/>
          <w:i/>
          <w:iCs/>
          <w:sz w:val="24"/>
          <w:szCs w:val="24"/>
          <w:lang w:val="en-ZA"/>
        </w:rPr>
      </w:pPr>
    </w:p>
    <w:p w14:paraId="4D1569A4" w14:textId="4630D3AC" w:rsidR="00475B14" w:rsidRDefault="00475B14" w:rsidP="00475B14">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w:t>
      </w:r>
      <w:r w:rsidRPr="00475B1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shall not be ordered to assess the value of the property so attached and remove it for storage, however, if it exceeds the sum of the Applicant’s </w:t>
      </w:r>
      <w:proofErr w:type="spellStart"/>
      <w:r>
        <w:rPr>
          <w:rFonts w:ascii="Times New Roman" w:hAnsi="Times New Roman" w:cs="Times New Roman"/>
          <w:i/>
          <w:iCs/>
          <w:sz w:val="24"/>
          <w:szCs w:val="24"/>
          <w:lang w:val="en-ZA"/>
        </w:rPr>
        <w:t>tacid</w:t>
      </w:r>
      <w:proofErr w:type="spellEnd"/>
      <w:r>
        <w:rPr>
          <w:rFonts w:ascii="Times New Roman" w:hAnsi="Times New Roman" w:cs="Times New Roman"/>
          <w:i/>
          <w:iCs/>
          <w:sz w:val="24"/>
          <w:szCs w:val="24"/>
          <w:lang w:val="en-ZA"/>
        </w:rPr>
        <w:t xml:space="preserve"> hypothec, the value of the Applicant’s </w:t>
      </w:r>
      <w:proofErr w:type="spellStart"/>
      <w:r>
        <w:rPr>
          <w:rFonts w:ascii="Times New Roman" w:hAnsi="Times New Roman" w:cs="Times New Roman"/>
          <w:i/>
          <w:iCs/>
          <w:sz w:val="24"/>
          <w:szCs w:val="24"/>
          <w:lang w:val="en-ZA"/>
        </w:rPr>
        <w:t>tacid</w:t>
      </w:r>
      <w:proofErr w:type="spellEnd"/>
      <w:r>
        <w:rPr>
          <w:rFonts w:ascii="Times New Roman" w:hAnsi="Times New Roman" w:cs="Times New Roman"/>
          <w:i/>
          <w:iCs/>
          <w:sz w:val="24"/>
          <w:szCs w:val="24"/>
          <w:lang w:val="en-ZA"/>
        </w:rPr>
        <w:t xml:space="preserve"> hypothec shall be removed for storage.</w:t>
      </w:r>
    </w:p>
    <w:p w14:paraId="49D2C341" w14:textId="77777777" w:rsidR="00475B14" w:rsidRPr="00475B14" w:rsidRDefault="00475B14" w:rsidP="00475B14">
      <w:pPr>
        <w:pStyle w:val="ListParagraph"/>
        <w:rPr>
          <w:rFonts w:ascii="Times New Roman" w:hAnsi="Times New Roman" w:cs="Times New Roman"/>
          <w:i/>
          <w:iCs/>
          <w:sz w:val="24"/>
          <w:szCs w:val="24"/>
          <w:lang w:val="en-ZA"/>
        </w:rPr>
      </w:pPr>
    </w:p>
    <w:p w14:paraId="5A354CDE" w14:textId="38176134" w:rsidR="00475B14" w:rsidRDefault="00475B14" w:rsidP="00475B14">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w:t>
      </w:r>
      <w:r w:rsidRPr="00475B1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shall not provide 4</w:t>
      </w:r>
      <w:r w:rsidRPr="00475B1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with any assistance and/or personnel necessary to </w:t>
      </w:r>
      <w:proofErr w:type="gramStart"/>
      <w:r>
        <w:rPr>
          <w:rFonts w:ascii="Times New Roman" w:hAnsi="Times New Roman" w:cs="Times New Roman"/>
          <w:i/>
          <w:iCs/>
          <w:sz w:val="24"/>
          <w:szCs w:val="24"/>
          <w:lang w:val="en-ZA"/>
        </w:rPr>
        <w:t>effect</w:t>
      </w:r>
      <w:proofErr w:type="gramEnd"/>
      <w:r>
        <w:rPr>
          <w:rFonts w:ascii="Times New Roman" w:hAnsi="Times New Roman" w:cs="Times New Roman"/>
          <w:i/>
          <w:iCs/>
          <w:sz w:val="24"/>
          <w:szCs w:val="24"/>
          <w:lang w:val="en-ZA"/>
        </w:rPr>
        <w:t xml:space="preserve"> the execution of prayers 2(a) and 2(b) above.</w:t>
      </w:r>
    </w:p>
    <w:p w14:paraId="2DFB747A" w14:textId="77777777" w:rsidR="00475B14" w:rsidRPr="00475B14" w:rsidRDefault="00475B14" w:rsidP="00475B14">
      <w:pPr>
        <w:pStyle w:val="ListParagraph"/>
        <w:rPr>
          <w:rFonts w:ascii="Times New Roman" w:hAnsi="Times New Roman" w:cs="Times New Roman"/>
          <w:i/>
          <w:iCs/>
          <w:sz w:val="24"/>
          <w:szCs w:val="24"/>
          <w:lang w:val="en-ZA"/>
        </w:rPr>
      </w:pPr>
    </w:p>
    <w:p w14:paraId="73F8E1CD" w14:textId="01B0ACC7" w:rsidR="00475B14" w:rsidRDefault="00475B14"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3. Applicants shall not be authorised to sell 1</w:t>
      </w:r>
      <w:r w:rsidRPr="00475B14">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Respondent’s assets presently within its premises at Sea-Point Maseru and realise </w:t>
      </w:r>
      <w:r w:rsidR="00E54889">
        <w:rPr>
          <w:rFonts w:ascii="Times New Roman" w:hAnsi="Times New Roman" w:cs="Times New Roman"/>
          <w:i/>
          <w:iCs/>
          <w:sz w:val="24"/>
          <w:szCs w:val="24"/>
          <w:lang w:val="en-ZA"/>
        </w:rPr>
        <w:t>the proceeds thereof in settlement of the rental arrears owed to amount of Two Hundred Thirty Eight Thousand Three Hundred and Twenty Maloti (M238,320.00) herein.</w:t>
      </w:r>
    </w:p>
    <w:p w14:paraId="71E0FBC6" w14:textId="5F27BE96" w:rsidR="00E54889" w:rsidRDefault="00E54889" w:rsidP="00475B14">
      <w:pPr>
        <w:spacing w:after="0" w:line="360" w:lineRule="auto"/>
        <w:ind w:left="1440" w:right="1008"/>
        <w:jc w:val="both"/>
        <w:rPr>
          <w:rFonts w:ascii="Times New Roman" w:hAnsi="Times New Roman" w:cs="Times New Roman"/>
          <w:i/>
          <w:iCs/>
          <w:sz w:val="24"/>
          <w:szCs w:val="24"/>
          <w:lang w:val="en-ZA"/>
        </w:rPr>
      </w:pPr>
    </w:p>
    <w:p w14:paraId="12C76161" w14:textId="653773EB" w:rsidR="00E54889" w:rsidRDefault="00E54889"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The 2</w:t>
      </w:r>
      <w:r w:rsidRPr="00E54889">
        <w:rPr>
          <w:rFonts w:ascii="Times New Roman" w:hAnsi="Times New Roman" w:cs="Times New Roman"/>
          <w:i/>
          <w:iCs/>
          <w:sz w:val="24"/>
          <w:szCs w:val="24"/>
          <w:vertAlign w:val="superscript"/>
          <w:lang w:val="en-ZA"/>
        </w:rPr>
        <w:t>nd</w:t>
      </w:r>
      <w:r>
        <w:rPr>
          <w:rFonts w:ascii="Times New Roman" w:hAnsi="Times New Roman" w:cs="Times New Roman"/>
          <w:i/>
          <w:iCs/>
          <w:sz w:val="24"/>
          <w:szCs w:val="24"/>
          <w:vertAlign w:val="superscript"/>
          <w:lang w:val="en-ZA"/>
        </w:rPr>
        <w:t xml:space="preserve"> </w:t>
      </w:r>
      <w:r>
        <w:rPr>
          <w:rFonts w:ascii="Times New Roman" w:hAnsi="Times New Roman" w:cs="Times New Roman"/>
          <w:i/>
          <w:iCs/>
          <w:sz w:val="24"/>
          <w:szCs w:val="24"/>
          <w:lang w:val="en-ZA"/>
        </w:rPr>
        <w:t>and 3</w:t>
      </w:r>
      <w:r w:rsidRPr="00E5488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shall not be ordered to disclose the contracts they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with the 1</w:t>
      </w:r>
      <w:r w:rsidRPr="00E5488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monies paid to the 1</w:t>
      </w:r>
      <w:r w:rsidRPr="00E5488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as rent.  </w:t>
      </w:r>
    </w:p>
    <w:p w14:paraId="1B66F7D5" w14:textId="583E6AB6" w:rsidR="00E54889" w:rsidRDefault="00E54889" w:rsidP="00475B14">
      <w:pPr>
        <w:spacing w:after="0" w:line="360" w:lineRule="auto"/>
        <w:ind w:left="1440" w:right="1008"/>
        <w:jc w:val="both"/>
        <w:rPr>
          <w:rFonts w:ascii="Times New Roman" w:hAnsi="Times New Roman" w:cs="Times New Roman"/>
          <w:i/>
          <w:iCs/>
          <w:sz w:val="24"/>
          <w:szCs w:val="24"/>
          <w:lang w:val="en-ZA"/>
        </w:rPr>
      </w:pPr>
    </w:p>
    <w:p w14:paraId="5A321CC9" w14:textId="77777777" w:rsidR="00E54889" w:rsidRDefault="00E54889"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Any property belonging to the 2</w:t>
      </w:r>
      <w:r w:rsidRPr="00E54889">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E5488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shall be released to them upon proof of ownership of such property and upon disclosure of contracts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with 1</w:t>
      </w:r>
      <w:r w:rsidRPr="00E5488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proof of payment of rentals to 1</w:t>
      </w:r>
      <w:r w:rsidRPr="00E5488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w:t>
      </w:r>
    </w:p>
    <w:p w14:paraId="0ED75B03" w14:textId="77777777" w:rsidR="00E54889" w:rsidRDefault="00E54889" w:rsidP="00475B14">
      <w:pPr>
        <w:spacing w:after="0" w:line="360" w:lineRule="auto"/>
        <w:ind w:left="1440" w:right="1008"/>
        <w:jc w:val="both"/>
        <w:rPr>
          <w:rFonts w:ascii="Times New Roman" w:hAnsi="Times New Roman" w:cs="Times New Roman"/>
          <w:i/>
          <w:iCs/>
          <w:sz w:val="24"/>
          <w:szCs w:val="24"/>
          <w:lang w:val="en-ZA"/>
        </w:rPr>
      </w:pPr>
    </w:p>
    <w:p w14:paraId="76ECC789" w14:textId="77777777" w:rsidR="008F554B" w:rsidRDefault="00E54889"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6. 1</w:t>
      </w:r>
      <w:r w:rsidRPr="00E5488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ordered to pay any money it received as rentals for subletting the property to the 2</w:t>
      </w:r>
      <w:r w:rsidRPr="00E54889">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E5488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w:t>
      </w:r>
      <w:r w:rsidR="008F554B">
        <w:rPr>
          <w:rFonts w:ascii="Times New Roman" w:hAnsi="Times New Roman" w:cs="Times New Roman"/>
          <w:i/>
          <w:iCs/>
          <w:sz w:val="24"/>
          <w:szCs w:val="24"/>
          <w:lang w:val="en-ZA"/>
        </w:rPr>
        <w:t>Respondents without Applicants’ knowledge and consent contrary to the sub-lease agreement.</w:t>
      </w:r>
    </w:p>
    <w:p w14:paraId="14D39386" w14:textId="77777777" w:rsidR="008F554B" w:rsidRDefault="008F554B" w:rsidP="00475B14">
      <w:pPr>
        <w:spacing w:after="0" w:line="360" w:lineRule="auto"/>
        <w:ind w:left="1440" w:right="1008"/>
        <w:jc w:val="both"/>
        <w:rPr>
          <w:rFonts w:ascii="Times New Roman" w:hAnsi="Times New Roman" w:cs="Times New Roman"/>
          <w:i/>
          <w:iCs/>
          <w:sz w:val="24"/>
          <w:szCs w:val="24"/>
          <w:lang w:val="en-ZA"/>
        </w:rPr>
      </w:pPr>
    </w:p>
    <w:p w14:paraId="4DC1C7A8" w14:textId="77777777" w:rsidR="008F554B" w:rsidRDefault="008F554B"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 That prayers 1, 2, 2(a), 2(b), 2(c) and 2(d) should operate with immediate effect as an interim order of this court.</w:t>
      </w:r>
    </w:p>
    <w:p w14:paraId="31FB74CF" w14:textId="77777777" w:rsidR="008F554B" w:rsidRDefault="008F554B" w:rsidP="00475B14">
      <w:pPr>
        <w:spacing w:after="0" w:line="360" w:lineRule="auto"/>
        <w:ind w:left="1440" w:right="1008"/>
        <w:jc w:val="both"/>
        <w:rPr>
          <w:rFonts w:ascii="Times New Roman" w:hAnsi="Times New Roman" w:cs="Times New Roman"/>
          <w:i/>
          <w:iCs/>
          <w:sz w:val="24"/>
          <w:szCs w:val="24"/>
          <w:lang w:val="en-ZA"/>
        </w:rPr>
      </w:pPr>
    </w:p>
    <w:p w14:paraId="1A57923C" w14:textId="77777777" w:rsidR="008F554B" w:rsidRDefault="008F554B"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Alternatively</w:t>
      </w:r>
    </w:p>
    <w:p w14:paraId="7009243C" w14:textId="77777777" w:rsidR="008F554B" w:rsidRDefault="008F554B" w:rsidP="00475B14">
      <w:pPr>
        <w:spacing w:after="0" w:line="360" w:lineRule="auto"/>
        <w:ind w:left="1440" w:right="1008"/>
        <w:jc w:val="both"/>
        <w:rPr>
          <w:rFonts w:ascii="Times New Roman" w:hAnsi="Times New Roman" w:cs="Times New Roman"/>
          <w:i/>
          <w:iCs/>
          <w:sz w:val="24"/>
          <w:szCs w:val="24"/>
          <w:lang w:val="en-ZA"/>
        </w:rPr>
      </w:pPr>
    </w:p>
    <w:p w14:paraId="5DEC8A05" w14:textId="77777777" w:rsidR="0017592F" w:rsidRDefault="008F554B"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10. The 1</w:t>
      </w:r>
      <w:r w:rsidRPr="008F554B">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directed to pay the amount of Two Hundred </w:t>
      </w:r>
      <w:proofErr w:type="gramStart"/>
      <w:r>
        <w:rPr>
          <w:rFonts w:ascii="Times New Roman" w:hAnsi="Times New Roman" w:cs="Times New Roman"/>
          <w:i/>
          <w:iCs/>
          <w:sz w:val="24"/>
          <w:szCs w:val="24"/>
          <w:lang w:val="en-ZA"/>
        </w:rPr>
        <w:t>Thirty Eight</w:t>
      </w:r>
      <w:proofErr w:type="gramEnd"/>
      <w:r>
        <w:rPr>
          <w:rFonts w:ascii="Times New Roman" w:hAnsi="Times New Roman" w:cs="Times New Roman"/>
          <w:i/>
          <w:iCs/>
          <w:sz w:val="24"/>
          <w:szCs w:val="24"/>
          <w:lang w:val="en-ZA"/>
        </w:rPr>
        <w:t xml:space="preserve"> Thousand and Three Hundred and Twenty Maloti (M238, 320.00) being the </w:t>
      </w:r>
      <w:r w:rsidR="0017592F">
        <w:rPr>
          <w:rFonts w:ascii="Times New Roman" w:hAnsi="Times New Roman" w:cs="Times New Roman"/>
          <w:i/>
          <w:iCs/>
          <w:sz w:val="24"/>
          <w:szCs w:val="24"/>
          <w:lang w:val="en-ZA"/>
        </w:rPr>
        <w:t>amount owed to the Applicants.</w:t>
      </w:r>
    </w:p>
    <w:p w14:paraId="4DC546E8"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p>
    <w:p w14:paraId="6CC37A78"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11. The 2</w:t>
      </w:r>
      <w:r w:rsidRPr="0017592F">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17592F">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shall not be ordered to disclose the contracts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with 1</w:t>
      </w:r>
      <w:r w:rsidRPr="0017592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rentals paid.</w:t>
      </w:r>
    </w:p>
    <w:p w14:paraId="49F3AB99"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p>
    <w:p w14:paraId="1D720405"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12. Any property belonging to the 2</w:t>
      </w:r>
      <w:r w:rsidRPr="0017592F">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17592F">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shall be released to them upon proof of ownership of such property and upon disclosure of contracts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with 1</w:t>
      </w:r>
      <w:r w:rsidRPr="0017592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proof of payment of rentals to 1</w:t>
      </w:r>
      <w:r w:rsidRPr="0017592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w:t>
      </w:r>
    </w:p>
    <w:p w14:paraId="39DB8800"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p>
    <w:p w14:paraId="2AC99BD0"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13. 1</w:t>
      </w:r>
      <w:r w:rsidRPr="0017592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directed to pay all the money it received as rentals for subletting the property to the 2</w:t>
      </w:r>
      <w:r w:rsidRPr="0017592F">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17592F">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without the knowledge and consent of the Applicants contrary to the sub-lease agreement.</w:t>
      </w:r>
    </w:p>
    <w:p w14:paraId="1730097D"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p>
    <w:p w14:paraId="13235501" w14:textId="77777777" w:rsidR="0017592F" w:rsidRDefault="0017592F" w:rsidP="00475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 Costs of suit.”</w:t>
      </w:r>
    </w:p>
    <w:p w14:paraId="5E3C2DC4" w14:textId="77777777" w:rsidR="0017592F" w:rsidRDefault="0017592F" w:rsidP="0017592F">
      <w:pPr>
        <w:spacing w:after="0" w:line="360" w:lineRule="auto"/>
        <w:ind w:right="1008"/>
        <w:jc w:val="both"/>
        <w:rPr>
          <w:rFonts w:ascii="Times New Roman" w:hAnsi="Times New Roman" w:cs="Times New Roman"/>
          <w:i/>
          <w:iCs/>
          <w:sz w:val="24"/>
          <w:szCs w:val="24"/>
          <w:lang w:val="en-ZA"/>
        </w:rPr>
      </w:pPr>
    </w:p>
    <w:p w14:paraId="327054F6" w14:textId="77777777" w:rsidR="00FE02B4" w:rsidRDefault="00FE02B4" w:rsidP="00FE02B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On the 5 May 2022 the Duty-Judge granted the interim reliefs sought and after the pleadings were closed, the matter was heard on the 27 May 2022.  After hearing arguments, judgment was reserved.  </w:t>
      </w:r>
    </w:p>
    <w:p w14:paraId="0E1A593F" w14:textId="77777777" w:rsidR="00FE02B4" w:rsidRDefault="00FE02B4" w:rsidP="00FE02B4">
      <w:pPr>
        <w:spacing w:after="0" w:line="360" w:lineRule="auto"/>
        <w:ind w:left="720" w:hanging="720"/>
        <w:jc w:val="both"/>
        <w:rPr>
          <w:rFonts w:ascii="Times New Roman" w:hAnsi="Times New Roman" w:cs="Times New Roman"/>
          <w:sz w:val="28"/>
          <w:szCs w:val="28"/>
          <w:lang w:val="en-ZA"/>
        </w:rPr>
      </w:pPr>
    </w:p>
    <w:p w14:paraId="6707E1B5" w14:textId="77777777" w:rsidR="00FE02B4" w:rsidRDefault="00FE02B4" w:rsidP="00FE02B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2EABD14F" w14:textId="559255E6" w:rsidR="005875DB" w:rsidRDefault="00FE02B4" w:rsidP="00FE02B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In April 2019, the Executors of estate </w:t>
      </w:r>
      <w:proofErr w:type="spellStart"/>
      <w:r>
        <w:rPr>
          <w:rFonts w:ascii="Times New Roman" w:hAnsi="Times New Roman" w:cs="Times New Roman"/>
          <w:sz w:val="28"/>
          <w:szCs w:val="28"/>
          <w:lang w:val="en-ZA"/>
        </w:rPr>
        <w:t>Monaphathi</w:t>
      </w:r>
      <w:proofErr w:type="spellEnd"/>
      <w:r>
        <w:rPr>
          <w:rFonts w:ascii="Times New Roman" w:hAnsi="Times New Roman" w:cs="Times New Roman"/>
          <w:sz w:val="28"/>
          <w:szCs w:val="28"/>
          <w:lang w:val="en-ZA"/>
        </w:rPr>
        <w:t xml:space="preserve"> and 1</w:t>
      </w:r>
      <w:r w:rsidRPr="00FE02B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represented by Ms </w:t>
      </w:r>
      <w:proofErr w:type="spellStart"/>
      <w:r>
        <w:rPr>
          <w:rFonts w:ascii="Times New Roman" w:hAnsi="Times New Roman" w:cs="Times New Roman"/>
          <w:sz w:val="28"/>
          <w:szCs w:val="28"/>
          <w:lang w:val="en-ZA"/>
        </w:rPr>
        <w:t>Paballo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Moko</w:t>
      </w:r>
      <w:r w:rsidR="00785812">
        <w:rPr>
          <w:rFonts w:ascii="Times New Roman" w:hAnsi="Times New Roman" w:cs="Times New Roman"/>
          <w:sz w:val="28"/>
          <w:szCs w:val="28"/>
          <w:lang w:val="en-ZA"/>
        </w:rPr>
        <w:t>qo</w:t>
      </w:r>
      <w:proofErr w:type="spellEnd"/>
      <w:r w:rsidR="00785812">
        <w:rPr>
          <w:rFonts w:ascii="Times New Roman" w:hAnsi="Times New Roman" w:cs="Times New Roman"/>
          <w:sz w:val="28"/>
          <w:szCs w:val="28"/>
          <w:lang w:val="en-ZA"/>
        </w:rPr>
        <w:t xml:space="preserve"> entered into a written sublease agreement.  The agreement was duly signed on the 09 April 2019.  Clause 13 of the agreement stipulates that it commences on the </w:t>
      </w:r>
      <w:r w:rsidR="004641CD">
        <w:rPr>
          <w:rFonts w:ascii="Times New Roman" w:hAnsi="Times New Roman" w:cs="Times New Roman"/>
          <w:sz w:val="28"/>
          <w:szCs w:val="28"/>
          <w:lang w:val="en-ZA"/>
        </w:rPr>
        <w:t>0</w:t>
      </w:r>
      <w:r w:rsidR="00785812">
        <w:rPr>
          <w:rFonts w:ascii="Times New Roman" w:hAnsi="Times New Roman" w:cs="Times New Roman"/>
          <w:sz w:val="28"/>
          <w:szCs w:val="28"/>
          <w:lang w:val="en-ZA"/>
        </w:rPr>
        <w:t>1 May 2019.  The agreement further provides that rental payable shall be M6,000.00 per month subject of 10% escalation per annum and that the 1</w:t>
      </w:r>
      <w:r w:rsidR="00785812" w:rsidRPr="00785812">
        <w:rPr>
          <w:rFonts w:ascii="Times New Roman" w:hAnsi="Times New Roman" w:cs="Times New Roman"/>
          <w:sz w:val="28"/>
          <w:szCs w:val="28"/>
          <w:vertAlign w:val="superscript"/>
          <w:lang w:val="en-ZA"/>
        </w:rPr>
        <w:t>st</w:t>
      </w:r>
      <w:r w:rsidR="00785812">
        <w:rPr>
          <w:rFonts w:ascii="Times New Roman" w:hAnsi="Times New Roman" w:cs="Times New Roman"/>
          <w:sz w:val="28"/>
          <w:szCs w:val="28"/>
          <w:lang w:val="en-ZA"/>
        </w:rPr>
        <w:t xml:space="preserve"> Respondent shall not sublet </w:t>
      </w:r>
      <w:r w:rsidR="005875DB">
        <w:rPr>
          <w:rFonts w:ascii="Times New Roman" w:hAnsi="Times New Roman" w:cs="Times New Roman"/>
          <w:sz w:val="28"/>
          <w:szCs w:val="28"/>
          <w:lang w:val="en-ZA"/>
        </w:rPr>
        <w:t>the property without the consent of the Executors.</w:t>
      </w:r>
    </w:p>
    <w:p w14:paraId="079C0945" w14:textId="77777777" w:rsidR="005875DB" w:rsidRDefault="005875DB" w:rsidP="00FE02B4">
      <w:pPr>
        <w:spacing w:after="0" w:line="360" w:lineRule="auto"/>
        <w:ind w:left="720" w:hanging="720"/>
        <w:jc w:val="both"/>
        <w:rPr>
          <w:rFonts w:ascii="Times New Roman" w:hAnsi="Times New Roman" w:cs="Times New Roman"/>
          <w:sz w:val="28"/>
          <w:szCs w:val="28"/>
          <w:lang w:val="en-ZA"/>
        </w:rPr>
      </w:pPr>
    </w:p>
    <w:p w14:paraId="4D92EB93" w14:textId="77777777" w:rsidR="005875DB" w:rsidRDefault="005875DB" w:rsidP="00FE02B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60C5E6DC" w14:textId="1D72D320" w:rsidR="00A93245" w:rsidRPr="00753D29" w:rsidRDefault="005875DB" w:rsidP="00FE02B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sidR="00753D29">
        <w:rPr>
          <w:rFonts w:ascii="Times New Roman" w:hAnsi="Times New Roman" w:cs="Times New Roman"/>
          <w:sz w:val="28"/>
          <w:szCs w:val="28"/>
          <w:lang w:val="en-ZA"/>
        </w:rPr>
        <w:t xml:space="preserve">  </w:t>
      </w:r>
      <w:r w:rsidRPr="00753D29">
        <w:rPr>
          <w:rFonts w:ascii="Times New Roman" w:hAnsi="Times New Roman" w:cs="Times New Roman"/>
          <w:b/>
          <w:bCs/>
          <w:sz w:val="28"/>
          <w:szCs w:val="28"/>
          <w:lang w:val="en-ZA"/>
        </w:rPr>
        <w:t>Applicants</w:t>
      </w:r>
      <w:r w:rsidR="00FE02B4" w:rsidRPr="00753D29">
        <w:rPr>
          <w:rFonts w:ascii="Times New Roman" w:hAnsi="Times New Roman" w:cs="Times New Roman"/>
          <w:b/>
          <w:bCs/>
          <w:sz w:val="28"/>
          <w:szCs w:val="28"/>
          <w:lang w:val="en-ZA"/>
        </w:rPr>
        <w:t xml:space="preserve"> </w:t>
      </w:r>
      <w:r w:rsidR="00A93245" w:rsidRPr="00753D29">
        <w:rPr>
          <w:rFonts w:ascii="Times New Roman" w:hAnsi="Times New Roman" w:cs="Times New Roman"/>
          <w:b/>
          <w:bCs/>
          <w:sz w:val="28"/>
          <w:szCs w:val="28"/>
          <w:lang w:val="en-ZA"/>
        </w:rPr>
        <w:t>Case</w:t>
      </w:r>
    </w:p>
    <w:p w14:paraId="6D90BB21" w14:textId="1F6CC7F2" w:rsidR="00E54889" w:rsidRDefault="00A93245" w:rsidP="00FA1D1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It is the applicant’s case that the 1</w:t>
      </w:r>
      <w:r w:rsidRPr="00A9324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failed to pay rentals since the coming into operation of the agreement.  It is the evidence of Mrs </w:t>
      </w:r>
      <w:proofErr w:type="spellStart"/>
      <w:r>
        <w:rPr>
          <w:rFonts w:ascii="Times New Roman" w:hAnsi="Times New Roman" w:cs="Times New Roman"/>
          <w:sz w:val="28"/>
          <w:szCs w:val="28"/>
          <w:lang w:val="en-ZA"/>
        </w:rPr>
        <w:t>Moroesi</w:t>
      </w:r>
      <w:proofErr w:type="spellEnd"/>
      <w:r>
        <w:rPr>
          <w:rFonts w:ascii="Times New Roman" w:hAnsi="Times New Roman" w:cs="Times New Roman"/>
          <w:sz w:val="28"/>
          <w:szCs w:val="28"/>
          <w:lang w:val="en-ZA"/>
        </w:rPr>
        <w:t xml:space="preserve"> Tau-Thabane (the Executor) that on the 14 March 2022 she had a telephonic conversation with the Chief Executive Officer (CEO) </w:t>
      </w:r>
      <w:r w:rsidR="005F228A">
        <w:rPr>
          <w:rFonts w:ascii="Times New Roman" w:hAnsi="Times New Roman" w:cs="Times New Roman"/>
          <w:sz w:val="28"/>
          <w:szCs w:val="28"/>
          <w:lang w:val="en-ZA"/>
        </w:rPr>
        <w:t>of the 1</w:t>
      </w:r>
      <w:r w:rsidR="005F228A" w:rsidRPr="005F228A">
        <w:rPr>
          <w:rFonts w:ascii="Times New Roman" w:hAnsi="Times New Roman" w:cs="Times New Roman"/>
          <w:sz w:val="28"/>
          <w:szCs w:val="28"/>
          <w:vertAlign w:val="superscript"/>
          <w:lang w:val="en-ZA"/>
        </w:rPr>
        <w:t>st</w:t>
      </w:r>
      <w:r w:rsidR="005F228A">
        <w:rPr>
          <w:rFonts w:ascii="Times New Roman" w:hAnsi="Times New Roman" w:cs="Times New Roman"/>
          <w:sz w:val="28"/>
          <w:szCs w:val="28"/>
          <w:lang w:val="en-ZA"/>
        </w:rPr>
        <w:t xml:space="preserve"> respondent Ms </w:t>
      </w:r>
      <w:proofErr w:type="spellStart"/>
      <w:r w:rsidR="005F228A">
        <w:rPr>
          <w:rFonts w:ascii="Times New Roman" w:hAnsi="Times New Roman" w:cs="Times New Roman"/>
          <w:sz w:val="28"/>
          <w:szCs w:val="28"/>
          <w:lang w:val="en-ZA"/>
        </w:rPr>
        <w:t>Paballo</w:t>
      </w:r>
      <w:proofErr w:type="spellEnd"/>
      <w:r w:rsidR="005F228A">
        <w:rPr>
          <w:rFonts w:ascii="Times New Roman" w:hAnsi="Times New Roman" w:cs="Times New Roman"/>
          <w:sz w:val="28"/>
          <w:szCs w:val="28"/>
          <w:lang w:val="en-ZA"/>
        </w:rPr>
        <w:t xml:space="preserve"> </w:t>
      </w:r>
      <w:proofErr w:type="spellStart"/>
      <w:r w:rsidR="005F228A">
        <w:rPr>
          <w:rFonts w:ascii="Times New Roman" w:hAnsi="Times New Roman" w:cs="Times New Roman"/>
          <w:sz w:val="28"/>
          <w:szCs w:val="28"/>
          <w:lang w:val="en-ZA"/>
        </w:rPr>
        <w:t>Mokoqo</w:t>
      </w:r>
      <w:proofErr w:type="spellEnd"/>
      <w:r w:rsidR="005F228A">
        <w:rPr>
          <w:rFonts w:ascii="Times New Roman" w:hAnsi="Times New Roman" w:cs="Times New Roman"/>
          <w:sz w:val="28"/>
          <w:szCs w:val="28"/>
          <w:lang w:val="en-ZA"/>
        </w:rPr>
        <w:t xml:space="preserve"> in which she demanded  payment of rentals and </w:t>
      </w:r>
      <w:r w:rsidR="00B36F2E">
        <w:rPr>
          <w:rFonts w:ascii="Times New Roman" w:hAnsi="Times New Roman" w:cs="Times New Roman"/>
          <w:sz w:val="28"/>
          <w:szCs w:val="28"/>
          <w:lang w:val="en-ZA"/>
        </w:rPr>
        <w:t>reminded her</w:t>
      </w:r>
      <w:r w:rsidR="005F228A">
        <w:rPr>
          <w:rFonts w:ascii="Times New Roman" w:hAnsi="Times New Roman" w:cs="Times New Roman"/>
          <w:sz w:val="28"/>
          <w:szCs w:val="28"/>
          <w:lang w:val="en-ZA"/>
        </w:rPr>
        <w:t xml:space="preserve"> that the agreement was terminating at the end of April 2022</w:t>
      </w:r>
      <w:r w:rsidR="003A488C">
        <w:rPr>
          <w:rFonts w:ascii="Times New Roman" w:hAnsi="Times New Roman" w:cs="Times New Roman"/>
          <w:sz w:val="28"/>
          <w:szCs w:val="28"/>
          <w:lang w:val="en-ZA"/>
        </w:rPr>
        <w:t xml:space="preserve">.  Ms </w:t>
      </w:r>
      <w:proofErr w:type="spellStart"/>
      <w:r w:rsidR="003A488C">
        <w:rPr>
          <w:rFonts w:ascii="Times New Roman" w:hAnsi="Times New Roman" w:cs="Times New Roman"/>
          <w:sz w:val="28"/>
          <w:szCs w:val="28"/>
          <w:lang w:val="en-ZA"/>
        </w:rPr>
        <w:t>Mokoqo</w:t>
      </w:r>
      <w:proofErr w:type="spellEnd"/>
      <w:r w:rsidR="003A488C">
        <w:rPr>
          <w:rFonts w:ascii="Times New Roman" w:hAnsi="Times New Roman" w:cs="Times New Roman"/>
          <w:sz w:val="28"/>
          <w:szCs w:val="28"/>
          <w:lang w:val="en-ZA"/>
        </w:rPr>
        <w:t xml:space="preserve"> however </w:t>
      </w:r>
      <w:r w:rsidR="00B36F2E">
        <w:rPr>
          <w:rFonts w:ascii="Times New Roman" w:hAnsi="Times New Roman" w:cs="Times New Roman"/>
          <w:sz w:val="28"/>
          <w:szCs w:val="28"/>
          <w:lang w:val="en-ZA"/>
        </w:rPr>
        <w:t>asser</w:t>
      </w:r>
      <w:r w:rsidR="003A488C">
        <w:rPr>
          <w:rFonts w:ascii="Times New Roman" w:hAnsi="Times New Roman" w:cs="Times New Roman"/>
          <w:sz w:val="28"/>
          <w:szCs w:val="28"/>
          <w:lang w:val="en-ZA"/>
        </w:rPr>
        <w:t xml:space="preserve">ted that the agreement would </w:t>
      </w:r>
      <w:r w:rsidR="00894A90">
        <w:rPr>
          <w:rFonts w:ascii="Times New Roman" w:hAnsi="Times New Roman" w:cs="Times New Roman"/>
          <w:sz w:val="28"/>
          <w:szCs w:val="28"/>
          <w:lang w:val="en-ZA"/>
        </w:rPr>
        <w:t xml:space="preserve">be terminating on the </w:t>
      </w:r>
      <w:r w:rsidR="00B36F2E">
        <w:rPr>
          <w:rFonts w:ascii="Times New Roman" w:hAnsi="Times New Roman" w:cs="Times New Roman"/>
          <w:sz w:val="28"/>
          <w:szCs w:val="28"/>
          <w:lang w:val="en-ZA"/>
        </w:rPr>
        <w:t>0</w:t>
      </w:r>
      <w:r w:rsidR="00894A90">
        <w:rPr>
          <w:rFonts w:ascii="Times New Roman" w:hAnsi="Times New Roman" w:cs="Times New Roman"/>
          <w:sz w:val="28"/>
          <w:szCs w:val="28"/>
          <w:lang w:val="en-ZA"/>
        </w:rPr>
        <w:t xml:space="preserve">1 December 2022 as per </w:t>
      </w:r>
      <w:r w:rsidR="00B36F2E">
        <w:rPr>
          <w:rFonts w:ascii="Times New Roman" w:hAnsi="Times New Roman" w:cs="Times New Roman"/>
          <w:sz w:val="28"/>
          <w:szCs w:val="28"/>
          <w:lang w:val="en-ZA"/>
        </w:rPr>
        <w:t>what she termed the proposed</w:t>
      </w:r>
      <w:r w:rsidR="00894A90">
        <w:rPr>
          <w:rFonts w:ascii="Times New Roman" w:hAnsi="Times New Roman" w:cs="Times New Roman"/>
          <w:sz w:val="28"/>
          <w:szCs w:val="28"/>
          <w:lang w:val="en-ZA"/>
        </w:rPr>
        <w:t xml:space="preserve"> amendment to the main agreement which was never signed by the parties.</w:t>
      </w:r>
    </w:p>
    <w:p w14:paraId="5B889869" w14:textId="224BEAC2" w:rsidR="00FA1D16" w:rsidRDefault="00FA1D16" w:rsidP="00FA1D16">
      <w:pPr>
        <w:spacing w:after="0" w:line="360" w:lineRule="auto"/>
        <w:jc w:val="both"/>
        <w:rPr>
          <w:rFonts w:ascii="Times New Roman" w:hAnsi="Times New Roman" w:cs="Times New Roman"/>
          <w:sz w:val="28"/>
          <w:szCs w:val="28"/>
          <w:lang w:val="en-ZA"/>
        </w:rPr>
      </w:pPr>
    </w:p>
    <w:p w14:paraId="2BA9871F" w14:textId="69BDFF91" w:rsidR="00FA1D16" w:rsidRDefault="00FA1D16"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B36F2E">
        <w:rPr>
          <w:rFonts w:ascii="Times New Roman" w:hAnsi="Times New Roman" w:cs="Times New Roman"/>
          <w:sz w:val="28"/>
          <w:szCs w:val="28"/>
          <w:lang w:val="en-ZA"/>
        </w:rPr>
        <w:t xml:space="preserve">Regarding the said amendment, </w:t>
      </w:r>
      <w:proofErr w:type="gramStart"/>
      <w:r w:rsidR="00B36F2E">
        <w:rPr>
          <w:rFonts w:ascii="Times New Roman" w:hAnsi="Times New Roman" w:cs="Times New Roman"/>
          <w:sz w:val="28"/>
          <w:szCs w:val="28"/>
          <w:lang w:val="en-ZA"/>
        </w:rPr>
        <w:t>it would appear that o</w:t>
      </w:r>
      <w:r>
        <w:rPr>
          <w:rFonts w:ascii="Times New Roman" w:hAnsi="Times New Roman" w:cs="Times New Roman"/>
          <w:sz w:val="28"/>
          <w:szCs w:val="28"/>
          <w:lang w:val="en-ZA"/>
        </w:rPr>
        <w:t>n</w:t>
      </w:r>
      <w:proofErr w:type="gramEnd"/>
      <w:r>
        <w:rPr>
          <w:rFonts w:ascii="Times New Roman" w:hAnsi="Times New Roman" w:cs="Times New Roman"/>
          <w:sz w:val="28"/>
          <w:szCs w:val="28"/>
          <w:lang w:val="en-ZA"/>
        </w:rPr>
        <w:t xml:space="preserve"> the 21 February 2020</w:t>
      </w:r>
      <w:r w:rsidR="00B36F2E">
        <w:rPr>
          <w:rFonts w:ascii="Times New Roman" w:hAnsi="Times New Roman" w:cs="Times New Roman"/>
          <w:sz w:val="28"/>
          <w:szCs w:val="28"/>
          <w:lang w:val="en-ZA"/>
        </w:rPr>
        <w:t>,</w:t>
      </w:r>
      <w:r>
        <w:rPr>
          <w:rFonts w:ascii="Times New Roman" w:hAnsi="Times New Roman" w:cs="Times New Roman"/>
          <w:sz w:val="28"/>
          <w:szCs w:val="28"/>
          <w:lang w:val="en-ZA"/>
        </w:rPr>
        <w:t xml:space="preserve"> the Executor </w:t>
      </w:r>
      <w:r w:rsidR="00B36F2E">
        <w:rPr>
          <w:rFonts w:ascii="Times New Roman" w:hAnsi="Times New Roman" w:cs="Times New Roman"/>
          <w:sz w:val="28"/>
          <w:szCs w:val="28"/>
          <w:lang w:val="en-ZA"/>
        </w:rPr>
        <w:t xml:space="preserve">had </w:t>
      </w:r>
      <w:r>
        <w:rPr>
          <w:rFonts w:ascii="Times New Roman" w:hAnsi="Times New Roman" w:cs="Times New Roman"/>
          <w:sz w:val="28"/>
          <w:szCs w:val="28"/>
          <w:lang w:val="en-ZA"/>
        </w:rPr>
        <w:t>wr</w:t>
      </w:r>
      <w:r w:rsidR="00B36F2E">
        <w:rPr>
          <w:rFonts w:ascii="Times New Roman" w:hAnsi="Times New Roman" w:cs="Times New Roman"/>
          <w:sz w:val="28"/>
          <w:szCs w:val="28"/>
          <w:lang w:val="en-ZA"/>
        </w:rPr>
        <w:t>itten</w:t>
      </w:r>
      <w:r>
        <w:rPr>
          <w:rFonts w:ascii="Times New Roman" w:hAnsi="Times New Roman" w:cs="Times New Roman"/>
          <w:sz w:val="28"/>
          <w:szCs w:val="28"/>
          <w:lang w:val="en-ZA"/>
        </w:rPr>
        <w:t xml:space="preserve"> a letter to Ms </w:t>
      </w:r>
      <w:proofErr w:type="spellStart"/>
      <w:r>
        <w:rPr>
          <w:rFonts w:ascii="Times New Roman" w:hAnsi="Times New Roman" w:cs="Times New Roman"/>
          <w:sz w:val="28"/>
          <w:szCs w:val="28"/>
          <w:lang w:val="en-ZA"/>
        </w:rPr>
        <w:t>Mokoqo</w:t>
      </w:r>
      <w:proofErr w:type="spellEnd"/>
      <w:r>
        <w:rPr>
          <w:rFonts w:ascii="Times New Roman" w:hAnsi="Times New Roman" w:cs="Times New Roman"/>
          <w:sz w:val="28"/>
          <w:szCs w:val="28"/>
          <w:lang w:val="en-ZA"/>
        </w:rPr>
        <w:t xml:space="preserve"> in which she rejected the terms of the proposed amendment to main sublease agreement.  It is the applicant’s evidence further tha</w:t>
      </w:r>
      <w:r w:rsidR="00B36F2E">
        <w:rPr>
          <w:rFonts w:ascii="Times New Roman" w:hAnsi="Times New Roman" w:cs="Times New Roman"/>
          <w:sz w:val="28"/>
          <w:szCs w:val="28"/>
          <w:lang w:val="en-ZA"/>
        </w:rPr>
        <w:t>t</w:t>
      </w:r>
      <w:r>
        <w:rPr>
          <w:rFonts w:ascii="Times New Roman" w:hAnsi="Times New Roman" w:cs="Times New Roman"/>
          <w:sz w:val="28"/>
          <w:szCs w:val="28"/>
          <w:lang w:val="en-ZA"/>
        </w:rPr>
        <w:t xml:space="preserve"> on 16 March 2022</w:t>
      </w:r>
      <w:r w:rsidR="00B36F2E">
        <w:rPr>
          <w:rFonts w:ascii="Times New Roman" w:hAnsi="Times New Roman" w:cs="Times New Roman"/>
          <w:sz w:val="28"/>
          <w:szCs w:val="28"/>
          <w:lang w:val="en-ZA"/>
        </w:rPr>
        <w:t>,</w:t>
      </w:r>
      <w:r>
        <w:rPr>
          <w:rFonts w:ascii="Times New Roman" w:hAnsi="Times New Roman" w:cs="Times New Roman"/>
          <w:sz w:val="28"/>
          <w:szCs w:val="28"/>
          <w:lang w:val="en-ZA"/>
        </w:rPr>
        <w:t xml:space="preserve"> Ms </w:t>
      </w:r>
      <w:proofErr w:type="spellStart"/>
      <w:r>
        <w:rPr>
          <w:rFonts w:ascii="Times New Roman" w:hAnsi="Times New Roman" w:cs="Times New Roman"/>
          <w:sz w:val="28"/>
          <w:szCs w:val="28"/>
          <w:lang w:val="en-ZA"/>
        </w:rPr>
        <w:t>Mokoqo</w:t>
      </w:r>
      <w:proofErr w:type="spellEnd"/>
      <w:r>
        <w:rPr>
          <w:rFonts w:ascii="Times New Roman" w:hAnsi="Times New Roman" w:cs="Times New Roman"/>
          <w:sz w:val="28"/>
          <w:szCs w:val="28"/>
          <w:lang w:val="en-ZA"/>
        </w:rPr>
        <w:t xml:space="preserve"> requested, through email, to be provided with invoices so as to enable her to pay rentals, this notwithstanding the facts that rental payable has been provided for in the agreement and was known to her.  The Executor obliged and sent the requested invoices </w:t>
      </w:r>
      <w:r w:rsidR="00B36F2E">
        <w:rPr>
          <w:rFonts w:ascii="Times New Roman" w:hAnsi="Times New Roman" w:cs="Times New Roman"/>
          <w:sz w:val="28"/>
          <w:szCs w:val="28"/>
          <w:lang w:val="en-ZA"/>
        </w:rPr>
        <w:t xml:space="preserve">covering the period </w:t>
      </w:r>
      <w:r>
        <w:rPr>
          <w:rFonts w:ascii="Times New Roman" w:hAnsi="Times New Roman" w:cs="Times New Roman"/>
          <w:sz w:val="28"/>
          <w:szCs w:val="28"/>
          <w:lang w:val="en-ZA"/>
        </w:rPr>
        <w:t>from 2019 – 2022.  It is the applicant’s case that the 1</w:t>
      </w:r>
      <w:r w:rsidRPr="00FA1D1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has never paid rentals despite demands.</w:t>
      </w:r>
    </w:p>
    <w:p w14:paraId="30207ABE" w14:textId="77777777" w:rsidR="00FA1D16" w:rsidRDefault="00FA1D16" w:rsidP="00FA1D16">
      <w:pPr>
        <w:spacing w:after="0" w:line="360" w:lineRule="auto"/>
        <w:ind w:left="720" w:hanging="720"/>
        <w:jc w:val="both"/>
        <w:rPr>
          <w:rFonts w:ascii="Times New Roman" w:hAnsi="Times New Roman" w:cs="Times New Roman"/>
          <w:sz w:val="28"/>
          <w:szCs w:val="28"/>
          <w:lang w:val="en-ZA"/>
        </w:rPr>
      </w:pPr>
    </w:p>
    <w:p w14:paraId="61B597AE" w14:textId="3597266C" w:rsidR="005F6605" w:rsidRDefault="00FA1D16"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On the issue of improvements the 1</w:t>
      </w:r>
      <w:r w:rsidRPr="00FA1D1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w:t>
      </w:r>
      <w:r w:rsidR="00B36F2E">
        <w:rPr>
          <w:rFonts w:ascii="Times New Roman" w:hAnsi="Times New Roman" w:cs="Times New Roman"/>
          <w:sz w:val="28"/>
          <w:szCs w:val="28"/>
          <w:lang w:val="en-ZA"/>
        </w:rPr>
        <w:t xml:space="preserve">vers that she </w:t>
      </w:r>
      <w:r>
        <w:rPr>
          <w:rFonts w:ascii="Times New Roman" w:hAnsi="Times New Roman" w:cs="Times New Roman"/>
          <w:sz w:val="28"/>
          <w:szCs w:val="28"/>
          <w:lang w:val="en-ZA"/>
        </w:rPr>
        <w:t xml:space="preserve">made </w:t>
      </w:r>
      <w:r w:rsidR="00B36F2E">
        <w:rPr>
          <w:rFonts w:ascii="Times New Roman" w:hAnsi="Times New Roman" w:cs="Times New Roman"/>
          <w:sz w:val="28"/>
          <w:szCs w:val="28"/>
          <w:lang w:val="en-ZA"/>
        </w:rPr>
        <w:t xml:space="preserve">improvements on the rented property </w:t>
      </w:r>
      <w:r>
        <w:rPr>
          <w:rFonts w:ascii="Times New Roman" w:hAnsi="Times New Roman" w:cs="Times New Roman"/>
          <w:sz w:val="28"/>
          <w:szCs w:val="28"/>
          <w:lang w:val="en-ZA"/>
        </w:rPr>
        <w:t>and</w:t>
      </w:r>
      <w:r w:rsidR="00B36F2E">
        <w:rPr>
          <w:rFonts w:ascii="Times New Roman" w:hAnsi="Times New Roman" w:cs="Times New Roman"/>
          <w:sz w:val="28"/>
          <w:szCs w:val="28"/>
          <w:lang w:val="en-ZA"/>
        </w:rPr>
        <w:t xml:space="preserve"> therefore, the amount expended on the said improvements</w:t>
      </w:r>
      <w:r>
        <w:rPr>
          <w:rFonts w:ascii="Times New Roman" w:hAnsi="Times New Roman" w:cs="Times New Roman"/>
          <w:sz w:val="28"/>
          <w:szCs w:val="28"/>
          <w:lang w:val="en-ZA"/>
        </w:rPr>
        <w:t xml:space="preserve"> </w:t>
      </w:r>
      <w:r w:rsidR="005F6605">
        <w:rPr>
          <w:rFonts w:ascii="Times New Roman" w:hAnsi="Times New Roman" w:cs="Times New Roman"/>
          <w:sz w:val="28"/>
          <w:szCs w:val="28"/>
          <w:lang w:val="en-ZA"/>
        </w:rPr>
        <w:t>should be set off against payment of rentals</w:t>
      </w:r>
      <w:r w:rsidR="00B36F2E">
        <w:rPr>
          <w:rFonts w:ascii="Times New Roman" w:hAnsi="Times New Roman" w:cs="Times New Roman"/>
          <w:sz w:val="28"/>
          <w:szCs w:val="28"/>
          <w:lang w:val="en-ZA"/>
        </w:rPr>
        <w:t>.</w:t>
      </w:r>
      <w:r w:rsidR="005F6605">
        <w:rPr>
          <w:rFonts w:ascii="Times New Roman" w:hAnsi="Times New Roman" w:cs="Times New Roman"/>
          <w:sz w:val="28"/>
          <w:szCs w:val="28"/>
          <w:lang w:val="en-ZA"/>
        </w:rPr>
        <w:t xml:space="preserve"> </w:t>
      </w:r>
      <w:r w:rsidR="00B36F2E">
        <w:rPr>
          <w:rFonts w:ascii="Times New Roman" w:hAnsi="Times New Roman" w:cs="Times New Roman"/>
          <w:sz w:val="28"/>
          <w:szCs w:val="28"/>
          <w:lang w:val="en-ZA"/>
        </w:rPr>
        <w:t>T</w:t>
      </w:r>
      <w:r w:rsidR="005F6605">
        <w:rPr>
          <w:rFonts w:ascii="Times New Roman" w:hAnsi="Times New Roman" w:cs="Times New Roman"/>
          <w:sz w:val="28"/>
          <w:szCs w:val="28"/>
          <w:lang w:val="en-ZA"/>
        </w:rPr>
        <w:t>he applicant avers that the 1</w:t>
      </w:r>
      <w:r w:rsidR="005F6605" w:rsidRPr="005F6605">
        <w:rPr>
          <w:rFonts w:ascii="Times New Roman" w:hAnsi="Times New Roman" w:cs="Times New Roman"/>
          <w:sz w:val="28"/>
          <w:szCs w:val="28"/>
          <w:vertAlign w:val="superscript"/>
          <w:lang w:val="en-ZA"/>
        </w:rPr>
        <w:t>st</w:t>
      </w:r>
      <w:r w:rsidR="005F6605">
        <w:rPr>
          <w:rFonts w:ascii="Times New Roman" w:hAnsi="Times New Roman" w:cs="Times New Roman"/>
          <w:sz w:val="28"/>
          <w:szCs w:val="28"/>
          <w:lang w:val="en-ZA"/>
        </w:rPr>
        <w:t xml:space="preserve"> respondent failed to provide proof of such improvements.  It is further the applicant’s case that the 1</w:t>
      </w:r>
      <w:r w:rsidR="005F6605" w:rsidRPr="005F6605">
        <w:rPr>
          <w:rFonts w:ascii="Times New Roman" w:hAnsi="Times New Roman" w:cs="Times New Roman"/>
          <w:sz w:val="28"/>
          <w:szCs w:val="28"/>
          <w:vertAlign w:val="superscript"/>
          <w:lang w:val="en-ZA"/>
        </w:rPr>
        <w:t>st</w:t>
      </w:r>
      <w:r w:rsidR="005F6605">
        <w:rPr>
          <w:rFonts w:ascii="Times New Roman" w:hAnsi="Times New Roman" w:cs="Times New Roman"/>
          <w:sz w:val="28"/>
          <w:szCs w:val="28"/>
          <w:lang w:val="en-ZA"/>
        </w:rPr>
        <w:t xml:space="preserve"> respondent breached clause 9 of the agreement by subletting the premises to the 2</w:t>
      </w:r>
      <w:r w:rsidR="005F6605" w:rsidRPr="005F6605">
        <w:rPr>
          <w:rFonts w:ascii="Times New Roman" w:hAnsi="Times New Roman" w:cs="Times New Roman"/>
          <w:sz w:val="28"/>
          <w:szCs w:val="28"/>
          <w:vertAlign w:val="superscript"/>
          <w:lang w:val="en-ZA"/>
        </w:rPr>
        <w:t>nd</w:t>
      </w:r>
      <w:r w:rsidR="005F6605">
        <w:rPr>
          <w:rFonts w:ascii="Times New Roman" w:hAnsi="Times New Roman" w:cs="Times New Roman"/>
          <w:sz w:val="28"/>
          <w:szCs w:val="28"/>
          <w:lang w:val="en-ZA"/>
        </w:rPr>
        <w:t xml:space="preserve"> and 3</w:t>
      </w:r>
      <w:r w:rsidR="005F6605" w:rsidRPr="005F6605">
        <w:rPr>
          <w:rFonts w:ascii="Times New Roman" w:hAnsi="Times New Roman" w:cs="Times New Roman"/>
          <w:sz w:val="28"/>
          <w:szCs w:val="28"/>
          <w:vertAlign w:val="superscript"/>
          <w:lang w:val="en-ZA"/>
        </w:rPr>
        <w:t>rd</w:t>
      </w:r>
      <w:r w:rsidR="005F6605">
        <w:rPr>
          <w:rFonts w:ascii="Times New Roman" w:hAnsi="Times New Roman" w:cs="Times New Roman"/>
          <w:sz w:val="28"/>
          <w:szCs w:val="28"/>
          <w:lang w:val="en-ZA"/>
        </w:rPr>
        <w:t xml:space="preserve"> respondent without </w:t>
      </w:r>
      <w:r w:rsidR="00B36F2E">
        <w:rPr>
          <w:rFonts w:ascii="Times New Roman" w:hAnsi="Times New Roman" w:cs="Times New Roman"/>
          <w:sz w:val="28"/>
          <w:szCs w:val="28"/>
          <w:lang w:val="en-ZA"/>
        </w:rPr>
        <w:t>her</w:t>
      </w:r>
      <w:r w:rsidR="005F6605">
        <w:rPr>
          <w:rFonts w:ascii="Times New Roman" w:hAnsi="Times New Roman" w:cs="Times New Roman"/>
          <w:sz w:val="28"/>
          <w:szCs w:val="28"/>
          <w:lang w:val="en-ZA"/>
        </w:rPr>
        <w:t xml:space="preserve"> consent thereby unjustly enriching </w:t>
      </w:r>
      <w:r w:rsidR="00B36F2E">
        <w:rPr>
          <w:rFonts w:ascii="Times New Roman" w:hAnsi="Times New Roman" w:cs="Times New Roman"/>
          <w:sz w:val="28"/>
          <w:szCs w:val="28"/>
          <w:lang w:val="en-ZA"/>
        </w:rPr>
        <w:t>itself</w:t>
      </w:r>
      <w:r w:rsidR="005F6605">
        <w:rPr>
          <w:rFonts w:ascii="Times New Roman" w:hAnsi="Times New Roman" w:cs="Times New Roman"/>
          <w:sz w:val="28"/>
          <w:szCs w:val="28"/>
          <w:lang w:val="en-ZA"/>
        </w:rPr>
        <w:t>.</w:t>
      </w:r>
    </w:p>
    <w:p w14:paraId="2AB2C6FD" w14:textId="2788AB75" w:rsidR="005F6605" w:rsidRDefault="005F6605" w:rsidP="00FA1D16">
      <w:pPr>
        <w:spacing w:after="0" w:line="360" w:lineRule="auto"/>
        <w:ind w:left="720" w:hanging="720"/>
        <w:jc w:val="both"/>
        <w:rPr>
          <w:rFonts w:ascii="Times New Roman" w:hAnsi="Times New Roman" w:cs="Times New Roman"/>
          <w:sz w:val="28"/>
          <w:szCs w:val="28"/>
          <w:lang w:val="en-ZA"/>
        </w:rPr>
      </w:pPr>
    </w:p>
    <w:p w14:paraId="41266F49" w14:textId="7EE922C4" w:rsidR="005F6605" w:rsidRDefault="005F6605" w:rsidP="00FA1D1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(ii)</w:t>
      </w:r>
      <w:r w:rsidR="00753D29">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1</w:t>
      </w:r>
      <w:r w:rsidRPr="005F6605">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Respondent’s Case</w:t>
      </w:r>
    </w:p>
    <w:p w14:paraId="55CC4573" w14:textId="161E176F" w:rsidR="00990A26" w:rsidRDefault="005F6605"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Ms </w:t>
      </w:r>
      <w:proofErr w:type="spellStart"/>
      <w:r>
        <w:rPr>
          <w:rFonts w:ascii="Times New Roman" w:hAnsi="Times New Roman" w:cs="Times New Roman"/>
          <w:sz w:val="28"/>
          <w:szCs w:val="28"/>
          <w:lang w:val="en-ZA"/>
        </w:rPr>
        <w:t>Mokoqo</w:t>
      </w:r>
      <w:proofErr w:type="spellEnd"/>
      <w:r>
        <w:rPr>
          <w:rFonts w:ascii="Times New Roman" w:hAnsi="Times New Roman" w:cs="Times New Roman"/>
          <w:sz w:val="28"/>
          <w:szCs w:val="28"/>
          <w:lang w:val="en-ZA"/>
        </w:rPr>
        <w:t xml:space="preserve"> deposed to answering affidavit on behalf of the 1</w:t>
      </w:r>
      <w:r w:rsidRPr="005F660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before pleading over, raised, three of the so-called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namely</w:t>
      </w:r>
      <w:r w:rsidR="001B2734">
        <w:rPr>
          <w:rFonts w:ascii="Times New Roman" w:hAnsi="Times New Roman" w:cs="Times New Roman"/>
          <w:sz w:val="28"/>
          <w:szCs w:val="28"/>
          <w:lang w:val="en-ZA"/>
        </w:rPr>
        <w:t>;</w:t>
      </w:r>
      <w:r>
        <w:rPr>
          <w:rFonts w:ascii="Times New Roman" w:hAnsi="Times New Roman" w:cs="Times New Roman"/>
          <w:sz w:val="28"/>
          <w:szCs w:val="28"/>
          <w:lang w:val="en-ZA"/>
        </w:rPr>
        <w:t xml:space="preserve"> lack of urgency and abuse of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procedure, disputes of fact and mat</w:t>
      </w:r>
      <w:r w:rsidR="00990A26">
        <w:rPr>
          <w:rFonts w:ascii="Times New Roman" w:hAnsi="Times New Roman" w:cs="Times New Roman"/>
          <w:sz w:val="28"/>
          <w:szCs w:val="28"/>
          <w:lang w:val="en-ZA"/>
        </w:rPr>
        <w:t>erial non-disclosure.</w:t>
      </w:r>
      <w:r w:rsidR="001B2734">
        <w:rPr>
          <w:rFonts w:ascii="Times New Roman" w:hAnsi="Times New Roman" w:cs="Times New Roman"/>
          <w:sz w:val="28"/>
          <w:szCs w:val="28"/>
          <w:lang w:val="en-ZA"/>
        </w:rPr>
        <w:t xml:space="preserve"> </w:t>
      </w:r>
      <w:r w:rsidR="00990A26">
        <w:rPr>
          <w:rFonts w:ascii="Times New Roman" w:hAnsi="Times New Roman" w:cs="Times New Roman"/>
          <w:sz w:val="28"/>
          <w:szCs w:val="28"/>
          <w:lang w:val="en-ZA"/>
        </w:rPr>
        <w:t xml:space="preserve">On the merits, the deponent admits that on the 9 April 2019 the parties entered into a written sublease agreement, she however, aver that subsequent to conclusion of the </w:t>
      </w:r>
      <w:r w:rsidR="001B2734">
        <w:rPr>
          <w:rFonts w:ascii="Times New Roman" w:hAnsi="Times New Roman" w:cs="Times New Roman"/>
          <w:sz w:val="28"/>
          <w:szCs w:val="28"/>
          <w:lang w:val="en-ZA"/>
        </w:rPr>
        <w:t>main</w:t>
      </w:r>
      <w:r w:rsidR="00990A26">
        <w:rPr>
          <w:rFonts w:ascii="Times New Roman" w:hAnsi="Times New Roman" w:cs="Times New Roman"/>
          <w:sz w:val="28"/>
          <w:szCs w:val="28"/>
          <w:lang w:val="en-ZA"/>
        </w:rPr>
        <w:t xml:space="preserve"> agreement, a verbal agreement </w:t>
      </w:r>
      <w:r w:rsidR="0048231B">
        <w:rPr>
          <w:rFonts w:ascii="Times New Roman" w:hAnsi="Times New Roman" w:cs="Times New Roman"/>
          <w:sz w:val="28"/>
          <w:szCs w:val="28"/>
          <w:lang w:val="en-ZA"/>
        </w:rPr>
        <w:t xml:space="preserve">(Annexure ‘DB1’) </w:t>
      </w:r>
      <w:r w:rsidR="00990A26">
        <w:rPr>
          <w:rFonts w:ascii="Times New Roman" w:hAnsi="Times New Roman" w:cs="Times New Roman"/>
          <w:sz w:val="28"/>
          <w:szCs w:val="28"/>
          <w:lang w:val="en-ZA"/>
        </w:rPr>
        <w:t xml:space="preserve">was concluded which stipulated that the commencement date will be </w:t>
      </w:r>
      <w:r w:rsidR="001B2734">
        <w:rPr>
          <w:rFonts w:ascii="Times New Roman" w:hAnsi="Times New Roman" w:cs="Times New Roman"/>
          <w:sz w:val="28"/>
          <w:szCs w:val="28"/>
          <w:lang w:val="en-ZA"/>
        </w:rPr>
        <w:t>0</w:t>
      </w:r>
      <w:r w:rsidR="00990A26">
        <w:rPr>
          <w:rFonts w:ascii="Times New Roman" w:hAnsi="Times New Roman" w:cs="Times New Roman"/>
          <w:sz w:val="28"/>
          <w:szCs w:val="28"/>
          <w:lang w:val="en-ZA"/>
        </w:rPr>
        <w:t xml:space="preserve">1 December 2019 because renovations to the premises took longer than anticipated.  This verbal agreement was concluded with the son of the late </w:t>
      </w:r>
      <w:proofErr w:type="spellStart"/>
      <w:r w:rsidR="00990A26">
        <w:rPr>
          <w:rFonts w:ascii="Times New Roman" w:hAnsi="Times New Roman" w:cs="Times New Roman"/>
          <w:sz w:val="28"/>
          <w:szCs w:val="28"/>
          <w:lang w:val="en-ZA"/>
        </w:rPr>
        <w:t>Monaphathi</w:t>
      </w:r>
      <w:proofErr w:type="spellEnd"/>
      <w:r w:rsidR="00990A26">
        <w:rPr>
          <w:rFonts w:ascii="Times New Roman" w:hAnsi="Times New Roman" w:cs="Times New Roman"/>
          <w:sz w:val="28"/>
          <w:szCs w:val="28"/>
          <w:lang w:val="en-ZA"/>
        </w:rPr>
        <w:t xml:space="preserve">, one </w:t>
      </w:r>
      <w:r w:rsidR="00C964A5">
        <w:rPr>
          <w:rFonts w:ascii="Times New Roman" w:hAnsi="Times New Roman" w:cs="Times New Roman"/>
          <w:sz w:val="28"/>
          <w:szCs w:val="28"/>
          <w:lang w:val="en-ZA"/>
        </w:rPr>
        <w:t xml:space="preserve">Mr </w:t>
      </w:r>
      <w:proofErr w:type="spellStart"/>
      <w:r w:rsidR="00990A26">
        <w:rPr>
          <w:rFonts w:ascii="Times New Roman" w:hAnsi="Times New Roman" w:cs="Times New Roman"/>
          <w:sz w:val="28"/>
          <w:szCs w:val="28"/>
          <w:lang w:val="en-ZA"/>
        </w:rPr>
        <w:t>Lebohang</w:t>
      </w:r>
      <w:proofErr w:type="spellEnd"/>
      <w:r w:rsidR="00990A26">
        <w:rPr>
          <w:rFonts w:ascii="Times New Roman" w:hAnsi="Times New Roman" w:cs="Times New Roman"/>
          <w:sz w:val="28"/>
          <w:szCs w:val="28"/>
          <w:lang w:val="en-ZA"/>
        </w:rPr>
        <w:t xml:space="preserve"> </w:t>
      </w:r>
      <w:proofErr w:type="spellStart"/>
      <w:r w:rsidR="00990A26">
        <w:rPr>
          <w:rFonts w:ascii="Times New Roman" w:hAnsi="Times New Roman" w:cs="Times New Roman"/>
          <w:sz w:val="28"/>
          <w:szCs w:val="28"/>
          <w:lang w:val="en-ZA"/>
        </w:rPr>
        <w:t>Monaphathi</w:t>
      </w:r>
      <w:proofErr w:type="spellEnd"/>
      <w:r w:rsidR="00990A26">
        <w:rPr>
          <w:rFonts w:ascii="Times New Roman" w:hAnsi="Times New Roman" w:cs="Times New Roman"/>
          <w:sz w:val="28"/>
          <w:szCs w:val="28"/>
          <w:lang w:val="en-ZA"/>
        </w:rPr>
        <w:t>.  It should, however, be stated that annexure “DB1” which is alleged to be evidence of this verbal agreement does not bear the deponent out</w:t>
      </w:r>
      <w:r w:rsidR="0048231B">
        <w:rPr>
          <w:rFonts w:ascii="Times New Roman" w:hAnsi="Times New Roman" w:cs="Times New Roman"/>
          <w:sz w:val="28"/>
          <w:szCs w:val="28"/>
          <w:lang w:val="en-ZA"/>
        </w:rPr>
        <w:t xml:space="preserve"> because it was not signed by the parties.</w:t>
      </w:r>
    </w:p>
    <w:p w14:paraId="3403532C" w14:textId="7E9A9320" w:rsidR="00990A26" w:rsidRDefault="00990A26" w:rsidP="00FA1D16">
      <w:pPr>
        <w:spacing w:after="0" w:line="360" w:lineRule="auto"/>
        <w:ind w:left="720" w:hanging="720"/>
        <w:jc w:val="both"/>
        <w:rPr>
          <w:rFonts w:ascii="Times New Roman" w:hAnsi="Times New Roman" w:cs="Times New Roman"/>
          <w:sz w:val="28"/>
          <w:szCs w:val="28"/>
          <w:lang w:val="en-ZA"/>
        </w:rPr>
      </w:pPr>
    </w:p>
    <w:p w14:paraId="41F7436C" w14:textId="5DE329ED" w:rsidR="003B4181" w:rsidRDefault="00990A26"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On the issue of payment of rentals, the deponent concedes that rentals have not been paid.  She says the reason for non-payment was because </w:t>
      </w:r>
      <w:r w:rsidR="00083881">
        <w:rPr>
          <w:rFonts w:ascii="Times New Roman" w:hAnsi="Times New Roman" w:cs="Times New Roman"/>
          <w:sz w:val="28"/>
          <w:szCs w:val="28"/>
          <w:lang w:val="en-ZA"/>
        </w:rPr>
        <w:t xml:space="preserve">when </w:t>
      </w:r>
      <w:r>
        <w:rPr>
          <w:rFonts w:ascii="Times New Roman" w:hAnsi="Times New Roman" w:cs="Times New Roman"/>
          <w:sz w:val="28"/>
          <w:szCs w:val="28"/>
          <w:lang w:val="en-ZA"/>
        </w:rPr>
        <w:t>the parties concluded</w:t>
      </w:r>
      <w:r w:rsidR="00083881">
        <w:rPr>
          <w:rFonts w:ascii="Times New Roman" w:hAnsi="Times New Roman" w:cs="Times New Roman"/>
          <w:sz w:val="28"/>
          <w:szCs w:val="28"/>
          <w:lang w:val="en-ZA"/>
        </w:rPr>
        <w:t xml:space="preserve"> the agreement</w:t>
      </w:r>
      <w:r>
        <w:rPr>
          <w:rFonts w:ascii="Times New Roman" w:hAnsi="Times New Roman" w:cs="Times New Roman"/>
          <w:sz w:val="28"/>
          <w:szCs w:val="28"/>
          <w:lang w:val="en-ZA"/>
        </w:rPr>
        <w:t xml:space="preserve"> the premises had many defects as they la</w:t>
      </w:r>
      <w:r w:rsidR="00083881">
        <w:rPr>
          <w:rFonts w:ascii="Times New Roman" w:hAnsi="Times New Roman" w:cs="Times New Roman"/>
          <w:sz w:val="28"/>
          <w:szCs w:val="28"/>
          <w:lang w:val="en-ZA"/>
        </w:rPr>
        <w:t>id</w:t>
      </w:r>
      <w:r>
        <w:rPr>
          <w:rFonts w:ascii="Times New Roman" w:hAnsi="Times New Roman" w:cs="Times New Roman"/>
          <w:sz w:val="28"/>
          <w:szCs w:val="28"/>
          <w:lang w:val="en-ZA"/>
        </w:rPr>
        <w:t xml:space="preserve"> </w:t>
      </w:r>
      <w:r w:rsidR="00B926F9">
        <w:rPr>
          <w:rFonts w:ascii="Times New Roman" w:hAnsi="Times New Roman" w:cs="Times New Roman"/>
          <w:sz w:val="28"/>
          <w:szCs w:val="28"/>
          <w:lang w:val="en-ZA"/>
        </w:rPr>
        <w:t xml:space="preserve">unused for five to seven years.  </w:t>
      </w:r>
      <w:r w:rsidR="00083881">
        <w:rPr>
          <w:rFonts w:ascii="Times New Roman" w:hAnsi="Times New Roman" w:cs="Times New Roman"/>
          <w:sz w:val="28"/>
          <w:szCs w:val="28"/>
          <w:lang w:val="en-ZA"/>
        </w:rPr>
        <w:t xml:space="preserve">She, therefore, had to make some renovations. </w:t>
      </w:r>
      <w:r w:rsidR="00B926F9">
        <w:rPr>
          <w:rFonts w:ascii="Times New Roman" w:hAnsi="Times New Roman" w:cs="Times New Roman"/>
          <w:sz w:val="28"/>
          <w:szCs w:val="28"/>
          <w:lang w:val="en-ZA"/>
        </w:rPr>
        <w:t>She concedes that she was asked to produce receipts of whatever expenditure she incurred so that it could be offset against the rent.  She concedes further that she only sent to the Executors, in March 2022, what she calls “statement of rent” annexure “DB2”</w:t>
      </w:r>
      <w:r w:rsidR="00083881">
        <w:rPr>
          <w:rFonts w:ascii="Times New Roman" w:hAnsi="Times New Roman" w:cs="Times New Roman"/>
          <w:sz w:val="28"/>
          <w:szCs w:val="28"/>
          <w:lang w:val="en-ZA"/>
        </w:rPr>
        <w:t>. It should be stated that ‘DB2’</w:t>
      </w:r>
      <w:r w:rsidR="00B926F9">
        <w:rPr>
          <w:rFonts w:ascii="Times New Roman" w:hAnsi="Times New Roman" w:cs="Times New Roman"/>
          <w:sz w:val="28"/>
          <w:szCs w:val="28"/>
          <w:lang w:val="en-ZA"/>
        </w:rPr>
        <w:t xml:space="preserve"> is not receipts of expenditure incurred, but the spreadsheet of what she says is her expenditure.</w:t>
      </w:r>
      <w:r w:rsidR="00083881">
        <w:rPr>
          <w:rFonts w:ascii="Times New Roman" w:hAnsi="Times New Roman" w:cs="Times New Roman"/>
          <w:sz w:val="28"/>
          <w:szCs w:val="28"/>
          <w:lang w:val="en-ZA"/>
        </w:rPr>
        <w:t xml:space="preserve"> </w:t>
      </w:r>
      <w:r w:rsidR="003B4181">
        <w:rPr>
          <w:rFonts w:ascii="Times New Roman" w:hAnsi="Times New Roman" w:cs="Times New Roman"/>
          <w:sz w:val="28"/>
          <w:szCs w:val="28"/>
          <w:lang w:val="en-ZA"/>
        </w:rPr>
        <w:t>On the issue of subletting the premises, the deponent denied and put the applicant to the proof.</w:t>
      </w:r>
    </w:p>
    <w:p w14:paraId="180E1044" w14:textId="77777777" w:rsidR="003B4181" w:rsidRDefault="003B4181" w:rsidP="00FA1D16">
      <w:pPr>
        <w:spacing w:after="0" w:line="360" w:lineRule="auto"/>
        <w:ind w:left="720" w:hanging="720"/>
        <w:jc w:val="both"/>
        <w:rPr>
          <w:rFonts w:ascii="Times New Roman" w:hAnsi="Times New Roman" w:cs="Times New Roman"/>
          <w:sz w:val="28"/>
          <w:szCs w:val="28"/>
          <w:lang w:val="en-ZA"/>
        </w:rPr>
      </w:pPr>
    </w:p>
    <w:p w14:paraId="40578A57" w14:textId="491A117B" w:rsidR="00B926F9" w:rsidRDefault="003B4181"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083881">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reply, the applicant denies that there was ever any oral agreement concluded between the parties because the agreement stipulates that any amendment should be reduced </w:t>
      </w:r>
      <w:r w:rsidR="00083881">
        <w:rPr>
          <w:rFonts w:ascii="Times New Roman" w:hAnsi="Times New Roman" w:cs="Times New Roman"/>
          <w:sz w:val="28"/>
          <w:szCs w:val="28"/>
          <w:lang w:val="en-ZA"/>
        </w:rPr>
        <w:t>in</w:t>
      </w:r>
      <w:r>
        <w:rPr>
          <w:rFonts w:ascii="Times New Roman" w:hAnsi="Times New Roman" w:cs="Times New Roman"/>
          <w:sz w:val="28"/>
          <w:szCs w:val="28"/>
          <w:lang w:val="en-ZA"/>
        </w:rPr>
        <w:t>to writing.  The Executors deny any knowledge of the oral agreement concluded between the 1</w:t>
      </w:r>
      <w:r w:rsidRPr="003B418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Mr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Monaphathi</w:t>
      </w:r>
      <w:proofErr w:type="spellEnd"/>
      <w:r>
        <w:rPr>
          <w:rFonts w:ascii="Times New Roman" w:hAnsi="Times New Roman" w:cs="Times New Roman"/>
          <w:sz w:val="28"/>
          <w:szCs w:val="28"/>
          <w:lang w:val="en-ZA"/>
        </w:rPr>
        <w:t>.  It is</w:t>
      </w:r>
      <w:r w:rsidR="00083881">
        <w:rPr>
          <w:rFonts w:ascii="Times New Roman" w:hAnsi="Times New Roman" w:cs="Times New Roman"/>
          <w:sz w:val="28"/>
          <w:szCs w:val="28"/>
          <w:lang w:val="en-ZA"/>
        </w:rPr>
        <w:t xml:space="preserve"> in</w:t>
      </w:r>
      <w:r>
        <w:rPr>
          <w:rFonts w:ascii="Times New Roman" w:hAnsi="Times New Roman" w:cs="Times New Roman"/>
          <w:sz w:val="28"/>
          <w:szCs w:val="28"/>
          <w:lang w:val="en-ZA"/>
        </w:rPr>
        <w:t xml:space="preserve"> reply that the applicant annexed two contracts term</w:t>
      </w:r>
      <w:r w:rsidR="00083881">
        <w:rPr>
          <w:rFonts w:ascii="Times New Roman" w:hAnsi="Times New Roman" w:cs="Times New Roman"/>
          <w:sz w:val="28"/>
          <w:szCs w:val="28"/>
          <w:lang w:val="en-ZA"/>
        </w:rPr>
        <w:t>ed</w:t>
      </w:r>
      <w:r>
        <w:rPr>
          <w:rFonts w:ascii="Times New Roman" w:hAnsi="Times New Roman" w:cs="Times New Roman"/>
          <w:sz w:val="28"/>
          <w:szCs w:val="28"/>
          <w:lang w:val="en-ZA"/>
        </w:rPr>
        <w:t xml:space="preserve"> as </w:t>
      </w:r>
      <w:r w:rsidR="00083881">
        <w:rPr>
          <w:rFonts w:ascii="Times New Roman" w:hAnsi="Times New Roman" w:cs="Times New Roman"/>
          <w:sz w:val="28"/>
          <w:szCs w:val="28"/>
          <w:lang w:val="en-ZA"/>
        </w:rPr>
        <w:t>C</w:t>
      </w:r>
      <w:r>
        <w:rPr>
          <w:rFonts w:ascii="Times New Roman" w:hAnsi="Times New Roman" w:cs="Times New Roman"/>
          <w:sz w:val="28"/>
          <w:szCs w:val="28"/>
          <w:lang w:val="en-ZA"/>
        </w:rPr>
        <w:t xml:space="preserve">o-working </w:t>
      </w:r>
      <w:r w:rsidR="00083881">
        <w:rPr>
          <w:rFonts w:ascii="Times New Roman" w:hAnsi="Times New Roman" w:cs="Times New Roman"/>
          <w:sz w:val="28"/>
          <w:szCs w:val="28"/>
          <w:lang w:val="en-ZA"/>
        </w:rPr>
        <w:t>S</w:t>
      </w:r>
      <w:r>
        <w:rPr>
          <w:rFonts w:ascii="Times New Roman" w:hAnsi="Times New Roman" w:cs="Times New Roman"/>
          <w:sz w:val="28"/>
          <w:szCs w:val="28"/>
          <w:lang w:val="en-ZA"/>
        </w:rPr>
        <w:t>pace concluded between the 1</w:t>
      </w:r>
      <w:r w:rsidRPr="003B418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083881">
        <w:rPr>
          <w:rFonts w:ascii="Times New Roman" w:hAnsi="Times New Roman" w:cs="Times New Roman"/>
          <w:sz w:val="28"/>
          <w:szCs w:val="28"/>
          <w:lang w:val="en-ZA"/>
        </w:rPr>
        <w:t xml:space="preserve">, </w:t>
      </w:r>
      <w:r>
        <w:rPr>
          <w:rFonts w:ascii="Times New Roman" w:hAnsi="Times New Roman" w:cs="Times New Roman"/>
          <w:sz w:val="28"/>
          <w:szCs w:val="28"/>
          <w:lang w:val="en-ZA"/>
        </w:rPr>
        <w:t>2</w:t>
      </w:r>
      <w:r w:rsidRPr="003B4181">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3B4181">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in terms of which the so-called membership fee of M5,500.00 and M5,000.00 per month respectively was payable.  The agreement with the 2</w:t>
      </w:r>
      <w:r w:rsidRPr="003B4181">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was </w:t>
      </w:r>
      <w:r w:rsidR="00083881">
        <w:rPr>
          <w:rFonts w:ascii="Times New Roman" w:hAnsi="Times New Roman" w:cs="Times New Roman"/>
          <w:sz w:val="28"/>
          <w:szCs w:val="28"/>
          <w:lang w:val="en-ZA"/>
        </w:rPr>
        <w:t>signed</w:t>
      </w:r>
      <w:r>
        <w:rPr>
          <w:rFonts w:ascii="Times New Roman" w:hAnsi="Times New Roman" w:cs="Times New Roman"/>
          <w:sz w:val="28"/>
          <w:szCs w:val="28"/>
          <w:lang w:val="en-ZA"/>
        </w:rPr>
        <w:t xml:space="preserve"> on 01 January 2021 and </w:t>
      </w:r>
      <w:r w:rsidR="00083881">
        <w:rPr>
          <w:rFonts w:ascii="Times New Roman" w:hAnsi="Times New Roman" w:cs="Times New Roman"/>
          <w:sz w:val="28"/>
          <w:szCs w:val="28"/>
          <w:lang w:val="en-ZA"/>
        </w:rPr>
        <w:t>wa</w:t>
      </w:r>
      <w:r>
        <w:rPr>
          <w:rFonts w:ascii="Times New Roman" w:hAnsi="Times New Roman" w:cs="Times New Roman"/>
          <w:sz w:val="28"/>
          <w:szCs w:val="28"/>
          <w:lang w:val="en-ZA"/>
        </w:rPr>
        <w:t>s expected to end on 30 June 2022.  The agreement with the 3</w:t>
      </w:r>
      <w:r w:rsidRPr="003B4181">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was signed on the 07 May 2021.  </w:t>
      </w:r>
      <w:r w:rsidR="00753D29">
        <w:rPr>
          <w:rFonts w:ascii="Times New Roman" w:hAnsi="Times New Roman" w:cs="Times New Roman"/>
          <w:sz w:val="28"/>
          <w:szCs w:val="28"/>
          <w:lang w:val="en-ZA"/>
        </w:rPr>
        <w:t>These annexures</w:t>
      </w:r>
      <w:r>
        <w:rPr>
          <w:rFonts w:ascii="Times New Roman" w:hAnsi="Times New Roman" w:cs="Times New Roman"/>
          <w:sz w:val="28"/>
          <w:szCs w:val="28"/>
          <w:lang w:val="en-ZA"/>
        </w:rPr>
        <w:t xml:space="preserve"> were subject of much spirited debate with the 1</w:t>
      </w:r>
      <w:r w:rsidRPr="003B418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083881">
        <w:rPr>
          <w:rFonts w:ascii="Times New Roman" w:hAnsi="Times New Roman" w:cs="Times New Roman"/>
          <w:sz w:val="28"/>
          <w:szCs w:val="28"/>
          <w:lang w:val="en-ZA"/>
        </w:rPr>
        <w:t>’s</w:t>
      </w:r>
      <w:r>
        <w:rPr>
          <w:rFonts w:ascii="Times New Roman" w:hAnsi="Times New Roman" w:cs="Times New Roman"/>
          <w:sz w:val="28"/>
          <w:szCs w:val="28"/>
          <w:lang w:val="en-ZA"/>
        </w:rPr>
        <w:t xml:space="preserve"> counsel urging the court to excise them from the pleadings as the applicant</w:t>
      </w:r>
      <w:r w:rsidR="00083881">
        <w:rPr>
          <w:rFonts w:ascii="Times New Roman" w:hAnsi="Times New Roman" w:cs="Times New Roman"/>
          <w:sz w:val="28"/>
          <w:szCs w:val="28"/>
          <w:lang w:val="en-ZA"/>
        </w:rPr>
        <w:t xml:space="preserve"> was making</w:t>
      </w:r>
      <w:r>
        <w:rPr>
          <w:rFonts w:ascii="Times New Roman" w:hAnsi="Times New Roman" w:cs="Times New Roman"/>
          <w:sz w:val="28"/>
          <w:szCs w:val="28"/>
          <w:lang w:val="en-ZA"/>
        </w:rPr>
        <w:t xml:space="preserve"> out its case in reply.  I return to this aspect later in the judgment</w:t>
      </w:r>
      <w:r w:rsidR="00753D29">
        <w:rPr>
          <w:rFonts w:ascii="Times New Roman" w:hAnsi="Times New Roman" w:cs="Times New Roman"/>
          <w:sz w:val="28"/>
          <w:szCs w:val="28"/>
          <w:lang w:val="en-ZA"/>
        </w:rPr>
        <w:t xml:space="preserve">.  </w:t>
      </w:r>
    </w:p>
    <w:p w14:paraId="46E365EB" w14:textId="1CC9B1CE" w:rsidR="00753D29" w:rsidRDefault="00753D29" w:rsidP="00FA1D16">
      <w:pPr>
        <w:spacing w:after="0" w:line="360" w:lineRule="auto"/>
        <w:ind w:left="720" w:hanging="720"/>
        <w:jc w:val="both"/>
        <w:rPr>
          <w:rFonts w:ascii="Times New Roman" w:hAnsi="Times New Roman" w:cs="Times New Roman"/>
          <w:sz w:val="28"/>
          <w:szCs w:val="28"/>
          <w:lang w:val="en-ZA"/>
        </w:rPr>
      </w:pPr>
    </w:p>
    <w:p w14:paraId="00B6DF9E" w14:textId="72DCE5B0" w:rsidR="00753D29" w:rsidRDefault="00753D29" w:rsidP="00FA1D1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7323C5">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050E53A6" w14:textId="32043C74" w:rsidR="00753D29" w:rsidRDefault="00753D29"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xml:space="preserve"> raised</w:t>
      </w:r>
      <w:r w:rsidR="007B641B">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6ABC5917" w14:textId="679006C7" w:rsidR="00753D29" w:rsidRDefault="00753D29"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(ii) Whether the applicant impermissibly adduced new evidence in reply</w:t>
      </w:r>
      <w:r w:rsidR="007B641B">
        <w:rPr>
          <w:rFonts w:ascii="Times New Roman" w:hAnsi="Times New Roman" w:cs="Times New Roman"/>
          <w:sz w:val="28"/>
          <w:szCs w:val="28"/>
          <w:lang w:val="en-ZA"/>
        </w:rPr>
        <w:t>;</w:t>
      </w:r>
    </w:p>
    <w:p w14:paraId="37FDA499" w14:textId="77777777" w:rsidR="00753D29" w:rsidRDefault="00753D29"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(iii) The merits of the case.</w:t>
      </w:r>
    </w:p>
    <w:p w14:paraId="589E49E6" w14:textId="77777777" w:rsidR="00753D29" w:rsidRDefault="00753D29" w:rsidP="00FA1D16">
      <w:pPr>
        <w:spacing w:after="0" w:line="360" w:lineRule="auto"/>
        <w:ind w:left="720" w:hanging="720"/>
        <w:jc w:val="both"/>
        <w:rPr>
          <w:rFonts w:ascii="Times New Roman" w:hAnsi="Times New Roman" w:cs="Times New Roman"/>
          <w:sz w:val="28"/>
          <w:szCs w:val="28"/>
          <w:lang w:val="en-ZA"/>
        </w:rPr>
      </w:pPr>
    </w:p>
    <w:p w14:paraId="0A050587" w14:textId="60237671" w:rsidR="00753D29" w:rsidRDefault="00753D29"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930CC8">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Points in</w:t>
      </w:r>
      <w:r w:rsidRPr="00753D29">
        <w:rPr>
          <w:rFonts w:ascii="Times New Roman" w:hAnsi="Times New Roman" w:cs="Times New Roman"/>
          <w:b/>
          <w:bCs/>
          <w:i/>
          <w:iCs/>
          <w:sz w:val="28"/>
          <w:szCs w:val="28"/>
          <w:lang w:val="en-ZA"/>
        </w:rPr>
        <w:t xml:space="preserve"> </w:t>
      </w:r>
      <w:proofErr w:type="spellStart"/>
      <w:r w:rsidRPr="00753D29">
        <w:rPr>
          <w:rFonts w:ascii="Times New Roman" w:hAnsi="Times New Roman" w:cs="Times New Roman"/>
          <w:b/>
          <w:bCs/>
          <w:i/>
          <w:iCs/>
          <w:sz w:val="28"/>
          <w:szCs w:val="28"/>
          <w:lang w:val="en-ZA"/>
        </w:rPr>
        <w:t>limine</w:t>
      </w:r>
      <w:proofErr w:type="spellEnd"/>
      <w:r>
        <w:rPr>
          <w:rFonts w:ascii="Times New Roman" w:hAnsi="Times New Roman" w:cs="Times New Roman"/>
          <w:b/>
          <w:bCs/>
          <w:sz w:val="28"/>
          <w:szCs w:val="28"/>
          <w:lang w:val="en-ZA"/>
        </w:rPr>
        <w:t xml:space="preserve"> raised</w:t>
      </w:r>
    </w:p>
    <w:p w14:paraId="3C067932" w14:textId="1D281187" w:rsidR="00584ACC" w:rsidRDefault="00753D29"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preliminary points raised should be dismissed as lacking merit:  </w:t>
      </w:r>
      <w:proofErr w:type="spellStart"/>
      <w:r>
        <w:rPr>
          <w:rFonts w:ascii="Times New Roman" w:hAnsi="Times New Roman" w:cs="Times New Roman"/>
          <w:sz w:val="28"/>
          <w:szCs w:val="28"/>
          <w:lang w:val="en-ZA"/>
        </w:rPr>
        <w:t>Tacid</w:t>
      </w:r>
      <w:proofErr w:type="spellEnd"/>
      <w:r>
        <w:rPr>
          <w:rFonts w:ascii="Times New Roman" w:hAnsi="Times New Roman" w:cs="Times New Roman"/>
          <w:sz w:val="28"/>
          <w:szCs w:val="28"/>
          <w:lang w:val="en-ZA"/>
        </w:rPr>
        <w:t xml:space="preserve"> hypothec by its nature relates to movable property and if the defaulting respondent gets wind of the contemplated action, there is a real possibility that by the time the matter </w:t>
      </w:r>
      <w:r w:rsidR="00930CC8">
        <w:rPr>
          <w:rFonts w:ascii="Times New Roman" w:hAnsi="Times New Roman" w:cs="Times New Roman"/>
          <w:sz w:val="28"/>
          <w:szCs w:val="28"/>
          <w:lang w:val="en-ZA"/>
        </w:rPr>
        <w:t xml:space="preserve">is </w:t>
      </w:r>
      <w:r>
        <w:rPr>
          <w:rFonts w:ascii="Times New Roman" w:hAnsi="Times New Roman" w:cs="Times New Roman"/>
          <w:sz w:val="28"/>
          <w:szCs w:val="28"/>
          <w:lang w:val="en-ZA"/>
        </w:rPr>
        <w:t>finally heard those movables could be removed from the p</w:t>
      </w:r>
      <w:r w:rsidR="00930CC8">
        <w:rPr>
          <w:rFonts w:ascii="Times New Roman" w:hAnsi="Times New Roman" w:cs="Times New Roman"/>
          <w:sz w:val="28"/>
          <w:szCs w:val="28"/>
          <w:lang w:val="en-ZA"/>
        </w:rPr>
        <w:t>remises</w:t>
      </w:r>
      <w:r>
        <w:rPr>
          <w:rFonts w:ascii="Times New Roman" w:hAnsi="Times New Roman" w:cs="Times New Roman"/>
          <w:sz w:val="28"/>
          <w:szCs w:val="28"/>
          <w:lang w:val="en-ZA"/>
        </w:rPr>
        <w:t xml:space="preserve"> thereby rendering the applicant’s claim worthless. </w:t>
      </w:r>
      <w:r w:rsidR="005C5492">
        <w:rPr>
          <w:rFonts w:ascii="Times New Roman" w:hAnsi="Times New Roman" w:cs="Times New Roman"/>
          <w:sz w:val="28"/>
          <w:szCs w:val="28"/>
          <w:lang w:val="en-ZA"/>
        </w:rPr>
        <w:t xml:space="preserve">It is therefore </w:t>
      </w:r>
      <w:r w:rsidR="005C5492">
        <w:rPr>
          <w:rFonts w:ascii="Times New Roman" w:hAnsi="Times New Roman" w:cs="Times New Roman"/>
          <w:sz w:val="28"/>
          <w:szCs w:val="28"/>
          <w:lang w:val="en-ZA"/>
        </w:rPr>
        <w:lastRenderedPageBreak/>
        <w:t xml:space="preserve">on this basis that the court granted interim reliefs </w:t>
      </w:r>
      <w:r w:rsidR="005C5492" w:rsidRPr="005C5492">
        <w:rPr>
          <w:rFonts w:ascii="Times New Roman" w:hAnsi="Times New Roman" w:cs="Times New Roman"/>
          <w:i/>
          <w:iCs/>
          <w:sz w:val="28"/>
          <w:szCs w:val="28"/>
          <w:lang w:val="en-ZA"/>
        </w:rPr>
        <w:t xml:space="preserve">ex </w:t>
      </w:r>
      <w:proofErr w:type="spellStart"/>
      <w:r w:rsidR="005C5492" w:rsidRPr="005C5492">
        <w:rPr>
          <w:rFonts w:ascii="Times New Roman" w:hAnsi="Times New Roman" w:cs="Times New Roman"/>
          <w:i/>
          <w:iCs/>
          <w:sz w:val="28"/>
          <w:szCs w:val="28"/>
          <w:lang w:val="en-ZA"/>
        </w:rPr>
        <w:t>parte</w:t>
      </w:r>
      <w:proofErr w:type="spellEnd"/>
      <w:r w:rsidR="005C549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As regards disputes of fact and material non-disclosure.  The apex court in </w:t>
      </w:r>
      <w:proofErr w:type="spellStart"/>
      <w:r>
        <w:rPr>
          <w:rFonts w:ascii="Times New Roman" w:hAnsi="Times New Roman" w:cs="Times New Roman"/>
          <w:b/>
          <w:bCs/>
          <w:sz w:val="28"/>
          <w:szCs w:val="28"/>
          <w:lang w:val="en-ZA"/>
        </w:rPr>
        <w:t>Makoala</w:t>
      </w:r>
      <w:proofErr w:type="spellEnd"/>
      <w:r>
        <w:rPr>
          <w:rFonts w:ascii="Times New Roman" w:hAnsi="Times New Roman" w:cs="Times New Roman"/>
          <w:b/>
          <w:bCs/>
          <w:sz w:val="28"/>
          <w:szCs w:val="28"/>
          <w:lang w:val="en-ZA"/>
        </w:rPr>
        <w:t xml:space="preserve"> v </w:t>
      </w:r>
      <w:proofErr w:type="spellStart"/>
      <w:r>
        <w:rPr>
          <w:rFonts w:ascii="Times New Roman" w:hAnsi="Times New Roman" w:cs="Times New Roman"/>
          <w:b/>
          <w:bCs/>
          <w:sz w:val="28"/>
          <w:szCs w:val="28"/>
          <w:lang w:val="en-ZA"/>
        </w:rPr>
        <w:t>Makoala</w:t>
      </w:r>
      <w:proofErr w:type="spellEnd"/>
      <w:r>
        <w:rPr>
          <w:rFonts w:ascii="Times New Roman" w:hAnsi="Times New Roman" w:cs="Times New Roman"/>
          <w:b/>
          <w:bCs/>
          <w:sz w:val="28"/>
          <w:szCs w:val="28"/>
          <w:lang w:val="en-ZA"/>
        </w:rPr>
        <w:t xml:space="preserve"> (C of A (CIV) 04/09) [2009] LSCA 3 (09 April</w:t>
      </w:r>
      <w:r w:rsidR="00584ACC">
        <w:rPr>
          <w:rFonts w:ascii="Times New Roman" w:hAnsi="Times New Roman" w:cs="Times New Roman"/>
          <w:b/>
          <w:bCs/>
          <w:sz w:val="28"/>
          <w:szCs w:val="28"/>
          <w:lang w:val="en-ZA"/>
        </w:rPr>
        <w:t xml:space="preserve"> 2009) </w:t>
      </w:r>
      <w:r w:rsidR="00584ACC">
        <w:rPr>
          <w:rFonts w:ascii="Times New Roman" w:hAnsi="Times New Roman" w:cs="Times New Roman"/>
          <w:sz w:val="28"/>
          <w:szCs w:val="28"/>
          <w:lang w:val="en-ZA"/>
        </w:rPr>
        <w:t xml:space="preserve">more than a decade ago made it plain </w:t>
      </w:r>
      <w:r w:rsidR="001C18C1">
        <w:rPr>
          <w:rFonts w:ascii="Times New Roman" w:hAnsi="Times New Roman" w:cs="Times New Roman"/>
          <w:sz w:val="28"/>
          <w:szCs w:val="28"/>
          <w:lang w:val="en-ZA"/>
        </w:rPr>
        <w:t xml:space="preserve">that </w:t>
      </w:r>
      <w:r w:rsidR="00584ACC">
        <w:rPr>
          <w:rFonts w:ascii="Times New Roman" w:hAnsi="Times New Roman" w:cs="Times New Roman"/>
          <w:sz w:val="28"/>
          <w:szCs w:val="28"/>
          <w:lang w:val="en-ZA"/>
        </w:rPr>
        <w:t xml:space="preserve">these two issues are not proper points in </w:t>
      </w:r>
      <w:proofErr w:type="spellStart"/>
      <w:r w:rsidR="00584ACC">
        <w:rPr>
          <w:rFonts w:ascii="Times New Roman" w:hAnsi="Times New Roman" w:cs="Times New Roman"/>
          <w:i/>
          <w:iCs/>
          <w:sz w:val="28"/>
          <w:szCs w:val="28"/>
          <w:lang w:val="en-ZA"/>
        </w:rPr>
        <w:t>limine</w:t>
      </w:r>
      <w:proofErr w:type="spellEnd"/>
      <w:r w:rsidR="00584ACC">
        <w:rPr>
          <w:rFonts w:ascii="Times New Roman" w:hAnsi="Times New Roman" w:cs="Times New Roman"/>
          <w:i/>
          <w:iCs/>
          <w:sz w:val="28"/>
          <w:szCs w:val="28"/>
          <w:lang w:val="en-ZA"/>
        </w:rPr>
        <w:t xml:space="preserve"> </w:t>
      </w:r>
      <w:r w:rsidR="00584ACC">
        <w:rPr>
          <w:rFonts w:ascii="Times New Roman" w:hAnsi="Times New Roman" w:cs="Times New Roman"/>
          <w:sz w:val="28"/>
          <w:szCs w:val="28"/>
          <w:lang w:val="en-ZA"/>
        </w:rPr>
        <w:t>(at para.10) but counsel continue to raise them as such, nonetheless.</w:t>
      </w:r>
    </w:p>
    <w:p w14:paraId="225BBA09" w14:textId="77777777" w:rsidR="00584ACC" w:rsidRDefault="00584ACC" w:rsidP="00FA1D16">
      <w:pPr>
        <w:spacing w:after="0" w:line="360" w:lineRule="auto"/>
        <w:ind w:left="720" w:hanging="720"/>
        <w:jc w:val="both"/>
        <w:rPr>
          <w:rFonts w:ascii="Times New Roman" w:hAnsi="Times New Roman" w:cs="Times New Roman"/>
          <w:sz w:val="28"/>
          <w:szCs w:val="28"/>
          <w:lang w:val="en-ZA"/>
        </w:rPr>
      </w:pPr>
    </w:p>
    <w:p w14:paraId="053337BF" w14:textId="44DEBD56" w:rsidR="00753D29" w:rsidRDefault="00584ACC"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F2069">
        <w:rPr>
          <w:rFonts w:ascii="Times New Roman" w:hAnsi="Times New Roman" w:cs="Times New Roman"/>
          <w:sz w:val="28"/>
          <w:szCs w:val="28"/>
          <w:lang w:val="en-ZA"/>
        </w:rPr>
        <w:t>2</w:t>
      </w:r>
      <w:r>
        <w:rPr>
          <w:rFonts w:ascii="Times New Roman" w:hAnsi="Times New Roman" w:cs="Times New Roman"/>
          <w:sz w:val="28"/>
          <w:szCs w:val="28"/>
          <w:lang w:val="en-ZA"/>
        </w:rPr>
        <w:t xml:space="preserve">] </w:t>
      </w:r>
      <w:r w:rsidR="003B20B3">
        <w:rPr>
          <w:rFonts w:ascii="Times New Roman" w:hAnsi="Times New Roman" w:cs="Times New Roman"/>
          <w:sz w:val="28"/>
          <w:szCs w:val="28"/>
          <w:lang w:val="en-ZA"/>
        </w:rPr>
        <w:tab/>
      </w:r>
      <w:r>
        <w:rPr>
          <w:rFonts w:ascii="Times New Roman" w:hAnsi="Times New Roman" w:cs="Times New Roman"/>
          <w:sz w:val="28"/>
          <w:szCs w:val="28"/>
          <w:lang w:val="en-ZA"/>
        </w:rPr>
        <w:t xml:space="preserve">(ii) </w:t>
      </w:r>
      <w:r>
        <w:rPr>
          <w:rFonts w:ascii="Times New Roman" w:hAnsi="Times New Roman" w:cs="Times New Roman"/>
          <w:b/>
          <w:bCs/>
          <w:sz w:val="28"/>
          <w:szCs w:val="28"/>
          <w:lang w:val="en-ZA"/>
        </w:rPr>
        <w:t>Whether the applicant impermissibly introduced a new matter in reply</w:t>
      </w:r>
      <w:r w:rsidR="00753D29">
        <w:rPr>
          <w:rFonts w:ascii="Times New Roman" w:hAnsi="Times New Roman" w:cs="Times New Roman"/>
          <w:sz w:val="28"/>
          <w:szCs w:val="28"/>
          <w:lang w:val="en-ZA"/>
        </w:rPr>
        <w:t xml:space="preserve"> </w:t>
      </w:r>
    </w:p>
    <w:p w14:paraId="04455B3F" w14:textId="644E1EB7" w:rsidR="00753D29" w:rsidRDefault="003B20B3"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1</w:t>
      </w:r>
      <w:r w:rsidRPr="003B20B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contention in this regard relates to Annexures “Es</w:t>
      </w:r>
      <w:r w:rsidR="00CF2069">
        <w:rPr>
          <w:rFonts w:ascii="Times New Roman" w:hAnsi="Times New Roman" w:cs="Times New Roman"/>
          <w:sz w:val="28"/>
          <w:szCs w:val="28"/>
          <w:lang w:val="en-ZA"/>
        </w:rPr>
        <w:t>9</w:t>
      </w:r>
      <w:r>
        <w:rPr>
          <w:rFonts w:ascii="Times New Roman" w:hAnsi="Times New Roman" w:cs="Times New Roman"/>
          <w:sz w:val="28"/>
          <w:szCs w:val="28"/>
          <w:lang w:val="en-ZA"/>
        </w:rPr>
        <w:t xml:space="preserve">”, which are the contracts entered into between the </w:t>
      </w:r>
      <w:r w:rsidR="00CF2069">
        <w:rPr>
          <w:rFonts w:ascii="Times New Roman" w:hAnsi="Times New Roman" w:cs="Times New Roman"/>
          <w:sz w:val="28"/>
          <w:szCs w:val="28"/>
          <w:lang w:val="en-ZA"/>
        </w:rPr>
        <w:t>C</w:t>
      </w:r>
      <w:r w:rsidR="007330D2">
        <w:rPr>
          <w:rFonts w:ascii="Times New Roman" w:hAnsi="Times New Roman" w:cs="Times New Roman"/>
          <w:sz w:val="28"/>
          <w:szCs w:val="28"/>
          <w:lang w:val="en-ZA"/>
        </w:rPr>
        <w:t>o-working space (Trading as Dust Busters (Pty) Ltd).  These annexures were introduced for purposes of showing that the 1</w:t>
      </w:r>
      <w:r w:rsidR="007330D2" w:rsidRPr="007330D2">
        <w:rPr>
          <w:rFonts w:ascii="Times New Roman" w:hAnsi="Times New Roman" w:cs="Times New Roman"/>
          <w:sz w:val="28"/>
          <w:szCs w:val="28"/>
          <w:vertAlign w:val="superscript"/>
          <w:lang w:val="en-ZA"/>
        </w:rPr>
        <w:t>st</w:t>
      </w:r>
      <w:r w:rsidR="007330D2">
        <w:rPr>
          <w:rFonts w:ascii="Times New Roman" w:hAnsi="Times New Roman" w:cs="Times New Roman"/>
          <w:sz w:val="28"/>
          <w:szCs w:val="28"/>
          <w:lang w:val="en-ZA"/>
        </w:rPr>
        <w:t xml:space="preserve"> respondent has sublet the property to the 2</w:t>
      </w:r>
      <w:r w:rsidR="007330D2" w:rsidRPr="007330D2">
        <w:rPr>
          <w:rFonts w:ascii="Times New Roman" w:hAnsi="Times New Roman" w:cs="Times New Roman"/>
          <w:sz w:val="28"/>
          <w:szCs w:val="28"/>
          <w:vertAlign w:val="superscript"/>
          <w:lang w:val="en-ZA"/>
        </w:rPr>
        <w:t>nd</w:t>
      </w:r>
      <w:r w:rsidR="007330D2">
        <w:rPr>
          <w:rFonts w:ascii="Times New Roman" w:hAnsi="Times New Roman" w:cs="Times New Roman"/>
          <w:sz w:val="28"/>
          <w:szCs w:val="28"/>
          <w:lang w:val="en-ZA"/>
        </w:rPr>
        <w:t xml:space="preserve"> and 3</w:t>
      </w:r>
      <w:r w:rsidR="007330D2" w:rsidRPr="007330D2">
        <w:rPr>
          <w:rFonts w:ascii="Times New Roman" w:hAnsi="Times New Roman" w:cs="Times New Roman"/>
          <w:sz w:val="28"/>
          <w:szCs w:val="28"/>
          <w:vertAlign w:val="superscript"/>
          <w:lang w:val="en-ZA"/>
        </w:rPr>
        <w:t>rd</w:t>
      </w:r>
      <w:r w:rsidR="007330D2">
        <w:rPr>
          <w:rFonts w:ascii="Times New Roman" w:hAnsi="Times New Roman" w:cs="Times New Roman"/>
          <w:sz w:val="28"/>
          <w:szCs w:val="28"/>
          <w:lang w:val="en-ZA"/>
        </w:rPr>
        <w:t xml:space="preserve"> respondents</w:t>
      </w:r>
      <w:r w:rsidR="00CF2069">
        <w:rPr>
          <w:rFonts w:ascii="Times New Roman" w:hAnsi="Times New Roman" w:cs="Times New Roman"/>
          <w:sz w:val="28"/>
          <w:szCs w:val="28"/>
          <w:lang w:val="en-ZA"/>
        </w:rPr>
        <w:t xml:space="preserve"> a</w:t>
      </w:r>
      <w:r w:rsidR="007330D2">
        <w:rPr>
          <w:rFonts w:ascii="Times New Roman" w:hAnsi="Times New Roman" w:cs="Times New Roman"/>
          <w:sz w:val="28"/>
          <w:szCs w:val="28"/>
          <w:lang w:val="en-ZA"/>
        </w:rPr>
        <w:t>fter being called upon by the 1</w:t>
      </w:r>
      <w:r w:rsidR="007330D2" w:rsidRPr="007330D2">
        <w:rPr>
          <w:rFonts w:ascii="Times New Roman" w:hAnsi="Times New Roman" w:cs="Times New Roman"/>
          <w:sz w:val="28"/>
          <w:szCs w:val="28"/>
          <w:vertAlign w:val="superscript"/>
          <w:lang w:val="en-ZA"/>
        </w:rPr>
        <w:t>st</w:t>
      </w:r>
      <w:r w:rsidR="007330D2">
        <w:rPr>
          <w:rFonts w:ascii="Times New Roman" w:hAnsi="Times New Roman" w:cs="Times New Roman"/>
          <w:sz w:val="28"/>
          <w:szCs w:val="28"/>
          <w:lang w:val="en-ZA"/>
        </w:rPr>
        <w:t xml:space="preserve"> respondent in its answering affidavit to produce proof that it had </w:t>
      </w:r>
      <w:r w:rsidR="00CF2069">
        <w:rPr>
          <w:rFonts w:ascii="Times New Roman" w:hAnsi="Times New Roman" w:cs="Times New Roman"/>
          <w:sz w:val="28"/>
          <w:szCs w:val="28"/>
          <w:lang w:val="en-ZA"/>
        </w:rPr>
        <w:t xml:space="preserve">sublet the property to </w:t>
      </w:r>
      <w:r w:rsidR="007330D2">
        <w:rPr>
          <w:rFonts w:ascii="Times New Roman" w:hAnsi="Times New Roman" w:cs="Times New Roman"/>
          <w:sz w:val="28"/>
          <w:szCs w:val="28"/>
          <w:lang w:val="en-ZA"/>
        </w:rPr>
        <w:t>2</w:t>
      </w:r>
      <w:r w:rsidR="007330D2" w:rsidRPr="007330D2">
        <w:rPr>
          <w:rFonts w:ascii="Times New Roman" w:hAnsi="Times New Roman" w:cs="Times New Roman"/>
          <w:sz w:val="28"/>
          <w:szCs w:val="28"/>
          <w:vertAlign w:val="superscript"/>
          <w:lang w:val="en-ZA"/>
        </w:rPr>
        <w:t>nd</w:t>
      </w:r>
      <w:r w:rsidR="007330D2">
        <w:rPr>
          <w:rFonts w:ascii="Times New Roman" w:hAnsi="Times New Roman" w:cs="Times New Roman"/>
          <w:sz w:val="28"/>
          <w:szCs w:val="28"/>
          <w:lang w:val="en-ZA"/>
        </w:rPr>
        <w:t xml:space="preserve"> and 3</w:t>
      </w:r>
      <w:r w:rsidR="007330D2" w:rsidRPr="007330D2">
        <w:rPr>
          <w:rFonts w:ascii="Times New Roman" w:hAnsi="Times New Roman" w:cs="Times New Roman"/>
          <w:sz w:val="28"/>
          <w:szCs w:val="28"/>
          <w:vertAlign w:val="superscript"/>
          <w:lang w:val="en-ZA"/>
        </w:rPr>
        <w:t>rd</w:t>
      </w:r>
      <w:r w:rsidR="007330D2">
        <w:rPr>
          <w:rFonts w:ascii="Times New Roman" w:hAnsi="Times New Roman" w:cs="Times New Roman"/>
          <w:sz w:val="28"/>
          <w:szCs w:val="28"/>
          <w:lang w:val="en-ZA"/>
        </w:rPr>
        <w:t xml:space="preserve"> respondents.  Before </w:t>
      </w:r>
      <w:r w:rsidR="00CF2069">
        <w:rPr>
          <w:rFonts w:ascii="Times New Roman" w:hAnsi="Times New Roman" w:cs="Times New Roman"/>
          <w:sz w:val="28"/>
          <w:szCs w:val="28"/>
          <w:lang w:val="en-ZA"/>
        </w:rPr>
        <w:t xml:space="preserve">I </w:t>
      </w:r>
      <w:r w:rsidR="007330D2">
        <w:rPr>
          <w:rFonts w:ascii="Times New Roman" w:hAnsi="Times New Roman" w:cs="Times New Roman"/>
          <w:sz w:val="28"/>
          <w:szCs w:val="28"/>
          <w:lang w:val="en-ZA"/>
        </w:rPr>
        <w:t>deal with the factual scenario it is apposite that the legal principles applicable in the present situation are re-stated.</w:t>
      </w:r>
    </w:p>
    <w:p w14:paraId="6BB2A413" w14:textId="3F4D5FC5" w:rsidR="007330D2" w:rsidRDefault="007330D2" w:rsidP="00FA1D16">
      <w:pPr>
        <w:spacing w:after="0" w:line="360" w:lineRule="auto"/>
        <w:ind w:left="720" w:hanging="720"/>
        <w:jc w:val="both"/>
        <w:rPr>
          <w:rFonts w:ascii="Times New Roman" w:hAnsi="Times New Roman" w:cs="Times New Roman"/>
          <w:sz w:val="28"/>
          <w:szCs w:val="28"/>
          <w:lang w:val="en-ZA"/>
        </w:rPr>
      </w:pPr>
    </w:p>
    <w:p w14:paraId="134CC82B" w14:textId="4886AAF2" w:rsidR="00800DB4" w:rsidRPr="0076466B" w:rsidRDefault="007330D2" w:rsidP="00FA1D1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CF2069">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03462" w:rsidRPr="00703462">
        <w:rPr>
          <w:rFonts w:ascii="Times New Roman" w:hAnsi="Times New Roman" w:cs="Times New Roman"/>
          <w:sz w:val="28"/>
          <w:szCs w:val="28"/>
          <w:lang w:val="en-ZA"/>
        </w:rPr>
        <w:t>Affidavits constitutes both the pleadings and evidence, and therefore the party’s case must be made out in them from (</w:t>
      </w:r>
      <w:r w:rsidR="00703462" w:rsidRPr="00703462">
        <w:rPr>
          <w:rFonts w:ascii="Times New Roman" w:hAnsi="Times New Roman" w:cs="Times New Roman"/>
          <w:b/>
          <w:bCs/>
          <w:sz w:val="28"/>
          <w:szCs w:val="28"/>
          <w:lang w:val="en-ZA"/>
        </w:rPr>
        <w:t xml:space="preserve">Minister of Land Affairs and Agriculture v D &amp; F </w:t>
      </w:r>
      <w:proofErr w:type="spellStart"/>
      <w:r w:rsidR="00703462" w:rsidRPr="00703462">
        <w:rPr>
          <w:rFonts w:ascii="Times New Roman" w:hAnsi="Times New Roman" w:cs="Times New Roman"/>
          <w:b/>
          <w:bCs/>
          <w:sz w:val="28"/>
          <w:szCs w:val="28"/>
          <w:lang w:val="en-ZA"/>
        </w:rPr>
        <w:t>Wevell</w:t>
      </w:r>
      <w:proofErr w:type="spellEnd"/>
      <w:r w:rsidR="00703462" w:rsidRPr="00703462">
        <w:rPr>
          <w:rFonts w:ascii="Times New Roman" w:hAnsi="Times New Roman" w:cs="Times New Roman"/>
          <w:b/>
          <w:bCs/>
          <w:sz w:val="28"/>
          <w:szCs w:val="28"/>
          <w:lang w:val="en-ZA"/>
        </w:rPr>
        <w:t xml:space="preserve"> Trust 2008 (2) SA 184 (SCA) at 200D).</w:t>
      </w:r>
      <w:r w:rsidR="00703462" w:rsidRPr="00703462">
        <w:rPr>
          <w:rFonts w:ascii="Times New Roman" w:hAnsi="Times New Roman" w:cs="Times New Roman"/>
          <w:sz w:val="28"/>
          <w:szCs w:val="28"/>
          <w:lang w:val="en-ZA"/>
        </w:rPr>
        <w:t xml:space="preserve"> </w:t>
      </w:r>
      <w:r w:rsidR="00703462">
        <w:rPr>
          <w:rFonts w:ascii="Times New Roman" w:hAnsi="Times New Roman" w:cs="Times New Roman"/>
          <w:sz w:val="28"/>
          <w:szCs w:val="28"/>
          <w:lang w:val="en-ZA"/>
        </w:rPr>
        <w:t>T</w:t>
      </w:r>
      <w:r w:rsidR="00205961">
        <w:rPr>
          <w:rFonts w:ascii="Times New Roman" w:hAnsi="Times New Roman" w:cs="Times New Roman"/>
          <w:sz w:val="28"/>
          <w:szCs w:val="28"/>
          <w:lang w:val="en-ZA"/>
        </w:rPr>
        <w:t xml:space="preserve">he court is only confined to determining issues raised </w:t>
      </w:r>
      <w:r w:rsidR="00CF2069">
        <w:rPr>
          <w:rFonts w:ascii="Times New Roman" w:hAnsi="Times New Roman" w:cs="Times New Roman"/>
          <w:sz w:val="28"/>
          <w:szCs w:val="28"/>
          <w:lang w:val="en-ZA"/>
        </w:rPr>
        <w:t>therein and</w:t>
      </w:r>
      <w:r w:rsidR="00205961">
        <w:rPr>
          <w:rFonts w:ascii="Times New Roman" w:hAnsi="Times New Roman" w:cs="Times New Roman"/>
          <w:sz w:val="28"/>
          <w:szCs w:val="28"/>
          <w:lang w:val="en-ZA"/>
        </w:rPr>
        <w:t xml:space="preserve"> should </w:t>
      </w:r>
      <w:r w:rsidR="00CF2069">
        <w:rPr>
          <w:rFonts w:ascii="Times New Roman" w:hAnsi="Times New Roman" w:cs="Times New Roman"/>
          <w:sz w:val="28"/>
          <w:szCs w:val="28"/>
          <w:lang w:val="en-ZA"/>
        </w:rPr>
        <w:t xml:space="preserve">not </w:t>
      </w:r>
      <w:r w:rsidR="00205961">
        <w:rPr>
          <w:rFonts w:ascii="Times New Roman" w:hAnsi="Times New Roman" w:cs="Times New Roman"/>
          <w:sz w:val="28"/>
          <w:szCs w:val="28"/>
          <w:lang w:val="en-ZA"/>
        </w:rPr>
        <w:t>have resort to extraneous issues and unproved facts.  A litigant will not be allowed, in view of this principle, to make out its case in reply (</w:t>
      </w:r>
      <w:r w:rsidR="00205961" w:rsidRPr="0076466B">
        <w:rPr>
          <w:rFonts w:ascii="Times New Roman" w:hAnsi="Times New Roman" w:cs="Times New Roman"/>
          <w:b/>
          <w:bCs/>
          <w:sz w:val="28"/>
          <w:szCs w:val="28"/>
          <w:lang w:val="en-ZA"/>
        </w:rPr>
        <w:t xml:space="preserve">National Executive Committee of the Lesotho National Olympic Committee and Others v </w:t>
      </w:r>
      <w:proofErr w:type="spellStart"/>
      <w:r w:rsidR="00205961" w:rsidRPr="0076466B">
        <w:rPr>
          <w:rFonts w:ascii="Times New Roman" w:hAnsi="Times New Roman" w:cs="Times New Roman"/>
          <w:b/>
          <w:bCs/>
          <w:sz w:val="28"/>
          <w:szCs w:val="28"/>
          <w:lang w:val="en-ZA"/>
        </w:rPr>
        <w:t>Morolong</w:t>
      </w:r>
      <w:proofErr w:type="spellEnd"/>
      <w:r w:rsidR="00205961" w:rsidRPr="0076466B">
        <w:rPr>
          <w:rFonts w:ascii="Times New Roman" w:hAnsi="Times New Roman" w:cs="Times New Roman"/>
          <w:b/>
          <w:bCs/>
          <w:sz w:val="28"/>
          <w:szCs w:val="28"/>
          <w:lang w:val="en-ZA"/>
        </w:rPr>
        <w:t xml:space="preserve"> (C of A (CIV) NO. 26 of 2001) (NULL) [2002] LSHC 10 (12 April 2002).</w:t>
      </w:r>
      <w:r w:rsidR="00800DB4" w:rsidRPr="0076466B">
        <w:rPr>
          <w:rFonts w:ascii="Times New Roman" w:hAnsi="Times New Roman" w:cs="Times New Roman"/>
          <w:b/>
          <w:bCs/>
          <w:sz w:val="28"/>
          <w:szCs w:val="28"/>
          <w:lang w:val="en-ZA"/>
        </w:rPr>
        <w:t xml:space="preserve">) </w:t>
      </w:r>
    </w:p>
    <w:p w14:paraId="5B849AF0" w14:textId="77777777" w:rsidR="00800DB4" w:rsidRPr="0076466B" w:rsidRDefault="00800DB4" w:rsidP="00FA1D16">
      <w:pPr>
        <w:spacing w:after="0" w:line="360" w:lineRule="auto"/>
        <w:ind w:left="720" w:hanging="720"/>
        <w:jc w:val="both"/>
        <w:rPr>
          <w:rFonts w:ascii="Times New Roman" w:hAnsi="Times New Roman" w:cs="Times New Roman"/>
          <w:b/>
          <w:bCs/>
          <w:i/>
          <w:iCs/>
          <w:sz w:val="28"/>
          <w:szCs w:val="28"/>
          <w:lang w:val="en-ZA"/>
        </w:rPr>
      </w:pPr>
    </w:p>
    <w:p w14:paraId="165FCD94" w14:textId="28C6A599" w:rsidR="007330D2" w:rsidRDefault="00703462" w:rsidP="00BF54FF">
      <w:pPr>
        <w:spacing w:after="0" w:line="360" w:lineRule="auto"/>
        <w:ind w:left="720" w:hanging="720"/>
        <w:jc w:val="both"/>
        <w:rPr>
          <w:rFonts w:ascii="Times New Roman" w:hAnsi="Times New Roman" w:cs="Times New Roman"/>
          <w:sz w:val="28"/>
          <w:szCs w:val="28"/>
          <w:lang w:val="en-ZA"/>
        </w:rPr>
      </w:pPr>
      <w:r w:rsidRPr="00BF54FF">
        <w:rPr>
          <w:rFonts w:ascii="Times New Roman" w:hAnsi="Times New Roman" w:cs="Times New Roman"/>
          <w:sz w:val="28"/>
          <w:szCs w:val="28"/>
          <w:lang w:val="en-ZA"/>
        </w:rPr>
        <w:lastRenderedPageBreak/>
        <w:t xml:space="preserve"> </w:t>
      </w:r>
      <w:r w:rsidR="00BF54FF" w:rsidRPr="00BF54FF">
        <w:rPr>
          <w:rFonts w:ascii="Times New Roman" w:hAnsi="Times New Roman" w:cs="Times New Roman"/>
          <w:sz w:val="28"/>
          <w:szCs w:val="28"/>
          <w:lang w:val="en-ZA"/>
        </w:rPr>
        <w:t>[1</w:t>
      </w:r>
      <w:r>
        <w:rPr>
          <w:rFonts w:ascii="Times New Roman" w:hAnsi="Times New Roman" w:cs="Times New Roman"/>
          <w:sz w:val="28"/>
          <w:szCs w:val="28"/>
          <w:lang w:val="en-ZA"/>
        </w:rPr>
        <w:t>4</w:t>
      </w:r>
      <w:r w:rsidR="00BF54FF" w:rsidRPr="00BF54FF">
        <w:rPr>
          <w:rFonts w:ascii="Times New Roman" w:hAnsi="Times New Roman" w:cs="Times New Roman"/>
          <w:sz w:val="28"/>
          <w:szCs w:val="28"/>
          <w:lang w:val="en-ZA"/>
        </w:rPr>
        <w:t>]</w:t>
      </w:r>
      <w:r w:rsidR="00BF54FF" w:rsidRPr="00BF54FF">
        <w:rPr>
          <w:rFonts w:ascii="Times New Roman" w:hAnsi="Times New Roman" w:cs="Times New Roman"/>
          <w:sz w:val="28"/>
          <w:szCs w:val="28"/>
          <w:lang w:val="en-ZA"/>
        </w:rPr>
        <w:tab/>
      </w:r>
      <w:r>
        <w:rPr>
          <w:rFonts w:ascii="Times New Roman" w:hAnsi="Times New Roman" w:cs="Times New Roman"/>
          <w:sz w:val="28"/>
          <w:szCs w:val="28"/>
          <w:lang w:val="en-ZA"/>
        </w:rPr>
        <w:t>R</w:t>
      </w:r>
      <w:r w:rsidR="00BF54FF">
        <w:rPr>
          <w:rFonts w:ascii="Times New Roman" w:hAnsi="Times New Roman" w:cs="Times New Roman"/>
          <w:sz w:val="28"/>
          <w:szCs w:val="28"/>
          <w:lang w:val="en-ZA"/>
        </w:rPr>
        <w:t>egarding the new matter introduced for the first time in reply</w:t>
      </w:r>
      <w:r>
        <w:rPr>
          <w:rFonts w:ascii="Times New Roman" w:hAnsi="Times New Roman" w:cs="Times New Roman"/>
          <w:sz w:val="28"/>
          <w:szCs w:val="28"/>
          <w:lang w:val="en-ZA"/>
        </w:rPr>
        <w:t>,</w:t>
      </w:r>
      <w:r w:rsidR="00BF54FF">
        <w:rPr>
          <w:rFonts w:ascii="Times New Roman" w:hAnsi="Times New Roman" w:cs="Times New Roman"/>
          <w:sz w:val="28"/>
          <w:szCs w:val="28"/>
          <w:lang w:val="en-ZA"/>
        </w:rPr>
        <w:t xml:space="preserve"> the approach is the following, as </w:t>
      </w:r>
      <w:r>
        <w:rPr>
          <w:rFonts w:ascii="Times New Roman" w:hAnsi="Times New Roman" w:cs="Times New Roman"/>
          <w:sz w:val="28"/>
          <w:szCs w:val="28"/>
          <w:lang w:val="en-ZA"/>
        </w:rPr>
        <w:t>articula</w:t>
      </w:r>
      <w:r w:rsidR="00BF54FF">
        <w:rPr>
          <w:rFonts w:ascii="Times New Roman" w:hAnsi="Times New Roman" w:cs="Times New Roman"/>
          <w:sz w:val="28"/>
          <w:szCs w:val="28"/>
          <w:lang w:val="en-ZA"/>
        </w:rPr>
        <w:t xml:space="preserve">ted in </w:t>
      </w:r>
      <w:proofErr w:type="spellStart"/>
      <w:r w:rsidR="00BF54FF">
        <w:rPr>
          <w:rFonts w:ascii="Times New Roman" w:hAnsi="Times New Roman" w:cs="Times New Roman"/>
          <w:b/>
          <w:bCs/>
          <w:sz w:val="28"/>
          <w:szCs w:val="28"/>
          <w:lang w:val="en-ZA"/>
        </w:rPr>
        <w:t>Mohaleroe</w:t>
      </w:r>
      <w:proofErr w:type="spellEnd"/>
      <w:r w:rsidR="00BF54FF">
        <w:rPr>
          <w:rFonts w:ascii="Times New Roman" w:hAnsi="Times New Roman" w:cs="Times New Roman"/>
          <w:b/>
          <w:bCs/>
          <w:sz w:val="28"/>
          <w:szCs w:val="28"/>
          <w:lang w:val="en-ZA"/>
        </w:rPr>
        <w:t xml:space="preserve"> v Lesotho Public Motor Transport Co. (Pty) Ltd and Another (C of A (CIV) 16/2010), </w:t>
      </w:r>
      <w:r w:rsidR="00BF54FF" w:rsidRPr="00BF54FF">
        <w:rPr>
          <w:rFonts w:ascii="Times New Roman" w:hAnsi="Times New Roman" w:cs="Times New Roman"/>
          <w:sz w:val="28"/>
          <w:szCs w:val="28"/>
          <w:lang w:val="en-ZA"/>
        </w:rPr>
        <w:t>whe</w:t>
      </w:r>
      <w:r w:rsidR="002C45B5">
        <w:rPr>
          <w:rFonts w:ascii="Times New Roman" w:hAnsi="Times New Roman" w:cs="Times New Roman"/>
          <w:sz w:val="28"/>
          <w:szCs w:val="28"/>
          <w:lang w:val="en-ZA"/>
        </w:rPr>
        <w:t>n</w:t>
      </w:r>
      <w:r w:rsidR="00BF54FF" w:rsidRPr="00BF54FF">
        <w:rPr>
          <w:rFonts w:ascii="Times New Roman" w:hAnsi="Times New Roman" w:cs="Times New Roman"/>
          <w:sz w:val="28"/>
          <w:szCs w:val="28"/>
          <w:lang w:val="en-ZA"/>
        </w:rPr>
        <w:t xml:space="preserve"> the court said:</w:t>
      </w:r>
    </w:p>
    <w:p w14:paraId="7FD82DC2" w14:textId="23606C21" w:rsidR="002856B1" w:rsidRDefault="002856B1" w:rsidP="00BF54FF">
      <w:pPr>
        <w:spacing w:after="0" w:line="360" w:lineRule="auto"/>
        <w:ind w:left="720" w:hanging="720"/>
        <w:jc w:val="both"/>
        <w:rPr>
          <w:rFonts w:ascii="Times New Roman" w:hAnsi="Times New Roman" w:cs="Times New Roman"/>
          <w:sz w:val="28"/>
          <w:szCs w:val="28"/>
          <w:lang w:val="en-ZA"/>
        </w:rPr>
      </w:pPr>
    </w:p>
    <w:p w14:paraId="4521032F" w14:textId="1D5EFB59" w:rsidR="002856B1" w:rsidRDefault="002856B1" w:rsidP="002856B1">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“28. The objection that the new facts had been wrongly permitted in the replying affidavit is also without substance …. [T]he </w:t>
      </w:r>
      <w:proofErr w:type="gramStart"/>
      <w:r>
        <w:rPr>
          <w:rFonts w:ascii="Times New Roman" w:hAnsi="Times New Roman" w:cs="Times New Roman"/>
          <w:i/>
          <w:iCs/>
          <w:sz w:val="24"/>
          <w:szCs w:val="24"/>
          <w:lang w:val="en-ZA"/>
        </w:rPr>
        <w:t>rule</w:t>
      </w:r>
      <w:proofErr w:type="gramEnd"/>
      <w:r>
        <w:rPr>
          <w:rFonts w:ascii="Times New Roman" w:hAnsi="Times New Roman" w:cs="Times New Roman"/>
          <w:i/>
          <w:iCs/>
          <w:sz w:val="24"/>
          <w:szCs w:val="24"/>
          <w:lang w:val="en-ZA"/>
        </w:rPr>
        <w:t xml:space="preserve"> that new matter in replying affidavits must </w:t>
      </w:r>
      <w:r w:rsidR="00902BB4">
        <w:rPr>
          <w:rFonts w:ascii="Times New Roman" w:hAnsi="Times New Roman" w:cs="Times New Roman"/>
          <w:i/>
          <w:iCs/>
          <w:sz w:val="24"/>
          <w:szCs w:val="24"/>
          <w:lang w:val="en-ZA"/>
        </w:rPr>
        <w:t xml:space="preserve">be struck out is ‘not a law of Medes and Persians.’  The court has a discretion to allow new matter to remain in a replying affidavit, giving the respondent an opportunity to deal with it in a second set of affidavits.” </w:t>
      </w:r>
      <w:r w:rsidR="00902BB4">
        <w:rPr>
          <w:rFonts w:ascii="Times New Roman" w:hAnsi="Times New Roman" w:cs="Times New Roman"/>
          <w:b/>
          <w:bCs/>
          <w:sz w:val="24"/>
          <w:szCs w:val="24"/>
          <w:lang w:val="en-ZA"/>
        </w:rPr>
        <w:t xml:space="preserve">(see also: </w:t>
      </w:r>
      <w:proofErr w:type="spellStart"/>
      <w:r w:rsidR="00902BB4">
        <w:rPr>
          <w:rFonts w:ascii="Times New Roman" w:hAnsi="Times New Roman" w:cs="Times New Roman"/>
          <w:b/>
          <w:bCs/>
          <w:sz w:val="24"/>
          <w:szCs w:val="24"/>
          <w:lang w:val="en-ZA"/>
        </w:rPr>
        <w:t>Lehlohonolo</w:t>
      </w:r>
      <w:proofErr w:type="spellEnd"/>
      <w:r w:rsidR="00902BB4">
        <w:rPr>
          <w:rFonts w:ascii="Times New Roman" w:hAnsi="Times New Roman" w:cs="Times New Roman"/>
          <w:b/>
          <w:bCs/>
          <w:sz w:val="24"/>
          <w:szCs w:val="24"/>
          <w:lang w:val="en-ZA"/>
        </w:rPr>
        <w:t xml:space="preserve"> </w:t>
      </w:r>
      <w:proofErr w:type="spellStart"/>
      <w:r w:rsidR="00902BB4">
        <w:rPr>
          <w:rFonts w:ascii="Times New Roman" w:hAnsi="Times New Roman" w:cs="Times New Roman"/>
          <w:b/>
          <w:bCs/>
          <w:sz w:val="24"/>
          <w:szCs w:val="24"/>
          <w:lang w:val="en-ZA"/>
        </w:rPr>
        <w:t>Mangoejane</w:t>
      </w:r>
      <w:proofErr w:type="spellEnd"/>
      <w:r w:rsidR="00902BB4">
        <w:rPr>
          <w:rFonts w:ascii="Times New Roman" w:hAnsi="Times New Roman" w:cs="Times New Roman"/>
          <w:b/>
          <w:bCs/>
          <w:sz w:val="24"/>
          <w:szCs w:val="24"/>
          <w:lang w:val="en-ZA"/>
        </w:rPr>
        <w:t xml:space="preserve"> and Another v </w:t>
      </w:r>
      <w:proofErr w:type="spellStart"/>
      <w:r w:rsidR="00902BB4">
        <w:rPr>
          <w:rFonts w:ascii="Times New Roman" w:hAnsi="Times New Roman" w:cs="Times New Roman"/>
          <w:b/>
          <w:bCs/>
          <w:sz w:val="24"/>
          <w:szCs w:val="24"/>
          <w:lang w:val="en-ZA"/>
        </w:rPr>
        <w:t>Seabata</w:t>
      </w:r>
      <w:proofErr w:type="spellEnd"/>
      <w:r w:rsidR="00902BB4">
        <w:rPr>
          <w:rFonts w:ascii="Times New Roman" w:hAnsi="Times New Roman" w:cs="Times New Roman"/>
          <w:b/>
          <w:bCs/>
          <w:sz w:val="24"/>
          <w:szCs w:val="24"/>
          <w:lang w:val="en-ZA"/>
        </w:rPr>
        <w:t xml:space="preserve"> </w:t>
      </w:r>
      <w:proofErr w:type="spellStart"/>
      <w:r w:rsidR="00902BB4">
        <w:rPr>
          <w:rFonts w:ascii="Times New Roman" w:hAnsi="Times New Roman" w:cs="Times New Roman"/>
          <w:b/>
          <w:bCs/>
          <w:sz w:val="24"/>
          <w:szCs w:val="24"/>
          <w:lang w:val="en-ZA"/>
        </w:rPr>
        <w:t>Mangoejane</w:t>
      </w:r>
      <w:proofErr w:type="spellEnd"/>
      <w:r w:rsidR="00902BB4">
        <w:rPr>
          <w:rFonts w:ascii="Times New Roman" w:hAnsi="Times New Roman" w:cs="Times New Roman"/>
          <w:b/>
          <w:bCs/>
          <w:sz w:val="24"/>
          <w:szCs w:val="24"/>
          <w:lang w:val="en-ZA"/>
        </w:rPr>
        <w:t xml:space="preserve"> and Another </w:t>
      </w:r>
      <w:r w:rsidR="007D19AE">
        <w:rPr>
          <w:rFonts w:ascii="Times New Roman" w:hAnsi="Times New Roman" w:cs="Times New Roman"/>
          <w:b/>
          <w:bCs/>
          <w:sz w:val="24"/>
          <w:szCs w:val="24"/>
          <w:lang w:val="en-ZA"/>
        </w:rPr>
        <w:t xml:space="preserve">C of A (CIV) 43/2017 (07 December 2018) at paras. 20 – 21 </w:t>
      </w:r>
    </w:p>
    <w:p w14:paraId="5FDD55CE" w14:textId="77777777" w:rsidR="00703462" w:rsidRDefault="00703462" w:rsidP="002856B1">
      <w:pPr>
        <w:spacing w:after="0" w:line="360" w:lineRule="auto"/>
        <w:ind w:left="1440" w:right="1008"/>
        <w:jc w:val="both"/>
        <w:rPr>
          <w:rFonts w:ascii="Times New Roman" w:hAnsi="Times New Roman" w:cs="Times New Roman"/>
          <w:b/>
          <w:bCs/>
          <w:sz w:val="24"/>
          <w:szCs w:val="24"/>
          <w:lang w:val="en-ZA"/>
        </w:rPr>
      </w:pPr>
    </w:p>
    <w:p w14:paraId="51DF17E8" w14:textId="5FF56EC4" w:rsidR="00703462" w:rsidRPr="00703462" w:rsidRDefault="00703462" w:rsidP="00703462">
      <w:pPr>
        <w:spacing w:after="0" w:line="360" w:lineRule="auto"/>
        <w:ind w:right="1008"/>
        <w:jc w:val="both"/>
        <w:rPr>
          <w:rFonts w:ascii="Times New Roman" w:hAnsi="Times New Roman" w:cs="Times New Roman"/>
          <w:sz w:val="28"/>
          <w:szCs w:val="28"/>
          <w:lang w:val="en-ZA"/>
        </w:rPr>
      </w:pPr>
      <w:r w:rsidRPr="00703462">
        <w:rPr>
          <w:rFonts w:ascii="Times New Roman" w:hAnsi="Times New Roman" w:cs="Times New Roman"/>
          <w:sz w:val="24"/>
          <w:szCs w:val="24"/>
          <w:lang w:val="en-ZA"/>
        </w:rPr>
        <w:t>[1</w:t>
      </w:r>
      <w:r>
        <w:rPr>
          <w:rFonts w:ascii="Times New Roman" w:hAnsi="Times New Roman" w:cs="Times New Roman"/>
          <w:sz w:val="24"/>
          <w:szCs w:val="24"/>
          <w:lang w:val="en-ZA"/>
        </w:rPr>
        <w:t>5</w:t>
      </w:r>
      <w:r w:rsidRPr="00703462">
        <w:rPr>
          <w:rFonts w:ascii="Times New Roman" w:hAnsi="Times New Roman" w:cs="Times New Roman"/>
          <w:sz w:val="24"/>
          <w:szCs w:val="24"/>
          <w:lang w:val="en-ZA"/>
        </w:rPr>
        <w:t>]</w:t>
      </w:r>
      <w:r w:rsidRPr="00703462">
        <w:rPr>
          <w:rFonts w:ascii="Times New Roman" w:hAnsi="Times New Roman" w:cs="Times New Roman"/>
          <w:sz w:val="24"/>
          <w:szCs w:val="24"/>
          <w:lang w:val="en-ZA"/>
        </w:rPr>
        <w:tab/>
      </w:r>
      <w:r w:rsidRPr="00703462">
        <w:rPr>
          <w:rFonts w:ascii="Times New Roman" w:hAnsi="Times New Roman" w:cs="Times New Roman"/>
          <w:sz w:val="28"/>
          <w:szCs w:val="28"/>
          <w:lang w:val="en-ZA"/>
        </w:rPr>
        <w:t xml:space="preserve">This being a </w:t>
      </w:r>
      <w:proofErr w:type="gramStart"/>
      <w:r w:rsidRPr="00703462">
        <w:rPr>
          <w:rFonts w:ascii="Times New Roman" w:hAnsi="Times New Roman" w:cs="Times New Roman"/>
          <w:sz w:val="28"/>
          <w:szCs w:val="28"/>
          <w:lang w:val="en-ZA"/>
        </w:rPr>
        <w:t>motion proceedings</w:t>
      </w:r>
      <w:proofErr w:type="gramEnd"/>
      <w:r w:rsidRPr="00703462">
        <w:rPr>
          <w:rFonts w:ascii="Times New Roman" w:hAnsi="Times New Roman" w:cs="Times New Roman"/>
          <w:sz w:val="28"/>
          <w:szCs w:val="28"/>
          <w:lang w:val="en-ZA"/>
        </w:rPr>
        <w:t xml:space="preserve">, should any dispute of fact arise, its </w:t>
      </w:r>
      <w:r>
        <w:rPr>
          <w:rFonts w:ascii="Times New Roman" w:hAnsi="Times New Roman" w:cs="Times New Roman"/>
          <w:sz w:val="28"/>
          <w:szCs w:val="28"/>
          <w:lang w:val="en-ZA"/>
        </w:rPr>
        <w:tab/>
      </w:r>
      <w:r w:rsidRPr="00703462">
        <w:rPr>
          <w:rFonts w:ascii="Times New Roman" w:hAnsi="Times New Roman" w:cs="Times New Roman"/>
          <w:sz w:val="28"/>
          <w:szCs w:val="28"/>
          <w:lang w:val="en-ZA"/>
        </w:rPr>
        <w:t xml:space="preserve">resolution should be based on the well-known case of </w:t>
      </w:r>
      <w:proofErr w:type="spellStart"/>
      <w:r w:rsidRPr="00703462">
        <w:rPr>
          <w:rFonts w:ascii="Times New Roman" w:hAnsi="Times New Roman" w:cs="Times New Roman"/>
          <w:b/>
          <w:bCs/>
          <w:sz w:val="28"/>
          <w:szCs w:val="28"/>
          <w:lang w:val="en-ZA"/>
        </w:rPr>
        <w:t>Plascon</w:t>
      </w:r>
      <w:proofErr w:type="spellEnd"/>
      <w:r w:rsidRPr="00703462">
        <w:rPr>
          <w:rFonts w:ascii="Times New Roman" w:hAnsi="Times New Roman" w:cs="Times New Roman"/>
          <w:b/>
          <w:bCs/>
          <w:sz w:val="28"/>
          <w:szCs w:val="28"/>
          <w:lang w:val="en-ZA"/>
        </w:rPr>
        <w:t xml:space="preserve"> – </w:t>
      </w:r>
      <w:r>
        <w:rPr>
          <w:rFonts w:ascii="Times New Roman" w:hAnsi="Times New Roman" w:cs="Times New Roman"/>
          <w:b/>
          <w:bCs/>
          <w:sz w:val="28"/>
          <w:szCs w:val="28"/>
          <w:lang w:val="en-ZA"/>
        </w:rPr>
        <w:tab/>
      </w:r>
      <w:r w:rsidRPr="00703462">
        <w:rPr>
          <w:rFonts w:ascii="Times New Roman" w:hAnsi="Times New Roman" w:cs="Times New Roman"/>
          <w:b/>
          <w:bCs/>
          <w:sz w:val="28"/>
          <w:szCs w:val="28"/>
          <w:lang w:val="en-ZA"/>
        </w:rPr>
        <w:t>Evans Paints v Van Riebeek Paints (Pty</w:t>
      </w:r>
      <w:r w:rsidR="0076466B">
        <w:rPr>
          <w:rFonts w:ascii="Times New Roman" w:hAnsi="Times New Roman" w:cs="Times New Roman"/>
          <w:b/>
          <w:bCs/>
          <w:sz w:val="28"/>
          <w:szCs w:val="28"/>
          <w:lang w:val="en-ZA"/>
        </w:rPr>
        <w:t>)</w:t>
      </w:r>
      <w:r w:rsidR="0076466B" w:rsidRPr="0076466B">
        <w:rPr>
          <w:rFonts w:ascii="Times New Roman" w:hAnsi="Times New Roman" w:cs="Times New Roman"/>
          <w:b/>
          <w:bCs/>
          <w:sz w:val="28"/>
          <w:szCs w:val="28"/>
          <w:lang w:val="en-ZA"/>
        </w:rPr>
        <w:t xml:space="preserve"> Ltd 1984 (3) 623 (A) at </w:t>
      </w:r>
      <w:r w:rsidR="0076466B">
        <w:rPr>
          <w:rFonts w:ascii="Times New Roman" w:hAnsi="Times New Roman" w:cs="Times New Roman"/>
          <w:b/>
          <w:bCs/>
          <w:sz w:val="28"/>
          <w:szCs w:val="28"/>
          <w:lang w:val="en-ZA"/>
        </w:rPr>
        <w:tab/>
      </w:r>
      <w:r w:rsidR="0076466B" w:rsidRPr="0076466B">
        <w:rPr>
          <w:rFonts w:ascii="Times New Roman" w:hAnsi="Times New Roman" w:cs="Times New Roman"/>
          <w:b/>
          <w:bCs/>
          <w:sz w:val="28"/>
          <w:szCs w:val="28"/>
          <w:lang w:val="en-ZA"/>
        </w:rPr>
        <w:t>634 E – 635 C</w:t>
      </w:r>
      <w:r w:rsidRPr="00703462">
        <w:rPr>
          <w:rFonts w:ascii="Times New Roman" w:hAnsi="Times New Roman" w:cs="Times New Roman"/>
          <w:b/>
          <w:bCs/>
          <w:sz w:val="28"/>
          <w:szCs w:val="28"/>
          <w:lang w:val="en-ZA"/>
        </w:rPr>
        <w:t>.</w:t>
      </w:r>
      <w:r w:rsidRPr="00703462">
        <w:rPr>
          <w:rFonts w:ascii="Times New Roman" w:hAnsi="Times New Roman" w:cs="Times New Roman"/>
          <w:sz w:val="28"/>
          <w:szCs w:val="28"/>
          <w:lang w:val="en-ZA"/>
        </w:rPr>
        <w:t xml:space="preserve"> This principle was aptly stated in </w:t>
      </w:r>
      <w:r w:rsidRPr="00703462">
        <w:rPr>
          <w:rFonts w:ascii="Times New Roman" w:hAnsi="Times New Roman" w:cs="Times New Roman"/>
          <w:b/>
          <w:bCs/>
          <w:sz w:val="28"/>
          <w:szCs w:val="28"/>
          <w:lang w:val="en-ZA"/>
        </w:rPr>
        <w:t>Wightman t/a J</w:t>
      </w:r>
      <w:r>
        <w:rPr>
          <w:rFonts w:ascii="Times New Roman" w:hAnsi="Times New Roman" w:cs="Times New Roman"/>
          <w:b/>
          <w:bCs/>
          <w:sz w:val="28"/>
          <w:szCs w:val="28"/>
          <w:lang w:val="en-ZA"/>
        </w:rPr>
        <w:t>W</w:t>
      </w:r>
      <w:r w:rsidRPr="00703462">
        <w:rPr>
          <w:rFonts w:ascii="Times New Roman" w:hAnsi="Times New Roman" w:cs="Times New Roman"/>
          <w:b/>
          <w:bCs/>
          <w:sz w:val="28"/>
          <w:szCs w:val="28"/>
          <w:lang w:val="en-ZA"/>
        </w:rPr>
        <w:t xml:space="preserve"> </w:t>
      </w:r>
      <w:r w:rsidR="0076466B">
        <w:rPr>
          <w:rFonts w:ascii="Times New Roman" w:hAnsi="Times New Roman" w:cs="Times New Roman"/>
          <w:b/>
          <w:bCs/>
          <w:sz w:val="28"/>
          <w:szCs w:val="28"/>
          <w:lang w:val="en-ZA"/>
        </w:rPr>
        <w:tab/>
      </w:r>
      <w:r w:rsidRPr="00703462">
        <w:rPr>
          <w:rFonts w:ascii="Times New Roman" w:hAnsi="Times New Roman" w:cs="Times New Roman"/>
          <w:b/>
          <w:bCs/>
          <w:sz w:val="28"/>
          <w:szCs w:val="28"/>
          <w:lang w:val="en-ZA"/>
        </w:rPr>
        <w:t xml:space="preserve">Construction v </w:t>
      </w:r>
      <w:proofErr w:type="spellStart"/>
      <w:r w:rsidRPr="00703462">
        <w:rPr>
          <w:rFonts w:ascii="Times New Roman" w:hAnsi="Times New Roman" w:cs="Times New Roman"/>
          <w:b/>
          <w:bCs/>
          <w:sz w:val="28"/>
          <w:szCs w:val="28"/>
          <w:lang w:val="en-ZA"/>
        </w:rPr>
        <w:t>Headfour</w:t>
      </w:r>
      <w:proofErr w:type="spellEnd"/>
      <w:r w:rsidRPr="00703462">
        <w:rPr>
          <w:rFonts w:ascii="Times New Roman" w:hAnsi="Times New Roman" w:cs="Times New Roman"/>
          <w:b/>
          <w:bCs/>
          <w:sz w:val="28"/>
          <w:szCs w:val="28"/>
          <w:lang w:val="en-ZA"/>
        </w:rPr>
        <w:t xml:space="preserve"> (Pty) Ltd </w:t>
      </w:r>
      <w:r>
        <w:rPr>
          <w:rFonts w:ascii="Times New Roman" w:hAnsi="Times New Roman" w:cs="Times New Roman"/>
          <w:b/>
          <w:bCs/>
          <w:sz w:val="28"/>
          <w:szCs w:val="28"/>
          <w:lang w:val="en-ZA"/>
        </w:rPr>
        <w:tab/>
      </w:r>
      <w:r w:rsidRPr="00703462">
        <w:rPr>
          <w:rFonts w:ascii="Times New Roman" w:hAnsi="Times New Roman" w:cs="Times New Roman"/>
          <w:b/>
          <w:bCs/>
          <w:sz w:val="28"/>
          <w:szCs w:val="28"/>
          <w:lang w:val="en-ZA"/>
        </w:rPr>
        <w:t xml:space="preserve">and Another 2008 (3) SA </w:t>
      </w:r>
      <w:r w:rsidR="0076466B">
        <w:rPr>
          <w:rFonts w:ascii="Times New Roman" w:hAnsi="Times New Roman" w:cs="Times New Roman"/>
          <w:b/>
          <w:bCs/>
          <w:sz w:val="28"/>
          <w:szCs w:val="28"/>
          <w:lang w:val="en-ZA"/>
        </w:rPr>
        <w:tab/>
      </w:r>
      <w:r w:rsidRPr="00703462">
        <w:rPr>
          <w:rFonts w:ascii="Times New Roman" w:hAnsi="Times New Roman" w:cs="Times New Roman"/>
          <w:b/>
          <w:bCs/>
          <w:sz w:val="28"/>
          <w:szCs w:val="28"/>
          <w:lang w:val="en-ZA"/>
        </w:rPr>
        <w:t xml:space="preserve">371 (SCA) at para. 12 </w:t>
      </w:r>
      <w:r w:rsidRPr="00703462">
        <w:rPr>
          <w:rFonts w:ascii="Times New Roman" w:hAnsi="Times New Roman" w:cs="Times New Roman"/>
          <w:sz w:val="28"/>
          <w:szCs w:val="28"/>
          <w:lang w:val="en-ZA"/>
        </w:rPr>
        <w:t>where the court said:</w:t>
      </w:r>
    </w:p>
    <w:p w14:paraId="76A4EF14" w14:textId="77777777" w:rsidR="00703462" w:rsidRPr="00703462" w:rsidRDefault="00703462" w:rsidP="00703462">
      <w:pPr>
        <w:spacing w:after="0" w:line="360" w:lineRule="auto"/>
        <w:ind w:right="1008"/>
        <w:jc w:val="both"/>
        <w:rPr>
          <w:rFonts w:ascii="Times New Roman" w:hAnsi="Times New Roman" w:cs="Times New Roman"/>
          <w:sz w:val="24"/>
          <w:szCs w:val="24"/>
          <w:lang w:val="en-ZA"/>
        </w:rPr>
      </w:pPr>
    </w:p>
    <w:p w14:paraId="3074BD44" w14:textId="73E4F63A" w:rsidR="00703462" w:rsidRPr="00703462" w:rsidRDefault="00703462" w:rsidP="00703462">
      <w:p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“[12] Recognising that the truth almost always lies beyond mere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linguistic determination, the courts have said that an applicant who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seeks final relief on motion, must in the event of conflict, accept the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version set up by his opponent unless the latter’s allegations are, in the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opinion of the court, not such as to raise a real, genuine or bona fide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 xml:space="preserve">dispute of fact or are so far-fetched or clearly untenable that the court is </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703462">
        <w:rPr>
          <w:rFonts w:ascii="Times New Roman" w:hAnsi="Times New Roman" w:cs="Times New Roman"/>
          <w:i/>
          <w:iCs/>
          <w:sz w:val="24"/>
          <w:szCs w:val="24"/>
          <w:lang w:val="en-ZA"/>
        </w:rPr>
        <w:t>justified in rejecting them merely on the papers:”</w:t>
      </w:r>
    </w:p>
    <w:p w14:paraId="098D9BDE" w14:textId="77777777" w:rsidR="00703462" w:rsidRPr="00703462" w:rsidRDefault="00703462" w:rsidP="00703462">
      <w:pPr>
        <w:spacing w:after="0" w:line="360" w:lineRule="auto"/>
        <w:ind w:right="1008"/>
        <w:jc w:val="both"/>
        <w:rPr>
          <w:rFonts w:ascii="Times New Roman" w:hAnsi="Times New Roman" w:cs="Times New Roman"/>
          <w:i/>
          <w:iCs/>
          <w:sz w:val="24"/>
          <w:szCs w:val="24"/>
          <w:lang w:val="en-ZA"/>
        </w:rPr>
      </w:pPr>
    </w:p>
    <w:p w14:paraId="7A056DA7" w14:textId="3D4C9D2C" w:rsidR="007D19AE" w:rsidRPr="00703462" w:rsidRDefault="007D19AE" w:rsidP="007D19AE">
      <w:pPr>
        <w:spacing w:after="0" w:line="360" w:lineRule="auto"/>
        <w:ind w:right="1008"/>
        <w:jc w:val="both"/>
        <w:rPr>
          <w:rFonts w:ascii="Times New Roman" w:hAnsi="Times New Roman" w:cs="Times New Roman"/>
          <w:sz w:val="24"/>
          <w:szCs w:val="24"/>
          <w:lang w:val="en-ZA"/>
        </w:rPr>
      </w:pPr>
    </w:p>
    <w:p w14:paraId="3F36846A" w14:textId="76EBCA76" w:rsidR="007D19AE" w:rsidRPr="00420385" w:rsidRDefault="00420385" w:rsidP="0042038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D57A3F">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Reverting to the facts of the case, it should be recalled that among the reliefs sought by the applicant, was one directed at the 2</w:t>
      </w:r>
      <w:r w:rsidRPr="0042038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420385">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respondents to disclose the contracts they had </w:t>
      </w:r>
      <w:r w:rsidR="00D57A3F">
        <w:rPr>
          <w:rFonts w:ascii="Times New Roman" w:hAnsi="Times New Roman" w:cs="Times New Roman"/>
          <w:sz w:val="28"/>
          <w:szCs w:val="28"/>
          <w:lang w:val="en-ZA"/>
        </w:rPr>
        <w:t>concluded</w:t>
      </w:r>
      <w:r>
        <w:rPr>
          <w:rFonts w:ascii="Times New Roman" w:hAnsi="Times New Roman" w:cs="Times New Roman"/>
          <w:sz w:val="28"/>
          <w:szCs w:val="28"/>
          <w:lang w:val="en-ZA"/>
        </w:rPr>
        <w:t xml:space="preserve"> with the 1</w:t>
      </w:r>
      <w:r w:rsidRPr="0042038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Clearly, the applicant was not in possession of the said contracts when the application was</w:t>
      </w:r>
      <w:r w:rsidR="00D57A3F">
        <w:rPr>
          <w:rFonts w:ascii="Times New Roman" w:hAnsi="Times New Roman" w:cs="Times New Roman"/>
          <w:sz w:val="28"/>
          <w:szCs w:val="28"/>
          <w:lang w:val="en-ZA"/>
        </w:rPr>
        <w:t xml:space="preserve"> lodged, but she did was to </w:t>
      </w:r>
      <w:r>
        <w:rPr>
          <w:rFonts w:ascii="Times New Roman" w:hAnsi="Times New Roman" w:cs="Times New Roman"/>
          <w:sz w:val="28"/>
          <w:szCs w:val="28"/>
          <w:lang w:val="en-ZA"/>
        </w:rPr>
        <w:t xml:space="preserve"> ma</w:t>
      </w:r>
      <w:r w:rsidR="00D57A3F">
        <w:rPr>
          <w:rFonts w:ascii="Times New Roman" w:hAnsi="Times New Roman" w:cs="Times New Roman"/>
          <w:sz w:val="28"/>
          <w:szCs w:val="28"/>
          <w:lang w:val="en-ZA"/>
        </w:rPr>
        <w:t>k</w:t>
      </w:r>
      <w:r>
        <w:rPr>
          <w:rFonts w:ascii="Times New Roman" w:hAnsi="Times New Roman" w:cs="Times New Roman"/>
          <w:sz w:val="28"/>
          <w:szCs w:val="28"/>
          <w:lang w:val="en-ZA"/>
        </w:rPr>
        <w:t>e out a case in the founding affidavit that the 1</w:t>
      </w:r>
      <w:r w:rsidRPr="0042038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unjustly enriching itself by subletting the premises to the 2</w:t>
      </w:r>
      <w:r w:rsidRPr="0042038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420385">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w:t>
      </w:r>
      <w:r w:rsidR="008C7C22">
        <w:rPr>
          <w:rFonts w:ascii="Times New Roman" w:hAnsi="Times New Roman" w:cs="Times New Roman"/>
          <w:sz w:val="28"/>
          <w:szCs w:val="28"/>
          <w:lang w:val="en-ZA"/>
        </w:rPr>
        <w:t>respondents contrary to clause 9 of the sublease agreement.  In response</w:t>
      </w:r>
      <w:r w:rsidR="00D57A3F">
        <w:rPr>
          <w:rFonts w:ascii="Times New Roman" w:hAnsi="Times New Roman" w:cs="Times New Roman"/>
          <w:sz w:val="28"/>
          <w:szCs w:val="28"/>
          <w:lang w:val="en-ZA"/>
        </w:rPr>
        <w:t>,</w:t>
      </w:r>
      <w:r w:rsidR="008C7C22">
        <w:rPr>
          <w:rFonts w:ascii="Times New Roman" w:hAnsi="Times New Roman" w:cs="Times New Roman"/>
          <w:sz w:val="28"/>
          <w:szCs w:val="28"/>
          <w:lang w:val="en-ZA"/>
        </w:rPr>
        <w:t xml:space="preserve"> the 1</w:t>
      </w:r>
      <w:r w:rsidR="008C7C22" w:rsidRPr="008C7C22">
        <w:rPr>
          <w:rFonts w:ascii="Times New Roman" w:hAnsi="Times New Roman" w:cs="Times New Roman"/>
          <w:sz w:val="28"/>
          <w:szCs w:val="28"/>
          <w:vertAlign w:val="superscript"/>
          <w:lang w:val="en-ZA"/>
        </w:rPr>
        <w:t>st</w:t>
      </w:r>
      <w:r w:rsidR="008C7C22">
        <w:rPr>
          <w:rFonts w:ascii="Times New Roman" w:hAnsi="Times New Roman" w:cs="Times New Roman"/>
          <w:sz w:val="28"/>
          <w:szCs w:val="28"/>
          <w:lang w:val="en-ZA"/>
        </w:rPr>
        <w:t xml:space="preserve"> respondent denied subletting the premises to the 2</w:t>
      </w:r>
      <w:r w:rsidR="008C7C22" w:rsidRPr="008C7C22">
        <w:rPr>
          <w:rFonts w:ascii="Times New Roman" w:hAnsi="Times New Roman" w:cs="Times New Roman"/>
          <w:sz w:val="28"/>
          <w:szCs w:val="28"/>
          <w:vertAlign w:val="superscript"/>
          <w:lang w:val="en-ZA"/>
        </w:rPr>
        <w:t>nd</w:t>
      </w:r>
      <w:r w:rsidR="008C7C22">
        <w:rPr>
          <w:rFonts w:ascii="Times New Roman" w:hAnsi="Times New Roman" w:cs="Times New Roman"/>
          <w:sz w:val="28"/>
          <w:szCs w:val="28"/>
          <w:lang w:val="en-ZA"/>
        </w:rPr>
        <w:t xml:space="preserve"> and 3</w:t>
      </w:r>
      <w:r w:rsidR="008C7C22" w:rsidRPr="008C7C22">
        <w:rPr>
          <w:rFonts w:ascii="Times New Roman" w:hAnsi="Times New Roman" w:cs="Times New Roman"/>
          <w:sz w:val="28"/>
          <w:szCs w:val="28"/>
          <w:vertAlign w:val="superscript"/>
          <w:lang w:val="en-ZA"/>
        </w:rPr>
        <w:t>rd</w:t>
      </w:r>
      <w:r w:rsidR="008C7C22">
        <w:rPr>
          <w:rFonts w:ascii="Times New Roman" w:hAnsi="Times New Roman" w:cs="Times New Roman"/>
          <w:sz w:val="28"/>
          <w:szCs w:val="28"/>
          <w:lang w:val="en-ZA"/>
        </w:rPr>
        <w:t xml:space="preserve"> respondents and called upon the applicant to provide proof.  </w:t>
      </w:r>
      <w:r w:rsidR="00D57A3F">
        <w:rPr>
          <w:rFonts w:ascii="Times New Roman" w:hAnsi="Times New Roman" w:cs="Times New Roman"/>
          <w:sz w:val="28"/>
          <w:szCs w:val="28"/>
          <w:lang w:val="en-ZA"/>
        </w:rPr>
        <w:t>After</w:t>
      </w:r>
      <w:r w:rsidR="008C7C22">
        <w:rPr>
          <w:rFonts w:ascii="Times New Roman" w:hAnsi="Times New Roman" w:cs="Times New Roman"/>
          <w:sz w:val="28"/>
          <w:szCs w:val="28"/>
          <w:lang w:val="en-ZA"/>
        </w:rPr>
        <w:t xml:space="preserve"> being served with the application, the latter respondents provided the applicant’s counsel with the contracts they had with the 1</w:t>
      </w:r>
      <w:r w:rsidR="008C7C22" w:rsidRPr="008C7C22">
        <w:rPr>
          <w:rFonts w:ascii="Times New Roman" w:hAnsi="Times New Roman" w:cs="Times New Roman"/>
          <w:sz w:val="28"/>
          <w:szCs w:val="28"/>
          <w:vertAlign w:val="superscript"/>
          <w:lang w:val="en-ZA"/>
        </w:rPr>
        <w:t>st</w:t>
      </w:r>
      <w:r w:rsidR="008C7C22">
        <w:rPr>
          <w:rFonts w:ascii="Times New Roman" w:hAnsi="Times New Roman" w:cs="Times New Roman"/>
          <w:sz w:val="28"/>
          <w:szCs w:val="28"/>
          <w:lang w:val="en-ZA"/>
        </w:rPr>
        <w:t xml:space="preserve"> respondent.  These are the contracts the applicants annexed to the replying affidavits as proof.  The 1</w:t>
      </w:r>
      <w:r w:rsidR="008C7C22" w:rsidRPr="008C7C22">
        <w:rPr>
          <w:rFonts w:ascii="Times New Roman" w:hAnsi="Times New Roman" w:cs="Times New Roman"/>
          <w:sz w:val="28"/>
          <w:szCs w:val="28"/>
          <w:vertAlign w:val="superscript"/>
          <w:lang w:val="en-ZA"/>
        </w:rPr>
        <w:t>st</w:t>
      </w:r>
      <w:r w:rsidR="008C7C22">
        <w:rPr>
          <w:rFonts w:ascii="Times New Roman" w:hAnsi="Times New Roman" w:cs="Times New Roman"/>
          <w:sz w:val="28"/>
          <w:szCs w:val="28"/>
          <w:lang w:val="en-ZA"/>
        </w:rPr>
        <w:t xml:space="preserve"> respondent did not apply to be allowed </w:t>
      </w:r>
      <w:r w:rsidR="00D57A3F">
        <w:rPr>
          <w:rFonts w:ascii="Times New Roman" w:hAnsi="Times New Roman" w:cs="Times New Roman"/>
          <w:sz w:val="28"/>
          <w:szCs w:val="28"/>
          <w:lang w:val="en-ZA"/>
        </w:rPr>
        <w:t xml:space="preserve">file </w:t>
      </w:r>
      <w:r w:rsidR="008C7C22">
        <w:rPr>
          <w:rFonts w:ascii="Times New Roman" w:hAnsi="Times New Roman" w:cs="Times New Roman"/>
          <w:sz w:val="28"/>
          <w:szCs w:val="28"/>
          <w:lang w:val="en-ZA"/>
        </w:rPr>
        <w:t xml:space="preserve">a fourth set of </w:t>
      </w:r>
      <w:proofErr w:type="gramStart"/>
      <w:r w:rsidR="008C7C22">
        <w:rPr>
          <w:rFonts w:ascii="Times New Roman" w:hAnsi="Times New Roman" w:cs="Times New Roman"/>
          <w:sz w:val="28"/>
          <w:szCs w:val="28"/>
          <w:lang w:val="en-ZA"/>
        </w:rPr>
        <w:t>affidavit</w:t>
      </w:r>
      <w:proofErr w:type="gramEnd"/>
      <w:r w:rsidR="008C7C22">
        <w:rPr>
          <w:rFonts w:ascii="Times New Roman" w:hAnsi="Times New Roman" w:cs="Times New Roman"/>
          <w:sz w:val="28"/>
          <w:szCs w:val="28"/>
          <w:lang w:val="en-ZA"/>
        </w:rPr>
        <w:t xml:space="preserve"> to deal with this aspect, but merely contended itself with raising the issue in its heads of argument.  The 1</w:t>
      </w:r>
      <w:r w:rsidR="008C7C22" w:rsidRPr="008C7C22">
        <w:rPr>
          <w:rFonts w:ascii="Times New Roman" w:hAnsi="Times New Roman" w:cs="Times New Roman"/>
          <w:sz w:val="28"/>
          <w:szCs w:val="28"/>
          <w:vertAlign w:val="superscript"/>
          <w:lang w:val="en-ZA"/>
        </w:rPr>
        <w:t>st</w:t>
      </w:r>
      <w:r w:rsidR="008C7C22">
        <w:rPr>
          <w:rFonts w:ascii="Times New Roman" w:hAnsi="Times New Roman" w:cs="Times New Roman"/>
          <w:sz w:val="28"/>
          <w:szCs w:val="28"/>
          <w:lang w:val="en-ZA"/>
        </w:rPr>
        <w:t xml:space="preserve"> responde</w:t>
      </w:r>
      <w:r w:rsidR="00A1116C">
        <w:rPr>
          <w:rFonts w:ascii="Times New Roman" w:hAnsi="Times New Roman" w:cs="Times New Roman"/>
          <w:sz w:val="28"/>
          <w:szCs w:val="28"/>
          <w:lang w:val="en-ZA"/>
        </w:rPr>
        <w:t>n</w:t>
      </w:r>
      <w:r w:rsidR="008C7C22">
        <w:rPr>
          <w:rFonts w:ascii="Times New Roman" w:hAnsi="Times New Roman" w:cs="Times New Roman"/>
          <w:sz w:val="28"/>
          <w:szCs w:val="28"/>
          <w:lang w:val="en-ZA"/>
        </w:rPr>
        <w:t>t’s disinterest</w:t>
      </w:r>
      <w:r w:rsidR="00A1116C">
        <w:rPr>
          <w:rFonts w:ascii="Times New Roman" w:hAnsi="Times New Roman" w:cs="Times New Roman"/>
          <w:sz w:val="28"/>
          <w:szCs w:val="28"/>
          <w:lang w:val="en-ZA"/>
        </w:rPr>
        <w:t xml:space="preserve"> in applying for leave to file the fourth set of </w:t>
      </w:r>
      <w:proofErr w:type="gramStart"/>
      <w:r w:rsidR="00A1116C">
        <w:rPr>
          <w:rFonts w:ascii="Times New Roman" w:hAnsi="Times New Roman" w:cs="Times New Roman"/>
          <w:sz w:val="28"/>
          <w:szCs w:val="28"/>
          <w:lang w:val="en-ZA"/>
        </w:rPr>
        <w:t>affidavit</w:t>
      </w:r>
      <w:proofErr w:type="gramEnd"/>
      <w:r w:rsidR="00A1116C">
        <w:rPr>
          <w:rFonts w:ascii="Times New Roman" w:hAnsi="Times New Roman" w:cs="Times New Roman"/>
          <w:sz w:val="28"/>
          <w:szCs w:val="28"/>
          <w:lang w:val="en-ZA"/>
        </w:rPr>
        <w:t xml:space="preserve"> is hardly surprising because at paragraph eight (8) of its answering affidavit the deponent aver as follows:</w:t>
      </w:r>
    </w:p>
    <w:p w14:paraId="58678661" w14:textId="6E9E705C" w:rsidR="00990A26" w:rsidRDefault="003B20B3" w:rsidP="00FA1D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583E032A" w14:textId="399344EF" w:rsidR="00990A26" w:rsidRDefault="00132F37" w:rsidP="00132F37">
      <w:pPr>
        <w:spacing w:after="0" w:line="360" w:lineRule="auto"/>
        <w:ind w:left="2160" w:right="1008" w:hanging="720"/>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u w:val="single"/>
          <w:lang w:val="en-ZA"/>
        </w:rPr>
        <w:t>AD PARA 6 THEREOF 6 THEREOF</w:t>
      </w:r>
    </w:p>
    <w:p w14:paraId="61C84D81" w14:textId="2FD1D02C" w:rsidR="00132F37" w:rsidRDefault="00132F37" w:rsidP="00132F3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Contents herein are </w:t>
      </w:r>
      <w:proofErr w:type="gramStart"/>
      <w:r>
        <w:rPr>
          <w:rFonts w:ascii="Times New Roman" w:hAnsi="Times New Roman" w:cs="Times New Roman"/>
          <w:i/>
          <w:iCs/>
          <w:sz w:val="24"/>
          <w:szCs w:val="24"/>
          <w:lang w:val="en-ZA"/>
        </w:rPr>
        <w:t>denied</w:t>
      </w:r>
      <w:proofErr w:type="gramEnd"/>
      <w:r>
        <w:rPr>
          <w:rFonts w:ascii="Times New Roman" w:hAnsi="Times New Roman" w:cs="Times New Roman"/>
          <w:i/>
          <w:iCs/>
          <w:sz w:val="24"/>
          <w:szCs w:val="24"/>
          <w:lang w:val="en-ZA"/>
        </w:rPr>
        <w:t xml:space="preserve"> and the applicant is put to the proof therein.  The use of premises was agreed upon by Mr </w:t>
      </w:r>
      <w:proofErr w:type="spellStart"/>
      <w:r>
        <w:rPr>
          <w:rFonts w:ascii="Times New Roman" w:hAnsi="Times New Roman" w:cs="Times New Roman"/>
          <w:i/>
          <w:iCs/>
          <w:sz w:val="24"/>
          <w:szCs w:val="24"/>
          <w:lang w:val="en-ZA"/>
        </w:rPr>
        <w:t>Lebohang</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Monaphathi</w:t>
      </w:r>
      <w:proofErr w:type="spellEnd"/>
      <w:r>
        <w:rPr>
          <w:rFonts w:ascii="Times New Roman" w:hAnsi="Times New Roman" w:cs="Times New Roman"/>
          <w:i/>
          <w:iCs/>
          <w:sz w:val="24"/>
          <w:szCs w:val="24"/>
          <w:lang w:val="en-ZA"/>
        </w:rPr>
        <w:t xml:space="preserve"> and duly reduced into an amended agreement to indicate what, the premises will be used for, including among others for co-working space.  It is vehemently denied that I sub-let the premises and I deny I enriched myself in the circumstances.  I wish to refer this honourable court to clause 4 of the amendment.</w:t>
      </w:r>
    </w:p>
    <w:p w14:paraId="1F2BEC52" w14:textId="7315D270" w:rsidR="00132F37" w:rsidRDefault="00132F37" w:rsidP="00132F37">
      <w:pPr>
        <w:spacing w:after="0" w:line="360" w:lineRule="auto"/>
        <w:ind w:right="1008"/>
        <w:jc w:val="both"/>
        <w:rPr>
          <w:rFonts w:ascii="Times New Roman" w:hAnsi="Times New Roman" w:cs="Times New Roman"/>
          <w:i/>
          <w:iCs/>
          <w:sz w:val="24"/>
          <w:szCs w:val="24"/>
          <w:lang w:val="en-ZA"/>
        </w:rPr>
      </w:pPr>
    </w:p>
    <w:p w14:paraId="55108789" w14:textId="5E5E8960" w:rsidR="00F93268" w:rsidRDefault="001C5FD8" w:rsidP="001C5FD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D57A3F">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What the deponent above is saying is consistent with the annexure “Es</w:t>
      </w:r>
      <w:r w:rsidR="00D57A3F">
        <w:rPr>
          <w:rFonts w:ascii="Times New Roman" w:hAnsi="Times New Roman" w:cs="Times New Roman"/>
          <w:sz w:val="28"/>
          <w:szCs w:val="28"/>
          <w:lang w:val="en-ZA"/>
        </w:rPr>
        <w:t>9</w:t>
      </w:r>
      <w:r>
        <w:rPr>
          <w:rFonts w:ascii="Times New Roman" w:hAnsi="Times New Roman" w:cs="Times New Roman"/>
          <w:sz w:val="28"/>
          <w:szCs w:val="28"/>
          <w:lang w:val="en-ZA"/>
        </w:rPr>
        <w:t>” which depicts that the 1</w:t>
      </w:r>
      <w:r w:rsidRPr="001C5FD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signed with the 2</w:t>
      </w:r>
      <w:r w:rsidRPr="001C5FD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1C5FD8">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in what is termed co-working space arrangement in terms of which monies were paid monthly to the 1</w:t>
      </w:r>
      <w:r w:rsidRPr="001C5FD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by the latter for being provided with the working space on the subleased property.  In the exercise of my discretion, annexure “Es</w:t>
      </w:r>
      <w:r w:rsidR="00D57A3F">
        <w:rPr>
          <w:rFonts w:ascii="Times New Roman" w:hAnsi="Times New Roman" w:cs="Times New Roman"/>
          <w:sz w:val="28"/>
          <w:szCs w:val="28"/>
          <w:lang w:val="en-ZA"/>
        </w:rPr>
        <w:t>9</w:t>
      </w:r>
      <w:r>
        <w:rPr>
          <w:rFonts w:ascii="Times New Roman" w:hAnsi="Times New Roman" w:cs="Times New Roman"/>
          <w:sz w:val="28"/>
          <w:szCs w:val="28"/>
          <w:lang w:val="en-ZA"/>
        </w:rPr>
        <w:t>” should remain on the applicant’s replying</w:t>
      </w:r>
      <w:r w:rsidR="00F93268">
        <w:rPr>
          <w:rFonts w:ascii="Times New Roman" w:hAnsi="Times New Roman" w:cs="Times New Roman"/>
          <w:sz w:val="28"/>
          <w:szCs w:val="28"/>
          <w:lang w:val="en-ZA"/>
        </w:rPr>
        <w:t xml:space="preserve"> affidavit, as it does not constitute new matter but proof of what has been alleged in the founding affidavit.  These agreements are consistent with the 1</w:t>
      </w:r>
      <w:r w:rsidR="00F93268" w:rsidRPr="00F93268">
        <w:rPr>
          <w:rFonts w:ascii="Times New Roman" w:hAnsi="Times New Roman" w:cs="Times New Roman"/>
          <w:sz w:val="28"/>
          <w:szCs w:val="28"/>
          <w:vertAlign w:val="superscript"/>
          <w:lang w:val="en-ZA"/>
        </w:rPr>
        <w:t>st</w:t>
      </w:r>
      <w:r w:rsidR="00F93268">
        <w:rPr>
          <w:rFonts w:ascii="Times New Roman" w:hAnsi="Times New Roman" w:cs="Times New Roman"/>
          <w:sz w:val="28"/>
          <w:szCs w:val="28"/>
          <w:lang w:val="en-ZA"/>
        </w:rPr>
        <w:t xml:space="preserve"> respondent’s line of argument that it was per the amended agreement that it was made known to the applicant that the premises will be used as co-wording space.</w:t>
      </w:r>
    </w:p>
    <w:p w14:paraId="25827DFA" w14:textId="77777777" w:rsidR="00F93268" w:rsidRDefault="00F93268" w:rsidP="001C5FD8">
      <w:pPr>
        <w:spacing w:after="0" w:line="360" w:lineRule="auto"/>
        <w:ind w:left="720" w:hanging="720"/>
        <w:jc w:val="both"/>
        <w:rPr>
          <w:rFonts w:ascii="Times New Roman" w:hAnsi="Times New Roman" w:cs="Times New Roman"/>
          <w:sz w:val="28"/>
          <w:szCs w:val="28"/>
          <w:lang w:val="en-ZA"/>
        </w:rPr>
      </w:pPr>
    </w:p>
    <w:p w14:paraId="2C1595F8" w14:textId="4AC00A5E" w:rsidR="00F93268" w:rsidRDefault="00F93268" w:rsidP="001C5FD8">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9A42F4">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The merits of the case </w:t>
      </w:r>
    </w:p>
    <w:p w14:paraId="6A211F7F" w14:textId="3F8A0003" w:rsidR="0008226F" w:rsidRDefault="00F93268" w:rsidP="001C5FD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trite principle our law is that the landlord has a </w:t>
      </w:r>
      <w:proofErr w:type="spellStart"/>
      <w:r>
        <w:rPr>
          <w:rFonts w:ascii="Times New Roman" w:hAnsi="Times New Roman" w:cs="Times New Roman"/>
          <w:sz w:val="28"/>
          <w:szCs w:val="28"/>
          <w:lang w:val="en-ZA"/>
        </w:rPr>
        <w:t>tacid</w:t>
      </w:r>
      <w:proofErr w:type="spellEnd"/>
      <w:r>
        <w:rPr>
          <w:rFonts w:ascii="Times New Roman" w:hAnsi="Times New Roman" w:cs="Times New Roman"/>
          <w:sz w:val="28"/>
          <w:szCs w:val="28"/>
          <w:lang w:val="en-ZA"/>
        </w:rPr>
        <w:t xml:space="preserve"> hypothec over the movable property brought on to the subleased property.  All that the landlord has to prove is that the suble</w:t>
      </w:r>
      <w:r w:rsidR="00916C1C">
        <w:rPr>
          <w:rFonts w:ascii="Times New Roman" w:hAnsi="Times New Roman" w:cs="Times New Roman"/>
          <w:sz w:val="28"/>
          <w:szCs w:val="28"/>
          <w:lang w:val="en-ZA"/>
        </w:rPr>
        <w:t>s</w:t>
      </w:r>
      <w:r>
        <w:rPr>
          <w:rFonts w:ascii="Times New Roman" w:hAnsi="Times New Roman" w:cs="Times New Roman"/>
          <w:sz w:val="28"/>
          <w:szCs w:val="28"/>
          <w:lang w:val="en-ZA"/>
        </w:rPr>
        <w:t>se</w:t>
      </w:r>
      <w:r w:rsidR="00916C1C">
        <w:rPr>
          <w:rFonts w:ascii="Times New Roman" w:hAnsi="Times New Roman" w:cs="Times New Roman"/>
          <w:sz w:val="28"/>
          <w:szCs w:val="28"/>
          <w:lang w:val="en-ZA"/>
        </w:rPr>
        <w:t>e</w:t>
      </w:r>
      <w:r>
        <w:rPr>
          <w:rFonts w:ascii="Times New Roman" w:hAnsi="Times New Roman" w:cs="Times New Roman"/>
          <w:sz w:val="28"/>
          <w:szCs w:val="28"/>
          <w:lang w:val="en-ZA"/>
        </w:rPr>
        <w:t xml:space="preserve"> is in arrears with his/her/its rental payment and that the movable property is within the rented premises </w:t>
      </w:r>
      <w:r>
        <w:rPr>
          <w:rFonts w:ascii="Times New Roman" w:hAnsi="Times New Roman" w:cs="Times New Roman"/>
          <w:b/>
          <w:bCs/>
          <w:sz w:val="28"/>
          <w:szCs w:val="28"/>
          <w:lang w:val="en-ZA"/>
        </w:rPr>
        <w:t>(</w:t>
      </w:r>
      <w:bookmarkStart w:id="1" w:name="_Hlk111367590"/>
      <w:r w:rsidR="0046381D">
        <w:rPr>
          <w:rFonts w:ascii="Times New Roman" w:hAnsi="Times New Roman" w:cs="Times New Roman"/>
          <w:b/>
          <w:bCs/>
          <w:sz w:val="28"/>
          <w:szCs w:val="28"/>
          <w:lang w:val="en-ZA"/>
        </w:rPr>
        <w:t>LNDC v Crayon and Wing on Garment (Pty) Ltd; Wing on Garment (Pty) Ltd v LNDC and Another (CIV/APN/39/99, CIV/APN/39/99 [1999] LSCA 21 (12 March 1999)</w:t>
      </w:r>
      <w:bookmarkEnd w:id="1"/>
      <w:r w:rsidR="00256626">
        <w:rPr>
          <w:rFonts w:ascii="Times New Roman" w:hAnsi="Times New Roman" w:cs="Times New Roman"/>
          <w:b/>
          <w:bCs/>
          <w:sz w:val="28"/>
          <w:szCs w:val="28"/>
          <w:lang w:val="en-ZA"/>
        </w:rPr>
        <w:t>.</w:t>
      </w:r>
      <w:r w:rsidR="00256626">
        <w:rPr>
          <w:rFonts w:ascii="Times New Roman" w:hAnsi="Times New Roman" w:cs="Times New Roman"/>
          <w:sz w:val="28"/>
          <w:szCs w:val="28"/>
          <w:lang w:val="en-ZA"/>
        </w:rPr>
        <w:t xml:space="preserve">  In this case all these requirements have been satisfied. The only defence that the 1</w:t>
      </w:r>
      <w:r w:rsidR="00256626" w:rsidRPr="00256626">
        <w:rPr>
          <w:rFonts w:ascii="Times New Roman" w:hAnsi="Times New Roman" w:cs="Times New Roman"/>
          <w:sz w:val="28"/>
          <w:szCs w:val="28"/>
          <w:vertAlign w:val="superscript"/>
          <w:lang w:val="en-ZA"/>
        </w:rPr>
        <w:t>st</w:t>
      </w:r>
      <w:r w:rsidR="00256626">
        <w:rPr>
          <w:rFonts w:ascii="Times New Roman" w:hAnsi="Times New Roman" w:cs="Times New Roman"/>
          <w:sz w:val="28"/>
          <w:szCs w:val="28"/>
          <w:lang w:val="en-ZA"/>
        </w:rPr>
        <w:t xml:space="preserve"> respondent has is that it was agreed between the parties that </w:t>
      </w:r>
      <w:r w:rsidR="00916C1C">
        <w:rPr>
          <w:rFonts w:ascii="Times New Roman" w:hAnsi="Times New Roman" w:cs="Times New Roman"/>
          <w:sz w:val="28"/>
          <w:szCs w:val="28"/>
          <w:lang w:val="en-ZA"/>
        </w:rPr>
        <w:t>for the reason that</w:t>
      </w:r>
      <w:r w:rsidR="00256626">
        <w:rPr>
          <w:rFonts w:ascii="Times New Roman" w:hAnsi="Times New Roman" w:cs="Times New Roman"/>
          <w:sz w:val="28"/>
          <w:szCs w:val="28"/>
          <w:lang w:val="en-ZA"/>
        </w:rPr>
        <w:t xml:space="preserve"> the building stayed derelict for a period of five to seven years, the 1</w:t>
      </w:r>
      <w:r w:rsidR="00256626" w:rsidRPr="00256626">
        <w:rPr>
          <w:rFonts w:ascii="Times New Roman" w:hAnsi="Times New Roman" w:cs="Times New Roman"/>
          <w:sz w:val="28"/>
          <w:szCs w:val="28"/>
          <w:vertAlign w:val="superscript"/>
          <w:lang w:val="en-ZA"/>
        </w:rPr>
        <w:t>st</w:t>
      </w:r>
      <w:r w:rsidR="00256626">
        <w:rPr>
          <w:rFonts w:ascii="Times New Roman" w:hAnsi="Times New Roman" w:cs="Times New Roman"/>
          <w:sz w:val="28"/>
          <w:szCs w:val="28"/>
          <w:lang w:val="en-ZA"/>
        </w:rPr>
        <w:t xml:space="preserve"> respondent should do renovations and improvements and must produce receipts proving this expenditure so that it can be offset against rental</w:t>
      </w:r>
      <w:r w:rsidR="00916C1C">
        <w:rPr>
          <w:rFonts w:ascii="Times New Roman" w:hAnsi="Times New Roman" w:cs="Times New Roman"/>
          <w:sz w:val="28"/>
          <w:szCs w:val="28"/>
          <w:lang w:val="en-ZA"/>
        </w:rPr>
        <w:t>.</w:t>
      </w:r>
      <w:r w:rsidR="00256626">
        <w:rPr>
          <w:rFonts w:ascii="Times New Roman" w:hAnsi="Times New Roman" w:cs="Times New Roman"/>
          <w:sz w:val="28"/>
          <w:szCs w:val="28"/>
          <w:lang w:val="en-ZA"/>
        </w:rPr>
        <w:t xml:space="preserve"> </w:t>
      </w:r>
      <w:r w:rsidR="00916C1C">
        <w:rPr>
          <w:rFonts w:ascii="Times New Roman" w:hAnsi="Times New Roman" w:cs="Times New Roman"/>
          <w:sz w:val="28"/>
          <w:szCs w:val="28"/>
          <w:lang w:val="en-ZA"/>
        </w:rPr>
        <w:t xml:space="preserve"> Ms </w:t>
      </w:r>
      <w:proofErr w:type="spellStart"/>
      <w:r w:rsidR="00916C1C">
        <w:rPr>
          <w:rFonts w:ascii="Times New Roman" w:hAnsi="Times New Roman" w:cs="Times New Roman"/>
          <w:sz w:val="28"/>
          <w:szCs w:val="28"/>
          <w:lang w:val="en-ZA"/>
        </w:rPr>
        <w:t>Mokoqo</w:t>
      </w:r>
      <w:proofErr w:type="spellEnd"/>
      <w:r w:rsidR="00916C1C">
        <w:rPr>
          <w:rFonts w:ascii="Times New Roman" w:hAnsi="Times New Roman" w:cs="Times New Roman"/>
          <w:sz w:val="28"/>
          <w:szCs w:val="28"/>
          <w:lang w:val="en-ZA"/>
        </w:rPr>
        <w:t xml:space="preserve"> avers </w:t>
      </w:r>
      <w:r w:rsidR="00256626">
        <w:rPr>
          <w:rFonts w:ascii="Times New Roman" w:hAnsi="Times New Roman" w:cs="Times New Roman"/>
          <w:sz w:val="28"/>
          <w:szCs w:val="28"/>
          <w:lang w:val="en-ZA"/>
        </w:rPr>
        <w:t xml:space="preserve">that Mr </w:t>
      </w:r>
      <w:proofErr w:type="spellStart"/>
      <w:r w:rsidR="00256626">
        <w:rPr>
          <w:rFonts w:ascii="Times New Roman" w:hAnsi="Times New Roman" w:cs="Times New Roman"/>
          <w:sz w:val="28"/>
          <w:szCs w:val="28"/>
          <w:lang w:val="en-ZA"/>
        </w:rPr>
        <w:t>Lebohang</w:t>
      </w:r>
      <w:proofErr w:type="spellEnd"/>
      <w:r w:rsidR="00256626">
        <w:rPr>
          <w:rFonts w:ascii="Times New Roman" w:hAnsi="Times New Roman" w:cs="Times New Roman"/>
          <w:sz w:val="28"/>
          <w:szCs w:val="28"/>
          <w:lang w:val="en-ZA"/>
        </w:rPr>
        <w:t xml:space="preserve"> </w:t>
      </w:r>
      <w:proofErr w:type="spellStart"/>
      <w:r w:rsidR="00256626">
        <w:rPr>
          <w:rFonts w:ascii="Times New Roman" w:hAnsi="Times New Roman" w:cs="Times New Roman"/>
          <w:sz w:val="28"/>
          <w:szCs w:val="28"/>
          <w:lang w:val="en-ZA"/>
        </w:rPr>
        <w:t>Monaphathi</w:t>
      </w:r>
      <w:proofErr w:type="spellEnd"/>
      <w:r w:rsidR="00256626">
        <w:rPr>
          <w:rFonts w:ascii="Times New Roman" w:hAnsi="Times New Roman" w:cs="Times New Roman"/>
          <w:sz w:val="28"/>
          <w:szCs w:val="28"/>
          <w:lang w:val="en-ZA"/>
        </w:rPr>
        <w:t xml:space="preserve"> did not have </w:t>
      </w:r>
      <w:r w:rsidR="00916C1C">
        <w:rPr>
          <w:rFonts w:ascii="Times New Roman" w:hAnsi="Times New Roman" w:cs="Times New Roman"/>
          <w:sz w:val="28"/>
          <w:szCs w:val="28"/>
          <w:lang w:val="en-ZA"/>
        </w:rPr>
        <w:t xml:space="preserve">an </w:t>
      </w:r>
      <w:r w:rsidR="00256626">
        <w:rPr>
          <w:rFonts w:ascii="Times New Roman" w:hAnsi="Times New Roman" w:cs="Times New Roman"/>
          <w:sz w:val="28"/>
          <w:szCs w:val="28"/>
          <w:lang w:val="en-ZA"/>
        </w:rPr>
        <w:t xml:space="preserve">issue with non-payment of rental as the agreement was concluded with him and </w:t>
      </w:r>
      <w:r w:rsidR="00916C1C">
        <w:rPr>
          <w:rFonts w:ascii="Times New Roman" w:hAnsi="Times New Roman" w:cs="Times New Roman"/>
          <w:sz w:val="28"/>
          <w:szCs w:val="28"/>
          <w:lang w:val="en-ZA"/>
        </w:rPr>
        <w:t xml:space="preserve">that </w:t>
      </w:r>
      <w:r w:rsidR="00256626">
        <w:rPr>
          <w:rFonts w:ascii="Times New Roman" w:hAnsi="Times New Roman" w:cs="Times New Roman"/>
          <w:sz w:val="28"/>
          <w:szCs w:val="28"/>
          <w:lang w:val="en-ZA"/>
        </w:rPr>
        <w:t xml:space="preserve">he knew it would take a long </w:t>
      </w:r>
      <w:r w:rsidR="00916C1C">
        <w:rPr>
          <w:rFonts w:ascii="Times New Roman" w:hAnsi="Times New Roman" w:cs="Times New Roman"/>
          <w:sz w:val="28"/>
          <w:szCs w:val="28"/>
          <w:lang w:val="en-ZA"/>
        </w:rPr>
        <w:t xml:space="preserve">time </w:t>
      </w:r>
      <w:r w:rsidR="00256626">
        <w:rPr>
          <w:rFonts w:ascii="Times New Roman" w:hAnsi="Times New Roman" w:cs="Times New Roman"/>
          <w:sz w:val="28"/>
          <w:szCs w:val="28"/>
          <w:lang w:val="en-ZA"/>
        </w:rPr>
        <w:t xml:space="preserve">to </w:t>
      </w:r>
      <w:r w:rsidR="00916C1C">
        <w:rPr>
          <w:rFonts w:ascii="Times New Roman" w:hAnsi="Times New Roman" w:cs="Times New Roman"/>
          <w:sz w:val="28"/>
          <w:szCs w:val="28"/>
          <w:lang w:val="en-ZA"/>
        </w:rPr>
        <w:t>complete</w:t>
      </w:r>
      <w:r w:rsidR="00256626">
        <w:rPr>
          <w:rFonts w:ascii="Times New Roman" w:hAnsi="Times New Roman" w:cs="Times New Roman"/>
          <w:sz w:val="28"/>
          <w:szCs w:val="28"/>
          <w:lang w:val="en-ZA"/>
        </w:rPr>
        <w:t xml:space="preserve"> renovating the </w:t>
      </w:r>
      <w:r w:rsidR="00916C1C">
        <w:rPr>
          <w:rFonts w:ascii="Times New Roman" w:hAnsi="Times New Roman" w:cs="Times New Roman"/>
          <w:sz w:val="28"/>
          <w:szCs w:val="28"/>
          <w:lang w:val="en-ZA"/>
        </w:rPr>
        <w:t>renovations</w:t>
      </w:r>
      <w:r w:rsidR="00256626">
        <w:rPr>
          <w:rFonts w:ascii="Times New Roman" w:hAnsi="Times New Roman" w:cs="Times New Roman"/>
          <w:sz w:val="28"/>
          <w:szCs w:val="28"/>
          <w:lang w:val="en-ZA"/>
        </w:rPr>
        <w:t xml:space="preserve">.  </w:t>
      </w:r>
      <w:r w:rsidR="00327A11">
        <w:rPr>
          <w:rFonts w:ascii="Times New Roman" w:hAnsi="Times New Roman" w:cs="Times New Roman"/>
          <w:sz w:val="28"/>
          <w:szCs w:val="28"/>
          <w:lang w:val="en-ZA"/>
        </w:rPr>
        <w:t>Given that the 1</w:t>
      </w:r>
      <w:r w:rsidR="00327A11" w:rsidRPr="00327A11">
        <w:rPr>
          <w:rFonts w:ascii="Times New Roman" w:hAnsi="Times New Roman" w:cs="Times New Roman"/>
          <w:sz w:val="28"/>
          <w:szCs w:val="28"/>
          <w:vertAlign w:val="superscript"/>
          <w:lang w:val="en-ZA"/>
        </w:rPr>
        <w:t>st</w:t>
      </w:r>
      <w:r w:rsidR="00327A11">
        <w:rPr>
          <w:rFonts w:ascii="Times New Roman" w:hAnsi="Times New Roman" w:cs="Times New Roman"/>
          <w:sz w:val="28"/>
          <w:szCs w:val="28"/>
          <w:lang w:val="en-ZA"/>
        </w:rPr>
        <w:t xml:space="preserve"> respondent had initially concluded an </w:t>
      </w:r>
      <w:r w:rsidR="00327A11">
        <w:rPr>
          <w:rFonts w:ascii="Times New Roman" w:hAnsi="Times New Roman" w:cs="Times New Roman"/>
          <w:sz w:val="28"/>
          <w:szCs w:val="28"/>
          <w:lang w:val="en-ZA"/>
        </w:rPr>
        <w:lastRenderedPageBreak/>
        <w:t xml:space="preserve">agreement with the Executors, it makes no sense that regarding such crucial issue as </w:t>
      </w:r>
      <w:r w:rsidR="00916C1C">
        <w:rPr>
          <w:rFonts w:ascii="Times New Roman" w:hAnsi="Times New Roman" w:cs="Times New Roman"/>
          <w:sz w:val="28"/>
          <w:szCs w:val="28"/>
          <w:lang w:val="en-ZA"/>
        </w:rPr>
        <w:t xml:space="preserve">the </w:t>
      </w:r>
      <w:r w:rsidR="00327A11">
        <w:rPr>
          <w:rFonts w:ascii="Times New Roman" w:hAnsi="Times New Roman" w:cs="Times New Roman"/>
          <w:sz w:val="28"/>
          <w:szCs w:val="28"/>
          <w:lang w:val="en-ZA"/>
        </w:rPr>
        <w:t>amendment to the contract and non-payment o</w:t>
      </w:r>
      <w:r w:rsidR="00916C1C">
        <w:rPr>
          <w:rFonts w:ascii="Times New Roman" w:hAnsi="Times New Roman" w:cs="Times New Roman"/>
          <w:sz w:val="28"/>
          <w:szCs w:val="28"/>
          <w:lang w:val="en-ZA"/>
        </w:rPr>
        <w:t>f</w:t>
      </w:r>
      <w:r w:rsidR="00327A11">
        <w:rPr>
          <w:rFonts w:ascii="Times New Roman" w:hAnsi="Times New Roman" w:cs="Times New Roman"/>
          <w:sz w:val="28"/>
          <w:szCs w:val="28"/>
          <w:lang w:val="en-ZA"/>
        </w:rPr>
        <w:t xml:space="preserve"> rentals</w:t>
      </w:r>
      <w:r w:rsidR="00916C1C">
        <w:rPr>
          <w:rFonts w:ascii="Times New Roman" w:hAnsi="Times New Roman" w:cs="Times New Roman"/>
          <w:sz w:val="28"/>
          <w:szCs w:val="28"/>
          <w:lang w:val="en-ZA"/>
        </w:rPr>
        <w:t>,</w:t>
      </w:r>
      <w:r w:rsidR="00327A11">
        <w:rPr>
          <w:rFonts w:ascii="Times New Roman" w:hAnsi="Times New Roman" w:cs="Times New Roman"/>
          <w:sz w:val="28"/>
          <w:szCs w:val="28"/>
          <w:lang w:val="en-ZA"/>
        </w:rPr>
        <w:t xml:space="preserve"> she would find it appropriate to </w:t>
      </w:r>
      <w:r w:rsidR="00916C1C">
        <w:rPr>
          <w:rFonts w:ascii="Times New Roman" w:hAnsi="Times New Roman" w:cs="Times New Roman"/>
          <w:sz w:val="28"/>
          <w:szCs w:val="28"/>
          <w:lang w:val="en-ZA"/>
        </w:rPr>
        <w:t>conclude a</w:t>
      </w:r>
      <w:r w:rsidR="00327A11">
        <w:rPr>
          <w:rFonts w:ascii="Times New Roman" w:hAnsi="Times New Roman" w:cs="Times New Roman"/>
          <w:sz w:val="28"/>
          <w:szCs w:val="28"/>
          <w:lang w:val="en-ZA"/>
        </w:rPr>
        <w:t xml:space="preserve"> separate agreement with Mr </w:t>
      </w:r>
      <w:proofErr w:type="spellStart"/>
      <w:r w:rsidR="00327A11">
        <w:rPr>
          <w:rFonts w:ascii="Times New Roman" w:hAnsi="Times New Roman" w:cs="Times New Roman"/>
          <w:sz w:val="28"/>
          <w:szCs w:val="28"/>
          <w:lang w:val="en-ZA"/>
        </w:rPr>
        <w:t>Lebohang</w:t>
      </w:r>
      <w:proofErr w:type="spellEnd"/>
      <w:r w:rsidR="00327A11">
        <w:rPr>
          <w:rFonts w:ascii="Times New Roman" w:hAnsi="Times New Roman" w:cs="Times New Roman"/>
          <w:sz w:val="28"/>
          <w:szCs w:val="28"/>
          <w:lang w:val="en-ZA"/>
        </w:rPr>
        <w:t xml:space="preserve"> </w:t>
      </w:r>
      <w:proofErr w:type="spellStart"/>
      <w:r w:rsidR="00327A11">
        <w:rPr>
          <w:rFonts w:ascii="Times New Roman" w:hAnsi="Times New Roman" w:cs="Times New Roman"/>
          <w:sz w:val="28"/>
          <w:szCs w:val="28"/>
          <w:lang w:val="en-ZA"/>
        </w:rPr>
        <w:t>Monaphathi</w:t>
      </w:r>
      <w:proofErr w:type="spellEnd"/>
      <w:r w:rsidR="00327A11">
        <w:rPr>
          <w:rFonts w:ascii="Times New Roman" w:hAnsi="Times New Roman" w:cs="Times New Roman"/>
          <w:sz w:val="28"/>
          <w:szCs w:val="28"/>
          <w:lang w:val="en-ZA"/>
        </w:rPr>
        <w:t xml:space="preserve">.  Mr </w:t>
      </w:r>
      <w:proofErr w:type="spellStart"/>
      <w:r w:rsidR="00327A11">
        <w:rPr>
          <w:rFonts w:ascii="Times New Roman" w:hAnsi="Times New Roman" w:cs="Times New Roman"/>
          <w:sz w:val="28"/>
          <w:szCs w:val="28"/>
          <w:lang w:val="en-ZA"/>
        </w:rPr>
        <w:t>Monaphathi</w:t>
      </w:r>
      <w:proofErr w:type="spellEnd"/>
      <w:r w:rsidR="00327A11">
        <w:rPr>
          <w:rFonts w:ascii="Times New Roman" w:hAnsi="Times New Roman" w:cs="Times New Roman"/>
          <w:sz w:val="28"/>
          <w:szCs w:val="28"/>
          <w:lang w:val="en-ZA"/>
        </w:rPr>
        <w:t xml:space="preserve"> had no </w:t>
      </w:r>
      <w:r w:rsidR="00327A11">
        <w:rPr>
          <w:rFonts w:ascii="Times New Roman" w:hAnsi="Times New Roman" w:cs="Times New Roman"/>
          <w:i/>
          <w:iCs/>
          <w:sz w:val="28"/>
          <w:szCs w:val="28"/>
          <w:lang w:val="en-ZA"/>
        </w:rPr>
        <w:t>locus standi</w:t>
      </w:r>
      <w:r w:rsidR="0008226F">
        <w:rPr>
          <w:rFonts w:ascii="Times New Roman" w:hAnsi="Times New Roman" w:cs="Times New Roman"/>
          <w:sz w:val="28"/>
          <w:szCs w:val="28"/>
          <w:lang w:val="en-ZA"/>
        </w:rPr>
        <w:t xml:space="preserve"> whatsoever to conclude any agreement with the 1</w:t>
      </w:r>
      <w:r w:rsidR="0008226F" w:rsidRPr="0008226F">
        <w:rPr>
          <w:rFonts w:ascii="Times New Roman" w:hAnsi="Times New Roman" w:cs="Times New Roman"/>
          <w:sz w:val="28"/>
          <w:szCs w:val="28"/>
          <w:vertAlign w:val="superscript"/>
          <w:lang w:val="en-ZA"/>
        </w:rPr>
        <w:t>st</w:t>
      </w:r>
      <w:r w:rsidR="0008226F">
        <w:rPr>
          <w:rFonts w:ascii="Times New Roman" w:hAnsi="Times New Roman" w:cs="Times New Roman"/>
          <w:sz w:val="28"/>
          <w:szCs w:val="28"/>
          <w:lang w:val="en-ZA"/>
        </w:rPr>
        <w:t xml:space="preserve"> respondent </w:t>
      </w:r>
      <w:r w:rsidR="00916C1C">
        <w:rPr>
          <w:rFonts w:ascii="Times New Roman" w:hAnsi="Times New Roman" w:cs="Times New Roman"/>
          <w:sz w:val="28"/>
          <w:szCs w:val="28"/>
          <w:lang w:val="en-ZA"/>
        </w:rPr>
        <w:t xml:space="preserve">while </w:t>
      </w:r>
      <w:r w:rsidR="0008226F">
        <w:rPr>
          <w:rFonts w:ascii="Times New Roman" w:hAnsi="Times New Roman" w:cs="Times New Roman"/>
          <w:sz w:val="28"/>
          <w:szCs w:val="28"/>
          <w:lang w:val="en-ZA"/>
        </w:rPr>
        <w:t>the estate is under administration.  It follows that the version of the 1</w:t>
      </w:r>
      <w:r w:rsidR="0008226F" w:rsidRPr="0008226F">
        <w:rPr>
          <w:rFonts w:ascii="Times New Roman" w:hAnsi="Times New Roman" w:cs="Times New Roman"/>
          <w:sz w:val="28"/>
          <w:szCs w:val="28"/>
          <w:vertAlign w:val="superscript"/>
          <w:lang w:val="en-ZA"/>
        </w:rPr>
        <w:t>st</w:t>
      </w:r>
      <w:r w:rsidR="0008226F">
        <w:rPr>
          <w:rFonts w:ascii="Times New Roman" w:hAnsi="Times New Roman" w:cs="Times New Roman"/>
          <w:sz w:val="28"/>
          <w:szCs w:val="28"/>
          <w:lang w:val="en-ZA"/>
        </w:rPr>
        <w:t xml:space="preserve"> respondent should be rejected as being implausible and clearly false as to be rejected on papers.</w:t>
      </w:r>
      <w:r w:rsidR="00916C1C">
        <w:rPr>
          <w:rFonts w:ascii="Times New Roman" w:hAnsi="Times New Roman" w:cs="Times New Roman"/>
          <w:sz w:val="28"/>
          <w:szCs w:val="28"/>
          <w:lang w:val="en-ZA"/>
        </w:rPr>
        <w:t xml:space="preserve"> </w:t>
      </w:r>
      <w:r w:rsidR="0008226F">
        <w:rPr>
          <w:rFonts w:ascii="Times New Roman" w:hAnsi="Times New Roman" w:cs="Times New Roman"/>
          <w:sz w:val="28"/>
          <w:szCs w:val="28"/>
          <w:lang w:val="en-ZA"/>
        </w:rPr>
        <w:t>To put to bed the notion that the 1</w:t>
      </w:r>
      <w:r w:rsidR="0008226F" w:rsidRPr="0008226F">
        <w:rPr>
          <w:rFonts w:ascii="Times New Roman" w:hAnsi="Times New Roman" w:cs="Times New Roman"/>
          <w:sz w:val="28"/>
          <w:szCs w:val="28"/>
          <w:vertAlign w:val="superscript"/>
          <w:lang w:val="en-ZA"/>
        </w:rPr>
        <w:t>st</w:t>
      </w:r>
      <w:r w:rsidR="0008226F">
        <w:rPr>
          <w:rFonts w:ascii="Times New Roman" w:hAnsi="Times New Roman" w:cs="Times New Roman"/>
          <w:sz w:val="28"/>
          <w:szCs w:val="28"/>
          <w:lang w:val="en-ZA"/>
        </w:rPr>
        <w:t xml:space="preserve"> respondent could </w:t>
      </w:r>
      <w:r w:rsidR="00916C1C">
        <w:rPr>
          <w:rFonts w:ascii="Times New Roman" w:hAnsi="Times New Roman" w:cs="Times New Roman"/>
          <w:sz w:val="28"/>
          <w:szCs w:val="28"/>
          <w:lang w:val="en-ZA"/>
        </w:rPr>
        <w:t xml:space="preserve">not </w:t>
      </w:r>
      <w:r w:rsidR="0008226F">
        <w:rPr>
          <w:rFonts w:ascii="Times New Roman" w:hAnsi="Times New Roman" w:cs="Times New Roman"/>
          <w:sz w:val="28"/>
          <w:szCs w:val="28"/>
          <w:lang w:val="en-ZA"/>
        </w:rPr>
        <w:t xml:space="preserve">validly conclude an agreement with Mr </w:t>
      </w:r>
      <w:proofErr w:type="spellStart"/>
      <w:r w:rsidR="0008226F">
        <w:rPr>
          <w:rFonts w:ascii="Times New Roman" w:hAnsi="Times New Roman" w:cs="Times New Roman"/>
          <w:sz w:val="28"/>
          <w:szCs w:val="28"/>
          <w:lang w:val="en-ZA"/>
        </w:rPr>
        <w:t>Lebohang</w:t>
      </w:r>
      <w:proofErr w:type="spellEnd"/>
      <w:r w:rsidR="0008226F">
        <w:rPr>
          <w:rFonts w:ascii="Times New Roman" w:hAnsi="Times New Roman" w:cs="Times New Roman"/>
          <w:sz w:val="28"/>
          <w:szCs w:val="28"/>
          <w:lang w:val="en-ZA"/>
        </w:rPr>
        <w:t xml:space="preserve"> </w:t>
      </w:r>
      <w:proofErr w:type="spellStart"/>
      <w:r w:rsidR="0008226F">
        <w:rPr>
          <w:rFonts w:ascii="Times New Roman" w:hAnsi="Times New Roman" w:cs="Times New Roman"/>
          <w:sz w:val="28"/>
          <w:szCs w:val="28"/>
          <w:lang w:val="en-ZA"/>
        </w:rPr>
        <w:t>Monaphathi</w:t>
      </w:r>
      <w:proofErr w:type="spellEnd"/>
      <w:r w:rsidR="0008226F">
        <w:rPr>
          <w:rFonts w:ascii="Times New Roman" w:hAnsi="Times New Roman" w:cs="Times New Roman"/>
          <w:sz w:val="28"/>
          <w:szCs w:val="28"/>
          <w:lang w:val="en-ZA"/>
        </w:rPr>
        <w:t xml:space="preserve"> as the heir, behind the back of the Executors, the following remarks are authoritative:</w:t>
      </w:r>
    </w:p>
    <w:p w14:paraId="5CAB858E" w14:textId="3B2F7FB0" w:rsidR="0008226F" w:rsidRDefault="0008226F" w:rsidP="001C5FD8">
      <w:pPr>
        <w:spacing w:after="0" w:line="360" w:lineRule="auto"/>
        <w:ind w:left="720" w:hanging="720"/>
        <w:jc w:val="both"/>
        <w:rPr>
          <w:rFonts w:ascii="Times New Roman" w:hAnsi="Times New Roman" w:cs="Times New Roman"/>
          <w:sz w:val="28"/>
          <w:szCs w:val="28"/>
          <w:lang w:val="en-ZA"/>
        </w:rPr>
      </w:pPr>
    </w:p>
    <w:p w14:paraId="5241571F" w14:textId="77777777" w:rsidR="006E021B" w:rsidRDefault="006E021B" w:rsidP="006E021B">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“whatever leases appellant purported to enter into with Adams and/or Bus Stop were concluded at a time before his appointment as executor of the deceased’s estate.  His only interest in the property was as heir.  </w:t>
      </w:r>
      <w:proofErr w:type="gramStart"/>
      <w:r>
        <w:rPr>
          <w:rFonts w:ascii="Times New Roman" w:hAnsi="Times New Roman" w:cs="Times New Roman"/>
          <w:i/>
          <w:iCs/>
          <w:sz w:val="24"/>
          <w:szCs w:val="24"/>
          <w:lang w:val="en-ZA"/>
        </w:rPr>
        <w:t>However</w:t>
      </w:r>
      <w:proofErr w:type="gramEnd"/>
      <w:r>
        <w:rPr>
          <w:rFonts w:ascii="Times New Roman" w:hAnsi="Times New Roman" w:cs="Times New Roman"/>
          <w:i/>
          <w:iCs/>
          <w:sz w:val="24"/>
          <w:szCs w:val="24"/>
          <w:lang w:val="en-ZA"/>
        </w:rPr>
        <w:t xml:space="preserve"> in that capacity he had no right to enter into leases in respect of the property.  Although the property vests in an heir on the death of the deceased, the heir does not acquire dominium in it.  He merely had a right to claim the property from the executor when the latter is appointed.  See Estate Smith v Estate Follett 1942 AD 364 at 367; Commissioner for Inland Revenue v Estate Crewe 1943 AD 656 at 692.  Until the estate is wound up after the appointment of an executor and until he receives dominium in the property, an heir has no control over it.  Appellant accordingly had no interest in protecting the alleged right of occupation of either Adams or Bus Stop which he had purported to grant to them prior to his appointment as executor and at a time when, as heir, dominium in the property had not yet passed to him…” </w:t>
      </w:r>
      <w:r>
        <w:rPr>
          <w:rFonts w:ascii="Times New Roman" w:hAnsi="Times New Roman" w:cs="Times New Roman"/>
          <w:b/>
          <w:bCs/>
          <w:sz w:val="24"/>
          <w:szCs w:val="24"/>
          <w:lang w:val="en-ZA"/>
        </w:rPr>
        <w:t>(</w:t>
      </w:r>
      <w:bookmarkStart w:id="2" w:name="_Hlk111367625"/>
      <w:proofErr w:type="spellStart"/>
      <w:r>
        <w:rPr>
          <w:rFonts w:ascii="Times New Roman" w:hAnsi="Times New Roman" w:cs="Times New Roman"/>
          <w:b/>
          <w:bCs/>
          <w:sz w:val="24"/>
          <w:szCs w:val="24"/>
          <w:lang w:val="en-ZA"/>
        </w:rPr>
        <w:t>Mokhutle</w:t>
      </w:r>
      <w:proofErr w:type="spellEnd"/>
      <w:r>
        <w:rPr>
          <w:rFonts w:ascii="Times New Roman" w:hAnsi="Times New Roman" w:cs="Times New Roman"/>
          <w:b/>
          <w:bCs/>
          <w:sz w:val="24"/>
          <w:szCs w:val="24"/>
          <w:lang w:val="en-ZA"/>
        </w:rPr>
        <w:t xml:space="preserve"> N.O v MJM (Pty) Ltd and Others LAC (2000 – 2004) 186 </w:t>
      </w:r>
      <w:bookmarkEnd w:id="2"/>
      <w:r>
        <w:rPr>
          <w:rFonts w:ascii="Times New Roman" w:hAnsi="Times New Roman" w:cs="Times New Roman"/>
          <w:b/>
          <w:bCs/>
          <w:sz w:val="24"/>
          <w:szCs w:val="24"/>
          <w:lang w:val="en-ZA"/>
        </w:rPr>
        <w:t>at 188 J – 189 D.)</w:t>
      </w:r>
    </w:p>
    <w:p w14:paraId="48859E4F" w14:textId="77777777" w:rsidR="006E021B" w:rsidRDefault="006E021B" w:rsidP="006E021B">
      <w:pPr>
        <w:spacing w:after="0" w:line="360" w:lineRule="auto"/>
        <w:ind w:right="1008"/>
        <w:jc w:val="both"/>
        <w:rPr>
          <w:rFonts w:ascii="Times New Roman" w:hAnsi="Times New Roman" w:cs="Times New Roman"/>
          <w:i/>
          <w:iCs/>
          <w:sz w:val="24"/>
          <w:szCs w:val="24"/>
          <w:lang w:val="en-ZA"/>
        </w:rPr>
      </w:pPr>
    </w:p>
    <w:p w14:paraId="79530584" w14:textId="1EF26606" w:rsidR="00F10731" w:rsidRDefault="0045279D" w:rsidP="006E021B">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w:t>
      </w:r>
      <w:r w:rsidR="009A42F4">
        <w:rPr>
          <w:rFonts w:ascii="Times New Roman" w:hAnsi="Times New Roman" w:cs="Times New Roman"/>
          <w:sz w:val="28"/>
          <w:szCs w:val="28"/>
          <w:lang w:val="en-ZA"/>
        </w:rPr>
        <w:t>19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F10731">
        <w:rPr>
          <w:rFonts w:ascii="Times New Roman" w:hAnsi="Times New Roman" w:cs="Times New Roman"/>
          <w:b/>
          <w:bCs/>
          <w:sz w:val="28"/>
          <w:szCs w:val="28"/>
          <w:lang w:val="en-ZA"/>
        </w:rPr>
        <w:t>Breach of Sublease Agreement</w:t>
      </w:r>
      <w:r w:rsidR="00475B94">
        <w:rPr>
          <w:rFonts w:ascii="Times New Roman" w:hAnsi="Times New Roman" w:cs="Times New Roman"/>
          <w:b/>
          <w:bCs/>
          <w:sz w:val="28"/>
          <w:szCs w:val="28"/>
          <w:lang w:val="en-ZA"/>
        </w:rPr>
        <w:t xml:space="preserve"> </w:t>
      </w:r>
    </w:p>
    <w:p w14:paraId="28425A61" w14:textId="27222CA6" w:rsidR="0008226F" w:rsidRDefault="00475B94" w:rsidP="00E04D5A">
      <w:pPr>
        <w:spacing w:after="0" w:line="360" w:lineRule="auto"/>
        <w:ind w:left="720"/>
        <w:jc w:val="both"/>
        <w:rPr>
          <w:rFonts w:ascii="Times New Roman" w:hAnsi="Times New Roman" w:cs="Times New Roman"/>
          <w:sz w:val="28"/>
          <w:szCs w:val="28"/>
          <w:lang w:val="en-ZA"/>
        </w:rPr>
      </w:pPr>
      <w:r w:rsidRPr="00475B94">
        <w:rPr>
          <w:rFonts w:ascii="Times New Roman" w:hAnsi="Times New Roman" w:cs="Times New Roman"/>
          <w:sz w:val="28"/>
          <w:szCs w:val="28"/>
          <w:lang w:val="en-ZA"/>
        </w:rPr>
        <w:t>In terms of clause 9 of the main agreement between the applicant and 1</w:t>
      </w:r>
      <w:r w:rsidRPr="00475B94">
        <w:rPr>
          <w:rFonts w:ascii="Times New Roman" w:hAnsi="Times New Roman" w:cs="Times New Roman"/>
          <w:sz w:val="28"/>
          <w:szCs w:val="28"/>
          <w:vertAlign w:val="superscript"/>
          <w:lang w:val="en-ZA"/>
        </w:rPr>
        <w:t>st</w:t>
      </w:r>
      <w:r w:rsidRPr="00475B94">
        <w:rPr>
          <w:rFonts w:ascii="Times New Roman" w:hAnsi="Times New Roman" w:cs="Times New Roman"/>
          <w:sz w:val="28"/>
          <w:szCs w:val="28"/>
          <w:lang w:val="en-ZA"/>
        </w:rPr>
        <w:t xml:space="preserve"> respondent, the latter is prohibited from ceding or assigning the sublease or subletting all or any portion of the property, without written consent of the sublessor, which consent shall not be unreasonably be withheld.</w:t>
      </w:r>
      <w:r>
        <w:rPr>
          <w:rFonts w:ascii="Times New Roman" w:hAnsi="Times New Roman" w:cs="Times New Roman"/>
          <w:sz w:val="28"/>
          <w:szCs w:val="28"/>
          <w:lang w:val="en-ZA"/>
        </w:rPr>
        <w:t xml:space="preserve"> </w:t>
      </w:r>
      <w:r w:rsidR="00E04D5A">
        <w:rPr>
          <w:rFonts w:ascii="Times New Roman" w:hAnsi="Times New Roman" w:cs="Times New Roman"/>
          <w:sz w:val="28"/>
          <w:szCs w:val="28"/>
          <w:lang w:val="en-ZA"/>
        </w:rPr>
        <w:t>It is the applicant’s contention that the 1</w:t>
      </w:r>
      <w:r w:rsidR="00E04D5A" w:rsidRPr="00E04D5A">
        <w:rPr>
          <w:rFonts w:ascii="Times New Roman" w:hAnsi="Times New Roman" w:cs="Times New Roman"/>
          <w:sz w:val="28"/>
          <w:szCs w:val="28"/>
          <w:vertAlign w:val="superscript"/>
          <w:lang w:val="en-ZA"/>
        </w:rPr>
        <w:t>st</w:t>
      </w:r>
      <w:r w:rsidR="00E04D5A">
        <w:rPr>
          <w:rFonts w:ascii="Times New Roman" w:hAnsi="Times New Roman" w:cs="Times New Roman"/>
          <w:sz w:val="28"/>
          <w:szCs w:val="28"/>
          <w:lang w:val="en-ZA"/>
        </w:rPr>
        <w:t xml:space="preserve"> respondent breached clause 9 of the contract by subletting the premises to the 2</w:t>
      </w:r>
      <w:r w:rsidR="00E04D5A" w:rsidRPr="00E04D5A">
        <w:rPr>
          <w:rFonts w:ascii="Times New Roman" w:hAnsi="Times New Roman" w:cs="Times New Roman"/>
          <w:sz w:val="28"/>
          <w:szCs w:val="28"/>
          <w:vertAlign w:val="superscript"/>
          <w:lang w:val="en-ZA"/>
        </w:rPr>
        <w:t>nd</w:t>
      </w:r>
      <w:r w:rsidR="00E04D5A">
        <w:rPr>
          <w:rFonts w:ascii="Times New Roman" w:hAnsi="Times New Roman" w:cs="Times New Roman"/>
          <w:sz w:val="28"/>
          <w:szCs w:val="28"/>
          <w:lang w:val="en-ZA"/>
        </w:rPr>
        <w:t xml:space="preserve"> and 3</w:t>
      </w:r>
      <w:r w:rsidR="00E04D5A" w:rsidRPr="00E04D5A">
        <w:rPr>
          <w:rFonts w:ascii="Times New Roman" w:hAnsi="Times New Roman" w:cs="Times New Roman"/>
          <w:sz w:val="28"/>
          <w:szCs w:val="28"/>
          <w:vertAlign w:val="superscript"/>
          <w:lang w:val="en-ZA"/>
        </w:rPr>
        <w:t>rd</w:t>
      </w:r>
      <w:r w:rsidR="00E04D5A">
        <w:rPr>
          <w:rFonts w:ascii="Times New Roman" w:hAnsi="Times New Roman" w:cs="Times New Roman"/>
          <w:sz w:val="28"/>
          <w:szCs w:val="28"/>
          <w:lang w:val="en-ZA"/>
        </w:rPr>
        <w:t xml:space="preserve"> respondents.  As already stated, the 1</w:t>
      </w:r>
      <w:r w:rsidR="00E04D5A" w:rsidRPr="00E04D5A">
        <w:rPr>
          <w:rFonts w:ascii="Times New Roman" w:hAnsi="Times New Roman" w:cs="Times New Roman"/>
          <w:sz w:val="28"/>
          <w:szCs w:val="28"/>
          <w:vertAlign w:val="superscript"/>
          <w:lang w:val="en-ZA"/>
        </w:rPr>
        <w:t>st</w:t>
      </w:r>
      <w:r w:rsidR="00E04D5A">
        <w:rPr>
          <w:rFonts w:ascii="Times New Roman" w:hAnsi="Times New Roman" w:cs="Times New Roman"/>
          <w:sz w:val="28"/>
          <w:szCs w:val="28"/>
          <w:lang w:val="en-ZA"/>
        </w:rPr>
        <w:t xml:space="preserve"> respondent denies subletting the premises to the 2</w:t>
      </w:r>
      <w:r w:rsidR="00E04D5A" w:rsidRPr="00E04D5A">
        <w:rPr>
          <w:rFonts w:ascii="Times New Roman" w:hAnsi="Times New Roman" w:cs="Times New Roman"/>
          <w:sz w:val="28"/>
          <w:szCs w:val="28"/>
          <w:vertAlign w:val="superscript"/>
          <w:lang w:val="en-ZA"/>
        </w:rPr>
        <w:t>nd</w:t>
      </w:r>
      <w:r w:rsidR="00E04D5A">
        <w:rPr>
          <w:rFonts w:ascii="Times New Roman" w:hAnsi="Times New Roman" w:cs="Times New Roman"/>
          <w:sz w:val="28"/>
          <w:szCs w:val="28"/>
          <w:lang w:val="en-ZA"/>
        </w:rPr>
        <w:t xml:space="preserve"> and 3</w:t>
      </w:r>
      <w:r w:rsidR="00E04D5A" w:rsidRPr="00E04D5A">
        <w:rPr>
          <w:rFonts w:ascii="Times New Roman" w:hAnsi="Times New Roman" w:cs="Times New Roman"/>
          <w:sz w:val="28"/>
          <w:szCs w:val="28"/>
          <w:vertAlign w:val="superscript"/>
          <w:lang w:val="en-ZA"/>
        </w:rPr>
        <w:t>rd</w:t>
      </w:r>
      <w:r w:rsidR="00E04D5A">
        <w:rPr>
          <w:rFonts w:ascii="Times New Roman" w:hAnsi="Times New Roman" w:cs="Times New Roman"/>
          <w:sz w:val="28"/>
          <w:szCs w:val="28"/>
          <w:lang w:val="en-ZA"/>
        </w:rPr>
        <w:t xml:space="preserve"> respondents.  The deponent to the answering affidavit however makes a claim that she had an amended agreement with Mr </w:t>
      </w:r>
      <w:proofErr w:type="spellStart"/>
      <w:r w:rsidR="00E04D5A">
        <w:rPr>
          <w:rFonts w:ascii="Times New Roman" w:hAnsi="Times New Roman" w:cs="Times New Roman"/>
          <w:sz w:val="28"/>
          <w:szCs w:val="28"/>
          <w:lang w:val="en-ZA"/>
        </w:rPr>
        <w:t>Lebohang</w:t>
      </w:r>
      <w:proofErr w:type="spellEnd"/>
      <w:r w:rsidR="00E04D5A">
        <w:rPr>
          <w:rFonts w:ascii="Times New Roman" w:hAnsi="Times New Roman" w:cs="Times New Roman"/>
          <w:sz w:val="28"/>
          <w:szCs w:val="28"/>
          <w:lang w:val="en-ZA"/>
        </w:rPr>
        <w:t xml:space="preserve"> </w:t>
      </w:r>
      <w:proofErr w:type="spellStart"/>
      <w:r w:rsidR="00E04D5A">
        <w:rPr>
          <w:rFonts w:ascii="Times New Roman" w:hAnsi="Times New Roman" w:cs="Times New Roman"/>
          <w:sz w:val="28"/>
          <w:szCs w:val="28"/>
          <w:lang w:val="en-ZA"/>
        </w:rPr>
        <w:t>Monaphathi</w:t>
      </w:r>
      <w:proofErr w:type="spellEnd"/>
      <w:r w:rsidR="00E04D5A">
        <w:rPr>
          <w:rFonts w:ascii="Times New Roman" w:hAnsi="Times New Roman" w:cs="Times New Roman"/>
          <w:sz w:val="28"/>
          <w:szCs w:val="28"/>
          <w:lang w:val="en-ZA"/>
        </w:rPr>
        <w:t xml:space="preserve"> in terms of which it was agreed that the premises would be used as co-working space.  This concession that the premises are used as co-working following an agreement with Mr </w:t>
      </w:r>
      <w:proofErr w:type="spellStart"/>
      <w:r w:rsidR="00E04D5A">
        <w:rPr>
          <w:rFonts w:ascii="Times New Roman" w:hAnsi="Times New Roman" w:cs="Times New Roman"/>
          <w:sz w:val="28"/>
          <w:szCs w:val="28"/>
          <w:lang w:val="en-ZA"/>
        </w:rPr>
        <w:t>Monaphathi</w:t>
      </w:r>
      <w:proofErr w:type="spellEnd"/>
      <w:r w:rsidR="00E04D5A">
        <w:rPr>
          <w:rFonts w:ascii="Times New Roman" w:hAnsi="Times New Roman" w:cs="Times New Roman"/>
          <w:sz w:val="28"/>
          <w:szCs w:val="28"/>
          <w:lang w:val="en-ZA"/>
        </w:rPr>
        <w:t xml:space="preserve"> (though it should be repeated an unlawful agreement) is consistent with annexure “Es</w:t>
      </w:r>
      <w:r w:rsidR="00852B15">
        <w:rPr>
          <w:rFonts w:ascii="Times New Roman" w:hAnsi="Times New Roman" w:cs="Times New Roman"/>
          <w:sz w:val="28"/>
          <w:szCs w:val="28"/>
          <w:lang w:val="en-ZA"/>
        </w:rPr>
        <w:t>9</w:t>
      </w:r>
      <w:r w:rsidR="00E04D5A">
        <w:rPr>
          <w:rFonts w:ascii="Times New Roman" w:hAnsi="Times New Roman" w:cs="Times New Roman"/>
          <w:sz w:val="28"/>
          <w:szCs w:val="28"/>
          <w:lang w:val="en-ZA"/>
        </w:rPr>
        <w:t>” which are the agreements concluded between the 1</w:t>
      </w:r>
      <w:r w:rsidR="00E04D5A" w:rsidRPr="00E04D5A">
        <w:rPr>
          <w:rFonts w:ascii="Times New Roman" w:hAnsi="Times New Roman" w:cs="Times New Roman"/>
          <w:sz w:val="28"/>
          <w:szCs w:val="28"/>
          <w:vertAlign w:val="superscript"/>
          <w:lang w:val="en-ZA"/>
        </w:rPr>
        <w:t>st</w:t>
      </w:r>
      <w:r w:rsidR="00E04D5A">
        <w:rPr>
          <w:rFonts w:ascii="Times New Roman" w:hAnsi="Times New Roman" w:cs="Times New Roman"/>
          <w:sz w:val="28"/>
          <w:szCs w:val="28"/>
          <w:lang w:val="en-ZA"/>
        </w:rPr>
        <w:t>, 2</w:t>
      </w:r>
      <w:r w:rsidR="00E04D5A" w:rsidRPr="00E04D5A">
        <w:rPr>
          <w:rFonts w:ascii="Times New Roman" w:hAnsi="Times New Roman" w:cs="Times New Roman"/>
          <w:sz w:val="28"/>
          <w:szCs w:val="28"/>
          <w:vertAlign w:val="superscript"/>
          <w:lang w:val="en-ZA"/>
        </w:rPr>
        <w:t>nd</w:t>
      </w:r>
      <w:r w:rsidR="00E04D5A">
        <w:rPr>
          <w:rFonts w:ascii="Times New Roman" w:hAnsi="Times New Roman" w:cs="Times New Roman"/>
          <w:sz w:val="28"/>
          <w:szCs w:val="28"/>
          <w:lang w:val="en-ZA"/>
        </w:rPr>
        <w:t xml:space="preserve"> and 3</w:t>
      </w:r>
      <w:r w:rsidR="00E04D5A" w:rsidRPr="00E04D5A">
        <w:rPr>
          <w:rFonts w:ascii="Times New Roman" w:hAnsi="Times New Roman" w:cs="Times New Roman"/>
          <w:sz w:val="28"/>
          <w:szCs w:val="28"/>
          <w:vertAlign w:val="superscript"/>
          <w:lang w:val="en-ZA"/>
        </w:rPr>
        <w:t>rd</w:t>
      </w:r>
      <w:r w:rsidR="00E04D5A">
        <w:rPr>
          <w:rFonts w:ascii="Times New Roman" w:hAnsi="Times New Roman" w:cs="Times New Roman"/>
          <w:sz w:val="28"/>
          <w:szCs w:val="28"/>
          <w:lang w:val="en-ZA"/>
        </w:rPr>
        <w:t xml:space="preserve"> respondent in terms of which the latter would be allowed to use the space for a monthly payment.</w:t>
      </w:r>
    </w:p>
    <w:p w14:paraId="7674326C" w14:textId="62BF5683" w:rsidR="00E04D5A" w:rsidRDefault="00E04D5A" w:rsidP="00E04D5A">
      <w:pPr>
        <w:spacing w:after="0" w:line="360" w:lineRule="auto"/>
        <w:jc w:val="both"/>
        <w:rPr>
          <w:rFonts w:ascii="Times New Roman" w:hAnsi="Times New Roman" w:cs="Times New Roman"/>
          <w:sz w:val="28"/>
          <w:szCs w:val="28"/>
          <w:lang w:val="en-ZA"/>
        </w:rPr>
      </w:pPr>
    </w:p>
    <w:p w14:paraId="6166D467" w14:textId="510A9714" w:rsidR="00E04D5A" w:rsidRDefault="00E04D5A" w:rsidP="00CE475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9A42F4">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Although th</w:t>
      </w:r>
      <w:r w:rsidR="00852B15">
        <w:rPr>
          <w:rFonts w:ascii="Times New Roman" w:hAnsi="Times New Roman" w:cs="Times New Roman"/>
          <w:sz w:val="28"/>
          <w:szCs w:val="28"/>
          <w:lang w:val="en-ZA"/>
        </w:rPr>
        <w:t>e</w:t>
      </w:r>
      <w:r>
        <w:rPr>
          <w:rFonts w:ascii="Times New Roman" w:hAnsi="Times New Roman" w:cs="Times New Roman"/>
          <w:sz w:val="28"/>
          <w:szCs w:val="28"/>
          <w:lang w:val="en-ZA"/>
        </w:rPr>
        <w:t xml:space="preserve"> agreement is structured </w:t>
      </w:r>
      <w:r w:rsidR="00CE4754">
        <w:rPr>
          <w:rFonts w:ascii="Times New Roman" w:hAnsi="Times New Roman" w:cs="Times New Roman"/>
          <w:sz w:val="28"/>
          <w:szCs w:val="28"/>
          <w:lang w:val="en-ZA"/>
        </w:rPr>
        <w:t>on characterised as being based on membership it is a sublease agreement. Under clause 9 the nature of the agreement is stated to be:</w:t>
      </w:r>
    </w:p>
    <w:p w14:paraId="5852A8B1" w14:textId="761E7CD1" w:rsidR="00CE4754" w:rsidRDefault="00CE4754" w:rsidP="00CE4754">
      <w:pPr>
        <w:spacing w:after="0" w:line="360" w:lineRule="auto"/>
        <w:ind w:left="720" w:hanging="720"/>
        <w:jc w:val="both"/>
        <w:rPr>
          <w:rFonts w:ascii="Times New Roman" w:hAnsi="Times New Roman" w:cs="Times New Roman"/>
          <w:sz w:val="28"/>
          <w:szCs w:val="28"/>
          <w:lang w:val="en-ZA"/>
        </w:rPr>
      </w:pPr>
    </w:p>
    <w:p w14:paraId="13BCE7DB" w14:textId="77777777" w:rsidR="00897750" w:rsidRDefault="00CE4754" w:rsidP="00CE475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“9. (a) Nature of the Agreement; Relationship of the parties.  Your agreement with us is the commercial equivalent of an agreement for accommodation in a hotel.  We are giving you the right to share with us the use of the office space so that we can provide the services to you.</w:t>
      </w:r>
      <w:r w:rsidR="00897750">
        <w:rPr>
          <w:rFonts w:ascii="Times New Roman" w:hAnsi="Times New Roman" w:cs="Times New Roman"/>
          <w:i/>
          <w:iCs/>
          <w:sz w:val="24"/>
          <w:szCs w:val="24"/>
          <w:lang w:val="en-ZA"/>
        </w:rPr>
        <w:t xml:space="preserve">  The whole of the premises and office space remains in our possession and control.  Notwithstanding anything in this Agreement to the contrary, you and we agree that our relationship is not that of landlord-tenant or </w:t>
      </w:r>
      <w:r w:rsidR="00897750">
        <w:rPr>
          <w:rFonts w:ascii="Times New Roman" w:hAnsi="Times New Roman" w:cs="Times New Roman"/>
          <w:i/>
          <w:iCs/>
          <w:sz w:val="24"/>
          <w:szCs w:val="24"/>
          <w:lang w:val="en-ZA"/>
        </w:rPr>
        <w:lastRenderedPageBreak/>
        <w:t>lessor-lessee and this Agree in no way shall be construed as to grant you or any member any title….”</w:t>
      </w:r>
    </w:p>
    <w:p w14:paraId="0B68787D" w14:textId="77777777" w:rsidR="00897750" w:rsidRDefault="00897750" w:rsidP="00897750">
      <w:pPr>
        <w:spacing w:after="0" w:line="360" w:lineRule="auto"/>
        <w:ind w:right="1008"/>
        <w:jc w:val="both"/>
        <w:rPr>
          <w:rFonts w:ascii="Times New Roman" w:hAnsi="Times New Roman" w:cs="Times New Roman"/>
          <w:i/>
          <w:iCs/>
          <w:sz w:val="24"/>
          <w:szCs w:val="24"/>
          <w:lang w:val="en-ZA"/>
        </w:rPr>
      </w:pPr>
    </w:p>
    <w:p w14:paraId="0306F4B5" w14:textId="68D0DF14" w:rsidR="00897750" w:rsidRDefault="00897750" w:rsidP="00EB165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C67E8">
        <w:rPr>
          <w:rFonts w:ascii="Times New Roman" w:hAnsi="Times New Roman" w:cs="Times New Roman"/>
          <w:sz w:val="28"/>
          <w:szCs w:val="28"/>
          <w:lang w:val="en-ZA"/>
        </w:rPr>
        <w:t>2</w:t>
      </w:r>
      <w:r w:rsidR="009A42F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In terms of clause 2 titled “The Benefits of Members” lists the types of “services” the members are to enjoy upon joining co-working space arrangement.  The first and the over-arching “service” is “non-exclusive access to and use of the office space.</w:t>
      </w:r>
      <w:r w:rsidR="00EB1658">
        <w:rPr>
          <w:rFonts w:ascii="Times New Roman" w:hAnsi="Times New Roman" w:cs="Times New Roman"/>
          <w:sz w:val="28"/>
          <w:szCs w:val="28"/>
          <w:lang w:val="en-ZA"/>
        </w:rPr>
        <w:t>”  Other ‘services’ includes amenities of the office space such as access to internet, electricity etc.  But as already said, the use of office space comes at a monthly cost which is embodied in the membership agreement.  To me, this arrangement, is a sublease by the 1</w:t>
      </w:r>
      <w:r w:rsidR="00EB1658" w:rsidRPr="00EB1658">
        <w:rPr>
          <w:rFonts w:ascii="Times New Roman" w:hAnsi="Times New Roman" w:cs="Times New Roman"/>
          <w:sz w:val="28"/>
          <w:szCs w:val="28"/>
          <w:vertAlign w:val="superscript"/>
          <w:lang w:val="en-ZA"/>
        </w:rPr>
        <w:t>st</w:t>
      </w:r>
      <w:r w:rsidR="00EB1658">
        <w:rPr>
          <w:rFonts w:ascii="Times New Roman" w:hAnsi="Times New Roman" w:cs="Times New Roman"/>
          <w:sz w:val="28"/>
          <w:szCs w:val="28"/>
          <w:lang w:val="en-ZA"/>
        </w:rPr>
        <w:t xml:space="preserve"> respondent to the 2</w:t>
      </w:r>
      <w:r w:rsidR="00EB1658" w:rsidRPr="00EB1658">
        <w:rPr>
          <w:rFonts w:ascii="Times New Roman" w:hAnsi="Times New Roman" w:cs="Times New Roman"/>
          <w:sz w:val="28"/>
          <w:szCs w:val="28"/>
          <w:vertAlign w:val="superscript"/>
          <w:lang w:val="en-ZA"/>
        </w:rPr>
        <w:t>nd</w:t>
      </w:r>
      <w:r w:rsidR="00EB1658">
        <w:rPr>
          <w:rFonts w:ascii="Times New Roman" w:hAnsi="Times New Roman" w:cs="Times New Roman"/>
          <w:sz w:val="28"/>
          <w:szCs w:val="28"/>
          <w:lang w:val="en-ZA"/>
        </w:rPr>
        <w:t xml:space="preserve"> and 3</w:t>
      </w:r>
      <w:r w:rsidR="00EB1658" w:rsidRPr="00EB1658">
        <w:rPr>
          <w:rFonts w:ascii="Times New Roman" w:hAnsi="Times New Roman" w:cs="Times New Roman"/>
          <w:sz w:val="28"/>
          <w:szCs w:val="28"/>
          <w:vertAlign w:val="superscript"/>
          <w:lang w:val="en-ZA"/>
        </w:rPr>
        <w:t>rd</w:t>
      </w:r>
      <w:r w:rsidR="00EB1658">
        <w:rPr>
          <w:rFonts w:ascii="Times New Roman" w:hAnsi="Times New Roman" w:cs="Times New Roman"/>
          <w:sz w:val="28"/>
          <w:szCs w:val="28"/>
          <w:lang w:val="en-ZA"/>
        </w:rPr>
        <w:t xml:space="preserve"> respondent, of the space in question.  The arrangement satisfies all the requirements of a sublease agreement, namely</w:t>
      </w:r>
      <w:r w:rsidR="004001E2">
        <w:rPr>
          <w:rFonts w:ascii="Times New Roman" w:hAnsi="Times New Roman" w:cs="Times New Roman"/>
          <w:sz w:val="28"/>
          <w:szCs w:val="28"/>
          <w:lang w:val="en-ZA"/>
        </w:rPr>
        <w:t>;</w:t>
      </w:r>
    </w:p>
    <w:p w14:paraId="509204D7" w14:textId="0CD09C5A" w:rsidR="004001E2" w:rsidRDefault="004001E2" w:rsidP="00EB1658">
      <w:pPr>
        <w:spacing w:after="0" w:line="360" w:lineRule="auto"/>
        <w:ind w:left="720" w:hanging="720"/>
        <w:jc w:val="both"/>
        <w:rPr>
          <w:rFonts w:ascii="Times New Roman" w:hAnsi="Times New Roman" w:cs="Times New Roman"/>
          <w:sz w:val="28"/>
          <w:szCs w:val="28"/>
          <w:lang w:val="en-ZA"/>
        </w:rPr>
      </w:pPr>
    </w:p>
    <w:p w14:paraId="3A0ADFEB" w14:textId="16F02284" w:rsidR="004001E2" w:rsidRDefault="004001E2" w:rsidP="004001E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An undertaking by the subless</w:t>
      </w:r>
      <w:r w:rsidR="0041383A">
        <w:rPr>
          <w:rFonts w:ascii="Times New Roman" w:hAnsi="Times New Roman" w:cs="Times New Roman"/>
          <w:sz w:val="28"/>
          <w:szCs w:val="28"/>
          <w:lang w:val="en-ZA"/>
        </w:rPr>
        <w:t>or</w:t>
      </w:r>
      <w:r>
        <w:rPr>
          <w:rFonts w:ascii="Times New Roman" w:hAnsi="Times New Roman" w:cs="Times New Roman"/>
          <w:sz w:val="28"/>
          <w:szCs w:val="28"/>
          <w:lang w:val="en-ZA"/>
        </w:rPr>
        <w:t xml:space="preserve"> to give the 2</w:t>
      </w:r>
      <w:r w:rsidRPr="004001E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4001E2">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respondents the use and enjoyment of the property.</w:t>
      </w:r>
    </w:p>
    <w:p w14:paraId="5E4D2104" w14:textId="77777777" w:rsidR="004001E2" w:rsidRDefault="004001E2" w:rsidP="004001E2">
      <w:pPr>
        <w:pStyle w:val="ListParagraph"/>
        <w:spacing w:after="0" w:line="360" w:lineRule="auto"/>
        <w:ind w:left="1080"/>
        <w:jc w:val="both"/>
        <w:rPr>
          <w:rFonts w:ascii="Times New Roman" w:hAnsi="Times New Roman" w:cs="Times New Roman"/>
          <w:sz w:val="28"/>
          <w:szCs w:val="28"/>
          <w:lang w:val="en-ZA"/>
        </w:rPr>
      </w:pPr>
    </w:p>
    <w:p w14:paraId="2C3DB930" w14:textId="4FF87D2E" w:rsidR="004001E2" w:rsidRDefault="004001E2" w:rsidP="004001E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There is an agreement between the parties that the 2</w:t>
      </w:r>
      <w:r w:rsidRPr="004001E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4001E2">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will use and enjoy property temporarily.</w:t>
      </w:r>
    </w:p>
    <w:p w14:paraId="61103BF4" w14:textId="77777777" w:rsidR="004001E2" w:rsidRPr="004001E2" w:rsidRDefault="004001E2" w:rsidP="004001E2">
      <w:pPr>
        <w:pStyle w:val="ListParagraph"/>
        <w:rPr>
          <w:rFonts w:ascii="Times New Roman" w:hAnsi="Times New Roman" w:cs="Times New Roman"/>
          <w:sz w:val="28"/>
          <w:szCs w:val="28"/>
          <w:lang w:val="en-ZA"/>
        </w:rPr>
      </w:pPr>
    </w:p>
    <w:p w14:paraId="0AE728AD" w14:textId="7441CDA4" w:rsidR="004001E2" w:rsidRDefault="004001E2" w:rsidP="004001E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2</w:t>
      </w:r>
      <w:r w:rsidRPr="004001E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4001E2">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respondents, in return for using and enjoying the office space, undertook to pay a monthly amount, though it is not termed rent, but it is </w:t>
      </w:r>
      <w:proofErr w:type="gramStart"/>
      <w:r>
        <w:rPr>
          <w:rFonts w:ascii="Times New Roman" w:hAnsi="Times New Roman" w:cs="Times New Roman"/>
          <w:sz w:val="28"/>
          <w:szCs w:val="28"/>
          <w:lang w:val="en-ZA"/>
        </w:rPr>
        <w:t>actually rent</w:t>
      </w:r>
      <w:proofErr w:type="gramEnd"/>
      <w:r>
        <w:rPr>
          <w:rFonts w:ascii="Times New Roman" w:hAnsi="Times New Roman" w:cs="Times New Roman"/>
          <w:sz w:val="28"/>
          <w:szCs w:val="28"/>
          <w:lang w:val="en-ZA"/>
        </w:rPr>
        <w:t>.</w:t>
      </w:r>
    </w:p>
    <w:p w14:paraId="1B7AF3FB" w14:textId="77777777" w:rsidR="00EC67E8" w:rsidRDefault="00EC67E8" w:rsidP="00EC67E8">
      <w:pPr>
        <w:pStyle w:val="ListParagraph"/>
        <w:spacing w:after="0" w:line="360" w:lineRule="auto"/>
        <w:ind w:left="1080"/>
        <w:jc w:val="both"/>
        <w:rPr>
          <w:rFonts w:ascii="Times New Roman" w:hAnsi="Times New Roman" w:cs="Times New Roman"/>
          <w:sz w:val="28"/>
          <w:szCs w:val="28"/>
          <w:lang w:val="en-ZA"/>
        </w:rPr>
      </w:pPr>
    </w:p>
    <w:p w14:paraId="268364ED" w14:textId="29D53AE9" w:rsidR="004001E2" w:rsidRPr="004001E2" w:rsidRDefault="00EC67E8" w:rsidP="004001E2">
      <w:pPr>
        <w:pStyle w:val="ListParagraph"/>
        <w:rPr>
          <w:rFonts w:ascii="Times New Roman" w:hAnsi="Times New Roman" w:cs="Times New Roman"/>
          <w:sz w:val="28"/>
          <w:szCs w:val="28"/>
          <w:lang w:val="en-ZA"/>
        </w:rPr>
      </w:pPr>
      <w:r>
        <w:rPr>
          <w:rFonts w:ascii="Times New Roman" w:hAnsi="Times New Roman" w:cs="Times New Roman"/>
          <w:sz w:val="28"/>
          <w:szCs w:val="28"/>
          <w:lang w:val="en-ZA"/>
        </w:rPr>
        <w:t>In the light of this factual conspectus, my considered view is that the 1</w:t>
      </w:r>
      <w:r w:rsidRPr="00EC67E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breached the terms of the contract.</w:t>
      </w:r>
    </w:p>
    <w:p w14:paraId="5E7E9DB4" w14:textId="6FD6F071" w:rsidR="004001E2" w:rsidRDefault="004001E2" w:rsidP="00475B94">
      <w:pPr>
        <w:spacing w:after="0" w:line="360" w:lineRule="auto"/>
        <w:ind w:left="624"/>
        <w:jc w:val="both"/>
        <w:rPr>
          <w:rFonts w:ascii="Times New Roman" w:hAnsi="Times New Roman" w:cs="Times New Roman"/>
          <w:sz w:val="28"/>
          <w:szCs w:val="28"/>
          <w:lang w:val="en-ZA"/>
        </w:rPr>
      </w:pPr>
    </w:p>
    <w:p w14:paraId="23D31045" w14:textId="7323EC39" w:rsidR="001E4A20" w:rsidRDefault="001E4A20" w:rsidP="00475B94">
      <w:pPr>
        <w:spacing w:after="0" w:line="360" w:lineRule="auto"/>
        <w:ind w:left="624"/>
        <w:jc w:val="both"/>
        <w:rPr>
          <w:rFonts w:ascii="Times New Roman" w:hAnsi="Times New Roman" w:cs="Times New Roman"/>
          <w:sz w:val="28"/>
          <w:szCs w:val="28"/>
          <w:lang w:val="en-ZA"/>
        </w:rPr>
      </w:pPr>
    </w:p>
    <w:p w14:paraId="442A39A6" w14:textId="77777777" w:rsidR="001E4A20" w:rsidRDefault="001E4A20" w:rsidP="00475B94">
      <w:pPr>
        <w:spacing w:after="0" w:line="360" w:lineRule="auto"/>
        <w:ind w:left="624"/>
        <w:jc w:val="both"/>
        <w:rPr>
          <w:rFonts w:ascii="Times New Roman" w:hAnsi="Times New Roman" w:cs="Times New Roman"/>
          <w:sz w:val="28"/>
          <w:szCs w:val="28"/>
          <w:lang w:val="en-ZA"/>
        </w:rPr>
      </w:pPr>
    </w:p>
    <w:p w14:paraId="32A16F20" w14:textId="2E0C2E11" w:rsidR="00EC67E8" w:rsidRDefault="004001E2" w:rsidP="004001E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9A42F4">
        <w:rPr>
          <w:rFonts w:ascii="Times New Roman" w:hAnsi="Times New Roman" w:cs="Times New Roman"/>
          <w:sz w:val="28"/>
          <w:szCs w:val="28"/>
          <w:lang w:val="en-ZA"/>
        </w:rPr>
        <w:t>2</w:t>
      </w:r>
      <w:r>
        <w:rPr>
          <w:rFonts w:ascii="Times New Roman" w:hAnsi="Times New Roman" w:cs="Times New Roman"/>
          <w:sz w:val="28"/>
          <w:szCs w:val="28"/>
          <w:lang w:val="en-ZA"/>
        </w:rPr>
        <w:t>]</w:t>
      </w:r>
      <w:r w:rsidRPr="00EC67E8">
        <w:rPr>
          <w:rFonts w:ascii="Times New Roman" w:hAnsi="Times New Roman" w:cs="Times New Roman"/>
          <w:b/>
          <w:bCs/>
          <w:sz w:val="28"/>
          <w:szCs w:val="28"/>
          <w:lang w:val="en-ZA"/>
        </w:rPr>
        <w:tab/>
      </w:r>
      <w:r w:rsidR="00EC67E8" w:rsidRPr="00EC67E8">
        <w:rPr>
          <w:rFonts w:ascii="Times New Roman" w:hAnsi="Times New Roman" w:cs="Times New Roman"/>
          <w:b/>
          <w:bCs/>
          <w:sz w:val="28"/>
          <w:szCs w:val="28"/>
          <w:lang w:val="en-ZA"/>
        </w:rPr>
        <w:t>Unjust enrichment</w:t>
      </w:r>
    </w:p>
    <w:p w14:paraId="5793A18C" w14:textId="6437E32D" w:rsidR="004001E2" w:rsidRDefault="00EC67E8" w:rsidP="004001E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4001E2">
        <w:rPr>
          <w:rFonts w:ascii="Times New Roman" w:hAnsi="Times New Roman" w:cs="Times New Roman"/>
          <w:sz w:val="28"/>
          <w:szCs w:val="28"/>
          <w:lang w:val="en-ZA"/>
        </w:rPr>
        <w:t>In order to succeed in a claim for unjust enrichment, the applicant has to satisfy the following requirements:</w:t>
      </w:r>
      <w:r w:rsidR="00910B2B">
        <w:rPr>
          <w:rFonts w:ascii="Times New Roman" w:hAnsi="Times New Roman" w:cs="Times New Roman"/>
          <w:sz w:val="28"/>
          <w:szCs w:val="28"/>
          <w:lang w:val="en-ZA"/>
        </w:rPr>
        <w:t xml:space="preserve"> (</w:t>
      </w:r>
      <w:proofErr w:type="spellStart"/>
      <w:r w:rsidR="00910B2B">
        <w:rPr>
          <w:rFonts w:ascii="Times New Roman" w:hAnsi="Times New Roman" w:cs="Times New Roman"/>
          <w:sz w:val="28"/>
          <w:szCs w:val="28"/>
          <w:lang w:val="en-ZA"/>
        </w:rPr>
        <w:t>i</w:t>
      </w:r>
      <w:proofErr w:type="spellEnd"/>
      <w:r w:rsidR="00910B2B">
        <w:rPr>
          <w:rFonts w:ascii="Times New Roman" w:hAnsi="Times New Roman" w:cs="Times New Roman"/>
          <w:sz w:val="28"/>
          <w:szCs w:val="28"/>
          <w:lang w:val="en-ZA"/>
        </w:rPr>
        <w:t>) the respondent must have been enriched and (ii) the applicant should have been impoverished by the respondent’s enrichment and lastly, (iii) the enrichment must be without a legal cause (unjustified).  (</w:t>
      </w:r>
      <w:r w:rsidR="00B10265">
        <w:rPr>
          <w:rFonts w:ascii="Times New Roman" w:hAnsi="Times New Roman" w:cs="Times New Roman"/>
          <w:sz w:val="28"/>
          <w:szCs w:val="28"/>
          <w:lang w:val="en-ZA"/>
        </w:rPr>
        <w:t>see</w:t>
      </w:r>
      <w:r w:rsidR="005D21A6">
        <w:rPr>
          <w:rFonts w:ascii="Times New Roman" w:hAnsi="Times New Roman" w:cs="Times New Roman"/>
          <w:sz w:val="28"/>
          <w:szCs w:val="28"/>
          <w:lang w:val="en-ZA"/>
        </w:rPr>
        <w:t>:</w:t>
      </w:r>
      <w:r w:rsidR="00B10265">
        <w:rPr>
          <w:rFonts w:ascii="Times New Roman" w:hAnsi="Times New Roman" w:cs="Times New Roman"/>
          <w:sz w:val="28"/>
          <w:szCs w:val="28"/>
          <w:lang w:val="en-ZA"/>
        </w:rPr>
        <w:t xml:space="preserve"> </w:t>
      </w:r>
      <w:proofErr w:type="spellStart"/>
      <w:r w:rsidR="00B10265" w:rsidRPr="00630DE4">
        <w:rPr>
          <w:rFonts w:ascii="Times New Roman" w:hAnsi="Times New Roman" w:cs="Times New Roman"/>
          <w:sz w:val="28"/>
          <w:szCs w:val="28"/>
          <w:lang w:val="en-ZA"/>
        </w:rPr>
        <w:t>Eiselen</w:t>
      </w:r>
      <w:proofErr w:type="spellEnd"/>
      <w:r w:rsidR="00B10265" w:rsidRPr="00630DE4">
        <w:rPr>
          <w:rFonts w:ascii="Times New Roman" w:hAnsi="Times New Roman" w:cs="Times New Roman"/>
          <w:sz w:val="28"/>
          <w:szCs w:val="28"/>
          <w:lang w:val="en-ZA"/>
        </w:rPr>
        <w:t xml:space="preserve"> and Pienaar</w:t>
      </w:r>
      <w:r w:rsidR="00B10265">
        <w:rPr>
          <w:rFonts w:ascii="Times New Roman" w:hAnsi="Times New Roman" w:cs="Times New Roman"/>
          <w:b/>
          <w:bCs/>
          <w:sz w:val="28"/>
          <w:szCs w:val="28"/>
          <w:lang w:val="en-ZA"/>
        </w:rPr>
        <w:t xml:space="preserve"> </w:t>
      </w:r>
      <w:r w:rsidR="00630DE4">
        <w:rPr>
          <w:rFonts w:ascii="Times New Roman" w:hAnsi="Times New Roman" w:cs="Times New Roman"/>
          <w:b/>
          <w:bCs/>
          <w:sz w:val="28"/>
          <w:szCs w:val="28"/>
          <w:lang w:val="en-ZA"/>
        </w:rPr>
        <w:t>U</w:t>
      </w:r>
      <w:r w:rsidR="00B10265">
        <w:rPr>
          <w:rFonts w:ascii="Times New Roman" w:hAnsi="Times New Roman" w:cs="Times New Roman"/>
          <w:b/>
          <w:bCs/>
          <w:sz w:val="28"/>
          <w:szCs w:val="28"/>
          <w:lang w:val="en-ZA"/>
        </w:rPr>
        <w:t>njust Enrichment: A casebook 2</w:t>
      </w:r>
      <w:r w:rsidR="00B10265" w:rsidRPr="00B10265">
        <w:rPr>
          <w:rFonts w:ascii="Times New Roman" w:hAnsi="Times New Roman" w:cs="Times New Roman"/>
          <w:b/>
          <w:bCs/>
          <w:sz w:val="28"/>
          <w:szCs w:val="28"/>
          <w:vertAlign w:val="superscript"/>
          <w:lang w:val="en-ZA"/>
        </w:rPr>
        <w:t>nd</w:t>
      </w:r>
      <w:r w:rsidR="00B10265">
        <w:rPr>
          <w:rFonts w:ascii="Times New Roman" w:hAnsi="Times New Roman" w:cs="Times New Roman"/>
          <w:b/>
          <w:bCs/>
          <w:sz w:val="28"/>
          <w:szCs w:val="28"/>
          <w:lang w:val="en-ZA"/>
        </w:rPr>
        <w:t xml:space="preserve"> ed. Butterworths).</w:t>
      </w:r>
    </w:p>
    <w:p w14:paraId="67AF9143" w14:textId="5564A5C8" w:rsidR="00B10265" w:rsidRDefault="00B10265" w:rsidP="004001E2">
      <w:pPr>
        <w:spacing w:after="0" w:line="360" w:lineRule="auto"/>
        <w:ind w:left="720" w:hanging="720"/>
        <w:jc w:val="both"/>
        <w:rPr>
          <w:rFonts w:ascii="Times New Roman" w:hAnsi="Times New Roman" w:cs="Times New Roman"/>
          <w:b/>
          <w:bCs/>
          <w:sz w:val="28"/>
          <w:szCs w:val="28"/>
          <w:lang w:val="en-ZA"/>
        </w:rPr>
      </w:pPr>
    </w:p>
    <w:p w14:paraId="1138DFD2" w14:textId="2BCC0B1E" w:rsidR="00B10265" w:rsidRDefault="005E6731" w:rsidP="004001E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9A42F4">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 the present I am in no doubt that the 1</w:t>
      </w:r>
      <w:r w:rsidRPr="005E673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has been enriched at the expense of the applicant.  The money which went into the coffers of the 1</w:t>
      </w:r>
      <w:r w:rsidRPr="005E673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should have gone to the applicant.  The sublease agreement prohibited the subletting of the premises unless consent had been sought, but in this case that did not happen, and </w:t>
      </w:r>
      <w:r w:rsidR="00E23AF5">
        <w:rPr>
          <w:rFonts w:ascii="Times New Roman" w:hAnsi="Times New Roman" w:cs="Times New Roman"/>
          <w:sz w:val="28"/>
          <w:szCs w:val="28"/>
          <w:lang w:val="en-ZA"/>
        </w:rPr>
        <w:t>so there was no just cause for the enrichment of the 1</w:t>
      </w:r>
      <w:r w:rsidR="00E23AF5" w:rsidRPr="00E23AF5">
        <w:rPr>
          <w:rFonts w:ascii="Times New Roman" w:hAnsi="Times New Roman" w:cs="Times New Roman"/>
          <w:sz w:val="28"/>
          <w:szCs w:val="28"/>
          <w:vertAlign w:val="superscript"/>
          <w:lang w:val="en-ZA"/>
        </w:rPr>
        <w:t>st</w:t>
      </w:r>
      <w:r w:rsidR="00E23AF5">
        <w:rPr>
          <w:rFonts w:ascii="Times New Roman" w:hAnsi="Times New Roman" w:cs="Times New Roman"/>
          <w:sz w:val="28"/>
          <w:szCs w:val="28"/>
          <w:lang w:val="en-ZA"/>
        </w:rPr>
        <w:t xml:space="preserve"> respondent at the expense of the applicant.</w:t>
      </w:r>
    </w:p>
    <w:p w14:paraId="6F13A895" w14:textId="60374254" w:rsidR="00E23AF5" w:rsidRDefault="00E23AF5" w:rsidP="004001E2">
      <w:pPr>
        <w:spacing w:after="0" w:line="360" w:lineRule="auto"/>
        <w:ind w:left="720" w:hanging="720"/>
        <w:jc w:val="both"/>
        <w:rPr>
          <w:rFonts w:ascii="Times New Roman" w:hAnsi="Times New Roman" w:cs="Times New Roman"/>
          <w:sz w:val="28"/>
          <w:szCs w:val="28"/>
          <w:lang w:val="en-ZA"/>
        </w:rPr>
      </w:pPr>
    </w:p>
    <w:p w14:paraId="42F8876D" w14:textId="3B16F62B" w:rsidR="00E23AF5" w:rsidRDefault="00E23AF5" w:rsidP="004001E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9A42F4">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orders are made:</w:t>
      </w:r>
    </w:p>
    <w:p w14:paraId="12E87B5B" w14:textId="7BD1108C" w:rsidR="00E23AF5" w:rsidRDefault="00E23AF5" w:rsidP="004001E2">
      <w:pPr>
        <w:spacing w:after="0" w:line="360" w:lineRule="auto"/>
        <w:ind w:left="720" w:hanging="720"/>
        <w:jc w:val="both"/>
        <w:rPr>
          <w:rFonts w:ascii="Times New Roman" w:hAnsi="Times New Roman" w:cs="Times New Roman"/>
          <w:sz w:val="28"/>
          <w:szCs w:val="28"/>
          <w:lang w:val="en-ZA"/>
        </w:rPr>
      </w:pPr>
    </w:p>
    <w:p w14:paraId="1E74B76F" w14:textId="7F897978" w:rsidR="00E23AF5" w:rsidRDefault="00E23AF5" w:rsidP="00E23AF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rule </w:t>
      </w:r>
      <w:r>
        <w:rPr>
          <w:rFonts w:ascii="Times New Roman" w:hAnsi="Times New Roman" w:cs="Times New Roman"/>
          <w:i/>
          <w:iCs/>
          <w:sz w:val="28"/>
          <w:szCs w:val="28"/>
          <w:lang w:val="en-ZA"/>
        </w:rPr>
        <w:t>nisi</w:t>
      </w:r>
      <w:r>
        <w:rPr>
          <w:rFonts w:ascii="Times New Roman" w:hAnsi="Times New Roman" w:cs="Times New Roman"/>
          <w:sz w:val="28"/>
          <w:szCs w:val="28"/>
          <w:lang w:val="en-ZA"/>
        </w:rPr>
        <w:t xml:space="preserve"> is confirmed as prayed in terms of prayers 2, 3, 4, 5 and 6 of the Notice of Motion</w:t>
      </w:r>
      <w:r w:rsidR="009E51DA">
        <w:rPr>
          <w:rFonts w:ascii="Times New Roman" w:hAnsi="Times New Roman" w:cs="Times New Roman"/>
          <w:sz w:val="28"/>
          <w:szCs w:val="28"/>
          <w:lang w:val="en-ZA"/>
        </w:rPr>
        <w:t>.</w:t>
      </w:r>
    </w:p>
    <w:p w14:paraId="54AF9C58" w14:textId="77777777" w:rsidR="00E23AF5" w:rsidRDefault="00E23AF5" w:rsidP="00E23AF5">
      <w:pPr>
        <w:pStyle w:val="ListParagraph"/>
        <w:spacing w:after="0" w:line="360" w:lineRule="auto"/>
        <w:ind w:left="1080"/>
        <w:jc w:val="both"/>
        <w:rPr>
          <w:rFonts w:ascii="Times New Roman" w:hAnsi="Times New Roman" w:cs="Times New Roman"/>
          <w:sz w:val="28"/>
          <w:szCs w:val="28"/>
          <w:lang w:val="en-ZA"/>
        </w:rPr>
      </w:pPr>
    </w:p>
    <w:p w14:paraId="31BE106F" w14:textId="700DB79A" w:rsidR="00E23AF5" w:rsidRDefault="00E23AF5" w:rsidP="00E23AF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applicants are awarded the costs of suit.</w:t>
      </w:r>
    </w:p>
    <w:p w14:paraId="36BBDC99" w14:textId="22F2615C" w:rsidR="00E23AF5" w:rsidRDefault="00E23AF5" w:rsidP="00E23AF5">
      <w:pPr>
        <w:spacing w:after="0" w:line="360" w:lineRule="auto"/>
        <w:jc w:val="both"/>
        <w:rPr>
          <w:rFonts w:ascii="Times New Roman" w:hAnsi="Times New Roman" w:cs="Times New Roman"/>
          <w:sz w:val="28"/>
          <w:szCs w:val="28"/>
          <w:lang w:val="en-ZA"/>
        </w:rPr>
      </w:pPr>
    </w:p>
    <w:p w14:paraId="478DC7E9" w14:textId="253B060B" w:rsidR="001E4A20" w:rsidRDefault="001E4A20" w:rsidP="00E23AF5">
      <w:pPr>
        <w:spacing w:after="0" w:line="360" w:lineRule="auto"/>
        <w:jc w:val="both"/>
        <w:rPr>
          <w:rFonts w:ascii="Times New Roman" w:hAnsi="Times New Roman" w:cs="Times New Roman"/>
          <w:sz w:val="28"/>
          <w:szCs w:val="28"/>
          <w:lang w:val="en-ZA"/>
        </w:rPr>
      </w:pPr>
    </w:p>
    <w:p w14:paraId="6463AA03" w14:textId="5E7E2302" w:rsidR="001E4A20" w:rsidRDefault="001E4A20" w:rsidP="00E23AF5">
      <w:pPr>
        <w:spacing w:after="0" w:line="360" w:lineRule="auto"/>
        <w:jc w:val="both"/>
        <w:rPr>
          <w:rFonts w:ascii="Times New Roman" w:hAnsi="Times New Roman" w:cs="Times New Roman"/>
          <w:sz w:val="28"/>
          <w:szCs w:val="28"/>
          <w:lang w:val="en-ZA"/>
        </w:rPr>
      </w:pPr>
    </w:p>
    <w:p w14:paraId="2811EF7A" w14:textId="531CD670" w:rsidR="001E4A20" w:rsidRDefault="001E4A20" w:rsidP="00E23AF5">
      <w:pPr>
        <w:spacing w:after="0" w:line="360" w:lineRule="auto"/>
        <w:jc w:val="both"/>
        <w:rPr>
          <w:rFonts w:ascii="Times New Roman" w:hAnsi="Times New Roman" w:cs="Times New Roman"/>
          <w:sz w:val="28"/>
          <w:szCs w:val="28"/>
          <w:lang w:val="en-ZA"/>
        </w:rPr>
      </w:pPr>
    </w:p>
    <w:p w14:paraId="145B6C98" w14:textId="1261B7E5" w:rsidR="001E4A20" w:rsidRDefault="001E4A20" w:rsidP="00E23AF5">
      <w:pPr>
        <w:spacing w:after="0" w:line="360" w:lineRule="auto"/>
        <w:jc w:val="both"/>
        <w:rPr>
          <w:rFonts w:ascii="Times New Roman" w:hAnsi="Times New Roman" w:cs="Times New Roman"/>
          <w:sz w:val="28"/>
          <w:szCs w:val="28"/>
          <w:lang w:val="en-ZA"/>
        </w:rPr>
      </w:pPr>
    </w:p>
    <w:p w14:paraId="49D89A44" w14:textId="15A306E3" w:rsidR="001E4A20" w:rsidRDefault="001E4A20" w:rsidP="00E23AF5">
      <w:pPr>
        <w:spacing w:after="0" w:line="360" w:lineRule="auto"/>
        <w:jc w:val="both"/>
        <w:rPr>
          <w:rFonts w:ascii="Times New Roman" w:hAnsi="Times New Roman" w:cs="Times New Roman"/>
          <w:sz w:val="28"/>
          <w:szCs w:val="28"/>
          <w:lang w:val="en-ZA"/>
        </w:rPr>
      </w:pPr>
    </w:p>
    <w:p w14:paraId="2A4BE053" w14:textId="77777777" w:rsidR="001E4A20" w:rsidRDefault="001E4A20" w:rsidP="00E23AF5">
      <w:pPr>
        <w:spacing w:after="0" w:line="360" w:lineRule="auto"/>
        <w:jc w:val="both"/>
        <w:rPr>
          <w:rFonts w:ascii="Times New Roman" w:hAnsi="Times New Roman" w:cs="Times New Roman"/>
          <w:sz w:val="28"/>
          <w:szCs w:val="28"/>
          <w:lang w:val="en-ZA"/>
        </w:rPr>
      </w:pPr>
    </w:p>
    <w:p w14:paraId="77582F67" w14:textId="77777777" w:rsidR="009E51DA" w:rsidRDefault="009E51DA" w:rsidP="00E23AF5">
      <w:pPr>
        <w:spacing w:after="0" w:line="360" w:lineRule="auto"/>
        <w:jc w:val="both"/>
        <w:rPr>
          <w:rFonts w:ascii="Times New Roman" w:hAnsi="Times New Roman" w:cs="Times New Roman"/>
          <w:sz w:val="28"/>
          <w:szCs w:val="28"/>
          <w:lang w:val="en-ZA"/>
        </w:rPr>
      </w:pPr>
    </w:p>
    <w:p w14:paraId="12BDA880" w14:textId="2573224D" w:rsidR="00E23AF5" w:rsidRDefault="00E23AF5" w:rsidP="00E23AF5">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4574299D" w14:textId="1F74904A" w:rsidR="00E23AF5" w:rsidRDefault="00E23AF5" w:rsidP="00E23AF5">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5D02C91" w14:textId="2E4A8DAB" w:rsidR="00E23AF5" w:rsidRDefault="00E23AF5" w:rsidP="00E23AF5">
      <w:pPr>
        <w:spacing w:after="0" w:line="360" w:lineRule="auto"/>
        <w:jc w:val="both"/>
        <w:rPr>
          <w:rFonts w:ascii="Times New Roman" w:hAnsi="Times New Roman" w:cs="Times New Roman"/>
          <w:b/>
          <w:bCs/>
          <w:sz w:val="28"/>
          <w:szCs w:val="28"/>
          <w:lang w:val="en-ZA"/>
        </w:rPr>
      </w:pPr>
    </w:p>
    <w:p w14:paraId="7D29AE89" w14:textId="386AFB23" w:rsidR="00E23AF5" w:rsidRDefault="00E23AF5" w:rsidP="00E23AF5">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U. J </w:t>
      </w:r>
      <w:proofErr w:type="spellStart"/>
      <w:r>
        <w:rPr>
          <w:rFonts w:ascii="Times New Roman" w:hAnsi="Times New Roman" w:cs="Times New Roman"/>
          <w:b/>
          <w:bCs/>
          <w:sz w:val="28"/>
          <w:szCs w:val="28"/>
          <w:lang w:val="en-ZA"/>
        </w:rPr>
        <w:t>Motsohi</w:t>
      </w:r>
      <w:proofErr w:type="spellEnd"/>
      <w:r>
        <w:rPr>
          <w:rFonts w:ascii="Times New Roman" w:hAnsi="Times New Roman" w:cs="Times New Roman"/>
          <w:b/>
          <w:bCs/>
          <w:sz w:val="28"/>
          <w:szCs w:val="28"/>
          <w:lang w:val="en-ZA"/>
        </w:rPr>
        <w:t xml:space="preserve"> instructed by Mofolo, Tau-Thabane &amp; Co. Attorneys</w:t>
      </w:r>
    </w:p>
    <w:p w14:paraId="4E5D5D0C" w14:textId="6EC76934" w:rsidR="00E23AF5" w:rsidRDefault="00E23AF5" w:rsidP="00E23AF5">
      <w:pPr>
        <w:spacing w:after="0" w:line="360" w:lineRule="auto"/>
        <w:ind w:left="2880" w:hanging="2880"/>
        <w:jc w:val="both"/>
        <w:rPr>
          <w:rFonts w:ascii="Times New Roman" w:hAnsi="Times New Roman" w:cs="Times New Roman"/>
          <w:b/>
          <w:bCs/>
          <w:sz w:val="28"/>
          <w:szCs w:val="28"/>
          <w:lang w:val="en-ZA"/>
        </w:rPr>
      </w:pPr>
    </w:p>
    <w:p w14:paraId="731BD38B" w14:textId="4D4A9C52" w:rsidR="00E23AF5" w:rsidRDefault="00E23AF5" w:rsidP="00E23AF5">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E23AF5">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Adv. Kao-</w:t>
      </w:r>
      <w:proofErr w:type="spellStart"/>
      <w:r>
        <w:rPr>
          <w:rFonts w:ascii="Times New Roman" w:hAnsi="Times New Roman" w:cs="Times New Roman"/>
          <w:b/>
          <w:bCs/>
          <w:sz w:val="28"/>
          <w:szCs w:val="28"/>
          <w:lang w:val="en-ZA"/>
        </w:rPr>
        <w:t>Theoha</w:t>
      </w:r>
      <w:proofErr w:type="spellEnd"/>
      <w:r>
        <w:rPr>
          <w:rFonts w:ascii="Times New Roman" w:hAnsi="Times New Roman" w:cs="Times New Roman"/>
          <w:b/>
          <w:bCs/>
          <w:sz w:val="28"/>
          <w:szCs w:val="28"/>
          <w:lang w:val="en-ZA"/>
        </w:rPr>
        <w:t xml:space="preserve"> instructed by K. D </w:t>
      </w:r>
      <w:proofErr w:type="spellStart"/>
      <w:r>
        <w:rPr>
          <w:rFonts w:ascii="Times New Roman" w:hAnsi="Times New Roman" w:cs="Times New Roman"/>
          <w:b/>
          <w:bCs/>
          <w:sz w:val="28"/>
          <w:szCs w:val="28"/>
          <w:lang w:val="en-ZA"/>
        </w:rPr>
        <w:t>Mabulu</w:t>
      </w:r>
      <w:proofErr w:type="spellEnd"/>
      <w:r>
        <w:rPr>
          <w:rFonts w:ascii="Times New Roman" w:hAnsi="Times New Roman" w:cs="Times New Roman"/>
          <w:b/>
          <w:bCs/>
          <w:sz w:val="28"/>
          <w:szCs w:val="28"/>
          <w:lang w:val="en-ZA"/>
        </w:rPr>
        <w:t xml:space="preserve"> Attorneys</w:t>
      </w:r>
    </w:p>
    <w:p w14:paraId="425BDFD0" w14:textId="59A60939" w:rsidR="00E35958" w:rsidRDefault="00E35958" w:rsidP="00E23AF5">
      <w:pPr>
        <w:spacing w:after="0" w:line="360" w:lineRule="auto"/>
        <w:ind w:left="2880" w:hanging="2880"/>
        <w:jc w:val="both"/>
        <w:rPr>
          <w:rFonts w:ascii="Times New Roman" w:hAnsi="Times New Roman" w:cs="Times New Roman"/>
          <w:b/>
          <w:bCs/>
          <w:sz w:val="28"/>
          <w:szCs w:val="28"/>
          <w:lang w:val="en-ZA"/>
        </w:rPr>
      </w:pPr>
    </w:p>
    <w:p w14:paraId="51BCC7AB" w14:textId="7F5A8194" w:rsidR="00E35958" w:rsidRDefault="00E35958" w:rsidP="00E23AF5">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E35958">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to 6</w:t>
      </w:r>
      <w:r w:rsidRPr="00E3595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1755A42B" w14:textId="77777777" w:rsidR="00E23AF5" w:rsidRDefault="00E23AF5" w:rsidP="00E23AF5">
      <w:pPr>
        <w:spacing w:after="0" w:line="240" w:lineRule="auto"/>
        <w:jc w:val="center"/>
        <w:rPr>
          <w:rFonts w:ascii="Times New Roman" w:hAnsi="Times New Roman" w:cs="Times New Roman"/>
          <w:b/>
          <w:bCs/>
          <w:sz w:val="28"/>
          <w:szCs w:val="28"/>
          <w:lang w:val="en-ZA"/>
        </w:rPr>
      </w:pPr>
    </w:p>
    <w:p w14:paraId="51FE2280" w14:textId="77777777" w:rsidR="00E23AF5" w:rsidRPr="00E23AF5" w:rsidRDefault="00E23AF5" w:rsidP="00E23AF5">
      <w:pPr>
        <w:spacing w:after="0" w:line="240" w:lineRule="auto"/>
        <w:jc w:val="center"/>
        <w:rPr>
          <w:rFonts w:ascii="Times New Roman" w:hAnsi="Times New Roman" w:cs="Times New Roman"/>
          <w:b/>
          <w:bCs/>
          <w:sz w:val="28"/>
          <w:szCs w:val="28"/>
          <w:lang w:val="en-ZA"/>
        </w:rPr>
      </w:pPr>
    </w:p>
    <w:p w14:paraId="0DBC2E40" w14:textId="77777777" w:rsidR="0008226F" w:rsidRPr="0008226F" w:rsidRDefault="0008226F" w:rsidP="001C5FD8">
      <w:pPr>
        <w:spacing w:after="0" w:line="360" w:lineRule="auto"/>
        <w:ind w:left="720" w:hanging="720"/>
        <w:jc w:val="both"/>
        <w:rPr>
          <w:rFonts w:ascii="Times New Roman" w:hAnsi="Times New Roman" w:cs="Times New Roman"/>
          <w:sz w:val="28"/>
          <w:szCs w:val="28"/>
          <w:lang w:val="en-ZA"/>
        </w:rPr>
      </w:pPr>
    </w:p>
    <w:p w14:paraId="302A6F80" w14:textId="77777777" w:rsidR="005F6605" w:rsidRDefault="005F6605" w:rsidP="005F6605">
      <w:pPr>
        <w:spacing w:after="0" w:line="360" w:lineRule="auto"/>
        <w:jc w:val="both"/>
        <w:rPr>
          <w:rFonts w:ascii="Times New Roman" w:hAnsi="Times New Roman" w:cs="Times New Roman"/>
          <w:sz w:val="28"/>
          <w:szCs w:val="28"/>
          <w:lang w:val="en-ZA"/>
        </w:rPr>
      </w:pPr>
    </w:p>
    <w:p w14:paraId="5579DC8E" w14:textId="0E88C641" w:rsidR="00FA1D16" w:rsidRDefault="00FA1D16" w:rsidP="005F6605">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5E20A9C6" w14:textId="261DF689" w:rsidR="00894A90" w:rsidRDefault="00894A90" w:rsidP="00894A90">
      <w:pPr>
        <w:spacing w:after="0" w:line="360" w:lineRule="auto"/>
        <w:jc w:val="both"/>
        <w:rPr>
          <w:rFonts w:ascii="Times New Roman" w:hAnsi="Times New Roman" w:cs="Times New Roman"/>
          <w:sz w:val="28"/>
          <w:szCs w:val="28"/>
          <w:lang w:val="en-ZA"/>
        </w:rPr>
      </w:pPr>
    </w:p>
    <w:p w14:paraId="6687A4EF" w14:textId="77777777" w:rsidR="00894A90" w:rsidRPr="00475B14" w:rsidRDefault="00894A90" w:rsidP="00894A90">
      <w:pPr>
        <w:spacing w:after="0" w:line="360" w:lineRule="auto"/>
        <w:jc w:val="both"/>
        <w:rPr>
          <w:rFonts w:ascii="Times New Roman" w:hAnsi="Times New Roman" w:cs="Times New Roman"/>
          <w:i/>
          <w:iCs/>
          <w:sz w:val="24"/>
          <w:szCs w:val="24"/>
          <w:lang w:val="en-ZA"/>
        </w:rPr>
      </w:pPr>
    </w:p>
    <w:p w14:paraId="69D70AB7" w14:textId="2AD0B833" w:rsidR="001F5957" w:rsidRPr="00475B14" w:rsidRDefault="001F5957" w:rsidP="00475B14">
      <w:pPr>
        <w:spacing w:after="0" w:line="360" w:lineRule="auto"/>
        <w:ind w:right="1008"/>
        <w:jc w:val="both"/>
        <w:rPr>
          <w:rFonts w:ascii="Times New Roman" w:hAnsi="Times New Roman" w:cs="Times New Roman"/>
          <w:i/>
          <w:iCs/>
          <w:sz w:val="24"/>
          <w:szCs w:val="24"/>
          <w:lang w:val="en-ZA"/>
        </w:rPr>
      </w:pPr>
      <w:r w:rsidRPr="00475B14">
        <w:rPr>
          <w:rFonts w:ascii="Times New Roman" w:hAnsi="Times New Roman" w:cs="Times New Roman"/>
          <w:i/>
          <w:iCs/>
          <w:sz w:val="24"/>
          <w:szCs w:val="24"/>
          <w:lang w:val="en-ZA"/>
        </w:rPr>
        <w:t xml:space="preserve"> </w:t>
      </w:r>
    </w:p>
    <w:p w14:paraId="197528C5" w14:textId="77777777" w:rsidR="001F5957" w:rsidRPr="001F5957" w:rsidRDefault="001F5957" w:rsidP="001F5957">
      <w:pPr>
        <w:spacing w:after="0"/>
        <w:jc w:val="center"/>
        <w:rPr>
          <w:rFonts w:ascii="Times New Roman" w:hAnsi="Times New Roman" w:cs="Times New Roman"/>
          <w:b/>
          <w:bCs/>
          <w:sz w:val="28"/>
          <w:szCs w:val="28"/>
          <w:u w:val="single"/>
          <w:lang w:val="en-ZA"/>
        </w:rPr>
      </w:pPr>
    </w:p>
    <w:sectPr w:rsidR="001F5957" w:rsidRPr="001F5957" w:rsidSect="0073147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7745" w14:textId="77777777" w:rsidR="0071133F" w:rsidRDefault="0071133F" w:rsidP="0073147E">
      <w:pPr>
        <w:spacing w:after="0" w:line="240" w:lineRule="auto"/>
      </w:pPr>
      <w:r>
        <w:separator/>
      </w:r>
    </w:p>
  </w:endnote>
  <w:endnote w:type="continuationSeparator" w:id="0">
    <w:p w14:paraId="256A50B0" w14:textId="77777777" w:rsidR="0071133F" w:rsidRDefault="0071133F" w:rsidP="0073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23373"/>
      <w:docPartObj>
        <w:docPartGallery w:val="Page Numbers (Bottom of Page)"/>
        <w:docPartUnique/>
      </w:docPartObj>
    </w:sdtPr>
    <w:sdtEndPr>
      <w:rPr>
        <w:noProof/>
      </w:rPr>
    </w:sdtEndPr>
    <w:sdtContent>
      <w:p w14:paraId="0D552A5E" w14:textId="1A9E95EC" w:rsidR="0073147E" w:rsidRDefault="007314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8E80C" w14:textId="77777777" w:rsidR="0073147E" w:rsidRDefault="00731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EA71" w14:textId="77777777" w:rsidR="0071133F" w:rsidRDefault="0071133F" w:rsidP="0073147E">
      <w:pPr>
        <w:spacing w:after="0" w:line="240" w:lineRule="auto"/>
      </w:pPr>
      <w:r>
        <w:separator/>
      </w:r>
    </w:p>
  </w:footnote>
  <w:footnote w:type="continuationSeparator" w:id="0">
    <w:p w14:paraId="6D71D7A2" w14:textId="77777777" w:rsidR="0071133F" w:rsidRDefault="0071133F" w:rsidP="00731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884"/>
    <w:multiLevelType w:val="hybridMultilevel"/>
    <w:tmpl w:val="9A74E696"/>
    <w:lvl w:ilvl="0" w:tplc="725A7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D547A"/>
    <w:multiLevelType w:val="hybridMultilevel"/>
    <w:tmpl w:val="1DD015A0"/>
    <w:lvl w:ilvl="0" w:tplc="7688C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AF41D5"/>
    <w:multiLevelType w:val="hybridMultilevel"/>
    <w:tmpl w:val="923225A2"/>
    <w:lvl w:ilvl="0" w:tplc="A0788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60622"/>
    <w:multiLevelType w:val="hybridMultilevel"/>
    <w:tmpl w:val="E50244E4"/>
    <w:lvl w:ilvl="0" w:tplc="61846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57"/>
    <w:rsid w:val="00024C85"/>
    <w:rsid w:val="000252EF"/>
    <w:rsid w:val="00053B69"/>
    <w:rsid w:val="00057CDD"/>
    <w:rsid w:val="00057F80"/>
    <w:rsid w:val="00077F0C"/>
    <w:rsid w:val="0008082B"/>
    <w:rsid w:val="0008226F"/>
    <w:rsid w:val="00083881"/>
    <w:rsid w:val="00093589"/>
    <w:rsid w:val="000A70C4"/>
    <w:rsid w:val="000B1443"/>
    <w:rsid w:val="000B6C34"/>
    <w:rsid w:val="00100E2E"/>
    <w:rsid w:val="00132F37"/>
    <w:rsid w:val="00157C86"/>
    <w:rsid w:val="001644C1"/>
    <w:rsid w:val="00166C9F"/>
    <w:rsid w:val="0017081C"/>
    <w:rsid w:val="0017592F"/>
    <w:rsid w:val="00177084"/>
    <w:rsid w:val="0018314B"/>
    <w:rsid w:val="00190D1F"/>
    <w:rsid w:val="001B2734"/>
    <w:rsid w:val="001C18C1"/>
    <w:rsid w:val="001C2B60"/>
    <w:rsid w:val="001C2FAB"/>
    <w:rsid w:val="001C5FD8"/>
    <w:rsid w:val="001C6FE9"/>
    <w:rsid w:val="001D6874"/>
    <w:rsid w:val="001D76E9"/>
    <w:rsid w:val="001E2572"/>
    <w:rsid w:val="001E4A20"/>
    <w:rsid w:val="001E69C6"/>
    <w:rsid w:val="001F5957"/>
    <w:rsid w:val="00205961"/>
    <w:rsid w:val="00205E65"/>
    <w:rsid w:val="002076B1"/>
    <w:rsid w:val="00230A02"/>
    <w:rsid w:val="00256626"/>
    <w:rsid w:val="002666ED"/>
    <w:rsid w:val="002856B1"/>
    <w:rsid w:val="00291373"/>
    <w:rsid w:val="002C45B5"/>
    <w:rsid w:val="002E3352"/>
    <w:rsid w:val="002F1FAF"/>
    <w:rsid w:val="002F20C9"/>
    <w:rsid w:val="00327A11"/>
    <w:rsid w:val="00327E78"/>
    <w:rsid w:val="0033499F"/>
    <w:rsid w:val="003359D4"/>
    <w:rsid w:val="00335DDB"/>
    <w:rsid w:val="003366F3"/>
    <w:rsid w:val="0034362A"/>
    <w:rsid w:val="003606EB"/>
    <w:rsid w:val="003A488C"/>
    <w:rsid w:val="003B20B3"/>
    <w:rsid w:val="003B4181"/>
    <w:rsid w:val="003E21D5"/>
    <w:rsid w:val="004001E2"/>
    <w:rsid w:val="00411521"/>
    <w:rsid w:val="004115D3"/>
    <w:rsid w:val="0041383A"/>
    <w:rsid w:val="00420385"/>
    <w:rsid w:val="0043566C"/>
    <w:rsid w:val="00446646"/>
    <w:rsid w:val="0045279D"/>
    <w:rsid w:val="00454EB0"/>
    <w:rsid w:val="0046381D"/>
    <w:rsid w:val="004641CD"/>
    <w:rsid w:val="00466A41"/>
    <w:rsid w:val="00471C72"/>
    <w:rsid w:val="00475B14"/>
    <w:rsid w:val="00475B94"/>
    <w:rsid w:val="004805D8"/>
    <w:rsid w:val="0048231B"/>
    <w:rsid w:val="004A128D"/>
    <w:rsid w:val="004C2656"/>
    <w:rsid w:val="004F0755"/>
    <w:rsid w:val="00517682"/>
    <w:rsid w:val="00522FD7"/>
    <w:rsid w:val="005828F5"/>
    <w:rsid w:val="00584ACC"/>
    <w:rsid w:val="0058609F"/>
    <w:rsid w:val="005875DB"/>
    <w:rsid w:val="005B1569"/>
    <w:rsid w:val="005B3619"/>
    <w:rsid w:val="005C217B"/>
    <w:rsid w:val="005C5492"/>
    <w:rsid w:val="005D21A6"/>
    <w:rsid w:val="005D2D22"/>
    <w:rsid w:val="005D6ED3"/>
    <w:rsid w:val="005E6731"/>
    <w:rsid w:val="005F228A"/>
    <w:rsid w:val="005F6605"/>
    <w:rsid w:val="00605BD8"/>
    <w:rsid w:val="00630DE4"/>
    <w:rsid w:val="00651456"/>
    <w:rsid w:val="00671D5B"/>
    <w:rsid w:val="0067704A"/>
    <w:rsid w:val="006A1AC9"/>
    <w:rsid w:val="006A4E78"/>
    <w:rsid w:val="006B1550"/>
    <w:rsid w:val="006B5C2C"/>
    <w:rsid w:val="006C2D83"/>
    <w:rsid w:val="006C48A3"/>
    <w:rsid w:val="006D0E2B"/>
    <w:rsid w:val="006D3B87"/>
    <w:rsid w:val="006E021B"/>
    <w:rsid w:val="006E5388"/>
    <w:rsid w:val="006F0CC8"/>
    <w:rsid w:val="00703462"/>
    <w:rsid w:val="0071133F"/>
    <w:rsid w:val="007222A0"/>
    <w:rsid w:val="0073147E"/>
    <w:rsid w:val="007323C5"/>
    <w:rsid w:val="007330D2"/>
    <w:rsid w:val="00746D70"/>
    <w:rsid w:val="007500F3"/>
    <w:rsid w:val="00753D29"/>
    <w:rsid w:val="0076466B"/>
    <w:rsid w:val="0077023B"/>
    <w:rsid w:val="007849D5"/>
    <w:rsid w:val="00785812"/>
    <w:rsid w:val="00786F96"/>
    <w:rsid w:val="007A1848"/>
    <w:rsid w:val="007A451B"/>
    <w:rsid w:val="007A7749"/>
    <w:rsid w:val="007B0383"/>
    <w:rsid w:val="007B641B"/>
    <w:rsid w:val="007C0997"/>
    <w:rsid w:val="007C4E03"/>
    <w:rsid w:val="007D19AE"/>
    <w:rsid w:val="00800DB4"/>
    <w:rsid w:val="008478CE"/>
    <w:rsid w:val="00852B15"/>
    <w:rsid w:val="0087631E"/>
    <w:rsid w:val="00882281"/>
    <w:rsid w:val="00894A90"/>
    <w:rsid w:val="00897750"/>
    <w:rsid w:val="008A127E"/>
    <w:rsid w:val="008C7C22"/>
    <w:rsid w:val="008D1599"/>
    <w:rsid w:val="008D53F6"/>
    <w:rsid w:val="008D59B7"/>
    <w:rsid w:val="008F1229"/>
    <w:rsid w:val="008F176A"/>
    <w:rsid w:val="008F554B"/>
    <w:rsid w:val="00902BB4"/>
    <w:rsid w:val="009077A0"/>
    <w:rsid w:val="00910B2B"/>
    <w:rsid w:val="00916C1C"/>
    <w:rsid w:val="00920809"/>
    <w:rsid w:val="00922525"/>
    <w:rsid w:val="009245E2"/>
    <w:rsid w:val="00930CC8"/>
    <w:rsid w:val="00932227"/>
    <w:rsid w:val="009562AB"/>
    <w:rsid w:val="00956334"/>
    <w:rsid w:val="00966CA1"/>
    <w:rsid w:val="00966FEC"/>
    <w:rsid w:val="00974B1B"/>
    <w:rsid w:val="009851B9"/>
    <w:rsid w:val="00986E54"/>
    <w:rsid w:val="00990A26"/>
    <w:rsid w:val="009A42F4"/>
    <w:rsid w:val="009A6668"/>
    <w:rsid w:val="009D4F31"/>
    <w:rsid w:val="009E4119"/>
    <w:rsid w:val="009E51DA"/>
    <w:rsid w:val="009E5768"/>
    <w:rsid w:val="009F31AF"/>
    <w:rsid w:val="00A01E58"/>
    <w:rsid w:val="00A03426"/>
    <w:rsid w:val="00A057C0"/>
    <w:rsid w:val="00A1116C"/>
    <w:rsid w:val="00A27E6F"/>
    <w:rsid w:val="00A47ACB"/>
    <w:rsid w:val="00A93245"/>
    <w:rsid w:val="00A95577"/>
    <w:rsid w:val="00AC73B2"/>
    <w:rsid w:val="00AF266E"/>
    <w:rsid w:val="00B0707D"/>
    <w:rsid w:val="00B10265"/>
    <w:rsid w:val="00B243B8"/>
    <w:rsid w:val="00B31134"/>
    <w:rsid w:val="00B33BBB"/>
    <w:rsid w:val="00B36F2E"/>
    <w:rsid w:val="00B50621"/>
    <w:rsid w:val="00B5520D"/>
    <w:rsid w:val="00B66E13"/>
    <w:rsid w:val="00B70120"/>
    <w:rsid w:val="00B86BA6"/>
    <w:rsid w:val="00B926F9"/>
    <w:rsid w:val="00BA3815"/>
    <w:rsid w:val="00BA4F95"/>
    <w:rsid w:val="00BB049B"/>
    <w:rsid w:val="00BC0563"/>
    <w:rsid w:val="00BC2533"/>
    <w:rsid w:val="00BC3365"/>
    <w:rsid w:val="00BD5E0F"/>
    <w:rsid w:val="00BE7393"/>
    <w:rsid w:val="00BF54FF"/>
    <w:rsid w:val="00C0606C"/>
    <w:rsid w:val="00C347AB"/>
    <w:rsid w:val="00C5477A"/>
    <w:rsid w:val="00C63121"/>
    <w:rsid w:val="00C6397E"/>
    <w:rsid w:val="00C82307"/>
    <w:rsid w:val="00C8666B"/>
    <w:rsid w:val="00C964A5"/>
    <w:rsid w:val="00CA17E4"/>
    <w:rsid w:val="00CB7F83"/>
    <w:rsid w:val="00CC22C1"/>
    <w:rsid w:val="00CC3146"/>
    <w:rsid w:val="00CE2D11"/>
    <w:rsid w:val="00CE34CA"/>
    <w:rsid w:val="00CE4754"/>
    <w:rsid w:val="00CE7BD0"/>
    <w:rsid w:val="00CF2069"/>
    <w:rsid w:val="00D340B5"/>
    <w:rsid w:val="00D37EC7"/>
    <w:rsid w:val="00D57A3F"/>
    <w:rsid w:val="00D94A3D"/>
    <w:rsid w:val="00DA1EF2"/>
    <w:rsid w:val="00DB6CB8"/>
    <w:rsid w:val="00DC2812"/>
    <w:rsid w:val="00DC352E"/>
    <w:rsid w:val="00DC767A"/>
    <w:rsid w:val="00E04D5A"/>
    <w:rsid w:val="00E156CF"/>
    <w:rsid w:val="00E23AF5"/>
    <w:rsid w:val="00E32107"/>
    <w:rsid w:val="00E35958"/>
    <w:rsid w:val="00E40DCC"/>
    <w:rsid w:val="00E41BBD"/>
    <w:rsid w:val="00E507A3"/>
    <w:rsid w:val="00E5344D"/>
    <w:rsid w:val="00E53C69"/>
    <w:rsid w:val="00E54889"/>
    <w:rsid w:val="00E60FBD"/>
    <w:rsid w:val="00E651A3"/>
    <w:rsid w:val="00E6673D"/>
    <w:rsid w:val="00E75F1E"/>
    <w:rsid w:val="00E82496"/>
    <w:rsid w:val="00E917DA"/>
    <w:rsid w:val="00E97938"/>
    <w:rsid w:val="00EA666E"/>
    <w:rsid w:val="00EB1658"/>
    <w:rsid w:val="00EB6D32"/>
    <w:rsid w:val="00EC432F"/>
    <w:rsid w:val="00EC67E8"/>
    <w:rsid w:val="00ED4C71"/>
    <w:rsid w:val="00EE2324"/>
    <w:rsid w:val="00F10731"/>
    <w:rsid w:val="00F16864"/>
    <w:rsid w:val="00F26B43"/>
    <w:rsid w:val="00F308F3"/>
    <w:rsid w:val="00F3263B"/>
    <w:rsid w:val="00F33F13"/>
    <w:rsid w:val="00F4039E"/>
    <w:rsid w:val="00F40DB1"/>
    <w:rsid w:val="00F46FA3"/>
    <w:rsid w:val="00F74632"/>
    <w:rsid w:val="00F84A86"/>
    <w:rsid w:val="00F9066F"/>
    <w:rsid w:val="00F93268"/>
    <w:rsid w:val="00FA1D16"/>
    <w:rsid w:val="00FA1DA4"/>
    <w:rsid w:val="00FA5249"/>
    <w:rsid w:val="00FA7314"/>
    <w:rsid w:val="00FC2F63"/>
    <w:rsid w:val="00FC3870"/>
    <w:rsid w:val="00FC5295"/>
    <w:rsid w:val="00FC620B"/>
    <w:rsid w:val="00FC746E"/>
    <w:rsid w:val="00FE02B4"/>
    <w:rsid w:val="00FE532A"/>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EE4F"/>
  <w15:chartTrackingRefBased/>
  <w15:docId w15:val="{40E5A221-2033-4868-BC46-DDB5791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A6"/>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14"/>
    <w:pPr>
      <w:ind w:left="720"/>
      <w:contextualSpacing/>
    </w:pPr>
  </w:style>
  <w:style w:type="paragraph" w:styleId="Header">
    <w:name w:val="header"/>
    <w:basedOn w:val="Normal"/>
    <w:link w:val="HeaderChar"/>
    <w:uiPriority w:val="99"/>
    <w:unhideWhenUsed/>
    <w:rsid w:val="00731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7E"/>
  </w:style>
  <w:style w:type="paragraph" w:styleId="Footer">
    <w:name w:val="footer"/>
    <w:basedOn w:val="Normal"/>
    <w:link w:val="FooterChar"/>
    <w:uiPriority w:val="99"/>
    <w:unhideWhenUsed/>
    <w:rsid w:val="00731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7E"/>
  </w:style>
  <w:style w:type="paragraph" w:styleId="BodyText">
    <w:name w:val="Body Text"/>
    <w:basedOn w:val="Normal"/>
    <w:link w:val="BodyTextChar"/>
    <w:uiPriority w:val="99"/>
    <w:unhideWhenUsed/>
    <w:rsid w:val="0076466B"/>
    <w:pPr>
      <w:spacing w:after="0" w:line="360" w:lineRule="auto"/>
      <w:jc w:val="both"/>
    </w:pPr>
    <w:rPr>
      <w:rFonts w:ascii="Times New Roman" w:hAnsi="Times New Roman" w:cs="Times New Roman"/>
      <w:sz w:val="28"/>
      <w:szCs w:val="28"/>
      <w:lang w:val="en-ZA"/>
    </w:rPr>
  </w:style>
  <w:style w:type="character" w:customStyle="1" w:styleId="BodyTextChar">
    <w:name w:val="Body Text Char"/>
    <w:basedOn w:val="DefaultParagraphFont"/>
    <w:link w:val="BodyText"/>
    <w:uiPriority w:val="99"/>
    <w:rsid w:val="0076466B"/>
    <w:rPr>
      <w:rFonts w:ascii="Times New Roman" w:hAnsi="Times New Roman" w:cs="Times New Roman"/>
      <w:sz w:val="28"/>
      <w:szCs w:val="28"/>
      <w:lang w:val="en-ZA"/>
    </w:rPr>
  </w:style>
  <w:style w:type="paragraph" w:styleId="BodyText2">
    <w:name w:val="Body Text 2"/>
    <w:basedOn w:val="Normal"/>
    <w:link w:val="BodyText2Char"/>
    <w:uiPriority w:val="99"/>
    <w:unhideWhenUsed/>
    <w:rsid w:val="005D21A6"/>
    <w:pPr>
      <w:spacing w:after="0" w:line="360" w:lineRule="auto"/>
      <w:jc w:val="both"/>
    </w:pPr>
    <w:rPr>
      <w:rFonts w:ascii="Times New Roman" w:hAnsi="Times New Roman" w:cs="Times New Roman"/>
      <w:i/>
      <w:iCs/>
      <w:sz w:val="28"/>
      <w:szCs w:val="28"/>
      <w:lang w:val="en-ZA"/>
    </w:rPr>
  </w:style>
  <w:style w:type="character" w:customStyle="1" w:styleId="BodyText2Char">
    <w:name w:val="Body Text 2 Char"/>
    <w:basedOn w:val="DefaultParagraphFont"/>
    <w:link w:val="BodyText2"/>
    <w:uiPriority w:val="99"/>
    <w:rsid w:val="005D21A6"/>
    <w:rPr>
      <w:rFonts w:ascii="Times New Roman" w:hAnsi="Times New Roman" w:cs="Times New Roman"/>
      <w:i/>
      <w:iCs/>
      <w:sz w:val="28"/>
      <w:szCs w:val="28"/>
      <w:lang w:val="en-ZA"/>
    </w:rPr>
  </w:style>
  <w:style w:type="character" w:customStyle="1" w:styleId="Heading1Char">
    <w:name w:val="Heading 1 Char"/>
    <w:basedOn w:val="DefaultParagraphFont"/>
    <w:link w:val="Heading1"/>
    <w:uiPriority w:val="9"/>
    <w:rsid w:val="005D21A6"/>
    <w:rPr>
      <w:rFonts w:ascii="Times New Roman" w:hAnsi="Times New Roman" w:cs="Times New Roman"/>
      <w:b/>
      <w:bCs/>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dcterms:created xsi:type="dcterms:W3CDTF">2022-08-17T12:31:00Z</dcterms:created>
  <dcterms:modified xsi:type="dcterms:W3CDTF">2022-08-17T12:48:00Z</dcterms:modified>
</cp:coreProperties>
</file>