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5435" w14:textId="68D88166" w:rsidR="00956CF3" w:rsidRDefault="00956CF3" w:rsidP="00660995">
      <w:pPr>
        <w:spacing w:after="0" w:line="360" w:lineRule="auto"/>
        <w:jc w:val="center"/>
        <w:rPr>
          <w:rFonts w:ascii="Times New Roman" w:hAnsi="Times New Roman" w:cs="Times New Roman"/>
          <w:b/>
          <w:bCs/>
          <w:sz w:val="28"/>
          <w:szCs w:val="28"/>
          <w:u w:val="single"/>
          <w:lang w:val="en-ZA"/>
        </w:rPr>
      </w:pPr>
    </w:p>
    <w:p w14:paraId="54E90E81" w14:textId="0BDE4CA6" w:rsidR="00134E2F" w:rsidRDefault="00134E2F" w:rsidP="00660995">
      <w:pPr>
        <w:spacing w:after="0" w:line="360" w:lineRule="auto"/>
        <w:jc w:val="center"/>
        <w:rPr>
          <w:rFonts w:ascii="Times New Roman" w:hAnsi="Times New Roman" w:cs="Times New Roman"/>
          <w:b/>
          <w:bCs/>
          <w:sz w:val="28"/>
          <w:szCs w:val="28"/>
          <w:u w:val="single"/>
          <w:lang w:val="en-ZA"/>
        </w:rPr>
      </w:pPr>
    </w:p>
    <w:p w14:paraId="6A2F315A" w14:textId="77777777" w:rsidR="00134E2F" w:rsidRDefault="00134E2F" w:rsidP="00660995">
      <w:pPr>
        <w:spacing w:after="0" w:line="360" w:lineRule="auto"/>
        <w:jc w:val="center"/>
        <w:rPr>
          <w:rFonts w:ascii="Times New Roman" w:hAnsi="Times New Roman" w:cs="Times New Roman"/>
          <w:b/>
          <w:bCs/>
          <w:sz w:val="28"/>
          <w:szCs w:val="28"/>
          <w:u w:val="single"/>
          <w:lang w:val="en-ZA"/>
        </w:rPr>
      </w:pPr>
    </w:p>
    <w:p w14:paraId="5EE229DC" w14:textId="256CD449" w:rsidR="00956CF3" w:rsidRDefault="00956CF3" w:rsidP="00660995">
      <w:pPr>
        <w:spacing w:after="0" w:line="360" w:lineRule="auto"/>
        <w:jc w:val="center"/>
        <w:rPr>
          <w:rFonts w:ascii="Times New Roman" w:hAnsi="Times New Roman" w:cs="Times New Roman"/>
          <w:b/>
          <w:bCs/>
          <w:sz w:val="28"/>
          <w:szCs w:val="28"/>
          <w:u w:val="single"/>
          <w:lang w:val="en-ZA"/>
        </w:rPr>
      </w:pPr>
    </w:p>
    <w:p w14:paraId="5B18B58E" w14:textId="220D1B2F" w:rsidR="00956CF3" w:rsidRDefault="00956CF3" w:rsidP="00A35E77">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6BD89FAE" w14:textId="5BBD3A35" w:rsidR="00956CF3" w:rsidRDefault="00956CF3" w:rsidP="00A35E77">
      <w:pPr>
        <w:spacing w:after="0" w:line="24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056EE93C" w14:textId="7F250DEA" w:rsidR="00956CF3" w:rsidRDefault="00956CF3" w:rsidP="00A35E77">
      <w:pPr>
        <w:spacing w:after="0" w:line="240" w:lineRule="auto"/>
        <w:jc w:val="both"/>
        <w:rPr>
          <w:rFonts w:ascii="Times New Roman" w:hAnsi="Times New Roman" w:cs="Times New Roman"/>
          <w:b/>
          <w:bCs/>
          <w:sz w:val="28"/>
          <w:szCs w:val="28"/>
          <w:lang w:val="en-ZA"/>
        </w:rPr>
      </w:pPr>
    </w:p>
    <w:p w14:paraId="4B93C112" w14:textId="20821BAF" w:rsidR="00956CF3" w:rsidRDefault="00956CF3"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CCA/0005/2021</w:t>
      </w:r>
    </w:p>
    <w:p w14:paraId="1C945CF9" w14:textId="02BF8EBB" w:rsidR="00956CF3" w:rsidRDefault="00956CF3" w:rsidP="00A35E77">
      <w:pPr>
        <w:spacing w:after="0" w:line="240" w:lineRule="auto"/>
        <w:jc w:val="both"/>
        <w:rPr>
          <w:rFonts w:ascii="Times New Roman" w:hAnsi="Times New Roman" w:cs="Times New Roman"/>
          <w:b/>
          <w:bCs/>
          <w:sz w:val="28"/>
          <w:szCs w:val="28"/>
          <w:lang w:val="en-ZA"/>
        </w:rPr>
      </w:pPr>
    </w:p>
    <w:p w14:paraId="09D36059" w14:textId="724484D7" w:rsidR="00956CF3" w:rsidRDefault="00956CF3" w:rsidP="00A35E77">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49A93167" w14:textId="7AD91BA6" w:rsidR="00956CF3" w:rsidRDefault="00956CF3" w:rsidP="00A35E77">
      <w:pPr>
        <w:spacing w:after="0" w:line="240" w:lineRule="auto"/>
        <w:jc w:val="both"/>
        <w:rPr>
          <w:rFonts w:ascii="Times New Roman" w:hAnsi="Times New Roman" w:cs="Times New Roman"/>
          <w:sz w:val="28"/>
          <w:szCs w:val="28"/>
          <w:lang w:val="en-ZA"/>
        </w:rPr>
      </w:pPr>
    </w:p>
    <w:p w14:paraId="7606AA55" w14:textId="5E6D41CC" w:rsidR="00956CF3" w:rsidRDefault="00956CF3"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NTHOATENG KHITIONE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956CF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59F5B06A" w14:textId="5227DD9A" w:rsidR="00956CF3" w:rsidRDefault="00956CF3"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MAMAHALI MAKHOTLA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956CF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5B60C67A" w14:textId="406DDF9A" w:rsidR="00956CF3" w:rsidRDefault="00956CF3"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MASEIPONE THAMAE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956CF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APPLICANT</w:t>
      </w:r>
    </w:p>
    <w:p w14:paraId="559725AE" w14:textId="20218166" w:rsidR="00956CF3" w:rsidRDefault="00956CF3"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PITSO MASILONYANE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956CF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2566CF1D" w14:textId="1858C245" w:rsidR="00956CF3" w:rsidRDefault="00FF24AB"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MASENEKANE TŠIU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FF24A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61C05011" w14:textId="441297DD" w:rsidR="00FF24AB" w:rsidRDefault="00FF24AB"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MOOKAMELI RAMAKAU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FF24A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3578FD1D" w14:textId="3DCEDD75" w:rsidR="00FF24AB" w:rsidRDefault="00FF24AB"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MATHAPELO RAMAKAU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FF24A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7E9BF8FC" w14:textId="6AEDBF40" w:rsidR="00FF24AB" w:rsidRDefault="00FF24AB"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TŠOTLEHO NTŠOEU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FF24A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6E0503D7" w14:textId="5171541A" w:rsidR="00FF24AB" w:rsidRDefault="00FF24AB" w:rsidP="00A35E77">
      <w:pPr>
        <w:spacing w:after="0" w:line="240" w:lineRule="auto"/>
        <w:jc w:val="both"/>
        <w:rPr>
          <w:rFonts w:ascii="Times New Roman" w:hAnsi="Times New Roman" w:cs="Times New Roman"/>
          <w:b/>
          <w:bCs/>
          <w:sz w:val="28"/>
          <w:szCs w:val="28"/>
          <w:lang w:val="en-ZA"/>
        </w:rPr>
      </w:pPr>
    </w:p>
    <w:p w14:paraId="03B4532C" w14:textId="1063F687" w:rsidR="00FF24AB" w:rsidRDefault="00FF24AB"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65F543C0" w14:textId="0D350B1F" w:rsidR="00FF24AB" w:rsidRDefault="00FF24AB" w:rsidP="00A35E77">
      <w:pPr>
        <w:spacing w:after="0" w:line="240" w:lineRule="auto"/>
        <w:jc w:val="both"/>
        <w:rPr>
          <w:rFonts w:ascii="Times New Roman" w:hAnsi="Times New Roman" w:cs="Times New Roman"/>
          <w:b/>
          <w:bCs/>
          <w:sz w:val="28"/>
          <w:szCs w:val="28"/>
          <w:lang w:val="en-ZA"/>
        </w:rPr>
      </w:pPr>
    </w:p>
    <w:p w14:paraId="46F86D18" w14:textId="2BA6BCF6" w:rsidR="00FF24AB" w:rsidRDefault="00FF24AB"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BOTANICAL OILS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FF24AB">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4829BD69" w14:textId="77777777"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COMMISSIONER OF LANDS AND</w:t>
      </w:r>
    </w:p>
    <w:p w14:paraId="36AC0142" w14:textId="7EF15371"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ADMINISTRATION AUTHORITY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134E2F">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0B1B252B" w14:textId="1CF9C9D5"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REGISTRAR GENERAL DEEDS REGISTRY</w:t>
      </w:r>
    </w:p>
    <w:p w14:paraId="35C0B1A4" w14:textId="53E6572B"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LAW OFFICE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134E2F">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46AAE8DC" w14:textId="58ADF6F4"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MOHLAKENG A05 COMMUNITY COUNCIL</w:t>
      </w:r>
      <w:r>
        <w:rPr>
          <w:rFonts w:ascii="Times New Roman" w:hAnsi="Times New Roman" w:cs="Times New Roman"/>
          <w:b/>
          <w:bCs/>
          <w:sz w:val="28"/>
          <w:szCs w:val="28"/>
          <w:lang w:val="en-ZA"/>
        </w:rPr>
        <w:tab/>
        <w:t>4</w:t>
      </w:r>
      <w:r w:rsidRPr="00134E2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4E7C9E8" w14:textId="0C6DCB08"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MINISTRY OF LOCAL GOVERNMENT AND</w:t>
      </w:r>
    </w:p>
    <w:p w14:paraId="6B12BBDC" w14:textId="7CB36DC9"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CHIEFTAINSHIP AFFAIRS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134E2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A87A591" w14:textId="43B79EE2" w:rsidR="00134E2F" w:rsidRDefault="00134E2F" w:rsidP="00A35E7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134E2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657183E" w14:textId="064A020E" w:rsidR="00A35E77" w:rsidRDefault="00A35E77" w:rsidP="00A35E77">
      <w:pPr>
        <w:spacing w:after="0" w:line="240" w:lineRule="auto"/>
        <w:jc w:val="both"/>
        <w:rPr>
          <w:rFonts w:ascii="Times New Roman" w:hAnsi="Times New Roman" w:cs="Times New Roman"/>
          <w:b/>
          <w:bCs/>
          <w:sz w:val="28"/>
          <w:szCs w:val="28"/>
          <w:lang w:val="en-ZA"/>
        </w:rPr>
      </w:pPr>
    </w:p>
    <w:p w14:paraId="603D8C8E" w14:textId="344609A4" w:rsidR="00A35E77" w:rsidRDefault="00A35E77" w:rsidP="00A35E77">
      <w:pPr>
        <w:spacing w:after="0" w:line="240" w:lineRule="auto"/>
        <w:jc w:val="both"/>
        <w:rPr>
          <w:rFonts w:ascii="Times New Roman" w:hAnsi="Times New Roman" w:cs="Times New Roman"/>
          <w:b/>
          <w:bCs/>
          <w:sz w:val="28"/>
          <w:szCs w:val="28"/>
          <w:lang w:val="en-ZA"/>
        </w:rPr>
      </w:pPr>
    </w:p>
    <w:p w14:paraId="7DEC9B30" w14:textId="189DE41E" w:rsidR="00A35E77" w:rsidRPr="00A35E77" w:rsidRDefault="00A35E77" w:rsidP="00A35E77">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ab/>
      </w:r>
      <w:proofErr w:type="spellStart"/>
      <w:r>
        <w:rPr>
          <w:rFonts w:ascii="Times New Roman" w:hAnsi="Times New Roman" w:cs="Times New Roman"/>
          <w:sz w:val="28"/>
          <w:szCs w:val="28"/>
          <w:lang w:val="en-ZA"/>
        </w:rPr>
        <w:t>Nthoateng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Khitione</w:t>
      </w:r>
      <w:proofErr w:type="spellEnd"/>
      <w:r>
        <w:rPr>
          <w:rFonts w:ascii="Times New Roman" w:hAnsi="Times New Roman" w:cs="Times New Roman"/>
          <w:sz w:val="28"/>
          <w:szCs w:val="28"/>
          <w:lang w:val="en-ZA"/>
        </w:rPr>
        <w:t xml:space="preserve"> &amp; </w:t>
      </w:r>
      <w:r w:rsidR="00AB4ACA">
        <w:rPr>
          <w:rFonts w:ascii="Times New Roman" w:hAnsi="Times New Roman" w:cs="Times New Roman"/>
          <w:sz w:val="28"/>
          <w:szCs w:val="28"/>
          <w:lang w:val="en-ZA"/>
        </w:rPr>
        <w:t>O</w:t>
      </w:r>
      <w:r>
        <w:rPr>
          <w:rFonts w:ascii="Times New Roman" w:hAnsi="Times New Roman" w:cs="Times New Roman"/>
          <w:sz w:val="28"/>
          <w:szCs w:val="28"/>
          <w:lang w:val="en-ZA"/>
        </w:rPr>
        <w:t xml:space="preserve">thers v Botanical Oils (Pty) Ltd &amp; </w:t>
      </w:r>
      <w:r w:rsidR="00AB4ACA">
        <w:rPr>
          <w:rFonts w:ascii="Times New Roman" w:hAnsi="Times New Roman" w:cs="Times New Roman"/>
          <w:sz w:val="28"/>
          <w:szCs w:val="28"/>
          <w:lang w:val="en-ZA"/>
        </w:rPr>
        <w:t>O</w:t>
      </w:r>
      <w:r>
        <w:rPr>
          <w:rFonts w:ascii="Times New Roman" w:hAnsi="Times New Roman" w:cs="Times New Roman"/>
          <w:sz w:val="28"/>
          <w:szCs w:val="28"/>
          <w:lang w:val="en-ZA"/>
        </w:rPr>
        <w:t xml:space="preserve">thers [2022] LSHC </w:t>
      </w:r>
      <w:r w:rsidR="00F56163">
        <w:rPr>
          <w:rFonts w:ascii="Times New Roman" w:hAnsi="Times New Roman" w:cs="Times New Roman"/>
          <w:sz w:val="28"/>
          <w:szCs w:val="28"/>
          <w:lang w:val="en-ZA"/>
        </w:rPr>
        <w:t>166</w:t>
      </w:r>
      <w:r>
        <w:rPr>
          <w:rFonts w:ascii="Times New Roman" w:hAnsi="Times New Roman" w:cs="Times New Roman"/>
          <w:sz w:val="28"/>
          <w:szCs w:val="28"/>
          <w:lang w:val="en-ZA"/>
        </w:rPr>
        <w:t xml:space="preserve"> Comm. (</w:t>
      </w:r>
      <w:r w:rsidR="00AB4ACA">
        <w:rPr>
          <w:rFonts w:ascii="Times New Roman" w:hAnsi="Times New Roman" w:cs="Times New Roman"/>
          <w:sz w:val="28"/>
          <w:szCs w:val="28"/>
          <w:lang w:val="en-ZA"/>
        </w:rPr>
        <w:t xml:space="preserve">18 AUGUST </w:t>
      </w:r>
      <w:r>
        <w:rPr>
          <w:rFonts w:ascii="Times New Roman" w:hAnsi="Times New Roman" w:cs="Times New Roman"/>
          <w:sz w:val="28"/>
          <w:szCs w:val="28"/>
          <w:lang w:val="en-ZA"/>
        </w:rPr>
        <w:t>2022)</w:t>
      </w:r>
    </w:p>
    <w:p w14:paraId="0F060503" w14:textId="63AFD48D" w:rsidR="00A35E77" w:rsidRDefault="00A35E77" w:rsidP="00956CF3">
      <w:pPr>
        <w:spacing w:after="0" w:line="360" w:lineRule="auto"/>
        <w:jc w:val="both"/>
        <w:rPr>
          <w:rFonts w:ascii="Times New Roman" w:hAnsi="Times New Roman" w:cs="Times New Roman"/>
          <w:b/>
          <w:bCs/>
          <w:sz w:val="28"/>
          <w:szCs w:val="28"/>
          <w:lang w:val="en-ZA"/>
        </w:rPr>
      </w:pPr>
    </w:p>
    <w:p w14:paraId="6B7A056E" w14:textId="3F63A0D1" w:rsidR="009E3827" w:rsidRDefault="009E3827" w:rsidP="00956CF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 xml:space="preserve">CORAM: </w:t>
      </w:r>
      <w:r w:rsidR="00BA1AD3">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0BB53CFA" w14:textId="422C7A7B" w:rsidR="009E3827" w:rsidRDefault="009E3827" w:rsidP="00956CF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HEARD:</w:t>
      </w:r>
      <w:r w:rsidR="00BA1AD3">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01</w:t>
      </w:r>
      <w:r w:rsidRPr="009E3827">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JUNE 2022</w:t>
      </w:r>
    </w:p>
    <w:p w14:paraId="0124643D" w14:textId="3B328CE7" w:rsidR="009E3827" w:rsidRDefault="009E3827" w:rsidP="00956CF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DELIVERED: </w:t>
      </w:r>
      <w:r w:rsidR="00BA1AD3">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18</w:t>
      </w:r>
      <w:r w:rsidRPr="009E382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AUGUST 2022</w:t>
      </w:r>
    </w:p>
    <w:p w14:paraId="7783D1E3" w14:textId="1717E6F5" w:rsidR="009E3827" w:rsidRDefault="009E3827" w:rsidP="00956CF3">
      <w:pPr>
        <w:spacing w:after="0" w:line="360" w:lineRule="auto"/>
        <w:jc w:val="both"/>
        <w:rPr>
          <w:rFonts w:ascii="Times New Roman" w:hAnsi="Times New Roman" w:cs="Times New Roman"/>
          <w:b/>
          <w:bCs/>
          <w:sz w:val="28"/>
          <w:szCs w:val="28"/>
          <w:lang w:val="en-ZA"/>
        </w:rPr>
      </w:pPr>
    </w:p>
    <w:p w14:paraId="0B03F14A" w14:textId="314C64C6" w:rsidR="009E3827" w:rsidRDefault="009E3827" w:rsidP="00956CF3">
      <w:pPr>
        <w:spacing w:after="0" w:line="360" w:lineRule="auto"/>
        <w:jc w:val="both"/>
        <w:rPr>
          <w:rFonts w:ascii="Times New Roman" w:hAnsi="Times New Roman" w:cs="Times New Roman"/>
          <w:b/>
          <w:bCs/>
          <w:sz w:val="28"/>
          <w:szCs w:val="28"/>
          <w:lang w:val="en-ZA"/>
        </w:rPr>
      </w:pPr>
    </w:p>
    <w:p w14:paraId="5AC2BEF1" w14:textId="7C241A89" w:rsidR="009E3827" w:rsidRDefault="009E3827" w:rsidP="00956CF3">
      <w:pPr>
        <w:spacing w:after="0" w:line="360" w:lineRule="auto"/>
        <w:jc w:val="both"/>
        <w:rPr>
          <w:rFonts w:ascii="Times New Roman" w:hAnsi="Times New Roman" w:cs="Times New Roman"/>
          <w:b/>
          <w:bCs/>
          <w:sz w:val="28"/>
          <w:szCs w:val="28"/>
          <w:lang w:val="en-ZA"/>
        </w:rPr>
      </w:pPr>
    </w:p>
    <w:p w14:paraId="101AE4B2" w14:textId="523720C0" w:rsidR="009E3827" w:rsidRDefault="009E3827" w:rsidP="00956CF3">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9E3827">
        <w:rPr>
          <w:rFonts w:ascii="Times New Roman" w:hAnsi="Times New Roman" w:cs="Times New Roman"/>
          <w:b/>
          <w:bCs/>
          <w:sz w:val="28"/>
          <w:szCs w:val="28"/>
          <w:u w:val="single"/>
          <w:lang w:val="en-ZA"/>
        </w:rPr>
        <w:t>SUMMARY</w:t>
      </w:r>
    </w:p>
    <w:p w14:paraId="27F04D01" w14:textId="1F8C4BC0" w:rsidR="009E3827" w:rsidRPr="00701AB7" w:rsidRDefault="00851210" w:rsidP="00956CF3">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OF PROPERTY- </w:t>
      </w:r>
      <w:r w:rsidRPr="00701AB7">
        <w:rPr>
          <w:rFonts w:ascii="Times New Roman" w:hAnsi="Times New Roman" w:cs="Times New Roman"/>
          <w:i/>
          <w:iCs/>
          <w:sz w:val="28"/>
          <w:szCs w:val="28"/>
          <w:lang w:val="en-ZA"/>
        </w:rPr>
        <w:t>Non-compliance with section 24 of the Deeds Registry Act- Respondent taking occupation of the sub-leased property before consent sought and the sublease agreement being registered- Consequences thereo</w:t>
      </w:r>
      <w:r w:rsidR="00701AB7" w:rsidRPr="00701AB7">
        <w:rPr>
          <w:rFonts w:ascii="Times New Roman" w:hAnsi="Times New Roman" w:cs="Times New Roman"/>
          <w:i/>
          <w:iCs/>
          <w:sz w:val="28"/>
          <w:szCs w:val="28"/>
          <w:lang w:val="en-ZA"/>
        </w:rPr>
        <w:t>f</w:t>
      </w:r>
      <w:r w:rsidRPr="00701AB7">
        <w:rPr>
          <w:rFonts w:ascii="Times New Roman" w:hAnsi="Times New Roman" w:cs="Times New Roman"/>
          <w:i/>
          <w:iCs/>
          <w:sz w:val="28"/>
          <w:szCs w:val="28"/>
          <w:lang w:val="en-ZA"/>
        </w:rPr>
        <w:t>- Sublease agreement</w:t>
      </w:r>
      <w:r w:rsidR="009A6CF0">
        <w:rPr>
          <w:rFonts w:ascii="Times New Roman" w:hAnsi="Times New Roman" w:cs="Times New Roman"/>
          <w:i/>
          <w:iCs/>
          <w:sz w:val="28"/>
          <w:szCs w:val="28"/>
          <w:lang w:val="en-ZA"/>
        </w:rPr>
        <w:t xml:space="preserve">s cancelled </w:t>
      </w:r>
      <w:r w:rsidR="00C76711">
        <w:rPr>
          <w:rFonts w:ascii="Times New Roman" w:hAnsi="Times New Roman" w:cs="Times New Roman"/>
          <w:i/>
          <w:iCs/>
          <w:sz w:val="28"/>
          <w:szCs w:val="28"/>
          <w:lang w:val="en-ZA"/>
        </w:rPr>
        <w:t xml:space="preserve">and </w:t>
      </w:r>
      <w:r w:rsidR="00C76711" w:rsidRPr="00701AB7">
        <w:rPr>
          <w:rFonts w:ascii="Times New Roman" w:hAnsi="Times New Roman" w:cs="Times New Roman"/>
          <w:i/>
          <w:iCs/>
          <w:sz w:val="28"/>
          <w:szCs w:val="28"/>
          <w:lang w:val="en-ZA"/>
        </w:rPr>
        <w:t>declared</w:t>
      </w:r>
      <w:r w:rsidRPr="00701AB7">
        <w:rPr>
          <w:rFonts w:ascii="Times New Roman" w:hAnsi="Times New Roman" w:cs="Times New Roman"/>
          <w:i/>
          <w:iCs/>
          <w:sz w:val="28"/>
          <w:szCs w:val="28"/>
          <w:lang w:val="en-ZA"/>
        </w:rPr>
        <w:t xml:space="preserve"> null and void</w:t>
      </w:r>
    </w:p>
    <w:p w14:paraId="104DFFDD" w14:textId="1B5D85D9" w:rsidR="009E3827" w:rsidRPr="00701AB7" w:rsidRDefault="009E3827" w:rsidP="00956CF3">
      <w:pPr>
        <w:spacing w:after="0" w:line="360" w:lineRule="auto"/>
        <w:jc w:val="both"/>
        <w:rPr>
          <w:rFonts w:ascii="Times New Roman" w:hAnsi="Times New Roman" w:cs="Times New Roman"/>
          <w:i/>
          <w:iCs/>
          <w:sz w:val="28"/>
          <w:szCs w:val="28"/>
          <w:u w:val="single"/>
          <w:lang w:val="en-ZA"/>
        </w:rPr>
      </w:pPr>
    </w:p>
    <w:p w14:paraId="6DE49106" w14:textId="77777777" w:rsidR="009E3827" w:rsidRPr="009E3827" w:rsidRDefault="009E3827" w:rsidP="00956CF3">
      <w:pPr>
        <w:spacing w:after="0" w:line="360" w:lineRule="auto"/>
        <w:jc w:val="both"/>
        <w:rPr>
          <w:rFonts w:ascii="Times New Roman" w:hAnsi="Times New Roman" w:cs="Times New Roman"/>
          <w:b/>
          <w:bCs/>
          <w:sz w:val="28"/>
          <w:szCs w:val="28"/>
          <w:u w:val="single"/>
          <w:lang w:val="en-ZA"/>
        </w:rPr>
      </w:pPr>
    </w:p>
    <w:p w14:paraId="5B5CE2D2" w14:textId="77777777" w:rsidR="00A35E77" w:rsidRDefault="00A35E77" w:rsidP="00956CF3">
      <w:pPr>
        <w:spacing w:after="0" w:line="360" w:lineRule="auto"/>
        <w:jc w:val="both"/>
        <w:rPr>
          <w:rFonts w:ascii="Times New Roman" w:hAnsi="Times New Roman" w:cs="Times New Roman"/>
          <w:b/>
          <w:bCs/>
          <w:sz w:val="28"/>
          <w:szCs w:val="28"/>
          <w:lang w:val="en-ZA"/>
        </w:rPr>
      </w:pPr>
    </w:p>
    <w:p w14:paraId="5A41954C" w14:textId="32E949B7" w:rsidR="00956CF3" w:rsidRDefault="009E3827" w:rsidP="009E382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3ABDC6F9" w14:textId="59F45DC2" w:rsidR="009E3827" w:rsidRDefault="009E3827" w:rsidP="009E382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STATUTES:</w:t>
      </w:r>
    </w:p>
    <w:p w14:paraId="0EBDD3E4" w14:textId="683CE7D5" w:rsidR="009E3827" w:rsidRPr="00A90B17" w:rsidRDefault="00A90B17" w:rsidP="00A90B17">
      <w:pPr>
        <w:pStyle w:val="Heading1"/>
      </w:pPr>
      <w:r w:rsidRPr="00A90B17">
        <w:t>Deeds Registry Act of 1967</w:t>
      </w:r>
    </w:p>
    <w:p w14:paraId="11BE154E" w14:textId="77777777" w:rsidR="009E3827" w:rsidRDefault="009E3827" w:rsidP="009E3827">
      <w:pPr>
        <w:spacing w:after="0" w:line="360" w:lineRule="auto"/>
        <w:jc w:val="both"/>
        <w:rPr>
          <w:rFonts w:ascii="Times New Roman" w:hAnsi="Times New Roman" w:cs="Times New Roman"/>
          <w:b/>
          <w:bCs/>
          <w:sz w:val="28"/>
          <w:szCs w:val="28"/>
          <w:lang w:val="en-ZA"/>
        </w:rPr>
      </w:pPr>
    </w:p>
    <w:p w14:paraId="022554AC" w14:textId="32281559" w:rsidR="00956CF3" w:rsidRDefault="009E3827" w:rsidP="00A90B1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46C7B8F8" w14:textId="770FE06D" w:rsidR="00A90B17" w:rsidRPr="00A90B17" w:rsidRDefault="00A90B17" w:rsidP="00A90B17">
      <w:pPr>
        <w:spacing w:after="0" w:line="360" w:lineRule="auto"/>
        <w:jc w:val="both"/>
        <w:rPr>
          <w:rFonts w:ascii="Times New Roman" w:hAnsi="Times New Roman" w:cs="Times New Roman"/>
          <w:i/>
          <w:iCs/>
          <w:sz w:val="28"/>
          <w:szCs w:val="28"/>
          <w:lang w:val="en-ZA"/>
        </w:rPr>
      </w:pPr>
      <w:r w:rsidRPr="00A90B17">
        <w:rPr>
          <w:rFonts w:ascii="Times New Roman" w:hAnsi="Times New Roman" w:cs="Times New Roman"/>
          <w:i/>
          <w:iCs/>
          <w:sz w:val="28"/>
          <w:szCs w:val="28"/>
          <w:lang w:val="en-ZA"/>
        </w:rPr>
        <w:t>Capitec Bank Holdings Limited and Another v Coral Lagoon Investments 194 (Pty) and other 2022 (1) SA 100 (SCA) (09 July 2021)</w:t>
      </w:r>
    </w:p>
    <w:p w14:paraId="646438FE" w14:textId="6690640E" w:rsidR="00A90B17" w:rsidRPr="00A90B17" w:rsidRDefault="00A90B17" w:rsidP="00A90B17">
      <w:pPr>
        <w:spacing w:after="0" w:line="360" w:lineRule="auto"/>
        <w:jc w:val="both"/>
        <w:rPr>
          <w:rFonts w:ascii="Times New Roman" w:hAnsi="Times New Roman" w:cs="Times New Roman"/>
          <w:i/>
          <w:iCs/>
          <w:sz w:val="28"/>
          <w:szCs w:val="28"/>
          <w:lang w:val="en-ZA"/>
        </w:rPr>
      </w:pPr>
      <w:r w:rsidRPr="00A90B17">
        <w:rPr>
          <w:rFonts w:ascii="Times New Roman" w:hAnsi="Times New Roman" w:cs="Times New Roman"/>
          <w:i/>
          <w:iCs/>
          <w:sz w:val="28"/>
          <w:szCs w:val="28"/>
          <w:lang w:val="en-ZA"/>
        </w:rPr>
        <w:t xml:space="preserve">C &amp; S Properties (Pty) Ltd v </w:t>
      </w:r>
      <w:proofErr w:type="spellStart"/>
      <w:r w:rsidRPr="00A90B17">
        <w:rPr>
          <w:rFonts w:ascii="Times New Roman" w:hAnsi="Times New Roman" w:cs="Times New Roman"/>
          <w:i/>
          <w:iCs/>
          <w:sz w:val="28"/>
          <w:szCs w:val="28"/>
          <w:lang w:val="en-ZA"/>
        </w:rPr>
        <w:t>Khaketla</w:t>
      </w:r>
      <w:proofErr w:type="spellEnd"/>
      <w:r w:rsidRPr="00A90B17">
        <w:rPr>
          <w:rFonts w:ascii="Times New Roman" w:hAnsi="Times New Roman" w:cs="Times New Roman"/>
          <w:i/>
          <w:iCs/>
          <w:sz w:val="28"/>
          <w:szCs w:val="28"/>
          <w:lang w:val="en-ZA"/>
        </w:rPr>
        <w:t xml:space="preserve"> and Others (C of A (CIV) 64/2011) [2012] LSCA 26 (27 April 2012)</w:t>
      </w:r>
    </w:p>
    <w:p w14:paraId="4C5B6A97" w14:textId="7EB9EB80" w:rsidR="00A90B17" w:rsidRDefault="00A90B17" w:rsidP="00A90B17">
      <w:pPr>
        <w:spacing w:after="0" w:line="360" w:lineRule="auto"/>
        <w:jc w:val="both"/>
        <w:rPr>
          <w:rFonts w:ascii="Times New Roman" w:hAnsi="Times New Roman" w:cs="Times New Roman"/>
          <w:i/>
          <w:iCs/>
          <w:sz w:val="28"/>
          <w:szCs w:val="28"/>
          <w:lang w:val="en-ZA"/>
        </w:rPr>
      </w:pPr>
      <w:r w:rsidRPr="00A90B17">
        <w:rPr>
          <w:rFonts w:ascii="Times New Roman" w:hAnsi="Times New Roman" w:cs="Times New Roman"/>
          <w:i/>
          <w:iCs/>
          <w:sz w:val="28"/>
          <w:szCs w:val="28"/>
          <w:lang w:val="en-ZA"/>
        </w:rPr>
        <w:t xml:space="preserve">De </w:t>
      </w:r>
      <w:proofErr w:type="spellStart"/>
      <w:r w:rsidRPr="00A90B17">
        <w:rPr>
          <w:rFonts w:ascii="Times New Roman" w:hAnsi="Times New Roman" w:cs="Times New Roman"/>
          <w:i/>
          <w:iCs/>
          <w:sz w:val="28"/>
          <w:szCs w:val="28"/>
          <w:lang w:val="en-ZA"/>
        </w:rPr>
        <w:t>Reuck</w:t>
      </w:r>
      <w:proofErr w:type="spellEnd"/>
      <w:r w:rsidRPr="00A90B17">
        <w:rPr>
          <w:rFonts w:ascii="Times New Roman" w:hAnsi="Times New Roman" w:cs="Times New Roman"/>
          <w:i/>
          <w:iCs/>
          <w:sz w:val="28"/>
          <w:szCs w:val="28"/>
          <w:lang w:val="en-ZA"/>
        </w:rPr>
        <w:t xml:space="preserve"> v Director of Public Prosecutions (Witwatersrand Local Division) and others 2004 (1) SA 406 (CC)</w:t>
      </w:r>
    </w:p>
    <w:p w14:paraId="3D8C82EA" w14:textId="528716C2" w:rsidR="00862694" w:rsidRPr="00862694" w:rsidRDefault="00862694" w:rsidP="00A90B17">
      <w:pPr>
        <w:spacing w:after="0" w:line="360" w:lineRule="auto"/>
        <w:jc w:val="both"/>
        <w:rPr>
          <w:rFonts w:ascii="Times New Roman" w:hAnsi="Times New Roman" w:cs="Times New Roman"/>
          <w:i/>
          <w:iCs/>
          <w:sz w:val="28"/>
          <w:szCs w:val="28"/>
          <w:lang w:val="en-ZA"/>
        </w:rPr>
      </w:pPr>
      <w:proofErr w:type="spellStart"/>
      <w:r w:rsidRPr="00862694">
        <w:rPr>
          <w:rFonts w:ascii="Times New Roman" w:hAnsi="Times New Roman" w:cs="Times New Roman"/>
          <w:i/>
          <w:iCs/>
          <w:sz w:val="28"/>
          <w:szCs w:val="28"/>
          <w:lang w:val="en-ZA"/>
        </w:rPr>
        <w:t>Heynes</w:t>
      </w:r>
      <w:proofErr w:type="spellEnd"/>
      <w:r w:rsidRPr="00862694">
        <w:rPr>
          <w:rFonts w:ascii="Times New Roman" w:hAnsi="Times New Roman" w:cs="Times New Roman"/>
          <w:i/>
          <w:iCs/>
          <w:sz w:val="28"/>
          <w:szCs w:val="28"/>
          <w:lang w:val="en-ZA"/>
        </w:rPr>
        <w:t xml:space="preserve"> Mathew Ltd v Gibson N.O 1950 (1) SA 13 (CPD)</w:t>
      </w:r>
    </w:p>
    <w:p w14:paraId="0938F8CD" w14:textId="77777777" w:rsidR="00A90B17" w:rsidRPr="00A90B17" w:rsidRDefault="00A90B17" w:rsidP="00A90B17">
      <w:pPr>
        <w:spacing w:after="0" w:line="360" w:lineRule="auto"/>
        <w:jc w:val="both"/>
        <w:rPr>
          <w:rFonts w:ascii="Times New Roman" w:hAnsi="Times New Roman" w:cs="Times New Roman"/>
          <w:i/>
          <w:iCs/>
          <w:sz w:val="28"/>
          <w:szCs w:val="28"/>
          <w:lang w:val="en-ZA"/>
        </w:rPr>
      </w:pPr>
      <w:proofErr w:type="spellStart"/>
      <w:r w:rsidRPr="00A90B17">
        <w:rPr>
          <w:rFonts w:ascii="Times New Roman" w:hAnsi="Times New Roman" w:cs="Times New Roman"/>
          <w:i/>
          <w:iCs/>
          <w:sz w:val="28"/>
          <w:szCs w:val="28"/>
          <w:lang w:val="en-ZA"/>
        </w:rPr>
        <w:lastRenderedPageBreak/>
        <w:t>Molomo</w:t>
      </w:r>
      <w:proofErr w:type="spellEnd"/>
      <w:r w:rsidRPr="00A90B17">
        <w:rPr>
          <w:rFonts w:ascii="Times New Roman" w:hAnsi="Times New Roman" w:cs="Times New Roman"/>
          <w:i/>
          <w:iCs/>
          <w:sz w:val="28"/>
          <w:szCs w:val="28"/>
          <w:lang w:val="en-ZA"/>
        </w:rPr>
        <w:t xml:space="preserve"> Filling Station and Another v Mendi Group (Pty) Ltd and Others C of A (CIV) NO. 83/2019 (dated 30 October 2020).</w:t>
      </w:r>
    </w:p>
    <w:p w14:paraId="1AE17C1C" w14:textId="44F5A93F" w:rsidR="00956CF3" w:rsidRPr="00A90B17" w:rsidRDefault="00A90B17" w:rsidP="00A90B17">
      <w:pPr>
        <w:spacing w:after="0" w:line="360" w:lineRule="auto"/>
        <w:jc w:val="both"/>
        <w:rPr>
          <w:rFonts w:ascii="Times New Roman" w:hAnsi="Times New Roman" w:cs="Times New Roman"/>
          <w:i/>
          <w:iCs/>
          <w:sz w:val="28"/>
          <w:szCs w:val="28"/>
          <w:lang w:val="en-ZA"/>
        </w:rPr>
      </w:pPr>
      <w:r w:rsidRPr="00A90B17">
        <w:rPr>
          <w:rFonts w:ascii="Times New Roman" w:hAnsi="Times New Roman" w:cs="Times New Roman"/>
          <w:i/>
          <w:iCs/>
          <w:sz w:val="28"/>
          <w:szCs w:val="28"/>
          <w:lang w:val="en-ZA"/>
        </w:rPr>
        <w:t xml:space="preserve">Willoughby’s Consolidated Co. Ltd v </w:t>
      </w:r>
      <w:proofErr w:type="spellStart"/>
      <w:r w:rsidRPr="00A90B17">
        <w:rPr>
          <w:rFonts w:ascii="Times New Roman" w:hAnsi="Times New Roman" w:cs="Times New Roman"/>
          <w:i/>
          <w:iCs/>
          <w:sz w:val="28"/>
          <w:szCs w:val="28"/>
          <w:lang w:val="en-ZA"/>
        </w:rPr>
        <w:t>Copthall</w:t>
      </w:r>
      <w:proofErr w:type="spellEnd"/>
      <w:r w:rsidRPr="00A90B17">
        <w:rPr>
          <w:rFonts w:ascii="Times New Roman" w:hAnsi="Times New Roman" w:cs="Times New Roman"/>
          <w:i/>
          <w:iCs/>
          <w:sz w:val="28"/>
          <w:szCs w:val="28"/>
          <w:lang w:val="en-ZA"/>
        </w:rPr>
        <w:t xml:space="preserve"> Stores Ltd 1918 AD 1</w:t>
      </w:r>
    </w:p>
    <w:p w14:paraId="1F6A9F3E" w14:textId="586BE0B1" w:rsidR="00A90B17" w:rsidRPr="00A90B17" w:rsidRDefault="00A90B17" w:rsidP="00A90B17">
      <w:pPr>
        <w:spacing w:after="0" w:line="360" w:lineRule="auto"/>
        <w:jc w:val="both"/>
        <w:rPr>
          <w:rFonts w:ascii="Times New Roman" w:hAnsi="Times New Roman" w:cs="Times New Roman"/>
          <w:i/>
          <w:iCs/>
          <w:sz w:val="28"/>
          <w:szCs w:val="28"/>
          <w:lang w:val="en-ZA"/>
        </w:rPr>
      </w:pPr>
    </w:p>
    <w:p w14:paraId="3D97D7F8" w14:textId="4F26D9FB" w:rsidR="00A90B17" w:rsidRDefault="00A90B17" w:rsidP="00A90B1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20854EA6" w14:textId="21A05400" w:rsidR="00A90B17" w:rsidRPr="00A90B17" w:rsidRDefault="00A90B17" w:rsidP="00A90B17">
      <w:pPr>
        <w:spacing w:after="0" w:line="360" w:lineRule="auto"/>
        <w:jc w:val="both"/>
        <w:rPr>
          <w:rFonts w:ascii="Times New Roman" w:hAnsi="Times New Roman" w:cs="Times New Roman"/>
          <w:b/>
          <w:bCs/>
          <w:sz w:val="28"/>
          <w:szCs w:val="28"/>
          <w:lang w:val="en-ZA"/>
        </w:rPr>
      </w:pPr>
      <w:proofErr w:type="spellStart"/>
      <w:r w:rsidRPr="00A90B17">
        <w:rPr>
          <w:rFonts w:ascii="Times New Roman" w:hAnsi="Times New Roman" w:cs="Times New Roman"/>
          <w:sz w:val="28"/>
          <w:szCs w:val="28"/>
          <w:lang w:val="en-ZA"/>
        </w:rPr>
        <w:t>Badenhorst</w:t>
      </w:r>
      <w:proofErr w:type="spellEnd"/>
      <w:r w:rsidRPr="00A90B17">
        <w:rPr>
          <w:rFonts w:ascii="Times New Roman" w:hAnsi="Times New Roman" w:cs="Times New Roman"/>
          <w:sz w:val="28"/>
          <w:szCs w:val="28"/>
          <w:lang w:val="en-ZA"/>
        </w:rPr>
        <w:t xml:space="preserve"> et al</w:t>
      </w:r>
      <w:r w:rsidRPr="00A90B17">
        <w:rPr>
          <w:rFonts w:ascii="Times New Roman" w:hAnsi="Times New Roman" w:cs="Times New Roman"/>
          <w:b/>
          <w:bCs/>
          <w:sz w:val="28"/>
          <w:szCs w:val="28"/>
          <w:lang w:val="en-ZA"/>
        </w:rPr>
        <w:t xml:space="preserve"> Silbe</w:t>
      </w:r>
      <w:r w:rsidR="0025547F">
        <w:rPr>
          <w:rFonts w:ascii="Times New Roman" w:hAnsi="Times New Roman" w:cs="Times New Roman"/>
          <w:b/>
          <w:bCs/>
          <w:sz w:val="28"/>
          <w:szCs w:val="28"/>
          <w:lang w:val="en-ZA"/>
        </w:rPr>
        <w:t>rbe</w:t>
      </w:r>
      <w:r w:rsidRPr="00A90B17">
        <w:rPr>
          <w:rFonts w:ascii="Times New Roman" w:hAnsi="Times New Roman" w:cs="Times New Roman"/>
          <w:b/>
          <w:bCs/>
          <w:sz w:val="28"/>
          <w:szCs w:val="28"/>
          <w:lang w:val="en-ZA"/>
        </w:rPr>
        <w:t>rg and Schoeman’s The Law of Property 5</w:t>
      </w:r>
      <w:r w:rsidRPr="00A90B17">
        <w:rPr>
          <w:rFonts w:ascii="Times New Roman" w:hAnsi="Times New Roman" w:cs="Times New Roman"/>
          <w:b/>
          <w:bCs/>
          <w:sz w:val="28"/>
          <w:szCs w:val="28"/>
          <w:vertAlign w:val="superscript"/>
          <w:lang w:val="en-ZA"/>
        </w:rPr>
        <w:t>th</w:t>
      </w:r>
      <w:r w:rsidRPr="00A90B17">
        <w:rPr>
          <w:rFonts w:ascii="Times New Roman" w:hAnsi="Times New Roman" w:cs="Times New Roman"/>
          <w:b/>
          <w:bCs/>
          <w:sz w:val="28"/>
          <w:szCs w:val="28"/>
          <w:lang w:val="en-ZA"/>
        </w:rPr>
        <w:t xml:space="preserve"> Ed</w:t>
      </w:r>
      <w:r>
        <w:rPr>
          <w:rFonts w:ascii="Times New Roman" w:hAnsi="Times New Roman" w:cs="Times New Roman"/>
          <w:b/>
          <w:bCs/>
          <w:sz w:val="28"/>
          <w:szCs w:val="28"/>
          <w:lang w:val="en-ZA"/>
        </w:rPr>
        <w:t>.</w:t>
      </w:r>
    </w:p>
    <w:p w14:paraId="0C166560" w14:textId="523BBC8F" w:rsidR="00956CF3" w:rsidRDefault="00956CF3" w:rsidP="00660995">
      <w:pPr>
        <w:spacing w:after="0" w:line="360" w:lineRule="auto"/>
        <w:jc w:val="center"/>
        <w:rPr>
          <w:rFonts w:ascii="Times New Roman" w:hAnsi="Times New Roman" w:cs="Times New Roman"/>
          <w:b/>
          <w:bCs/>
          <w:sz w:val="28"/>
          <w:szCs w:val="28"/>
          <w:u w:val="single"/>
          <w:lang w:val="en-ZA"/>
        </w:rPr>
      </w:pPr>
    </w:p>
    <w:p w14:paraId="58BDABFD" w14:textId="7F7BF447" w:rsidR="00956CF3" w:rsidRDefault="00956CF3" w:rsidP="00660995">
      <w:pPr>
        <w:spacing w:after="0" w:line="360" w:lineRule="auto"/>
        <w:jc w:val="center"/>
        <w:rPr>
          <w:rFonts w:ascii="Times New Roman" w:hAnsi="Times New Roman" w:cs="Times New Roman"/>
          <w:b/>
          <w:bCs/>
          <w:sz w:val="28"/>
          <w:szCs w:val="28"/>
          <w:u w:val="single"/>
          <w:lang w:val="en-ZA"/>
        </w:rPr>
      </w:pPr>
    </w:p>
    <w:p w14:paraId="51575329" w14:textId="1E1E200B" w:rsidR="00956CF3" w:rsidRDefault="00956CF3" w:rsidP="00660995">
      <w:pPr>
        <w:spacing w:after="0" w:line="360" w:lineRule="auto"/>
        <w:jc w:val="center"/>
        <w:rPr>
          <w:rFonts w:ascii="Times New Roman" w:hAnsi="Times New Roman" w:cs="Times New Roman"/>
          <w:b/>
          <w:bCs/>
          <w:sz w:val="28"/>
          <w:szCs w:val="28"/>
          <w:u w:val="single"/>
          <w:lang w:val="en-ZA"/>
        </w:rPr>
      </w:pPr>
    </w:p>
    <w:p w14:paraId="04BFF8CD" w14:textId="53B889CB" w:rsidR="00956CF3" w:rsidRDefault="00956CF3" w:rsidP="00660995">
      <w:pPr>
        <w:spacing w:after="0" w:line="360" w:lineRule="auto"/>
        <w:jc w:val="center"/>
        <w:rPr>
          <w:rFonts w:ascii="Times New Roman" w:hAnsi="Times New Roman" w:cs="Times New Roman"/>
          <w:b/>
          <w:bCs/>
          <w:sz w:val="28"/>
          <w:szCs w:val="28"/>
          <w:u w:val="single"/>
          <w:lang w:val="en-ZA"/>
        </w:rPr>
      </w:pPr>
    </w:p>
    <w:p w14:paraId="698B08DC" w14:textId="15DFD124" w:rsidR="00956CF3" w:rsidRDefault="00956CF3" w:rsidP="00660995">
      <w:pPr>
        <w:spacing w:after="0" w:line="360" w:lineRule="auto"/>
        <w:jc w:val="center"/>
        <w:rPr>
          <w:rFonts w:ascii="Times New Roman" w:hAnsi="Times New Roman" w:cs="Times New Roman"/>
          <w:b/>
          <w:bCs/>
          <w:sz w:val="28"/>
          <w:szCs w:val="28"/>
          <w:u w:val="single"/>
          <w:lang w:val="en-ZA"/>
        </w:rPr>
      </w:pPr>
    </w:p>
    <w:p w14:paraId="46671729" w14:textId="7BF06BDD" w:rsidR="00956CF3" w:rsidRDefault="00956CF3" w:rsidP="00660995">
      <w:pPr>
        <w:spacing w:after="0" w:line="360" w:lineRule="auto"/>
        <w:jc w:val="center"/>
        <w:rPr>
          <w:rFonts w:ascii="Times New Roman" w:hAnsi="Times New Roman" w:cs="Times New Roman"/>
          <w:b/>
          <w:bCs/>
          <w:sz w:val="28"/>
          <w:szCs w:val="28"/>
          <w:u w:val="single"/>
          <w:lang w:val="en-ZA"/>
        </w:rPr>
      </w:pPr>
    </w:p>
    <w:p w14:paraId="5166F3AC" w14:textId="759EE705" w:rsidR="00956CF3" w:rsidRDefault="00956CF3" w:rsidP="00660995">
      <w:pPr>
        <w:spacing w:after="0" w:line="360" w:lineRule="auto"/>
        <w:jc w:val="center"/>
        <w:rPr>
          <w:rFonts w:ascii="Times New Roman" w:hAnsi="Times New Roman" w:cs="Times New Roman"/>
          <w:b/>
          <w:bCs/>
          <w:sz w:val="28"/>
          <w:szCs w:val="28"/>
          <w:u w:val="single"/>
          <w:lang w:val="en-ZA"/>
        </w:rPr>
      </w:pPr>
    </w:p>
    <w:p w14:paraId="6C11AD57" w14:textId="7D33CCA0" w:rsidR="00956CF3" w:rsidRDefault="00956CF3" w:rsidP="00660995">
      <w:pPr>
        <w:spacing w:after="0" w:line="360" w:lineRule="auto"/>
        <w:jc w:val="center"/>
        <w:rPr>
          <w:rFonts w:ascii="Times New Roman" w:hAnsi="Times New Roman" w:cs="Times New Roman"/>
          <w:b/>
          <w:bCs/>
          <w:sz w:val="28"/>
          <w:szCs w:val="28"/>
          <w:u w:val="single"/>
          <w:lang w:val="en-ZA"/>
        </w:rPr>
      </w:pPr>
    </w:p>
    <w:p w14:paraId="473E173A" w14:textId="340DE4B6" w:rsidR="00956CF3" w:rsidRDefault="00956CF3" w:rsidP="00660995">
      <w:pPr>
        <w:spacing w:after="0" w:line="360" w:lineRule="auto"/>
        <w:jc w:val="center"/>
        <w:rPr>
          <w:rFonts w:ascii="Times New Roman" w:hAnsi="Times New Roman" w:cs="Times New Roman"/>
          <w:b/>
          <w:bCs/>
          <w:sz w:val="28"/>
          <w:szCs w:val="28"/>
          <w:u w:val="single"/>
          <w:lang w:val="en-ZA"/>
        </w:rPr>
      </w:pPr>
    </w:p>
    <w:p w14:paraId="140BEF63" w14:textId="28EB7791" w:rsidR="00956CF3" w:rsidRDefault="00956CF3" w:rsidP="00660995">
      <w:pPr>
        <w:spacing w:after="0" w:line="360" w:lineRule="auto"/>
        <w:jc w:val="center"/>
        <w:rPr>
          <w:rFonts w:ascii="Times New Roman" w:hAnsi="Times New Roman" w:cs="Times New Roman"/>
          <w:b/>
          <w:bCs/>
          <w:sz w:val="28"/>
          <w:szCs w:val="28"/>
          <w:u w:val="single"/>
          <w:lang w:val="en-ZA"/>
        </w:rPr>
      </w:pPr>
    </w:p>
    <w:p w14:paraId="6C56BDE7" w14:textId="56C04B04" w:rsidR="00956CF3" w:rsidRDefault="00956CF3" w:rsidP="00660995">
      <w:pPr>
        <w:spacing w:after="0" w:line="360" w:lineRule="auto"/>
        <w:jc w:val="center"/>
        <w:rPr>
          <w:rFonts w:ascii="Times New Roman" w:hAnsi="Times New Roman" w:cs="Times New Roman"/>
          <w:b/>
          <w:bCs/>
          <w:sz w:val="28"/>
          <w:szCs w:val="28"/>
          <w:u w:val="single"/>
          <w:lang w:val="en-ZA"/>
        </w:rPr>
      </w:pPr>
    </w:p>
    <w:p w14:paraId="2A0ABB49" w14:textId="78BFA965" w:rsidR="00956CF3" w:rsidRDefault="00956CF3" w:rsidP="00660995">
      <w:pPr>
        <w:spacing w:after="0" w:line="360" w:lineRule="auto"/>
        <w:jc w:val="center"/>
        <w:rPr>
          <w:rFonts w:ascii="Times New Roman" w:hAnsi="Times New Roman" w:cs="Times New Roman"/>
          <w:b/>
          <w:bCs/>
          <w:sz w:val="28"/>
          <w:szCs w:val="28"/>
          <w:u w:val="single"/>
          <w:lang w:val="en-ZA"/>
        </w:rPr>
      </w:pPr>
    </w:p>
    <w:p w14:paraId="6BD28BA3" w14:textId="0743E77A" w:rsidR="00956CF3" w:rsidRDefault="00956CF3" w:rsidP="00660995">
      <w:pPr>
        <w:spacing w:after="0" w:line="360" w:lineRule="auto"/>
        <w:jc w:val="center"/>
        <w:rPr>
          <w:rFonts w:ascii="Times New Roman" w:hAnsi="Times New Roman" w:cs="Times New Roman"/>
          <w:b/>
          <w:bCs/>
          <w:sz w:val="28"/>
          <w:szCs w:val="28"/>
          <w:u w:val="single"/>
          <w:lang w:val="en-ZA"/>
        </w:rPr>
      </w:pPr>
    </w:p>
    <w:p w14:paraId="5313DF27" w14:textId="3C64BEF9" w:rsidR="00956CF3" w:rsidRDefault="00956CF3" w:rsidP="00660995">
      <w:pPr>
        <w:spacing w:after="0" w:line="360" w:lineRule="auto"/>
        <w:jc w:val="center"/>
        <w:rPr>
          <w:rFonts w:ascii="Times New Roman" w:hAnsi="Times New Roman" w:cs="Times New Roman"/>
          <w:b/>
          <w:bCs/>
          <w:sz w:val="28"/>
          <w:szCs w:val="28"/>
          <w:u w:val="single"/>
          <w:lang w:val="en-ZA"/>
        </w:rPr>
      </w:pPr>
    </w:p>
    <w:p w14:paraId="7FFF2E32" w14:textId="7B9C28E6" w:rsidR="00956CF3" w:rsidRDefault="00956CF3" w:rsidP="00660995">
      <w:pPr>
        <w:spacing w:after="0" w:line="360" w:lineRule="auto"/>
        <w:jc w:val="center"/>
        <w:rPr>
          <w:rFonts w:ascii="Times New Roman" w:hAnsi="Times New Roman" w:cs="Times New Roman"/>
          <w:b/>
          <w:bCs/>
          <w:sz w:val="28"/>
          <w:szCs w:val="28"/>
          <w:u w:val="single"/>
          <w:lang w:val="en-ZA"/>
        </w:rPr>
      </w:pPr>
    </w:p>
    <w:p w14:paraId="30D9FFC2" w14:textId="36358739" w:rsidR="00956CF3" w:rsidRDefault="00956CF3" w:rsidP="00660995">
      <w:pPr>
        <w:spacing w:after="0" w:line="360" w:lineRule="auto"/>
        <w:jc w:val="center"/>
        <w:rPr>
          <w:rFonts w:ascii="Times New Roman" w:hAnsi="Times New Roman" w:cs="Times New Roman"/>
          <w:b/>
          <w:bCs/>
          <w:sz w:val="28"/>
          <w:szCs w:val="28"/>
          <w:u w:val="single"/>
          <w:lang w:val="en-ZA"/>
        </w:rPr>
      </w:pPr>
    </w:p>
    <w:p w14:paraId="3E917611" w14:textId="6D6B3447" w:rsidR="00956CF3" w:rsidRDefault="00956CF3" w:rsidP="00660995">
      <w:pPr>
        <w:spacing w:after="0" w:line="360" w:lineRule="auto"/>
        <w:jc w:val="center"/>
        <w:rPr>
          <w:rFonts w:ascii="Times New Roman" w:hAnsi="Times New Roman" w:cs="Times New Roman"/>
          <w:b/>
          <w:bCs/>
          <w:sz w:val="28"/>
          <w:szCs w:val="28"/>
          <w:u w:val="single"/>
          <w:lang w:val="en-ZA"/>
        </w:rPr>
      </w:pPr>
    </w:p>
    <w:p w14:paraId="44C17A49" w14:textId="4D7D0AFA" w:rsidR="00956CF3" w:rsidRDefault="00956CF3" w:rsidP="00660995">
      <w:pPr>
        <w:spacing w:after="0" w:line="360" w:lineRule="auto"/>
        <w:jc w:val="center"/>
        <w:rPr>
          <w:rFonts w:ascii="Times New Roman" w:hAnsi="Times New Roman" w:cs="Times New Roman"/>
          <w:b/>
          <w:bCs/>
          <w:sz w:val="28"/>
          <w:szCs w:val="28"/>
          <w:u w:val="single"/>
          <w:lang w:val="en-ZA"/>
        </w:rPr>
      </w:pPr>
    </w:p>
    <w:p w14:paraId="511AE519" w14:textId="0FD3C67A" w:rsidR="00956CF3" w:rsidRDefault="00956CF3" w:rsidP="00660995">
      <w:pPr>
        <w:spacing w:after="0" w:line="360" w:lineRule="auto"/>
        <w:jc w:val="center"/>
        <w:rPr>
          <w:rFonts w:ascii="Times New Roman" w:hAnsi="Times New Roman" w:cs="Times New Roman"/>
          <w:b/>
          <w:bCs/>
          <w:sz w:val="28"/>
          <w:szCs w:val="28"/>
          <w:u w:val="single"/>
          <w:lang w:val="en-ZA"/>
        </w:rPr>
      </w:pPr>
    </w:p>
    <w:p w14:paraId="6E7E16C9" w14:textId="77777777" w:rsidR="00A90B17" w:rsidRDefault="00A90B17" w:rsidP="00660995">
      <w:pPr>
        <w:spacing w:after="0" w:line="360" w:lineRule="auto"/>
        <w:jc w:val="center"/>
        <w:rPr>
          <w:rFonts w:ascii="Times New Roman" w:hAnsi="Times New Roman" w:cs="Times New Roman"/>
          <w:b/>
          <w:bCs/>
          <w:sz w:val="28"/>
          <w:szCs w:val="28"/>
          <w:u w:val="single"/>
          <w:lang w:val="en-ZA"/>
        </w:rPr>
      </w:pPr>
    </w:p>
    <w:p w14:paraId="48864B84" w14:textId="77777777" w:rsidR="00956CF3" w:rsidRDefault="00956CF3" w:rsidP="00660995">
      <w:pPr>
        <w:spacing w:after="0" w:line="360" w:lineRule="auto"/>
        <w:jc w:val="center"/>
        <w:rPr>
          <w:rFonts w:ascii="Times New Roman" w:hAnsi="Times New Roman" w:cs="Times New Roman"/>
          <w:b/>
          <w:bCs/>
          <w:sz w:val="28"/>
          <w:szCs w:val="28"/>
          <w:u w:val="single"/>
          <w:lang w:val="en-ZA"/>
        </w:rPr>
      </w:pPr>
    </w:p>
    <w:p w14:paraId="324040D3" w14:textId="257304A7" w:rsidR="00661737" w:rsidRDefault="00660995" w:rsidP="00660995">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7294706D" w14:textId="77777777" w:rsidR="00660995" w:rsidRDefault="00660995" w:rsidP="00660995">
      <w:pPr>
        <w:spacing w:after="0" w:line="360" w:lineRule="auto"/>
        <w:jc w:val="center"/>
        <w:rPr>
          <w:rFonts w:ascii="Times New Roman" w:hAnsi="Times New Roman" w:cs="Times New Roman"/>
          <w:b/>
          <w:bCs/>
          <w:sz w:val="28"/>
          <w:szCs w:val="28"/>
          <w:u w:val="single"/>
          <w:lang w:val="en-ZA"/>
        </w:rPr>
      </w:pPr>
    </w:p>
    <w:p w14:paraId="51ECAB8F" w14:textId="3010C2BE" w:rsidR="00660995" w:rsidRDefault="00660995" w:rsidP="00660995">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INTRODUCTION</w:t>
      </w:r>
    </w:p>
    <w:p w14:paraId="46A1C9E5" w14:textId="004DB6CB" w:rsidR="00660995" w:rsidRDefault="00660995"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t>The applicants had lodged an urgent application in terms of which they sought orders to the effect that the various sublease agreements they had concluded with the 1</w:t>
      </w:r>
      <w:r w:rsidRPr="0066099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be cancelled and declared null and void.</w:t>
      </w:r>
      <w:r w:rsidR="00714FCC">
        <w:rPr>
          <w:rFonts w:ascii="Times New Roman" w:hAnsi="Times New Roman" w:cs="Times New Roman"/>
          <w:sz w:val="28"/>
          <w:szCs w:val="28"/>
          <w:lang w:val="en-ZA"/>
        </w:rPr>
        <w:t xml:space="preserve"> </w:t>
      </w:r>
    </w:p>
    <w:p w14:paraId="6F0ED66D" w14:textId="2744F635" w:rsidR="007A2572" w:rsidRDefault="007A2572" w:rsidP="00660995">
      <w:pPr>
        <w:spacing w:after="0" w:line="360" w:lineRule="auto"/>
        <w:ind w:left="720" w:hanging="720"/>
        <w:jc w:val="both"/>
        <w:rPr>
          <w:rFonts w:ascii="Times New Roman" w:hAnsi="Times New Roman" w:cs="Times New Roman"/>
          <w:sz w:val="28"/>
          <w:szCs w:val="28"/>
          <w:lang w:val="en-ZA"/>
        </w:rPr>
      </w:pPr>
    </w:p>
    <w:p w14:paraId="1BA6043B" w14:textId="5EC5102B" w:rsidR="007A2572" w:rsidRDefault="007A2572" w:rsidP="0066099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The Parties and Background facts</w:t>
      </w:r>
    </w:p>
    <w:p w14:paraId="7F44B2AB" w14:textId="25EE27D7" w:rsidR="00FA2D66" w:rsidRDefault="007A2572"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applicants are owners of various and adjacent fields at Ha- </w:t>
      </w:r>
      <w:proofErr w:type="spellStart"/>
      <w:r>
        <w:rPr>
          <w:rFonts w:ascii="Times New Roman" w:hAnsi="Times New Roman" w:cs="Times New Roman"/>
          <w:sz w:val="28"/>
          <w:szCs w:val="28"/>
          <w:lang w:val="en-ZA"/>
        </w:rPr>
        <w:t>Khitione</w:t>
      </w:r>
      <w:proofErr w:type="spellEnd"/>
      <w:r>
        <w:rPr>
          <w:rFonts w:ascii="Times New Roman" w:hAnsi="Times New Roman" w:cs="Times New Roman"/>
          <w:sz w:val="28"/>
          <w:szCs w:val="28"/>
          <w:lang w:val="en-ZA"/>
        </w:rPr>
        <w:t>, Ha-</w:t>
      </w:r>
      <w:proofErr w:type="spellStart"/>
      <w:r>
        <w:rPr>
          <w:rFonts w:ascii="Times New Roman" w:hAnsi="Times New Roman" w:cs="Times New Roman"/>
          <w:sz w:val="28"/>
          <w:szCs w:val="28"/>
          <w:lang w:val="en-ZA"/>
        </w:rPr>
        <w:t>Mofoka</w:t>
      </w:r>
      <w:proofErr w:type="spellEnd"/>
      <w:r>
        <w:rPr>
          <w:rFonts w:ascii="Times New Roman" w:hAnsi="Times New Roman" w:cs="Times New Roman"/>
          <w:sz w:val="28"/>
          <w:szCs w:val="28"/>
          <w:lang w:val="en-ZA"/>
        </w:rPr>
        <w:t xml:space="preserve"> in the District of Maseru.  The 1</w:t>
      </w:r>
      <w:r w:rsidRPr="007A2572">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372463">
        <w:rPr>
          <w:rFonts w:ascii="Times New Roman" w:hAnsi="Times New Roman" w:cs="Times New Roman"/>
          <w:sz w:val="28"/>
          <w:szCs w:val="28"/>
          <w:lang w:val="en-ZA"/>
        </w:rPr>
        <w:t xml:space="preserve">is </w:t>
      </w:r>
      <w:r>
        <w:rPr>
          <w:rFonts w:ascii="Times New Roman" w:hAnsi="Times New Roman" w:cs="Times New Roman"/>
          <w:sz w:val="28"/>
          <w:szCs w:val="28"/>
          <w:lang w:val="en-ZA"/>
        </w:rPr>
        <w:t>a company duly registered in terms of the laws of Lesotho whose main business preoccupation is to cultivate and produce medical cannabis.  The 2</w:t>
      </w:r>
      <w:r w:rsidRPr="007A257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is the Commissioner of Land Administration Authority cited in her capacity as the officer and authority in terms of the Deeds Registry Act 1967 and Land Act 2010 whose mandate is to issue consent to register long term sublease</w:t>
      </w:r>
      <w:r w:rsidR="00372463">
        <w:rPr>
          <w:rFonts w:ascii="Times New Roman" w:hAnsi="Times New Roman" w:cs="Times New Roman"/>
          <w:sz w:val="28"/>
          <w:szCs w:val="28"/>
          <w:lang w:val="en-ZA"/>
        </w:rPr>
        <w:t>s</w:t>
      </w:r>
      <w:r>
        <w:rPr>
          <w:rFonts w:ascii="Times New Roman" w:hAnsi="Times New Roman" w:cs="Times New Roman"/>
          <w:sz w:val="28"/>
          <w:szCs w:val="28"/>
          <w:lang w:val="en-ZA"/>
        </w:rPr>
        <w:t xml:space="preserve"> agreement</w:t>
      </w:r>
      <w:r w:rsidR="00372463">
        <w:rPr>
          <w:rFonts w:ascii="Times New Roman" w:hAnsi="Times New Roman" w:cs="Times New Roman"/>
          <w:sz w:val="28"/>
          <w:szCs w:val="28"/>
          <w:lang w:val="en-ZA"/>
        </w:rPr>
        <w:t>s</w:t>
      </w:r>
      <w:r>
        <w:rPr>
          <w:rFonts w:ascii="Times New Roman" w:hAnsi="Times New Roman" w:cs="Times New Roman"/>
          <w:sz w:val="28"/>
          <w:szCs w:val="28"/>
          <w:lang w:val="en-ZA"/>
        </w:rPr>
        <w:t>.  The 3</w:t>
      </w:r>
      <w:r w:rsidRPr="007A2572">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is the Registrar General Deeds Registry office whose mandate is to register long term subleases in terms of the Deeds Registry Act 1967.  The 4</w:t>
      </w:r>
      <w:r w:rsidRPr="007A2572">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is the </w:t>
      </w:r>
      <w:proofErr w:type="spellStart"/>
      <w:r>
        <w:rPr>
          <w:rFonts w:ascii="Times New Roman" w:hAnsi="Times New Roman" w:cs="Times New Roman"/>
          <w:sz w:val="28"/>
          <w:szCs w:val="28"/>
          <w:lang w:val="en-ZA"/>
        </w:rPr>
        <w:t>Mohlakeng</w:t>
      </w:r>
      <w:proofErr w:type="spellEnd"/>
      <w:r>
        <w:rPr>
          <w:rFonts w:ascii="Times New Roman" w:hAnsi="Times New Roman" w:cs="Times New Roman"/>
          <w:sz w:val="28"/>
          <w:szCs w:val="28"/>
          <w:lang w:val="en-ZA"/>
        </w:rPr>
        <w:t xml:space="preserve"> Community Council.</w:t>
      </w:r>
      <w:r w:rsidR="00FA2D66">
        <w:rPr>
          <w:rFonts w:ascii="Times New Roman" w:hAnsi="Times New Roman" w:cs="Times New Roman"/>
          <w:sz w:val="28"/>
          <w:szCs w:val="28"/>
          <w:lang w:val="en-ZA"/>
        </w:rPr>
        <w:t xml:space="preserve">  The 5</w:t>
      </w:r>
      <w:r w:rsidR="00FA2D66" w:rsidRPr="00FA2D66">
        <w:rPr>
          <w:rFonts w:ascii="Times New Roman" w:hAnsi="Times New Roman" w:cs="Times New Roman"/>
          <w:sz w:val="28"/>
          <w:szCs w:val="28"/>
          <w:vertAlign w:val="superscript"/>
          <w:lang w:val="en-ZA"/>
        </w:rPr>
        <w:t>th</w:t>
      </w:r>
      <w:r w:rsidR="00FA2D66">
        <w:rPr>
          <w:rFonts w:ascii="Times New Roman" w:hAnsi="Times New Roman" w:cs="Times New Roman"/>
          <w:sz w:val="28"/>
          <w:szCs w:val="28"/>
          <w:lang w:val="en-ZA"/>
        </w:rPr>
        <w:t xml:space="preserve"> respondent is the Minister of Local Government and Chieftainship Affairs who is responsible for administration of 2</w:t>
      </w:r>
      <w:r w:rsidR="00FA2D66" w:rsidRPr="00FA2D66">
        <w:rPr>
          <w:rFonts w:ascii="Times New Roman" w:hAnsi="Times New Roman" w:cs="Times New Roman"/>
          <w:sz w:val="28"/>
          <w:szCs w:val="28"/>
          <w:vertAlign w:val="superscript"/>
          <w:lang w:val="en-ZA"/>
        </w:rPr>
        <w:t>nd</w:t>
      </w:r>
      <w:r w:rsidR="00FA2D66">
        <w:rPr>
          <w:rFonts w:ascii="Times New Roman" w:hAnsi="Times New Roman" w:cs="Times New Roman"/>
          <w:sz w:val="28"/>
          <w:szCs w:val="28"/>
          <w:lang w:val="en-ZA"/>
        </w:rPr>
        <w:t xml:space="preserve"> and 4</w:t>
      </w:r>
      <w:r w:rsidR="00FA2D66" w:rsidRPr="00FA2D66">
        <w:rPr>
          <w:rFonts w:ascii="Times New Roman" w:hAnsi="Times New Roman" w:cs="Times New Roman"/>
          <w:sz w:val="28"/>
          <w:szCs w:val="28"/>
          <w:vertAlign w:val="superscript"/>
          <w:lang w:val="en-ZA"/>
        </w:rPr>
        <w:t>th</w:t>
      </w:r>
      <w:r w:rsidR="00FA2D66">
        <w:rPr>
          <w:rFonts w:ascii="Times New Roman" w:hAnsi="Times New Roman" w:cs="Times New Roman"/>
          <w:sz w:val="28"/>
          <w:szCs w:val="28"/>
          <w:lang w:val="en-ZA"/>
        </w:rPr>
        <w:t xml:space="preserve"> respondents.  The 6</w:t>
      </w:r>
      <w:r w:rsidR="00FA2D66" w:rsidRPr="00FA2D66">
        <w:rPr>
          <w:rFonts w:ascii="Times New Roman" w:hAnsi="Times New Roman" w:cs="Times New Roman"/>
          <w:sz w:val="28"/>
          <w:szCs w:val="28"/>
          <w:vertAlign w:val="superscript"/>
          <w:lang w:val="en-ZA"/>
        </w:rPr>
        <w:t>th</w:t>
      </w:r>
      <w:r w:rsidR="00FA2D66">
        <w:rPr>
          <w:rFonts w:ascii="Times New Roman" w:hAnsi="Times New Roman" w:cs="Times New Roman"/>
          <w:sz w:val="28"/>
          <w:szCs w:val="28"/>
          <w:lang w:val="en-ZA"/>
        </w:rPr>
        <w:t xml:space="preserve"> is the Attorney General cited in his capacity as the legal representative of the </w:t>
      </w:r>
      <w:r w:rsidR="00372463">
        <w:rPr>
          <w:rFonts w:ascii="Times New Roman" w:hAnsi="Times New Roman" w:cs="Times New Roman"/>
          <w:sz w:val="28"/>
          <w:szCs w:val="28"/>
          <w:lang w:val="en-ZA"/>
        </w:rPr>
        <w:t>C</w:t>
      </w:r>
      <w:r w:rsidR="00FA2D66">
        <w:rPr>
          <w:rFonts w:ascii="Times New Roman" w:hAnsi="Times New Roman" w:cs="Times New Roman"/>
          <w:sz w:val="28"/>
          <w:szCs w:val="28"/>
          <w:lang w:val="en-ZA"/>
        </w:rPr>
        <w:t>rown in all civil matters where government has a direct and substantial interest.</w:t>
      </w:r>
    </w:p>
    <w:p w14:paraId="24A08A68" w14:textId="3DEA8316" w:rsidR="00FA2D66" w:rsidRDefault="00FA2D66" w:rsidP="00660995">
      <w:pPr>
        <w:spacing w:after="0" w:line="360" w:lineRule="auto"/>
        <w:ind w:left="720" w:hanging="720"/>
        <w:jc w:val="both"/>
        <w:rPr>
          <w:rFonts w:ascii="Times New Roman" w:hAnsi="Times New Roman" w:cs="Times New Roman"/>
          <w:sz w:val="28"/>
          <w:szCs w:val="28"/>
          <w:lang w:val="en-ZA"/>
        </w:rPr>
      </w:pPr>
    </w:p>
    <w:p w14:paraId="1B7AE6C2" w14:textId="3B6119FB" w:rsidR="00375641" w:rsidRDefault="00E86E07"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Desirous of acquiring </w:t>
      </w:r>
      <w:r w:rsidR="004C7115">
        <w:rPr>
          <w:rFonts w:ascii="Times New Roman" w:hAnsi="Times New Roman" w:cs="Times New Roman"/>
          <w:sz w:val="28"/>
          <w:szCs w:val="28"/>
          <w:lang w:val="en-ZA"/>
        </w:rPr>
        <w:t xml:space="preserve">vast </w:t>
      </w:r>
      <w:r>
        <w:rPr>
          <w:rFonts w:ascii="Times New Roman" w:hAnsi="Times New Roman" w:cs="Times New Roman"/>
          <w:sz w:val="28"/>
          <w:szCs w:val="28"/>
          <w:lang w:val="en-ZA"/>
        </w:rPr>
        <w:t>swathes of agricultural land, the 1</w:t>
      </w:r>
      <w:r w:rsidRPr="00E86E0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through its officers approached the applicants who own adjacent fields</w:t>
      </w:r>
      <w:r w:rsidR="004C7115">
        <w:rPr>
          <w:rFonts w:ascii="Times New Roman" w:hAnsi="Times New Roman" w:cs="Times New Roman"/>
          <w:sz w:val="28"/>
          <w:szCs w:val="28"/>
          <w:lang w:val="en-ZA"/>
        </w:rPr>
        <w:t>, as already stated</w:t>
      </w:r>
      <w:r>
        <w:rPr>
          <w:rFonts w:ascii="Times New Roman" w:hAnsi="Times New Roman" w:cs="Times New Roman"/>
          <w:sz w:val="28"/>
          <w:szCs w:val="28"/>
          <w:lang w:val="en-ZA"/>
        </w:rPr>
        <w:t>.  The 1</w:t>
      </w:r>
      <w:r w:rsidRPr="00E86E0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was keen on engaging in a project of </w:t>
      </w:r>
      <w:r>
        <w:rPr>
          <w:rFonts w:ascii="Times New Roman" w:hAnsi="Times New Roman" w:cs="Times New Roman"/>
          <w:sz w:val="28"/>
          <w:szCs w:val="28"/>
          <w:lang w:val="en-ZA"/>
        </w:rPr>
        <w:lastRenderedPageBreak/>
        <w:t xml:space="preserve">cultivating, </w:t>
      </w:r>
      <w:r w:rsidR="004C7115">
        <w:rPr>
          <w:rFonts w:ascii="Times New Roman" w:hAnsi="Times New Roman" w:cs="Times New Roman"/>
          <w:sz w:val="28"/>
          <w:szCs w:val="28"/>
          <w:lang w:val="en-ZA"/>
        </w:rPr>
        <w:t xml:space="preserve">growing and producing cannabis </w:t>
      </w:r>
      <w:r>
        <w:rPr>
          <w:rFonts w:ascii="Times New Roman" w:hAnsi="Times New Roman" w:cs="Times New Roman"/>
          <w:sz w:val="28"/>
          <w:szCs w:val="28"/>
          <w:lang w:val="en-ZA"/>
        </w:rPr>
        <w:t xml:space="preserve">and its products.  Towards this purpose, it concluded sublease agreement with each of the applicants.  The terms of each sublease agreement are the same for each applicant.  The said sublease agreements are for a period of ten years and eleven months with an option of further renewal for </w:t>
      </w:r>
      <w:r w:rsidR="004C7115">
        <w:rPr>
          <w:rFonts w:ascii="Times New Roman" w:hAnsi="Times New Roman" w:cs="Times New Roman"/>
          <w:sz w:val="28"/>
          <w:szCs w:val="28"/>
          <w:lang w:val="en-ZA"/>
        </w:rPr>
        <w:t>a further</w:t>
      </w:r>
      <w:r>
        <w:rPr>
          <w:rFonts w:ascii="Times New Roman" w:hAnsi="Times New Roman" w:cs="Times New Roman"/>
          <w:sz w:val="28"/>
          <w:szCs w:val="28"/>
          <w:lang w:val="en-ZA"/>
        </w:rPr>
        <w:t xml:space="preserve"> period of ten years and eleven months.  In terms of clause 3.4</w:t>
      </w:r>
      <w:r w:rsidR="004C7115">
        <w:rPr>
          <w:rFonts w:ascii="Times New Roman" w:hAnsi="Times New Roman" w:cs="Times New Roman"/>
          <w:sz w:val="28"/>
          <w:szCs w:val="28"/>
          <w:lang w:val="en-ZA"/>
        </w:rPr>
        <w:t>, the sublessee</w:t>
      </w:r>
      <w:r w:rsidR="00375641">
        <w:rPr>
          <w:rFonts w:ascii="Times New Roman" w:hAnsi="Times New Roman" w:cs="Times New Roman"/>
          <w:sz w:val="28"/>
          <w:szCs w:val="28"/>
          <w:lang w:val="en-ZA"/>
        </w:rPr>
        <w:t xml:space="preserve"> undertook to register the sublease agreements in terms of the Deeds Registry Act of 1967 (the Act), subject to the sublessors applying for and acquiring consent in terms of the Act.  The sublease agreements were not registered, but that notwithstanding, the 1</w:t>
      </w:r>
      <w:r w:rsidR="00375641" w:rsidRPr="00375641">
        <w:rPr>
          <w:rFonts w:ascii="Times New Roman" w:hAnsi="Times New Roman" w:cs="Times New Roman"/>
          <w:sz w:val="28"/>
          <w:szCs w:val="28"/>
          <w:vertAlign w:val="superscript"/>
          <w:lang w:val="en-ZA"/>
        </w:rPr>
        <w:t>st</w:t>
      </w:r>
      <w:r w:rsidR="00375641">
        <w:rPr>
          <w:rFonts w:ascii="Times New Roman" w:hAnsi="Times New Roman" w:cs="Times New Roman"/>
          <w:sz w:val="28"/>
          <w:szCs w:val="28"/>
          <w:lang w:val="en-ZA"/>
        </w:rPr>
        <w:t xml:space="preserve"> respondent took occupation of the fields and commended its business operations as anticipated.</w:t>
      </w:r>
    </w:p>
    <w:p w14:paraId="166703A0" w14:textId="77777777" w:rsidR="00375641" w:rsidRDefault="00375641" w:rsidP="00660995">
      <w:pPr>
        <w:spacing w:after="0" w:line="360" w:lineRule="auto"/>
        <w:ind w:left="720" w:hanging="720"/>
        <w:jc w:val="both"/>
        <w:rPr>
          <w:rFonts w:ascii="Times New Roman" w:hAnsi="Times New Roman" w:cs="Times New Roman"/>
          <w:sz w:val="28"/>
          <w:szCs w:val="28"/>
          <w:lang w:val="en-ZA"/>
        </w:rPr>
      </w:pPr>
    </w:p>
    <w:p w14:paraId="52573C54" w14:textId="291E8DC4" w:rsidR="00751490" w:rsidRDefault="00375641"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535217">
        <w:rPr>
          <w:rFonts w:ascii="Times New Roman" w:hAnsi="Times New Roman" w:cs="Times New Roman"/>
          <w:sz w:val="28"/>
          <w:szCs w:val="28"/>
          <w:lang w:val="en-ZA"/>
        </w:rPr>
        <w:t>A</w:t>
      </w:r>
      <w:r w:rsidR="00B33309">
        <w:rPr>
          <w:rFonts w:ascii="Times New Roman" w:hAnsi="Times New Roman" w:cs="Times New Roman"/>
          <w:sz w:val="28"/>
          <w:szCs w:val="28"/>
          <w:lang w:val="en-ZA"/>
        </w:rPr>
        <w:t xml:space="preserve"> dispute </w:t>
      </w:r>
      <w:r w:rsidR="00535217">
        <w:rPr>
          <w:rFonts w:ascii="Times New Roman" w:hAnsi="Times New Roman" w:cs="Times New Roman"/>
          <w:sz w:val="28"/>
          <w:szCs w:val="28"/>
          <w:lang w:val="en-ZA"/>
        </w:rPr>
        <w:t xml:space="preserve">between the parties arose </w:t>
      </w:r>
      <w:r w:rsidR="00B33309">
        <w:rPr>
          <w:rFonts w:ascii="Times New Roman" w:hAnsi="Times New Roman" w:cs="Times New Roman"/>
          <w:sz w:val="28"/>
          <w:szCs w:val="28"/>
          <w:lang w:val="en-ZA"/>
        </w:rPr>
        <w:t>regarding compensation payable to the applicants by the 1</w:t>
      </w:r>
      <w:r w:rsidR="00B33309" w:rsidRPr="00B33309">
        <w:rPr>
          <w:rFonts w:ascii="Times New Roman" w:hAnsi="Times New Roman" w:cs="Times New Roman"/>
          <w:sz w:val="28"/>
          <w:szCs w:val="28"/>
          <w:vertAlign w:val="superscript"/>
          <w:lang w:val="en-ZA"/>
        </w:rPr>
        <w:t>st</w:t>
      </w:r>
      <w:r w:rsidR="00B33309">
        <w:rPr>
          <w:rFonts w:ascii="Times New Roman" w:hAnsi="Times New Roman" w:cs="Times New Roman"/>
          <w:sz w:val="28"/>
          <w:szCs w:val="28"/>
          <w:lang w:val="en-ZA"/>
        </w:rPr>
        <w:t xml:space="preserve"> respondent.  The applicant</w:t>
      </w:r>
      <w:r w:rsidR="00535217">
        <w:rPr>
          <w:rFonts w:ascii="Times New Roman" w:hAnsi="Times New Roman" w:cs="Times New Roman"/>
          <w:sz w:val="28"/>
          <w:szCs w:val="28"/>
          <w:lang w:val="en-ZA"/>
        </w:rPr>
        <w:t>s kept</w:t>
      </w:r>
      <w:r w:rsidR="00B33309">
        <w:rPr>
          <w:rFonts w:ascii="Times New Roman" w:hAnsi="Times New Roman" w:cs="Times New Roman"/>
          <w:sz w:val="28"/>
          <w:szCs w:val="28"/>
          <w:lang w:val="en-ZA"/>
        </w:rPr>
        <w:t xml:space="preserve"> nudging the 1</w:t>
      </w:r>
      <w:r w:rsidR="00B33309" w:rsidRPr="00B33309">
        <w:rPr>
          <w:rFonts w:ascii="Times New Roman" w:hAnsi="Times New Roman" w:cs="Times New Roman"/>
          <w:sz w:val="28"/>
          <w:szCs w:val="28"/>
          <w:vertAlign w:val="superscript"/>
          <w:lang w:val="en-ZA"/>
        </w:rPr>
        <w:t>st</w:t>
      </w:r>
      <w:r w:rsidR="00B33309">
        <w:rPr>
          <w:rFonts w:ascii="Times New Roman" w:hAnsi="Times New Roman" w:cs="Times New Roman"/>
          <w:sz w:val="28"/>
          <w:szCs w:val="28"/>
          <w:lang w:val="en-ZA"/>
        </w:rPr>
        <w:t xml:space="preserve"> respondent to ren</w:t>
      </w:r>
      <w:r w:rsidR="00535217">
        <w:rPr>
          <w:rFonts w:ascii="Times New Roman" w:hAnsi="Times New Roman" w:cs="Times New Roman"/>
          <w:sz w:val="28"/>
          <w:szCs w:val="28"/>
          <w:lang w:val="en-ZA"/>
        </w:rPr>
        <w:t>egot</w:t>
      </w:r>
      <w:r w:rsidR="00B33309">
        <w:rPr>
          <w:rFonts w:ascii="Times New Roman" w:hAnsi="Times New Roman" w:cs="Times New Roman"/>
          <w:sz w:val="28"/>
          <w:szCs w:val="28"/>
          <w:lang w:val="en-ZA"/>
        </w:rPr>
        <w:t>iate the terms of the agreement</w:t>
      </w:r>
      <w:r w:rsidR="00751490">
        <w:rPr>
          <w:rFonts w:ascii="Times New Roman" w:hAnsi="Times New Roman" w:cs="Times New Roman"/>
          <w:sz w:val="28"/>
          <w:szCs w:val="28"/>
          <w:lang w:val="en-ZA"/>
        </w:rPr>
        <w:t>, to which attempts, the latter refused to accede, prompting the applicants to institute the current proceedings.</w:t>
      </w:r>
    </w:p>
    <w:p w14:paraId="0ABC3332" w14:textId="7104BBB6" w:rsidR="00751490" w:rsidRDefault="00751490" w:rsidP="00660995">
      <w:pPr>
        <w:spacing w:after="0" w:line="360" w:lineRule="auto"/>
        <w:ind w:left="720" w:hanging="720"/>
        <w:jc w:val="both"/>
        <w:rPr>
          <w:rFonts w:ascii="Times New Roman" w:hAnsi="Times New Roman" w:cs="Times New Roman"/>
          <w:sz w:val="28"/>
          <w:szCs w:val="28"/>
          <w:lang w:val="en-ZA"/>
        </w:rPr>
      </w:pPr>
    </w:p>
    <w:p w14:paraId="5DA217F2" w14:textId="60D45BF7" w:rsidR="00751490" w:rsidRDefault="00751490"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CE0EFC">
        <w:rPr>
          <w:rFonts w:ascii="Times New Roman" w:hAnsi="Times New Roman" w:cs="Times New Roman"/>
          <w:sz w:val="28"/>
          <w:szCs w:val="28"/>
          <w:lang w:val="en-ZA"/>
        </w:rPr>
        <w:t>The applicants’ case is that the sublease agreements are unlawful, unenforceable and void for the following reasons:</w:t>
      </w:r>
    </w:p>
    <w:p w14:paraId="4DD90260" w14:textId="193CE914" w:rsidR="00CE0EFC" w:rsidRDefault="00CE0EFC" w:rsidP="00660995">
      <w:pPr>
        <w:spacing w:after="0" w:line="360" w:lineRule="auto"/>
        <w:ind w:left="720" w:hanging="720"/>
        <w:jc w:val="both"/>
        <w:rPr>
          <w:rFonts w:ascii="Times New Roman" w:hAnsi="Times New Roman" w:cs="Times New Roman"/>
          <w:sz w:val="28"/>
          <w:szCs w:val="28"/>
          <w:lang w:val="en-ZA"/>
        </w:rPr>
      </w:pPr>
    </w:p>
    <w:p w14:paraId="50C673B0" w14:textId="00649F47" w:rsidR="00CE0EFC" w:rsidRDefault="00D036FC" w:rsidP="00CE0EFC">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Their n</w:t>
      </w:r>
      <w:r w:rsidR="00CE0EFC">
        <w:rPr>
          <w:rFonts w:ascii="Times New Roman" w:hAnsi="Times New Roman" w:cs="Times New Roman"/>
          <w:sz w:val="28"/>
          <w:szCs w:val="28"/>
          <w:lang w:val="en-ZA"/>
        </w:rPr>
        <w:t>on-registration in terms of the Act.</w:t>
      </w:r>
    </w:p>
    <w:p w14:paraId="2B5BD2D6" w14:textId="77777777" w:rsidR="00CE0EFC" w:rsidRDefault="00CE0EFC" w:rsidP="00CE0EFC">
      <w:pPr>
        <w:pStyle w:val="ListParagraph"/>
        <w:spacing w:after="0" w:line="360" w:lineRule="auto"/>
        <w:ind w:left="1440"/>
        <w:jc w:val="both"/>
        <w:rPr>
          <w:rFonts w:ascii="Times New Roman" w:hAnsi="Times New Roman" w:cs="Times New Roman"/>
          <w:sz w:val="28"/>
          <w:szCs w:val="28"/>
          <w:lang w:val="en-ZA"/>
        </w:rPr>
      </w:pPr>
    </w:p>
    <w:p w14:paraId="233C5EBA" w14:textId="7CB41C67" w:rsidR="00CE0EFC" w:rsidRDefault="00CE0EFC" w:rsidP="00CE0EFC">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That:</w:t>
      </w:r>
    </w:p>
    <w:p w14:paraId="71A1A4BF" w14:textId="77777777" w:rsidR="00CE0EFC" w:rsidRPr="00CE0EFC" w:rsidRDefault="00CE0EFC" w:rsidP="00CE0EFC">
      <w:pPr>
        <w:pStyle w:val="ListParagraph"/>
        <w:rPr>
          <w:rFonts w:ascii="Times New Roman" w:hAnsi="Times New Roman" w:cs="Times New Roman"/>
          <w:sz w:val="28"/>
          <w:szCs w:val="28"/>
          <w:lang w:val="en-ZA"/>
        </w:rPr>
      </w:pPr>
    </w:p>
    <w:p w14:paraId="7E326A6A" w14:textId="77777777" w:rsidR="00C518ED" w:rsidRDefault="00E80FD0" w:rsidP="00CE0EFC">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“Before registration can even be </w:t>
      </w:r>
      <w:proofErr w:type="gramStart"/>
      <w:r>
        <w:rPr>
          <w:rFonts w:ascii="Times New Roman" w:hAnsi="Times New Roman" w:cs="Times New Roman"/>
          <w:i/>
          <w:iCs/>
          <w:sz w:val="24"/>
          <w:szCs w:val="24"/>
          <w:lang w:val="en-ZA"/>
        </w:rPr>
        <w:t>effected</w:t>
      </w:r>
      <w:proofErr w:type="gramEnd"/>
      <w:r>
        <w:rPr>
          <w:rFonts w:ascii="Times New Roman" w:hAnsi="Times New Roman" w:cs="Times New Roman"/>
          <w:i/>
          <w:iCs/>
          <w:sz w:val="24"/>
          <w:szCs w:val="24"/>
          <w:lang w:val="en-ZA"/>
        </w:rPr>
        <w:t xml:space="preserve"> by the 3</w:t>
      </w:r>
      <w:r w:rsidRPr="00E80FD0">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Ministerial consent to register the said sublease agreement must be </w:t>
      </w:r>
      <w:r>
        <w:rPr>
          <w:rFonts w:ascii="Times New Roman" w:hAnsi="Times New Roman" w:cs="Times New Roman"/>
          <w:i/>
          <w:iCs/>
          <w:sz w:val="24"/>
          <w:szCs w:val="24"/>
          <w:lang w:val="en-ZA"/>
        </w:rPr>
        <w:lastRenderedPageBreak/>
        <w:t>obtained from 2</w:t>
      </w:r>
      <w:r w:rsidRPr="00E80FD0">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w:t>
      </w:r>
      <w:r w:rsidR="00C518ED">
        <w:rPr>
          <w:rFonts w:ascii="Times New Roman" w:hAnsi="Times New Roman" w:cs="Times New Roman"/>
          <w:i/>
          <w:iCs/>
          <w:sz w:val="24"/>
          <w:szCs w:val="24"/>
          <w:lang w:val="en-ZA"/>
        </w:rPr>
        <w:t xml:space="preserve">and any purported sublease that does not comply with the obtaining of the ministerial consent is void.  The </w:t>
      </w:r>
      <w:proofErr w:type="spellStart"/>
      <w:r w:rsidR="00C518ED">
        <w:rPr>
          <w:rFonts w:ascii="Times New Roman" w:hAnsi="Times New Roman" w:cs="Times New Roman"/>
          <w:i/>
          <w:iCs/>
          <w:sz w:val="24"/>
          <w:szCs w:val="24"/>
          <w:lang w:val="en-ZA"/>
        </w:rPr>
        <w:t>voidness</w:t>
      </w:r>
      <w:proofErr w:type="spellEnd"/>
      <w:r w:rsidR="00C518ED">
        <w:rPr>
          <w:rFonts w:ascii="Times New Roman" w:hAnsi="Times New Roman" w:cs="Times New Roman"/>
          <w:i/>
          <w:iCs/>
          <w:sz w:val="24"/>
          <w:szCs w:val="24"/>
          <w:lang w:val="en-ZA"/>
        </w:rPr>
        <w:t xml:space="preserve"> of the sublease agreements “</w:t>
      </w:r>
      <w:proofErr w:type="spellStart"/>
      <w:r w:rsidR="00C518ED">
        <w:rPr>
          <w:rFonts w:ascii="Times New Roman" w:hAnsi="Times New Roman" w:cs="Times New Roman"/>
          <w:i/>
          <w:iCs/>
          <w:sz w:val="24"/>
          <w:szCs w:val="24"/>
          <w:lang w:val="en-ZA"/>
        </w:rPr>
        <w:t>Khitione</w:t>
      </w:r>
      <w:proofErr w:type="spellEnd"/>
      <w:r w:rsidR="00C518ED">
        <w:rPr>
          <w:rFonts w:ascii="Times New Roman" w:hAnsi="Times New Roman" w:cs="Times New Roman"/>
          <w:i/>
          <w:iCs/>
          <w:sz w:val="24"/>
          <w:szCs w:val="24"/>
          <w:lang w:val="en-ZA"/>
        </w:rPr>
        <w:t xml:space="preserve"> 1” becomes apparent because 1</w:t>
      </w:r>
      <w:r w:rsidR="00C518ED" w:rsidRPr="00C518ED">
        <w:rPr>
          <w:rFonts w:ascii="Times New Roman" w:hAnsi="Times New Roman" w:cs="Times New Roman"/>
          <w:i/>
          <w:iCs/>
          <w:sz w:val="24"/>
          <w:szCs w:val="24"/>
          <w:vertAlign w:val="superscript"/>
          <w:lang w:val="en-ZA"/>
        </w:rPr>
        <w:t>st</w:t>
      </w:r>
      <w:r w:rsidR="00C518ED">
        <w:rPr>
          <w:rFonts w:ascii="Times New Roman" w:hAnsi="Times New Roman" w:cs="Times New Roman"/>
          <w:i/>
          <w:iCs/>
          <w:sz w:val="24"/>
          <w:szCs w:val="24"/>
          <w:lang w:val="en-ZA"/>
        </w:rPr>
        <w:t xml:space="preserve"> Defendant failed to act and register the </w:t>
      </w:r>
      <w:proofErr w:type="gramStart"/>
      <w:r w:rsidR="00C518ED">
        <w:rPr>
          <w:rFonts w:ascii="Times New Roman" w:hAnsi="Times New Roman" w:cs="Times New Roman"/>
          <w:i/>
          <w:iCs/>
          <w:sz w:val="24"/>
          <w:szCs w:val="24"/>
          <w:lang w:val="en-ZA"/>
        </w:rPr>
        <w:t>agreement</w:t>
      </w:r>
      <w:proofErr w:type="gramEnd"/>
      <w:r w:rsidR="00C518ED">
        <w:rPr>
          <w:rFonts w:ascii="Times New Roman" w:hAnsi="Times New Roman" w:cs="Times New Roman"/>
          <w:i/>
          <w:iCs/>
          <w:sz w:val="24"/>
          <w:szCs w:val="24"/>
          <w:lang w:val="en-ZA"/>
        </w:rPr>
        <w:t xml:space="preserve"> but they are clear that 1</w:t>
      </w:r>
      <w:r w:rsidR="00C518ED" w:rsidRPr="00C518ED">
        <w:rPr>
          <w:rFonts w:ascii="Times New Roman" w:hAnsi="Times New Roman" w:cs="Times New Roman"/>
          <w:i/>
          <w:iCs/>
          <w:sz w:val="24"/>
          <w:szCs w:val="24"/>
          <w:vertAlign w:val="superscript"/>
          <w:lang w:val="en-ZA"/>
        </w:rPr>
        <w:t>st</w:t>
      </w:r>
      <w:r w:rsidR="00C518ED">
        <w:rPr>
          <w:rFonts w:ascii="Times New Roman" w:hAnsi="Times New Roman" w:cs="Times New Roman"/>
          <w:i/>
          <w:iCs/>
          <w:sz w:val="24"/>
          <w:szCs w:val="24"/>
          <w:lang w:val="en-ZA"/>
        </w:rPr>
        <w:t xml:space="preserve"> Respondent must obtain consent within three (3) months and they failed to do so.”</w:t>
      </w:r>
    </w:p>
    <w:p w14:paraId="6ACA645E" w14:textId="77777777" w:rsidR="00C518ED" w:rsidRDefault="00C518ED" w:rsidP="00C518ED">
      <w:pPr>
        <w:spacing w:after="0" w:line="360" w:lineRule="auto"/>
        <w:ind w:right="1008"/>
        <w:jc w:val="both"/>
        <w:rPr>
          <w:rFonts w:ascii="Times New Roman" w:hAnsi="Times New Roman" w:cs="Times New Roman"/>
          <w:i/>
          <w:iCs/>
          <w:sz w:val="24"/>
          <w:szCs w:val="24"/>
          <w:lang w:val="en-ZA"/>
        </w:rPr>
      </w:pPr>
    </w:p>
    <w:p w14:paraId="0488DF15" w14:textId="11E2C9FA" w:rsidR="00C518ED" w:rsidRPr="00C518ED" w:rsidRDefault="00C518ED" w:rsidP="00C518ED">
      <w:pPr>
        <w:pStyle w:val="ListParagraph"/>
        <w:numPr>
          <w:ilvl w:val="0"/>
          <w:numId w:val="1"/>
        </w:numPr>
        <w:spacing w:after="0" w:line="360" w:lineRule="auto"/>
        <w:ind w:right="1008"/>
        <w:jc w:val="both"/>
        <w:rPr>
          <w:rFonts w:ascii="Times New Roman" w:hAnsi="Times New Roman" w:cs="Times New Roman"/>
          <w:sz w:val="28"/>
          <w:szCs w:val="28"/>
          <w:lang w:val="en-ZA"/>
        </w:rPr>
      </w:pPr>
      <w:r w:rsidRPr="00C518ED">
        <w:rPr>
          <w:rFonts w:ascii="Times New Roman" w:hAnsi="Times New Roman" w:cs="Times New Roman"/>
          <w:sz w:val="28"/>
          <w:szCs w:val="28"/>
          <w:lang w:val="en-ZA"/>
        </w:rPr>
        <w:t>That:</w:t>
      </w:r>
    </w:p>
    <w:p w14:paraId="144AE35C" w14:textId="77777777" w:rsidR="00C518ED" w:rsidRDefault="00C518ED" w:rsidP="00C518ED">
      <w:pPr>
        <w:spacing w:after="0" w:line="360" w:lineRule="auto"/>
        <w:ind w:right="1008"/>
        <w:jc w:val="both"/>
        <w:rPr>
          <w:rFonts w:ascii="Times New Roman" w:hAnsi="Times New Roman" w:cs="Times New Roman"/>
          <w:i/>
          <w:iCs/>
          <w:sz w:val="24"/>
          <w:szCs w:val="24"/>
          <w:lang w:val="en-ZA"/>
        </w:rPr>
      </w:pPr>
    </w:p>
    <w:p w14:paraId="094CA573" w14:textId="77777777" w:rsidR="00007EC6" w:rsidRDefault="00C518ED" w:rsidP="00C518E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Sublease agreements annexure </w:t>
      </w:r>
      <w:r w:rsidR="00007EC6">
        <w:rPr>
          <w:rFonts w:ascii="Times New Roman" w:hAnsi="Times New Roman" w:cs="Times New Roman"/>
          <w:i/>
          <w:iCs/>
          <w:sz w:val="24"/>
          <w:szCs w:val="24"/>
          <w:lang w:val="en-ZA"/>
        </w:rPr>
        <w:t>“</w:t>
      </w:r>
      <w:proofErr w:type="spellStart"/>
      <w:r w:rsidR="00007EC6">
        <w:rPr>
          <w:rFonts w:ascii="Times New Roman" w:hAnsi="Times New Roman" w:cs="Times New Roman"/>
          <w:i/>
          <w:iCs/>
          <w:sz w:val="24"/>
          <w:szCs w:val="24"/>
          <w:lang w:val="en-ZA"/>
        </w:rPr>
        <w:t>Khitione</w:t>
      </w:r>
      <w:proofErr w:type="spellEnd"/>
      <w:r w:rsidR="00007EC6">
        <w:rPr>
          <w:rFonts w:ascii="Times New Roman" w:hAnsi="Times New Roman" w:cs="Times New Roman"/>
          <w:i/>
          <w:iCs/>
          <w:sz w:val="24"/>
          <w:szCs w:val="24"/>
          <w:lang w:val="en-ZA"/>
        </w:rPr>
        <w:t xml:space="preserve"> 1” are unenforceable because they contravene the Land Act, 2010 and in terms of clause 5.1 thereof, 1</w:t>
      </w:r>
      <w:r w:rsidR="00007EC6" w:rsidRPr="00007EC6">
        <w:rPr>
          <w:rFonts w:ascii="Times New Roman" w:hAnsi="Times New Roman" w:cs="Times New Roman"/>
          <w:i/>
          <w:iCs/>
          <w:sz w:val="24"/>
          <w:szCs w:val="24"/>
          <w:vertAlign w:val="superscript"/>
          <w:lang w:val="en-ZA"/>
        </w:rPr>
        <w:t>st</w:t>
      </w:r>
      <w:r w:rsidR="00007EC6">
        <w:rPr>
          <w:rFonts w:ascii="Times New Roman" w:hAnsi="Times New Roman" w:cs="Times New Roman"/>
          <w:i/>
          <w:iCs/>
          <w:sz w:val="24"/>
          <w:szCs w:val="24"/>
          <w:lang w:val="en-ZA"/>
        </w:rPr>
        <w:t xml:space="preserve"> Respondent is not entitled to use land if the agreement </w:t>
      </w:r>
      <w:proofErr w:type="gramStart"/>
      <w:r w:rsidR="00007EC6">
        <w:rPr>
          <w:rFonts w:ascii="Times New Roman" w:hAnsi="Times New Roman" w:cs="Times New Roman"/>
          <w:i/>
          <w:iCs/>
          <w:sz w:val="24"/>
          <w:szCs w:val="24"/>
          <w:lang w:val="en-ZA"/>
        </w:rPr>
        <w:t>contravene</w:t>
      </w:r>
      <w:proofErr w:type="gramEnd"/>
      <w:r w:rsidR="00007EC6">
        <w:rPr>
          <w:rFonts w:ascii="Times New Roman" w:hAnsi="Times New Roman" w:cs="Times New Roman"/>
          <w:i/>
          <w:iCs/>
          <w:sz w:val="24"/>
          <w:szCs w:val="24"/>
          <w:lang w:val="en-ZA"/>
        </w:rPr>
        <w:t xml:space="preserve"> the Land Act 2010. I wish to disclose that the Land Act has not been complied with in that the certificate of allocation of the Applicants clearly dictates that the land, subject matter herein, is designed for agricultural purposes only but he 1</w:t>
      </w:r>
      <w:r w:rsidR="00007EC6" w:rsidRPr="00007EC6">
        <w:rPr>
          <w:rFonts w:ascii="Times New Roman" w:hAnsi="Times New Roman" w:cs="Times New Roman"/>
          <w:i/>
          <w:iCs/>
          <w:sz w:val="24"/>
          <w:szCs w:val="24"/>
          <w:vertAlign w:val="superscript"/>
          <w:lang w:val="en-ZA"/>
        </w:rPr>
        <w:t>st</w:t>
      </w:r>
      <w:r w:rsidR="00007EC6">
        <w:rPr>
          <w:rFonts w:ascii="Times New Roman" w:hAnsi="Times New Roman" w:cs="Times New Roman"/>
          <w:i/>
          <w:iCs/>
          <w:sz w:val="24"/>
          <w:szCs w:val="24"/>
          <w:lang w:val="en-ZA"/>
        </w:rPr>
        <w:t xml:space="preserve"> Respondent is not using these fields for agricultural purposes solely but is using them in contravention of the terms of allocation…”</w:t>
      </w:r>
    </w:p>
    <w:p w14:paraId="658002FF" w14:textId="77777777" w:rsidR="00007EC6" w:rsidRDefault="00007EC6" w:rsidP="00007EC6">
      <w:pPr>
        <w:spacing w:after="0" w:line="360" w:lineRule="auto"/>
        <w:ind w:right="1008"/>
        <w:jc w:val="both"/>
        <w:rPr>
          <w:rFonts w:ascii="Times New Roman" w:hAnsi="Times New Roman" w:cs="Times New Roman"/>
          <w:i/>
          <w:iCs/>
          <w:sz w:val="24"/>
          <w:szCs w:val="24"/>
          <w:lang w:val="en-ZA"/>
        </w:rPr>
      </w:pPr>
    </w:p>
    <w:p w14:paraId="0350A0D9" w14:textId="2F3F285B" w:rsidR="00775875" w:rsidRDefault="00775875" w:rsidP="00775875">
      <w:pPr>
        <w:spacing w:after="0" w:line="36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 xml:space="preserve">This application is opposed.  Mr </w:t>
      </w:r>
      <w:proofErr w:type="spellStart"/>
      <w:r>
        <w:rPr>
          <w:rFonts w:ascii="Times New Roman" w:hAnsi="Times New Roman" w:cs="Times New Roman"/>
          <w:sz w:val="28"/>
          <w:szCs w:val="28"/>
          <w:lang w:val="en-ZA"/>
        </w:rPr>
        <w:t>Lebohang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Ramakhula</w:t>
      </w:r>
      <w:proofErr w:type="spellEnd"/>
      <w:r>
        <w:rPr>
          <w:rFonts w:ascii="Times New Roman" w:hAnsi="Times New Roman" w:cs="Times New Roman"/>
          <w:sz w:val="28"/>
          <w:szCs w:val="28"/>
          <w:lang w:val="en-ZA"/>
        </w:rPr>
        <w:t xml:space="preserve"> deposed to an answering affidavit on behalf of the 1</w:t>
      </w:r>
      <w:r w:rsidRPr="0077587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in it</w:t>
      </w:r>
      <w:r w:rsidR="00D036FC">
        <w:rPr>
          <w:rFonts w:ascii="Times New Roman" w:hAnsi="Times New Roman" w:cs="Times New Roman"/>
          <w:sz w:val="28"/>
          <w:szCs w:val="28"/>
          <w:lang w:val="en-ZA"/>
        </w:rPr>
        <w:t>,</w:t>
      </w:r>
      <w:r>
        <w:rPr>
          <w:rFonts w:ascii="Times New Roman" w:hAnsi="Times New Roman" w:cs="Times New Roman"/>
          <w:sz w:val="28"/>
          <w:szCs w:val="28"/>
          <w:lang w:val="en-ZA"/>
        </w:rPr>
        <w:t xml:space="preserve"> raised three of the so-called points </w:t>
      </w:r>
      <w:r w:rsidRPr="00775875">
        <w:rPr>
          <w:rFonts w:ascii="Times New Roman" w:hAnsi="Times New Roman" w:cs="Times New Roman"/>
          <w:sz w:val="28"/>
          <w:szCs w:val="28"/>
          <w:lang w:val="en-ZA"/>
        </w:rPr>
        <w:t>in</w:t>
      </w:r>
      <w:r w:rsidRPr="00775875">
        <w:rPr>
          <w:rFonts w:ascii="Times New Roman" w:hAnsi="Times New Roman" w:cs="Times New Roman"/>
          <w:i/>
          <w:iCs/>
          <w:sz w:val="28"/>
          <w:szCs w:val="28"/>
          <w:lang w:val="en-ZA"/>
        </w:rPr>
        <w:t xml:space="preserve"> </w:t>
      </w:r>
      <w:proofErr w:type="spellStart"/>
      <w:r w:rsidRPr="00775875">
        <w:rPr>
          <w:rFonts w:ascii="Times New Roman" w:hAnsi="Times New Roman" w:cs="Times New Roman"/>
          <w:i/>
          <w:iCs/>
          <w:sz w:val="28"/>
          <w:szCs w:val="28"/>
          <w:lang w:val="en-ZA"/>
        </w:rPr>
        <w:t>limine</w:t>
      </w:r>
      <w:proofErr w:type="spellEnd"/>
      <w:r w:rsidRPr="00775875">
        <w:rPr>
          <w:rFonts w:ascii="Times New Roman" w:hAnsi="Times New Roman" w:cs="Times New Roman"/>
          <w:i/>
          <w:iCs/>
          <w:sz w:val="28"/>
          <w:szCs w:val="28"/>
          <w:lang w:val="en-ZA"/>
        </w:rPr>
        <w:t>,</w:t>
      </w:r>
      <w:r>
        <w:rPr>
          <w:rFonts w:ascii="Times New Roman" w:hAnsi="Times New Roman" w:cs="Times New Roman"/>
          <w:sz w:val="28"/>
          <w:szCs w:val="28"/>
          <w:lang w:val="en-ZA"/>
        </w:rPr>
        <w:t xml:space="preserve"> namely:</w:t>
      </w:r>
    </w:p>
    <w:p w14:paraId="2EA2FEA3" w14:textId="77777777" w:rsidR="00775875" w:rsidRPr="00775875" w:rsidRDefault="00775875" w:rsidP="00775875">
      <w:pPr>
        <w:spacing w:after="0" w:line="360" w:lineRule="auto"/>
        <w:ind w:left="720" w:hanging="720"/>
        <w:jc w:val="both"/>
        <w:rPr>
          <w:rFonts w:ascii="Times New Roman" w:hAnsi="Times New Roman" w:cs="Times New Roman"/>
          <w:sz w:val="28"/>
          <w:szCs w:val="28"/>
          <w:lang w:val="en-ZA"/>
        </w:rPr>
      </w:pPr>
    </w:p>
    <w:p w14:paraId="77A3909D" w14:textId="24FC026E" w:rsidR="00775875" w:rsidRPr="00775875" w:rsidRDefault="00775875" w:rsidP="00775875">
      <w:pPr>
        <w:pStyle w:val="ListParagraph"/>
        <w:numPr>
          <w:ilvl w:val="0"/>
          <w:numId w:val="2"/>
        </w:numPr>
        <w:spacing w:after="0" w:line="360" w:lineRule="auto"/>
        <w:jc w:val="both"/>
        <w:rPr>
          <w:rFonts w:ascii="Times New Roman" w:hAnsi="Times New Roman" w:cs="Times New Roman"/>
          <w:sz w:val="28"/>
          <w:szCs w:val="28"/>
          <w:lang w:val="en-ZA"/>
        </w:rPr>
      </w:pPr>
      <w:r w:rsidRPr="00775875">
        <w:rPr>
          <w:rFonts w:ascii="Times New Roman" w:hAnsi="Times New Roman" w:cs="Times New Roman"/>
          <w:sz w:val="28"/>
          <w:szCs w:val="28"/>
          <w:lang w:val="en-ZA"/>
        </w:rPr>
        <w:t>Notice of motion is fatally defective</w:t>
      </w:r>
      <w:r w:rsidR="00D036FC">
        <w:rPr>
          <w:rFonts w:ascii="Times New Roman" w:hAnsi="Times New Roman" w:cs="Times New Roman"/>
          <w:sz w:val="28"/>
          <w:szCs w:val="28"/>
          <w:lang w:val="en-ZA"/>
        </w:rPr>
        <w:t>;</w:t>
      </w:r>
    </w:p>
    <w:p w14:paraId="52CBA8C3" w14:textId="0C0C4CDF" w:rsidR="00775875" w:rsidRPr="00775875" w:rsidRDefault="00775875" w:rsidP="00775875">
      <w:pPr>
        <w:pStyle w:val="ListParagraph"/>
        <w:numPr>
          <w:ilvl w:val="0"/>
          <w:numId w:val="2"/>
        </w:numPr>
        <w:spacing w:after="0" w:line="360" w:lineRule="auto"/>
        <w:jc w:val="both"/>
        <w:rPr>
          <w:rFonts w:ascii="Times New Roman" w:hAnsi="Times New Roman" w:cs="Times New Roman"/>
          <w:sz w:val="28"/>
          <w:szCs w:val="28"/>
          <w:lang w:val="en-ZA"/>
        </w:rPr>
      </w:pPr>
      <w:r w:rsidRPr="00775875">
        <w:rPr>
          <w:rFonts w:ascii="Times New Roman" w:hAnsi="Times New Roman" w:cs="Times New Roman"/>
          <w:sz w:val="28"/>
          <w:szCs w:val="28"/>
          <w:lang w:val="en-ZA"/>
        </w:rPr>
        <w:t>Lack of urgency of the matter</w:t>
      </w:r>
      <w:r w:rsidR="00D036FC">
        <w:rPr>
          <w:rFonts w:ascii="Times New Roman" w:hAnsi="Times New Roman" w:cs="Times New Roman"/>
          <w:sz w:val="28"/>
          <w:szCs w:val="28"/>
          <w:lang w:val="en-ZA"/>
        </w:rPr>
        <w:t>; and</w:t>
      </w:r>
    </w:p>
    <w:p w14:paraId="24B29242" w14:textId="54A52177" w:rsidR="00CE0EFC" w:rsidRPr="00775875" w:rsidRDefault="00775875" w:rsidP="00775875">
      <w:pPr>
        <w:pStyle w:val="ListParagraph"/>
        <w:numPr>
          <w:ilvl w:val="0"/>
          <w:numId w:val="2"/>
        </w:numPr>
        <w:spacing w:after="0" w:line="360" w:lineRule="auto"/>
        <w:jc w:val="both"/>
        <w:rPr>
          <w:rFonts w:ascii="Times New Roman" w:hAnsi="Times New Roman" w:cs="Times New Roman"/>
          <w:sz w:val="28"/>
          <w:szCs w:val="28"/>
          <w:lang w:val="en-ZA"/>
        </w:rPr>
      </w:pPr>
      <w:r w:rsidRPr="00775875">
        <w:rPr>
          <w:rFonts w:ascii="Times New Roman" w:hAnsi="Times New Roman" w:cs="Times New Roman"/>
          <w:sz w:val="28"/>
          <w:szCs w:val="28"/>
          <w:lang w:val="en-ZA"/>
        </w:rPr>
        <w:t>The requirements for an interim interdict not satisfied.</w:t>
      </w:r>
      <w:r w:rsidR="00C518ED" w:rsidRPr="00775875">
        <w:rPr>
          <w:rFonts w:ascii="Times New Roman" w:hAnsi="Times New Roman" w:cs="Times New Roman"/>
          <w:sz w:val="28"/>
          <w:szCs w:val="28"/>
          <w:lang w:val="en-ZA"/>
        </w:rPr>
        <w:t xml:space="preserve"> </w:t>
      </w:r>
    </w:p>
    <w:p w14:paraId="0C29BC14" w14:textId="77777777" w:rsidR="00751490" w:rsidRPr="00775875" w:rsidRDefault="00751490" w:rsidP="00660995">
      <w:pPr>
        <w:spacing w:after="0" w:line="360" w:lineRule="auto"/>
        <w:ind w:left="720" w:hanging="720"/>
        <w:jc w:val="both"/>
        <w:rPr>
          <w:rFonts w:ascii="Times New Roman" w:hAnsi="Times New Roman" w:cs="Times New Roman"/>
          <w:sz w:val="28"/>
          <w:szCs w:val="28"/>
          <w:lang w:val="en-ZA"/>
        </w:rPr>
      </w:pPr>
    </w:p>
    <w:p w14:paraId="68B3AB85" w14:textId="6793F687" w:rsidR="00FA2D66" w:rsidRDefault="00D036FC" w:rsidP="00D036FC">
      <w:pPr>
        <w:spacing w:after="0" w:line="360" w:lineRule="auto"/>
        <w:ind w:left="113"/>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[7]     </w:t>
      </w:r>
      <w:r w:rsidR="00775875">
        <w:rPr>
          <w:rFonts w:ascii="Times New Roman" w:hAnsi="Times New Roman" w:cs="Times New Roman"/>
          <w:sz w:val="28"/>
          <w:szCs w:val="28"/>
          <w:lang w:val="en-ZA"/>
        </w:rPr>
        <w:t>On the merits the 1</w:t>
      </w:r>
      <w:r w:rsidR="00775875" w:rsidRPr="00775875">
        <w:rPr>
          <w:rFonts w:ascii="Times New Roman" w:hAnsi="Times New Roman" w:cs="Times New Roman"/>
          <w:sz w:val="28"/>
          <w:szCs w:val="28"/>
          <w:vertAlign w:val="superscript"/>
          <w:lang w:val="en-ZA"/>
        </w:rPr>
        <w:t>st</w:t>
      </w:r>
      <w:r w:rsidR="00775875">
        <w:rPr>
          <w:rFonts w:ascii="Times New Roman" w:hAnsi="Times New Roman" w:cs="Times New Roman"/>
          <w:sz w:val="28"/>
          <w:szCs w:val="28"/>
          <w:lang w:val="en-ZA"/>
        </w:rPr>
        <w:t xml:space="preserve"> respondent aver that it has not contravened the provisions </w:t>
      </w:r>
      <w:r>
        <w:rPr>
          <w:rFonts w:ascii="Times New Roman" w:hAnsi="Times New Roman" w:cs="Times New Roman"/>
          <w:sz w:val="28"/>
          <w:szCs w:val="28"/>
          <w:lang w:val="en-ZA"/>
        </w:rPr>
        <w:t xml:space="preserve">  </w:t>
      </w:r>
      <w:r>
        <w:rPr>
          <w:rFonts w:ascii="Times New Roman" w:hAnsi="Times New Roman" w:cs="Times New Roman"/>
          <w:sz w:val="28"/>
          <w:szCs w:val="28"/>
          <w:lang w:val="en-ZA"/>
        </w:rPr>
        <w:tab/>
        <w:t xml:space="preserve"> </w:t>
      </w:r>
      <w:r w:rsidR="00775875">
        <w:rPr>
          <w:rFonts w:ascii="Times New Roman" w:hAnsi="Times New Roman" w:cs="Times New Roman"/>
          <w:sz w:val="28"/>
          <w:szCs w:val="28"/>
          <w:lang w:val="en-ZA"/>
        </w:rPr>
        <w:t xml:space="preserve">of the Land Act, </w:t>
      </w:r>
      <w:proofErr w:type="spellStart"/>
      <w:r w:rsidR="00775875">
        <w:rPr>
          <w:rFonts w:ascii="Times New Roman" w:hAnsi="Times New Roman" w:cs="Times New Roman"/>
          <w:sz w:val="28"/>
          <w:szCs w:val="28"/>
          <w:lang w:val="en-ZA"/>
        </w:rPr>
        <w:t>moreso</w:t>
      </w:r>
      <w:proofErr w:type="spellEnd"/>
      <w:r w:rsidR="00775875">
        <w:rPr>
          <w:rFonts w:ascii="Times New Roman" w:hAnsi="Times New Roman" w:cs="Times New Roman"/>
          <w:sz w:val="28"/>
          <w:szCs w:val="28"/>
          <w:lang w:val="en-ZA"/>
        </w:rPr>
        <w:t xml:space="preserve"> when the applicants do not point to a specific </w:t>
      </w:r>
      <w:r>
        <w:rPr>
          <w:rFonts w:ascii="Times New Roman" w:hAnsi="Times New Roman" w:cs="Times New Roman"/>
          <w:sz w:val="28"/>
          <w:szCs w:val="28"/>
          <w:lang w:val="en-ZA"/>
        </w:rPr>
        <w:lastRenderedPageBreak/>
        <w:tab/>
      </w:r>
      <w:r w:rsidR="00775875">
        <w:rPr>
          <w:rFonts w:ascii="Times New Roman" w:hAnsi="Times New Roman" w:cs="Times New Roman"/>
          <w:sz w:val="28"/>
          <w:szCs w:val="28"/>
          <w:lang w:val="en-ZA"/>
        </w:rPr>
        <w:t xml:space="preserve">provision which they alleged was contravened.  It avers that it has been issued </w:t>
      </w:r>
      <w:r>
        <w:rPr>
          <w:rFonts w:ascii="Times New Roman" w:hAnsi="Times New Roman" w:cs="Times New Roman"/>
          <w:sz w:val="28"/>
          <w:szCs w:val="28"/>
          <w:lang w:val="en-ZA"/>
        </w:rPr>
        <w:tab/>
      </w:r>
      <w:r w:rsidR="00775875">
        <w:rPr>
          <w:rFonts w:ascii="Times New Roman" w:hAnsi="Times New Roman" w:cs="Times New Roman"/>
          <w:sz w:val="28"/>
          <w:szCs w:val="28"/>
          <w:lang w:val="en-ZA"/>
        </w:rPr>
        <w:t xml:space="preserve">with a valid licence for the cultivation, manufacturing, supply, hold, import </w:t>
      </w:r>
      <w:r>
        <w:rPr>
          <w:rFonts w:ascii="Times New Roman" w:hAnsi="Times New Roman" w:cs="Times New Roman"/>
          <w:sz w:val="28"/>
          <w:szCs w:val="28"/>
          <w:lang w:val="en-ZA"/>
        </w:rPr>
        <w:tab/>
      </w:r>
      <w:r w:rsidR="00775875">
        <w:rPr>
          <w:rFonts w:ascii="Times New Roman" w:hAnsi="Times New Roman" w:cs="Times New Roman"/>
          <w:sz w:val="28"/>
          <w:szCs w:val="28"/>
          <w:lang w:val="en-ZA"/>
        </w:rPr>
        <w:t xml:space="preserve">and export and transit </w:t>
      </w:r>
      <w:r w:rsidR="00563FE1">
        <w:rPr>
          <w:rFonts w:ascii="Times New Roman" w:hAnsi="Times New Roman" w:cs="Times New Roman"/>
          <w:sz w:val="28"/>
          <w:szCs w:val="28"/>
          <w:lang w:val="en-ZA"/>
        </w:rPr>
        <w:t xml:space="preserve">of cannabis and/or cannabis resin in terms of section 12 </w:t>
      </w:r>
      <w:r>
        <w:rPr>
          <w:rFonts w:ascii="Times New Roman" w:hAnsi="Times New Roman" w:cs="Times New Roman"/>
          <w:sz w:val="28"/>
          <w:szCs w:val="28"/>
          <w:lang w:val="en-ZA"/>
        </w:rPr>
        <w:tab/>
      </w:r>
      <w:r w:rsidR="00563FE1">
        <w:rPr>
          <w:rFonts w:ascii="Times New Roman" w:hAnsi="Times New Roman" w:cs="Times New Roman"/>
          <w:sz w:val="28"/>
          <w:szCs w:val="28"/>
          <w:lang w:val="en-ZA"/>
        </w:rPr>
        <w:t>of the Drugs of Abuse Act, of 2008.</w:t>
      </w:r>
    </w:p>
    <w:p w14:paraId="3F832530" w14:textId="25367E74" w:rsidR="00563FE1" w:rsidRDefault="00563FE1" w:rsidP="00563FE1">
      <w:pPr>
        <w:spacing w:after="0" w:line="360" w:lineRule="auto"/>
        <w:jc w:val="both"/>
        <w:rPr>
          <w:rFonts w:ascii="Times New Roman" w:hAnsi="Times New Roman" w:cs="Times New Roman"/>
          <w:sz w:val="28"/>
          <w:szCs w:val="28"/>
          <w:lang w:val="en-ZA"/>
        </w:rPr>
      </w:pPr>
    </w:p>
    <w:p w14:paraId="369DDDB7" w14:textId="0C640668" w:rsidR="00563FE1" w:rsidRDefault="00563FE1" w:rsidP="00D835C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D036FC">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On the question of contravention of the Act </w:t>
      </w:r>
      <w:r w:rsidR="00D036FC">
        <w:rPr>
          <w:rFonts w:ascii="Times New Roman" w:hAnsi="Times New Roman" w:cs="Times New Roman"/>
          <w:sz w:val="28"/>
          <w:szCs w:val="28"/>
          <w:lang w:val="en-ZA"/>
        </w:rPr>
        <w:t xml:space="preserve">regarding </w:t>
      </w:r>
      <w:r>
        <w:rPr>
          <w:rFonts w:ascii="Times New Roman" w:hAnsi="Times New Roman" w:cs="Times New Roman"/>
          <w:sz w:val="28"/>
          <w:szCs w:val="28"/>
          <w:lang w:val="en-ZA"/>
        </w:rPr>
        <w:t>failure to register the sublease agreements, the 1</w:t>
      </w:r>
      <w:r w:rsidRPr="00563FE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contend</w:t>
      </w:r>
      <w:r w:rsidR="00D036FC">
        <w:rPr>
          <w:rFonts w:ascii="Times New Roman" w:hAnsi="Times New Roman" w:cs="Times New Roman"/>
          <w:sz w:val="28"/>
          <w:szCs w:val="28"/>
          <w:lang w:val="en-ZA"/>
        </w:rPr>
        <w:t>s</w:t>
      </w:r>
      <w:r>
        <w:rPr>
          <w:rFonts w:ascii="Times New Roman" w:hAnsi="Times New Roman" w:cs="Times New Roman"/>
          <w:sz w:val="28"/>
          <w:szCs w:val="28"/>
          <w:lang w:val="en-ZA"/>
        </w:rPr>
        <w:t xml:space="preserve"> that the sublease agreement</w:t>
      </w:r>
      <w:r w:rsidR="00D036FC">
        <w:rPr>
          <w:rFonts w:ascii="Times New Roman" w:hAnsi="Times New Roman" w:cs="Times New Roman"/>
          <w:sz w:val="28"/>
          <w:szCs w:val="28"/>
          <w:lang w:val="en-ZA"/>
        </w:rPr>
        <w:t>s</w:t>
      </w:r>
      <w:r>
        <w:rPr>
          <w:rFonts w:ascii="Times New Roman" w:hAnsi="Times New Roman" w:cs="Times New Roman"/>
          <w:sz w:val="28"/>
          <w:szCs w:val="28"/>
          <w:lang w:val="en-ZA"/>
        </w:rPr>
        <w:t xml:space="preserve"> </w:t>
      </w:r>
      <w:r w:rsidR="00D835C9">
        <w:rPr>
          <w:rFonts w:ascii="Times New Roman" w:hAnsi="Times New Roman" w:cs="Times New Roman"/>
          <w:sz w:val="28"/>
          <w:szCs w:val="28"/>
          <w:lang w:val="en-ZA"/>
        </w:rPr>
        <w:t xml:space="preserve">must be registered within three months, but that should only </w:t>
      </w:r>
      <w:r w:rsidR="00D036FC">
        <w:rPr>
          <w:rFonts w:ascii="Times New Roman" w:hAnsi="Times New Roman" w:cs="Times New Roman"/>
          <w:sz w:val="28"/>
          <w:szCs w:val="28"/>
          <w:lang w:val="en-ZA"/>
        </w:rPr>
        <w:t xml:space="preserve">be </w:t>
      </w:r>
      <w:r w:rsidR="00D835C9">
        <w:rPr>
          <w:rFonts w:ascii="Times New Roman" w:hAnsi="Times New Roman" w:cs="Times New Roman"/>
          <w:sz w:val="28"/>
          <w:szCs w:val="28"/>
          <w:lang w:val="en-ZA"/>
        </w:rPr>
        <w:t>after consent has been given</w:t>
      </w:r>
      <w:r w:rsidR="00D036FC">
        <w:rPr>
          <w:rFonts w:ascii="Times New Roman" w:hAnsi="Times New Roman" w:cs="Times New Roman"/>
          <w:sz w:val="28"/>
          <w:szCs w:val="28"/>
          <w:lang w:val="en-ZA"/>
        </w:rPr>
        <w:t>.</w:t>
      </w:r>
      <w:r w:rsidR="00D835C9">
        <w:rPr>
          <w:rFonts w:ascii="Times New Roman" w:hAnsi="Times New Roman" w:cs="Times New Roman"/>
          <w:sz w:val="28"/>
          <w:szCs w:val="28"/>
          <w:lang w:val="en-ZA"/>
        </w:rPr>
        <w:t xml:space="preserve"> </w:t>
      </w:r>
      <w:r w:rsidR="00D036FC">
        <w:rPr>
          <w:rFonts w:ascii="Times New Roman" w:hAnsi="Times New Roman" w:cs="Times New Roman"/>
          <w:sz w:val="28"/>
          <w:szCs w:val="28"/>
          <w:lang w:val="en-ZA"/>
        </w:rPr>
        <w:t>T</w:t>
      </w:r>
      <w:r w:rsidR="00D835C9">
        <w:rPr>
          <w:rFonts w:ascii="Times New Roman" w:hAnsi="Times New Roman" w:cs="Times New Roman"/>
          <w:sz w:val="28"/>
          <w:szCs w:val="28"/>
          <w:lang w:val="en-ZA"/>
        </w:rPr>
        <w:t>he</w:t>
      </w:r>
      <w:r w:rsidR="00D036FC">
        <w:rPr>
          <w:rFonts w:ascii="Times New Roman" w:hAnsi="Times New Roman" w:cs="Times New Roman"/>
          <w:sz w:val="28"/>
          <w:szCs w:val="28"/>
          <w:lang w:val="en-ZA"/>
        </w:rPr>
        <w:t xml:space="preserve"> 1respondent aver that the</w:t>
      </w:r>
      <w:r w:rsidR="00D835C9">
        <w:rPr>
          <w:rFonts w:ascii="Times New Roman" w:hAnsi="Times New Roman" w:cs="Times New Roman"/>
          <w:sz w:val="28"/>
          <w:szCs w:val="28"/>
          <w:lang w:val="en-ZA"/>
        </w:rPr>
        <w:t xml:space="preserve"> Act places no obligation on it to seek consent before concluding an agreement of sublease.  It contends that the obligation to register the sublease agreement arises once consent has been given, and for the reason</w:t>
      </w:r>
      <w:r w:rsidR="00D036FC">
        <w:rPr>
          <w:rFonts w:ascii="Times New Roman" w:hAnsi="Times New Roman" w:cs="Times New Roman"/>
          <w:sz w:val="28"/>
          <w:szCs w:val="28"/>
          <w:lang w:val="en-ZA"/>
        </w:rPr>
        <w:t>,</w:t>
      </w:r>
      <w:r w:rsidR="00D835C9">
        <w:rPr>
          <w:rFonts w:ascii="Times New Roman" w:hAnsi="Times New Roman" w:cs="Times New Roman"/>
          <w:sz w:val="28"/>
          <w:szCs w:val="28"/>
          <w:lang w:val="en-ZA"/>
        </w:rPr>
        <w:t xml:space="preserve"> in the present matter no consent has been given, no obligation arises to register the sublease agreements.</w:t>
      </w:r>
    </w:p>
    <w:p w14:paraId="3F6A6A37" w14:textId="70798A28" w:rsidR="00D835C9" w:rsidRDefault="00D835C9" w:rsidP="00D835C9">
      <w:pPr>
        <w:spacing w:after="0" w:line="360" w:lineRule="auto"/>
        <w:jc w:val="both"/>
        <w:rPr>
          <w:rFonts w:ascii="Times New Roman" w:hAnsi="Times New Roman" w:cs="Times New Roman"/>
          <w:sz w:val="28"/>
          <w:szCs w:val="28"/>
          <w:lang w:val="en-ZA"/>
        </w:rPr>
      </w:pPr>
    </w:p>
    <w:p w14:paraId="01B619FF" w14:textId="73A64D17" w:rsidR="00D835C9" w:rsidRDefault="00D835C9" w:rsidP="00D835C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5125DD">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2BFCF977" w14:textId="78F6AC73" w:rsidR="00D835C9" w:rsidRDefault="003279A4" w:rsidP="00D835C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so-called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raised by the 1</w:t>
      </w:r>
      <w:r w:rsidRPr="003279A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p>
    <w:p w14:paraId="2A42B19D" w14:textId="15595B17" w:rsidR="003279A4" w:rsidRDefault="003279A4" w:rsidP="00D835C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(ii)</w:t>
      </w:r>
      <w:r>
        <w:rPr>
          <w:rFonts w:ascii="Times New Roman" w:hAnsi="Times New Roman" w:cs="Times New Roman"/>
          <w:sz w:val="28"/>
          <w:szCs w:val="28"/>
          <w:lang w:val="en-ZA"/>
        </w:rPr>
        <w:tab/>
        <w:t>The merits of the application</w:t>
      </w:r>
    </w:p>
    <w:p w14:paraId="20083FC6" w14:textId="77834E2B" w:rsidR="003279A4" w:rsidRDefault="003279A4" w:rsidP="00D835C9">
      <w:pPr>
        <w:spacing w:after="0" w:line="360" w:lineRule="auto"/>
        <w:jc w:val="both"/>
        <w:rPr>
          <w:rFonts w:ascii="Times New Roman" w:hAnsi="Times New Roman" w:cs="Times New Roman"/>
          <w:sz w:val="28"/>
          <w:szCs w:val="28"/>
          <w:lang w:val="en-ZA"/>
        </w:rPr>
      </w:pPr>
    </w:p>
    <w:p w14:paraId="035AAD27" w14:textId="088EBFEB" w:rsidR="003279A4" w:rsidRPr="003279A4" w:rsidRDefault="003279A4" w:rsidP="00D835C9">
      <w:pPr>
        <w:spacing w:after="0" w:line="360" w:lineRule="auto"/>
        <w:jc w:val="both"/>
        <w:rPr>
          <w:rFonts w:ascii="Times New Roman" w:hAnsi="Times New Roman" w:cs="Times New Roman"/>
          <w:i/>
          <w:iCs/>
          <w:sz w:val="28"/>
          <w:szCs w:val="28"/>
          <w:lang w:val="en-ZA"/>
        </w:rPr>
      </w:pPr>
      <w:r>
        <w:rPr>
          <w:rFonts w:ascii="Times New Roman" w:hAnsi="Times New Roman" w:cs="Times New Roman"/>
          <w:sz w:val="28"/>
          <w:szCs w:val="28"/>
          <w:lang w:val="en-ZA"/>
        </w:rPr>
        <w:t>[</w:t>
      </w:r>
      <w:r w:rsidR="005125DD">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Points in </w:t>
      </w:r>
      <w:proofErr w:type="spellStart"/>
      <w:r>
        <w:rPr>
          <w:rFonts w:ascii="Times New Roman" w:hAnsi="Times New Roman" w:cs="Times New Roman"/>
          <w:b/>
          <w:bCs/>
          <w:i/>
          <w:iCs/>
          <w:sz w:val="28"/>
          <w:szCs w:val="28"/>
          <w:lang w:val="en-ZA"/>
        </w:rPr>
        <w:t>limine</w:t>
      </w:r>
      <w:proofErr w:type="spellEnd"/>
    </w:p>
    <w:p w14:paraId="7B28EE58" w14:textId="13FD089D" w:rsidR="00FA2D66" w:rsidRDefault="00FA2D66"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3279A4">
        <w:rPr>
          <w:rFonts w:ascii="Times New Roman" w:hAnsi="Times New Roman" w:cs="Times New Roman"/>
          <w:sz w:val="28"/>
          <w:szCs w:val="28"/>
          <w:lang w:val="en-ZA"/>
        </w:rPr>
        <w:t xml:space="preserve">All points in </w:t>
      </w:r>
      <w:proofErr w:type="spellStart"/>
      <w:r w:rsidR="003279A4">
        <w:rPr>
          <w:rFonts w:ascii="Times New Roman" w:hAnsi="Times New Roman" w:cs="Times New Roman"/>
          <w:i/>
          <w:iCs/>
          <w:sz w:val="28"/>
          <w:szCs w:val="28"/>
          <w:lang w:val="en-ZA"/>
        </w:rPr>
        <w:t>limine</w:t>
      </w:r>
      <w:proofErr w:type="spellEnd"/>
      <w:r w:rsidR="003279A4">
        <w:rPr>
          <w:rFonts w:ascii="Times New Roman" w:hAnsi="Times New Roman" w:cs="Times New Roman"/>
          <w:sz w:val="28"/>
          <w:szCs w:val="28"/>
          <w:lang w:val="en-ZA"/>
        </w:rPr>
        <w:t xml:space="preserve"> are without any merit, and much need not be said in that regard.  As regards lack of urgency and interim interdict, the issues had passed their sell-by dates as the court had ruled when the matter was moved the first day, that the matter was not urgent.  Equally the relief relating to interim interdict was not granted.  The parties were instead directed to ensure that the matter is heard to finality</w:t>
      </w:r>
      <w:r w:rsidR="006C6032">
        <w:rPr>
          <w:rFonts w:ascii="Times New Roman" w:hAnsi="Times New Roman" w:cs="Times New Roman"/>
          <w:sz w:val="28"/>
          <w:szCs w:val="28"/>
          <w:lang w:val="en-ZA"/>
        </w:rPr>
        <w:t xml:space="preserve"> at the earliest opp</w:t>
      </w:r>
      <w:r w:rsidR="00193730">
        <w:rPr>
          <w:rFonts w:ascii="Times New Roman" w:hAnsi="Times New Roman" w:cs="Times New Roman"/>
          <w:sz w:val="28"/>
          <w:szCs w:val="28"/>
          <w:lang w:val="en-ZA"/>
        </w:rPr>
        <w:t>o</w:t>
      </w:r>
      <w:r w:rsidR="006C6032">
        <w:rPr>
          <w:rFonts w:ascii="Times New Roman" w:hAnsi="Times New Roman" w:cs="Times New Roman"/>
          <w:sz w:val="28"/>
          <w:szCs w:val="28"/>
          <w:lang w:val="en-ZA"/>
        </w:rPr>
        <w:t>rtunity</w:t>
      </w:r>
      <w:r w:rsidR="003279A4">
        <w:rPr>
          <w:rFonts w:ascii="Times New Roman" w:hAnsi="Times New Roman" w:cs="Times New Roman"/>
          <w:sz w:val="28"/>
          <w:szCs w:val="28"/>
          <w:lang w:val="en-ZA"/>
        </w:rPr>
        <w:t>.</w:t>
      </w:r>
    </w:p>
    <w:p w14:paraId="45B03168" w14:textId="3B8331B7" w:rsidR="00714FCC" w:rsidRDefault="00714FCC" w:rsidP="00660995">
      <w:pPr>
        <w:spacing w:after="0" w:line="360" w:lineRule="auto"/>
        <w:ind w:left="720" w:hanging="720"/>
        <w:jc w:val="both"/>
        <w:rPr>
          <w:rFonts w:ascii="Times New Roman" w:hAnsi="Times New Roman" w:cs="Times New Roman"/>
          <w:sz w:val="28"/>
          <w:szCs w:val="28"/>
          <w:lang w:val="en-ZA"/>
        </w:rPr>
      </w:pPr>
    </w:p>
    <w:p w14:paraId="3316FD37" w14:textId="77777777" w:rsidR="00193730" w:rsidRDefault="00193730" w:rsidP="00660995">
      <w:pPr>
        <w:spacing w:after="0" w:line="360" w:lineRule="auto"/>
        <w:ind w:left="720" w:hanging="720"/>
        <w:jc w:val="both"/>
        <w:rPr>
          <w:rFonts w:ascii="Times New Roman" w:hAnsi="Times New Roman" w:cs="Times New Roman"/>
          <w:sz w:val="28"/>
          <w:szCs w:val="28"/>
          <w:lang w:val="en-ZA"/>
        </w:rPr>
      </w:pPr>
    </w:p>
    <w:p w14:paraId="097EBA07" w14:textId="340C53A5" w:rsidR="00714FCC" w:rsidRDefault="00714FCC" w:rsidP="0066099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w:t>
      </w:r>
      <w:r w:rsidR="005125DD">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The merits</w:t>
      </w:r>
    </w:p>
    <w:p w14:paraId="1B435326" w14:textId="303E33EC" w:rsidR="00714FCC" w:rsidRDefault="00714FCC"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It is the applicants’ contention that the sublease agreements are unenforceable as they contravene the Land Act, 2010.  This contention </w:t>
      </w:r>
      <w:r w:rsidR="0029231B">
        <w:rPr>
          <w:rFonts w:ascii="Times New Roman" w:hAnsi="Times New Roman" w:cs="Times New Roman"/>
          <w:sz w:val="28"/>
          <w:szCs w:val="28"/>
          <w:lang w:val="en-ZA"/>
        </w:rPr>
        <w:t xml:space="preserve">is </w:t>
      </w:r>
      <w:r>
        <w:rPr>
          <w:rFonts w:ascii="Times New Roman" w:hAnsi="Times New Roman" w:cs="Times New Roman"/>
          <w:sz w:val="28"/>
          <w:szCs w:val="28"/>
          <w:lang w:val="en-ZA"/>
        </w:rPr>
        <w:t>without any substa</w:t>
      </w:r>
      <w:r w:rsidR="00931821">
        <w:rPr>
          <w:rFonts w:ascii="Times New Roman" w:hAnsi="Times New Roman" w:cs="Times New Roman"/>
          <w:sz w:val="28"/>
          <w:szCs w:val="28"/>
          <w:lang w:val="en-ZA"/>
        </w:rPr>
        <w:t>nce</w:t>
      </w:r>
      <w:r w:rsidR="0029231B">
        <w:rPr>
          <w:rFonts w:ascii="Times New Roman" w:hAnsi="Times New Roman" w:cs="Times New Roman"/>
          <w:sz w:val="28"/>
          <w:szCs w:val="28"/>
          <w:lang w:val="en-ZA"/>
        </w:rPr>
        <w:t>.</w:t>
      </w:r>
      <w:r w:rsidR="00931821">
        <w:rPr>
          <w:rFonts w:ascii="Times New Roman" w:hAnsi="Times New Roman" w:cs="Times New Roman"/>
          <w:sz w:val="28"/>
          <w:szCs w:val="28"/>
          <w:lang w:val="en-ZA"/>
        </w:rPr>
        <w:t xml:space="preserve"> </w:t>
      </w:r>
      <w:r w:rsidR="0029231B">
        <w:rPr>
          <w:rFonts w:ascii="Times New Roman" w:hAnsi="Times New Roman" w:cs="Times New Roman"/>
          <w:sz w:val="28"/>
          <w:szCs w:val="28"/>
          <w:lang w:val="en-ZA"/>
        </w:rPr>
        <w:t>A</w:t>
      </w:r>
      <w:r w:rsidR="00931821">
        <w:rPr>
          <w:rFonts w:ascii="Times New Roman" w:hAnsi="Times New Roman" w:cs="Times New Roman"/>
          <w:sz w:val="28"/>
          <w:szCs w:val="28"/>
          <w:lang w:val="en-ZA"/>
        </w:rPr>
        <w:t>s the 1</w:t>
      </w:r>
      <w:r w:rsidR="00931821" w:rsidRPr="00931821">
        <w:rPr>
          <w:rFonts w:ascii="Times New Roman" w:hAnsi="Times New Roman" w:cs="Times New Roman"/>
          <w:sz w:val="28"/>
          <w:szCs w:val="28"/>
          <w:vertAlign w:val="superscript"/>
          <w:lang w:val="en-ZA"/>
        </w:rPr>
        <w:t>st</w:t>
      </w:r>
      <w:r w:rsidR="00931821">
        <w:rPr>
          <w:rFonts w:ascii="Times New Roman" w:hAnsi="Times New Roman" w:cs="Times New Roman"/>
          <w:sz w:val="28"/>
          <w:szCs w:val="28"/>
          <w:lang w:val="en-ZA"/>
        </w:rPr>
        <w:t xml:space="preserve"> respondent c</w:t>
      </w:r>
      <w:r w:rsidR="0029231B">
        <w:rPr>
          <w:rFonts w:ascii="Times New Roman" w:hAnsi="Times New Roman" w:cs="Times New Roman"/>
          <w:sz w:val="28"/>
          <w:szCs w:val="28"/>
          <w:lang w:val="en-ZA"/>
        </w:rPr>
        <w:t>o</w:t>
      </w:r>
      <w:r w:rsidR="00931821">
        <w:rPr>
          <w:rFonts w:ascii="Times New Roman" w:hAnsi="Times New Roman" w:cs="Times New Roman"/>
          <w:sz w:val="28"/>
          <w:szCs w:val="28"/>
          <w:lang w:val="en-ZA"/>
        </w:rPr>
        <w:t>rre</w:t>
      </w:r>
      <w:r w:rsidR="0029231B">
        <w:rPr>
          <w:rFonts w:ascii="Times New Roman" w:hAnsi="Times New Roman" w:cs="Times New Roman"/>
          <w:sz w:val="28"/>
          <w:szCs w:val="28"/>
          <w:lang w:val="en-ZA"/>
        </w:rPr>
        <w:t>c</w:t>
      </w:r>
      <w:r w:rsidR="00931821">
        <w:rPr>
          <w:rFonts w:ascii="Times New Roman" w:hAnsi="Times New Roman" w:cs="Times New Roman"/>
          <w:sz w:val="28"/>
          <w:szCs w:val="28"/>
          <w:lang w:val="en-ZA"/>
        </w:rPr>
        <w:t>tly pointed out, it has been issued with a licence for cultivation, manufacturing, supply, hold, import and transit of cannabis.  In terms of the licence</w:t>
      </w:r>
      <w:r w:rsidR="0029231B">
        <w:rPr>
          <w:rFonts w:ascii="Times New Roman" w:hAnsi="Times New Roman" w:cs="Times New Roman"/>
          <w:sz w:val="28"/>
          <w:szCs w:val="28"/>
          <w:lang w:val="en-ZA"/>
        </w:rPr>
        <w:t>,</w:t>
      </w:r>
      <w:r w:rsidR="00931821">
        <w:rPr>
          <w:rFonts w:ascii="Times New Roman" w:hAnsi="Times New Roman" w:cs="Times New Roman"/>
          <w:sz w:val="28"/>
          <w:szCs w:val="28"/>
          <w:lang w:val="en-ZA"/>
        </w:rPr>
        <w:t xml:space="preserve"> the 1</w:t>
      </w:r>
      <w:r w:rsidR="00931821" w:rsidRPr="00931821">
        <w:rPr>
          <w:rFonts w:ascii="Times New Roman" w:hAnsi="Times New Roman" w:cs="Times New Roman"/>
          <w:sz w:val="28"/>
          <w:szCs w:val="28"/>
          <w:vertAlign w:val="superscript"/>
          <w:lang w:val="en-ZA"/>
        </w:rPr>
        <w:t>st</w:t>
      </w:r>
      <w:r w:rsidR="00931821">
        <w:rPr>
          <w:rFonts w:ascii="Times New Roman" w:hAnsi="Times New Roman" w:cs="Times New Roman"/>
          <w:sz w:val="28"/>
          <w:szCs w:val="28"/>
          <w:lang w:val="en-ZA"/>
        </w:rPr>
        <w:t xml:space="preserve"> respondent is not restricted to cultivation of cannabis but is also empowered to manufacture, supply, hold import and export it.  Implicit in the activities, authorised by this licence, is that the 1</w:t>
      </w:r>
      <w:r w:rsidR="00931821" w:rsidRPr="00931821">
        <w:rPr>
          <w:rFonts w:ascii="Times New Roman" w:hAnsi="Times New Roman" w:cs="Times New Roman"/>
          <w:sz w:val="28"/>
          <w:szCs w:val="28"/>
          <w:vertAlign w:val="superscript"/>
          <w:lang w:val="en-ZA"/>
        </w:rPr>
        <w:t>st</w:t>
      </w:r>
      <w:r w:rsidR="00931821">
        <w:rPr>
          <w:rFonts w:ascii="Times New Roman" w:hAnsi="Times New Roman" w:cs="Times New Roman"/>
          <w:sz w:val="28"/>
          <w:szCs w:val="28"/>
          <w:lang w:val="en-ZA"/>
        </w:rPr>
        <w:t xml:space="preserve"> respondent is </w:t>
      </w:r>
      <w:r w:rsidR="009516B4">
        <w:rPr>
          <w:rFonts w:ascii="Times New Roman" w:hAnsi="Times New Roman" w:cs="Times New Roman"/>
          <w:sz w:val="28"/>
          <w:szCs w:val="28"/>
          <w:lang w:val="en-ZA"/>
        </w:rPr>
        <w:t>entitled to engage in a commercial and industrial cannabis enterprise.</w:t>
      </w:r>
    </w:p>
    <w:p w14:paraId="61D850D6" w14:textId="42A20399" w:rsidR="009516B4" w:rsidRDefault="009516B4" w:rsidP="00660995">
      <w:pPr>
        <w:spacing w:after="0" w:line="360" w:lineRule="auto"/>
        <w:ind w:left="720" w:hanging="720"/>
        <w:jc w:val="both"/>
        <w:rPr>
          <w:rFonts w:ascii="Times New Roman" w:hAnsi="Times New Roman" w:cs="Times New Roman"/>
          <w:sz w:val="28"/>
          <w:szCs w:val="28"/>
          <w:lang w:val="en-ZA"/>
        </w:rPr>
      </w:pPr>
    </w:p>
    <w:p w14:paraId="5C70E6F6" w14:textId="3D9A2E94" w:rsidR="009516B4" w:rsidRDefault="009516B4" w:rsidP="0066099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7C43B6">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Failure to comply with S.24 of the Deeds Registry Act, 1967</w:t>
      </w:r>
    </w:p>
    <w:p w14:paraId="56B18ECA" w14:textId="77777777" w:rsidR="007C5D08" w:rsidRDefault="009516B4" w:rsidP="0066099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t>It is the applicants’ case that the 1</w:t>
      </w:r>
      <w:r w:rsidRPr="009516B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contravened the provisions of section 24 of the Act by failing to register</w:t>
      </w:r>
      <w:r w:rsidR="0016729D">
        <w:rPr>
          <w:rFonts w:ascii="Times New Roman" w:hAnsi="Times New Roman" w:cs="Times New Roman"/>
          <w:sz w:val="28"/>
          <w:szCs w:val="28"/>
          <w:lang w:val="en-ZA"/>
        </w:rPr>
        <w:t xml:space="preserve"> the sublease agreements and must have obtained appropriate consent within three months but failed to do so.  They argue that the agreement </w:t>
      </w:r>
      <w:r w:rsidR="007C5D08">
        <w:rPr>
          <w:rFonts w:ascii="Times New Roman" w:hAnsi="Times New Roman" w:cs="Times New Roman"/>
          <w:sz w:val="28"/>
          <w:szCs w:val="28"/>
          <w:lang w:val="en-ZA"/>
        </w:rPr>
        <w:t xml:space="preserve">is null and void and unenforceable. They cited in support of their contention the case of </w:t>
      </w:r>
      <w:proofErr w:type="spellStart"/>
      <w:r w:rsidR="007C5D08">
        <w:rPr>
          <w:rFonts w:ascii="Times New Roman" w:hAnsi="Times New Roman" w:cs="Times New Roman"/>
          <w:b/>
          <w:bCs/>
          <w:sz w:val="28"/>
          <w:szCs w:val="28"/>
          <w:lang w:val="en-ZA"/>
        </w:rPr>
        <w:t>Molomo</w:t>
      </w:r>
      <w:proofErr w:type="spellEnd"/>
      <w:r w:rsidR="007C5D08">
        <w:rPr>
          <w:rFonts w:ascii="Times New Roman" w:hAnsi="Times New Roman" w:cs="Times New Roman"/>
          <w:b/>
          <w:bCs/>
          <w:sz w:val="28"/>
          <w:szCs w:val="28"/>
          <w:lang w:val="en-ZA"/>
        </w:rPr>
        <w:t xml:space="preserve"> Filling Station and Another v Mendi Group (Pty) Ltd and Others C of A (CIV) NO. 83/2019 (dated 30 October 2020).</w:t>
      </w:r>
    </w:p>
    <w:p w14:paraId="7AEB4E1D" w14:textId="77777777" w:rsidR="007C5D08" w:rsidRDefault="007C5D08" w:rsidP="00660995">
      <w:pPr>
        <w:spacing w:after="0" w:line="360" w:lineRule="auto"/>
        <w:ind w:left="720" w:hanging="720"/>
        <w:jc w:val="both"/>
        <w:rPr>
          <w:rFonts w:ascii="Times New Roman" w:hAnsi="Times New Roman" w:cs="Times New Roman"/>
          <w:b/>
          <w:bCs/>
          <w:sz w:val="28"/>
          <w:szCs w:val="28"/>
          <w:lang w:val="en-ZA"/>
        </w:rPr>
      </w:pPr>
    </w:p>
    <w:p w14:paraId="17E3C8DC" w14:textId="2DBDB70D" w:rsidR="00EE2CC6" w:rsidRDefault="007C5D08"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7C43B6">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On the one hand the 1</w:t>
      </w:r>
      <w:r w:rsidRPr="007C5D0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contends that case law and the Act, places no obligation on it to obtain consent before concluding the sublease agreement.  The obligation to register only arises once consent has been given.  And that in the present case the fact that consent has </w:t>
      </w:r>
      <w:r w:rsidR="00EE2CC6">
        <w:rPr>
          <w:rFonts w:ascii="Times New Roman" w:hAnsi="Times New Roman" w:cs="Times New Roman"/>
          <w:sz w:val="28"/>
          <w:szCs w:val="28"/>
          <w:lang w:val="en-ZA"/>
        </w:rPr>
        <w:t>not been</w:t>
      </w:r>
      <w:r w:rsidR="007C43B6">
        <w:rPr>
          <w:rFonts w:ascii="Times New Roman" w:hAnsi="Times New Roman" w:cs="Times New Roman"/>
          <w:sz w:val="28"/>
          <w:szCs w:val="28"/>
          <w:lang w:val="en-ZA"/>
        </w:rPr>
        <w:t xml:space="preserve"> sought</w:t>
      </w:r>
      <w:r w:rsidR="00EE2CC6">
        <w:rPr>
          <w:rFonts w:ascii="Times New Roman" w:hAnsi="Times New Roman" w:cs="Times New Roman"/>
          <w:sz w:val="28"/>
          <w:szCs w:val="28"/>
          <w:lang w:val="en-ZA"/>
        </w:rPr>
        <w:t>, there is no obligation on it to register the sublease agreement within three months as stipulated in the Act.  It is apposite at this point to quote the provisions of section 24 of the Deeds Registry Act 1967.</w:t>
      </w:r>
    </w:p>
    <w:p w14:paraId="6AD99095" w14:textId="77777777" w:rsidR="00EE2CC6" w:rsidRDefault="00EE2CC6" w:rsidP="00660995">
      <w:pPr>
        <w:spacing w:after="0" w:line="360" w:lineRule="auto"/>
        <w:ind w:left="720" w:hanging="720"/>
        <w:jc w:val="both"/>
        <w:rPr>
          <w:rFonts w:ascii="Times New Roman" w:hAnsi="Times New Roman" w:cs="Times New Roman"/>
          <w:sz w:val="28"/>
          <w:szCs w:val="28"/>
          <w:lang w:val="en-ZA"/>
        </w:rPr>
      </w:pPr>
    </w:p>
    <w:p w14:paraId="34E99352" w14:textId="232B0463" w:rsidR="00EE2CC6" w:rsidRDefault="00EE2CC6"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7C43B6">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Section 24 provides that:</w:t>
      </w:r>
    </w:p>
    <w:p w14:paraId="5727E263" w14:textId="0D3F4272" w:rsidR="00EE2CC6" w:rsidRDefault="00EE2CC6" w:rsidP="0066099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4EE4B88D" w14:textId="44441A51" w:rsidR="00EE2CC6" w:rsidRDefault="00EE2CC6" w:rsidP="00EE2CC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24. (1) Every agreement of lease or sub-lease of rights in or to immovable property which when entered into was for a period of not less than three years, or, for the natural life of the lessee, or any other person mentioned in the lease or sub-lease, or which is renewable from time to time for periods which together with the first period amount in all to not less than three years, shall be registered in the deeds registry.</w:t>
      </w:r>
    </w:p>
    <w:p w14:paraId="616BD196" w14:textId="00545CD6" w:rsidR="00EE2CC6" w:rsidRDefault="00EE2CC6" w:rsidP="00EE2CC6">
      <w:pPr>
        <w:spacing w:after="0" w:line="360" w:lineRule="auto"/>
        <w:ind w:left="1440" w:right="1008"/>
        <w:jc w:val="both"/>
        <w:rPr>
          <w:rFonts w:ascii="Times New Roman" w:hAnsi="Times New Roman" w:cs="Times New Roman"/>
          <w:i/>
          <w:iCs/>
          <w:sz w:val="24"/>
          <w:szCs w:val="24"/>
          <w:lang w:val="en-ZA"/>
        </w:rPr>
      </w:pPr>
    </w:p>
    <w:p w14:paraId="3F7A1C17" w14:textId="638AD1D1" w:rsidR="00EE2CC6" w:rsidRDefault="00EE2CC6" w:rsidP="00EE2CC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Such registration shall only be </w:t>
      </w:r>
      <w:proofErr w:type="gramStart"/>
      <w:r>
        <w:rPr>
          <w:rFonts w:ascii="Times New Roman" w:hAnsi="Times New Roman" w:cs="Times New Roman"/>
          <w:i/>
          <w:iCs/>
          <w:sz w:val="24"/>
          <w:szCs w:val="24"/>
          <w:lang w:val="en-ZA"/>
        </w:rPr>
        <w:t>effected</w:t>
      </w:r>
      <w:proofErr w:type="gramEnd"/>
      <w:r>
        <w:rPr>
          <w:rFonts w:ascii="Times New Roman" w:hAnsi="Times New Roman" w:cs="Times New Roman"/>
          <w:i/>
          <w:iCs/>
          <w:sz w:val="24"/>
          <w:szCs w:val="24"/>
          <w:lang w:val="en-ZA"/>
        </w:rPr>
        <w:t xml:space="preserve"> after the proper authority has consented in writing to the lessee occupying and using the land to which the lease refers, which consent shall not be unreasonably withheld.</w:t>
      </w:r>
    </w:p>
    <w:p w14:paraId="5FA0238E" w14:textId="1D80D641" w:rsidR="007460CD" w:rsidRDefault="007460CD" w:rsidP="00EE2CC6">
      <w:pPr>
        <w:spacing w:after="0" w:line="360" w:lineRule="auto"/>
        <w:ind w:left="1440" w:right="1008"/>
        <w:jc w:val="both"/>
        <w:rPr>
          <w:rFonts w:ascii="Times New Roman" w:hAnsi="Times New Roman" w:cs="Times New Roman"/>
          <w:i/>
          <w:iCs/>
          <w:sz w:val="24"/>
          <w:szCs w:val="24"/>
          <w:lang w:val="en-ZA"/>
        </w:rPr>
      </w:pPr>
    </w:p>
    <w:p w14:paraId="72A84304" w14:textId="62378343" w:rsidR="007460CD" w:rsidRDefault="007460CD" w:rsidP="00EE2CC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Every agreement of lease or sub-lease of rights in or to immovable property and to which the proper authority has consented in writing shall be lodged for registration in the deeds registry within three months of the granting of such consent.</w:t>
      </w:r>
    </w:p>
    <w:p w14:paraId="06B39555" w14:textId="32749840" w:rsidR="007460CD" w:rsidRDefault="007460CD" w:rsidP="00EE2CC6">
      <w:pPr>
        <w:spacing w:after="0" w:line="360" w:lineRule="auto"/>
        <w:ind w:left="1440" w:right="1008"/>
        <w:jc w:val="both"/>
        <w:rPr>
          <w:rFonts w:ascii="Times New Roman" w:hAnsi="Times New Roman" w:cs="Times New Roman"/>
          <w:i/>
          <w:iCs/>
          <w:sz w:val="24"/>
          <w:szCs w:val="24"/>
          <w:lang w:val="en-ZA"/>
        </w:rPr>
      </w:pPr>
    </w:p>
    <w:p w14:paraId="3E0195D5" w14:textId="14D662FF" w:rsidR="007460CD" w:rsidRDefault="007460CD" w:rsidP="00EE2CC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Every agreement of lease or sub-lease of rights in or to immovable property and to which the proper authority consented in writing prior to the commencement of this Act shall be lodged for registration in the deeds registry within three months of the date of commencement of this Act.</w:t>
      </w:r>
    </w:p>
    <w:p w14:paraId="7FA084A2" w14:textId="4C0D3D4D" w:rsidR="007460CD" w:rsidRDefault="007460CD" w:rsidP="00EE2CC6">
      <w:pPr>
        <w:spacing w:after="0" w:line="360" w:lineRule="auto"/>
        <w:ind w:left="1440" w:right="1008"/>
        <w:jc w:val="both"/>
        <w:rPr>
          <w:rFonts w:ascii="Times New Roman" w:hAnsi="Times New Roman" w:cs="Times New Roman"/>
          <w:i/>
          <w:iCs/>
          <w:sz w:val="24"/>
          <w:szCs w:val="24"/>
          <w:lang w:val="en-ZA"/>
        </w:rPr>
      </w:pPr>
    </w:p>
    <w:p w14:paraId="32F595F4" w14:textId="0B61E042" w:rsidR="007460CD" w:rsidRDefault="007460CD" w:rsidP="00EE2CC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Failure to lodge such lease or sub-lease for registration within the prescribed period or within such extended period or within such extended period as the court may allow, shall render the agreement of lease or sub-lease null and void and of no force and effect.</w:t>
      </w:r>
    </w:p>
    <w:p w14:paraId="44E50251" w14:textId="2096BC10" w:rsidR="002D4CAF" w:rsidRDefault="002D4CAF" w:rsidP="00EE2CC6">
      <w:pPr>
        <w:spacing w:after="0" w:line="360" w:lineRule="auto"/>
        <w:ind w:left="1440" w:right="1008"/>
        <w:jc w:val="both"/>
        <w:rPr>
          <w:rFonts w:ascii="Times New Roman" w:hAnsi="Times New Roman" w:cs="Times New Roman"/>
          <w:i/>
          <w:iCs/>
          <w:sz w:val="24"/>
          <w:szCs w:val="24"/>
          <w:lang w:val="en-ZA"/>
        </w:rPr>
      </w:pPr>
    </w:p>
    <w:p w14:paraId="0C47B944" w14:textId="03B277A0" w:rsidR="00D0231F" w:rsidRDefault="002D4CAF" w:rsidP="00EE2CC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(6) Any agreement of lease or sub-lease of rights in or to immovable property executed, attested</w:t>
      </w:r>
      <w:r w:rsidR="00D0231F">
        <w:rPr>
          <w:rFonts w:ascii="Times New Roman" w:hAnsi="Times New Roman" w:cs="Times New Roman"/>
          <w:i/>
          <w:iCs/>
          <w:sz w:val="24"/>
          <w:szCs w:val="24"/>
          <w:lang w:val="en-ZA"/>
        </w:rPr>
        <w:t xml:space="preserve"> or registered contrary to the provisions of this section shall be null and void and of no force and effect.</w:t>
      </w:r>
    </w:p>
    <w:p w14:paraId="75B79BAD" w14:textId="77777777" w:rsidR="00D0231F" w:rsidRDefault="00D0231F" w:rsidP="00D0231F">
      <w:pPr>
        <w:spacing w:after="0" w:line="360" w:lineRule="auto"/>
        <w:ind w:right="1008"/>
        <w:jc w:val="both"/>
        <w:rPr>
          <w:rFonts w:ascii="Times New Roman" w:hAnsi="Times New Roman" w:cs="Times New Roman"/>
          <w:i/>
          <w:iCs/>
          <w:sz w:val="24"/>
          <w:szCs w:val="24"/>
          <w:lang w:val="en-ZA"/>
        </w:rPr>
      </w:pPr>
    </w:p>
    <w:p w14:paraId="428A68A4" w14:textId="4272458C" w:rsidR="00406E7B" w:rsidRDefault="00406E7B" w:rsidP="00406E7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7C43B6">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starting point should be the case of </w:t>
      </w:r>
      <w:proofErr w:type="spellStart"/>
      <w:r>
        <w:rPr>
          <w:rFonts w:ascii="Times New Roman" w:hAnsi="Times New Roman" w:cs="Times New Roman"/>
          <w:b/>
          <w:bCs/>
          <w:sz w:val="28"/>
          <w:szCs w:val="28"/>
          <w:lang w:val="en-ZA"/>
        </w:rPr>
        <w:t>Molomo</w:t>
      </w:r>
      <w:proofErr w:type="spellEnd"/>
      <w:r>
        <w:rPr>
          <w:rFonts w:ascii="Times New Roman" w:hAnsi="Times New Roman" w:cs="Times New Roman"/>
          <w:b/>
          <w:bCs/>
          <w:sz w:val="28"/>
          <w:szCs w:val="28"/>
          <w:lang w:val="en-ZA"/>
        </w:rPr>
        <w:t xml:space="preserve"> Filling Station and Another v Mendi Group (Pty) Ltd and Others (above)</w:t>
      </w:r>
      <w:r w:rsidR="007C43B6">
        <w:rPr>
          <w:rFonts w:ascii="Times New Roman" w:hAnsi="Times New Roman" w:cs="Times New Roman"/>
          <w:b/>
          <w:bCs/>
          <w:sz w:val="28"/>
          <w:szCs w:val="28"/>
          <w:lang w:val="en-ZA"/>
        </w:rPr>
        <w:t xml:space="preserve">. </w:t>
      </w:r>
      <w:r w:rsidR="007C43B6">
        <w:rPr>
          <w:rFonts w:ascii="Times New Roman" w:hAnsi="Times New Roman" w:cs="Times New Roman"/>
          <w:sz w:val="28"/>
          <w:szCs w:val="28"/>
          <w:lang w:val="en-ZA"/>
        </w:rPr>
        <w:t>In that case</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a suble</w:t>
      </w:r>
      <w:r w:rsidR="007C43B6">
        <w:rPr>
          <w:rFonts w:ascii="Times New Roman" w:hAnsi="Times New Roman" w:cs="Times New Roman"/>
          <w:sz w:val="28"/>
          <w:szCs w:val="28"/>
          <w:lang w:val="en-ZA"/>
        </w:rPr>
        <w:t>s</w:t>
      </w:r>
      <w:r>
        <w:rPr>
          <w:rFonts w:ascii="Times New Roman" w:hAnsi="Times New Roman" w:cs="Times New Roman"/>
          <w:sz w:val="28"/>
          <w:szCs w:val="28"/>
          <w:lang w:val="en-ZA"/>
        </w:rPr>
        <w:t>se</w:t>
      </w:r>
      <w:r w:rsidR="007C43B6">
        <w:rPr>
          <w:rFonts w:ascii="Times New Roman" w:hAnsi="Times New Roman" w:cs="Times New Roman"/>
          <w:sz w:val="28"/>
          <w:szCs w:val="28"/>
          <w:lang w:val="en-ZA"/>
        </w:rPr>
        <w:t>e</w:t>
      </w:r>
      <w:r>
        <w:rPr>
          <w:rFonts w:ascii="Times New Roman" w:hAnsi="Times New Roman" w:cs="Times New Roman"/>
          <w:sz w:val="28"/>
          <w:szCs w:val="28"/>
          <w:lang w:val="en-ZA"/>
        </w:rPr>
        <w:t xml:space="preserve"> to an unregistered sublease </w:t>
      </w:r>
      <w:r w:rsidR="007C43B6">
        <w:rPr>
          <w:rFonts w:ascii="Times New Roman" w:hAnsi="Times New Roman" w:cs="Times New Roman"/>
          <w:sz w:val="28"/>
          <w:szCs w:val="28"/>
          <w:lang w:val="en-ZA"/>
        </w:rPr>
        <w:t xml:space="preserve">agreement </w:t>
      </w:r>
      <w:r>
        <w:rPr>
          <w:rFonts w:ascii="Times New Roman" w:hAnsi="Times New Roman" w:cs="Times New Roman"/>
          <w:sz w:val="28"/>
          <w:szCs w:val="28"/>
          <w:lang w:val="en-ZA"/>
        </w:rPr>
        <w:t>had sought to enforce its terms.  The Court of Appeal held that the sublease agreement was unenforceable for non-compliance with section 24 of the Deeds Registry Act 1967.  Of importance is what was said by the court at paragraph 30:</w:t>
      </w:r>
    </w:p>
    <w:p w14:paraId="0CFCF096" w14:textId="77777777" w:rsidR="00406E7B" w:rsidRDefault="00406E7B" w:rsidP="00406E7B">
      <w:pPr>
        <w:spacing w:after="0" w:line="360" w:lineRule="auto"/>
        <w:ind w:left="720" w:hanging="720"/>
        <w:jc w:val="both"/>
        <w:rPr>
          <w:rFonts w:ascii="Times New Roman" w:hAnsi="Times New Roman" w:cs="Times New Roman"/>
          <w:sz w:val="28"/>
          <w:szCs w:val="28"/>
          <w:lang w:val="en-ZA"/>
        </w:rPr>
      </w:pPr>
    </w:p>
    <w:p w14:paraId="7A8989CE" w14:textId="2020459B" w:rsidR="00EB12E9" w:rsidRDefault="00D00362" w:rsidP="00EB12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[30] On what basis can the Mendi Group claim enforcement of the agreement?  I do not think that the agreement is enforceable because of an agreement.  A contract is an agreement</w:t>
      </w:r>
      <w:r w:rsidR="00EB12E9">
        <w:rPr>
          <w:rFonts w:ascii="Times New Roman" w:hAnsi="Times New Roman" w:cs="Times New Roman"/>
          <w:i/>
          <w:iCs/>
          <w:sz w:val="24"/>
          <w:szCs w:val="24"/>
          <w:lang w:val="en-ZA"/>
        </w:rPr>
        <w:t xml:space="preserve"> between parties, </w:t>
      </w:r>
      <w:proofErr w:type="gramStart"/>
      <w:r w:rsidR="00EB12E9">
        <w:rPr>
          <w:rFonts w:ascii="Times New Roman" w:hAnsi="Times New Roman" w:cs="Times New Roman"/>
          <w:i/>
          <w:iCs/>
          <w:sz w:val="24"/>
          <w:szCs w:val="24"/>
          <w:lang w:val="en-ZA"/>
        </w:rPr>
        <w:t>entered into</w:t>
      </w:r>
      <w:proofErr w:type="gramEnd"/>
      <w:r w:rsidR="00EB12E9">
        <w:rPr>
          <w:rFonts w:ascii="Times New Roman" w:hAnsi="Times New Roman" w:cs="Times New Roman"/>
          <w:i/>
          <w:iCs/>
          <w:sz w:val="24"/>
          <w:szCs w:val="24"/>
          <w:lang w:val="en-ZA"/>
        </w:rPr>
        <w:t xml:space="preserve"> with the intention of creating binding obligations, to perform according to the terms agreed.  In </w:t>
      </w:r>
      <w:proofErr w:type="spellStart"/>
      <w:r w:rsidR="00EB12E9">
        <w:rPr>
          <w:rFonts w:ascii="Times New Roman" w:hAnsi="Times New Roman" w:cs="Times New Roman"/>
          <w:i/>
          <w:iCs/>
          <w:sz w:val="24"/>
          <w:szCs w:val="24"/>
          <w:lang w:val="en-ZA"/>
        </w:rPr>
        <w:t>casu</w:t>
      </w:r>
      <w:proofErr w:type="spellEnd"/>
      <w:r w:rsidR="00EB12E9">
        <w:rPr>
          <w:rFonts w:ascii="Times New Roman" w:hAnsi="Times New Roman" w:cs="Times New Roman"/>
          <w:i/>
          <w:iCs/>
          <w:sz w:val="24"/>
          <w:szCs w:val="24"/>
          <w:lang w:val="en-ZA"/>
        </w:rPr>
        <w:t xml:space="preserve">, the intention was </w:t>
      </w:r>
      <w:r w:rsidR="007C43B6">
        <w:rPr>
          <w:rFonts w:ascii="Times New Roman" w:hAnsi="Times New Roman" w:cs="Times New Roman"/>
          <w:i/>
          <w:iCs/>
          <w:sz w:val="24"/>
          <w:szCs w:val="24"/>
          <w:lang w:val="en-ZA"/>
        </w:rPr>
        <w:t xml:space="preserve">to </w:t>
      </w:r>
      <w:r w:rsidR="00EB12E9">
        <w:rPr>
          <w:rFonts w:ascii="Times New Roman" w:hAnsi="Times New Roman" w:cs="Times New Roman"/>
          <w:i/>
          <w:iCs/>
          <w:sz w:val="24"/>
          <w:szCs w:val="24"/>
          <w:lang w:val="en-ZA"/>
        </w:rPr>
        <w:t xml:space="preserve">enter into a contract, which as the parties agreed was to be one for 12 years.  For it to be so, the Act requires that it must first be registered in terms of section 24 (1) of the Act.  This is distinct from an intention to enter into legal obligations for the purpose of concluding an enforceable contract consistent with the terms of the Act…In my view, the validity and enforceability of the agreement are coextensive.  </w:t>
      </w:r>
    </w:p>
    <w:p w14:paraId="72205D7C" w14:textId="77777777" w:rsidR="00EB12E9" w:rsidRDefault="00EB12E9" w:rsidP="00EB12E9">
      <w:pPr>
        <w:spacing w:after="0" w:line="360" w:lineRule="auto"/>
        <w:ind w:right="1008"/>
        <w:jc w:val="both"/>
        <w:rPr>
          <w:rFonts w:ascii="Times New Roman" w:hAnsi="Times New Roman" w:cs="Times New Roman"/>
          <w:i/>
          <w:iCs/>
          <w:sz w:val="24"/>
          <w:szCs w:val="24"/>
          <w:lang w:val="en-ZA"/>
        </w:rPr>
      </w:pPr>
    </w:p>
    <w:p w14:paraId="04A3C802" w14:textId="6EA639F6" w:rsidR="007C66E0" w:rsidRDefault="00EB12E9" w:rsidP="007C66E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70DF1">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The agreement of sublease involves both a contract to confer rights and registration in terms of section 24 in order to transfer those rights to the suble</w:t>
      </w:r>
      <w:r w:rsidR="00D84B7C">
        <w:rPr>
          <w:rFonts w:ascii="Times New Roman" w:hAnsi="Times New Roman" w:cs="Times New Roman"/>
          <w:sz w:val="28"/>
          <w:szCs w:val="28"/>
          <w:lang w:val="en-ZA"/>
        </w:rPr>
        <w:t>s</w:t>
      </w:r>
      <w:r>
        <w:rPr>
          <w:rFonts w:ascii="Times New Roman" w:hAnsi="Times New Roman" w:cs="Times New Roman"/>
          <w:sz w:val="28"/>
          <w:szCs w:val="28"/>
          <w:lang w:val="en-ZA"/>
        </w:rPr>
        <w:t>se</w:t>
      </w:r>
      <w:r w:rsidR="00D84B7C">
        <w:rPr>
          <w:rFonts w:ascii="Times New Roman" w:hAnsi="Times New Roman" w:cs="Times New Roman"/>
          <w:sz w:val="28"/>
          <w:szCs w:val="28"/>
          <w:lang w:val="en-ZA"/>
        </w:rPr>
        <w:t>e</w:t>
      </w:r>
      <w:r>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 xml:space="preserve">(C &amp; S Properties (Pty) Ltd v </w:t>
      </w:r>
      <w:proofErr w:type="spellStart"/>
      <w:r>
        <w:rPr>
          <w:rFonts w:ascii="Times New Roman" w:hAnsi="Times New Roman" w:cs="Times New Roman"/>
          <w:b/>
          <w:bCs/>
          <w:sz w:val="28"/>
          <w:szCs w:val="28"/>
          <w:lang w:val="en-ZA"/>
        </w:rPr>
        <w:t>Khaketla</w:t>
      </w:r>
      <w:proofErr w:type="spellEnd"/>
      <w:r>
        <w:rPr>
          <w:rFonts w:ascii="Times New Roman" w:hAnsi="Times New Roman" w:cs="Times New Roman"/>
          <w:b/>
          <w:bCs/>
          <w:sz w:val="28"/>
          <w:szCs w:val="28"/>
          <w:lang w:val="en-ZA"/>
        </w:rPr>
        <w:t xml:space="preserve"> and Others (C of A (CIV) 64/2011) [2012] LSCA 26 (27 April 2012) at para. 18).</w:t>
      </w:r>
      <w:r>
        <w:rPr>
          <w:rFonts w:ascii="Times New Roman" w:hAnsi="Times New Roman" w:cs="Times New Roman"/>
          <w:sz w:val="28"/>
          <w:szCs w:val="28"/>
          <w:lang w:val="en-ZA"/>
        </w:rPr>
        <w:t xml:space="preserve">  What I understand the Court of Appeal to be saying </w:t>
      </w:r>
      <w:r w:rsidR="00A90B17">
        <w:rPr>
          <w:rFonts w:ascii="Times New Roman" w:hAnsi="Times New Roman" w:cs="Times New Roman"/>
          <w:sz w:val="28"/>
          <w:szCs w:val="28"/>
          <w:lang w:val="en-ZA"/>
        </w:rPr>
        <w:t xml:space="preserve">in </w:t>
      </w:r>
      <w:proofErr w:type="spellStart"/>
      <w:r w:rsidRPr="00A90B17">
        <w:rPr>
          <w:rFonts w:ascii="Times New Roman" w:hAnsi="Times New Roman" w:cs="Times New Roman"/>
          <w:b/>
          <w:bCs/>
          <w:i/>
          <w:iCs/>
          <w:sz w:val="28"/>
          <w:szCs w:val="28"/>
          <w:lang w:val="en-ZA"/>
        </w:rPr>
        <w:t>Molomo</w:t>
      </w:r>
      <w:proofErr w:type="spellEnd"/>
      <w:r>
        <w:rPr>
          <w:rFonts w:ascii="Times New Roman" w:hAnsi="Times New Roman" w:cs="Times New Roman"/>
          <w:sz w:val="28"/>
          <w:szCs w:val="28"/>
          <w:lang w:val="en-ZA"/>
        </w:rPr>
        <w:t xml:space="preserve"> is that in terms of section 24 of the Act for a contract to confer rights to </w:t>
      </w:r>
      <w:r w:rsidR="000118F0">
        <w:rPr>
          <w:rFonts w:ascii="Times New Roman" w:hAnsi="Times New Roman" w:cs="Times New Roman"/>
          <w:sz w:val="28"/>
          <w:szCs w:val="28"/>
          <w:lang w:val="en-ZA"/>
        </w:rPr>
        <w:t xml:space="preserve">the Sublessee </w:t>
      </w:r>
      <w:r w:rsidR="00C97CA4">
        <w:rPr>
          <w:rFonts w:ascii="Times New Roman" w:hAnsi="Times New Roman" w:cs="Times New Roman"/>
          <w:sz w:val="28"/>
          <w:szCs w:val="28"/>
          <w:lang w:val="en-ZA"/>
        </w:rPr>
        <w:t xml:space="preserve">and for it </w:t>
      </w:r>
      <w:r w:rsidR="000118F0">
        <w:rPr>
          <w:rFonts w:ascii="Times New Roman" w:hAnsi="Times New Roman" w:cs="Times New Roman"/>
          <w:sz w:val="28"/>
          <w:szCs w:val="28"/>
          <w:lang w:val="en-ZA"/>
        </w:rPr>
        <w:lastRenderedPageBreak/>
        <w:t>to be valid and enforceable</w:t>
      </w:r>
      <w:r w:rsidR="001125A0">
        <w:rPr>
          <w:rFonts w:ascii="Times New Roman" w:hAnsi="Times New Roman" w:cs="Times New Roman"/>
          <w:sz w:val="28"/>
          <w:szCs w:val="28"/>
          <w:lang w:val="en-ZA"/>
        </w:rPr>
        <w:t>,</w:t>
      </w:r>
      <w:r w:rsidR="000118F0">
        <w:rPr>
          <w:rFonts w:ascii="Times New Roman" w:hAnsi="Times New Roman" w:cs="Times New Roman"/>
          <w:sz w:val="28"/>
          <w:szCs w:val="28"/>
          <w:lang w:val="en-ZA"/>
        </w:rPr>
        <w:t xml:space="preserve"> it must be registered in terms of</w:t>
      </w:r>
      <w:r w:rsidR="007C66E0">
        <w:rPr>
          <w:rFonts w:ascii="Times New Roman" w:hAnsi="Times New Roman" w:cs="Times New Roman"/>
          <w:sz w:val="28"/>
          <w:szCs w:val="28"/>
          <w:lang w:val="en-ZA"/>
        </w:rPr>
        <w:t xml:space="preserve"> section 24 of the Act.  This is consistent with a trite approach which distinguishes between real rights and contractual rights.</w:t>
      </w:r>
      <w:r w:rsidR="001125A0">
        <w:rPr>
          <w:rFonts w:ascii="Times New Roman" w:hAnsi="Times New Roman" w:cs="Times New Roman"/>
          <w:sz w:val="28"/>
          <w:szCs w:val="28"/>
          <w:lang w:val="en-ZA"/>
        </w:rPr>
        <w:t xml:space="preserve"> The unregistered sublease agreement is unenforceable, the only remedy available to the sublessee is to seek specific performance to have it registered in terms of the Act.</w:t>
      </w:r>
    </w:p>
    <w:p w14:paraId="25FEEE31" w14:textId="77777777" w:rsidR="007C66E0" w:rsidRDefault="007C66E0" w:rsidP="007C66E0">
      <w:pPr>
        <w:spacing w:after="0" w:line="360" w:lineRule="auto"/>
        <w:ind w:left="720" w:hanging="720"/>
        <w:jc w:val="both"/>
        <w:rPr>
          <w:rFonts w:ascii="Times New Roman" w:hAnsi="Times New Roman" w:cs="Times New Roman"/>
          <w:sz w:val="28"/>
          <w:szCs w:val="28"/>
          <w:lang w:val="en-ZA"/>
        </w:rPr>
      </w:pPr>
    </w:p>
    <w:p w14:paraId="46D9D633" w14:textId="035514D3" w:rsidR="007C66E0" w:rsidRDefault="007C66E0" w:rsidP="007C66E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70DF1">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This distinction was drawn in </w:t>
      </w:r>
      <w:r>
        <w:rPr>
          <w:rFonts w:ascii="Times New Roman" w:hAnsi="Times New Roman" w:cs="Times New Roman"/>
          <w:b/>
          <w:bCs/>
          <w:sz w:val="28"/>
          <w:szCs w:val="28"/>
          <w:lang w:val="en-ZA"/>
        </w:rPr>
        <w:t xml:space="preserve">Willoughby’s Consolidated Co. Ltd v </w:t>
      </w:r>
      <w:proofErr w:type="spellStart"/>
      <w:r>
        <w:rPr>
          <w:rFonts w:ascii="Times New Roman" w:hAnsi="Times New Roman" w:cs="Times New Roman"/>
          <w:b/>
          <w:bCs/>
          <w:sz w:val="28"/>
          <w:szCs w:val="28"/>
          <w:lang w:val="en-ZA"/>
        </w:rPr>
        <w:t>Copthall</w:t>
      </w:r>
      <w:proofErr w:type="spellEnd"/>
      <w:r>
        <w:rPr>
          <w:rFonts w:ascii="Times New Roman" w:hAnsi="Times New Roman" w:cs="Times New Roman"/>
          <w:b/>
          <w:bCs/>
          <w:sz w:val="28"/>
          <w:szCs w:val="28"/>
          <w:lang w:val="en-ZA"/>
        </w:rPr>
        <w:t xml:space="preserve"> Stores Ltd 1918 AD</w:t>
      </w:r>
      <w:r w:rsidR="00A90B17">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 xml:space="preserve">1 at 16 </w:t>
      </w:r>
      <w:r>
        <w:rPr>
          <w:rFonts w:ascii="Times New Roman" w:hAnsi="Times New Roman" w:cs="Times New Roman"/>
          <w:sz w:val="28"/>
          <w:szCs w:val="28"/>
          <w:lang w:val="en-ZA"/>
        </w:rPr>
        <w:t>where the court said:</w:t>
      </w:r>
    </w:p>
    <w:p w14:paraId="1878E8A5" w14:textId="63FA2A0B" w:rsidR="007C66E0" w:rsidRDefault="007C66E0" w:rsidP="007C66E0">
      <w:pPr>
        <w:spacing w:after="0" w:line="360" w:lineRule="auto"/>
        <w:ind w:left="720" w:hanging="720"/>
        <w:jc w:val="both"/>
        <w:rPr>
          <w:rFonts w:ascii="Times New Roman" w:hAnsi="Times New Roman" w:cs="Times New Roman"/>
          <w:sz w:val="28"/>
          <w:szCs w:val="28"/>
          <w:lang w:val="en-ZA"/>
        </w:rPr>
      </w:pPr>
    </w:p>
    <w:p w14:paraId="0F2BE55B" w14:textId="05514569" w:rsidR="007A4234" w:rsidRPr="00EF521A" w:rsidRDefault="00EF521A" w:rsidP="007C66E0">
      <w:pPr>
        <w:spacing w:after="0" w:line="36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r>
      <w:r w:rsidR="007A4234" w:rsidRPr="00EF521A">
        <w:rPr>
          <w:rFonts w:ascii="Times New Roman" w:hAnsi="Times New Roman" w:cs="Times New Roman"/>
          <w:i/>
          <w:iCs/>
          <w:sz w:val="24"/>
          <w:szCs w:val="24"/>
          <w:lang w:val="en-ZA"/>
        </w:rPr>
        <w:t xml:space="preserve">Now servitude [sublease], like any other real right, may be acquired by </w:t>
      </w:r>
      <w:r w:rsidRPr="00EF521A">
        <w:rPr>
          <w:rFonts w:ascii="Times New Roman" w:hAnsi="Times New Roman" w:cs="Times New Roman"/>
          <w:i/>
          <w:iCs/>
          <w:sz w:val="24"/>
          <w:szCs w:val="24"/>
          <w:lang w:val="en-ZA"/>
        </w:rPr>
        <w:tab/>
      </w:r>
      <w:r w:rsidR="007A4234" w:rsidRPr="00EF521A">
        <w:rPr>
          <w:rFonts w:ascii="Times New Roman" w:hAnsi="Times New Roman" w:cs="Times New Roman"/>
          <w:i/>
          <w:iCs/>
          <w:sz w:val="24"/>
          <w:szCs w:val="24"/>
          <w:lang w:val="en-ZA"/>
        </w:rPr>
        <w:t xml:space="preserve">agreement. Such an agreement, however, though binding on the contracting </w:t>
      </w:r>
      <w:r w:rsidRPr="00EF521A">
        <w:rPr>
          <w:rFonts w:ascii="Times New Roman" w:hAnsi="Times New Roman" w:cs="Times New Roman"/>
          <w:i/>
          <w:iCs/>
          <w:sz w:val="24"/>
          <w:szCs w:val="24"/>
          <w:lang w:val="en-ZA"/>
        </w:rPr>
        <w:tab/>
      </w:r>
      <w:r w:rsidR="007A4234" w:rsidRPr="00EF521A">
        <w:rPr>
          <w:rFonts w:ascii="Times New Roman" w:hAnsi="Times New Roman" w:cs="Times New Roman"/>
          <w:i/>
          <w:iCs/>
          <w:sz w:val="24"/>
          <w:szCs w:val="24"/>
          <w:lang w:val="en-ZA"/>
        </w:rPr>
        <w:t xml:space="preserve">parties, does not by itself vest the legal title to the servitude [sublease] in the </w:t>
      </w:r>
      <w:r w:rsidRPr="00EF521A">
        <w:rPr>
          <w:rFonts w:ascii="Times New Roman" w:hAnsi="Times New Roman" w:cs="Times New Roman"/>
          <w:i/>
          <w:iCs/>
          <w:sz w:val="24"/>
          <w:szCs w:val="24"/>
          <w:lang w:val="en-ZA"/>
        </w:rPr>
        <w:tab/>
      </w:r>
      <w:r w:rsidR="007A4234" w:rsidRPr="00EF521A">
        <w:rPr>
          <w:rFonts w:ascii="Times New Roman" w:hAnsi="Times New Roman" w:cs="Times New Roman"/>
          <w:i/>
          <w:iCs/>
          <w:sz w:val="24"/>
          <w:szCs w:val="24"/>
          <w:lang w:val="en-ZA"/>
        </w:rPr>
        <w:t xml:space="preserve">beneficiary, any more than a contract od sale of land passes the dominium to the </w:t>
      </w:r>
      <w:r w:rsidRPr="00EF521A">
        <w:rPr>
          <w:rFonts w:ascii="Times New Roman" w:hAnsi="Times New Roman" w:cs="Times New Roman"/>
          <w:i/>
          <w:iCs/>
          <w:sz w:val="24"/>
          <w:szCs w:val="24"/>
          <w:lang w:val="en-ZA"/>
        </w:rPr>
        <w:tab/>
      </w:r>
      <w:r w:rsidR="007A4234" w:rsidRPr="00EF521A">
        <w:rPr>
          <w:rFonts w:ascii="Times New Roman" w:hAnsi="Times New Roman" w:cs="Times New Roman"/>
          <w:i/>
          <w:iCs/>
          <w:sz w:val="24"/>
          <w:szCs w:val="24"/>
          <w:lang w:val="en-ZA"/>
        </w:rPr>
        <w:t xml:space="preserve">buyer. The right of the beneficiary is to claim performance of the contract by </w:t>
      </w:r>
      <w:r w:rsidRPr="00EF521A">
        <w:rPr>
          <w:rFonts w:ascii="Times New Roman" w:hAnsi="Times New Roman" w:cs="Times New Roman"/>
          <w:i/>
          <w:iCs/>
          <w:sz w:val="24"/>
          <w:szCs w:val="24"/>
          <w:lang w:val="en-ZA"/>
        </w:rPr>
        <w:tab/>
      </w:r>
      <w:r w:rsidR="007A4234" w:rsidRPr="00EF521A">
        <w:rPr>
          <w:rFonts w:ascii="Times New Roman" w:hAnsi="Times New Roman" w:cs="Times New Roman"/>
          <w:i/>
          <w:iCs/>
          <w:sz w:val="24"/>
          <w:szCs w:val="24"/>
          <w:lang w:val="en-ZA"/>
        </w:rPr>
        <w:t>delivery of the servitude</w:t>
      </w:r>
      <w:r w:rsidRPr="00EF521A">
        <w:rPr>
          <w:rFonts w:ascii="Times New Roman" w:hAnsi="Times New Roman" w:cs="Times New Roman"/>
          <w:i/>
          <w:iCs/>
          <w:sz w:val="24"/>
          <w:szCs w:val="24"/>
          <w:lang w:val="en-ZA"/>
        </w:rPr>
        <w:t xml:space="preserve">[sublease], which must be </w:t>
      </w:r>
      <w:proofErr w:type="gramStart"/>
      <w:r w:rsidRPr="00EF521A">
        <w:rPr>
          <w:rFonts w:ascii="Times New Roman" w:hAnsi="Times New Roman" w:cs="Times New Roman"/>
          <w:i/>
          <w:iCs/>
          <w:sz w:val="24"/>
          <w:szCs w:val="24"/>
          <w:lang w:val="en-ZA"/>
        </w:rPr>
        <w:t>effected</w:t>
      </w:r>
      <w:proofErr w:type="gramEnd"/>
      <w:r w:rsidRPr="00EF521A">
        <w:rPr>
          <w:rFonts w:ascii="Times New Roman" w:hAnsi="Times New Roman" w:cs="Times New Roman"/>
          <w:i/>
          <w:iCs/>
          <w:sz w:val="24"/>
          <w:szCs w:val="24"/>
          <w:lang w:val="en-ZA"/>
        </w:rPr>
        <w:t xml:space="preserve"> </w:t>
      </w:r>
      <w:proofErr w:type="spellStart"/>
      <w:r w:rsidRPr="00EF521A">
        <w:rPr>
          <w:rFonts w:ascii="Times New Roman" w:hAnsi="Times New Roman" w:cs="Times New Roman"/>
          <w:i/>
          <w:iCs/>
          <w:sz w:val="24"/>
          <w:szCs w:val="24"/>
          <w:lang w:val="en-ZA"/>
        </w:rPr>
        <w:t>coram</w:t>
      </w:r>
      <w:proofErr w:type="spellEnd"/>
      <w:r w:rsidRPr="00EF521A">
        <w:rPr>
          <w:rFonts w:ascii="Times New Roman" w:hAnsi="Times New Roman" w:cs="Times New Roman"/>
          <w:i/>
          <w:iCs/>
          <w:sz w:val="24"/>
          <w:szCs w:val="24"/>
          <w:lang w:val="en-ZA"/>
        </w:rPr>
        <w:t xml:space="preserve"> </w:t>
      </w:r>
      <w:proofErr w:type="spellStart"/>
      <w:r w:rsidRPr="00EF521A">
        <w:rPr>
          <w:rFonts w:ascii="Times New Roman" w:hAnsi="Times New Roman" w:cs="Times New Roman"/>
          <w:i/>
          <w:iCs/>
          <w:sz w:val="24"/>
          <w:szCs w:val="24"/>
          <w:lang w:val="en-ZA"/>
        </w:rPr>
        <w:t>lege</w:t>
      </w:r>
      <w:proofErr w:type="spellEnd"/>
      <w:r w:rsidRPr="00EF521A">
        <w:rPr>
          <w:rFonts w:ascii="Times New Roman" w:hAnsi="Times New Roman" w:cs="Times New Roman"/>
          <w:i/>
          <w:iCs/>
          <w:sz w:val="24"/>
          <w:szCs w:val="24"/>
          <w:lang w:val="en-ZA"/>
        </w:rPr>
        <w:t xml:space="preserve"> loci by an </w:t>
      </w:r>
      <w:r w:rsidRPr="00EF521A">
        <w:rPr>
          <w:rFonts w:ascii="Times New Roman" w:hAnsi="Times New Roman" w:cs="Times New Roman"/>
          <w:i/>
          <w:iCs/>
          <w:sz w:val="24"/>
          <w:szCs w:val="24"/>
          <w:lang w:val="en-ZA"/>
        </w:rPr>
        <w:tab/>
        <w:t xml:space="preserve">entry </w:t>
      </w:r>
      <w:r w:rsidRPr="00EF521A">
        <w:rPr>
          <w:rFonts w:ascii="Times New Roman" w:hAnsi="Times New Roman" w:cs="Times New Roman"/>
          <w:i/>
          <w:iCs/>
          <w:sz w:val="24"/>
          <w:szCs w:val="24"/>
          <w:lang w:val="en-ZA"/>
        </w:rPr>
        <w:tab/>
        <w:t xml:space="preserve">made in the register and endorsed upon the title deeds of the </w:t>
      </w:r>
      <w:r w:rsidRPr="00EF521A">
        <w:rPr>
          <w:rFonts w:ascii="Times New Roman" w:hAnsi="Times New Roman" w:cs="Times New Roman"/>
          <w:i/>
          <w:iCs/>
          <w:sz w:val="24"/>
          <w:szCs w:val="24"/>
          <w:lang w:val="en-ZA"/>
        </w:rPr>
        <w:tab/>
      </w:r>
      <w:r w:rsidR="002E5C6E" w:rsidRPr="00EF521A">
        <w:rPr>
          <w:rFonts w:ascii="Times New Roman" w:hAnsi="Times New Roman" w:cs="Times New Roman"/>
          <w:i/>
          <w:iCs/>
          <w:sz w:val="24"/>
          <w:szCs w:val="24"/>
          <w:lang w:val="en-ZA"/>
        </w:rPr>
        <w:t>servient [</w:t>
      </w:r>
      <w:r w:rsidRPr="00EF521A">
        <w:rPr>
          <w:rFonts w:ascii="Times New Roman" w:hAnsi="Times New Roman" w:cs="Times New Roman"/>
          <w:i/>
          <w:iCs/>
          <w:sz w:val="24"/>
          <w:szCs w:val="24"/>
          <w:lang w:val="en-ZA"/>
        </w:rPr>
        <w:t>subleased property].</w:t>
      </w:r>
    </w:p>
    <w:p w14:paraId="1A8AE5AC" w14:textId="5D99B61F" w:rsidR="007A4234" w:rsidRDefault="007A4234" w:rsidP="007C66E0">
      <w:pPr>
        <w:spacing w:after="0" w:line="360" w:lineRule="auto"/>
        <w:ind w:left="720" w:hanging="720"/>
        <w:jc w:val="both"/>
        <w:rPr>
          <w:rFonts w:ascii="Times New Roman" w:hAnsi="Times New Roman" w:cs="Times New Roman"/>
          <w:sz w:val="28"/>
          <w:szCs w:val="28"/>
          <w:lang w:val="en-ZA"/>
        </w:rPr>
      </w:pPr>
    </w:p>
    <w:p w14:paraId="6CECBDC4" w14:textId="6D403C82" w:rsidR="007A4234" w:rsidRDefault="007A4234" w:rsidP="007C66E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70DF1">
        <w:rPr>
          <w:rFonts w:ascii="Times New Roman" w:hAnsi="Times New Roman" w:cs="Times New Roman"/>
          <w:sz w:val="28"/>
          <w:szCs w:val="28"/>
          <w:lang w:val="en-ZA"/>
        </w:rPr>
        <w:t>8</w:t>
      </w:r>
      <w:r>
        <w:rPr>
          <w:rFonts w:ascii="Times New Roman" w:hAnsi="Times New Roman" w:cs="Times New Roman"/>
          <w:sz w:val="28"/>
          <w:szCs w:val="28"/>
          <w:lang w:val="en-ZA"/>
        </w:rPr>
        <w:t xml:space="preserve">]    In </w:t>
      </w:r>
      <w:proofErr w:type="spellStart"/>
      <w:r w:rsidR="002E5C6E" w:rsidRPr="00B70DF1">
        <w:rPr>
          <w:rFonts w:ascii="Times New Roman" w:hAnsi="Times New Roman" w:cs="Times New Roman"/>
          <w:b/>
          <w:bCs/>
          <w:sz w:val="28"/>
          <w:szCs w:val="28"/>
          <w:lang w:val="en-ZA"/>
        </w:rPr>
        <w:t>Heynes</w:t>
      </w:r>
      <w:proofErr w:type="spellEnd"/>
      <w:r w:rsidR="002E5C6E" w:rsidRPr="00B70DF1">
        <w:rPr>
          <w:rFonts w:ascii="Times New Roman" w:hAnsi="Times New Roman" w:cs="Times New Roman"/>
          <w:b/>
          <w:bCs/>
          <w:sz w:val="28"/>
          <w:szCs w:val="28"/>
          <w:lang w:val="en-ZA"/>
        </w:rPr>
        <w:t xml:space="preserve"> Mathew</w:t>
      </w:r>
      <w:r w:rsidRPr="00B70DF1">
        <w:rPr>
          <w:rFonts w:ascii="Times New Roman" w:hAnsi="Times New Roman" w:cs="Times New Roman"/>
          <w:b/>
          <w:bCs/>
          <w:sz w:val="28"/>
          <w:szCs w:val="28"/>
          <w:lang w:val="en-ZA"/>
        </w:rPr>
        <w:t xml:space="preserve"> Ltd v Gibson N.O 1950 (1) SA 13 (CPD)</w:t>
      </w:r>
      <w:r>
        <w:rPr>
          <w:rFonts w:ascii="Times New Roman" w:hAnsi="Times New Roman" w:cs="Times New Roman"/>
          <w:sz w:val="28"/>
          <w:szCs w:val="28"/>
          <w:lang w:val="en-ZA"/>
        </w:rPr>
        <w:t xml:space="preserve"> at 15, the court   said:</w:t>
      </w:r>
    </w:p>
    <w:p w14:paraId="545E4062" w14:textId="77777777" w:rsidR="00193730" w:rsidRDefault="00193730" w:rsidP="007C66E0">
      <w:pPr>
        <w:spacing w:after="0" w:line="360" w:lineRule="auto"/>
        <w:ind w:left="720" w:hanging="720"/>
        <w:jc w:val="both"/>
        <w:rPr>
          <w:rFonts w:ascii="Times New Roman" w:hAnsi="Times New Roman" w:cs="Times New Roman"/>
          <w:sz w:val="28"/>
          <w:szCs w:val="28"/>
          <w:lang w:val="en-ZA"/>
        </w:rPr>
      </w:pPr>
    </w:p>
    <w:p w14:paraId="55CEA074" w14:textId="1B82AB8F" w:rsidR="00944EA2" w:rsidRDefault="007C66E0" w:rsidP="007A4234">
      <w:pPr>
        <w:pStyle w:val="BlockText"/>
      </w:pPr>
      <w:r>
        <w:t xml:space="preserve">…When once the lessee has been granted a lease of more than 10 years than </w:t>
      </w:r>
      <w:r w:rsidR="005B686D">
        <w:t xml:space="preserve">certain legal qualities attach thereto.  One of the legal qualities that attaches to it is that, being a lease </w:t>
      </w:r>
      <w:r w:rsidR="005B686D" w:rsidRPr="007A4234">
        <w:t xml:space="preserve">in </w:t>
      </w:r>
      <w:proofErr w:type="spellStart"/>
      <w:r w:rsidR="005B686D" w:rsidRPr="007A4234">
        <w:t>longum</w:t>
      </w:r>
      <w:proofErr w:type="spellEnd"/>
      <w:r w:rsidR="005B686D" w:rsidRPr="007A4234">
        <w:t xml:space="preserve"> tempu</w:t>
      </w:r>
      <w:r w:rsidR="009B7B73" w:rsidRPr="007A4234">
        <w:t>s</w:t>
      </w:r>
      <w:r w:rsidR="009B7B73">
        <w:t xml:space="preserve">, it requires to be registered to bind third parties.  Registration really may be said to be equivalent to full delivery to the lessee of the rights granted to him by the lease.  He is entitled therefore to whatever advantages flow from a lease of this description.  One of the advantages is that upon due registration he is protected for the term of his lease against third parties.  This right </w:t>
      </w:r>
      <w:r w:rsidR="009B7B73">
        <w:lastRenderedPageBreak/>
        <w:t>flows from the lease, and it is a right which he is entitled to have registered in proper form, which means</w:t>
      </w:r>
      <w:r w:rsidR="00944EA2">
        <w:t xml:space="preserve"> registered in Deeds Registry.  I </w:t>
      </w:r>
      <w:proofErr w:type="gramStart"/>
      <w:r w:rsidR="00944EA2">
        <w:t>am of the opinion that</w:t>
      </w:r>
      <w:proofErr w:type="gramEnd"/>
      <w:r w:rsidR="00944EA2">
        <w:t xml:space="preserve"> the position is no different from that of a servitude in regard to which it is common cause that the holder of a servitude registered against the title deeds of the property….</w:t>
      </w:r>
    </w:p>
    <w:p w14:paraId="3D6DFC4E" w14:textId="77777777" w:rsidR="00944EA2" w:rsidRDefault="00944EA2" w:rsidP="00944EA2">
      <w:pPr>
        <w:spacing w:after="0" w:line="360" w:lineRule="auto"/>
        <w:ind w:right="1008"/>
        <w:jc w:val="both"/>
        <w:rPr>
          <w:rFonts w:ascii="Times New Roman" w:hAnsi="Times New Roman" w:cs="Times New Roman"/>
          <w:i/>
          <w:iCs/>
          <w:sz w:val="24"/>
          <w:szCs w:val="24"/>
          <w:lang w:val="en-ZA"/>
        </w:rPr>
      </w:pPr>
    </w:p>
    <w:p w14:paraId="3D1A6966" w14:textId="152477D6" w:rsidR="00A64B68" w:rsidRDefault="00944EA2" w:rsidP="00944E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70DF1">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What can be distilled from the above decisions is that inasmuch as the contract of sublease between the parties is binding, in order to transfer the rights which flow from the sublease to the sublessee, the formalities prescribed in section 24 of the Act must be followed.  As part of the </w:t>
      </w:r>
      <w:r w:rsidR="00A64B68">
        <w:rPr>
          <w:rFonts w:ascii="Times New Roman" w:hAnsi="Times New Roman" w:cs="Times New Roman"/>
          <w:sz w:val="28"/>
          <w:szCs w:val="28"/>
          <w:lang w:val="en-ZA"/>
        </w:rPr>
        <w:t xml:space="preserve">formalities for transference of the rights which flow from the sublease, consent of proper authority is required.  The purpose of this consent as garnered from the provisions of section 24 (2) is to give the sublessee permission to occupy and use the land which </w:t>
      </w:r>
      <w:r w:rsidR="006006C2">
        <w:rPr>
          <w:rFonts w:ascii="Times New Roman" w:hAnsi="Times New Roman" w:cs="Times New Roman"/>
          <w:sz w:val="28"/>
          <w:szCs w:val="28"/>
          <w:lang w:val="en-ZA"/>
        </w:rPr>
        <w:t xml:space="preserve">is </w:t>
      </w:r>
      <w:r w:rsidR="00A64B68">
        <w:rPr>
          <w:rFonts w:ascii="Times New Roman" w:hAnsi="Times New Roman" w:cs="Times New Roman"/>
          <w:sz w:val="28"/>
          <w:szCs w:val="28"/>
          <w:lang w:val="en-ZA"/>
        </w:rPr>
        <w:t>subject of the sublease</w:t>
      </w:r>
      <w:r w:rsidR="006006C2">
        <w:rPr>
          <w:rFonts w:ascii="Times New Roman" w:hAnsi="Times New Roman" w:cs="Times New Roman"/>
          <w:sz w:val="28"/>
          <w:szCs w:val="28"/>
          <w:lang w:val="en-ZA"/>
        </w:rPr>
        <w:t xml:space="preserve"> agreement</w:t>
      </w:r>
      <w:r w:rsidR="00A64B68">
        <w:rPr>
          <w:rFonts w:ascii="Times New Roman" w:hAnsi="Times New Roman" w:cs="Times New Roman"/>
          <w:sz w:val="28"/>
          <w:szCs w:val="28"/>
          <w:lang w:val="en-ZA"/>
        </w:rPr>
        <w:t>.  Without consent from proper authority, the sublessee cannot have a right to occupy and use the subleased property.  No legal title to the subleased property vests in the sublessee and an agreement between the parties by means of which a sublessee occupies and uses subleased property without consent of proper authority is invalid and ineffectual.</w:t>
      </w:r>
    </w:p>
    <w:p w14:paraId="72028A5E" w14:textId="77777777" w:rsidR="00A64B68" w:rsidRDefault="00A64B68" w:rsidP="00944EA2">
      <w:pPr>
        <w:spacing w:after="0" w:line="360" w:lineRule="auto"/>
        <w:ind w:left="720" w:hanging="720"/>
        <w:jc w:val="both"/>
        <w:rPr>
          <w:rFonts w:ascii="Times New Roman" w:hAnsi="Times New Roman" w:cs="Times New Roman"/>
          <w:sz w:val="28"/>
          <w:szCs w:val="28"/>
          <w:lang w:val="en-ZA"/>
        </w:rPr>
      </w:pPr>
    </w:p>
    <w:p w14:paraId="5A98DC83" w14:textId="398C7B26" w:rsidR="006A452A" w:rsidRDefault="00A64B68" w:rsidP="00A64B6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B70DF1">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r>
      <w:r w:rsidR="009706A0">
        <w:rPr>
          <w:rFonts w:ascii="Times New Roman" w:hAnsi="Times New Roman" w:cs="Times New Roman"/>
          <w:sz w:val="28"/>
          <w:szCs w:val="28"/>
          <w:lang w:val="en-ZA"/>
        </w:rPr>
        <w:t>In the present matter the parties did exactly that.  They concluded a sublease agreement and the 1</w:t>
      </w:r>
      <w:r w:rsidR="009706A0" w:rsidRPr="009706A0">
        <w:rPr>
          <w:rFonts w:ascii="Times New Roman" w:hAnsi="Times New Roman" w:cs="Times New Roman"/>
          <w:sz w:val="28"/>
          <w:szCs w:val="28"/>
          <w:vertAlign w:val="superscript"/>
          <w:lang w:val="en-ZA"/>
        </w:rPr>
        <w:t>st</w:t>
      </w:r>
      <w:r w:rsidR="009706A0">
        <w:rPr>
          <w:rFonts w:ascii="Times New Roman" w:hAnsi="Times New Roman" w:cs="Times New Roman"/>
          <w:sz w:val="28"/>
          <w:szCs w:val="28"/>
          <w:lang w:val="en-ZA"/>
        </w:rPr>
        <w:t xml:space="preserve"> respondent took occupation and commenced operations without the sublease agreements being registered.  It is difficult to understand the purpose which will</w:t>
      </w:r>
      <w:r w:rsidR="006A452A">
        <w:rPr>
          <w:rFonts w:ascii="Times New Roman" w:hAnsi="Times New Roman" w:cs="Times New Roman"/>
          <w:sz w:val="28"/>
          <w:szCs w:val="28"/>
          <w:lang w:val="en-ZA"/>
        </w:rPr>
        <w:t xml:space="preserve"> be served by seeking consent when the 1</w:t>
      </w:r>
      <w:r w:rsidR="006A452A" w:rsidRPr="006A452A">
        <w:rPr>
          <w:rFonts w:ascii="Times New Roman" w:hAnsi="Times New Roman" w:cs="Times New Roman"/>
          <w:sz w:val="28"/>
          <w:szCs w:val="28"/>
          <w:vertAlign w:val="superscript"/>
          <w:lang w:val="en-ZA"/>
        </w:rPr>
        <w:t>st</w:t>
      </w:r>
      <w:r w:rsidR="006A452A">
        <w:rPr>
          <w:rFonts w:ascii="Times New Roman" w:hAnsi="Times New Roman" w:cs="Times New Roman"/>
          <w:sz w:val="28"/>
          <w:szCs w:val="28"/>
          <w:lang w:val="en-ZA"/>
        </w:rPr>
        <w:t xml:space="preserve"> respondent and the applicants have arrogated </w:t>
      </w:r>
      <w:r w:rsidR="00D80AE4">
        <w:rPr>
          <w:rFonts w:ascii="Times New Roman" w:hAnsi="Times New Roman" w:cs="Times New Roman"/>
          <w:sz w:val="28"/>
          <w:szCs w:val="28"/>
          <w:lang w:val="en-ZA"/>
        </w:rPr>
        <w:t xml:space="preserve">to themselves </w:t>
      </w:r>
      <w:r w:rsidR="006A452A">
        <w:rPr>
          <w:rFonts w:ascii="Times New Roman" w:hAnsi="Times New Roman" w:cs="Times New Roman"/>
          <w:sz w:val="28"/>
          <w:szCs w:val="28"/>
          <w:lang w:val="en-ZA"/>
        </w:rPr>
        <w:t>the authority to permit usage and occupation, outside of the law.  Th</w:t>
      </w:r>
      <w:r w:rsidR="00D80AE4">
        <w:rPr>
          <w:rFonts w:ascii="Times New Roman" w:hAnsi="Times New Roman" w:cs="Times New Roman"/>
          <w:sz w:val="28"/>
          <w:szCs w:val="28"/>
          <w:lang w:val="en-ZA"/>
        </w:rPr>
        <w:t>e</w:t>
      </w:r>
      <w:r w:rsidR="006A452A">
        <w:rPr>
          <w:rFonts w:ascii="Times New Roman" w:hAnsi="Times New Roman" w:cs="Times New Roman"/>
          <w:sz w:val="28"/>
          <w:szCs w:val="28"/>
          <w:lang w:val="en-ZA"/>
        </w:rPr>
        <w:t xml:space="preserve"> power to authorise usage and occupation </w:t>
      </w:r>
      <w:r w:rsidR="00D80AE4">
        <w:rPr>
          <w:rFonts w:ascii="Times New Roman" w:hAnsi="Times New Roman" w:cs="Times New Roman"/>
          <w:sz w:val="28"/>
          <w:szCs w:val="28"/>
          <w:lang w:val="en-ZA"/>
        </w:rPr>
        <w:t xml:space="preserve">of subleased property </w:t>
      </w:r>
      <w:r w:rsidR="006A452A">
        <w:rPr>
          <w:rFonts w:ascii="Times New Roman" w:hAnsi="Times New Roman" w:cs="Times New Roman"/>
          <w:sz w:val="28"/>
          <w:szCs w:val="28"/>
          <w:lang w:val="en-ZA"/>
        </w:rPr>
        <w:t>vests in 2</w:t>
      </w:r>
      <w:r w:rsidR="006A452A" w:rsidRPr="006A452A">
        <w:rPr>
          <w:rFonts w:ascii="Times New Roman" w:hAnsi="Times New Roman" w:cs="Times New Roman"/>
          <w:sz w:val="28"/>
          <w:szCs w:val="28"/>
          <w:vertAlign w:val="superscript"/>
          <w:lang w:val="en-ZA"/>
        </w:rPr>
        <w:t>nd</w:t>
      </w:r>
      <w:r w:rsidR="006A452A">
        <w:rPr>
          <w:rFonts w:ascii="Times New Roman" w:hAnsi="Times New Roman" w:cs="Times New Roman"/>
          <w:sz w:val="28"/>
          <w:szCs w:val="28"/>
          <w:lang w:val="en-ZA"/>
        </w:rPr>
        <w:t xml:space="preserve"> respondent.</w:t>
      </w:r>
    </w:p>
    <w:p w14:paraId="6CF80674" w14:textId="77777777" w:rsidR="006A452A" w:rsidRDefault="006A452A" w:rsidP="00A64B68">
      <w:pPr>
        <w:spacing w:after="0" w:line="360" w:lineRule="auto"/>
        <w:ind w:left="720" w:hanging="720"/>
        <w:jc w:val="both"/>
        <w:rPr>
          <w:rFonts w:ascii="Times New Roman" w:hAnsi="Times New Roman" w:cs="Times New Roman"/>
          <w:sz w:val="28"/>
          <w:szCs w:val="28"/>
          <w:lang w:val="en-ZA"/>
        </w:rPr>
      </w:pPr>
    </w:p>
    <w:p w14:paraId="2C5AA6B5" w14:textId="5A0A7B5B" w:rsidR="00F34191" w:rsidRDefault="006A452A" w:rsidP="00A64B6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sidR="00B70DF1">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The 1</w:t>
      </w:r>
      <w:r w:rsidRPr="006A452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contends that there is no express legislative requirement that consent must precede conclusion of a sublease agreement.  The 1</w:t>
      </w:r>
      <w:r w:rsidRPr="006A452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relying on </w:t>
      </w:r>
      <w:r w:rsidR="00F34191">
        <w:rPr>
          <w:rFonts w:ascii="Times New Roman" w:hAnsi="Times New Roman" w:cs="Times New Roman"/>
          <w:b/>
          <w:bCs/>
          <w:sz w:val="28"/>
          <w:szCs w:val="28"/>
          <w:lang w:val="en-ZA"/>
        </w:rPr>
        <w:t>(S Properties (Pty) Ltd v DR. ‘</w:t>
      </w:r>
      <w:proofErr w:type="spellStart"/>
      <w:r w:rsidR="00F34191">
        <w:rPr>
          <w:rFonts w:ascii="Times New Roman" w:hAnsi="Times New Roman" w:cs="Times New Roman"/>
          <w:b/>
          <w:bCs/>
          <w:sz w:val="28"/>
          <w:szCs w:val="28"/>
          <w:lang w:val="en-ZA"/>
        </w:rPr>
        <w:t>Mamphono</w:t>
      </w:r>
      <w:proofErr w:type="spellEnd"/>
      <w:r w:rsidR="00F34191">
        <w:rPr>
          <w:rFonts w:ascii="Times New Roman" w:hAnsi="Times New Roman" w:cs="Times New Roman"/>
          <w:b/>
          <w:bCs/>
          <w:sz w:val="28"/>
          <w:szCs w:val="28"/>
          <w:lang w:val="en-ZA"/>
        </w:rPr>
        <w:t xml:space="preserve"> </w:t>
      </w:r>
      <w:proofErr w:type="spellStart"/>
      <w:r w:rsidR="00F34191">
        <w:rPr>
          <w:rFonts w:ascii="Times New Roman" w:hAnsi="Times New Roman" w:cs="Times New Roman"/>
          <w:b/>
          <w:bCs/>
          <w:sz w:val="28"/>
          <w:szCs w:val="28"/>
          <w:lang w:val="en-ZA"/>
        </w:rPr>
        <w:t>Khaketla</w:t>
      </w:r>
      <w:proofErr w:type="spellEnd"/>
      <w:r w:rsidR="00F34191">
        <w:rPr>
          <w:rFonts w:ascii="Times New Roman" w:hAnsi="Times New Roman" w:cs="Times New Roman"/>
          <w:b/>
          <w:bCs/>
          <w:sz w:val="28"/>
          <w:szCs w:val="28"/>
          <w:lang w:val="en-ZA"/>
        </w:rPr>
        <w:t xml:space="preserve"> and Others (C of A (CIV) 63/2011).</w:t>
      </w:r>
      <w:r w:rsidR="00F34191">
        <w:rPr>
          <w:rFonts w:ascii="Times New Roman" w:hAnsi="Times New Roman" w:cs="Times New Roman"/>
          <w:sz w:val="28"/>
          <w:szCs w:val="28"/>
          <w:lang w:val="en-ZA"/>
        </w:rPr>
        <w:t xml:space="preserve">  It further contends that the transaction in question was for a sublease of vacant pieces of land and not for “immovable property”</w:t>
      </w:r>
      <w:r w:rsidR="00182DC9">
        <w:rPr>
          <w:rFonts w:ascii="Times New Roman" w:hAnsi="Times New Roman" w:cs="Times New Roman"/>
          <w:sz w:val="28"/>
          <w:szCs w:val="28"/>
          <w:lang w:val="en-ZA"/>
        </w:rPr>
        <w:t>. It argues that the Act distinguishes between ‘immovable property’</w:t>
      </w:r>
      <w:r w:rsidR="00F34191">
        <w:rPr>
          <w:rFonts w:ascii="Times New Roman" w:hAnsi="Times New Roman" w:cs="Times New Roman"/>
          <w:sz w:val="28"/>
          <w:szCs w:val="28"/>
          <w:lang w:val="en-ZA"/>
        </w:rPr>
        <w:t xml:space="preserve"> and “land</w:t>
      </w:r>
      <w:r w:rsidR="00706235">
        <w:rPr>
          <w:rFonts w:ascii="Times New Roman" w:hAnsi="Times New Roman" w:cs="Times New Roman"/>
          <w:sz w:val="28"/>
          <w:szCs w:val="28"/>
          <w:lang w:val="en-ZA"/>
        </w:rPr>
        <w:t>”, and</w:t>
      </w:r>
      <w:r w:rsidR="00F34191">
        <w:rPr>
          <w:rFonts w:ascii="Times New Roman" w:hAnsi="Times New Roman" w:cs="Times New Roman"/>
          <w:sz w:val="28"/>
          <w:szCs w:val="28"/>
          <w:lang w:val="en-ZA"/>
        </w:rPr>
        <w:t xml:space="preserve"> that section 24 refers to immovable property. </w:t>
      </w:r>
      <w:r w:rsidR="00706235">
        <w:rPr>
          <w:rFonts w:ascii="Times New Roman" w:hAnsi="Times New Roman" w:cs="Times New Roman"/>
          <w:sz w:val="28"/>
          <w:szCs w:val="28"/>
          <w:lang w:val="en-ZA"/>
        </w:rPr>
        <w:t xml:space="preserve">I agree that there is no requirement that consent be sought before conclusion of a sublease agreement, however, as I see it, different consequences attach to taking occupation of subleased property without consent being given and property being registered in terms of the Act. </w:t>
      </w:r>
      <w:r w:rsidR="00F34191">
        <w:rPr>
          <w:rFonts w:ascii="Times New Roman" w:hAnsi="Times New Roman" w:cs="Times New Roman"/>
          <w:sz w:val="28"/>
          <w:szCs w:val="28"/>
          <w:lang w:val="en-ZA"/>
        </w:rPr>
        <w:t>It is apposite therefore to quote the interpretation section of the Act in relevant parts where it defines the impugned words:</w:t>
      </w:r>
    </w:p>
    <w:p w14:paraId="7FAFF707" w14:textId="77777777" w:rsidR="00F34191" w:rsidRDefault="00F34191" w:rsidP="00A64B68">
      <w:pPr>
        <w:spacing w:after="0" w:line="360" w:lineRule="auto"/>
        <w:ind w:left="720" w:hanging="720"/>
        <w:jc w:val="both"/>
        <w:rPr>
          <w:rFonts w:ascii="Times New Roman" w:hAnsi="Times New Roman" w:cs="Times New Roman"/>
          <w:sz w:val="28"/>
          <w:szCs w:val="28"/>
          <w:lang w:val="en-ZA"/>
        </w:rPr>
      </w:pPr>
    </w:p>
    <w:p w14:paraId="37AC73A3" w14:textId="7EFC56D3" w:rsidR="00014F54" w:rsidRDefault="00F34191" w:rsidP="00F34191">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immovable property” includes </w:t>
      </w:r>
      <w:r w:rsidR="00014F54">
        <w:rPr>
          <w:rFonts w:ascii="Times New Roman" w:hAnsi="Times New Roman" w:cs="Times New Roman"/>
          <w:i/>
          <w:iCs/>
          <w:sz w:val="24"/>
          <w:szCs w:val="24"/>
          <w:lang w:val="en-ZA"/>
        </w:rPr>
        <w:t xml:space="preserve">– </w:t>
      </w:r>
    </w:p>
    <w:p w14:paraId="23523C0F" w14:textId="0FD6B859" w:rsidR="00014F54" w:rsidRPr="00014F54" w:rsidRDefault="00014F54" w:rsidP="00014F54">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any building including fixtures or improvements in or over Land and right of occupation and use thereof;</w:t>
      </w:r>
    </w:p>
    <w:p w14:paraId="3B6AE3FB" w14:textId="77777777" w:rsidR="00014F54" w:rsidRPr="00014F54" w:rsidRDefault="00014F54" w:rsidP="00014F54">
      <w:pPr>
        <w:pStyle w:val="ListParagraph"/>
        <w:spacing w:after="0" w:line="360" w:lineRule="auto"/>
        <w:ind w:left="1800" w:right="1008"/>
        <w:jc w:val="both"/>
        <w:rPr>
          <w:rFonts w:ascii="Times New Roman" w:hAnsi="Times New Roman" w:cs="Times New Roman"/>
          <w:sz w:val="28"/>
          <w:szCs w:val="28"/>
          <w:lang w:val="en-ZA"/>
        </w:rPr>
      </w:pPr>
    </w:p>
    <w:p w14:paraId="0EA97A58" w14:textId="77777777" w:rsidR="004A3C36" w:rsidRPr="004A3C36" w:rsidRDefault="00014F54" w:rsidP="00014F54">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a registered lease or sublease of any such building, fixtures </w:t>
      </w:r>
      <w:r w:rsidR="004A3C36">
        <w:rPr>
          <w:rFonts w:ascii="Times New Roman" w:hAnsi="Times New Roman" w:cs="Times New Roman"/>
          <w:i/>
          <w:iCs/>
          <w:sz w:val="24"/>
          <w:szCs w:val="24"/>
          <w:lang w:val="en-ZA"/>
        </w:rPr>
        <w:t xml:space="preserve">and improvements aforesaid, which when entered into was for a period of not less than three years or for the natural life of the lessee or any other person mentioned in the lease or sub-lease, or which is renewable from time to time at the will of the lessee indefinitely or for periods which together with the first period amount in all to not less than three years; or </w:t>
      </w:r>
    </w:p>
    <w:p w14:paraId="16C747A8" w14:textId="77777777" w:rsidR="004A3C36" w:rsidRPr="004A3C36" w:rsidRDefault="004A3C36" w:rsidP="004A3C36">
      <w:pPr>
        <w:pStyle w:val="ListParagraph"/>
        <w:rPr>
          <w:rFonts w:ascii="Times New Roman" w:hAnsi="Times New Roman" w:cs="Times New Roman"/>
          <w:i/>
          <w:iCs/>
          <w:sz w:val="24"/>
          <w:szCs w:val="24"/>
          <w:lang w:val="en-ZA"/>
        </w:rPr>
      </w:pPr>
    </w:p>
    <w:p w14:paraId="75ABD053" w14:textId="77777777" w:rsidR="004A3C36" w:rsidRPr="004A3C36" w:rsidRDefault="004A3C36" w:rsidP="00014F54">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any right to minerals (including any right to mine for minerals and a lease or sub-lease of such right;”</w:t>
      </w:r>
    </w:p>
    <w:p w14:paraId="5B64012D" w14:textId="77777777" w:rsidR="004A3C36" w:rsidRPr="004A3C36" w:rsidRDefault="004A3C36" w:rsidP="004A3C36">
      <w:pPr>
        <w:pStyle w:val="ListParagraph"/>
        <w:rPr>
          <w:rFonts w:ascii="Times New Roman" w:hAnsi="Times New Roman" w:cs="Times New Roman"/>
          <w:i/>
          <w:iCs/>
          <w:sz w:val="24"/>
          <w:szCs w:val="24"/>
          <w:lang w:val="en-ZA"/>
        </w:rPr>
      </w:pPr>
    </w:p>
    <w:p w14:paraId="4F8CA6F4" w14:textId="319BE09A" w:rsidR="004A3C36" w:rsidRDefault="004A3C36" w:rsidP="004A3C36">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“Land” means the land only and does not include any buildings or other improvements erected thereon;</w:t>
      </w:r>
    </w:p>
    <w:p w14:paraId="2E506D35" w14:textId="77777777" w:rsidR="004A3C36" w:rsidRDefault="004A3C36" w:rsidP="004A3C36">
      <w:pPr>
        <w:spacing w:after="0" w:line="360" w:lineRule="auto"/>
        <w:ind w:right="1008"/>
        <w:jc w:val="both"/>
        <w:rPr>
          <w:rFonts w:ascii="Times New Roman" w:hAnsi="Times New Roman" w:cs="Times New Roman"/>
          <w:i/>
          <w:iCs/>
          <w:sz w:val="24"/>
          <w:szCs w:val="24"/>
          <w:lang w:val="en-ZA"/>
        </w:rPr>
      </w:pPr>
    </w:p>
    <w:p w14:paraId="3A99EB22" w14:textId="1A3F3A30" w:rsidR="00650CD1" w:rsidRDefault="004A3C36" w:rsidP="009F67C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70DF1">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Th</w:t>
      </w:r>
      <w:r w:rsidR="00AD1EAE">
        <w:rPr>
          <w:rFonts w:ascii="Times New Roman" w:hAnsi="Times New Roman" w:cs="Times New Roman"/>
          <w:sz w:val="28"/>
          <w:szCs w:val="28"/>
          <w:lang w:val="en-ZA"/>
        </w:rPr>
        <w:t>e</w:t>
      </w:r>
      <w:r>
        <w:rPr>
          <w:rFonts w:ascii="Times New Roman" w:hAnsi="Times New Roman" w:cs="Times New Roman"/>
          <w:sz w:val="28"/>
          <w:szCs w:val="28"/>
          <w:lang w:val="en-ZA"/>
        </w:rPr>
        <w:t xml:space="preserve"> exercise</w:t>
      </w:r>
      <w:r w:rsidR="00AD1EAE">
        <w:rPr>
          <w:rFonts w:ascii="Times New Roman" w:hAnsi="Times New Roman" w:cs="Times New Roman"/>
          <w:sz w:val="28"/>
          <w:szCs w:val="28"/>
          <w:lang w:val="en-ZA"/>
        </w:rPr>
        <w:t xml:space="preserve"> of trying to decipher whether the property in question is an immovable,</w:t>
      </w:r>
      <w:r>
        <w:rPr>
          <w:rFonts w:ascii="Times New Roman" w:hAnsi="Times New Roman" w:cs="Times New Roman"/>
          <w:sz w:val="28"/>
          <w:szCs w:val="28"/>
          <w:lang w:val="en-ZA"/>
        </w:rPr>
        <w:t xml:space="preserve"> involv</w:t>
      </w:r>
      <w:r w:rsidR="00AD1EAE">
        <w:rPr>
          <w:rFonts w:ascii="Times New Roman" w:hAnsi="Times New Roman" w:cs="Times New Roman"/>
          <w:sz w:val="28"/>
          <w:szCs w:val="28"/>
          <w:lang w:val="en-ZA"/>
        </w:rPr>
        <w:t>es</w:t>
      </w:r>
      <w:r>
        <w:rPr>
          <w:rFonts w:ascii="Times New Roman" w:hAnsi="Times New Roman" w:cs="Times New Roman"/>
          <w:sz w:val="28"/>
          <w:szCs w:val="28"/>
          <w:lang w:val="en-ZA"/>
        </w:rPr>
        <w:t xml:space="preserve"> interpret</w:t>
      </w:r>
      <w:r w:rsidR="00AD1EAE">
        <w:rPr>
          <w:rFonts w:ascii="Times New Roman" w:hAnsi="Times New Roman" w:cs="Times New Roman"/>
          <w:sz w:val="28"/>
          <w:szCs w:val="28"/>
          <w:lang w:val="en-ZA"/>
        </w:rPr>
        <w:t>ing the Act. Interpretation</w:t>
      </w:r>
      <w:r>
        <w:rPr>
          <w:rFonts w:ascii="Times New Roman" w:hAnsi="Times New Roman" w:cs="Times New Roman"/>
          <w:sz w:val="28"/>
          <w:szCs w:val="28"/>
          <w:lang w:val="en-ZA"/>
        </w:rPr>
        <w:t xml:space="preserve"> </w:t>
      </w:r>
      <w:r w:rsidR="00AD1EAE">
        <w:rPr>
          <w:rFonts w:ascii="Times New Roman" w:hAnsi="Times New Roman" w:cs="Times New Roman"/>
          <w:sz w:val="28"/>
          <w:szCs w:val="28"/>
          <w:lang w:val="en-ZA"/>
        </w:rPr>
        <w:t>involves</w:t>
      </w:r>
      <w:r>
        <w:rPr>
          <w:rFonts w:ascii="Times New Roman" w:hAnsi="Times New Roman" w:cs="Times New Roman"/>
          <w:sz w:val="28"/>
          <w:szCs w:val="28"/>
          <w:lang w:val="en-ZA"/>
        </w:rPr>
        <w:t xml:space="preserve"> consider</w:t>
      </w:r>
      <w:r w:rsidR="00AD1EAE">
        <w:rPr>
          <w:rFonts w:ascii="Times New Roman" w:hAnsi="Times New Roman" w:cs="Times New Roman"/>
          <w:sz w:val="28"/>
          <w:szCs w:val="28"/>
          <w:lang w:val="en-ZA"/>
        </w:rPr>
        <w:t>ing</w:t>
      </w:r>
      <w:r>
        <w:rPr>
          <w:rFonts w:ascii="Times New Roman" w:hAnsi="Times New Roman" w:cs="Times New Roman"/>
          <w:sz w:val="28"/>
          <w:szCs w:val="28"/>
          <w:lang w:val="en-ZA"/>
        </w:rPr>
        <w:t xml:space="preserve"> the language </w:t>
      </w:r>
      <w:r w:rsidR="009F67C6">
        <w:rPr>
          <w:rFonts w:ascii="Times New Roman" w:hAnsi="Times New Roman" w:cs="Times New Roman"/>
          <w:sz w:val="28"/>
          <w:szCs w:val="28"/>
          <w:lang w:val="en-ZA"/>
        </w:rPr>
        <w:t>used in the provision, understood in the context in which it has been used and taking into account the purpose of the provision</w:t>
      </w:r>
      <w:r w:rsidR="00AD1EAE">
        <w:rPr>
          <w:rFonts w:ascii="Times New Roman" w:hAnsi="Times New Roman" w:cs="Times New Roman"/>
          <w:sz w:val="28"/>
          <w:szCs w:val="28"/>
          <w:lang w:val="en-ZA"/>
        </w:rPr>
        <w:t xml:space="preserve"> </w:t>
      </w:r>
      <w:r w:rsidR="009F67C6">
        <w:rPr>
          <w:rFonts w:ascii="Times New Roman" w:hAnsi="Times New Roman" w:cs="Times New Roman"/>
          <w:sz w:val="28"/>
          <w:szCs w:val="28"/>
          <w:lang w:val="en-ZA"/>
        </w:rPr>
        <w:t>(</w:t>
      </w:r>
      <w:r w:rsidR="009F67C6">
        <w:rPr>
          <w:rFonts w:ascii="Times New Roman" w:hAnsi="Times New Roman" w:cs="Times New Roman"/>
          <w:b/>
          <w:bCs/>
          <w:sz w:val="28"/>
          <w:szCs w:val="28"/>
          <w:lang w:val="en-ZA"/>
        </w:rPr>
        <w:t xml:space="preserve">Capitec Bank Holdings Limited and Another v Coral Lagoon Investments 194 (Pty) and other 2022 (1) SA 100 (SCA) (09 July 2021) at para. 25).  </w:t>
      </w:r>
      <w:r w:rsidR="009F67C6">
        <w:rPr>
          <w:rFonts w:ascii="Times New Roman" w:hAnsi="Times New Roman" w:cs="Times New Roman"/>
          <w:sz w:val="28"/>
          <w:szCs w:val="28"/>
          <w:lang w:val="en-ZA"/>
        </w:rPr>
        <w:t>In my considered view, the context is clear, section 24 deals with registration of leases and subleases in respect of immovable property and provides under subsections 2 and 3</w:t>
      </w:r>
      <w:r w:rsidR="00AD1EAE">
        <w:rPr>
          <w:rFonts w:ascii="Times New Roman" w:hAnsi="Times New Roman" w:cs="Times New Roman"/>
          <w:sz w:val="28"/>
          <w:szCs w:val="28"/>
          <w:lang w:val="en-ZA"/>
        </w:rPr>
        <w:t xml:space="preserve">, that </w:t>
      </w:r>
      <w:r w:rsidR="009F67C6">
        <w:rPr>
          <w:rFonts w:ascii="Times New Roman" w:hAnsi="Times New Roman" w:cs="Times New Roman"/>
          <w:sz w:val="28"/>
          <w:szCs w:val="28"/>
          <w:lang w:val="en-ZA"/>
        </w:rPr>
        <w:t xml:space="preserve"> the transfer of rights flowing from lease</w:t>
      </w:r>
      <w:r w:rsidR="00AD1EAE">
        <w:rPr>
          <w:rFonts w:ascii="Times New Roman" w:hAnsi="Times New Roman" w:cs="Times New Roman"/>
          <w:sz w:val="28"/>
          <w:szCs w:val="28"/>
          <w:lang w:val="en-ZA"/>
        </w:rPr>
        <w:t>s</w:t>
      </w:r>
      <w:r w:rsidR="009F67C6">
        <w:rPr>
          <w:rFonts w:ascii="Times New Roman" w:hAnsi="Times New Roman" w:cs="Times New Roman"/>
          <w:sz w:val="28"/>
          <w:szCs w:val="28"/>
          <w:lang w:val="en-ZA"/>
        </w:rPr>
        <w:t xml:space="preserve"> or sublease</w:t>
      </w:r>
      <w:r w:rsidR="00AD1EAE">
        <w:rPr>
          <w:rFonts w:ascii="Times New Roman" w:hAnsi="Times New Roman" w:cs="Times New Roman"/>
          <w:sz w:val="28"/>
          <w:szCs w:val="28"/>
          <w:lang w:val="en-ZA"/>
        </w:rPr>
        <w:t>s</w:t>
      </w:r>
      <w:r w:rsidR="009F67C6">
        <w:rPr>
          <w:rFonts w:ascii="Times New Roman" w:hAnsi="Times New Roman" w:cs="Times New Roman"/>
          <w:sz w:val="28"/>
          <w:szCs w:val="28"/>
          <w:lang w:val="en-ZA"/>
        </w:rPr>
        <w:t xml:space="preserve"> shall only be effected after a proper authority will have consented to occupation and usage</w:t>
      </w:r>
      <w:r w:rsidR="00AD1EAE">
        <w:rPr>
          <w:rFonts w:ascii="Times New Roman" w:hAnsi="Times New Roman" w:cs="Times New Roman"/>
          <w:sz w:val="28"/>
          <w:szCs w:val="28"/>
          <w:lang w:val="en-ZA"/>
        </w:rPr>
        <w:t>. The purpose</w:t>
      </w:r>
      <w:r w:rsidR="009F67C6">
        <w:rPr>
          <w:rFonts w:ascii="Times New Roman" w:hAnsi="Times New Roman" w:cs="Times New Roman"/>
          <w:sz w:val="28"/>
          <w:szCs w:val="28"/>
          <w:lang w:val="en-ZA"/>
        </w:rPr>
        <w:t xml:space="preserve"> of registration is to protect the sublessee against third parties. </w:t>
      </w:r>
      <w:r w:rsidR="00650CD1">
        <w:rPr>
          <w:rFonts w:ascii="Times New Roman" w:hAnsi="Times New Roman" w:cs="Times New Roman"/>
          <w:sz w:val="28"/>
          <w:szCs w:val="28"/>
          <w:lang w:val="en-ZA"/>
        </w:rPr>
        <w:t>The 1</w:t>
      </w:r>
      <w:r w:rsidR="00650CD1" w:rsidRPr="00650CD1">
        <w:rPr>
          <w:rFonts w:ascii="Times New Roman" w:hAnsi="Times New Roman" w:cs="Times New Roman"/>
          <w:sz w:val="28"/>
          <w:szCs w:val="28"/>
          <w:vertAlign w:val="superscript"/>
          <w:lang w:val="en-ZA"/>
        </w:rPr>
        <w:t>st</w:t>
      </w:r>
      <w:r w:rsidR="00650CD1">
        <w:rPr>
          <w:rFonts w:ascii="Times New Roman" w:hAnsi="Times New Roman" w:cs="Times New Roman"/>
          <w:sz w:val="28"/>
          <w:szCs w:val="28"/>
          <w:lang w:val="en-ZA"/>
        </w:rPr>
        <w:t xml:space="preserve"> respondent’s interpretation that the words “immovable property” excludes “land” is flawed, and this is due to the use of the word “includes” </w:t>
      </w:r>
      <w:r w:rsidR="00F96150">
        <w:rPr>
          <w:rFonts w:ascii="Times New Roman" w:hAnsi="Times New Roman" w:cs="Times New Roman"/>
          <w:sz w:val="28"/>
          <w:szCs w:val="28"/>
          <w:lang w:val="en-ZA"/>
        </w:rPr>
        <w:t>as it</w:t>
      </w:r>
      <w:r w:rsidR="00650CD1">
        <w:rPr>
          <w:rFonts w:ascii="Times New Roman" w:hAnsi="Times New Roman" w:cs="Times New Roman"/>
          <w:sz w:val="28"/>
          <w:szCs w:val="28"/>
          <w:lang w:val="en-ZA"/>
        </w:rPr>
        <w:t xml:space="preserve"> appears in </w:t>
      </w:r>
      <w:r w:rsidR="00F96150">
        <w:rPr>
          <w:rFonts w:ascii="Times New Roman" w:hAnsi="Times New Roman" w:cs="Times New Roman"/>
          <w:sz w:val="28"/>
          <w:szCs w:val="28"/>
          <w:lang w:val="en-ZA"/>
        </w:rPr>
        <w:t xml:space="preserve">the interpretation section. When the word is used in a statute, </w:t>
      </w:r>
      <w:r w:rsidR="00650CD1">
        <w:rPr>
          <w:rFonts w:ascii="Times New Roman" w:hAnsi="Times New Roman" w:cs="Times New Roman"/>
          <w:sz w:val="28"/>
          <w:szCs w:val="28"/>
          <w:lang w:val="en-ZA"/>
        </w:rPr>
        <w:t xml:space="preserve">the case of </w:t>
      </w:r>
      <w:r w:rsidR="00650CD1">
        <w:rPr>
          <w:rFonts w:ascii="Times New Roman" w:hAnsi="Times New Roman" w:cs="Times New Roman"/>
          <w:b/>
          <w:bCs/>
          <w:sz w:val="28"/>
          <w:szCs w:val="28"/>
          <w:lang w:val="en-ZA"/>
        </w:rPr>
        <w:t xml:space="preserve">De </w:t>
      </w:r>
      <w:proofErr w:type="spellStart"/>
      <w:r w:rsidR="00650CD1">
        <w:rPr>
          <w:rFonts w:ascii="Times New Roman" w:hAnsi="Times New Roman" w:cs="Times New Roman"/>
          <w:b/>
          <w:bCs/>
          <w:sz w:val="28"/>
          <w:szCs w:val="28"/>
          <w:lang w:val="en-ZA"/>
        </w:rPr>
        <w:t>Reuck</w:t>
      </w:r>
      <w:proofErr w:type="spellEnd"/>
      <w:r w:rsidR="00650CD1">
        <w:rPr>
          <w:rFonts w:ascii="Times New Roman" w:hAnsi="Times New Roman" w:cs="Times New Roman"/>
          <w:b/>
          <w:bCs/>
          <w:sz w:val="28"/>
          <w:szCs w:val="28"/>
          <w:lang w:val="en-ZA"/>
        </w:rPr>
        <w:t xml:space="preserve"> v Director of Public Prosecutions (Witwatersrand Local Division) and others 2004 (1) SA 406 (CC) </w:t>
      </w:r>
      <w:r w:rsidR="00650CD1" w:rsidRPr="00F96150">
        <w:rPr>
          <w:rFonts w:ascii="Times New Roman" w:hAnsi="Times New Roman" w:cs="Times New Roman"/>
          <w:sz w:val="28"/>
          <w:szCs w:val="28"/>
          <w:lang w:val="en-ZA"/>
        </w:rPr>
        <w:t>at para 18</w:t>
      </w:r>
      <w:r w:rsidR="00F96150" w:rsidRPr="00F96150">
        <w:rPr>
          <w:rFonts w:ascii="Times New Roman" w:hAnsi="Times New Roman" w:cs="Times New Roman"/>
          <w:sz w:val="28"/>
          <w:szCs w:val="28"/>
          <w:lang w:val="en-ZA"/>
        </w:rPr>
        <w:t>,</w:t>
      </w:r>
      <w:r w:rsidR="00650CD1">
        <w:rPr>
          <w:rFonts w:ascii="Times New Roman" w:hAnsi="Times New Roman" w:cs="Times New Roman"/>
          <w:sz w:val="28"/>
          <w:szCs w:val="28"/>
          <w:lang w:val="en-ZA"/>
        </w:rPr>
        <w:t xml:space="preserve"> </w:t>
      </w:r>
      <w:r w:rsidR="00F96150">
        <w:rPr>
          <w:rFonts w:ascii="Times New Roman" w:hAnsi="Times New Roman" w:cs="Times New Roman"/>
          <w:sz w:val="28"/>
          <w:szCs w:val="28"/>
          <w:lang w:val="en-ZA"/>
        </w:rPr>
        <w:t>provides guidance on how it to be understood</w:t>
      </w:r>
      <w:r w:rsidR="00650CD1">
        <w:rPr>
          <w:rFonts w:ascii="Times New Roman" w:hAnsi="Times New Roman" w:cs="Times New Roman"/>
          <w:sz w:val="28"/>
          <w:szCs w:val="28"/>
          <w:lang w:val="en-ZA"/>
        </w:rPr>
        <w:t>:</w:t>
      </w:r>
    </w:p>
    <w:p w14:paraId="14A41910" w14:textId="77777777" w:rsidR="00650CD1" w:rsidRDefault="00650CD1" w:rsidP="009F67C6">
      <w:pPr>
        <w:spacing w:after="0" w:line="360" w:lineRule="auto"/>
        <w:ind w:left="720" w:hanging="720"/>
        <w:jc w:val="both"/>
        <w:rPr>
          <w:rFonts w:ascii="Times New Roman" w:hAnsi="Times New Roman" w:cs="Times New Roman"/>
          <w:sz w:val="28"/>
          <w:szCs w:val="28"/>
          <w:lang w:val="en-ZA"/>
        </w:rPr>
      </w:pPr>
    </w:p>
    <w:p w14:paraId="145217D4" w14:textId="440448D7" w:rsidR="00715F82" w:rsidRDefault="00650CD1" w:rsidP="00650CD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correct sense of “includes” in a statute must be ascertained from the context in which it is used.  </w:t>
      </w:r>
      <w:proofErr w:type="spellStart"/>
      <w:r>
        <w:rPr>
          <w:rFonts w:ascii="Times New Roman" w:hAnsi="Times New Roman" w:cs="Times New Roman"/>
          <w:i/>
          <w:iCs/>
          <w:sz w:val="24"/>
          <w:szCs w:val="24"/>
          <w:u w:val="single"/>
          <w:lang w:val="en-ZA"/>
        </w:rPr>
        <w:t>Debele</w:t>
      </w:r>
      <w:proofErr w:type="spellEnd"/>
      <w:r>
        <w:rPr>
          <w:rFonts w:ascii="Times New Roman" w:hAnsi="Times New Roman" w:cs="Times New Roman"/>
          <w:i/>
          <w:iCs/>
          <w:sz w:val="24"/>
          <w:szCs w:val="24"/>
          <w:lang w:val="en-ZA"/>
        </w:rPr>
        <w:t xml:space="preserve"> provides useful guidelines for this determination.  If the primary meaning of the term is well known and not in need of </w:t>
      </w:r>
      <w:r w:rsidR="00A83845">
        <w:rPr>
          <w:rFonts w:ascii="Times New Roman" w:hAnsi="Times New Roman" w:cs="Times New Roman"/>
          <w:i/>
          <w:iCs/>
          <w:sz w:val="24"/>
          <w:szCs w:val="24"/>
          <w:lang w:val="en-ZA"/>
        </w:rPr>
        <w:t xml:space="preserve">definition and items in the list introduced by “includes” go beyond that primary meaning, the purpose of that list is then usually taken to add to the primary meaning so that “includes” is non-exhaustive.  If, as in this case, the primary meaning already encompasses </w:t>
      </w:r>
      <w:r w:rsidR="00A83845">
        <w:rPr>
          <w:rFonts w:ascii="Times New Roman" w:hAnsi="Times New Roman" w:cs="Times New Roman"/>
          <w:i/>
          <w:iCs/>
          <w:sz w:val="24"/>
          <w:szCs w:val="24"/>
          <w:lang w:val="en-ZA"/>
        </w:rPr>
        <w:lastRenderedPageBreak/>
        <w:t>all the items in the list, then the purpose of the list is to make the definition</w:t>
      </w:r>
      <w:r w:rsidR="00715F82">
        <w:rPr>
          <w:rFonts w:ascii="Times New Roman" w:hAnsi="Times New Roman" w:cs="Times New Roman"/>
          <w:i/>
          <w:iCs/>
          <w:sz w:val="24"/>
          <w:szCs w:val="24"/>
          <w:lang w:val="en-ZA"/>
        </w:rPr>
        <w:t xml:space="preserve"> more precise.  In such a case “includes” is used exhaustively.  Between these two situations there is a third, where the drafters have for convenience grouped together several things in the definition of one term, whose primary meaning – if it is a word in ordinary, non-legal usage – fits some of them better than others.  Such a list may also be intended as exhaustive, if only to avoid what was referred in </w:t>
      </w:r>
      <w:proofErr w:type="spellStart"/>
      <w:r w:rsidR="00715F82">
        <w:rPr>
          <w:rFonts w:ascii="Times New Roman" w:hAnsi="Times New Roman" w:cs="Times New Roman"/>
          <w:i/>
          <w:iCs/>
          <w:sz w:val="24"/>
          <w:szCs w:val="24"/>
          <w:u w:val="single"/>
          <w:lang w:val="en-ZA"/>
        </w:rPr>
        <w:t>Debele</w:t>
      </w:r>
      <w:proofErr w:type="spellEnd"/>
      <w:r w:rsidR="00715F82">
        <w:rPr>
          <w:rFonts w:ascii="Times New Roman" w:hAnsi="Times New Roman" w:cs="Times New Roman"/>
          <w:i/>
          <w:iCs/>
          <w:sz w:val="24"/>
          <w:szCs w:val="24"/>
          <w:lang w:val="en-ZA"/>
        </w:rPr>
        <w:t xml:space="preserve"> </w:t>
      </w:r>
      <w:proofErr w:type="gramStart"/>
      <w:r w:rsidR="00E411F5">
        <w:rPr>
          <w:rFonts w:ascii="Times New Roman" w:hAnsi="Times New Roman" w:cs="Times New Roman"/>
          <w:i/>
          <w:iCs/>
          <w:sz w:val="24"/>
          <w:szCs w:val="24"/>
          <w:lang w:val="en-ZA"/>
        </w:rPr>
        <w:t>as .</w:t>
      </w:r>
      <w:proofErr w:type="gramEnd"/>
      <w:r w:rsidR="00715F82">
        <w:rPr>
          <w:rFonts w:ascii="Times New Roman" w:hAnsi="Times New Roman" w:cs="Times New Roman"/>
          <w:i/>
          <w:iCs/>
          <w:sz w:val="24"/>
          <w:szCs w:val="24"/>
          <w:lang w:val="en-ZA"/>
        </w:rPr>
        <w:t>… (a quagmire of uncertainty in the application of the term.”</w:t>
      </w:r>
    </w:p>
    <w:p w14:paraId="6209558F" w14:textId="1B243142" w:rsidR="006A6F05" w:rsidRDefault="006A6F05" w:rsidP="006A6F05">
      <w:pPr>
        <w:spacing w:after="0" w:line="360" w:lineRule="auto"/>
        <w:ind w:right="1008"/>
        <w:jc w:val="both"/>
        <w:rPr>
          <w:rFonts w:ascii="Times New Roman" w:hAnsi="Times New Roman" w:cs="Times New Roman"/>
          <w:i/>
          <w:iCs/>
          <w:sz w:val="24"/>
          <w:szCs w:val="24"/>
          <w:lang w:val="en-ZA"/>
        </w:rPr>
      </w:pPr>
    </w:p>
    <w:p w14:paraId="56827071" w14:textId="79024F46" w:rsidR="006A6F05" w:rsidRDefault="006A6F05" w:rsidP="006A6F0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70DF1">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With the above principles in mind, I revert to the 1</w:t>
      </w:r>
      <w:r w:rsidRPr="006A6F0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contention that the words “immovable property” excludes land.  This contention is flawed</w:t>
      </w:r>
      <w:r w:rsidR="00947C32">
        <w:rPr>
          <w:rFonts w:ascii="Times New Roman" w:hAnsi="Times New Roman" w:cs="Times New Roman"/>
          <w:sz w:val="28"/>
          <w:szCs w:val="28"/>
          <w:lang w:val="en-ZA"/>
        </w:rPr>
        <w:t xml:space="preserve"> as already stated</w:t>
      </w:r>
      <w:r>
        <w:rPr>
          <w:rFonts w:ascii="Times New Roman" w:hAnsi="Times New Roman" w:cs="Times New Roman"/>
          <w:sz w:val="28"/>
          <w:szCs w:val="28"/>
          <w:lang w:val="en-ZA"/>
        </w:rPr>
        <w:t>.  The primary legal meaning of the word “immovable property” is t</w:t>
      </w:r>
      <w:r w:rsidR="00947C32">
        <w:rPr>
          <w:rFonts w:ascii="Times New Roman" w:hAnsi="Times New Roman" w:cs="Times New Roman"/>
          <w:sz w:val="28"/>
          <w:szCs w:val="28"/>
          <w:lang w:val="en-ZA"/>
        </w:rPr>
        <w:t xml:space="preserve">hat it </w:t>
      </w:r>
      <w:r>
        <w:rPr>
          <w:rFonts w:ascii="Times New Roman" w:hAnsi="Times New Roman" w:cs="Times New Roman"/>
          <w:sz w:val="28"/>
          <w:szCs w:val="28"/>
          <w:lang w:val="en-ZA"/>
        </w:rPr>
        <w:t xml:space="preserve">is “land </w:t>
      </w:r>
      <w:r w:rsidR="002A2DC6">
        <w:rPr>
          <w:rFonts w:ascii="Times New Roman" w:hAnsi="Times New Roman" w:cs="Times New Roman"/>
          <w:sz w:val="28"/>
          <w:szCs w:val="28"/>
          <w:lang w:val="en-ZA"/>
        </w:rPr>
        <w:t>and everything that is attached to land by natural or artificial means ….”  (</w:t>
      </w:r>
      <w:proofErr w:type="spellStart"/>
      <w:r w:rsidR="002A2DC6">
        <w:rPr>
          <w:rFonts w:ascii="Times New Roman" w:hAnsi="Times New Roman" w:cs="Times New Roman"/>
          <w:b/>
          <w:bCs/>
          <w:sz w:val="28"/>
          <w:szCs w:val="28"/>
          <w:lang w:val="en-ZA"/>
        </w:rPr>
        <w:t>Badenhorst</w:t>
      </w:r>
      <w:proofErr w:type="spellEnd"/>
      <w:r w:rsidR="002A2DC6">
        <w:rPr>
          <w:rFonts w:ascii="Times New Roman" w:hAnsi="Times New Roman" w:cs="Times New Roman"/>
          <w:b/>
          <w:bCs/>
          <w:sz w:val="28"/>
          <w:szCs w:val="28"/>
          <w:lang w:val="en-ZA"/>
        </w:rPr>
        <w:t xml:space="preserve"> et al Silber</w:t>
      </w:r>
      <w:r w:rsidR="0025547F">
        <w:rPr>
          <w:rFonts w:ascii="Times New Roman" w:hAnsi="Times New Roman" w:cs="Times New Roman"/>
          <w:b/>
          <w:bCs/>
          <w:sz w:val="28"/>
          <w:szCs w:val="28"/>
          <w:lang w:val="en-ZA"/>
        </w:rPr>
        <w:t>ber</w:t>
      </w:r>
      <w:r w:rsidR="002A2DC6">
        <w:rPr>
          <w:rFonts w:ascii="Times New Roman" w:hAnsi="Times New Roman" w:cs="Times New Roman"/>
          <w:b/>
          <w:bCs/>
          <w:sz w:val="28"/>
          <w:szCs w:val="28"/>
          <w:lang w:val="en-ZA"/>
        </w:rPr>
        <w:t>g and Schoeman’s The Law of Property 5</w:t>
      </w:r>
      <w:r w:rsidR="002A2DC6" w:rsidRPr="002A2DC6">
        <w:rPr>
          <w:rFonts w:ascii="Times New Roman" w:hAnsi="Times New Roman" w:cs="Times New Roman"/>
          <w:b/>
          <w:bCs/>
          <w:sz w:val="28"/>
          <w:szCs w:val="28"/>
          <w:vertAlign w:val="superscript"/>
          <w:lang w:val="en-ZA"/>
        </w:rPr>
        <w:t>th</w:t>
      </w:r>
      <w:r w:rsidR="002A2DC6">
        <w:rPr>
          <w:rFonts w:ascii="Times New Roman" w:hAnsi="Times New Roman" w:cs="Times New Roman"/>
          <w:b/>
          <w:bCs/>
          <w:sz w:val="28"/>
          <w:szCs w:val="28"/>
          <w:lang w:val="en-ZA"/>
        </w:rPr>
        <w:t xml:space="preserve"> Ed., at para 3.3.2.2.).  </w:t>
      </w:r>
      <w:r w:rsidR="002A2DC6">
        <w:rPr>
          <w:rFonts w:ascii="Times New Roman" w:hAnsi="Times New Roman" w:cs="Times New Roman"/>
          <w:sz w:val="28"/>
          <w:szCs w:val="28"/>
          <w:lang w:val="en-ZA"/>
        </w:rPr>
        <w:t>The items which are listed under the definition of the “immovable property” are merely meant to add to the primary meaning of the words, they are not exhaustive.  Upon reading of the definition, I do not get a sense that the legislat</w:t>
      </w:r>
      <w:r w:rsidR="009E3827">
        <w:rPr>
          <w:rFonts w:ascii="Times New Roman" w:hAnsi="Times New Roman" w:cs="Times New Roman"/>
          <w:sz w:val="28"/>
          <w:szCs w:val="28"/>
          <w:lang w:val="en-ZA"/>
        </w:rPr>
        <w:t>ure</w:t>
      </w:r>
      <w:r w:rsidR="002A2DC6">
        <w:rPr>
          <w:rFonts w:ascii="Times New Roman" w:hAnsi="Times New Roman" w:cs="Times New Roman"/>
          <w:sz w:val="28"/>
          <w:szCs w:val="28"/>
          <w:lang w:val="en-ZA"/>
        </w:rPr>
        <w:t xml:space="preserve"> intended the words to be exclusi</w:t>
      </w:r>
      <w:r w:rsidR="0076635B">
        <w:rPr>
          <w:rFonts w:ascii="Times New Roman" w:hAnsi="Times New Roman" w:cs="Times New Roman"/>
          <w:sz w:val="28"/>
          <w:szCs w:val="28"/>
          <w:lang w:val="en-ZA"/>
        </w:rPr>
        <w:t>ve</w:t>
      </w:r>
      <w:r w:rsidR="002A2DC6">
        <w:rPr>
          <w:rFonts w:ascii="Times New Roman" w:hAnsi="Times New Roman" w:cs="Times New Roman"/>
          <w:sz w:val="28"/>
          <w:szCs w:val="28"/>
          <w:lang w:val="en-ZA"/>
        </w:rPr>
        <w:t xml:space="preserve"> of the primary legal meaning of the word.  Section 24 thus apply to sublease over land as in the present matter, I do agree with the 1</w:t>
      </w:r>
      <w:r w:rsidR="002A2DC6" w:rsidRPr="002A2DC6">
        <w:rPr>
          <w:rFonts w:ascii="Times New Roman" w:hAnsi="Times New Roman" w:cs="Times New Roman"/>
          <w:sz w:val="28"/>
          <w:szCs w:val="28"/>
          <w:vertAlign w:val="superscript"/>
          <w:lang w:val="en-ZA"/>
        </w:rPr>
        <w:t>st</w:t>
      </w:r>
      <w:r w:rsidR="002A2DC6">
        <w:rPr>
          <w:rFonts w:ascii="Times New Roman" w:hAnsi="Times New Roman" w:cs="Times New Roman"/>
          <w:sz w:val="28"/>
          <w:szCs w:val="28"/>
          <w:lang w:val="en-ZA"/>
        </w:rPr>
        <w:t xml:space="preserve"> respondent’s counsel that section 24 does not say that consent must precede registration.  </w:t>
      </w:r>
      <w:r w:rsidR="003068BF">
        <w:rPr>
          <w:rFonts w:ascii="Times New Roman" w:hAnsi="Times New Roman" w:cs="Times New Roman"/>
          <w:sz w:val="28"/>
          <w:szCs w:val="28"/>
          <w:lang w:val="en-ZA"/>
        </w:rPr>
        <w:t>W</w:t>
      </w:r>
      <w:r w:rsidR="002A2DC6">
        <w:rPr>
          <w:rFonts w:ascii="Times New Roman" w:hAnsi="Times New Roman" w:cs="Times New Roman"/>
          <w:sz w:val="28"/>
          <w:szCs w:val="28"/>
          <w:lang w:val="en-ZA"/>
        </w:rPr>
        <w:t>hat the 1</w:t>
      </w:r>
      <w:r w:rsidR="002A2DC6" w:rsidRPr="002A2DC6">
        <w:rPr>
          <w:rFonts w:ascii="Times New Roman" w:hAnsi="Times New Roman" w:cs="Times New Roman"/>
          <w:sz w:val="28"/>
          <w:szCs w:val="28"/>
          <w:vertAlign w:val="superscript"/>
          <w:lang w:val="en-ZA"/>
        </w:rPr>
        <w:t>st</w:t>
      </w:r>
      <w:r w:rsidR="002A2DC6">
        <w:rPr>
          <w:rFonts w:ascii="Times New Roman" w:hAnsi="Times New Roman" w:cs="Times New Roman"/>
          <w:sz w:val="28"/>
          <w:szCs w:val="28"/>
          <w:lang w:val="en-ZA"/>
        </w:rPr>
        <w:t xml:space="preserve"> respondent’s counsel seems to have </w:t>
      </w:r>
      <w:r w:rsidR="003068BF">
        <w:rPr>
          <w:rFonts w:ascii="Times New Roman" w:hAnsi="Times New Roman" w:cs="Times New Roman"/>
          <w:sz w:val="28"/>
          <w:szCs w:val="28"/>
          <w:lang w:val="en-ZA"/>
        </w:rPr>
        <w:t>lost sight of, is that in the present matter the parties to the impugned sublease agreement allowed the 1</w:t>
      </w:r>
      <w:r w:rsidR="003068BF" w:rsidRPr="003068BF">
        <w:rPr>
          <w:rFonts w:ascii="Times New Roman" w:hAnsi="Times New Roman" w:cs="Times New Roman"/>
          <w:sz w:val="28"/>
          <w:szCs w:val="28"/>
          <w:vertAlign w:val="superscript"/>
          <w:lang w:val="en-ZA"/>
        </w:rPr>
        <w:t>st</w:t>
      </w:r>
      <w:r w:rsidR="003068BF">
        <w:rPr>
          <w:rFonts w:ascii="Times New Roman" w:hAnsi="Times New Roman" w:cs="Times New Roman"/>
          <w:sz w:val="28"/>
          <w:szCs w:val="28"/>
          <w:lang w:val="en-ZA"/>
        </w:rPr>
        <w:t xml:space="preserve"> respondent to occupy and use land without the requisite authority of the proper authority</w:t>
      </w:r>
      <w:r w:rsidR="007E5915">
        <w:rPr>
          <w:rFonts w:ascii="Times New Roman" w:hAnsi="Times New Roman" w:cs="Times New Roman"/>
          <w:sz w:val="28"/>
          <w:szCs w:val="28"/>
          <w:lang w:val="en-ZA"/>
        </w:rPr>
        <w:t xml:space="preserve"> being granted</w:t>
      </w:r>
      <w:r w:rsidR="003068BF">
        <w:rPr>
          <w:rFonts w:ascii="Times New Roman" w:hAnsi="Times New Roman" w:cs="Times New Roman"/>
          <w:sz w:val="28"/>
          <w:szCs w:val="28"/>
          <w:lang w:val="en-ZA"/>
        </w:rPr>
        <w:t>.  The agreement</w:t>
      </w:r>
      <w:r w:rsidR="0036259C">
        <w:rPr>
          <w:rFonts w:ascii="Times New Roman" w:hAnsi="Times New Roman" w:cs="Times New Roman"/>
          <w:sz w:val="28"/>
          <w:szCs w:val="28"/>
          <w:lang w:val="en-ZA"/>
        </w:rPr>
        <w:t>s</w:t>
      </w:r>
      <w:r w:rsidR="003068BF">
        <w:rPr>
          <w:rFonts w:ascii="Times New Roman" w:hAnsi="Times New Roman" w:cs="Times New Roman"/>
          <w:sz w:val="28"/>
          <w:szCs w:val="28"/>
          <w:lang w:val="en-ZA"/>
        </w:rPr>
        <w:t xml:space="preserve"> </w:t>
      </w:r>
      <w:r w:rsidR="007E5915">
        <w:rPr>
          <w:rFonts w:ascii="Times New Roman" w:hAnsi="Times New Roman" w:cs="Times New Roman"/>
          <w:sz w:val="28"/>
          <w:szCs w:val="28"/>
          <w:lang w:val="en-ZA"/>
        </w:rPr>
        <w:t>are</w:t>
      </w:r>
      <w:r w:rsidR="003068BF">
        <w:rPr>
          <w:rFonts w:ascii="Times New Roman" w:hAnsi="Times New Roman" w:cs="Times New Roman"/>
          <w:sz w:val="28"/>
          <w:szCs w:val="28"/>
          <w:lang w:val="en-ZA"/>
        </w:rPr>
        <w:t xml:space="preserve"> null and void and of no force and effect in view of these circumstances.  With this </w:t>
      </w:r>
      <w:r w:rsidR="0036259C">
        <w:rPr>
          <w:rFonts w:ascii="Times New Roman" w:hAnsi="Times New Roman" w:cs="Times New Roman"/>
          <w:sz w:val="28"/>
          <w:szCs w:val="28"/>
          <w:lang w:val="en-ZA"/>
        </w:rPr>
        <w:t>conclusion it is unnecessary to deal with the applicants’ second anchor of its case (i.e. misrepresentation by the 1</w:t>
      </w:r>
      <w:r w:rsidR="0036259C" w:rsidRPr="0036259C">
        <w:rPr>
          <w:rFonts w:ascii="Times New Roman" w:hAnsi="Times New Roman" w:cs="Times New Roman"/>
          <w:sz w:val="28"/>
          <w:szCs w:val="28"/>
          <w:vertAlign w:val="superscript"/>
          <w:lang w:val="en-ZA"/>
        </w:rPr>
        <w:t>st</w:t>
      </w:r>
      <w:r w:rsidR="0036259C">
        <w:rPr>
          <w:rFonts w:ascii="Times New Roman" w:hAnsi="Times New Roman" w:cs="Times New Roman"/>
          <w:sz w:val="28"/>
          <w:szCs w:val="28"/>
          <w:lang w:val="en-ZA"/>
        </w:rPr>
        <w:t xml:space="preserve"> respondents’ officials).</w:t>
      </w:r>
    </w:p>
    <w:p w14:paraId="5670D3C1" w14:textId="41787D70" w:rsidR="0036259C" w:rsidRDefault="0036259C" w:rsidP="006A6F05">
      <w:pPr>
        <w:spacing w:after="0" w:line="360" w:lineRule="auto"/>
        <w:ind w:left="720" w:hanging="720"/>
        <w:jc w:val="both"/>
        <w:rPr>
          <w:rFonts w:ascii="Times New Roman" w:hAnsi="Times New Roman" w:cs="Times New Roman"/>
          <w:sz w:val="28"/>
          <w:szCs w:val="28"/>
          <w:lang w:val="en-ZA"/>
        </w:rPr>
      </w:pPr>
    </w:p>
    <w:p w14:paraId="467101DC" w14:textId="17198BB4" w:rsidR="0036259C" w:rsidRDefault="0036259C" w:rsidP="006A6F0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70DF1">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orders are made:</w:t>
      </w:r>
    </w:p>
    <w:p w14:paraId="7FCFA2B3" w14:textId="5BA1BA57" w:rsidR="0036259C" w:rsidRDefault="0036259C" w:rsidP="006A6F05">
      <w:pPr>
        <w:spacing w:after="0" w:line="360" w:lineRule="auto"/>
        <w:ind w:left="720" w:hanging="720"/>
        <w:jc w:val="both"/>
        <w:rPr>
          <w:rFonts w:ascii="Times New Roman" w:hAnsi="Times New Roman" w:cs="Times New Roman"/>
          <w:sz w:val="28"/>
          <w:szCs w:val="28"/>
          <w:lang w:val="en-ZA"/>
        </w:rPr>
      </w:pPr>
    </w:p>
    <w:p w14:paraId="66768B9F" w14:textId="19160086" w:rsidR="0036259C" w:rsidRDefault="0036259C" w:rsidP="0036259C">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sublease agreements </w:t>
      </w:r>
      <w:proofErr w:type="gramStart"/>
      <w:r>
        <w:rPr>
          <w:rFonts w:ascii="Times New Roman" w:hAnsi="Times New Roman" w:cs="Times New Roman"/>
          <w:sz w:val="28"/>
          <w:szCs w:val="28"/>
          <w:lang w:val="en-ZA"/>
        </w:rPr>
        <w:t>entered into</w:t>
      </w:r>
      <w:proofErr w:type="gramEnd"/>
      <w:r>
        <w:rPr>
          <w:rFonts w:ascii="Times New Roman" w:hAnsi="Times New Roman" w:cs="Times New Roman"/>
          <w:sz w:val="28"/>
          <w:szCs w:val="28"/>
          <w:lang w:val="en-ZA"/>
        </w:rPr>
        <w:t xml:space="preserve"> between the applicants and the 1</w:t>
      </w:r>
      <w:r w:rsidRPr="0036259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are cancelled and declared null and void.</w:t>
      </w:r>
    </w:p>
    <w:p w14:paraId="7C1EC2D5" w14:textId="77777777" w:rsidR="0036259C" w:rsidRDefault="0036259C" w:rsidP="0036259C">
      <w:pPr>
        <w:pStyle w:val="ListParagraph"/>
        <w:spacing w:after="0" w:line="360" w:lineRule="auto"/>
        <w:ind w:left="1080"/>
        <w:jc w:val="both"/>
        <w:rPr>
          <w:rFonts w:ascii="Times New Roman" w:hAnsi="Times New Roman" w:cs="Times New Roman"/>
          <w:sz w:val="28"/>
          <w:szCs w:val="28"/>
          <w:lang w:val="en-ZA"/>
        </w:rPr>
      </w:pPr>
    </w:p>
    <w:p w14:paraId="0278B0CD" w14:textId="424C22F6" w:rsidR="0036259C" w:rsidRDefault="0036259C" w:rsidP="0036259C">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1</w:t>
      </w:r>
      <w:r w:rsidRPr="0036259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evicted from the fields belonging to the applicants situated at Ha-</w:t>
      </w:r>
      <w:proofErr w:type="spellStart"/>
      <w:r>
        <w:rPr>
          <w:rFonts w:ascii="Times New Roman" w:hAnsi="Times New Roman" w:cs="Times New Roman"/>
          <w:sz w:val="28"/>
          <w:szCs w:val="28"/>
          <w:lang w:val="en-ZA"/>
        </w:rPr>
        <w:t>Khitione</w:t>
      </w:r>
      <w:proofErr w:type="spellEnd"/>
      <w:r>
        <w:rPr>
          <w:rFonts w:ascii="Times New Roman" w:hAnsi="Times New Roman" w:cs="Times New Roman"/>
          <w:sz w:val="28"/>
          <w:szCs w:val="28"/>
          <w:lang w:val="en-ZA"/>
        </w:rPr>
        <w:t xml:space="preserve">, Ha </w:t>
      </w:r>
      <w:proofErr w:type="spellStart"/>
      <w:r>
        <w:rPr>
          <w:rFonts w:ascii="Times New Roman" w:hAnsi="Times New Roman" w:cs="Times New Roman"/>
          <w:sz w:val="28"/>
          <w:szCs w:val="28"/>
          <w:lang w:val="en-ZA"/>
        </w:rPr>
        <w:t>Mofoka</w:t>
      </w:r>
      <w:proofErr w:type="spellEnd"/>
      <w:r>
        <w:rPr>
          <w:rFonts w:ascii="Times New Roman" w:hAnsi="Times New Roman" w:cs="Times New Roman"/>
          <w:sz w:val="28"/>
          <w:szCs w:val="28"/>
          <w:lang w:val="en-ZA"/>
        </w:rPr>
        <w:t xml:space="preserve"> in the district of Maseru</w:t>
      </w:r>
      <w:r w:rsidR="007E5915">
        <w:rPr>
          <w:rFonts w:ascii="Times New Roman" w:hAnsi="Times New Roman" w:cs="Times New Roman"/>
          <w:sz w:val="28"/>
          <w:szCs w:val="28"/>
          <w:lang w:val="en-ZA"/>
        </w:rPr>
        <w:t xml:space="preserve"> and are further interdicted</w:t>
      </w:r>
      <w:r>
        <w:rPr>
          <w:rFonts w:ascii="Times New Roman" w:hAnsi="Times New Roman" w:cs="Times New Roman"/>
          <w:sz w:val="28"/>
          <w:szCs w:val="28"/>
          <w:lang w:val="en-ZA"/>
        </w:rPr>
        <w:t xml:space="preserve"> from using, occupying and transacting any business on the said fields permanently.</w:t>
      </w:r>
    </w:p>
    <w:p w14:paraId="3DF705DB" w14:textId="77777777" w:rsidR="0036259C" w:rsidRPr="0036259C" w:rsidRDefault="0036259C" w:rsidP="0036259C">
      <w:pPr>
        <w:pStyle w:val="ListParagraph"/>
        <w:rPr>
          <w:rFonts w:ascii="Times New Roman" w:hAnsi="Times New Roman" w:cs="Times New Roman"/>
          <w:sz w:val="28"/>
          <w:szCs w:val="28"/>
          <w:lang w:val="en-ZA"/>
        </w:rPr>
      </w:pPr>
    </w:p>
    <w:p w14:paraId="0C15DE1F" w14:textId="00602A79" w:rsidR="0036259C" w:rsidRDefault="0036259C" w:rsidP="0036259C">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1</w:t>
      </w:r>
      <w:r w:rsidRPr="0036259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given </w:t>
      </w:r>
      <w:r w:rsidR="002B19F0">
        <w:rPr>
          <w:rFonts w:ascii="Times New Roman" w:hAnsi="Times New Roman" w:cs="Times New Roman"/>
          <w:sz w:val="28"/>
          <w:szCs w:val="28"/>
          <w:lang w:val="en-ZA"/>
        </w:rPr>
        <w:t>two months</w:t>
      </w:r>
      <w:r>
        <w:rPr>
          <w:rFonts w:ascii="Times New Roman" w:hAnsi="Times New Roman" w:cs="Times New Roman"/>
          <w:sz w:val="28"/>
          <w:szCs w:val="28"/>
          <w:lang w:val="en-ZA"/>
        </w:rPr>
        <w:t xml:space="preserve"> within which to vacate the applicants’ fields</w:t>
      </w:r>
      <w:r w:rsidR="00861401">
        <w:rPr>
          <w:rFonts w:ascii="Times New Roman" w:hAnsi="Times New Roman" w:cs="Times New Roman"/>
          <w:sz w:val="28"/>
          <w:szCs w:val="28"/>
          <w:lang w:val="en-ZA"/>
        </w:rPr>
        <w:t>.</w:t>
      </w:r>
    </w:p>
    <w:p w14:paraId="0AD18B80" w14:textId="77777777" w:rsidR="00861401" w:rsidRPr="00861401" w:rsidRDefault="00861401" w:rsidP="00861401">
      <w:pPr>
        <w:pStyle w:val="ListParagraph"/>
        <w:rPr>
          <w:rFonts w:ascii="Times New Roman" w:hAnsi="Times New Roman" w:cs="Times New Roman"/>
          <w:sz w:val="28"/>
          <w:szCs w:val="28"/>
          <w:lang w:val="en-ZA"/>
        </w:rPr>
      </w:pPr>
    </w:p>
    <w:p w14:paraId="4AAA8588" w14:textId="2B283334" w:rsidR="00861401" w:rsidRDefault="00861401" w:rsidP="0036259C">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applicants are awarded the costs of suit.</w:t>
      </w:r>
    </w:p>
    <w:p w14:paraId="1F685469" w14:textId="77777777" w:rsidR="00861401" w:rsidRPr="00861401" w:rsidRDefault="00861401" w:rsidP="00861401">
      <w:pPr>
        <w:pStyle w:val="ListParagraph"/>
        <w:rPr>
          <w:rFonts w:ascii="Times New Roman" w:hAnsi="Times New Roman" w:cs="Times New Roman"/>
          <w:sz w:val="28"/>
          <w:szCs w:val="28"/>
          <w:lang w:val="en-ZA"/>
        </w:rPr>
      </w:pPr>
    </w:p>
    <w:p w14:paraId="055BF6C9" w14:textId="3FF5A187" w:rsidR="00861401" w:rsidRDefault="00861401" w:rsidP="00C56711">
      <w:pPr>
        <w:spacing w:after="0" w:line="360" w:lineRule="auto"/>
        <w:jc w:val="both"/>
        <w:rPr>
          <w:rFonts w:ascii="Times New Roman" w:hAnsi="Times New Roman" w:cs="Times New Roman"/>
          <w:sz w:val="28"/>
          <w:szCs w:val="28"/>
          <w:lang w:val="en-ZA"/>
        </w:rPr>
      </w:pPr>
    </w:p>
    <w:p w14:paraId="4D4283A5" w14:textId="0BC13559" w:rsidR="00C56711" w:rsidRDefault="00C56711" w:rsidP="00C56711">
      <w:pPr>
        <w:spacing w:after="0" w:line="360" w:lineRule="auto"/>
        <w:jc w:val="both"/>
        <w:rPr>
          <w:rFonts w:ascii="Times New Roman" w:hAnsi="Times New Roman" w:cs="Times New Roman"/>
          <w:sz w:val="28"/>
          <w:szCs w:val="28"/>
          <w:lang w:val="en-ZA"/>
        </w:rPr>
      </w:pPr>
    </w:p>
    <w:p w14:paraId="0E285A19" w14:textId="6042A637" w:rsidR="00C56711" w:rsidRDefault="00C56711" w:rsidP="00C56711">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w:t>
      </w:r>
    </w:p>
    <w:p w14:paraId="56DE49F8" w14:textId="74F79084" w:rsidR="00C56711" w:rsidRDefault="00C56711" w:rsidP="00C56711">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870008D" w14:textId="5BD210F0" w:rsidR="00C56711" w:rsidRDefault="00C56711" w:rsidP="00C56711">
      <w:pPr>
        <w:spacing w:after="0" w:line="360" w:lineRule="auto"/>
        <w:jc w:val="both"/>
        <w:rPr>
          <w:rFonts w:ascii="Times New Roman" w:hAnsi="Times New Roman" w:cs="Times New Roman"/>
          <w:b/>
          <w:bCs/>
          <w:sz w:val="28"/>
          <w:szCs w:val="28"/>
          <w:lang w:val="en-ZA"/>
        </w:rPr>
      </w:pPr>
    </w:p>
    <w:p w14:paraId="24E0C0B9" w14:textId="1A769056" w:rsidR="00C56711" w:rsidRDefault="00C56711" w:rsidP="00C56711">
      <w:pPr>
        <w:spacing w:after="0" w:line="36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L. D. </w:t>
      </w:r>
      <w:proofErr w:type="spellStart"/>
      <w:r>
        <w:rPr>
          <w:rFonts w:ascii="Times New Roman" w:hAnsi="Times New Roman" w:cs="Times New Roman"/>
          <w:b/>
          <w:bCs/>
          <w:sz w:val="28"/>
          <w:szCs w:val="28"/>
          <w:lang w:val="en-ZA"/>
        </w:rPr>
        <w:t>Molapo</w:t>
      </w:r>
      <w:proofErr w:type="spellEnd"/>
      <w:r>
        <w:rPr>
          <w:rFonts w:ascii="Times New Roman" w:hAnsi="Times New Roman" w:cs="Times New Roman"/>
          <w:b/>
          <w:bCs/>
          <w:sz w:val="28"/>
          <w:szCs w:val="28"/>
          <w:lang w:val="en-ZA"/>
        </w:rPr>
        <w:t xml:space="preserve"> instructed by C. T </w:t>
      </w:r>
      <w:proofErr w:type="spellStart"/>
      <w:r>
        <w:rPr>
          <w:rFonts w:ascii="Times New Roman" w:hAnsi="Times New Roman" w:cs="Times New Roman"/>
          <w:b/>
          <w:bCs/>
          <w:sz w:val="28"/>
          <w:szCs w:val="28"/>
          <w:lang w:val="en-ZA"/>
        </w:rPr>
        <w:t>Poopa</w:t>
      </w:r>
      <w:proofErr w:type="spellEnd"/>
      <w:r>
        <w:rPr>
          <w:rFonts w:ascii="Times New Roman" w:hAnsi="Times New Roman" w:cs="Times New Roman"/>
          <w:b/>
          <w:bCs/>
          <w:sz w:val="28"/>
          <w:szCs w:val="28"/>
          <w:lang w:val="en-ZA"/>
        </w:rPr>
        <w:t xml:space="preserve"> Attorneys</w:t>
      </w:r>
    </w:p>
    <w:p w14:paraId="446F6CE6" w14:textId="01B17B91" w:rsidR="00C56711" w:rsidRDefault="00C56711" w:rsidP="00C56711">
      <w:pPr>
        <w:spacing w:after="0" w:line="360" w:lineRule="auto"/>
        <w:jc w:val="both"/>
        <w:rPr>
          <w:rFonts w:ascii="Times New Roman" w:hAnsi="Times New Roman" w:cs="Times New Roman"/>
          <w:b/>
          <w:bCs/>
          <w:sz w:val="28"/>
          <w:szCs w:val="28"/>
          <w:lang w:val="en-ZA"/>
        </w:rPr>
      </w:pPr>
    </w:p>
    <w:p w14:paraId="10DE0C25" w14:textId="7C2F86D1" w:rsidR="00C56711" w:rsidRDefault="00C56711" w:rsidP="00C56711">
      <w:pPr>
        <w:spacing w:after="0" w:line="36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C56711">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P. C </w:t>
      </w:r>
      <w:proofErr w:type="spellStart"/>
      <w:r>
        <w:rPr>
          <w:rFonts w:ascii="Times New Roman" w:hAnsi="Times New Roman" w:cs="Times New Roman"/>
          <w:b/>
          <w:bCs/>
          <w:sz w:val="28"/>
          <w:szCs w:val="28"/>
          <w:lang w:val="en-ZA"/>
        </w:rPr>
        <w:t>Ploos</w:t>
      </w:r>
      <w:proofErr w:type="spellEnd"/>
      <w:r>
        <w:rPr>
          <w:rFonts w:ascii="Times New Roman" w:hAnsi="Times New Roman" w:cs="Times New Roman"/>
          <w:b/>
          <w:bCs/>
          <w:sz w:val="28"/>
          <w:szCs w:val="28"/>
          <w:lang w:val="en-ZA"/>
        </w:rPr>
        <w:t xml:space="preserve"> Van Amstel instructed by Webber </w:t>
      </w:r>
      <w:proofErr w:type="spellStart"/>
      <w:r>
        <w:rPr>
          <w:rFonts w:ascii="Times New Roman" w:hAnsi="Times New Roman" w:cs="Times New Roman"/>
          <w:b/>
          <w:bCs/>
          <w:sz w:val="28"/>
          <w:szCs w:val="28"/>
          <w:lang w:val="en-ZA"/>
        </w:rPr>
        <w:t>Newdigate</w:t>
      </w:r>
      <w:proofErr w:type="spellEnd"/>
      <w:r>
        <w:rPr>
          <w:rFonts w:ascii="Times New Roman" w:hAnsi="Times New Roman" w:cs="Times New Roman"/>
          <w:b/>
          <w:bCs/>
          <w:sz w:val="28"/>
          <w:szCs w:val="28"/>
          <w:lang w:val="en-ZA"/>
        </w:rPr>
        <w:t xml:space="preserve"> Attorneys</w:t>
      </w:r>
    </w:p>
    <w:p w14:paraId="7C4E36C6" w14:textId="5F9836B9" w:rsidR="00C56711" w:rsidRDefault="00C56711" w:rsidP="00C56711">
      <w:pPr>
        <w:spacing w:after="0" w:line="360" w:lineRule="auto"/>
        <w:ind w:left="2880" w:hanging="2880"/>
        <w:jc w:val="both"/>
        <w:rPr>
          <w:rFonts w:ascii="Times New Roman" w:hAnsi="Times New Roman" w:cs="Times New Roman"/>
          <w:b/>
          <w:bCs/>
          <w:sz w:val="28"/>
          <w:szCs w:val="28"/>
          <w:lang w:val="en-ZA"/>
        </w:rPr>
      </w:pPr>
    </w:p>
    <w:p w14:paraId="490A3D7A" w14:textId="3ED8E4DD" w:rsidR="007A2572" w:rsidRPr="007A2572" w:rsidRDefault="00C56711" w:rsidP="00193730">
      <w:pPr>
        <w:spacing w:after="0" w:line="360" w:lineRule="auto"/>
        <w:ind w:left="2880" w:hanging="2880"/>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2</w:t>
      </w:r>
      <w:r w:rsidRPr="00C5671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to 6</w:t>
      </w:r>
      <w:r w:rsidRPr="00C56711">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representation</w:t>
      </w:r>
      <w:bookmarkStart w:id="0" w:name="_GoBack"/>
      <w:bookmarkEnd w:id="0"/>
      <w:r w:rsidR="007A2572">
        <w:rPr>
          <w:rFonts w:ascii="Times New Roman" w:hAnsi="Times New Roman" w:cs="Times New Roman"/>
          <w:sz w:val="28"/>
          <w:szCs w:val="28"/>
          <w:lang w:val="en-ZA"/>
        </w:rPr>
        <w:t xml:space="preserve"> </w:t>
      </w:r>
    </w:p>
    <w:sectPr w:rsidR="007A2572" w:rsidRPr="007A2572" w:rsidSect="00CB5E6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F6EF" w14:textId="77777777" w:rsidR="00140BE4" w:rsidRDefault="00140BE4" w:rsidP="00CB5E67">
      <w:pPr>
        <w:spacing w:after="0" w:line="240" w:lineRule="auto"/>
      </w:pPr>
      <w:r>
        <w:separator/>
      </w:r>
    </w:p>
  </w:endnote>
  <w:endnote w:type="continuationSeparator" w:id="0">
    <w:p w14:paraId="26C61219" w14:textId="77777777" w:rsidR="00140BE4" w:rsidRDefault="00140BE4" w:rsidP="00CB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82957"/>
      <w:docPartObj>
        <w:docPartGallery w:val="Page Numbers (Bottom of Page)"/>
        <w:docPartUnique/>
      </w:docPartObj>
    </w:sdtPr>
    <w:sdtEndPr>
      <w:rPr>
        <w:noProof/>
      </w:rPr>
    </w:sdtEndPr>
    <w:sdtContent>
      <w:p w14:paraId="281EF8C3" w14:textId="1C64B3D1" w:rsidR="00CB5E67" w:rsidRDefault="00CB5E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DFCB3" w14:textId="77777777" w:rsidR="00CB5E67" w:rsidRDefault="00CB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9376" w14:textId="77777777" w:rsidR="00140BE4" w:rsidRDefault="00140BE4" w:rsidP="00CB5E67">
      <w:pPr>
        <w:spacing w:after="0" w:line="240" w:lineRule="auto"/>
      </w:pPr>
      <w:r>
        <w:separator/>
      </w:r>
    </w:p>
  </w:footnote>
  <w:footnote w:type="continuationSeparator" w:id="0">
    <w:p w14:paraId="698002AB" w14:textId="77777777" w:rsidR="00140BE4" w:rsidRDefault="00140BE4" w:rsidP="00CB5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B1B"/>
    <w:multiLevelType w:val="hybridMultilevel"/>
    <w:tmpl w:val="5E9852B6"/>
    <w:lvl w:ilvl="0" w:tplc="7DDE50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66813"/>
    <w:multiLevelType w:val="hybridMultilevel"/>
    <w:tmpl w:val="C1240DC8"/>
    <w:lvl w:ilvl="0" w:tplc="7F94D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1F1738"/>
    <w:multiLevelType w:val="hybridMultilevel"/>
    <w:tmpl w:val="F99A10E2"/>
    <w:lvl w:ilvl="0" w:tplc="083AF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2E6DB1"/>
    <w:multiLevelType w:val="hybridMultilevel"/>
    <w:tmpl w:val="7A8A7082"/>
    <w:lvl w:ilvl="0" w:tplc="3B988F9A">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37"/>
    <w:rsid w:val="00007EC6"/>
    <w:rsid w:val="00010641"/>
    <w:rsid w:val="000118F0"/>
    <w:rsid w:val="00014F54"/>
    <w:rsid w:val="00027FC7"/>
    <w:rsid w:val="0003159E"/>
    <w:rsid w:val="0003408F"/>
    <w:rsid w:val="0004121D"/>
    <w:rsid w:val="0004676C"/>
    <w:rsid w:val="0005223B"/>
    <w:rsid w:val="00054F8F"/>
    <w:rsid w:val="0007744E"/>
    <w:rsid w:val="000C7811"/>
    <w:rsid w:val="000D2AF6"/>
    <w:rsid w:val="000D7AF9"/>
    <w:rsid w:val="001125A0"/>
    <w:rsid w:val="0011652A"/>
    <w:rsid w:val="00134E2F"/>
    <w:rsid w:val="00140BE4"/>
    <w:rsid w:val="001434C4"/>
    <w:rsid w:val="00144AA0"/>
    <w:rsid w:val="00157317"/>
    <w:rsid w:val="0016729D"/>
    <w:rsid w:val="00177E7B"/>
    <w:rsid w:val="00182DC9"/>
    <w:rsid w:val="0018418F"/>
    <w:rsid w:val="00191EFF"/>
    <w:rsid w:val="00193730"/>
    <w:rsid w:val="001B7534"/>
    <w:rsid w:val="001D29BF"/>
    <w:rsid w:val="001E6643"/>
    <w:rsid w:val="001F09B3"/>
    <w:rsid w:val="0020426A"/>
    <w:rsid w:val="002071AE"/>
    <w:rsid w:val="00230B68"/>
    <w:rsid w:val="002418A7"/>
    <w:rsid w:val="00253EE2"/>
    <w:rsid w:val="0025547F"/>
    <w:rsid w:val="00264089"/>
    <w:rsid w:val="00264AC3"/>
    <w:rsid w:val="002869E7"/>
    <w:rsid w:val="0029231B"/>
    <w:rsid w:val="002A2DC6"/>
    <w:rsid w:val="002B19F0"/>
    <w:rsid w:val="002D4A71"/>
    <w:rsid w:val="002D4CAF"/>
    <w:rsid w:val="002E5C6E"/>
    <w:rsid w:val="002F40E5"/>
    <w:rsid w:val="003068BF"/>
    <w:rsid w:val="003078F4"/>
    <w:rsid w:val="003279A4"/>
    <w:rsid w:val="00353ECC"/>
    <w:rsid w:val="0036259C"/>
    <w:rsid w:val="00365DE7"/>
    <w:rsid w:val="00372463"/>
    <w:rsid w:val="00375641"/>
    <w:rsid w:val="00382B7C"/>
    <w:rsid w:val="00385E11"/>
    <w:rsid w:val="0039418C"/>
    <w:rsid w:val="00396A33"/>
    <w:rsid w:val="003A7B88"/>
    <w:rsid w:val="003B1A54"/>
    <w:rsid w:val="003C3D98"/>
    <w:rsid w:val="003D161E"/>
    <w:rsid w:val="00406E7B"/>
    <w:rsid w:val="00423563"/>
    <w:rsid w:val="0043414A"/>
    <w:rsid w:val="004414C0"/>
    <w:rsid w:val="00441F75"/>
    <w:rsid w:val="0044585C"/>
    <w:rsid w:val="00486F9C"/>
    <w:rsid w:val="004A3C36"/>
    <w:rsid w:val="004B18AD"/>
    <w:rsid w:val="004B3B43"/>
    <w:rsid w:val="004C7115"/>
    <w:rsid w:val="004E12C2"/>
    <w:rsid w:val="005052F6"/>
    <w:rsid w:val="005058C3"/>
    <w:rsid w:val="005125DD"/>
    <w:rsid w:val="00513BD9"/>
    <w:rsid w:val="005156DB"/>
    <w:rsid w:val="00527EAF"/>
    <w:rsid w:val="00527F22"/>
    <w:rsid w:val="00532E39"/>
    <w:rsid w:val="00535217"/>
    <w:rsid w:val="0054462D"/>
    <w:rsid w:val="00557441"/>
    <w:rsid w:val="00563FE1"/>
    <w:rsid w:val="00582FDB"/>
    <w:rsid w:val="0058559F"/>
    <w:rsid w:val="005B686D"/>
    <w:rsid w:val="005B7BCD"/>
    <w:rsid w:val="005F5022"/>
    <w:rsid w:val="00600489"/>
    <w:rsid w:val="006006C2"/>
    <w:rsid w:val="00610B5A"/>
    <w:rsid w:val="00631F43"/>
    <w:rsid w:val="0063297E"/>
    <w:rsid w:val="0064314C"/>
    <w:rsid w:val="00650CD1"/>
    <w:rsid w:val="00653E65"/>
    <w:rsid w:val="00660995"/>
    <w:rsid w:val="00661737"/>
    <w:rsid w:val="00672B41"/>
    <w:rsid w:val="00676CB3"/>
    <w:rsid w:val="00676DD4"/>
    <w:rsid w:val="00697939"/>
    <w:rsid w:val="006A34DF"/>
    <w:rsid w:val="006A452A"/>
    <w:rsid w:val="006A6F05"/>
    <w:rsid w:val="006B60B6"/>
    <w:rsid w:val="006C6032"/>
    <w:rsid w:val="006E7E18"/>
    <w:rsid w:val="00701AB7"/>
    <w:rsid w:val="00706235"/>
    <w:rsid w:val="00712D9F"/>
    <w:rsid w:val="00714FCC"/>
    <w:rsid w:val="00715F82"/>
    <w:rsid w:val="0072433B"/>
    <w:rsid w:val="0073298A"/>
    <w:rsid w:val="007460CD"/>
    <w:rsid w:val="00751490"/>
    <w:rsid w:val="0076635B"/>
    <w:rsid w:val="00775875"/>
    <w:rsid w:val="007847C9"/>
    <w:rsid w:val="007A2572"/>
    <w:rsid w:val="007A4234"/>
    <w:rsid w:val="007B1016"/>
    <w:rsid w:val="007B7056"/>
    <w:rsid w:val="007C0ED1"/>
    <w:rsid w:val="007C43B6"/>
    <w:rsid w:val="007C5D08"/>
    <w:rsid w:val="007C66E0"/>
    <w:rsid w:val="007E18F2"/>
    <w:rsid w:val="007E5915"/>
    <w:rsid w:val="00802BB0"/>
    <w:rsid w:val="00804C63"/>
    <w:rsid w:val="008143B2"/>
    <w:rsid w:val="008269C8"/>
    <w:rsid w:val="00851210"/>
    <w:rsid w:val="00861401"/>
    <w:rsid w:val="00862694"/>
    <w:rsid w:val="00877B12"/>
    <w:rsid w:val="00891D2C"/>
    <w:rsid w:val="00892056"/>
    <w:rsid w:val="00893BD4"/>
    <w:rsid w:val="008B0677"/>
    <w:rsid w:val="008B2C7B"/>
    <w:rsid w:val="00900F8D"/>
    <w:rsid w:val="00912205"/>
    <w:rsid w:val="00926FCF"/>
    <w:rsid w:val="00931821"/>
    <w:rsid w:val="00944EA2"/>
    <w:rsid w:val="00947C32"/>
    <w:rsid w:val="009516B4"/>
    <w:rsid w:val="009549DC"/>
    <w:rsid w:val="00955700"/>
    <w:rsid w:val="00956CF3"/>
    <w:rsid w:val="009706A0"/>
    <w:rsid w:val="009751BE"/>
    <w:rsid w:val="00991599"/>
    <w:rsid w:val="009A6CF0"/>
    <w:rsid w:val="009B7B73"/>
    <w:rsid w:val="009C1716"/>
    <w:rsid w:val="009D49CD"/>
    <w:rsid w:val="009E3827"/>
    <w:rsid w:val="009F67C6"/>
    <w:rsid w:val="00A04352"/>
    <w:rsid w:val="00A0539B"/>
    <w:rsid w:val="00A170C9"/>
    <w:rsid w:val="00A35E77"/>
    <w:rsid w:val="00A64A64"/>
    <w:rsid w:val="00A64B68"/>
    <w:rsid w:val="00A83845"/>
    <w:rsid w:val="00A90B17"/>
    <w:rsid w:val="00A91CC5"/>
    <w:rsid w:val="00AB2A0C"/>
    <w:rsid w:val="00AB4ACA"/>
    <w:rsid w:val="00AD1EAE"/>
    <w:rsid w:val="00AF3C2F"/>
    <w:rsid w:val="00B16661"/>
    <w:rsid w:val="00B22607"/>
    <w:rsid w:val="00B3326F"/>
    <w:rsid w:val="00B33309"/>
    <w:rsid w:val="00B410CA"/>
    <w:rsid w:val="00B436EB"/>
    <w:rsid w:val="00B70DF1"/>
    <w:rsid w:val="00BA1AD3"/>
    <w:rsid w:val="00BB10DC"/>
    <w:rsid w:val="00BB50E3"/>
    <w:rsid w:val="00BD460D"/>
    <w:rsid w:val="00BE4D6F"/>
    <w:rsid w:val="00BE7B4E"/>
    <w:rsid w:val="00C518ED"/>
    <w:rsid w:val="00C51A18"/>
    <w:rsid w:val="00C56711"/>
    <w:rsid w:val="00C5783E"/>
    <w:rsid w:val="00C744E3"/>
    <w:rsid w:val="00C76711"/>
    <w:rsid w:val="00C80CA4"/>
    <w:rsid w:val="00C92464"/>
    <w:rsid w:val="00C97CA4"/>
    <w:rsid w:val="00CB5E67"/>
    <w:rsid w:val="00CE0EFC"/>
    <w:rsid w:val="00CF073A"/>
    <w:rsid w:val="00CF0C50"/>
    <w:rsid w:val="00D00362"/>
    <w:rsid w:val="00D0231F"/>
    <w:rsid w:val="00D036FC"/>
    <w:rsid w:val="00D4542F"/>
    <w:rsid w:val="00D639A9"/>
    <w:rsid w:val="00D740F5"/>
    <w:rsid w:val="00D80AE4"/>
    <w:rsid w:val="00D821A0"/>
    <w:rsid w:val="00D835C9"/>
    <w:rsid w:val="00D84B7C"/>
    <w:rsid w:val="00D85F75"/>
    <w:rsid w:val="00D926FA"/>
    <w:rsid w:val="00DC1676"/>
    <w:rsid w:val="00DC1A9C"/>
    <w:rsid w:val="00DC2156"/>
    <w:rsid w:val="00DE3D79"/>
    <w:rsid w:val="00E001F7"/>
    <w:rsid w:val="00E02324"/>
    <w:rsid w:val="00E216FA"/>
    <w:rsid w:val="00E34719"/>
    <w:rsid w:val="00E411F5"/>
    <w:rsid w:val="00E5411B"/>
    <w:rsid w:val="00E5507A"/>
    <w:rsid w:val="00E60528"/>
    <w:rsid w:val="00E80FD0"/>
    <w:rsid w:val="00E82990"/>
    <w:rsid w:val="00E86E07"/>
    <w:rsid w:val="00E86F5C"/>
    <w:rsid w:val="00EA1155"/>
    <w:rsid w:val="00EB12E9"/>
    <w:rsid w:val="00EB3163"/>
    <w:rsid w:val="00EB6629"/>
    <w:rsid w:val="00EE2CC6"/>
    <w:rsid w:val="00EF1D36"/>
    <w:rsid w:val="00EF521A"/>
    <w:rsid w:val="00F003A4"/>
    <w:rsid w:val="00F11038"/>
    <w:rsid w:val="00F11437"/>
    <w:rsid w:val="00F30FC8"/>
    <w:rsid w:val="00F32F28"/>
    <w:rsid w:val="00F34191"/>
    <w:rsid w:val="00F53FCC"/>
    <w:rsid w:val="00F56163"/>
    <w:rsid w:val="00F61C7E"/>
    <w:rsid w:val="00F7213B"/>
    <w:rsid w:val="00F74CFA"/>
    <w:rsid w:val="00F800F3"/>
    <w:rsid w:val="00F83257"/>
    <w:rsid w:val="00F868D3"/>
    <w:rsid w:val="00F93782"/>
    <w:rsid w:val="00F96150"/>
    <w:rsid w:val="00FA2D66"/>
    <w:rsid w:val="00FA30F1"/>
    <w:rsid w:val="00FE74B5"/>
    <w:rsid w:val="00FF24AB"/>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738A"/>
  <w15:chartTrackingRefBased/>
  <w15:docId w15:val="{846BAD78-53BB-4A6D-A9C5-9FF7A71E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B17"/>
    <w:pPr>
      <w:keepNext/>
      <w:spacing w:after="0" w:line="360" w:lineRule="auto"/>
      <w:jc w:val="both"/>
      <w:outlineLvl w:val="0"/>
    </w:pPr>
    <w:rPr>
      <w:rFonts w:ascii="Times New Roman" w:hAnsi="Times New Roman" w:cs="Times New Roman"/>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FC"/>
    <w:pPr>
      <w:ind w:left="720"/>
      <w:contextualSpacing/>
    </w:pPr>
  </w:style>
  <w:style w:type="paragraph" w:styleId="Header">
    <w:name w:val="header"/>
    <w:basedOn w:val="Normal"/>
    <w:link w:val="HeaderChar"/>
    <w:uiPriority w:val="99"/>
    <w:unhideWhenUsed/>
    <w:rsid w:val="00CB5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67"/>
  </w:style>
  <w:style w:type="paragraph" w:styleId="Footer">
    <w:name w:val="footer"/>
    <w:basedOn w:val="Normal"/>
    <w:link w:val="FooterChar"/>
    <w:uiPriority w:val="99"/>
    <w:unhideWhenUsed/>
    <w:rsid w:val="00CB5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67"/>
  </w:style>
  <w:style w:type="character" w:customStyle="1" w:styleId="Heading1Char">
    <w:name w:val="Heading 1 Char"/>
    <w:basedOn w:val="DefaultParagraphFont"/>
    <w:link w:val="Heading1"/>
    <w:uiPriority w:val="9"/>
    <w:rsid w:val="00A90B17"/>
    <w:rPr>
      <w:rFonts w:ascii="Times New Roman" w:hAnsi="Times New Roman" w:cs="Times New Roman"/>
      <w:sz w:val="28"/>
      <w:szCs w:val="28"/>
      <w:lang w:val="en-ZA"/>
    </w:rPr>
  </w:style>
  <w:style w:type="paragraph" w:styleId="BlockText">
    <w:name w:val="Block Text"/>
    <w:basedOn w:val="Normal"/>
    <w:uiPriority w:val="99"/>
    <w:unhideWhenUsed/>
    <w:rsid w:val="007A4234"/>
    <w:pPr>
      <w:spacing w:after="0" w:line="360" w:lineRule="auto"/>
      <w:ind w:left="1440" w:right="1008"/>
      <w:jc w:val="both"/>
    </w:pPr>
    <w:rPr>
      <w:rFonts w:ascii="Times New Roman" w:hAnsi="Times New Roman" w:cs="Times New Roman"/>
      <w:i/>
      <w:i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dcterms:created xsi:type="dcterms:W3CDTF">2022-08-17T12:55:00Z</dcterms:created>
  <dcterms:modified xsi:type="dcterms:W3CDTF">2022-08-17T12:55:00Z</dcterms:modified>
</cp:coreProperties>
</file>