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57FA" w14:textId="77777777" w:rsidR="002C3CB0" w:rsidRDefault="002C3CB0" w:rsidP="00F02B43">
      <w:pPr>
        <w:spacing w:after="0" w:line="360" w:lineRule="auto"/>
        <w:ind w:left="720" w:hanging="720"/>
        <w:jc w:val="both"/>
        <w:rPr>
          <w:rFonts w:ascii="Times New Roman" w:hAnsi="Times New Roman" w:cs="Times New Roman"/>
          <w:sz w:val="28"/>
          <w:szCs w:val="28"/>
          <w:lang w:val="en-ZA"/>
        </w:rPr>
      </w:pPr>
      <w:bookmarkStart w:id="0" w:name="_GoBack"/>
      <w:bookmarkEnd w:id="0"/>
    </w:p>
    <w:p w14:paraId="4BF05A75" w14:textId="77777777" w:rsidR="002C3CB0" w:rsidRDefault="002C3CB0" w:rsidP="00F02B43">
      <w:pPr>
        <w:spacing w:after="0" w:line="360" w:lineRule="auto"/>
        <w:ind w:left="720" w:hanging="720"/>
        <w:jc w:val="both"/>
        <w:rPr>
          <w:rFonts w:ascii="Times New Roman" w:hAnsi="Times New Roman" w:cs="Times New Roman"/>
          <w:sz w:val="28"/>
          <w:szCs w:val="28"/>
          <w:lang w:val="en-ZA"/>
        </w:rPr>
      </w:pPr>
    </w:p>
    <w:p w14:paraId="2E629674" w14:textId="77777777" w:rsidR="002C3CB0" w:rsidRDefault="002C3CB0" w:rsidP="00F02B43">
      <w:pPr>
        <w:spacing w:after="0" w:line="360" w:lineRule="auto"/>
        <w:ind w:left="720" w:hanging="720"/>
        <w:jc w:val="both"/>
        <w:rPr>
          <w:rFonts w:ascii="Times New Roman" w:hAnsi="Times New Roman" w:cs="Times New Roman"/>
          <w:sz w:val="28"/>
          <w:szCs w:val="28"/>
          <w:lang w:val="en-ZA"/>
        </w:rPr>
      </w:pPr>
    </w:p>
    <w:p w14:paraId="0FD0A6F6" w14:textId="77777777" w:rsidR="002C3CB0" w:rsidRDefault="002C3CB0" w:rsidP="00F02B43">
      <w:pPr>
        <w:spacing w:after="0" w:line="360" w:lineRule="auto"/>
        <w:ind w:left="720" w:hanging="720"/>
        <w:jc w:val="both"/>
        <w:rPr>
          <w:rFonts w:ascii="Times New Roman" w:hAnsi="Times New Roman" w:cs="Times New Roman"/>
          <w:sz w:val="28"/>
          <w:szCs w:val="28"/>
          <w:lang w:val="en-ZA"/>
        </w:rPr>
      </w:pPr>
    </w:p>
    <w:p w14:paraId="2A3070A3" w14:textId="1F5DF0C3" w:rsidR="002C3CB0" w:rsidRDefault="002C3CB0" w:rsidP="00F02B43">
      <w:pPr>
        <w:spacing w:after="0" w:line="360" w:lineRule="auto"/>
        <w:ind w:left="720" w:hanging="720"/>
        <w:jc w:val="both"/>
        <w:rPr>
          <w:rFonts w:ascii="Times New Roman" w:hAnsi="Times New Roman" w:cs="Times New Roman"/>
          <w:sz w:val="28"/>
          <w:szCs w:val="28"/>
          <w:lang w:val="en-ZA"/>
        </w:rPr>
      </w:pPr>
    </w:p>
    <w:p w14:paraId="71EA309E" w14:textId="0D79A1E0" w:rsidR="002C3CB0" w:rsidRDefault="00E9602E" w:rsidP="00E9602E">
      <w:pPr>
        <w:spacing w:after="0" w:line="360" w:lineRule="auto"/>
        <w:ind w:left="720" w:hanging="720"/>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E43CDFE" w14:textId="02668CEB" w:rsidR="00E9602E" w:rsidRDefault="00E9602E" w:rsidP="00E9602E">
      <w:pPr>
        <w:spacing w:after="0" w:line="360" w:lineRule="auto"/>
        <w:ind w:left="720" w:hanging="720"/>
        <w:jc w:val="center"/>
        <w:rPr>
          <w:rFonts w:ascii="Times New Roman" w:hAnsi="Times New Roman" w:cs="Times New Roman"/>
          <w:b/>
          <w:bCs/>
          <w:sz w:val="36"/>
          <w:szCs w:val="36"/>
          <w:lang w:val="en-ZA"/>
        </w:rPr>
      </w:pPr>
      <w:r>
        <w:rPr>
          <w:rFonts w:ascii="Times New Roman" w:hAnsi="Times New Roman" w:cs="Times New Roman"/>
          <w:b/>
          <w:bCs/>
          <w:sz w:val="36"/>
          <w:szCs w:val="36"/>
          <w:lang w:val="en-ZA"/>
        </w:rPr>
        <w:t>(COMMERCIAL DIVISION)</w:t>
      </w:r>
    </w:p>
    <w:p w14:paraId="3338C2A7" w14:textId="23904BC0" w:rsidR="00E9602E" w:rsidRDefault="00E9602E" w:rsidP="00E9602E">
      <w:pPr>
        <w:spacing w:after="0" w:line="360" w:lineRule="auto"/>
        <w:ind w:left="720" w:hanging="720"/>
        <w:jc w:val="both"/>
        <w:rPr>
          <w:rFonts w:ascii="Times New Roman" w:hAnsi="Times New Roman" w:cs="Times New Roman"/>
          <w:b/>
          <w:bCs/>
          <w:sz w:val="36"/>
          <w:szCs w:val="36"/>
          <w:lang w:val="en-ZA"/>
        </w:rPr>
      </w:pPr>
    </w:p>
    <w:p w14:paraId="19DE7E76" w14:textId="0C76846F" w:rsidR="00AE7A4A" w:rsidRDefault="00E9602E"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AE7A4A">
        <w:rPr>
          <w:rFonts w:ascii="Times New Roman" w:hAnsi="Times New Roman" w:cs="Times New Roman"/>
          <w:b/>
          <w:bCs/>
          <w:sz w:val="28"/>
          <w:szCs w:val="28"/>
          <w:lang w:val="en-ZA"/>
        </w:rPr>
        <w:tab/>
      </w:r>
      <w:r w:rsidR="00AE7A4A">
        <w:rPr>
          <w:rFonts w:ascii="Times New Roman" w:hAnsi="Times New Roman" w:cs="Times New Roman"/>
          <w:b/>
          <w:bCs/>
          <w:sz w:val="28"/>
          <w:szCs w:val="28"/>
          <w:lang w:val="en-ZA"/>
        </w:rPr>
        <w:tab/>
        <w:t>Case no: CCA/0068/2021</w:t>
      </w:r>
    </w:p>
    <w:p w14:paraId="07A63F46" w14:textId="77777777" w:rsidR="00AE7A4A" w:rsidRDefault="00AE7A4A" w:rsidP="00AE7A4A">
      <w:pPr>
        <w:spacing w:after="0" w:line="360" w:lineRule="auto"/>
        <w:jc w:val="both"/>
        <w:rPr>
          <w:rFonts w:ascii="Times New Roman" w:hAnsi="Times New Roman" w:cs="Times New Roman"/>
          <w:b/>
          <w:bCs/>
          <w:sz w:val="28"/>
          <w:szCs w:val="28"/>
          <w:lang w:val="en-ZA"/>
        </w:rPr>
      </w:pPr>
    </w:p>
    <w:p w14:paraId="0FD62212" w14:textId="7777777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4E5C483" w14:textId="77777777" w:rsidR="00AE7A4A" w:rsidRDefault="00AE7A4A" w:rsidP="00AE7A4A">
      <w:pPr>
        <w:spacing w:after="0" w:line="360" w:lineRule="auto"/>
        <w:jc w:val="both"/>
        <w:rPr>
          <w:rFonts w:ascii="Times New Roman" w:hAnsi="Times New Roman" w:cs="Times New Roman"/>
          <w:b/>
          <w:bCs/>
          <w:sz w:val="28"/>
          <w:szCs w:val="28"/>
          <w:lang w:val="en-ZA"/>
        </w:rPr>
      </w:pPr>
    </w:p>
    <w:p w14:paraId="1DB0A35E" w14:textId="2EC31D49"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MOEKETSI JOBO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ED1534">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 </w:t>
      </w:r>
    </w:p>
    <w:p w14:paraId="1C781575" w14:textId="6BFB9D01"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‘MAMOIPONE BOSEKA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ED1534">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 </w:t>
      </w:r>
    </w:p>
    <w:p w14:paraId="45DBE7D8" w14:textId="01A9D922"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MOTHONYANA MABULA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ED1534">
        <w:rPr>
          <w:rFonts w:ascii="Times New Roman" w:hAnsi="Times New Roman" w:cs="Times New Roman"/>
          <w:b/>
          <w:bCs/>
          <w:sz w:val="28"/>
          <w:szCs w:val="28"/>
          <w:vertAlign w:val="superscript"/>
          <w:lang w:val="en-ZA"/>
        </w:rPr>
        <w:t>RD</w:t>
      </w:r>
      <w:bookmarkStart w:id="1" w:name="_Hlk102730593"/>
      <w:r>
        <w:rPr>
          <w:rFonts w:ascii="Times New Roman" w:hAnsi="Times New Roman" w:cs="Times New Roman"/>
          <w:b/>
          <w:bCs/>
          <w:sz w:val="28"/>
          <w:szCs w:val="28"/>
          <w:lang w:val="en-ZA"/>
        </w:rPr>
        <w:t xml:space="preserve"> APPLICANT </w:t>
      </w:r>
      <w:bookmarkEnd w:id="1"/>
    </w:p>
    <w:p w14:paraId="205A281B" w14:textId="122DC9F8"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LEBOHANG RANKUATSANA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3DC15718" w14:textId="08286EC2"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KHOTSO MOLIKOE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3D3711E7" w14:textId="231C1A44"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‘MALINEO LEUTA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04B6B120" w14:textId="0ABA2B4F"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LEBOHANG MASOABI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FB5C2CF" w14:textId="520AFDDF"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HALIEO MOPELI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2AFF6328" w14:textId="737B08BC"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‘MAMAKOANYANE LECHAKO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228BB4FF" w14:textId="0776CBF4"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HLALELE SHALE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10</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4AB6EB4" w14:textId="5C280C90"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THOMELO NKOFO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11</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1FC2E7F4" w14:textId="3626370D"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NTSOKOLENG MOERANE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12</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3493916" w14:textId="6DF2148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‘MATSELE TSELE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13</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B1FB25E" w14:textId="62C9ACAB"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LIBAKANA BARETE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14</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A0AB4E4" w14:textId="35BE5B84"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‘MAITHABELENG RAMANTSANE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15</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57CA424E" w14:textId="43B945FA"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LITEBOHO RAMONYALUOE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16</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55E7C03" w14:textId="5F8D1DB3"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SELLO MAJAJANE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17</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4C8321E" w14:textId="42C6CC01"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MOLAHLEHI TSEOLE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18</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5F37771F" w14:textId="71BB8AC0"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‘MASHALE RAMAKHULA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19</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DE1D260" w14:textId="5C52DB7F"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APESI NAPO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20</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B509F38" w14:textId="0D4CF4AA"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LIKETSO MALATALIANA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21</w:t>
      </w:r>
      <w:r w:rsidRPr="00E319C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2EF8E204" w14:textId="21607A9F"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‘MASELLOANE RAKHONGOANA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22</w:t>
      </w:r>
      <w:r w:rsidRPr="00E319C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1D036F8C" w14:textId="528DB4DE"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MALEE KHAMPEPE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23</w:t>
      </w:r>
      <w:r w:rsidRPr="00E319C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27DB1B43" w14:textId="2E356C6F"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‘MAMONYANE LILEMO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24</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BB1A52B" w14:textId="699FB025"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SEKAKE MAKOANYANE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25</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91A3592" w14:textId="0491D4DC"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NTLHONAMO ROSA MOHEJANE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26</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4D85D870" w14:textId="77777777" w:rsidR="00AE7A4A" w:rsidRDefault="00AE7A4A" w:rsidP="00AE7A4A">
      <w:pPr>
        <w:spacing w:after="0" w:line="360" w:lineRule="auto"/>
        <w:jc w:val="both"/>
        <w:rPr>
          <w:rFonts w:ascii="Times New Roman" w:hAnsi="Times New Roman" w:cs="Times New Roman"/>
          <w:b/>
          <w:bCs/>
          <w:sz w:val="28"/>
          <w:szCs w:val="28"/>
          <w:lang w:val="en-ZA"/>
        </w:rPr>
      </w:pPr>
    </w:p>
    <w:p w14:paraId="22CD1595" w14:textId="7777777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AND </w:t>
      </w:r>
    </w:p>
    <w:p w14:paraId="30C1C740" w14:textId="77777777" w:rsidR="00AE7A4A" w:rsidRDefault="00AE7A4A" w:rsidP="00AE7A4A">
      <w:pPr>
        <w:spacing w:after="0" w:line="360" w:lineRule="auto"/>
        <w:jc w:val="both"/>
        <w:rPr>
          <w:rFonts w:ascii="Times New Roman" w:hAnsi="Times New Roman" w:cs="Times New Roman"/>
          <w:b/>
          <w:bCs/>
          <w:sz w:val="28"/>
          <w:szCs w:val="28"/>
          <w:lang w:val="en-ZA"/>
        </w:rPr>
      </w:pPr>
    </w:p>
    <w:p w14:paraId="1505BF17" w14:textId="5792EC28"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LETSHEGO HOLDINGS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E319C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18808ADB" w14:textId="7777777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LESANA FINANCIAL SERVICES </w:t>
      </w:r>
    </w:p>
    <w:p w14:paraId="165BC190" w14:textId="07941915"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E319C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591D6829" w14:textId="7777777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PLATINUM CREDIT LESOTHO </w:t>
      </w:r>
    </w:p>
    <w:p w14:paraId="5831C53C" w14:textId="613D4BDC"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E319C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08686E8F" w14:textId="0C3B7D29"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NETLOANS (PTY) LTD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9661CAC" w14:textId="159B91F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ALIMELA THUTO FINANCIAL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D66B937" w14:textId="1631F548"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ACCOUNTANT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8DC5ECD" w14:textId="39C358C9"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NATIONAL TREASURY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92DC6EC" w14:textId="77777777"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COMMISSIONER (CENTRAL </w:t>
      </w:r>
    </w:p>
    <w:p w14:paraId="2C352DAB" w14:textId="3A7A96D8"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BANK OF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F25BC1C" w14:textId="0BF9ADEB" w:rsidR="00AE7A4A" w:rsidRDefault="00AE7A4A" w:rsidP="00AE7A4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5AE407C" w14:textId="77777777" w:rsidR="00AE7A4A" w:rsidRDefault="00AE7A4A" w:rsidP="00AE7A4A">
      <w:pPr>
        <w:spacing w:after="0" w:line="360" w:lineRule="auto"/>
        <w:jc w:val="both"/>
        <w:rPr>
          <w:rFonts w:ascii="Times New Roman" w:hAnsi="Times New Roman" w:cs="Times New Roman"/>
          <w:b/>
          <w:bCs/>
          <w:sz w:val="28"/>
          <w:szCs w:val="28"/>
          <w:lang w:val="en-ZA"/>
        </w:rPr>
      </w:pPr>
    </w:p>
    <w:p w14:paraId="78ECA55E" w14:textId="77777777" w:rsidR="00AE7A4A" w:rsidRDefault="00AE7A4A" w:rsidP="00AE7A4A">
      <w:pPr>
        <w:spacing w:after="0" w:line="360" w:lineRule="auto"/>
        <w:jc w:val="both"/>
        <w:rPr>
          <w:rFonts w:ascii="Times New Roman" w:hAnsi="Times New Roman" w:cs="Times New Roman"/>
          <w:b/>
          <w:bCs/>
          <w:sz w:val="28"/>
          <w:szCs w:val="28"/>
          <w:lang w:val="en-ZA"/>
        </w:rPr>
      </w:pPr>
    </w:p>
    <w:p w14:paraId="2990FC90" w14:textId="56583506" w:rsidR="00AE7A4A" w:rsidRDefault="00AE7A4A" w:rsidP="00AE7A4A">
      <w:pPr>
        <w:spacing w:after="0" w:line="360" w:lineRule="auto"/>
        <w:jc w:val="both"/>
        <w:rPr>
          <w:rFonts w:ascii="Times New Roman" w:hAnsi="Times New Roman" w:cs="Times New Roman"/>
          <w:sz w:val="26"/>
          <w:szCs w:val="26"/>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Jobo</w:t>
      </w:r>
      <w:proofErr w:type="spellEnd"/>
      <w:r>
        <w:rPr>
          <w:rFonts w:ascii="Times New Roman" w:hAnsi="Times New Roman" w:cs="Times New Roman"/>
          <w:sz w:val="28"/>
          <w:szCs w:val="28"/>
          <w:lang w:val="en-ZA"/>
        </w:rPr>
        <w:t xml:space="preserve"> &amp; 25 Others v </w:t>
      </w:r>
      <w:proofErr w:type="spellStart"/>
      <w:r>
        <w:rPr>
          <w:rFonts w:ascii="Times New Roman" w:hAnsi="Times New Roman" w:cs="Times New Roman"/>
          <w:sz w:val="28"/>
          <w:szCs w:val="28"/>
          <w:lang w:val="en-ZA"/>
        </w:rPr>
        <w:t>Letshego</w:t>
      </w:r>
      <w:proofErr w:type="spellEnd"/>
      <w:r>
        <w:rPr>
          <w:rFonts w:ascii="Times New Roman" w:hAnsi="Times New Roman" w:cs="Times New Roman"/>
          <w:sz w:val="28"/>
          <w:szCs w:val="28"/>
          <w:lang w:val="en-ZA"/>
        </w:rPr>
        <w:t xml:space="preserve"> Holdings (Pty) Ltd &amp; Others </w:t>
      </w:r>
      <w:r>
        <w:rPr>
          <w:rFonts w:ascii="Times New Roman" w:hAnsi="Times New Roman" w:cs="Times New Roman"/>
          <w:sz w:val="26"/>
          <w:szCs w:val="26"/>
          <w:lang w:val="en-ZA"/>
        </w:rPr>
        <w:t xml:space="preserve">[2022] LSHC </w:t>
      </w:r>
      <w:r w:rsidR="005849B3">
        <w:rPr>
          <w:rFonts w:ascii="Times New Roman" w:hAnsi="Times New Roman" w:cs="Times New Roman"/>
          <w:sz w:val="26"/>
          <w:szCs w:val="26"/>
          <w:lang w:val="en-ZA"/>
        </w:rPr>
        <w:t>161</w:t>
      </w:r>
      <w:r>
        <w:rPr>
          <w:rFonts w:ascii="Times New Roman" w:hAnsi="Times New Roman" w:cs="Times New Roman"/>
          <w:sz w:val="26"/>
          <w:szCs w:val="26"/>
          <w:lang w:val="en-ZA"/>
        </w:rPr>
        <w:t xml:space="preserve"> Comm. (</w:t>
      </w:r>
      <w:r w:rsidR="006E31DC">
        <w:rPr>
          <w:rFonts w:ascii="Times New Roman" w:hAnsi="Times New Roman" w:cs="Times New Roman"/>
          <w:sz w:val="26"/>
          <w:szCs w:val="26"/>
          <w:lang w:val="en-ZA"/>
        </w:rPr>
        <w:t>18</w:t>
      </w:r>
      <w:r w:rsidR="006E31DC">
        <w:rPr>
          <w:rFonts w:ascii="Times New Roman" w:hAnsi="Times New Roman" w:cs="Times New Roman"/>
          <w:sz w:val="26"/>
          <w:szCs w:val="26"/>
          <w:vertAlign w:val="superscript"/>
          <w:lang w:val="en-ZA"/>
        </w:rPr>
        <w:t xml:space="preserve">TH </w:t>
      </w:r>
      <w:r w:rsidR="006E31DC">
        <w:rPr>
          <w:rFonts w:ascii="Times New Roman" w:hAnsi="Times New Roman" w:cs="Times New Roman"/>
          <w:sz w:val="26"/>
          <w:szCs w:val="26"/>
          <w:lang w:val="en-ZA"/>
        </w:rPr>
        <w:t>AUGUST</w:t>
      </w:r>
      <w:r>
        <w:rPr>
          <w:rFonts w:ascii="Times New Roman" w:hAnsi="Times New Roman" w:cs="Times New Roman"/>
          <w:sz w:val="26"/>
          <w:szCs w:val="26"/>
          <w:lang w:val="en-ZA"/>
        </w:rPr>
        <w:t xml:space="preserve"> 2022) </w:t>
      </w:r>
    </w:p>
    <w:p w14:paraId="3A35EC11" w14:textId="77777777" w:rsidR="00AE7A4A" w:rsidRDefault="00AE7A4A" w:rsidP="00AE7A4A">
      <w:pPr>
        <w:spacing w:after="0" w:line="360" w:lineRule="auto"/>
        <w:jc w:val="both"/>
        <w:rPr>
          <w:rFonts w:ascii="Times New Roman" w:hAnsi="Times New Roman" w:cs="Times New Roman"/>
          <w:sz w:val="26"/>
          <w:szCs w:val="26"/>
          <w:lang w:val="en-ZA"/>
        </w:rPr>
      </w:pPr>
    </w:p>
    <w:p w14:paraId="41AE1427" w14:textId="77777777" w:rsidR="00AE7A4A" w:rsidRPr="00E46EF6" w:rsidRDefault="00AE7A4A" w:rsidP="00AE7A4A">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 xml:space="preserve">CORAM: </w:t>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t>MOKHESI J</w:t>
      </w:r>
    </w:p>
    <w:p w14:paraId="4E47FD0D" w14:textId="2A861B05" w:rsidR="00AE7A4A" w:rsidRPr="00E46EF6" w:rsidRDefault="00AE7A4A" w:rsidP="00AE7A4A">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 xml:space="preserve">DATE OF HEARING:       </w:t>
      </w:r>
      <w:r w:rsidR="006E31DC">
        <w:rPr>
          <w:rFonts w:ascii="Times New Roman" w:hAnsi="Times New Roman" w:cs="Times New Roman"/>
          <w:b/>
          <w:bCs/>
          <w:sz w:val="28"/>
          <w:szCs w:val="28"/>
          <w:lang w:val="en-ZA"/>
        </w:rPr>
        <w:t xml:space="preserve">   </w:t>
      </w:r>
      <w:r w:rsidRPr="00E46EF6">
        <w:rPr>
          <w:rFonts w:ascii="Times New Roman" w:hAnsi="Times New Roman" w:cs="Times New Roman"/>
          <w:b/>
          <w:bCs/>
          <w:sz w:val="28"/>
          <w:szCs w:val="28"/>
          <w:lang w:val="en-ZA"/>
        </w:rPr>
        <w:t xml:space="preserve">  </w:t>
      </w:r>
      <w:r w:rsidR="006E31DC">
        <w:rPr>
          <w:rFonts w:ascii="Times New Roman" w:hAnsi="Times New Roman" w:cs="Times New Roman"/>
          <w:b/>
          <w:bCs/>
          <w:sz w:val="28"/>
          <w:szCs w:val="28"/>
          <w:lang w:val="en-ZA"/>
        </w:rPr>
        <w:t>08</w:t>
      </w:r>
      <w:r w:rsidR="006E31DC" w:rsidRPr="006E31DC">
        <w:rPr>
          <w:rFonts w:ascii="Times New Roman" w:hAnsi="Times New Roman" w:cs="Times New Roman"/>
          <w:b/>
          <w:bCs/>
          <w:sz w:val="28"/>
          <w:szCs w:val="28"/>
          <w:vertAlign w:val="superscript"/>
          <w:lang w:val="en-ZA"/>
        </w:rPr>
        <w:t>TH</w:t>
      </w:r>
      <w:r w:rsidR="006E31DC">
        <w:rPr>
          <w:rFonts w:ascii="Times New Roman" w:hAnsi="Times New Roman" w:cs="Times New Roman"/>
          <w:b/>
          <w:bCs/>
          <w:sz w:val="28"/>
          <w:szCs w:val="28"/>
          <w:lang w:val="en-ZA"/>
        </w:rPr>
        <w:t xml:space="preserve"> JUNE 2022</w:t>
      </w:r>
      <w:r w:rsidRPr="00E46EF6">
        <w:rPr>
          <w:rFonts w:ascii="Times New Roman" w:hAnsi="Times New Roman" w:cs="Times New Roman"/>
          <w:b/>
          <w:bCs/>
          <w:sz w:val="28"/>
          <w:szCs w:val="28"/>
          <w:lang w:val="en-ZA"/>
        </w:rPr>
        <w:t xml:space="preserve">   </w:t>
      </w:r>
      <w:r w:rsidRPr="00E46EF6">
        <w:rPr>
          <w:rFonts w:ascii="Times New Roman" w:hAnsi="Times New Roman" w:cs="Times New Roman"/>
          <w:b/>
          <w:bCs/>
          <w:sz w:val="28"/>
          <w:szCs w:val="28"/>
          <w:lang w:val="en-ZA"/>
        </w:rPr>
        <w:tab/>
      </w:r>
    </w:p>
    <w:p w14:paraId="3AC3B03E" w14:textId="24FA9CCA" w:rsidR="00AE7A4A" w:rsidRPr="00E46EF6" w:rsidRDefault="00AE7A4A" w:rsidP="00AE7A4A">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 xml:space="preserve">DATE OF JUDGMENT:        </w:t>
      </w:r>
      <w:r w:rsidR="006E31DC">
        <w:rPr>
          <w:rFonts w:ascii="Times New Roman" w:hAnsi="Times New Roman" w:cs="Times New Roman"/>
          <w:b/>
          <w:bCs/>
          <w:sz w:val="28"/>
          <w:szCs w:val="28"/>
          <w:lang w:val="en-ZA"/>
        </w:rPr>
        <w:t>18</w:t>
      </w:r>
      <w:r w:rsidR="006E31DC" w:rsidRPr="006E31DC">
        <w:rPr>
          <w:rFonts w:ascii="Times New Roman" w:hAnsi="Times New Roman" w:cs="Times New Roman"/>
          <w:b/>
          <w:bCs/>
          <w:sz w:val="28"/>
          <w:szCs w:val="28"/>
          <w:vertAlign w:val="superscript"/>
          <w:lang w:val="en-ZA"/>
        </w:rPr>
        <w:t>TH</w:t>
      </w:r>
      <w:r w:rsidR="006E31DC">
        <w:rPr>
          <w:rFonts w:ascii="Times New Roman" w:hAnsi="Times New Roman" w:cs="Times New Roman"/>
          <w:b/>
          <w:bCs/>
          <w:sz w:val="28"/>
          <w:szCs w:val="28"/>
          <w:lang w:val="en-ZA"/>
        </w:rPr>
        <w:t xml:space="preserve"> AUGUST 2022</w:t>
      </w:r>
      <w:r w:rsidRPr="00E46EF6">
        <w:rPr>
          <w:rFonts w:ascii="Times New Roman" w:hAnsi="Times New Roman" w:cs="Times New Roman"/>
          <w:b/>
          <w:bCs/>
          <w:sz w:val="28"/>
          <w:szCs w:val="28"/>
          <w:lang w:val="en-ZA"/>
        </w:rPr>
        <w:t xml:space="preserve"> </w:t>
      </w:r>
    </w:p>
    <w:p w14:paraId="004D102C" w14:textId="6E63672B" w:rsidR="00AE7A4A" w:rsidRDefault="00AE7A4A" w:rsidP="00AE7A4A">
      <w:pPr>
        <w:spacing w:after="0" w:line="360" w:lineRule="auto"/>
        <w:jc w:val="both"/>
        <w:rPr>
          <w:rFonts w:ascii="Times New Roman" w:hAnsi="Times New Roman" w:cs="Times New Roman"/>
          <w:b/>
          <w:bCs/>
          <w:sz w:val="26"/>
          <w:szCs w:val="26"/>
          <w:lang w:val="en-ZA"/>
        </w:rPr>
      </w:pPr>
    </w:p>
    <w:p w14:paraId="7679BE79" w14:textId="378D30DA" w:rsidR="0042180D" w:rsidRDefault="0042180D" w:rsidP="00AE7A4A">
      <w:pPr>
        <w:spacing w:after="0" w:line="360" w:lineRule="auto"/>
        <w:jc w:val="both"/>
        <w:rPr>
          <w:rFonts w:ascii="Times New Roman" w:hAnsi="Times New Roman" w:cs="Times New Roman"/>
          <w:b/>
          <w:bCs/>
          <w:sz w:val="26"/>
          <w:szCs w:val="26"/>
          <w:lang w:val="en-ZA"/>
        </w:rPr>
      </w:pPr>
    </w:p>
    <w:p w14:paraId="3E97EFA4" w14:textId="68A07F74" w:rsidR="0042180D" w:rsidRDefault="0042180D" w:rsidP="0042180D">
      <w:pPr>
        <w:pStyle w:val="Heading1"/>
      </w:pPr>
      <w:r>
        <w:tab/>
      </w:r>
      <w:r>
        <w:tab/>
      </w:r>
      <w:r>
        <w:tab/>
      </w:r>
      <w:r>
        <w:tab/>
      </w:r>
      <w:r>
        <w:tab/>
        <w:t>SUMMARY</w:t>
      </w:r>
    </w:p>
    <w:p w14:paraId="704662B9" w14:textId="41F61922" w:rsidR="0042180D" w:rsidRPr="006E31DC" w:rsidRDefault="006E31DC" w:rsidP="006E31DC">
      <w:pPr>
        <w:spacing w:line="360" w:lineRule="auto"/>
        <w:rPr>
          <w:rFonts w:ascii="Times New Roman" w:hAnsi="Times New Roman" w:cs="Times New Roman"/>
          <w:i/>
          <w:iCs/>
          <w:sz w:val="28"/>
          <w:szCs w:val="28"/>
          <w:lang w:val="en-ZA"/>
        </w:rPr>
      </w:pPr>
      <w:r w:rsidRPr="006E31DC">
        <w:rPr>
          <w:rFonts w:ascii="Times New Roman" w:hAnsi="Times New Roman" w:cs="Times New Roman"/>
          <w:b/>
          <w:bCs/>
          <w:sz w:val="28"/>
          <w:szCs w:val="28"/>
          <w:lang w:val="en-ZA"/>
        </w:rPr>
        <w:t>CIVIL PRACTICE:</w:t>
      </w:r>
      <w:r>
        <w:rPr>
          <w:rFonts w:ascii="Times New Roman" w:hAnsi="Times New Roman" w:cs="Times New Roman"/>
          <w:b/>
          <w:bCs/>
          <w:sz w:val="28"/>
          <w:szCs w:val="28"/>
          <w:lang w:val="en-ZA"/>
        </w:rPr>
        <w:t xml:space="preserve"> </w:t>
      </w:r>
      <w:r w:rsidRPr="006E31DC">
        <w:rPr>
          <w:rFonts w:ascii="Times New Roman" w:hAnsi="Times New Roman" w:cs="Times New Roman"/>
          <w:i/>
          <w:iCs/>
          <w:sz w:val="28"/>
          <w:szCs w:val="28"/>
          <w:lang w:val="en-ZA"/>
        </w:rPr>
        <w:t>Application for contempt of court- applicable principles considered and applied- Unjust enrichment where deductions of the applicants’ salaries were made despite the court order prohibiting same towards payment of their loans- The respondents were not enriched by effecting repayment of the loans they advanced to the applicants.</w:t>
      </w:r>
    </w:p>
    <w:p w14:paraId="40F1E9C5" w14:textId="1BA201C9" w:rsidR="0042180D" w:rsidRPr="006E31DC" w:rsidRDefault="0042180D" w:rsidP="006E31DC">
      <w:pPr>
        <w:spacing w:line="360" w:lineRule="auto"/>
        <w:rPr>
          <w:i/>
          <w:iCs/>
          <w:lang w:val="en-ZA"/>
        </w:rPr>
      </w:pPr>
    </w:p>
    <w:p w14:paraId="312B3FFB" w14:textId="6342505B" w:rsidR="0042180D" w:rsidRPr="008805A5" w:rsidRDefault="0042180D" w:rsidP="008805A5">
      <w:pPr>
        <w:pStyle w:val="Header"/>
        <w:tabs>
          <w:tab w:val="clear" w:pos="4680"/>
          <w:tab w:val="clear" w:pos="9360"/>
        </w:tabs>
        <w:spacing w:after="160" w:line="259" w:lineRule="auto"/>
        <w:rPr>
          <w:lang w:val="en-ZA"/>
        </w:rPr>
      </w:pPr>
    </w:p>
    <w:p w14:paraId="02119A8A" w14:textId="11D86893" w:rsidR="0042180D" w:rsidRDefault="0042180D" w:rsidP="0042180D">
      <w:pPr>
        <w:pStyle w:val="Heading2"/>
        <w:rPr>
          <w:b/>
          <w:bCs/>
        </w:rPr>
      </w:pPr>
      <w:r w:rsidRPr="0042180D">
        <w:rPr>
          <w:b/>
          <w:bCs/>
        </w:rPr>
        <w:t>ANNOTATIONS</w:t>
      </w:r>
    </w:p>
    <w:p w14:paraId="363089C6" w14:textId="3C123FB9" w:rsidR="0042180D" w:rsidRDefault="0042180D" w:rsidP="0042180D">
      <w:pPr>
        <w:pStyle w:val="Heading3"/>
      </w:pPr>
      <w:r w:rsidRPr="0042180D">
        <w:t>STATUTES</w:t>
      </w:r>
    </w:p>
    <w:p w14:paraId="23236171" w14:textId="0B01C214" w:rsidR="0050740C" w:rsidRPr="00AE5434" w:rsidRDefault="0050740C" w:rsidP="0050740C">
      <w:pPr>
        <w:pStyle w:val="Heading2"/>
        <w:rPr>
          <w:i/>
          <w:iCs/>
        </w:rPr>
      </w:pPr>
      <w:r w:rsidRPr="00AE5434">
        <w:rPr>
          <w:i/>
          <w:iCs/>
        </w:rPr>
        <w:t>Financial Institutions Act 2012</w:t>
      </w:r>
    </w:p>
    <w:p w14:paraId="723CA617" w14:textId="3E2B5DD4" w:rsidR="0042180D" w:rsidRPr="00AE5434" w:rsidRDefault="0050740C" w:rsidP="0042180D">
      <w:pPr>
        <w:rPr>
          <w:rFonts w:ascii="Times New Roman" w:hAnsi="Times New Roman" w:cs="Times New Roman"/>
          <w:i/>
          <w:iCs/>
          <w:sz w:val="28"/>
          <w:szCs w:val="28"/>
          <w:lang w:val="en-ZA"/>
        </w:rPr>
      </w:pPr>
      <w:r w:rsidRPr="00AE5434">
        <w:rPr>
          <w:rFonts w:ascii="Times New Roman" w:hAnsi="Times New Roman" w:cs="Times New Roman"/>
          <w:i/>
          <w:iCs/>
          <w:sz w:val="28"/>
          <w:szCs w:val="28"/>
          <w:lang w:val="en-ZA"/>
        </w:rPr>
        <w:t>Treasury Regulations 2014 (as amended in 2017)</w:t>
      </w:r>
    </w:p>
    <w:p w14:paraId="20BB75B8" w14:textId="77777777" w:rsidR="0074051E" w:rsidRPr="00AE5434" w:rsidRDefault="0074051E" w:rsidP="0042180D">
      <w:pPr>
        <w:rPr>
          <w:rFonts w:ascii="Times New Roman" w:hAnsi="Times New Roman" w:cs="Times New Roman"/>
          <w:i/>
          <w:iCs/>
          <w:sz w:val="28"/>
          <w:szCs w:val="28"/>
          <w:lang w:val="en-ZA"/>
        </w:rPr>
      </w:pPr>
    </w:p>
    <w:p w14:paraId="4741DA33" w14:textId="30345EBF" w:rsidR="0074051E" w:rsidRPr="0074051E" w:rsidRDefault="0074051E" w:rsidP="0074051E">
      <w:pPr>
        <w:pStyle w:val="Heading3"/>
      </w:pPr>
      <w:r w:rsidRPr="0074051E">
        <w:t>BOOKS</w:t>
      </w:r>
    </w:p>
    <w:p w14:paraId="5EAD6C94" w14:textId="23A7B2A5" w:rsidR="0074051E" w:rsidRPr="00AE5434" w:rsidRDefault="0074051E" w:rsidP="0042180D">
      <w:pPr>
        <w:rPr>
          <w:rFonts w:ascii="Times New Roman" w:hAnsi="Times New Roman" w:cs="Times New Roman"/>
          <w:b/>
          <w:bCs/>
          <w:sz w:val="28"/>
          <w:szCs w:val="28"/>
          <w:lang w:val="en-ZA"/>
        </w:rPr>
      </w:pPr>
      <w:proofErr w:type="spellStart"/>
      <w:r w:rsidRPr="0074051E">
        <w:rPr>
          <w:rFonts w:ascii="Times New Roman" w:hAnsi="Times New Roman" w:cs="Times New Roman"/>
          <w:sz w:val="28"/>
          <w:szCs w:val="28"/>
          <w:lang w:val="en-ZA"/>
        </w:rPr>
        <w:t>Eiselen</w:t>
      </w:r>
      <w:proofErr w:type="spellEnd"/>
      <w:r w:rsidRPr="0074051E">
        <w:rPr>
          <w:rFonts w:ascii="Times New Roman" w:hAnsi="Times New Roman" w:cs="Times New Roman"/>
          <w:sz w:val="28"/>
          <w:szCs w:val="28"/>
          <w:lang w:val="en-ZA"/>
        </w:rPr>
        <w:t xml:space="preserve"> and Pienaar</w:t>
      </w:r>
      <w:r w:rsidRPr="0074051E">
        <w:rPr>
          <w:rFonts w:ascii="Times New Roman" w:hAnsi="Times New Roman" w:cs="Times New Roman"/>
          <w:b/>
          <w:bCs/>
          <w:sz w:val="28"/>
          <w:szCs w:val="28"/>
          <w:lang w:val="en-ZA"/>
        </w:rPr>
        <w:t xml:space="preserve"> “Unjustified Enrichment: A Casebook” 2</w:t>
      </w:r>
      <w:r w:rsidRPr="0074051E">
        <w:rPr>
          <w:rFonts w:ascii="Times New Roman" w:hAnsi="Times New Roman" w:cs="Times New Roman"/>
          <w:b/>
          <w:bCs/>
          <w:sz w:val="28"/>
          <w:szCs w:val="28"/>
          <w:vertAlign w:val="superscript"/>
          <w:lang w:val="en-ZA"/>
        </w:rPr>
        <w:t>nd</w:t>
      </w:r>
      <w:r w:rsidRPr="0074051E">
        <w:rPr>
          <w:rFonts w:ascii="Times New Roman" w:hAnsi="Times New Roman" w:cs="Times New Roman"/>
          <w:b/>
          <w:bCs/>
          <w:sz w:val="28"/>
          <w:szCs w:val="28"/>
          <w:lang w:val="en-ZA"/>
        </w:rPr>
        <w:t xml:space="preserve"> ed. (Butterworths)</w:t>
      </w:r>
    </w:p>
    <w:p w14:paraId="71B6CF60" w14:textId="4D1357A5" w:rsidR="00E9602E" w:rsidRDefault="0042180D" w:rsidP="00E9602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CASES</w:t>
      </w:r>
    </w:p>
    <w:p w14:paraId="7A1626C3" w14:textId="5AC2ACA1" w:rsidR="0074051E" w:rsidRPr="00AE5434" w:rsidRDefault="0074051E" w:rsidP="00E9602E">
      <w:pPr>
        <w:spacing w:after="0" w:line="360" w:lineRule="auto"/>
        <w:ind w:left="720" w:hanging="720"/>
        <w:jc w:val="both"/>
        <w:rPr>
          <w:rFonts w:ascii="Times New Roman" w:hAnsi="Times New Roman" w:cs="Times New Roman"/>
          <w:i/>
          <w:iCs/>
          <w:sz w:val="28"/>
          <w:szCs w:val="28"/>
          <w:lang w:val="en-ZA"/>
        </w:rPr>
      </w:pPr>
      <w:r w:rsidRPr="00AE5434">
        <w:rPr>
          <w:rFonts w:ascii="Times New Roman" w:hAnsi="Times New Roman" w:cs="Times New Roman"/>
          <w:i/>
          <w:iCs/>
          <w:sz w:val="28"/>
          <w:szCs w:val="28"/>
          <w:lang w:val="en-ZA"/>
        </w:rPr>
        <w:t>Fakie N. O v CCII Systems (Pty) Ltd 2006 (4) SA 326 (SCA)</w:t>
      </w:r>
    </w:p>
    <w:p w14:paraId="796592F2" w14:textId="48C354C9" w:rsidR="0074051E" w:rsidRPr="00AE5434" w:rsidRDefault="0074051E" w:rsidP="00E9602E">
      <w:pPr>
        <w:spacing w:after="0" w:line="360" w:lineRule="auto"/>
        <w:ind w:left="720" w:hanging="720"/>
        <w:jc w:val="both"/>
        <w:rPr>
          <w:rFonts w:ascii="Times New Roman" w:hAnsi="Times New Roman" w:cs="Times New Roman"/>
          <w:i/>
          <w:iCs/>
          <w:sz w:val="28"/>
          <w:szCs w:val="28"/>
          <w:lang w:val="en-ZA"/>
        </w:rPr>
      </w:pPr>
      <w:r w:rsidRPr="00AE5434">
        <w:rPr>
          <w:rFonts w:ascii="Times New Roman" w:hAnsi="Times New Roman" w:cs="Times New Roman"/>
          <w:i/>
          <w:iCs/>
          <w:sz w:val="28"/>
          <w:szCs w:val="28"/>
          <w:lang w:val="en-ZA"/>
        </w:rPr>
        <w:t>First National Bank of Southern Africa Ltd v Perry NO and Others 2001 (3) SA</w:t>
      </w:r>
    </w:p>
    <w:p w14:paraId="0B0AB7F4" w14:textId="353FBAFF" w:rsidR="0074051E" w:rsidRPr="00AE5434" w:rsidRDefault="0074051E" w:rsidP="00E9602E">
      <w:pPr>
        <w:spacing w:after="0" w:line="360" w:lineRule="auto"/>
        <w:ind w:left="720" w:hanging="720"/>
        <w:jc w:val="both"/>
        <w:rPr>
          <w:rFonts w:ascii="Times New Roman" w:hAnsi="Times New Roman" w:cs="Times New Roman"/>
          <w:i/>
          <w:iCs/>
          <w:sz w:val="28"/>
          <w:szCs w:val="28"/>
          <w:lang w:val="en-ZA"/>
        </w:rPr>
      </w:pPr>
      <w:proofErr w:type="spellStart"/>
      <w:r w:rsidRPr="00AE5434">
        <w:rPr>
          <w:rFonts w:ascii="Times New Roman" w:hAnsi="Times New Roman" w:cs="Times New Roman"/>
          <w:i/>
          <w:iCs/>
          <w:sz w:val="28"/>
          <w:szCs w:val="28"/>
          <w:lang w:val="en-ZA"/>
        </w:rPr>
        <w:t>Lerotholi</w:t>
      </w:r>
      <w:proofErr w:type="spellEnd"/>
      <w:r w:rsidRPr="00AE5434">
        <w:rPr>
          <w:rFonts w:ascii="Times New Roman" w:hAnsi="Times New Roman" w:cs="Times New Roman"/>
          <w:i/>
          <w:iCs/>
          <w:sz w:val="28"/>
          <w:szCs w:val="28"/>
          <w:lang w:val="en-ZA"/>
        </w:rPr>
        <w:t xml:space="preserve"> </w:t>
      </w:r>
      <w:proofErr w:type="spellStart"/>
      <w:r w:rsidRPr="00AE5434">
        <w:rPr>
          <w:rFonts w:ascii="Times New Roman" w:hAnsi="Times New Roman" w:cs="Times New Roman"/>
          <w:i/>
          <w:iCs/>
          <w:sz w:val="28"/>
          <w:szCs w:val="28"/>
          <w:lang w:val="en-ZA"/>
        </w:rPr>
        <w:t>Politechnic</w:t>
      </w:r>
      <w:proofErr w:type="spellEnd"/>
      <w:r w:rsidRPr="00AE5434">
        <w:rPr>
          <w:rFonts w:ascii="Times New Roman" w:hAnsi="Times New Roman" w:cs="Times New Roman"/>
          <w:i/>
          <w:iCs/>
          <w:sz w:val="28"/>
          <w:szCs w:val="28"/>
          <w:lang w:val="en-ZA"/>
        </w:rPr>
        <w:t xml:space="preserve"> and Another v </w:t>
      </w:r>
      <w:proofErr w:type="spellStart"/>
      <w:r w:rsidRPr="00AE5434">
        <w:rPr>
          <w:rFonts w:ascii="Times New Roman" w:hAnsi="Times New Roman" w:cs="Times New Roman"/>
          <w:i/>
          <w:iCs/>
          <w:sz w:val="28"/>
          <w:szCs w:val="28"/>
          <w:lang w:val="en-ZA"/>
        </w:rPr>
        <w:t>Lisene</w:t>
      </w:r>
      <w:proofErr w:type="spellEnd"/>
      <w:r w:rsidRPr="00AE5434">
        <w:rPr>
          <w:rFonts w:ascii="Times New Roman" w:hAnsi="Times New Roman" w:cs="Times New Roman"/>
          <w:i/>
          <w:iCs/>
          <w:sz w:val="28"/>
          <w:szCs w:val="28"/>
          <w:lang w:val="en-ZA"/>
        </w:rPr>
        <w:t xml:space="preserve"> LAC 2009 – 2010) 397</w:t>
      </w:r>
    </w:p>
    <w:p w14:paraId="1FFEB956" w14:textId="22A05064" w:rsidR="0042180D" w:rsidRPr="00AE5434" w:rsidRDefault="0074051E" w:rsidP="00E9602E">
      <w:pPr>
        <w:spacing w:after="0" w:line="360" w:lineRule="auto"/>
        <w:ind w:left="720" w:hanging="720"/>
        <w:jc w:val="both"/>
        <w:rPr>
          <w:rFonts w:ascii="Times New Roman" w:hAnsi="Times New Roman" w:cs="Times New Roman"/>
          <w:i/>
          <w:iCs/>
          <w:sz w:val="28"/>
          <w:szCs w:val="28"/>
          <w:lang w:val="en-ZA"/>
        </w:rPr>
      </w:pPr>
      <w:proofErr w:type="spellStart"/>
      <w:r w:rsidRPr="00AE5434">
        <w:rPr>
          <w:rFonts w:ascii="Times New Roman" w:hAnsi="Times New Roman" w:cs="Times New Roman"/>
          <w:i/>
          <w:iCs/>
          <w:sz w:val="28"/>
          <w:szCs w:val="28"/>
          <w:lang w:val="en-ZA"/>
        </w:rPr>
        <w:t>Victorial</w:t>
      </w:r>
      <w:proofErr w:type="spellEnd"/>
      <w:r w:rsidRPr="00AE5434">
        <w:rPr>
          <w:rFonts w:ascii="Times New Roman" w:hAnsi="Times New Roman" w:cs="Times New Roman"/>
          <w:i/>
          <w:iCs/>
          <w:sz w:val="28"/>
          <w:szCs w:val="28"/>
          <w:lang w:val="en-ZA"/>
        </w:rPr>
        <w:t xml:space="preserve"> Park Ratepayers Association v </w:t>
      </w:r>
      <w:proofErr w:type="spellStart"/>
      <w:r w:rsidRPr="00AE5434">
        <w:rPr>
          <w:rFonts w:ascii="Times New Roman" w:hAnsi="Times New Roman" w:cs="Times New Roman"/>
          <w:i/>
          <w:iCs/>
          <w:sz w:val="28"/>
          <w:szCs w:val="28"/>
          <w:lang w:val="en-ZA"/>
        </w:rPr>
        <w:t>Greyvenouw</w:t>
      </w:r>
      <w:proofErr w:type="spellEnd"/>
      <w:r w:rsidRPr="00AE5434">
        <w:rPr>
          <w:rFonts w:ascii="Times New Roman" w:hAnsi="Times New Roman" w:cs="Times New Roman"/>
          <w:i/>
          <w:iCs/>
          <w:sz w:val="28"/>
          <w:szCs w:val="28"/>
          <w:lang w:val="en-ZA"/>
        </w:rPr>
        <w:t xml:space="preserve"> CC and others (511/03) [2003] ZAECHC 19 11 April 2003)</w:t>
      </w:r>
    </w:p>
    <w:p w14:paraId="772642AA" w14:textId="77777777" w:rsidR="0042180D" w:rsidRPr="00AE5434" w:rsidRDefault="0042180D" w:rsidP="00E9602E">
      <w:pPr>
        <w:spacing w:after="0" w:line="360" w:lineRule="auto"/>
        <w:ind w:left="720" w:hanging="720"/>
        <w:jc w:val="both"/>
        <w:rPr>
          <w:rFonts w:ascii="Times New Roman" w:hAnsi="Times New Roman" w:cs="Times New Roman"/>
          <w:i/>
          <w:iCs/>
          <w:sz w:val="28"/>
          <w:szCs w:val="28"/>
          <w:lang w:val="en-ZA"/>
        </w:rPr>
      </w:pPr>
    </w:p>
    <w:p w14:paraId="0F85ADEB" w14:textId="166DD801" w:rsidR="002C3CB0" w:rsidRPr="00AE5434" w:rsidRDefault="002C3CB0" w:rsidP="00F02B43">
      <w:pPr>
        <w:spacing w:after="0" w:line="360" w:lineRule="auto"/>
        <w:ind w:left="720" w:hanging="720"/>
        <w:jc w:val="both"/>
        <w:rPr>
          <w:rFonts w:ascii="Times New Roman" w:hAnsi="Times New Roman" w:cs="Times New Roman"/>
          <w:i/>
          <w:iCs/>
          <w:sz w:val="28"/>
          <w:szCs w:val="28"/>
          <w:lang w:val="en-ZA"/>
        </w:rPr>
      </w:pPr>
    </w:p>
    <w:p w14:paraId="0F046AB8" w14:textId="377ECBD8" w:rsidR="002C3CB0" w:rsidRPr="00AE5434" w:rsidRDefault="002C3CB0" w:rsidP="00F02B43">
      <w:pPr>
        <w:spacing w:after="0" w:line="360" w:lineRule="auto"/>
        <w:ind w:left="720" w:hanging="720"/>
        <w:jc w:val="both"/>
        <w:rPr>
          <w:rFonts w:ascii="Times New Roman" w:hAnsi="Times New Roman" w:cs="Times New Roman"/>
          <w:i/>
          <w:iCs/>
          <w:sz w:val="28"/>
          <w:szCs w:val="28"/>
          <w:lang w:val="en-ZA"/>
        </w:rPr>
      </w:pPr>
    </w:p>
    <w:p w14:paraId="165EDD63" w14:textId="09AB6D90" w:rsidR="002C3CB0" w:rsidRPr="00AE5434" w:rsidRDefault="002C3CB0" w:rsidP="00F02B43">
      <w:pPr>
        <w:spacing w:after="0" w:line="360" w:lineRule="auto"/>
        <w:ind w:left="720" w:hanging="720"/>
        <w:jc w:val="both"/>
        <w:rPr>
          <w:rFonts w:ascii="Times New Roman" w:hAnsi="Times New Roman" w:cs="Times New Roman"/>
          <w:i/>
          <w:iCs/>
          <w:sz w:val="28"/>
          <w:szCs w:val="28"/>
          <w:lang w:val="en-ZA"/>
        </w:rPr>
      </w:pPr>
    </w:p>
    <w:p w14:paraId="1096E583" w14:textId="07EF8EE9"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0C4A3C97" w14:textId="17032C53"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6FC819DB" w14:textId="6A94DF1E"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6C4065C7" w14:textId="7D8D6200"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33F58A9E" w14:textId="6DD3A989"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6C1BDA50" w14:textId="03931E7C"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3E05326B" w14:textId="686C15A0"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15868467" w14:textId="64921EC2"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54B2F348" w14:textId="702C0631" w:rsidR="00E9602E" w:rsidRPr="00AE5434" w:rsidRDefault="00E9602E" w:rsidP="00F02B43">
      <w:pPr>
        <w:spacing w:after="0" w:line="360" w:lineRule="auto"/>
        <w:ind w:left="720" w:hanging="720"/>
        <w:jc w:val="both"/>
        <w:rPr>
          <w:rFonts w:ascii="Times New Roman" w:hAnsi="Times New Roman" w:cs="Times New Roman"/>
          <w:i/>
          <w:iCs/>
          <w:sz w:val="28"/>
          <w:szCs w:val="28"/>
          <w:lang w:val="en-ZA"/>
        </w:rPr>
      </w:pPr>
    </w:p>
    <w:p w14:paraId="1A08A985" w14:textId="595C207E" w:rsidR="002C3CB0" w:rsidRPr="00AE5434" w:rsidRDefault="002C3CB0" w:rsidP="00AE7A4A">
      <w:pPr>
        <w:spacing w:after="0" w:line="360" w:lineRule="auto"/>
        <w:jc w:val="both"/>
        <w:rPr>
          <w:rFonts w:ascii="Times New Roman" w:hAnsi="Times New Roman" w:cs="Times New Roman"/>
          <w:i/>
          <w:iCs/>
          <w:sz w:val="28"/>
          <w:szCs w:val="28"/>
          <w:lang w:val="en-ZA"/>
        </w:rPr>
      </w:pPr>
    </w:p>
    <w:p w14:paraId="3E575F0F" w14:textId="38E6A1C2" w:rsidR="002C3CB0" w:rsidRPr="00AE5434" w:rsidRDefault="002C3CB0" w:rsidP="00F02B43">
      <w:pPr>
        <w:spacing w:after="0" w:line="360" w:lineRule="auto"/>
        <w:ind w:left="720" w:hanging="720"/>
        <w:jc w:val="both"/>
        <w:rPr>
          <w:rFonts w:ascii="Times New Roman" w:hAnsi="Times New Roman" w:cs="Times New Roman"/>
          <w:i/>
          <w:iCs/>
          <w:sz w:val="28"/>
          <w:szCs w:val="28"/>
          <w:lang w:val="en-ZA"/>
        </w:rPr>
      </w:pPr>
    </w:p>
    <w:p w14:paraId="02D86B1E" w14:textId="439216FE" w:rsidR="002C3CB0" w:rsidRDefault="002C3CB0" w:rsidP="00F02B43">
      <w:pPr>
        <w:spacing w:after="0" w:line="360" w:lineRule="auto"/>
        <w:ind w:left="720" w:hanging="720"/>
        <w:jc w:val="both"/>
        <w:rPr>
          <w:rFonts w:ascii="Times New Roman" w:hAnsi="Times New Roman" w:cs="Times New Roman"/>
          <w:sz w:val="28"/>
          <w:szCs w:val="28"/>
          <w:lang w:val="en-ZA"/>
        </w:rPr>
      </w:pPr>
    </w:p>
    <w:p w14:paraId="5688F7D9" w14:textId="5F992E0D" w:rsidR="002C3CB0" w:rsidRDefault="002C3CB0" w:rsidP="00F02B43">
      <w:pPr>
        <w:spacing w:after="0" w:line="360" w:lineRule="auto"/>
        <w:ind w:left="720" w:hanging="720"/>
        <w:jc w:val="both"/>
        <w:rPr>
          <w:rFonts w:ascii="Times New Roman" w:hAnsi="Times New Roman" w:cs="Times New Roman"/>
          <w:sz w:val="28"/>
          <w:szCs w:val="28"/>
          <w:lang w:val="en-ZA"/>
        </w:rPr>
      </w:pPr>
    </w:p>
    <w:p w14:paraId="128889FC" w14:textId="1B22332F" w:rsidR="002C3CB0" w:rsidRDefault="002C3CB0" w:rsidP="00F02B43">
      <w:pPr>
        <w:spacing w:after="0" w:line="360" w:lineRule="auto"/>
        <w:ind w:left="720" w:hanging="720"/>
        <w:jc w:val="both"/>
        <w:rPr>
          <w:rFonts w:ascii="Times New Roman" w:hAnsi="Times New Roman" w:cs="Times New Roman"/>
          <w:sz w:val="28"/>
          <w:szCs w:val="28"/>
          <w:lang w:val="en-ZA"/>
        </w:rPr>
      </w:pPr>
    </w:p>
    <w:p w14:paraId="2450CF01" w14:textId="77777777" w:rsidR="00AE5434" w:rsidRDefault="00AE5434" w:rsidP="00AE7A4A">
      <w:pPr>
        <w:spacing w:after="0" w:line="360" w:lineRule="auto"/>
        <w:ind w:left="720" w:hanging="720"/>
        <w:jc w:val="center"/>
        <w:rPr>
          <w:rFonts w:ascii="Times New Roman" w:hAnsi="Times New Roman" w:cs="Times New Roman"/>
          <w:b/>
          <w:bCs/>
          <w:sz w:val="28"/>
          <w:szCs w:val="28"/>
          <w:u w:val="single"/>
          <w:lang w:val="en-ZA"/>
        </w:rPr>
      </w:pPr>
    </w:p>
    <w:p w14:paraId="79F0A51C" w14:textId="77777777" w:rsidR="00AE5434" w:rsidRDefault="00AE5434" w:rsidP="00AE7A4A">
      <w:pPr>
        <w:spacing w:after="0" w:line="360" w:lineRule="auto"/>
        <w:ind w:left="720" w:hanging="720"/>
        <w:jc w:val="center"/>
        <w:rPr>
          <w:rFonts w:ascii="Times New Roman" w:hAnsi="Times New Roman" w:cs="Times New Roman"/>
          <w:b/>
          <w:bCs/>
          <w:sz w:val="28"/>
          <w:szCs w:val="28"/>
          <w:u w:val="single"/>
          <w:lang w:val="en-ZA"/>
        </w:rPr>
      </w:pPr>
    </w:p>
    <w:p w14:paraId="02211943" w14:textId="77777777" w:rsidR="00AE5434" w:rsidRDefault="00AE5434" w:rsidP="00AE7A4A">
      <w:pPr>
        <w:spacing w:after="0" w:line="360" w:lineRule="auto"/>
        <w:ind w:left="720" w:hanging="720"/>
        <w:jc w:val="center"/>
        <w:rPr>
          <w:rFonts w:ascii="Times New Roman" w:hAnsi="Times New Roman" w:cs="Times New Roman"/>
          <w:b/>
          <w:bCs/>
          <w:sz w:val="28"/>
          <w:szCs w:val="28"/>
          <w:u w:val="single"/>
          <w:lang w:val="en-ZA"/>
        </w:rPr>
      </w:pPr>
    </w:p>
    <w:p w14:paraId="0A12531E" w14:textId="1FFB2E04" w:rsidR="002C3CB0" w:rsidRPr="00AE7A4A" w:rsidRDefault="00AE7A4A" w:rsidP="00AE7A4A">
      <w:pPr>
        <w:spacing w:after="0" w:line="360" w:lineRule="auto"/>
        <w:ind w:left="720" w:hanging="720"/>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58821FCA" w14:textId="77777777" w:rsidR="002C3CB0" w:rsidRDefault="002C3CB0" w:rsidP="00F02B43">
      <w:pPr>
        <w:spacing w:after="0" w:line="360" w:lineRule="auto"/>
        <w:ind w:left="720" w:hanging="720"/>
        <w:jc w:val="both"/>
        <w:rPr>
          <w:rFonts w:ascii="Times New Roman" w:hAnsi="Times New Roman" w:cs="Times New Roman"/>
          <w:sz w:val="28"/>
          <w:szCs w:val="28"/>
          <w:lang w:val="en-ZA"/>
        </w:rPr>
      </w:pPr>
    </w:p>
    <w:p w14:paraId="0105B21B" w14:textId="4A0F9A56" w:rsidR="007A06B7" w:rsidRDefault="00F02B43" w:rsidP="00F02B4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7A06B7" w:rsidRPr="007A06B7">
        <w:rPr>
          <w:rFonts w:ascii="Times New Roman" w:hAnsi="Times New Roman" w:cs="Times New Roman"/>
          <w:b/>
          <w:bCs/>
          <w:sz w:val="28"/>
          <w:szCs w:val="28"/>
          <w:lang w:val="en-ZA"/>
        </w:rPr>
        <w:t>Introduction</w:t>
      </w:r>
    </w:p>
    <w:p w14:paraId="562C6479" w14:textId="528E67B6" w:rsidR="00F02B43" w:rsidRDefault="007A06B7" w:rsidP="00F02B4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F02B43">
        <w:rPr>
          <w:rFonts w:ascii="Times New Roman" w:hAnsi="Times New Roman" w:cs="Times New Roman"/>
          <w:sz w:val="28"/>
          <w:szCs w:val="28"/>
          <w:lang w:val="en-ZA"/>
        </w:rPr>
        <w:t>This is an application for contempt of court and a recovery of mon</w:t>
      </w:r>
      <w:r w:rsidR="008805A5">
        <w:rPr>
          <w:rFonts w:ascii="Times New Roman" w:hAnsi="Times New Roman" w:cs="Times New Roman"/>
          <w:sz w:val="28"/>
          <w:szCs w:val="28"/>
          <w:lang w:val="en-ZA"/>
        </w:rPr>
        <w:t>ies</w:t>
      </w:r>
      <w:r w:rsidR="00F02B43">
        <w:rPr>
          <w:rFonts w:ascii="Times New Roman" w:hAnsi="Times New Roman" w:cs="Times New Roman"/>
          <w:sz w:val="28"/>
          <w:szCs w:val="28"/>
          <w:lang w:val="en-ZA"/>
        </w:rPr>
        <w:t xml:space="preserve"> which was deducted by the 1</w:t>
      </w:r>
      <w:r w:rsidR="00F02B43" w:rsidRPr="00F02B43">
        <w:rPr>
          <w:rFonts w:ascii="Times New Roman" w:hAnsi="Times New Roman" w:cs="Times New Roman"/>
          <w:sz w:val="28"/>
          <w:szCs w:val="28"/>
          <w:vertAlign w:val="superscript"/>
          <w:lang w:val="en-ZA"/>
        </w:rPr>
        <w:t>st</w:t>
      </w:r>
      <w:r w:rsidR="00F02B43">
        <w:rPr>
          <w:rFonts w:ascii="Times New Roman" w:hAnsi="Times New Roman" w:cs="Times New Roman"/>
          <w:sz w:val="28"/>
          <w:szCs w:val="28"/>
          <w:lang w:val="en-ZA"/>
        </w:rPr>
        <w:t xml:space="preserve"> to 5</w:t>
      </w:r>
      <w:r w:rsidR="00F02B43" w:rsidRPr="00F02B43">
        <w:rPr>
          <w:rFonts w:ascii="Times New Roman" w:hAnsi="Times New Roman" w:cs="Times New Roman"/>
          <w:sz w:val="28"/>
          <w:szCs w:val="28"/>
          <w:vertAlign w:val="superscript"/>
          <w:lang w:val="en-ZA"/>
        </w:rPr>
        <w:t>th</w:t>
      </w:r>
      <w:r w:rsidR="00F02B43">
        <w:rPr>
          <w:rFonts w:ascii="Times New Roman" w:hAnsi="Times New Roman" w:cs="Times New Roman"/>
          <w:sz w:val="28"/>
          <w:szCs w:val="28"/>
          <w:lang w:val="en-ZA"/>
        </w:rPr>
        <w:t xml:space="preserve"> respondents from the applicants’ salaries</w:t>
      </w:r>
      <w:r w:rsidR="008805A5">
        <w:rPr>
          <w:rFonts w:ascii="Times New Roman" w:hAnsi="Times New Roman" w:cs="Times New Roman"/>
          <w:sz w:val="28"/>
          <w:szCs w:val="28"/>
          <w:lang w:val="en-ZA"/>
        </w:rPr>
        <w:t xml:space="preserve"> during the currency of an order of court prohibiting the same</w:t>
      </w:r>
      <w:r w:rsidR="00F02B43">
        <w:rPr>
          <w:rFonts w:ascii="Times New Roman" w:hAnsi="Times New Roman" w:cs="Times New Roman"/>
          <w:sz w:val="28"/>
          <w:szCs w:val="28"/>
          <w:lang w:val="en-ZA"/>
        </w:rPr>
        <w:t>.  The reliefs are framed as follows:</w:t>
      </w:r>
    </w:p>
    <w:p w14:paraId="2982BCBE" w14:textId="178F9D38" w:rsidR="00F02B43" w:rsidRDefault="00F02B43" w:rsidP="00F02B43">
      <w:pPr>
        <w:spacing w:after="0" w:line="360" w:lineRule="auto"/>
        <w:ind w:left="720" w:hanging="720"/>
        <w:jc w:val="both"/>
        <w:rPr>
          <w:rFonts w:ascii="Times New Roman" w:hAnsi="Times New Roman" w:cs="Times New Roman"/>
          <w:sz w:val="28"/>
          <w:szCs w:val="28"/>
          <w:lang w:val="en-ZA"/>
        </w:rPr>
      </w:pPr>
    </w:p>
    <w:p w14:paraId="7B8F18CD" w14:textId="2BC030BC" w:rsidR="00F02B43" w:rsidRPr="007A06B7" w:rsidRDefault="00F02B43" w:rsidP="00FB744F">
      <w:pPr>
        <w:pStyle w:val="ListParagraph"/>
        <w:numPr>
          <w:ilvl w:val="0"/>
          <w:numId w:val="1"/>
        </w:numPr>
        <w:spacing w:after="0" w:line="360" w:lineRule="auto"/>
        <w:ind w:left="1757" w:right="1008"/>
        <w:jc w:val="both"/>
        <w:rPr>
          <w:rFonts w:ascii="Times New Roman" w:hAnsi="Times New Roman" w:cs="Times New Roman"/>
          <w:i/>
          <w:iCs/>
          <w:sz w:val="24"/>
          <w:szCs w:val="24"/>
          <w:lang w:val="en-ZA"/>
        </w:rPr>
      </w:pPr>
      <w:r w:rsidRPr="007A06B7">
        <w:rPr>
          <w:rFonts w:ascii="Times New Roman" w:hAnsi="Times New Roman" w:cs="Times New Roman"/>
          <w:i/>
          <w:iCs/>
          <w:sz w:val="24"/>
          <w:szCs w:val="24"/>
          <w:lang w:val="en-ZA"/>
        </w:rPr>
        <w:t>Dispensing with the normal rules relating to modes of service of court process on account of urgency.</w:t>
      </w:r>
    </w:p>
    <w:p w14:paraId="071A650E" w14:textId="77777777" w:rsidR="0063136B" w:rsidRPr="007A06B7" w:rsidRDefault="0063136B" w:rsidP="00FB744F">
      <w:pPr>
        <w:pStyle w:val="ListParagraph"/>
        <w:spacing w:after="0" w:line="360" w:lineRule="auto"/>
        <w:ind w:left="1757" w:right="1008"/>
        <w:jc w:val="both"/>
        <w:rPr>
          <w:rFonts w:ascii="Times New Roman" w:hAnsi="Times New Roman" w:cs="Times New Roman"/>
          <w:i/>
          <w:iCs/>
          <w:sz w:val="24"/>
          <w:szCs w:val="24"/>
          <w:lang w:val="en-ZA"/>
        </w:rPr>
      </w:pPr>
    </w:p>
    <w:p w14:paraId="021D097C" w14:textId="15FBBFF9" w:rsidR="00F02B43" w:rsidRPr="007A06B7" w:rsidRDefault="00F02B43" w:rsidP="00FB744F">
      <w:pPr>
        <w:pStyle w:val="ListParagraph"/>
        <w:numPr>
          <w:ilvl w:val="0"/>
          <w:numId w:val="1"/>
        </w:numPr>
        <w:spacing w:after="0" w:line="360" w:lineRule="auto"/>
        <w:ind w:left="1757" w:right="1008"/>
        <w:jc w:val="both"/>
        <w:rPr>
          <w:rFonts w:ascii="Times New Roman" w:hAnsi="Times New Roman" w:cs="Times New Roman"/>
          <w:i/>
          <w:iCs/>
          <w:sz w:val="24"/>
          <w:szCs w:val="24"/>
          <w:lang w:val="en-ZA"/>
        </w:rPr>
      </w:pPr>
      <w:r w:rsidRPr="007A06B7">
        <w:rPr>
          <w:rFonts w:ascii="Times New Roman" w:hAnsi="Times New Roman" w:cs="Times New Roman"/>
          <w:i/>
          <w:iCs/>
          <w:sz w:val="24"/>
          <w:szCs w:val="24"/>
          <w:lang w:val="en-ZA"/>
        </w:rPr>
        <w:t>Directing the 6</w:t>
      </w:r>
      <w:r w:rsidRPr="007A06B7">
        <w:rPr>
          <w:rFonts w:ascii="Times New Roman" w:hAnsi="Times New Roman" w:cs="Times New Roman"/>
          <w:i/>
          <w:iCs/>
          <w:sz w:val="24"/>
          <w:szCs w:val="24"/>
          <w:vertAlign w:val="superscript"/>
          <w:lang w:val="en-ZA"/>
        </w:rPr>
        <w:t>th</w:t>
      </w:r>
      <w:r w:rsidRPr="007A06B7">
        <w:rPr>
          <w:rFonts w:ascii="Times New Roman" w:hAnsi="Times New Roman" w:cs="Times New Roman"/>
          <w:i/>
          <w:iCs/>
          <w:sz w:val="24"/>
          <w:szCs w:val="24"/>
          <w:lang w:val="en-ZA"/>
        </w:rPr>
        <w:t xml:space="preserve"> Respondent to appear before this Honourable Court on a date and time to be determined by the Court, to show cause (if any) why she should not be held in contempt of court in that the said Respondent has refused and/or neglected to comply</w:t>
      </w:r>
      <w:r w:rsidR="0063136B" w:rsidRPr="007A06B7">
        <w:rPr>
          <w:rFonts w:ascii="Times New Roman" w:hAnsi="Times New Roman" w:cs="Times New Roman"/>
          <w:i/>
          <w:iCs/>
          <w:sz w:val="24"/>
          <w:szCs w:val="24"/>
          <w:lang w:val="en-ZA"/>
        </w:rPr>
        <w:t xml:space="preserve"> </w:t>
      </w:r>
      <w:r w:rsidRPr="007A06B7">
        <w:rPr>
          <w:rFonts w:ascii="Times New Roman" w:hAnsi="Times New Roman" w:cs="Times New Roman"/>
          <w:i/>
          <w:iCs/>
          <w:sz w:val="24"/>
          <w:szCs w:val="24"/>
          <w:lang w:val="en-ZA"/>
        </w:rPr>
        <w:t>with</w:t>
      </w:r>
      <w:r w:rsidR="0063136B" w:rsidRPr="007A06B7">
        <w:rPr>
          <w:rFonts w:ascii="Times New Roman" w:hAnsi="Times New Roman" w:cs="Times New Roman"/>
          <w:i/>
          <w:iCs/>
          <w:sz w:val="24"/>
          <w:szCs w:val="24"/>
          <w:lang w:val="en-ZA"/>
        </w:rPr>
        <w:t xml:space="preserve"> an order of this Honourable Court granted on the 13</w:t>
      </w:r>
      <w:r w:rsidR="0063136B" w:rsidRPr="007A06B7">
        <w:rPr>
          <w:rFonts w:ascii="Times New Roman" w:hAnsi="Times New Roman" w:cs="Times New Roman"/>
          <w:i/>
          <w:iCs/>
          <w:sz w:val="24"/>
          <w:szCs w:val="24"/>
          <w:vertAlign w:val="superscript"/>
          <w:lang w:val="en-ZA"/>
        </w:rPr>
        <w:t>th</w:t>
      </w:r>
      <w:r w:rsidR="0063136B" w:rsidRPr="007A06B7">
        <w:rPr>
          <w:rFonts w:ascii="Times New Roman" w:hAnsi="Times New Roman" w:cs="Times New Roman"/>
          <w:i/>
          <w:iCs/>
          <w:sz w:val="24"/>
          <w:szCs w:val="24"/>
          <w:lang w:val="en-ZA"/>
        </w:rPr>
        <w:t xml:space="preserve"> December 2021.</w:t>
      </w:r>
    </w:p>
    <w:p w14:paraId="07AF099E" w14:textId="77777777" w:rsidR="0063136B" w:rsidRPr="007A06B7" w:rsidRDefault="0063136B" w:rsidP="00FB744F">
      <w:pPr>
        <w:pStyle w:val="ListParagraph"/>
        <w:ind w:left="1757" w:right="1008"/>
        <w:rPr>
          <w:rFonts w:ascii="Times New Roman" w:hAnsi="Times New Roman" w:cs="Times New Roman"/>
          <w:i/>
          <w:iCs/>
          <w:sz w:val="24"/>
          <w:szCs w:val="24"/>
          <w:lang w:val="en-ZA"/>
        </w:rPr>
      </w:pPr>
    </w:p>
    <w:p w14:paraId="760061A6" w14:textId="2E066E3C" w:rsidR="0063136B" w:rsidRPr="007A06B7" w:rsidRDefault="0063136B" w:rsidP="00FB744F">
      <w:pPr>
        <w:pStyle w:val="ListParagraph"/>
        <w:numPr>
          <w:ilvl w:val="0"/>
          <w:numId w:val="1"/>
        </w:numPr>
        <w:spacing w:after="0" w:line="360" w:lineRule="auto"/>
        <w:ind w:left="1757" w:right="1008"/>
        <w:jc w:val="both"/>
        <w:rPr>
          <w:rFonts w:ascii="Times New Roman" w:hAnsi="Times New Roman" w:cs="Times New Roman"/>
          <w:i/>
          <w:iCs/>
          <w:sz w:val="24"/>
          <w:szCs w:val="24"/>
          <w:lang w:val="en-ZA"/>
        </w:rPr>
      </w:pPr>
      <w:r w:rsidRPr="007A06B7">
        <w:rPr>
          <w:rFonts w:ascii="Times New Roman" w:hAnsi="Times New Roman" w:cs="Times New Roman"/>
          <w:i/>
          <w:iCs/>
          <w:sz w:val="24"/>
          <w:szCs w:val="24"/>
          <w:lang w:val="en-ZA"/>
        </w:rPr>
        <w:t>Directing that, in the event of the 6</w:t>
      </w:r>
      <w:r w:rsidRPr="007A06B7">
        <w:rPr>
          <w:rFonts w:ascii="Times New Roman" w:hAnsi="Times New Roman" w:cs="Times New Roman"/>
          <w:i/>
          <w:iCs/>
          <w:sz w:val="24"/>
          <w:szCs w:val="24"/>
          <w:vertAlign w:val="superscript"/>
          <w:lang w:val="en-ZA"/>
        </w:rPr>
        <w:t>th</w:t>
      </w:r>
      <w:r w:rsidRPr="007A06B7">
        <w:rPr>
          <w:rFonts w:ascii="Times New Roman" w:hAnsi="Times New Roman" w:cs="Times New Roman"/>
          <w:i/>
          <w:iCs/>
          <w:sz w:val="24"/>
          <w:szCs w:val="24"/>
          <w:lang w:val="en-ZA"/>
        </w:rPr>
        <w:t xml:space="preserve"> Respondent not appearing before this Honourable Court against service of an order upon her in such regard, that the 8</w:t>
      </w:r>
      <w:r w:rsidRPr="007A06B7">
        <w:rPr>
          <w:rFonts w:ascii="Times New Roman" w:hAnsi="Times New Roman" w:cs="Times New Roman"/>
          <w:i/>
          <w:iCs/>
          <w:sz w:val="24"/>
          <w:szCs w:val="24"/>
          <w:vertAlign w:val="superscript"/>
          <w:lang w:val="en-ZA"/>
        </w:rPr>
        <w:t>th</w:t>
      </w:r>
      <w:r w:rsidRPr="007A06B7">
        <w:rPr>
          <w:rFonts w:ascii="Times New Roman" w:hAnsi="Times New Roman" w:cs="Times New Roman"/>
          <w:i/>
          <w:iCs/>
          <w:sz w:val="24"/>
          <w:szCs w:val="24"/>
          <w:lang w:val="en-ZA"/>
        </w:rPr>
        <w:t xml:space="preserve"> Respondent be and hereby directed and ordered through officers appointed in his/her discretion, to arrest the 6</w:t>
      </w:r>
      <w:r w:rsidRPr="007A06B7">
        <w:rPr>
          <w:rFonts w:ascii="Times New Roman" w:hAnsi="Times New Roman" w:cs="Times New Roman"/>
          <w:i/>
          <w:iCs/>
          <w:sz w:val="24"/>
          <w:szCs w:val="24"/>
          <w:vertAlign w:val="superscript"/>
          <w:lang w:val="en-ZA"/>
        </w:rPr>
        <w:t>th</w:t>
      </w:r>
      <w:r w:rsidRPr="007A06B7">
        <w:rPr>
          <w:rFonts w:ascii="Times New Roman" w:hAnsi="Times New Roman" w:cs="Times New Roman"/>
          <w:i/>
          <w:iCs/>
          <w:sz w:val="24"/>
          <w:szCs w:val="24"/>
          <w:lang w:val="en-ZA"/>
        </w:rPr>
        <w:t xml:space="preserve"> Respondent </w:t>
      </w:r>
      <w:r w:rsidR="001956A1" w:rsidRPr="007A06B7">
        <w:rPr>
          <w:rFonts w:ascii="Times New Roman" w:hAnsi="Times New Roman" w:cs="Times New Roman"/>
          <w:i/>
          <w:iCs/>
          <w:sz w:val="24"/>
          <w:szCs w:val="24"/>
          <w:lang w:val="en-ZA"/>
        </w:rPr>
        <w:t>and bring her before court to show cause as reflected above.</w:t>
      </w:r>
    </w:p>
    <w:p w14:paraId="24353868" w14:textId="77777777" w:rsidR="001956A1" w:rsidRPr="007A06B7" w:rsidRDefault="001956A1" w:rsidP="00FB744F">
      <w:pPr>
        <w:pStyle w:val="ListParagraph"/>
        <w:ind w:left="1757" w:right="1008"/>
        <w:rPr>
          <w:rFonts w:ascii="Times New Roman" w:hAnsi="Times New Roman" w:cs="Times New Roman"/>
          <w:i/>
          <w:iCs/>
          <w:sz w:val="24"/>
          <w:szCs w:val="24"/>
          <w:lang w:val="en-ZA"/>
        </w:rPr>
      </w:pPr>
    </w:p>
    <w:p w14:paraId="21804024" w14:textId="77777777" w:rsidR="001956A1" w:rsidRPr="007A06B7" w:rsidRDefault="001956A1" w:rsidP="00FB744F">
      <w:pPr>
        <w:pStyle w:val="ListParagraph"/>
        <w:numPr>
          <w:ilvl w:val="0"/>
          <w:numId w:val="1"/>
        </w:numPr>
        <w:spacing w:after="0" w:line="360" w:lineRule="auto"/>
        <w:ind w:left="1757" w:right="1008"/>
        <w:jc w:val="both"/>
        <w:rPr>
          <w:rFonts w:ascii="Times New Roman" w:hAnsi="Times New Roman" w:cs="Times New Roman"/>
          <w:i/>
          <w:iCs/>
          <w:sz w:val="24"/>
          <w:szCs w:val="24"/>
          <w:lang w:val="en-ZA"/>
        </w:rPr>
      </w:pPr>
      <w:r w:rsidRPr="007A06B7">
        <w:rPr>
          <w:rFonts w:ascii="Times New Roman" w:hAnsi="Times New Roman" w:cs="Times New Roman"/>
          <w:i/>
          <w:iCs/>
          <w:sz w:val="24"/>
          <w:szCs w:val="24"/>
          <w:lang w:val="en-ZA"/>
        </w:rPr>
        <w:t>Directing the 1</w:t>
      </w:r>
      <w:r w:rsidRPr="007A06B7">
        <w:rPr>
          <w:rFonts w:ascii="Times New Roman" w:hAnsi="Times New Roman" w:cs="Times New Roman"/>
          <w:i/>
          <w:iCs/>
          <w:sz w:val="24"/>
          <w:szCs w:val="24"/>
          <w:vertAlign w:val="superscript"/>
          <w:lang w:val="en-ZA"/>
        </w:rPr>
        <w:t>st</w:t>
      </w:r>
      <w:r w:rsidRPr="007A06B7">
        <w:rPr>
          <w:rFonts w:ascii="Times New Roman" w:hAnsi="Times New Roman" w:cs="Times New Roman"/>
          <w:i/>
          <w:iCs/>
          <w:sz w:val="24"/>
          <w:szCs w:val="24"/>
          <w:lang w:val="en-ZA"/>
        </w:rPr>
        <w:t xml:space="preserve"> up to the 6</w:t>
      </w:r>
      <w:r w:rsidRPr="007A06B7">
        <w:rPr>
          <w:rFonts w:ascii="Times New Roman" w:hAnsi="Times New Roman" w:cs="Times New Roman"/>
          <w:i/>
          <w:iCs/>
          <w:sz w:val="24"/>
          <w:szCs w:val="24"/>
          <w:vertAlign w:val="superscript"/>
          <w:lang w:val="en-ZA"/>
        </w:rPr>
        <w:t>th</w:t>
      </w:r>
      <w:r w:rsidRPr="007A06B7">
        <w:rPr>
          <w:rFonts w:ascii="Times New Roman" w:hAnsi="Times New Roman" w:cs="Times New Roman"/>
          <w:i/>
          <w:iCs/>
          <w:sz w:val="24"/>
          <w:szCs w:val="24"/>
          <w:lang w:val="en-ZA"/>
        </w:rPr>
        <w:t xml:space="preserve"> Respondents to, jointly and severally, and with immediate effect, refund or cause refund to the Applicants, monies for the months of December 2021, January and February 2022 that were illegally deducted from Applicant’s salaries after the service of court order prohibiting such deductions.</w:t>
      </w:r>
    </w:p>
    <w:p w14:paraId="50295CE6" w14:textId="77777777" w:rsidR="001956A1" w:rsidRPr="007A06B7" w:rsidRDefault="001956A1" w:rsidP="00FB744F">
      <w:pPr>
        <w:pStyle w:val="ListParagraph"/>
        <w:ind w:left="1757" w:right="1008"/>
        <w:rPr>
          <w:rFonts w:ascii="Times New Roman" w:hAnsi="Times New Roman" w:cs="Times New Roman"/>
          <w:i/>
          <w:iCs/>
          <w:sz w:val="24"/>
          <w:szCs w:val="24"/>
          <w:lang w:val="en-ZA"/>
        </w:rPr>
      </w:pPr>
    </w:p>
    <w:p w14:paraId="57FF4F47" w14:textId="7C89CC21" w:rsidR="00587172" w:rsidRDefault="001956A1" w:rsidP="00FB744F">
      <w:pPr>
        <w:pStyle w:val="ListParagraph"/>
        <w:numPr>
          <w:ilvl w:val="0"/>
          <w:numId w:val="1"/>
        </w:numPr>
        <w:spacing w:after="0" w:line="360" w:lineRule="auto"/>
        <w:ind w:left="1757" w:right="1008"/>
        <w:jc w:val="both"/>
        <w:rPr>
          <w:rFonts w:ascii="Times New Roman" w:hAnsi="Times New Roman" w:cs="Times New Roman"/>
          <w:i/>
          <w:iCs/>
          <w:sz w:val="24"/>
          <w:szCs w:val="24"/>
          <w:lang w:val="en-ZA"/>
        </w:rPr>
      </w:pPr>
      <w:r w:rsidRPr="007A06B7">
        <w:rPr>
          <w:rFonts w:ascii="Times New Roman" w:hAnsi="Times New Roman" w:cs="Times New Roman"/>
          <w:i/>
          <w:iCs/>
          <w:sz w:val="24"/>
          <w:szCs w:val="24"/>
          <w:lang w:val="en-ZA"/>
        </w:rPr>
        <w:lastRenderedPageBreak/>
        <w:t xml:space="preserve">Directing that in the event that the </w:t>
      </w:r>
      <w:r w:rsidR="00587172" w:rsidRPr="007A06B7">
        <w:rPr>
          <w:rFonts w:ascii="Times New Roman" w:hAnsi="Times New Roman" w:cs="Times New Roman"/>
          <w:i/>
          <w:iCs/>
          <w:sz w:val="24"/>
          <w:szCs w:val="24"/>
          <w:lang w:val="en-ZA"/>
        </w:rPr>
        <w:t>6</w:t>
      </w:r>
      <w:r w:rsidR="00587172" w:rsidRPr="007A06B7">
        <w:rPr>
          <w:rFonts w:ascii="Times New Roman" w:hAnsi="Times New Roman" w:cs="Times New Roman"/>
          <w:i/>
          <w:iCs/>
          <w:sz w:val="24"/>
          <w:szCs w:val="24"/>
          <w:vertAlign w:val="superscript"/>
          <w:lang w:val="en-ZA"/>
        </w:rPr>
        <w:t>th</w:t>
      </w:r>
      <w:r w:rsidR="00587172" w:rsidRPr="007A06B7">
        <w:rPr>
          <w:rFonts w:ascii="Times New Roman" w:hAnsi="Times New Roman" w:cs="Times New Roman"/>
          <w:i/>
          <w:iCs/>
          <w:sz w:val="24"/>
          <w:szCs w:val="24"/>
          <w:lang w:val="en-ZA"/>
        </w:rPr>
        <w:t xml:space="preserve"> Respondent does not give effect to the Interim Court </w:t>
      </w:r>
      <w:proofErr w:type="gramStart"/>
      <w:r w:rsidR="00587172" w:rsidRPr="007A06B7">
        <w:rPr>
          <w:rFonts w:ascii="Times New Roman" w:hAnsi="Times New Roman" w:cs="Times New Roman"/>
          <w:i/>
          <w:iCs/>
          <w:sz w:val="24"/>
          <w:szCs w:val="24"/>
          <w:lang w:val="en-ZA"/>
        </w:rPr>
        <w:t>Order,</w:t>
      </w:r>
      <w:proofErr w:type="gramEnd"/>
      <w:r w:rsidR="00587172" w:rsidRPr="007A06B7">
        <w:rPr>
          <w:rFonts w:ascii="Times New Roman" w:hAnsi="Times New Roman" w:cs="Times New Roman"/>
          <w:i/>
          <w:iCs/>
          <w:sz w:val="24"/>
          <w:szCs w:val="24"/>
          <w:lang w:val="en-ZA"/>
        </w:rPr>
        <w:t xml:space="preserve"> the said Respondent be committed to prison until she has purged the Contempt.</w:t>
      </w:r>
    </w:p>
    <w:p w14:paraId="50699588" w14:textId="77777777" w:rsidR="00FB744F" w:rsidRPr="00FB744F" w:rsidRDefault="00FB744F" w:rsidP="00FB744F">
      <w:pPr>
        <w:pStyle w:val="ListParagraph"/>
        <w:rPr>
          <w:rFonts w:ascii="Times New Roman" w:hAnsi="Times New Roman" w:cs="Times New Roman"/>
          <w:i/>
          <w:iCs/>
          <w:sz w:val="24"/>
          <w:szCs w:val="24"/>
          <w:lang w:val="en-ZA"/>
        </w:rPr>
      </w:pPr>
    </w:p>
    <w:p w14:paraId="78914D40" w14:textId="02CF250D" w:rsidR="00587172" w:rsidRDefault="007A06B7" w:rsidP="00FB744F">
      <w:pPr>
        <w:pStyle w:val="ListParagraph"/>
        <w:spacing w:after="0" w:line="360" w:lineRule="auto"/>
        <w:rPr>
          <w:rFonts w:ascii="Times New Roman" w:hAnsi="Times New Roman" w:cs="Times New Roman"/>
          <w:sz w:val="28"/>
          <w:szCs w:val="28"/>
          <w:lang w:val="en-ZA"/>
        </w:rPr>
      </w:pPr>
      <w:r w:rsidRPr="007A06B7">
        <w:rPr>
          <w:rFonts w:ascii="Times New Roman" w:hAnsi="Times New Roman" w:cs="Times New Roman"/>
          <w:sz w:val="28"/>
          <w:szCs w:val="28"/>
          <w:lang w:val="en-ZA"/>
        </w:rPr>
        <w:t>The applicant is opposed by both the Accountant General (as regards Contempt) and by 1</w:t>
      </w:r>
      <w:r w:rsidRPr="007A06B7">
        <w:rPr>
          <w:rFonts w:ascii="Times New Roman" w:hAnsi="Times New Roman" w:cs="Times New Roman"/>
          <w:sz w:val="28"/>
          <w:szCs w:val="28"/>
          <w:vertAlign w:val="superscript"/>
          <w:lang w:val="en-ZA"/>
        </w:rPr>
        <w:t>st</w:t>
      </w:r>
      <w:r w:rsidRPr="007A06B7">
        <w:rPr>
          <w:rFonts w:ascii="Times New Roman" w:hAnsi="Times New Roman" w:cs="Times New Roman"/>
          <w:sz w:val="28"/>
          <w:szCs w:val="28"/>
          <w:lang w:val="en-ZA"/>
        </w:rPr>
        <w:t xml:space="preserve"> to 5</w:t>
      </w:r>
      <w:r w:rsidRPr="007A06B7">
        <w:rPr>
          <w:rFonts w:ascii="Times New Roman" w:hAnsi="Times New Roman" w:cs="Times New Roman"/>
          <w:sz w:val="28"/>
          <w:szCs w:val="28"/>
          <w:vertAlign w:val="superscript"/>
          <w:lang w:val="en-ZA"/>
        </w:rPr>
        <w:t>th</w:t>
      </w:r>
      <w:r w:rsidRPr="007A06B7">
        <w:rPr>
          <w:rFonts w:ascii="Times New Roman" w:hAnsi="Times New Roman" w:cs="Times New Roman"/>
          <w:sz w:val="28"/>
          <w:szCs w:val="28"/>
          <w:lang w:val="en-ZA"/>
        </w:rPr>
        <w:t xml:space="preserve"> respondents as regards refunds.</w:t>
      </w:r>
    </w:p>
    <w:p w14:paraId="5FCD20F0" w14:textId="77777777" w:rsidR="00FB744F" w:rsidRPr="00587172" w:rsidRDefault="00FB744F" w:rsidP="00FB744F">
      <w:pPr>
        <w:pStyle w:val="ListParagraph"/>
        <w:spacing w:after="0" w:line="360" w:lineRule="auto"/>
        <w:rPr>
          <w:rFonts w:ascii="Times New Roman" w:hAnsi="Times New Roman" w:cs="Times New Roman"/>
          <w:sz w:val="28"/>
          <w:szCs w:val="28"/>
          <w:lang w:val="en-ZA"/>
        </w:rPr>
      </w:pPr>
    </w:p>
    <w:p w14:paraId="47BFCD56" w14:textId="165EC905" w:rsidR="001956A1" w:rsidRDefault="00587172" w:rsidP="0058717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001956A1" w:rsidRPr="00587172">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Parties and background facts</w:t>
      </w:r>
    </w:p>
    <w:p w14:paraId="4D5286C1" w14:textId="5A33DA94" w:rsidR="00587172" w:rsidRDefault="007A06B7" w:rsidP="00190B33">
      <w:pPr>
        <w:spacing w:after="0" w:line="360" w:lineRule="auto"/>
        <w:ind w:left="720"/>
        <w:jc w:val="both"/>
        <w:rPr>
          <w:rFonts w:ascii="Times New Roman" w:hAnsi="Times New Roman" w:cs="Times New Roman"/>
          <w:sz w:val="28"/>
          <w:szCs w:val="28"/>
          <w:lang w:val="en-ZA"/>
        </w:rPr>
      </w:pPr>
      <w:r w:rsidRPr="007A06B7">
        <w:rPr>
          <w:rFonts w:ascii="Times New Roman" w:hAnsi="Times New Roman" w:cs="Times New Roman"/>
          <w:sz w:val="28"/>
          <w:szCs w:val="28"/>
          <w:lang w:val="en-ZA"/>
        </w:rPr>
        <w:t>The applicants are civil servants who are employed in different Government Ministries.  They had applied for and were advanced loans by the 1</w:t>
      </w:r>
      <w:r w:rsidRPr="007A06B7">
        <w:rPr>
          <w:rFonts w:ascii="Times New Roman" w:hAnsi="Times New Roman" w:cs="Times New Roman"/>
          <w:sz w:val="28"/>
          <w:szCs w:val="28"/>
          <w:vertAlign w:val="superscript"/>
          <w:lang w:val="en-ZA"/>
        </w:rPr>
        <w:t>st</w:t>
      </w:r>
      <w:r w:rsidRPr="007A06B7">
        <w:rPr>
          <w:rFonts w:ascii="Times New Roman" w:hAnsi="Times New Roman" w:cs="Times New Roman"/>
          <w:sz w:val="28"/>
          <w:szCs w:val="28"/>
          <w:lang w:val="en-ZA"/>
        </w:rPr>
        <w:t xml:space="preserve"> to 5</w:t>
      </w:r>
      <w:r w:rsidRPr="007A06B7">
        <w:rPr>
          <w:rFonts w:ascii="Times New Roman" w:hAnsi="Times New Roman" w:cs="Times New Roman"/>
          <w:sz w:val="28"/>
          <w:szCs w:val="28"/>
          <w:vertAlign w:val="superscript"/>
          <w:lang w:val="en-ZA"/>
        </w:rPr>
        <w:t>th</w:t>
      </w:r>
      <w:r w:rsidRPr="007A06B7">
        <w:rPr>
          <w:rFonts w:ascii="Times New Roman" w:hAnsi="Times New Roman" w:cs="Times New Roman"/>
          <w:sz w:val="28"/>
          <w:szCs w:val="28"/>
          <w:lang w:val="en-ZA"/>
        </w:rPr>
        <w:t xml:space="preserve"> Respondents Companies, who are </w:t>
      </w:r>
      <w:r>
        <w:rPr>
          <w:rFonts w:ascii="Times New Roman" w:hAnsi="Times New Roman" w:cs="Times New Roman"/>
          <w:sz w:val="28"/>
          <w:szCs w:val="28"/>
          <w:lang w:val="en-ZA"/>
        </w:rPr>
        <w:t xml:space="preserve">licenced </w:t>
      </w:r>
      <w:r w:rsidRPr="007A06B7">
        <w:rPr>
          <w:rFonts w:ascii="Times New Roman" w:hAnsi="Times New Roman" w:cs="Times New Roman"/>
          <w:sz w:val="28"/>
          <w:szCs w:val="28"/>
          <w:lang w:val="en-ZA"/>
        </w:rPr>
        <w:t>micro-lenders.</w:t>
      </w:r>
      <w:r>
        <w:rPr>
          <w:rFonts w:ascii="Times New Roman" w:hAnsi="Times New Roman" w:cs="Times New Roman"/>
          <w:sz w:val="28"/>
          <w:szCs w:val="28"/>
          <w:lang w:val="en-ZA"/>
        </w:rPr>
        <w:t xml:space="preserve"> </w:t>
      </w:r>
      <w:r w:rsidR="00190B33">
        <w:rPr>
          <w:rFonts w:ascii="Times New Roman" w:hAnsi="Times New Roman" w:cs="Times New Roman"/>
          <w:sz w:val="28"/>
          <w:szCs w:val="28"/>
          <w:lang w:val="en-ZA"/>
        </w:rPr>
        <w:t>The 6</w:t>
      </w:r>
      <w:r w:rsidR="00190B33" w:rsidRPr="00190B33">
        <w:rPr>
          <w:rFonts w:ascii="Times New Roman" w:hAnsi="Times New Roman" w:cs="Times New Roman"/>
          <w:sz w:val="28"/>
          <w:szCs w:val="28"/>
          <w:vertAlign w:val="superscript"/>
          <w:lang w:val="en-ZA"/>
        </w:rPr>
        <w:t>th</w:t>
      </w:r>
      <w:r w:rsidR="00190B33">
        <w:rPr>
          <w:rFonts w:ascii="Times New Roman" w:hAnsi="Times New Roman" w:cs="Times New Roman"/>
          <w:sz w:val="28"/>
          <w:szCs w:val="28"/>
          <w:lang w:val="en-ZA"/>
        </w:rPr>
        <w:t xml:space="preserve"> Respondent is the Accountant General. The genesis of this matter and the main matter which has already been disposed of, </w:t>
      </w:r>
      <w:r>
        <w:rPr>
          <w:rFonts w:ascii="Times New Roman" w:hAnsi="Times New Roman" w:cs="Times New Roman"/>
          <w:sz w:val="28"/>
          <w:szCs w:val="28"/>
          <w:lang w:val="en-ZA"/>
        </w:rPr>
        <w:t>are</w:t>
      </w:r>
      <w:r w:rsidR="00190B33">
        <w:rPr>
          <w:rFonts w:ascii="Times New Roman" w:hAnsi="Times New Roman" w:cs="Times New Roman"/>
          <w:sz w:val="28"/>
          <w:szCs w:val="28"/>
          <w:lang w:val="en-ZA"/>
        </w:rPr>
        <w:t xml:space="preserve"> the complaint</w:t>
      </w:r>
      <w:r>
        <w:rPr>
          <w:rFonts w:ascii="Times New Roman" w:hAnsi="Times New Roman" w:cs="Times New Roman"/>
          <w:sz w:val="28"/>
          <w:szCs w:val="28"/>
          <w:lang w:val="en-ZA"/>
        </w:rPr>
        <w:t>s</w:t>
      </w:r>
      <w:r w:rsidR="00190B33">
        <w:rPr>
          <w:rFonts w:ascii="Times New Roman" w:hAnsi="Times New Roman" w:cs="Times New Roman"/>
          <w:sz w:val="28"/>
          <w:szCs w:val="28"/>
          <w:lang w:val="en-ZA"/>
        </w:rPr>
        <w:t xml:space="preserve"> made by the applicants to the 8</w:t>
      </w:r>
      <w:r w:rsidR="00190B33" w:rsidRPr="00190B33">
        <w:rPr>
          <w:rFonts w:ascii="Times New Roman" w:hAnsi="Times New Roman" w:cs="Times New Roman"/>
          <w:sz w:val="28"/>
          <w:szCs w:val="28"/>
          <w:vertAlign w:val="superscript"/>
          <w:lang w:val="en-ZA"/>
        </w:rPr>
        <w:t>th</w:t>
      </w:r>
      <w:r w:rsidR="00190B33">
        <w:rPr>
          <w:rFonts w:ascii="Times New Roman" w:hAnsi="Times New Roman" w:cs="Times New Roman"/>
          <w:sz w:val="28"/>
          <w:szCs w:val="28"/>
          <w:lang w:val="en-ZA"/>
        </w:rPr>
        <w:t xml:space="preserve"> Respondent</w:t>
      </w:r>
      <w:r>
        <w:rPr>
          <w:rFonts w:ascii="Times New Roman" w:hAnsi="Times New Roman" w:cs="Times New Roman"/>
          <w:sz w:val="28"/>
          <w:szCs w:val="28"/>
          <w:lang w:val="en-ZA"/>
        </w:rPr>
        <w:t xml:space="preserve"> ( the Central Bank, as the regulator)</w:t>
      </w:r>
      <w:r w:rsidR="00190B33">
        <w:rPr>
          <w:rFonts w:ascii="Times New Roman" w:hAnsi="Times New Roman" w:cs="Times New Roman"/>
          <w:sz w:val="28"/>
          <w:szCs w:val="28"/>
          <w:lang w:val="en-ZA"/>
        </w:rPr>
        <w:t xml:space="preserve"> on the 18</w:t>
      </w:r>
      <w:r w:rsidR="001213A1">
        <w:rPr>
          <w:rFonts w:ascii="Times New Roman" w:hAnsi="Times New Roman" w:cs="Times New Roman"/>
          <w:sz w:val="28"/>
          <w:szCs w:val="28"/>
          <w:lang w:val="en-ZA"/>
        </w:rPr>
        <w:t xml:space="preserve"> August 2021, alleging various </w:t>
      </w:r>
      <w:r>
        <w:rPr>
          <w:rFonts w:ascii="Times New Roman" w:hAnsi="Times New Roman" w:cs="Times New Roman"/>
          <w:sz w:val="28"/>
          <w:szCs w:val="28"/>
          <w:lang w:val="en-ZA"/>
        </w:rPr>
        <w:t>transgressions</w:t>
      </w:r>
      <w:r w:rsidR="001213A1">
        <w:rPr>
          <w:rFonts w:ascii="Times New Roman" w:hAnsi="Times New Roman" w:cs="Times New Roman"/>
          <w:sz w:val="28"/>
          <w:szCs w:val="28"/>
          <w:lang w:val="en-ZA"/>
        </w:rPr>
        <w:t xml:space="preserve"> of Micro-Finance Regulations by the 1</w:t>
      </w:r>
      <w:r w:rsidR="001213A1" w:rsidRPr="001213A1">
        <w:rPr>
          <w:rFonts w:ascii="Times New Roman" w:hAnsi="Times New Roman" w:cs="Times New Roman"/>
          <w:sz w:val="28"/>
          <w:szCs w:val="28"/>
          <w:vertAlign w:val="superscript"/>
          <w:lang w:val="en-ZA"/>
        </w:rPr>
        <w:t>st</w:t>
      </w:r>
      <w:r w:rsidR="001213A1">
        <w:rPr>
          <w:rFonts w:ascii="Times New Roman" w:hAnsi="Times New Roman" w:cs="Times New Roman"/>
          <w:sz w:val="28"/>
          <w:szCs w:val="28"/>
          <w:lang w:val="en-ZA"/>
        </w:rPr>
        <w:t xml:space="preserve"> to 5</w:t>
      </w:r>
      <w:r w:rsidR="001213A1" w:rsidRPr="001213A1">
        <w:rPr>
          <w:rFonts w:ascii="Times New Roman" w:hAnsi="Times New Roman" w:cs="Times New Roman"/>
          <w:sz w:val="28"/>
          <w:szCs w:val="28"/>
          <w:vertAlign w:val="superscript"/>
          <w:lang w:val="en-ZA"/>
        </w:rPr>
        <w:t>th</w:t>
      </w:r>
      <w:r w:rsidR="001213A1">
        <w:rPr>
          <w:rFonts w:ascii="Times New Roman" w:hAnsi="Times New Roman" w:cs="Times New Roman"/>
          <w:sz w:val="28"/>
          <w:szCs w:val="28"/>
          <w:lang w:val="en-ZA"/>
        </w:rPr>
        <w:t xml:space="preserve"> Respondents.  The 8</w:t>
      </w:r>
      <w:r w:rsidR="001213A1" w:rsidRPr="001213A1">
        <w:rPr>
          <w:rFonts w:ascii="Times New Roman" w:hAnsi="Times New Roman" w:cs="Times New Roman"/>
          <w:sz w:val="28"/>
          <w:szCs w:val="28"/>
          <w:vertAlign w:val="superscript"/>
          <w:lang w:val="en-ZA"/>
        </w:rPr>
        <w:t>th</w:t>
      </w:r>
      <w:r w:rsidR="001213A1">
        <w:rPr>
          <w:rFonts w:ascii="Times New Roman" w:hAnsi="Times New Roman" w:cs="Times New Roman"/>
          <w:sz w:val="28"/>
          <w:szCs w:val="28"/>
          <w:lang w:val="en-ZA"/>
        </w:rPr>
        <w:t xml:space="preserve"> Respondent was approached</w:t>
      </w:r>
      <w:r w:rsidR="00715A9F">
        <w:rPr>
          <w:rFonts w:ascii="Times New Roman" w:hAnsi="Times New Roman" w:cs="Times New Roman"/>
          <w:sz w:val="28"/>
          <w:szCs w:val="28"/>
          <w:lang w:val="en-ZA"/>
        </w:rPr>
        <w:t xml:space="preserve"> as the supervisor of financial and other licenced institutions, in terms</w:t>
      </w:r>
      <w:r>
        <w:rPr>
          <w:rFonts w:ascii="Times New Roman" w:hAnsi="Times New Roman" w:cs="Times New Roman"/>
          <w:sz w:val="28"/>
          <w:szCs w:val="28"/>
          <w:lang w:val="en-ZA"/>
        </w:rPr>
        <w:t xml:space="preserve"> section 49</w:t>
      </w:r>
      <w:r w:rsidR="00715A9F">
        <w:rPr>
          <w:rFonts w:ascii="Times New Roman" w:hAnsi="Times New Roman" w:cs="Times New Roman"/>
          <w:sz w:val="28"/>
          <w:szCs w:val="28"/>
          <w:lang w:val="en-ZA"/>
        </w:rPr>
        <w:t xml:space="preserve"> of the Financial Institutions Act 201</w:t>
      </w:r>
      <w:r>
        <w:rPr>
          <w:rFonts w:ascii="Times New Roman" w:hAnsi="Times New Roman" w:cs="Times New Roman"/>
          <w:sz w:val="28"/>
          <w:szCs w:val="28"/>
          <w:lang w:val="en-ZA"/>
        </w:rPr>
        <w:t>2</w:t>
      </w:r>
      <w:r w:rsidR="00715A9F">
        <w:rPr>
          <w:rFonts w:ascii="Times New Roman" w:hAnsi="Times New Roman" w:cs="Times New Roman"/>
          <w:sz w:val="28"/>
          <w:szCs w:val="28"/>
          <w:lang w:val="en-ZA"/>
        </w:rPr>
        <w:t>.  As the 8</w:t>
      </w:r>
      <w:r w:rsidR="00715A9F" w:rsidRPr="00715A9F">
        <w:rPr>
          <w:rFonts w:ascii="Times New Roman" w:hAnsi="Times New Roman" w:cs="Times New Roman"/>
          <w:sz w:val="28"/>
          <w:szCs w:val="28"/>
          <w:vertAlign w:val="superscript"/>
          <w:lang w:val="en-ZA"/>
        </w:rPr>
        <w:t>th</w:t>
      </w:r>
      <w:r w:rsidR="00715A9F">
        <w:rPr>
          <w:rFonts w:ascii="Times New Roman" w:hAnsi="Times New Roman" w:cs="Times New Roman"/>
          <w:sz w:val="28"/>
          <w:szCs w:val="28"/>
          <w:lang w:val="en-ZA"/>
        </w:rPr>
        <w:t xml:space="preserve"> Respondent could not issue the report of her investigations into the alleged transgressions on time, the applicant approached this court (the main application) on the 26 August 2021.  The main relief which was sought in that matter was an interim interdict preventing the Accountant-General from processing deductions from the applicants’ salaries in favour of the 1</w:t>
      </w:r>
      <w:r w:rsidR="00715A9F" w:rsidRPr="00715A9F">
        <w:rPr>
          <w:rFonts w:ascii="Times New Roman" w:hAnsi="Times New Roman" w:cs="Times New Roman"/>
          <w:sz w:val="28"/>
          <w:szCs w:val="28"/>
          <w:vertAlign w:val="superscript"/>
          <w:lang w:val="en-ZA"/>
        </w:rPr>
        <w:t>st</w:t>
      </w:r>
      <w:r w:rsidR="00715A9F">
        <w:rPr>
          <w:rFonts w:ascii="Times New Roman" w:hAnsi="Times New Roman" w:cs="Times New Roman"/>
          <w:sz w:val="28"/>
          <w:szCs w:val="28"/>
          <w:lang w:val="en-ZA"/>
        </w:rPr>
        <w:t xml:space="preserve"> to 5</w:t>
      </w:r>
      <w:r w:rsidR="00715A9F" w:rsidRPr="00715A9F">
        <w:rPr>
          <w:rFonts w:ascii="Times New Roman" w:hAnsi="Times New Roman" w:cs="Times New Roman"/>
          <w:sz w:val="28"/>
          <w:szCs w:val="28"/>
          <w:vertAlign w:val="superscript"/>
          <w:lang w:val="en-ZA"/>
        </w:rPr>
        <w:t>th</w:t>
      </w:r>
      <w:r w:rsidR="00715A9F">
        <w:rPr>
          <w:rFonts w:ascii="Times New Roman" w:hAnsi="Times New Roman" w:cs="Times New Roman"/>
          <w:sz w:val="28"/>
          <w:szCs w:val="28"/>
          <w:lang w:val="en-ZA"/>
        </w:rPr>
        <w:t xml:space="preserve"> respondents pending the determination of the complaint made to the Central Bank.</w:t>
      </w:r>
    </w:p>
    <w:p w14:paraId="15A347A7" w14:textId="340080CD" w:rsidR="00715A9F" w:rsidRDefault="00715A9F" w:rsidP="00715A9F">
      <w:pPr>
        <w:spacing w:after="0" w:line="360" w:lineRule="auto"/>
        <w:jc w:val="both"/>
        <w:rPr>
          <w:rFonts w:ascii="Times New Roman" w:hAnsi="Times New Roman" w:cs="Times New Roman"/>
          <w:sz w:val="28"/>
          <w:szCs w:val="28"/>
          <w:lang w:val="en-ZA"/>
        </w:rPr>
      </w:pPr>
    </w:p>
    <w:p w14:paraId="1259F59E" w14:textId="6CC71C90" w:rsidR="00715A9F" w:rsidRDefault="00715A9F" w:rsidP="00715A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After hearing arguments, </w:t>
      </w:r>
      <w:proofErr w:type="spellStart"/>
      <w:r>
        <w:rPr>
          <w:rFonts w:ascii="Times New Roman" w:hAnsi="Times New Roman" w:cs="Times New Roman"/>
          <w:sz w:val="28"/>
          <w:szCs w:val="28"/>
          <w:lang w:val="en-ZA"/>
        </w:rPr>
        <w:t>Mahase</w:t>
      </w:r>
      <w:proofErr w:type="spellEnd"/>
      <w:r>
        <w:rPr>
          <w:rFonts w:ascii="Times New Roman" w:hAnsi="Times New Roman" w:cs="Times New Roman"/>
          <w:sz w:val="28"/>
          <w:szCs w:val="28"/>
          <w:lang w:val="en-ZA"/>
        </w:rPr>
        <w:t xml:space="preserve"> J., granted an interim order in terms sought by the applicants with the </w:t>
      </w:r>
      <w:r w:rsidRPr="007A06B7">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returnable on the 19 January 2022.  On 19 </w:t>
      </w:r>
      <w:r>
        <w:rPr>
          <w:rFonts w:ascii="Times New Roman" w:hAnsi="Times New Roman" w:cs="Times New Roman"/>
          <w:sz w:val="28"/>
          <w:szCs w:val="28"/>
          <w:lang w:val="en-ZA"/>
        </w:rPr>
        <w:lastRenderedPageBreak/>
        <w:t xml:space="preserve">January 2022 the </w:t>
      </w:r>
      <w:r w:rsidRPr="007A06B7">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was extended to 1 March </w:t>
      </w:r>
      <w:r w:rsidR="0091510C">
        <w:rPr>
          <w:rFonts w:ascii="Times New Roman" w:hAnsi="Times New Roman" w:cs="Times New Roman"/>
          <w:sz w:val="28"/>
          <w:szCs w:val="28"/>
          <w:lang w:val="en-ZA"/>
        </w:rPr>
        <w:t xml:space="preserve">2022 pending the completion of investigations by the Central Bank and provision of the report.  The investigations were completed, and the said report was filed in this court on </w:t>
      </w:r>
      <w:r w:rsidR="007A06B7">
        <w:rPr>
          <w:rFonts w:ascii="Times New Roman" w:hAnsi="Times New Roman" w:cs="Times New Roman"/>
          <w:sz w:val="28"/>
          <w:szCs w:val="28"/>
          <w:lang w:val="en-ZA"/>
        </w:rPr>
        <w:t>0</w:t>
      </w:r>
      <w:r w:rsidR="0091510C">
        <w:rPr>
          <w:rFonts w:ascii="Times New Roman" w:hAnsi="Times New Roman" w:cs="Times New Roman"/>
          <w:sz w:val="28"/>
          <w:szCs w:val="28"/>
          <w:lang w:val="en-ZA"/>
        </w:rPr>
        <w:t>1 March 2022.  The matter</w:t>
      </w:r>
      <w:r w:rsidR="00097F16">
        <w:rPr>
          <w:rFonts w:ascii="Times New Roman" w:hAnsi="Times New Roman" w:cs="Times New Roman"/>
          <w:sz w:val="28"/>
          <w:szCs w:val="28"/>
          <w:lang w:val="en-ZA"/>
        </w:rPr>
        <w:t xml:space="preserve"> was then adjourned to the 22 March 2022 in order to give the parties an opportunity to consider the report and to form an opinion on the future conduct of the matter.  During the currency of the interim interdict, the Accountant General did not stop the deductions, with the result that </w:t>
      </w:r>
      <w:r w:rsidR="00724CEF">
        <w:rPr>
          <w:rFonts w:ascii="Times New Roman" w:hAnsi="Times New Roman" w:cs="Times New Roman"/>
          <w:sz w:val="28"/>
          <w:szCs w:val="28"/>
          <w:lang w:val="en-ZA"/>
        </w:rPr>
        <w:t xml:space="preserve">deductions for the months in questions were made.  The </w:t>
      </w:r>
      <w:r w:rsidR="00724CEF" w:rsidRPr="00B969C8">
        <w:rPr>
          <w:rFonts w:ascii="Times New Roman" w:hAnsi="Times New Roman" w:cs="Times New Roman"/>
          <w:i/>
          <w:iCs/>
          <w:sz w:val="28"/>
          <w:szCs w:val="28"/>
          <w:lang w:val="en-ZA"/>
        </w:rPr>
        <w:t>rule nisi</w:t>
      </w:r>
      <w:r w:rsidR="00724CEF">
        <w:rPr>
          <w:rFonts w:ascii="Times New Roman" w:hAnsi="Times New Roman" w:cs="Times New Roman"/>
          <w:sz w:val="28"/>
          <w:szCs w:val="28"/>
          <w:lang w:val="en-ZA"/>
        </w:rPr>
        <w:t xml:space="preserve"> was discharged by this court on the 13 April 2022, with written reasons being rendered on the 09 June 2022.  It is these deductions that the applicants are seeking to recover in this matter</w:t>
      </w:r>
      <w:r w:rsidR="00B969C8">
        <w:rPr>
          <w:rFonts w:ascii="Times New Roman" w:hAnsi="Times New Roman" w:cs="Times New Roman"/>
          <w:sz w:val="28"/>
          <w:szCs w:val="28"/>
          <w:lang w:val="en-ZA"/>
        </w:rPr>
        <w:t xml:space="preserve"> in addition a relief that the Accountant- General be held in contempt of court.</w:t>
      </w:r>
    </w:p>
    <w:p w14:paraId="61C180C1" w14:textId="5775462D" w:rsidR="00724CEF" w:rsidRDefault="00724CEF" w:rsidP="00715A9F">
      <w:pPr>
        <w:spacing w:after="0" w:line="360" w:lineRule="auto"/>
        <w:ind w:left="720" w:hanging="720"/>
        <w:jc w:val="both"/>
        <w:rPr>
          <w:rFonts w:ascii="Times New Roman" w:hAnsi="Times New Roman" w:cs="Times New Roman"/>
          <w:sz w:val="28"/>
          <w:szCs w:val="28"/>
          <w:lang w:val="en-ZA"/>
        </w:rPr>
      </w:pPr>
    </w:p>
    <w:p w14:paraId="3360CD89" w14:textId="132C612E" w:rsidR="005C048E" w:rsidRDefault="00724CEF" w:rsidP="00715A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Before I go any further, it is important that the context in which money is deducted from the government employee salaries following their applications for micro-loans.  The Accountant-General, in terms of Regulation 47 of Treasury Regulations 2014 (as amended in 2017)</w:t>
      </w:r>
      <w:r w:rsidR="0050740C">
        <w:rPr>
          <w:rFonts w:ascii="Times New Roman" w:hAnsi="Times New Roman" w:cs="Times New Roman"/>
          <w:sz w:val="28"/>
          <w:szCs w:val="28"/>
          <w:lang w:val="en-ZA"/>
        </w:rPr>
        <w:t xml:space="preserve"> is authorised</w:t>
      </w:r>
      <w:r>
        <w:rPr>
          <w:rFonts w:ascii="Times New Roman" w:hAnsi="Times New Roman" w:cs="Times New Roman"/>
          <w:sz w:val="28"/>
          <w:szCs w:val="28"/>
          <w:lang w:val="en-ZA"/>
        </w:rPr>
        <w:t xml:space="preserve"> to make deductions from public officers’ salaries</w:t>
      </w:r>
      <w:r w:rsidR="0050740C">
        <w:rPr>
          <w:rFonts w:ascii="Times New Roman" w:hAnsi="Times New Roman" w:cs="Times New Roman"/>
          <w:sz w:val="28"/>
          <w:szCs w:val="28"/>
          <w:lang w:val="en-ZA"/>
        </w:rPr>
        <w:t xml:space="preserve"> in favour</w:t>
      </w:r>
      <w:r>
        <w:rPr>
          <w:rFonts w:ascii="Times New Roman" w:hAnsi="Times New Roman" w:cs="Times New Roman"/>
          <w:sz w:val="28"/>
          <w:szCs w:val="28"/>
          <w:lang w:val="en-ZA"/>
        </w:rPr>
        <w:t xml:space="preserve"> </w:t>
      </w:r>
      <w:r w:rsidR="0050740C">
        <w:rPr>
          <w:rFonts w:ascii="Times New Roman" w:hAnsi="Times New Roman" w:cs="Times New Roman"/>
          <w:sz w:val="28"/>
          <w:szCs w:val="28"/>
          <w:lang w:val="en-ZA"/>
        </w:rPr>
        <w:t>of</w:t>
      </w:r>
      <w:r>
        <w:rPr>
          <w:rFonts w:ascii="Times New Roman" w:hAnsi="Times New Roman" w:cs="Times New Roman"/>
          <w:sz w:val="28"/>
          <w:szCs w:val="28"/>
          <w:lang w:val="en-ZA"/>
        </w:rPr>
        <w:t xml:space="preserve"> th</w:t>
      </w:r>
      <w:r w:rsidR="0050740C">
        <w:rPr>
          <w:rFonts w:ascii="Times New Roman" w:hAnsi="Times New Roman" w:cs="Times New Roman"/>
          <w:sz w:val="28"/>
          <w:szCs w:val="28"/>
          <w:lang w:val="en-ZA"/>
        </w:rPr>
        <w:t>ird</w:t>
      </w:r>
      <w:r>
        <w:rPr>
          <w:rFonts w:ascii="Times New Roman" w:hAnsi="Times New Roman" w:cs="Times New Roman"/>
          <w:sz w:val="28"/>
          <w:szCs w:val="28"/>
          <w:lang w:val="en-ZA"/>
        </w:rPr>
        <w:t xml:space="preserve"> parties such as 1</w:t>
      </w:r>
      <w:r w:rsidRPr="00724CE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724CE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But the</w:t>
      </w:r>
      <w:r w:rsidR="0050740C">
        <w:rPr>
          <w:rFonts w:ascii="Times New Roman" w:hAnsi="Times New Roman" w:cs="Times New Roman"/>
          <w:sz w:val="28"/>
          <w:szCs w:val="28"/>
          <w:lang w:val="en-ZA"/>
        </w:rPr>
        <w:t>re is a condition</w:t>
      </w:r>
      <w:r>
        <w:rPr>
          <w:rFonts w:ascii="Times New Roman" w:hAnsi="Times New Roman" w:cs="Times New Roman"/>
          <w:sz w:val="28"/>
          <w:szCs w:val="28"/>
          <w:lang w:val="en-ZA"/>
        </w:rPr>
        <w:t xml:space="preserve"> attached</w:t>
      </w:r>
      <w:r w:rsidR="0050740C">
        <w:rPr>
          <w:rFonts w:ascii="Times New Roman" w:hAnsi="Times New Roman" w:cs="Times New Roman"/>
          <w:sz w:val="28"/>
          <w:szCs w:val="28"/>
          <w:lang w:val="en-ZA"/>
        </w:rPr>
        <w:t xml:space="preserve"> for the exercise of such power.</w:t>
      </w:r>
      <w:r>
        <w:rPr>
          <w:rFonts w:ascii="Times New Roman" w:hAnsi="Times New Roman" w:cs="Times New Roman"/>
          <w:sz w:val="28"/>
          <w:szCs w:val="28"/>
          <w:lang w:val="en-ZA"/>
        </w:rPr>
        <w:t xml:space="preserve"> </w:t>
      </w:r>
      <w:r w:rsidR="0050740C">
        <w:rPr>
          <w:rFonts w:ascii="Times New Roman" w:hAnsi="Times New Roman" w:cs="Times New Roman"/>
          <w:sz w:val="28"/>
          <w:szCs w:val="28"/>
          <w:lang w:val="en-ZA"/>
        </w:rPr>
        <w:t>I</w:t>
      </w:r>
      <w:r>
        <w:rPr>
          <w:rFonts w:ascii="Times New Roman" w:hAnsi="Times New Roman" w:cs="Times New Roman"/>
          <w:sz w:val="28"/>
          <w:szCs w:val="28"/>
          <w:lang w:val="en-ZA"/>
        </w:rPr>
        <w:t>n</w:t>
      </w:r>
      <w:r w:rsidR="005C048E">
        <w:rPr>
          <w:rFonts w:ascii="Times New Roman" w:hAnsi="Times New Roman" w:cs="Times New Roman"/>
          <w:sz w:val="28"/>
          <w:szCs w:val="28"/>
          <w:lang w:val="en-ZA"/>
        </w:rPr>
        <w:t xml:space="preserve"> terms of regulation 47 (2</w:t>
      </w:r>
      <w:r w:rsidR="00D978FF">
        <w:rPr>
          <w:rFonts w:ascii="Times New Roman" w:hAnsi="Times New Roman" w:cs="Times New Roman"/>
          <w:sz w:val="28"/>
          <w:szCs w:val="28"/>
          <w:lang w:val="en-ZA"/>
        </w:rPr>
        <w:t>), the</w:t>
      </w:r>
      <w:r w:rsidR="005C048E">
        <w:rPr>
          <w:rFonts w:ascii="Times New Roman" w:hAnsi="Times New Roman" w:cs="Times New Roman"/>
          <w:sz w:val="28"/>
          <w:szCs w:val="28"/>
          <w:lang w:val="en-ZA"/>
        </w:rPr>
        <w:t xml:space="preserve"> Accountant-General shall not process a deduction for third parties if the net amount that will become due to the employee after the deduction is less than 30% of the </w:t>
      </w:r>
      <w:r w:rsidR="0050740C">
        <w:rPr>
          <w:rFonts w:ascii="Times New Roman" w:hAnsi="Times New Roman" w:cs="Times New Roman"/>
          <w:sz w:val="28"/>
          <w:szCs w:val="28"/>
          <w:lang w:val="en-ZA"/>
        </w:rPr>
        <w:t xml:space="preserve">his or her </w:t>
      </w:r>
      <w:r w:rsidR="005C048E">
        <w:rPr>
          <w:rFonts w:ascii="Times New Roman" w:hAnsi="Times New Roman" w:cs="Times New Roman"/>
          <w:sz w:val="28"/>
          <w:szCs w:val="28"/>
          <w:lang w:val="en-ZA"/>
        </w:rPr>
        <w:t>gross salary.</w:t>
      </w:r>
    </w:p>
    <w:p w14:paraId="2D37F682" w14:textId="77777777" w:rsidR="005C048E" w:rsidRDefault="005C048E" w:rsidP="005C048E">
      <w:pPr>
        <w:spacing w:after="0" w:line="360" w:lineRule="auto"/>
        <w:jc w:val="both"/>
        <w:rPr>
          <w:rFonts w:ascii="Times New Roman" w:hAnsi="Times New Roman" w:cs="Times New Roman"/>
          <w:sz w:val="28"/>
          <w:szCs w:val="28"/>
          <w:lang w:val="en-ZA"/>
        </w:rPr>
      </w:pPr>
    </w:p>
    <w:p w14:paraId="491212ED" w14:textId="7E173C14" w:rsidR="00724CEF" w:rsidRDefault="005C048E" w:rsidP="00A746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sidR="00A746D6">
        <w:rPr>
          <w:rFonts w:ascii="Times New Roman" w:hAnsi="Times New Roman" w:cs="Times New Roman"/>
          <w:sz w:val="28"/>
          <w:szCs w:val="28"/>
          <w:lang w:val="en-ZA"/>
        </w:rPr>
        <w:tab/>
        <w:t xml:space="preserve">Due to the inefficiency of manual deduction system, the Government </w:t>
      </w:r>
      <w:r w:rsidR="00D978FF">
        <w:rPr>
          <w:rFonts w:ascii="Times New Roman" w:hAnsi="Times New Roman" w:cs="Times New Roman"/>
          <w:sz w:val="28"/>
          <w:szCs w:val="28"/>
          <w:lang w:val="en-ZA"/>
        </w:rPr>
        <w:t xml:space="preserve">of Lesotho </w:t>
      </w:r>
      <w:r w:rsidR="00A746D6">
        <w:rPr>
          <w:rFonts w:ascii="Times New Roman" w:hAnsi="Times New Roman" w:cs="Times New Roman"/>
          <w:sz w:val="28"/>
          <w:szCs w:val="28"/>
          <w:lang w:val="en-ZA"/>
        </w:rPr>
        <w:t>introduced a Central Deduction Administration System (CDAS).  Through this system, the micro-lenders, can, before approving a loan</w:t>
      </w:r>
      <w:r w:rsidR="00D978FF">
        <w:rPr>
          <w:rFonts w:ascii="Times New Roman" w:hAnsi="Times New Roman" w:cs="Times New Roman"/>
          <w:sz w:val="28"/>
          <w:szCs w:val="28"/>
          <w:lang w:val="en-ZA"/>
        </w:rPr>
        <w:t xml:space="preserve"> application</w:t>
      </w:r>
      <w:r w:rsidR="00A746D6">
        <w:rPr>
          <w:rFonts w:ascii="Times New Roman" w:hAnsi="Times New Roman" w:cs="Times New Roman"/>
          <w:sz w:val="28"/>
          <w:szCs w:val="28"/>
          <w:lang w:val="en-ZA"/>
        </w:rPr>
        <w:t xml:space="preserve">, check </w:t>
      </w:r>
      <w:proofErr w:type="gramStart"/>
      <w:r w:rsidR="00A746D6">
        <w:rPr>
          <w:rFonts w:ascii="Times New Roman" w:hAnsi="Times New Roman" w:cs="Times New Roman"/>
          <w:sz w:val="28"/>
          <w:szCs w:val="28"/>
          <w:lang w:val="en-ZA"/>
        </w:rPr>
        <w:t>each individual’s</w:t>
      </w:r>
      <w:proofErr w:type="gramEnd"/>
      <w:r w:rsidR="00A746D6">
        <w:rPr>
          <w:rFonts w:ascii="Times New Roman" w:hAnsi="Times New Roman" w:cs="Times New Roman"/>
          <w:sz w:val="28"/>
          <w:szCs w:val="28"/>
          <w:lang w:val="en-ZA"/>
        </w:rPr>
        <w:t xml:space="preserve"> affordability.  The system also controls </w:t>
      </w:r>
      <w:r w:rsidR="00A746D6">
        <w:rPr>
          <w:rFonts w:ascii="Times New Roman" w:hAnsi="Times New Roman" w:cs="Times New Roman"/>
          <w:sz w:val="28"/>
          <w:szCs w:val="28"/>
          <w:lang w:val="en-ZA"/>
        </w:rPr>
        <w:lastRenderedPageBreak/>
        <w:t>deductions</w:t>
      </w:r>
      <w:r w:rsidR="007427C5">
        <w:rPr>
          <w:rFonts w:ascii="Times New Roman" w:hAnsi="Times New Roman" w:cs="Times New Roman"/>
          <w:sz w:val="28"/>
          <w:szCs w:val="28"/>
          <w:lang w:val="en-ZA"/>
        </w:rPr>
        <w:t>, in that, i</w:t>
      </w:r>
      <w:r w:rsidR="00D978FF">
        <w:rPr>
          <w:rFonts w:ascii="Times New Roman" w:hAnsi="Times New Roman" w:cs="Times New Roman"/>
          <w:sz w:val="28"/>
          <w:szCs w:val="28"/>
          <w:lang w:val="en-ZA"/>
        </w:rPr>
        <w:t xml:space="preserve">t </w:t>
      </w:r>
      <w:r w:rsidR="007427C5">
        <w:rPr>
          <w:rFonts w:ascii="Times New Roman" w:hAnsi="Times New Roman" w:cs="Times New Roman"/>
          <w:sz w:val="28"/>
          <w:szCs w:val="28"/>
          <w:lang w:val="en-ZA"/>
        </w:rPr>
        <w:t>ensure</w:t>
      </w:r>
      <w:r w:rsidR="00D978FF">
        <w:rPr>
          <w:rFonts w:ascii="Times New Roman" w:hAnsi="Times New Roman" w:cs="Times New Roman"/>
          <w:sz w:val="28"/>
          <w:szCs w:val="28"/>
          <w:lang w:val="en-ZA"/>
        </w:rPr>
        <w:t>s</w:t>
      </w:r>
      <w:r w:rsidR="007427C5">
        <w:rPr>
          <w:rFonts w:ascii="Times New Roman" w:hAnsi="Times New Roman" w:cs="Times New Roman"/>
          <w:sz w:val="28"/>
          <w:szCs w:val="28"/>
          <w:lang w:val="en-ZA"/>
        </w:rPr>
        <w:t xml:space="preserve"> that the employee’s</w:t>
      </w:r>
      <w:r w:rsidR="00D978FF">
        <w:rPr>
          <w:rFonts w:ascii="Times New Roman" w:hAnsi="Times New Roman" w:cs="Times New Roman"/>
          <w:sz w:val="28"/>
          <w:szCs w:val="28"/>
          <w:lang w:val="en-ZA"/>
        </w:rPr>
        <w:t xml:space="preserve"> take-home</w:t>
      </w:r>
      <w:r w:rsidR="007427C5">
        <w:rPr>
          <w:rFonts w:ascii="Times New Roman" w:hAnsi="Times New Roman" w:cs="Times New Roman"/>
          <w:sz w:val="28"/>
          <w:szCs w:val="28"/>
          <w:lang w:val="en-ZA"/>
        </w:rPr>
        <w:t xml:space="preserve"> </w:t>
      </w:r>
      <w:r w:rsidR="00D978FF">
        <w:rPr>
          <w:rFonts w:ascii="Times New Roman" w:hAnsi="Times New Roman" w:cs="Times New Roman"/>
          <w:sz w:val="28"/>
          <w:szCs w:val="28"/>
          <w:lang w:val="en-ZA"/>
        </w:rPr>
        <w:t xml:space="preserve">salary is not </w:t>
      </w:r>
      <w:r w:rsidR="007427C5">
        <w:rPr>
          <w:rFonts w:ascii="Times New Roman" w:hAnsi="Times New Roman" w:cs="Times New Roman"/>
          <w:sz w:val="28"/>
          <w:szCs w:val="28"/>
          <w:lang w:val="en-ZA"/>
        </w:rPr>
        <w:t xml:space="preserve">below 30% of </w:t>
      </w:r>
      <w:r w:rsidR="00D978FF">
        <w:rPr>
          <w:rFonts w:ascii="Times New Roman" w:hAnsi="Times New Roman" w:cs="Times New Roman"/>
          <w:sz w:val="28"/>
          <w:szCs w:val="28"/>
          <w:lang w:val="en-ZA"/>
        </w:rPr>
        <w:t>their</w:t>
      </w:r>
      <w:r w:rsidR="007427C5">
        <w:rPr>
          <w:rFonts w:ascii="Times New Roman" w:hAnsi="Times New Roman" w:cs="Times New Roman"/>
          <w:sz w:val="28"/>
          <w:szCs w:val="28"/>
          <w:lang w:val="en-ZA"/>
        </w:rPr>
        <w:t xml:space="preserve"> gross salary after the deduction.  The third parties are given Government authorized deduction codes allowing them to initiate, alter and/or to stop the deductions.  These access rights allow the respondents to stop the deductions themselves.  The CDAS system is administered by a third party on behalf of the Department of Treasury, - CDAS Project Manager (DATANET/CBS).  In effect this </w:t>
      </w:r>
      <w:r w:rsidR="00690D59">
        <w:rPr>
          <w:rFonts w:ascii="Times New Roman" w:hAnsi="Times New Roman" w:cs="Times New Roman"/>
          <w:sz w:val="28"/>
          <w:szCs w:val="28"/>
          <w:lang w:val="en-ZA"/>
        </w:rPr>
        <w:t xml:space="preserve">system does gatekeeping between the Government Payroll System and third parties </w:t>
      </w:r>
      <w:r w:rsidR="00387668">
        <w:rPr>
          <w:rFonts w:ascii="Times New Roman" w:hAnsi="Times New Roman" w:cs="Times New Roman"/>
          <w:sz w:val="28"/>
          <w:szCs w:val="28"/>
          <w:lang w:val="en-ZA"/>
        </w:rPr>
        <w:t>(</w:t>
      </w:r>
      <w:r w:rsidR="00690D59">
        <w:rPr>
          <w:rFonts w:ascii="Times New Roman" w:hAnsi="Times New Roman" w:cs="Times New Roman"/>
          <w:sz w:val="28"/>
          <w:szCs w:val="28"/>
          <w:lang w:val="en-ZA"/>
        </w:rPr>
        <w:t>like the respondents</w:t>
      </w:r>
      <w:r w:rsidR="00387668">
        <w:rPr>
          <w:rFonts w:ascii="Times New Roman" w:hAnsi="Times New Roman" w:cs="Times New Roman"/>
          <w:sz w:val="28"/>
          <w:szCs w:val="28"/>
          <w:lang w:val="en-ZA"/>
        </w:rPr>
        <w:t>)</w:t>
      </w:r>
      <w:r w:rsidR="00690D59">
        <w:rPr>
          <w:rFonts w:ascii="Times New Roman" w:hAnsi="Times New Roman" w:cs="Times New Roman"/>
          <w:sz w:val="28"/>
          <w:szCs w:val="28"/>
          <w:lang w:val="en-ZA"/>
        </w:rPr>
        <w:t>.</w:t>
      </w:r>
      <w:r w:rsidR="00A746D6">
        <w:rPr>
          <w:rFonts w:ascii="Times New Roman" w:hAnsi="Times New Roman" w:cs="Times New Roman"/>
          <w:sz w:val="28"/>
          <w:szCs w:val="28"/>
          <w:lang w:val="en-ZA"/>
        </w:rPr>
        <w:t xml:space="preserve"> </w:t>
      </w:r>
      <w:r w:rsidR="00724CEF">
        <w:rPr>
          <w:rFonts w:ascii="Times New Roman" w:hAnsi="Times New Roman" w:cs="Times New Roman"/>
          <w:sz w:val="28"/>
          <w:szCs w:val="28"/>
          <w:lang w:val="en-ZA"/>
        </w:rPr>
        <w:t xml:space="preserve"> </w:t>
      </w:r>
    </w:p>
    <w:p w14:paraId="17B7F07F" w14:textId="0691E459" w:rsidR="00690D59" w:rsidRDefault="00690D59" w:rsidP="00690D59">
      <w:pPr>
        <w:spacing w:after="0" w:line="360" w:lineRule="auto"/>
        <w:jc w:val="both"/>
        <w:rPr>
          <w:rFonts w:ascii="Times New Roman" w:hAnsi="Times New Roman" w:cs="Times New Roman"/>
          <w:sz w:val="28"/>
          <w:szCs w:val="28"/>
          <w:lang w:val="en-ZA"/>
        </w:rPr>
      </w:pPr>
    </w:p>
    <w:p w14:paraId="25F1E441" w14:textId="11962F23" w:rsidR="00690D59" w:rsidRDefault="00690D59" w:rsidP="00690D5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499B1E37" w14:textId="3EA5B334" w:rsidR="00690D59" w:rsidRDefault="00690D59" w:rsidP="00690D5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Whether the Accountant-General’s failure to comply with the Court order was deliberate and </w:t>
      </w:r>
      <w:r w:rsidRPr="00C61741">
        <w:rPr>
          <w:rFonts w:ascii="Times New Roman" w:hAnsi="Times New Roman" w:cs="Times New Roman"/>
          <w:i/>
          <w:iCs/>
          <w:sz w:val="28"/>
          <w:szCs w:val="28"/>
          <w:lang w:val="en-ZA"/>
        </w:rPr>
        <w:t>mala fide</w:t>
      </w:r>
      <w:r>
        <w:rPr>
          <w:rFonts w:ascii="Times New Roman" w:hAnsi="Times New Roman" w:cs="Times New Roman"/>
          <w:sz w:val="28"/>
          <w:szCs w:val="28"/>
          <w:lang w:val="en-ZA"/>
        </w:rPr>
        <w:t>.</w:t>
      </w:r>
    </w:p>
    <w:p w14:paraId="75D89FF7" w14:textId="127DAAEA" w:rsidR="00690D59" w:rsidRDefault="00690D59" w:rsidP="00690D59">
      <w:pPr>
        <w:spacing w:after="0" w:line="360" w:lineRule="auto"/>
        <w:ind w:left="1440" w:hanging="720"/>
        <w:jc w:val="both"/>
        <w:rPr>
          <w:rFonts w:ascii="Times New Roman" w:hAnsi="Times New Roman" w:cs="Times New Roman"/>
          <w:sz w:val="28"/>
          <w:szCs w:val="28"/>
          <w:lang w:val="en-ZA"/>
        </w:rPr>
      </w:pPr>
    </w:p>
    <w:p w14:paraId="7A1280F0" w14:textId="43923A7D" w:rsidR="00690D59" w:rsidRDefault="00690D59" w:rsidP="00690D5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Whether the applicants are entitled to the refunds.</w:t>
      </w:r>
    </w:p>
    <w:p w14:paraId="5BDAAD3E" w14:textId="6F350993" w:rsidR="00690D59" w:rsidRDefault="00690D59" w:rsidP="00690D59">
      <w:pPr>
        <w:spacing w:after="0" w:line="360" w:lineRule="auto"/>
        <w:jc w:val="both"/>
        <w:rPr>
          <w:rFonts w:ascii="Times New Roman" w:hAnsi="Times New Roman" w:cs="Times New Roman"/>
          <w:sz w:val="28"/>
          <w:szCs w:val="28"/>
          <w:lang w:val="en-ZA"/>
        </w:rPr>
      </w:pPr>
    </w:p>
    <w:p w14:paraId="60BD3560" w14:textId="64232F87" w:rsidR="00690D59" w:rsidRDefault="00690D59" w:rsidP="00690D5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Pr>
          <w:rFonts w:ascii="Times New Roman" w:hAnsi="Times New Roman" w:cs="Times New Roman"/>
          <w:b/>
          <w:bCs/>
          <w:sz w:val="28"/>
          <w:szCs w:val="28"/>
          <w:lang w:val="en-ZA"/>
        </w:rPr>
        <w:t>Contempt of Court</w:t>
      </w:r>
    </w:p>
    <w:p w14:paraId="52BA27AF" w14:textId="6A2ECEA2" w:rsidR="00345DDA" w:rsidRDefault="00690D59" w:rsidP="00345DD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Contempt of Court is a criminal offence.  It is an offence which violates the dignity, repute and authority of the court.  It protects rights of everyone to fair trials, to maintain </w:t>
      </w:r>
      <w:r w:rsidR="00345DDA">
        <w:rPr>
          <w:rFonts w:ascii="Times New Roman" w:hAnsi="Times New Roman" w:cs="Times New Roman"/>
          <w:sz w:val="28"/>
          <w:szCs w:val="28"/>
          <w:lang w:val="en-ZA"/>
        </w:rPr>
        <w:t>public confidence in the judicial arm of averment (</w:t>
      </w:r>
      <w:proofErr w:type="spellStart"/>
      <w:r w:rsidR="002574C2" w:rsidRPr="002574C2">
        <w:rPr>
          <w:rFonts w:ascii="Times New Roman" w:hAnsi="Times New Roman" w:cs="Times New Roman"/>
          <w:b/>
          <w:bCs/>
          <w:sz w:val="28"/>
          <w:szCs w:val="28"/>
          <w:lang w:val="en-ZA"/>
        </w:rPr>
        <w:t>Victorial</w:t>
      </w:r>
      <w:proofErr w:type="spellEnd"/>
      <w:r w:rsidR="002574C2" w:rsidRPr="002574C2">
        <w:rPr>
          <w:rFonts w:ascii="Times New Roman" w:hAnsi="Times New Roman" w:cs="Times New Roman"/>
          <w:b/>
          <w:bCs/>
          <w:sz w:val="28"/>
          <w:szCs w:val="28"/>
          <w:lang w:val="en-ZA"/>
        </w:rPr>
        <w:t xml:space="preserve"> Park Ratepayers Association v </w:t>
      </w:r>
      <w:proofErr w:type="spellStart"/>
      <w:r w:rsidR="002574C2" w:rsidRPr="002574C2">
        <w:rPr>
          <w:rFonts w:ascii="Times New Roman" w:hAnsi="Times New Roman" w:cs="Times New Roman"/>
          <w:b/>
          <w:bCs/>
          <w:sz w:val="28"/>
          <w:szCs w:val="28"/>
          <w:lang w:val="en-ZA"/>
        </w:rPr>
        <w:t>Gre</w:t>
      </w:r>
      <w:r w:rsidR="002574C2">
        <w:rPr>
          <w:rFonts w:ascii="Times New Roman" w:hAnsi="Times New Roman" w:cs="Times New Roman"/>
          <w:b/>
          <w:bCs/>
          <w:sz w:val="28"/>
          <w:szCs w:val="28"/>
          <w:lang w:val="en-ZA"/>
        </w:rPr>
        <w:t>y</w:t>
      </w:r>
      <w:r w:rsidR="002574C2" w:rsidRPr="002574C2">
        <w:rPr>
          <w:rFonts w:ascii="Times New Roman" w:hAnsi="Times New Roman" w:cs="Times New Roman"/>
          <w:b/>
          <w:bCs/>
          <w:sz w:val="28"/>
          <w:szCs w:val="28"/>
          <w:lang w:val="en-ZA"/>
        </w:rPr>
        <w:t>venouw</w:t>
      </w:r>
      <w:proofErr w:type="spellEnd"/>
      <w:r w:rsidR="002574C2" w:rsidRPr="002574C2">
        <w:rPr>
          <w:rFonts w:ascii="Times New Roman" w:hAnsi="Times New Roman" w:cs="Times New Roman"/>
          <w:b/>
          <w:bCs/>
          <w:sz w:val="28"/>
          <w:szCs w:val="28"/>
          <w:lang w:val="en-ZA"/>
        </w:rPr>
        <w:t xml:space="preserve"> CC and others (511/03) [2003] ZAECHC 19 11 April 2003)</w:t>
      </w:r>
      <w:r w:rsidR="002574C2" w:rsidRPr="002574C2">
        <w:rPr>
          <w:rFonts w:ascii="Times New Roman" w:hAnsi="Times New Roman" w:cs="Times New Roman"/>
          <w:sz w:val="28"/>
          <w:szCs w:val="28"/>
          <w:lang w:val="en-ZA"/>
        </w:rPr>
        <w:t xml:space="preserve"> </w:t>
      </w:r>
      <w:r w:rsidR="00345DDA">
        <w:rPr>
          <w:rFonts w:ascii="Times New Roman" w:hAnsi="Times New Roman" w:cs="Times New Roman"/>
          <w:sz w:val="28"/>
          <w:szCs w:val="28"/>
          <w:lang w:val="en-ZA"/>
        </w:rPr>
        <w:t>para. 15).  The test</w:t>
      </w:r>
      <w:r w:rsidR="002574C2">
        <w:rPr>
          <w:rFonts w:ascii="Times New Roman" w:hAnsi="Times New Roman" w:cs="Times New Roman"/>
          <w:sz w:val="28"/>
          <w:szCs w:val="28"/>
          <w:lang w:val="en-ZA"/>
        </w:rPr>
        <w:t xml:space="preserve"> for contempt </w:t>
      </w:r>
      <w:r w:rsidR="00345DDA">
        <w:rPr>
          <w:rFonts w:ascii="Times New Roman" w:hAnsi="Times New Roman" w:cs="Times New Roman"/>
          <w:sz w:val="28"/>
          <w:szCs w:val="28"/>
          <w:lang w:val="en-ZA"/>
        </w:rPr>
        <w:t xml:space="preserve">is whether disobedience of the court order was committed “deliberately and </w:t>
      </w:r>
      <w:r w:rsidR="00345DDA" w:rsidRPr="002574C2">
        <w:rPr>
          <w:rFonts w:ascii="Times New Roman" w:hAnsi="Times New Roman" w:cs="Times New Roman"/>
          <w:i/>
          <w:iCs/>
          <w:sz w:val="28"/>
          <w:szCs w:val="28"/>
          <w:lang w:val="en-ZA"/>
        </w:rPr>
        <w:t>mala fide</w:t>
      </w:r>
      <w:r w:rsidR="00345DDA">
        <w:rPr>
          <w:rFonts w:ascii="Times New Roman" w:hAnsi="Times New Roman" w:cs="Times New Roman"/>
          <w:sz w:val="28"/>
          <w:szCs w:val="28"/>
          <w:lang w:val="en-ZA"/>
        </w:rPr>
        <w:t xml:space="preserve">.”  This test was articulated in the now famous case of the </w:t>
      </w:r>
      <w:r w:rsidR="00345DDA">
        <w:rPr>
          <w:rFonts w:ascii="Times New Roman" w:hAnsi="Times New Roman" w:cs="Times New Roman"/>
          <w:b/>
          <w:bCs/>
          <w:sz w:val="28"/>
          <w:szCs w:val="28"/>
          <w:lang w:val="en-ZA"/>
        </w:rPr>
        <w:t xml:space="preserve">Fakie N. O v CCII Systems (Pty) Ltd 2006 (4) SA 326 (SCA) </w:t>
      </w:r>
      <w:r w:rsidR="00345DDA" w:rsidRPr="00F16AB0">
        <w:rPr>
          <w:rFonts w:ascii="Times New Roman" w:hAnsi="Times New Roman" w:cs="Times New Roman"/>
          <w:sz w:val="28"/>
          <w:szCs w:val="28"/>
          <w:lang w:val="en-ZA"/>
        </w:rPr>
        <w:t>at</w:t>
      </w:r>
      <w:r w:rsidR="00345DDA">
        <w:rPr>
          <w:rFonts w:ascii="Times New Roman" w:hAnsi="Times New Roman" w:cs="Times New Roman"/>
          <w:b/>
          <w:bCs/>
          <w:sz w:val="28"/>
          <w:szCs w:val="28"/>
          <w:lang w:val="en-ZA"/>
        </w:rPr>
        <w:t xml:space="preserve"> </w:t>
      </w:r>
      <w:r w:rsidR="00345DDA" w:rsidRPr="00F16AB0">
        <w:rPr>
          <w:rFonts w:ascii="Times New Roman" w:hAnsi="Times New Roman" w:cs="Times New Roman"/>
          <w:sz w:val="28"/>
          <w:szCs w:val="28"/>
          <w:lang w:val="en-ZA"/>
        </w:rPr>
        <w:t>para</w:t>
      </w:r>
      <w:r w:rsidR="00345DDA">
        <w:rPr>
          <w:rFonts w:ascii="Times New Roman" w:hAnsi="Times New Roman" w:cs="Times New Roman"/>
          <w:b/>
          <w:bCs/>
          <w:sz w:val="28"/>
          <w:szCs w:val="28"/>
          <w:lang w:val="en-ZA"/>
        </w:rPr>
        <w:t>.</w:t>
      </w:r>
      <w:r w:rsidR="00F16AB0" w:rsidRPr="00F16AB0">
        <w:rPr>
          <w:rFonts w:ascii="Times New Roman" w:hAnsi="Times New Roman" w:cs="Times New Roman"/>
          <w:sz w:val="28"/>
          <w:szCs w:val="28"/>
          <w:lang w:val="en-ZA"/>
        </w:rPr>
        <w:t xml:space="preserve"> </w:t>
      </w:r>
      <w:r w:rsidR="00345DDA" w:rsidRPr="00F16AB0">
        <w:rPr>
          <w:rFonts w:ascii="Times New Roman" w:hAnsi="Times New Roman" w:cs="Times New Roman"/>
          <w:sz w:val="28"/>
          <w:szCs w:val="28"/>
          <w:lang w:val="en-ZA"/>
        </w:rPr>
        <w:t>9</w:t>
      </w:r>
      <w:r w:rsidR="002574C2">
        <w:rPr>
          <w:rFonts w:ascii="Times New Roman" w:hAnsi="Times New Roman" w:cs="Times New Roman"/>
          <w:sz w:val="28"/>
          <w:szCs w:val="28"/>
          <w:lang w:val="en-ZA"/>
        </w:rPr>
        <w:t>,</w:t>
      </w:r>
      <w:r w:rsidR="00345DDA">
        <w:rPr>
          <w:rFonts w:ascii="Times New Roman" w:hAnsi="Times New Roman" w:cs="Times New Roman"/>
          <w:b/>
          <w:bCs/>
          <w:sz w:val="28"/>
          <w:szCs w:val="28"/>
          <w:lang w:val="en-ZA"/>
        </w:rPr>
        <w:t xml:space="preserve"> </w:t>
      </w:r>
      <w:r w:rsidR="00345DDA">
        <w:rPr>
          <w:rFonts w:ascii="Times New Roman" w:hAnsi="Times New Roman" w:cs="Times New Roman"/>
          <w:sz w:val="28"/>
          <w:szCs w:val="28"/>
          <w:lang w:val="en-ZA"/>
        </w:rPr>
        <w:t>where the court said:</w:t>
      </w:r>
    </w:p>
    <w:p w14:paraId="442AB69D" w14:textId="77777777" w:rsidR="00345DDA" w:rsidRDefault="00345DDA" w:rsidP="00345DDA">
      <w:pPr>
        <w:spacing w:after="0" w:line="360" w:lineRule="auto"/>
        <w:jc w:val="both"/>
        <w:rPr>
          <w:rFonts w:ascii="Times New Roman" w:hAnsi="Times New Roman" w:cs="Times New Roman"/>
          <w:sz w:val="28"/>
          <w:szCs w:val="28"/>
          <w:lang w:val="en-ZA"/>
        </w:rPr>
      </w:pPr>
    </w:p>
    <w:p w14:paraId="34E32D34" w14:textId="00BF2A3A" w:rsidR="00690D59" w:rsidRDefault="000C2B8E" w:rsidP="000C2B8E">
      <w:pPr>
        <w:spacing w:after="0" w:line="360" w:lineRule="auto"/>
        <w:ind w:left="1440"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lastRenderedPageBreak/>
        <w:t>“A deliberate disregard is not enough, since the non-complier may genuinely, albeit mistakenly, believe him or herself entitled to act in the way claimed to constitute the contempt.  In such a case, good faith avoids infraction.  Even a refusal to comply that is objectively unreasonable may be bona fide (though unreasonableness could evidence lack of good faith).”</w:t>
      </w:r>
      <w:r w:rsidR="00345DDA">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(see also: </w:t>
      </w:r>
      <w:proofErr w:type="spellStart"/>
      <w:r>
        <w:rPr>
          <w:rFonts w:ascii="Times New Roman" w:hAnsi="Times New Roman" w:cs="Times New Roman"/>
          <w:b/>
          <w:bCs/>
          <w:sz w:val="28"/>
          <w:szCs w:val="28"/>
          <w:lang w:val="en-ZA"/>
        </w:rPr>
        <w:t>Lerotholi</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Politechnic</w:t>
      </w:r>
      <w:proofErr w:type="spellEnd"/>
      <w:r>
        <w:rPr>
          <w:rFonts w:ascii="Times New Roman" w:hAnsi="Times New Roman" w:cs="Times New Roman"/>
          <w:b/>
          <w:bCs/>
          <w:sz w:val="28"/>
          <w:szCs w:val="28"/>
          <w:lang w:val="en-ZA"/>
        </w:rPr>
        <w:t xml:space="preserve"> and Another v </w:t>
      </w:r>
      <w:proofErr w:type="spellStart"/>
      <w:r>
        <w:rPr>
          <w:rFonts w:ascii="Times New Roman" w:hAnsi="Times New Roman" w:cs="Times New Roman"/>
          <w:b/>
          <w:bCs/>
          <w:sz w:val="28"/>
          <w:szCs w:val="28"/>
          <w:lang w:val="en-ZA"/>
        </w:rPr>
        <w:t>Lisene</w:t>
      </w:r>
      <w:proofErr w:type="spellEnd"/>
      <w:r>
        <w:rPr>
          <w:rFonts w:ascii="Times New Roman" w:hAnsi="Times New Roman" w:cs="Times New Roman"/>
          <w:b/>
          <w:bCs/>
          <w:sz w:val="28"/>
          <w:szCs w:val="28"/>
          <w:lang w:val="en-ZA"/>
        </w:rPr>
        <w:t xml:space="preserve"> LAC 2009 – 2010) 397 at 403 E – H (para. 12)).</w:t>
      </w:r>
    </w:p>
    <w:p w14:paraId="40C3AD5D" w14:textId="2DDEAEC4" w:rsidR="00A627F1" w:rsidRDefault="00A627F1" w:rsidP="00A627F1">
      <w:pPr>
        <w:spacing w:after="0" w:line="360" w:lineRule="auto"/>
        <w:ind w:right="1008"/>
        <w:jc w:val="both"/>
        <w:rPr>
          <w:rFonts w:ascii="Times New Roman" w:hAnsi="Times New Roman" w:cs="Times New Roman"/>
          <w:i/>
          <w:iCs/>
          <w:sz w:val="24"/>
          <w:szCs w:val="24"/>
          <w:lang w:val="en-ZA"/>
        </w:rPr>
      </w:pPr>
    </w:p>
    <w:p w14:paraId="52E35C4F" w14:textId="360DC00C" w:rsidR="00A627F1" w:rsidRDefault="00A627F1" w:rsidP="00A627F1">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sidR="00F16AB0">
        <w:rPr>
          <w:rFonts w:ascii="Times New Roman" w:hAnsi="Times New Roman" w:cs="Times New Roman"/>
          <w:sz w:val="28"/>
          <w:szCs w:val="28"/>
          <w:lang w:val="en-ZA"/>
        </w:rPr>
        <w:t>At para. 41 (</w:t>
      </w:r>
      <w:proofErr w:type="spellStart"/>
      <w:r w:rsidR="00F16AB0">
        <w:rPr>
          <w:rFonts w:ascii="Times New Roman" w:hAnsi="Times New Roman" w:cs="Times New Roman"/>
          <w:b/>
          <w:bCs/>
          <w:sz w:val="28"/>
          <w:szCs w:val="28"/>
          <w:lang w:val="en-ZA"/>
        </w:rPr>
        <w:t>Fackie</w:t>
      </w:r>
      <w:proofErr w:type="spellEnd"/>
      <w:r w:rsidR="00F16AB0">
        <w:rPr>
          <w:rFonts w:ascii="Times New Roman" w:hAnsi="Times New Roman" w:cs="Times New Roman"/>
          <w:b/>
          <w:bCs/>
          <w:sz w:val="28"/>
          <w:szCs w:val="28"/>
          <w:lang w:val="en-ZA"/>
        </w:rPr>
        <w:t xml:space="preserve"> case)</w:t>
      </w:r>
      <w:r w:rsidR="00F16AB0">
        <w:rPr>
          <w:rFonts w:ascii="Times New Roman" w:hAnsi="Times New Roman" w:cs="Times New Roman"/>
          <w:sz w:val="28"/>
          <w:szCs w:val="28"/>
          <w:lang w:val="en-ZA"/>
        </w:rPr>
        <w:t xml:space="preserve"> the Court held that:</w:t>
      </w:r>
    </w:p>
    <w:p w14:paraId="488D696C" w14:textId="741235A3" w:rsidR="00F16AB0" w:rsidRDefault="00F16AB0" w:rsidP="00A627F1">
      <w:pPr>
        <w:spacing w:after="0" w:line="360" w:lineRule="auto"/>
        <w:ind w:right="1008"/>
        <w:jc w:val="both"/>
        <w:rPr>
          <w:rFonts w:ascii="Times New Roman" w:hAnsi="Times New Roman" w:cs="Times New Roman"/>
          <w:sz w:val="28"/>
          <w:szCs w:val="28"/>
          <w:lang w:val="en-ZA"/>
        </w:rPr>
      </w:pPr>
    </w:p>
    <w:p w14:paraId="75B67030" w14:textId="34E4C078" w:rsidR="00D62933" w:rsidRDefault="00F16AB0" w:rsidP="00F16AB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“…[O]</w:t>
      </w:r>
      <w:proofErr w:type="spellStart"/>
      <w:r>
        <w:rPr>
          <w:rFonts w:ascii="Times New Roman" w:hAnsi="Times New Roman" w:cs="Times New Roman"/>
          <w:i/>
          <w:iCs/>
          <w:sz w:val="24"/>
          <w:szCs w:val="24"/>
          <w:lang w:val="en-ZA"/>
        </w:rPr>
        <w:t>nce</w:t>
      </w:r>
      <w:proofErr w:type="spellEnd"/>
      <w:r>
        <w:rPr>
          <w:rFonts w:ascii="Times New Roman" w:hAnsi="Times New Roman" w:cs="Times New Roman"/>
          <w:i/>
          <w:iCs/>
          <w:sz w:val="24"/>
          <w:szCs w:val="24"/>
          <w:lang w:val="en-ZA"/>
        </w:rPr>
        <w:t xml:space="preserve"> the applicant proves three requisites (order, service and non-compliance, unless the respondent provides evidence </w:t>
      </w:r>
      <w:r w:rsidR="00D62933">
        <w:rPr>
          <w:rFonts w:ascii="Times New Roman" w:hAnsi="Times New Roman" w:cs="Times New Roman"/>
          <w:i/>
          <w:iCs/>
          <w:sz w:val="24"/>
          <w:szCs w:val="24"/>
          <w:lang w:val="en-ZA"/>
        </w:rPr>
        <w:t xml:space="preserve">raising a reasonable doubt as to whether non-compliance was wilful and mala fide, the requisites of contempt will have been established.  The </w:t>
      </w:r>
      <w:r w:rsidR="00B96FCC">
        <w:rPr>
          <w:rFonts w:ascii="Times New Roman" w:hAnsi="Times New Roman" w:cs="Times New Roman"/>
          <w:i/>
          <w:iCs/>
          <w:sz w:val="24"/>
          <w:szCs w:val="24"/>
          <w:lang w:val="en-ZA"/>
        </w:rPr>
        <w:t>…</w:t>
      </w:r>
      <w:r w:rsidR="00D62933">
        <w:rPr>
          <w:rFonts w:ascii="Times New Roman" w:hAnsi="Times New Roman" w:cs="Times New Roman"/>
          <w:i/>
          <w:iCs/>
          <w:sz w:val="24"/>
          <w:szCs w:val="24"/>
          <w:lang w:val="en-ZA"/>
        </w:rPr>
        <w:t>respondent no longer bears a legal burden to disprove wilfulness and mala fides on balance of probabilities, but need only lead evidence that establishes a reasonable doubt…”</w:t>
      </w:r>
    </w:p>
    <w:p w14:paraId="1CD14258" w14:textId="77777777" w:rsidR="00D62933" w:rsidRDefault="00D62933" w:rsidP="00D62933">
      <w:pPr>
        <w:spacing w:after="0" w:line="360" w:lineRule="auto"/>
        <w:ind w:right="1008"/>
        <w:jc w:val="both"/>
        <w:rPr>
          <w:rFonts w:ascii="Times New Roman" w:hAnsi="Times New Roman" w:cs="Times New Roman"/>
          <w:i/>
          <w:iCs/>
          <w:sz w:val="24"/>
          <w:szCs w:val="24"/>
          <w:lang w:val="en-ZA"/>
        </w:rPr>
      </w:pPr>
    </w:p>
    <w:p w14:paraId="544D46F1" w14:textId="3342F5D1" w:rsidR="002D6206" w:rsidRDefault="00D62933" w:rsidP="00D6293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Although the matter was initially about forcing the Accountant-General to comply with the Court order, since the main matter has been disposed of, it has now assumed the character of committal for non-compliance. </w:t>
      </w:r>
      <w:r w:rsidR="00B96FCC">
        <w:rPr>
          <w:rFonts w:ascii="Times New Roman" w:hAnsi="Times New Roman" w:cs="Times New Roman"/>
          <w:sz w:val="28"/>
          <w:szCs w:val="28"/>
          <w:lang w:val="en-ZA"/>
        </w:rPr>
        <w:t>This notwithstanding, t</w:t>
      </w:r>
      <w:r>
        <w:rPr>
          <w:rFonts w:ascii="Times New Roman" w:hAnsi="Times New Roman" w:cs="Times New Roman"/>
          <w:sz w:val="28"/>
          <w:szCs w:val="28"/>
          <w:lang w:val="en-ZA"/>
        </w:rPr>
        <w:t>he matter is still live and not moot.  In</w:t>
      </w:r>
      <w:r w:rsidR="00CD036D">
        <w:rPr>
          <w:rFonts w:ascii="Times New Roman" w:hAnsi="Times New Roman" w:cs="Times New Roman"/>
          <w:sz w:val="28"/>
          <w:szCs w:val="28"/>
          <w:lang w:val="en-ZA"/>
        </w:rPr>
        <w:t xml:space="preserve"> </w:t>
      </w:r>
      <w:proofErr w:type="spellStart"/>
      <w:r w:rsidR="00CD036D">
        <w:rPr>
          <w:rFonts w:ascii="Times New Roman" w:hAnsi="Times New Roman" w:cs="Times New Roman"/>
          <w:b/>
          <w:bCs/>
          <w:sz w:val="28"/>
          <w:szCs w:val="28"/>
          <w:lang w:val="en-ZA"/>
        </w:rPr>
        <w:t>Victorial</w:t>
      </w:r>
      <w:proofErr w:type="spellEnd"/>
      <w:r w:rsidR="00CD036D">
        <w:rPr>
          <w:rFonts w:ascii="Times New Roman" w:hAnsi="Times New Roman" w:cs="Times New Roman"/>
          <w:b/>
          <w:bCs/>
          <w:sz w:val="28"/>
          <w:szCs w:val="28"/>
          <w:lang w:val="en-ZA"/>
        </w:rPr>
        <w:t xml:space="preserve"> Park Ratepayers Association v </w:t>
      </w:r>
      <w:proofErr w:type="spellStart"/>
      <w:r w:rsidR="00CD036D">
        <w:rPr>
          <w:rFonts w:ascii="Times New Roman" w:hAnsi="Times New Roman" w:cs="Times New Roman"/>
          <w:b/>
          <w:bCs/>
          <w:sz w:val="28"/>
          <w:szCs w:val="28"/>
          <w:lang w:val="en-ZA"/>
        </w:rPr>
        <w:t>Gre</w:t>
      </w:r>
      <w:r w:rsidR="002574C2">
        <w:rPr>
          <w:rFonts w:ascii="Times New Roman" w:hAnsi="Times New Roman" w:cs="Times New Roman"/>
          <w:b/>
          <w:bCs/>
          <w:sz w:val="28"/>
          <w:szCs w:val="28"/>
          <w:lang w:val="en-ZA"/>
        </w:rPr>
        <w:t>y</w:t>
      </w:r>
      <w:r w:rsidR="00CD036D">
        <w:rPr>
          <w:rFonts w:ascii="Times New Roman" w:hAnsi="Times New Roman" w:cs="Times New Roman"/>
          <w:b/>
          <w:bCs/>
          <w:sz w:val="28"/>
          <w:szCs w:val="28"/>
          <w:lang w:val="en-ZA"/>
        </w:rPr>
        <w:t>venouw</w:t>
      </w:r>
      <w:proofErr w:type="spellEnd"/>
      <w:r w:rsidR="00CD036D">
        <w:rPr>
          <w:rFonts w:ascii="Times New Roman" w:hAnsi="Times New Roman" w:cs="Times New Roman"/>
          <w:b/>
          <w:bCs/>
          <w:sz w:val="28"/>
          <w:szCs w:val="28"/>
          <w:lang w:val="en-ZA"/>
        </w:rPr>
        <w:t xml:space="preserve"> CC and others (</w:t>
      </w:r>
      <w:r w:rsidR="0074051E">
        <w:rPr>
          <w:rFonts w:ascii="Times New Roman" w:hAnsi="Times New Roman" w:cs="Times New Roman"/>
          <w:b/>
          <w:bCs/>
          <w:sz w:val="28"/>
          <w:szCs w:val="28"/>
          <w:lang w:val="en-ZA"/>
        </w:rPr>
        <w:t>above)</w:t>
      </w:r>
      <w:r>
        <w:rPr>
          <w:rFonts w:ascii="Times New Roman" w:hAnsi="Times New Roman" w:cs="Times New Roman"/>
          <w:sz w:val="28"/>
          <w:szCs w:val="28"/>
          <w:lang w:val="en-ZA"/>
        </w:rPr>
        <w:t xml:space="preserve"> </w:t>
      </w:r>
      <w:r w:rsidR="002D6206">
        <w:rPr>
          <w:rFonts w:ascii="Times New Roman" w:hAnsi="Times New Roman" w:cs="Times New Roman"/>
          <w:sz w:val="28"/>
          <w:szCs w:val="28"/>
          <w:lang w:val="en-ZA"/>
        </w:rPr>
        <w:t>at para. 23:</w:t>
      </w:r>
    </w:p>
    <w:p w14:paraId="3A14460A" w14:textId="77777777" w:rsidR="002D6206" w:rsidRDefault="002D6206" w:rsidP="00D62933">
      <w:pPr>
        <w:spacing w:after="0" w:line="360" w:lineRule="auto"/>
        <w:ind w:left="720" w:hanging="720"/>
        <w:jc w:val="both"/>
        <w:rPr>
          <w:rFonts w:ascii="Times New Roman" w:hAnsi="Times New Roman" w:cs="Times New Roman"/>
          <w:sz w:val="28"/>
          <w:szCs w:val="28"/>
          <w:lang w:val="en-ZA"/>
        </w:rPr>
      </w:pPr>
    </w:p>
    <w:p w14:paraId="20CCCEB7" w14:textId="46B87C42" w:rsidR="008E3CEC" w:rsidRDefault="002D6206" w:rsidP="0014589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us clear that contempt of court is not merely a mechanism for the enforcement of court orders.  The jurisdiction</w:t>
      </w:r>
      <w:r w:rsidR="00145896">
        <w:rPr>
          <w:rFonts w:ascii="Times New Roman" w:hAnsi="Times New Roman" w:cs="Times New Roman"/>
          <w:i/>
          <w:iCs/>
          <w:sz w:val="24"/>
          <w:szCs w:val="24"/>
          <w:lang w:val="en-ZA"/>
        </w:rPr>
        <w:t xml:space="preserve"> of the superior courts to commit recalcitrant litigants for contempt of court when they fail or refuse to obey court orders has at its hear</w:t>
      </w:r>
      <w:r w:rsidR="00B96FCC">
        <w:rPr>
          <w:rFonts w:ascii="Times New Roman" w:hAnsi="Times New Roman" w:cs="Times New Roman"/>
          <w:i/>
          <w:iCs/>
          <w:sz w:val="24"/>
          <w:szCs w:val="24"/>
          <w:lang w:val="en-ZA"/>
        </w:rPr>
        <w:t>t</w:t>
      </w:r>
      <w:r w:rsidR="00145896">
        <w:rPr>
          <w:rFonts w:ascii="Times New Roman" w:hAnsi="Times New Roman" w:cs="Times New Roman"/>
          <w:i/>
          <w:iCs/>
          <w:sz w:val="24"/>
          <w:szCs w:val="24"/>
          <w:lang w:val="en-ZA"/>
        </w:rPr>
        <w:t xml:space="preserve"> the very effectiveness and legitimacy of the judicial system …. Contempt of Court is not merely a </w:t>
      </w:r>
      <w:r w:rsidR="00145896">
        <w:rPr>
          <w:rFonts w:ascii="Times New Roman" w:hAnsi="Times New Roman" w:cs="Times New Roman"/>
          <w:i/>
          <w:iCs/>
          <w:sz w:val="24"/>
          <w:szCs w:val="24"/>
          <w:lang w:val="en-ZA"/>
        </w:rPr>
        <w:lastRenderedPageBreak/>
        <w:t>means by which a frustrated successful litigant is able to force his or her opponent to obey a court order.  Whenever a litigant fails to refuse to obey a court order,</w:t>
      </w:r>
      <w:r w:rsidR="00C75728">
        <w:rPr>
          <w:rFonts w:ascii="Times New Roman" w:hAnsi="Times New Roman" w:cs="Times New Roman"/>
          <w:i/>
          <w:iCs/>
          <w:sz w:val="24"/>
          <w:szCs w:val="24"/>
          <w:lang w:val="en-ZA"/>
        </w:rPr>
        <w:t xml:space="preserve"> he or she thereby undermines the Constitution.  That, in turn, means that the court called upon to commit such a litigant for his or her contempt is not only dealing with the individual interest of the frustrated successful litigant but also, as importantly, acting as guardian of the public interest</w:t>
      </w:r>
      <w:r w:rsidR="00523513">
        <w:rPr>
          <w:rFonts w:ascii="Times New Roman" w:hAnsi="Times New Roman" w:cs="Times New Roman"/>
          <w:i/>
          <w:iCs/>
          <w:sz w:val="24"/>
          <w:szCs w:val="24"/>
          <w:lang w:val="en-ZA"/>
        </w:rPr>
        <w:t>…</w:t>
      </w:r>
      <w:r w:rsidR="00C75728">
        <w:rPr>
          <w:rFonts w:ascii="Times New Roman" w:hAnsi="Times New Roman" w:cs="Times New Roman"/>
          <w:i/>
          <w:iCs/>
          <w:sz w:val="24"/>
          <w:szCs w:val="24"/>
          <w:lang w:val="en-ZA"/>
        </w:rPr>
        <w:t>”</w:t>
      </w:r>
      <w:r w:rsidR="00145896">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 </w:t>
      </w:r>
    </w:p>
    <w:p w14:paraId="193630A5" w14:textId="77777777" w:rsidR="008E3CEC" w:rsidRDefault="008E3CEC" w:rsidP="008E3CEC">
      <w:pPr>
        <w:spacing w:after="0" w:line="360" w:lineRule="auto"/>
        <w:ind w:right="1008"/>
        <w:jc w:val="both"/>
        <w:rPr>
          <w:rFonts w:ascii="Times New Roman" w:hAnsi="Times New Roman" w:cs="Times New Roman"/>
          <w:i/>
          <w:iCs/>
          <w:sz w:val="24"/>
          <w:szCs w:val="24"/>
          <w:lang w:val="en-ZA"/>
        </w:rPr>
      </w:pPr>
    </w:p>
    <w:p w14:paraId="79A0B382" w14:textId="554698B9" w:rsidR="00F16AB0" w:rsidRDefault="008E3CEC" w:rsidP="00910F2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In an application for Contempt of Court once the applicant has proved order, service or notice and the respondent bears an evidential burden </w:t>
      </w:r>
      <w:r w:rsidR="00910F23">
        <w:rPr>
          <w:rFonts w:ascii="Times New Roman" w:hAnsi="Times New Roman" w:cs="Times New Roman"/>
          <w:sz w:val="28"/>
          <w:szCs w:val="28"/>
          <w:lang w:val="en-ZA"/>
        </w:rPr>
        <w:t xml:space="preserve">in relation to wilfulness and </w:t>
      </w:r>
      <w:r w:rsidR="00910F23" w:rsidRPr="00047979">
        <w:rPr>
          <w:rFonts w:ascii="Times New Roman" w:hAnsi="Times New Roman" w:cs="Times New Roman"/>
          <w:i/>
          <w:iCs/>
          <w:sz w:val="28"/>
          <w:szCs w:val="28"/>
          <w:lang w:val="en-ZA"/>
        </w:rPr>
        <w:t>mala fides</w:t>
      </w:r>
      <w:r w:rsidR="00910F23">
        <w:rPr>
          <w:rFonts w:ascii="Times New Roman" w:hAnsi="Times New Roman" w:cs="Times New Roman"/>
          <w:sz w:val="28"/>
          <w:szCs w:val="28"/>
          <w:lang w:val="en-ZA"/>
        </w:rPr>
        <w:t xml:space="preserve">.  Should the respondent fail to establish a reasonable doubt as to whether non-compliance was wilful or </w:t>
      </w:r>
      <w:r w:rsidR="00910F23" w:rsidRPr="00047979">
        <w:rPr>
          <w:rFonts w:ascii="Times New Roman" w:hAnsi="Times New Roman" w:cs="Times New Roman"/>
          <w:i/>
          <w:iCs/>
          <w:sz w:val="28"/>
          <w:szCs w:val="28"/>
          <w:lang w:val="en-ZA"/>
        </w:rPr>
        <w:t>mala fides</w:t>
      </w:r>
      <w:r w:rsidR="00910F23">
        <w:rPr>
          <w:rFonts w:ascii="Times New Roman" w:hAnsi="Times New Roman" w:cs="Times New Roman"/>
          <w:sz w:val="28"/>
          <w:szCs w:val="28"/>
          <w:lang w:val="en-ZA"/>
        </w:rPr>
        <w:t>, contempt is taken to have been proved beyond a reasonable doubt (</w:t>
      </w:r>
      <w:r w:rsidR="008A5025">
        <w:rPr>
          <w:rFonts w:ascii="Times New Roman" w:hAnsi="Times New Roman" w:cs="Times New Roman"/>
          <w:b/>
          <w:bCs/>
          <w:sz w:val="28"/>
          <w:szCs w:val="28"/>
          <w:lang w:val="en-ZA"/>
        </w:rPr>
        <w:t>Fakie case at para. 42).</w:t>
      </w:r>
    </w:p>
    <w:p w14:paraId="105DE653" w14:textId="7D59ADF4" w:rsidR="008A5025" w:rsidRDefault="008A5025" w:rsidP="00910F23">
      <w:pPr>
        <w:spacing w:after="0" w:line="360" w:lineRule="auto"/>
        <w:ind w:left="720" w:hanging="720"/>
        <w:jc w:val="both"/>
        <w:rPr>
          <w:rFonts w:ascii="Times New Roman" w:hAnsi="Times New Roman" w:cs="Times New Roman"/>
          <w:b/>
          <w:bCs/>
          <w:sz w:val="28"/>
          <w:szCs w:val="28"/>
          <w:lang w:val="en-ZA"/>
        </w:rPr>
      </w:pPr>
    </w:p>
    <w:p w14:paraId="7473657F" w14:textId="13F6F3B3" w:rsidR="008A5025" w:rsidRDefault="008A5025" w:rsidP="00910F2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It emerged from the founding affidavit of the applicants that when the court order was served on the Accountant-General she could not stop the deductions for the months of December and January as the payments for the said months had already been processed, and that she undertook to ensure that the deductions for the ensuing months were halted.  Towards this</w:t>
      </w:r>
      <w:r w:rsidR="00883526">
        <w:rPr>
          <w:rFonts w:ascii="Times New Roman" w:hAnsi="Times New Roman" w:cs="Times New Roman"/>
          <w:sz w:val="28"/>
          <w:szCs w:val="28"/>
          <w:lang w:val="en-ZA"/>
        </w:rPr>
        <w:t xml:space="preserve"> end</w:t>
      </w:r>
      <w:r>
        <w:rPr>
          <w:rFonts w:ascii="Times New Roman" w:hAnsi="Times New Roman" w:cs="Times New Roman"/>
          <w:sz w:val="28"/>
          <w:szCs w:val="28"/>
          <w:lang w:val="en-ZA"/>
        </w:rPr>
        <w:t xml:space="preserve">, she instructed DATANET which hosts and manages the CDAS, the payroll system and the Ministry of Public Service which manages the public officers’ payroll, to stop the deductions.  The </w:t>
      </w:r>
      <w:proofErr w:type="spellStart"/>
      <w:r>
        <w:rPr>
          <w:rFonts w:ascii="Times New Roman" w:hAnsi="Times New Roman" w:cs="Times New Roman"/>
          <w:sz w:val="28"/>
          <w:szCs w:val="28"/>
          <w:lang w:val="en-ZA"/>
        </w:rPr>
        <w:t>Savingram</w:t>
      </w:r>
      <w:proofErr w:type="spellEnd"/>
      <w:r>
        <w:rPr>
          <w:rFonts w:ascii="Times New Roman" w:hAnsi="Times New Roman" w:cs="Times New Roman"/>
          <w:sz w:val="28"/>
          <w:szCs w:val="28"/>
          <w:lang w:val="en-ZA"/>
        </w:rPr>
        <w:t xml:space="preserve"> to this effect was issued on the 26 January 2022.  The deductions did not stop as directed, and from her answering affidavit, she expected the 1</w:t>
      </w:r>
      <w:r w:rsidRPr="008A502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8A502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to have stopped the deductions as they have been granted access rights into the CDAS to do so, because they were aware of the court order to that effect.  Upon realising that the deductions did not stop as she ordered, </w:t>
      </w:r>
      <w:r w:rsidR="00883526">
        <w:rPr>
          <w:rFonts w:ascii="Times New Roman" w:hAnsi="Times New Roman" w:cs="Times New Roman"/>
          <w:sz w:val="28"/>
          <w:szCs w:val="28"/>
          <w:lang w:val="en-ZA"/>
        </w:rPr>
        <w:t>she</w:t>
      </w:r>
      <w:r>
        <w:rPr>
          <w:rFonts w:ascii="Times New Roman" w:hAnsi="Times New Roman" w:cs="Times New Roman"/>
          <w:sz w:val="28"/>
          <w:szCs w:val="28"/>
          <w:lang w:val="en-ZA"/>
        </w:rPr>
        <w:t xml:space="preserve"> directed the payroll supervisor </w:t>
      </w:r>
      <w:r>
        <w:rPr>
          <w:rFonts w:ascii="Times New Roman" w:hAnsi="Times New Roman" w:cs="Times New Roman"/>
          <w:sz w:val="28"/>
          <w:szCs w:val="28"/>
          <w:lang w:val="en-ZA"/>
        </w:rPr>
        <w:lastRenderedPageBreak/>
        <w:t xml:space="preserve">to stop them, and that was done for the month of March </w:t>
      </w:r>
      <w:r w:rsidR="003A4E2F">
        <w:rPr>
          <w:rFonts w:ascii="Times New Roman" w:hAnsi="Times New Roman" w:cs="Times New Roman"/>
          <w:sz w:val="28"/>
          <w:szCs w:val="28"/>
          <w:lang w:val="en-ZA"/>
        </w:rPr>
        <w:t xml:space="preserve">and the ensuing period until the </w:t>
      </w:r>
      <w:r w:rsidR="003A4E2F" w:rsidRPr="00883526">
        <w:rPr>
          <w:rFonts w:ascii="Times New Roman" w:hAnsi="Times New Roman" w:cs="Times New Roman"/>
          <w:i/>
          <w:iCs/>
          <w:sz w:val="28"/>
          <w:szCs w:val="28"/>
          <w:lang w:val="en-ZA"/>
        </w:rPr>
        <w:t>rule nisi</w:t>
      </w:r>
      <w:r w:rsidR="003A4E2F">
        <w:rPr>
          <w:rFonts w:ascii="Times New Roman" w:hAnsi="Times New Roman" w:cs="Times New Roman"/>
          <w:sz w:val="28"/>
          <w:szCs w:val="28"/>
          <w:lang w:val="en-ZA"/>
        </w:rPr>
        <w:t xml:space="preserve"> was discharged.</w:t>
      </w:r>
    </w:p>
    <w:p w14:paraId="68FCEC55" w14:textId="4A035E68" w:rsidR="003A4E2F" w:rsidRDefault="003A4E2F" w:rsidP="00910F23">
      <w:pPr>
        <w:spacing w:after="0" w:line="360" w:lineRule="auto"/>
        <w:ind w:left="720" w:hanging="720"/>
        <w:jc w:val="both"/>
        <w:rPr>
          <w:rFonts w:ascii="Times New Roman" w:hAnsi="Times New Roman" w:cs="Times New Roman"/>
          <w:sz w:val="28"/>
          <w:szCs w:val="28"/>
          <w:lang w:val="en-ZA"/>
        </w:rPr>
      </w:pPr>
    </w:p>
    <w:p w14:paraId="59E4B415" w14:textId="4375B857" w:rsidR="00DC5F7A" w:rsidRDefault="003A4E2F" w:rsidP="00910F2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 xml:space="preserve">Upon the conspectus of all these facts, can it be said that the Accountant-General was wilful and </w:t>
      </w:r>
      <w:r w:rsidRPr="00883526">
        <w:rPr>
          <w:rFonts w:ascii="Times New Roman" w:hAnsi="Times New Roman" w:cs="Times New Roman"/>
          <w:i/>
          <w:iCs/>
          <w:sz w:val="28"/>
          <w:szCs w:val="28"/>
          <w:lang w:val="en-ZA"/>
        </w:rPr>
        <w:t>mala fide</w:t>
      </w:r>
      <w:r>
        <w:rPr>
          <w:rFonts w:ascii="Times New Roman" w:hAnsi="Times New Roman" w:cs="Times New Roman"/>
          <w:sz w:val="28"/>
          <w:szCs w:val="28"/>
          <w:lang w:val="en-ZA"/>
        </w:rPr>
        <w:t xml:space="preserve"> in not obeying the court order?  Surely the answer should be in the negative.  She could not stop the deductions for the two months of December and January because by the time she was served with the court order</w:t>
      </w:r>
      <w:r w:rsidR="00883526">
        <w:rPr>
          <w:rFonts w:ascii="Times New Roman" w:hAnsi="Times New Roman" w:cs="Times New Roman"/>
          <w:sz w:val="28"/>
          <w:szCs w:val="28"/>
          <w:lang w:val="en-ZA"/>
        </w:rPr>
        <w:t>,</w:t>
      </w:r>
      <w:r>
        <w:rPr>
          <w:rFonts w:ascii="Times New Roman" w:hAnsi="Times New Roman" w:cs="Times New Roman"/>
          <w:sz w:val="28"/>
          <w:szCs w:val="28"/>
          <w:lang w:val="en-ZA"/>
        </w:rPr>
        <w:t xml:space="preserve"> payment of salaries for the two months had already been processed.  In January she issued a directive to the Principal Secretary Ministry of Public Service, to stop the deductions but that did not happen until she directed the payroll Supervisor to do so.  She always laboured under the belief that the 1</w:t>
      </w:r>
      <w:r w:rsidRPr="003A4E2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3A4E2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for their being privy </w:t>
      </w:r>
      <w:r w:rsidR="006C1C2A">
        <w:rPr>
          <w:rFonts w:ascii="Times New Roman" w:hAnsi="Times New Roman" w:cs="Times New Roman"/>
          <w:sz w:val="28"/>
          <w:szCs w:val="28"/>
          <w:lang w:val="en-ZA"/>
        </w:rPr>
        <w:t xml:space="preserve">to the court proceedings in which a court </w:t>
      </w:r>
      <w:r w:rsidR="00883526">
        <w:rPr>
          <w:rFonts w:ascii="Times New Roman" w:hAnsi="Times New Roman" w:cs="Times New Roman"/>
          <w:sz w:val="28"/>
          <w:szCs w:val="28"/>
          <w:lang w:val="en-ZA"/>
        </w:rPr>
        <w:t xml:space="preserve">order </w:t>
      </w:r>
      <w:r w:rsidR="006C1C2A">
        <w:rPr>
          <w:rFonts w:ascii="Times New Roman" w:hAnsi="Times New Roman" w:cs="Times New Roman"/>
          <w:sz w:val="28"/>
          <w:szCs w:val="28"/>
          <w:lang w:val="en-ZA"/>
        </w:rPr>
        <w:t xml:space="preserve">in question was issued, would stop the deductions because they have been granted such rights.  </w:t>
      </w:r>
      <w:proofErr w:type="gramStart"/>
      <w:r w:rsidR="006C1C2A">
        <w:rPr>
          <w:rFonts w:ascii="Times New Roman" w:hAnsi="Times New Roman" w:cs="Times New Roman"/>
          <w:sz w:val="28"/>
          <w:szCs w:val="28"/>
          <w:lang w:val="en-ZA"/>
        </w:rPr>
        <w:t>On the basis of</w:t>
      </w:r>
      <w:proofErr w:type="gramEnd"/>
      <w:r w:rsidR="006C1C2A">
        <w:rPr>
          <w:rFonts w:ascii="Times New Roman" w:hAnsi="Times New Roman" w:cs="Times New Roman"/>
          <w:sz w:val="28"/>
          <w:szCs w:val="28"/>
          <w:lang w:val="en-ZA"/>
        </w:rPr>
        <w:t xml:space="preserve"> all these facts</w:t>
      </w:r>
      <w:r w:rsidR="00DC5F7A">
        <w:rPr>
          <w:rFonts w:ascii="Times New Roman" w:hAnsi="Times New Roman" w:cs="Times New Roman"/>
          <w:sz w:val="28"/>
          <w:szCs w:val="28"/>
          <w:lang w:val="en-ZA"/>
        </w:rPr>
        <w:t xml:space="preserve">, it is my considered </w:t>
      </w:r>
      <w:r w:rsidR="00883526">
        <w:rPr>
          <w:rFonts w:ascii="Times New Roman" w:hAnsi="Times New Roman" w:cs="Times New Roman"/>
          <w:sz w:val="28"/>
          <w:szCs w:val="28"/>
          <w:lang w:val="en-ZA"/>
        </w:rPr>
        <w:t xml:space="preserve">view </w:t>
      </w:r>
      <w:r w:rsidR="00DC5F7A">
        <w:rPr>
          <w:rFonts w:ascii="Times New Roman" w:hAnsi="Times New Roman" w:cs="Times New Roman"/>
          <w:sz w:val="28"/>
          <w:szCs w:val="28"/>
          <w:lang w:val="en-ZA"/>
        </w:rPr>
        <w:t xml:space="preserve">it has not been </w:t>
      </w:r>
      <w:r w:rsidR="00883526">
        <w:rPr>
          <w:rFonts w:ascii="Times New Roman" w:hAnsi="Times New Roman" w:cs="Times New Roman"/>
          <w:sz w:val="28"/>
          <w:szCs w:val="28"/>
          <w:lang w:val="en-ZA"/>
        </w:rPr>
        <w:t xml:space="preserve">proved </w:t>
      </w:r>
      <w:r w:rsidR="00DC5F7A">
        <w:rPr>
          <w:rFonts w:ascii="Times New Roman" w:hAnsi="Times New Roman" w:cs="Times New Roman"/>
          <w:sz w:val="28"/>
          <w:szCs w:val="28"/>
          <w:lang w:val="en-ZA"/>
        </w:rPr>
        <w:t xml:space="preserve">beyond </w:t>
      </w:r>
      <w:r w:rsidR="00883526">
        <w:rPr>
          <w:rFonts w:ascii="Times New Roman" w:hAnsi="Times New Roman" w:cs="Times New Roman"/>
          <w:sz w:val="28"/>
          <w:szCs w:val="28"/>
          <w:lang w:val="en-ZA"/>
        </w:rPr>
        <w:t xml:space="preserve">a </w:t>
      </w:r>
      <w:r w:rsidR="00DC5F7A">
        <w:rPr>
          <w:rFonts w:ascii="Times New Roman" w:hAnsi="Times New Roman" w:cs="Times New Roman"/>
          <w:sz w:val="28"/>
          <w:szCs w:val="28"/>
          <w:lang w:val="en-ZA"/>
        </w:rPr>
        <w:t>reasonable doubt that the 6</w:t>
      </w:r>
      <w:r w:rsidR="00DC5F7A" w:rsidRPr="00DC5F7A">
        <w:rPr>
          <w:rFonts w:ascii="Times New Roman" w:hAnsi="Times New Roman" w:cs="Times New Roman"/>
          <w:sz w:val="28"/>
          <w:szCs w:val="28"/>
          <w:vertAlign w:val="superscript"/>
          <w:lang w:val="en-ZA"/>
        </w:rPr>
        <w:t>th</w:t>
      </w:r>
      <w:r w:rsidR="00DC5F7A">
        <w:rPr>
          <w:rFonts w:ascii="Times New Roman" w:hAnsi="Times New Roman" w:cs="Times New Roman"/>
          <w:sz w:val="28"/>
          <w:szCs w:val="28"/>
          <w:lang w:val="en-ZA"/>
        </w:rPr>
        <w:t xml:space="preserve"> respondent was wilful and </w:t>
      </w:r>
      <w:r w:rsidR="00DC5F7A" w:rsidRPr="00883526">
        <w:rPr>
          <w:rFonts w:ascii="Times New Roman" w:hAnsi="Times New Roman" w:cs="Times New Roman"/>
          <w:i/>
          <w:iCs/>
          <w:sz w:val="28"/>
          <w:szCs w:val="28"/>
          <w:lang w:val="en-ZA"/>
        </w:rPr>
        <w:t>mala fides</w:t>
      </w:r>
      <w:r w:rsidR="00DC5F7A">
        <w:rPr>
          <w:rFonts w:ascii="Times New Roman" w:hAnsi="Times New Roman" w:cs="Times New Roman"/>
          <w:sz w:val="28"/>
          <w:szCs w:val="28"/>
          <w:lang w:val="en-ZA"/>
        </w:rPr>
        <w:t xml:space="preserve"> in not stopping the deductions for the months in question.  I turn, now, to deal with the issue of refunds.</w:t>
      </w:r>
    </w:p>
    <w:p w14:paraId="0C9C1D79" w14:textId="77777777" w:rsidR="00DC5F7A" w:rsidRDefault="00DC5F7A" w:rsidP="00910F23">
      <w:pPr>
        <w:spacing w:after="0" w:line="360" w:lineRule="auto"/>
        <w:ind w:left="720" w:hanging="720"/>
        <w:jc w:val="both"/>
        <w:rPr>
          <w:rFonts w:ascii="Times New Roman" w:hAnsi="Times New Roman" w:cs="Times New Roman"/>
          <w:sz w:val="28"/>
          <w:szCs w:val="28"/>
          <w:lang w:val="en-ZA"/>
        </w:rPr>
      </w:pPr>
    </w:p>
    <w:p w14:paraId="7E499A56" w14:textId="73BEB24A" w:rsidR="003A4E2F" w:rsidRDefault="00DC5F7A" w:rsidP="00910F2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(ii)</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Refunds of the money deducted during the currency of the court </w:t>
      </w:r>
      <w:r>
        <w:rPr>
          <w:rFonts w:ascii="Times New Roman" w:hAnsi="Times New Roman" w:cs="Times New Roman"/>
          <w:b/>
          <w:bCs/>
          <w:sz w:val="28"/>
          <w:szCs w:val="28"/>
          <w:lang w:val="en-ZA"/>
        </w:rPr>
        <w:tab/>
        <w:t>order prohibiting same</w:t>
      </w:r>
      <w:r w:rsidR="00DC4050">
        <w:rPr>
          <w:rFonts w:ascii="Times New Roman" w:hAnsi="Times New Roman" w:cs="Times New Roman"/>
          <w:sz w:val="28"/>
          <w:szCs w:val="28"/>
          <w:lang w:val="en-ZA"/>
        </w:rPr>
        <w:t>.</w:t>
      </w:r>
    </w:p>
    <w:p w14:paraId="787C6E42" w14:textId="6D974806" w:rsidR="00DC4050" w:rsidRDefault="00DC4050" w:rsidP="00C61741">
      <w:pPr>
        <w:spacing w:after="0" w:line="360" w:lineRule="auto"/>
        <w:ind w:left="794"/>
        <w:jc w:val="both"/>
        <w:rPr>
          <w:rFonts w:ascii="Times New Roman" w:hAnsi="Times New Roman" w:cs="Times New Roman"/>
          <w:b/>
          <w:bCs/>
          <w:sz w:val="28"/>
          <w:szCs w:val="28"/>
          <w:lang w:val="en-ZA"/>
        </w:rPr>
      </w:pPr>
      <w:r>
        <w:rPr>
          <w:rFonts w:ascii="Times New Roman" w:hAnsi="Times New Roman" w:cs="Times New Roman"/>
          <w:sz w:val="28"/>
          <w:szCs w:val="28"/>
          <w:lang w:val="en-ZA"/>
        </w:rPr>
        <w:t>It is common ground that deductions were made contrary to the order of this court.  It is also common cause that the applicants were indebted to the 1</w:t>
      </w:r>
      <w:r w:rsidRPr="00DC405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DC4050">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for loans advanced.  What remains to be determined is whether the applicants are entitled to recover the monies so deducted contrary to the dictates of the order of this court.  The matter is not that straightforward</w:t>
      </w:r>
      <w:r w:rsidR="00FF3A36">
        <w:rPr>
          <w:rFonts w:ascii="Times New Roman" w:hAnsi="Times New Roman" w:cs="Times New Roman"/>
          <w:sz w:val="28"/>
          <w:szCs w:val="28"/>
          <w:lang w:val="en-ZA"/>
        </w:rPr>
        <w:t xml:space="preserve"> as the applicants seem to think</w:t>
      </w:r>
      <w:r>
        <w:rPr>
          <w:rFonts w:ascii="Times New Roman" w:hAnsi="Times New Roman" w:cs="Times New Roman"/>
          <w:sz w:val="28"/>
          <w:szCs w:val="28"/>
          <w:lang w:val="en-ZA"/>
        </w:rPr>
        <w:t xml:space="preserve">: </w:t>
      </w:r>
      <w:r w:rsidR="00FF3A36">
        <w:rPr>
          <w:rFonts w:ascii="Times New Roman" w:hAnsi="Times New Roman" w:cs="Times New Roman"/>
          <w:sz w:val="28"/>
          <w:szCs w:val="28"/>
          <w:lang w:val="en-ZA"/>
        </w:rPr>
        <w:t>t</w:t>
      </w:r>
      <w:r>
        <w:rPr>
          <w:rFonts w:ascii="Times New Roman" w:hAnsi="Times New Roman" w:cs="Times New Roman"/>
          <w:sz w:val="28"/>
          <w:szCs w:val="28"/>
          <w:lang w:val="en-ZA"/>
        </w:rPr>
        <w:t xml:space="preserve">he applicants’ right of recovery does not lie </w:t>
      </w:r>
      <w:r>
        <w:rPr>
          <w:rFonts w:ascii="Times New Roman" w:hAnsi="Times New Roman" w:cs="Times New Roman"/>
          <w:sz w:val="28"/>
          <w:szCs w:val="28"/>
          <w:lang w:val="en-ZA"/>
        </w:rPr>
        <w:lastRenderedPageBreak/>
        <w:t>in ownership of the money deducted, put differently, a vindicatory relief is not competent in the circumstances.  The reason for this position is simple.  Once the applicants’ money got mixed with the 1</w:t>
      </w:r>
      <w:r w:rsidRPr="00DC405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DC4050">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w:t>
      </w:r>
      <w:r w:rsidR="00FF3A36">
        <w:rPr>
          <w:rFonts w:ascii="Times New Roman" w:hAnsi="Times New Roman" w:cs="Times New Roman"/>
          <w:sz w:val="28"/>
          <w:szCs w:val="28"/>
          <w:lang w:val="en-ZA"/>
        </w:rPr>
        <w:t>’,</w:t>
      </w:r>
      <w:r>
        <w:rPr>
          <w:rFonts w:ascii="Times New Roman" w:hAnsi="Times New Roman" w:cs="Times New Roman"/>
          <w:sz w:val="28"/>
          <w:szCs w:val="28"/>
          <w:lang w:val="en-ZA"/>
        </w:rPr>
        <w:t xml:space="preserve"> ownership thereof passed on to the respondents by operation of law (</w:t>
      </w:r>
      <w:r>
        <w:rPr>
          <w:rFonts w:ascii="Times New Roman" w:hAnsi="Times New Roman" w:cs="Times New Roman"/>
          <w:b/>
          <w:bCs/>
          <w:sz w:val="28"/>
          <w:szCs w:val="28"/>
          <w:lang w:val="en-ZA"/>
        </w:rPr>
        <w:t>First National Bank of Southern Africa Ltd v Perry NO and Others 2001 (3) SA 960 at 967 H – J).</w:t>
      </w:r>
    </w:p>
    <w:p w14:paraId="60A39C96" w14:textId="77777777" w:rsidR="00DC4050" w:rsidRDefault="00DC4050" w:rsidP="00C61741">
      <w:pPr>
        <w:spacing w:after="0" w:line="360" w:lineRule="auto"/>
        <w:ind w:left="794"/>
        <w:jc w:val="both"/>
        <w:rPr>
          <w:rFonts w:ascii="Times New Roman" w:hAnsi="Times New Roman" w:cs="Times New Roman"/>
          <w:b/>
          <w:bCs/>
          <w:sz w:val="28"/>
          <w:szCs w:val="28"/>
          <w:lang w:val="en-ZA"/>
        </w:rPr>
      </w:pPr>
    </w:p>
    <w:p w14:paraId="54A11862" w14:textId="1298B7CC" w:rsidR="00E00259" w:rsidRDefault="00824893" w:rsidP="008844F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sidR="008844FB">
        <w:rPr>
          <w:rFonts w:ascii="Times New Roman" w:hAnsi="Times New Roman" w:cs="Times New Roman"/>
          <w:sz w:val="28"/>
          <w:szCs w:val="28"/>
          <w:lang w:val="en-ZA"/>
        </w:rPr>
        <w:t xml:space="preserve">Given that a vindicatory relief is not available to the applicants what remained </w:t>
      </w:r>
      <w:r w:rsidR="00C63D1A">
        <w:rPr>
          <w:rFonts w:ascii="Times New Roman" w:hAnsi="Times New Roman" w:cs="Times New Roman"/>
          <w:sz w:val="28"/>
          <w:szCs w:val="28"/>
          <w:lang w:val="en-ZA"/>
        </w:rPr>
        <w:t xml:space="preserve">for them was to allege and prove that the respondents were unjustly enriched, by invoking </w:t>
      </w:r>
      <w:r w:rsidR="00C63D1A" w:rsidRPr="00C63D1A">
        <w:rPr>
          <w:rFonts w:ascii="Times New Roman" w:hAnsi="Times New Roman" w:cs="Times New Roman"/>
          <w:i/>
          <w:iCs/>
          <w:sz w:val="28"/>
          <w:szCs w:val="28"/>
          <w:lang w:val="en-ZA"/>
        </w:rPr>
        <w:t xml:space="preserve">condictio </w:t>
      </w:r>
      <w:proofErr w:type="spellStart"/>
      <w:r w:rsidR="00C63D1A" w:rsidRPr="00C63D1A">
        <w:rPr>
          <w:rFonts w:ascii="Times New Roman" w:hAnsi="Times New Roman" w:cs="Times New Roman"/>
          <w:i/>
          <w:iCs/>
          <w:sz w:val="28"/>
          <w:szCs w:val="28"/>
          <w:lang w:val="en-ZA"/>
        </w:rPr>
        <w:t>ob</w:t>
      </w:r>
      <w:proofErr w:type="spellEnd"/>
      <w:r w:rsidR="00C63D1A" w:rsidRPr="00C63D1A">
        <w:rPr>
          <w:rFonts w:ascii="Times New Roman" w:hAnsi="Times New Roman" w:cs="Times New Roman"/>
          <w:i/>
          <w:iCs/>
          <w:sz w:val="28"/>
          <w:szCs w:val="28"/>
          <w:lang w:val="en-ZA"/>
        </w:rPr>
        <w:t xml:space="preserve"> </w:t>
      </w:r>
      <w:proofErr w:type="spellStart"/>
      <w:r w:rsidR="00C63D1A" w:rsidRPr="00C63D1A">
        <w:rPr>
          <w:rFonts w:ascii="Times New Roman" w:hAnsi="Times New Roman" w:cs="Times New Roman"/>
          <w:i/>
          <w:iCs/>
          <w:sz w:val="28"/>
          <w:szCs w:val="28"/>
          <w:lang w:val="en-ZA"/>
        </w:rPr>
        <w:t>turpen</w:t>
      </w:r>
      <w:proofErr w:type="spellEnd"/>
      <w:r w:rsidR="00C63D1A" w:rsidRPr="00C63D1A">
        <w:rPr>
          <w:rFonts w:ascii="Times New Roman" w:hAnsi="Times New Roman" w:cs="Times New Roman"/>
          <w:i/>
          <w:iCs/>
          <w:sz w:val="28"/>
          <w:szCs w:val="28"/>
          <w:lang w:val="en-ZA"/>
        </w:rPr>
        <w:t xml:space="preserve"> </w:t>
      </w:r>
      <w:proofErr w:type="spellStart"/>
      <w:r w:rsidR="00C63D1A" w:rsidRPr="00C63D1A">
        <w:rPr>
          <w:rFonts w:ascii="Times New Roman" w:hAnsi="Times New Roman" w:cs="Times New Roman"/>
          <w:i/>
          <w:iCs/>
          <w:sz w:val="28"/>
          <w:szCs w:val="28"/>
          <w:lang w:val="en-ZA"/>
        </w:rPr>
        <w:t>vel</w:t>
      </w:r>
      <w:proofErr w:type="spellEnd"/>
      <w:r w:rsidR="00C63D1A" w:rsidRPr="00C63D1A">
        <w:rPr>
          <w:rFonts w:ascii="Times New Roman" w:hAnsi="Times New Roman" w:cs="Times New Roman"/>
          <w:i/>
          <w:iCs/>
          <w:sz w:val="28"/>
          <w:szCs w:val="28"/>
          <w:lang w:val="en-ZA"/>
        </w:rPr>
        <w:t xml:space="preserve"> </w:t>
      </w:r>
      <w:proofErr w:type="spellStart"/>
      <w:r w:rsidR="00C63D1A" w:rsidRPr="00C63D1A">
        <w:rPr>
          <w:rFonts w:ascii="Times New Roman" w:hAnsi="Times New Roman" w:cs="Times New Roman"/>
          <w:i/>
          <w:iCs/>
          <w:sz w:val="28"/>
          <w:szCs w:val="28"/>
          <w:lang w:val="en-ZA"/>
        </w:rPr>
        <w:t>iniustam</w:t>
      </w:r>
      <w:proofErr w:type="spellEnd"/>
      <w:r w:rsidR="00C63D1A" w:rsidRPr="00C63D1A">
        <w:rPr>
          <w:rFonts w:ascii="Times New Roman" w:hAnsi="Times New Roman" w:cs="Times New Roman"/>
          <w:i/>
          <w:iCs/>
          <w:sz w:val="28"/>
          <w:szCs w:val="28"/>
          <w:lang w:val="en-ZA"/>
        </w:rPr>
        <w:t xml:space="preserve"> </w:t>
      </w:r>
      <w:proofErr w:type="spellStart"/>
      <w:r w:rsidR="00C63D1A" w:rsidRPr="00C63D1A">
        <w:rPr>
          <w:rFonts w:ascii="Times New Roman" w:hAnsi="Times New Roman" w:cs="Times New Roman"/>
          <w:i/>
          <w:iCs/>
          <w:sz w:val="28"/>
          <w:szCs w:val="28"/>
          <w:lang w:val="en-ZA"/>
        </w:rPr>
        <w:t>causam</w:t>
      </w:r>
      <w:proofErr w:type="spellEnd"/>
      <w:r w:rsidR="00C63D1A">
        <w:rPr>
          <w:rFonts w:ascii="Times New Roman" w:hAnsi="Times New Roman" w:cs="Times New Roman"/>
          <w:sz w:val="28"/>
          <w:szCs w:val="28"/>
          <w:lang w:val="en-ZA"/>
        </w:rPr>
        <w:t xml:space="preserve">.  This course of action is used to reclaim money or property which has been transferred in terms of an illegal contract.  An agreement is illegal if it is prohibited expressly or by implication by law or where its conclusion (its subject matter or purpose) is </w:t>
      </w:r>
      <w:r w:rsidR="00C63D1A" w:rsidRPr="003F1BB2">
        <w:rPr>
          <w:rFonts w:ascii="Times New Roman" w:hAnsi="Times New Roman" w:cs="Times New Roman"/>
          <w:i/>
          <w:iCs/>
          <w:sz w:val="28"/>
          <w:szCs w:val="28"/>
          <w:lang w:val="en-ZA"/>
        </w:rPr>
        <w:t xml:space="preserve">contra </w:t>
      </w:r>
      <w:proofErr w:type="spellStart"/>
      <w:r w:rsidR="00C63D1A" w:rsidRPr="003F1BB2">
        <w:rPr>
          <w:rFonts w:ascii="Times New Roman" w:hAnsi="Times New Roman" w:cs="Times New Roman"/>
          <w:i/>
          <w:iCs/>
          <w:sz w:val="28"/>
          <w:szCs w:val="28"/>
          <w:lang w:val="en-ZA"/>
        </w:rPr>
        <w:t>bonos</w:t>
      </w:r>
      <w:proofErr w:type="spellEnd"/>
      <w:r w:rsidR="00C63D1A" w:rsidRPr="003F1BB2">
        <w:rPr>
          <w:rFonts w:ascii="Times New Roman" w:hAnsi="Times New Roman" w:cs="Times New Roman"/>
          <w:i/>
          <w:iCs/>
          <w:sz w:val="28"/>
          <w:szCs w:val="28"/>
          <w:lang w:val="en-ZA"/>
        </w:rPr>
        <w:t xml:space="preserve"> mores</w:t>
      </w:r>
      <w:r w:rsidR="00646810">
        <w:rPr>
          <w:rFonts w:ascii="Times New Roman" w:hAnsi="Times New Roman" w:cs="Times New Roman"/>
          <w:sz w:val="28"/>
          <w:szCs w:val="28"/>
          <w:lang w:val="en-ZA"/>
        </w:rPr>
        <w:t xml:space="preserve"> </w:t>
      </w:r>
      <w:r w:rsidR="003254F5">
        <w:rPr>
          <w:rFonts w:ascii="Times New Roman" w:hAnsi="Times New Roman" w:cs="Times New Roman"/>
          <w:sz w:val="28"/>
          <w:szCs w:val="28"/>
          <w:lang w:val="en-ZA"/>
        </w:rPr>
        <w:t>(</w:t>
      </w:r>
      <w:proofErr w:type="spellStart"/>
      <w:r w:rsidR="003254F5" w:rsidRPr="003F1BB2">
        <w:rPr>
          <w:rFonts w:ascii="Times New Roman" w:hAnsi="Times New Roman" w:cs="Times New Roman"/>
          <w:sz w:val="28"/>
          <w:szCs w:val="28"/>
          <w:lang w:val="en-ZA"/>
        </w:rPr>
        <w:t>Eiselen</w:t>
      </w:r>
      <w:proofErr w:type="spellEnd"/>
      <w:r w:rsidR="003254F5" w:rsidRPr="003F1BB2">
        <w:rPr>
          <w:rFonts w:ascii="Times New Roman" w:hAnsi="Times New Roman" w:cs="Times New Roman"/>
          <w:sz w:val="28"/>
          <w:szCs w:val="28"/>
          <w:lang w:val="en-ZA"/>
        </w:rPr>
        <w:t xml:space="preserve"> and Pienaar</w:t>
      </w:r>
      <w:r w:rsidR="003254F5">
        <w:rPr>
          <w:rFonts w:ascii="Times New Roman" w:hAnsi="Times New Roman" w:cs="Times New Roman"/>
          <w:b/>
          <w:bCs/>
          <w:sz w:val="28"/>
          <w:szCs w:val="28"/>
          <w:lang w:val="en-ZA"/>
        </w:rPr>
        <w:t xml:space="preserve"> “Unjustified Enrichment: A</w:t>
      </w:r>
      <w:r w:rsidR="00E00259">
        <w:rPr>
          <w:rFonts w:ascii="Times New Roman" w:hAnsi="Times New Roman" w:cs="Times New Roman"/>
          <w:b/>
          <w:bCs/>
          <w:sz w:val="28"/>
          <w:szCs w:val="28"/>
          <w:lang w:val="en-ZA"/>
        </w:rPr>
        <w:t xml:space="preserve"> Casebook” 2</w:t>
      </w:r>
      <w:r w:rsidR="00E00259" w:rsidRPr="00E00259">
        <w:rPr>
          <w:rFonts w:ascii="Times New Roman" w:hAnsi="Times New Roman" w:cs="Times New Roman"/>
          <w:b/>
          <w:bCs/>
          <w:sz w:val="28"/>
          <w:szCs w:val="28"/>
          <w:vertAlign w:val="superscript"/>
          <w:lang w:val="en-ZA"/>
        </w:rPr>
        <w:t>nd</w:t>
      </w:r>
      <w:r w:rsidR="00E00259">
        <w:rPr>
          <w:rFonts w:ascii="Times New Roman" w:hAnsi="Times New Roman" w:cs="Times New Roman"/>
          <w:b/>
          <w:bCs/>
          <w:sz w:val="28"/>
          <w:szCs w:val="28"/>
          <w:lang w:val="en-ZA"/>
        </w:rPr>
        <w:t xml:space="preserve"> ed. (Butterworths) at p.89).</w:t>
      </w:r>
    </w:p>
    <w:p w14:paraId="556E894A" w14:textId="77777777" w:rsidR="00E00259" w:rsidRDefault="00E00259" w:rsidP="008844FB">
      <w:pPr>
        <w:spacing w:after="0" w:line="360" w:lineRule="auto"/>
        <w:ind w:left="720" w:hanging="720"/>
        <w:jc w:val="both"/>
        <w:rPr>
          <w:rFonts w:ascii="Times New Roman" w:hAnsi="Times New Roman" w:cs="Times New Roman"/>
          <w:b/>
          <w:bCs/>
          <w:sz w:val="28"/>
          <w:szCs w:val="28"/>
          <w:lang w:val="en-ZA"/>
        </w:rPr>
      </w:pPr>
    </w:p>
    <w:p w14:paraId="038FD2DF" w14:textId="1C0911D2" w:rsidR="00E00259" w:rsidRDefault="00E00259" w:rsidP="003F1BB2">
      <w:pPr>
        <w:pStyle w:val="BodyTextIndent"/>
      </w:pPr>
      <w:r>
        <w:t>[15]</w:t>
      </w:r>
      <w:r>
        <w:tab/>
      </w:r>
      <w:r w:rsidR="003F1BB2">
        <w:t>A</w:t>
      </w:r>
      <w:r>
        <w:t>n agreement which is contrary to the dictates of the Order of this Court falls within the realm of this course of action.  It must be stated that the applicants did not expressly say that they are relying on this course of action.  The court is merely being generous in its interpretation of the applicants’ case. The applicants did not allege unjust enrichment.</w:t>
      </w:r>
    </w:p>
    <w:p w14:paraId="79B50750" w14:textId="77777777" w:rsidR="00E00259" w:rsidRDefault="00E00259" w:rsidP="008844FB">
      <w:pPr>
        <w:spacing w:after="0" w:line="360" w:lineRule="auto"/>
        <w:ind w:left="720" w:hanging="720"/>
        <w:jc w:val="both"/>
        <w:rPr>
          <w:rFonts w:ascii="Times New Roman" w:hAnsi="Times New Roman" w:cs="Times New Roman"/>
          <w:sz w:val="28"/>
          <w:szCs w:val="28"/>
          <w:lang w:val="en-ZA"/>
        </w:rPr>
      </w:pPr>
    </w:p>
    <w:p w14:paraId="5221CE47" w14:textId="01C9951E" w:rsidR="00830D69" w:rsidRDefault="00E00259" w:rsidP="008844F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 xml:space="preserve">In terms of </w:t>
      </w:r>
      <w:r w:rsidR="00830D69">
        <w:rPr>
          <w:rFonts w:ascii="Times New Roman" w:hAnsi="Times New Roman" w:cs="Times New Roman"/>
          <w:b/>
          <w:bCs/>
          <w:sz w:val="28"/>
          <w:szCs w:val="28"/>
          <w:lang w:val="en-ZA"/>
        </w:rPr>
        <w:t>FNB v Perry NO and others (above)</w:t>
      </w:r>
      <w:r w:rsidR="00830D69">
        <w:rPr>
          <w:rFonts w:ascii="Times New Roman" w:hAnsi="Times New Roman" w:cs="Times New Roman"/>
          <w:sz w:val="28"/>
          <w:szCs w:val="28"/>
          <w:lang w:val="en-ZA"/>
        </w:rPr>
        <w:t xml:space="preserve"> condictio </w:t>
      </w:r>
      <w:proofErr w:type="spellStart"/>
      <w:r w:rsidR="00830D69" w:rsidRPr="00830D69">
        <w:rPr>
          <w:rFonts w:ascii="Times New Roman" w:hAnsi="Times New Roman" w:cs="Times New Roman"/>
          <w:i/>
          <w:iCs/>
          <w:sz w:val="28"/>
          <w:szCs w:val="28"/>
          <w:lang w:val="en-ZA"/>
        </w:rPr>
        <w:t>ob</w:t>
      </w:r>
      <w:proofErr w:type="spellEnd"/>
      <w:r w:rsidR="00830D69" w:rsidRPr="00830D69">
        <w:rPr>
          <w:rFonts w:ascii="Times New Roman" w:hAnsi="Times New Roman" w:cs="Times New Roman"/>
          <w:i/>
          <w:iCs/>
          <w:sz w:val="28"/>
          <w:szCs w:val="28"/>
          <w:lang w:val="en-ZA"/>
        </w:rPr>
        <w:t xml:space="preserve"> </w:t>
      </w:r>
      <w:proofErr w:type="spellStart"/>
      <w:r w:rsidR="00830D69" w:rsidRPr="00830D69">
        <w:rPr>
          <w:rFonts w:ascii="Times New Roman" w:hAnsi="Times New Roman" w:cs="Times New Roman"/>
          <w:i/>
          <w:iCs/>
          <w:sz w:val="28"/>
          <w:szCs w:val="28"/>
          <w:lang w:val="en-ZA"/>
        </w:rPr>
        <w:t>turpem</w:t>
      </w:r>
      <w:proofErr w:type="spellEnd"/>
      <w:r w:rsidR="00830D69" w:rsidRPr="00830D69">
        <w:rPr>
          <w:rFonts w:ascii="Times New Roman" w:hAnsi="Times New Roman" w:cs="Times New Roman"/>
          <w:i/>
          <w:iCs/>
          <w:sz w:val="28"/>
          <w:szCs w:val="28"/>
          <w:lang w:val="en-ZA"/>
        </w:rPr>
        <w:t xml:space="preserve"> </w:t>
      </w:r>
      <w:proofErr w:type="spellStart"/>
      <w:r w:rsidR="00830D69" w:rsidRPr="00830D69">
        <w:rPr>
          <w:rFonts w:ascii="Times New Roman" w:hAnsi="Times New Roman" w:cs="Times New Roman"/>
          <w:i/>
          <w:iCs/>
          <w:sz w:val="28"/>
          <w:szCs w:val="28"/>
          <w:lang w:val="en-ZA"/>
        </w:rPr>
        <w:t>causam</w:t>
      </w:r>
      <w:proofErr w:type="spellEnd"/>
      <w:r w:rsidR="00830D69">
        <w:rPr>
          <w:rFonts w:ascii="Times New Roman" w:hAnsi="Times New Roman" w:cs="Times New Roman"/>
          <w:sz w:val="28"/>
          <w:szCs w:val="28"/>
          <w:lang w:val="en-ZA"/>
        </w:rPr>
        <w:t xml:space="preserve"> is applicable to the defendant who knew of the taint of the thing at time he acquires it and in </w:t>
      </w:r>
      <w:r w:rsidR="003F1BB2">
        <w:rPr>
          <w:rFonts w:ascii="Times New Roman" w:hAnsi="Times New Roman" w:cs="Times New Roman"/>
          <w:sz w:val="28"/>
          <w:szCs w:val="28"/>
          <w:lang w:val="en-ZA"/>
        </w:rPr>
        <w:t xml:space="preserve">situation </w:t>
      </w:r>
      <w:r w:rsidR="00830D69">
        <w:rPr>
          <w:rFonts w:ascii="Times New Roman" w:hAnsi="Times New Roman" w:cs="Times New Roman"/>
          <w:sz w:val="28"/>
          <w:szCs w:val="28"/>
          <w:lang w:val="en-ZA"/>
        </w:rPr>
        <w:t>where he learns of the taint after acquiring the thing.  Importantly, however, at p.970 D – E the Court said:</w:t>
      </w:r>
    </w:p>
    <w:p w14:paraId="11890EC9" w14:textId="520901F8" w:rsidR="00830D69" w:rsidRDefault="00830D69" w:rsidP="008844FB">
      <w:pPr>
        <w:spacing w:after="0" w:line="360" w:lineRule="auto"/>
        <w:ind w:left="720" w:hanging="720"/>
        <w:jc w:val="both"/>
        <w:rPr>
          <w:rFonts w:ascii="Times New Roman" w:hAnsi="Times New Roman" w:cs="Times New Roman"/>
          <w:sz w:val="28"/>
          <w:szCs w:val="28"/>
          <w:lang w:val="en-ZA"/>
        </w:rPr>
      </w:pPr>
    </w:p>
    <w:p w14:paraId="3E9D75D7" w14:textId="701EDF1A" w:rsidR="00830D69" w:rsidRDefault="00221BBB" w:rsidP="005246E7">
      <w:pPr>
        <w:spacing w:after="0" w:line="360" w:lineRule="auto"/>
        <w:ind w:left="1440"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lastRenderedPageBreak/>
        <w:t xml:space="preserve">“[25] This passage, to my mind, supplies the missing link.  It is not only the person who receives with knowledge of illegality but also one who learns </w:t>
      </w:r>
      <w:r w:rsidR="00E61068">
        <w:rPr>
          <w:rFonts w:ascii="Times New Roman" w:hAnsi="Times New Roman" w:cs="Times New Roman"/>
          <w:i/>
          <w:iCs/>
          <w:sz w:val="24"/>
          <w:szCs w:val="24"/>
          <w:lang w:val="en-ZA"/>
        </w:rPr>
        <w:t xml:space="preserve">of it while he is still in possession.  </w:t>
      </w:r>
      <w:r w:rsidR="00E61068">
        <w:rPr>
          <w:rFonts w:ascii="Times New Roman" w:hAnsi="Times New Roman" w:cs="Times New Roman"/>
          <w:i/>
          <w:iCs/>
          <w:sz w:val="24"/>
          <w:szCs w:val="24"/>
          <w:u w:val="single"/>
          <w:lang w:val="en-ZA"/>
        </w:rPr>
        <w:t>This does not mean that he is treated as liable for a delict as, among other things his liability is limited by his enrichment, that is if he is enriched at all…”</w:t>
      </w:r>
      <w:r w:rsidR="00E61068">
        <w:rPr>
          <w:rFonts w:ascii="Times New Roman" w:hAnsi="Times New Roman" w:cs="Times New Roman"/>
          <w:i/>
          <w:iCs/>
          <w:sz w:val="24"/>
          <w:szCs w:val="24"/>
          <w:lang w:val="en-ZA"/>
        </w:rPr>
        <w:t xml:space="preserve"> </w:t>
      </w:r>
      <w:r w:rsidR="00E61068" w:rsidRPr="00E61068">
        <w:rPr>
          <w:rFonts w:ascii="Times New Roman" w:hAnsi="Times New Roman" w:cs="Times New Roman"/>
          <w:sz w:val="24"/>
          <w:szCs w:val="24"/>
          <w:lang w:val="en-ZA"/>
        </w:rPr>
        <w:t>(emphasis provided)</w:t>
      </w:r>
    </w:p>
    <w:p w14:paraId="6B61D218" w14:textId="22C5C10E" w:rsidR="00E61068" w:rsidRDefault="00E61068" w:rsidP="00E61068">
      <w:pPr>
        <w:spacing w:after="0" w:line="360" w:lineRule="auto"/>
        <w:ind w:right="1008"/>
        <w:jc w:val="both"/>
        <w:rPr>
          <w:rFonts w:ascii="Times New Roman" w:hAnsi="Times New Roman" w:cs="Times New Roman"/>
          <w:i/>
          <w:iCs/>
          <w:sz w:val="24"/>
          <w:szCs w:val="24"/>
          <w:lang w:val="en-ZA"/>
        </w:rPr>
      </w:pPr>
    </w:p>
    <w:p w14:paraId="1B7A14B2" w14:textId="03E17031" w:rsidR="00FA18BD" w:rsidRDefault="00E61068" w:rsidP="00E6106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As Mr Suhr, for the 1</w:t>
      </w:r>
      <w:r w:rsidRPr="00E6106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E61068">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correctly argued, the validity of loan agreements in question were unaffected by the Court Order and therefore the applicants’ obligations to repay them remained.  What the Court Order did was to place a moratorium on deductions pending Central Bank’s investigations</w:t>
      </w:r>
      <w:r w:rsidR="004158C4">
        <w:rPr>
          <w:rFonts w:ascii="Times New Roman" w:hAnsi="Times New Roman" w:cs="Times New Roman"/>
          <w:sz w:val="28"/>
          <w:szCs w:val="28"/>
          <w:lang w:val="en-ZA"/>
        </w:rPr>
        <w:t xml:space="preserve">. It </w:t>
      </w:r>
      <w:r>
        <w:rPr>
          <w:rFonts w:ascii="Times New Roman" w:hAnsi="Times New Roman" w:cs="Times New Roman"/>
          <w:sz w:val="28"/>
          <w:szCs w:val="28"/>
          <w:lang w:val="en-ZA"/>
        </w:rPr>
        <w:t xml:space="preserve">was illegal </w:t>
      </w:r>
      <w:r w:rsidR="004158C4">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deduct monies contrary to the court order.  </w:t>
      </w:r>
      <w:r w:rsidR="004158C4">
        <w:rPr>
          <w:rFonts w:ascii="Times New Roman" w:hAnsi="Times New Roman" w:cs="Times New Roman"/>
          <w:sz w:val="28"/>
          <w:szCs w:val="28"/>
          <w:lang w:val="en-ZA"/>
        </w:rPr>
        <w:t>N</w:t>
      </w:r>
      <w:r>
        <w:rPr>
          <w:rFonts w:ascii="Times New Roman" w:hAnsi="Times New Roman" w:cs="Times New Roman"/>
          <w:sz w:val="28"/>
          <w:szCs w:val="28"/>
          <w:lang w:val="en-ZA"/>
        </w:rPr>
        <w:t>ow that payment and acquisition of money by both the Accountant-General and the respondents (1</w:t>
      </w:r>
      <w:r w:rsidRPr="00E6106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E61068">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respectively,</w:t>
      </w:r>
      <w:r w:rsidR="004158C4">
        <w:rPr>
          <w:rFonts w:ascii="Times New Roman" w:hAnsi="Times New Roman" w:cs="Times New Roman"/>
          <w:sz w:val="28"/>
          <w:szCs w:val="28"/>
          <w:lang w:val="en-ZA"/>
        </w:rPr>
        <w:t xml:space="preserve"> was made contrary to the court order,</w:t>
      </w:r>
      <w:r>
        <w:rPr>
          <w:rFonts w:ascii="Times New Roman" w:hAnsi="Times New Roman" w:cs="Times New Roman"/>
          <w:sz w:val="28"/>
          <w:szCs w:val="28"/>
          <w:lang w:val="en-ZA"/>
        </w:rPr>
        <w:t xml:space="preserve"> does it mean that the respondents were unjustly enriched?</w:t>
      </w:r>
      <w:r w:rsidR="007835C8">
        <w:rPr>
          <w:rFonts w:ascii="Times New Roman" w:hAnsi="Times New Roman" w:cs="Times New Roman"/>
          <w:sz w:val="28"/>
          <w:szCs w:val="28"/>
          <w:lang w:val="en-ZA"/>
        </w:rPr>
        <w:t xml:space="preserve">  The answer should be in the negative.  It is trite that the onus of proving non-enrichment is on the respondents (1</w:t>
      </w:r>
      <w:r w:rsidR="007835C8" w:rsidRPr="007835C8">
        <w:rPr>
          <w:rFonts w:ascii="Times New Roman" w:hAnsi="Times New Roman" w:cs="Times New Roman"/>
          <w:sz w:val="28"/>
          <w:szCs w:val="28"/>
          <w:vertAlign w:val="superscript"/>
          <w:lang w:val="en-ZA"/>
        </w:rPr>
        <w:t>st</w:t>
      </w:r>
      <w:r w:rsidR="007835C8">
        <w:rPr>
          <w:rFonts w:ascii="Times New Roman" w:hAnsi="Times New Roman" w:cs="Times New Roman"/>
          <w:sz w:val="28"/>
          <w:szCs w:val="28"/>
          <w:lang w:val="en-ZA"/>
        </w:rPr>
        <w:t xml:space="preserve"> to 5</w:t>
      </w:r>
      <w:r w:rsidR="007835C8" w:rsidRPr="007835C8">
        <w:rPr>
          <w:rFonts w:ascii="Times New Roman" w:hAnsi="Times New Roman" w:cs="Times New Roman"/>
          <w:sz w:val="28"/>
          <w:szCs w:val="28"/>
          <w:vertAlign w:val="superscript"/>
          <w:lang w:val="en-ZA"/>
        </w:rPr>
        <w:t>th</w:t>
      </w:r>
      <w:r w:rsidR="007835C8">
        <w:rPr>
          <w:rFonts w:ascii="Times New Roman" w:hAnsi="Times New Roman" w:cs="Times New Roman"/>
          <w:sz w:val="28"/>
          <w:szCs w:val="28"/>
          <w:lang w:val="en-ZA"/>
        </w:rPr>
        <w:t>) (</w:t>
      </w:r>
      <w:r w:rsidR="007835C8">
        <w:rPr>
          <w:rFonts w:ascii="Times New Roman" w:hAnsi="Times New Roman" w:cs="Times New Roman"/>
          <w:b/>
          <w:bCs/>
          <w:sz w:val="28"/>
          <w:szCs w:val="28"/>
          <w:lang w:val="en-ZA"/>
        </w:rPr>
        <w:t>FNB v Perry NO and Others (above) at para. 31).</w:t>
      </w:r>
      <w:r w:rsidR="007835C8">
        <w:rPr>
          <w:rFonts w:ascii="Times New Roman" w:hAnsi="Times New Roman" w:cs="Times New Roman"/>
          <w:sz w:val="28"/>
          <w:szCs w:val="28"/>
          <w:lang w:val="en-ZA"/>
        </w:rPr>
        <w:t xml:space="preserve">  In my considered view, the respondents have shown that they were not enriched by their acquisition of the deductions because the money was used to repay the loans which the applicants have with the respondents.  As the mon</w:t>
      </w:r>
      <w:r w:rsidR="00FA18BD">
        <w:rPr>
          <w:rFonts w:ascii="Times New Roman" w:hAnsi="Times New Roman" w:cs="Times New Roman"/>
          <w:sz w:val="28"/>
          <w:szCs w:val="28"/>
          <w:lang w:val="en-ZA"/>
        </w:rPr>
        <w:t xml:space="preserve">ey was used to repay their respective loans, the applicants cannot seriously argue that they have been impoverished.  </w:t>
      </w:r>
    </w:p>
    <w:p w14:paraId="705D6953" w14:textId="77777777" w:rsidR="00FA18BD" w:rsidRDefault="00FA18BD" w:rsidP="00E61068">
      <w:pPr>
        <w:spacing w:after="0" w:line="360" w:lineRule="auto"/>
        <w:ind w:left="720" w:hanging="720"/>
        <w:jc w:val="both"/>
        <w:rPr>
          <w:rFonts w:ascii="Times New Roman" w:hAnsi="Times New Roman" w:cs="Times New Roman"/>
          <w:sz w:val="28"/>
          <w:szCs w:val="28"/>
          <w:lang w:val="en-ZA"/>
        </w:rPr>
      </w:pPr>
    </w:p>
    <w:p w14:paraId="1AC79E3F" w14:textId="351C9B8A" w:rsidR="00FA18BD" w:rsidRDefault="00FA18BD" w:rsidP="00E6106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In the result</w:t>
      </w:r>
      <w:r w:rsidR="003A5101">
        <w:rPr>
          <w:rFonts w:ascii="Times New Roman" w:hAnsi="Times New Roman" w:cs="Times New Roman"/>
          <w:sz w:val="28"/>
          <w:szCs w:val="28"/>
          <w:lang w:val="en-ZA"/>
        </w:rPr>
        <w:t>;</w:t>
      </w:r>
    </w:p>
    <w:p w14:paraId="60DAB086" w14:textId="77777777" w:rsidR="00FA18BD" w:rsidRDefault="00FA18BD" w:rsidP="00E61068">
      <w:pPr>
        <w:spacing w:after="0" w:line="360" w:lineRule="auto"/>
        <w:ind w:left="720" w:hanging="720"/>
        <w:jc w:val="both"/>
        <w:rPr>
          <w:rFonts w:ascii="Times New Roman" w:hAnsi="Times New Roman" w:cs="Times New Roman"/>
          <w:sz w:val="28"/>
          <w:szCs w:val="28"/>
          <w:lang w:val="en-ZA"/>
        </w:rPr>
      </w:pPr>
    </w:p>
    <w:p w14:paraId="7C655239" w14:textId="5B758063" w:rsidR="00053155" w:rsidRDefault="00FA18BD" w:rsidP="00FA18BD">
      <w:pPr>
        <w:pStyle w:val="ListParagraph"/>
        <w:numPr>
          <w:ilvl w:val="0"/>
          <w:numId w:val="2"/>
        </w:numPr>
        <w:spacing w:after="0" w:line="360" w:lineRule="auto"/>
        <w:jc w:val="both"/>
        <w:rPr>
          <w:rFonts w:ascii="Times New Roman" w:hAnsi="Times New Roman" w:cs="Times New Roman"/>
          <w:sz w:val="28"/>
          <w:szCs w:val="28"/>
          <w:lang w:val="en-ZA"/>
        </w:rPr>
      </w:pPr>
      <w:r w:rsidRPr="00FA18BD">
        <w:rPr>
          <w:rFonts w:ascii="Times New Roman" w:hAnsi="Times New Roman" w:cs="Times New Roman"/>
          <w:sz w:val="28"/>
          <w:szCs w:val="28"/>
          <w:lang w:val="en-ZA"/>
        </w:rPr>
        <w:t>The application is dismissed with costs.</w:t>
      </w:r>
      <w:r w:rsidR="00E61068" w:rsidRPr="00FA18BD">
        <w:rPr>
          <w:rFonts w:ascii="Times New Roman" w:hAnsi="Times New Roman" w:cs="Times New Roman"/>
          <w:sz w:val="28"/>
          <w:szCs w:val="28"/>
          <w:lang w:val="en-ZA"/>
        </w:rPr>
        <w:t xml:space="preserve">  </w:t>
      </w:r>
    </w:p>
    <w:p w14:paraId="45CB47B5" w14:textId="706384A2" w:rsidR="00FB744F" w:rsidRDefault="00FB744F" w:rsidP="00FB744F">
      <w:pPr>
        <w:spacing w:after="0" w:line="360" w:lineRule="auto"/>
        <w:jc w:val="both"/>
        <w:rPr>
          <w:rFonts w:ascii="Times New Roman" w:hAnsi="Times New Roman" w:cs="Times New Roman"/>
          <w:sz w:val="28"/>
          <w:szCs w:val="28"/>
          <w:lang w:val="en-ZA"/>
        </w:rPr>
      </w:pPr>
    </w:p>
    <w:p w14:paraId="34E425C6" w14:textId="2F89FE90" w:rsidR="00FB744F" w:rsidRDefault="00FB744F" w:rsidP="00FB744F">
      <w:pPr>
        <w:spacing w:after="0" w:line="360" w:lineRule="auto"/>
        <w:jc w:val="both"/>
        <w:rPr>
          <w:rFonts w:ascii="Times New Roman" w:hAnsi="Times New Roman" w:cs="Times New Roman"/>
          <w:sz w:val="28"/>
          <w:szCs w:val="28"/>
          <w:lang w:val="en-ZA"/>
        </w:rPr>
      </w:pPr>
    </w:p>
    <w:p w14:paraId="5BF7A7C9" w14:textId="46ECC32E" w:rsidR="00FB744F" w:rsidRDefault="00FB744F" w:rsidP="00FB744F">
      <w:pPr>
        <w:spacing w:after="0" w:line="360" w:lineRule="auto"/>
        <w:jc w:val="both"/>
        <w:rPr>
          <w:rFonts w:ascii="Times New Roman" w:hAnsi="Times New Roman" w:cs="Times New Roman"/>
          <w:sz w:val="28"/>
          <w:szCs w:val="28"/>
          <w:lang w:val="en-ZA"/>
        </w:rPr>
      </w:pPr>
    </w:p>
    <w:p w14:paraId="04088A8A" w14:textId="77777777" w:rsidR="00FB744F" w:rsidRPr="00FB744F" w:rsidRDefault="00FB744F" w:rsidP="00FB744F">
      <w:pPr>
        <w:spacing w:after="0" w:line="360" w:lineRule="auto"/>
        <w:jc w:val="both"/>
        <w:rPr>
          <w:rFonts w:ascii="Times New Roman" w:hAnsi="Times New Roman" w:cs="Times New Roman"/>
          <w:sz w:val="28"/>
          <w:szCs w:val="28"/>
          <w:lang w:val="en-ZA"/>
        </w:rPr>
      </w:pPr>
    </w:p>
    <w:p w14:paraId="499C5727" w14:textId="225094E7" w:rsidR="00053155" w:rsidRDefault="00053155" w:rsidP="00FA18BD">
      <w:pPr>
        <w:spacing w:after="0" w:line="360" w:lineRule="auto"/>
        <w:jc w:val="both"/>
        <w:rPr>
          <w:rFonts w:ascii="Times New Roman" w:hAnsi="Times New Roman" w:cs="Times New Roman"/>
          <w:sz w:val="28"/>
          <w:szCs w:val="28"/>
          <w:lang w:val="en-ZA"/>
        </w:rPr>
      </w:pPr>
    </w:p>
    <w:p w14:paraId="086D2F9F" w14:textId="77777777" w:rsidR="0083399E" w:rsidRDefault="0083399E" w:rsidP="00FA18BD">
      <w:pPr>
        <w:spacing w:after="0" w:line="360" w:lineRule="auto"/>
        <w:jc w:val="both"/>
        <w:rPr>
          <w:rFonts w:ascii="Times New Roman" w:hAnsi="Times New Roman" w:cs="Times New Roman"/>
          <w:sz w:val="28"/>
          <w:szCs w:val="28"/>
          <w:lang w:val="en-ZA"/>
        </w:rPr>
      </w:pPr>
    </w:p>
    <w:p w14:paraId="58AF325A" w14:textId="77777777" w:rsidR="00053155" w:rsidRDefault="00053155" w:rsidP="00FA18BD">
      <w:pPr>
        <w:spacing w:after="0" w:line="360" w:lineRule="auto"/>
        <w:jc w:val="both"/>
        <w:rPr>
          <w:rFonts w:ascii="Times New Roman" w:hAnsi="Times New Roman" w:cs="Times New Roman"/>
          <w:sz w:val="28"/>
          <w:szCs w:val="28"/>
          <w:lang w:val="en-ZA"/>
        </w:rPr>
      </w:pPr>
    </w:p>
    <w:p w14:paraId="7D75E9A5" w14:textId="447C700C" w:rsidR="00FA18BD" w:rsidRPr="00FA18BD" w:rsidRDefault="00FA18BD" w:rsidP="00FA18BD">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____________________________</w:t>
      </w:r>
    </w:p>
    <w:p w14:paraId="76C54291" w14:textId="74E35140" w:rsidR="00FA18BD" w:rsidRDefault="00FA18BD" w:rsidP="00FA18BD">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FB0FCBC" w14:textId="53DC9522" w:rsidR="00FA18BD" w:rsidRDefault="00FA18BD" w:rsidP="00FA18BD">
      <w:pPr>
        <w:spacing w:after="0" w:line="360" w:lineRule="auto"/>
        <w:jc w:val="both"/>
        <w:rPr>
          <w:rFonts w:ascii="Times New Roman" w:hAnsi="Times New Roman" w:cs="Times New Roman"/>
          <w:b/>
          <w:bCs/>
          <w:sz w:val="28"/>
          <w:szCs w:val="28"/>
          <w:lang w:val="en-ZA"/>
        </w:rPr>
      </w:pPr>
    </w:p>
    <w:p w14:paraId="50521537" w14:textId="52C14BFB" w:rsidR="00FA18BD" w:rsidRDefault="00FA18BD" w:rsidP="00FA18BD">
      <w:pPr>
        <w:spacing w:after="0" w:line="36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M. V. </w:t>
      </w:r>
      <w:proofErr w:type="spellStart"/>
      <w:r>
        <w:rPr>
          <w:rFonts w:ascii="Times New Roman" w:hAnsi="Times New Roman" w:cs="Times New Roman"/>
          <w:b/>
          <w:bCs/>
          <w:sz w:val="28"/>
          <w:szCs w:val="28"/>
          <w:lang w:val="en-ZA"/>
        </w:rPr>
        <w:t>Khesuoe</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instructred</w:t>
      </w:r>
      <w:proofErr w:type="spellEnd"/>
      <w:r>
        <w:rPr>
          <w:rFonts w:ascii="Times New Roman" w:hAnsi="Times New Roman" w:cs="Times New Roman"/>
          <w:b/>
          <w:bCs/>
          <w:sz w:val="28"/>
          <w:szCs w:val="28"/>
          <w:lang w:val="en-ZA"/>
        </w:rPr>
        <w:t xml:space="preserve"> by L. M. </w:t>
      </w:r>
      <w:proofErr w:type="spellStart"/>
      <w:r>
        <w:rPr>
          <w:rFonts w:ascii="Times New Roman" w:hAnsi="Times New Roman" w:cs="Times New Roman"/>
          <w:b/>
          <w:bCs/>
          <w:sz w:val="28"/>
          <w:szCs w:val="28"/>
          <w:lang w:val="en-ZA"/>
        </w:rPr>
        <w:t>Lephatsa</w:t>
      </w:r>
      <w:proofErr w:type="spellEnd"/>
      <w:r>
        <w:rPr>
          <w:rFonts w:ascii="Times New Roman" w:hAnsi="Times New Roman" w:cs="Times New Roman"/>
          <w:b/>
          <w:bCs/>
          <w:sz w:val="28"/>
          <w:szCs w:val="28"/>
          <w:lang w:val="en-ZA"/>
        </w:rPr>
        <w:t xml:space="preserve"> Attorneys</w:t>
      </w:r>
    </w:p>
    <w:p w14:paraId="5C8CB07A" w14:textId="1C5B1F6D" w:rsidR="00FA18BD" w:rsidRDefault="00FA18BD" w:rsidP="00FA18BD">
      <w:pPr>
        <w:spacing w:after="0" w:line="360" w:lineRule="auto"/>
        <w:ind w:left="3600" w:hanging="3600"/>
        <w:jc w:val="both"/>
        <w:rPr>
          <w:rFonts w:ascii="Times New Roman" w:hAnsi="Times New Roman" w:cs="Times New Roman"/>
          <w:b/>
          <w:bCs/>
          <w:sz w:val="28"/>
          <w:szCs w:val="28"/>
          <w:lang w:val="en-ZA"/>
        </w:rPr>
      </w:pPr>
    </w:p>
    <w:p w14:paraId="6ED149AC" w14:textId="69651D0A" w:rsidR="00FA18BD" w:rsidRDefault="00FA18BD" w:rsidP="00FA18BD">
      <w:pPr>
        <w:spacing w:after="0" w:line="360" w:lineRule="auto"/>
        <w:ind w:left="5760" w:hanging="576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FA18BD">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2</w:t>
      </w:r>
      <w:r w:rsidRPr="00FA18BD">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3</w:t>
      </w:r>
      <w:r w:rsidRPr="00FA18BD">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4</w:t>
      </w:r>
      <w:r w:rsidRPr="00FA18B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and 5</w:t>
      </w:r>
      <w:r w:rsidRPr="00FA18B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Adv. R. A Suhr instructed by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p>
    <w:p w14:paraId="67180802" w14:textId="1FF82CD7" w:rsidR="00FA18BD" w:rsidRDefault="00FA18BD" w:rsidP="00FA18BD">
      <w:pPr>
        <w:spacing w:after="0" w:line="360" w:lineRule="auto"/>
        <w:ind w:left="5760" w:hanging="5760"/>
        <w:jc w:val="both"/>
        <w:rPr>
          <w:rFonts w:ascii="Times New Roman" w:hAnsi="Times New Roman" w:cs="Times New Roman"/>
          <w:b/>
          <w:bCs/>
          <w:sz w:val="28"/>
          <w:szCs w:val="28"/>
          <w:lang w:val="en-ZA"/>
        </w:rPr>
      </w:pPr>
    </w:p>
    <w:p w14:paraId="0EDCEE1A" w14:textId="3D1D56B6" w:rsidR="00FA18BD" w:rsidRPr="00FA18BD" w:rsidRDefault="00FA18BD" w:rsidP="00FA18B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6</w:t>
      </w:r>
      <w:r w:rsidRPr="00FA18B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                    Adv. M. Moshoeshoe from Attorney-General’s     </w:t>
      </w:r>
    </w:p>
    <w:p w14:paraId="5BBBC99D" w14:textId="13A14498" w:rsidR="00DC4050" w:rsidRPr="00FA18BD" w:rsidRDefault="003254F5" w:rsidP="008844F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w:t>
      </w:r>
      <w:r w:rsidR="008844FB">
        <w:rPr>
          <w:rFonts w:ascii="Times New Roman" w:hAnsi="Times New Roman" w:cs="Times New Roman"/>
          <w:sz w:val="28"/>
          <w:szCs w:val="28"/>
          <w:lang w:val="en-ZA"/>
        </w:rPr>
        <w:t xml:space="preserve"> </w:t>
      </w:r>
      <w:r w:rsidR="00FA18BD">
        <w:rPr>
          <w:rFonts w:ascii="Times New Roman" w:hAnsi="Times New Roman" w:cs="Times New Roman"/>
          <w:sz w:val="28"/>
          <w:szCs w:val="28"/>
          <w:lang w:val="en-ZA"/>
        </w:rPr>
        <w:t xml:space="preserve">                                                     </w:t>
      </w:r>
      <w:r w:rsidR="00FA18BD">
        <w:rPr>
          <w:rFonts w:ascii="Times New Roman" w:hAnsi="Times New Roman" w:cs="Times New Roman"/>
          <w:b/>
          <w:bCs/>
          <w:sz w:val="28"/>
          <w:szCs w:val="28"/>
          <w:lang w:val="en-ZA"/>
        </w:rPr>
        <w:t>Chambers</w:t>
      </w:r>
    </w:p>
    <w:p w14:paraId="10711E95" w14:textId="5F3A542A" w:rsidR="00DC4050" w:rsidRPr="008A5025" w:rsidRDefault="00DC4050" w:rsidP="00DC4050">
      <w:p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  </w:t>
      </w:r>
    </w:p>
    <w:sectPr w:rsidR="00DC4050" w:rsidRPr="008A5025" w:rsidSect="00D862E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5CC3" w14:textId="77777777" w:rsidR="00D91F57" w:rsidRDefault="00D91F57" w:rsidP="00D862E1">
      <w:pPr>
        <w:spacing w:after="0" w:line="240" w:lineRule="auto"/>
      </w:pPr>
      <w:r>
        <w:separator/>
      </w:r>
    </w:p>
  </w:endnote>
  <w:endnote w:type="continuationSeparator" w:id="0">
    <w:p w14:paraId="101A7814" w14:textId="77777777" w:rsidR="00D91F57" w:rsidRDefault="00D91F57" w:rsidP="00D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534890"/>
      <w:docPartObj>
        <w:docPartGallery w:val="Page Numbers (Bottom of Page)"/>
        <w:docPartUnique/>
      </w:docPartObj>
    </w:sdtPr>
    <w:sdtEndPr>
      <w:rPr>
        <w:noProof/>
      </w:rPr>
    </w:sdtEndPr>
    <w:sdtContent>
      <w:p w14:paraId="787560DF" w14:textId="3755B756" w:rsidR="00D862E1" w:rsidRDefault="00D86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94C1C4" w14:textId="77777777" w:rsidR="00D862E1" w:rsidRDefault="00D8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4911" w14:textId="77777777" w:rsidR="00D91F57" w:rsidRDefault="00D91F57" w:rsidP="00D862E1">
      <w:pPr>
        <w:spacing w:after="0" w:line="240" w:lineRule="auto"/>
      </w:pPr>
      <w:r>
        <w:separator/>
      </w:r>
    </w:p>
  </w:footnote>
  <w:footnote w:type="continuationSeparator" w:id="0">
    <w:p w14:paraId="6691424F" w14:textId="77777777" w:rsidR="00D91F57" w:rsidRDefault="00D91F57" w:rsidP="00D86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535"/>
    <w:multiLevelType w:val="hybridMultilevel"/>
    <w:tmpl w:val="B3E25A5C"/>
    <w:lvl w:ilvl="0" w:tplc="FF6C5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207DB"/>
    <w:multiLevelType w:val="hybridMultilevel"/>
    <w:tmpl w:val="4DA8A7BC"/>
    <w:lvl w:ilvl="0" w:tplc="F64A17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43"/>
    <w:rsid w:val="0000669D"/>
    <w:rsid w:val="00022322"/>
    <w:rsid w:val="00047979"/>
    <w:rsid w:val="00053155"/>
    <w:rsid w:val="00071D84"/>
    <w:rsid w:val="00096704"/>
    <w:rsid w:val="00097F16"/>
    <w:rsid w:val="000C2B8E"/>
    <w:rsid w:val="001213A1"/>
    <w:rsid w:val="00124603"/>
    <w:rsid w:val="00131059"/>
    <w:rsid w:val="00145896"/>
    <w:rsid w:val="00156B7C"/>
    <w:rsid w:val="00171634"/>
    <w:rsid w:val="00171A5E"/>
    <w:rsid w:val="00176D0E"/>
    <w:rsid w:val="00190B33"/>
    <w:rsid w:val="00191A86"/>
    <w:rsid w:val="001956A1"/>
    <w:rsid w:val="001E1E02"/>
    <w:rsid w:val="00221BBB"/>
    <w:rsid w:val="00241609"/>
    <w:rsid w:val="00242844"/>
    <w:rsid w:val="002574C2"/>
    <w:rsid w:val="002644C6"/>
    <w:rsid w:val="002C3CB0"/>
    <w:rsid w:val="002D1D19"/>
    <w:rsid w:val="002D3818"/>
    <w:rsid w:val="002D6206"/>
    <w:rsid w:val="002F0008"/>
    <w:rsid w:val="003242E7"/>
    <w:rsid w:val="003254F5"/>
    <w:rsid w:val="003268E0"/>
    <w:rsid w:val="00327D62"/>
    <w:rsid w:val="00345DDA"/>
    <w:rsid w:val="003608D2"/>
    <w:rsid w:val="00387668"/>
    <w:rsid w:val="003A4E2F"/>
    <w:rsid w:val="003A5101"/>
    <w:rsid w:val="003E6B82"/>
    <w:rsid w:val="003F1BB2"/>
    <w:rsid w:val="004158C4"/>
    <w:rsid w:val="0042180D"/>
    <w:rsid w:val="004330B9"/>
    <w:rsid w:val="00463844"/>
    <w:rsid w:val="00493EC2"/>
    <w:rsid w:val="004A494C"/>
    <w:rsid w:val="0050740C"/>
    <w:rsid w:val="00511BBF"/>
    <w:rsid w:val="00523513"/>
    <w:rsid w:val="005246E7"/>
    <w:rsid w:val="005251EF"/>
    <w:rsid w:val="00584087"/>
    <w:rsid w:val="005849B3"/>
    <w:rsid w:val="00587172"/>
    <w:rsid w:val="00587A53"/>
    <w:rsid w:val="005A5E36"/>
    <w:rsid w:val="005C048E"/>
    <w:rsid w:val="005E3BC9"/>
    <w:rsid w:val="00603CE0"/>
    <w:rsid w:val="00613676"/>
    <w:rsid w:val="0063136B"/>
    <w:rsid w:val="00646810"/>
    <w:rsid w:val="00687A78"/>
    <w:rsid w:val="00690D59"/>
    <w:rsid w:val="006916DF"/>
    <w:rsid w:val="006A3840"/>
    <w:rsid w:val="006A552C"/>
    <w:rsid w:val="006B7169"/>
    <w:rsid w:val="006C1C2A"/>
    <w:rsid w:val="006E31DC"/>
    <w:rsid w:val="007116D7"/>
    <w:rsid w:val="00715A9F"/>
    <w:rsid w:val="007228A6"/>
    <w:rsid w:val="00724CEF"/>
    <w:rsid w:val="007253E8"/>
    <w:rsid w:val="0074051E"/>
    <w:rsid w:val="007427C5"/>
    <w:rsid w:val="00766C00"/>
    <w:rsid w:val="007765E3"/>
    <w:rsid w:val="007835C8"/>
    <w:rsid w:val="00794D1F"/>
    <w:rsid w:val="007A06B7"/>
    <w:rsid w:val="007A7261"/>
    <w:rsid w:val="007B37A4"/>
    <w:rsid w:val="007B6D83"/>
    <w:rsid w:val="007C4CB9"/>
    <w:rsid w:val="00800BEF"/>
    <w:rsid w:val="00814310"/>
    <w:rsid w:val="00823954"/>
    <w:rsid w:val="00824893"/>
    <w:rsid w:val="00830D69"/>
    <w:rsid w:val="0083399E"/>
    <w:rsid w:val="00837FB2"/>
    <w:rsid w:val="0085179F"/>
    <w:rsid w:val="008725EA"/>
    <w:rsid w:val="008805A5"/>
    <w:rsid w:val="00883526"/>
    <w:rsid w:val="008844FB"/>
    <w:rsid w:val="008A5025"/>
    <w:rsid w:val="008B2E14"/>
    <w:rsid w:val="008C23D0"/>
    <w:rsid w:val="008D0CED"/>
    <w:rsid w:val="008D3E80"/>
    <w:rsid w:val="008E3CEC"/>
    <w:rsid w:val="00910F23"/>
    <w:rsid w:val="009146E3"/>
    <w:rsid w:val="0091510C"/>
    <w:rsid w:val="009235D1"/>
    <w:rsid w:val="009418FC"/>
    <w:rsid w:val="00945D3E"/>
    <w:rsid w:val="0097287B"/>
    <w:rsid w:val="009D25F4"/>
    <w:rsid w:val="009E312A"/>
    <w:rsid w:val="009F0C9F"/>
    <w:rsid w:val="00A203FD"/>
    <w:rsid w:val="00A627F1"/>
    <w:rsid w:val="00A746D6"/>
    <w:rsid w:val="00A833EF"/>
    <w:rsid w:val="00AC481E"/>
    <w:rsid w:val="00AE2DEA"/>
    <w:rsid w:val="00AE5434"/>
    <w:rsid w:val="00AE7A4A"/>
    <w:rsid w:val="00AF3493"/>
    <w:rsid w:val="00B07888"/>
    <w:rsid w:val="00B2617B"/>
    <w:rsid w:val="00B4155A"/>
    <w:rsid w:val="00B65DAA"/>
    <w:rsid w:val="00B828A7"/>
    <w:rsid w:val="00B969C8"/>
    <w:rsid w:val="00B96FCC"/>
    <w:rsid w:val="00BA3768"/>
    <w:rsid w:val="00BA4FA1"/>
    <w:rsid w:val="00BA5979"/>
    <w:rsid w:val="00BD408B"/>
    <w:rsid w:val="00BF1577"/>
    <w:rsid w:val="00C27622"/>
    <w:rsid w:val="00C61741"/>
    <w:rsid w:val="00C63D1A"/>
    <w:rsid w:val="00C75728"/>
    <w:rsid w:val="00CA44FB"/>
    <w:rsid w:val="00CD036D"/>
    <w:rsid w:val="00D1241F"/>
    <w:rsid w:val="00D3695F"/>
    <w:rsid w:val="00D40B83"/>
    <w:rsid w:val="00D62933"/>
    <w:rsid w:val="00D862E1"/>
    <w:rsid w:val="00D91F57"/>
    <w:rsid w:val="00D96817"/>
    <w:rsid w:val="00D978FF"/>
    <w:rsid w:val="00DB3590"/>
    <w:rsid w:val="00DC4050"/>
    <w:rsid w:val="00DC5F7A"/>
    <w:rsid w:val="00E00259"/>
    <w:rsid w:val="00E22017"/>
    <w:rsid w:val="00E53873"/>
    <w:rsid w:val="00E61068"/>
    <w:rsid w:val="00E9602E"/>
    <w:rsid w:val="00ED41EE"/>
    <w:rsid w:val="00ED5459"/>
    <w:rsid w:val="00F02B43"/>
    <w:rsid w:val="00F16AB0"/>
    <w:rsid w:val="00F37E68"/>
    <w:rsid w:val="00F416CB"/>
    <w:rsid w:val="00F42DFE"/>
    <w:rsid w:val="00F64D6D"/>
    <w:rsid w:val="00FA18BD"/>
    <w:rsid w:val="00FB744F"/>
    <w:rsid w:val="00FC2D06"/>
    <w:rsid w:val="00FD5126"/>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791C"/>
  <w15:chartTrackingRefBased/>
  <w15:docId w15:val="{4C670F5C-5826-450A-837D-736B8B0B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80D"/>
    <w:pPr>
      <w:keepNext/>
      <w:spacing w:after="0" w:line="360" w:lineRule="auto"/>
      <w:jc w:val="both"/>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42180D"/>
    <w:pPr>
      <w:keepNext/>
      <w:outlineLvl w:val="1"/>
    </w:pPr>
    <w:rPr>
      <w:rFonts w:ascii="Times New Roman" w:hAnsi="Times New Roman" w:cs="Times New Roman"/>
      <w:sz w:val="28"/>
      <w:szCs w:val="28"/>
      <w:lang w:val="en-ZA"/>
    </w:rPr>
  </w:style>
  <w:style w:type="paragraph" w:styleId="Heading3">
    <w:name w:val="heading 3"/>
    <w:basedOn w:val="Normal"/>
    <w:next w:val="Normal"/>
    <w:link w:val="Heading3Char"/>
    <w:uiPriority w:val="9"/>
    <w:unhideWhenUsed/>
    <w:qFormat/>
    <w:rsid w:val="0042180D"/>
    <w:pPr>
      <w:keepNext/>
      <w:outlineLvl w:val="2"/>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43"/>
    <w:pPr>
      <w:ind w:left="720"/>
      <w:contextualSpacing/>
    </w:pPr>
  </w:style>
  <w:style w:type="paragraph" w:styleId="Header">
    <w:name w:val="header"/>
    <w:basedOn w:val="Normal"/>
    <w:link w:val="HeaderChar"/>
    <w:uiPriority w:val="99"/>
    <w:unhideWhenUsed/>
    <w:rsid w:val="00D8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E1"/>
  </w:style>
  <w:style w:type="paragraph" w:styleId="Footer">
    <w:name w:val="footer"/>
    <w:basedOn w:val="Normal"/>
    <w:link w:val="FooterChar"/>
    <w:uiPriority w:val="99"/>
    <w:unhideWhenUsed/>
    <w:rsid w:val="00D8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E1"/>
  </w:style>
  <w:style w:type="character" w:customStyle="1" w:styleId="Heading1Char">
    <w:name w:val="Heading 1 Char"/>
    <w:basedOn w:val="DefaultParagraphFont"/>
    <w:link w:val="Heading1"/>
    <w:uiPriority w:val="9"/>
    <w:rsid w:val="0042180D"/>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42180D"/>
    <w:rPr>
      <w:rFonts w:ascii="Times New Roman" w:hAnsi="Times New Roman" w:cs="Times New Roman"/>
      <w:sz w:val="28"/>
      <w:szCs w:val="28"/>
      <w:lang w:val="en-ZA"/>
    </w:rPr>
  </w:style>
  <w:style w:type="character" w:customStyle="1" w:styleId="Heading3Char">
    <w:name w:val="Heading 3 Char"/>
    <w:basedOn w:val="DefaultParagraphFont"/>
    <w:link w:val="Heading3"/>
    <w:uiPriority w:val="9"/>
    <w:rsid w:val="0042180D"/>
    <w:rPr>
      <w:rFonts w:ascii="Times New Roman" w:hAnsi="Times New Roman" w:cs="Times New Roman"/>
      <w:b/>
      <w:bCs/>
      <w:sz w:val="28"/>
      <w:szCs w:val="28"/>
      <w:lang w:val="en-ZA"/>
    </w:rPr>
  </w:style>
  <w:style w:type="paragraph" w:styleId="BodyTextIndent">
    <w:name w:val="Body Text Indent"/>
    <w:basedOn w:val="Normal"/>
    <w:link w:val="BodyTextIndentChar"/>
    <w:uiPriority w:val="99"/>
    <w:unhideWhenUsed/>
    <w:rsid w:val="003F1BB2"/>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3F1BB2"/>
    <w:rPr>
      <w:rFonts w:ascii="Times New Roman" w:hAnsi="Times New Roman" w:cs="Times New Roman"/>
      <w:sz w:val="28"/>
      <w:szCs w:val="28"/>
      <w:lang w:val="en-ZA"/>
    </w:rPr>
  </w:style>
  <w:style w:type="paragraph" w:styleId="BalloonText">
    <w:name w:val="Balloon Text"/>
    <w:basedOn w:val="Normal"/>
    <w:link w:val="BalloonTextChar"/>
    <w:uiPriority w:val="99"/>
    <w:semiHidden/>
    <w:unhideWhenUsed/>
    <w:rsid w:val="004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22A5-5809-40C7-9B60-296697BF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2022-08-17T12:24:00Z</cp:lastPrinted>
  <dcterms:created xsi:type="dcterms:W3CDTF">2022-08-17T12:57:00Z</dcterms:created>
  <dcterms:modified xsi:type="dcterms:W3CDTF">2022-08-17T12:57:00Z</dcterms:modified>
</cp:coreProperties>
</file>