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671E4" w14:textId="696BF99D" w:rsidR="00B863E2" w:rsidRDefault="00B863E2" w:rsidP="009C03F0">
      <w:pPr>
        <w:pStyle w:val="Title"/>
        <w:rPr>
          <w:lang w:val="en-ZA"/>
        </w:rPr>
      </w:pPr>
    </w:p>
    <w:p w14:paraId="6E53E84E" w14:textId="2403EFB3" w:rsidR="00B863E2" w:rsidRDefault="00B863E2" w:rsidP="0015189C">
      <w:pPr>
        <w:spacing w:after="0" w:line="360" w:lineRule="auto"/>
        <w:jc w:val="both"/>
        <w:rPr>
          <w:rFonts w:ascii="Times New Roman" w:hAnsi="Times New Roman" w:cs="Times New Roman"/>
          <w:sz w:val="28"/>
          <w:szCs w:val="28"/>
          <w:lang w:val="en-ZA"/>
        </w:rPr>
      </w:pPr>
    </w:p>
    <w:p w14:paraId="460F6724" w14:textId="57F4A3FF" w:rsidR="00B863E2" w:rsidRDefault="00B863E2" w:rsidP="0015189C">
      <w:pPr>
        <w:spacing w:after="0" w:line="360" w:lineRule="auto"/>
        <w:jc w:val="both"/>
        <w:rPr>
          <w:rFonts w:ascii="Times New Roman" w:hAnsi="Times New Roman" w:cs="Times New Roman"/>
          <w:sz w:val="28"/>
          <w:szCs w:val="28"/>
          <w:lang w:val="en-ZA"/>
        </w:rPr>
      </w:pPr>
    </w:p>
    <w:p w14:paraId="5F445842" w14:textId="5BFAC806" w:rsidR="00B863E2" w:rsidRDefault="00B863E2" w:rsidP="0015189C">
      <w:pPr>
        <w:spacing w:after="0" w:line="360" w:lineRule="auto"/>
        <w:jc w:val="both"/>
        <w:rPr>
          <w:rFonts w:ascii="Times New Roman" w:hAnsi="Times New Roman" w:cs="Times New Roman"/>
          <w:sz w:val="28"/>
          <w:szCs w:val="28"/>
          <w:lang w:val="en-ZA"/>
        </w:rPr>
      </w:pPr>
    </w:p>
    <w:p w14:paraId="27909A84" w14:textId="77777777" w:rsidR="00642E01" w:rsidRDefault="00642E01" w:rsidP="00642E01">
      <w:pPr>
        <w:spacing w:after="0" w:line="240" w:lineRule="auto"/>
        <w:jc w:val="center"/>
        <w:rPr>
          <w:rFonts w:ascii="Times New Roman" w:hAnsi="Times New Roman" w:cs="Times New Roman"/>
          <w:b/>
          <w:bCs/>
          <w:sz w:val="36"/>
          <w:szCs w:val="36"/>
          <w:u w:val="single"/>
          <w:lang w:val="en-ZA"/>
        </w:rPr>
      </w:pPr>
    </w:p>
    <w:p w14:paraId="3ED8652C" w14:textId="77057619" w:rsidR="00B863E2" w:rsidRDefault="00642E01" w:rsidP="00642E01">
      <w:pPr>
        <w:spacing w:after="0" w:line="240" w:lineRule="auto"/>
        <w:jc w:val="center"/>
        <w:rPr>
          <w:rFonts w:ascii="Times New Roman" w:hAnsi="Times New Roman" w:cs="Times New Roman"/>
          <w:b/>
          <w:bCs/>
          <w:sz w:val="36"/>
          <w:szCs w:val="36"/>
          <w:u w:val="single"/>
          <w:lang w:val="en-ZA"/>
        </w:rPr>
      </w:pPr>
      <w:r>
        <w:rPr>
          <w:rFonts w:ascii="Times New Roman" w:hAnsi="Times New Roman" w:cs="Times New Roman"/>
          <w:b/>
          <w:bCs/>
          <w:sz w:val="36"/>
          <w:szCs w:val="36"/>
          <w:u w:val="single"/>
          <w:lang w:val="en-ZA"/>
        </w:rPr>
        <w:t>IN THE HIGH COURT OF LESOTHO</w:t>
      </w:r>
    </w:p>
    <w:p w14:paraId="5BEC5AB8" w14:textId="43262D8C" w:rsidR="00642E01" w:rsidRDefault="00642E01" w:rsidP="00642E01">
      <w:pPr>
        <w:spacing w:after="0" w:line="240" w:lineRule="auto"/>
        <w:jc w:val="center"/>
        <w:rPr>
          <w:rFonts w:ascii="Times New Roman" w:hAnsi="Times New Roman" w:cs="Times New Roman"/>
          <w:b/>
          <w:bCs/>
          <w:sz w:val="32"/>
          <w:szCs w:val="32"/>
          <w:lang w:val="en-ZA"/>
        </w:rPr>
      </w:pPr>
      <w:r>
        <w:rPr>
          <w:rFonts w:ascii="Times New Roman" w:hAnsi="Times New Roman" w:cs="Times New Roman"/>
          <w:b/>
          <w:bCs/>
          <w:sz w:val="32"/>
          <w:szCs w:val="32"/>
          <w:lang w:val="en-ZA"/>
        </w:rPr>
        <w:t>(COMMERCIAL DIVISION)</w:t>
      </w:r>
    </w:p>
    <w:p w14:paraId="2AAE32CC" w14:textId="77DF74E7" w:rsidR="00642E01" w:rsidRDefault="00642E01" w:rsidP="00642E01">
      <w:pPr>
        <w:spacing w:after="0" w:line="360" w:lineRule="auto"/>
        <w:jc w:val="both"/>
        <w:rPr>
          <w:rFonts w:ascii="Times New Roman" w:hAnsi="Times New Roman" w:cs="Times New Roman"/>
          <w:b/>
          <w:bCs/>
          <w:sz w:val="32"/>
          <w:szCs w:val="32"/>
          <w:lang w:val="en-ZA"/>
        </w:rPr>
      </w:pPr>
    </w:p>
    <w:p w14:paraId="5294B5FB" w14:textId="27CBEE6E" w:rsidR="00642E01" w:rsidRDefault="00642E01" w:rsidP="00642E01">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HELD AT MASERU</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CCA/0115/2021</w:t>
      </w:r>
    </w:p>
    <w:p w14:paraId="5586CCD9" w14:textId="2F6D8756" w:rsidR="00642E01" w:rsidRDefault="00642E01" w:rsidP="00642E01">
      <w:pPr>
        <w:spacing w:after="0" w:line="360" w:lineRule="auto"/>
        <w:jc w:val="both"/>
        <w:rPr>
          <w:rFonts w:ascii="Times New Roman" w:hAnsi="Times New Roman" w:cs="Times New Roman"/>
          <w:b/>
          <w:bCs/>
          <w:sz w:val="28"/>
          <w:szCs w:val="28"/>
          <w:lang w:val="en-ZA"/>
        </w:rPr>
      </w:pPr>
    </w:p>
    <w:p w14:paraId="17EDB44E" w14:textId="414938A5" w:rsidR="00642E01" w:rsidRDefault="00642E01" w:rsidP="00642E01">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In the matter between:</w:t>
      </w:r>
    </w:p>
    <w:p w14:paraId="310EDAC6" w14:textId="21EBA6B0" w:rsidR="00642E01" w:rsidRDefault="00642E01" w:rsidP="00642E01">
      <w:pPr>
        <w:spacing w:after="0" w:line="360" w:lineRule="auto"/>
        <w:jc w:val="both"/>
        <w:rPr>
          <w:rFonts w:ascii="Times New Roman" w:hAnsi="Times New Roman" w:cs="Times New Roman"/>
          <w:b/>
          <w:bCs/>
          <w:sz w:val="28"/>
          <w:szCs w:val="28"/>
          <w:lang w:val="en-ZA"/>
        </w:rPr>
      </w:pPr>
    </w:p>
    <w:p w14:paraId="68666FB9" w14:textId="40C5EE31" w:rsidR="00642E01" w:rsidRDefault="00642E01" w:rsidP="00642E01">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ENGIDATA (PTY) LTD</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APPLICANT</w:t>
      </w:r>
    </w:p>
    <w:p w14:paraId="0982EE05" w14:textId="7EF1EBE9" w:rsidR="00642E01" w:rsidRDefault="00642E01" w:rsidP="00642E01">
      <w:pPr>
        <w:spacing w:after="0" w:line="360" w:lineRule="auto"/>
        <w:jc w:val="both"/>
        <w:rPr>
          <w:rFonts w:ascii="Times New Roman" w:hAnsi="Times New Roman" w:cs="Times New Roman"/>
          <w:b/>
          <w:bCs/>
          <w:sz w:val="28"/>
          <w:szCs w:val="28"/>
          <w:lang w:val="en-ZA"/>
        </w:rPr>
      </w:pPr>
    </w:p>
    <w:p w14:paraId="21F44F65" w14:textId="2CDF2301" w:rsidR="00642E01" w:rsidRDefault="00642E01" w:rsidP="00642E01">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And</w:t>
      </w:r>
    </w:p>
    <w:p w14:paraId="074EB02A" w14:textId="70C8E3B7" w:rsidR="00642E01" w:rsidRDefault="00642E01" w:rsidP="00642E01">
      <w:pPr>
        <w:spacing w:after="0" w:line="360" w:lineRule="auto"/>
        <w:jc w:val="both"/>
        <w:rPr>
          <w:rFonts w:ascii="Times New Roman" w:hAnsi="Times New Roman" w:cs="Times New Roman"/>
          <w:b/>
          <w:bCs/>
          <w:sz w:val="28"/>
          <w:szCs w:val="28"/>
          <w:lang w:val="en-ZA"/>
        </w:rPr>
      </w:pPr>
    </w:p>
    <w:p w14:paraId="65D4E6FA" w14:textId="7BAA3BBC" w:rsidR="00642E01" w:rsidRDefault="00642E01" w:rsidP="00642E01">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FISCHER CONSULTING JOINT VENTURE</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1</w:t>
      </w:r>
      <w:r w:rsidRPr="00642E01">
        <w:rPr>
          <w:rFonts w:ascii="Times New Roman" w:hAnsi="Times New Roman" w:cs="Times New Roman"/>
          <w:b/>
          <w:bCs/>
          <w:sz w:val="28"/>
          <w:szCs w:val="28"/>
          <w:vertAlign w:val="superscript"/>
          <w:lang w:val="en-ZA"/>
        </w:rPr>
        <w:t>ST</w:t>
      </w:r>
      <w:r>
        <w:rPr>
          <w:rFonts w:ascii="Times New Roman" w:hAnsi="Times New Roman" w:cs="Times New Roman"/>
          <w:b/>
          <w:bCs/>
          <w:sz w:val="28"/>
          <w:szCs w:val="28"/>
          <w:lang w:val="en-ZA"/>
        </w:rPr>
        <w:t xml:space="preserve"> RESPONDENT</w:t>
      </w:r>
    </w:p>
    <w:p w14:paraId="25582DF7" w14:textId="4CC28552" w:rsidR="00642E01" w:rsidRDefault="00642E01" w:rsidP="00642E01">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MINISTRY OF PUBLIC WORKS</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2</w:t>
      </w:r>
      <w:r w:rsidRPr="00642E01">
        <w:rPr>
          <w:rFonts w:ascii="Times New Roman" w:hAnsi="Times New Roman" w:cs="Times New Roman"/>
          <w:b/>
          <w:bCs/>
          <w:sz w:val="28"/>
          <w:szCs w:val="28"/>
          <w:vertAlign w:val="superscript"/>
          <w:lang w:val="en-ZA"/>
        </w:rPr>
        <w:t>ND</w:t>
      </w:r>
      <w:r>
        <w:rPr>
          <w:rFonts w:ascii="Times New Roman" w:hAnsi="Times New Roman" w:cs="Times New Roman"/>
          <w:b/>
          <w:bCs/>
          <w:sz w:val="28"/>
          <w:szCs w:val="28"/>
          <w:lang w:val="en-ZA"/>
        </w:rPr>
        <w:t xml:space="preserve"> RESPONDENT</w:t>
      </w:r>
    </w:p>
    <w:p w14:paraId="5D817587" w14:textId="75DF198E" w:rsidR="00642E01" w:rsidRDefault="00642E01" w:rsidP="00642E01">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ATTORNEY GENERAL</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3</w:t>
      </w:r>
      <w:r w:rsidRPr="00642E01">
        <w:rPr>
          <w:rFonts w:ascii="Times New Roman" w:hAnsi="Times New Roman" w:cs="Times New Roman"/>
          <w:b/>
          <w:bCs/>
          <w:sz w:val="28"/>
          <w:szCs w:val="28"/>
          <w:vertAlign w:val="superscript"/>
          <w:lang w:val="en-ZA"/>
        </w:rPr>
        <w:t>RD</w:t>
      </w:r>
      <w:r>
        <w:rPr>
          <w:rFonts w:ascii="Times New Roman" w:hAnsi="Times New Roman" w:cs="Times New Roman"/>
          <w:b/>
          <w:bCs/>
          <w:sz w:val="28"/>
          <w:szCs w:val="28"/>
          <w:lang w:val="en-ZA"/>
        </w:rPr>
        <w:t xml:space="preserve"> RESPONDENT</w:t>
      </w:r>
    </w:p>
    <w:p w14:paraId="010F9709" w14:textId="4E21E951" w:rsidR="00642E01" w:rsidRDefault="00642E01" w:rsidP="00642E01">
      <w:pPr>
        <w:spacing w:after="0" w:line="360" w:lineRule="auto"/>
        <w:jc w:val="both"/>
        <w:rPr>
          <w:rFonts w:ascii="Times New Roman" w:hAnsi="Times New Roman" w:cs="Times New Roman"/>
          <w:b/>
          <w:bCs/>
          <w:sz w:val="28"/>
          <w:szCs w:val="28"/>
          <w:lang w:val="en-ZA"/>
        </w:rPr>
      </w:pPr>
    </w:p>
    <w:p w14:paraId="15A3AE71" w14:textId="784541B9" w:rsidR="00642E01" w:rsidRDefault="00642E01" w:rsidP="00642E01">
      <w:pPr>
        <w:spacing w:after="0" w:line="360" w:lineRule="auto"/>
        <w:jc w:val="both"/>
        <w:rPr>
          <w:rFonts w:ascii="Times New Roman" w:hAnsi="Times New Roman" w:cs="Times New Roman"/>
          <w:sz w:val="28"/>
          <w:szCs w:val="28"/>
          <w:lang w:val="en-ZA"/>
        </w:rPr>
      </w:pPr>
      <w:r>
        <w:rPr>
          <w:rFonts w:ascii="Times New Roman" w:hAnsi="Times New Roman" w:cs="Times New Roman"/>
          <w:b/>
          <w:bCs/>
          <w:sz w:val="28"/>
          <w:szCs w:val="28"/>
          <w:u w:val="single"/>
          <w:lang w:val="en-ZA"/>
        </w:rPr>
        <w:t>Neutral Citation:</w:t>
      </w:r>
      <w:r>
        <w:rPr>
          <w:rFonts w:ascii="Times New Roman" w:hAnsi="Times New Roman" w:cs="Times New Roman"/>
          <w:sz w:val="28"/>
          <w:szCs w:val="28"/>
          <w:lang w:val="en-ZA"/>
        </w:rPr>
        <w:t xml:space="preserve"> </w:t>
      </w:r>
      <w:proofErr w:type="spellStart"/>
      <w:r>
        <w:rPr>
          <w:rFonts w:ascii="Times New Roman" w:hAnsi="Times New Roman" w:cs="Times New Roman"/>
          <w:sz w:val="28"/>
          <w:szCs w:val="28"/>
          <w:lang w:val="en-ZA"/>
        </w:rPr>
        <w:t>Engidata</w:t>
      </w:r>
      <w:proofErr w:type="spellEnd"/>
      <w:r>
        <w:rPr>
          <w:rFonts w:ascii="Times New Roman" w:hAnsi="Times New Roman" w:cs="Times New Roman"/>
          <w:sz w:val="28"/>
          <w:szCs w:val="28"/>
          <w:lang w:val="en-ZA"/>
        </w:rPr>
        <w:t xml:space="preserve"> (Pty) Ltd v Fischer Consulting Joint Venture</w:t>
      </w:r>
      <w:r w:rsidR="007B790B">
        <w:rPr>
          <w:rFonts w:ascii="Times New Roman" w:hAnsi="Times New Roman" w:cs="Times New Roman"/>
          <w:sz w:val="28"/>
          <w:szCs w:val="28"/>
          <w:lang w:val="en-ZA"/>
        </w:rPr>
        <w:t xml:space="preserve"> and O</w:t>
      </w:r>
      <w:r>
        <w:rPr>
          <w:rFonts w:ascii="Times New Roman" w:hAnsi="Times New Roman" w:cs="Times New Roman"/>
          <w:sz w:val="28"/>
          <w:szCs w:val="28"/>
          <w:lang w:val="en-ZA"/>
        </w:rPr>
        <w:t xml:space="preserve">thers [2022] LSHC </w:t>
      </w:r>
      <w:r w:rsidR="007D3AE6">
        <w:rPr>
          <w:rFonts w:ascii="Times New Roman" w:hAnsi="Times New Roman" w:cs="Times New Roman"/>
          <w:sz w:val="28"/>
          <w:szCs w:val="28"/>
          <w:lang w:val="en-ZA"/>
        </w:rPr>
        <w:t>107</w:t>
      </w:r>
      <w:r>
        <w:rPr>
          <w:rFonts w:ascii="Times New Roman" w:hAnsi="Times New Roman" w:cs="Times New Roman"/>
          <w:sz w:val="28"/>
          <w:szCs w:val="28"/>
          <w:lang w:val="en-ZA"/>
        </w:rPr>
        <w:t xml:space="preserve"> Com. (</w:t>
      </w:r>
      <w:r w:rsidR="007B790B">
        <w:rPr>
          <w:rFonts w:ascii="Times New Roman" w:hAnsi="Times New Roman" w:cs="Times New Roman"/>
          <w:sz w:val="28"/>
          <w:szCs w:val="28"/>
          <w:lang w:val="en-ZA"/>
        </w:rPr>
        <w:t>09 JUNE 2022)</w:t>
      </w:r>
    </w:p>
    <w:p w14:paraId="13F753F1" w14:textId="77777777" w:rsidR="00DD10A3" w:rsidRDefault="00DD10A3" w:rsidP="00642E01">
      <w:pPr>
        <w:spacing w:after="0" w:line="360" w:lineRule="auto"/>
        <w:jc w:val="both"/>
        <w:rPr>
          <w:rFonts w:ascii="Times New Roman" w:hAnsi="Times New Roman" w:cs="Times New Roman"/>
          <w:sz w:val="28"/>
          <w:szCs w:val="28"/>
          <w:lang w:val="en-ZA"/>
        </w:rPr>
      </w:pPr>
    </w:p>
    <w:p w14:paraId="0548DDEC" w14:textId="5AC62732" w:rsidR="00642E01" w:rsidRDefault="00642E01" w:rsidP="00642E01">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CORAM:</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sidR="007B790B">
        <w:rPr>
          <w:rFonts w:ascii="Times New Roman" w:hAnsi="Times New Roman" w:cs="Times New Roman"/>
          <w:b/>
          <w:bCs/>
          <w:sz w:val="28"/>
          <w:szCs w:val="28"/>
          <w:lang w:val="en-ZA"/>
        </w:rPr>
        <w:t xml:space="preserve">         </w:t>
      </w:r>
      <w:r>
        <w:rPr>
          <w:rFonts w:ascii="Times New Roman" w:hAnsi="Times New Roman" w:cs="Times New Roman"/>
          <w:b/>
          <w:bCs/>
          <w:sz w:val="28"/>
          <w:szCs w:val="28"/>
          <w:lang w:val="en-ZA"/>
        </w:rPr>
        <w:t>MOKHESI J</w:t>
      </w:r>
    </w:p>
    <w:p w14:paraId="15F43173" w14:textId="3BC2E11D" w:rsidR="00642E01" w:rsidRDefault="00642E01" w:rsidP="00642E01">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DATE OF HEARING:</w:t>
      </w:r>
      <w:r>
        <w:rPr>
          <w:rFonts w:ascii="Times New Roman" w:hAnsi="Times New Roman" w:cs="Times New Roman"/>
          <w:b/>
          <w:bCs/>
          <w:sz w:val="28"/>
          <w:szCs w:val="28"/>
          <w:lang w:val="en-ZA"/>
        </w:rPr>
        <w:tab/>
      </w:r>
      <w:r w:rsidR="00866007">
        <w:rPr>
          <w:rFonts w:ascii="Times New Roman" w:hAnsi="Times New Roman" w:cs="Times New Roman"/>
          <w:b/>
          <w:bCs/>
          <w:sz w:val="28"/>
          <w:szCs w:val="28"/>
          <w:lang w:val="en-ZA"/>
        </w:rPr>
        <w:t xml:space="preserve">         </w:t>
      </w:r>
      <w:r w:rsidR="00611BFB">
        <w:rPr>
          <w:rFonts w:ascii="Times New Roman" w:hAnsi="Times New Roman" w:cs="Times New Roman"/>
          <w:b/>
          <w:bCs/>
          <w:sz w:val="28"/>
          <w:szCs w:val="28"/>
          <w:lang w:val="en-ZA"/>
        </w:rPr>
        <w:t>23</w:t>
      </w:r>
      <w:r w:rsidR="00611BFB" w:rsidRPr="00611BFB">
        <w:rPr>
          <w:rFonts w:ascii="Times New Roman" w:hAnsi="Times New Roman" w:cs="Times New Roman"/>
          <w:b/>
          <w:bCs/>
          <w:sz w:val="28"/>
          <w:szCs w:val="28"/>
          <w:vertAlign w:val="superscript"/>
          <w:lang w:val="en-ZA"/>
        </w:rPr>
        <w:t>rd</w:t>
      </w:r>
      <w:r w:rsidR="00611BFB">
        <w:rPr>
          <w:rFonts w:ascii="Times New Roman" w:hAnsi="Times New Roman" w:cs="Times New Roman"/>
          <w:b/>
          <w:bCs/>
          <w:sz w:val="28"/>
          <w:szCs w:val="28"/>
          <w:lang w:val="en-ZA"/>
        </w:rPr>
        <w:t xml:space="preserve"> March 2022</w:t>
      </w:r>
    </w:p>
    <w:p w14:paraId="4710B782" w14:textId="205C297A" w:rsidR="00642E01" w:rsidRPr="00642E01" w:rsidRDefault="00642E01" w:rsidP="00642E01">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DATE OF JUDGMENT:</w:t>
      </w:r>
      <w:r w:rsidR="00866007">
        <w:rPr>
          <w:rFonts w:ascii="Times New Roman" w:hAnsi="Times New Roman" w:cs="Times New Roman"/>
          <w:b/>
          <w:bCs/>
          <w:sz w:val="28"/>
          <w:szCs w:val="28"/>
          <w:lang w:val="en-ZA"/>
        </w:rPr>
        <w:t xml:space="preserve">      </w:t>
      </w:r>
      <w:r w:rsidR="00611BFB">
        <w:rPr>
          <w:rFonts w:ascii="Times New Roman" w:hAnsi="Times New Roman" w:cs="Times New Roman"/>
          <w:b/>
          <w:bCs/>
          <w:sz w:val="28"/>
          <w:szCs w:val="28"/>
          <w:lang w:val="en-ZA"/>
        </w:rPr>
        <w:t xml:space="preserve"> 9</w:t>
      </w:r>
      <w:r w:rsidR="00611BFB" w:rsidRPr="00611BFB">
        <w:rPr>
          <w:rFonts w:ascii="Times New Roman" w:hAnsi="Times New Roman" w:cs="Times New Roman"/>
          <w:b/>
          <w:bCs/>
          <w:sz w:val="28"/>
          <w:szCs w:val="28"/>
          <w:vertAlign w:val="superscript"/>
          <w:lang w:val="en-ZA"/>
        </w:rPr>
        <w:t>th</w:t>
      </w:r>
      <w:r w:rsidR="00611BFB">
        <w:rPr>
          <w:rFonts w:ascii="Times New Roman" w:hAnsi="Times New Roman" w:cs="Times New Roman"/>
          <w:b/>
          <w:bCs/>
          <w:sz w:val="28"/>
          <w:szCs w:val="28"/>
          <w:lang w:val="en-ZA"/>
        </w:rPr>
        <w:t xml:space="preserve"> June 2022</w:t>
      </w:r>
      <w:r>
        <w:rPr>
          <w:rFonts w:ascii="Times New Roman" w:hAnsi="Times New Roman" w:cs="Times New Roman"/>
          <w:b/>
          <w:bCs/>
          <w:sz w:val="28"/>
          <w:szCs w:val="28"/>
          <w:lang w:val="en-ZA"/>
        </w:rPr>
        <w:tab/>
      </w:r>
    </w:p>
    <w:p w14:paraId="7110EB10" w14:textId="0A0F2359" w:rsidR="00642E01" w:rsidRDefault="00642E01" w:rsidP="00642E01">
      <w:pPr>
        <w:spacing w:after="0" w:line="360" w:lineRule="auto"/>
        <w:jc w:val="both"/>
        <w:rPr>
          <w:rFonts w:ascii="Times New Roman" w:hAnsi="Times New Roman" w:cs="Times New Roman"/>
          <w:sz w:val="28"/>
          <w:szCs w:val="28"/>
          <w:lang w:val="en-ZA"/>
        </w:rPr>
      </w:pPr>
    </w:p>
    <w:p w14:paraId="01CBBF77" w14:textId="77777777" w:rsidR="00062F8A" w:rsidRDefault="00062F8A" w:rsidP="00642E01">
      <w:pPr>
        <w:spacing w:after="0" w:line="360" w:lineRule="auto"/>
        <w:jc w:val="both"/>
        <w:rPr>
          <w:rFonts w:ascii="Times New Roman" w:hAnsi="Times New Roman" w:cs="Times New Roman"/>
          <w:sz w:val="28"/>
          <w:szCs w:val="28"/>
          <w:lang w:val="en-ZA"/>
        </w:rPr>
      </w:pPr>
    </w:p>
    <w:p w14:paraId="345D60FC" w14:textId="788E09B3" w:rsidR="00A56AE3" w:rsidRDefault="00A56AE3" w:rsidP="00A56AE3">
      <w:pPr>
        <w:spacing w:after="0" w:line="360" w:lineRule="auto"/>
        <w:jc w:val="center"/>
        <w:rPr>
          <w:rFonts w:ascii="Times New Roman" w:hAnsi="Times New Roman" w:cs="Times New Roman"/>
          <w:b/>
          <w:bCs/>
          <w:sz w:val="28"/>
          <w:szCs w:val="28"/>
          <w:u w:val="single"/>
          <w:lang w:val="en-ZA"/>
        </w:rPr>
      </w:pPr>
      <w:r>
        <w:rPr>
          <w:rFonts w:ascii="Times New Roman" w:hAnsi="Times New Roman" w:cs="Times New Roman"/>
          <w:b/>
          <w:bCs/>
          <w:sz w:val="28"/>
          <w:szCs w:val="28"/>
          <w:u w:val="single"/>
          <w:lang w:val="en-ZA"/>
        </w:rPr>
        <w:t>SUMMARY</w:t>
      </w:r>
    </w:p>
    <w:p w14:paraId="7C171587" w14:textId="1E43337C" w:rsidR="00A56AE3" w:rsidRPr="003E3359" w:rsidRDefault="003E3359" w:rsidP="00A56AE3">
      <w:pPr>
        <w:spacing w:after="0" w:line="360" w:lineRule="auto"/>
        <w:jc w:val="both"/>
        <w:rPr>
          <w:rFonts w:ascii="Times New Roman" w:hAnsi="Times New Roman" w:cs="Times New Roman"/>
          <w:i/>
          <w:iCs/>
          <w:sz w:val="28"/>
          <w:szCs w:val="28"/>
          <w:lang w:val="en-ZA"/>
        </w:rPr>
      </w:pPr>
      <w:r>
        <w:rPr>
          <w:rFonts w:ascii="Times New Roman" w:hAnsi="Times New Roman" w:cs="Times New Roman"/>
          <w:b/>
          <w:bCs/>
          <w:sz w:val="28"/>
          <w:szCs w:val="28"/>
          <w:lang w:val="en-ZA"/>
        </w:rPr>
        <w:t xml:space="preserve">CIVIL PRACTICE: </w:t>
      </w:r>
      <w:r w:rsidRPr="003E3359">
        <w:rPr>
          <w:rFonts w:ascii="Times New Roman" w:hAnsi="Times New Roman" w:cs="Times New Roman"/>
          <w:i/>
          <w:iCs/>
          <w:sz w:val="28"/>
          <w:szCs w:val="28"/>
          <w:lang w:val="en-ZA"/>
        </w:rPr>
        <w:t xml:space="preserve">Approach to points in </w:t>
      </w:r>
      <w:proofErr w:type="spellStart"/>
      <w:r w:rsidRPr="003E3359">
        <w:rPr>
          <w:rFonts w:ascii="Times New Roman" w:hAnsi="Times New Roman" w:cs="Times New Roman"/>
          <w:i/>
          <w:iCs/>
          <w:sz w:val="28"/>
          <w:szCs w:val="28"/>
          <w:lang w:val="en-ZA"/>
        </w:rPr>
        <w:t>limine</w:t>
      </w:r>
      <w:proofErr w:type="spellEnd"/>
      <w:r w:rsidRPr="003E3359">
        <w:rPr>
          <w:rFonts w:ascii="Times New Roman" w:hAnsi="Times New Roman" w:cs="Times New Roman"/>
          <w:i/>
          <w:iCs/>
          <w:sz w:val="28"/>
          <w:szCs w:val="28"/>
          <w:lang w:val="en-ZA"/>
        </w:rPr>
        <w:t xml:space="preserve"> re</w:t>
      </w:r>
      <w:r>
        <w:rPr>
          <w:rFonts w:ascii="Times New Roman" w:hAnsi="Times New Roman" w:cs="Times New Roman"/>
          <w:i/>
          <w:iCs/>
          <w:sz w:val="28"/>
          <w:szCs w:val="28"/>
          <w:lang w:val="en-ZA"/>
        </w:rPr>
        <w:t>-</w:t>
      </w:r>
      <w:r w:rsidRPr="003E3359">
        <w:rPr>
          <w:rFonts w:ascii="Times New Roman" w:hAnsi="Times New Roman" w:cs="Times New Roman"/>
          <w:i/>
          <w:iCs/>
          <w:sz w:val="28"/>
          <w:szCs w:val="28"/>
          <w:lang w:val="en-ZA"/>
        </w:rPr>
        <w:t xml:space="preserve">stated and applied- Matter dismissed on the bases of untenability of a declarator and lack of locus standi in </w:t>
      </w:r>
      <w:proofErr w:type="spellStart"/>
      <w:r w:rsidRPr="003E3359">
        <w:rPr>
          <w:rFonts w:ascii="Times New Roman" w:hAnsi="Times New Roman" w:cs="Times New Roman"/>
          <w:i/>
          <w:iCs/>
          <w:sz w:val="28"/>
          <w:szCs w:val="28"/>
          <w:lang w:val="en-ZA"/>
        </w:rPr>
        <w:t>judicio</w:t>
      </w:r>
      <w:proofErr w:type="spellEnd"/>
      <w:r w:rsidRPr="003E3359">
        <w:rPr>
          <w:rFonts w:ascii="Times New Roman" w:hAnsi="Times New Roman" w:cs="Times New Roman"/>
          <w:i/>
          <w:iCs/>
          <w:sz w:val="28"/>
          <w:szCs w:val="28"/>
          <w:lang w:val="en-ZA"/>
        </w:rPr>
        <w:t>.</w:t>
      </w:r>
    </w:p>
    <w:p w14:paraId="2A3CD053" w14:textId="77777777" w:rsidR="00A56AE3" w:rsidRPr="003E3359" w:rsidRDefault="00A56AE3" w:rsidP="00642E01">
      <w:pPr>
        <w:spacing w:after="0" w:line="360" w:lineRule="auto"/>
        <w:jc w:val="both"/>
        <w:rPr>
          <w:rFonts w:ascii="Times New Roman" w:hAnsi="Times New Roman" w:cs="Times New Roman"/>
          <w:i/>
          <w:iCs/>
          <w:sz w:val="28"/>
          <w:szCs w:val="28"/>
          <w:u w:val="single"/>
          <w:lang w:val="en-ZA"/>
        </w:rPr>
      </w:pPr>
    </w:p>
    <w:p w14:paraId="521AF5FE" w14:textId="7D5E6B06" w:rsidR="00642E01" w:rsidRDefault="007D3AE6" w:rsidP="003E3359">
      <w:pPr>
        <w:pStyle w:val="Heading1"/>
      </w:pPr>
      <w:r>
        <w:t>ANNOTATIONS</w:t>
      </w:r>
    </w:p>
    <w:p w14:paraId="343E57F5" w14:textId="47BC36BB" w:rsidR="0022718D" w:rsidRDefault="0022718D" w:rsidP="00642E01">
      <w:pPr>
        <w:spacing w:after="0" w:line="360" w:lineRule="auto"/>
        <w:jc w:val="both"/>
        <w:rPr>
          <w:rFonts w:ascii="Times New Roman" w:hAnsi="Times New Roman" w:cs="Times New Roman"/>
          <w:b/>
          <w:bCs/>
          <w:sz w:val="28"/>
          <w:szCs w:val="28"/>
          <w:lang w:val="en-ZA"/>
        </w:rPr>
      </w:pPr>
      <w:r w:rsidRPr="0022718D">
        <w:rPr>
          <w:rFonts w:ascii="Times New Roman" w:hAnsi="Times New Roman" w:cs="Times New Roman"/>
          <w:b/>
          <w:bCs/>
          <w:sz w:val="28"/>
          <w:szCs w:val="28"/>
          <w:lang w:val="en-ZA"/>
        </w:rPr>
        <w:t>BOOK</w:t>
      </w:r>
      <w:r w:rsidR="00641CD2">
        <w:rPr>
          <w:rFonts w:ascii="Times New Roman" w:hAnsi="Times New Roman" w:cs="Times New Roman"/>
          <w:b/>
          <w:bCs/>
          <w:sz w:val="28"/>
          <w:szCs w:val="28"/>
          <w:lang w:val="en-ZA"/>
        </w:rPr>
        <w:t>S:</w:t>
      </w:r>
    </w:p>
    <w:p w14:paraId="5949A979" w14:textId="7997BEA3" w:rsidR="0022718D" w:rsidRDefault="0022718D" w:rsidP="00642E01">
      <w:pPr>
        <w:spacing w:after="0" w:line="360" w:lineRule="auto"/>
        <w:jc w:val="both"/>
        <w:rPr>
          <w:rFonts w:ascii="Times New Roman" w:hAnsi="Times New Roman" w:cs="Times New Roman"/>
          <w:sz w:val="28"/>
          <w:szCs w:val="28"/>
          <w:lang w:val="en-ZA"/>
        </w:rPr>
      </w:pPr>
      <w:proofErr w:type="spellStart"/>
      <w:r w:rsidRPr="00641CD2">
        <w:rPr>
          <w:rFonts w:ascii="Times New Roman" w:hAnsi="Times New Roman" w:cs="Times New Roman"/>
          <w:b/>
          <w:bCs/>
          <w:sz w:val="28"/>
          <w:szCs w:val="28"/>
          <w:lang w:val="en-ZA"/>
        </w:rPr>
        <w:t>Herbstein</w:t>
      </w:r>
      <w:proofErr w:type="spellEnd"/>
      <w:r w:rsidRPr="00641CD2">
        <w:rPr>
          <w:rFonts w:ascii="Times New Roman" w:hAnsi="Times New Roman" w:cs="Times New Roman"/>
          <w:b/>
          <w:bCs/>
          <w:sz w:val="28"/>
          <w:szCs w:val="28"/>
          <w:lang w:val="en-ZA"/>
        </w:rPr>
        <w:t xml:space="preserve"> &amp; Van </w:t>
      </w:r>
      <w:proofErr w:type="spellStart"/>
      <w:r w:rsidRPr="00641CD2">
        <w:rPr>
          <w:rFonts w:ascii="Times New Roman" w:hAnsi="Times New Roman" w:cs="Times New Roman"/>
          <w:b/>
          <w:bCs/>
          <w:sz w:val="28"/>
          <w:szCs w:val="28"/>
          <w:lang w:val="en-ZA"/>
        </w:rPr>
        <w:t>Winsen</w:t>
      </w:r>
      <w:proofErr w:type="spellEnd"/>
      <w:r w:rsidRPr="0022718D">
        <w:rPr>
          <w:rFonts w:ascii="Times New Roman" w:hAnsi="Times New Roman" w:cs="Times New Roman"/>
          <w:sz w:val="28"/>
          <w:szCs w:val="28"/>
          <w:lang w:val="en-ZA"/>
        </w:rPr>
        <w:t xml:space="preserve"> </w:t>
      </w:r>
      <w:proofErr w:type="gramStart"/>
      <w:r w:rsidR="00641CD2">
        <w:rPr>
          <w:rFonts w:ascii="Times New Roman" w:hAnsi="Times New Roman" w:cs="Times New Roman"/>
          <w:sz w:val="28"/>
          <w:szCs w:val="28"/>
          <w:lang w:val="en-ZA"/>
        </w:rPr>
        <w:t>T</w:t>
      </w:r>
      <w:r w:rsidRPr="0022718D">
        <w:rPr>
          <w:rFonts w:ascii="Times New Roman" w:hAnsi="Times New Roman" w:cs="Times New Roman"/>
          <w:sz w:val="28"/>
          <w:szCs w:val="28"/>
          <w:lang w:val="en-ZA"/>
        </w:rPr>
        <w:t>he</w:t>
      </w:r>
      <w:proofErr w:type="gramEnd"/>
      <w:r w:rsidRPr="0022718D">
        <w:rPr>
          <w:rFonts w:ascii="Times New Roman" w:hAnsi="Times New Roman" w:cs="Times New Roman"/>
          <w:sz w:val="28"/>
          <w:szCs w:val="28"/>
          <w:lang w:val="en-ZA"/>
        </w:rPr>
        <w:t xml:space="preserve"> Civil Practice of the High Courts of South Africa (2009) 5 ed vol. 1 </w:t>
      </w:r>
    </w:p>
    <w:p w14:paraId="45BDC9AF" w14:textId="77777777" w:rsidR="00641CD2" w:rsidRPr="0022718D" w:rsidRDefault="00641CD2" w:rsidP="00642E01">
      <w:pPr>
        <w:spacing w:after="0" w:line="360" w:lineRule="auto"/>
        <w:jc w:val="both"/>
        <w:rPr>
          <w:rFonts w:ascii="Times New Roman" w:hAnsi="Times New Roman" w:cs="Times New Roman"/>
          <w:sz w:val="28"/>
          <w:szCs w:val="28"/>
          <w:lang w:val="en-ZA"/>
        </w:rPr>
      </w:pPr>
    </w:p>
    <w:p w14:paraId="70EBD45E" w14:textId="1A8C81AC" w:rsidR="0022718D" w:rsidRDefault="0022718D" w:rsidP="00642E01">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CASE LAW</w:t>
      </w:r>
      <w:r w:rsidR="00641CD2">
        <w:rPr>
          <w:rFonts w:ascii="Times New Roman" w:hAnsi="Times New Roman" w:cs="Times New Roman"/>
          <w:b/>
          <w:bCs/>
          <w:sz w:val="28"/>
          <w:szCs w:val="28"/>
          <w:lang w:val="en-ZA"/>
        </w:rPr>
        <w:t>:</w:t>
      </w:r>
    </w:p>
    <w:p w14:paraId="19AAD741" w14:textId="0E053F89" w:rsidR="00203127" w:rsidRDefault="00203127" w:rsidP="00642E01">
      <w:pPr>
        <w:spacing w:after="0" w:line="360" w:lineRule="auto"/>
        <w:jc w:val="both"/>
        <w:rPr>
          <w:rFonts w:ascii="Times New Roman" w:hAnsi="Times New Roman" w:cs="Times New Roman"/>
          <w:sz w:val="28"/>
          <w:szCs w:val="28"/>
          <w:lang w:val="en-ZA"/>
        </w:rPr>
      </w:pPr>
      <w:r w:rsidRPr="00203127">
        <w:rPr>
          <w:rFonts w:ascii="Times New Roman" w:hAnsi="Times New Roman" w:cs="Times New Roman"/>
          <w:sz w:val="28"/>
          <w:szCs w:val="28"/>
          <w:lang w:val="en-ZA"/>
        </w:rPr>
        <w:t xml:space="preserve">Cordiant Trading CC v Daimler Chrysler Financial Services (Pty) Ltd (237/2004) [2005] ZASCA 50 (30 May 2005): [2006] 1 ALL SA 103 </w:t>
      </w:r>
    </w:p>
    <w:p w14:paraId="7A6327D5" w14:textId="77777777" w:rsidR="00D448E7" w:rsidRPr="00203127" w:rsidRDefault="00D448E7" w:rsidP="00642E01">
      <w:pPr>
        <w:spacing w:after="0" w:line="360" w:lineRule="auto"/>
        <w:jc w:val="both"/>
        <w:rPr>
          <w:rFonts w:ascii="Times New Roman" w:hAnsi="Times New Roman" w:cs="Times New Roman"/>
          <w:sz w:val="28"/>
          <w:szCs w:val="28"/>
          <w:lang w:val="en-ZA"/>
        </w:rPr>
      </w:pPr>
    </w:p>
    <w:p w14:paraId="329BFC73" w14:textId="40FA0F26" w:rsidR="00FF0F4F" w:rsidRDefault="0063084A" w:rsidP="00642E01">
      <w:pPr>
        <w:spacing w:after="0" w:line="360" w:lineRule="auto"/>
        <w:jc w:val="both"/>
        <w:rPr>
          <w:rFonts w:ascii="Times New Roman" w:hAnsi="Times New Roman" w:cs="Times New Roman"/>
          <w:sz w:val="28"/>
          <w:szCs w:val="28"/>
          <w:lang w:val="en-ZA"/>
        </w:rPr>
      </w:pPr>
      <w:proofErr w:type="spellStart"/>
      <w:r w:rsidRPr="0063084A">
        <w:rPr>
          <w:rFonts w:ascii="Times New Roman" w:hAnsi="Times New Roman" w:cs="Times New Roman"/>
          <w:sz w:val="28"/>
          <w:szCs w:val="28"/>
          <w:lang w:val="en-ZA"/>
        </w:rPr>
        <w:t>Makoala</w:t>
      </w:r>
      <w:proofErr w:type="spellEnd"/>
      <w:r w:rsidRPr="0063084A">
        <w:rPr>
          <w:rFonts w:ascii="Times New Roman" w:hAnsi="Times New Roman" w:cs="Times New Roman"/>
          <w:sz w:val="28"/>
          <w:szCs w:val="28"/>
          <w:lang w:val="en-ZA"/>
        </w:rPr>
        <w:t xml:space="preserve"> v </w:t>
      </w:r>
      <w:proofErr w:type="spellStart"/>
      <w:r w:rsidRPr="0063084A">
        <w:rPr>
          <w:rFonts w:ascii="Times New Roman" w:hAnsi="Times New Roman" w:cs="Times New Roman"/>
          <w:sz w:val="28"/>
          <w:szCs w:val="28"/>
          <w:lang w:val="en-ZA"/>
        </w:rPr>
        <w:t>Makoala</w:t>
      </w:r>
      <w:proofErr w:type="spellEnd"/>
      <w:r w:rsidRPr="0063084A">
        <w:rPr>
          <w:rFonts w:ascii="Times New Roman" w:hAnsi="Times New Roman" w:cs="Times New Roman"/>
          <w:sz w:val="28"/>
          <w:szCs w:val="28"/>
          <w:lang w:val="en-ZA"/>
        </w:rPr>
        <w:t xml:space="preserve"> LAC (2009 – 2010) 40 </w:t>
      </w:r>
    </w:p>
    <w:p w14:paraId="5423FA99" w14:textId="77777777" w:rsidR="00D17550" w:rsidRDefault="00D17550" w:rsidP="00642E01">
      <w:pPr>
        <w:spacing w:after="0" w:line="360" w:lineRule="auto"/>
        <w:jc w:val="both"/>
        <w:rPr>
          <w:rFonts w:ascii="Times New Roman" w:hAnsi="Times New Roman" w:cs="Times New Roman"/>
          <w:sz w:val="28"/>
          <w:szCs w:val="28"/>
          <w:lang w:val="en-ZA"/>
        </w:rPr>
      </w:pPr>
    </w:p>
    <w:p w14:paraId="0A90DF29" w14:textId="1F9B39F9" w:rsidR="00390FA5" w:rsidRPr="00390FA5" w:rsidRDefault="00390FA5" w:rsidP="00642E01">
      <w:pPr>
        <w:spacing w:after="0" w:line="360" w:lineRule="auto"/>
        <w:jc w:val="both"/>
        <w:rPr>
          <w:rFonts w:ascii="Times New Roman" w:hAnsi="Times New Roman" w:cs="Times New Roman"/>
          <w:sz w:val="28"/>
          <w:szCs w:val="28"/>
          <w:u w:val="single"/>
          <w:lang w:val="en-ZA"/>
        </w:rPr>
      </w:pPr>
      <w:r w:rsidRPr="00390FA5">
        <w:rPr>
          <w:rFonts w:ascii="Times New Roman" w:hAnsi="Times New Roman" w:cs="Times New Roman"/>
          <w:sz w:val="28"/>
          <w:szCs w:val="28"/>
          <w:lang w:val="en-ZA"/>
        </w:rPr>
        <w:t xml:space="preserve">Mars Incorporated v Candy World (Pty) Ltd [1990] ZASCA 149; 1991 (1) SA 567 (A) </w:t>
      </w:r>
    </w:p>
    <w:p w14:paraId="6BB458E8" w14:textId="210BD2B6" w:rsidR="007D3AE6" w:rsidRDefault="0084328E" w:rsidP="00642E01">
      <w:pPr>
        <w:spacing w:after="0" w:line="360" w:lineRule="auto"/>
        <w:jc w:val="both"/>
        <w:rPr>
          <w:rFonts w:ascii="Times New Roman" w:hAnsi="Times New Roman" w:cs="Times New Roman"/>
          <w:sz w:val="28"/>
          <w:szCs w:val="28"/>
          <w:lang w:val="en-ZA"/>
        </w:rPr>
      </w:pPr>
      <w:proofErr w:type="spellStart"/>
      <w:r w:rsidRPr="0084328E">
        <w:rPr>
          <w:rFonts w:ascii="Times New Roman" w:hAnsi="Times New Roman" w:cs="Times New Roman"/>
          <w:sz w:val="28"/>
          <w:szCs w:val="28"/>
          <w:lang w:val="en-ZA"/>
        </w:rPr>
        <w:t>Moiloa</w:t>
      </w:r>
      <w:proofErr w:type="spellEnd"/>
      <w:r w:rsidRPr="0084328E">
        <w:rPr>
          <w:rFonts w:ascii="Times New Roman" w:hAnsi="Times New Roman" w:cs="Times New Roman"/>
          <w:sz w:val="28"/>
          <w:szCs w:val="28"/>
          <w:lang w:val="en-ZA"/>
        </w:rPr>
        <w:t xml:space="preserve"> v City of Tshwane Metropolitan Municipality (249/2016) [2017] ZASCA 15 (22 March 2017</w:t>
      </w:r>
      <w:r w:rsidR="00641CD2">
        <w:rPr>
          <w:rFonts w:ascii="Times New Roman" w:hAnsi="Times New Roman" w:cs="Times New Roman"/>
          <w:sz w:val="28"/>
          <w:szCs w:val="28"/>
          <w:lang w:val="en-ZA"/>
        </w:rPr>
        <w:t>)</w:t>
      </w:r>
    </w:p>
    <w:p w14:paraId="202E9D77" w14:textId="52854CEA" w:rsidR="002A0588" w:rsidRPr="0084328E" w:rsidRDefault="0039411E" w:rsidP="00642E01">
      <w:pPr>
        <w:spacing w:after="0" w:line="360" w:lineRule="auto"/>
        <w:jc w:val="both"/>
        <w:rPr>
          <w:rFonts w:ascii="Times New Roman" w:hAnsi="Times New Roman" w:cs="Times New Roman"/>
          <w:sz w:val="28"/>
          <w:szCs w:val="28"/>
          <w:u w:val="single"/>
          <w:lang w:val="en-ZA"/>
        </w:rPr>
      </w:pPr>
      <w:r w:rsidRPr="0039411E">
        <w:rPr>
          <w:rFonts w:ascii="Times New Roman" w:hAnsi="Times New Roman" w:cs="Times New Roman"/>
          <w:sz w:val="28"/>
          <w:szCs w:val="28"/>
          <w:lang w:val="en-ZA"/>
        </w:rPr>
        <w:t xml:space="preserve">National Executive Committee and Others v </w:t>
      </w:r>
      <w:proofErr w:type="spellStart"/>
      <w:r w:rsidRPr="0039411E">
        <w:rPr>
          <w:rFonts w:ascii="Times New Roman" w:hAnsi="Times New Roman" w:cs="Times New Roman"/>
          <w:sz w:val="28"/>
          <w:szCs w:val="28"/>
          <w:lang w:val="en-ZA"/>
        </w:rPr>
        <w:t>Morolong</w:t>
      </w:r>
      <w:proofErr w:type="spellEnd"/>
      <w:r w:rsidRPr="0039411E">
        <w:rPr>
          <w:rFonts w:ascii="Times New Roman" w:hAnsi="Times New Roman" w:cs="Times New Roman"/>
          <w:sz w:val="28"/>
          <w:szCs w:val="28"/>
          <w:lang w:val="en-ZA"/>
        </w:rPr>
        <w:t xml:space="preserve"> (C of A (C(V) No.26/2001) (NULL) [2002] LSHC 10 (12 April 2002)</w:t>
      </w:r>
    </w:p>
    <w:p w14:paraId="6CF81743" w14:textId="77777777" w:rsidR="007D3AE6" w:rsidRPr="007D3AE6" w:rsidRDefault="007D3AE6" w:rsidP="00642E01">
      <w:pPr>
        <w:spacing w:after="0" w:line="360" w:lineRule="auto"/>
        <w:jc w:val="both"/>
        <w:rPr>
          <w:rFonts w:ascii="Times New Roman" w:hAnsi="Times New Roman" w:cs="Times New Roman"/>
          <w:b/>
          <w:bCs/>
          <w:sz w:val="28"/>
          <w:szCs w:val="28"/>
          <w:u w:val="single"/>
          <w:lang w:val="en-ZA"/>
        </w:rPr>
      </w:pPr>
    </w:p>
    <w:p w14:paraId="346BA84E" w14:textId="212474F5" w:rsidR="00642E01" w:rsidRDefault="00642E01" w:rsidP="00642E01">
      <w:pPr>
        <w:spacing w:after="0" w:line="360" w:lineRule="auto"/>
        <w:jc w:val="both"/>
        <w:rPr>
          <w:rFonts w:ascii="Times New Roman" w:hAnsi="Times New Roman" w:cs="Times New Roman"/>
          <w:sz w:val="28"/>
          <w:szCs w:val="28"/>
          <w:lang w:val="en-ZA"/>
        </w:rPr>
      </w:pPr>
    </w:p>
    <w:p w14:paraId="0EA78C76" w14:textId="77777777" w:rsidR="00642E01" w:rsidRPr="00642E01" w:rsidRDefault="00642E01" w:rsidP="00642E01">
      <w:pPr>
        <w:spacing w:after="0" w:line="360" w:lineRule="auto"/>
        <w:jc w:val="both"/>
        <w:rPr>
          <w:rFonts w:ascii="Times New Roman" w:hAnsi="Times New Roman" w:cs="Times New Roman"/>
          <w:sz w:val="28"/>
          <w:szCs w:val="28"/>
          <w:lang w:val="en-ZA"/>
        </w:rPr>
      </w:pPr>
    </w:p>
    <w:p w14:paraId="1D5782FF" w14:textId="77777777" w:rsidR="00642E01" w:rsidRPr="00642E01" w:rsidRDefault="00642E01" w:rsidP="00642E01">
      <w:pPr>
        <w:spacing w:after="0" w:line="360" w:lineRule="auto"/>
        <w:jc w:val="both"/>
        <w:rPr>
          <w:rFonts w:ascii="Times New Roman" w:hAnsi="Times New Roman" w:cs="Times New Roman"/>
          <w:b/>
          <w:bCs/>
          <w:sz w:val="28"/>
          <w:szCs w:val="28"/>
          <w:lang w:val="en-ZA"/>
        </w:rPr>
      </w:pPr>
    </w:p>
    <w:p w14:paraId="3D6F0941" w14:textId="0351989A" w:rsidR="00B863E2" w:rsidRDefault="007D3AE6" w:rsidP="007D3AE6">
      <w:pPr>
        <w:spacing w:after="0" w:line="360" w:lineRule="auto"/>
        <w:jc w:val="center"/>
        <w:rPr>
          <w:rFonts w:ascii="Times New Roman" w:hAnsi="Times New Roman" w:cs="Times New Roman"/>
          <w:b/>
          <w:bCs/>
          <w:sz w:val="28"/>
          <w:szCs w:val="28"/>
          <w:u w:val="single"/>
          <w:lang w:val="en-ZA"/>
        </w:rPr>
      </w:pPr>
      <w:r>
        <w:rPr>
          <w:rFonts w:ascii="Times New Roman" w:hAnsi="Times New Roman" w:cs="Times New Roman"/>
          <w:b/>
          <w:bCs/>
          <w:sz w:val="28"/>
          <w:szCs w:val="28"/>
          <w:u w:val="single"/>
          <w:lang w:val="en-ZA"/>
        </w:rPr>
        <w:lastRenderedPageBreak/>
        <w:t>JUDGMENT</w:t>
      </w:r>
    </w:p>
    <w:p w14:paraId="54FE1F26" w14:textId="77777777" w:rsidR="007D3AE6" w:rsidRPr="007D3AE6" w:rsidRDefault="007D3AE6" w:rsidP="007D3AE6">
      <w:pPr>
        <w:spacing w:after="0" w:line="360" w:lineRule="auto"/>
        <w:jc w:val="center"/>
        <w:rPr>
          <w:rFonts w:ascii="Times New Roman" w:hAnsi="Times New Roman" w:cs="Times New Roman"/>
          <w:b/>
          <w:bCs/>
          <w:sz w:val="28"/>
          <w:szCs w:val="28"/>
          <w:u w:val="single"/>
          <w:lang w:val="en-ZA"/>
        </w:rPr>
      </w:pPr>
    </w:p>
    <w:p w14:paraId="17E91498" w14:textId="1E5EAECA" w:rsidR="0015189C" w:rsidRDefault="0015189C" w:rsidP="0015189C">
      <w:pPr>
        <w:spacing w:after="0" w:line="360" w:lineRule="auto"/>
        <w:jc w:val="both"/>
        <w:rPr>
          <w:rFonts w:ascii="Times New Roman" w:hAnsi="Times New Roman" w:cs="Times New Roman"/>
          <w:b/>
          <w:bCs/>
          <w:sz w:val="28"/>
          <w:szCs w:val="28"/>
          <w:lang w:val="en-ZA"/>
        </w:rPr>
      </w:pPr>
      <w:r>
        <w:rPr>
          <w:rFonts w:ascii="Times New Roman" w:hAnsi="Times New Roman" w:cs="Times New Roman"/>
          <w:sz w:val="28"/>
          <w:szCs w:val="28"/>
          <w:lang w:val="en-ZA"/>
        </w:rPr>
        <w:t>[</w:t>
      </w:r>
      <w:r w:rsidR="00020BB1">
        <w:rPr>
          <w:rFonts w:ascii="Times New Roman" w:hAnsi="Times New Roman" w:cs="Times New Roman"/>
          <w:sz w:val="28"/>
          <w:szCs w:val="28"/>
          <w:lang w:val="en-ZA"/>
        </w:rPr>
        <w:t>1</w:t>
      </w:r>
      <w:r>
        <w:rPr>
          <w:rFonts w:ascii="Times New Roman" w:hAnsi="Times New Roman" w:cs="Times New Roman"/>
          <w:sz w:val="28"/>
          <w:szCs w:val="28"/>
          <w:lang w:val="en-ZA"/>
        </w:rPr>
        <w:t>]</w:t>
      </w:r>
      <w:r>
        <w:rPr>
          <w:rFonts w:ascii="Times New Roman" w:hAnsi="Times New Roman" w:cs="Times New Roman"/>
          <w:sz w:val="28"/>
          <w:szCs w:val="28"/>
          <w:lang w:val="en-ZA"/>
        </w:rPr>
        <w:tab/>
      </w:r>
      <w:r>
        <w:rPr>
          <w:rFonts w:ascii="Times New Roman" w:hAnsi="Times New Roman" w:cs="Times New Roman"/>
          <w:b/>
          <w:bCs/>
          <w:sz w:val="28"/>
          <w:szCs w:val="28"/>
          <w:lang w:val="en-ZA"/>
        </w:rPr>
        <w:t>Introduction</w:t>
      </w:r>
    </w:p>
    <w:p w14:paraId="5180E2B1" w14:textId="01FC07F6" w:rsidR="0015189C" w:rsidRDefault="0015189C" w:rsidP="0015189C">
      <w:pPr>
        <w:spacing w:after="0" w:line="36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This is an interlocutory application by the applicant company which is one of the respondents in the main application wherein the 1</w:t>
      </w:r>
      <w:r w:rsidRPr="0015189C">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 in the current matter is the applicant.</w:t>
      </w:r>
    </w:p>
    <w:p w14:paraId="3CCA1ACB" w14:textId="3072C0F4" w:rsidR="00020BB1" w:rsidRDefault="00020BB1" w:rsidP="00020BB1">
      <w:pPr>
        <w:spacing w:after="0" w:line="360" w:lineRule="auto"/>
        <w:jc w:val="both"/>
        <w:rPr>
          <w:rFonts w:ascii="Times New Roman" w:hAnsi="Times New Roman" w:cs="Times New Roman"/>
          <w:sz w:val="28"/>
          <w:szCs w:val="28"/>
          <w:lang w:val="en-ZA"/>
        </w:rPr>
      </w:pPr>
    </w:p>
    <w:p w14:paraId="1B274AC0" w14:textId="77777777" w:rsidR="00020BB1" w:rsidRDefault="00020BB1" w:rsidP="00020BB1">
      <w:pPr>
        <w:spacing w:after="0" w:line="360" w:lineRule="auto"/>
        <w:jc w:val="both"/>
        <w:rPr>
          <w:rFonts w:ascii="Times New Roman" w:hAnsi="Times New Roman" w:cs="Times New Roman"/>
          <w:b/>
          <w:bCs/>
          <w:sz w:val="28"/>
          <w:szCs w:val="28"/>
          <w:lang w:val="en-ZA"/>
        </w:rPr>
      </w:pPr>
      <w:r>
        <w:rPr>
          <w:rFonts w:ascii="Times New Roman" w:hAnsi="Times New Roman" w:cs="Times New Roman"/>
          <w:sz w:val="28"/>
          <w:szCs w:val="28"/>
          <w:lang w:val="en-ZA"/>
        </w:rPr>
        <w:t>[2]</w:t>
      </w:r>
      <w:r>
        <w:rPr>
          <w:rFonts w:ascii="Times New Roman" w:hAnsi="Times New Roman" w:cs="Times New Roman"/>
          <w:sz w:val="28"/>
          <w:szCs w:val="28"/>
          <w:lang w:val="en-ZA"/>
        </w:rPr>
        <w:tab/>
      </w:r>
      <w:r>
        <w:rPr>
          <w:rFonts w:ascii="Times New Roman" w:hAnsi="Times New Roman" w:cs="Times New Roman"/>
          <w:b/>
          <w:bCs/>
          <w:sz w:val="28"/>
          <w:szCs w:val="28"/>
          <w:lang w:val="en-ZA"/>
        </w:rPr>
        <w:t>Factual Background</w:t>
      </w:r>
    </w:p>
    <w:p w14:paraId="7957182D" w14:textId="2CA62B56" w:rsidR="003676FD" w:rsidRDefault="00020BB1" w:rsidP="00020BB1">
      <w:pPr>
        <w:spacing w:after="0" w:line="36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In the main case, the 1</w:t>
      </w:r>
      <w:r w:rsidRPr="00020BB1">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 Fisher Consulting Joint Venture (hereinafter “JV”) had launched an urgent application before this court in terms of which it sought to interdict the Ministry of Public Works and Transport (Ministry) from awarding the contract for </w:t>
      </w:r>
      <w:r w:rsidR="00611BFB">
        <w:rPr>
          <w:rFonts w:ascii="Times New Roman" w:hAnsi="Times New Roman" w:cs="Times New Roman"/>
          <w:sz w:val="28"/>
          <w:szCs w:val="28"/>
          <w:lang w:val="en-ZA"/>
        </w:rPr>
        <w:t xml:space="preserve">the </w:t>
      </w:r>
      <w:r>
        <w:rPr>
          <w:rFonts w:ascii="Times New Roman" w:hAnsi="Times New Roman" w:cs="Times New Roman"/>
          <w:sz w:val="28"/>
          <w:szCs w:val="28"/>
          <w:lang w:val="en-ZA"/>
        </w:rPr>
        <w:t>supply, installation and Support of Lesotho Integrated Transport Information System (LITIS) to the applicant in the instant matter (hereinafter “</w:t>
      </w:r>
      <w:proofErr w:type="spellStart"/>
      <w:r>
        <w:rPr>
          <w:rFonts w:ascii="Times New Roman" w:hAnsi="Times New Roman" w:cs="Times New Roman"/>
          <w:sz w:val="28"/>
          <w:szCs w:val="28"/>
          <w:lang w:val="en-ZA"/>
        </w:rPr>
        <w:t>Engidata</w:t>
      </w:r>
      <w:proofErr w:type="spellEnd"/>
      <w:r>
        <w:rPr>
          <w:rFonts w:ascii="Times New Roman" w:hAnsi="Times New Roman" w:cs="Times New Roman"/>
          <w:sz w:val="28"/>
          <w:szCs w:val="28"/>
          <w:lang w:val="en-ZA"/>
        </w:rPr>
        <w:t xml:space="preserve">”).  The main application was lodged after </w:t>
      </w:r>
      <w:r w:rsidR="00611BFB">
        <w:rPr>
          <w:rFonts w:ascii="Times New Roman" w:hAnsi="Times New Roman" w:cs="Times New Roman"/>
          <w:sz w:val="28"/>
          <w:szCs w:val="28"/>
          <w:lang w:val="en-ZA"/>
        </w:rPr>
        <w:t xml:space="preserve">a </w:t>
      </w:r>
      <w:r>
        <w:rPr>
          <w:rFonts w:ascii="Times New Roman" w:hAnsi="Times New Roman" w:cs="Times New Roman"/>
          <w:sz w:val="28"/>
          <w:szCs w:val="28"/>
          <w:lang w:val="en-ZA"/>
        </w:rPr>
        <w:t xml:space="preserve">formal application to the Ministry by JV to avail </w:t>
      </w:r>
      <w:r w:rsidR="0045671E">
        <w:rPr>
          <w:rFonts w:ascii="Times New Roman" w:hAnsi="Times New Roman" w:cs="Times New Roman"/>
          <w:sz w:val="28"/>
          <w:szCs w:val="28"/>
          <w:lang w:val="en-ZA"/>
        </w:rPr>
        <w:t xml:space="preserve">to it </w:t>
      </w:r>
      <w:r>
        <w:rPr>
          <w:rFonts w:ascii="Times New Roman" w:hAnsi="Times New Roman" w:cs="Times New Roman"/>
          <w:sz w:val="28"/>
          <w:szCs w:val="28"/>
          <w:lang w:val="en-ZA"/>
        </w:rPr>
        <w:t>information</w:t>
      </w:r>
      <w:r w:rsidR="009C51AB">
        <w:rPr>
          <w:rFonts w:ascii="Times New Roman" w:hAnsi="Times New Roman" w:cs="Times New Roman"/>
          <w:sz w:val="28"/>
          <w:szCs w:val="28"/>
          <w:lang w:val="en-ZA"/>
        </w:rPr>
        <w:t xml:space="preserve"> which led to it being rejected as a bidder. This court was approached after it was clear that the Ministry was intend on awarding the said contract to </w:t>
      </w:r>
      <w:proofErr w:type="spellStart"/>
      <w:r w:rsidR="009C51AB">
        <w:rPr>
          <w:rFonts w:ascii="Times New Roman" w:hAnsi="Times New Roman" w:cs="Times New Roman"/>
          <w:sz w:val="28"/>
          <w:szCs w:val="28"/>
          <w:lang w:val="en-ZA"/>
        </w:rPr>
        <w:t>Engidata</w:t>
      </w:r>
      <w:proofErr w:type="spellEnd"/>
      <w:r w:rsidR="0045671E">
        <w:rPr>
          <w:rFonts w:ascii="Times New Roman" w:hAnsi="Times New Roman" w:cs="Times New Roman"/>
          <w:sz w:val="28"/>
          <w:szCs w:val="28"/>
          <w:lang w:val="en-ZA"/>
        </w:rPr>
        <w:t xml:space="preserve"> </w:t>
      </w:r>
      <w:r w:rsidR="000C61B9">
        <w:rPr>
          <w:rFonts w:ascii="Times New Roman" w:hAnsi="Times New Roman" w:cs="Times New Roman"/>
          <w:sz w:val="28"/>
          <w:szCs w:val="28"/>
          <w:lang w:val="en-ZA"/>
        </w:rPr>
        <w:t xml:space="preserve">despite JV’s </w:t>
      </w:r>
      <w:r w:rsidR="0045671E">
        <w:rPr>
          <w:rFonts w:ascii="Times New Roman" w:hAnsi="Times New Roman" w:cs="Times New Roman"/>
          <w:sz w:val="28"/>
          <w:szCs w:val="28"/>
          <w:lang w:val="en-ZA"/>
        </w:rPr>
        <w:t xml:space="preserve">apparent discontent and </w:t>
      </w:r>
      <w:r w:rsidR="000C61B9">
        <w:rPr>
          <w:rFonts w:ascii="Times New Roman" w:hAnsi="Times New Roman" w:cs="Times New Roman"/>
          <w:sz w:val="28"/>
          <w:szCs w:val="28"/>
          <w:lang w:val="en-ZA"/>
        </w:rPr>
        <w:t>queries.</w:t>
      </w:r>
    </w:p>
    <w:p w14:paraId="585CBF40" w14:textId="77777777" w:rsidR="003676FD" w:rsidRDefault="003676FD" w:rsidP="003676FD">
      <w:pPr>
        <w:spacing w:after="0" w:line="360" w:lineRule="auto"/>
        <w:jc w:val="both"/>
        <w:rPr>
          <w:rFonts w:ascii="Times New Roman" w:hAnsi="Times New Roman" w:cs="Times New Roman"/>
          <w:sz w:val="28"/>
          <w:szCs w:val="28"/>
          <w:lang w:val="en-ZA"/>
        </w:rPr>
      </w:pPr>
    </w:p>
    <w:p w14:paraId="67866146" w14:textId="7F38A19E" w:rsidR="007007B4" w:rsidRDefault="003676FD" w:rsidP="00637994">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[3]</w:t>
      </w:r>
      <w:r w:rsidR="005D6748">
        <w:rPr>
          <w:rFonts w:ascii="Times New Roman" w:hAnsi="Times New Roman" w:cs="Times New Roman"/>
          <w:sz w:val="28"/>
          <w:szCs w:val="28"/>
          <w:lang w:val="en-ZA"/>
        </w:rPr>
        <w:t xml:space="preserve">     I</w:t>
      </w:r>
      <w:r w:rsidR="00637994">
        <w:rPr>
          <w:rFonts w:ascii="Times New Roman" w:hAnsi="Times New Roman" w:cs="Times New Roman"/>
          <w:sz w:val="28"/>
          <w:szCs w:val="28"/>
          <w:lang w:val="en-ZA"/>
        </w:rPr>
        <w:t>t is apposite to set the context in terms of which the bidding was conducted.  With the aim of developing and harmonising road transport policies, laws, regulations</w:t>
      </w:r>
      <w:r w:rsidR="00CA45F3">
        <w:rPr>
          <w:rFonts w:ascii="Times New Roman" w:hAnsi="Times New Roman" w:cs="Times New Roman"/>
          <w:sz w:val="28"/>
          <w:szCs w:val="28"/>
          <w:lang w:val="en-ZA"/>
        </w:rPr>
        <w:t>,</w:t>
      </w:r>
      <w:r w:rsidR="00637994">
        <w:rPr>
          <w:rFonts w:ascii="Times New Roman" w:hAnsi="Times New Roman" w:cs="Times New Roman"/>
          <w:sz w:val="28"/>
          <w:szCs w:val="28"/>
          <w:lang w:val="en-ZA"/>
        </w:rPr>
        <w:t xml:space="preserve"> and standards for efficiency in cross-border transport and transit networks, transport and logistics, systems</w:t>
      </w:r>
      <w:r w:rsidR="00CA45F3">
        <w:rPr>
          <w:rFonts w:ascii="Times New Roman" w:hAnsi="Times New Roman" w:cs="Times New Roman"/>
          <w:sz w:val="28"/>
          <w:szCs w:val="28"/>
          <w:lang w:val="en-ZA"/>
        </w:rPr>
        <w:t>,</w:t>
      </w:r>
      <w:r w:rsidR="00637994">
        <w:rPr>
          <w:rFonts w:ascii="Times New Roman" w:hAnsi="Times New Roman" w:cs="Times New Roman"/>
          <w:sz w:val="28"/>
          <w:szCs w:val="28"/>
          <w:lang w:val="en-ZA"/>
        </w:rPr>
        <w:t xml:space="preserve"> and procedure in the </w:t>
      </w:r>
      <w:r w:rsidR="00ED79E9">
        <w:rPr>
          <w:rFonts w:ascii="Times New Roman" w:hAnsi="Times New Roman" w:cs="Times New Roman"/>
          <w:sz w:val="28"/>
          <w:szCs w:val="28"/>
          <w:lang w:val="en-ZA"/>
        </w:rPr>
        <w:t>C</w:t>
      </w:r>
      <w:r w:rsidR="00637994">
        <w:rPr>
          <w:rFonts w:ascii="Times New Roman" w:hAnsi="Times New Roman" w:cs="Times New Roman"/>
          <w:sz w:val="28"/>
          <w:szCs w:val="28"/>
          <w:lang w:val="en-ZA"/>
        </w:rPr>
        <w:t xml:space="preserve">ommon </w:t>
      </w:r>
      <w:r w:rsidR="00ED79E9">
        <w:rPr>
          <w:rFonts w:ascii="Times New Roman" w:hAnsi="Times New Roman" w:cs="Times New Roman"/>
          <w:sz w:val="28"/>
          <w:szCs w:val="28"/>
          <w:lang w:val="en-ZA"/>
        </w:rPr>
        <w:t>M</w:t>
      </w:r>
      <w:r w:rsidR="00637994">
        <w:rPr>
          <w:rFonts w:ascii="Times New Roman" w:hAnsi="Times New Roman" w:cs="Times New Roman"/>
          <w:sz w:val="28"/>
          <w:szCs w:val="28"/>
          <w:lang w:val="en-ZA"/>
        </w:rPr>
        <w:t>arket for Eastern</w:t>
      </w:r>
      <w:r w:rsidR="00ED79E9">
        <w:rPr>
          <w:rFonts w:ascii="Times New Roman" w:hAnsi="Times New Roman" w:cs="Times New Roman"/>
          <w:sz w:val="28"/>
          <w:szCs w:val="28"/>
          <w:lang w:val="en-ZA"/>
        </w:rPr>
        <w:t xml:space="preserve"> Southern</w:t>
      </w:r>
      <w:r w:rsidR="00637994">
        <w:rPr>
          <w:rFonts w:ascii="Times New Roman" w:hAnsi="Times New Roman" w:cs="Times New Roman"/>
          <w:sz w:val="28"/>
          <w:szCs w:val="28"/>
          <w:lang w:val="en-ZA"/>
        </w:rPr>
        <w:t xml:space="preserve"> Africa (</w:t>
      </w:r>
      <w:r w:rsidR="00ED79E9">
        <w:rPr>
          <w:rFonts w:ascii="Times New Roman" w:hAnsi="Times New Roman" w:cs="Times New Roman"/>
          <w:sz w:val="28"/>
          <w:szCs w:val="28"/>
          <w:lang w:val="en-ZA"/>
        </w:rPr>
        <w:t>COMESA</w:t>
      </w:r>
      <w:r w:rsidR="00637994">
        <w:rPr>
          <w:rFonts w:ascii="Times New Roman" w:hAnsi="Times New Roman" w:cs="Times New Roman"/>
          <w:sz w:val="28"/>
          <w:szCs w:val="28"/>
          <w:lang w:val="en-ZA"/>
        </w:rPr>
        <w:t>), the</w:t>
      </w:r>
      <w:r w:rsidR="00ED79E9">
        <w:rPr>
          <w:rFonts w:ascii="Times New Roman" w:hAnsi="Times New Roman" w:cs="Times New Roman"/>
          <w:sz w:val="28"/>
          <w:szCs w:val="28"/>
          <w:lang w:val="en-ZA"/>
        </w:rPr>
        <w:t xml:space="preserve"> East African Community (EAC), and the Southern African Development Community (SADC), the European Union funded a project which is known as TTTFP</w:t>
      </w:r>
      <w:r w:rsidR="00BF314A">
        <w:rPr>
          <w:rFonts w:ascii="Times New Roman" w:hAnsi="Times New Roman" w:cs="Times New Roman"/>
          <w:sz w:val="28"/>
          <w:szCs w:val="28"/>
          <w:lang w:val="en-ZA"/>
        </w:rPr>
        <w:t xml:space="preserve"> (Tripartite Transport and Transit Facilitation Programme).  The strategic objective of this </w:t>
      </w:r>
      <w:r w:rsidR="00BF314A">
        <w:rPr>
          <w:rFonts w:ascii="Times New Roman" w:hAnsi="Times New Roman" w:cs="Times New Roman"/>
          <w:sz w:val="28"/>
          <w:szCs w:val="28"/>
          <w:lang w:val="en-ZA"/>
        </w:rPr>
        <w:lastRenderedPageBreak/>
        <w:t>project was to facilitate the development of a more competitive, integrated</w:t>
      </w:r>
      <w:r w:rsidR="00CA45F3">
        <w:rPr>
          <w:rFonts w:ascii="Times New Roman" w:hAnsi="Times New Roman" w:cs="Times New Roman"/>
          <w:sz w:val="28"/>
          <w:szCs w:val="28"/>
          <w:lang w:val="en-ZA"/>
        </w:rPr>
        <w:t>,</w:t>
      </w:r>
      <w:r w:rsidR="00BF314A">
        <w:rPr>
          <w:rFonts w:ascii="Times New Roman" w:hAnsi="Times New Roman" w:cs="Times New Roman"/>
          <w:sz w:val="28"/>
          <w:szCs w:val="28"/>
          <w:lang w:val="en-ZA"/>
        </w:rPr>
        <w:t xml:space="preserve"> and liberalised regional road transport market in the three economic zones alluded to above.  Fisher Consulting which is part of the JV, was the lead partner of the </w:t>
      </w:r>
      <w:r w:rsidR="007007B4">
        <w:rPr>
          <w:rFonts w:ascii="Times New Roman" w:hAnsi="Times New Roman" w:cs="Times New Roman"/>
          <w:sz w:val="28"/>
          <w:szCs w:val="28"/>
          <w:lang w:val="en-ZA"/>
        </w:rPr>
        <w:t xml:space="preserve">consortium of companies in developing the </w:t>
      </w:r>
      <w:r w:rsidR="00BF314A">
        <w:rPr>
          <w:rFonts w:ascii="Times New Roman" w:hAnsi="Times New Roman" w:cs="Times New Roman"/>
          <w:sz w:val="28"/>
          <w:szCs w:val="28"/>
          <w:lang w:val="en-ZA"/>
        </w:rPr>
        <w:t>three economic zones</w:t>
      </w:r>
      <w:r w:rsidR="005D6748">
        <w:rPr>
          <w:rFonts w:ascii="Times New Roman" w:hAnsi="Times New Roman" w:cs="Times New Roman"/>
          <w:sz w:val="28"/>
          <w:szCs w:val="28"/>
          <w:lang w:val="en-ZA"/>
        </w:rPr>
        <w:t xml:space="preserve"> </w:t>
      </w:r>
      <w:r w:rsidR="00BF314A">
        <w:rPr>
          <w:rFonts w:ascii="Times New Roman" w:hAnsi="Times New Roman" w:cs="Times New Roman"/>
          <w:sz w:val="28"/>
          <w:szCs w:val="28"/>
          <w:lang w:val="en-ZA"/>
        </w:rPr>
        <w:t xml:space="preserve"> (EA-SA) vehicle </w:t>
      </w:r>
      <w:r w:rsidR="007007B4">
        <w:rPr>
          <w:rFonts w:ascii="Times New Roman" w:hAnsi="Times New Roman" w:cs="Times New Roman"/>
          <w:sz w:val="28"/>
          <w:szCs w:val="28"/>
          <w:lang w:val="en-ZA"/>
        </w:rPr>
        <w:t>load management (VLM) strategy, vehicle regulation and standards for harmonised EA-SA, preconditions for an operational EA-SA Transport Registers and Information Platform System (TRIPS).</w:t>
      </w:r>
      <w:r w:rsidR="009C51AB">
        <w:rPr>
          <w:rFonts w:ascii="Times New Roman" w:hAnsi="Times New Roman" w:cs="Times New Roman"/>
          <w:sz w:val="28"/>
          <w:szCs w:val="28"/>
          <w:lang w:val="en-ZA"/>
        </w:rPr>
        <w:t xml:space="preserve"> </w:t>
      </w:r>
    </w:p>
    <w:p w14:paraId="4A04C56C" w14:textId="77777777" w:rsidR="007007B4" w:rsidRDefault="007007B4" w:rsidP="00637994">
      <w:pPr>
        <w:spacing w:after="0" w:line="360" w:lineRule="auto"/>
        <w:ind w:left="720" w:hanging="720"/>
        <w:jc w:val="both"/>
        <w:rPr>
          <w:rFonts w:ascii="Times New Roman" w:hAnsi="Times New Roman" w:cs="Times New Roman"/>
          <w:sz w:val="28"/>
          <w:szCs w:val="28"/>
          <w:lang w:val="en-ZA"/>
        </w:rPr>
      </w:pPr>
    </w:p>
    <w:p w14:paraId="3D612E00" w14:textId="0C6A1235" w:rsidR="00020BB1" w:rsidRDefault="007007B4" w:rsidP="00637994">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[4]</w:t>
      </w:r>
      <w:r>
        <w:rPr>
          <w:rFonts w:ascii="Times New Roman" w:hAnsi="Times New Roman" w:cs="Times New Roman"/>
          <w:sz w:val="28"/>
          <w:szCs w:val="28"/>
          <w:lang w:val="en-ZA"/>
        </w:rPr>
        <w:tab/>
        <w:t>After the completion of the TTTFP project, Lesotho as the member country</w:t>
      </w:r>
      <w:r w:rsidR="00C07169">
        <w:rPr>
          <w:rFonts w:ascii="Times New Roman" w:hAnsi="Times New Roman" w:cs="Times New Roman"/>
          <w:sz w:val="28"/>
          <w:szCs w:val="28"/>
          <w:lang w:val="en-ZA"/>
        </w:rPr>
        <w:t xml:space="preserve"> </w:t>
      </w:r>
      <w:r w:rsidR="006B569A">
        <w:rPr>
          <w:rFonts w:ascii="Times New Roman" w:hAnsi="Times New Roman" w:cs="Times New Roman"/>
          <w:sz w:val="28"/>
          <w:szCs w:val="28"/>
          <w:lang w:val="en-ZA"/>
        </w:rPr>
        <w:t>of the economic zone mentioned above,</w:t>
      </w:r>
      <w:r>
        <w:rPr>
          <w:rFonts w:ascii="Times New Roman" w:hAnsi="Times New Roman" w:cs="Times New Roman"/>
          <w:sz w:val="28"/>
          <w:szCs w:val="28"/>
          <w:lang w:val="en-ZA"/>
        </w:rPr>
        <w:t xml:space="preserve"> invited bids for supply, installation and support of LITIS</w:t>
      </w:r>
      <w:r w:rsidR="00020BB1">
        <w:rPr>
          <w:rFonts w:ascii="Times New Roman" w:hAnsi="Times New Roman" w:cs="Times New Roman"/>
          <w:sz w:val="28"/>
          <w:szCs w:val="28"/>
          <w:lang w:val="en-ZA"/>
        </w:rPr>
        <w:t xml:space="preserve"> </w:t>
      </w:r>
      <w:r>
        <w:rPr>
          <w:rFonts w:ascii="Times New Roman" w:hAnsi="Times New Roman" w:cs="Times New Roman"/>
          <w:sz w:val="28"/>
          <w:szCs w:val="28"/>
          <w:lang w:val="en-ZA"/>
        </w:rPr>
        <w:t xml:space="preserve">with the aim of achieving the above-stated objectives of TTTFP.  JV and </w:t>
      </w:r>
      <w:proofErr w:type="spellStart"/>
      <w:r>
        <w:rPr>
          <w:rFonts w:ascii="Times New Roman" w:hAnsi="Times New Roman" w:cs="Times New Roman"/>
          <w:sz w:val="28"/>
          <w:szCs w:val="28"/>
          <w:lang w:val="en-ZA"/>
        </w:rPr>
        <w:t>Engidata</w:t>
      </w:r>
      <w:proofErr w:type="spellEnd"/>
      <w:r>
        <w:rPr>
          <w:rFonts w:ascii="Times New Roman" w:hAnsi="Times New Roman" w:cs="Times New Roman"/>
          <w:sz w:val="28"/>
          <w:szCs w:val="28"/>
          <w:lang w:val="en-ZA"/>
        </w:rPr>
        <w:t xml:space="preserve"> were participants in the bidding process, with the latter coming out as a successful bidder, and the former having </w:t>
      </w:r>
      <w:r w:rsidR="006B569A">
        <w:rPr>
          <w:rFonts w:ascii="Times New Roman" w:hAnsi="Times New Roman" w:cs="Times New Roman"/>
          <w:sz w:val="28"/>
          <w:szCs w:val="28"/>
          <w:lang w:val="en-ZA"/>
        </w:rPr>
        <w:t xml:space="preserve">been </w:t>
      </w:r>
      <w:r>
        <w:rPr>
          <w:rFonts w:ascii="Times New Roman" w:hAnsi="Times New Roman" w:cs="Times New Roman"/>
          <w:sz w:val="28"/>
          <w:szCs w:val="28"/>
          <w:lang w:val="en-ZA"/>
        </w:rPr>
        <w:t>disqualified in the initia</w:t>
      </w:r>
      <w:r w:rsidR="00B13741">
        <w:rPr>
          <w:rFonts w:ascii="Times New Roman" w:hAnsi="Times New Roman" w:cs="Times New Roman"/>
          <w:sz w:val="28"/>
          <w:szCs w:val="28"/>
          <w:lang w:val="en-ZA"/>
        </w:rPr>
        <w:t>l stages.  As already said</w:t>
      </w:r>
      <w:r w:rsidR="006B569A">
        <w:rPr>
          <w:rFonts w:ascii="Times New Roman" w:hAnsi="Times New Roman" w:cs="Times New Roman"/>
          <w:sz w:val="28"/>
          <w:szCs w:val="28"/>
          <w:lang w:val="en-ZA"/>
        </w:rPr>
        <w:t>,</w:t>
      </w:r>
      <w:r w:rsidR="00B13741">
        <w:rPr>
          <w:rFonts w:ascii="Times New Roman" w:hAnsi="Times New Roman" w:cs="Times New Roman"/>
          <w:sz w:val="28"/>
          <w:szCs w:val="28"/>
          <w:lang w:val="en-ZA"/>
        </w:rPr>
        <w:t xml:space="preserve"> when the Ministry intimated its intention to award the contract to </w:t>
      </w:r>
      <w:proofErr w:type="spellStart"/>
      <w:r w:rsidR="00B13741">
        <w:rPr>
          <w:rFonts w:ascii="Times New Roman" w:hAnsi="Times New Roman" w:cs="Times New Roman"/>
          <w:sz w:val="28"/>
          <w:szCs w:val="28"/>
          <w:lang w:val="en-ZA"/>
        </w:rPr>
        <w:t>Engidata</w:t>
      </w:r>
      <w:proofErr w:type="spellEnd"/>
      <w:r w:rsidR="00B13741">
        <w:rPr>
          <w:rFonts w:ascii="Times New Roman" w:hAnsi="Times New Roman" w:cs="Times New Roman"/>
          <w:sz w:val="28"/>
          <w:szCs w:val="28"/>
          <w:lang w:val="en-ZA"/>
        </w:rPr>
        <w:t>, and after unsuccessful requests by JV for Evaluation documents/</w:t>
      </w:r>
      <w:r w:rsidR="00EB213E">
        <w:rPr>
          <w:rFonts w:ascii="Times New Roman" w:hAnsi="Times New Roman" w:cs="Times New Roman"/>
          <w:sz w:val="28"/>
          <w:szCs w:val="28"/>
          <w:lang w:val="en-ZA"/>
        </w:rPr>
        <w:t>reports</w:t>
      </w:r>
      <w:r w:rsidR="00B13741">
        <w:rPr>
          <w:rFonts w:ascii="Times New Roman" w:hAnsi="Times New Roman" w:cs="Times New Roman"/>
          <w:sz w:val="28"/>
          <w:szCs w:val="28"/>
          <w:lang w:val="en-ZA"/>
        </w:rPr>
        <w:t xml:space="preserve">, the latter lodged the main application in terms of which it sought certain reliefs, chief among which, was an interdict against the Ministry from awarding the contract to </w:t>
      </w:r>
      <w:proofErr w:type="spellStart"/>
      <w:r w:rsidR="00B13741">
        <w:rPr>
          <w:rFonts w:ascii="Times New Roman" w:hAnsi="Times New Roman" w:cs="Times New Roman"/>
          <w:sz w:val="28"/>
          <w:szCs w:val="28"/>
          <w:lang w:val="en-ZA"/>
        </w:rPr>
        <w:t>Engidata</w:t>
      </w:r>
      <w:proofErr w:type="spellEnd"/>
      <w:r w:rsidR="00B13741">
        <w:rPr>
          <w:rFonts w:ascii="Times New Roman" w:hAnsi="Times New Roman" w:cs="Times New Roman"/>
          <w:sz w:val="28"/>
          <w:szCs w:val="28"/>
          <w:lang w:val="en-ZA"/>
        </w:rPr>
        <w:t xml:space="preserve">, and the review of the decision to so award the contract and other reliefs.  One of the reliefs against which </w:t>
      </w:r>
      <w:proofErr w:type="spellStart"/>
      <w:r w:rsidR="00B13741">
        <w:rPr>
          <w:rFonts w:ascii="Times New Roman" w:hAnsi="Times New Roman" w:cs="Times New Roman"/>
          <w:sz w:val="28"/>
          <w:szCs w:val="28"/>
          <w:lang w:val="en-ZA"/>
        </w:rPr>
        <w:t>Engidata</w:t>
      </w:r>
      <w:proofErr w:type="spellEnd"/>
      <w:r w:rsidR="00B13741">
        <w:rPr>
          <w:rFonts w:ascii="Times New Roman" w:hAnsi="Times New Roman" w:cs="Times New Roman"/>
          <w:sz w:val="28"/>
          <w:szCs w:val="28"/>
          <w:lang w:val="en-ZA"/>
        </w:rPr>
        <w:t xml:space="preserve"> was vehemently opposed was the disclosure of certain information </w:t>
      </w:r>
      <w:r w:rsidR="006B569A">
        <w:rPr>
          <w:rFonts w:ascii="Times New Roman" w:hAnsi="Times New Roman" w:cs="Times New Roman"/>
          <w:sz w:val="28"/>
          <w:szCs w:val="28"/>
          <w:lang w:val="en-ZA"/>
        </w:rPr>
        <w:t>it</w:t>
      </w:r>
      <w:r w:rsidR="00B13741">
        <w:rPr>
          <w:rFonts w:ascii="Times New Roman" w:hAnsi="Times New Roman" w:cs="Times New Roman"/>
          <w:sz w:val="28"/>
          <w:szCs w:val="28"/>
          <w:lang w:val="en-ZA"/>
        </w:rPr>
        <w:t xml:space="preserve"> regarded as confidential</w:t>
      </w:r>
      <w:r w:rsidR="006B569A">
        <w:rPr>
          <w:rFonts w:ascii="Times New Roman" w:hAnsi="Times New Roman" w:cs="Times New Roman"/>
          <w:sz w:val="28"/>
          <w:szCs w:val="28"/>
          <w:lang w:val="en-ZA"/>
        </w:rPr>
        <w:t>.</w:t>
      </w:r>
      <w:r w:rsidR="00B13741">
        <w:rPr>
          <w:rFonts w:ascii="Times New Roman" w:hAnsi="Times New Roman" w:cs="Times New Roman"/>
          <w:sz w:val="28"/>
          <w:szCs w:val="28"/>
          <w:lang w:val="en-ZA"/>
        </w:rPr>
        <w:t xml:space="preserve"> </w:t>
      </w:r>
      <w:r w:rsidR="006B569A">
        <w:rPr>
          <w:rFonts w:ascii="Times New Roman" w:hAnsi="Times New Roman" w:cs="Times New Roman"/>
          <w:sz w:val="28"/>
          <w:szCs w:val="28"/>
          <w:lang w:val="en-ZA"/>
        </w:rPr>
        <w:t>O</w:t>
      </w:r>
      <w:r w:rsidR="00B13741">
        <w:rPr>
          <w:rFonts w:ascii="Times New Roman" w:hAnsi="Times New Roman" w:cs="Times New Roman"/>
          <w:sz w:val="28"/>
          <w:szCs w:val="28"/>
          <w:lang w:val="en-ZA"/>
        </w:rPr>
        <w:t>n the eve of the ruling on the issue</w:t>
      </w:r>
      <w:r w:rsidR="006B569A">
        <w:rPr>
          <w:rFonts w:ascii="Times New Roman" w:hAnsi="Times New Roman" w:cs="Times New Roman"/>
          <w:sz w:val="28"/>
          <w:szCs w:val="28"/>
          <w:lang w:val="en-ZA"/>
        </w:rPr>
        <w:t xml:space="preserve"> whether confidentiality attaches to certain documents sought to be released</w:t>
      </w:r>
      <w:r w:rsidR="00487ECB">
        <w:rPr>
          <w:rFonts w:ascii="Times New Roman" w:hAnsi="Times New Roman" w:cs="Times New Roman"/>
          <w:sz w:val="28"/>
          <w:szCs w:val="28"/>
          <w:lang w:val="en-ZA"/>
        </w:rPr>
        <w:t>,</w:t>
      </w:r>
      <w:r w:rsidR="00B13741">
        <w:rPr>
          <w:rFonts w:ascii="Times New Roman" w:hAnsi="Times New Roman" w:cs="Times New Roman"/>
          <w:sz w:val="28"/>
          <w:szCs w:val="28"/>
          <w:lang w:val="en-ZA"/>
        </w:rPr>
        <w:t xml:space="preserve"> </w:t>
      </w:r>
      <w:proofErr w:type="spellStart"/>
      <w:r w:rsidR="00B13741">
        <w:rPr>
          <w:rFonts w:ascii="Times New Roman" w:hAnsi="Times New Roman" w:cs="Times New Roman"/>
          <w:sz w:val="28"/>
          <w:szCs w:val="28"/>
          <w:lang w:val="en-ZA"/>
        </w:rPr>
        <w:t>Engidata</w:t>
      </w:r>
      <w:proofErr w:type="spellEnd"/>
      <w:r w:rsidR="00B13741">
        <w:rPr>
          <w:rFonts w:ascii="Times New Roman" w:hAnsi="Times New Roman" w:cs="Times New Roman"/>
          <w:sz w:val="28"/>
          <w:szCs w:val="28"/>
          <w:lang w:val="en-ZA"/>
        </w:rPr>
        <w:t xml:space="preserve"> lodged the current application.</w:t>
      </w:r>
    </w:p>
    <w:p w14:paraId="47885FC9" w14:textId="55CF7A0F" w:rsidR="00B13741" w:rsidRDefault="00B13741" w:rsidP="00B13741">
      <w:pPr>
        <w:spacing w:after="0" w:line="360" w:lineRule="auto"/>
        <w:jc w:val="both"/>
        <w:rPr>
          <w:rFonts w:ascii="Times New Roman" w:hAnsi="Times New Roman" w:cs="Times New Roman"/>
          <w:sz w:val="28"/>
          <w:szCs w:val="28"/>
          <w:lang w:val="en-ZA"/>
        </w:rPr>
      </w:pPr>
    </w:p>
    <w:p w14:paraId="138A7BB3" w14:textId="1C1A6E9F" w:rsidR="00B13741" w:rsidRDefault="00B13741" w:rsidP="00B13741">
      <w:p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[5]</w:t>
      </w:r>
      <w:r>
        <w:rPr>
          <w:rFonts w:ascii="Times New Roman" w:hAnsi="Times New Roman" w:cs="Times New Roman"/>
          <w:sz w:val="28"/>
          <w:szCs w:val="28"/>
          <w:lang w:val="en-ZA"/>
        </w:rPr>
        <w:tab/>
        <w:t xml:space="preserve">This application is anchored on three pillars, </w:t>
      </w:r>
      <w:r w:rsidR="0023299D">
        <w:rPr>
          <w:rFonts w:ascii="Times New Roman" w:hAnsi="Times New Roman" w:cs="Times New Roman"/>
          <w:sz w:val="28"/>
          <w:szCs w:val="28"/>
          <w:lang w:val="en-ZA"/>
        </w:rPr>
        <w:t>namely;</w:t>
      </w:r>
    </w:p>
    <w:p w14:paraId="0A8087BA" w14:textId="5A4CE2DE" w:rsidR="00B13741" w:rsidRDefault="00B13741" w:rsidP="00B13741">
      <w:p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ab/>
      </w:r>
    </w:p>
    <w:p w14:paraId="52A83963" w14:textId="3A0622A8" w:rsidR="00B13741" w:rsidRDefault="00B13741" w:rsidP="00B13741">
      <w:pPr>
        <w:pStyle w:val="ListParagraph"/>
        <w:numPr>
          <w:ilvl w:val="0"/>
          <w:numId w:val="1"/>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lastRenderedPageBreak/>
        <w:t xml:space="preserve">The JV omitted to make a full disclosure of Fischer Consulting in terms of its involvement as a </w:t>
      </w:r>
      <w:r w:rsidR="00512812">
        <w:rPr>
          <w:rFonts w:ascii="Times New Roman" w:hAnsi="Times New Roman" w:cs="Times New Roman"/>
          <w:sz w:val="28"/>
          <w:szCs w:val="28"/>
          <w:lang w:val="en-ZA"/>
        </w:rPr>
        <w:t>lead member of the consulting firms</w:t>
      </w:r>
      <w:r w:rsidR="00DB70E9">
        <w:rPr>
          <w:rFonts w:ascii="Times New Roman" w:hAnsi="Times New Roman" w:cs="Times New Roman"/>
          <w:sz w:val="28"/>
          <w:szCs w:val="28"/>
          <w:lang w:val="en-ZA"/>
        </w:rPr>
        <w:t xml:space="preserve"> </w:t>
      </w:r>
      <w:r w:rsidR="003805CD">
        <w:rPr>
          <w:rFonts w:ascii="Times New Roman" w:hAnsi="Times New Roman" w:cs="Times New Roman"/>
          <w:sz w:val="28"/>
          <w:szCs w:val="28"/>
          <w:lang w:val="en-ZA"/>
        </w:rPr>
        <w:t>in</w:t>
      </w:r>
      <w:r w:rsidR="00DB70E9">
        <w:rPr>
          <w:rFonts w:ascii="Times New Roman" w:hAnsi="Times New Roman" w:cs="Times New Roman"/>
          <w:sz w:val="28"/>
          <w:szCs w:val="28"/>
          <w:lang w:val="en-ZA"/>
        </w:rPr>
        <w:t xml:space="preserve"> the TTTFP</w:t>
      </w:r>
      <w:r w:rsidR="003805CD">
        <w:rPr>
          <w:rFonts w:ascii="Times New Roman" w:hAnsi="Times New Roman" w:cs="Times New Roman"/>
          <w:sz w:val="28"/>
          <w:szCs w:val="28"/>
          <w:lang w:val="en-ZA"/>
        </w:rPr>
        <w:t xml:space="preserve"> project</w:t>
      </w:r>
      <w:r w:rsidR="00DB70E9">
        <w:rPr>
          <w:rFonts w:ascii="Times New Roman" w:hAnsi="Times New Roman" w:cs="Times New Roman"/>
          <w:sz w:val="28"/>
          <w:szCs w:val="28"/>
          <w:lang w:val="en-ZA"/>
        </w:rPr>
        <w:t>, and that JV’s eligibility would not have been fully interrogated and decided in the absence of full disclosure.</w:t>
      </w:r>
    </w:p>
    <w:p w14:paraId="4C77B0CF" w14:textId="77777777" w:rsidR="00DB70E9" w:rsidRDefault="00DB70E9" w:rsidP="00DB70E9">
      <w:pPr>
        <w:pStyle w:val="ListParagraph"/>
        <w:spacing w:after="0" w:line="360" w:lineRule="auto"/>
        <w:ind w:left="1440"/>
        <w:jc w:val="both"/>
        <w:rPr>
          <w:rFonts w:ascii="Times New Roman" w:hAnsi="Times New Roman" w:cs="Times New Roman"/>
          <w:sz w:val="28"/>
          <w:szCs w:val="28"/>
          <w:lang w:val="en-ZA"/>
        </w:rPr>
      </w:pPr>
    </w:p>
    <w:p w14:paraId="48EC98CC" w14:textId="3E6388EB" w:rsidR="00DB70E9" w:rsidRDefault="00DB70E9" w:rsidP="00B13741">
      <w:pPr>
        <w:pStyle w:val="ListParagraph"/>
        <w:numPr>
          <w:ilvl w:val="0"/>
          <w:numId w:val="1"/>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By virtue of Fisher Consulting’s participation</w:t>
      </w:r>
      <w:r w:rsidR="003805CD">
        <w:rPr>
          <w:rFonts w:ascii="Times New Roman" w:hAnsi="Times New Roman" w:cs="Times New Roman"/>
          <w:sz w:val="28"/>
          <w:szCs w:val="28"/>
          <w:lang w:val="en-ZA"/>
        </w:rPr>
        <w:t xml:space="preserve"> </w:t>
      </w:r>
      <w:r w:rsidR="003805CD" w:rsidRPr="003805CD">
        <w:rPr>
          <w:rFonts w:ascii="Times New Roman" w:hAnsi="Times New Roman" w:cs="Times New Roman"/>
          <w:sz w:val="28"/>
          <w:szCs w:val="28"/>
          <w:lang w:val="en-ZA"/>
        </w:rPr>
        <w:t xml:space="preserve">in the TTTFP </w:t>
      </w:r>
      <w:proofErr w:type="gramStart"/>
      <w:r w:rsidR="003805CD">
        <w:rPr>
          <w:rFonts w:ascii="Times New Roman" w:hAnsi="Times New Roman" w:cs="Times New Roman"/>
          <w:sz w:val="28"/>
          <w:szCs w:val="28"/>
          <w:lang w:val="en-ZA"/>
        </w:rPr>
        <w:t>project ,</w:t>
      </w:r>
      <w:proofErr w:type="gramEnd"/>
      <w:r w:rsidR="003805CD">
        <w:rPr>
          <w:rFonts w:ascii="Times New Roman" w:hAnsi="Times New Roman" w:cs="Times New Roman"/>
          <w:sz w:val="28"/>
          <w:szCs w:val="28"/>
          <w:lang w:val="en-ZA"/>
        </w:rPr>
        <w:t xml:space="preserve"> and a</w:t>
      </w:r>
      <w:r>
        <w:rPr>
          <w:rFonts w:ascii="Times New Roman" w:hAnsi="Times New Roman" w:cs="Times New Roman"/>
          <w:sz w:val="28"/>
          <w:szCs w:val="28"/>
          <w:lang w:val="en-ZA"/>
        </w:rPr>
        <w:t>s one of the partners in the JV</w:t>
      </w:r>
      <w:r w:rsidR="003805CD">
        <w:rPr>
          <w:rFonts w:ascii="Times New Roman" w:hAnsi="Times New Roman" w:cs="Times New Roman"/>
          <w:sz w:val="28"/>
          <w:szCs w:val="28"/>
          <w:lang w:val="en-ZA"/>
        </w:rPr>
        <w:t xml:space="preserve"> bidding for LITIS</w:t>
      </w:r>
      <w:r>
        <w:rPr>
          <w:rFonts w:ascii="Times New Roman" w:hAnsi="Times New Roman" w:cs="Times New Roman"/>
          <w:sz w:val="28"/>
          <w:szCs w:val="28"/>
          <w:lang w:val="en-ZA"/>
        </w:rPr>
        <w:t xml:space="preserve">, the JV was thus placed in unfair </w:t>
      </w:r>
      <w:r w:rsidR="00FB1C42">
        <w:rPr>
          <w:rFonts w:ascii="Times New Roman" w:hAnsi="Times New Roman" w:cs="Times New Roman"/>
          <w:sz w:val="28"/>
          <w:szCs w:val="28"/>
          <w:lang w:val="en-ZA"/>
        </w:rPr>
        <w:t>competitive advantage over other bidders and was thus acting contrary to World Bank Regulations which govern the bidding process</w:t>
      </w:r>
      <w:r w:rsidR="003805CD">
        <w:rPr>
          <w:rFonts w:ascii="Times New Roman" w:hAnsi="Times New Roman" w:cs="Times New Roman"/>
          <w:sz w:val="28"/>
          <w:szCs w:val="28"/>
          <w:lang w:val="en-ZA"/>
        </w:rPr>
        <w:t>.</w:t>
      </w:r>
    </w:p>
    <w:p w14:paraId="17244239" w14:textId="77777777" w:rsidR="00FB1C42" w:rsidRPr="00FB1C42" w:rsidRDefault="00FB1C42" w:rsidP="00FB1C42">
      <w:pPr>
        <w:pStyle w:val="ListParagraph"/>
        <w:rPr>
          <w:rFonts w:ascii="Times New Roman" w:hAnsi="Times New Roman" w:cs="Times New Roman"/>
          <w:sz w:val="28"/>
          <w:szCs w:val="28"/>
          <w:lang w:val="en-ZA"/>
        </w:rPr>
      </w:pPr>
    </w:p>
    <w:p w14:paraId="5D300B09" w14:textId="67D8878F" w:rsidR="00FB1C42" w:rsidRDefault="00FB1C42" w:rsidP="00B13741">
      <w:pPr>
        <w:pStyle w:val="ListParagraph"/>
        <w:numPr>
          <w:ilvl w:val="0"/>
          <w:numId w:val="1"/>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That the JV was not eligible </w:t>
      </w:r>
      <w:r w:rsidR="003805CD">
        <w:rPr>
          <w:rFonts w:ascii="Times New Roman" w:hAnsi="Times New Roman" w:cs="Times New Roman"/>
          <w:sz w:val="28"/>
          <w:szCs w:val="28"/>
          <w:lang w:val="en-ZA"/>
        </w:rPr>
        <w:t xml:space="preserve">to bid for LITIS </w:t>
      </w:r>
      <w:r>
        <w:rPr>
          <w:rFonts w:ascii="Times New Roman" w:hAnsi="Times New Roman" w:cs="Times New Roman"/>
          <w:sz w:val="28"/>
          <w:szCs w:val="28"/>
          <w:lang w:val="en-ZA"/>
        </w:rPr>
        <w:t>for having contravened Regulations 3.15a of the World Bank Regulations</w:t>
      </w:r>
      <w:r w:rsidR="003805CD">
        <w:rPr>
          <w:rFonts w:ascii="Times New Roman" w:hAnsi="Times New Roman" w:cs="Times New Roman"/>
          <w:sz w:val="28"/>
          <w:szCs w:val="28"/>
          <w:lang w:val="en-ZA"/>
        </w:rPr>
        <w:t xml:space="preserve">, </w:t>
      </w:r>
      <w:r>
        <w:rPr>
          <w:rFonts w:ascii="Times New Roman" w:hAnsi="Times New Roman" w:cs="Times New Roman"/>
          <w:sz w:val="28"/>
          <w:szCs w:val="28"/>
          <w:lang w:val="en-ZA"/>
        </w:rPr>
        <w:t>for having a conflict of interest.</w:t>
      </w:r>
    </w:p>
    <w:p w14:paraId="1AE1C882" w14:textId="77777777" w:rsidR="00FB1C42" w:rsidRPr="00FB1C42" w:rsidRDefault="00FB1C42" w:rsidP="00FB1C42">
      <w:pPr>
        <w:pStyle w:val="ListParagraph"/>
        <w:rPr>
          <w:rFonts w:ascii="Times New Roman" w:hAnsi="Times New Roman" w:cs="Times New Roman"/>
          <w:sz w:val="28"/>
          <w:szCs w:val="28"/>
          <w:lang w:val="en-ZA"/>
        </w:rPr>
      </w:pPr>
    </w:p>
    <w:p w14:paraId="00EDC937" w14:textId="693A0A9C" w:rsidR="001A62F5" w:rsidRDefault="00FB1C42" w:rsidP="001A62F5">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[6]</w:t>
      </w:r>
      <w:r>
        <w:rPr>
          <w:rFonts w:ascii="Times New Roman" w:hAnsi="Times New Roman" w:cs="Times New Roman"/>
          <w:sz w:val="28"/>
          <w:szCs w:val="28"/>
          <w:lang w:val="en-ZA"/>
        </w:rPr>
        <w:tab/>
      </w:r>
      <w:r w:rsidR="00297D7B">
        <w:rPr>
          <w:rFonts w:ascii="Times New Roman" w:hAnsi="Times New Roman" w:cs="Times New Roman"/>
          <w:sz w:val="28"/>
          <w:szCs w:val="28"/>
          <w:lang w:val="en-ZA"/>
        </w:rPr>
        <w:t xml:space="preserve">On the 14 January 2022, this court ordered that the Evaluation Report and Procurement Plan be released but ordered that the </w:t>
      </w:r>
      <w:r w:rsidR="001A62F5">
        <w:rPr>
          <w:rFonts w:ascii="Times New Roman" w:hAnsi="Times New Roman" w:cs="Times New Roman"/>
          <w:sz w:val="28"/>
          <w:szCs w:val="28"/>
          <w:lang w:val="en-ZA"/>
        </w:rPr>
        <w:t xml:space="preserve">Technical and Financial bids of </w:t>
      </w:r>
      <w:proofErr w:type="spellStart"/>
      <w:r w:rsidR="001A62F5">
        <w:rPr>
          <w:rFonts w:ascii="Times New Roman" w:hAnsi="Times New Roman" w:cs="Times New Roman"/>
          <w:sz w:val="28"/>
          <w:szCs w:val="28"/>
          <w:lang w:val="en-ZA"/>
        </w:rPr>
        <w:t>Engidata</w:t>
      </w:r>
      <w:proofErr w:type="spellEnd"/>
      <w:r w:rsidR="001A62F5">
        <w:rPr>
          <w:rFonts w:ascii="Times New Roman" w:hAnsi="Times New Roman" w:cs="Times New Roman"/>
          <w:sz w:val="28"/>
          <w:szCs w:val="28"/>
          <w:lang w:val="en-ZA"/>
        </w:rPr>
        <w:t xml:space="preserve"> be withheld until this application is determined as it might have a bearing on whether such documents should be released to the JV at all, that is, depending on whether the latter was eligible to participate in the bidding process.</w:t>
      </w:r>
    </w:p>
    <w:p w14:paraId="7F09F0B0" w14:textId="3B638EB7" w:rsidR="001A62F5" w:rsidRDefault="001A62F5" w:rsidP="001A62F5">
      <w:pPr>
        <w:spacing w:after="0" w:line="360" w:lineRule="auto"/>
        <w:ind w:left="720" w:hanging="720"/>
        <w:jc w:val="both"/>
        <w:rPr>
          <w:rFonts w:ascii="Times New Roman" w:hAnsi="Times New Roman" w:cs="Times New Roman"/>
          <w:sz w:val="28"/>
          <w:szCs w:val="28"/>
          <w:lang w:val="en-ZA"/>
        </w:rPr>
      </w:pPr>
    </w:p>
    <w:p w14:paraId="7566E934" w14:textId="43D66EE8" w:rsidR="001A62F5" w:rsidRDefault="001A62F5" w:rsidP="001A62F5">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[7]</w:t>
      </w:r>
      <w:r>
        <w:rPr>
          <w:rFonts w:ascii="Times New Roman" w:hAnsi="Times New Roman" w:cs="Times New Roman"/>
          <w:sz w:val="28"/>
          <w:szCs w:val="28"/>
          <w:lang w:val="en-ZA"/>
        </w:rPr>
        <w:tab/>
      </w:r>
      <w:r w:rsidR="00B268B5">
        <w:rPr>
          <w:rFonts w:ascii="Times New Roman" w:hAnsi="Times New Roman" w:cs="Times New Roman"/>
          <w:sz w:val="28"/>
          <w:szCs w:val="28"/>
          <w:lang w:val="en-ZA"/>
        </w:rPr>
        <w:t>This application is opposed</w:t>
      </w:r>
      <w:r w:rsidR="0085731B">
        <w:rPr>
          <w:rFonts w:ascii="Times New Roman" w:hAnsi="Times New Roman" w:cs="Times New Roman"/>
          <w:sz w:val="28"/>
          <w:szCs w:val="28"/>
          <w:lang w:val="en-ZA"/>
        </w:rPr>
        <w:t xml:space="preserve"> only</w:t>
      </w:r>
      <w:r w:rsidR="00B268B5">
        <w:rPr>
          <w:rFonts w:ascii="Times New Roman" w:hAnsi="Times New Roman" w:cs="Times New Roman"/>
          <w:sz w:val="28"/>
          <w:szCs w:val="28"/>
          <w:lang w:val="en-ZA"/>
        </w:rPr>
        <w:t xml:space="preserve"> by the</w:t>
      </w:r>
      <w:r w:rsidR="009E5BA8">
        <w:rPr>
          <w:rFonts w:ascii="Times New Roman" w:hAnsi="Times New Roman" w:cs="Times New Roman"/>
          <w:sz w:val="28"/>
          <w:szCs w:val="28"/>
          <w:lang w:val="en-ZA"/>
        </w:rPr>
        <w:t xml:space="preserve"> 1</w:t>
      </w:r>
      <w:r w:rsidR="009E5BA8" w:rsidRPr="009E5BA8">
        <w:rPr>
          <w:rFonts w:ascii="Times New Roman" w:hAnsi="Times New Roman" w:cs="Times New Roman"/>
          <w:sz w:val="28"/>
          <w:szCs w:val="28"/>
          <w:vertAlign w:val="superscript"/>
          <w:lang w:val="en-ZA"/>
        </w:rPr>
        <w:t>st</w:t>
      </w:r>
      <w:r w:rsidR="009E5BA8">
        <w:rPr>
          <w:rFonts w:ascii="Times New Roman" w:hAnsi="Times New Roman" w:cs="Times New Roman"/>
          <w:sz w:val="28"/>
          <w:szCs w:val="28"/>
          <w:lang w:val="en-ZA"/>
        </w:rPr>
        <w:t xml:space="preserve"> respondent </w:t>
      </w:r>
      <w:proofErr w:type="gramStart"/>
      <w:r w:rsidR="009E5BA8">
        <w:rPr>
          <w:rFonts w:ascii="Times New Roman" w:hAnsi="Times New Roman" w:cs="Times New Roman"/>
          <w:sz w:val="28"/>
          <w:szCs w:val="28"/>
          <w:lang w:val="en-ZA"/>
        </w:rPr>
        <w:t>(</w:t>
      </w:r>
      <w:r w:rsidR="00B268B5">
        <w:rPr>
          <w:rFonts w:ascii="Times New Roman" w:hAnsi="Times New Roman" w:cs="Times New Roman"/>
          <w:sz w:val="28"/>
          <w:szCs w:val="28"/>
          <w:lang w:val="en-ZA"/>
        </w:rPr>
        <w:t xml:space="preserve"> JV</w:t>
      </w:r>
      <w:proofErr w:type="gramEnd"/>
      <w:r w:rsidR="009E5BA8">
        <w:rPr>
          <w:rFonts w:ascii="Times New Roman" w:hAnsi="Times New Roman" w:cs="Times New Roman"/>
          <w:sz w:val="28"/>
          <w:szCs w:val="28"/>
          <w:lang w:val="en-ZA"/>
        </w:rPr>
        <w:t>)</w:t>
      </w:r>
      <w:r w:rsidR="0085731B">
        <w:rPr>
          <w:rFonts w:ascii="Times New Roman" w:hAnsi="Times New Roman" w:cs="Times New Roman"/>
          <w:sz w:val="28"/>
          <w:szCs w:val="28"/>
          <w:lang w:val="en-ZA"/>
        </w:rPr>
        <w:t>,</w:t>
      </w:r>
      <w:r w:rsidR="00B268B5">
        <w:rPr>
          <w:rFonts w:ascii="Times New Roman" w:hAnsi="Times New Roman" w:cs="Times New Roman"/>
          <w:sz w:val="28"/>
          <w:szCs w:val="28"/>
          <w:lang w:val="en-ZA"/>
        </w:rPr>
        <w:t xml:space="preserve"> and in its answering affidavit, had raised a number of the so-called points in </w:t>
      </w:r>
      <w:proofErr w:type="spellStart"/>
      <w:r w:rsidR="00B268B5">
        <w:rPr>
          <w:rFonts w:ascii="Times New Roman" w:hAnsi="Times New Roman" w:cs="Times New Roman"/>
          <w:i/>
          <w:iCs/>
          <w:sz w:val="28"/>
          <w:szCs w:val="28"/>
          <w:lang w:val="en-ZA"/>
        </w:rPr>
        <w:t>limine</w:t>
      </w:r>
      <w:proofErr w:type="spellEnd"/>
      <w:r w:rsidR="00B268B5">
        <w:rPr>
          <w:rFonts w:ascii="Times New Roman" w:hAnsi="Times New Roman" w:cs="Times New Roman"/>
          <w:i/>
          <w:iCs/>
          <w:sz w:val="28"/>
          <w:szCs w:val="28"/>
          <w:lang w:val="en-ZA"/>
        </w:rPr>
        <w:t xml:space="preserve">, </w:t>
      </w:r>
      <w:r w:rsidR="00B268B5">
        <w:rPr>
          <w:rFonts w:ascii="Times New Roman" w:hAnsi="Times New Roman" w:cs="Times New Roman"/>
          <w:sz w:val="28"/>
          <w:szCs w:val="28"/>
          <w:lang w:val="en-ZA"/>
        </w:rPr>
        <w:t>namely;</w:t>
      </w:r>
    </w:p>
    <w:p w14:paraId="265C4198" w14:textId="3C4D36CA" w:rsidR="00B268B5" w:rsidRDefault="00B268B5" w:rsidP="001A62F5">
      <w:pPr>
        <w:spacing w:after="0" w:line="360" w:lineRule="auto"/>
        <w:ind w:left="720" w:hanging="720"/>
        <w:jc w:val="both"/>
        <w:rPr>
          <w:rFonts w:ascii="Times New Roman" w:hAnsi="Times New Roman" w:cs="Times New Roman"/>
          <w:sz w:val="28"/>
          <w:szCs w:val="28"/>
          <w:lang w:val="en-ZA"/>
        </w:rPr>
      </w:pPr>
    </w:p>
    <w:p w14:paraId="29C6048C" w14:textId="422347D5" w:rsidR="00623C02" w:rsidRDefault="00B268B5" w:rsidP="00623C02">
      <w:pPr>
        <w:pStyle w:val="ListParagraph"/>
        <w:numPr>
          <w:ilvl w:val="0"/>
          <w:numId w:val="2"/>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lastRenderedPageBreak/>
        <w:t>Lack of urgency.  This point was however not argued as it was overtaken by events</w:t>
      </w:r>
      <w:r w:rsidR="00623C02">
        <w:rPr>
          <w:rFonts w:ascii="Times New Roman" w:hAnsi="Times New Roman" w:cs="Times New Roman"/>
          <w:sz w:val="28"/>
          <w:szCs w:val="28"/>
          <w:lang w:val="en-ZA"/>
        </w:rPr>
        <w:t>.</w:t>
      </w:r>
    </w:p>
    <w:p w14:paraId="5E8781C1" w14:textId="77777777" w:rsidR="00623C02" w:rsidRPr="00623C02" w:rsidRDefault="00623C02" w:rsidP="00623C02">
      <w:pPr>
        <w:pStyle w:val="ListParagraph"/>
        <w:spacing w:after="0" w:line="360" w:lineRule="auto"/>
        <w:ind w:left="1440"/>
        <w:jc w:val="both"/>
        <w:rPr>
          <w:rFonts w:ascii="Times New Roman" w:hAnsi="Times New Roman" w:cs="Times New Roman"/>
          <w:sz w:val="28"/>
          <w:szCs w:val="28"/>
          <w:lang w:val="en-ZA"/>
        </w:rPr>
      </w:pPr>
    </w:p>
    <w:p w14:paraId="51A3F533" w14:textId="2BA804AD" w:rsidR="00B268B5" w:rsidRDefault="00B268B5" w:rsidP="00B268B5">
      <w:pPr>
        <w:pStyle w:val="ListParagraph"/>
        <w:numPr>
          <w:ilvl w:val="0"/>
          <w:numId w:val="2"/>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That this application is vexatious and abuse of court</w:t>
      </w:r>
      <w:r w:rsidR="00F11828">
        <w:rPr>
          <w:rFonts w:ascii="Times New Roman" w:hAnsi="Times New Roman" w:cs="Times New Roman"/>
          <w:sz w:val="28"/>
          <w:szCs w:val="28"/>
          <w:lang w:val="en-ZA"/>
        </w:rPr>
        <w:t xml:space="preserve"> processes</w:t>
      </w:r>
      <w:r>
        <w:rPr>
          <w:rFonts w:ascii="Times New Roman" w:hAnsi="Times New Roman" w:cs="Times New Roman"/>
          <w:sz w:val="28"/>
          <w:szCs w:val="28"/>
          <w:lang w:val="en-ZA"/>
        </w:rPr>
        <w:t>, it being argued that it is meant as a stratagem to frustrate the main application.</w:t>
      </w:r>
    </w:p>
    <w:p w14:paraId="69FE5AD9" w14:textId="77777777" w:rsidR="00B268B5" w:rsidRDefault="00B268B5" w:rsidP="00B268B5">
      <w:pPr>
        <w:pStyle w:val="ListParagraph"/>
        <w:spacing w:after="0" w:line="360" w:lineRule="auto"/>
        <w:ind w:left="1440"/>
        <w:jc w:val="both"/>
        <w:rPr>
          <w:rFonts w:ascii="Times New Roman" w:hAnsi="Times New Roman" w:cs="Times New Roman"/>
          <w:sz w:val="28"/>
          <w:szCs w:val="28"/>
          <w:lang w:val="en-ZA"/>
        </w:rPr>
      </w:pPr>
    </w:p>
    <w:p w14:paraId="0C522F92" w14:textId="77777777" w:rsidR="00B268B5" w:rsidRDefault="00B268B5" w:rsidP="00B268B5">
      <w:pPr>
        <w:pStyle w:val="ListParagraph"/>
        <w:numPr>
          <w:ilvl w:val="0"/>
          <w:numId w:val="2"/>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Declarator as a remedy is discretionary and should, in this case be refused for inordinate delay in bringing the application.  The basis of this argument being that it took </w:t>
      </w:r>
      <w:proofErr w:type="spellStart"/>
      <w:r>
        <w:rPr>
          <w:rFonts w:ascii="Times New Roman" w:hAnsi="Times New Roman" w:cs="Times New Roman"/>
          <w:sz w:val="28"/>
          <w:szCs w:val="28"/>
          <w:lang w:val="en-ZA"/>
        </w:rPr>
        <w:t>Engidata</w:t>
      </w:r>
      <w:proofErr w:type="spellEnd"/>
      <w:r>
        <w:rPr>
          <w:rFonts w:ascii="Times New Roman" w:hAnsi="Times New Roman" w:cs="Times New Roman"/>
          <w:sz w:val="28"/>
          <w:szCs w:val="28"/>
          <w:lang w:val="en-ZA"/>
        </w:rPr>
        <w:t xml:space="preserve"> sixteen (16) months before lodging the application from the time when bids were opened.</w:t>
      </w:r>
    </w:p>
    <w:p w14:paraId="47F7AF02" w14:textId="77777777" w:rsidR="00B268B5" w:rsidRPr="00B268B5" w:rsidRDefault="00B268B5" w:rsidP="00B268B5">
      <w:pPr>
        <w:pStyle w:val="ListParagraph"/>
        <w:rPr>
          <w:rFonts w:ascii="Times New Roman" w:hAnsi="Times New Roman" w:cs="Times New Roman"/>
          <w:sz w:val="28"/>
          <w:szCs w:val="28"/>
          <w:lang w:val="en-ZA"/>
        </w:rPr>
      </w:pPr>
    </w:p>
    <w:p w14:paraId="3E99C7E8" w14:textId="64250B17" w:rsidR="004B1501" w:rsidRDefault="00B268B5" w:rsidP="00B268B5">
      <w:pPr>
        <w:pStyle w:val="ListParagraph"/>
        <w:numPr>
          <w:ilvl w:val="0"/>
          <w:numId w:val="2"/>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Declarator </w:t>
      </w:r>
      <w:r w:rsidR="00F11828">
        <w:rPr>
          <w:rFonts w:ascii="Times New Roman" w:hAnsi="Times New Roman" w:cs="Times New Roman"/>
          <w:sz w:val="28"/>
          <w:szCs w:val="28"/>
          <w:lang w:val="en-ZA"/>
        </w:rPr>
        <w:t xml:space="preserve">is </w:t>
      </w:r>
      <w:r>
        <w:rPr>
          <w:rFonts w:ascii="Times New Roman" w:hAnsi="Times New Roman" w:cs="Times New Roman"/>
          <w:sz w:val="28"/>
          <w:szCs w:val="28"/>
          <w:lang w:val="en-ZA"/>
        </w:rPr>
        <w:t>not a</w:t>
      </w:r>
      <w:r w:rsidR="00A35665">
        <w:rPr>
          <w:rFonts w:ascii="Times New Roman" w:hAnsi="Times New Roman" w:cs="Times New Roman"/>
          <w:sz w:val="28"/>
          <w:szCs w:val="28"/>
          <w:lang w:val="en-ZA"/>
        </w:rPr>
        <w:t xml:space="preserve">vailable to </w:t>
      </w:r>
      <w:proofErr w:type="spellStart"/>
      <w:r w:rsidR="00A35665">
        <w:rPr>
          <w:rFonts w:ascii="Times New Roman" w:hAnsi="Times New Roman" w:cs="Times New Roman"/>
          <w:sz w:val="28"/>
          <w:szCs w:val="28"/>
          <w:lang w:val="en-ZA"/>
        </w:rPr>
        <w:t>Engidata</w:t>
      </w:r>
      <w:proofErr w:type="spellEnd"/>
      <w:r w:rsidR="00F11828">
        <w:rPr>
          <w:rFonts w:ascii="Times New Roman" w:hAnsi="Times New Roman" w:cs="Times New Roman"/>
          <w:sz w:val="28"/>
          <w:szCs w:val="28"/>
          <w:lang w:val="en-ZA"/>
        </w:rPr>
        <w:t>,</w:t>
      </w:r>
      <w:r w:rsidR="00A35665">
        <w:rPr>
          <w:rFonts w:ascii="Times New Roman" w:hAnsi="Times New Roman" w:cs="Times New Roman"/>
          <w:sz w:val="28"/>
          <w:szCs w:val="28"/>
          <w:lang w:val="en-ZA"/>
        </w:rPr>
        <w:t xml:space="preserve"> the argument </w:t>
      </w:r>
      <w:r w:rsidR="00F11828">
        <w:rPr>
          <w:rFonts w:ascii="Times New Roman" w:hAnsi="Times New Roman" w:cs="Times New Roman"/>
          <w:sz w:val="28"/>
          <w:szCs w:val="28"/>
          <w:lang w:val="en-ZA"/>
        </w:rPr>
        <w:t>being</w:t>
      </w:r>
      <w:r w:rsidR="00A35665">
        <w:rPr>
          <w:rFonts w:ascii="Times New Roman" w:hAnsi="Times New Roman" w:cs="Times New Roman"/>
          <w:sz w:val="28"/>
          <w:szCs w:val="28"/>
          <w:lang w:val="en-ZA"/>
        </w:rPr>
        <w:t xml:space="preserve"> that a person seeking this remedy </w:t>
      </w:r>
      <w:r w:rsidR="00F11828">
        <w:rPr>
          <w:rFonts w:ascii="Times New Roman" w:hAnsi="Times New Roman" w:cs="Times New Roman"/>
          <w:sz w:val="28"/>
          <w:szCs w:val="28"/>
          <w:lang w:val="en-ZA"/>
        </w:rPr>
        <w:t>must</w:t>
      </w:r>
      <w:r w:rsidR="00A35665">
        <w:rPr>
          <w:rFonts w:ascii="Times New Roman" w:hAnsi="Times New Roman" w:cs="Times New Roman"/>
          <w:sz w:val="28"/>
          <w:szCs w:val="28"/>
          <w:lang w:val="en-ZA"/>
        </w:rPr>
        <w:t xml:space="preserve"> establish </w:t>
      </w:r>
      <w:r w:rsidR="004B1501">
        <w:rPr>
          <w:rFonts w:ascii="Times New Roman" w:hAnsi="Times New Roman" w:cs="Times New Roman"/>
          <w:sz w:val="28"/>
          <w:szCs w:val="28"/>
          <w:lang w:val="en-ZA"/>
        </w:rPr>
        <w:t xml:space="preserve">a right to which he seeks this court </w:t>
      </w:r>
      <w:r w:rsidR="00F11828">
        <w:rPr>
          <w:rFonts w:ascii="Times New Roman" w:hAnsi="Times New Roman" w:cs="Times New Roman"/>
          <w:sz w:val="28"/>
          <w:szCs w:val="28"/>
          <w:lang w:val="en-ZA"/>
        </w:rPr>
        <w:t xml:space="preserve">to </w:t>
      </w:r>
      <w:r w:rsidR="004B1501">
        <w:rPr>
          <w:rFonts w:ascii="Times New Roman" w:hAnsi="Times New Roman" w:cs="Times New Roman"/>
          <w:sz w:val="28"/>
          <w:szCs w:val="28"/>
          <w:lang w:val="en-ZA"/>
        </w:rPr>
        <w:t>declare.</w:t>
      </w:r>
    </w:p>
    <w:p w14:paraId="2C96DDA8" w14:textId="77777777" w:rsidR="004B1501" w:rsidRPr="004B1501" w:rsidRDefault="004B1501" w:rsidP="004B1501">
      <w:pPr>
        <w:pStyle w:val="ListParagraph"/>
        <w:rPr>
          <w:rFonts w:ascii="Times New Roman" w:hAnsi="Times New Roman" w:cs="Times New Roman"/>
          <w:sz w:val="28"/>
          <w:szCs w:val="28"/>
          <w:lang w:val="en-ZA"/>
        </w:rPr>
      </w:pPr>
    </w:p>
    <w:p w14:paraId="054EFBDE" w14:textId="55425A5C" w:rsidR="004B1501" w:rsidRDefault="00F11828" w:rsidP="00B268B5">
      <w:pPr>
        <w:pStyle w:val="ListParagraph"/>
        <w:numPr>
          <w:ilvl w:val="0"/>
          <w:numId w:val="2"/>
        </w:numPr>
        <w:spacing w:after="0" w:line="360" w:lineRule="auto"/>
        <w:jc w:val="both"/>
        <w:rPr>
          <w:rFonts w:ascii="Times New Roman" w:hAnsi="Times New Roman" w:cs="Times New Roman"/>
          <w:sz w:val="28"/>
          <w:szCs w:val="28"/>
          <w:lang w:val="en-ZA"/>
        </w:rPr>
      </w:pPr>
      <w:proofErr w:type="spellStart"/>
      <w:r>
        <w:rPr>
          <w:rFonts w:ascii="Times New Roman" w:hAnsi="Times New Roman" w:cs="Times New Roman"/>
          <w:sz w:val="28"/>
          <w:szCs w:val="28"/>
          <w:lang w:val="en-ZA"/>
        </w:rPr>
        <w:t>Engidata’s</w:t>
      </w:r>
      <w:proofErr w:type="spellEnd"/>
      <w:r>
        <w:rPr>
          <w:rFonts w:ascii="Times New Roman" w:hAnsi="Times New Roman" w:cs="Times New Roman"/>
          <w:sz w:val="28"/>
          <w:szCs w:val="28"/>
          <w:lang w:val="en-ZA"/>
        </w:rPr>
        <w:t xml:space="preserve"> l</w:t>
      </w:r>
      <w:r w:rsidR="004B1501">
        <w:rPr>
          <w:rFonts w:ascii="Times New Roman" w:hAnsi="Times New Roman" w:cs="Times New Roman"/>
          <w:sz w:val="28"/>
          <w:szCs w:val="28"/>
          <w:lang w:val="en-ZA"/>
        </w:rPr>
        <w:t xml:space="preserve">ack of </w:t>
      </w:r>
      <w:r w:rsidR="004B1501">
        <w:rPr>
          <w:rFonts w:ascii="Times New Roman" w:hAnsi="Times New Roman" w:cs="Times New Roman"/>
          <w:i/>
          <w:iCs/>
          <w:sz w:val="28"/>
          <w:szCs w:val="28"/>
          <w:lang w:val="en-ZA"/>
        </w:rPr>
        <w:t xml:space="preserve">locus standi in </w:t>
      </w:r>
      <w:proofErr w:type="spellStart"/>
      <w:r w:rsidR="004B1501">
        <w:rPr>
          <w:rFonts w:ascii="Times New Roman" w:hAnsi="Times New Roman" w:cs="Times New Roman"/>
          <w:i/>
          <w:iCs/>
          <w:sz w:val="28"/>
          <w:szCs w:val="28"/>
          <w:lang w:val="en-ZA"/>
        </w:rPr>
        <w:t>judicio</w:t>
      </w:r>
      <w:proofErr w:type="spellEnd"/>
      <w:r>
        <w:rPr>
          <w:rFonts w:ascii="Times New Roman" w:hAnsi="Times New Roman" w:cs="Times New Roman"/>
          <w:i/>
          <w:iCs/>
          <w:sz w:val="28"/>
          <w:szCs w:val="28"/>
          <w:lang w:val="en-ZA"/>
        </w:rPr>
        <w:t>,</w:t>
      </w:r>
      <w:r w:rsidR="004B1501">
        <w:rPr>
          <w:rFonts w:ascii="Times New Roman" w:hAnsi="Times New Roman" w:cs="Times New Roman"/>
          <w:sz w:val="28"/>
          <w:szCs w:val="28"/>
          <w:lang w:val="en-ZA"/>
        </w:rPr>
        <w:t xml:space="preserve"> </w:t>
      </w:r>
      <w:r>
        <w:rPr>
          <w:rFonts w:ascii="Times New Roman" w:hAnsi="Times New Roman" w:cs="Times New Roman"/>
          <w:sz w:val="28"/>
          <w:szCs w:val="28"/>
          <w:lang w:val="en-ZA"/>
        </w:rPr>
        <w:t>f</w:t>
      </w:r>
      <w:r w:rsidR="004B1501">
        <w:rPr>
          <w:rFonts w:ascii="Times New Roman" w:hAnsi="Times New Roman" w:cs="Times New Roman"/>
          <w:sz w:val="28"/>
          <w:szCs w:val="28"/>
          <w:lang w:val="en-ZA"/>
        </w:rPr>
        <w:t xml:space="preserve">or the reason </w:t>
      </w:r>
      <w:proofErr w:type="spellStart"/>
      <w:r w:rsidR="004B1501">
        <w:rPr>
          <w:rFonts w:ascii="Times New Roman" w:hAnsi="Times New Roman" w:cs="Times New Roman"/>
          <w:sz w:val="28"/>
          <w:szCs w:val="28"/>
          <w:lang w:val="en-ZA"/>
        </w:rPr>
        <w:t>tha</w:t>
      </w:r>
      <w:proofErr w:type="spellEnd"/>
      <w:r>
        <w:rPr>
          <w:rFonts w:ascii="Times New Roman" w:hAnsi="Times New Roman" w:cs="Times New Roman"/>
          <w:sz w:val="28"/>
          <w:szCs w:val="28"/>
          <w:lang w:val="en-ZA"/>
        </w:rPr>
        <w:t xml:space="preserve"> it </w:t>
      </w:r>
      <w:r w:rsidR="004B1501">
        <w:rPr>
          <w:rFonts w:ascii="Times New Roman" w:hAnsi="Times New Roman" w:cs="Times New Roman"/>
          <w:sz w:val="28"/>
          <w:szCs w:val="28"/>
          <w:lang w:val="en-ZA"/>
        </w:rPr>
        <w:t xml:space="preserve">does not have a right </w:t>
      </w:r>
      <w:r w:rsidR="00487ECB">
        <w:rPr>
          <w:rFonts w:ascii="Times New Roman" w:hAnsi="Times New Roman" w:cs="Times New Roman"/>
          <w:sz w:val="28"/>
          <w:szCs w:val="28"/>
          <w:lang w:val="en-ZA"/>
        </w:rPr>
        <w:t>that</w:t>
      </w:r>
      <w:r w:rsidR="004B1501">
        <w:rPr>
          <w:rFonts w:ascii="Times New Roman" w:hAnsi="Times New Roman" w:cs="Times New Roman"/>
          <w:sz w:val="28"/>
          <w:szCs w:val="28"/>
          <w:lang w:val="en-ZA"/>
        </w:rPr>
        <w:t xml:space="preserve"> must be declared, it lacked </w:t>
      </w:r>
      <w:r w:rsidR="00487ECB">
        <w:rPr>
          <w:rFonts w:ascii="Times New Roman" w:hAnsi="Times New Roman" w:cs="Times New Roman"/>
          <w:sz w:val="28"/>
          <w:szCs w:val="28"/>
          <w:lang w:val="en-ZA"/>
        </w:rPr>
        <w:t>the</w:t>
      </w:r>
      <w:r>
        <w:rPr>
          <w:rFonts w:ascii="Times New Roman" w:hAnsi="Times New Roman" w:cs="Times New Roman"/>
          <w:sz w:val="28"/>
          <w:szCs w:val="28"/>
          <w:lang w:val="en-ZA"/>
        </w:rPr>
        <w:t xml:space="preserve"> </w:t>
      </w:r>
      <w:r w:rsidR="004B1501">
        <w:rPr>
          <w:rFonts w:ascii="Times New Roman" w:hAnsi="Times New Roman" w:cs="Times New Roman"/>
          <w:sz w:val="28"/>
          <w:szCs w:val="28"/>
          <w:lang w:val="en-ZA"/>
        </w:rPr>
        <w:t>standing to seek the reliefs it is claiming.</w:t>
      </w:r>
    </w:p>
    <w:p w14:paraId="422138A8" w14:textId="77777777" w:rsidR="004B1501" w:rsidRPr="004B1501" w:rsidRDefault="004B1501" w:rsidP="004B1501">
      <w:pPr>
        <w:pStyle w:val="ListParagraph"/>
        <w:rPr>
          <w:rFonts w:ascii="Times New Roman" w:hAnsi="Times New Roman" w:cs="Times New Roman"/>
          <w:sz w:val="28"/>
          <w:szCs w:val="28"/>
          <w:lang w:val="en-ZA"/>
        </w:rPr>
      </w:pPr>
    </w:p>
    <w:p w14:paraId="540006DE" w14:textId="77777777" w:rsidR="004B1501" w:rsidRDefault="004B1501" w:rsidP="00B268B5">
      <w:pPr>
        <w:pStyle w:val="ListParagraph"/>
        <w:numPr>
          <w:ilvl w:val="0"/>
          <w:numId w:val="2"/>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Disputes of fact.</w:t>
      </w:r>
    </w:p>
    <w:p w14:paraId="20145315" w14:textId="77777777" w:rsidR="004B1501" w:rsidRPr="004B1501" w:rsidRDefault="004B1501" w:rsidP="004B1501">
      <w:pPr>
        <w:pStyle w:val="ListParagraph"/>
        <w:rPr>
          <w:rFonts w:ascii="Times New Roman" w:hAnsi="Times New Roman" w:cs="Times New Roman"/>
          <w:sz w:val="28"/>
          <w:szCs w:val="28"/>
          <w:lang w:val="en-ZA"/>
        </w:rPr>
      </w:pPr>
    </w:p>
    <w:p w14:paraId="6F908E26" w14:textId="112BECA8" w:rsidR="00794939" w:rsidRDefault="004B1501" w:rsidP="00B268B5">
      <w:pPr>
        <w:pStyle w:val="ListParagraph"/>
        <w:numPr>
          <w:ilvl w:val="0"/>
          <w:numId w:val="2"/>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Estoppel and waiver.  The argument is that </w:t>
      </w:r>
      <w:proofErr w:type="spellStart"/>
      <w:r>
        <w:rPr>
          <w:rFonts w:ascii="Times New Roman" w:hAnsi="Times New Roman" w:cs="Times New Roman"/>
          <w:sz w:val="28"/>
          <w:szCs w:val="28"/>
          <w:lang w:val="en-ZA"/>
        </w:rPr>
        <w:t>Engidata</w:t>
      </w:r>
      <w:proofErr w:type="spellEnd"/>
      <w:r>
        <w:rPr>
          <w:rFonts w:ascii="Times New Roman" w:hAnsi="Times New Roman" w:cs="Times New Roman"/>
          <w:sz w:val="28"/>
          <w:szCs w:val="28"/>
          <w:lang w:val="en-ZA"/>
        </w:rPr>
        <w:t xml:space="preserve"> is estopped from raising before this court matters it should </w:t>
      </w:r>
      <w:r w:rsidR="00794939">
        <w:rPr>
          <w:rFonts w:ascii="Times New Roman" w:hAnsi="Times New Roman" w:cs="Times New Roman"/>
          <w:sz w:val="28"/>
          <w:szCs w:val="28"/>
          <w:lang w:val="en-ZA"/>
        </w:rPr>
        <w:t>have raised before the Ministry through “</w:t>
      </w:r>
      <w:r w:rsidR="00487ECB">
        <w:rPr>
          <w:rFonts w:ascii="Times New Roman" w:hAnsi="Times New Roman" w:cs="Times New Roman"/>
          <w:sz w:val="28"/>
          <w:szCs w:val="28"/>
          <w:lang w:val="en-ZA"/>
        </w:rPr>
        <w:t>procurement-related</w:t>
      </w:r>
      <w:r w:rsidR="00794939">
        <w:rPr>
          <w:rFonts w:ascii="Times New Roman" w:hAnsi="Times New Roman" w:cs="Times New Roman"/>
          <w:sz w:val="28"/>
          <w:szCs w:val="28"/>
          <w:lang w:val="en-ZA"/>
        </w:rPr>
        <w:t xml:space="preserve"> procedures.”</w:t>
      </w:r>
    </w:p>
    <w:p w14:paraId="17AA3727" w14:textId="77777777" w:rsidR="00794939" w:rsidRPr="00794939" w:rsidRDefault="00794939" w:rsidP="00794939">
      <w:pPr>
        <w:pStyle w:val="ListParagraph"/>
        <w:rPr>
          <w:rFonts w:ascii="Times New Roman" w:hAnsi="Times New Roman" w:cs="Times New Roman"/>
          <w:sz w:val="28"/>
          <w:szCs w:val="28"/>
          <w:lang w:val="en-ZA"/>
        </w:rPr>
      </w:pPr>
    </w:p>
    <w:p w14:paraId="1D2C20CF" w14:textId="3FEE4B4C" w:rsidR="00794939" w:rsidRDefault="00794939" w:rsidP="00B268B5">
      <w:pPr>
        <w:pStyle w:val="ListParagraph"/>
        <w:numPr>
          <w:ilvl w:val="0"/>
          <w:numId w:val="2"/>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Jurisdiction of the court delayed.  The argument in this regard </w:t>
      </w:r>
      <w:r w:rsidR="00487ECB">
        <w:rPr>
          <w:rFonts w:ascii="Times New Roman" w:hAnsi="Times New Roman" w:cs="Times New Roman"/>
          <w:sz w:val="28"/>
          <w:szCs w:val="28"/>
          <w:lang w:val="en-ZA"/>
        </w:rPr>
        <w:t>relates</w:t>
      </w:r>
      <w:r>
        <w:rPr>
          <w:rFonts w:ascii="Times New Roman" w:hAnsi="Times New Roman" w:cs="Times New Roman"/>
          <w:sz w:val="28"/>
          <w:szCs w:val="28"/>
          <w:lang w:val="en-ZA"/>
        </w:rPr>
        <w:t xml:space="preserve"> to </w:t>
      </w:r>
      <w:r w:rsidR="00487ECB">
        <w:rPr>
          <w:rFonts w:ascii="Times New Roman" w:hAnsi="Times New Roman" w:cs="Times New Roman"/>
          <w:sz w:val="28"/>
          <w:szCs w:val="28"/>
          <w:lang w:val="en-ZA"/>
        </w:rPr>
        <w:t xml:space="preserve">the </w:t>
      </w:r>
      <w:r>
        <w:rPr>
          <w:rFonts w:ascii="Times New Roman" w:hAnsi="Times New Roman" w:cs="Times New Roman"/>
          <w:sz w:val="28"/>
          <w:szCs w:val="28"/>
          <w:lang w:val="en-ZA"/>
        </w:rPr>
        <w:t xml:space="preserve">exhaustion of local remedies:  That jurisdiction of this court is delayed until the Ministry will have determined the JV’s eligibility in </w:t>
      </w:r>
      <w:r>
        <w:rPr>
          <w:rFonts w:ascii="Times New Roman" w:hAnsi="Times New Roman" w:cs="Times New Roman"/>
          <w:sz w:val="28"/>
          <w:szCs w:val="28"/>
          <w:lang w:val="en-ZA"/>
        </w:rPr>
        <w:lastRenderedPageBreak/>
        <w:t>terms of the procurement-related procedures provided by the World Bank Regulations.</w:t>
      </w:r>
    </w:p>
    <w:p w14:paraId="40F36E41" w14:textId="77777777" w:rsidR="00794939" w:rsidRPr="00794939" w:rsidRDefault="00794939" w:rsidP="00794939">
      <w:pPr>
        <w:pStyle w:val="ListParagraph"/>
        <w:rPr>
          <w:rFonts w:ascii="Times New Roman" w:hAnsi="Times New Roman" w:cs="Times New Roman"/>
          <w:sz w:val="28"/>
          <w:szCs w:val="28"/>
          <w:lang w:val="en-ZA"/>
        </w:rPr>
      </w:pPr>
    </w:p>
    <w:p w14:paraId="2CEF88DE" w14:textId="4F87BD56" w:rsidR="009D424F" w:rsidRDefault="00794939" w:rsidP="00794939">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[8]</w:t>
      </w:r>
      <w:r>
        <w:rPr>
          <w:rFonts w:ascii="Times New Roman" w:hAnsi="Times New Roman" w:cs="Times New Roman"/>
          <w:sz w:val="28"/>
          <w:szCs w:val="28"/>
          <w:lang w:val="en-ZA"/>
        </w:rPr>
        <w:tab/>
        <w:t xml:space="preserve">On the merits, the JV disputes </w:t>
      </w:r>
      <w:r w:rsidR="007842BE">
        <w:rPr>
          <w:rFonts w:ascii="Times New Roman" w:hAnsi="Times New Roman" w:cs="Times New Roman"/>
          <w:sz w:val="28"/>
          <w:szCs w:val="28"/>
          <w:lang w:val="en-ZA"/>
        </w:rPr>
        <w:t xml:space="preserve">all </w:t>
      </w:r>
      <w:r>
        <w:rPr>
          <w:rFonts w:ascii="Times New Roman" w:hAnsi="Times New Roman" w:cs="Times New Roman"/>
          <w:sz w:val="28"/>
          <w:szCs w:val="28"/>
          <w:lang w:val="en-ZA"/>
        </w:rPr>
        <w:t xml:space="preserve">the </w:t>
      </w:r>
      <w:r w:rsidR="007842BE">
        <w:rPr>
          <w:rFonts w:ascii="Times New Roman" w:hAnsi="Times New Roman" w:cs="Times New Roman"/>
          <w:sz w:val="28"/>
          <w:szCs w:val="28"/>
          <w:lang w:val="en-ZA"/>
        </w:rPr>
        <w:t>negative allegations made</w:t>
      </w:r>
      <w:r>
        <w:rPr>
          <w:rFonts w:ascii="Times New Roman" w:hAnsi="Times New Roman" w:cs="Times New Roman"/>
          <w:sz w:val="28"/>
          <w:szCs w:val="28"/>
          <w:lang w:val="en-ZA"/>
        </w:rPr>
        <w:t xml:space="preserve"> by the applicant</w:t>
      </w:r>
      <w:r w:rsidR="007842BE">
        <w:rPr>
          <w:rFonts w:ascii="Times New Roman" w:hAnsi="Times New Roman" w:cs="Times New Roman"/>
          <w:sz w:val="28"/>
          <w:szCs w:val="28"/>
          <w:lang w:val="en-ZA"/>
        </w:rPr>
        <w:t xml:space="preserve"> against it</w:t>
      </w:r>
      <w:r>
        <w:rPr>
          <w:rFonts w:ascii="Times New Roman" w:hAnsi="Times New Roman" w:cs="Times New Roman"/>
          <w:sz w:val="28"/>
          <w:szCs w:val="28"/>
          <w:lang w:val="en-ZA"/>
        </w:rPr>
        <w:t>, and further raised an issue that the applicant impermissibly raised a new matter in its replying affidavit.  The new matter being referred to</w:t>
      </w:r>
      <w:r w:rsidR="00607D7B">
        <w:rPr>
          <w:rFonts w:ascii="Times New Roman" w:hAnsi="Times New Roman" w:cs="Times New Roman"/>
          <w:sz w:val="28"/>
          <w:szCs w:val="28"/>
          <w:lang w:val="en-ZA"/>
        </w:rPr>
        <w:t xml:space="preserve"> in this regard</w:t>
      </w:r>
      <w:r>
        <w:rPr>
          <w:rFonts w:ascii="Times New Roman" w:hAnsi="Times New Roman" w:cs="Times New Roman"/>
          <w:sz w:val="28"/>
          <w:szCs w:val="28"/>
          <w:lang w:val="en-ZA"/>
        </w:rPr>
        <w:t xml:space="preserve"> relates to</w:t>
      </w:r>
      <w:r w:rsidR="006858EA">
        <w:rPr>
          <w:rFonts w:ascii="Times New Roman" w:hAnsi="Times New Roman" w:cs="Times New Roman"/>
          <w:sz w:val="28"/>
          <w:szCs w:val="28"/>
          <w:lang w:val="en-ZA"/>
        </w:rPr>
        <w:t xml:space="preserve"> the assertion that it</w:t>
      </w:r>
      <w:r>
        <w:rPr>
          <w:rFonts w:ascii="Times New Roman" w:hAnsi="Times New Roman" w:cs="Times New Roman"/>
          <w:sz w:val="28"/>
          <w:szCs w:val="28"/>
          <w:lang w:val="en-ZA"/>
        </w:rPr>
        <w:t xml:space="preserve"> did not make full disclosure </w:t>
      </w:r>
      <w:r w:rsidR="00607D7B">
        <w:rPr>
          <w:rFonts w:ascii="Times New Roman" w:hAnsi="Times New Roman" w:cs="Times New Roman"/>
          <w:sz w:val="28"/>
          <w:szCs w:val="28"/>
          <w:lang w:val="en-ZA"/>
        </w:rPr>
        <w:t xml:space="preserve">when submitting its bid. It is JV’s argument the applicant’s </w:t>
      </w:r>
      <w:r>
        <w:rPr>
          <w:rFonts w:ascii="Times New Roman" w:hAnsi="Times New Roman" w:cs="Times New Roman"/>
          <w:sz w:val="28"/>
          <w:szCs w:val="28"/>
          <w:lang w:val="en-ZA"/>
        </w:rPr>
        <w:t xml:space="preserve">case </w:t>
      </w:r>
      <w:r w:rsidR="006858EA">
        <w:rPr>
          <w:rFonts w:ascii="Times New Roman" w:hAnsi="Times New Roman" w:cs="Times New Roman"/>
          <w:sz w:val="28"/>
          <w:szCs w:val="28"/>
          <w:lang w:val="en-ZA"/>
        </w:rPr>
        <w:t xml:space="preserve">as pleaded in the founding affidavit </w:t>
      </w:r>
      <w:r>
        <w:rPr>
          <w:rFonts w:ascii="Times New Roman" w:hAnsi="Times New Roman" w:cs="Times New Roman"/>
          <w:sz w:val="28"/>
          <w:szCs w:val="28"/>
          <w:lang w:val="en-ZA"/>
        </w:rPr>
        <w:t>is that the JV</w:t>
      </w:r>
      <w:r w:rsidR="006858EA">
        <w:rPr>
          <w:rFonts w:ascii="Times New Roman" w:hAnsi="Times New Roman" w:cs="Times New Roman"/>
          <w:sz w:val="28"/>
          <w:szCs w:val="28"/>
          <w:lang w:val="en-ZA"/>
        </w:rPr>
        <w:t xml:space="preserve"> </w:t>
      </w:r>
      <w:r>
        <w:rPr>
          <w:rFonts w:ascii="Times New Roman" w:hAnsi="Times New Roman" w:cs="Times New Roman"/>
          <w:sz w:val="28"/>
          <w:szCs w:val="28"/>
          <w:lang w:val="en-ZA"/>
        </w:rPr>
        <w:t xml:space="preserve"> </w:t>
      </w:r>
      <w:r w:rsidR="006858EA">
        <w:rPr>
          <w:rFonts w:ascii="Times New Roman" w:hAnsi="Times New Roman" w:cs="Times New Roman"/>
          <w:sz w:val="28"/>
          <w:szCs w:val="28"/>
          <w:lang w:val="en-ZA"/>
        </w:rPr>
        <w:t>“</w:t>
      </w:r>
      <w:r w:rsidRPr="006858EA">
        <w:rPr>
          <w:rFonts w:ascii="Times New Roman" w:hAnsi="Times New Roman" w:cs="Times New Roman"/>
          <w:i/>
          <w:iCs/>
          <w:sz w:val="28"/>
          <w:szCs w:val="28"/>
          <w:lang w:val="en-ZA"/>
        </w:rPr>
        <w:t xml:space="preserve">had unlawfully and intentionally omitted to disclose that they are at an unfair advantage and they have </w:t>
      </w:r>
      <w:r w:rsidR="00487ECB" w:rsidRPr="006858EA">
        <w:rPr>
          <w:rFonts w:ascii="Times New Roman" w:hAnsi="Times New Roman" w:cs="Times New Roman"/>
          <w:i/>
          <w:iCs/>
          <w:sz w:val="28"/>
          <w:szCs w:val="28"/>
          <w:lang w:val="en-ZA"/>
        </w:rPr>
        <w:t xml:space="preserve">a </w:t>
      </w:r>
      <w:r w:rsidRPr="006858EA">
        <w:rPr>
          <w:rFonts w:ascii="Times New Roman" w:hAnsi="Times New Roman" w:cs="Times New Roman"/>
          <w:i/>
          <w:iCs/>
          <w:sz w:val="28"/>
          <w:szCs w:val="28"/>
          <w:lang w:val="en-ZA"/>
        </w:rPr>
        <w:t xml:space="preserve">conflict of interest </w:t>
      </w:r>
      <w:r w:rsidR="00403DE5" w:rsidRPr="006858EA">
        <w:rPr>
          <w:rFonts w:ascii="Times New Roman" w:hAnsi="Times New Roman" w:cs="Times New Roman"/>
          <w:i/>
          <w:iCs/>
          <w:sz w:val="28"/>
          <w:szCs w:val="28"/>
          <w:lang w:val="en-ZA"/>
        </w:rPr>
        <w:t>and are therefore ineligible to participate in the LITIS in terms of the Procurement Regulations”</w:t>
      </w:r>
      <w:r w:rsidR="00607D7B">
        <w:rPr>
          <w:rFonts w:ascii="Times New Roman" w:hAnsi="Times New Roman" w:cs="Times New Roman"/>
          <w:sz w:val="28"/>
          <w:szCs w:val="28"/>
          <w:lang w:val="en-ZA"/>
        </w:rPr>
        <w:t xml:space="preserve"> and not the one it is seeking to rely on in reply.</w:t>
      </w:r>
      <w:r w:rsidR="00403DE5" w:rsidRPr="006858EA">
        <w:rPr>
          <w:rFonts w:ascii="Times New Roman" w:hAnsi="Times New Roman" w:cs="Times New Roman"/>
          <w:i/>
          <w:iCs/>
          <w:sz w:val="28"/>
          <w:szCs w:val="28"/>
          <w:lang w:val="en-ZA"/>
        </w:rPr>
        <w:t xml:space="preserve">  </w:t>
      </w:r>
      <w:r w:rsidR="00403DE5">
        <w:rPr>
          <w:rFonts w:ascii="Times New Roman" w:hAnsi="Times New Roman" w:cs="Times New Roman"/>
          <w:sz w:val="28"/>
          <w:szCs w:val="28"/>
          <w:lang w:val="en-ZA"/>
        </w:rPr>
        <w:t>In reply to the JV’s averment in paragraph 4.1 of its Answering affidavit that in its covering letter of their Technical Bid they made “</w:t>
      </w:r>
      <w:r w:rsidR="00403DE5" w:rsidRPr="006858EA">
        <w:rPr>
          <w:rFonts w:ascii="Times New Roman" w:hAnsi="Times New Roman" w:cs="Times New Roman"/>
          <w:i/>
          <w:iCs/>
          <w:sz w:val="28"/>
          <w:szCs w:val="28"/>
          <w:lang w:val="en-ZA"/>
        </w:rPr>
        <w:t>full disclosure of their legacy since 1988, where Fischer Consulting has a proven track record to design and implement National Transport Information Systems, Driving licence and related traffic information systems in the Tripartite Region,”</w:t>
      </w:r>
      <w:r w:rsidR="00403DE5">
        <w:rPr>
          <w:rFonts w:ascii="Times New Roman" w:hAnsi="Times New Roman" w:cs="Times New Roman"/>
          <w:sz w:val="28"/>
          <w:szCs w:val="28"/>
          <w:lang w:val="en-ZA"/>
        </w:rPr>
        <w:t xml:space="preserve"> </w:t>
      </w:r>
      <w:proofErr w:type="spellStart"/>
      <w:r w:rsidR="00403DE5">
        <w:rPr>
          <w:rFonts w:ascii="Times New Roman" w:hAnsi="Times New Roman" w:cs="Times New Roman"/>
          <w:sz w:val="28"/>
          <w:szCs w:val="28"/>
          <w:lang w:val="en-ZA"/>
        </w:rPr>
        <w:t>Engidata</w:t>
      </w:r>
      <w:proofErr w:type="spellEnd"/>
      <w:r w:rsidR="00403DE5">
        <w:rPr>
          <w:rFonts w:ascii="Times New Roman" w:hAnsi="Times New Roman" w:cs="Times New Roman"/>
          <w:sz w:val="28"/>
          <w:szCs w:val="28"/>
          <w:lang w:val="en-ZA"/>
        </w:rPr>
        <w:t xml:space="preserve"> at paragr</w:t>
      </w:r>
      <w:r w:rsidR="001336FB">
        <w:rPr>
          <w:rFonts w:ascii="Times New Roman" w:hAnsi="Times New Roman" w:cs="Times New Roman"/>
          <w:sz w:val="28"/>
          <w:szCs w:val="28"/>
          <w:lang w:val="en-ZA"/>
        </w:rPr>
        <w:t>aph 14</w:t>
      </w:r>
      <w:r w:rsidR="006858EA">
        <w:rPr>
          <w:rFonts w:ascii="Times New Roman" w:hAnsi="Times New Roman" w:cs="Times New Roman"/>
          <w:sz w:val="28"/>
          <w:szCs w:val="28"/>
          <w:lang w:val="en-ZA"/>
        </w:rPr>
        <w:t xml:space="preserve"> of its reply</w:t>
      </w:r>
      <w:r w:rsidR="001336FB">
        <w:rPr>
          <w:rFonts w:ascii="Times New Roman" w:hAnsi="Times New Roman" w:cs="Times New Roman"/>
          <w:sz w:val="28"/>
          <w:szCs w:val="28"/>
          <w:lang w:val="en-ZA"/>
        </w:rPr>
        <w:t>, avers that:</w:t>
      </w:r>
      <w:r w:rsidR="00403DE5">
        <w:rPr>
          <w:rFonts w:ascii="Times New Roman" w:hAnsi="Times New Roman" w:cs="Times New Roman"/>
          <w:sz w:val="28"/>
          <w:szCs w:val="28"/>
          <w:lang w:val="en-ZA"/>
        </w:rPr>
        <w:t xml:space="preserve"> </w:t>
      </w:r>
    </w:p>
    <w:p w14:paraId="66FA072E" w14:textId="77777777" w:rsidR="009D424F" w:rsidRDefault="009D424F" w:rsidP="00794939">
      <w:pPr>
        <w:spacing w:after="0" w:line="360" w:lineRule="auto"/>
        <w:ind w:left="720" w:hanging="720"/>
        <w:jc w:val="both"/>
        <w:rPr>
          <w:rFonts w:ascii="Times New Roman" w:hAnsi="Times New Roman" w:cs="Times New Roman"/>
          <w:sz w:val="28"/>
          <w:szCs w:val="28"/>
          <w:lang w:val="en-ZA"/>
        </w:rPr>
      </w:pPr>
    </w:p>
    <w:p w14:paraId="2EF45500" w14:textId="77777777" w:rsidR="009D424F" w:rsidRDefault="009D424F" w:rsidP="009D424F">
      <w:pPr>
        <w:spacing w:after="0" w:line="360" w:lineRule="auto"/>
        <w:ind w:left="1728" w:right="1008" w:hanging="720"/>
        <w:jc w:val="both"/>
        <w:rPr>
          <w:rFonts w:ascii="Times New Roman" w:hAnsi="Times New Roman" w:cs="Times New Roman"/>
          <w:i/>
          <w:iCs/>
          <w:sz w:val="24"/>
          <w:szCs w:val="24"/>
          <w:u w:val="single"/>
          <w:lang w:val="en-ZA"/>
        </w:rPr>
      </w:pPr>
      <w:r>
        <w:rPr>
          <w:rFonts w:ascii="Times New Roman" w:hAnsi="Times New Roman" w:cs="Times New Roman"/>
          <w:i/>
          <w:iCs/>
          <w:sz w:val="24"/>
          <w:szCs w:val="24"/>
          <w:lang w:val="en-ZA"/>
        </w:rPr>
        <w:t>“</w:t>
      </w:r>
      <w:r>
        <w:rPr>
          <w:rFonts w:ascii="Times New Roman" w:hAnsi="Times New Roman" w:cs="Times New Roman"/>
          <w:i/>
          <w:iCs/>
          <w:sz w:val="24"/>
          <w:szCs w:val="24"/>
          <w:u w:val="single"/>
          <w:lang w:val="en-ZA"/>
        </w:rPr>
        <w:t>AD para 4.1</w:t>
      </w:r>
    </w:p>
    <w:p w14:paraId="0E5E3068" w14:textId="77777777" w:rsidR="009D424F" w:rsidRDefault="009D424F" w:rsidP="009D424F">
      <w:pPr>
        <w:spacing w:after="0" w:line="360" w:lineRule="auto"/>
        <w:ind w:left="1008"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Contents herein noted.  Save to deny that the legacy to design national transport information systems reveals the conflict of interest, or the true position of Fisher Consulting (Pty) Ltd in the TTTFP which cannot be said to be “full disclosure.”  The 1</w:t>
      </w:r>
      <w:r w:rsidRPr="009D424F">
        <w:rPr>
          <w:rFonts w:ascii="Times New Roman" w:hAnsi="Times New Roman" w:cs="Times New Roman"/>
          <w:i/>
          <w:iCs/>
          <w:sz w:val="24"/>
          <w:szCs w:val="24"/>
          <w:vertAlign w:val="superscript"/>
          <w:lang w:val="en-ZA"/>
        </w:rPr>
        <w:t>st</w:t>
      </w:r>
      <w:r>
        <w:rPr>
          <w:rFonts w:ascii="Times New Roman" w:hAnsi="Times New Roman" w:cs="Times New Roman"/>
          <w:i/>
          <w:iCs/>
          <w:sz w:val="24"/>
          <w:szCs w:val="24"/>
          <w:lang w:val="en-ZA"/>
        </w:rPr>
        <w:t xml:space="preserve"> Respondent should not seek to mislead the court that full of being a lead member of the TTTFP.”</w:t>
      </w:r>
    </w:p>
    <w:p w14:paraId="46AB60C3" w14:textId="77777777" w:rsidR="009D424F" w:rsidRDefault="009D424F" w:rsidP="009D424F">
      <w:pPr>
        <w:spacing w:after="0" w:line="360" w:lineRule="auto"/>
        <w:ind w:right="1008"/>
        <w:jc w:val="both"/>
        <w:rPr>
          <w:rFonts w:ascii="Times New Roman" w:hAnsi="Times New Roman" w:cs="Times New Roman"/>
          <w:i/>
          <w:iCs/>
          <w:sz w:val="24"/>
          <w:szCs w:val="24"/>
          <w:lang w:val="en-ZA"/>
        </w:rPr>
      </w:pPr>
    </w:p>
    <w:p w14:paraId="2BAFC7E9" w14:textId="77777777" w:rsidR="009D424F" w:rsidRDefault="009D424F" w:rsidP="009D424F">
      <w:pPr>
        <w:spacing w:after="0" w:line="360" w:lineRule="auto"/>
        <w:jc w:val="both"/>
        <w:rPr>
          <w:rFonts w:ascii="Times New Roman" w:hAnsi="Times New Roman" w:cs="Times New Roman"/>
          <w:b/>
          <w:bCs/>
          <w:sz w:val="28"/>
          <w:szCs w:val="28"/>
          <w:lang w:val="en-ZA"/>
        </w:rPr>
      </w:pPr>
      <w:r>
        <w:rPr>
          <w:rFonts w:ascii="Times New Roman" w:hAnsi="Times New Roman" w:cs="Times New Roman"/>
          <w:sz w:val="28"/>
          <w:szCs w:val="28"/>
          <w:lang w:val="en-ZA"/>
        </w:rPr>
        <w:t>[9]</w:t>
      </w:r>
      <w:r>
        <w:rPr>
          <w:rFonts w:ascii="Times New Roman" w:hAnsi="Times New Roman" w:cs="Times New Roman"/>
          <w:sz w:val="28"/>
          <w:szCs w:val="28"/>
          <w:lang w:val="en-ZA"/>
        </w:rPr>
        <w:tab/>
      </w:r>
      <w:r>
        <w:rPr>
          <w:rFonts w:ascii="Times New Roman" w:hAnsi="Times New Roman" w:cs="Times New Roman"/>
          <w:b/>
          <w:bCs/>
          <w:sz w:val="28"/>
          <w:szCs w:val="28"/>
          <w:lang w:val="en-ZA"/>
        </w:rPr>
        <w:t>Issues for determination:</w:t>
      </w:r>
    </w:p>
    <w:p w14:paraId="656AFAA9" w14:textId="77777777" w:rsidR="009D424F" w:rsidRDefault="009D424F" w:rsidP="009D424F">
      <w:p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ab/>
        <w:t>(</w:t>
      </w:r>
      <w:proofErr w:type="spellStart"/>
      <w:r>
        <w:rPr>
          <w:rFonts w:ascii="Times New Roman" w:hAnsi="Times New Roman" w:cs="Times New Roman"/>
          <w:sz w:val="28"/>
          <w:szCs w:val="28"/>
          <w:lang w:val="en-ZA"/>
        </w:rPr>
        <w:t>i</w:t>
      </w:r>
      <w:proofErr w:type="spellEnd"/>
      <w:r>
        <w:rPr>
          <w:rFonts w:ascii="Times New Roman" w:hAnsi="Times New Roman" w:cs="Times New Roman"/>
          <w:sz w:val="28"/>
          <w:szCs w:val="28"/>
          <w:lang w:val="en-ZA"/>
        </w:rPr>
        <w:t>)</w:t>
      </w:r>
      <w:r>
        <w:rPr>
          <w:rFonts w:ascii="Times New Roman" w:hAnsi="Times New Roman" w:cs="Times New Roman"/>
          <w:sz w:val="28"/>
          <w:szCs w:val="28"/>
          <w:lang w:val="en-ZA"/>
        </w:rPr>
        <w:tab/>
        <w:t xml:space="preserve">The points in </w:t>
      </w:r>
      <w:proofErr w:type="spellStart"/>
      <w:r>
        <w:rPr>
          <w:rFonts w:ascii="Times New Roman" w:hAnsi="Times New Roman" w:cs="Times New Roman"/>
          <w:i/>
          <w:iCs/>
          <w:sz w:val="28"/>
          <w:szCs w:val="28"/>
          <w:lang w:val="en-ZA"/>
        </w:rPr>
        <w:t>limine</w:t>
      </w:r>
      <w:proofErr w:type="spellEnd"/>
      <w:r>
        <w:rPr>
          <w:rFonts w:ascii="Times New Roman" w:hAnsi="Times New Roman" w:cs="Times New Roman"/>
          <w:sz w:val="28"/>
          <w:szCs w:val="28"/>
          <w:lang w:val="en-ZA"/>
        </w:rPr>
        <w:t xml:space="preserve"> raised by the JV</w:t>
      </w:r>
    </w:p>
    <w:p w14:paraId="28E6E6ED" w14:textId="2B3EEA27" w:rsidR="009D424F" w:rsidRDefault="009D424F" w:rsidP="009D424F">
      <w:pPr>
        <w:spacing w:after="0" w:line="360" w:lineRule="auto"/>
        <w:ind w:left="1440" w:hanging="720"/>
        <w:jc w:val="both"/>
        <w:rPr>
          <w:rFonts w:ascii="Times New Roman" w:hAnsi="Times New Roman" w:cs="Times New Roman"/>
          <w:sz w:val="28"/>
          <w:szCs w:val="28"/>
          <w:lang w:val="en-ZA"/>
        </w:rPr>
      </w:pPr>
      <w:r>
        <w:rPr>
          <w:rFonts w:ascii="Times New Roman" w:hAnsi="Times New Roman" w:cs="Times New Roman"/>
          <w:sz w:val="28"/>
          <w:szCs w:val="28"/>
          <w:lang w:val="en-ZA"/>
        </w:rPr>
        <w:lastRenderedPageBreak/>
        <w:t>(ii)</w:t>
      </w:r>
      <w:r>
        <w:rPr>
          <w:rFonts w:ascii="Times New Roman" w:hAnsi="Times New Roman" w:cs="Times New Roman"/>
          <w:sz w:val="28"/>
          <w:szCs w:val="28"/>
          <w:lang w:val="en-ZA"/>
        </w:rPr>
        <w:tab/>
        <w:t>Whether there has been non-disclosure by the JV, and therefore, fraudulent practice or conduct on its part.</w:t>
      </w:r>
    </w:p>
    <w:p w14:paraId="094AB105" w14:textId="0D620067" w:rsidR="007C3017" w:rsidRPr="007C3017" w:rsidRDefault="007C3017" w:rsidP="007C3017">
      <w:pPr>
        <w:spacing w:after="0" w:line="360" w:lineRule="auto"/>
        <w:ind w:left="1440" w:hanging="720"/>
        <w:jc w:val="both"/>
        <w:rPr>
          <w:rFonts w:ascii="Times New Roman" w:hAnsi="Times New Roman" w:cs="Times New Roman"/>
          <w:sz w:val="28"/>
          <w:szCs w:val="28"/>
          <w:lang w:val="en-ZA"/>
        </w:rPr>
      </w:pPr>
      <w:r>
        <w:rPr>
          <w:rFonts w:ascii="Times New Roman" w:hAnsi="Times New Roman" w:cs="Times New Roman"/>
          <w:sz w:val="28"/>
          <w:szCs w:val="28"/>
          <w:lang w:val="en-ZA"/>
        </w:rPr>
        <w:t>(iii)</w:t>
      </w:r>
      <w:r>
        <w:rPr>
          <w:rFonts w:ascii="Times New Roman" w:hAnsi="Times New Roman" w:cs="Times New Roman"/>
          <w:sz w:val="28"/>
          <w:szCs w:val="28"/>
          <w:lang w:val="en-ZA"/>
        </w:rPr>
        <w:tab/>
      </w:r>
      <w:r w:rsidR="009D424F" w:rsidRPr="007C3017">
        <w:rPr>
          <w:rFonts w:ascii="Times New Roman" w:hAnsi="Times New Roman" w:cs="Times New Roman"/>
          <w:sz w:val="28"/>
          <w:szCs w:val="28"/>
          <w:lang w:val="en-ZA"/>
        </w:rPr>
        <w:t xml:space="preserve">Whether the JV was disqualified and in eligible on account of conflict of </w:t>
      </w:r>
      <w:r w:rsidRPr="007C3017">
        <w:rPr>
          <w:rFonts w:ascii="Times New Roman" w:hAnsi="Times New Roman" w:cs="Times New Roman"/>
          <w:sz w:val="28"/>
          <w:szCs w:val="28"/>
          <w:lang w:val="en-ZA"/>
        </w:rPr>
        <w:t>interest and unfair competitive advantage.</w:t>
      </w:r>
    </w:p>
    <w:p w14:paraId="0ACEDFE0" w14:textId="0BE64771" w:rsidR="00B268B5" w:rsidRDefault="00794939" w:rsidP="007C3017">
      <w:pPr>
        <w:pStyle w:val="ListParagraph"/>
        <w:numPr>
          <w:ilvl w:val="0"/>
          <w:numId w:val="1"/>
        </w:numPr>
        <w:spacing w:after="0" w:line="360" w:lineRule="auto"/>
        <w:jc w:val="both"/>
        <w:rPr>
          <w:rFonts w:ascii="Times New Roman" w:hAnsi="Times New Roman" w:cs="Times New Roman"/>
          <w:sz w:val="28"/>
          <w:szCs w:val="28"/>
          <w:lang w:val="en-ZA"/>
        </w:rPr>
      </w:pPr>
      <w:r w:rsidRPr="007C3017">
        <w:rPr>
          <w:rFonts w:ascii="Times New Roman" w:hAnsi="Times New Roman" w:cs="Times New Roman"/>
          <w:sz w:val="28"/>
          <w:szCs w:val="28"/>
          <w:lang w:val="en-ZA"/>
        </w:rPr>
        <w:t xml:space="preserve"> </w:t>
      </w:r>
      <w:r w:rsidR="00B268B5" w:rsidRPr="007C3017">
        <w:rPr>
          <w:rFonts w:ascii="Times New Roman" w:hAnsi="Times New Roman" w:cs="Times New Roman"/>
          <w:sz w:val="28"/>
          <w:szCs w:val="28"/>
          <w:lang w:val="en-ZA"/>
        </w:rPr>
        <w:t xml:space="preserve"> </w:t>
      </w:r>
      <w:r w:rsidR="007C3017">
        <w:rPr>
          <w:rFonts w:ascii="Times New Roman" w:hAnsi="Times New Roman" w:cs="Times New Roman"/>
          <w:sz w:val="28"/>
          <w:szCs w:val="28"/>
          <w:lang w:val="en-ZA"/>
        </w:rPr>
        <w:t>Whether a new matter has been raised in reply and the approach to it.</w:t>
      </w:r>
    </w:p>
    <w:p w14:paraId="1C4F64EA" w14:textId="296318AB" w:rsidR="007C3017" w:rsidRDefault="007C3017" w:rsidP="007C3017">
      <w:pPr>
        <w:pStyle w:val="ListParagraph"/>
        <w:numPr>
          <w:ilvl w:val="0"/>
          <w:numId w:val="1"/>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Costs</w:t>
      </w:r>
    </w:p>
    <w:p w14:paraId="59B62452" w14:textId="4FD000F0" w:rsidR="007C3017" w:rsidRDefault="007C3017" w:rsidP="007C3017">
      <w:pPr>
        <w:spacing w:after="0" w:line="360" w:lineRule="auto"/>
        <w:jc w:val="both"/>
        <w:rPr>
          <w:rFonts w:ascii="Times New Roman" w:hAnsi="Times New Roman" w:cs="Times New Roman"/>
          <w:sz w:val="28"/>
          <w:szCs w:val="28"/>
          <w:lang w:val="en-ZA"/>
        </w:rPr>
      </w:pPr>
    </w:p>
    <w:p w14:paraId="5D6B52D7" w14:textId="47140D99" w:rsidR="007C3017" w:rsidRDefault="007C3017" w:rsidP="007C3017">
      <w:pPr>
        <w:spacing w:after="0" w:line="36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I turn to deal with the issues </w:t>
      </w:r>
      <w:r w:rsidR="00514621">
        <w:rPr>
          <w:rFonts w:ascii="Times New Roman" w:hAnsi="Times New Roman" w:cs="Times New Roman"/>
          <w:sz w:val="28"/>
          <w:szCs w:val="28"/>
          <w:lang w:val="en-ZA"/>
        </w:rPr>
        <w:t xml:space="preserve">not </w:t>
      </w:r>
      <w:r>
        <w:rPr>
          <w:rFonts w:ascii="Times New Roman" w:hAnsi="Times New Roman" w:cs="Times New Roman"/>
          <w:sz w:val="28"/>
          <w:szCs w:val="28"/>
          <w:lang w:val="en-ZA"/>
        </w:rPr>
        <w:t>in the sequence I have outlined them.</w:t>
      </w:r>
    </w:p>
    <w:p w14:paraId="6F36D553" w14:textId="77777777" w:rsidR="007C3017" w:rsidRDefault="007C3017" w:rsidP="007C3017">
      <w:pPr>
        <w:spacing w:after="0" w:line="360" w:lineRule="auto"/>
        <w:jc w:val="both"/>
        <w:rPr>
          <w:rFonts w:ascii="Times New Roman" w:hAnsi="Times New Roman" w:cs="Times New Roman"/>
          <w:sz w:val="28"/>
          <w:szCs w:val="28"/>
          <w:lang w:val="en-ZA"/>
        </w:rPr>
      </w:pPr>
    </w:p>
    <w:p w14:paraId="5F6C1E43" w14:textId="16AB25CB" w:rsidR="007C3017" w:rsidRDefault="007C3017" w:rsidP="007C3017">
      <w:pPr>
        <w:spacing w:after="0" w:line="360" w:lineRule="auto"/>
        <w:jc w:val="both"/>
        <w:rPr>
          <w:rFonts w:ascii="Times New Roman" w:hAnsi="Times New Roman" w:cs="Times New Roman"/>
          <w:b/>
          <w:bCs/>
          <w:i/>
          <w:iCs/>
          <w:sz w:val="28"/>
          <w:szCs w:val="28"/>
          <w:lang w:val="en-ZA"/>
        </w:rPr>
      </w:pPr>
      <w:r>
        <w:rPr>
          <w:rFonts w:ascii="Times New Roman" w:hAnsi="Times New Roman" w:cs="Times New Roman"/>
          <w:sz w:val="28"/>
          <w:szCs w:val="28"/>
          <w:lang w:val="en-ZA"/>
        </w:rPr>
        <w:t>[10]</w:t>
      </w:r>
      <w:r>
        <w:rPr>
          <w:rFonts w:ascii="Times New Roman" w:hAnsi="Times New Roman" w:cs="Times New Roman"/>
          <w:sz w:val="28"/>
          <w:szCs w:val="28"/>
          <w:lang w:val="en-ZA"/>
        </w:rPr>
        <w:tab/>
      </w:r>
      <w:r w:rsidR="00514621" w:rsidRPr="00514621">
        <w:rPr>
          <w:rFonts w:ascii="Times New Roman" w:hAnsi="Times New Roman" w:cs="Times New Roman"/>
          <w:b/>
          <w:bCs/>
          <w:sz w:val="28"/>
          <w:szCs w:val="28"/>
          <w:lang w:val="en-ZA"/>
        </w:rPr>
        <w:t>Approach to p</w:t>
      </w:r>
      <w:r w:rsidRPr="00514621">
        <w:rPr>
          <w:rFonts w:ascii="Times New Roman" w:hAnsi="Times New Roman" w:cs="Times New Roman"/>
          <w:b/>
          <w:bCs/>
          <w:sz w:val="28"/>
          <w:szCs w:val="28"/>
          <w:lang w:val="en-ZA"/>
        </w:rPr>
        <w:t xml:space="preserve">oints in </w:t>
      </w:r>
      <w:proofErr w:type="spellStart"/>
      <w:r w:rsidRPr="00514621">
        <w:rPr>
          <w:rFonts w:ascii="Times New Roman" w:hAnsi="Times New Roman" w:cs="Times New Roman"/>
          <w:b/>
          <w:bCs/>
          <w:i/>
          <w:iCs/>
          <w:sz w:val="28"/>
          <w:szCs w:val="28"/>
          <w:lang w:val="en-ZA"/>
        </w:rPr>
        <w:t>limine</w:t>
      </w:r>
      <w:proofErr w:type="spellEnd"/>
      <w:r w:rsidR="00514621">
        <w:rPr>
          <w:rFonts w:ascii="Times New Roman" w:hAnsi="Times New Roman" w:cs="Times New Roman"/>
          <w:b/>
          <w:bCs/>
          <w:i/>
          <w:iCs/>
          <w:sz w:val="28"/>
          <w:szCs w:val="28"/>
          <w:lang w:val="en-ZA"/>
        </w:rPr>
        <w:t>.</w:t>
      </w:r>
    </w:p>
    <w:p w14:paraId="3ED5AD4B" w14:textId="77777777" w:rsidR="00514621" w:rsidRPr="00514621" w:rsidRDefault="00514621" w:rsidP="007C3017">
      <w:pPr>
        <w:spacing w:after="0" w:line="360" w:lineRule="auto"/>
        <w:jc w:val="both"/>
        <w:rPr>
          <w:rFonts w:ascii="Times New Roman" w:hAnsi="Times New Roman" w:cs="Times New Roman"/>
          <w:sz w:val="28"/>
          <w:szCs w:val="28"/>
          <w:lang w:val="en-ZA"/>
        </w:rPr>
      </w:pPr>
    </w:p>
    <w:p w14:paraId="51EAD52A" w14:textId="109F00BD" w:rsidR="00522360" w:rsidRDefault="007C3017" w:rsidP="007C3017">
      <w:pPr>
        <w:spacing w:after="0" w:line="36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The approach to points in </w:t>
      </w:r>
      <w:proofErr w:type="spellStart"/>
      <w:r>
        <w:rPr>
          <w:rFonts w:ascii="Times New Roman" w:hAnsi="Times New Roman" w:cs="Times New Roman"/>
          <w:i/>
          <w:iCs/>
          <w:sz w:val="28"/>
          <w:szCs w:val="28"/>
          <w:lang w:val="en-ZA"/>
        </w:rPr>
        <w:t>limine</w:t>
      </w:r>
      <w:proofErr w:type="spellEnd"/>
      <w:r>
        <w:rPr>
          <w:rFonts w:ascii="Times New Roman" w:hAnsi="Times New Roman" w:cs="Times New Roman"/>
          <w:sz w:val="28"/>
          <w:szCs w:val="28"/>
          <w:lang w:val="en-ZA"/>
        </w:rPr>
        <w:t xml:space="preserve"> is trite.  This procedure is aimed at conveniently disposing of the matter at the instance of the point raised before the merits of the application are canvassed (see </w:t>
      </w:r>
      <w:r>
        <w:rPr>
          <w:rFonts w:ascii="Times New Roman" w:hAnsi="Times New Roman" w:cs="Times New Roman"/>
          <w:b/>
          <w:bCs/>
          <w:sz w:val="28"/>
          <w:szCs w:val="28"/>
          <w:lang w:val="en-ZA"/>
        </w:rPr>
        <w:t xml:space="preserve">fn1. </w:t>
      </w:r>
      <w:proofErr w:type="spellStart"/>
      <w:r>
        <w:rPr>
          <w:rFonts w:ascii="Times New Roman" w:hAnsi="Times New Roman" w:cs="Times New Roman"/>
          <w:b/>
          <w:bCs/>
          <w:sz w:val="28"/>
          <w:szCs w:val="28"/>
          <w:lang w:val="en-ZA"/>
        </w:rPr>
        <w:t>Moiloa</w:t>
      </w:r>
      <w:proofErr w:type="spellEnd"/>
      <w:r>
        <w:rPr>
          <w:rFonts w:ascii="Times New Roman" w:hAnsi="Times New Roman" w:cs="Times New Roman"/>
          <w:b/>
          <w:bCs/>
          <w:sz w:val="28"/>
          <w:szCs w:val="28"/>
          <w:lang w:val="en-ZA"/>
        </w:rPr>
        <w:t xml:space="preserve"> v City of Tshwane Metropolitan Municipality (249/2016) [2017] ZASCA 15 (22 March 2017)</w:t>
      </w:r>
      <w:r>
        <w:rPr>
          <w:rFonts w:ascii="Times New Roman" w:hAnsi="Times New Roman" w:cs="Times New Roman"/>
          <w:sz w:val="28"/>
          <w:szCs w:val="28"/>
          <w:lang w:val="en-ZA"/>
        </w:rPr>
        <w:t xml:space="preserve">.  The task of the court before which the preliminary point is raised is to determine whether the applicant’s founding affidavit </w:t>
      </w:r>
      <w:r w:rsidR="004E39C2">
        <w:rPr>
          <w:rFonts w:ascii="Times New Roman" w:hAnsi="Times New Roman" w:cs="Times New Roman"/>
          <w:sz w:val="28"/>
          <w:szCs w:val="28"/>
          <w:lang w:val="en-ZA"/>
        </w:rPr>
        <w:t>makes</w:t>
      </w:r>
      <w:r>
        <w:rPr>
          <w:rFonts w:ascii="Times New Roman" w:hAnsi="Times New Roman" w:cs="Times New Roman"/>
          <w:sz w:val="28"/>
          <w:szCs w:val="28"/>
          <w:lang w:val="en-ZA"/>
        </w:rPr>
        <w:t xml:space="preserve"> out a </w:t>
      </w:r>
      <w:r>
        <w:rPr>
          <w:rFonts w:ascii="Times New Roman" w:hAnsi="Times New Roman" w:cs="Times New Roman"/>
          <w:i/>
          <w:iCs/>
          <w:sz w:val="28"/>
          <w:szCs w:val="28"/>
          <w:lang w:val="en-ZA"/>
        </w:rPr>
        <w:t xml:space="preserve">prima facie </w:t>
      </w:r>
      <w:r>
        <w:rPr>
          <w:rFonts w:ascii="Times New Roman" w:hAnsi="Times New Roman" w:cs="Times New Roman"/>
          <w:sz w:val="28"/>
          <w:szCs w:val="28"/>
          <w:lang w:val="en-ZA"/>
        </w:rPr>
        <w:t xml:space="preserve">case for the reliefs sought.  In order to determine the validity of the point in </w:t>
      </w:r>
      <w:proofErr w:type="spellStart"/>
      <w:r>
        <w:rPr>
          <w:rFonts w:ascii="Times New Roman" w:hAnsi="Times New Roman" w:cs="Times New Roman"/>
          <w:i/>
          <w:iCs/>
          <w:sz w:val="28"/>
          <w:szCs w:val="28"/>
          <w:lang w:val="en-ZA"/>
        </w:rPr>
        <w:t>limine</w:t>
      </w:r>
      <w:proofErr w:type="spellEnd"/>
      <w:r>
        <w:rPr>
          <w:rFonts w:ascii="Times New Roman" w:hAnsi="Times New Roman" w:cs="Times New Roman"/>
          <w:i/>
          <w:iCs/>
          <w:sz w:val="28"/>
          <w:szCs w:val="28"/>
          <w:lang w:val="en-ZA"/>
        </w:rPr>
        <w:t xml:space="preserve"> </w:t>
      </w:r>
      <w:r>
        <w:rPr>
          <w:rFonts w:ascii="Times New Roman" w:hAnsi="Times New Roman" w:cs="Times New Roman"/>
          <w:sz w:val="28"/>
          <w:szCs w:val="28"/>
          <w:lang w:val="en-ZA"/>
        </w:rPr>
        <w:t xml:space="preserve">raised, only </w:t>
      </w:r>
      <w:r w:rsidR="00522360">
        <w:rPr>
          <w:rFonts w:ascii="Times New Roman" w:hAnsi="Times New Roman" w:cs="Times New Roman"/>
          <w:sz w:val="28"/>
          <w:szCs w:val="28"/>
          <w:lang w:val="en-ZA"/>
        </w:rPr>
        <w:t xml:space="preserve">the founding affidavits </w:t>
      </w:r>
      <w:r w:rsidR="004E39C2">
        <w:rPr>
          <w:rFonts w:ascii="Times New Roman" w:hAnsi="Times New Roman" w:cs="Times New Roman"/>
          <w:sz w:val="28"/>
          <w:szCs w:val="28"/>
          <w:lang w:val="en-ZA"/>
        </w:rPr>
        <w:t>fall</w:t>
      </w:r>
      <w:r w:rsidR="00522360">
        <w:rPr>
          <w:rFonts w:ascii="Times New Roman" w:hAnsi="Times New Roman" w:cs="Times New Roman"/>
          <w:sz w:val="28"/>
          <w:szCs w:val="28"/>
          <w:lang w:val="en-ZA"/>
        </w:rPr>
        <w:t xml:space="preserve"> to be looked at and the factual averments contained therein must be taken as true (</w:t>
      </w:r>
      <w:bookmarkStart w:id="0" w:name="_Hlk105156566"/>
      <w:proofErr w:type="spellStart"/>
      <w:r w:rsidR="00522360">
        <w:rPr>
          <w:rFonts w:ascii="Times New Roman" w:hAnsi="Times New Roman" w:cs="Times New Roman"/>
          <w:b/>
          <w:bCs/>
          <w:sz w:val="28"/>
          <w:szCs w:val="28"/>
          <w:lang w:val="en-ZA"/>
        </w:rPr>
        <w:t>Makoala</w:t>
      </w:r>
      <w:proofErr w:type="spellEnd"/>
      <w:r w:rsidR="00522360">
        <w:rPr>
          <w:rFonts w:ascii="Times New Roman" w:hAnsi="Times New Roman" w:cs="Times New Roman"/>
          <w:b/>
          <w:bCs/>
          <w:sz w:val="28"/>
          <w:szCs w:val="28"/>
          <w:lang w:val="en-ZA"/>
        </w:rPr>
        <w:t xml:space="preserve"> v </w:t>
      </w:r>
      <w:proofErr w:type="spellStart"/>
      <w:r w:rsidR="00522360">
        <w:rPr>
          <w:rFonts w:ascii="Times New Roman" w:hAnsi="Times New Roman" w:cs="Times New Roman"/>
          <w:b/>
          <w:bCs/>
          <w:sz w:val="28"/>
          <w:szCs w:val="28"/>
          <w:lang w:val="en-ZA"/>
        </w:rPr>
        <w:t>Makoala</w:t>
      </w:r>
      <w:proofErr w:type="spellEnd"/>
      <w:r w:rsidR="00522360">
        <w:rPr>
          <w:rFonts w:ascii="Times New Roman" w:hAnsi="Times New Roman" w:cs="Times New Roman"/>
          <w:b/>
          <w:bCs/>
          <w:sz w:val="28"/>
          <w:szCs w:val="28"/>
          <w:lang w:val="en-ZA"/>
        </w:rPr>
        <w:t xml:space="preserve"> LAC (2009 – 2010) 40 at 42G – H</w:t>
      </w:r>
      <w:bookmarkEnd w:id="0"/>
      <w:r w:rsidR="00522360">
        <w:rPr>
          <w:rFonts w:ascii="Times New Roman" w:hAnsi="Times New Roman" w:cs="Times New Roman"/>
          <w:b/>
          <w:bCs/>
          <w:sz w:val="28"/>
          <w:szCs w:val="28"/>
          <w:lang w:val="en-ZA"/>
        </w:rPr>
        <w:t>).</w:t>
      </w:r>
      <w:r w:rsidR="00522360">
        <w:rPr>
          <w:rFonts w:ascii="Times New Roman" w:hAnsi="Times New Roman" w:cs="Times New Roman"/>
          <w:sz w:val="28"/>
          <w:szCs w:val="28"/>
          <w:lang w:val="en-ZA"/>
        </w:rPr>
        <w:t xml:space="preserve">  In </w:t>
      </w:r>
      <w:proofErr w:type="spellStart"/>
      <w:r w:rsidR="00522360">
        <w:rPr>
          <w:rFonts w:ascii="Times New Roman" w:hAnsi="Times New Roman" w:cs="Times New Roman"/>
          <w:b/>
          <w:bCs/>
          <w:sz w:val="28"/>
          <w:szCs w:val="28"/>
          <w:lang w:val="en-ZA"/>
        </w:rPr>
        <w:t>Makoala</w:t>
      </w:r>
      <w:proofErr w:type="spellEnd"/>
      <w:r w:rsidR="00522360">
        <w:rPr>
          <w:rFonts w:ascii="Times New Roman" w:hAnsi="Times New Roman" w:cs="Times New Roman"/>
          <w:b/>
          <w:bCs/>
          <w:sz w:val="28"/>
          <w:szCs w:val="28"/>
          <w:lang w:val="en-ZA"/>
        </w:rPr>
        <w:t xml:space="preserve"> (ibid) </w:t>
      </w:r>
      <w:r w:rsidR="00522360">
        <w:rPr>
          <w:rFonts w:ascii="Times New Roman" w:hAnsi="Times New Roman" w:cs="Times New Roman"/>
          <w:sz w:val="28"/>
          <w:szCs w:val="28"/>
          <w:lang w:val="en-ZA"/>
        </w:rPr>
        <w:t xml:space="preserve">the court decried the practice by counsel, of turning the defences to the merits of application into points in </w:t>
      </w:r>
      <w:proofErr w:type="spellStart"/>
      <w:r w:rsidR="00522360">
        <w:rPr>
          <w:rFonts w:ascii="Times New Roman" w:hAnsi="Times New Roman" w:cs="Times New Roman"/>
          <w:i/>
          <w:iCs/>
          <w:sz w:val="28"/>
          <w:szCs w:val="28"/>
          <w:lang w:val="en-ZA"/>
        </w:rPr>
        <w:t>limine</w:t>
      </w:r>
      <w:proofErr w:type="spellEnd"/>
      <w:r w:rsidR="00522360">
        <w:rPr>
          <w:rFonts w:ascii="Times New Roman" w:hAnsi="Times New Roman" w:cs="Times New Roman"/>
          <w:i/>
          <w:iCs/>
          <w:sz w:val="28"/>
          <w:szCs w:val="28"/>
          <w:lang w:val="en-ZA"/>
        </w:rPr>
        <w:t>.</w:t>
      </w:r>
      <w:r w:rsidR="00522360">
        <w:rPr>
          <w:rFonts w:ascii="Times New Roman" w:hAnsi="Times New Roman" w:cs="Times New Roman"/>
          <w:sz w:val="28"/>
          <w:szCs w:val="28"/>
          <w:lang w:val="en-ZA"/>
        </w:rPr>
        <w:t xml:space="preserve">  Alive to these principles I turn to consider the points in </w:t>
      </w:r>
      <w:proofErr w:type="spellStart"/>
      <w:r w:rsidR="00522360">
        <w:rPr>
          <w:rFonts w:ascii="Times New Roman" w:hAnsi="Times New Roman" w:cs="Times New Roman"/>
          <w:i/>
          <w:iCs/>
          <w:sz w:val="28"/>
          <w:szCs w:val="28"/>
          <w:lang w:val="en-ZA"/>
        </w:rPr>
        <w:t>limine</w:t>
      </w:r>
      <w:proofErr w:type="spellEnd"/>
      <w:r w:rsidR="00522360">
        <w:rPr>
          <w:rFonts w:ascii="Times New Roman" w:hAnsi="Times New Roman" w:cs="Times New Roman"/>
          <w:i/>
          <w:iCs/>
          <w:sz w:val="28"/>
          <w:szCs w:val="28"/>
          <w:lang w:val="en-ZA"/>
        </w:rPr>
        <w:t xml:space="preserve"> </w:t>
      </w:r>
      <w:r w:rsidR="00522360">
        <w:rPr>
          <w:rFonts w:ascii="Times New Roman" w:hAnsi="Times New Roman" w:cs="Times New Roman"/>
          <w:sz w:val="28"/>
          <w:szCs w:val="28"/>
          <w:lang w:val="en-ZA"/>
        </w:rPr>
        <w:t>raised.</w:t>
      </w:r>
    </w:p>
    <w:p w14:paraId="65C04C42" w14:textId="77777777" w:rsidR="00522360" w:rsidRDefault="00522360" w:rsidP="00522360">
      <w:pPr>
        <w:spacing w:after="0" w:line="360" w:lineRule="auto"/>
        <w:jc w:val="both"/>
        <w:rPr>
          <w:rFonts w:ascii="Times New Roman" w:hAnsi="Times New Roman" w:cs="Times New Roman"/>
          <w:sz w:val="28"/>
          <w:szCs w:val="28"/>
          <w:lang w:val="en-ZA"/>
        </w:rPr>
      </w:pPr>
    </w:p>
    <w:p w14:paraId="094DE2F1" w14:textId="79A0B416" w:rsidR="004F0D70" w:rsidRDefault="00522360" w:rsidP="003773C5">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[11]</w:t>
      </w:r>
      <w:r>
        <w:rPr>
          <w:rFonts w:ascii="Times New Roman" w:hAnsi="Times New Roman" w:cs="Times New Roman"/>
          <w:sz w:val="28"/>
          <w:szCs w:val="28"/>
          <w:lang w:val="en-ZA"/>
        </w:rPr>
        <w:tab/>
        <w:t xml:space="preserve">The argument </w:t>
      </w:r>
      <w:r w:rsidR="00135C35">
        <w:rPr>
          <w:rFonts w:ascii="Times New Roman" w:hAnsi="Times New Roman" w:cs="Times New Roman"/>
          <w:sz w:val="28"/>
          <w:szCs w:val="28"/>
          <w:lang w:val="en-ZA"/>
        </w:rPr>
        <w:t xml:space="preserve">by the </w:t>
      </w:r>
      <w:r w:rsidR="00502162">
        <w:rPr>
          <w:rFonts w:ascii="Times New Roman" w:hAnsi="Times New Roman" w:cs="Times New Roman"/>
          <w:sz w:val="28"/>
          <w:szCs w:val="28"/>
          <w:lang w:val="en-ZA"/>
        </w:rPr>
        <w:t>1</w:t>
      </w:r>
      <w:r w:rsidR="00502162" w:rsidRPr="00502162">
        <w:rPr>
          <w:rFonts w:ascii="Times New Roman" w:hAnsi="Times New Roman" w:cs="Times New Roman"/>
          <w:sz w:val="28"/>
          <w:szCs w:val="28"/>
          <w:vertAlign w:val="superscript"/>
          <w:lang w:val="en-ZA"/>
        </w:rPr>
        <w:t>st</w:t>
      </w:r>
      <w:r w:rsidR="00502162">
        <w:rPr>
          <w:rFonts w:ascii="Times New Roman" w:hAnsi="Times New Roman" w:cs="Times New Roman"/>
          <w:sz w:val="28"/>
          <w:szCs w:val="28"/>
          <w:lang w:val="en-ZA"/>
        </w:rPr>
        <w:t xml:space="preserve"> </w:t>
      </w:r>
      <w:r w:rsidR="00135C35">
        <w:rPr>
          <w:rFonts w:ascii="Times New Roman" w:hAnsi="Times New Roman" w:cs="Times New Roman"/>
          <w:sz w:val="28"/>
          <w:szCs w:val="28"/>
          <w:lang w:val="en-ZA"/>
        </w:rPr>
        <w:t xml:space="preserve">respondent </w:t>
      </w:r>
      <w:r>
        <w:rPr>
          <w:rFonts w:ascii="Times New Roman" w:hAnsi="Times New Roman" w:cs="Times New Roman"/>
          <w:sz w:val="28"/>
          <w:szCs w:val="28"/>
          <w:lang w:val="en-ZA"/>
        </w:rPr>
        <w:t>that a declarator is untenable</w:t>
      </w:r>
      <w:r w:rsidR="00135C35">
        <w:rPr>
          <w:rFonts w:ascii="Times New Roman" w:hAnsi="Times New Roman" w:cs="Times New Roman"/>
          <w:sz w:val="28"/>
          <w:szCs w:val="28"/>
          <w:lang w:val="en-ZA"/>
        </w:rPr>
        <w:t>,</w:t>
      </w:r>
      <w:r>
        <w:rPr>
          <w:rFonts w:ascii="Times New Roman" w:hAnsi="Times New Roman" w:cs="Times New Roman"/>
          <w:sz w:val="28"/>
          <w:szCs w:val="28"/>
          <w:lang w:val="en-ZA"/>
        </w:rPr>
        <w:t xml:space="preserve"> </w:t>
      </w:r>
      <w:r w:rsidR="003773C5">
        <w:rPr>
          <w:rFonts w:ascii="Times New Roman" w:hAnsi="Times New Roman" w:cs="Times New Roman"/>
          <w:sz w:val="28"/>
          <w:szCs w:val="28"/>
          <w:lang w:val="en-ZA"/>
        </w:rPr>
        <w:t xml:space="preserve">has two facets to it; the first one being that the applicant has not shown any of its rights </w:t>
      </w:r>
      <w:r w:rsidR="003773C5">
        <w:rPr>
          <w:rFonts w:ascii="Times New Roman" w:hAnsi="Times New Roman" w:cs="Times New Roman"/>
          <w:sz w:val="28"/>
          <w:szCs w:val="28"/>
          <w:lang w:val="en-ZA"/>
        </w:rPr>
        <w:lastRenderedPageBreak/>
        <w:t>which it seeks to be declared in view of the fact that the World Bank Regulations on which its case is based do not create any rights</w:t>
      </w:r>
      <w:r w:rsidR="00135C35">
        <w:rPr>
          <w:rFonts w:ascii="Times New Roman" w:hAnsi="Times New Roman" w:cs="Times New Roman"/>
          <w:sz w:val="28"/>
          <w:szCs w:val="28"/>
          <w:lang w:val="en-ZA"/>
        </w:rPr>
        <w:t xml:space="preserve"> as </w:t>
      </w:r>
      <w:r w:rsidR="003773C5">
        <w:rPr>
          <w:rFonts w:ascii="Times New Roman" w:hAnsi="Times New Roman" w:cs="Times New Roman"/>
          <w:sz w:val="28"/>
          <w:szCs w:val="28"/>
          <w:lang w:val="en-ZA"/>
        </w:rPr>
        <w:t xml:space="preserve">Regulation 2.1 of </w:t>
      </w:r>
      <w:r w:rsidR="00135C35">
        <w:rPr>
          <w:rFonts w:ascii="Times New Roman" w:hAnsi="Times New Roman" w:cs="Times New Roman"/>
          <w:sz w:val="28"/>
          <w:szCs w:val="28"/>
          <w:lang w:val="en-ZA"/>
        </w:rPr>
        <w:t>the same Regulations stipulates</w:t>
      </w:r>
      <w:r w:rsidR="003773C5">
        <w:rPr>
          <w:rFonts w:ascii="Times New Roman" w:hAnsi="Times New Roman" w:cs="Times New Roman"/>
          <w:sz w:val="28"/>
          <w:szCs w:val="28"/>
          <w:lang w:val="en-ZA"/>
        </w:rPr>
        <w:t>, and secondly</w:t>
      </w:r>
      <w:r w:rsidR="00135C35">
        <w:rPr>
          <w:rFonts w:ascii="Times New Roman" w:hAnsi="Times New Roman" w:cs="Times New Roman"/>
          <w:sz w:val="28"/>
          <w:szCs w:val="28"/>
          <w:lang w:val="en-ZA"/>
        </w:rPr>
        <w:t>,</w:t>
      </w:r>
      <w:r w:rsidR="003773C5">
        <w:rPr>
          <w:rFonts w:ascii="Times New Roman" w:hAnsi="Times New Roman" w:cs="Times New Roman"/>
          <w:sz w:val="28"/>
          <w:szCs w:val="28"/>
          <w:lang w:val="en-ZA"/>
        </w:rPr>
        <w:t xml:space="preserve"> the declarator being a discretionary remedy, the delay </w:t>
      </w:r>
      <w:r w:rsidR="00135C35">
        <w:rPr>
          <w:rFonts w:ascii="Times New Roman" w:hAnsi="Times New Roman" w:cs="Times New Roman"/>
          <w:sz w:val="28"/>
          <w:szCs w:val="28"/>
          <w:lang w:val="en-ZA"/>
        </w:rPr>
        <w:t xml:space="preserve">by </w:t>
      </w:r>
      <w:r w:rsidR="003773C5">
        <w:rPr>
          <w:rFonts w:ascii="Times New Roman" w:hAnsi="Times New Roman" w:cs="Times New Roman"/>
          <w:sz w:val="28"/>
          <w:szCs w:val="28"/>
          <w:lang w:val="en-ZA"/>
        </w:rPr>
        <w:t xml:space="preserve">the applicant in bringing this application merits the dismissal by the court of this application.  I do not think that the delay </w:t>
      </w:r>
      <w:r w:rsidR="00133589">
        <w:rPr>
          <w:rFonts w:ascii="Times New Roman" w:hAnsi="Times New Roman" w:cs="Times New Roman"/>
          <w:sz w:val="28"/>
          <w:szCs w:val="28"/>
          <w:lang w:val="en-ZA"/>
        </w:rPr>
        <w:t xml:space="preserve">aspect of the declarator should be dealt with as a point in </w:t>
      </w:r>
      <w:proofErr w:type="spellStart"/>
      <w:r w:rsidR="00133589">
        <w:rPr>
          <w:rFonts w:ascii="Times New Roman" w:hAnsi="Times New Roman" w:cs="Times New Roman"/>
          <w:i/>
          <w:iCs/>
          <w:sz w:val="28"/>
          <w:szCs w:val="28"/>
          <w:lang w:val="en-ZA"/>
        </w:rPr>
        <w:t>limine</w:t>
      </w:r>
      <w:proofErr w:type="spellEnd"/>
      <w:r w:rsidR="00133589">
        <w:rPr>
          <w:rFonts w:ascii="Times New Roman" w:hAnsi="Times New Roman" w:cs="Times New Roman"/>
          <w:sz w:val="28"/>
          <w:szCs w:val="28"/>
          <w:lang w:val="en-ZA"/>
        </w:rPr>
        <w:t xml:space="preserve"> as the determination of its validity will not be dependent on consideration of the applicant’s founding affidavits but on consideration of the </w:t>
      </w:r>
      <w:r w:rsidR="00502162">
        <w:rPr>
          <w:rFonts w:ascii="Times New Roman" w:hAnsi="Times New Roman" w:cs="Times New Roman"/>
          <w:sz w:val="28"/>
          <w:szCs w:val="28"/>
          <w:lang w:val="en-ZA"/>
        </w:rPr>
        <w:t>1</w:t>
      </w:r>
      <w:r w:rsidR="00502162" w:rsidRPr="00502162">
        <w:rPr>
          <w:rFonts w:ascii="Times New Roman" w:hAnsi="Times New Roman" w:cs="Times New Roman"/>
          <w:sz w:val="28"/>
          <w:szCs w:val="28"/>
          <w:vertAlign w:val="superscript"/>
          <w:lang w:val="en-ZA"/>
        </w:rPr>
        <w:t>st</w:t>
      </w:r>
      <w:r w:rsidR="00502162">
        <w:rPr>
          <w:rFonts w:ascii="Times New Roman" w:hAnsi="Times New Roman" w:cs="Times New Roman"/>
          <w:sz w:val="28"/>
          <w:szCs w:val="28"/>
          <w:lang w:val="en-ZA"/>
        </w:rPr>
        <w:t xml:space="preserve"> </w:t>
      </w:r>
      <w:r w:rsidR="00133589">
        <w:rPr>
          <w:rFonts w:ascii="Times New Roman" w:hAnsi="Times New Roman" w:cs="Times New Roman"/>
          <w:sz w:val="28"/>
          <w:szCs w:val="28"/>
          <w:lang w:val="en-ZA"/>
        </w:rPr>
        <w:t xml:space="preserve">respondent’s averments as well.  This conclusion holds true for the points in </w:t>
      </w:r>
      <w:proofErr w:type="spellStart"/>
      <w:r w:rsidR="00133589">
        <w:rPr>
          <w:rFonts w:ascii="Times New Roman" w:hAnsi="Times New Roman" w:cs="Times New Roman"/>
          <w:i/>
          <w:iCs/>
          <w:sz w:val="28"/>
          <w:szCs w:val="28"/>
          <w:lang w:val="en-ZA"/>
        </w:rPr>
        <w:t>limine</w:t>
      </w:r>
      <w:proofErr w:type="spellEnd"/>
      <w:r w:rsidR="00133589">
        <w:rPr>
          <w:rFonts w:ascii="Times New Roman" w:hAnsi="Times New Roman" w:cs="Times New Roman"/>
          <w:sz w:val="28"/>
          <w:szCs w:val="28"/>
          <w:lang w:val="en-ZA"/>
        </w:rPr>
        <w:t xml:space="preserve"> that the application is vexatious and an abuse of court process, dispute of facts, estoppel</w:t>
      </w:r>
      <w:r w:rsidR="00BB0DFE">
        <w:rPr>
          <w:rFonts w:ascii="Times New Roman" w:hAnsi="Times New Roman" w:cs="Times New Roman"/>
          <w:sz w:val="28"/>
          <w:szCs w:val="28"/>
          <w:lang w:val="en-ZA"/>
        </w:rPr>
        <w:t>,</w:t>
      </w:r>
      <w:r w:rsidR="00133589">
        <w:rPr>
          <w:rFonts w:ascii="Times New Roman" w:hAnsi="Times New Roman" w:cs="Times New Roman"/>
          <w:sz w:val="28"/>
          <w:szCs w:val="28"/>
          <w:lang w:val="en-ZA"/>
        </w:rPr>
        <w:t xml:space="preserve"> and waiver.  In fact</w:t>
      </w:r>
      <w:r w:rsidR="00BB0DFE">
        <w:rPr>
          <w:rFonts w:ascii="Times New Roman" w:hAnsi="Times New Roman" w:cs="Times New Roman"/>
          <w:sz w:val="28"/>
          <w:szCs w:val="28"/>
          <w:lang w:val="en-ZA"/>
        </w:rPr>
        <w:t>,</w:t>
      </w:r>
      <w:r w:rsidR="00133589">
        <w:rPr>
          <w:rFonts w:ascii="Times New Roman" w:hAnsi="Times New Roman" w:cs="Times New Roman"/>
          <w:sz w:val="28"/>
          <w:szCs w:val="28"/>
          <w:lang w:val="en-ZA"/>
        </w:rPr>
        <w:t xml:space="preserve"> as regards foreseeable dispute of fact</w:t>
      </w:r>
      <w:r w:rsidR="00013FC3">
        <w:rPr>
          <w:rFonts w:ascii="Times New Roman" w:hAnsi="Times New Roman" w:cs="Times New Roman"/>
          <w:sz w:val="28"/>
          <w:szCs w:val="28"/>
          <w:lang w:val="en-ZA"/>
        </w:rPr>
        <w:t>,</w:t>
      </w:r>
      <w:r w:rsidR="00133589">
        <w:rPr>
          <w:rFonts w:ascii="Times New Roman" w:hAnsi="Times New Roman" w:cs="Times New Roman"/>
          <w:sz w:val="28"/>
          <w:szCs w:val="28"/>
          <w:lang w:val="en-ZA"/>
        </w:rPr>
        <w:t xml:space="preserve"> the court in </w:t>
      </w:r>
      <w:proofErr w:type="spellStart"/>
      <w:r w:rsidR="00133589">
        <w:rPr>
          <w:rFonts w:ascii="Times New Roman" w:hAnsi="Times New Roman" w:cs="Times New Roman"/>
          <w:b/>
          <w:bCs/>
          <w:sz w:val="28"/>
          <w:szCs w:val="28"/>
          <w:lang w:val="en-ZA"/>
        </w:rPr>
        <w:t>Makoala</w:t>
      </w:r>
      <w:proofErr w:type="spellEnd"/>
      <w:r w:rsidR="00133589">
        <w:rPr>
          <w:rFonts w:ascii="Times New Roman" w:hAnsi="Times New Roman" w:cs="Times New Roman"/>
          <w:b/>
          <w:bCs/>
          <w:sz w:val="28"/>
          <w:szCs w:val="28"/>
          <w:lang w:val="en-ZA"/>
        </w:rPr>
        <w:t xml:space="preserve"> v </w:t>
      </w:r>
      <w:proofErr w:type="spellStart"/>
      <w:r w:rsidR="00133589">
        <w:rPr>
          <w:rFonts w:ascii="Times New Roman" w:hAnsi="Times New Roman" w:cs="Times New Roman"/>
          <w:b/>
          <w:bCs/>
          <w:sz w:val="28"/>
          <w:szCs w:val="28"/>
          <w:lang w:val="en-ZA"/>
        </w:rPr>
        <w:t>Makoala</w:t>
      </w:r>
      <w:proofErr w:type="spellEnd"/>
      <w:r w:rsidR="00133589">
        <w:rPr>
          <w:rFonts w:ascii="Times New Roman" w:hAnsi="Times New Roman" w:cs="Times New Roman"/>
          <w:b/>
          <w:bCs/>
          <w:sz w:val="28"/>
          <w:szCs w:val="28"/>
          <w:lang w:val="en-ZA"/>
        </w:rPr>
        <w:t xml:space="preserve"> (</w:t>
      </w:r>
      <w:r w:rsidR="002951F2">
        <w:rPr>
          <w:rFonts w:ascii="Times New Roman" w:hAnsi="Times New Roman" w:cs="Times New Roman"/>
          <w:b/>
          <w:bCs/>
          <w:sz w:val="28"/>
          <w:szCs w:val="28"/>
          <w:lang w:val="en-ZA"/>
        </w:rPr>
        <w:t>above</w:t>
      </w:r>
      <w:r w:rsidR="00133589">
        <w:rPr>
          <w:rFonts w:ascii="Times New Roman" w:hAnsi="Times New Roman" w:cs="Times New Roman"/>
          <w:b/>
          <w:bCs/>
          <w:sz w:val="28"/>
          <w:szCs w:val="28"/>
          <w:lang w:val="en-ZA"/>
        </w:rPr>
        <w:t>) at 45C</w:t>
      </w:r>
      <w:r w:rsidR="00133589">
        <w:rPr>
          <w:rFonts w:ascii="Times New Roman" w:hAnsi="Times New Roman" w:cs="Times New Roman"/>
          <w:sz w:val="28"/>
          <w:szCs w:val="28"/>
          <w:lang w:val="en-ZA"/>
        </w:rPr>
        <w:t xml:space="preserve">, made it plain that this is </w:t>
      </w:r>
      <w:r w:rsidR="00133589" w:rsidRPr="002951F2">
        <w:rPr>
          <w:rFonts w:ascii="Times New Roman" w:hAnsi="Times New Roman" w:cs="Times New Roman"/>
          <w:i/>
          <w:iCs/>
          <w:sz w:val="28"/>
          <w:szCs w:val="28"/>
          <w:lang w:val="en-ZA"/>
        </w:rPr>
        <w:t xml:space="preserve">“not a proper point [] in </w:t>
      </w:r>
      <w:proofErr w:type="spellStart"/>
      <w:r w:rsidR="00133589" w:rsidRPr="002951F2">
        <w:rPr>
          <w:rFonts w:ascii="Times New Roman" w:hAnsi="Times New Roman" w:cs="Times New Roman"/>
          <w:i/>
          <w:iCs/>
          <w:sz w:val="28"/>
          <w:szCs w:val="28"/>
          <w:lang w:val="en-ZA"/>
        </w:rPr>
        <w:t>limine</w:t>
      </w:r>
      <w:proofErr w:type="spellEnd"/>
      <w:r w:rsidR="00133589" w:rsidRPr="002951F2">
        <w:rPr>
          <w:rFonts w:ascii="Times New Roman" w:hAnsi="Times New Roman" w:cs="Times New Roman"/>
          <w:i/>
          <w:iCs/>
          <w:sz w:val="28"/>
          <w:szCs w:val="28"/>
          <w:u w:val="single"/>
          <w:lang w:val="en-ZA"/>
        </w:rPr>
        <w:t xml:space="preserve"> </w:t>
      </w:r>
      <w:r w:rsidR="00133589" w:rsidRPr="002951F2">
        <w:rPr>
          <w:rFonts w:ascii="Times New Roman" w:hAnsi="Times New Roman" w:cs="Times New Roman"/>
          <w:i/>
          <w:iCs/>
          <w:sz w:val="28"/>
          <w:szCs w:val="28"/>
          <w:lang w:val="en-ZA"/>
        </w:rPr>
        <w:t>at all, should not have been raised as such by the respondent</w:t>
      </w:r>
      <w:r w:rsidR="009755EF" w:rsidRPr="002951F2">
        <w:rPr>
          <w:rFonts w:ascii="Times New Roman" w:hAnsi="Times New Roman" w:cs="Times New Roman"/>
          <w:i/>
          <w:iCs/>
          <w:sz w:val="28"/>
          <w:szCs w:val="28"/>
          <w:lang w:val="en-ZA"/>
        </w:rPr>
        <w:t>…”</w:t>
      </w:r>
      <w:r w:rsidR="009755EF">
        <w:rPr>
          <w:rFonts w:ascii="Times New Roman" w:hAnsi="Times New Roman" w:cs="Times New Roman"/>
          <w:sz w:val="28"/>
          <w:szCs w:val="28"/>
          <w:lang w:val="en-ZA"/>
        </w:rPr>
        <w:t xml:space="preserve">  I turn now to consider the</w:t>
      </w:r>
      <w:r w:rsidR="00F07A10">
        <w:rPr>
          <w:rFonts w:ascii="Times New Roman" w:hAnsi="Times New Roman" w:cs="Times New Roman"/>
          <w:sz w:val="28"/>
          <w:szCs w:val="28"/>
          <w:lang w:val="en-ZA"/>
        </w:rPr>
        <w:t xml:space="preserve"> </w:t>
      </w:r>
      <w:r w:rsidR="00E61C93">
        <w:rPr>
          <w:rFonts w:ascii="Times New Roman" w:hAnsi="Times New Roman" w:cs="Times New Roman"/>
          <w:sz w:val="28"/>
          <w:szCs w:val="28"/>
          <w:lang w:val="en-ZA"/>
        </w:rPr>
        <w:t>other preliminary</w:t>
      </w:r>
      <w:r w:rsidR="009755EF">
        <w:rPr>
          <w:rFonts w:ascii="Times New Roman" w:hAnsi="Times New Roman" w:cs="Times New Roman"/>
          <w:sz w:val="28"/>
          <w:szCs w:val="28"/>
          <w:lang w:val="en-ZA"/>
        </w:rPr>
        <w:t xml:space="preserve"> points which were</w:t>
      </w:r>
      <w:r w:rsidR="00F07A10">
        <w:rPr>
          <w:rFonts w:ascii="Times New Roman" w:hAnsi="Times New Roman" w:cs="Times New Roman"/>
          <w:sz w:val="28"/>
          <w:szCs w:val="28"/>
          <w:lang w:val="en-ZA"/>
        </w:rPr>
        <w:t xml:space="preserve"> </w:t>
      </w:r>
      <w:r w:rsidR="009755EF">
        <w:rPr>
          <w:rFonts w:ascii="Times New Roman" w:hAnsi="Times New Roman" w:cs="Times New Roman"/>
          <w:sz w:val="28"/>
          <w:szCs w:val="28"/>
          <w:lang w:val="en-ZA"/>
        </w:rPr>
        <w:t>raised</w:t>
      </w:r>
      <w:r w:rsidR="00E61C93">
        <w:rPr>
          <w:rFonts w:ascii="Times New Roman" w:hAnsi="Times New Roman" w:cs="Times New Roman"/>
          <w:sz w:val="28"/>
          <w:szCs w:val="28"/>
          <w:lang w:val="en-ZA"/>
        </w:rPr>
        <w:t>,</w:t>
      </w:r>
      <w:r w:rsidR="009755EF">
        <w:rPr>
          <w:rFonts w:ascii="Times New Roman" w:hAnsi="Times New Roman" w:cs="Times New Roman"/>
          <w:sz w:val="28"/>
          <w:szCs w:val="28"/>
          <w:lang w:val="en-ZA"/>
        </w:rPr>
        <w:t xml:space="preserve"> </w:t>
      </w:r>
      <w:r w:rsidR="00F07A10">
        <w:rPr>
          <w:rFonts w:ascii="Times New Roman" w:hAnsi="Times New Roman" w:cs="Times New Roman"/>
          <w:sz w:val="28"/>
          <w:szCs w:val="28"/>
          <w:lang w:val="en-ZA"/>
        </w:rPr>
        <w:t>namely</w:t>
      </w:r>
      <w:r w:rsidR="009755EF">
        <w:rPr>
          <w:rFonts w:ascii="Times New Roman" w:hAnsi="Times New Roman" w:cs="Times New Roman"/>
          <w:i/>
          <w:iCs/>
          <w:sz w:val="28"/>
          <w:szCs w:val="28"/>
          <w:lang w:val="en-ZA"/>
        </w:rPr>
        <w:t>,</w:t>
      </w:r>
      <w:r w:rsidR="004F0D70">
        <w:rPr>
          <w:rFonts w:ascii="Times New Roman" w:hAnsi="Times New Roman" w:cs="Times New Roman"/>
          <w:sz w:val="28"/>
          <w:szCs w:val="28"/>
          <w:lang w:val="en-ZA"/>
        </w:rPr>
        <w:t xml:space="preserve"> rights-based aspect of the declarator</w:t>
      </w:r>
      <w:r w:rsidR="00F07A10">
        <w:rPr>
          <w:rFonts w:ascii="Times New Roman" w:hAnsi="Times New Roman" w:cs="Times New Roman"/>
          <w:sz w:val="28"/>
          <w:szCs w:val="28"/>
          <w:lang w:val="en-ZA"/>
        </w:rPr>
        <w:t>,</w:t>
      </w:r>
      <w:r w:rsidR="004F0D70">
        <w:rPr>
          <w:rFonts w:ascii="Times New Roman" w:hAnsi="Times New Roman" w:cs="Times New Roman"/>
          <w:sz w:val="28"/>
          <w:szCs w:val="28"/>
          <w:lang w:val="en-ZA"/>
        </w:rPr>
        <w:t xml:space="preserve"> </w:t>
      </w:r>
      <w:r w:rsidR="004F0D70">
        <w:rPr>
          <w:rFonts w:ascii="Times New Roman" w:hAnsi="Times New Roman" w:cs="Times New Roman"/>
          <w:i/>
          <w:iCs/>
          <w:sz w:val="28"/>
          <w:szCs w:val="28"/>
          <w:lang w:val="en-ZA"/>
        </w:rPr>
        <w:t xml:space="preserve">locus standi in </w:t>
      </w:r>
      <w:proofErr w:type="spellStart"/>
      <w:r w:rsidR="004F0D70">
        <w:rPr>
          <w:rFonts w:ascii="Times New Roman" w:hAnsi="Times New Roman" w:cs="Times New Roman"/>
          <w:i/>
          <w:iCs/>
          <w:sz w:val="28"/>
          <w:szCs w:val="28"/>
          <w:lang w:val="en-ZA"/>
        </w:rPr>
        <w:t>judicio</w:t>
      </w:r>
      <w:proofErr w:type="spellEnd"/>
      <w:r w:rsidR="004F0D70">
        <w:rPr>
          <w:rFonts w:ascii="Times New Roman" w:hAnsi="Times New Roman" w:cs="Times New Roman"/>
          <w:sz w:val="28"/>
          <w:szCs w:val="28"/>
          <w:lang w:val="en-ZA"/>
        </w:rPr>
        <w:t xml:space="preserve"> of the applicant</w:t>
      </w:r>
      <w:r w:rsidR="0010293E">
        <w:rPr>
          <w:rFonts w:ascii="Times New Roman" w:hAnsi="Times New Roman" w:cs="Times New Roman"/>
          <w:sz w:val="28"/>
          <w:szCs w:val="28"/>
          <w:lang w:val="en-ZA"/>
        </w:rPr>
        <w:t>,</w:t>
      </w:r>
      <w:r w:rsidR="004F0D70">
        <w:rPr>
          <w:rFonts w:ascii="Times New Roman" w:hAnsi="Times New Roman" w:cs="Times New Roman"/>
          <w:sz w:val="28"/>
          <w:szCs w:val="28"/>
          <w:lang w:val="en-ZA"/>
        </w:rPr>
        <w:t xml:space="preserve"> and delayed jurisdiction of this court (exhaustion of local remedies).</w:t>
      </w:r>
    </w:p>
    <w:p w14:paraId="2779D596" w14:textId="77777777" w:rsidR="004F0D70" w:rsidRDefault="004F0D70" w:rsidP="003773C5">
      <w:pPr>
        <w:spacing w:after="0" w:line="360" w:lineRule="auto"/>
        <w:ind w:left="720" w:hanging="720"/>
        <w:jc w:val="both"/>
        <w:rPr>
          <w:rFonts w:ascii="Times New Roman" w:hAnsi="Times New Roman" w:cs="Times New Roman"/>
          <w:sz w:val="28"/>
          <w:szCs w:val="28"/>
          <w:lang w:val="en-ZA"/>
        </w:rPr>
      </w:pPr>
    </w:p>
    <w:p w14:paraId="4AA94DFD" w14:textId="486B9410" w:rsidR="00111FBC" w:rsidRDefault="00CC069D" w:rsidP="003773C5">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[12]</w:t>
      </w:r>
      <w:r>
        <w:rPr>
          <w:rFonts w:ascii="Times New Roman" w:hAnsi="Times New Roman" w:cs="Times New Roman"/>
          <w:sz w:val="28"/>
          <w:szCs w:val="28"/>
          <w:lang w:val="en-ZA"/>
        </w:rPr>
        <w:tab/>
      </w:r>
      <w:r w:rsidRPr="00CC069D">
        <w:rPr>
          <w:rFonts w:ascii="Times New Roman" w:hAnsi="Times New Roman" w:cs="Times New Roman"/>
          <w:b/>
          <w:bCs/>
          <w:sz w:val="28"/>
          <w:szCs w:val="28"/>
          <w:lang w:val="en-ZA"/>
        </w:rPr>
        <w:t xml:space="preserve">Declarator  </w:t>
      </w:r>
    </w:p>
    <w:p w14:paraId="3624176B" w14:textId="5A069C5C" w:rsidR="004E7C6E" w:rsidRPr="00111FBC" w:rsidRDefault="000D4FC6" w:rsidP="003773C5">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ab/>
        <w:t>As regards a declarator, section 2 of the High Court Amendment Act of 1984 provides that:</w:t>
      </w:r>
    </w:p>
    <w:p w14:paraId="0D051069" w14:textId="16533C1A" w:rsidR="000D4FC6" w:rsidRDefault="000D4FC6" w:rsidP="003773C5">
      <w:pPr>
        <w:spacing w:after="0" w:line="360" w:lineRule="auto"/>
        <w:ind w:left="720" w:hanging="720"/>
        <w:jc w:val="both"/>
        <w:rPr>
          <w:rFonts w:ascii="Times New Roman" w:hAnsi="Times New Roman" w:cs="Times New Roman"/>
          <w:sz w:val="28"/>
          <w:szCs w:val="28"/>
          <w:lang w:val="en-ZA"/>
        </w:rPr>
      </w:pPr>
    </w:p>
    <w:p w14:paraId="12356E84" w14:textId="2212EB19" w:rsidR="000D4FC6" w:rsidRDefault="000D4FC6" w:rsidP="000D4FC6">
      <w:pPr>
        <w:spacing w:after="0" w:line="360" w:lineRule="auto"/>
        <w:ind w:left="1008"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“The High Court … shall have, in its discretion, and at the instance of any interested person, power to inquire into and determine any existing, future</w:t>
      </w:r>
      <w:r w:rsidR="0010293E">
        <w:rPr>
          <w:rFonts w:ascii="Times New Roman" w:hAnsi="Times New Roman" w:cs="Times New Roman"/>
          <w:i/>
          <w:iCs/>
          <w:sz w:val="24"/>
          <w:szCs w:val="24"/>
          <w:lang w:val="en-ZA"/>
        </w:rPr>
        <w:t>,</w:t>
      </w:r>
      <w:r>
        <w:rPr>
          <w:rFonts w:ascii="Times New Roman" w:hAnsi="Times New Roman" w:cs="Times New Roman"/>
          <w:i/>
          <w:iCs/>
          <w:sz w:val="24"/>
          <w:szCs w:val="24"/>
          <w:lang w:val="en-ZA"/>
        </w:rPr>
        <w:t xml:space="preserve"> or contingent right or obligation notwithstanding that such a person cannot claim any relief consequential upon the determination.”</w:t>
      </w:r>
    </w:p>
    <w:p w14:paraId="32704BF2" w14:textId="77777777" w:rsidR="00623C02" w:rsidRDefault="00623C02" w:rsidP="000D4FC6">
      <w:pPr>
        <w:spacing w:after="0" w:line="360" w:lineRule="auto"/>
        <w:ind w:left="1008" w:right="1008"/>
        <w:jc w:val="both"/>
        <w:rPr>
          <w:rFonts w:ascii="Times New Roman" w:hAnsi="Times New Roman" w:cs="Times New Roman"/>
          <w:i/>
          <w:iCs/>
          <w:sz w:val="24"/>
          <w:szCs w:val="24"/>
          <w:lang w:val="en-ZA"/>
        </w:rPr>
      </w:pPr>
    </w:p>
    <w:p w14:paraId="0464DE77" w14:textId="23757481" w:rsidR="000D4FC6" w:rsidRDefault="000D4FC6" w:rsidP="001672E9">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lastRenderedPageBreak/>
        <w:t>[1</w:t>
      </w:r>
      <w:r w:rsidR="00C2778C">
        <w:rPr>
          <w:rFonts w:ascii="Times New Roman" w:hAnsi="Times New Roman" w:cs="Times New Roman"/>
          <w:sz w:val="28"/>
          <w:szCs w:val="28"/>
          <w:lang w:val="en-ZA"/>
        </w:rPr>
        <w:t>3</w:t>
      </w:r>
      <w:r>
        <w:rPr>
          <w:rFonts w:ascii="Times New Roman" w:hAnsi="Times New Roman" w:cs="Times New Roman"/>
          <w:sz w:val="28"/>
          <w:szCs w:val="28"/>
          <w:lang w:val="en-ZA"/>
        </w:rPr>
        <w:t>]</w:t>
      </w:r>
      <w:r>
        <w:rPr>
          <w:rFonts w:ascii="Times New Roman" w:hAnsi="Times New Roman" w:cs="Times New Roman"/>
          <w:sz w:val="28"/>
          <w:szCs w:val="28"/>
          <w:lang w:val="en-ZA"/>
        </w:rPr>
        <w:tab/>
        <w:t xml:space="preserve">It is trite that the applicant who seeks a declarator must show, in terms of the above section, that she/he is interested in “an existing, future or contingent right or obligation” without more.  The correct approach to this section was articulated by the Supreme Court of South Africa when dealing with a similarly – worded section 19(1) (a)(iii) of the Supreme Court Act 29 pf 1959, in the following manner in </w:t>
      </w:r>
      <w:r>
        <w:rPr>
          <w:rFonts w:ascii="Times New Roman" w:hAnsi="Times New Roman" w:cs="Times New Roman"/>
          <w:b/>
          <w:bCs/>
          <w:sz w:val="28"/>
          <w:szCs w:val="28"/>
          <w:lang w:val="en-ZA"/>
        </w:rPr>
        <w:t xml:space="preserve">Cordiant Trading CC v Daimler Chrysler Financial Services (Pty) Ltd (237/2004) [2005] ZASCA 50 (30 May 2005): [2006] 1 ALL SA 103 at para. 16 </w:t>
      </w:r>
      <w:r w:rsidRPr="000D4FC6">
        <w:rPr>
          <w:rFonts w:ascii="Times New Roman" w:hAnsi="Times New Roman" w:cs="Times New Roman"/>
          <w:sz w:val="28"/>
          <w:szCs w:val="28"/>
          <w:lang w:val="en-ZA"/>
        </w:rPr>
        <w:t>as follows</w:t>
      </w:r>
      <w:r>
        <w:rPr>
          <w:rFonts w:ascii="Times New Roman" w:hAnsi="Times New Roman" w:cs="Times New Roman"/>
          <w:sz w:val="28"/>
          <w:szCs w:val="28"/>
          <w:lang w:val="en-ZA"/>
        </w:rPr>
        <w:t>:</w:t>
      </w:r>
    </w:p>
    <w:p w14:paraId="40FDAD7F" w14:textId="5EF5B7AD" w:rsidR="001672E9" w:rsidRDefault="001672E9" w:rsidP="001672E9">
      <w:pPr>
        <w:spacing w:after="0" w:line="360" w:lineRule="auto"/>
        <w:ind w:left="720" w:hanging="720"/>
        <w:jc w:val="both"/>
        <w:rPr>
          <w:rFonts w:ascii="Times New Roman" w:hAnsi="Times New Roman" w:cs="Times New Roman"/>
          <w:sz w:val="28"/>
          <w:szCs w:val="28"/>
          <w:lang w:val="en-ZA"/>
        </w:rPr>
      </w:pPr>
    </w:p>
    <w:p w14:paraId="440A6A96" w14:textId="4AD1D095" w:rsidR="00D45162" w:rsidRDefault="00D11E98" w:rsidP="00D11E98">
      <w:pPr>
        <w:spacing w:after="0" w:line="360" w:lineRule="auto"/>
        <w:ind w:left="1008"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“[16] Although the existence of a dispute between the parties is not a prerequisite for the exercise of the power conferred upon the High Court by the subsection, at least there must be interested parties on whom the declaratory order would be binding.  The applicant in a case such as the present must satisfy the court that he/she is a person interested in an existing, future</w:t>
      </w:r>
      <w:r w:rsidR="0010293E">
        <w:rPr>
          <w:rFonts w:ascii="Times New Roman" w:hAnsi="Times New Roman" w:cs="Times New Roman"/>
          <w:i/>
          <w:iCs/>
          <w:sz w:val="24"/>
          <w:szCs w:val="24"/>
          <w:lang w:val="en-ZA"/>
        </w:rPr>
        <w:t>,</w:t>
      </w:r>
      <w:r>
        <w:rPr>
          <w:rFonts w:ascii="Times New Roman" w:hAnsi="Times New Roman" w:cs="Times New Roman"/>
          <w:i/>
          <w:iCs/>
          <w:sz w:val="24"/>
          <w:szCs w:val="24"/>
          <w:lang w:val="en-ZA"/>
        </w:rPr>
        <w:t xml:space="preserve"> or contingent right or obligation and nothing more is required…”</w:t>
      </w:r>
    </w:p>
    <w:p w14:paraId="661BA077" w14:textId="77777777" w:rsidR="00D45162" w:rsidRDefault="00D45162" w:rsidP="00D45162">
      <w:pPr>
        <w:spacing w:after="0" w:line="360" w:lineRule="auto"/>
        <w:ind w:right="1008"/>
        <w:jc w:val="both"/>
        <w:rPr>
          <w:rFonts w:ascii="Times New Roman" w:hAnsi="Times New Roman" w:cs="Times New Roman"/>
          <w:i/>
          <w:iCs/>
          <w:sz w:val="24"/>
          <w:szCs w:val="24"/>
          <w:lang w:val="en-ZA"/>
        </w:rPr>
      </w:pPr>
    </w:p>
    <w:p w14:paraId="1394602F" w14:textId="7DD4C830" w:rsidR="001672E9" w:rsidRDefault="00D45162" w:rsidP="00D45162">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w:t>
      </w:r>
      <w:r w:rsidR="00C2778C">
        <w:rPr>
          <w:rFonts w:ascii="Times New Roman" w:hAnsi="Times New Roman" w:cs="Times New Roman"/>
          <w:sz w:val="28"/>
          <w:szCs w:val="28"/>
          <w:lang w:val="en-ZA"/>
        </w:rPr>
        <w:t>4</w:t>
      </w:r>
      <w:r>
        <w:rPr>
          <w:rFonts w:ascii="Times New Roman" w:hAnsi="Times New Roman" w:cs="Times New Roman"/>
          <w:sz w:val="28"/>
          <w:szCs w:val="28"/>
          <w:lang w:val="en-ZA"/>
        </w:rPr>
        <w:t>]</w:t>
      </w:r>
      <w:r>
        <w:rPr>
          <w:rFonts w:ascii="Times New Roman" w:hAnsi="Times New Roman" w:cs="Times New Roman"/>
          <w:sz w:val="28"/>
          <w:szCs w:val="28"/>
          <w:lang w:val="en-ZA"/>
        </w:rPr>
        <w:tab/>
        <w:t xml:space="preserve">It is the </w:t>
      </w:r>
      <w:r w:rsidR="00502162">
        <w:rPr>
          <w:rFonts w:ascii="Times New Roman" w:hAnsi="Times New Roman" w:cs="Times New Roman"/>
          <w:sz w:val="28"/>
          <w:szCs w:val="28"/>
          <w:lang w:val="en-ZA"/>
        </w:rPr>
        <w:t>1</w:t>
      </w:r>
      <w:r w:rsidR="00502162" w:rsidRPr="00502162">
        <w:rPr>
          <w:rFonts w:ascii="Times New Roman" w:hAnsi="Times New Roman" w:cs="Times New Roman"/>
          <w:sz w:val="28"/>
          <w:szCs w:val="28"/>
          <w:vertAlign w:val="superscript"/>
          <w:lang w:val="en-ZA"/>
        </w:rPr>
        <w:t>st</w:t>
      </w:r>
      <w:r w:rsidR="00502162">
        <w:rPr>
          <w:rFonts w:ascii="Times New Roman" w:hAnsi="Times New Roman" w:cs="Times New Roman"/>
          <w:sz w:val="28"/>
          <w:szCs w:val="28"/>
          <w:lang w:val="en-ZA"/>
        </w:rPr>
        <w:t xml:space="preserve"> </w:t>
      </w:r>
      <w:r>
        <w:rPr>
          <w:rFonts w:ascii="Times New Roman" w:hAnsi="Times New Roman" w:cs="Times New Roman"/>
          <w:sz w:val="28"/>
          <w:szCs w:val="28"/>
          <w:lang w:val="en-ZA"/>
        </w:rPr>
        <w:t xml:space="preserve">respondent’s contention that the declarator has been sought on </w:t>
      </w:r>
      <w:r w:rsidR="0010293E">
        <w:rPr>
          <w:rFonts w:ascii="Times New Roman" w:hAnsi="Times New Roman" w:cs="Times New Roman"/>
          <w:sz w:val="28"/>
          <w:szCs w:val="28"/>
          <w:lang w:val="en-ZA"/>
        </w:rPr>
        <w:t xml:space="preserve">an </w:t>
      </w:r>
      <w:r>
        <w:rPr>
          <w:rFonts w:ascii="Times New Roman" w:hAnsi="Times New Roman" w:cs="Times New Roman"/>
          <w:sz w:val="28"/>
          <w:szCs w:val="28"/>
          <w:lang w:val="en-ZA"/>
        </w:rPr>
        <w:t>“erroneous and incorrect factual basis,”</w:t>
      </w:r>
      <w:r w:rsidR="00D11E98">
        <w:rPr>
          <w:rFonts w:ascii="Times New Roman" w:hAnsi="Times New Roman" w:cs="Times New Roman"/>
          <w:i/>
          <w:iCs/>
          <w:sz w:val="24"/>
          <w:szCs w:val="24"/>
          <w:lang w:val="en-ZA"/>
        </w:rPr>
        <w:t xml:space="preserve"> </w:t>
      </w:r>
      <w:r>
        <w:rPr>
          <w:rFonts w:ascii="Times New Roman" w:hAnsi="Times New Roman" w:cs="Times New Roman"/>
          <w:sz w:val="28"/>
          <w:szCs w:val="28"/>
          <w:lang w:val="en-ZA"/>
        </w:rPr>
        <w:t xml:space="preserve">its argument goes further to say that because a declarator is sought on the basis of the World Bank Regulations it is erroneous because the same Regulations provide that the rights and obligations </w:t>
      </w:r>
      <w:r w:rsidR="00EC4B53">
        <w:rPr>
          <w:rFonts w:ascii="Times New Roman" w:hAnsi="Times New Roman" w:cs="Times New Roman"/>
          <w:sz w:val="28"/>
          <w:szCs w:val="28"/>
          <w:lang w:val="en-ZA"/>
        </w:rPr>
        <w:t>of the Borrower and providers of goods are governed by requests for bids and contracts signed and not by the Regulations.  There is merit in this argument.  Regulation 2.1 of the World Bank Procurement Regulations provides that:</w:t>
      </w:r>
    </w:p>
    <w:p w14:paraId="2D161869" w14:textId="43B336FB" w:rsidR="00153972" w:rsidRDefault="00153972" w:rsidP="00D45162">
      <w:pPr>
        <w:spacing w:after="0" w:line="360" w:lineRule="auto"/>
        <w:ind w:left="720" w:hanging="720"/>
        <w:jc w:val="both"/>
        <w:rPr>
          <w:rFonts w:ascii="Times New Roman" w:hAnsi="Times New Roman" w:cs="Times New Roman"/>
          <w:sz w:val="28"/>
          <w:szCs w:val="28"/>
          <w:lang w:val="en-ZA"/>
        </w:rPr>
      </w:pPr>
    </w:p>
    <w:p w14:paraId="4D5115EC" w14:textId="1057D4F8" w:rsidR="00153972" w:rsidRDefault="00EC2315" w:rsidP="00EC2315">
      <w:pPr>
        <w:spacing w:after="0" w:line="360" w:lineRule="auto"/>
        <w:ind w:left="1008"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“The Legal Agreement governs the legal relationship between the Borrower [Government of Lesotho] and the Bank.  The Procurement Regulations are applicable to the procurement of </w:t>
      </w:r>
      <w:r w:rsidR="00AD3A8E">
        <w:rPr>
          <w:rFonts w:ascii="Times New Roman" w:hAnsi="Times New Roman" w:cs="Times New Roman"/>
          <w:i/>
          <w:iCs/>
          <w:sz w:val="24"/>
          <w:szCs w:val="24"/>
          <w:lang w:val="en-ZA"/>
        </w:rPr>
        <w:t>goods</w:t>
      </w:r>
      <w:r>
        <w:rPr>
          <w:rFonts w:ascii="Times New Roman" w:hAnsi="Times New Roman" w:cs="Times New Roman"/>
          <w:i/>
          <w:iCs/>
          <w:sz w:val="24"/>
          <w:szCs w:val="24"/>
          <w:lang w:val="en-ZA"/>
        </w:rPr>
        <w:t>, works, non-consulting services</w:t>
      </w:r>
      <w:r w:rsidR="00AD3A8E">
        <w:rPr>
          <w:rFonts w:ascii="Times New Roman" w:hAnsi="Times New Roman" w:cs="Times New Roman"/>
          <w:i/>
          <w:iCs/>
          <w:sz w:val="24"/>
          <w:szCs w:val="24"/>
          <w:lang w:val="en-ZA"/>
        </w:rPr>
        <w:t>,</w:t>
      </w:r>
      <w:r>
        <w:rPr>
          <w:rFonts w:ascii="Times New Roman" w:hAnsi="Times New Roman" w:cs="Times New Roman"/>
          <w:i/>
          <w:iCs/>
          <w:sz w:val="24"/>
          <w:szCs w:val="24"/>
          <w:lang w:val="en-ZA"/>
        </w:rPr>
        <w:t xml:space="preserve"> and </w:t>
      </w:r>
      <w:r>
        <w:rPr>
          <w:rFonts w:ascii="Times New Roman" w:hAnsi="Times New Roman" w:cs="Times New Roman"/>
          <w:i/>
          <w:iCs/>
          <w:sz w:val="24"/>
          <w:szCs w:val="24"/>
          <w:lang w:val="en-ZA"/>
        </w:rPr>
        <w:lastRenderedPageBreak/>
        <w:t xml:space="preserve">consulting services in IPF operations, as provided </w:t>
      </w:r>
      <w:r w:rsidR="007629E6">
        <w:rPr>
          <w:rFonts w:ascii="Times New Roman" w:hAnsi="Times New Roman" w:cs="Times New Roman"/>
          <w:i/>
          <w:iCs/>
          <w:sz w:val="24"/>
          <w:szCs w:val="24"/>
          <w:lang w:val="en-ZA"/>
        </w:rPr>
        <w:t>for in the Legal Agreement.  The rights and obligations of the Borrower and the providers of Goods, Works, non-Consulting Services</w:t>
      </w:r>
      <w:r w:rsidR="00AD3A8E">
        <w:rPr>
          <w:rFonts w:ascii="Times New Roman" w:hAnsi="Times New Roman" w:cs="Times New Roman"/>
          <w:i/>
          <w:iCs/>
          <w:sz w:val="24"/>
          <w:szCs w:val="24"/>
          <w:lang w:val="en-ZA"/>
        </w:rPr>
        <w:t>,</w:t>
      </w:r>
      <w:r w:rsidR="007629E6">
        <w:rPr>
          <w:rFonts w:ascii="Times New Roman" w:hAnsi="Times New Roman" w:cs="Times New Roman"/>
          <w:i/>
          <w:iCs/>
          <w:sz w:val="24"/>
          <w:szCs w:val="24"/>
          <w:lang w:val="en-ZA"/>
        </w:rPr>
        <w:t xml:space="preserve"> and Consulting Services for IPF operations are governed by the relevant request for bids/request for proposals document and by the contracts signed by the Borrower and the providers of Goods, Works, non-</w:t>
      </w:r>
      <w:r w:rsidR="00F24B6C">
        <w:rPr>
          <w:rFonts w:ascii="Times New Roman" w:hAnsi="Times New Roman" w:cs="Times New Roman"/>
          <w:i/>
          <w:iCs/>
          <w:sz w:val="24"/>
          <w:szCs w:val="24"/>
          <w:lang w:val="en-ZA"/>
        </w:rPr>
        <w:t>Consulting Services, and not by these Procurement Regulations or the Legal Procurement.  No party other than the parties to the Legal Agreement shall derive any rights from, or have any claim to, financing proceeds.”</w:t>
      </w:r>
    </w:p>
    <w:p w14:paraId="24A6B161" w14:textId="29EF9960" w:rsidR="00F24B6C" w:rsidRDefault="00F24B6C" w:rsidP="00F24B6C">
      <w:pPr>
        <w:spacing w:after="0" w:line="360" w:lineRule="auto"/>
        <w:ind w:right="1008"/>
        <w:jc w:val="both"/>
        <w:rPr>
          <w:rFonts w:ascii="Times New Roman" w:hAnsi="Times New Roman" w:cs="Times New Roman"/>
          <w:i/>
          <w:iCs/>
          <w:sz w:val="24"/>
          <w:szCs w:val="24"/>
          <w:lang w:val="en-ZA"/>
        </w:rPr>
      </w:pPr>
    </w:p>
    <w:p w14:paraId="13983757" w14:textId="78A6C8EA" w:rsidR="00111FBC" w:rsidRDefault="00662BAE" w:rsidP="00662BAE">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[1</w:t>
      </w:r>
      <w:r w:rsidR="00C2778C">
        <w:rPr>
          <w:rFonts w:ascii="Times New Roman" w:hAnsi="Times New Roman" w:cs="Times New Roman"/>
          <w:sz w:val="28"/>
          <w:szCs w:val="28"/>
          <w:lang w:val="en-ZA"/>
        </w:rPr>
        <w:t>5</w:t>
      </w:r>
      <w:r>
        <w:rPr>
          <w:rFonts w:ascii="Times New Roman" w:hAnsi="Times New Roman" w:cs="Times New Roman"/>
          <w:sz w:val="28"/>
          <w:szCs w:val="28"/>
          <w:lang w:val="en-ZA"/>
        </w:rPr>
        <w:t>]</w:t>
      </w:r>
      <w:r>
        <w:rPr>
          <w:rFonts w:ascii="Times New Roman" w:hAnsi="Times New Roman" w:cs="Times New Roman"/>
          <w:sz w:val="28"/>
          <w:szCs w:val="28"/>
          <w:lang w:val="en-ZA"/>
        </w:rPr>
        <w:tab/>
        <w:t xml:space="preserve">It is my considered view that the applicant had failed to satisfy this court that it is interested in ‘existing, future or contingent right or obligation’ as the </w:t>
      </w:r>
      <w:r w:rsidR="00502162">
        <w:rPr>
          <w:rFonts w:ascii="Times New Roman" w:hAnsi="Times New Roman" w:cs="Times New Roman"/>
          <w:sz w:val="28"/>
          <w:szCs w:val="28"/>
          <w:lang w:val="en-ZA"/>
        </w:rPr>
        <w:t>1</w:t>
      </w:r>
      <w:r w:rsidR="00502162" w:rsidRPr="00502162">
        <w:rPr>
          <w:rFonts w:ascii="Times New Roman" w:hAnsi="Times New Roman" w:cs="Times New Roman"/>
          <w:sz w:val="28"/>
          <w:szCs w:val="28"/>
          <w:vertAlign w:val="superscript"/>
          <w:lang w:val="en-ZA"/>
        </w:rPr>
        <w:t>st</w:t>
      </w:r>
      <w:r w:rsidR="00502162">
        <w:rPr>
          <w:rFonts w:ascii="Times New Roman" w:hAnsi="Times New Roman" w:cs="Times New Roman"/>
          <w:sz w:val="28"/>
          <w:szCs w:val="28"/>
          <w:lang w:val="en-ZA"/>
        </w:rPr>
        <w:t xml:space="preserve"> </w:t>
      </w:r>
      <w:r>
        <w:rPr>
          <w:rFonts w:ascii="Times New Roman" w:hAnsi="Times New Roman" w:cs="Times New Roman"/>
          <w:sz w:val="28"/>
          <w:szCs w:val="28"/>
          <w:lang w:val="en-ZA"/>
        </w:rPr>
        <w:t>respondent</w:t>
      </w:r>
      <w:r w:rsidR="00502162">
        <w:rPr>
          <w:rFonts w:ascii="Times New Roman" w:hAnsi="Times New Roman" w:cs="Times New Roman"/>
          <w:sz w:val="28"/>
          <w:szCs w:val="28"/>
          <w:lang w:val="en-ZA"/>
        </w:rPr>
        <w:t>’s counsel</w:t>
      </w:r>
      <w:r>
        <w:rPr>
          <w:rFonts w:ascii="Times New Roman" w:hAnsi="Times New Roman" w:cs="Times New Roman"/>
          <w:sz w:val="28"/>
          <w:szCs w:val="28"/>
          <w:lang w:val="en-ZA"/>
        </w:rPr>
        <w:t xml:space="preserve"> correctly submitted, the Regulations on which the applicant relies for </w:t>
      </w:r>
      <w:r w:rsidR="00962557">
        <w:rPr>
          <w:rFonts w:ascii="Times New Roman" w:hAnsi="Times New Roman" w:cs="Times New Roman"/>
          <w:sz w:val="28"/>
          <w:szCs w:val="28"/>
          <w:lang w:val="en-ZA"/>
        </w:rPr>
        <w:t>a declarator state</w:t>
      </w:r>
      <w:r>
        <w:rPr>
          <w:rFonts w:ascii="Times New Roman" w:hAnsi="Times New Roman" w:cs="Times New Roman"/>
          <w:sz w:val="28"/>
          <w:szCs w:val="28"/>
          <w:lang w:val="en-ZA"/>
        </w:rPr>
        <w:t xml:space="preserve"> in no uncertain terms that the rights or obligations which the providers of goods or services may claim shall only stem from the relevant request for bids and contracts </w:t>
      </w:r>
      <w:r w:rsidR="00223742">
        <w:rPr>
          <w:rFonts w:ascii="Times New Roman" w:hAnsi="Times New Roman" w:cs="Times New Roman"/>
          <w:sz w:val="28"/>
          <w:szCs w:val="28"/>
          <w:lang w:val="en-ZA"/>
        </w:rPr>
        <w:t xml:space="preserve">signed </w:t>
      </w:r>
      <w:r>
        <w:rPr>
          <w:rFonts w:ascii="Times New Roman" w:hAnsi="Times New Roman" w:cs="Times New Roman"/>
          <w:sz w:val="28"/>
          <w:szCs w:val="28"/>
          <w:lang w:val="en-ZA"/>
        </w:rPr>
        <w:t xml:space="preserve">between providers and the Government of Lesotho, and not from the Regulations or the Legal Agreement between the Government </w:t>
      </w:r>
      <w:r w:rsidR="000722FB">
        <w:rPr>
          <w:rFonts w:ascii="Times New Roman" w:hAnsi="Times New Roman" w:cs="Times New Roman"/>
          <w:sz w:val="28"/>
          <w:szCs w:val="28"/>
          <w:lang w:val="en-ZA"/>
        </w:rPr>
        <w:t>of Lesotho and the Bank.  In its pleadings</w:t>
      </w:r>
      <w:r w:rsidR="00962557">
        <w:rPr>
          <w:rFonts w:ascii="Times New Roman" w:hAnsi="Times New Roman" w:cs="Times New Roman"/>
          <w:sz w:val="28"/>
          <w:szCs w:val="28"/>
          <w:lang w:val="en-ZA"/>
        </w:rPr>
        <w:t>,</w:t>
      </w:r>
      <w:r w:rsidR="000722FB">
        <w:rPr>
          <w:rFonts w:ascii="Times New Roman" w:hAnsi="Times New Roman" w:cs="Times New Roman"/>
          <w:sz w:val="28"/>
          <w:szCs w:val="28"/>
          <w:lang w:val="en-ZA"/>
        </w:rPr>
        <w:t xml:space="preserve"> the applicant </w:t>
      </w:r>
      <w:r w:rsidR="00223742">
        <w:rPr>
          <w:rFonts w:ascii="Times New Roman" w:hAnsi="Times New Roman" w:cs="Times New Roman"/>
          <w:sz w:val="28"/>
          <w:szCs w:val="28"/>
          <w:lang w:val="en-ZA"/>
        </w:rPr>
        <w:t>refers</w:t>
      </w:r>
      <w:r w:rsidR="000722FB">
        <w:rPr>
          <w:rFonts w:ascii="Times New Roman" w:hAnsi="Times New Roman" w:cs="Times New Roman"/>
          <w:sz w:val="28"/>
          <w:szCs w:val="28"/>
          <w:lang w:val="en-ZA"/>
        </w:rPr>
        <w:t xml:space="preserve"> to the World Bank Regulations and Request for Bids </w:t>
      </w:r>
      <w:proofErr w:type="gramStart"/>
      <w:r w:rsidR="000722FB">
        <w:rPr>
          <w:rFonts w:ascii="Times New Roman" w:hAnsi="Times New Roman" w:cs="Times New Roman"/>
          <w:sz w:val="28"/>
          <w:szCs w:val="28"/>
          <w:lang w:val="en-ZA"/>
        </w:rPr>
        <w:t>in particular to</w:t>
      </w:r>
      <w:proofErr w:type="gramEnd"/>
      <w:r w:rsidR="000722FB">
        <w:rPr>
          <w:rFonts w:ascii="Times New Roman" w:hAnsi="Times New Roman" w:cs="Times New Roman"/>
          <w:sz w:val="28"/>
          <w:szCs w:val="28"/>
          <w:lang w:val="en-ZA"/>
        </w:rPr>
        <w:t xml:space="preserve"> a section titled ‘Instruction to Bidders</w:t>
      </w:r>
      <w:r w:rsidR="00D30A18">
        <w:rPr>
          <w:rFonts w:ascii="Times New Roman" w:hAnsi="Times New Roman" w:cs="Times New Roman"/>
          <w:sz w:val="28"/>
          <w:szCs w:val="28"/>
          <w:lang w:val="en-ZA"/>
        </w:rPr>
        <w:t xml:space="preserve">’ (ITB) quite loosely.  However, it will be observed that the reliefs it is seeking are based on the breaches of the </w:t>
      </w:r>
      <w:r w:rsidR="00EF3187">
        <w:rPr>
          <w:rFonts w:ascii="Times New Roman" w:hAnsi="Times New Roman" w:cs="Times New Roman"/>
          <w:sz w:val="28"/>
          <w:szCs w:val="28"/>
          <w:lang w:val="en-ZA"/>
        </w:rPr>
        <w:t xml:space="preserve">World Bank </w:t>
      </w:r>
      <w:r w:rsidR="00D30A18">
        <w:rPr>
          <w:rFonts w:ascii="Times New Roman" w:hAnsi="Times New Roman" w:cs="Times New Roman"/>
          <w:sz w:val="28"/>
          <w:szCs w:val="28"/>
          <w:lang w:val="en-ZA"/>
        </w:rPr>
        <w:t xml:space="preserve">Regulations and not ITB.  These are the reliefs </w:t>
      </w:r>
      <w:r w:rsidR="00962557">
        <w:rPr>
          <w:rFonts w:ascii="Times New Roman" w:hAnsi="Times New Roman" w:cs="Times New Roman"/>
          <w:sz w:val="28"/>
          <w:szCs w:val="28"/>
          <w:lang w:val="en-ZA"/>
        </w:rPr>
        <w:t>that</w:t>
      </w:r>
      <w:r w:rsidR="00D30A18">
        <w:rPr>
          <w:rFonts w:ascii="Times New Roman" w:hAnsi="Times New Roman" w:cs="Times New Roman"/>
          <w:sz w:val="28"/>
          <w:szCs w:val="28"/>
          <w:lang w:val="en-ZA"/>
        </w:rPr>
        <w:t xml:space="preserve"> are being sought </w:t>
      </w:r>
      <w:r w:rsidR="005D332A">
        <w:rPr>
          <w:rFonts w:ascii="Times New Roman" w:hAnsi="Times New Roman" w:cs="Times New Roman"/>
          <w:sz w:val="28"/>
          <w:szCs w:val="28"/>
          <w:lang w:val="en-ZA"/>
        </w:rPr>
        <w:t xml:space="preserve">specifically.  I do not think I am at liberty to substitute </w:t>
      </w:r>
      <w:r w:rsidR="00C86FEE">
        <w:rPr>
          <w:rFonts w:ascii="Times New Roman" w:hAnsi="Times New Roman" w:cs="Times New Roman"/>
          <w:sz w:val="28"/>
          <w:szCs w:val="28"/>
          <w:lang w:val="en-ZA"/>
        </w:rPr>
        <w:t xml:space="preserve">the </w:t>
      </w:r>
      <w:r w:rsidR="005D332A">
        <w:rPr>
          <w:rFonts w:ascii="Times New Roman" w:hAnsi="Times New Roman" w:cs="Times New Roman"/>
          <w:sz w:val="28"/>
          <w:szCs w:val="28"/>
          <w:lang w:val="en-ZA"/>
        </w:rPr>
        <w:t>reference to Regulations with ITB</w:t>
      </w:r>
      <w:r w:rsidR="00C61D0A">
        <w:rPr>
          <w:rFonts w:ascii="Times New Roman" w:hAnsi="Times New Roman" w:cs="Times New Roman"/>
          <w:sz w:val="28"/>
          <w:szCs w:val="28"/>
          <w:lang w:val="en-ZA"/>
        </w:rPr>
        <w:t>,</w:t>
      </w:r>
      <w:r w:rsidR="005D332A">
        <w:rPr>
          <w:rFonts w:ascii="Times New Roman" w:hAnsi="Times New Roman" w:cs="Times New Roman"/>
          <w:sz w:val="28"/>
          <w:szCs w:val="28"/>
          <w:lang w:val="en-ZA"/>
        </w:rPr>
        <w:t xml:space="preserve"> as breaches of the ITB </w:t>
      </w:r>
      <w:r w:rsidR="00C86FEE">
        <w:rPr>
          <w:rFonts w:ascii="Times New Roman" w:hAnsi="Times New Roman" w:cs="Times New Roman"/>
          <w:sz w:val="28"/>
          <w:szCs w:val="28"/>
          <w:lang w:val="en-ZA"/>
        </w:rPr>
        <w:t>are</w:t>
      </w:r>
      <w:r w:rsidR="005D332A">
        <w:rPr>
          <w:rFonts w:ascii="Times New Roman" w:hAnsi="Times New Roman" w:cs="Times New Roman"/>
          <w:sz w:val="28"/>
          <w:szCs w:val="28"/>
          <w:lang w:val="en-ZA"/>
        </w:rPr>
        <w:t xml:space="preserve"> not the basis of the reliefs the applicant is seeking.  </w:t>
      </w:r>
      <w:r w:rsidR="00223742">
        <w:rPr>
          <w:rFonts w:ascii="Times New Roman" w:hAnsi="Times New Roman" w:cs="Times New Roman"/>
          <w:sz w:val="28"/>
          <w:szCs w:val="28"/>
          <w:lang w:val="en-ZA"/>
        </w:rPr>
        <w:t xml:space="preserve">If I were I to do that, it </w:t>
      </w:r>
      <w:r w:rsidR="005D332A">
        <w:rPr>
          <w:rFonts w:ascii="Times New Roman" w:hAnsi="Times New Roman" w:cs="Times New Roman"/>
          <w:sz w:val="28"/>
          <w:szCs w:val="28"/>
          <w:lang w:val="en-ZA"/>
        </w:rPr>
        <w:t xml:space="preserve">will offend a salutary principle of our law that a litigant cannot be granted </w:t>
      </w:r>
      <w:r w:rsidR="00223742">
        <w:rPr>
          <w:rFonts w:ascii="Times New Roman" w:hAnsi="Times New Roman" w:cs="Times New Roman"/>
          <w:sz w:val="28"/>
          <w:szCs w:val="28"/>
          <w:lang w:val="en-ZA"/>
        </w:rPr>
        <w:t xml:space="preserve">a </w:t>
      </w:r>
      <w:r w:rsidR="005D332A">
        <w:rPr>
          <w:rFonts w:ascii="Times New Roman" w:hAnsi="Times New Roman" w:cs="Times New Roman"/>
          <w:sz w:val="28"/>
          <w:szCs w:val="28"/>
          <w:lang w:val="en-ZA"/>
        </w:rPr>
        <w:t xml:space="preserve">relief which he/she has </w:t>
      </w:r>
      <w:r w:rsidR="00223742">
        <w:rPr>
          <w:rFonts w:ascii="Times New Roman" w:hAnsi="Times New Roman" w:cs="Times New Roman"/>
          <w:sz w:val="28"/>
          <w:szCs w:val="28"/>
          <w:lang w:val="en-ZA"/>
        </w:rPr>
        <w:t xml:space="preserve">not </w:t>
      </w:r>
      <w:r w:rsidR="005D332A">
        <w:rPr>
          <w:rFonts w:ascii="Times New Roman" w:hAnsi="Times New Roman" w:cs="Times New Roman"/>
          <w:sz w:val="28"/>
          <w:szCs w:val="28"/>
          <w:lang w:val="en-ZA"/>
        </w:rPr>
        <w:t xml:space="preserve"> sought </w:t>
      </w:r>
      <w:r w:rsidR="000F7DC1">
        <w:rPr>
          <w:rFonts w:ascii="Times New Roman" w:hAnsi="Times New Roman" w:cs="Times New Roman"/>
          <w:sz w:val="28"/>
          <w:szCs w:val="28"/>
          <w:lang w:val="en-ZA"/>
        </w:rPr>
        <w:t>(</w:t>
      </w:r>
      <w:r w:rsidR="000F7DC1">
        <w:rPr>
          <w:rFonts w:ascii="Times New Roman" w:hAnsi="Times New Roman" w:cs="Times New Roman"/>
          <w:b/>
          <w:bCs/>
          <w:sz w:val="28"/>
          <w:szCs w:val="28"/>
          <w:lang w:val="en-ZA"/>
        </w:rPr>
        <w:t xml:space="preserve">National Executive Committee and </w:t>
      </w:r>
      <w:r w:rsidR="000F7DC1">
        <w:rPr>
          <w:rFonts w:ascii="Times New Roman" w:hAnsi="Times New Roman" w:cs="Times New Roman"/>
          <w:b/>
          <w:bCs/>
          <w:sz w:val="28"/>
          <w:szCs w:val="28"/>
          <w:lang w:val="en-ZA"/>
        </w:rPr>
        <w:lastRenderedPageBreak/>
        <w:t xml:space="preserve">Others v </w:t>
      </w:r>
      <w:proofErr w:type="spellStart"/>
      <w:r w:rsidR="000F7DC1">
        <w:rPr>
          <w:rFonts w:ascii="Times New Roman" w:hAnsi="Times New Roman" w:cs="Times New Roman"/>
          <w:b/>
          <w:bCs/>
          <w:sz w:val="28"/>
          <w:szCs w:val="28"/>
          <w:lang w:val="en-ZA"/>
        </w:rPr>
        <w:t>Morolong</w:t>
      </w:r>
      <w:proofErr w:type="spellEnd"/>
      <w:r w:rsidR="000F7DC1">
        <w:rPr>
          <w:rFonts w:ascii="Times New Roman" w:hAnsi="Times New Roman" w:cs="Times New Roman"/>
          <w:b/>
          <w:bCs/>
          <w:sz w:val="28"/>
          <w:szCs w:val="28"/>
          <w:lang w:val="en-ZA"/>
        </w:rPr>
        <w:t xml:space="preserve"> (C of A (C(V) No.26/2001) (NULL) [2002] LSHC 10 (12 April 2002) at p.12</w:t>
      </w:r>
      <w:r w:rsidR="00223742">
        <w:rPr>
          <w:rFonts w:ascii="Times New Roman" w:hAnsi="Times New Roman" w:cs="Times New Roman"/>
          <w:b/>
          <w:bCs/>
          <w:sz w:val="28"/>
          <w:szCs w:val="28"/>
          <w:lang w:val="en-ZA"/>
        </w:rPr>
        <w:t xml:space="preserve">. </w:t>
      </w:r>
    </w:p>
    <w:p w14:paraId="14A3AC21" w14:textId="77777777" w:rsidR="00111FBC" w:rsidRDefault="00111FBC" w:rsidP="00662BAE">
      <w:pPr>
        <w:spacing w:after="0" w:line="360" w:lineRule="auto"/>
        <w:ind w:left="720" w:hanging="720"/>
        <w:jc w:val="both"/>
        <w:rPr>
          <w:rFonts w:ascii="Times New Roman" w:hAnsi="Times New Roman" w:cs="Times New Roman"/>
          <w:b/>
          <w:bCs/>
          <w:sz w:val="28"/>
          <w:szCs w:val="28"/>
          <w:lang w:val="en-ZA"/>
        </w:rPr>
      </w:pPr>
    </w:p>
    <w:p w14:paraId="695B08ED" w14:textId="37405CF1" w:rsidR="00111FBC" w:rsidRPr="00111FBC" w:rsidRDefault="00111FBC" w:rsidP="00111FBC">
      <w:pPr>
        <w:spacing w:after="0" w:line="360" w:lineRule="auto"/>
        <w:ind w:left="720" w:hanging="720"/>
        <w:jc w:val="both"/>
        <w:rPr>
          <w:rFonts w:ascii="Times New Roman" w:hAnsi="Times New Roman" w:cs="Times New Roman"/>
          <w:b/>
          <w:bCs/>
          <w:i/>
          <w:iCs/>
          <w:sz w:val="28"/>
          <w:szCs w:val="28"/>
          <w:lang w:val="en-ZA"/>
        </w:rPr>
      </w:pPr>
      <w:r w:rsidRPr="00111FBC">
        <w:rPr>
          <w:rFonts w:ascii="Times New Roman" w:hAnsi="Times New Roman" w:cs="Times New Roman"/>
          <w:sz w:val="28"/>
          <w:szCs w:val="28"/>
          <w:lang w:val="en-ZA"/>
        </w:rPr>
        <w:t>[16]</w:t>
      </w:r>
      <w:r>
        <w:rPr>
          <w:rFonts w:ascii="Times New Roman" w:hAnsi="Times New Roman" w:cs="Times New Roman"/>
          <w:b/>
          <w:bCs/>
          <w:sz w:val="28"/>
          <w:szCs w:val="28"/>
          <w:lang w:val="en-ZA"/>
        </w:rPr>
        <w:t xml:space="preserve">    </w:t>
      </w:r>
      <w:r w:rsidR="00C2778C">
        <w:rPr>
          <w:rFonts w:ascii="Times New Roman" w:hAnsi="Times New Roman" w:cs="Times New Roman"/>
          <w:b/>
          <w:bCs/>
          <w:sz w:val="28"/>
          <w:szCs w:val="28"/>
          <w:lang w:val="en-ZA"/>
        </w:rPr>
        <w:t xml:space="preserve">Lack </w:t>
      </w:r>
      <w:proofErr w:type="gramStart"/>
      <w:r w:rsidR="00C2778C">
        <w:rPr>
          <w:rFonts w:ascii="Times New Roman" w:hAnsi="Times New Roman" w:cs="Times New Roman"/>
          <w:b/>
          <w:bCs/>
          <w:sz w:val="28"/>
          <w:szCs w:val="28"/>
          <w:lang w:val="en-ZA"/>
        </w:rPr>
        <w:t xml:space="preserve">of  </w:t>
      </w:r>
      <w:r w:rsidRPr="00111FBC">
        <w:rPr>
          <w:rFonts w:ascii="Times New Roman" w:hAnsi="Times New Roman" w:cs="Times New Roman"/>
          <w:b/>
          <w:bCs/>
          <w:i/>
          <w:iCs/>
          <w:sz w:val="28"/>
          <w:szCs w:val="28"/>
          <w:lang w:val="en-ZA"/>
        </w:rPr>
        <w:t>locus</w:t>
      </w:r>
      <w:proofErr w:type="gramEnd"/>
      <w:r w:rsidRPr="00111FBC">
        <w:rPr>
          <w:rFonts w:ascii="Times New Roman" w:hAnsi="Times New Roman" w:cs="Times New Roman"/>
          <w:b/>
          <w:bCs/>
          <w:i/>
          <w:iCs/>
          <w:sz w:val="28"/>
          <w:szCs w:val="28"/>
          <w:lang w:val="en-ZA"/>
        </w:rPr>
        <w:t xml:space="preserve"> standi in </w:t>
      </w:r>
      <w:proofErr w:type="spellStart"/>
      <w:r w:rsidRPr="00111FBC">
        <w:rPr>
          <w:rFonts w:ascii="Times New Roman" w:hAnsi="Times New Roman" w:cs="Times New Roman"/>
          <w:b/>
          <w:bCs/>
          <w:i/>
          <w:iCs/>
          <w:sz w:val="28"/>
          <w:szCs w:val="28"/>
          <w:lang w:val="en-ZA"/>
        </w:rPr>
        <w:t>judicio</w:t>
      </w:r>
      <w:proofErr w:type="spellEnd"/>
      <w:r w:rsidRPr="00111FBC">
        <w:rPr>
          <w:rFonts w:ascii="Times New Roman" w:hAnsi="Times New Roman" w:cs="Times New Roman"/>
          <w:b/>
          <w:bCs/>
          <w:i/>
          <w:iCs/>
          <w:sz w:val="28"/>
          <w:szCs w:val="28"/>
          <w:lang w:val="en-ZA"/>
        </w:rPr>
        <w:t>.</w:t>
      </w:r>
    </w:p>
    <w:p w14:paraId="18C001DD" w14:textId="1E3948FA" w:rsidR="000F7DC1" w:rsidRPr="00111FBC" w:rsidRDefault="00111FBC" w:rsidP="00662BAE">
      <w:pPr>
        <w:spacing w:after="0" w:line="360" w:lineRule="auto"/>
        <w:ind w:left="720" w:hanging="720"/>
        <w:jc w:val="both"/>
        <w:rPr>
          <w:rFonts w:ascii="Times New Roman" w:hAnsi="Times New Roman" w:cs="Times New Roman"/>
          <w:sz w:val="28"/>
          <w:szCs w:val="28"/>
          <w:lang w:val="en-ZA"/>
        </w:rPr>
      </w:pPr>
      <w:r w:rsidRPr="00111FBC">
        <w:rPr>
          <w:rFonts w:ascii="Times New Roman" w:hAnsi="Times New Roman" w:cs="Times New Roman"/>
          <w:b/>
          <w:bCs/>
          <w:i/>
          <w:iCs/>
          <w:sz w:val="28"/>
          <w:szCs w:val="28"/>
          <w:lang w:val="en-ZA"/>
        </w:rPr>
        <w:tab/>
      </w:r>
      <w:r w:rsidRPr="00111FBC">
        <w:rPr>
          <w:rFonts w:ascii="Times New Roman" w:hAnsi="Times New Roman" w:cs="Times New Roman"/>
          <w:i/>
          <w:iCs/>
          <w:sz w:val="28"/>
          <w:szCs w:val="28"/>
          <w:lang w:val="en-ZA"/>
        </w:rPr>
        <w:t xml:space="preserve">Locus Standi </w:t>
      </w:r>
      <w:r w:rsidRPr="00111FBC">
        <w:rPr>
          <w:rFonts w:ascii="Times New Roman" w:hAnsi="Times New Roman" w:cs="Times New Roman"/>
          <w:sz w:val="28"/>
          <w:szCs w:val="28"/>
          <w:lang w:val="en-ZA"/>
        </w:rPr>
        <w:t xml:space="preserve">has two aspects to it, the first one being the capacity of the applicant to litigate, and secondly, the interest which the applicant has in the relief claimed </w:t>
      </w:r>
      <w:r w:rsidRPr="00111FBC">
        <w:rPr>
          <w:rFonts w:ascii="Times New Roman" w:hAnsi="Times New Roman" w:cs="Times New Roman"/>
          <w:b/>
          <w:bCs/>
          <w:sz w:val="28"/>
          <w:szCs w:val="28"/>
          <w:lang w:val="en-ZA"/>
        </w:rPr>
        <w:t>(</w:t>
      </w:r>
      <w:bookmarkStart w:id="1" w:name="_Hlk105156742"/>
      <w:proofErr w:type="spellStart"/>
      <w:r w:rsidRPr="00111FBC">
        <w:rPr>
          <w:rFonts w:ascii="Times New Roman" w:hAnsi="Times New Roman" w:cs="Times New Roman"/>
          <w:b/>
          <w:bCs/>
          <w:sz w:val="28"/>
          <w:szCs w:val="28"/>
          <w:lang w:val="en-ZA"/>
        </w:rPr>
        <w:t>Herbstein</w:t>
      </w:r>
      <w:proofErr w:type="spellEnd"/>
      <w:r w:rsidRPr="00111FBC">
        <w:rPr>
          <w:rFonts w:ascii="Times New Roman" w:hAnsi="Times New Roman" w:cs="Times New Roman"/>
          <w:b/>
          <w:bCs/>
          <w:sz w:val="28"/>
          <w:szCs w:val="28"/>
          <w:lang w:val="en-ZA"/>
        </w:rPr>
        <w:t xml:space="preserve"> &amp; Van </w:t>
      </w:r>
      <w:proofErr w:type="spellStart"/>
      <w:r w:rsidRPr="00111FBC">
        <w:rPr>
          <w:rFonts w:ascii="Times New Roman" w:hAnsi="Times New Roman" w:cs="Times New Roman"/>
          <w:b/>
          <w:bCs/>
          <w:sz w:val="28"/>
          <w:szCs w:val="28"/>
          <w:lang w:val="en-ZA"/>
        </w:rPr>
        <w:t>Winsen</w:t>
      </w:r>
      <w:proofErr w:type="spellEnd"/>
      <w:r w:rsidRPr="00111FBC">
        <w:rPr>
          <w:rFonts w:ascii="Times New Roman" w:hAnsi="Times New Roman" w:cs="Times New Roman"/>
          <w:b/>
          <w:bCs/>
          <w:sz w:val="28"/>
          <w:szCs w:val="28"/>
          <w:lang w:val="en-ZA"/>
        </w:rPr>
        <w:t xml:space="preserve"> the Civil Practice of the High Courts of South Africa (2009) 5 ed vol. 1 at 143</w:t>
      </w:r>
      <w:bookmarkEnd w:id="1"/>
      <w:r w:rsidRPr="00111FBC">
        <w:rPr>
          <w:rFonts w:ascii="Times New Roman" w:hAnsi="Times New Roman" w:cs="Times New Roman"/>
          <w:b/>
          <w:bCs/>
          <w:sz w:val="28"/>
          <w:szCs w:val="28"/>
          <w:lang w:val="en-ZA"/>
        </w:rPr>
        <w:t xml:space="preserve">). </w:t>
      </w:r>
      <w:r w:rsidRPr="00111FBC">
        <w:rPr>
          <w:rFonts w:ascii="Times New Roman" w:hAnsi="Times New Roman" w:cs="Times New Roman"/>
          <w:sz w:val="28"/>
          <w:szCs w:val="28"/>
          <w:lang w:val="en-ZA"/>
        </w:rPr>
        <w:t xml:space="preserve">It is incumbent on the applicant to allege and prove that it has </w:t>
      </w:r>
      <w:r w:rsidRPr="00111FBC">
        <w:rPr>
          <w:rFonts w:ascii="Times New Roman" w:hAnsi="Times New Roman" w:cs="Times New Roman"/>
          <w:i/>
          <w:iCs/>
          <w:sz w:val="28"/>
          <w:szCs w:val="28"/>
          <w:lang w:val="en-ZA"/>
        </w:rPr>
        <w:t>locus standi</w:t>
      </w:r>
      <w:r w:rsidRPr="00111FBC">
        <w:rPr>
          <w:rFonts w:ascii="Times New Roman" w:hAnsi="Times New Roman" w:cs="Times New Roman"/>
          <w:sz w:val="28"/>
          <w:szCs w:val="28"/>
          <w:lang w:val="en-ZA"/>
        </w:rPr>
        <w:t xml:space="preserve"> to institute the proceedings </w:t>
      </w:r>
      <w:r w:rsidRPr="00111FBC">
        <w:rPr>
          <w:rFonts w:ascii="Times New Roman" w:hAnsi="Times New Roman" w:cs="Times New Roman"/>
          <w:b/>
          <w:bCs/>
          <w:sz w:val="28"/>
          <w:szCs w:val="28"/>
          <w:lang w:val="en-ZA"/>
        </w:rPr>
        <w:t>(Mars Incorporated v Candy World (Pty) Ltd [1990] ZASCA 149; 1991 (1) SA 567 (A) at 575 H – I).</w:t>
      </w:r>
      <w:r>
        <w:rPr>
          <w:rFonts w:ascii="Times New Roman" w:hAnsi="Times New Roman" w:cs="Times New Roman"/>
          <w:b/>
          <w:bCs/>
          <w:sz w:val="28"/>
          <w:szCs w:val="28"/>
          <w:lang w:val="en-ZA"/>
        </w:rPr>
        <w:t xml:space="preserve"> </w:t>
      </w:r>
      <w:r>
        <w:rPr>
          <w:rFonts w:ascii="Times New Roman" w:hAnsi="Times New Roman" w:cs="Times New Roman"/>
          <w:sz w:val="28"/>
          <w:szCs w:val="28"/>
          <w:lang w:val="en-ZA"/>
        </w:rPr>
        <w:t xml:space="preserve">The above conclusion that a declarator is untenable should also apply with equal measure to the issue of </w:t>
      </w:r>
      <w:r w:rsidRPr="00111FBC">
        <w:rPr>
          <w:rFonts w:ascii="Times New Roman" w:hAnsi="Times New Roman" w:cs="Times New Roman"/>
          <w:i/>
          <w:iCs/>
          <w:sz w:val="28"/>
          <w:szCs w:val="28"/>
          <w:lang w:val="en-ZA"/>
        </w:rPr>
        <w:t>locus standi</w:t>
      </w:r>
      <w:r>
        <w:rPr>
          <w:rFonts w:ascii="Times New Roman" w:hAnsi="Times New Roman" w:cs="Times New Roman"/>
          <w:sz w:val="28"/>
          <w:szCs w:val="28"/>
          <w:lang w:val="en-ZA"/>
        </w:rPr>
        <w:t xml:space="preserve">. The applicant does not have a standing to sue based on the Regulations which clearly state that they do not create a right for the suppliers of goods or services. </w:t>
      </w:r>
      <w:r w:rsidR="000F7DC1">
        <w:rPr>
          <w:rFonts w:ascii="Times New Roman" w:hAnsi="Times New Roman" w:cs="Times New Roman"/>
          <w:sz w:val="28"/>
          <w:szCs w:val="28"/>
          <w:lang w:val="en-ZA"/>
        </w:rPr>
        <w:t xml:space="preserve">This conclusion </w:t>
      </w:r>
      <w:r>
        <w:rPr>
          <w:rFonts w:ascii="Times New Roman" w:hAnsi="Times New Roman" w:cs="Times New Roman"/>
          <w:sz w:val="28"/>
          <w:szCs w:val="28"/>
          <w:lang w:val="en-ZA"/>
        </w:rPr>
        <w:t xml:space="preserve">and the one on untenability of a declarator, </w:t>
      </w:r>
      <w:r w:rsidR="000F7DC1">
        <w:rPr>
          <w:rFonts w:ascii="Times New Roman" w:hAnsi="Times New Roman" w:cs="Times New Roman"/>
          <w:sz w:val="28"/>
          <w:szCs w:val="28"/>
          <w:lang w:val="en-ZA"/>
        </w:rPr>
        <w:t xml:space="preserve">disposes of this matter without the need to deal with the remaining points in </w:t>
      </w:r>
      <w:proofErr w:type="spellStart"/>
      <w:r w:rsidR="000F7DC1">
        <w:rPr>
          <w:rFonts w:ascii="Times New Roman" w:hAnsi="Times New Roman" w:cs="Times New Roman"/>
          <w:i/>
          <w:iCs/>
          <w:sz w:val="28"/>
          <w:szCs w:val="28"/>
          <w:lang w:val="en-ZA"/>
        </w:rPr>
        <w:t>limine</w:t>
      </w:r>
      <w:proofErr w:type="spellEnd"/>
      <w:r w:rsidR="000F7DC1">
        <w:rPr>
          <w:rFonts w:ascii="Times New Roman" w:hAnsi="Times New Roman" w:cs="Times New Roman"/>
          <w:sz w:val="28"/>
          <w:szCs w:val="28"/>
          <w:lang w:val="en-ZA"/>
        </w:rPr>
        <w:t xml:space="preserve"> and the merits.</w:t>
      </w:r>
    </w:p>
    <w:p w14:paraId="36F91D0A" w14:textId="77777777" w:rsidR="000F7DC1" w:rsidRDefault="000F7DC1" w:rsidP="00662BAE">
      <w:pPr>
        <w:spacing w:after="0" w:line="360" w:lineRule="auto"/>
        <w:ind w:left="720" w:hanging="720"/>
        <w:jc w:val="both"/>
        <w:rPr>
          <w:rFonts w:ascii="Times New Roman" w:hAnsi="Times New Roman" w:cs="Times New Roman"/>
          <w:sz w:val="28"/>
          <w:szCs w:val="28"/>
          <w:lang w:val="en-ZA"/>
        </w:rPr>
      </w:pPr>
    </w:p>
    <w:p w14:paraId="382F0830" w14:textId="77777777" w:rsidR="000F7DC1" w:rsidRDefault="000F7DC1" w:rsidP="00662BAE">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[17]</w:t>
      </w:r>
      <w:r>
        <w:rPr>
          <w:rFonts w:ascii="Times New Roman" w:hAnsi="Times New Roman" w:cs="Times New Roman"/>
          <w:sz w:val="28"/>
          <w:szCs w:val="28"/>
          <w:lang w:val="en-ZA"/>
        </w:rPr>
        <w:tab/>
        <w:t>In the result:</w:t>
      </w:r>
    </w:p>
    <w:p w14:paraId="37416EB3" w14:textId="77777777" w:rsidR="000F7DC1" w:rsidRDefault="000F7DC1" w:rsidP="00662BAE">
      <w:pPr>
        <w:spacing w:after="0" w:line="360" w:lineRule="auto"/>
        <w:ind w:left="720" w:hanging="720"/>
        <w:jc w:val="both"/>
        <w:rPr>
          <w:rFonts w:ascii="Times New Roman" w:hAnsi="Times New Roman" w:cs="Times New Roman"/>
          <w:sz w:val="28"/>
          <w:szCs w:val="28"/>
          <w:lang w:val="en-ZA"/>
        </w:rPr>
      </w:pPr>
    </w:p>
    <w:p w14:paraId="0FFF239E" w14:textId="77777777" w:rsidR="000F7DC1" w:rsidRDefault="000F7DC1" w:rsidP="000F7DC1">
      <w:pPr>
        <w:pStyle w:val="ListParagraph"/>
        <w:numPr>
          <w:ilvl w:val="0"/>
          <w:numId w:val="3"/>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The application is dismissed with costs.</w:t>
      </w:r>
    </w:p>
    <w:p w14:paraId="66A44392" w14:textId="77777777" w:rsidR="000F7DC1" w:rsidRDefault="000F7DC1" w:rsidP="000F7DC1">
      <w:pPr>
        <w:spacing w:after="0" w:line="360" w:lineRule="auto"/>
        <w:jc w:val="both"/>
        <w:rPr>
          <w:rFonts w:ascii="Times New Roman" w:hAnsi="Times New Roman" w:cs="Times New Roman"/>
          <w:sz w:val="28"/>
          <w:szCs w:val="28"/>
          <w:lang w:val="en-ZA"/>
        </w:rPr>
      </w:pPr>
    </w:p>
    <w:p w14:paraId="7ABA752C" w14:textId="125BF03D" w:rsidR="000F7DC1" w:rsidRDefault="000F7DC1" w:rsidP="000F7DC1">
      <w:pPr>
        <w:spacing w:after="0" w:line="360" w:lineRule="auto"/>
        <w:jc w:val="both"/>
        <w:rPr>
          <w:rFonts w:ascii="Times New Roman" w:hAnsi="Times New Roman" w:cs="Times New Roman"/>
          <w:sz w:val="28"/>
          <w:szCs w:val="28"/>
          <w:lang w:val="en-ZA"/>
        </w:rPr>
      </w:pPr>
    </w:p>
    <w:p w14:paraId="6C1C03AA" w14:textId="09C570BF" w:rsidR="00DD10A3" w:rsidRDefault="00DD10A3" w:rsidP="000F7DC1">
      <w:pPr>
        <w:spacing w:after="0" w:line="360" w:lineRule="auto"/>
        <w:jc w:val="both"/>
        <w:rPr>
          <w:rFonts w:ascii="Times New Roman" w:hAnsi="Times New Roman" w:cs="Times New Roman"/>
          <w:sz w:val="28"/>
          <w:szCs w:val="28"/>
          <w:lang w:val="en-ZA"/>
        </w:rPr>
      </w:pPr>
    </w:p>
    <w:p w14:paraId="7682F6B9" w14:textId="193FFEE9" w:rsidR="00DD10A3" w:rsidRDefault="00DD10A3" w:rsidP="000F7DC1">
      <w:pPr>
        <w:spacing w:after="0" w:line="360" w:lineRule="auto"/>
        <w:jc w:val="both"/>
        <w:rPr>
          <w:rFonts w:ascii="Times New Roman" w:hAnsi="Times New Roman" w:cs="Times New Roman"/>
          <w:sz w:val="28"/>
          <w:szCs w:val="28"/>
          <w:lang w:val="en-ZA"/>
        </w:rPr>
      </w:pPr>
    </w:p>
    <w:p w14:paraId="4722F31B" w14:textId="22D53112" w:rsidR="00DD10A3" w:rsidRDefault="00DD10A3" w:rsidP="000F7DC1">
      <w:pPr>
        <w:spacing w:after="0" w:line="360" w:lineRule="auto"/>
        <w:jc w:val="both"/>
        <w:rPr>
          <w:rFonts w:ascii="Times New Roman" w:hAnsi="Times New Roman" w:cs="Times New Roman"/>
          <w:sz w:val="28"/>
          <w:szCs w:val="28"/>
          <w:lang w:val="en-ZA"/>
        </w:rPr>
      </w:pPr>
    </w:p>
    <w:p w14:paraId="67C84658" w14:textId="093F90C3" w:rsidR="00DD10A3" w:rsidRDefault="00DD10A3" w:rsidP="000F7DC1">
      <w:pPr>
        <w:spacing w:after="0" w:line="360" w:lineRule="auto"/>
        <w:jc w:val="both"/>
        <w:rPr>
          <w:rFonts w:ascii="Times New Roman" w:hAnsi="Times New Roman" w:cs="Times New Roman"/>
          <w:sz w:val="28"/>
          <w:szCs w:val="28"/>
          <w:lang w:val="en-ZA"/>
        </w:rPr>
      </w:pPr>
    </w:p>
    <w:p w14:paraId="66A146CE" w14:textId="54262EFE" w:rsidR="00DD10A3" w:rsidRDefault="00DD10A3" w:rsidP="000F7DC1">
      <w:pPr>
        <w:spacing w:after="0" w:line="360" w:lineRule="auto"/>
        <w:jc w:val="both"/>
        <w:rPr>
          <w:rFonts w:ascii="Times New Roman" w:hAnsi="Times New Roman" w:cs="Times New Roman"/>
          <w:sz w:val="28"/>
          <w:szCs w:val="28"/>
          <w:lang w:val="en-ZA"/>
        </w:rPr>
      </w:pPr>
    </w:p>
    <w:p w14:paraId="57E59E2A" w14:textId="1EF18D92" w:rsidR="00DD10A3" w:rsidRDefault="00DD10A3" w:rsidP="000F7DC1">
      <w:pPr>
        <w:spacing w:after="0" w:line="360" w:lineRule="auto"/>
        <w:jc w:val="both"/>
        <w:rPr>
          <w:rFonts w:ascii="Times New Roman" w:hAnsi="Times New Roman" w:cs="Times New Roman"/>
          <w:sz w:val="28"/>
          <w:szCs w:val="28"/>
          <w:lang w:val="en-ZA"/>
        </w:rPr>
      </w:pPr>
    </w:p>
    <w:p w14:paraId="33D0EB7D" w14:textId="77777777" w:rsidR="00DD10A3" w:rsidRDefault="00DD10A3" w:rsidP="000F7DC1">
      <w:pPr>
        <w:spacing w:after="0" w:line="360" w:lineRule="auto"/>
        <w:jc w:val="both"/>
        <w:rPr>
          <w:rFonts w:ascii="Times New Roman" w:hAnsi="Times New Roman" w:cs="Times New Roman"/>
          <w:sz w:val="28"/>
          <w:szCs w:val="28"/>
          <w:lang w:val="en-ZA"/>
        </w:rPr>
      </w:pPr>
      <w:bookmarkStart w:id="2" w:name="_GoBack"/>
      <w:bookmarkEnd w:id="2"/>
    </w:p>
    <w:p w14:paraId="25F9E142" w14:textId="77777777" w:rsidR="000F7DC1" w:rsidRDefault="000F7DC1" w:rsidP="000F7DC1">
      <w:pPr>
        <w:spacing w:after="0" w:line="360" w:lineRule="auto"/>
        <w:jc w:val="both"/>
        <w:rPr>
          <w:rFonts w:ascii="Times New Roman" w:hAnsi="Times New Roman" w:cs="Times New Roman"/>
          <w:sz w:val="28"/>
          <w:szCs w:val="28"/>
          <w:lang w:val="en-ZA"/>
        </w:rPr>
      </w:pPr>
    </w:p>
    <w:p w14:paraId="560F163B" w14:textId="73F87FE5" w:rsidR="000F7DC1" w:rsidRDefault="000F7DC1" w:rsidP="000F7DC1">
      <w:pPr>
        <w:spacing w:after="0" w:line="240" w:lineRule="auto"/>
        <w:jc w:val="center"/>
        <w:rPr>
          <w:rFonts w:ascii="Times New Roman" w:hAnsi="Times New Roman" w:cs="Times New Roman"/>
          <w:b/>
          <w:bCs/>
          <w:sz w:val="28"/>
          <w:szCs w:val="28"/>
          <w:lang w:val="en-ZA"/>
        </w:rPr>
      </w:pPr>
      <w:r>
        <w:rPr>
          <w:rFonts w:ascii="Times New Roman" w:hAnsi="Times New Roman" w:cs="Times New Roman"/>
          <w:b/>
          <w:bCs/>
          <w:sz w:val="28"/>
          <w:szCs w:val="28"/>
          <w:lang w:val="en-ZA"/>
        </w:rPr>
        <w:t>_________________________</w:t>
      </w:r>
    </w:p>
    <w:p w14:paraId="7A5EBD0A" w14:textId="1F4F5B4C" w:rsidR="000F7DC1" w:rsidRDefault="000F7DC1" w:rsidP="000F7DC1">
      <w:pPr>
        <w:spacing w:after="0" w:line="240" w:lineRule="auto"/>
        <w:jc w:val="center"/>
        <w:rPr>
          <w:rFonts w:ascii="Times New Roman" w:hAnsi="Times New Roman" w:cs="Times New Roman"/>
          <w:b/>
          <w:bCs/>
          <w:sz w:val="28"/>
          <w:szCs w:val="28"/>
          <w:lang w:val="en-ZA"/>
        </w:rPr>
      </w:pPr>
      <w:r>
        <w:rPr>
          <w:rFonts w:ascii="Times New Roman" w:hAnsi="Times New Roman" w:cs="Times New Roman"/>
          <w:b/>
          <w:bCs/>
          <w:sz w:val="28"/>
          <w:szCs w:val="28"/>
          <w:lang w:val="en-ZA"/>
        </w:rPr>
        <w:t>MOKHESI J</w:t>
      </w:r>
    </w:p>
    <w:p w14:paraId="426E23B0" w14:textId="165BEFCE" w:rsidR="000F7DC1" w:rsidRDefault="000F7DC1" w:rsidP="000F7DC1">
      <w:pPr>
        <w:spacing w:after="0" w:line="240" w:lineRule="auto"/>
        <w:jc w:val="both"/>
        <w:rPr>
          <w:rFonts w:ascii="Times New Roman" w:hAnsi="Times New Roman" w:cs="Times New Roman"/>
          <w:b/>
          <w:bCs/>
          <w:sz w:val="28"/>
          <w:szCs w:val="28"/>
          <w:lang w:val="en-ZA"/>
        </w:rPr>
      </w:pPr>
    </w:p>
    <w:p w14:paraId="600B75A5" w14:textId="50F9D64C" w:rsidR="000F7DC1" w:rsidRDefault="000F7DC1" w:rsidP="000F7DC1">
      <w:pPr>
        <w:spacing w:after="0" w:line="24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For the Applicant:</w:t>
      </w:r>
      <w:r>
        <w:rPr>
          <w:rFonts w:ascii="Times New Roman" w:hAnsi="Times New Roman" w:cs="Times New Roman"/>
          <w:b/>
          <w:bCs/>
          <w:sz w:val="28"/>
          <w:szCs w:val="28"/>
          <w:lang w:val="en-ZA"/>
        </w:rPr>
        <w:tab/>
        <w:t xml:space="preserve">Ms </w:t>
      </w:r>
      <w:proofErr w:type="spellStart"/>
      <w:r>
        <w:rPr>
          <w:rFonts w:ascii="Times New Roman" w:hAnsi="Times New Roman" w:cs="Times New Roman"/>
          <w:b/>
          <w:bCs/>
          <w:sz w:val="28"/>
          <w:szCs w:val="28"/>
          <w:lang w:val="en-ZA"/>
        </w:rPr>
        <w:t>Mokebisa</w:t>
      </w:r>
      <w:proofErr w:type="spellEnd"/>
      <w:r>
        <w:rPr>
          <w:rFonts w:ascii="Times New Roman" w:hAnsi="Times New Roman" w:cs="Times New Roman"/>
          <w:b/>
          <w:bCs/>
          <w:sz w:val="28"/>
          <w:szCs w:val="28"/>
          <w:lang w:val="en-ZA"/>
        </w:rPr>
        <w:t xml:space="preserve"> from </w:t>
      </w:r>
      <w:proofErr w:type="spellStart"/>
      <w:r>
        <w:rPr>
          <w:rFonts w:ascii="Times New Roman" w:hAnsi="Times New Roman" w:cs="Times New Roman"/>
          <w:b/>
          <w:bCs/>
          <w:sz w:val="28"/>
          <w:szCs w:val="28"/>
          <w:lang w:val="en-ZA"/>
        </w:rPr>
        <w:t>Mokebisa</w:t>
      </w:r>
      <w:proofErr w:type="spellEnd"/>
      <w:r>
        <w:rPr>
          <w:rFonts w:ascii="Times New Roman" w:hAnsi="Times New Roman" w:cs="Times New Roman"/>
          <w:b/>
          <w:bCs/>
          <w:sz w:val="28"/>
          <w:szCs w:val="28"/>
          <w:lang w:val="en-ZA"/>
        </w:rPr>
        <w:t xml:space="preserve"> Attorneys</w:t>
      </w:r>
    </w:p>
    <w:p w14:paraId="1B9EF60E" w14:textId="3C5245C3" w:rsidR="000F7DC1" w:rsidRDefault="000F7DC1" w:rsidP="000F7DC1">
      <w:pPr>
        <w:spacing w:after="0" w:line="240" w:lineRule="auto"/>
        <w:jc w:val="both"/>
        <w:rPr>
          <w:rFonts w:ascii="Times New Roman" w:hAnsi="Times New Roman" w:cs="Times New Roman"/>
          <w:b/>
          <w:bCs/>
          <w:sz w:val="28"/>
          <w:szCs w:val="28"/>
          <w:lang w:val="en-ZA"/>
        </w:rPr>
      </w:pPr>
    </w:p>
    <w:p w14:paraId="3B4B190A" w14:textId="01D56A80" w:rsidR="000F7DC1" w:rsidRDefault="000F7DC1" w:rsidP="000F7DC1">
      <w:pPr>
        <w:spacing w:after="0" w:line="240" w:lineRule="auto"/>
        <w:ind w:left="2880" w:hanging="2880"/>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For the 1</w:t>
      </w:r>
      <w:r w:rsidRPr="000F7DC1">
        <w:rPr>
          <w:rFonts w:ascii="Times New Roman" w:hAnsi="Times New Roman" w:cs="Times New Roman"/>
          <w:b/>
          <w:bCs/>
          <w:sz w:val="28"/>
          <w:szCs w:val="28"/>
          <w:vertAlign w:val="superscript"/>
          <w:lang w:val="en-ZA"/>
        </w:rPr>
        <w:t>st</w:t>
      </w:r>
      <w:r>
        <w:rPr>
          <w:rFonts w:ascii="Times New Roman" w:hAnsi="Times New Roman" w:cs="Times New Roman"/>
          <w:b/>
          <w:bCs/>
          <w:sz w:val="28"/>
          <w:szCs w:val="28"/>
          <w:lang w:val="en-ZA"/>
        </w:rPr>
        <w:t xml:space="preserve"> Respondent:</w:t>
      </w:r>
      <w:r>
        <w:rPr>
          <w:rFonts w:ascii="Times New Roman" w:hAnsi="Times New Roman" w:cs="Times New Roman"/>
          <w:b/>
          <w:bCs/>
          <w:sz w:val="28"/>
          <w:szCs w:val="28"/>
          <w:lang w:val="en-ZA"/>
        </w:rPr>
        <w:tab/>
        <w:t xml:space="preserve">Adv. T. </w:t>
      </w:r>
      <w:proofErr w:type="spellStart"/>
      <w:r>
        <w:rPr>
          <w:rFonts w:ascii="Times New Roman" w:hAnsi="Times New Roman" w:cs="Times New Roman"/>
          <w:b/>
          <w:bCs/>
          <w:sz w:val="28"/>
          <w:szCs w:val="28"/>
          <w:lang w:val="en-ZA"/>
        </w:rPr>
        <w:t>Maqakachane</w:t>
      </w:r>
      <w:proofErr w:type="spellEnd"/>
      <w:r>
        <w:rPr>
          <w:rFonts w:ascii="Times New Roman" w:hAnsi="Times New Roman" w:cs="Times New Roman"/>
          <w:b/>
          <w:bCs/>
          <w:sz w:val="28"/>
          <w:szCs w:val="28"/>
          <w:lang w:val="en-ZA"/>
        </w:rPr>
        <w:t xml:space="preserve"> assisted by Adv. K. J </w:t>
      </w:r>
      <w:proofErr w:type="spellStart"/>
      <w:r>
        <w:rPr>
          <w:rFonts w:ascii="Times New Roman" w:hAnsi="Times New Roman" w:cs="Times New Roman"/>
          <w:b/>
          <w:bCs/>
          <w:sz w:val="28"/>
          <w:szCs w:val="28"/>
          <w:lang w:val="en-ZA"/>
        </w:rPr>
        <w:t>Selimo</w:t>
      </w:r>
      <w:proofErr w:type="spellEnd"/>
      <w:r>
        <w:rPr>
          <w:rFonts w:ascii="Times New Roman" w:hAnsi="Times New Roman" w:cs="Times New Roman"/>
          <w:b/>
          <w:bCs/>
          <w:sz w:val="28"/>
          <w:szCs w:val="28"/>
          <w:lang w:val="en-ZA"/>
        </w:rPr>
        <w:t xml:space="preserve"> instructed by </w:t>
      </w:r>
      <w:proofErr w:type="spellStart"/>
      <w:r>
        <w:rPr>
          <w:rFonts w:ascii="Times New Roman" w:hAnsi="Times New Roman" w:cs="Times New Roman"/>
          <w:b/>
          <w:bCs/>
          <w:sz w:val="28"/>
          <w:szCs w:val="28"/>
          <w:lang w:val="en-ZA"/>
        </w:rPr>
        <w:t>Sell</w:t>
      </w:r>
      <w:r w:rsidR="00EA3A69">
        <w:rPr>
          <w:rFonts w:ascii="Times New Roman" w:hAnsi="Times New Roman" w:cs="Times New Roman"/>
          <w:b/>
          <w:bCs/>
          <w:sz w:val="28"/>
          <w:szCs w:val="28"/>
          <w:lang w:val="en-ZA"/>
        </w:rPr>
        <w:t>o</w:t>
      </w:r>
      <w:proofErr w:type="spellEnd"/>
      <w:r>
        <w:rPr>
          <w:rFonts w:ascii="Times New Roman" w:hAnsi="Times New Roman" w:cs="Times New Roman"/>
          <w:b/>
          <w:bCs/>
          <w:sz w:val="28"/>
          <w:szCs w:val="28"/>
          <w:lang w:val="en-ZA"/>
        </w:rPr>
        <w:t xml:space="preserve"> </w:t>
      </w:r>
      <w:proofErr w:type="spellStart"/>
      <w:r>
        <w:rPr>
          <w:rFonts w:ascii="Times New Roman" w:hAnsi="Times New Roman" w:cs="Times New Roman"/>
          <w:b/>
          <w:bCs/>
          <w:sz w:val="28"/>
          <w:szCs w:val="28"/>
          <w:lang w:val="en-ZA"/>
        </w:rPr>
        <w:t>Mafatle</w:t>
      </w:r>
      <w:proofErr w:type="spellEnd"/>
      <w:r>
        <w:rPr>
          <w:rFonts w:ascii="Times New Roman" w:hAnsi="Times New Roman" w:cs="Times New Roman"/>
          <w:b/>
          <w:bCs/>
          <w:sz w:val="28"/>
          <w:szCs w:val="28"/>
          <w:lang w:val="en-ZA"/>
        </w:rPr>
        <w:t xml:space="preserve"> Attorneys</w:t>
      </w:r>
    </w:p>
    <w:p w14:paraId="5FA54F47" w14:textId="63DF4828" w:rsidR="000F7DC1" w:rsidRDefault="000F7DC1" w:rsidP="000F7DC1">
      <w:pPr>
        <w:spacing w:after="0" w:line="240" w:lineRule="auto"/>
        <w:ind w:left="2880" w:hanging="2880"/>
        <w:jc w:val="both"/>
        <w:rPr>
          <w:rFonts w:ascii="Times New Roman" w:hAnsi="Times New Roman" w:cs="Times New Roman"/>
          <w:b/>
          <w:bCs/>
          <w:sz w:val="28"/>
          <w:szCs w:val="28"/>
          <w:lang w:val="en-ZA"/>
        </w:rPr>
      </w:pPr>
    </w:p>
    <w:p w14:paraId="07E01FEB" w14:textId="4A67C4B5" w:rsidR="000F7DC1" w:rsidRPr="000F7DC1" w:rsidRDefault="000F7DC1" w:rsidP="000F7DC1">
      <w:pPr>
        <w:spacing w:after="0" w:line="240" w:lineRule="auto"/>
        <w:ind w:left="2880" w:hanging="2880"/>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For the 2</w:t>
      </w:r>
      <w:r w:rsidRPr="000F7DC1">
        <w:rPr>
          <w:rFonts w:ascii="Times New Roman" w:hAnsi="Times New Roman" w:cs="Times New Roman"/>
          <w:b/>
          <w:bCs/>
          <w:sz w:val="28"/>
          <w:szCs w:val="28"/>
          <w:vertAlign w:val="superscript"/>
          <w:lang w:val="en-ZA"/>
        </w:rPr>
        <w:t>nd</w:t>
      </w:r>
      <w:r>
        <w:rPr>
          <w:rFonts w:ascii="Times New Roman" w:hAnsi="Times New Roman" w:cs="Times New Roman"/>
          <w:b/>
          <w:bCs/>
          <w:sz w:val="28"/>
          <w:szCs w:val="28"/>
          <w:lang w:val="en-ZA"/>
        </w:rPr>
        <w:t xml:space="preserve"> and 3</w:t>
      </w:r>
      <w:r w:rsidRPr="000F7DC1">
        <w:rPr>
          <w:rFonts w:ascii="Times New Roman" w:hAnsi="Times New Roman" w:cs="Times New Roman"/>
          <w:b/>
          <w:bCs/>
          <w:sz w:val="28"/>
          <w:szCs w:val="28"/>
          <w:vertAlign w:val="superscript"/>
          <w:lang w:val="en-ZA"/>
        </w:rPr>
        <w:t>rd</w:t>
      </w:r>
      <w:r>
        <w:rPr>
          <w:rFonts w:ascii="Times New Roman" w:hAnsi="Times New Roman" w:cs="Times New Roman"/>
          <w:b/>
          <w:bCs/>
          <w:sz w:val="28"/>
          <w:szCs w:val="28"/>
          <w:lang w:val="en-ZA"/>
        </w:rPr>
        <w:t xml:space="preserve"> Respondents:</w:t>
      </w:r>
      <w:r>
        <w:rPr>
          <w:rFonts w:ascii="Times New Roman" w:hAnsi="Times New Roman" w:cs="Times New Roman"/>
          <w:b/>
          <w:bCs/>
          <w:sz w:val="28"/>
          <w:szCs w:val="28"/>
          <w:lang w:val="en-ZA"/>
        </w:rPr>
        <w:tab/>
        <w:t xml:space="preserve">No Appearance </w:t>
      </w:r>
    </w:p>
    <w:p w14:paraId="67DBC81F" w14:textId="7E4363F5" w:rsidR="00F24B6C" w:rsidRPr="000F7DC1" w:rsidRDefault="005D332A" w:rsidP="000F7DC1">
      <w:pPr>
        <w:spacing w:after="0" w:line="360" w:lineRule="auto"/>
        <w:jc w:val="both"/>
        <w:rPr>
          <w:rFonts w:ascii="Times New Roman" w:hAnsi="Times New Roman" w:cs="Times New Roman"/>
          <w:sz w:val="28"/>
          <w:szCs w:val="28"/>
          <w:lang w:val="en-ZA"/>
        </w:rPr>
      </w:pPr>
      <w:r w:rsidRPr="000F7DC1">
        <w:rPr>
          <w:rFonts w:ascii="Times New Roman" w:hAnsi="Times New Roman" w:cs="Times New Roman"/>
          <w:sz w:val="28"/>
          <w:szCs w:val="28"/>
          <w:lang w:val="en-ZA"/>
        </w:rPr>
        <w:t xml:space="preserve"> </w:t>
      </w:r>
    </w:p>
    <w:p w14:paraId="1F2A65BC" w14:textId="388D9678" w:rsidR="00EC4B53" w:rsidRDefault="00EC4B53" w:rsidP="00D45162">
      <w:pPr>
        <w:spacing w:after="0" w:line="360" w:lineRule="auto"/>
        <w:ind w:left="720" w:hanging="720"/>
        <w:jc w:val="both"/>
        <w:rPr>
          <w:rFonts w:ascii="Times New Roman" w:hAnsi="Times New Roman" w:cs="Times New Roman"/>
          <w:sz w:val="28"/>
          <w:szCs w:val="28"/>
          <w:lang w:val="en-ZA"/>
        </w:rPr>
      </w:pPr>
    </w:p>
    <w:p w14:paraId="2AD243C6" w14:textId="77777777" w:rsidR="00EC4B53" w:rsidRPr="00D45162" w:rsidRDefault="00EC4B53" w:rsidP="00D45162">
      <w:pPr>
        <w:spacing w:after="0" w:line="360" w:lineRule="auto"/>
        <w:ind w:left="720" w:hanging="720"/>
        <w:jc w:val="both"/>
        <w:rPr>
          <w:rFonts w:ascii="Times New Roman" w:hAnsi="Times New Roman" w:cs="Times New Roman"/>
          <w:sz w:val="28"/>
          <w:szCs w:val="28"/>
          <w:lang w:val="en-ZA"/>
        </w:rPr>
      </w:pPr>
    </w:p>
    <w:p w14:paraId="746FC7F4" w14:textId="77777777" w:rsidR="001672E9" w:rsidRPr="000D4FC6" w:rsidRDefault="001672E9" w:rsidP="000D4FC6">
      <w:pPr>
        <w:spacing w:after="0" w:line="360" w:lineRule="auto"/>
        <w:jc w:val="both"/>
        <w:rPr>
          <w:rFonts w:ascii="Times New Roman" w:hAnsi="Times New Roman" w:cs="Times New Roman"/>
          <w:b/>
          <w:bCs/>
          <w:sz w:val="28"/>
          <w:szCs w:val="28"/>
          <w:lang w:val="en-ZA"/>
        </w:rPr>
      </w:pPr>
    </w:p>
    <w:p w14:paraId="60D2547A" w14:textId="77777777" w:rsidR="00DB70E9" w:rsidRPr="00B13741" w:rsidRDefault="00DB70E9" w:rsidP="00DB70E9">
      <w:pPr>
        <w:pStyle w:val="ListParagraph"/>
        <w:spacing w:after="0" w:line="360" w:lineRule="auto"/>
        <w:ind w:left="1440"/>
        <w:jc w:val="both"/>
        <w:rPr>
          <w:rFonts w:ascii="Times New Roman" w:hAnsi="Times New Roman" w:cs="Times New Roman"/>
          <w:sz w:val="28"/>
          <w:szCs w:val="28"/>
          <w:lang w:val="en-ZA"/>
        </w:rPr>
      </w:pPr>
    </w:p>
    <w:p w14:paraId="25E9C333" w14:textId="13F24496" w:rsidR="00B13741" w:rsidRDefault="00B13741" w:rsidP="00637994">
      <w:pPr>
        <w:spacing w:after="0" w:line="360" w:lineRule="auto"/>
        <w:ind w:left="720" w:hanging="720"/>
        <w:jc w:val="both"/>
        <w:rPr>
          <w:rFonts w:ascii="Times New Roman" w:hAnsi="Times New Roman" w:cs="Times New Roman"/>
          <w:sz w:val="28"/>
          <w:szCs w:val="28"/>
          <w:lang w:val="en-ZA"/>
        </w:rPr>
      </w:pPr>
    </w:p>
    <w:p w14:paraId="503DE5CA" w14:textId="77777777" w:rsidR="00B13741" w:rsidRPr="00020BB1" w:rsidRDefault="00B13741" w:rsidP="00637994">
      <w:pPr>
        <w:spacing w:after="0" w:line="360" w:lineRule="auto"/>
        <w:ind w:left="720" w:hanging="720"/>
        <w:jc w:val="both"/>
        <w:rPr>
          <w:rFonts w:ascii="Times New Roman" w:hAnsi="Times New Roman" w:cs="Times New Roman"/>
          <w:b/>
          <w:bCs/>
          <w:sz w:val="28"/>
          <w:szCs w:val="28"/>
          <w:lang w:val="en-ZA"/>
        </w:rPr>
      </w:pPr>
    </w:p>
    <w:p w14:paraId="45FCE531" w14:textId="11F165CA" w:rsidR="00020BB1" w:rsidRDefault="00020BB1" w:rsidP="00020BB1">
      <w:pPr>
        <w:spacing w:after="0" w:line="360" w:lineRule="auto"/>
        <w:jc w:val="both"/>
        <w:rPr>
          <w:rFonts w:ascii="Times New Roman" w:hAnsi="Times New Roman" w:cs="Times New Roman"/>
          <w:sz w:val="28"/>
          <w:szCs w:val="28"/>
          <w:lang w:val="en-ZA"/>
        </w:rPr>
      </w:pPr>
    </w:p>
    <w:p w14:paraId="74DAB9D1" w14:textId="77777777" w:rsidR="00020BB1" w:rsidRPr="0015189C" w:rsidRDefault="00020BB1" w:rsidP="00020BB1">
      <w:pPr>
        <w:spacing w:after="0" w:line="360" w:lineRule="auto"/>
        <w:jc w:val="both"/>
        <w:rPr>
          <w:rFonts w:ascii="Times New Roman" w:hAnsi="Times New Roman" w:cs="Times New Roman"/>
          <w:sz w:val="28"/>
          <w:szCs w:val="28"/>
          <w:lang w:val="en-ZA"/>
        </w:rPr>
      </w:pPr>
    </w:p>
    <w:p w14:paraId="475FAB96" w14:textId="77777777" w:rsidR="0015189C" w:rsidRPr="0015189C" w:rsidRDefault="0015189C" w:rsidP="0015189C">
      <w:pPr>
        <w:spacing w:after="0"/>
        <w:jc w:val="both"/>
        <w:rPr>
          <w:rFonts w:ascii="Times New Roman" w:hAnsi="Times New Roman" w:cs="Times New Roman"/>
          <w:b/>
          <w:bCs/>
          <w:sz w:val="28"/>
          <w:szCs w:val="28"/>
          <w:lang w:val="en-ZA"/>
        </w:rPr>
      </w:pPr>
    </w:p>
    <w:sectPr w:rsidR="0015189C" w:rsidRPr="0015189C" w:rsidSect="00B863E2">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50719" w14:textId="77777777" w:rsidR="007C4211" w:rsidRDefault="007C4211" w:rsidP="00B863E2">
      <w:pPr>
        <w:spacing w:after="0" w:line="240" w:lineRule="auto"/>
      </w:pPr>
      <w:r>
        <w:separator/>
      </w:r>
    </w:p>
  </w:endnote>
  <w:endnote w:type="continuationSeparator" w:id="0">
    <w:p w14:paraId="7C5F7347" w14:textId="77777777" w:rsidR="007C4211" w:rsidRDefault="007C4211" w:rsidP="00B86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2742725"/>
      <w:docPartObj>
        <w:docPartGallery w:val="Page Numbers (Bottom of Page)"/>
        <w:docPartUnique/>
      </w:docPartObj>
    </w:sdtPr>
    <w:sdtEndPr>
      <w:rPr>
        <w:noProof/>
      </w:rPr>
    </w:sdtEndPr>
    <w:sdtContent>
      <w:p w14:paraId="29D0AC5A" w14:textId="10CAF3B7" w:rsidR="00B863E2" w:rsidRDefault="00B863E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5C579B" w14:textId="77777777" w:rsidR="00B863E2" w:rsidRDefault="00B863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B84D5" w14:textId="77777777" w:rsidR="007C4211" w:rsidRDefault="007C4211" w:rsidP="00B863E2">
      <w:pPr>
        <w:spacing w:after="0" w:line="240" w:lineRule="auto"/>
      </w:pPr>
      <w:r>
        <w:separator/>
      </w:r>
    </w:p>
  </w:footnote>
  <w:footnote w:type="continuationSeparator" w:id="0">
    <w:p w14:paraId="48163843" w14:textId="77777777" w:rsidR="007C4211" w:rsidRDefault="007C4211" w:rsidP="00B863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10FEE"/>
    <w:multiLevelType w:val="hybridMultilevel"/>
    <w:tmpl w:val="0EAC531E"/>
    <w:lvl w:ilvl="0" w:tplc="B3A2E4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667BDF"/>
    <w:multiLevelType w:val="hybridMultilevel"/>
    <w:tmpl w:val="6094A10C"/>
    <w:lvl w:ilvl="0" w:tplc="274E45C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69D5D18"/>
    <w:multiLevelType w:val="hybridMultilevel"/>
    <w:tmpl w:val="85CA22AA"/>
    <w:lvl w:ilvl="0" w:tplc="BFD26A6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89C"/>
    <w:rsid w:val="00013FC3"/>
    <w:rsid w:val="000142B2"/>
    <w:rsid w:val="00020BB1"/>
    <w:rsid w:val="00025FF0"/>
    <w:rsid w:val="0003604D"/>
    <w:rsid w:val="00052710"/>
    <w:rsid w:val="00056023"/>
    <w:rsid w:val="00062F8A"/>
    <w:rsid w:val="000722FB"/>
    <w:rsid w:val="0007450C"/>
    <w:rsid w:val="000B287A"/>
    <w:rsid w:val="000B71A9"/>
    <w:rsid w:val="000C5AFE"/>
    <w:rsid w:val="000C61B9"/>
    <w:rsid w:val="000D4FC6"/>
    <w:rsid w:val="000D5895"/>
    <w:rsid w:val="000F4752"/>
    <w:rsid w:val="000F7DC1"/>
    <w:rsid w:val="0010293E"/>
    <w:rsid w:val="00111FBC"/>
    <w:rsid w:val="00133589"/>
    <w:rsid w:val="001336FB"/>
    <w:rsid w:val="00135C35"/>
    <w:rsid w:val="0015189C"/>
    <w:rsid w:val="00153972"/>
    <w:rsid w:val="001607FF"/>
    <w:rsid w:val="001672E9"/>
    <w:rsid w:val="00171B56"/>
    <w:rsid w:val="001868E4"/>
    <w:rsid w:val="0018718F"/>
    <w:rsid w:val="00194A02"/>
    <w:rsid w:val="001A62F5"/>
    <w:rsid w:val="001B05B8"/>
    <w:rsid w:val="001D2404"/>
    <w:rsid w:val="001F24A3"/>
    <w:rsid w:val="00203127"/>
    <w:rsid w:val="00204AEE"/>
    <w:rsid w:val="00212885"/>
    <w:rsid w:val="00223742"/>
    <w:rsid w:val="0022718D"/>
    <w:rsid w:val="0023299D"/>
    <w:rsid w:val="0023667C"/>
    <w:rsid w:val="0024295C"/>
    <w:rsid w:val="00253169"/>
    <w:rsid w:val="00254853"/>
    <w:rsid w:val="0026313B"/>
    <w:rsid w:val="0026322D"/>
    <w:rsid w:val="00263E3D"/>
    <w:rsid w:val="002951F2"/>
    <w:rsid w:val="00297D7B"/>
    <w:rsid w:val="002A0588"/>
    <w:rsid w:val="002B7EBC"/>
    <w:rsid w:val="002C6B3C"/>
    <w:rsid w:val="002E2887"/>
    <w:rsid w:val="002E44D4"/>
    <w:rsid w:val="002E5052"/>
    <w:rsid w:val="002F0B68"/>
    <w:rsid w:val="00301E5D"/>
    <w:rsid w:val="003034CC"/>
    <w:rsid w:val="00306EE4"/>
    <w:rsid w:val="00332CCF"/>
    <w:rsid w:val="003521A3"/>
    <w:rsid w:val="00357DC0"/>
    <w:rsid w:val="003631A8"/>
    <w:rsid w:val="003676FD"/>
    <w:rsid w:val="00375AB7"/>
    <w:rsid w:val="003773C5"/>
    <w:rsid w:val="003805CD"/>
    <w:rsid w:val="00384B3F"/>
    <w:rsid w:val="00390FA5"/>
    <w:rsid w:val="0039411E"/>
    <w:rsid w:val="003A1861"/>
    <w:rsid w:val="003B169A"/>
    <w:rsid w:val="003B59E5"/>
    <w:rsid w:val="003D15EB"/>
    <w:rsid w:val="003D211A"/>
    <w:rsid w:val="003D3C6D"/>
    <w:rsid w:val="003D487B"/>
    <w:rsid w:val="003E1BD6"/>
    <w:rsid w:val="003E3359"/>
    <w:rsid w:val="00403DE5"/>
    <w:rsid w:val="00420003"/>
    <w:rsid w:val="00422C7E"/>
    <w:rsid w:val="00434A19"/>
    <w:rsid w:val="00443CDF"/>
    <w:rsid w:val="0045671E"/>
    <w:rsid w:val="00475520"/>
    <w:rsid w:val="00475702"/>
    <w:rsid w:val="00487ECB"/>
    <w:rsid w:val="004B1501"/>
    <w:rsid w:val="004B33D3"/>
    <w:rsid w:val="004B7131"/>
    <w:rsid w:val="004C0409"/>
    <w:rsid w:val="004C4863"/>
    <w:rsid w:val="004C60A0"/>
    <w:rsid w:val="004E39C2"/>
    <w:rsid w:val="004E6C9A"/>
    <w:rsid w:val="004E78D0"/>
    <w:rsid w:val="004E7C6E"/>
    <w:rsid w:val="004F0D70"/>
    <w:rsid w:val="004F6E5D"/>
    <w:rsid w:val="00502162"/>
    <w:rsid w:val="00512812"/>
    <w:rsid w:val="00514621"/>
    <w:rsid w:val="00517BEB"/>
    <w:rsid w:val="00522360"/>
    <w:rsid w:val="005255ED"/>
    <w:rsid w:val="005273AF"/>
    <w:rsid w:val="005407C2"/>
    <w:rsid w:val="00550B4B"/>
    <w:rsid w:val="0055260E"/>
    <w:rsid w:val="00574A44"/>
    <w:rsid w:val="005927BE"/>
    <w:rsid w:val="005957A4"/>
    <w:rsid w:val="00596037"/>
    <w:rsid w:val="005D332A"/>
    <w:rsid w:val="005D6748"/>
    <w:rsid w:val="005F4477"/>
    <w:rsid w:val="005F7288"/>
    <w:rsid w:val="00607D7B"/>
    <w:rsid w:val="00611BFB"/>
    <w:rsid w:val="00623C02"/>
    <w:rsid w:val="006267CC"/>
    <w:rsid w:val="0063084A"/>
    <w:rsid w:val="00633AC8"/>
    <w:rsid w:val="00636A94"/>
    <w:rsid w:val="00637994"/>
    <w:rsid w:val="00641CD2"/>
    <w:rsid w:val="00642E01"/>
    <w:rsid w:val="00662BAE"/>
    <w:rsid w:val="0067348B"/>
    <w:rsid w:val="006858EA"/>
    <w:rsid w:val="006858F2"/>
    <w:rsid w:val="00687463"/>
    <w:rsid w:val="0068794C"/>
    <w:rsid w:val="00693A4A"/>
    <w:rsid w:val="006B1965"/>
    <w:rsid w:val="006B569A"/>
    <w:rsid w:val="006C08AB"/>
    <w:rsid w:val="006F6961"/>
    <w:rsid w:val="007007B4"/>
    <w:rsid w:val="00703F33"/>
    <w:rsid w:val="00736DCD"/>
    <w:rsid w:val="007608D8"/>
    <w:rsid w:val="00761893"/>
    <w:rsid w:val="007629E6"/>
    <w:rsid w:val="007842BE"/>
    <w:rsid w:val="00791F02"/>
    <w:rsid w:val="00794939"/>
    <w:rsid w:val="007A0FD0"/>
    <w:rsid w:val="007A2234"/>
    <w:rsid w:val="007B3311"/>
    <w:rsid w:val="007B790B"/>
    <w:rsid w:val="007C3017"/>
    <w:rsid w:val="007C3520"/>
    <w:rsid w:val="007C4211"/>
    <w:rsid w:val="007D3AE6"/>
    <w:rsid w:val="007E1164"/>
    <w:rsid w:val="007E6B09"/>
    <w:rsid w:val="007F046F"/>
    <w:rsid w:val="00801C58"/>
    <w:rsid w:val="00837668"/>
    <w:rsid w:val="0084328E"/>
    <w:rsid w:val="00843671"/>
    <w:rsid w:val="00844CA2"/>
    <w:rsid w:val="008527EE"/>
    <w:rsid w:val="0085731B"/>
    <w:rsid w:val="00857E0F"/>
    <w:rsid w:val="00866007"/>
    <w:rsid w:val="00882470"/>
    <w:rsid w:val="008940BB"/>
    <w:rsid w:val="008D0C83"/>
    <w:rsid w:val="008E4710"/>
    <w:rsid w:val="008F3539"/>
    <w:rsid w:val="00946AA8"/>
    <w:rsid w:val="00951E2E"/>
    <w:rsid w:val="00962557"/>
    <w:rsid w:val="009755EF"/>
    <w:rsid w:val="0098680E"/>
    <w:rsid w:val="00987502"/>
    <w:rsid w:val="009913D7"/>
    <w:rsid w:val="009B2A94"/>
    <w:rsid w:val="009C03F0"/>
    <w:rsid w:val="009C51AB"/>
    <w:rsid w:val="009D424F"/>
    <w:rsid w:val="009D4985"/>
    <w:rsid w:val="009E5BA8"/>
    <w:rsid w:val="00A35665"/>
    <w:rsid w:val="00A41A2E"/>
    <w:rsid w:val="00A52918"/>
    <w:rsid w:val="00A56AE3"/>
    <w:rsid w:val="00A64620"/>
    <w:rsid w:val="00A64D59"/>
    <w:rsid w:val="00A659AB"/>
    <w:rsid w:val="00A7297C"/>
    <w:rsid w:val="00A75C86"/>
    <w:rsid w:val="00A86520"/>
    <w:rsid w:val="00A87600"/>
    <w:rsid w:val="00AA0DA3"/>
    <w:rsid w:val="00AA6EC4"/>
    <w:rsid w:val="00AC4D50"/>
    <w:rsid w:val="00AD24BF"/>
    <w:rsid w:val="00AD3A8E"/>
    <w:rsid w:val="00B1267E"/>
    <w:rsid w:val="00B13741"/>
    <w:rsid w:val="00B22D92"/>
    <w:rsid w:val="00B268B5"/>
    <w:rsid w:val="00B35537"/>
    <w:rsid w:val="00B40829"/>
    <w:rsid w:val="00B544C1"/>
    <w:rsid w:val="00B54F99"/>
    <w:rsid w:val="00B564BF"/>
    <w:rsid w:val="00B62F79"/>
    <w:rsid w:val="00B738EF"/>
    <w:rsid w:val="00B863E2"/>
    <w:rsid w:val="00BB0DFE"/>
    <w:rsid w:val="00BC594F"/>
    <w:rsid w:val="00BE133A"/>
    <w:rsid w:val="00BE5069"/>
    <w:rsid w:val="00BF314A"/>
    <w:rsid w:val="00C0197C"/>
    <w:rsid w:val="00C07169"/>
    <w:rsid w:val="00C13023"/>
    <w:rsid w:val="00C21A00"/>
    <w:rsid w:val="00C2778C"/>
    <w:rsid w:val="00C31741"/>
    <w:rsid w:val="00C3769C"/>
    <w:rsid w:val="00C56CE8"/>
    <w:rsid w:val="00C61D0A"/>
    <w:rsid w:val="00C82094"/>
    <w:rsid w:val="00C861ED"/>
    <w:rsid w:val="00C86FEE"/>
    <w:rsid w:val="00C93154"/>
    <w:rsid w:val="00C93C19"/>
    <w:rsid w:val="00CA45F3"/>
    <w:rsid w:val="00CB2147"/>
    <w:rsid w:val="00CC069D"/>
    <w:rsid w:val="00CC5288"/>
    <w:rsid w:val="00CE196A"/>
    <w:rsid w:val="00D11E98"/>
    <w:rsid w:val="00D17550"/>
    <w:rsid w:val="00D242F7"/>
    <w:rsid w:val="00D2795A"/>
    <w:rsid w:val="00D30A18"/>
    <w:rsid w:val="00D448E7"/>
    <w:rsid w:val="00D45162"/>
    <w:rsid w:val="00D46FB4"/>
    <w:rsid w:val="00D722E0"/>
    <w:rsid w:val="00DA730D"/>
    <w:rsid w:val="00DA79ED"/>
    <w:rsid w:val="00DB70E9"/>
    <w:rsid w:val="00DD10A3"/>
    <w:rsid w:val="00DF7BF0"/>
    <w:rsid w:val="00E02A70"/>
    <w:rsid w:val="00E17EBF"/>
    <w:rsid w:val="00E2002B"/>
    <w:rsid w:val="00E326DF"/>
    <w:rsid w:val="00E32AFB"/>
    <w:rsid w:val="00E61C93"/>
    <w:rsid w:val="00E66C44"/>
    <w:rsid w:val="00E73C45"/>
    <w:rsid w:val="00EA3A69"/>
    <w:rsid w:val="00EA65B8"/>
    <w:rsid w:val="00EB213E"/>
    <w:rsid w:val="00EB2D47"/>
    <w:rsid w:val="00EC2315"/>
    <w:rsid w:val="00EC4B53"/>
    <w:rsid w:val="00ED5619"/>
    <w:rsid w:val="00ED79E9"/>
    <w:rsid w:val="00EF3187"/>
    <w:rsid w:val="00F07A10"/>
    <w:rsid w:val="00F11828"/>
    <w:rsid w:val="00F24B6C"/>
    <w:rsid w:val="00F34A6E"/>
    <w:rsid w:val="00FB1C42"/>
    <w:rsid w:val="00FB371F"/>
    <w:rsid w:val="00FC2806"/>
    <w:rsid w:val="00FC5909"/>
    <w:rsid w:val="00FD526D"/>
    <w:rsid w:val="00FD6D31"/>
    <w:rsid w:val="00FD79F5"/>
    <w:rsid w:val="00FF0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0A698"/>
  <w15:chartTrackingRefBased/>
  <w15:docId w15:val="{F51336B6-251D-4583-97AD-B4E68C6F6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3359"/>
    <w:pPr>
      <w:keepNext/>
      <w:spacing w:after="0" w:line="360" w:lineRule="auto"/>
      <w:jc w:val="both"/>
      <w:outlineLvl w:val="0"/>
    </w:pPr>
    <w:rPr>
      <w:rFonts w:ascii="Times New Roman" w:hAnsi="Times New Roman" w:cs="Times New Roman"/>
      <w:b/>
      <w:bCs/>
      <w:sz w:val="28"/>
      <w:szCs w:val="28"/>
      <w:u w:val="single"/>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741"/>
    <w:pPr>
      <w:ind w:left="720"/>
      <w:contextualSpacing/>
    </w:pPr>
  </w:style>
  <w:style w:type="paragraph" w:styleId="Header">
    <w:name w:val="header"/>
    <w:basedOn w:val="Normal"/>
    <w:link w:val="HeaderChar"/>
    <w:uiPriority w:val="99"/>
    <w:unhideWhenUsed/>
    <w:rsid w:val="00B863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3E2"/>
  </w:style>
  <w:style w:type="paragraph" w:styleId="Footer">
    <w:name w:val="footer"/>
    <w:basedOn w:val="Normal"/>
    <w:link w:val="FooterChar"/>
    <w:uiPriority w:val="99"/>
    <w:unhideWhenUsed/>
    <w:rsid w:val="00B863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3E2"/>
  </w:style>
  <w:style w:type="paragraph" w:styleId="Title">
    <w:name w:val="Title"/>
    <w:basedOn w:val="Normal"/>
    <w:next w:val="Normal"/>
    <w:link w:val="TitleChar"/>
    <w:uiPriority w:val="10"/>
    <w:qFormat/>
    <w:rsid w:val="009C03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03F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E3359"/>
    <w:rPr>
      <w:rFonts w:ascii="Times New Roman" w:hAnsi="Times New Roman" w:cs="Times New Roman"/>
      <w:b/>
      <w:bCs/>
      <w:sz w:val="28"/>
      <w:szCs w:val="28"/>
      <w:u w:val="single"/>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2542</Words>
  <Characters>14494</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Leqhaoe</dc:creator>
  <cp:keywords/>
  <dc:description/>
  <cp:lastModifiedBy>Rebecca Leqhaoe</cp:lastModifiedBy>
  <cp:revision>2</cp:revision>
  <cp:lastPrinted>2022-06-08T13:08:00Z</cp:lastPrinted>
  <dcterms:created xsi:type="dcterms:W3CDTF">2022-06-08T13:08:00Z</dcterms:created>
  <dcterms:modified xsi:type="dcterms:W3CDTF">2022-06-08T13:08:00Z</dcterms:modified>
</cp:coreProperties>
</file>