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B3A3" w14:textId="2301CF93" w:rsidR="009E7E1A" w:rsidRDefault="009E7E1A" w:rsidP="009E7E1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784F872" w14:textId="633BF02C" w:rsidR="003D5083" w:rsidRDefault="003D5083" w:rsidP="009E7E1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D79C21F" w14:textId="77777777" w:rsidR="003D5083" w:rsidRDefault="003D5083" w:rsidP="009E7E1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089705B" w14:textId="77777777" w:rsidR="001A7496" w:rsidRDefault="001A7496" w:rsidP="009E7E1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C672225" w14:textId="77777777" w:rsidR="009E7E1A" w:rsidRDefault="00ED1A68" w:rsidP="009E7E1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IN THE HIGH COURT OF LESOTHO</w:t>
      </w:r>
    </w:p>
    <w:p w14:paraId="7B95CC8A" w14:textId="0EFB798A" w:rsidR="009E7E1A" w:rsidRDefault="00ED1A68" w:rsidP="009E7E1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</w:p>
    <w:p w14:paraId="3CD4C7F0" w14:textId="77777777" w:rsidR="009E7E1A" w:rsidRDefault="00ED1A68" w:rsidP="009E7E1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  <w:t>CIV/APN/106/2021</w:t>
      </w:r>
    </w:p>
    <w:p w14:paraId="4A071B21" w14:textId="77777777" w:rsidR="009E7E1A" w:rsidRDefault="009E7E1A" w:rsidP="009E7E1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DA88BC5" w14:textId="77777777" w:rsidR="009E7E1A" w:rsidRDefault="00ED1A68" w:rsidP="009E7E1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HELD AT MASERU</w:t>
      </w:r>
    </w:p>
    <w:p w14:paraId="1606C2AF" w14:textId="77777777" w:rsidR="009E7E1A" w:rsidRDefault="009E7E1A" w:rsidP="009E7E1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C677D4E" w14:textId="77777777" w:rsidR="009E7E1A" w:rsidRDefault="00ED1A68" w:rsidP="009E7E1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 the matter between </w:t>
      </w:r>
    </w:p>
    <w:p w14:paraId="1DEEA1BA" w14:textId="675E4307" w:rsidR="009E7E1A" w:rsidRDefault="009E7E1A"/>
    <w:p w14:paraId="263E603A" w14:textId="3CBE662D" w:rsidR="009E7E1A" w:rsidRPr="009E7E1A" w:rsidRDefault="00ED1A6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7E1A">
        <w:rPr>
          <w:rFonts w:ascii="Times New Roman" w:hAnsi="Times New Roman" w:cs="Times New Roman"/>
          <w:b/>
          <w:bCs/>
          <w:sz w:val="28"/>
          <w:szCs w:val="28"/>
        </w:rPr>
        <w:t>SILASE MOKHITLI</w:t>
      </w:r>
      <w:r w:rsidRPr="009E7E1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E7E1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E7E1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E7E1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E7E1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E7E1A">
        <w:rPr>
          <w:rFonts w:ascii="Times New Roman" w:hAnsi="Times New Roman" w:cs="Times New Roman"/>
          <w:b/>
          <w:bCs/>
          <w:sz w:val="28"/>
          <w:szCs w:val="28"/>
        </w:rPr>
        <w:tab/>
        <w:t>1</w:t>
      </w:r>
      <w:r w:rsidRPr="009E7E1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Pr="009E7E1A">
        <w:rPr>
          <w:rFonts w:ascii="Times New Roman" w:hAnsi="Times New Roman" w:cs="Times New Roman"/>
          <w:b/>
          <w:bCs/>
          <w:sz w:val="28"/>
          <w:szCs w:val="28"/>
        </w:rPr>
        <w:t xml:space="preserve"> APPLICANT</w:t>
      </w:r>
    </w:p>
    <w:p w14:paraId="6F62AD87" w14:textId="00DA77CC" w:rsidR="009E7E1A" w:rsidRDefault="00ED1A6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7E1A">
        <w:rPr>
          <w:rFonts w:ascii="Times New Roman" w:hAnsi="Times New Roman" w:cs="Times New Roman"/>
          <w:b/>
          <w:bCs/>
          <w:sz w:val="28"/>
          <w:szCs w:val="28"/>
        </w:rPr>
        <w:t>SE</w:t>
      </w:r>
      <w:r>
        <w:rPr>
          <w:rFonts w:ascii="Times New Roman" w:hAnsi="Times New Roman" w:cs="Times New Roman"/>
          <w:b/>
          <w:bCs/>
          <w:sz w:val="28"/>
          <w:szCs w:val="28"/>
        </w:rPr>
        <w:t>MONKO LESENYEHO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2</w:t>
      </w:r>
      <w:r w:rsidRPr="009E7E1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APPLICANT</w:t>
      </w:r>
    </w:p>
    <w:p w14:paraId="58327139" w14:textId="63024DC9" w:rsidR="009E7E1A" w:rsidRDefault="00ED1A6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MAKO CHOBOKOANE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3</w:t>
      </w:r>
      <w:r w:rsidRPr="009E7E1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APPLICANT</w:t>
      </w:r>
    </w:p>
    <w:p w14:paraId="6A6F1273" w14:textId="55038ECE" w:rsidR="009E7E1A" w:rsidRDefault="00ED1A6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KHOALE THEBE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4</w:t>
      </w:r>
      <w:r w:rsidRPr="009E7E1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APPLICANT</w:t>
      </w:r>
    </w:p>
    <w:p w14:paraId="048A53B3" w14:textId="22EACCD3" w:rsidR="009E7E1A" w:rsidRDefault="00ED1A6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THABO NK</w:t>
      </w:r>
      <w:r w:rsidR="005B43C3">
        <w:rPr>
          <w:rFonts w:ascii="Times New Roman" w:hAnsi="Times New Roman" w:cs="Times New Roman"/>
          <w:b/>
          <w:bCs/>
          <w:sz w:val="28"/>
          <w:szCs w:val="28"/>
        </w:rPr>
        <w:t>ESI</w:t>
      </w:r>
      <w:r w:rsidR="005B43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B43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B43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B43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B43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B43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B43C3">
        <w:rPr>
          <w:rFonts w:ascii="Times New Roman" w:hAnsi="Times New Roman" w:cs="Times New Roman"/>
          <w:b/>
          <w:bCs/>
          <w:sz w:val="28"/>
          <w:szCs w:val="28"/>
        </w:rPr>
        <w:tab/>
        <w:t>5</w:t>
      </w:r>
      <w:r w:rsidR="005B43C3" w:rsidRPr="005B43C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5B43C3">
        <w:rPr>
          <w:rFonts w:ascii="Times New Roman" w:hAnsi="Times New Roman" w:cs="Times New Roman"/>
          <w:b/>
          <w:bCs/>
          <w:sz w:val="28"/>
          <w:szCs w:val="28"/>
        </w:rPr>
        <w:t xml:space="preserve"> APPLICANT</w:t>
      </w:r>
    </w:p>
    <w:p w14:paraId="24C08D9A" w14:textId="47A02491" w:rsidR="005B43C3" w:rsidRDefault="00ED1A6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MATHABO MOKALANYANE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6</w:t>
      </w:r>
      <w:r w:rsidRPr="005B43C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APPLICANT</w:t>
      </w:r>
    </w:p>
    <w:p w14:paraId="65A7A7C3" w14:textId="6BDBE2EA" w:rsidR="005B43C3" w:rsidRDefault="005B43C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D9D2D9B" w14:textId="3174F5B0" w:rsidR="005B43C3" w:rsidRDefault="00ED1A6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AND</w:t>
      </w:r>
    </w:p>
    <w:p w14:paraId="6F023993" w14:textId="4367B809" w:rsidR="005B43C3" w:rsidRDefault="005B43C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D0C0004" w14:textId="7AE51D29" w:rsidR="005B43C3" w:rsidRDefault="00ED1A6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MOTINYANE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MOTINYANE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1</w:t>
      </w:r>
      <w:r w:rsidRPr="005B43C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RESPONDENT</w:t>
      </w:r>
    </w:p>
    <w:p w14:paraId="66E2519E" w14:textId="4EAF7819" w:rsidR="005B43C3" w:rsidRDefault="00ED1A6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MATSEKISO MOTINYANE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2</w:t>
      </w:r>
      <w:r w:rsidRPr="005B43C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RESPONDENT</w:t>
      </w:r>
    </w:p>
    <w:p w14:paraId="01DCDC9D" w14:textId="77777777" w:rsidR="005B43C3" w:rsidRDefault="00ED1A6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MATOKELO MORIE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3</w:t>
      </w:r>
      <w:r w:rsidRPr="005B43C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RESPONDENT</w:t>
      </w:r>
    </w:p>
    <w:p w14:paraId="7E790439" w14:textId="77777777" w:rsidR="005B43C3" w:rsidRDefault="00ED1A6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MPHONYANE KEKANA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4</w:t>
      </w:r>
      <w:r w:rsidRPr="005B43C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RESPONDENT</w:t>
      </w:r>
    </w:p>
    <w:p w14:paraId="196A06AF" w14:textId="77777777" w:rsidR="005B43C3" w:rsidRDefault="00ED1A6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NONDABEZITHE BABELI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5</w:t>
      </w:r>
      <w:r w:rsidRPr="005B43C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RESPONDENT</w:t>
      </w:r>
    </w:p>
    <w:p w14:paraId="07F0C5A8" w14:textId="77777777" w:rsidR="005B43C3" w:rsidRDefault="00ED1A6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LELIMO MONESE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6</w:t>
      </w:r>
      <w:r w:rsidRPr="005B43C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RESPONDENT</w:t>
      </w:r>
    </w:p>
    <w:p w14:paraId="09077B40" w14:textId="77777777" w:rsidR="00F54C26" w:rsidRDefault="00ED1A6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NATIONAL EXECUTIVE COMMITTEE OF</w:t>
      </w:r>
    </w:p>
    <w:p w14:paraId="1324B771" w14:textId="7C368A8E" w:rsidR="00F54C26" w:rsidRDefault="00ED1A6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ALL BASOTHO CONVENTION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7</w:t>
      </w:r>
      <w:r w:rsidRPr="00F54C2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RESPONDENT</w:t>
      </w:r>
    </w:p>
    <w:p w14:paraId="2E732829" w14:textId="77777777" w:rsidR="00F54C26" w:rsidRDefault="00ED1A6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ALL BASOTHO CONVENTION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8</w:t>
      </w:r>
      <w:r w:rsidRPr="00F54C2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RESPONDENT</w:t>
      </w:r>
    </w:p>
    <w:p w14:paraId="35095E84" w14:textId="77777777" w:rsidR="00F54C26" w:rsidRDefault="00ED1A6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MONTOELI MASOETSA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9</w:t>
      </w:r>
      <w:r w:rsidRPr="00F54C2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RESPONDENT</w:t>
      </w:r>
    </w:p>
    <w:p w14:paraId="2AB08064" w14:textId="77777777" w:rsidR="00F54C26" w:rsidRDefault="00ED1A6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MASEENG MAPUTSOE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10</w:t>
      </w:r>
      <w:r w:rsidRPr="00F54C2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RESPONDENT</w:t>
      </w:r>
    </w:p>
    <w:p w14:paraId="7311E4C7" w14:textId="5913B448" w:rsidR="001A7496" w:rsidRDefault="001A7496" w:rsidP="003F0B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Neutral Citation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Silase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Mokhethi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&amp; 5 others v</w:t>
      </w:r>
      <w:r w:rsidR="000368FF">
        <w:rPr>
          <w:rFonts w:ascii="Times New Roman" w:hAnsi="Times New Roman" w:cs="Times New Roman"/>
          <w:sz w:val="28"/>
          <w:szCs w:val="28"/>
        </w:rPr>
        <w:t xml:space="preserve">s </w:t>
      </w:r>
      <w:proofErr w:type="spellStart"/>
      <w:r w:rsidR="000368FF">
        <w:rPr>
          <w:rFonts w:ascii="Times New Roman" w:hAnsi="Times New Roman" w:cs="Times New Roman"/>
          <w:sz w:val="28"/>
          <w:szCs w:val="28"/>
        </w:rPr>
        <w:t>Motinyane</w:t>
      </w:r>
      <w:proofErr w:type="spellEnd"/>
      <w:r w:rsidR="00036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8FF">
        <w:rPr>
          <w:rFonts w:ascii="Times New Roman" w:hAnsi="Times New Roman" w:cs="Times New Roman"/>
          <w:sz w:val="28"/>
          <w:szCs w:val="28"/>
        </w:rPr>
        <w:t>Motinyane</w:t>
      </w:r>
      <w:proofErr w:type="spellEnd"/>
      <w:r w:rsidR="000368FF">
        <w:rPr>
          <w:rFonts w:ascii="Times New Roman" w:hAnsi="Times New Roman" w:cs="Times New Roman"/>
          <w:sz w:val="28"/>
          <w:szCs w:val="28"/>
        </w:rPr>
        <w:t xml:space="preserve"> &amp; 9 others [2022] LSHC </w:t>
      </w:r>
      <w:proofErr w:type="spellStart"/>
      <w:r w:rsidR="000368FF">
        <w:rPr>
          <w:rFonts w:ascii="Times New Roman" w:hAnsi="Times New Roman" w:cs="Times New Roman"/>
          <w:sz w:val="28"/>
          <w:szCs w:val="28"/>
        </w:rPr>
        <w:t>Civ</w:t>
      </w:r>
      <w:proofErr w:type="spellEnd"/>
      <w:r w:rsidR="000368FF">
        <w:rPr>
          <w:rFonts w:ascii="Times New Roman" w:hAnsi="Times New Roman" w:cs="Times New Roman"/>
          <w:sz w:val="28"/>
          <w:szCs w:val="28"/>
        </w:rPr>
        <w:t xml:space="preserve"> </w:t>
      </w:r>
      <w:r w:rsidR="003F0BE5">
        <w:rPr>
          <w:rFonts w:ascii="Times New Roman" w:hAnsi="Times New Roman" w:cs="Times New Roman"/>
          <w:sz w:val="28"/>
          <w:szCs w:val="28"/>
        </w:rPr>
        <w:t>267</w:t>
      </w:r>
      <w:r w:rsidR="000368FF">
        <w:rPr>
          <w:rFonts w:ascii="Times New Roman" w:hAnsi="Times New Roman" w:cs="Times New Roman"/>
          <w:sz w:val="28"/>
          <w:szCs w:val="28"/>
        </w:rPr>
        <w:t xml:space="preserve"> (29 September 2022)</w:t>
      </w:r>
    </w:p>
    <w:p w14:paraId="32C8E617" w14:textId="77777777" w:rsidR="00096FFC" w:rsidRPr="001A7496" w:rsidRDefault="00096FFC" w:rsidP="00B92F9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E8553B" w14:textId="77777777" w:rsidR="00F54C26" w:rsidRDefault="00ED1A68" w:rsidP="00C31F7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CORAM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M.P. RALEBESE J.</w:t>
      </w:r>
    </w:p>
    <w:p w14:paraId="01E77D04" w14:textId="57131CB8" w:rsidR="00F54C26" w:rsidRDefault="00ED1A6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HEARD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E6E3C">
        <w:rPr>
          <w:rFonts w:ascii="Times New Roman" w:hAnsi="Times New Roman" w:cs="Times New Roman"/>
          <w:b/>
          <w:bCs/>
          <w:sz w:val="28"/>
          <w:szCs w:val="28"/>
        </w:rPr>
        <w:t>07 SEPTEMBER 2022</w:t>
      </w:r>
    </w:p>
    <w:p w14:paraId="2EB82133" w14:textId="1341B529" w:rsidR="00DA545E" w:rsidRDefault="00ED1A6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DATE OF JUDGMENT: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E6E3C">
        <w:rPr>
          <w:rFonts w:ascii="Times New Roman" w:hAnsi="Times New Roman" w:cs="Times New Roman"/>
          <w:b/>
          <w:bCs/>
          <w:sz w:val="28"/>
          <w:szCs w:val="28"/>
        </w:rPr>
        <w:t>29 SEPTEMBER 2022</w:t>
      </w:r>
    </w:p>
    <w:p w14:paraId="05EC150B" w14:textId="77777777" w:rsidR="00406CCC" w:rsidRDefault="00406CCC" w:rsidP="00D34118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/>
        </w:rPr>
      </w:pPr>
    </w:p>
    <w:p w14:paraId="492C380C" w14:textId="77777777" w:rsidR="00D34118" w:rsidRPr="00D34118" w:rsidRDefault="00ED1A68" w:rsidP="00D34118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/>
        </w:rPr>
      </w:pPr>
      <w:r w:rsidRPr="00D34118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/>
        </w:rPr>
        <w:t>SUMMARY</w:t>
      </w:r>
    </w:p>
    <w:p w14:paraId="406EFEE0" w14:textId="74ADD1CF" w:rsidR="00D34118" w:rsidRPr="00D34118" w:rsidRDefault="00ED1A68" w:rsidP="00D34118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>Inter Political Party dispute</w:t>
      </w:r>
      <w:r w:rsidR="00885D72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 xml:space="preserve"> -</w:t>
      </w:r>
      <w:r w:rsidR="00885D72" w:rsidRPr="00885D72">
        <w:t xml:space="preserve"> </w:t>
      </w:r>
      <w:r w:rsidR="00885D72" w:rsidRPr="00885D72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 xml:space="preserve">Challenge </w:t>
      </w:r>
      <w:r w:rsidR="00885D72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>over</w:t>
      </w:r>
      <w:r w:rsidR="00885D72" w:rsidRPr="00885D72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 xml:space="preserve"> elected constituency committee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r w:rsidRPr="00D34118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>–</w:t>
      </w:r>
      <w:r w:rsidR="00885D72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r w:rsidR="00885D72" w:rsidRPr="00885D72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>Applicants raising new case in argument</w:t>
      </w:r>
      <w:r w:rsidR="00885D72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 xml:space="preserve">s </w:t>
      </w:r>
      <w:r w:rsidRPr="00D34118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>–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 xml:space="preserve">Matters raised purely political </w:t>
      </w:r>
      <w:r w:rsidR="00885D72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 xml:space="preserve">–Political 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>disputes deserv</w:t>
      </w:r>
      <w:r w:rsidR="00885D72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>e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 xml:space="preserve"> political resolution </w:t>
      </w:r>
      <w:r w:rsidR="00885D72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>–</w:t>
      </w:r>
      <w:r w:rsidRPr="00D34118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>Application dismissed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 xml:space="preserve"> with costs</w:t>
      </w:r>
      <w:r w:rsidRPr="00D34118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 xml:space="preserve">. </w:t>
      </w:r>
    </w:p>
    <w:p w14:paraId="7D349B08" w14:textId="77777777" w:rsidR="00D34118" w:rsidRPr="00D34118" w:rsidRDefault="00D34118" w:rsidP="00D34118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/>
        </w:rPr>
      </w:pPr>
    </w:p>
    <w:p w14:paraId="662C82EE" w14:textId="77777777" w:rsidR="00D34118" w:rsidRPr="00D34118" w:rsidRDefault="00ED1A68" w:rsidP="00D34118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/>
        </w:rPr>
      </w:pPr>
      <w:r w:rsidRPr="00D34118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/>
        </w:rPr>
        <w:t>ANNOTATIONS</w:t>
      </w:r>
    </w:p>
    <w:p w14:paraId="54A7DC92" w14:textId="77777777" w:rsidR="00D34118" w:rsidRPr="00D34118" w:rsidRDefault="00D34118" w:rsidP="00D34118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/>
        </w:rPr>
      </w:pPr>
    </w:p>
    <w:p w14:paraId="46C5AD66" w14:textId="77777777" w:rsidR="00D34118" w:rsidRPr="00D34118" w:rsidRDefault="00ED1A68" w:rsidP="00D34118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D34118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/>
        </w:rPr>
        <w:t>CITED CASES</w:t>
      </w:r>
      <w:r w:rsidRPr="00D34118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:</w:t>
      </w:r>
    </w:p>
    <w:p w14:paraId="2899EC29" w14:textId="77777777" w:rsidR="00D34118" w:rsidRPr="00D34118" w:rsidRDefault="00D34118" w:rsidP="00D34118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14:paraId="3405AD06" w14:textId="77777777" w:rsidR="00D34118" w:rsidRPr="00D34118" w:rsidRDefault="00ED1A68" w:rsidP="00D34118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/>
        </w:rPr>
      </w:pPr>
      <w:r w:rsidRPr="00D34118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/>
        </w:rPr>
        <w:t>LESOTHO</w:t>
      </w:r>
    </w:p>
    <w:p w14:paraId="207171E8" w14:textId="3989A315" w:rsidR="00D34118" w:rsidRDefault="00ED1A68" w:rsidP="00BD5679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34118">
        <w:rPr>
          <w:rFonts w:ascii="Times New Roman" w:eastAsia="Calibri" w:hAnsi="Times New Roman" w:cs="Times New Roman"/>
          <w:sz w:val="28"/>
          <w:szCs w:val="28"/>
          <w:lang w:val="en-US"/>
        </w:rPr>
        <w:t>Basutoland Congress Party a</w:t>
      </w:r>
      <w:r w:rsidR="00BD567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nd Another v </w:t>
      </w:r>
      <w:proofErr w:type="spellStart"/>
      <w:r w:rsidR="00BD5679">
        <w:rPr>
          <w:rFonts w:ascii="Times New Roman" w:eastAsia="Calibri" w:hAnsi="Times New Roman" w:cs="Times New Roman"/>
          <w:sz w:val="28"/>
          <w:szCs w:val="28"/>
          <w:lang w:val="en-US"/>
        </w:rPr>
        <w:t>Molapo</w:t>
      </w:r>
      <w:proofErr w:type="spellEnd"/>
      <w:r w:rsidR="00BD567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D5679">
        <w:rPr>
          <w:rFonts w:ascii="Times New Roman" w:eastAsia="Calibri" w:hAnsi="Times New Roman" w:cs="Times New Roman"/>
          <w:sz w:val="28"/>
          <w:szCs w:val="28"/>
          <w:lang w:val="en-US"/>
        </w:rPr>
        <w:t>Qhobela</w:t>
      </w:r>
      <w:proofErr w:type="spellEnd"/>
      <w:r w:rsidR="00BD567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and </w:t>
      </w:r>
      <w:r w:rsidRPr="00D34118">
        <w:rPr>
          <w:rFonts w:ascii="Times New Roman" w:eastAsia="Calibri" w:hAnsi="Times New Roman" w:cs="Times New Roman"/>
          <w:sz w:val="28"/>
          <w:szCs w:val="28"/>
          <w:lang w:val="en-US"/>
        </w:rPr>
        <w:t>Another (CIV/APN/410/99) [2000] LSCA 10 (17 January 2000</w:t>
      </w:r>
    </w:p>
    <w:p w14:paraId="081F7422" w14:textId="3CFDC950" w:rsidR="00D34118" w:rsidRDefault="00ED1A68" w:rsidP="00BD5679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3411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Frasers Lesotho v </w:t>
      </w:r>
      <w:proofErr w:type="spellStart"/>
      <w:r w:rsidRPr="00D34118">
        <w:rPr>
          <w:rFonts w:ascii="Times New Roman" w:eastAsia="Calibri" w:hAnsi="Times New Roman" w:cs="Times New Roman"/>
          <w:sz w:val="28"/>
          <w:szCs w:val="28"/>
          <w:lang w:val="en-US"/>
        </w:rPr>
        <w:t>Hata</w:t>
      </w:r>
      <w:proofErr w:type="spellEnd"/>
      <w:r w:rsidRPr="00D3411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4118">
        <w:rPr>
          <w:rFonts w:ascii="Times New Roman" w:eastAsia="Calibri" w:hAnsi="Times New Roman" w:cs="Times New Roman"/>
          <w:sz w:val="28"/>
          <w:szCs w:val="28"/>
          <w:lang w:val="en-US"/>
        </w:rPr>
        <w:t>Butle</w:t>
      </w:r>
      <w:proofErr w:type="spellEnd"/>
      <w:r w:rsidRPr="00D3411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(Pty) Ltd LAC (1995-1999) 698 </w:t>
      </w:r>
    </w:p>
    <w:p w14:paraId="78A378D8" w14:textId="7E39E376" w:rsidR="00D34118" w:rsidRDefault="00ED1A68" w:rsidP="00BD5679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34118">
        <w:rPr>
          <w:rFonts w:ascii="Times New Roman" w:eastAsia="Calibri" w:hAnsi="Times New Roman" w:cs="Times New Roman"/>
          <w:sz w:val="28"/>
          <w:szCs w:val="28"/>
          <w:lang w:val="en-US"/>
        </w:rPr>
        <w:t>Koko-koro constituency committee and 2 others v Executive Committee – ABC and 8 others C of A (</w:t>
      </w:r>
      <w:r w:rsidR="00BD5679">
        <w:rPr>
          <w:rFonts w:ascii="Times New Roman" w:eastAsia="Calibri" w:hAnsi="Times New Roman" w:cs="Times New Roman"/>
          <w:sz w:val="28"/>
          <w:szCs w:val="28"/>
          <w:lang w:val="en-US"/>
        </w:rPr>
        <w:t>CIV</w:t>
      </w:r>
      <w:r w:rsidRPr="00D34118">
        <w:rPr>
          <w:rFonts w:ascii="Times New Roman" w:eastAsia="Calibri" w:hAnsi="Times New Roman" w:cs="Times New Roman"/>
          <w:sz w:val="28"/>
          <w:szCs w:val="28"/>
          <w:lang w:val="en-US"/>
        </w:rPr>
        <w:t>) N0.10 of 2019</w:t>
      </w:r>
    </w:p>
    <w:p w14:paraId="44062A57" w14:textId="684B1954" w:rsidR="00D34118" w:rsidRDefault="00ED1A68" w:rsidP="00BD5679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3411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Lesotho National Olympics Committee v </w:t>
      </w:r>
      <w:proofErr w:type="spellStart"/>
      <w:r w:rsidRPr="00D34118">
        <w:rPr>
          <w:rFonts w:ascii="Times New Roman" w:eastAsia="Calibri" w:hAnsi="Times New Roman" w:cs="Times New Roman"/>
          <w:sz w:val="28"/>
          <w:szCs w:val="28"/>
          <w:lang w:val="en-US"/>
        </w:rPr>
        <w:t>Morolong</w:t>
      </w:r>
      <w:proofErr w:type="spellEnd"/>
      <w:r w:rsidRPr="00D3411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(2000-2004) LAC 450 </w:t>
      </w:r>
    </w:p>
    <w:p w14:paraId="5916B628" w14:textId="7035EF5C" w:rsidR="00D34118" w:rsidRDefault="00ED1A68" w:rsidP="00BD567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09A1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 xml:space="preserve">Pela- </w:t>
      </w:r>
      <w:proofErr w:type="spellStart"/>
      <w:r w:rsidRPr="00D009A1">
        <w:rPr>
          <w:rFonts w:ascii="Times New Roman" w:eastAsia="Calibri" w:hAnsi="Times New Roman" w:cs="Times New Roman"/>
          <w:sz w:val="28"/>
          <w:szCs w:val="28"/>
          <w:lang w:val="en-US"/>
        </w:rPr>
        <w:t>Tsoeu</w:t>
      </w:r>
      <w:proofErr w:type="spellEnd"/>
      <w:r w:rsidRPr="00D009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No.10 Constituency Committee of the Basutoland Congress Party v Basotho Congress Party and Executive Committee of the Basotho Congress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Party</w:t>
      </w:r>
      <w:r w:rsidRPr="00D009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(CIV/APN/360/08)</w:t>
      </w:r>
      <w:r w:rsidRPr="00D009A1">
        <w:t xml:space="preserve"> </w:t>
      </w:r>
      <w:r w:rsidRPr="00D009A1">
        <w:rPr>
          <w:rFonts w:ascii="Times New Roman" w:eastAsia="Calibri" w:hAnsi="Times New Roman" w:cs="Times New Roman"/>
          <w:sz w:val="28"/>
          <w:szCs w:val="28"/>
          <w:lang w:val="en-US"/>
        </w:rPr>
        <w:t>2011] LSHC 129 (22 June 2011)</w:t>
      </w:r>
      <w:r w:rsidR="00843AFF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3FF1A86A" w14:textId="77777777" w:rsidR="00D34118" w:rsidRPr="00D34118" w:rsidRDefault="00D34118" w:rsidP="00D34118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14:paraId="34D6C5C5" w14:textId="0D59FBEC" w:rsidR="00D34118" w:rsidRPr="00D34118" w:rsidRDefault="00ED1A68" w:rsidP="00D34118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/>
        </w:rPr>
        <w:t>OTHER JURISDICTIONS</w:t>
      </w:r>
    </w:p>
    <w:p w14:paraId="67C98D30" w14:textId="268675C2" w:rsidR="00D34118" w:rsidRDefault="00ED1A68" w:rsidP="00D34118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P</w:t>
      </w:r>
      <w:r w:rsidRPr="00B826C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atrick </w:t>
      </w:r>
      <w:proofErr w:type="spellStart"/>
      <w:r w:rsidRPr="00B826C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Bandawe</w:t>
      </w:r>
      <w:proofErr w:type="spellEnd"/>
      <w:r w:rsidRPr="00B826C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v Malawi Congress Party CIVIL CAUSE NO. 1010 OF 2018 </w:t>
      </w:r>
      <w:r w:rsidR="00843AF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[2019] MWHC 3 (08 January 2019)</w:t>
      </w:r>
    </w:p>
    <w:p w14:paraId="37AF5298" w14:textId="5B64F16E" w:rsidR="00843AFF" w:rsidRDefault="00ED1A68" w:rsidP="00096FFC">
      <w:pPr>
        <w:tabs>
          <w:tab w:val="left" w:pos="5430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43AFF">
        <w:rPr>
          <w:rFonts w:ascii="Times New Roman" w:eastAsia="Calibri" w:hAnsi="Times New Roman" w:cs="Times New Roman"/>
          <w:bCs/>
          <w:sz w:val="28"/>
          <w:szCs w:val="28"/>
        </w:rPr>
        <w:t xml:space="preserve">Trackman No v </w:t>
      </w:r>
      <w:proofErr w:type="spellStart"/>
      <w:r w:rsidRPr="00843AFF">
        <w:rPr>
          <w:rFonts w:ascii="Times New Roman" w:eastAsia="Calibri" w:hAnsi="Times New Roman" w:cs="Times New Roman"/>
          <w:bCs/>
          <w:sz w:val="28"/>
          <w:szCs w:val="28"/>
        </w:rPr>
        <w:t>Livshitz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1995 (1) SA 282</w:t>
      </w:r>
      <w:r w:rsidR="00096FFC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14:paraId="4A8EF169" w14:textId="68D02AEC" w:rsidR="00096FFC" w:rsidRPr="00096FFC" w:rsidRDefault="00096FFC" w:rsidP="00096FFC">
      <w:pPr>
        <w:tabs>
          <w:tab w:val="left" w:pos="5430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0BA183" w14:textId="13D3EFE5" w:rsidR="00096FFC" w:rsidRPr="00096FFC" w:rsidRDefault="00096FFC" w:rsidP="00096FFC">
      <w:pPr>
        <w:tabs>
          <w:tab w:val="left" w:pos="543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  <w:r w:rsidRPr="00096FFC">
        <w:rPr>
          <w:rFonts w:ascii="Times New Roman" w:eastAsia="Calibri" w:hAnsi="Times New Roman" w:cs="Times New Roman"/>
          <w:b/>
          <w:sz w:val="28"/>
          <w:szCs w:val="28"/>
          <w:u w:val="single"/>
        </w:rPr>
        <w:t>JUDGMENT</w:t>
      </w:r>
    </w:p>
    <w:p w14:paraId="01C7A934" w14:textId="77777777" w:rsidR="00D34118" w:rsidRPr="00D34118" w:rsidRDefault="00D34118" w:rsidP="00D34118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14:paraId="4BA72884" w14:textId="77777777" w:rsidR="00DA545E" w:rsidRDefault="00ED1A6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Background and facts</w:t>
      </w:r>
    </w:p>
    <w:p w14:paraId="07C90459" w14:textId="52871235" w:rsidR="00842CC0" w:rsidRPr="0015608E" w:rsidRDefault="00ED1A68" w:rsidP="0015608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08E">
        <w:rPr>
          <w:rFonts w:ascii="Times New Roman" w:hAnsi="Times New Roman" w:cs="Times New Roman"/>
          <w:sz w:val="28"/>
          <w:szCs w:val="28"/>
        </w:rPr>
        <w:t>Th</w:t>
      </w:r>
      <w:r w:rsidR="00FE6E3C" w:rsidRPr="0015608E">
        <w:rPr>
          <w:rFonts w:ascii="Times New Roman" w:hAnsi="Times New Roman" w:cs="Times New Roman"/>
          <w:sz w:val="28"/>
          <w:szCs w:val="28"/>
        </w:rPr>
        <w:t xml:space="preserve">is case involves a dispute between members of </w:t>
      </w:r>
      <w:r w:rsidRPr="0015608E">
        <w:rPr>
          <w:rFonts w:ascii="Times New Roman" w:hAnsi="Times New Roman" w:cs="Times New Roman"/>
          <w:sz w:val="28"/>
          <w:szCs w:val="28"/>
        </w:rPr>
        <w:t xml:space="preserve">the </w:t>
      </w:r>
      <w:proofErr w:type="gramStart"/>
      <w:r w:rsidRPr="0015608E">
        <w:rPr>
          <w:rFonts w:ascii="Times New Roman" w:hAnsi="Times New Roman" w:cs="Times New Roman"/>
          <w:sz w:val="28"/>
          <w:szCs w:val="28"/>
        </w:rPr>
        <w:t>All Basotho</w:t>
      </w:r>
      <w:proofErr w:type="gramEnd"/>
      <w:r w:rsidRPr="0015608E">
        <w:rPr>
          <w:rFonts w:ascii="Times New Roman" w:hAnsi="Times New Roman" w:cs="Times New Roman"/>
          <w:sz w:val="28"/>
          <w:szCs w:val="28"/>
        </w:rPr>
        <w:t xml:space="preserve"> Convention (ABC)</w:t>
      </w:r>
      <w:r w:rsidR="00FE6E3C" w:rsidRPr="0015608E">
        <w:rPr>
          <w:rFonts w:ascii="Times New Roman" w:hAnsi="Times New Roman" w:cs="Times New Roman"/>
          <w:sz w:val="28"/>
          <w:szCs w:val="28"/>
        </w:rPr>
        <w:t xml:space="preserve"> political party </w:t>
      </w:r>
      <w:r w:rsidRPr="0015608E">
        <w:rPr>
          <w:rFonts w:ascii="Times New Roman" w:hAnsi="Times New Roman" w:cs="Times New Roman"/>
          <w:sz w:val="28"/>
          <w:szCs w:val="28"/>
        </w:rPr>
        <w:t>f</w:t>
      </w:r>
      <w:r w:rsidR="00FE6E3C" w:rsidRPr="0015608E">
        <w:rPr>
          <w:rFonts w:ascii="Times New Roman" w:hAnsi="Times New Roman" w:cs="Times New Roman"/>
          <w:sz w:val="28"/>
          <w:szCs w:val="28"/>
        </w:rPr>
        <w:t>rom</w:t>
      </w:r>
      <w:r w:rsidRPr="00156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08E">
        <w:rPr>
          <w:rFonts w:ascii="Times New Roman" w:hAnsi="Times New Roman" w:cs="Times New Roman"/>
          <w:sz w:val="28"/>
          <w:szCs w:val="28"/>
        </w:rPr>
        <w:t>Thetsane</w:t>
      </w:r>
      <w:proofErr w:type="spellEnd"/>
      <w:r w:rsidRPr="0015608E">
        <w:rPr>
          <w:rFonts w:ascii="Times New Roman" w:hAnsi="Times New Roman" w:cs="Times New Roman"/>
          <w:sz w:val="28"/>
          <w:szCs w:val="28"/>
        </w:rPr>
        <w:t xml:space="preserve"> Constituency</w:t>
      </w:r>
      <w:r w:rsidR="00FE6E3C" w:rsidRPr="0015608E">
        <w:rPr>
          <w:rFonts w:ascii="Times New Roman" w:hAnsi="Times New Roman" w:cs="Times New Roman"/>
          <w:sz w:val="28"/>
          <w:szCs w:val="28"/>
        </w:rPr>
        <w:t xml:space="preserve"> No.34 </w:t>
      </w:r>
      <w:r w:rsidR="006C1367" w:rsidRPr="0015608E">
        <w:rPr>
          <w:rFonts w:ascii="Times New Roman" w:hAnsi="Times New Roman" w:cs="Times New Roman"/>
          <w:sz w:val="28"/>
          <w:szCs w:val="28"/>
        </w:rPr>
        <w:t>arising from elections of the</w:t>
      </w:r>
      <w:r w:rsidR="00FE6E3C" w:rsidRPr="0015608E">
        <w:rPr>
          <w:rFonts w:ascii="Times New Roman" w:hAnsi="Times New Roman" w:cs="Times New Roman"/>
          <w:sz w:val="28"/>
          <w:szCs w:val="28"/>
        </w:rPr>
        <w:t xml:space="preserve"> Constituency committee.</w:t>
      </w:r>
      <w:r w:rsidRPr="0015608E">
        <w:rPr>
          <w:rFonts w:ascii="Times New Roman" w:hAnsi="Times New Roman" w:cs="Times New Roman"/>
          <w:sz w:val="28"/>
          <w:szCs w:val="28"/>
        </w:rPr>
        <w:t xml:space="preserve"> </w:t>
      </w:r>
      <w:r w:rsidR="006C1367" w:rsidRPr="0015608E">
        <w:rPr>
          <w:rFonts w:ascii="Times New Roman" w:hAnsi="Times New Roman" w:cs="Times New Roman"/>
          <w:sz w:val="28"/>
          <w:szCs w:val="28"/>
        </w:rPr>
        <w:t>T</w:t>
      </w:r>
      <w:r w:rsidRPr="0015608E">
        <w:rPr>
          <w:rFonts w:ascii="Times New Roman" w:hAnsi="Times New Roman" w:cs="Times New Roman"/>
          <w:sz w:val="28"/>
          <w:szCs w:val="28"/>
        </w:rPr>
        <w:t>he 1</w:t>
      </w:r>
      <w:r w:rsidRPr="0015608E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15608E">
        <w:rPr>
          <w:rFonts w:ascii="Times New Roman" w:hAnsi="Times New Roman" w:cs="Times New Roman"/>
          <w:sz w:val="28"/>
          <w:szCs w:val="28"/>
        </w:rPr>
        <w:t>, 3</w:t>
      </w:r>
      <w:r w:rsidRPr="0015608E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15608E">
        <w:rPr>
          <w:rFonts w:ascii="Times New Roman" w:hAnsi="Times New Roman" w:cs="Times New Roman"/>
          <w:sz w:val="28"/>
          <w:szCs w:val="28"/>
        </w:rPr>
        <w:t xml:space="preserve"> and 6</w:t>
      </w:r>
      <w:r w:rsidRPr="0015608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15608E">
        <w:rPr>
          <w:rFonts w:ascii="Times New Roman" w:hAnsi="Times New Roman" w:cs="Times New Roman"/>
          <w:sz w:val="28"/>
          <w:szCs w:val="28"/>
        </w:rPr>
        <w:t xml:space="preserve"> applicants withdrew as parties in this matter </w:t>
      </w:r>
      <w:r w:rsidR="00FE6E3C" w:rsidRPr="0015608E">
        <w:rPr>
          <w:rFonts w:ascii="Times New Roman" w:hAnsi="Times New Roman" w:cs="Times New Roman"/>
          <w:sz w:val="28"/>
          <w:szCs w:val="28"/>
        </w:rPr>
        <w:t>immediately following its institution</w:t>
      </w:r>
      <w:r w:rsidRPr="0015608E">
        <w:rPr>
          <w:rFonts w:ascii="Times New Roman" w:hAnsi="Times New Roman" w:cs="Times New Roman"/>
          <w:sz w:val="28"/>
          <w:szCs w:val="28"/>
        </w:rPr>
        <w:t>. The</w:t>
      </w:r>
      <w:r w:rsidR="006C1367" w:rsidRPr="0015608E">
        <w:rPr>
          <w:rFonts w:ascii="Times New Roman" w:hAnsi="Times New Roman" w:cs="Times New Roman"/>
          <w:sz w:val="28"/>
          <w:szCs w:val="28"/>
        </w:rPr>
        <w:t xml:space="preserve"> remaining</w:t>
      </w:r>
      <w:r w:rsidRPr="0015608E">
        <w:rPr>
          <w:rFonts w:ascii="Times New Roman" w:hAnsi="Times New Roman" w:cs="Times New Roman"/>
          <w:sz w:val="28"/>
          <w:szCs w:val="28"/>
        </w:rPr>
        <w:t xml:space="preserve"> applicants are seeking the following substantive </w:t>
      </w:r>
      <w:proofErr w:type="gramStart"/>
      <w:r w:rsidRPr="0015608E">
        <w:rPr>
          <w:rFonts w:ascii="Times New Roman" w:hAnsi="Times New Roman" w:cs="Times New Roman"/>
          <w:sz w:val="28"/>
          <w:szCs w:val="28"/>
        </w:rPr>
        <w:t>p</w:t>
      </w:r>
      <w:r w:rsidR="002D7016">
        <w:rPr>
          <w:rFonts w:ascii="Times New Roman" w:hAnsi="Times New Roman" w:cs="Times New Roman"/>
          <w:sz w:val="28"/>
          <w:szCs w:val="28"/>
        </w:rPr>
        <w:t>r</w:t>
      </w:r>
      <w:r w:rsidRPr="0015608E">
        <w:rPr>
          <w:rFonts w:ascii="Times New Roman" w:hAnsi="Times New Roman" w:cs="Times New Roman"/>
          <w:sz w:val="28"/>
          <w:szCs w:val="28"/>
        </w:rPr>
        <w:t>ayers:-</w:t>
      </w:r>
      <w:proofErr w:type="gramEnd"/>
      <w:r w:rsidR="005B43C3" w:rsidRPr="0015608E">
        <w:rPr>
          <w:rFonts w:ascii="Times New Roman" w:hAnsi="Times New Roman" w:cs="Times New Roman"/>
          <w:sz w:val="28"/>
          <w:szCs w:val="28"/>
        </w:rPr>
        <w:tab/>
      </w:r>
    </w:p>
    <w:p w14:paraId="53D02813" w14:textId="77777777" w:rsidR="00842CC0" w:rsidRPr="00C31F76" w:rsidRDefault="00842CC0">
      <w:pPr>
        <w:rPr>
          <w:rFonts w:ascii="Times New Roman" w:hAnsi="Times New Roman" w:cs="Times New Roman"/>
          <w:sz w:val="28"/>
          <w:szCs w:val="28"/>
        </w:rPr>
      </w:pPr>
    </w:p>
    <w:p w14:paraId="0A424C3C" w14:textId="69FCB4B7" w:rsidR="0022426B" w:rsidRDefault="00ED1A68" w:rsidP="006C1367">
      <w:pPr>
        <w:spacing w:line="360" w:lineRule="auto"/>
        <w:ind w:left="144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(a) </w:t>
      </w:r>
      <w:r>
        <w:rPr>
          <w:rFonts w:ascii="Times New Roman" w:hAnsi="Times New Roman" w:cs="Times New Roman"/>
          <w:sz w:val="28"/>
          <w:szCs w:val="28"/>
        </w:rPr>
        <w:tab/>
        <w:t>That all the transactions made by the 1</w:t>
      </w:r>
      <w:r w:rsidRPr="0022426B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to 6</w:t>
      </w:r>
      <w:r w:rsidRPr="0022426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respondents from 25</w:t>
      </w:r>
      <w:r w:rsidRPr="0022426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July 2022 to the date of final judgment be declared null and void ab initio.</w:t>
      </w:r>
    </w:p>
    <w:p w14:paraId="6179132C" w14:textId="77777777" w:rsidR="0022426B" w:rsidRDefault="0022426B" w:rsidP="006C1367">
      <w:pPr>
        <w:pStyle w:val="NoSpacing"/>
        <w:spacing w:line="360" w:lineRule="auto"/>
      </w:pPr>
    </w:p>
    <w:p w14:paraId="487A4ECE" w14:textId="1F7EB728" w:rsidR="00ED0AFE" w:rsidRDefault="00ED1A68" w:rsidP="006C13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</w:t>
      </w:r>
      <w:r>
        <w:rPr>
          <w:rFonts w:ascii="Times New Roman" w:hAnsi="Times New Roman" w:cs="Times New Roman"/>
          <w:sz w:val="28"/>
          <w:szCs w:val="28"/>
        </w:rPr>
        <w:tab/>
        <w:t xml:space="preserve">That </w:t>
      </w:r>
      <w:proofErr w:type="spellStart"/>
      <w:r>
        <w:rPr>
          <w:rFonts w:ascii="Times New Roman" w:hAnsi="Times New Roman" w:cs="Times New Roman"/>
          <w:sz w:val="28"/>
          <w:szCs w:val="28"/>
        </w:rPr>
        <w:t>Thetsane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Constituency </w:t>
      </w:r>
      <w:r w:rsidR="006C1367">
        <w:rPr>
          <w:rFonts w:ascii="Times New Roman" w:hAnsi="Times New Roman" w:cs="Times New Roman"/>
          <w:sz w:val="28"/>
          <w:szCs w:val="28"/>
        </w:rPr>
        <w:t>committee</w:t>
      </w:r>
      <w:r>
        <w:rPr>
          <w:rFonts w:ascii="Times New Roman" w:hAnsi="Times New Roman" w:cs="Times New Roman"/>
          <w:sz w:val="28"/>
          <w:szCs w:val="28"/>
        </w:rPr>
        <w:t xml:space="preserve"> elections of the 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22426B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July 2022 in terms of which the 1</w:t>
      </w:r>
      <w:r w:rsidRPr="0022426B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to 6</w:t>
      </w:r>
      <w:r w:rsidRPr="0022426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respondents were purportedly elected as members of the said constituency committee which were conducted by the 9</w:t>
      </w:r>
      <w:r w:rsidRPr="00ED0AF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and 10</w:t>
      </w:r>
      <w:r w:rsidR="006C1367" w:rsidRPr="006C136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6C1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respondents </w:t>
      </w:r>
      <w:r w:rsidR="006C1367">
        <w:rPr>
          <w:rFonts w:ascii="Times New Roman" w:hAnsi="Times New Roman" w:cs="Times New Roman"/>
          <w:sz w:val="28"/>
          <w:szCs w:val="28"/>
        </w:rPr>
        <w:t>be</w:t>
      </w:r>
      <w:r>
        <w:rPr>
          <w:rFonts w:ascii="Times New Roman" w:hAnsi="Times New Roman" w:cs="Times New Roman"/>
          <w:sz w:val="28"/>
          <w:szCs w:val="28"/>
        </w:rPr>
        <w:t xml:space="preserve"> declared null and void for violating the constitution of ABC.</w:t>
      </w:r>
    </w:p>
    <w:p w14:paraId="5AB12EA4" w14:textId="77777777" w:rsidR="00ED0AFE" w:rsidRDefault="00ED0AFE" w:rsidP="006C1367">
      <w:pPr>
        <w:pStyle w:val="NoSpacing"/>
        <w:spacing w:line="360" w:lineRule="auto"/>
      </w:pPr>
    </w:p>
    <w:p w14:paraId="0A71E084" w14:textId="4C9A4BC8" w:rsidR="00C31F76" w:rsidRDefault="00ED1A68" w:rsidP="006C13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(c)</w:t>
      </w:r>
      <w:r>
        <w:rPr>
          <w:rFonts w:ascii="Times New Roman" w:hAnsi="Times New Roman" w:cs="Times New Roman"/>
          <w:sz w:val="28"/>
          <w:szCs w:val="28"/>
        </w:rPr>
        <w:tab/>
        <w:t xml:space="preserve">That </w:t>
      </w:r>
      <w:r w:rsidR="006C1367">
        <w:rPr>
          <w:rFonts w:ascii="Times New Roman" w:hAnsi="Times New Roman" w:cs="Times New Roman"/>
          <w:sz w:val="28"/>
          <w:szCs w:val="28"/>
        </w:rPr>
        <w:t xml:space="preserve">it be declared that </w:t>
      </w:r>
      <w:r>
        <w:rPr>
          <w:rFonts w:ascii="Times New Roman" w:hAnsi="Times New Roman" w:cs="Times New Roman"/>
          <w:sz w:val="28"/>
          <w:szCs w:val="28"/>
        </w:rPr>
        <w:t xml:space="preserve">the validly elected committee for </w:t>
      </w:r>
      <w:proofErr w:type="spellStart"/>
      <w:r>
        <w:rPr>
          <w:rFonts w:ascii="Times New Roman" w:hAnsi="Times New Roman" w:cs="Times New Roman"/>
          <w:sz w:val="28"/>
          <w:szCs w:val="28"/>
        </w:rPr>
        <w:t>Thetsane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Constituency no.34 is that which comprises the applicants and other structures of the party who are committee members </w:t>
      </w:r>
      <w:r w:rsidRPr="00835ED1">
        <w:rPr>
          <w:rFonts w:ascii="Times New Roman" w:hAnsi="Times New Roman" w:cs="Times New Roman"/>
          <w:i/>
          <w:sz w:val="28"/>
          <w:szCs w:val="28"/>
        </w:rPr>
        <w:t>ex officio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D24055" w14:textId="77777777" w:rsidR="00C31F76" w:rsidRDefault="00C31F76" w:rsidP="003B3BBB">
      <w:pPr>
        <w:pStyle w:val="NoSpacing"/>
      </w:pPr>
    </w:p>
    <w:p w14:paraId="7380A305" w14:textId="77777777" w:rsidR="00C31F76" w:rsidRDefault="00ED1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(d)</w:t>
      </w:r>
      <w:r>
        <w:rPr>
          <w:rFonts w:ascii="Times New Roman" w:hAnsi="Times New Roman" w:cs="Times New Roman"/>
          <w:sz w:val="28"/>
          <w:szCs w:val="28"/>
        </w:rPr>
        <w:tab/>
        <w:t>That the respondents be ordered to pay the costs of suit.</w:t>
      </w:r>
    </w:p>
    <w:p w14:paraId="3D1A410D" w14:textId="77777777" w:rsidR="00C31F76" w:rsidRDefault="00C31F76">
      <w:pPr>
        <w:rPr>
          <w:rFonts w:ascii="Times New Roman" w:hAnsi="Times New Roman" w:cs="Times New Roman"/>
          <w:sz w:val="28"/>
          <w:szCs w:val="28"/>
        </w:rPr>
      </w:pPr>
    </w:p>
    <w:p w14:paraId="207212CF" w14:textId="51BFD282" w:rsidR="00E16DFC" w:rsidRDefault="00ED1A68" w:rsidP="0015608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facts o</w:t>
      </w:r>
      <w:r w:rsidR="00C31F76">
        <w:rPr>
          <w:rFonts w:ascii="Times New Roman" w:hAnsi="Times New Roman" w:cs="Times New Roman"/>
          <w:sz w:val="28"/>
          <w:szCs w:val="28"/>
        </w:rPr>
        <w:t>f this</w:t>
      </w:r>
      <w:r w:rsidR="00ED0AFE">
        <w:rPr>
          <w:rFonts w:ascii="Times New Roman" w:hAnsi="Times New Roman" w:cs="Times New Roman"/>
          <w:sz w:val="28"/>
          <w:szCs w:val="28"/>
        </w:rPr>
        <w:t xml:space="preserve"> </w:t>
      </w:r>
      <w:r w:rsidR="00385390">
        <w:rPr>
          <w:rFonts w:ascii="Times New Roman" w:hAnsi="Times New Roman" w:cs="Times New Roman"/>
          <w:sz w:val="28"/>
          <w:szCs w:val="28"/>
        </w:rPr>
        <w:t>case are that on 29</w:t>
      </w:r>
      <w:r w:rsidR="00385390" w:rsidRPr="0038539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85390">
        <w:rPr>
          <w:rFonts w:ascii="Times New Roman" w:hAnsi="Times New Roman" w:cs="Times New Roman"/>
          <w:sz w:val="28"/>
          <w:szCs w:val="28"/>
        </w:rPr>
        <w:t xml:space="preserve"> April 2022 the ABC National Executive Committee issued a circular in terms of which</w:t>
      </w:r>
      <w:r>
        <w:rPr>
          <w:rFonts w:ascii="Times New Roman" w:hAnsi="Times New Roman" w:cs="Times New Roman"/>
          <w:sz w:val="28"/>
          <w:szCs w:val="28"/>
        </w:rPr>
        <w:t xml:space="preserve"> it </w:t>
      </w:r>
      <w:r w:rsidR="007A11D4">
        <w:rPr>
          <w:rFonts w:ascii="Times New Roman" w:hAnsi="Times New Roman" w:cs="Times New Roman"/>
          <w:sz w:val="28"/>
          <w:szCs w:val="28"/>
        </w:rPr>
        <w:t>publicised the timetable for holding elections</w:t>
      </w:r>
      <w:r w:rsidR="00105605">
        <w:rPr>
          <w:rFonts w:ascii="Times New Roman" w:hAnsi="Times New Roman" w:cs="Times New Roman"/>
          <w:sz w:val="28"/>
          <w:szCs w:val="28"/>
        </w:rPr>
        <w:t xml:space="preserve"> for</w:t>
      </w:r>
      <w:r w:rsidR="00996251">
        <w:rPr>
          <w:rFonts w:ascii="Times New Roman" w:hAnsi="Times New Roman" w:cs="Times New Roman"/>
          <w:sz w:val="28"/>
          <w:szCs w:val="28"/>
        </w:rPr>
        <w:t xml:space="preserve"> branch</w:t>
      </w:r>
      <w:r w:rsidR="007A11D4">
        <w:rPr>
          <w:rFonts w:ascii="Times New Roman" w:hAnsi="Times New Roman" w:cs="Times New Roman"/>
          <w:sz w:val="28"/>
          <w:szCs w:val="28"/>
        </w:rPr>
        <w:t>es</w:t>
      </w:r>
      <w:r w:rsidR="00996251">
        <w:rPr>
          <w:rFonts w:ascii="Times New Roman" w:hAnsi="Times New Roman" w:cs="Times New Roman"/>
          <w:sz w:val="28"/>
          <w:szCs w:val="28"/>
        </w:rPr>
        <w:t xml:space="preserve"> </w:t>
      </w:r>
      <w:r w:rsidR="007A11D4">
        <w:rPr>
          <w:rFonts w:ascii="Times New Roman" w:hAnsi="Times New Roman" w:cs="Times New Roman"/>
          <w:sz w:val="28"/>
          <w:szCs w:val="28"/>
        </w:rPr>
        <w:t xml:space="preserve">and constituencies </w:t>
      </w:r>
      <w:r w:rsidR="00996251">
        <w:rPr>
          <w:rFonts w:ascii="Times New Roman" w:hAnsi="Times New Roman" w:cs="Times New Roman"/>
          <w:sz w:val="28"/>
          <w:szCs w:val="28"/>
        </w:rPr>
        <w:t xml:space="preserve">committees. The circular directed </w:t>
      </w:r>
      <w:proofErr w:type="gramStart"/>
      <w:r w:rsidR="00996251">
        <w:rPr>
          <w:rFonts w:ascii="Times New Roman" w:hAnsi="Times New Roman" w:cs="Times New Roman"/>
          <w:sz w:val="28"/>
          <w:szCs w:val="28"/>
        </w:rPr>
        <w:t xml:space="preserve">that </w:t>
      </w:r>
      <w:r w:rsidR="00603F1E">
        <w:rPr>
          <w:rFonts w:ascii="Times New Roman" w:hAnsi="Times New Roman" w:cs="Times New Roman"/>
          <w:sz w:val="28"/>
          <w:szCs w:val="28"/>
        </w:rPr>
        <w:t>e</w:t>
      </w:r>
      <w:r w:rsidR="00996251">
        <w:rPr>
          <w:rFonts w:ascii="Times New Roman" w:hAnsi="Times New Roman" w:cs="Times New Roman"/>
          <w:sz w:val="28"/>
          <w:szCs w:val="28"/>
        </w:rPr>
        <w:t>lections of committ</w:t>
      </w:r>
      <w:r>
        <w:rPr>
          <w:rFonts w:ascii="Times New Roman" w:hAnsi="Times New Roman" w:cs="Times New Roman"/>
          <w:sz w:val="28"/>
          <w:szCs w:val="28"/>
        </w:rPr>
        <w:t>ee</w:t>
      </w:r>
      <w:r w:rsidR="00603F1E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="00603F1E">
        <w:rPr>
          <w:rFonts w:ascii="Times New Roman" w:hAnsi="Times New Roman" w:cs="Times New Roman"/>
          <w:sz w:val="28"/>
          <w:szCs w:val="28"/>
        </w:rPr>
        <w:t xml:space="preserve"> should take cognizance </w:t>
      </w:r>
      <w:r w:rsidR="007A11D4">
        <w:rPr>
          <w:rFonts w:ascii="Times New Roman" w:hAnsi="Times New Roman" w:cs="Times New Roman"/>
          <w:sz w:val="28"/>
          <w:szCs w:val="28"/>
        </w:rPr>
        <w:t>of</w:t>
      </w:r>
      <w:r w:rsidR="00603F1E">
        <w:rPr>
          <w:rFonts w:ascii="Times New Roman" w:hAnsi="Times New Roman" w:cs="Times New Roman"/>
          <w:sz w:val="28"/>
          <w:szCs w:val="28"/>
        </w:rPr>
        <w:t xml:space="preserve"> and accept</w:t>
      </w:r>
      <w:r w:rsidR="007A11D4">
        <w:rPr>
          <w:rFonts w:ascii="Times New Roman" w:hAnsi="Times New Roman" w:cs="Times New Roman"/>
          <w:sz w:val="28"/>
          <w:szCs w:val="28"/>
        </w:rPr>
        <w:t xml:space="preserve"> any</w:t>
      </w:r>
      <w:r w:rsidR="00996251">
        <w:rPr>
          <w:rFonts w:ascii="Times New Roman" w:hAnsi="Times New Roman" w:cs="Times New Roman"/>
          <w:sz w:val="28"/>
          <w:szCs w:val="28"/>
        </w:rPr>
        <w:t xml:space="preserve"> new branches</w:t>
      </w:r>
      <w:r w:rsidR="001753E1">
        <w:rPr>
          <w:rFonts w:ascii="Times New Roman" w:hAnsi="Times New Roman" w:cs="Times New Roman"/>
          <w:sz w:val="28"/>
          <w:szCs w:val="28"/>
        </w:rPr>
        <w:t xml:space="preserve"> following the </w:t>
      </w:r>
      <w:r w:rsidR="00603F1E">
        <w:rPr>
          <w:rFonts w:ascii="Times New Roman" w:hAnsi="Times New Roman" w:cs="Times New Roman"/>
          <w:sz w:val="28"/>
          <w:szCs w:val="28"/>
        </w:rPr>
        <w:t>delineation of constituencies by the Independent Electoral Commission</w:t>
      </w:r>
      <w:r w:rsidR="00F47ED7">
        <w:rPr>
          <w:rFonts w:ascii="Times New Roman" w:hAnsi="Times New Roman" w:cs="Times New Roman"/>
          <w:sz w:val="28"/>
          <w:szCs w:val="28"/>
        </w:rPr>
        <w:t xml:space="preserve"> (IEC)</w:t>
      </w:r>
      <w:r w:rsidR="00603F1E">
        <w:rPr>
          <w:rFonts w:ascii="Times New Roman" w:hAnsi="Times New Roman" w:cs="Times New Roman"/>
          <w:sz w:val="28"/>
          <w:szCs w:val="28"/>
        </w:rPr>
        <w:t xml:space="preserve">. </w:t>
      </w:r>
      <w:r w:rsidR="007A11D4">
        <w:rPr>
          <w:rFonts w:ascii="Times New Roman" w:hAnsi="Times New Roman" w:cs="Times New Roman"/>
          <w:sz w:val="28"/>
          <w:szCs w:val="28"/>
        </w:rPr>
        <w:t xml:space="preserve"> </w:t>
      </w:r>
      <w:r w:rsidR="009962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FE7852" w14:textId="77777777" w:rsidR="00E16DFC" w:rsidRDefault="00E16DFC" w:rsidP="003B3BBB">
      <w:pPr>
        <w:pStyle w:val="NoSpacing"/>
      </w:pPr>
    </w:p>
    <w:p w14:paraId="34308122" w14:textId="67E0B869" w:rsidR="0015608E" w:rsidRDefault="00ED1A68" w:rsidP="0015608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elections for </w:t>
      </w:r>
      <w:r w:rsidR="00E16DFC">
        <w:rPr>
          <w:rFonts w:ascii="Times New Roman" w:hAnsi="Times New Roman" w:cs="Times New Roman"/>
          <w:sz w:val="28"/>
          <w:szCs w:val="28"/>
        </w:rPr>
        <w:t xml:space="preserve">branches committees were </w:t>
      </w:r>
      <w:r>
        <w:rPr>
          <w:rFonts w:ascii="Times New Roman" w:hAnsi="Times New Roman" w:cs="Times New Roman"/>
          <w:sz w:val="28"/>
          <w:szCs w:val="28"/>
        </w:rPr>
        <w:t xml:space="preserve">held </w:t>
      </w:r>
      <w:r w:rsidR="00E16DFC">
        <w:rPr>
          <w:rFonts w:ascii="Times New Roman" w:hAnsi="Times New Roman" w:cs="Times New Roman"/>
          <w:sz w:val="28"/>
          <w:szCs w:val="28"/>
        </w:rPr>
        <w:t>on 15</w:t>
      </w:r>
      <w:r w:rsidR="00E16DFC" w:rsidRPr="00E16DF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16DFC">
        <w:rPr>
          <w:rFonts w:ascii="Times New Roman" w:hAnsi="Times New Roman" w:cs="Times New Roman"/>
          <w:sz w:val="28"/>
          <w:szCs w:val="28"/>
        </w:rPr>
        <w:t xml:space="preserve"> May 2022 and reports were duly submitted to the then serving constitu</w:t>
      </w:r>
      <w:r w:rsidR="007C143D">
        <w:rPr>
          <w:rFonts w:ascii="Times New Roman" w:hAnsi="Times New Roman" w:cs="Times New Roman"/>
          <w:sz w:val="28"/>
          <w:szCs w:val="28"/>
        </w:rPr>
        <w:t>ency committee. The branches the</w:t>
      </w:r>
      <w:r w:rsidR="00E16DFC">
        <w:rPr>
          <w:rFonts w:ascii="Times New Roman" w:hAnsi="Times New Roman" w:cs="Times New Roman"/>
          <w:sz w:val="28"/>
          <w:szCs w:val="28"/>
        </w:rPr>
        <w:t>n nominated representatives who attend</w:t>
      </w:r>
      <w:r>
        <w:rPr>
          <w:rFonts w:ascii="Times New Roman" w:hAnsi="Times New Roman" w:cs="Times New Roman"/>
          <w:sz w:val="28"/>
          <w:szCs w:val="28"/>
        </w:rPr>
        <w:t>ed</w:t>
      </w:r>
      <w:r w:rsidR="00E16DFC">
        <w:rPr>
          <w:rFonts w:ascii="Times New Roman" w:hAnsi="Times New Roman" w:cs="Times New Roman"/>
          <w:sz w:val="28"/>
          <w:szCs w:val="28"/>
        </w:rPr>
        <w:t xml:space="preserve"> the elective conference</w:t>
      </w:r>
      <w:r w:rsidR="001B3A92">
        <w:rPr>
          <w:rFonts w:ascii="Times New Roman" w:hAnsi="Times New Roman" w:cs="Times New Roman"/>
          <w:sz w:val="28"/>
          <w:szCs w:val="28"/>
        </w:rPr>
        <w:t xml:space="preserve"> </w:t>
      </w:r>
      <w:r w:rsidR="00E16DFC">
        <w:rPr>
          <w:rFonts w:ascii="Times New Roman" w:hAnsi="Times New Roman" w:cs="Times New Roman"/>
          <w:sz w:val="28"/>
          <w:szCs w:val="28"/>
        </w:rPr>
        <w:t>for the const</w:t>
      </w:r>
      <w:r w:rsidR="001B3A92">
        <w:rPr>
          <w:rFonts w:ascii="Times New Roman" w:hAnsi="Times New Roman" w:cs="Times New Roman"/>
          <w:sz w:val="28"/>
          <w:szCs w:val="28"/>
        </w:rPr>
        <w:t>ituency committee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A92">
        <w:rPr>
          <w:rFonts w:ascii="Times New Roman" w:hAnsi="Times New Roman" w:cs="Times New Roman"/>
          <w:sz w:val="28"/>
          <w:szCs w:val="28"/>
        </w:rPr>
        <w:t>on 11</w:t>
      </w:r>
      <w:r w:rsidR="001B3A92" w:rsidRPr="001B3A9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1B3A9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B3A92">
        <w:rPr>
          <w:rFonts w:ascii="Times New Roman" w:hAnsi="Times New Roman" w:cs="Times New Roman"/>
          <w:sz w:val="28"/>
          <w:szCs w:val="28"/>
        </w:rPr>
        <w:t>June 2022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0EF9D33" w14:textId="77777777" w:rsidR="0015608E" w:rsidRDefault="0015608E" w:rsidP="0015608E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20496B" w14:textId="3DE2F5DC" w:rsidR="00A508E2" w:rsidRDefault="00ED1A68" w:rsidP="0023093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applicants conveniently</w:t>
      </w:r>
      <w:r w:rsidR="0015608E">
        <w:rPr>
          <w:rFonts w:ascii="Times New Roman" w:hAnsi="Times New Roman" w:cs="Times New Roman"/>
          <w:sz w:val="28"/>
          <w:szCs w:val="28"/>
        </w:rPr>
        <w:t xml:space="preserve"> refrained from disclosing </w:t>
      </w:r>
      <w:r w:rsidR="00230934">
        <w:rPr>
          <w:rFonts w:ascii="Times New Roman" w:hAnsi="Times New Roman" w:cs="Times New Roman"/>
          <w:sz w:val="28"/>
          <w:szCs w:val="28"/>
        </w:rPr>
        <w:t xml:space="preserve">the background of the elective conference and </w:t>
      </w:r>
      <w:r w:rsidR="00230934" w:rsidRPr="00230934">
        <w:rPr>
          <w:rFonts w:ascii="Times New Roman" w:hAnsi="Times New Roman" w:cs="Times New Roman"/>
          <w:sz w:val="28"/>
          <w:szCs w:val="28"/>
        </w:rPr>
        <w:t>what</w:t>
      </w:r>
      <w:r w:rsidR="00230934">
        <w:rPr>
          <w:rFonts w:ascii="Times New Roman" w:hAnsi="Times New Roman" w:cs="Times New Roman"/>
          <w:sz w:val="28"/>
          <w:szCs w:val="28"/>
        </w:rPr>
        <w:t xml:space="preserve"> transpired on the </w:t>
      </w:r>
      <w:r w:rsidR="00230934" w:rsidRPr="00230934">
        <w:rPr>
          <w:rFonts w:ascii="Times New Roman" w:hAnsi="Times New Roman" w:cs="Times New Roman"/>
          <w:sz w:val="28"/>
          <w:szCs w:val="28"/>
        </w:rPr>
        <w:t xml:space="preserve">day of the elective conference </w:t>
      </w:r>
      <w:r>
        <w:rPr>
          <w:rFonts w:ascii="Times New Roman" w:hAnsi="Times New Roman" w:cs="Times New Roman"/>
          <w:sz w:val="28"/>
          <w:szCs w:val="28"/>
        </w:rPr>
        <w:t>i</w:t>
      </w:r>
      <w:r w:rsidR="001B3A92">
        <w:rPr>
          <w:rFonts w:ascii="Times New Roman" w:hAnsi="Times New Roman" w:cs="Times New Roman"/>
          <w:sz w:val="28"/>
          <w:szCs w:val="28"/>
        </w:rPr>
        <w:t xml:space="preserve">n their founding </w:t>
      </w:r>
      <w:r>
        <w:rPr>
          <w:rFonts w:ascii="Times New Roman" w:hAnsi="Times New Roman" w:cs="Times New Roman"/>
          <w:sz w:val="28"/>
          <w:szCs w:val="28"/>
        </w:rPr>
        <w:t xml:space="preserve">papers. </w:t>
      </w:r>
      <w:r w:rsidR="00230934">
        <w:rPr>
          <w:rFonts w:ascii="Times New Roman" w:hAnsi="Times New Roman" w:cs="Times New Roman"/>
          <w:sz w:val="28"/>
          <w:szCs w:val="28"/>
        </w:rPr>
        <w:t xml:space="preserve">This background is very critical because it would enlighten the court on the genesis of these proceedings. </w:t>
      </w:r>
      <w:r>
        <w:rPr>
          <w:rFonts w:ascii="Times New Roman" w:hAnsi="Times New Roman" w:cs="Times New Roman"/>
          <w:sz w:val="28"/>
          <w:szCs w:val="28"/>
        </w:rPr>
        <w:t>The</w:t>
      </w:r>
      <w:r w:rsidR="00044727">
        <w:rPr>
          <w:rFonts w:ascii="Times New Roman" w:hAnsi="Times New Roman" w:cs="Times New Roman"/>
          <w:sz w:val="28"/>
          <w:szCs w:val="28"/>
        </w:rPr>
        <w:t xml:space="preserve"> respondents are the ones who portray the </w:t>
      </w:r>
      <w:r w:rsidR="007C143D">
        <w:rPr>
          <w:rFonts w:ascii="Times New Roman" w:hAnsi="Times New Roman" w:cs="Times New Roman"/>
          <w:sz w:val="28"/>
          <w:szCs w:val="28"/>
        </w:rPr>
        <w:t>picture</w:t>
      </w:r>
      <w:r w:rsidR="00044727">
        <w:rPr>
          <w:rFonts w:ascii="Times New Roman" w:hAnsi="Times New Roman" w:cs="Times New Roman"/>
          <w:sz w:val="28"/>
          <w:szCs w:val="28"/>
        </w:rPr>
        <w:t xml:space="preserve"> and </w:t>
      </w:r>
      <w:r w:rsidR="00044727" w:rsidRPr="00044727">
        <w:rPr>
          <w:rFonts w:ascii="Times New Roman" w:hAnsi="Times New Roman" w:cs="Times New Roman"/>
          <w:sz w:val="28"/>
          <w:szCs w:val="28"/>
        </w:rPr>
        <w:t>shed the light on</w:t>
      </w:r>
      <w:r w:rsidR="007C1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230934">
        <w:rPr>
          <w:rFonts w:ascii="Times New Roman" w:hAnsi="Times New Roman" w:cs="Times New Roman"/>
          <w:sz w:val="28"/>
          <w:szCs w:val="28"/>
        </w:rPr>
        <w:t xml:space="preserve">background to the elective conference and on the </w:t>
      </w:r>
      <w:r>
        <w:rPr>
          <w:rFonts w:ascii="Times New Roman" w:hAnsi="Times New Roman" w:cs="Times New Roman"/>
          <w:sz w:val="28"/>
          <w:szCs w:val="28"/>
        </w:rPr>
        <w:t xml:space="preserve">occurrences </w:t>
      </w:r>
      <w:r w:rsidR="00044727">
        <w:rPr>
          <w:rFonts w:ascii="Times New Roman" w:hAnsi="Times New Roman" w:cs="Times New Roman"/>
          <w:sz w:val="28"/>
          <w:szCs w:val="28"/>
        </w:rPr>
        <w:t xml:space="preserve">of the </w:t>
      </w:r>
      <w:proofErr w:type="gramStart"/>
      <w:r w:rsidR="00044727">
        <w:rPr>
          <w:rFonts w:ascii="Times New Roman" w:hAnsi="Times New Roman" w:cs="Times New Roman"/>
          <w:sz w:val="28"/>
          <w:szCs w:val="28"/>
        </w:rPr>
        <w:t>11</w:t>
      </w:r>
      <w:r w:rsidR="00044727" w:rsidRPr="0004472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proofErr w:type="gramEnd"/>
      <w:r w:rsidR="00044727">
        <w:rPr>
          <w:rFonts w:ascii="Times New Roman" w:hAnsi="Times New Roman" w:cs="Times New Roman"/>
          <w:sz w:val="28"/>
          <w:szCs w:val="28"/>
        </w:rPr>
        <w:t xml:space="preserve"> June 2022</w:t>
      </w:r>
      <w:r>
        <w:rPr>
          <w:rFonts w:ascii="Times New Roman" w:hAnsi="Times New Roman" w:cs="Times New Roman"/>
          <w:sz w:val="28"/>
          <w:szCs w:val="28"/>
        </w:rPr>
        <w:t xml:space="preserve"> which would ultimately lead to the institution of the instant application.</w:t>
      </w:r>
    </w:p>
    <w:p w14:paraId="1FE12047" w14:textId="1318D596" w:rsidR="00A508E2" w:rsidRDefault="00A508E2" w:rsidP="003B3BBB">
      <w:pPr>
        <w:pStyle w:val="NoSpacing"/>
      </w:pPr>
    </w:p>
    <w:p w14:paraId="3AC6A96B" w14:textId="77777777" w:rsidR="003D5083" w:rsidRDefault="003D5083" w:rsidP="003B3BBB">
      <w:pPr>
        <w:pStyle w:val="NoSpacing"/>
      </w:pPr>
    </w:p>
    <w:p w14:paraId="4CC172B5" w14:textId="16BABEAC" w:rsidR="00ED1615" w:rsidRDefault="00ED1A68" w:rsidP="0015608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In terms of the answering and supporting affidavits of the 9</w:t>
      </w:r>
      <w:r w:rsidRPr="0023093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and 10</w:t>
      </w:r>
      <w:r w:rsidRPr="0023093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respondents respectively, the genesis of the dispute in the instant case can be traced from </w:t>
      </w:r>
      <w:r w:rsidR="00A508E2">
        <w:rPr>
          <w:rFonts w:ascii="Times New Roman" w:hAnsi="Times New Roman" w:cs="Times New Roman"/>
          <w:sz w:val="28"/>
          <w:szCs w:val="28"/>
        </w:rPr>
        <w:t xml:space="preserve">the </w:t>
      </w:r>
      <w:r w:rsidR="00962A7A">
        <w:rPr>
          <w:rFonts w:ascii="Times New Roman" w:hAnsi="Times New Roman" w:cs="Times New Roman"/>
          <w:sz w:val="28"/>
          <w:szCs w:val="28"/>
        </w:rPr>
        <w:t>deli</w:t>
      </w:r>
      <w:r w:rsidR="00F47ED7">
        <w:rPr>
          <w:rFonts w:ascii="Times New Roman" w:hAnsi="Times New Roman" w:cs="Times New Roman"/>
          <w:sz w:val="28"/>
          <w:szCs w:val="28"/>
        </w:rPr>
        <w:t>mitation</w:t>
      </w:r>
      <w:r w:rsidR="00962A7A">
        <w:rPr>
          <w:rFonts w:ascii="Times New Roman" w:hAnsi="Times New Roman" w:cs="Times New Roman"/>
          <w:sz w:val="28"/>
          <w:szCs w:val="28"/>
        </w:rPr>
        <w:t xml:space="preserve"> of </w:t>
      </w:r>
      <w:r>
        <w:rPr>
          <w:rFonts w:ascii="Times New Roman" w:hAnsi="Times New Roman" w:cs="Times New Roman"/>
          <w:sz w:val="28"/>
          <w:szCs w:val="28"/>
        </w:rPr>
        <w:t xml:space="preserve">constituencies </w:t>
      </w:r>
      <w:r w:rsidR="00962A7A">
        <w:rPr>
          <w:rFonts w:ascii="Times New Roman" w:hAnsi="Times New Roman" w:cs="Times New Roman"/>
          <w:sz w:val="28"/>
          <w:szCs w:val="28"/>
        </w:rPr>
        <w:t xml:space="preserve">by </w:t>
      </w:r>
      <w:r w:rsidR="00F47ED7">
        <w:rPr>
          <w:rFonts w:ascii="Times New Roman" w:hAnsi="Times New Roman" w:cs="Times New Roman"/>
          <w:sz w:val="28"/>
          <w:szCs w:val="28"/>
        </w:rPr>
        <w:t>IEC</w:t>
      </w:r>
      <w:r>
        <w:rPr>
          <w:rFonts w:ascii="Times New Roman" w:hAnsi="Times New Roman" w:cs="Times New Roman"/>
          <w:sz w:val="28"/>
          <w:szCs w:val="28"/>
        </w:rPr>
        <w:t xml:space="preserve"> which</w:t>
      </w:r>
      <w:r w:rsidR="00962A7A">
        <w:rPr>
          <w:rFonts w:ascii="Times New Roman" w:hAnsi="Times New Roman" w:cs="Times New Roman"/>
          <w:sz w:val="28"/>
          <w:szCs w:val="28"/>
        </w:rPr>
        <w:t xml:space="preserve"> affected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89D">
        <w:rPr>
          <w:rFonts w:ascii="Times New Roman" w:hAnsi="Times New Roman" w:cs="Times New Roman"/>
          <w:sz w:val="28"/>
          <w:szCs w:val="28"/>
        </w:rPr>
        <w:t>structure of the</w:t>
      </w:r>
      <w:r w:rsidR="00962A7A">
        <w:rPr>
          <w:rFonts w:ascii="Times New Roman" w:hAnsi="Times New Roman" w:cs="Times New Roman"/>
          <w:sz w:val="28"/>
          <w:szCs w:val="28"/>
        </w:rPr>
        <w:t xml:space="preserve"> </w:t>
      </w:r>
      <w:r w:rsidR="0037658F">
        <w:rPr>
          <w:rFonts w:ascii="Times New Roman" w:hAnsi="Times New Roman" w:cs="Times New Roman"/>
          <w:sz w:val="28"/>
          <w:szCs w:val="28"/>
        </w:rPr>
        <w:t xml:space="preserve">six previous ABC </w:t>
      </w:r>
      <w:r w:rsidR="00962A7A">
        <w:rPr>
          <w:rFonts w:ascii="Times New Roman" w:hAnsi="Times New Roman" w:cs="Times New Roman"/>
          <w:sz w:val="28"/>
          <w:szCs w:val="28"/>
        </w:rPr>
        <w:t xml:space="preserve">branches </w:t>
      </w:r>
      <w:r w:rsidR="0037658F">
        <w:rPr>
          <w:rFonts w:ascii="Times New Roman" w:hAnsi="Times New Roman" w:cs="Times New Roman"/>
          <w:sz w:val="28"/>
          <w:szCs w:val="28"/>
        </w:rPr>
        <w:t>comprising</w:t>
      </w:r>
      <w:r w:rsidR="00962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2A7A">
        <w:rPr>
          <w:rFonts w:ascii="Times New Roman" w:hAnsi="Times New Roman" w:cs="Times New Roman"/>
          <w:sz w:val="28"/>
          <w:szCs w:val="28"/>
        </w:rPr>
        <w:t>Thetsane</w:t>
      </w:r>
      <w:proofErr w:type="spellEnd"/>
      <w:r w:rsidR="00962A7A">
        <w:rPr>
          <w:rFonts w:ascii="Times New Roman" w:hAnsi="Times New Roman" w:cs="Times New Roman"/>
          <w:sz w:val="28"/>
          <w:szCs w:val="28"/>
        </w:rPr>
        <w:t xml:space="preserve"> constituency. </w:t>
      </w:r>
      <w:r w:rsidR="0037658F">
        <w:rPr>
          <w:rFonts w:ascii="Times New Roman" w:hAnsi="Times New Roman" w:cs="Times New Roman"/>
          <w:sz w:val="28"/>
          <w:szCs w:val="28"/>
        </w:rPr>
        <w:t>T</w:t>
      </w:r>
      <w:r w:rsidR="00962A7A">
        <w:rPr>
          <w:rFonts w:ascii="Times New Roman" w:hAnsi="Times New Roman" w:cs="Times New Roman"/>
          <w:sz w:val="28"/>
          <w:szCs w:val="28"/>
        </w:rPr>
        <w:t xml:space="preserve">wo </w:t>
      </w:r>
      <w:r w:rsidR="0037658F">
        <w:rPr>
          <w:rFonts w:ascii="Times New Roman" w:hAnsi="Times New Roman" w:cs="Times New Roman"/>
          <w:sz w:val="28"/>
          <w:szCs w:val="28"/>
        </w:rPr>
        <w:t xml:space="preserve">of these </w:t>
      </w:r>
      <w:r w:rsidR="00962A7A">
        <w:rPr>
          <w:rFonts w:ascii="Times New Roman" w:hAnsi="Times New Roman" w:cs="Times New Roman"/>
          <w:sz w:val="28"/>
          <w:szCs w:val="28"/>
        </w:rPr>
        <w:t xml:space="preserve">branches were </w:t>
      </w:r>
      <w:r w:rsidR="009E1AD9">
        <w:rPr>
          <w:rFonts w:ascii="Times New Roman" w:hAnsi="Times New Roman" w:cs="Times New Roman"/>
          <w:sz w:val="28"/>
          <w:szCs w:val="28"/>
        </w:rPr>
        <w:t xml:space="preserve">subsumed in </w:t>
      </w:r>
      <w:proofErr w:type="spellStart"/>
      <w:r w:rsidR="009E1AD9">
        <w:rPr>
          <w:rFonts w:ascii="Times New Roman" w:hAnsi="Times New Roman" w:cs="Times New Roman"/>
          <w:sz w:val="28"/>
          <w:szCs w:val="28"/>
        </w:rPr>
        <w:t>Tsolo</w:t>
      </w:r>
      <w:proofErr w:type="spellEnd"/>
      <w:r w:rsidR="009E1AD9">
        <w:rPr>
          <w:rFonts w:ascii="Times New Roman" w:hAnsi="Times New Roman" w:cs="Times New Roman"/>
          <w:sz w:val="28"/>
          <w:szCs w:val="28"/>
        </w:rPr>
        <w:t xml:space="preserve"> constituency no.35 and Maseru Central constituency no.33</w:t>
      </w:r>
      <w:r w:rsidR="0037658F">
        <w:rPr>
          <w:rFonts w:ascii="Times New Roman" w:hAnsi="Times New Roman" w:cs="Times New Roman"/>
          <w:sz w:val="28"/>
          <w:szCs w:val="28"/>
        </w:rPr>
        <w:t xml:space="preserve">. </w:t>
      </w:r>
      <w:r w:rsidR="009E1AD9">
        <w:rPr>
          <w:rFonts w:ascii="Times New Roman" w:hAnsi="Times New Roman" w:cs="Times New Roman"/>
          <w:sz w:val="28"/>
          <w:szCs w:val="28"/>
        </w:rPr>
        <w:t xml:space="preserve"> </w:t>
      </w:r>
      <w:r w:rsidR="0037658F">
        <w:rPr>
          <w:rFonts w:ascii="Times New Roman" w:hAnsi="Times New Roman" w:cs="Times New Roman"/>
          <w:sz w:val="28"/>
          <w:szCs w:val="28"/>
        </w:rPr>
        <w:t xml:space="preserve">Within the </w:t>
      </w:r>
      <w:r w:rsidR="009E1AD9">
        <w:rPr>
          <w:rFonts w:ascii="Times New Roman" w:hAnsi="Times New Roman" w:cs="Times New Roman"/>
          <w:sz w:val="28"/>
          <w:szCs w:val="28"/>
        </w:rPr>
        <w:t xml:space="preserve">4 </w:t>
      </w:r>
      <w:r w:rsidR="0037658F">
        <w:rPr>
          <w:rFonts w:ascii="Times New Roman" w:hAnsi="Times New Roman" w:cs="Times New Roman"/>
          <w:sz w:val="28"/>
          <w:szCs w:val="28"/>
        </w:rPr>
        <w:t xml:space="preserve">remaining </w:t>
      </w:r>
      <w:r w:rsidR="009E1AD9">
        <w:rPr>
          <w:rFonts w:ascii="Times New Roman" w:hAnsi="Times New Roman" w:cs="Times New Roman"/>
          <w:sz w:val="28"/>
          <w:szCs w:val="28"/>
        </w:rPr>
        <w:t>branches</w:t>
      </w:r>
      <w:r w:rsidR="0037658F">
        <w:rPr>
          <w:rFonts w:ascii="Times New Roman" w:hAnsi="Times New Roman" w:cs="Times New Roman"/>
          <w:sz w:val="28"/>
          <w:szCs w:val="28"/>
        </w:rPr>
        <w:t>, there were challenges that some committee members no longer fell within the branches' boundaries</w:t>
      </w:r>
      <w:r w:rsidR="00F945A4">
        <w:rPr>
          <w:rFonts w:ascii="Times New Roman" w:hAnsi="Times New Roman" w:cs="Times New Roman"/>
          <w:sz w:val="28"/>
          <w:szCs w:val="28"/>
        </w:rPr>
        <w:t>. These</w:t>
      </w:r>
      <w:r w:rsidR="0037658F">
        <w:rPr>
          <w:rFonts w:ascii="Times New Roman" w:hAnsi="Times New Roman" w:cs="Times New Roman"/>
          <w:sz w:val="28"/>
          <w:szCs w:val="28"/>
        </w:rPr>
        <w:t xml:space="preserve"> led to </w:t>
      </w:r>
      <w:r w:rsidR="00F945A4">
        <w:rPr>
          <w:rFonts w:ascii="Times New Roman" w:hAnsi="Times New Roman" w:cs="Times New Roman"/>
          <w:sz w:val="28"/>
          <w:szCs w:val="28"/>
        </w:rPr>
        <w:t>disputes</w:t>
      </w:r>
      <w:r w:rsidR="009E1AD9">
        <w:rPr>
          <w:rFonts w:ascii="Times New Roman" w:hAnsi="Times New Roman" w:cs="Times New Roman"/>
          <w:sz w:val="28"/>
          <w:szCs w:val="28"/>
        </w:rPr>
        <w:t xml:space="preserve"> during </w:t>
      </w:r>
      <w:r w:rsidR="00F945A4">
        <w:rPr>
          <w:rFonts w:ascii="Times New Roman" w:hAnsi="Times New Roman" w:cs="Times New Roman"/>
          <w:sz w:val="28"/>
          <w:szCs w:val="28"/>
        </w:rPr>
        <w:t xml:space="preserve">the </w:t>
      </w:r>
      <w:r w:rsidR="009E1AD9">
        <w:rPr>
          <w:rFonts w:ascii="Times New Roman" w:hAnsi="Times New Roman" w:cs="Times New Roman"/>
          <w:sz w:val="28"/>
          <w:szCs w:val="28"/>
        </w:rPr>
        <w:t>election</w:t>
      </w:r>
      <w:r w:rsidR="0037658F">
        <w:rPr>
          <w:rFonts w:ascii="Times New Roman" w:hAnsi="Times New Roman" w:cs="Times New Roman"/>
          <w:sz w:val="28"/>
          <w:szCs w:val="28"/>
        </w:rPr>
        <w:t>s</w:t>
      </w:r>
      <w:r w:rsidR="009E1AD9">
        <w:rPr>
          <w:rFonts w:ascii="Times New Roman" w:hAnsi="Times New Roman" w:cs="Times New Roman"/>
          <w:sz w:val="28"/>
          <w:szCs w:val="28"/>
        </w:rPr>
        <w:t xml:space="preserve"> of the branches</w:t>
      </w:r>
      <w:r w:rsidR="00F945A4">
        <w:rPr>
          <w:rFonts w:ascii="Times New Roman" w:hAnsi="Times New Roman" w:cs="Times New Roman"/>
          <w:sz w:val="28"/>
          <w:szCs w:val="28"/>
        </w:rPr>
        <w:t>’</w:t>
      </w:r>
      <w:r w:rsidR="009E1AD9">
        <w:rPr>
          <w:rFonts w:ascii="Times New Roman" w:hAnsi="Times New Roman" w:cs="Times New Roman"/>
          <w:sz w:val="28"/>
          <w:szCs w:val="28"/>
        </w:rPr>
        <w:t xml:space="preserve"> committees </w:t>
      </w:r>
      <w:r w:rsidR="00F945A4">
        <w:rPr>
          <w:rFonts w:ascii="Times New Roman" w:hAnsi="Times New Roman" w:cs="Times New Roman"/>
          <w:sz w:val="28"/>
          <w:szCs w:val="28"/>
        </w:rPr>
        <w:t>and the resultant factions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5A4">
        <w:rPr>
          <w:rFonts w:ascii="Times New Roman" w:hAnsi="Times New Roman" w:cs="Times New Roman"/>
          <w:sz w:val="28"/>
          <w:szCs w:val="28"/>
        </w:rPr>
        <w:t xml:space="preserve">within the branches. In three of these branches, each of the warring factions elected its branch committee with the result that there were </w:t>
      </w:r>
      <w:r>
        <w:rPr>
          <w:rFonts w:ascii="Times New Roman" w:hAnsi="Times New Roman" w:cs="Times New Roman"/>
          <w:sz w:val="28"/>
          <w:szCs w:val="28"/>
        </w:rPr>
        <w:t xml:space="preserve">two committees </w:t>
      </w:r>
      <w:r w:rsidR="009E1AD9">
        <w:rPr>
          <w:rFonts w:ascii="Times New Roman" w:hAnsi="Times New Roman" w:cs="Times New Roman"/>
          <w:sz w:val="28"/>
          <w:szCs w:val="28"/>
        </w:rPr>
        <w:t>in each of tho</w:t>
      </w:r>
      <w:r>
        <w:rPr>
          <w:rFonts w:ascii="Times New Roman" w:hAnsi="Times New Roman" w:cs="Times New Roman"/>
          <w:sz w:val="28"/>
          <w:szCs w:val="28"/>
        </w:rPr>
        <w:t>s</w:t>
      </w:r>
      <w:r w:rsidR="009E1AD9">
        <w:rPr>
          <w:rFonts w:ascii="Times New Roman" w:hAnsi="Times New Roman" w:cs="Times New Roman"/>
          <w:sz w:val="28"/>
          <w:szCs w:val="28"/>
        </w:rPr>
        <w:t>e branches.</w:t>
      </w:r>
    </w:p>
    <w:p w14:paraId="0BE4E1CC" w14:textId="77777777" w:rsidR="00ED1615" w:rsidRDefault="00ED1615" w:rsidP="003B3BBB">
      <w:pPr>
        <w:pStyle w:val="NoSpacing"/>
      </w:pPr>
    </w:p>
    <w:p w14:paraId="4D908DD1" w14:textId="13A1D649" w:rsidR="001753E1" w:rsidRDefault="00ED1A68" w:rsidP="001753E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11</w:t>
      </w:r>
      <w:r w:rsidRPr="00ED161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June 2022, </w:t>
      </w:r>
      <w:r w:rsidR="00F945A4">
        <w:rPr>
          <w:rFonts w:ascii="Times New Roman" w:hAnsi="Times New Roman" w:cs="Times New Roman"/>
          <w:sz w:val="28"/>
          <w:szCs w:val="28"/>
        </w:rPr>
        <w:t xml:space="preserve">each of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F945A4">
        <w:rPr>
          <w:rFonts w:ascii="Times New Roman" w:hAnsi="Times New Roman" w:cs="Times New Roman"/>
          <w:sz w:val="28"/>
          <w:szCs w:val="28"/>
        </w:rPr>
        <w:t xml:space="preserve">warring </w:t>
      </w:r>
      <w:r>
        <w:rPr>
          <w:rFonts w:ascii="Times New Roman" w:hAnsi="Times New Roman" w:cs="Times New Roman"/>
          <w:sz w:val="28"/>
          <w:szCs w:val="28"/>
        </w:rPr>
        <w:t>factions in three branches sent</w:t>
      </w:r>
      <w:r w:rsidR="00F945A4">
        <w:rPr>
          <w:rFonts w:ascii="Times New Roman" w:hAnsi="Times New Roman" w:cs="Times New Roman"/>
          <w:sz w:val="28"/>
          <w:szCs w:val="28"/>
        </w:rPr>
        <w:t xml:space="preserve"> their</w:t>
      </w:r>
      <w:r>
        <w:rPr>
          <w:rFonts w:ascii="Times New Roman" w:hAnsi="Times New Roman" w:cs="Times New Roman"/>
          <w:sz w:val="28"/>
          <w:szCs w:val="28"/>
        </w:rPr>
        <w:t xml:space="preserve"> delegates to the constituency elective conference</w:t>
      </w:r>
      <w:r w:rsidR="00332E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This meant that </w:t>
      </w:r>
      <w:r w:rsidR="00F47ED7">
        <w:rPr>
          <w:rFonts w:ascii="Times New Roman" w:hAnsi="Times New Roman" w:cs="Times New Roman"/>
          <w:sz w:val="28"/>
          <w:szCs w:val="28"/>
        </w:rPr>
        <w:t xml:space="preserve">the three </w:t>
      </w:r>
      <w:r>
        <w:rPr>
          <w:rFonts w:ascii="Times New Roman" w:hAnsi="Times New Roman" w:cs="Times New Roman"/>
          <w:sz w:val="28"/>
          <w:szCs w:val="28"/>
        </w:rPr>
        <w:t>branch</w:t>
      </w:r>
      <w:r w:rsidR="00F47ED7">
        <w:rPr>
          <w:rFonts w:ascii="Times New Roman" w:hAnsi="Times New Roman" w:cs="Times New Roman"/>
          <w:sz w:val="28"/>
          <w:szCs w:val="28"/>
        </w:rPr>
        <w:t>es were</w:t>
      </w:r>
      <w:r>
        <w:rPr>
          <w:rFonts w:ascii="Times New Roman" w:hAnsi="Times New Roman" w:cs="Times New Roman"/>
          <w:sz w:val="28"/>
          <w:szCs w:val="28"/>
        </w:rPr>
        <w:t xml:space="preserve"> represented by delegates from two opposed committees.</w:t>
      </w:r>
    </w:p>
    <w:p w14:paraId="1768E469" w14:textId="77777777" w:rsidR="001753E1" w:rsidRDefault="001753E1" w:rsidP="001753E1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7CE459" w14:textId="256E8D0D" w:rsidR="0066726C" w:rsidRDefault="00ED1A68" w:rsidP="001753E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</w:t>
      </w:r>
      <w:r w:rsidR="00F47ED7">
        <w:rPr>
          <w:rFonts w:ascii="Times New Roman" w:hAnsi="Times New Roman" w:cs="Times New Roman"/>
          <w:sz w:val="28"/>
          <w:szCs w:val="28"/>
        </w:rPr>
        <w:t>is</w:t>
      </w:r>
      <w:r>
        <w:rPr>
          <w:rFonts w:ascii="Times New Roman" w:hAnsi="Times New Roman" w:cs="Times New Roman"/>
          <w:sz w:val="28"/>
          <w:szCs w:val="28"/>
        </w:rPr>
        <w:t xml:space="preserve"> also an issue </w:t>
      </w:r>
      <w:r w:rsidR="00F47ED7">
        <w:rPr>
          <w:rFonts w:ascii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hAnsi="Times New Roman" w:cs="Times New Roman"/>
          <w:sz w:val="28"/>
          <w:szCs w:val="28"/>
        </w:rPr>
        <w:t>two newly established bra</w:t>
      </w:r>
      <w:r w:rsidR="00F47ED7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ches which is hotly disputed by the parties. The respondents aver</w:t>
      </w:r>
      <w:r w:rsidR="00F47ED7">
        <w:rPr>
          <w:rFonts w:ascii="Times New Roman" w:hAnsi="Times New Roman" w:cs="Times New Roman"/>
          <w:sz w:val="28"/>
          <w:szCs w:val="28"/>
        </w:rPr>
        <w:t>red</w:t>
      </w:r>
      <w:r>
        <w:rPr>
          <w:rFonts w:ascii="Times New Roman" w:hAnsi="Times New Roman" w:cs="Times New Roman"/>
          <w:sz w:val="28"/>
          <w:szCs w:val="28"/>
        </w:rPr>
        <w:t xml:space="preserve"> that following the delineation of constituencies by the IEC</w:t>
      </w:r>
      <w:r w:rsidR="00F47E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="00F47ED7">
        <w:rPr>
          <w:rFonts w:ascii="Times New Roman" w:hAnsi="Times New Roman" w:cs="Times New Roman"/>
          <w:sz w:val="28"/>
          <w:szCs w:val="28"/>
        </w:rPr>
        <w:t>Thetsane</w:t>
      </w:r>
      <w:proofErr w:type="spellEnd"/>
      <w:r w:rsidR="00F47ED7">
        <w:rPr>
          <w:rFonts w:ascii="Times New Roman" w:hAnsi="Times New Roman" w:cs="Times New Roman"/>
          <w:sz w:val="28"/>
          <w:szCs w:val="28"/>
        </w:rPr>
        <w:t xml:space="preserve"> Constituency committee sought permission from the National Executive Committee (NEC)</w:t>
      </w:r>
      <w:r w:rsidR="002A055A">
        <w:rPr>
          <w:rFonts w:ascii="Times New Roman" w:hAnsi="Times New Roman" w:cs="Times New Roman"/>
          <w:sz w:val="28"/>
          <w:szCs w:val="28"/>
        </w:rPr>
        <w:t xml:space="preserve"> to establish new branches</w:t>
      </w:r>
      <w:r w:rsidR="009610E7">
        <w:rPr>
          <w:rFonts w:ascii="Times New Roman" w:hAnsi="Times New Roman" w:cs="Times New Roman"/>
          <w:sz w:val="28"/>
          <w:szCs w:val="28"/>
        </w:rPr>
        <w:t>. T</w:t>
      </w:r>
      <w:r w:rsidR="002A055A">
        <w:rPr>
          <w:rFonts w:ascii="Times New Roman" w:hAnsi="Times New Roman" w:cs="Times New Roman"/>
          <w:sz w:val="28"/>
          <w:szCs w:val="28"/>
        </w:rPr>
        <w:t>he request was</w:t>
      </w:r>
      <w:r w:rsidR="00F47ED7">
        <w:rPr>
          <w:rFonts w:ascii="Times New Roman" w:hAnsi="Times New Roman" w:cs="Times New Roman"/>
          <w:sz w:val="28"/>
          <w:szCs w:val="28"/>
        </w:rPr>
        <w:t xml:space="preserve"> declined</w:t>
      </w:r>
      <w:r w:rsidR="009610E7">
        <w:rPr>
          <w:rFonts w:ascii="Times New Roman" w:hAnsi="Times New Roman" w:cs="Times New Roman"/>
          <w:sz w:val="28"/>
          <w:szCs w:val="28"/>
        </w:rPr>
        <w:t xml:space="preserve"> by the NEC which indicated</w:t>
      </w:r>
      <w:r w:rsidR="00F47ED7">
        <w:rPr>
          <w:rFonts w:ascii="Times New Roman" w:hAnsi="Times New Roman" w:cs="Times New Roman"/>
          <w:sz w:val="28"/>
          <w:szCs w:val="28"/>
        </w:rPr>
        <w:t xml:space="preserve"> that would be the role of the new Constituency Committee as the term for the then serving committee had expired.  The applicants on the other hand </w:t>
      </w:r>
      <w:r w:rsidR="009610E7">
        <w:rPr>
          <w:rFonts w:ascii="Times New Roman" w:hAnsi="Times New Roman" w:cs="Times New Roman"/>
          <w:sz w:val="28"/>
          <w:szCs w:val="28"/>
        </w:rPr>
        <w:t>insisted</w:t>
      </w:r>
      <w:r w:rsidR="00F47ED7">
        <w:rPr>
          <w:rFonts w:ascii="Times New Roman" w:hAnsi="Times New Roman" w:cs="Times New Roman"/>
          <w:sz w:val="28"/>
          <w:szCs w:val="28"/>
        </w:rPr>
        <w:t xml:space="preserve"> in their replying affidavit that two new branches were </w:t>
      </w:r>
      <w:proofErr w:type="gramStart"/>
      <w:r w:rsidR="00F47ED7">
        <w:rPr>
          <w:rFonts w:ascii="Times New Roman" w:hAnsi="Times New Roman" w:cs="Times New Roman"/>
          <w:sz w:val="28"/>
          <w:szCs w:val="28"/>
        </w:rPr>
        <w:t>established</w:t>
      </w:r>
      <w:proofErr w:type="gramEnd"/>
      <w:r w:rsidR="00F47ED7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 xml:space="preserve">they were </w:t>
      </w:r>
      <w:r w:rsidR="00F47ED7">
        <w:rPr>
          <w:rFonts w:ascii="Times New Roman" w:hAnsi="Times New Roman" w:cs="Times New Roman"/>
          <w:sz w:val="28"/>
          <w:szCs w:val="28"/>
        </w:rPr>
        <w:t xml:space="preserve">duly reported to the NEC. These </w:t>
      </w:r>
      <w:r w:rsidR="00332EE5">
        <w:rPr>
          <w:rFonts w:ascii="Times New Roman" w:hAnsi="Times New Roman" w:cs="Times New Roman"/>
          <w:sz w:val="28"/>
          <w:szCs w:val="28"/>
        </w:rPr>
        <w:t xml:space="preserve">two </w:t>
      </w:r>
      <w:r>
        <w:rPr>
          <w:rFonts w:ascii="Times New Roman" w:hAnsi="Times New Roman" w:cs="Times New Roman"/>
          <w:sz w:val="28"/>
          <w:szCs w:val="28"/>
        </w:rPr>
        <w:t>newly established</w:t>
      </w:r>
      <w:r w:rsidR="00332EE5">
        <w:rPr>
          <w:rFonts w:ascii="Times New Roman" w:hAnsi="Times New Roman" w:cs="Times New Roman"/>
          <w:sz w:val="28"/>
          <w:szCs w:val="28"/>
        </w:rPr>
        <w:t xml:space="preserve"> branches </w:t>
      </w:r>
      <w:r>
        <w:rPr>
          <w:rFonts w:ascii="Times New Roman" w:hAnsi="Times New Roman" w:cs="Times New Roman"/>
          <w:sz w:val="28"/>
          <w:szCs w:val="28"/>
        </w:rPr>
        <w:t xml:space="preserve">also </w:t>
      </w:r>
      <w:r w:rsidR="00332EE5">
        <w:rPr>
          <w:rFonts w:ascii="Times New Roman" w:hAnsi="Times New Roman" w:cs="Times New Roman"/>
          <w:sz w:val="28"/>
          <w:szCs w:val="28"/>
        </w:rPr>
        <w:t>sent their delegate</w:t>
      </w:r>
      <w:r>
        <w:rPr>
          <w:rFonts w:ascii="Times New Roman" w:hAnsi="Times New Roman" w:cs="Times New Roman"/>
          <w:sz w:val="28"/>
          <w:szCs w:val="28"/>
        </w:rPr>
        <w:t>s</w:t>
      </w:r>
      <w:r w:rsidR="00332EE5">
        <w:rPr>
          <w:rFonts w:ascii="Times New Roman" w:hAnsi="Times New Roman" w:cs="Times New Roman"/>
          <w:sz w:val="28"/>
          <w:szCs w:val="28"/>
        </w:rPr>
        <w:t xml:space="preserve"> to the elective conference.</w:t>
      </w:r>
    </w:p>
    <w:p w14:paraId="5E95A39B" w14:textId="77777777" w:rsidR="0066726C" w:rsidRDefault="0066726C" w:rsidP="0066726C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4361AF" w14:textId="3D5CA89C" w:rsidR="00883717" w:rsidRDefault="00ED1A68" w:rsidP="002A055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Acc</w:t>
      </w:r>
      <w:r w:rsidR="002A055A">
        <w:rPr>
          <w:rFonts w:ascii="Times New Roman" w:hAnsi="Times New Roman" w:cs="Times New Roman"/>
          <w:sz w:val="28"/>
          <w:szCs w:val="28"/>
        </w:rPr>
        <w:t>ording to the respondents, the c</w:t>
      </w:r>
      <w:r w:rsidR="002A055A" w:rsidRPr="002A055A">
        <w:rPr>
          <w:rFonts w:ascii="Times New Roman" w:hAnsi="Times New Roman" w:cs="Times New Roman"/>
          <w:sz w:val="28"/>
          <w:szCs w:val="28"/>
        </w:rPr>
        <w:t>onstituency committee elections did not proceed without challenges</w:t>
      </w:r>
      <w:r w:rsidR="002A055A">
        <w:rPr>
          <w:rFonts w:ascii="Times New Roman" w:hAnsi="Times New Roman" w:cs="Times New Roman"/>
          <w:sz w:val="28"/>
          <w:szCs w:val="28"/>
        </w:rPr>
        <w:t>. D</w:t>
      </w:r>
      <w:r>
        <w:rPr>
          <w:rFonts w:ascii="Times New Roman" w:hAnsi="Times New Roman" w:cs="Times New Roman"/>
          <w:sz w:val="28"/>
          <w:szCs w:val="28"/>
        </w:rPr>
        <w:t xml:space="preserve">elegates from one of the warring factions </w:t>
      </w:r>
      <w:r w:rsidR="002A055A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the </w:t>
      </w:r>
      <w:r w:rsidR="002A055A">
        <w:rPr>
          <w:rFonts w:ascii="Times New Roman" w:hAnsi="Times New Roman" w:cs="Times New Roman"/>
          <w:sz w:val="28"/>
          <w:szCs w:val="28"/>
        </w:rPr>
        <w:t xml:space="preserve">three </w:t>
      </w:r>
      <w:r>
        <w:rPr>
          <w:rFonts w:ascii="Times New Roman" w:hAnsi="Times New Roman" w:cs="Times New Roman"/>
          <w:sz w:val="28"/>
          <w:szCs w:val="28"/>
        </w:rPr>
        <w:t xml:space="preserve">branches that had sent two groups of delegates </w:t>
      </w:r>
      <w:r w:rsidR="009610E7">
        <w:rPr>
          <w:rFonts w:ascii="Times New Roman" w:hAnsi="Times New Roman" w:cs="Times New Roman"/>
          <w:sz w:val="28"/>
          <w:szCs w:val="28"/>
        </w:rPr>
        <w:t>were not recognised and they were disqualified from</w:t>
      </w:r>
      <w:r>
        <w:rPr>
          <w:rFonts w:ascii="Times New Roman" w:hAnsi="Times New Roman" w:cs="Times New Roman"/>
          <w:sz w:val="28"/>
          <w:szCs w:val="28"/>
        </w:rPr>
        <w:t xml:space="preserve"> the elective conference</w:t>
      </w:r>
      <w:r w:rsidR="002A055A">
        <w:rPr>
          <w:rFonts w:ascii="Times New Roman" w:hAnsi="Times New Roman" w:cs="Times New Roman"/>
          <w:sz w:val="28"/>
          <w:szCs w:val="28"/>
        </w:rPr>
        <w:t>. Delegates from the newly established branches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EE5">
        <w:rPr>
          <w:rFonts w:ascii="Times New Roman" w:hAnsi="Times New Roman" w:cs="Times New Roman"/>
          <w:sz w:val="28"/>
          <w:szCs w:val="28"/>
        </w:rPr>
        <w:t xml:space="preserve">were not recognised by the constituency committee which was then </w:t>
      </w:r>
      <w:r w:rsidR="002A055A">
        <w:rPr>
          <w:rFonts w:ascii="Times New Roman" w:hAnsi="Times New Roman" w:cs="Times New Roman"/>
          <w:sz w:val="28"/>
          <w:szCs w:val="28"/>
        </w:rPr>
        <w:t xml:space="preserve">still in </w:t>
      </w:r>
      <w:proofErr w:type="gramStart"/>
      <w:r w:rsidR="002A055A">
        <w:rPr>
          <w:rFonts w:ascii="Times New Roman" w:hAnsi="Times New Roman" w:cs="Times New Roman"/>
          <w:sz w:val="28"/>
          <w:szCs w:val="28"/>
        </w:rPr>
        <w:t>service</w:t>
      </w:r>
      <w:proofErr w:type="gramEnd"/>
      <w:r w:rsidR="00332EE5">
        <w:rPr>
          <w:rFonts w:ascii="Times New Roman" w:hAnsi="Times New Roman" w:cs="Times New Roman"/>
          <w:sz w:val="28"/>
          <w:szCs w:val="28"/>
        </w:rPr>
        <w:t xml:space="preserve"> </w:t>
      </w:r>
      <w:r w:rsidR="0069530D">
        <w:rPr>
          <w:rFonts w:ascii="Times New Roman" w:hAnsi="Times New Roman" w:cs="Times New Roman"/>
          <w:sz w:val="28"/>
          <w:szCs w:val="28"/>
        </w:rPr>
        <w:t xml:space="preserve">but they were nevertheless allowed to participate in the elective conference. </w:t>
      </w:r>
      <w:r>
        <w:rPr>
          <w:rFonts w:ascii="Times New Roman" w:hAnsi="Times New Roman" w:cs="Times New Roman"/>
          <w:sz w:val="28"/>
          <w:szCs w:val="28"/>
        </w:rPr>
        <w:t>Elections proceeded out of which the applicants were elected.</w:t>
      </w:r>
    </w:p>
    <w:p w14:paraId="0C317256" w14:textId="635B5039" w:rsidR="00883717" w:rsidRDefault="00883717" w:rsidP="003B3BBB">
      <w:pPr>
        <w:pStyle w:val="NoSpacing"/>
      </w:pPr>
    </w:p>
    <w:p w14:paraId="5339F7EA" w14:textId="6D1FE85A" w:rsidR="00D9157F" w:rsidRDefault="00ED1A68" w:rsidP="009610E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other factional committees that </w:t>
      </w:r>
      <w:r w:rsidR="009610E7">
        <w:rPr>
          <w:rFonts w:ascii="Times New Roman" w:hAnsi="Times New Roman" w:cs="Times New Roman"/>
          <w:sz w:val="28"/>
          <w:szCs w:val="28"/>
        </w:rPr>
        <w:t>had been</w:t>
      </w:r>
      <w:r>
        <w:rPr>
          <w:rFonts w:ascii="Times New Roman" w:hAnsi="Times New Roman" w:cs="Times New Roman"/>
          <w:sz w:val="28"/>
          <w:szCs w:val="28"/>
        </w:rPr>
        <w:t xml:space="preserve"> rejected and </w:t>
      </w:r>
      <w:r w:rsidR="009610E7">
        <w:rPr>
          <w:rFonts w:ascii="Times New Roman" w:hAnsi="Times New Roman" w:cs="Times New Roman"/>
          <w:sz w:val="28"/>
          <w:szCs w:val="28"/>
        </w:rPr>
        <w:t>disqualified from participating</w:t>
      </w:r>
      <w:r>
        <w:rPr>
          <w:rFonts w:ascii="Times New Roman" w:hAnsi="Times New Roman" w:cs="Times New Roman"/>
          <w:sz w:val="28"/>
          <w:szCs w:val="28"/>
        </w:rPr>
        <w:t xml:space="preserve"> in the elective conference met outside the conference venue and elected </w:t>
      </w:r>
      <w:r w:rsidR="005B2CF4">
        <w:rPr>
          <w:rFonts w:ascii="Times New Roman" w:hAnsi="Times New Roman" w:cs="Times New Roman"/>
          <w:sz w:val="28"/>
          <w:szCs w:val="28"/>
        </w:rPr>
        <w:t xml:space="preserve">their </w:t>
      </w:r>
      <w:r>
        <w:rPr>
          <w:rFonts w:ascii="Times New Roman" w:hAnsi="Times New Roman" w:cs="Times New Roman"/>
          <w:sz w:val="28"/>
          <w:szCs w:val="28"/>
        </w:rPr>
        <w:t>constituency committee. This resulted in two constituency committees which</w:t>
      </w:r>
      <w:r w:rsidR="009610E7">
        <w:rPr>
          <w:rFonts w:ascii="Times New Roman" w:hAnsi="Times New Roman" w:cs="Times New Roman"/>
          <w:sz w:val="28"/>
          <w:szCs w:val="28"/>
        </w:rPr>
        <w:t xml:space="preserve"> were </w:t>
      </w:r>
      <w:r>
        <w:rPr>
          <w:rFonts w:ascii="Times New Roman" w:hAnsi="Times New Roman" w:cs="Times New Roman"/>
          <w:sz w:val="28"/>
          <w:szCs w:val="28"/>
        </w:rPr>
        <w:t xml:space="preserve">presented to the </w:t>
      </w:r>
      <w:r w:rsidR="009610E7">
        <w:rPr>
          <w:rFonts w:ascii="Times New Roman" w:hAnsi="Times New Roman" w:cs="Times New Roman"/>
          <w:sz w:val="28"/>
          <w:szCs w:val="28"/>
        </w:rPr>
        <w:t>NEC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6E5927" w14:textId="77777777" w:rsidR="00D9157F" w:rsidRDefault="00D9157F" w:rsidP="003B3BBB">
      <w:pPr>
        <w:pStyle w:val="NoSpacing"/>
      </w:pPr>
    </w:p>
    <w:p w14:paraId="412197EA" w14:textId="529DD874" w:rsidR="00883717" w:rsidRDefault="00ED1A68" w:rsidP="009610E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27</w:t>
      </w:r>
      <w:r w:rsidRPr="00D9157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June 2022</w:t>
      </w:r>
      <w:r w:rsidR="001E760E">
        <w:rPr>
          <w:rFonts w:ascii="Times New Roman" w:hAnsi="Times New Roman" w:cs="Times New Roman"/>
          <w:sz w:val="28"/>
          <w:szCs w:val="28"/>
        </w:rPr>
        <w:t xml:space="preserve">, the </w:t>
      </w:r>
      <w:proofErr w:type="gramStart"/>
      <w:r w:rsidR="001E760E">
        <w:rPr>
          <w:rFonts w:ascii="Times New Roman" w:hAnsi="Times New Roman" w:cs="Times New Roman"/>
          <w:sz w:val="28"/>
          <w:szCs w:val="28"/>
        </w:rPr>
        <w:t>applicants</w:t>
      </w:r>
      <w:proofErr w:type="gramEnd"/>
      <w:r w:rsidR="001E760E">
        <w:rPr>
          <w:rFonts w:ascii="Times New Roman" w:hAnsi="Times New Roman" w:cs="Times New Roman"/>
          <w:sz w:val="28"/>
          <w:szCs w:val="28"/>
        </w:rPr>
        <w:t xml:space="preserve"> and members from the other newly elected committee as well as members of the old constituency committee were invited by the Secretary General of the party to a meeting that was chaired by </w:t>
      </w:r>
      <w:r>
        <w:rPr>
          <w:rFonts w:ascii="Times New Roman" w:hAnsi="Times New Roman" w:cs="Times New Roman"/>
          <w:sz w:val="28"/>
          <w:szCs w:val="28"/>
        </w:rPr>
        <w:t xml:space="preserve">Mr </w:t>
      </w:r>
      <w:proofErr w:type="spellStart"/>
      <w:r>
        <w:rPr>
          <w:rFonts w:ascii="Times New Roman" w:hAnsi="Times New Roman" w:cs="Times New Roman"/>
          <w:sz w:val="28"/>
          <w:szCs w:val="28"/>
        </w:rPr>
        <w:t>Masoetsa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Mrs </w:t>
      </w:r>
      <w:proofErr w:type="spellStart"/>
      <w:r>
        <w:rPr>
          <w:rFonts w:ascii="Times New Roman" w:hAnsi="Times New Roman" w:cs="Times New Roman"/>
          <w:sz w:val="28"/>
          <w:szCs w:val="28"/>
        </w:rPr>
        <w:t>Maputsoe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(9</w:t>
      </w:r>
      <w:r w:rsidRPr="00D9157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and 10</w:t>
      </w:r>
      <w:r w:rsidRPr="00B81E6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B81E62">
        <w:rPr>
          <w:rFonts w:ascii="Times New Roman" w:hAnsi="Times New Roman" w:cs="Times New Roman"/>
          <w:sz w:val="28"/>
          <w:szCs w:val="28"/>
        </w:rPr>
        <w:t xml:space="preserve"> respondents </w:t>
      </w:r>
      <w:r w:rsidR="0036280C">
        <w:rPr>
          <w:rFonts w:ascii="Times New Roman" w:hAnsi="Times New Roman" w:cs="Times New Roman"/>
          <w:sz w:val="28"/>
          <w:szCs w:val="28"/>
        </w:rPr>
        <w:t>resp</w:t>
      </w:r>
      <w:r w:rsidR="009610E7">
        <w:rPr>
          <w:rFonts w:ascii="Times New Roman" w:hAnsi="Times New Roman" w:cs="Times New Roman"/>
          <w:sz w:val="28"/>
          <w:szCs w:val="28"/>
        </w:rPr>
        <w:t>ect</w:t>
      </w:r>
      <w:r w:rsidR="0036280C">
        <w:rPr>
          <w:rFonts w:ascii="Times New Roman" w:hAnsi="Times New Roman" w:cs="Times New Roman"/>
          <w:sz w:val="28"/>
          <w:szCs w:val="28"/>
        </w:rPr>
        <w:t>ively</w:t>
      </w:r>
      <w:r w:rsidR="00B81E62">
        <w:rPr>
          <w:rFonts w:ascii="Times New Roman" w:hAnsi="Times New Roman" w:cs="Times New Roman"/>
          <w:sz w:val="28"/>
          <w:szCs w:val="28"/>
        </w:rPr>
        <w:t>)</w:t>
      </w:r>
      <w:r w:rsidR="001E760E">
        <w:rPr>
          <w:rFonts w:ascii="Times New Roman" w:hAnsi="Times New Roman" w:cs="Times New Roman"/>
          <w:sz w:val="28"/>
          <w:szCs w:val="28"/>
        </w:rPr>
        <w:t xml:space="preserve">. </w:t>
      </w:r>
      <w:r w:rsidR="00B81E62">
        <w:rPr>
          <w:rFonts w:ascii="Times New Roman" w:hAnsi="Times New Roman" w:cs="Times New Roman"/>
          <w:sz w:val="28"/>
          <w:szCs w:val="28"/>
        </w:rPr>
        <w:t xml:space="preserve"> </w:t>
      </w:r>
      <w:r w:rsidR="001E760E">
        <w:rPr>
          <w:rFonts w:ascii="Times New Roman" w:hAnsi="Times New Roman" w:cs="Times New Roman"/>
          <w:sz w:val="28"/>
          <w:szCs w:val="28"/>
        </w:rPr>
        <w:t>An</w:t>
      </w:r>
      <w:r w:rsidR="00B81E62">
        <w:rPr>
          <w:rFonts w:ascii="Times New Roman" w:hAnsi="Times New Roman" w:cs="Times New Roman"/>
          <w:sz w:val="28"/>
          <w:szCs w:val="28"/>
        </w:rPr>
        <w:t xml:space="preserve"> enquiry was made </w:t>
      </w:r>
      <w:r w:rsidR="001E760E">
        <w:rPr>
          <w:rFonts w:ascii="Times New Roman" w:hAnsi="Times New Roman" w:cs="Times New Roman"/>
          <w:sz w:val="28"/>
          <w:szCs w:val="28"/>
        </w:rPr>
        <w:t xml:space="preserve">in the meeting </w:t>
      </w:r>
      <w:r w:rsidR="00B81E62">
        <w:rPr>
          <w:rFonts w:ascii="Times New Roman" w:hAnsi="Times New Roman" w:cs="Times New Roman"/>
          <w:sz w:val="28"/>
          <w:szCs w:val="28"/>
        </w:rPr>
        <w:t xml:space="preserve">as to why there were two constituency committees in the </w:t>
      </w:r>
      <w:proofErr w:type="spellStart"/>
      <w:r w:rsidR="00B81E62">
        <w:rPr>
          <w:rFonts w:ascii="Times New Roman" w:hAnsi="Times New Roman" w:cs="Times New Roman"/>
          <w:sz w:val="28"/>
          <w:szCs w:val="28"/>
        </w:rPr>
        <w:t>Thetsane</w:t>
      </w:r>
      <w:proofErr w:type="spellEnd"/>
      <w:r w:rsidR="00B81E62">
        <w:rPr>
          <w:rFonts w:ascii="Times New Roman" w:hAnsi="Times New Roman" w:cs="Times New Roman"/>
          <w:sz w:val="28"/>
          <w:szCs w:val="28"/>
        </w:rPr>
        <w:t xml:space="preserve"> constituency. </w:t>
      </w:r>
      <w:r w:rsidR="001E760E">
        <w:rPr>
          <w:rFonts w:ascii="Times New Roman" w:hAnsi="Times New Roman" w:cs="Times New Roman"/>
          <w:sz w:val="28"/>
          <w:szCs w:val="28"/>
        </w:rPr>
        <w:t>At the end of the meeting, the decision was reached t</w:t>
      </w:r>
      <w:r w:rsidR="00B81E62">
        <w:rPr>
          <w:rFonts w:ascii="Times New Roman" w:hAnsi="Times New Roman" w:cs="Times New Roman"/>
          <w:sz w:val="28"/>
          <w:szCs w:val="28"/>
        </w:rPr>
        <w:t xml:space="preserve">hat there would be re-elections </w:t>
      </w:r>
      <w:r w:rsidR="0036280C">
        <w:rPr>
          <w:rFonts w:ascii="Times New Roman" w:hAnsi="Times New Roman" w:cs="Times New Roman"/>
          <w:sz w:val="28"/>
          <w:szCs w:val="28"/>
        </w:rPr>
        <w:t xml:space="preserve">in the </w:t>
      </w:r>
      <w:proofErr w:type="spellStart"/>
      <w:r w:rsidR="0036280C">
        <w:rPr>
          <w:rFonts w:ascii="Times New Roman" w:hAnsi="Times New Roman" w:cs="Times New Roman"/>
          <w:sz w:val="28"/>
          <w:szCs w:val="28"/>
        </w:rPr>
        <w:t>Thetsane</w:t>
      </w:r>
      <w:proofErr w:type="spellEnd"/>
      <w:r w:rsidR="0036280C">
        <w:rPr>
          <w:rFonts w:ascii="Times New Roman" w:hAnsi="Times New Roman" w:cs="Times New Roman"/>
          <w:sz w:val="28"/>
          <w:szCs w:val="28"/>
        </w:rPr>
        <w:t xml:space="preserve"> constituency on 2</w:t>
      </w:r>
      <w:r w:rsidR="0036280C" w:rsidRPr="0036280C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36280C">
        <w:rPr>
          <w:rFonts w:ascii="Times New Roman" w:hAnsi="Times New Roman" w:cs="Times New Roman"/>
          <w:sz w:val="28"/>
          <w:szCs w:val="28"/>
        </w:rPr>
        <w:t xml:space="preserve"> July 2022.</w:t>
      </w:r>
      <w:r w:rsidR="00B81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573DBD6" w14:textId="28C598EE" w:rsidR="00AF2C8C" w:rsidRDefault="00AF2C8C" w:rsidP="00BF2A5D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14:paraId="0A3F983D" w14:textId="001A1893" w:rsidR="00C550F8" w:rsidRDefault="00ED1A68" w:rsidP="009610E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re-elections were indeed held on 22</w:t>
      </w:r>
      <w:r w:rsidRPr="00AF2C8C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July 2022 and the 1</w:t>
      </w:r>
      <w:r w:rsidRPr="00AF2C8C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– 6</w:t>
      </w:r>
      <w:r w:rsidRPr="00AF2C8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respondents came out win</w:t>
      </w:r>
      <w:r w:rsidR="001E760E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e</w:t>
      </w:r>
      <w:r w:rsidR="001E760E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s. The elections were facilitated by the 9</w:t>
      </w:r>
      <w:r w:rsidRPr="00C550F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and 10</w:t>
      </w:r>
      <w:r w:rsidRPr="00C550F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respondents. The </w:t>
      </w:r>
      <w:r w:rsidR="00E1037D">
        <w:rPr>
          <w:rFonts w:ascii="Times New Roman" w:hAnsi="Times New Roman" w:cs="Times New Roman"/>
          <w:sz w:val="28"/>
          <w:szCs w:val="28"/>
        </w:rPr>
        <w:t>outcome of</w:t>
      </w:r>
      <w:r>
        <w:rPr>
          <w:rFonts w:ascii="Times New Roman" w:hAnsi="Times New Roman" w:cs="Times New Roman"/>
          <w:sz w:val="28"/>
          <w:szCs w:val="28"/>
        </w:rPr>
        <w:t xml:space="preserve"> the elections, so it appears, led to the institution of the current application.</w:t>
      </w:r>
    </w:p>
    <w:p w14:paraId="6036ECBD" w14:textId="77777777" w:rsidR="00FC5DAA" w:rsidRDefault="00FC5DAA" w:rsidP="00FC5DAA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250978" w14:textId="45E90F45" w:rsidR="00FC5DAA" w:rsidRPr="00FC5DAA" w:rsidRDefault="00ED1A68" w:rsidP="00FC5DAA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5DA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The issue</w:t>
      </w:r>
    </w:p>
    <w:p w14:paraId="778263AD" w14:textId="00620D8D" w:rsidR="00FC5DAA" w:rsidRDefault="00ED1A68" w:rsidP="009610E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The issue for determination by this court</w:t>
      </w:r>
      <w:r w:rsidR="00970930">
        <w:rPr>
          <w:rFonts w:ascii="Times New Roman" w:hAnsi="Times New Roman" w:cs="Times New Roman"/>
          <w:sz w:val="28"/>
          <w:szCs w:val="28"/>
        </w:rPr>
        <w:t xml:space="preserve"> which will be dispositive of all other issues</w:t>
      </w:r>
      <w:r>
        <w:rPr>
          <w:rFonts w:ascii="Times New Roman" w:hAnsi="Times New Roman" w:cs="Times New Roman"/>
          <w:sz w:val="28"/>
          <w:szCs w:val="28"/>
        </w:rPr>
        <w:t xml:space="preserve"> is whether the applicant</w:t>
      </w:r>
      <w:r w:rsidR="00970930">
        <w:rPr>
          <w:rFonts w:ascii="Times New Roman" w:hAnsi="Times New Roman" w:cs="Times New Roman"/>
          <w:sz w:val="28"/>
          <w:szCs w:val="28"/>
        </w:rPr>
        <w:t>s have</w:t>
      </w:r>
      <w:r>
        <w:rPr>
          <w:rFonts w:ascii="Times New Roman" w:hAnsi="Times New Roman" w:cs="Times New Roman"/>
          <w:sz w:val="28"/>
          <w:szCs w:val="28"/>
        </w:rPr>
        <w:t xml:space="preserve"> established grounds for </w:t>
      </w:r>
      <w:r w:rsidR="00970930">
        <w:rPr>
          <w:rFonts w:ascii="Times New Roman" w:hAnsi="Times New Roman" w:cs="Times New Roman"/>
          <w:sz w:val="28"/>
          <w:szCs w:val="28"/>
        </w:rPr>
        <w:t>review of</w:t>
      </w:r>
      <w:r>
        <w:rPr>
          <w:rFonts w:ascii="Times New Roman" w:hAnsi="Times New Roman" w:cs="Times New Roman"/>
          <w:sz w:val="28"/>
          <w:szCs w:val="28"/>
        </w:rPr>
        <w:t xml:space="preserve"> the </w:t>
      </w:r>
      <w:r w:rsidR="00970930">
        <w:rPr>
          <w:rFonts w:ascii="Times New Roman" w:hAnsi="Times New Roman" w:cs="Times New Roman"/>
          <w:sz w:val="28"/>
          <w:szCs w:val="28"/>
        </w:rPr>
        <w:t xml:space="preserve">constituency committee </w:t>
      </w:r>
      <w:r>
        <w:rPr>
          <w:rFonts w:ascii="Times New Roman" w:hAnsi="Times New Roman" w:cs="Times New Roman"/>
          <w:sz w:val="28"/>
          <w:szCs w:val="28"/>
        </w:rPr>
        <w:t>elective conference of the</w:t>
      </w:r>
      <w:r w:rsidR="009709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0930">
        <w:rPr>
          <w:rFonts w:ascii="Times New Roman" w:hAnsi="Times New Roman" w:cs="Times New Roman"/>
          <w:sz w:val="28"/>
          <w:szCs w:val="28"/>
        </w:rPr>
        <w:t>2</w:t>
      </w:r>
      <w:r w:rsidR="00970930" w:rsidRPr="00970930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proofErr w:type="gramEnd"/>
      <w:r w:rsidR="00970930">
        <w:rPr>
          <w:rFonts w:ascii="Times New Roman" w:hAnsi="Times New Roman" w:cs="Times New Roman"/>
          <w:sz w:val="28"/>
          <w:szCs w:val="28"/>
        </w:rPr>
        <w:t xml:space="preserve"> July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930">
        <w:rPr>
          <w:rFonts w:ascii="Times New Roman" w:hAnsi="Times New Roman" w:cs="Times New Roman"/>
          <w:sz w:val="28"/>
          <w:szCs w:val="28"/>
        </w:rPr>
        <w:t xml:space="preserve">as being irregular and null and void ab initio. </w:t>
      </w:r>
    </w:p>
    <w:p w14:paraId="14C62D2D" w14:textId="77777777" w:rsidR="00C550F8" w:rsidRDefault="00C550F8" w:rsidP="003B3BBB">
      <w:pPr>
        <w:pStyle w:val="NoSpacing"/>
      </w:pPr>
    </w:p>
    <w:p w14:paraId="59621B35" w14:textId="77777777" w:rsidR="00F21D54" w:rsidRDefault="00F21D54" w:rsidP="003B3BBB">
      <w:pPr>
        <w:pStyle w:val="NoSpacing"/>
      </w:pPr>
    </w:p>
    <w:p w14:paraId="0B08A56C" w14:textId="32067B78" w:rsidR="00D455C0" w:rsidRPr="00F21D54" w:rsidRDefault="00ED1A68" w:rsidP="00BF2A5D">
      <w:pPr>
        <w:spacing w:line="360" w:lineRule="auto"/>
        <w:ind w:left="720" w:hanging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1D54">
        <w:rPr>
          <w:rFonts w:ascii="Times New Roman" w:hAnsi="Times New Roman" w:cs="Times New Roman"/>
          <w:b/>
          <w:bCs/>
          <w:sz w:val="28"/>
          <w:szCs w:val="28"/>
          <w:u w:val="single"/>
        </w:rPr>
        <w:t>The Arguments</w:t>
      </w:r>
    </w:p>
    <w:p w14:paraId="37814B72" w14:textId="34379058" w:rsidR="00970930" w:rsidRDefault="00ED1A68" w:rsidP="00FC5DA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applicants' case from their founding papers is premised on matters outlined in paragraph 36 of the founding affidavit, to </w:t>
      </w:r>
      <w:proofErr w:type="gramStart"/>
      <w:r>
        <w:rPr>
          <w:rFonts w:ascii="Times New Roman" w:hAnsi="Times New Roman" w:cs="Times New Roman"/>
          <w:sz w:val="28"/>
          <w:szCs w:val="28"/>
        </w:rPr>
        <w:t>wit:-</w:t>
      </w:r>
      <w:proofErr w:type="gramEnd"/>
    </w:p>
    <w:p w14:paraId="52A952D7" w14:textId="77777777" w:rsidR="003D5083" w:rsidRDefault="003D5083" w:rsidP="003D5083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669516" w14:textId="40F66B92" w:rsidR="00026976" w:rsidRDefault="00ED1A68" w:rsidP="00970930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(a)</w:t>
      </w:r>
      <w:r w:rsidR="005B2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</w:t>
      </w:r>
      <w:r w:rsidR="005B2CF4">
        <w:rPr>
          <w:rFonts w:ascii="Times New Roman" w:hAnsi="Times New Roman" w:cs="Times New Roman"/>
          <w:sz w:val="28"/>
          <w:szCs w:val="28"/>
        </w:rPr>
        <w:t xml:space="preserve"> elective conference of the </w:t>
      </w:r>
      <w:proofErr w:type="gramStart"/>
      <w:r w:rsidR="005B2CF4">
        <w:rPr>
          <w:rFonts w:ascii="Times New Roman" w:hAnsi="Times New Roman" w:cs="Times New Roman"/>
          <w:sz w:val="28"/>
          <w:szCs w:val="28"/>
        </w:rPr>
        <w:t>2</w:t>
      </w:r>
      <w:r w:rsidR="005B2CF4" w:rsidRPr="005B2CF4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July 2022 was marred with </w:t>
      </w:r>
      <w:r w:rsidR="003D50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irregularities which rendered</w:t>
      </w:r>
      <w:r w:rsidR="005B2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it null and void.</w:t>
      </w:r>
    </w:p>
    <w:p w14:paraId="19998632" w14:textId="3B527170" w:rsidR="007816F3" w:rsidRDefault="00ED1A68" w:rsidP="00970930">
      <w:pPr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 The elections did not follow the dictates of the ABC constitution.</w:t>
      </w:r>
    </w:p>
    <w:p w14:paraId="7D534567" w14:textId="0A4AE50A" w:rsidR="00010782" w:rsidRDefault="00ED1A68" w:rsidP="00970930">
      <w:pPr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(c)</w:t>
      </w:r>
      <w:r w:rsidR="00970930">
        <w:rPr>
          <w:rFonts w:ascii="Times New Roman" w:hAnsi="Times New Roman" w:cs="Times New Roman"/>
          <w:sz w:val="28"/>
          <w:szCs w:val="28"/>
        </w:rPr>
        <w:t xml:space="preserve"> The elections were o</w:t>
      </w:r>
      <w:r>
        <w:rPr>
          <w:rFonts w:ascii="Times New Roman" w:hAnsi="Times New Roman" w:cs="Times New Roman"/>
          <w:sz w:val="28"/>
          <w:szCs w:val="28"/>
        </w:rPr>
        <w:t>verseen by the 9</w:t>
      </w:r>
      <w:r w:rsidRPr="007816F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and 10</w:t>
      </w:r>
      <w:r w:rsidRPr="007816F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70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respondents without a circular of the NEC </w:t>
      </w:r>
      <w:r w:rsidR="00970930">
        <w:rPr>
          <w:rFonts w:ascii="Times New Roman" w:hAnsi="Times New Roman" w:cs="Times New Roman"/>
          <w:sz w:val="28"/>
          <w:szCs w:val="28"/>
        </w:rPr>
        <w:t xml:space="preserve">outlining </w:t>
      </w:r>
      <w:r>
        <w:rPr>
          <w:rFonts w:ascii="Times New Roman" w:hAnsi="Times New Roman" w:cs="Times New Roman"/>
          <w:sz w:val="28"/>
          <w:szCs w:val="28"/>
        </w:rPr>
        <w:t>the purpose of the 9</w:t>
      </w:r>
      <w:r w:rsidRPr="0001078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and 10</w:t>
      </w:r>
      <w:r w:rsidRPr="0001078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930">
        <w:rPr>
          <w:rFonts w:ascii="Times New Roman" w:hAnsi="Times New Roman" w:cs="Times New Roman"/>
          <w:sz w:val="28"/>
          <w:szCs w:val="28"/>
        </w:rPr>
        <w:t>respondents’ presence in the constituency;</w:t>
      </w:r>
      <w:r>
        <w:rPr>
          <w:rFonts w:ascii="Times New Roman" w:hAnsi="Times New Roman" w:cs="Times New Roman"/>
          <w:sz w:val="28"/>
          <w:szCs w:val="28"/>
        </w:rPr>
        <w:t xml:space="preserve"> the mandate they had been given by the NEC</w:t>
      </w:r>
      <w:r w:rsidR="0097093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and the communication </w:t>
      </w:r>
      <w:r w:rsidR="00970930">
        <w:rPr>
          <w:rFonts w:ascii="Times New Roman" w:hAnsi="Times New Roman" w:cs="Times New Roman"/>
          <w:sz w:val="28"/>
          <w:szCs w:val="28"/>
        </w:rPr>
        <w:t xml:space="preserve">whether </w:t>
      </w:r>
      <w:r>
        <w:rPr>
          <w:rFonts w:ascii="Times New Roman" w:hAnsi="Times New Roman" w:cs="Times New Roman"/>
          <w:sz w:val="28"/>
          <w:szCs w:val="28"/>
        </w:rPr>
        <w:t xml:space="preserve">there had been a </w:t>
      </w:r>
      <w:r w:rsidR="00970930">
        <w:rPr>
          <w:rFonts w:ascii="Times New Roman" w:hAnsi="Times New Roman" w:cs="Times New Roman"/>
          <w:sz w:val="28"/>
          <w:szCs w:val="28"/>
        </w:rPr>
        <w:t xml:space="preserve">complaint from </w:t>
      </w:r>
      <w:proofErr w:type="spellStart"/>
      <w:r w:rsidR="00970930">
        <w:rPr>
          <w:rFonts w:ascii="Times New Roman" w:hAnsi="Times New Roman" w:cs="Times New Roman"/>
          <w:sz w:val="28"/>
          <w:szCs w:val="28"/>
        </w:rPr>
        <w:t>Thetsane</w:t>
      </w:r>
      <w:proofErr w:type="spellEnd"/>
      <w:r w:rsidR="00970930">
        <w:rPr>
          <w:rFonts w:ascii="Times New Roman" w:hAnsi="Times New Roman" w:cs="Times New Roman"/>
          <w:sz w:val="28"/>
          <w:szCs w:val="28"/>
        </w:rPr>
        <w:t xml:space="preserve"> constituency</w:t>
      </w:r>
      <w:r>
        <w:rPr>
          <w:rFonts w:ascii="Times New Roman" w:hAnsi="Times New Roman" w:cs="Times New Roman"/>
          <w:sz w:val="28"/>
          <w:szCs w:val="28"/>
        </w:rPr>
        <w:t xml:space="preserve"> and by who.</w:t>
      </w:r>
    </w:p>
    <w:p w14:paraId="0A4A8E3C" w14:textId="77777777" w:rsidR="00010782" w:rsidRDefault="00010782" w:rsidP="003B3BBB">
      <w:pPr>
        <w:pStyle w:val="NoSpacing"/>
      </w:pPr>
    </w:p>
    <w:p w14:paraId="5104F01E" w14:textId="1E82FCC5" w:rsidR="007816F3" w:rsidRDefault="00ED1A68" w:rsidP="005840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respondents </w:t>
      </w:r>
      <w:r w:rsidR="00970930">
        <w:rPr>
          <w:rFonts w:ascii="Times New Roman" w:hAnsi="Times New Roman" w:cs="Times New Roman"/>
          <w:sz w:val="28"/>
          <w:szCs w:val="28"/>
        </w:rPr>
        <w:t xml:space="preserve">opposed the application and </w:t>
      </w:r>
      <w:r w:rsidR="005840E0">
        <w:rPr>
          <w:rFonts w:ascii="Times New Roman" w:hAnsi="Times New Roman" w:cs="Times New Roman"/>
          <w:sz w:val="28"/>
          <w:szCs w:val="28"/>
        </w:rPr>
        <w:t xml:space="preserve">their </w:t>
      </w:r>
      <w:proofErr w:type="spellStart"/>
      <w:r w:rsidR="005840E0">
        <w:rPr>
          <w:rFonts w:ascii="Times New Roman" w:hAnsi="Times New Roman" w:cs="Times New Roman"/>
          <w:sz w:val="28"/>
          <w:szCs w:val="28"/>
        </w:rPr>
        <w:t>defense</w:t>
      </w:r>
      <w:proofErr w:type="spellEnd"/>
      <w:r w:rsidR="005840E0">
        <w:rPr>
          <w:rFonts w:ascii="Times New Roman" w:hAnsi="Times New Roman" w:cs="Times New Roman"/>
          <w:sz w:val="28"/>
          <w:szCs w:val="28"/>
        </w:rPr>
        <w:t xml:space="preserve"> was</w:t>
      </w:r>
      <w:r>
        <w:rPr>
          <w:rFonts w:ascii="Times New Roman" w:hAnsi="Times New Roman" w:cs="Times New Roman"/>
          <w:sz w:val="28"/>
          <w:szCs w:val="28"/>
        </w:rPr>
        <w:t xml:space="preserve"> that the applicants participated in the re-</w:t>
      </w:r>
      <w:r w:rsidR="00F21D54">
        <w:rPr>
          <w:rFonts w:ascii="Times New Roman" w:hAnsi="Times New Roman" w:cs="Times New Roman"/>
          <w:sz w:val="28"/>
          <w:szCs w:val="28"/>
        </w:rPr>
        <w:t>election without raising any objection</w:t>
      </w:r>
      <w:r w:rsidR="005840E0">
        <w:rPr>
          <w:rFonts w:ascii="Times New Roman" w:hAnsi="Times New Roman" w:cs="Times New Roman"/>
          <w:sz w:val="28"/>
          <w:szCs w:val="28"/>
        </w:rPr>
        <w:t>s</w:t>
      </w:r>
      <w:r w:rsidR="00F21D54">
        <w:rPr>
          <w:rFonts w:ascii="Times New Roman" w:hAnsi="Times New Roman" w:cs="Times New Roman"/>
          <w:sz w:val="28"/>
          <w:szCs w:val="28"/>
        </w:rPr>
        <w:t xml:space="preserve"> and they c</w:t>
      </w:r>
      <w:r w:rsidR="005840E0">
        <w:rPr>
          <w:rFonts w:ascii="Times New Roman" w:hAnsi="Times New Roman" w:cs="Times New Roman"/>
          <w:sz w:val="28"/>
          <w:szCs w:val="28"/>
        </w:rPr>
        <w:t>ould not</w:t>
      </w:r>
      <w:r w:rsidR="00F21D54">
        <w:rPr>
          <w:rFonts w:ascii="Times New Roman" w:hAnsi="Times New Roman" w:cs="Times New Roman"/>
          <w:sz w:val="28"/>
          <w:szCs w:val="28"/>
        </w:rPr>
        <w:t xml:space="preserve"> turn around and contest the same elections. They also contended that none of the ABC constitution provisions had been violated as alleged by the applicants.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CFBB404" w14:textId="3D562F19" w:rsidR="00F21D54" w:rsidRDefault="00ED1A68" w:rsidP="003B3BBB">
      <w:pPr>
        <w:pStyle w:val="NoSpacing"/>
      </w:pPr>
      <w:r>
        <w:tab/>
      </w:r>
      <w:r w:rsidR="003B3BBB">
        <w:tab/>
      </w:r>
    </w:p>
    <w:p w14:paraId="2E599A8A" w14:textId="3E8A6C69" w:rsidR="003D5083" w:rsidRDefault="003D5083" w:rsidP="003B3BBB">
      <w:pPr>
        <w:pStyle w:val="NoSpacing"/>
      </w:pPr>
    </w:p>
    <w:p w14:paraId="5F6DCE89" w14:textId="1299482C" w:rsidR="003D5083" w:rsidRDefault="003D5083" w:rsidP="003B3BBB">
      <w:pPr>
        <w:pStyle w:val="NoSpacing"/>
      </w:pPr>
    </w:p>
    <w:p w14:paraId="1D7270C4" w14:textId="4A5CCC32" w:rsidR="003D5083" w:rsidRDefault="003D5083" w:rsidP="003B3BBB">
      <w:pPr>
        <w:pStyle w:val="NoSpacing"/>
      </w:pPr>
    </w:p>
    <w:p w14:paraId="65126E75" w14:textId="77777777" w:rsidR="003D5083" w:rsidRDefault="003D5083" w:rsidP="003B3BBB">
      <w:pPr>
        <w:pStyle w:val="NoSpacing"/>
      </w:pPr>
    </w:p>
    <w:p w14:paraId="6A2B7170" w14:textId="61343C07" w:rsidR="0053538A" w:rsidRPr="009637EE" w:rsidRDefault="00ED1A68" w:rsidP="00BF2A5D">
      <w:pPr>
        <w:spacing w:line="360" w:lineRule="auto"/>
        <w:ind w:left="720" w:hanging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637EE">
        <w:rPr>
          <w:rFonts w:ascii="Times New Roman" w:hAnsi="Times New Roman" w:cs="Times New Roman"/>
          <w:b/>
          <w:bCs/>
          <w:sz w:val="28"/>
          <w:szCs w:val="28"/>
          <w:u w:val="single"/>
        </w:rPr>
        <w:t>Analysis</w:t>
      </w:r>
    </w:p>
    <w:p w14:paraId="482E2158" w14:textId="1A845ABD" w:rsidR="005840E0" w:rsidRDefault="00ED1A68" w:rsidP="005840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D78">
        <w:rPr>
          <w:rFonts w:ascii="Times New Roman" w:hAnsi="Times New Roman" w:cs="Times New Roman"/>
          <w:sz w:val="28"/>
          <w:szCs w:val="28"/>
        </w:rPr>
        <w:t>It is apposite t</w:t>
      </w:r>
      <w:r>
        <w:rPr>
          <w:rFonts w:ascii="Times New Roman" w:hAnsi="Times New Roman" w:cs="Times New Roman"/>
          <w:sz w:val="28"/>
          <w:szCs w:val="28"/>
        </w:rPr>
        <w:t>o</w:t>
      </w:r>
      <w:r w:rsidR="00466D78">
        <w:rPr>
          <w:rFonts w:ascii="Times New Roman" w:hAnsi="Times New Roman" w:cs="Times New Roman"/>
          <w:sz w:val="28"/>
          <w:szCs w:val="28"/>
        </w:rPr>
        <w:t xml:space="preserve"> indicate that the case argued by the applicants</w:t>
      </w:r>
      <w:r>
        <w:rPr>
          <w:rFonts w:ascii="Times New Roman" w:hAnsi="Times New Roman" w:cs="Times New Roman"/>
          <w:sz w:val="28"/>
          <w:szCs w:val="28"/>
        </w:rPr>
        <w:t>’ counsel in the</w:t>
      </w:r>
      <w:r w:rsidR="00466D78">
        <w:rPr>
          <w:rFonts w:ascii="Times New Roman" w:hAnsi="Times New Roman" w:cs="Times New Roman"/>
          <w:sz w:val="28"/>
          <w:szCs w:val="28"/>
        </w:rPr>
        <w:t xml:space="preserve"> written and oral submissions was not what the</w:t>
      </w:r>
      <w:r>
        <w:rPr>
          <w:rFonts w:ascii="Times New Roman" w:hAnsi="Times New Roman" w:cs="Times New Roman"/>
          <w:sz w:val="28"/>
          <w:szCs w:val="28"/>
        </w:rPr>
        <w:t xml:space="preserve"> applicants had</w:t>
      </w:r>
      <w:r w:rsidR="00466D78">
        <w:rPr>
          <w:rFonts w:ascii="Times New Roman" w:hAnsi="Times New Roman" w:cs="Times New Roman"/>
          <w:sz w:val="28"/>
          <w:szCs w:val="28"/>
        </w:rPr>
        <w:t xml:space="preserve"> plea</w:t>
      </w:r>
      <w:r>
        <w:rPr>
          <w:rFonts w:ascii="Times New Roman" w:hAnsi="Times New Roman" w:cs="Times New Roman"/>
          <w:sz w:val="28"/>
          <w:szCs w:val="28"/>
        </w:rPr>
        <w:t xml:space="preserve">ded in the founding papers. The gist of Advocate Molise’s </w:t>
      </w:r>
      <w:proofErr w:type="gramStart"/>
      <w:r>
        <w:rPr>
          <w:rFonts w:ascii="Times New Roman" w:hAnsi="Times New Roman" w:cs="Times New Roman"/>
          <w:sz w:val="28"/>
          <w:szCs w:val="28"/>
        </w:rPr>
        <w:t>written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oral submissions</w:t>
      </w:r>
      <w:r w:rsidR="00466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was </w:t>
      </w:r>
      <w:r w:rsidR="00466D78">
        <w:rPr>
          <w:rFonts w:ascii="Times New Roman" w:hAnsi="Times New Roman" w:cs="Times New Roman"/>
          <w:sz w:val="28"/>
          <w:szCs w:val="28"/>
        </w:rPr>
        <w:t>that the 9</w:t>
      </w:r>
      <w:r w:rsidR="00466D78" w:rsidRPr="00466D7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66D78">
        <w:rPr>
          <w:rFonts w:ascii="Times New Roman" w:hAnsi="Times New Roman" w:cs="Times New Roman"/>
          <w:sz w:val="28"/>
          <w:szCs w:val="28"/>
        </w:rPr>
        <w:t xml:space="preserve"> and 10</w:t>
      </w:r>
      <w:r w:rsidR="00466D78" w:rsidRPr="00466D7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66D78">
        <w:rPr>
          <w:rFonts w:ascii="Times New Roman" w:hAnsi="Times New Roman" w:cs="Times New Roman"/>
          <w:sz w:val="28"/>
          <w:szCs w:val="28"/>
        </w:rPr>
        <w:t xml:space="preserve"> responden</w:t>
      </w:r>
      <w:r>
        <w:rPr>
          <w:rFonts w:ascii="Times New Roman" w:hAnsi="Times New Roman" w:cs="Times New Roman"/>
          <w:sz w:val="28"/>
          <w:szCs w:val="28"/>
        </w:rPr>
        <w:t>ts were not members of the ABC Conflict and D</w:t>
      </w:r>
      <w:r w:rsidR="00466D78">
        <w:rPr>
          <w:rFonts w:ascii="Times New Roman" w:hAnsi="Times New Roman" w:cs="Times New Roman"/>
          <w:sz w:val="28"/>
          <w:szCs w:val="28"/>
        </w:rPr>
        <w:t>ispute Resolution Committee (CDR</w:t>
      </w:r>
      <w:r w:rsidR="00751179">
        <w:rPr>
          <w:rFonts w:ascii="Times New Roman" w:hAnsi="Times New Roman" w:cs="Times New Roman"/>
          <w:sz w:val="28"/>
          <w:szCs w:val="28"/>
        </w:rPr>
        <w:t xml:space="preserve">C) as defined in the </w:t>
      </w:r>
      <w:r>
        <w:rPr>
          <w:rFonts w:ascii="Times New Roman" w:hAnsi="Times New Roman" w:cs="Times New Roman"/>
          <w:sz w:val="28"/>
          <w:szCs w:val="28"/>
        </w:rPr>
        <w:t xml:space="preserve">ABC </w:t>
      </w:r>
      <w:r w:rsidR="00751179">
        <w:rPr>
          <w:rFonts w:ascii="Times New Roman" w:hAnsi="Times New Roman" w:cs="Times New Roman"/>
          <w:sz w:val="28"/>
          <w:szCs w:val="28"/>
        </w:rPr>
        <w:t>constitution and</w:t>
      </w:r>
      <w:r>
        <w:rPr>
          <w:rFonts w:ascii="Times New Roman" w:hAnsi="Times New Roman" w:cs="Times New Roman"/>
          <w:sz w:val="28"/>
          <w:szCs w:val="28"/>
        </w:rPr>
        <w:t xml:space="preserve"> as such,</w:t>
      </w:r>
      <w:r w:rsidR="00751179">
        <w:rPr>
          <w:rFonts w:ascii="Times New Roman" w:hAnsi="Times New Roman" w:cs="Times New Roman"/>
          <w:sz w:val="28"/>
          <w:szCs w:val="28"/>
        </w:rPr>
        <w:t xml:space="preserve"> they did not have the mandate to resolve </w:t>
      </w:r>
      <w:r>
        <w:rPr>
          <w:rFonts w:ascii="Times New Roman" w:hAnsi="Times New Roman" w:cs="Times New Roman"/>
          <w:sz w:val="28"/>
          <w:szCs w:val="28"/>
        </w:rPr>
        <w:t>whatever</w:t>
      </w:r>
      <w:r w:rsidR="00751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179">
        <w:rPr>
          <w:rFonts w:ascii="Times New Roman" w:hAnsi="Times New Roman" w:cs="Times New Roman"/>
          <w:sz w:val="28"/>
          <w:szCs w:val="28"/>
        </w:rPr>
        <w:t>Thetsane</w:t>
      </w:r>
      <w:proofErr w:type="spellEnd"/>
      <w:r w:rsidR="00751179">
        <w:rPr>
          <w:rFonts w:ascii="Times New Roman" w:hAnsi="Times New Roman" w:cs="Times New Roman"/>
          <w:sz w:val="28"/>
          <w:szCs w:val="28"/>
        </w:rPr>
        <w:t xml:space="preserve"> constituency dispute</w:t>
      </w:r>
      <w:r>
        <w:rPr>
          <w:rFonts w:ascii="Times New Roman" w:hAnsi="Times New Roman" w:cs="Times New Roman"/>
          <w:sz w:val="28"/>
          <w:szCs w:val="28"/>
        </w:rPr>
        <w:t xml:space="preserve"> that had been tabled to the NEC</w:t>
      </w:r>
      <w:r w:rsidR="007511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This issue came up for the first time in the arguments. It was never raised by the applicants in the founding papers.</w:t>
      </w:r>
      <w:r w:rsidR="007511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694C48" w14:textId="77777777" w:rsidR="005840E0" w:rsidRDefault="005840E0" w:rsidP="005840E0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233B95" w14:textId="6CC2B633" w:rsidR="00B00B8E" w:rsidRPr="00B00B8E" w:rsidRDefault="00ED1A68" w:rsidP="00A50E3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applicants</w:t>
      </w:r>
      <w:r w:rsidR="006B4D16">
        <w:rPr>
          <w:rFonts w:ascii="Times New Roman" w:hAnsi="Times New Roman" w:cs="Times New Roman"/>
          <w:sz w:val="28"/>
          <w:szCs w:val="28"/>
        </w:rPr>
        <w:t>’</w:t>
      </w:r>
      <w:r w:rsidR="005840E0">
        <w:rPr>
          <w:rFonts w:ascii="Times New Roman" w:hAnsi="Times New Roman" w:cs="Times New Roman"/>
          <w:sz w:val="28"/>
          <w:szCs w:val="28"/>
        </w:rPr>
        <w:t xml:space="preserve"> case in the</w:t>
      </w:r>
      <w:r>
        <w:rPr>
          <w:rFonts w:ascii="Times New Roman" w:hAnsi="Times New Roman" w:cs="Times New Roman"/>
          <w:sz w:val="28"/>
          <w:szCs w:val="28"/>
        </w:rPr>
        <w:t xml:space="preserve"> founding papers was never focused on the</w:t>
      </w:r>
      <w:r w:rsidR="00A50E33">
        <w:rPr>
          <w:rFonts w:ascii="Times New Roman" w:hAnsi="Times New Roman" w:cs="Times New Roman"/>
          <w:sz w:val="28"/>
          <w:szCs w:val="28"/>
        </w:rPr>
        <w:t xml:space="preserve"> legitimacy of the mandate of the </w:t>
      </w:r>
      <w:r w:rsidR="00A50E33" w:rsidRPr="00A50E33">
        <w:rPr>
          <w:rFonts w:ascii="Times New Roman" w:hAnsi="Times New Roman" w:cs="Times New Roman"/>
          <w:sz w:val="28"/>
          <w:szCs w:val="28"/>
        </w:rPr>
        <w:t>9</w:t>
      </w:r>
      <w:r w:rsidR="00A50E33" w:rsidRPr="00A50E3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50E33">
        <w:rPr>
          <w:rFonts w:ascii="Times New Roman" w:hAnsi="Times New Roman" w:cs="Times New Roman"/>
          <w:sz w:val="28"/>
          <w:szCs w:val="28"/>
        </w:rPr>
        <w:t xml:space="preserve"> </w:t>
      </w:r>
      <w:r w:rsidR="00A50E33" w:rsidRPr="00A50E33">
        <w:rPr>
          <w:rFonts w:ascii="Times New Roman" w:hAnsi="Times New Roman" w:cs="Times New Roman"/>
          <w:sz w:val="28"/>
          <w:szCs w:val="28"/>
        </w:rPr>
        <w:t>and 10</w:t>
      </w:r>
      <w:r w:rsidR="00A50E33" w:rsidRPr="00A50E3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50E33">
        <w:rPr>
          <w:rFonts w:ascii="Times New Roman" w:hAnsi="Times New Roman" w:cs="Times New Roman"/>
          <w:sz w:val="28"/>
          <w:szCs w:val="28"/>
        </w:rPr>
        <w:t xml:space="preserve"> </w:t>
      </w:r>
      <w:r w:rsidR="00A50E33" w:rsidRPr="00A50E33">
        <w:rPr>
          <w:rFonts w:ascii="Times New Roman" w:hAnsi="Times New Roman" w:cs="Times New Roman"/>
          <w:sz w:val="28"/>
          <w:szCs w:val="28"/>
        </w:rPr>
        <w:t>respondents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E33">
        <w:rPr>
          <w:rFonts w:ascii="Times New Roman" w:hAnsi="Times New Roman" w:cs="Times New Roman"/>
          <w:sz w:val="28"/>
          <w:szCs w:val="28"/>
        </w:rPr>
        <w:t xml:space="preserve">regarding </w:t>
      </w:r>
      <w:r>
        <w:rPr>
          <w:rFonts w:ascii="Times New Roman" w:hAnsi="Times New Roman" w:cs="Times New Roman"/>
          <w:sz w:val="28"/>
          <w:szCs w:val="28"/>
        </w:rPr>
        <w:t>the mediat</w:t>
      </w:r>
      <w:r w:rsidR="00A50E33">
        <w:rPr>
          <w:rFonts w:ascii="Times New Roman" w:hAnsi="Times New Roman" w:cs="Times New Roman"/>
          <w:sz w:val="28"/>
          <w:szCs w:val="28"/>
        </w:rPr>
        <w:t>ory</w:t>
      </w:r>
      <w:r>
        <w:rPr>
          <w:rFonts w:ascii="Times New Roman" w:hAnsi="Times New Roman" w:cs="Times New Roman"/>
          <w:sz w:val="28"/>
          <w:szCs w:val="28"/>
        </w:rPr>
        <w:t xml:space="preserve"> role </w:t>
      </w:r>
      <w:r w:rsidR="00A50E33">
        <w:rPr>
          <w:rFonts w:ascii="Times New Roman" w:hAnsi="Times New Roman" w:cs="Times New Roman"/>
          <w:sz w:val="28"/>
          <w:szCs w:val="28"/>
        </w:rPr>
        <w:t xml:space="preserve">that they </w:t>
      </w:r>
      <w:r>
        <w:rPr>
          <w:rFonts w:ascii="Times New Roman" w:hAnsi="Times New Roman" w:cs="Times New Roman"/>
          <w:sz w:val="28"/>
          <w:szCs w:val="28"/>
        </w:rPr>
        <w:t xml:space="preserve">played </w:t>
      </w:r>
      <w:r w:rsidR="005840E0">
        <w:rPr>
          <w:rFonts w:ascii="Times New Roman" w:hAnsi="Times New Roman" w:cs="Times New Roman"/>
          <w:sz w:val="28"/>
          <w:szCs w:val="28"/>
        </w:rPr>
        <w:t>in the meeting of 27</w:t>
      </w:r>
      <w:r w:rsidR="005840E0" w:rsidRPr="005840E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5840E0">
        <w:rPr>
          <w:rFonts w:ascii="Times New Roman" w:hAnsi="Times New Roman" w:cs="Times New Roman"/>
          <w:sz w:val="28"/>
          <w:szCs w:val="28"/>
        </w:rPr>
        <w:t xml:space="preserve"> June 2022. Their case centred </w:t>
      </w:r>
      <w:r>
        <w:rPr>
          <w:rFonts w:ascii="Times New Roman" w:hAnsi="Times New Roman" w:cs="Times New Roman"/>
          <w:sz w:val="28"/>
          <w:szCs w:val="28"/>
        </w:rPr>
        <w:t xml:space="preserve">on the alleged </w:t>
      </w:r>
      <w:r w:rsidR="005840E0">
        <w:rPr>
          <w:rFonts w:ascii="Times New Roman" w:hAnsi="Times New Roman" w:cs="Times New Roman"/>
          <w:sz w:val="28"/>
          <w:szCs w:val="28"/>
        </w:rPr>
        <w:t>irregularities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="004760A4">
        <w:rPr>
          <w:rFonts w:ascii="Times New Roman" w:hAnsi="Times New Roman" w:cs="Times New Roman"/>
          <w:sz w:val="28"/>
          <w:szCs w:val="28"/>
        </w:rPr>
        <w:t xml:space="preserve">uring the re-elections of the </w:t>
      </w:r>
      <w:proofErr w:type="gramStart"/>
      <w:r w:rsidR="004760A4">
        <w:rPr>
          <w:rFonts w:ascii="Times New Roman" w:hAnsi="Times New Roman" w:cs="Times New Roman"/>
          <w:sz w:val="28"/>
          <w:szCs w:val="28"/>
        </w:rPr>
        <w:t>2</w:t>
      </w:r>
      <w:r w:rsidR="004760A4" w:rsidRPr="004760A4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proofErr w:type="gramEnd"/>
      <w:r w:rsidR="004760A4">
        <w:rPr>
          <w:rFonts w:ascii="Times New Roman" w:hAnsi="Times New Roman" w:cs="Times New Roman"/>
          <w:sz w:val="28"/>
          <w:szCs w:val="28"/>
        </w:rPr>
        <w:t xml:space="preserve"> July 2022</w:t>
      </w:r>
      <w:r w:rsidR="005840E0">
        <w:rPr>
          <w:rFonts w:ascii="Times New Roman" w:hAnsi="Times New Roman" w:cs="Times New Roman"/>
          <w:sz w:val="28"/>
          <w:szCs w:val="28"/>
        </w:rPr>
        <w:t xml:space="preserve"> as outlined in paragraphs 36.1 through 36.15</w:t>
      </w:r>
      <w:r w:rsidR="004760A4">
        <w:rPr>
          <w:rFonts w:ascii="Times New Roman" w:hAnsi="Times New Roman" w:cs="Times New Roman"/>
          <w:sz w:val="28"/>
          <w:szCs w:val="28"/>
        </w:rPr>
        <w:t>.</w:t>
      </w:r>
      <w:r w:rsidR="00A50E33">
        <w:rPr>
          <w:rFonts w:ascii="Times New Roman" w:hAnsi="Times New Roman" w:cs="Times New Roman"/>
          <w:sz w:val="28"/>
          <w:szCs w:val="28"/>
        </w:rPr>
        <w:t xml:space="preserve"> Even the letter of complaint that the applicants wrote to the NEC on 04</w:t>
      </w:r>
      <w:r w:rsidR="00A50E33" w:rsidRPr="00A50E3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50E33">
        <w:rPr>
          <w:rFonts w:ascii="Times New Roman" w:hAnsi="Times New Roman" w:cs="Times New Roman"/>
          <w:sz w:val="28"/>
          <w:szCs w:val="28"/>
        </w:rPr>
        <w:t xml:space="preserve"> July 2022</w:t>
      </w:r>
      <w:r w:rsidR="006745A2">
        <w:rPr>
          <w:rFonts w:ascii="Times New Roman" w:hAnsi="Times New Roman" w:cs="Times New Roman"/>
          <w:sz w:val="28"/>
          <w:szCs w:val="28"/>
        </w:rPr>
        <w:t xml:space="preserve"> (</w:t>
      </w:r>
      <w:r w:rsidR="006745A2" w:rsidRPr="006745A2">
        <w:rPr>
          <w:rFonts w:ascii="Times New Roman" w:hAnsi="Times New Roman" w:cs="Times New Roman"/>
          <w:b/>
          <w:sz w:val="28"/>
          <w:szCs w:val="28"/>
        </w:rPr>
        <w:t>SM7</w:t>
      </w:r>
      <w:r w:rsidR="006745A2">
        <w:rPr>
          <w:rFonts w:ascii="Times New Roman" w:hAnsi="Times New Roman" w:cs="Times New Roman"/>
          <w:sz w:val="28"/>
          <w:szCs w:val="28"/>
        </w:rPr>
        <w:t>)</w:t>
      </w:r>
      <w:r w:rsidR="00A50E33">
        <w:rPr>
          <w:rFonts w:ascii="Times New Roman" w:hAnsi="Times New Roman" w:cs="Times New Roman"/>
          <w:sz w:val="28"/>
          <w:szCs w:val="28"/>
        </w:rPr>
        <w:t>, two days after the re-elections, focused on the alleged irregularities surrounding the re-elections. The letter made no mention whatsoever of the legitimacy of the role played by the 9</w:t>
      </w:r>
      <w:r w:rsidR="00A50E33" w:rsidRPr="00A50E3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50E33">
        <w:rPr>
          <w:rFonts w:ascii="Times New Roman" w:hAnsi="Times New Roman" w:cs="Times New Roman"/>
          <w:sz w:val="28"/>
          <w:szCs w:val="28"/>
        </w:rPr>
        <w:t xml:space="preserve"> and 10</w:t>
      </w:r>
      <w:r w:rsidR="00A50E33" w:rsidRPr="00A50E3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50E33">
        <w:rPr>
          <w:rFonts w:ascii="Times New Roman" w:hAnsi="Times New Roman" w:cs="Times New Roman"/>
          <w:sz w:val="28"/>
          <w:szCs w:val="28"/>
        </w:rPr>
        <w:t xml:space="preserve"> respondents in the meeting on 27</w:t>
      </w:r>
      <w:r w:rsidR="00A50E33" w:rsidRPr="00A50E3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50E33">
        <w:rPr>
          <w:rFonts w:ascii="Times New Roman" w:hAnsi="Times New Roman" w:cs="Times New Roman"/>
          <w:sz w:val="28"/>
          <w:szCs w:val="28"/>
        </w:rPr>
        <w:t xml:space="preserve"> June 2022. </w:t>
      </w:r>
      <w:r w:rsidR="004760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A16FAD" w14:textId="77777777" w:rsidR="00B00B8E" w:rsidRPr="00B00B8E" w:rsidRDefault="00B00B8E" w:rsidP="00B00B8E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B4DC37" w14:textId="60966244" w:rsidR="009B125B" w:rsidRPr="00F567DD" w:rsidRDefault="00ED1A68" w:rsidP="003E472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is trite that in motion proceedings, the applicant stands and falls by </w:t>
      </w:r>
      <w:r w:rsidR="003E472E">
        <w:rPr>
          <w:rFonts w:ascii="Times New Roman" w:hAnsi="Times New Roman" w:cs="Times New Roman"/>
          <w:sz w:val="28"/>
          <w:szCs w:val="28"/>
        </w:rPr>
        <w:t>the founding affidavit and the facts alleged therein</w:t>
      </w:r>
      <w:r w:rsidR="008C00AA">
        <w:rPr>
          <w:rFonts w:ascii="Times New Roman" w:hAnsi="Times New Roman" w:cs="Times New Roman"/>
          <w:sz w:val="28"/>
          <w:szCs w:val="28"/>
        </w:rPr>
        <w:t xml:space="preserve"> (</w:t>
      </w:r>
      <w:r w:rsidR="003E472E" w:rsidRPr="008C00AA">
        <w:rPr>
          <w:rFonts w:ascii="Times New Roman" w:hAnsi="Times New Roman" w:cs="Times New Roman"/>
          <w:b/>
          <w:sz w:val="28"/>
          <w:szCs w:val="28"/>
        </w:rPr>
        <w:t xml:space="preserve">Lesotho National Olympics Committee v </w:t>
      </w:r>
      <w:proofErr w:type="spellStart"/>
      <w:r w:rsidR="003E472E" w:rsidRPr="008C00AA">
        <w:rPr>
          <w:rFonts w:ascii="Times New Roman" w:hAnsi="Times New Roman" w:cs="Times New Roman"/>
          <w:b/>
          <w:sz w:val="28"/>
          <w:szCs w:val="28"/>
        </w:rPr>
        <w:t>Morolong</w:t>
      </w:r>
      <w:proofErr w:type="spellEnd"/>
      <w:r>
        <w:rPr>
          <w:rStyle w:val="FootnoteReference"/>
          <w:rFonts w:ascii="Times New Roman" w:hAnsi="Times New Roman" w:cs="Times New Roman"/>
          <w:b/>
          <w:sz w:val="28"/>
          <w:szCs w:val="28"/>
        </w:rPr>
        <w:footnoteReference w:id="1"/>
      </w:r>
      <w:r w:rsidR="008C00A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The applicants cannot be permitted to plead one case </w:t>
      </w:r>
      <w:r w:rsidR="00B00B8E">
        <w:rPr>
          <w:rFonts w:ascii="Times New Roman" w:hAnsi="Times New Roman" w:cs="Times New Roman"/>
          <w:sz w:val="28"/>
          <w:szCs w:val="28"/>
        </w:rPr>
        <w:t xml:space="preserve">in their founding papers </w:t>
      </w:r>
      <w:r>
        <w:rPr>
          <w:rFonts w:ascii="Times New Roman" w:hAnsi="Times New Roman" w:cs="Times New Roman"/>
          <w:sz w:val="28"/>
          <w:szCs w:val="28"/>
        </w:rPr>
        <w:t>and to argue another</w:t>
      </w:r>
      <w:r w:rsidR="00B00B8E">
        <w:rPr>
          <w:rFonts w:ascii="Times New Roman" w:hAnsi="Times New Roman" w:cs="Times New Roman"/>
          <w:sz w:val="28"/>
          <w:szCs w:val="28"/>
        </w:rPr>
        <w:t xml:space="preserve"> </w:t>
      </w:r>
      <w:r w:rsidR="003E472E">
        <w:rPr>
          <w:rFonts w:ascii="Times New Roman" w:hAnsi="Times New Roman" w:cs="Times New Roman"/>
          <w:sz w:val="28"/>
          <w:szCs w:val="28"/>
        </w:rPr>
        <w:t xml:space="preserve">case in </w:t>
      </w:r>
      <w:proofErr w:type="spellStart"/>
      <w:r w:rsidR="003E472E">
        <w:rPr>
          <w:rFonts w:ascii="Times New Roman" w:hAnsi="Times New Roman" w:cs="Times New Roman"/>
          <w:sz w:val="28"/>
          <w:szCs w:val="28"/>
        </w:rPr>
        <w:t>thier</w:t>
      </w:r>
      <w:proofErr w:type="spellEnd"/>
      <w:r w:rsidR="003E472E">
        <w:rPr>
          <w:rFonts w:ascii="Times New Roman" w:hAnsi="Times New Roman" w:cs="Times New Roman"/>
          <w:sz w:val="28"/>
          <w:szCs w:val="28"/>
        </w:rPr>
        <w:t xml:space="preserve"> submissions </w:t>
      </w:r>
      <w:r w:rsidR="00B00B8E">
        <w:rPr>
          <w:rFonts w:ascii="Times New Roman" w:hAnsi="Times New Roman" w:cs="Times New Roman"/>
          <w:sz w:val="28"/>
          <w:szCs w:val="28"/>
        </w:rPr>
        <w:t>as that would be tantamount to litigation by ambush</w:t>
      </w:r>
      <w:r>
        <w:rPr>
          <w:rFonts w:ascii="Times New Roman" w:hAnsi="Times New Roman" w:cs="Times New Roman"/>
          <w:sz w:val="28"/>
          <w:szCs w:val="28"/>
        </w:rPr>
        <w:t xml:space="preserve">. The </w:t>
      </w:r>
      <w:r>
        <w:rPr>
          <w:rFonts w:ascii="Times New Roman" w:hAnsi="Times New Roman" w:cs="Times New Roman"/>
          <w:sz w:val="28"/>
          <w:szCs w:val="28"/>
        </w:rPr>
        <w:lastRenderedPageBreak/>
        <w:t>applicants</w:t>
      </w:r>
      <w:r w:rsidR="006B4D16">
        <w:rPr>
          <w:rFonts w:ascii="Times New Roman" w:hAnsi="Times New Roman" w:cs="Times New Roman"/>
          <w:sz w:val="28"/>
          <w:szCs w:val="28"/>
        </w:rPr>
        <w:t>’ case to which the</w:t>
      </w:r>
      <w:r w:rsidR="003E472E" w:rsidRPr="003E472E">
        <w:t xml:space="preserve"> </w:t>
      </w:r>
      <w:r w:rsidR="003E472E" w:rsidRPr="003E472E">
        <w:rPr>
          <w:rFonts w:ascii="Times New Roman" w:hAnsi="Times New Roman" w:cs="Times New Roman"/>
          <w:sz w:val="28"/>
          <w:szCs w:val="28"/>
        </w:rPr>
        <w:t xml:space="preserve">respondents </w:t>
      </w:r>
      <w:r w:rsidR="00882016">
        <w:rPr>
          <w:rFonts w:ascii="Times New Roman" w:hAnsi="Times New Roman" w:cs="Times New Roman"/>
          <w:sz w:val="28"/>
          <w:szCs w:val="28"/>
        </w:rPr>
        <w:t>were</w:t>
      </w:r>
      <w:r w:rsidR="003E472E">
        <w:rPr>
          <w:rFonts w:ascii="Times New Roman" w:hAnsi="Times New Roman" w:cs="Times New Roman"/>
          <w:sz w:val="28"/>
          <w:szCs w:val="28"/>
        </w:rPr>
        <w:t xml:space="preserve"> called upon </w:t>
      </w:r>
      <w:r w:rsidR="003E472E" w:rsidRPr="003E472E">
        <w:rPr>
          <w:rFonts w:ascii="Times New Roman" w:hAnsi="Times New Roman" w:cs="Times New Roman"/>
          <w:sz w:val="28"/>
          <w:szCs w:val="28"/>
        </w:rPr>
        <w:t>to answer</w:t>
      </w:r>
      <w:r w:rsidR="003E472E">
        <w:rPr>
          <w:rFonts w:ascii="Times New Roman" w:hAnsi="Times New Roman" w:cs="Times New Roman"/>
          <w:sz w:val="28"/>
          <w:szCs w:val="28"/>
        </w:rPr>
        <w:t xml:space="preserve">, and the </w:t>
      </w:r>
      <w:r w:rsidR="006B4D16">
        <w:rPr>
          <w:rFonts w:ascii="Times New Roman" w:hAnsi="Times New Roman" w:cs="Times New Roman"/>
          <w:sz w:val="28"/>
          <w:szCs w:val="28"/>
        </w:rPr>
        <w:t xml:space="preserve">court </w:t>
      </w:r>
      <w:r w:rsidR="00882016">
        <w:rPr>
          <w:rFonts w:ascii="Times New Roman" w:hAnsi="Times New Roman" w:cs="Times New Roman"/>
          <w:sz w:val="28"/>
          <w:szCs w:val="28"/>
        </w:rPr>
        <w:t>was</w:t>
      </w:r>
      <w:r w:rsidR="006B4D16">
        <w:rPr>
          <w:rFonts w:ascii="Times New Roman" w:hAnsi="Times New Roman" w:cs="Times New Roman"/>
          <w:sz w:val="28"/>
          <w:szCs w:val="28"/>
        </w:rPr>
        <w:t xml:space="preserve"> called upon to resolve must </w:t>
      </w:r>
      <w:r w:rsidR="003E472E">
        <w:rPr>
          <w:rFonts w:ascii="Times New Roman" w:hAnsi="Times New Roman" w:cs="Times New Roman"/>
          <w:sz w:val="28"/>
          <w:szCs w:val="28"/>
        </w:rPr>
        <w:t>be</w:t>
      </w:r>
      <w:r w:rsidR="00882016">
        <w:rPr>
          <w:rFonts w:ascii="Times New Roman" w:hAnsi="Times New Roman" w:cs="Times New Roman"/>
          <w:sz w:val="28"/>
          <w:szCs w:val="28"/>
        </w:rPr>
        <w:t xml:space="preserve"> the one</w:t>
      </w:r>
      <w:r w:rsidR="006B4D16">
        <w:rPr>
          <w:rFonts w:ascii="Times New Roman" w:hAnsi="Times New Roman" w:cs="Times New Roman"/>
          <w:sz w:val="28"/>
          <w:szCs w:val="28"/>
        </w:rPr>
        <w:t xml:space="preserve"> contained in the</w:t>
      </w:r>
      <w:r w:rsidR="00882016">
        <w:rPr>
          <w:rFonts w:ascii="Times New Roman" w:hAnsi="Times New Roman" w:cs="Times New Roman"/>
          <w:sz w:val="28"/>
          <w:szCs w:val="28"/>
        </w:rPr>
        <w:t>ir</w:t>
      </w:r>
      <w:r w:rsidR="006B4D16">
        <w:rPr>
          <w:rFonts w:ascii="Times New Roman" w:hAnsi="Times New Roman" w:cs="Times New Roman"/>
          <w:sz w:val="28"/>
          <w:szCs w:val="28"/>
        </w:rPr>
        <w:t xml:space="preserve"> founding papers</w:t>
      </w:r>
      <w:r w:rsidR="002B1974">
        <w:rPr>
          <w:rFonts w:ascii="Times New Roman" w:hAnsi="Times New Roman" w:cs="Times New Roman"/>
          <w:sz w:val="28"/>
          <w:szCs w:val="28"/>
        </w:rPr>
        <w:t>. I</w:t>
      </w:r>
      <w:r w:rsidR="006B4D16">
        <w:rPr>
          <w:rFonts w:ascii="Times New Roman" w:hAnsi="Times New Roman" w:cs="Times New Roman"/>
          <w:sz w:val="28"/>
          <w:szCs w:val="28"/>
        </w:rPr>
        <w:t>t is impermissible for</w:t>
      </w:r>
      <w:r w:rsidR="002B1974">
        <w:rPr>
          <w:rFonts w:ascii="Times New Roman" w:hAnsi="Times New Roman" w:cs="Times New Roman"/>
          <w:sz w:val="28"/>
          <w:szCs w:val="28"/>
        </w:rPr>
        <w:t xml:space="preserve"> the applicants to direct the attention of the respondents to a case about the </w:t>
      </w:r>
      <w:r w:rsidR="003E472E">
        <w:rPr>
          <w:rFonts w:ascii="Times New Roman" w:hAnsi="Times New Roman" w:cs="Times New Roman"/>
          <w:sz w:val="28"/>
          <w:szCs w:val="28"/>
        </w:rPr>
        <w:t>irregularities surrounding</w:t>
      </w:r>
      <w:r w:rsidR="002B1974">
        <w:rPr>
          <w:rFonts w:ascii="Times New Roman" w:hAnsi="Times New Roman" w:cs="Times New Roman"/>
          <w:sz w:val="28"/>
          <w:szCs w:val="28"/>
        </w:rPr>
        <w:t xml:space="preserve"> the </w:t>
      </w:r>
      <w:r w:rsidR="003E472E">
        <w:rPr>
          <w:rFonts w:ascii="Times New Roman" w:hAnsi="Times New Roman" w:cs="Times New Roman"/>
          <w:sz w:val="28"/>
          <w:szCs w:val="28"/>
        </w:rPr>
        <w:t xml:space="preserve">constituency </w:t>
      </w:r>
      <w:r w:rsidR="002B1974">
        <w:rPr>
          <w:rFonts w:ascii="Times New Roman" w:hAnsi="Times New Roman" w:cs="Times New Roman"/>
          <w:sz w:val="28"/>
          <w:szCs w:val="28"/>
        </w:rPr>
        <w:t xml:space="preserve">elective conference and to </w:t>
      </w:r>
      <w:r>
        <w:rPr>
          <w:rFonts w:ascii="Times New Roman" w:hAnsi="Times New Roman" w:cs="Times New Roman"/>
          <w:sz w:val="28"/>
          <w:szCs w:val="28"/>
        </w:rPr>
        <w:t>canvas</w:t>
      </w:r>
      <w:r w:rsidR="003E472E">
        <w:rPr>
          <w:rFonts w:ascii="Times New Roman" w:hAnsi="Times New Roman" w:cs="Times New Roman"/>
          <w:sz w:val="28"/>
          <w:szCs w:val="28"/>
        </w:rPr>
        <w:t xml:space="preserve"> the legitimacy of the </w:t>
      </w:r>
      <w:r>
        <w:rPr>
          <w:rFonts w:ascii="Times New Roman" w:hAnsi="Times New Roman" w:cs="Times New Roman"/>
          <w:sz w:val="28"/>
          <w:szCs w:val="28"/>
        </w:rPr>
        <w:t>mandate of the 9</w:t>
      </w:r>
      <w:r w:rsidRPr="009B125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and 10</w:t>
      </w:r>
      <w:r w:rsidRPr="009B125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respondents to have mediate</w:t>
      </w:r>
      <w:r w:rsidR="003E472E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the constituency dispute </w:t>
      </w:r>
      <w:r w:rsidR="003E472E">
        <w:rPr>
          <w:rFonts w:ascii="Times New Roman" w:hAnsi="Times New Roman" w:cs="Times New Roman"/>
          <w:sz w:val="28"/>
          <w:szCs w:val="28"/>
        </w:rPr>
        <w:t xml:space="preserve">in </w:t>
      </w:r>
      <w:r>
        <w:rPr>
          <w:rFonts w:ascii="Times New Roman" w:hAnsi="Times New Roman" w:cs="Times New Roman"/>
          <w:sz w:val="28"/>
          <w:szCs w:val="28"/>
        </w:rPr>
        <w:t>arguments.</w:t>
      </w:r>
      <w:r w:rsidR="00882016">
        <w:rPr>
          <w:rFonts w:ascii="Times New Roman" w:hAnsi="Times New Roman" w:cs="Times New Roman"/>
          <w:sz w:val="28"/>
          <w:szCs w:val="28"/>
        </w:rPr>
        <w:t xml:space="preserve"> (</w:t>
      </w:r>
      <w:r w:rsidR="00882016" w:rsidRPr="00F567DD">
        <w:rPr>
          <w:rFonts w:ascii="Times New Roman" w:hAnsi="Times New Roman" w:cs="Times New Roman"/>
          <w:b/>
          <w:bCs/>
          <w:sz w:val="28"/>
          <w:szCs w:val="28"/>
        </w:rPr>
        <w:t>Frasers Les</w:t>
      </w:r>
      <w:r w:rsidR="00882016">
        <w:rPr>
          <w:rFonts w:ascii="Times New Roman" w:hAnsi="Times New Roman" w:cs="Times New Roman"/>
          <w:b/>
          <w:bCs/>
          <w:sz w:val="28"/>
          <w:szCs w:val="28"/>
        </w:rPr>
        <w:t xml:space="preserve">otho v </w:t>
      </w:r>
      <w:proofErr w:type="spellStart"/>
      <w:r w:rsidR="00882016">
        <w:rPr>
          <w:rFonts w:ascii="Times New Roman" w:hAnsi="Times New Roman" w:cs="Times New Roman"/>
          <w:b/>
          <w:bCs/>
          <w:sz w:val="28"/>
          <w:szCs w:val="28"/>
        </w:rPr>
        <w:t>Hata</w:t>
      </w:r>
      <w:proofErr w:type="spellEnd"/>
      <w:r w:rsidR="008820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82016">
        <w:rPr>
          <w:rFonts w:ascii="Times New Roman" w:hAnsi="Times New Roman" w:cs="Times New Roman"/>
          <w:b/>
          <w:bCs/>
          <w:sz w:val="28"/>
          <w:szCs w:val="28"/>
        </w:rPr>
        <w:t>Butle</w:t>
      </w:r>
      <w:proofErr w:type="spellEnd"/>
      <w:r w:rsidR="00882016">
        <w:rPr>
          <w:rFonts w:ascii="Times New Roman" w:hAnsi="Times New Roman" w:cs="Times New Roman"/>
          <w:b/>
          <w:bCs/>
          <w:sz w:val="28"/>
          <w:szCs w:val="28"/>
        </w:rPr>
        <w:t xml:space="preserve"> (Pty) Ltd</w:t>
      </w:r>
      <w:r>
        <w:rPr>
          <w:rStyle w:val="FootnoteReference"/>
          <w:rFonts w:ascii="Times New Roman" w:hAnsi="Times New Roman" w:cs="Times New Roman"/>
          <w:b/>
          <w:bCs/>
          <w:sz w:val="28"/>
          <w:szCs w:val="28"/>
        </w:rPr>
        <w:footnoteReference w:id="2"/>
      </w:r>
      <w:r w:rsidR="00882016" w:rsidRPr="00F567DD">
        <w:rPr>
          <w:rFonts w:ascii="Times New Roman" w:hAnsi="Times New Roman" w:cs="Times New Roman"/>
          <w:b/>
          <w:bCs/>
          <w:sz w:val="28"/>
          <w:szCs w:val="28"/>
        </w:rPr>
        <w:t>).</w:t>
      </w:r>
      <w:r w:rsidR="008820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7046CE">
        <w:rPr>
          <w:rFonts w:ascii="Times New Roman" w:hAnsi="Times New Roman" w:cs="Times New Roman"/>
          <w:sz w:val="28"/>
          <w:szCs w:val="28"/>
        </w:rPr>
        <w:t>Indeed</w:t>
      </w:r>
      <w:proofErr w:type="gramEnd"/>
      <w:r w:rsidR="007046CE">
        <w:rPr>
          <w:rFonts w:ascii="Times New Roman" w:hAnsi="Times New Roman" w:cs="Times New Roman"/>
          <w:sz w:val="28"/>
          <w:szCs w:val="28"/>
        </w:rPr>
        <w:t xml:space="preserve"> the respondents, in this case, focused their answer and </w:t>
      </w:r>
      <w:proofErr w:type="spellStart"/>
      <w:r w:rsidR="007046CE">
        <w:rPr>
          <w:rFonts w:ascii="Times New Roman" w:hAnsi="Times New Roman" w:cs="Times New Roman"/>
          <w:sz w:val="28"/>
          <w:szCs w:val="28"/>
        </w:rPr>
        <w:t>defense</w:t>
      </w:r>
      <w:proofErr w:type="spellEnd"/>
      <w:r w:rsidR="007046CE">
        <w:rPr>
          <w:rFonts w:ascii="Times New Roman" w:hAnsi="Times New Roman" w:cs="Times New Roman"/>
          <w:sz w:val="28"/>
          <w:szCs w:val="28"/>
        </w:rPr>
        <w:t xml:space="preserve"> on the alleged irregularities surrounding the elective conference. The applicants' l</w:t>
      </w:r>
      <w:r w:rsidR="00882016">
        <w:rPr>
          <w:rFonts w:ascii="Times New Roman" w:hAnsi="Times New Roman" w:cs="Times New Roman"/>
          <w:sz w:val="28"/>
          <w:szCs w:val="28"/>
        </w:rPr>
        <w:t>atter argument</w:t>
      </w:r>
      <w:r w:rsidR="007046CE">
        <w:rPr>
          <w:rFonts w:ascii="Times New Roman" w:hAnsi="Times New Roman" w:cs="Times New Roman"/>
          <w:sz w:val="28"/>
          <w:szCs w:val="28"/>
        </w:rPr>
        <w:t xml:space="preserve"> focused on the legality of the 9</w:t>
      </w:r>
      <w:r w:rsidR="007046CE" w:rsidRPr="007046C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046CE">
        <w:rPr>
          <w:rFonts w:ascii="Times New Roman" w:hAnsi="Times New Roman" w:cs="Times New Roman"/>
          <w:sz w:val="28"/>
          <w:szCs w:val="28"/>
        </w:rPr>
        <w:t xml:space="preserve"> and 10</w:t>
      </w:r>
      <w:r w:rsidR="007046CE" w:rsidRPr="007046C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046CE">
        <w:rPr>
          <w:rFonts w:ascii="Times New Roman" w:hAnsi="Times New Roman" w:cs="Times New Roman"/>
          <w:sz w:val="28"/>
          <w:szCs w:val="28"/>
        </w:rPr>
        <w:t xml:space="preserve"> respondent intervention</w:t>
      </w:r>
      <w:r w:rsidR="00882016">
        <w:rPr>
          <w:rFonts w:ascii="Times New Roman" w:hAnsi="Times New Roman" w:cs="Times New Roman"/>
          <w:sz w:val="28"/>
          <w:szCs w:val="28"/>
        </w:rPr>
        <w:t xml:space="preserve"> is therefore dismissed</w:t>
      </w:r>
      <w:r w:rsidR="007046CE">
        <w:rPr>
          <w:rFonts w:ascii="Times New Roman" w:hAnsi="Times New Roman" w:cs="Times New Roman"/>
          <w:sz w:val="28"/>
          <w:szCs w:val="28"/>
        </w:rPr>
        <w:t>.</w:t>
      </w:r>
    </w:p>
    <w:p w14:paraId="0AF7491D" w14:textId="77777777" w:rsidR="009B125B" w:rsidRDefault="009B125B" w:rsidP="003B3BBB">
      <w:pPr>
        <w:pStyle w:val="NoSpacing"/>
      </w:pPr>
    </w:p>
    <w:p w14:paraId="3986AF7F" w14:textId="22D26BE0" w:rsidR="00F21D54" w:rsidRDefault="00ED1A68" w:rsidP="006745A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 focusing on the applicant</w:t>
      </w:r>
      <w:r w:rsidR="00882016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’ case in terms of the</w:t>
      </w:r>
      <w:r w:rsidR="00965670">
        <w:rPr>
          <w:rFonts w:ascii="Times New Roman" w:hAnsi="Times New Roman" w:cs="Times New Roman"/>
          <w:sz w:val="28"/>
          <w:szCs w:val="28"/>
        </w:rPr>
        <w:t xml:space="preserve">ir founding papers, they </w:t>
      </w:r>
      <w:r w:rsidR="00882016">
        <w:rPr>
          <w:rFonts w:ascii="Times New Roman" w:hAnsi="Times New Roman" w:cs="Times New Roman"/>
          <w:sz w:val="28"/>
          <w:szCs w:val="28"/>
        </w:rPr>
        <w:t>have raised</w:t>
      </w:r>
      <w:r w:rsidR="00965670">
        <w:rPr>
          <w:rFonts w:ascii="Times New Roman" w:hAnsi="Times New Roman" w:cs="Times New Roman"/>
          <w:sz w:val="28"/>
          <w:szCs w:val="28"/>
        </w:rPr>
        <w:t xml:space="preserve"> what they call irregularities in the </w:t>
      </w:r>
      <w:proofErr w:type="gramStart"/>
      <w:r w:rsidR="00965670">
        <w:rPr>
          <w:rFonts w:ascii="Times New Roman" w:hAnsi="Times New Roman" w:cs="Times New Roman"/>
          <w:sz w:val="28"/>
          <w:szCs w:val="28"/>
        </w:rPr>
        <w:t>manner in which</w:t>
      </w:r>
      <w:proofErr w:type="gramEnd"/>
      <w:r w:rsidR="00965670">
        <w:rPr>
          <w:rFonts w:ascii="Times New Roman" w:hAnsi="Times New Roman" w:cs="Times New Roman"/>
          <w:sz w:val="28"/>
          <w:szCs w:val="28"/>
        </w:rPr>
        <w:t xml:space="preserve"> the re-elections were conducted. The first issue they raise is that the 9</w:t>
      </w:r>
      <w:r w:rsidR="00965670" w:rsidRPr="0096567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65670">
        <w:rPr>
          <w:rFonts w:ascii="Times New Roman" w:hAnsi="Times New Roman" w:cs="Times New Roman"/>
          <w:sz w:val="28"/>
          <w:szCs w:val="28"/>
        </w:rPr>
        <w:t xml:space="preserve"> and the </w:t>
      </w:r>
      <w:r w:rsidR="007B07ED">
        <w:rPr>
          <w:rFonts w:ascii="Times New Roman" w:hAnsi="Times New Roman" w:cs="Times New Roman"/>
          <w:sz w:val="28"/>
          <w:szCs w:val="28"/>
        </w:rPr>
        <w:t>10</w:t>
      </w:r>
      <w:r w:rsidR="007B07ED" w:rsidRPr="007B07E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B07ED">
        <w:rPr>
          <w:rFonts w:ascii="Times New Roman" w:hAnsi="Times New Roman" w:cs="Times New Roman"/>
          <w:sz w:val="28"/>
          <w:szCs w:val="28"/>
        </w:rPr>
        <w:t xml:space="preserve"> respondents did not have the mandate of the NEC to oversee the re-elections. This submission </w:t>
      </w:r>
      <w:r w:rsidR="007046CE">
        <w:rPr>
          <w:rFonts w:ascii="Times New Roman" w:hAnsi="Times New Roman" w:cs="Times New Roman"/>
          <w:sz w:val="28"/>
          <w:szCs w:val="28"/>
        </w:rPr>
        <w:t xml:space="preserve">is without merit </w:t>
      </w:r>
      <w:r w:rsidR="00F27B28">
        <w:rPr>
          <w:rFonts w:ascii="Times New Roman" w:hAnsi="Times New Roman" w:cs="Times New Roman"/>
          <w:sz w:val="28"/>
          <w:szCs w:val="28"/>
        </w:rPr>
        <w:t>as it will herein be demonstrated. The d</w:t>
      </w:r>
      <w:r w:rsidR="007046CE">
        <w:rPr>
          <w:rFonts w:ascii="Times New Roman" w:hAnsi="Times New Roman" w:cs="Times New Roman"/>
          <w:sz w:val="28"/>
          <w:szCs w:val="28"/>
        </w:rPr>
        <w:t>eponent</w:t>
      </w:r>
      <w:r w:rsidR="007B07ED">
        <w:rPr>
          <w:rFonts w:ascii="Times New Roman" w:hAnsi="Times New Roman" w:cs="Times New Roman"/>
          <w:sz w:val="28"/>
          <w:szCs w:val="28"/>
        </w:rPr>
        <w:t xml:space="preserve"> to the fou</w:t>
      </w:r>
      <w:r w:rsidR="007046CE">
        <w:rPr>
          <w:rFonts w:ascii="Times New Roman" w:hAnsi="Times New Roman" w:cs="Times New Roman"/>
          <w:sz w:val="28"/>
          <w:szCs w:val="28"/>
        </w:rPr>
        <w:t xml:space="preserve">nding affidavit averred in paragraph </w:t>
      </w:r>
      <w:r w:rsidR="007B07ED">
        <w:rPr>
          <w:rFonts w:ascii="Times New Roman" w:hAnsi="Times New Roman" w:cs="Times New Roman"/>
          <w:sz w:val="28"/>
          <w:szCs w:val="28"/>
        </w:rPr>
        <w:t>30 that he got a cal</w:t>
      </w:r>
      <w:r w:rsidR="00186C37">
        <w:rPr>
          <w:rFonts w:ascii="Times New Roman" w:hAnsi="Times New Roman" w:cs="Times New Roman"/>
          <w:sz w:val="28"/>
          <w:szCs w:val="28"/>
        </w:rPr>
        <w:t xml:space="preserve">l from </w:t>
      </w:r>
      <w:r w:rsidR="007046CE">
        <w:rPr>
          <w:rFonts w:ascii="Times New Roman" w:hAnsi="Times New Roman" w:cs="Times New Roman"/>
          <w:sz w:val="28"/>
          <w:szCs w:val="28"/>
        </w:rPr>
        <w:t xml:space="preserve">the </w:t>
      </w:r>
      <w:r w:rsidR="00901247">
        <w:rPr>
          <w:rFonts w:ascii="Times New Roman" w:hAnsi="Times New Roman" w:cs="Times New Roman"/>
          <w:sz w:val="28"/>
          <w:szCs w:val="28"/>
        </w:rPr>
        <w:t>S</w:t>
      </w:r>
      <w:r w:rsidR="00186C37">
        <w:rPr>
          <w:rFonts w:ascii="Times New Roman" w:hAnsi="Times New Roman" w:cs="Times New Roman"/>
          <w:sz w:val="28"/>
          <w:szCs w:val="28"/>
        </w:rPr>
        <w:t xml:space="preserve">ecretary </w:t>
      </w:r>
      <w:r w:rsidR="00901247">
        <w:rPr>
          <w:rFonts w:ascii="Times New Roman" w:hAnsi="Times New Roman" w:cs="Times New Roman"/>
          <w:sz w:val="28"/>
          <w:szCs w:val="28"/>
        </w:rPr>
        <w:t>General of</w:t>
      </w:r>
      <w:r w:rsidR="00186C37">
        <w:rPr>
          <w:rFonts w:ascii="Times New Roman" w:hAnsi="Times New Roman" w:cs="Times New Roman"/>
          <w:sz w:val="28"/>
          <w:szCs w:val="28"/>
        </w:rPr>
        <w:t xml:space="preserve"> the party on 24</w:t>
      </w:r>
      <w:r w:rsidR="00186C37" w:rsidRPr="00186C3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186C37">
        <w:rPr>
          <w:rFonts w:ascii="Times New Roman" w:hAnsi="Times New Roman" w:cs="Times New Roman"/>
          <w:sz w:val="28"/>
          <w:szCs w:val="28"/>
        </w:rPr>
        <w:t xml:space="preserve"> June</w:t>
      </w:r>
      <w:r w:rsidR="007046CE">
        <w:rPr>
          <w:rFonts w:ascii="Times New Roman" w:hAnsi="Times New Roman" w:cs="Times New Roman"/>
          <w:sz w:val="28"/>
          <w:szCs w:val="28"/>
        </w:rPr>
        <w:t xml:space="preserve"> 2022 in which he was invited</w:t>
      </w:r>
      <w:r w:rsidR="00186C37">
        <w:rPr>
          <w:rFonts w:ascii="Times New Roman" w:hAnsi="Times New Roman" w:cs="Times New Roman"/>
          <w:sz w:val="28"/>
          <w:szCs w:val="28"/>
        </w:rPr>
        <w:t xml:space="preserve"> </w:t>
      </w:r>
      <w:r w:rsidR="007046CE">
        <w:rPr>
          <w:rFonts w:ascii="Times New Roman" w:hAnsi="Times New Roman" w:cs="Times New Roman"/>
          <w:sz w:val="28"/>
          <w:szCs w:val="28"/>
        </w:rPr>
        <w:t>to report</w:t>
      </w:r>
      <w:r w:rsidR="007046CE" w:rsidRPr="007046CE">
        <w:t xml:space="preserve"> </w:t>
      </w:r>
      <w:r w:rsidR="007046CE" w:rsidRPr="007046CE">
        <w:rPr>
          <w:rFonts w:ascii="Times New Roman" w:hAnsi="Times New Roman" w:cs="Times New Roman"/>
          <w:sz w:val="28"/>
          <w:szCs w:val="28"/>
        </w:rPr>
        <w:t>at the party’s national office</w:t>
      </w:r>
      <w:r w:rsidR="007046CE">
        <w:rPr>
          <w:rFonts w:ascii="Times New Roman" w:hAnsi="Times New Roman" w:cs="Times New Roman"/>
          <w:sz w:val="28"/>
          <w:szCs w:val="28"/>
        </w:rPr>
        <w:t xml:space="preserve"> with</w:t>
      </w:r>
      <w:r w:rsidR="00186C37">
        <w:rPr>
          <w:rFonts w:ascii="Times New Roman" w:hAnsi="Times New Roman" w:cs="Times New Roman"/>
          <w:sz w:val="28"/>
          <w:szCs w:val="28"/>
        </w:rPr>
        <w:t xml:space="preserve"> other members of the constituency committee </w:t>
      </w:r>
      <w:r w:rsidR="00DF7971">
        <w:rPr>
          <w:rFonts w:ascii="Times New Roman" w:hAnsi="Times New Roman" w:cs="Times New Roman"/>
          <w:sz w:val="28"/>
          <w:szCs w:val="28"/>
        </w:rPr>
        <w:t xml:space="preserve">on the </w:t>
      </w:r>
      <w:proofErr w:type="gramStart"/>
      <w:r w:rsidR="00DF7971">
        <w:rPr>
          <w:rFonts w:ascii="Times New Roman" w:hAnsi="Times New Roman" w:cs="Times New Roman"/>
          <w:sz w:val="28"/>
          <w:szCs w:val="28"/>
        </w:rPr>
        <w:t>27</w:t>
      </w:r>
      <w:r w:rsidR="00DF7971" w:rsidRPr="00DF797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proofErr w:type="gramEnd"/>
      <w:r w:rsidR="00DF7971">
        <w:rPr>
          <w:rFonts w:ascii="Times New Roman" w:hAnsi="Times New Roman" w:cs="Times New Roman"/>
          <w:sz w:val="28"/>
          <w:szCs w:val="28"/>
        </w:rPr>
        <w:t xml:space="preserve"> June 2022. </w:t>
      </w:r>
      <w:r w:rsidR="007046CE">
        <w:rPr>
          <w:rFonts w:ascii="Times New Roman" w:hAnsi="Times New Roman" w:cs="Times New Roman"/>
          <w:sz w:val="28"/>
          <w:szCs w:val="28"/>
        </w:rPr>
        <w:t xml:space="preserve">The applicants </w:t>
      </w:r>
      <w:r w:rsidR="00E056E3">
        <w:rPr>
          <w:rFonts w:ascii="Times New Roman" w:hAnsi="Times New Roman" w:cs="Times New Roman"/>
          <w:sz w:val="28"/>
          <w:szCs w:val="28"/>
        </w:rPr>
        <w:t>heeded the invitation and that was</w:t>
      </w:r>
      <w:r w:rsidR="00DF7971">
        <w:rPr>
          <w:rFonts w:ascii="Times New Roman" w:hAnsi="Times New Roman" w:cs="Times New Roman"/>
          <w:sz w:val="28"/>
          <w:szCs w:val="28"/>
        </w:rPr>
        <w:t xml:space="preserve"> where they found the 9</w:t>
      </w:r>
      <w:r w:rsidR="00DF7971" w:rsidRPr="00DF797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F7971">
        <w:rPr>
          <w:rFonts w:ascii="Times New Roman" w:hAnsi="Times New Roman" w:cs="Times New Roman"/>
          <w:sz w:val="28"/>
          <w:szCs w:val="28"/>
        </w:rPr>
        <w:t xml:space="preserve"> and 10</w:t>
      </w:r>
      <w:r w:rsidR="00DF7971" w:rsidRPr="00DF797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F7971">
        <w:rPr>
          <w:rFonts w:ascii="Times New Roman" w:hAnsi="Times New Roman" w:cs="Times New Roman"/>
          <w:sz w:val="28"/>
          <w:szCs w:val="28"/>
        </w:rPr>
        <w:t xml:space="preserve"> respondents who chaired the meeting. The said meeting resolved that there would be re-elections of the constituency committee for </w:t>
      </w:r>
      <w:proofErr w:type="spellStart"/>
      <w:r w:rsidR="00DF7971">
        <w:rPr>
          <w:rFonts w:ascii="Times New Roman" w:hAnsi="Times New Roman" w:cs="Times New Roman"/>
          <w:sz w:val="28"/>
          <w:szCs w:val="28"/>
        </w:rPr>
        <w:t>Thetsane</w:t>
      </w:r>
      <w:proofErr w:type="spellEnd"/>
      <w:r w:rsidR="00DF7971">
        <w:rPr>
          <w:rFonts w:ascii="Times New Roman" w:hAnsi="Times New Roman" w:cs="Times New Roman"/>
          <w:sz w:val="28"/>
          <w:szCs w:val="28"/>
        </w:rPr>
        <w:t xml:space="preserve"> no.34. On 2</w:t>
      </w:r>
      <w:r w:rsidR="00DF7971" w:rsidRPr="00DF7971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DF7971">
        <w:rPr>
          <w:rFonts w:ascii="Times New Roman" w:hAnsi="Times New Roman" w:cs="Times New Roman"/>
          <w:sz w:val="28"/>
          <w:szCs w:val="28"/>
        </w:rPr>
        <w:t xml:space="preserve"> </w:t>
      </w:r>
      <w:r w:rsidR="00802F9C">
        <w:rPr>
          <w:rFonts w:ascii="Times New Roman" w:hAnsi="Times New Roman" w:cs="Times New Roman"/>
          <w:sz w:val="28"/>
          <w:szCs w:val="28"/>
        </w:rPr>
        <w:t>July 2020 the re-elections were held under the stewardship of 9</w:t>
      </w:r>
      <w:r w:rsidR="00802F9C" w:rsidRPr="00802F9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802F9C">
        <w:rPr>
          <w:rFonts w:ascii="Times New Roman" w:hAnsi="Times New Roman" w:cs="Times New Roman"/>
          <w:sz w:val="28"/>
          <w:szCs w:val="28"/>
        </w:rPr>
        <w:t xml:space="preserve"> and 10</w:t>
      </w:r>
      <w:r w:rsidR="00802F9C" w:rsidRPr="00802F9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802F9C">
        <w:rPr>
          <w:rFonts w:ascii="Times New Roman" w:hAnsi="Times New Roman" w:cs="Times New Roman"/>
          <w:sz w:val="28"/>
          <w:szCs w:val="28"/>
        </w:rPr>
        <w:t xml:space="preserve"> responde</w:t>
      </w:r>
      <w:r w:rsidR="00E056E3">
        <w:rPr>
          <w:rFonts w:ascii="Times New Roman" w:hAnsi="Times New Roman" w:cs="Times New Roman"/>
          <w:sz w:val="28"/>
          <w:szCs w:val="28"/>
        </w:rPr>
        <w:t>nts and the applicants duly took par</w:t>
      </w:r>
      <w:r w:rsidR="00802F9C">
        <w:rPr>
          <w:rFonts w:ascii="Times New Roman" w:hAnsi="Times New Roman" w:cs="Times New Roman"/>
          <w:sz w:val="28"/>
          <w:szCs w:val="28"/>
        </w:rPr>
        <w:t>t therein. The applicant</w:t>
      </w:r>
      <w:r w:rsidR="00D71603">
        <w:rPr>
          <w:rFonts w:ascii="Times New Roman" w:hAnsi="Times New Roman" w:cs="Times New Roman"/>
          <w:sz w:val="28"/>
          <w:szCs w:val="28"/>
        </w:rPr>
        <w:t>s accepted the mandate of the 9</w:t>
      </w:r>
      <w:r w:rsidR="00D71603" w:rsidRPr="00D7160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71603">
        <w:rPr>
          <w:rFonts w:ascii="Times New Roman" w:hAnsi="Times New Roman" w:cs="Times New Roman"/>
          <w:sz w:val="28"/>
          <w:szCs w:val="28"/>
        </w:rPr>
        <w:t xml:space="preserve"> and 10</w:t>
      </w:r>
      <w:r w:rsidR="00D71603" w:rsidRPr="00D7160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71603">
        <w:rPr>
          <w:rFonts w:ascii="Times New Roman" w:hAnsi="Times New Roman" w:cs="Times New Roman"/>
          <w:sz w:val="28"/>
          <w:szCs w:val="28"/>
        </w:rPr>
        <w:t xml:space="preserve"> respo</w:t>
      </w:r>
      <w:r w:rsidR="00F27B28">
        <w:rPr>
          <w:rFonts w:ascii="Times New Roman" w:hAnsi="Times New Roman" w:cs="Times New Roman"/>
          <w:sz w:val="28"/>
          <w:szCs w:val="28"/>
        </w:rPr>
        <w:t xml:space="preserve">ndents when they </w:t>
      </w:r>
      <w:r w:rsidR="00F27B28">
        <w:rPr>
          <w:rFonts w:ascii="Times New Roman" w:hAnsi="Times New Roman" w:cs="Times New Roman"/>
          <w:sz w:val="28"/>
          <w:szCs w:val="28"/>
        </w:rPr>
        <w:lastRenderedPageBreak/>
        <w:t xml:space="preserve">mediated in </w:t>
      </w:r>
      <w:proofErr w:type="spellStart"/>
      <w:r w:rsidR="00F27B28">
        <w:rPr>
          <w:rFonts w:ascii="Times New Roman" w:hAnsi="Times New Roman" w:cs="Times New Roman"/>
          <w:sz w:val="28"/>
          <w:szCs w:val="28"/>
        </w:rPr>
        <w:t>The</w:t>
      </w:r>
      <w:r w:rsidR="00D71603">
        <w:rPr>
          <w:rFonts w:ascii="Times New Roman" w:hAnsi="Times New Roman" w:cs="Times New Roman"/>
          <w:sz w:val="28"/>
          <w:szCs w:val="28"/>
        </w:rPr>
        <w:t>tsane</w:t>
      </w:r>
      <w:proofErr w:type="spellEnd"/>
      <w:r w:rsidR="00D71603">
        <w:rPr>
          <w:rFonts w:ascii="Times New Roman" w:hAnsi="Times New Roman" w:cs="Times New Roman"/>
          <w:sz w:val="28"/>
          <w:szCs w:val="28"/>
        </w:rPr>
        <w:t xml:space="preserve"> constituency dispute</w:t>
      </w:r>
      <w:r w:rsidR="00E056E3">
        <w:rPr>
          <w:rFonts w:ascii="Times New Roman" w:hAnsi="Times New Roman" w:cs="Times New Roman"/>
          <w:sz w:val="28"/>
          <w:szCs w:val="28"/>
        </w:rPr>
        <w:t xml:space="preserve"> on 27</w:t>
      </w:r>
      <w:r w:rsidR="00E056E3" w:rsidRPr="00E056E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056E3">
        <w:rPr>
          <w:rFonts w:ascii="Times New Roman" w:hAnsi="Times New Roman" w:cs="Times New Roman"/>
          <w:sz w:val="28"/>
          <w:szCs w:val="28"/>
        </w:rPr>
        <w:t xml:space="preserve"> June 2022; and when they headed the re-elections on the </w:t>
      </w:r>
      <w:proofErr w:type="gramStart"/>
      <w:r w:rsidR="00E056E3">
        <w:rPr>
          <w:rFonts w:ascii="Times New Roman" w:hAnsi="Times New Roman" w:cs="Times New Roman"/>
          <w:sz w:val="28"/>
          <w:szCs w:val="28"/>
        </w:rPr>
        <w:t>2</w:t>
      </w:r>
      <w:r w:rsidR="00E056E3" w:rsidRPr="00E056E3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proofErr w:type="gramEnd"/>
      <w:r w:rsidR="00E056E3">
        <w:rPr>
          <w:rFonts w:ascii="Times New Roman" w:hAnsi="Times New Roman" w:cs="Times New Roman"/>
          <w:sz w:val="28"/>
          <w:szCs w:val="28"/>
        </w:rPr>
        <w:t xml:space="preserve"> July 2022 without any issues or objections. </w:t>
      </w:r>
      <w:r w:rsidR="00D71603">
        <w:rPr>
          <w:rFonts w:ascii="Times New Roman" w:hAnsi="Times New Roman" w:cs="Times New Roman"/>
          <w:sz w:val="28"/>
          <w:szCs w:val="28"/>
        </w:rPr>
        <w:t xml:space="preserve"> </w:t>
      </w:r>
      <w:r w:rsidR="00E056E3">
        <w:rPr>
          <w:rFonts w:ascii="Times New Roman" w:hAnsi="Times New Roman" w:cs="Times New Roman"/>
          <w:sz w:val="28"/>
          <w:szCs w:val="28"/>
        </w:rPr>
        <w:t>Th</w:t>
      </w:r>
      <w:r w:rsidR="00D71603">
        <w:rPr>
          <w:rFonts w:ascii="Times New Roman" w:hAnsi="Times New Roman" w:cs="Times New Roman"/>
          <w:sz w:val="28"/>
          <w:szCs w:val="28"/>
        </w:rPr>
        <w:t xml:space="preserve">ey never raised any issues </w:t>
      </w:r>
      <w:r w:rsidR="00E056E3">
        <w:rPr>
          <w:rFonts w:ascii="Times New Roman" w:hAnsi="Times New Roman" w:cs="Times New Roman"/>
          <w:sz w:val="28"/>
          <w:szCs w:val="28"/>
        </w:rPr>
        <w:t>regarding the legitimacy of their role in the meeting or at any time soon thereafter, during the re-elections or soon following that</w:t>
      </w:r>
      <w:r w:rsidR="00D71603">
        <w:rPr>
          <w:rFonts w:ascii="Times New Roman" w:hAnsi="Times New Roman" w:cs="Times New Roman"/>
          <w:sz w:val="28"/>
          <w:szCs w:val="28"/>
        </w:rPr>
        <w:t xml:space="preserve">. They </w:t>
      </w:r>
      <w:r w:rsidR="00E056E3">
        <w:rPr>
          <w:rFonts w:ascii="Times New Roman" w:hAnsi="Times New Roman" w:cs="Times New Roman"/>
          <w:sz w:val="28"/>
          <w:szCs w:val="28"/>
        </w:rPr>
        <w:t>accepted the</w:t>
      </w:r>
      <w:r w:rsidR="00F27B28">
        <w:rPr>
          <w:rFonts w:ascii="Times New Roman" w:hAnsi="Times New Roman" w:cs="Times New Roman"/>
          <w:sz w:val="28"/>
          <w:szCs w:val="28"/>
        </w:rPr>
        <w:t>ir</w:t>
      </w:r>
      <w:r w:rsidR="00E056E3">
        <w:rPr>
          <w:rFonts w:ascii="Times New Roman" w:hAnsi="Times New Roman" w:cs="Times New Roman"/>
          <w:sz w:val="28"/>
          <w:szCs w:val="28"/>
        </w:rPr>
        <w:t xml:space="preserve"> role</w:t>
      </w:r>
      <w:r w:rsidR="00F27B28">
        <w:rPr>
          <w:rFonts w:ascii="Times New Roman" w:hAnsi="Times New Roman" w:cs="Times New Roman"/>
          <w:sz w:val="28"/>
          <w:szCs w:val="28"/>
        </w:rPr>
        <w:t xml:space="preserve"> without issues or questions </w:t>
      </w:r>
      <w:r w:rsidR="00D71603">
        <w:rPr>
          <w:rFonts w:ascii="Times New Roman" w:hAnsi="Times New Roman" w:cs="Times New Roman"/>
          <w:sz w:val="28"/>
          <w:szCs w:val="28"/>
        </w:rPr>
        <w:t>be</w:t>
      </w:r>
      <w:r w:rsidR="00F27B28">
        <w:rPr>
          <w:rFonts w:ascii="Times New Roman" w:hAnsi="Times New Roman" w:cs="Times New Roman"/>
          <w:sz w:val="28"/>
          <w:szCs w:val="28"/>
        </w:rPr>
        <w:t>cause they were aware that the S</w:t>
      </w:r>
      <w:r w:rsidR="00D71603">
        <w:rPr>
          <w:rFonts w:ascii="Times New Roman" w:hAnsi="Times New Roman" w:cs="Times New Roman"/>
          <w:sz w:val="28"/>
          <w:szCs w:val="28"/>
        </w:rPr>
        <w:t>ecretary</w:t>
      </w:r>
      <w:r w:rsidR="009B0A30">
        <w:rPr>
          <w:rFonts w:ascii="Times New Roman" w:hAnsi="Times New Roman" w:cs="Times New Roman"/>
          <w:sz w:val="28"/>
          <w:szCs w:val="28"/>
        </w:rPr>
        <w:t xml:space="preserve">-General </w:t>
      </w:r>
      <w:r w:rsidR="00F27B28">
        <w:rPr>
          <w:rFonts w:ascii="Times New Roman" w:hAnsi="Times New Roman" w:cs="Times New Roman"/>
          <w:sz w:val="28"/>
          <w:szCs w:val="28"/>
        </w:rPr>
        <w:t xml:space="preserve">was the one who </w:t>
      </w:r>
      <w:r w:rsidR="009B0A30">
        <w:rPr>
          <w:rFonts w:ascii="Times New Roman" w:hAnsi="Times New Roman" w:cs="Times New Roman"/>
          <w:sz w:val="28"/>
          <w:szCs w:val="28"/>
        </w:rPr>
        <w:t xml:space="preserve">had authorised the meeting </w:t>
      </w:r>
      <w:r w:rsidR="00F27B28">
        <w:rPr>
          <w:rFonts w:ascii="Times New Roman" w:hAnsi="Times New Roman" w:cs="Times New Roman"/>
          <w:sz w:val="28"/>
          <w:szCs w:val="28"/>
        </w:rPr>
        <w:t xml:space="preserve">of the </w:t>
      </w:r>
      <w:proofErr w:type="gramStart"/>
      <w:r w:rsidR="00F27B28">
        <w:rPr>
          <w:rFonts w:ascii="Times New Roman" w:hAnsi="Times New Roman" w:cs="Times New Roman"/>
          <w:sz w:val="28"/>
          <w:szCs w:val="28"/>
        </w:rPr>
        <w:t>27</w:t>
      </w:r>
      <w:r w:rsidR="00F27B28" w:rsidRPr="00F27B2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proofErr w:type="gramEnd"/>
      <w:r w:rsidR="00F27B28">
        <w:rPr>
          <w:rFonts w:ascii="Times New Roman" w:hAnsi="Times New Roman" w:cs="Times New Roman"/>
          <w:sz w:val="28"/>
          <w:szCs w:val="28"/>
        </w:rPr>
        <w:t xml:space="preserve"> June and whatever that flowed therefrom, </w:t>
      </w:r>
      <w:r w:rsidR="009B0A30">
        <w:rPr>
          <w:rFonts w:ascii="Times New Roman" w:hAnsi="Times New Roman" w:cs="Times New Roman"/>
          <w:sz w:val="28"/>
          <w:szCs w:val="28"/>
        </w:rPr>
        <w:t xml:space="preserve">being the one who </w:t>
      </w:r>
      <w:r w:rsidR="00F27B28">
        <w:rPr>
          <w:rFonts w:ascii="Times New Roman" w:hAnsi="Times New Roman" w:cs="Times New Roman"/>
          <w:sz w:val="28"/>
          <w:szCs w:val="28"/>
        </w:rPr>
        <w:t xml:space="preserve">had </w:t>
      </w:r>
      <w:r w:rsidR="009B0A30">
        <w:rPr>
          <w:rFonts w:ascii="Times New Roman" w:hAnsi="Times New Roman" w:cs="Times New Roman"/>
          <w:sz w:val="28"/>
          <w:szCs w:val="28"/>
        </w:rPr>
        <w:t>called and summoned them to the meeting.</w:t>
      </w:r>
      <w:r w:rsidR="00802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D16">
        <w:rPr>
          <w:rFonts w:ascii="Times New Roman" w:hAnsi="Times New Roman" w:cs="Times New Roman"/>
          <w:sz w:val="28"/>
          <w:szCs w:val="28"/>
        </w:rPr>
        <w:t xml:space="preserve">  </w:t>
      </w:r>
      <w:r w:rsidR="004760A4">
        <w:rPr>
          <w:rFonts w:ascii="Times New Roman" w:hAnsi="Times New Roman" w:cs="Times New Roman"/>
          <w:sz w:val="28"/>
          <w:szCs w:val="28"/>
        </w:rPr>
        <w:t xml:space="preserve">  </w:t>
      </w:r>
      <w:r w:rsidR="007511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2F2220" w14:textId="3F378C0F" w:rsidR="00026976" w:rsidRDefault="00ED1A68" w:rsidP="003B3BBB">
      <w:pPr>
        <w:pStyle w:val="NoSpacing"/>
      </w:pPr>
      <w:r>
        <w:tab/>
      </w:r>
    </w:p>
    <w:p w14:paraId="7805C15C" w14:textId="51766373" w:rsidR="006745A2" w:rsidRDefault="00ED1A68" w:rsidP="006745A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A30">
        <w:rPr>
          <w:rFonts w:ascii="Times New Roman" w:hAnsi="Times New Roman" w:cs="Times New Roman"/>
          <w:sz w:val="28"/>
          <w:szCs w:val="28"/>
        </w:rPr>
        <w:t>The respondents' averred that it had been agreed during the meeting on 27</w:t>
      </w:r>
      <w:r w:rsidR="009B0A30" w:rsidRPr="009B0A3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B0A30">
        <w:rPr>
          <w:rFonts w:ascii="Times New Roman" w:hAnsi="Times New Roman" w:cs="Times New Roman"/>
          <w:sz w:val="28"/>
          <w:szCs w:val="28"/>
        </w:rPr>
        <w:t xml:space="preserve"> June </w:t>
      </w:r>
      <w:r w:rsidR="00F27B28">
        <w:rPr>
          <w:rFonts w:ascii="Times New Roman" w:hAnsi="Times New Roman" w:cs="Times New Roman"/>
          <w:sz w:val="28"/>
          <w:szCs w:val="28"/>
        </w:rPr>
        <w:t>2022 that the re-elections would</w:t>
      </w:r>
      <w:r w:rsidR="009B0A30">
        <w:rPr>
          <w:rFonts w:ascii="Times New Roman" w:hAnsi="Times New Roman" w:cs="Times New Roman"/>
          <w:sz w:val="28"/>
          <w:szCs w:val="28"/>
        </w:rPr>
        <w:t xml:space="preserve"> be overseen by delegates</w:t>
      </w:r>
      <w:r w:rsidR="000628A9">
        <w:rPr>
          <w:rFonts w:ascii="Times New Roman" w:hAnsi="Times New Roman" w:cs="Times New Roman"/>
          <w:sz w:val="28"/>
          <w:szCs w:val="28"/>
        </w:rPr>
        <w:t xml:space="preserve"> from the </w:t>
      </w:r>
      <w:proofErr w:type="gramStart"/>
      <w:r w:rsidR="000628A9">
        <w:rPr>
          <w:rFonts w:ascii="Times New Roman" w:hAnsi="Times New Roman" w:cs="Times New Roman"/>
          <w:sz w:val="28"/>
          <w:szCs w:val="28"/>
        </w:rPr>
        <w:t>NEC</w:t>
      </w:r>
      <w:proofErr w:type="gramEnd"/>
      <w:r w:rsidR="00F27B28">
        <w:rPr>
          <w:rFonts w:ascii="Times New Roman" w:hAnsi="Times New Roman" w:cs="Times New Roman"/>
          <w:sz w:val="28"/>
          <w:szCs w:val="28"/>
        </w:rPr>
        <w:t xml:space="preserve"> and this has not been opposed by the applicants</w:t>
      </w:r>
      <w:r w:rsidR="000628A9">
        <w:rPr>
          <w:rFonts w:ascii="Times New Roman" w:hAnsi="Times New Roman" w:cs="Times New Roman"/>
          <w:sz w:val="28"/>
          <w:szCs w:val="28"/>
        </w:rPr>
        <w:t>.</w:t>
      </w:r>
      <w:r w:rsidR="00F27B28">
        <w:rPr>
          <w:rFonts w:ascii="Times New Roman" w:hAnsi="Times New Roman" w:cs="Times New Roman"/>
          <w:sz w:val="28"/>
          <w:szCs w:val="28"/>
        </w:rPr>
        <w:t xml:space="preserve"> The applicant</w:t>
      </w:r>
      <w:r w:rsidR="000628A9">
        <w:rPr>
          <w:rFonts w:ascii="Times New Roman" w:hAnsi="Times New Roman" w:cs="Times New Roman"/>
          <w:sz w:val="28"/>
          <w:szCs w:val="28"/>
        </w:rPr>
        <w:t>s never objected to the 9</w:t>
      </w:r>
      <w:r w:rsidR="000628A9" w:rsidRPr="000628A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628A9">
        <w:rPr>
          <w:rFonts w:ascii="Times New Roman" w:hAnsi="Times New Roman" w:cs="Times New Roman"/>
          <w:sz w:val="28"/>
          <w:szCs w:val="28"/>
        </w:rPr>
        <w:t xml:space="preserve"> and 10</w:t>
      </w:r>
      <w:r w:rsidR="000628A9" w:rsidRPr="000628A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628A9">
        <w:rPr>
          <w:rFonts w:ascii="Times New Roman" w:hAnsi="Times New Roman" w:cs="Times New Roman"/>
          <w:sz w:val="28"/>
          <w:szCs w:val="28"/>
        </w:rPr>
        <w:t xml:space="preserve"> respondents’ presence at the re-elections conference.</w:t>
      </w:r>
      <w:r w:rsidR="00F27B28">
        <w:rPr>
          <w:rFonts w:ascii="Times New Roman" w:hAnsi="Times New Roman" w:cs="Times New Roman"/>
          <w:sz w:val="28"/>
          <w:szCs w:val="28"/>
        </w:rPr>
        <w:t xml:space="preserve"> </w:t>
      </w:r>
      <w:r w:rsidR="000628A9">
        <w:rPr>
          <w:rFonts w:ascii="Times New Roman" w:hAnsi="Times New Roman" w:cs="Times New Roman"/>
          <w:sz w:val="28"/>
          <w:szCs w:val="28"/>
        </w:rPr>
        <w:t>The only reasonab</w:t>
      </w:r>
      <w:r>
        <w:rPr>
          <w:rFonts w:ascii="Times New Roman" w:hAnsi="Times New Roman" w:cs="Times New Roman"/>
          <w:sz w:val="28"/>
          <w:szCs w:val="28"/>
        </w:rPr>
        <w:t>le explanation for their silent acceptance</w:t>
      </w:r>
      <w:r w:rsidR="000628A9">
        <w:rPr>
          <w:rFonts w:ascii="Times New Roman" w:hAnsi="Times New Roman" w:cs="Times New Roman"/>
          <w:sz w:val="28"/>
          <w:szCs w:val="28"/>
        </w:rPr>
        <w:t xml:space="preserve"> through</w:t>
      </w:r>
      <w:r>
        <w:rPr>
          <w:rFonts w:ascii="Times New Roman" w:hAnsi="Times New Roman" w:cs="Times New Roman"/>
          <w:sz w:val="28"/>
          <w:szCs w:val="28"/>
        </w:rPr>
        <w:t>out</w:t>
      </w:r>
      <w:r w:rsidR="000628A9">
        <w:rPr>
          <w:rFonts w:ascii="Times New Roman" w:hAnsi="Times New Roman" w:cs="Times New Roman"/>
          <w:sz w:val="28"/>
          <w:szCs w:val="28"/>
        </w:rPr>
        <w:t xml:space="preserve"> </w:t>
      </w:r>
      <w:r w:rsidR="00071B6B">
        <w:rPr>
          <w:rFonts w:ascii="Times New Roman" w:hAnsi="Times New Roman" w:cs="Times New Roman"/>
          <w:sz w:val="28"/>
          <w:szCs w:val="28"/>
        </w:rPr>
        <w:t xml:space="preserve">the elections </w:t>
      </w:r>
      <w:r>
        <w:rPr>
          <w:rFonts w:ascii="Times New Roman" w:hAnsi="Times New Roman" w:cs="Times New Roman"/>
          <w:sz w:val="28"/>
          <w:szCs w:val="28"/>
        </w:rPr>
        <w:t>is</w:t>
      </w:r>
      <w:r w:rsidR="00071B6B">
        <w:rPr>
          <w:rFonts w:ascii="Times New Roman" w:hAnsi="Times New Roman" w:cs="Times New Roman"/>
          <w:sz w:val="28"/>
          <w:szCs w:val="28"/>
        </w:rPr>
        <w:t xml:space="preserve"> that they already knew about the </w:t>
      </w:r>
      <w:r>
        <w:rPr>
          <w:rFonts w:ascii="Times New Roman" w:hAnsi="Times New Roman" w:cs="Times New Roman"/>
          <w:sz w:val="28"/>
          <w:szCs w:val="28"/>
        </w:rPr>
        <w:t>mandate</w:t>
      </w:r>
      <w:r w:rsidR="00071B6B">
        <w:rPr>
          <w:rFonts w:ascii="Times New Roman" w:hAnsi="Times New Roman" w:cs="Times New Roman"/>
          <w:sz w:val="28"/>
          <w:szCs w:val="28"/>
        </w:rPr>
        <w:t xml:space="preserve"> of those respondents at the elective conference. </w:t>
      </w:r>
      <w:proofErr w:type="gramStart"/>
      <w:r w:rsidR="00071B6B">
        <w:rPr>
          <w:rFonts w:ascii="Times New Roman" w:hAnsi="Times New Roman" w:cs="Times New Roman"/>
          <w:sz w:val="28"/>
          <w:szCs w:val="28"/>
        </w:rPr>
        <w:t>Indeed</w:t>
      </w:r>
      <w:proofErr w:type="gramEnd"/>
      <w:r w:rsidR="00071B6B">
        <w:rPr>
          <w:rFonts w:ascii="Times New Roman" w:hAnsi="Times New Roman" w:cs="Times New Roman"/>
          <w:sz w:val="28"/>
          <w:szCs w:val="28"/>
        </w:rPr>
        <w:t xml:space="preserve"> this is confirmed by paragraph 3 of the letter of complaint which the applicants wrote to the </w:t>
      </w:r>
      <w:r w:rsidR="00901247">
        <w:rPr>
          <w:rFonts w:ascii="Times New Roman" w:hAnsi="Times New Roman" w:cs="Times New Roman"/>
          <w:sz w:val="28"/>
          <w:szCs w:val="28"/>
        </w:rPr>
        <w:t>Secretary</w:t>
      </w:r>
      <w:r>
        <w:rPr>
          <w:rFonts w:ascii="Times New Roman" w:hAnsi="Times New Roman" w:cs="Times New Roman"/>
          <w:sz w:val="28"/>
          <w:szCs w:val="28"/>
        </w:rPr>
        <w:t>-General dated 04</w:t>
      </w:r>
      <w:r w:rsidRPr="006745A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July </w:t>
      </w:r>
      <w:r w:rsidR="00071B6B">
        <w:rPr>
          <w:rFonts w:ascii="Times New Roman" w:hAnsi="Times New Roman" w:cs="Times New Roman"/>
          <w:sz w:val="28"/>
          <w:szCs w:val="28"/>
        </w:rPr>
        <w:t>2022 (</w:t>
      </w:r>
      <w:r w:rsidR="00071B6B" w:rsidRPr="006745A2">
        <w:rPr>
          <w:rFonts w:ascii="Times New Roman" w:hAnsi="Times New Roman" w:cs="Times New Roman"/>
          <w:b/>
          <w:sz w:val="28"/>
          <w:szCs w:val="28"/>
        </w:rPr>
        <w:t>SM7</w:t>
      </w:r>
      <w:r w:rsidR="00071B6B">
        <w:rPr>
          <w:rFonts w:ascii="Times New Roman" w:hAnsi="Times New Roman" w:cs="Times New Roman"/>
          <w:sz w:val="28"/>
          <w:szCs w:val="28"/>
        </w:rPr>
        <w:t>). In that letter the</w:t>
      </w:r>
      <w:r w:rsidR="001D53C4">
        <w:rPr>
          <w:rFonts w:ascii="Times New Roman" w:hAnsi="Times New Roman" w:cs="Times New Roman"/>
          <w:sz w:val="28"/>
          <w:szCs w:val="28"/>
        </w:rPr>
        <w:t xml:space="preserve"> applicants acknowledged that th</w:t>
      </w:r>
      <w:r w:rsidR="00901247">
        <w:rPr>
          <w:rFonts w:ascii="Times New Roman" w:hAnsi="Times New Roman" w:cs="Times New Roman"/>
          <w:sz w:val="28"/>
          <w:szCs w:val="28"/>
        </w:rPr>
        <w:t>e</w:t>
      </w:r>
      <w:r w:rsidR="001D53C4">
        <w:rPr>
          <w:rFonts w:ascii="Times New Roman" w:hAnsi="Times New Roman" w:cs="Times New Roman"/>
          <w:sz w:val="28"/>
          <w:szCs w:val="28"/>
        </w:rPr>
        <w:t xml:space="preserve"> two respondents had been delegated by NEC to oversee the elections</w:t>
      </w:r>
      <w:r>
        <w:rPr>
          <w:rFonts w:ascii="Times New Roman" w:hAnsi="Times New Roman" w:cs="Times New Roman"/>
          <w:sz w:val="28"/>
          <w:szCs w:val="28"/>
        </w:rPr>
        <w:t xml:space="preserve"> in the following words:</w:t>
      </w:r>
    </w:p>
    <w:p w14:paraId="2A8AF0ED" w14:textId="3077BDC1" w:rsidR="001D53C4" w:rsidRDefault="00ED1A68" w:rsidP="006745A2">
      <w:pPr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6745A2">
        <w:rPr>
          <w:rFonts w:ascii="Times New Roman" w:hAnsi="Times New Roman" w:cs="Times New Roman"/>
          <w:i/>
          <w:sz w:val="28"/>
          <w:szCs w:val="28"/>
        </w:rPr>
        <w:t>To our surprise, the two delegates sent by the National Executive Committee infracted what was agreed upon that the elections were to consist of six (6) branches....”</w:t>
      </w:r>
    </w:p>
    <w:p w14:paraId="34415D13" w14:textId="77777777" w:rsidR="001D53C4" w:rsidRDefault="001D53C4" w:rsidP="003B3BBB">
      <w:pPr>
        <w:pStyle w:val="NoSpacing"/>
      </w:pPr>
    </w:p>
    <w:p w14:paraId="1B4A878C" w14:textId="609D9943" w:rsidR="006745A2" w:rsidRDefault="00ED1A68" w:rsidP="006745A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5A2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6745A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D3B">
        <w:rPr>
          <w:rFonts w:ascii="Times New Roman" w:hAnsi="Times New Roman" w:cs="Times New Roman"/>
          <w:sz w:val="28"/>
          <w:szCs w:val="28"/>
        </w:rPr>
        <w:t>respondent</w:t>
      </w:r>
      <w:r>
        <w:rPr>
          <w:rFonts w:ascii="Times New Roman" w:hAnsi="Times New Roman" w:cs="Times New Roman"/>
          <w:sz w:val="28"/>
          <w:szCs w:val="28"/>
        </w:rPr>
        <w:t xml:space="preserve"> averred in </w:t>
      </w:r>
      <w:r w:rsidR="00495EC2">
        <w:rPr>
          <w:rFonts w:ascii="Times New Roman" w:hAnsi="Times New Roman" w:cs="Times New Roman"/>
          <w:sz w:val="28"/>
          <w:szCs w:val="28"/>
        </w:rPr>
        <w:t xml:space="preserve">paragraph 5.10 of </w:t>
      </w:r>
      <w:r w:rsidR="00F86D3B">
        <w:rPr>
          <w:rFonts w:ascii="Times New Roman" w:hAnsi="Times New Roman" w:cs="Times New Roman"/>
          <w:sz w:val="28"/>
          <w:szCs w:val="28"/>
        </w:rPr>
        <w:t>his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D3B">
        <w:rPr>
          <w:rFonts w:ascii="Times New Roman" w:hAnsi="Times New Roman" w:cs="Times New Roman"/>
          <w:sz w:val="28"/>
          <w:szCs w:val="28"/>
        </w:rPr>
        <w:t>answering 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D3B">
        <w:rPr>
          <w:rFonts w:ascii="Times New Roman" w:hAnsi="Times New Roman" w:cs="Times New Roman"/>
          <w:sz w:val="28"/>
          <w:szCs w:val="28"/>
        </w:rPr>
        <w:t>supported by the 10</w:t>
      </w:r>
      <w:r w:rsidR="00F86D3B" w:rsidRPr="00F86D3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86D3B">
        <w:rPr>
          <w:rFonts w:ascii="Times New Roman" w:hAnsi="Times New Roman" w:cs="Times New Roman"/>
          <w:sz w:val="28"/>
          <w:szCs w:val="28"/>
        </w:rPr>
        <w:t xml:space="preserve"> respondent’s supporting</w:t>
      </w:r>
      <w:r>
        <w:rPr>
          <w:rFonts w:ascii="Times New Roman" w:hAnsi="Times New Roman" w:cs="Times New Roman"/>
          <w:sz w:val="28"/>
          <w:szCs w:val="28"/>
        </w:rPr>
        <w:t xml:space="preserve"> affidavits that they had been mandated by the NEC to </w:t>
      </w:r>
      <w:r w:rsidR="00D432DB">
        <w:rPr>
          <w:rFonts w:ascii="Times New Roman" w:hAnsi="Times New Roman" w:cs="Times New Roman"/>
          <w:sz w:val="28"/>
          <w:szCs w:val="28"/>
        </w:rPr>
        <w:t xml:space="preserve">mediate over the </w:t>
      </w:r>
      <w:proofErr w:type="spellStart"/>
      <w:r w:rsidR="00D432DB">
        <w:rPr>
          <w:rFonts w:ascii="Times New Roman" w:hAnsi="Times New Roman" w:cs="Times New Roman"/>
          <w:sz w:val="28"/>
          <w:szCs w:val="28"/>
        </w:rPr>
        <w:t>Thetsane</w:t>
      </w:r>
      <w:proofErr w:type="spellEnd"/>
      <w:r w:rsidR="00D432DB">
        <w:rPr>
          <w:rFonts w:ascii="Times New Roman" w:hAnsi="Times New Roman" w:cs="Times New Roman"/>
          <w:sz w:val="28"/>
          <w:szCs w:val="28"/>
        </w:rPr>
        <w:t xml:space="preserve"> constituency case where there were two constituency committees.</w:t>
      </w:r>
      <w:r w:rsidR="00495EC2">
        <w:rPr>
          <w:rFonts w:ascii="Times New Roman" w:hAnsi="Times New Roman" w:cs="Times New Roman"/>
          <w:sz w:val="28"/>
          <w:szCs w:val="28"/>
        </w:rPr>
        <w:t xml:space="preserve"> This averment has not been specifically denied by the applicants.</w:t>
      </w:r>
      <w:r w:rsidR="00D432DB">
        <w:rPr>
          <w:rFonts w:ascii="Times New Roman" w:hAnsi="Times New Roman" w:cs="Times New Roman"/>
          <w:sz w:val="28"/>
          <w:szCs w:val="28"/>
        </w:rPr>
        <w:t xml:space="preserve"> The applicants' submission </w:t>
      </w:r>
      <w:r w:rsidRPr="006745A2">
        <w:rPr>
          <w:rFonts w:ascii="Times New Roman" w:hAnsi="Times New Roman" w:cs="Times New Roman"/>
          <w:sz w:val="28"/>
          <w:szCs w:val="28"/>
        </w:rPr>
        <w:t>that</w:t>
      </w:r>
      <w:r w:rsidR="00D432DB">
        <w:rPr>
          <w:rFonts w:ascii="Times New Roman" w:hAnsi="Times New Roman" w:cs="Times New Roman"/>
          <w:sz w:val="28"/>
          <w:szCs w:val="28"/>
        </w:rPr>
        <w:t xml:space="preserve"> the</w:t>
      </w:r>
      <w:r w:rsidRPr="006745A2">
        <w:rPr>
          <w:rFonts w:ascii="Times New Roman" w:hAnsi="Times New Roman" w:cs="Times New Roman"/>
          <w:sz w:val="28"/>
          <w:szCs w:val="28"/>
        </w:rPr>
        <w:t xml:space="preserve"> 9</w:t>
      </w:r>
      <w:r w:rsidRPr="00D432D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432DB">
        <w:rPr>
          <w:rFonts w:ascii="Times New Roman" w:hAnsi="Times New Roman" w:cs="Times New Roman"/>
          <w:sz w:val="28"/>
          <w:szCs w:val="28"/>
        </w:rPr>
        <w:t xml:space="preserve"> </w:t>
      </w:r>
      <w:r w:rsidRPr="006745A2">
        <w:rPr>
          <w:rFonts w:ascii="Times New Roman" w:hAnsi="Times New Roman" w:cs="Times New Roman"/>
          <w:sz w:val="28"/>
          <w:szCs w:val="28"/>
        </w:rPr>
        <w:t xml:space="preserve">and the </w:t>
      </w:r>
      <w:r w:rsidRPr="006745A2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Pr="00D432D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432D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432DB">
        <w:rPr>
          <w:rFonts w:ascii="Times New Roman" w:hAnsi="Times New Roman" w:cs="Times New Roman"/>
          <w:sz w:val="28"/>
          <w:szCs w:val="28"/>
        </w:rPr>
        <w:t xml:space="preserve"> </w:t>
      </w:r>
      <w:r w:rsidRPr="006745A2">
        <w:rPr>
          <w:rFonts w:ascii="Times New Roman" w:hAnsi="Times New Roman" w:cs="Times New Roman"/>
          <w:sz w:val="28"/>
          <w:szCs w:val="28"/>
        </w:rPr>
        <w:t xml:space="preserve"> respondents did not have the mandate of the NEC to oversee the re-elections</w:t>
      </w:r>
      <w:r w:rsidR="00D432DB">
        <w:rPr>
          <w:rFonts w:ascii="Times New Roman" w:hAnsi="Times New Roman" w:cs="Times New Roman"/>
          <w:sz w:val="28"/>
          <w:szCs w:val="28"/>
        </w:rPr>
        <w:t xml:space="preserve"> is therefore dismissed as being baseless. </w:t>
      </w:r>
    </w:p>
    <w:p w14:paraId="68B7B82B" w14:textId="77777777" w:rsidR="00D432DB" w:rsidRDefault="00D432DB" w:rsidP="00D432DB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11CBF6" w14:textId="7FEE859B" w:rsidR="00495D10" w:rsidRDefault="00ED1A68" w:rsidP="003420B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applicants further argued that the elections of the 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1D53C4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July 2022 were marred with irregula</w:t>
      </w:r>
      <w:r w:rsidR="00D432DB">
        <w:rPr>
          <w:rFonts w:ascii="Times New Roman" w:hAnsi="Times New Roman" w:cs="Times New Roman"/>
          <w:sz w:val="28"/>
          <w:szCs w:val="28"/>
        </w:rPr>
        <w:t>rities in terms of which</w:t>
      </w:r>
      <w:r>
        <w:rPr>
          <w:rFonts w:ascii="Times New Roman" w:hAnsi="Times New Roman" w:cs="Times New Roman"/>
          <w:sz w:val="28"/>
          <w:szCs w:val="28"/>
        </w:rPr>
        <w:t xml:space="preserve"> some </w:t>
      </w:r>
      <w:r w:rsidR="004D020B">
        <w:rPr>
          <w:rFonts w:ascii="Times New Roman" w:hAnsi="Times New Roman" w:cs="Times New Roman"/>
          <w:sz w:val="28"/>
          <w:szCs w:val="28"/>
        </w:rPr>
        <w:t>provisions</w:t>
      </w:r>
      <w:r>
        <w:rPr>
          <w:rFonts w:ascii="Times New Roman" w:hAnsi="Times New Roman" w:cs="Times New Roman"/>
          <w:sz w:val="28"/>
          <w:szCs w:val="28"/>
        </w:rPr>
        <w:t xml:space="preserve"> of </w:t>
      </w:r>
      <w:r w:rsidR="00D432DB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 xml:space="preserve">ABC </w:t>
      </w:r>
      <w:r w:rsidR="004D020B">
        <w:rPr>
          <w:rFonts w:ascii="Times New Roman" w:hAnsi="Times New Roman" w:cs="Times New Roman"/>
          <w:sz w:val="28"/>
          <w:szCs w:val="28"/>
        </w:rPr>
        <w:t>constitution</w:t>
      </w:r>
      <w:r>
        <w:rPr>
          <w:rFonts w:ascii="Times New Roman" w:hAnsi="Times New Roman" w:cs="Times New Roman"/>
          <w:sz w:val="28"/>
          <w:szCs w:val="28"/>
        </w:rPr>
        <w:t xml:space="preserve"> had been violated, in parti</w:t>
      </w:r>
      <w:r w:rsidR="000550EA">
        <w:rPr>
          <w:rFonts w:ascii="Times New Roman" w:hAnsi="Times New Roman" w:cs="Times New Roman"/>
          <w:sz w:val="28"/>
          <w:szCs w:val="28"/>
        </w:rPr>
        <w:t>cular clause 8 (4) (b).</w:t>
      </w:r>
      <w:r w:rsidR="003420B6" w:rsidRPr="003420B6">
        <w:t xml:space="preserve"> </w:t>
      </w:r>
      <w:r w:rsidR="003420B6">
        <w:rPr>
          <w:rFonts w:ascii="Times New Roman" w:hAnsi="Times New Roman" w:cs="Times New Roman"/>
          <w:sz w:val="28"/>
          <w:szCs w:val="28"/>
        </w:rPr>
        <w:t>T</w:t>
      </w:r>
      <w:r w:rsidR="003420B6" w:rsidRPr="003420B6">
        <w:rPr>
          <w:rFonts w:ascii="Times New Roman" w:hAnsi="Times New Roman" w:cs="Times New Roman"/>
          <w:sz w:val="28"/>
          <w:szCs w:val="28"/>
        </w:rPr>
        <w:t xml:space="preserve">he </w:t>
      </w:r>
      <w:r w:rsidR="003420B6">
        <w:rPr>
          <w:rFonts w:ascii="Times New Roman" w:hAnsi="Times New Roman" w:cs="Times New Roman"/>
          <w:sz w:val="28"/>
          <w:szCs w:val="28"/>
        </w:rPr>
        <w:t xml:space="preserve">applicants only annexed the </w:t>
      </w:r>
      <w:r w:rsidR="003420B6" w:rsidRPr="003420B6">
        <w:rPr>
          <w:rFonts w:ascii="Times New Roman" w:hAnsi="Times New Roman" w:cs="Times New Roman"/>
          <w:sz w:val="28"/>
          <w:szCs w:val="28"/>
        </w:rPr>
        <w:t xml:space="preserve">ABC constitution to the replying affidavit, though </w:t>
      </w:r>
      <w:r w:rsidR="003420B6">
        <w:rPr>
          <w:rFonts w:ascii="Times New Roman" w:hAnsi="Times New Roman" w:cs="Times New Roman"/>
          <w:sz w:val="28"/>
          <w:szCs w:val="28"/>
        </w:rPr>
        <w:t xml:space="preserve">they </w:t>
      </w:r>
      <w:r w:rsidR="003420B6" w:rsidRPr="003420B6">
        <w:rPr>
          <w:rFonts w:ascii="Times New Roman" w:hAnsi="Times New Roman" w:cs="Times New Roman"/>
          <w:sz w:val="28"/>
          <w:szCs w:val="28"/>
        </w:rPr>
        <w:t xml:space="preserve">mentioned </w:t>
      </w:r>
      <w:r w:rsidR="003420B6">
        <w:rPr>
          <w:rFonts w:ascii="Times New Roman" w:hAnsi="Times New Roman" w:cs="Times New Roman"/>
          <w:sz w:val="28"/>
          <w:szCs w:val="28"/>
        </w:rPr>
        <w:t xml:space="preserve">it </w:t>
      </w:r>
      <w:r w:rsidR="003420B6" w:rsidRPr="003420B6">
        <w:rPr>
          <w:rFonts w:ascii="Times New Roman" w:hAnsi="Times New Roman" w:cs="Times New Roman"/>
          <w:sz w:val="28"/>
          <w:szCs w:val="28"/>
        </w:rPr>
        <w:t>in the founding affidavit</w:t>
      </w:r>
      <w:r w:rsidR="003420B6">
        <w:rPr>
          <w:rFonts w:ascii="Times New Roman" w:hAnsi="Times New Roman" w:cs="Times New Roman"/>
          <w:sz w:val="28"/>
          <w:szCs w:val="28"/>
        </w:rPr>
        <w:t xml:space="preserve"> and even </w:t>
      </w:r>
      <w:r w:rsidR="003420B6" w:rsidRPr="003420B6">
        <w:rPr>
          <w:rFonts w:ascii="Times New Roman" w:hAnsi="Times New Roman" w:cs="Times New Roman"/>
          <w:sz w:val="28"/>
          <w:szCs w:val="28"/>
        </w:rPr>
        <w:t xml:space="preserve">indicated </w:t>
      </w:r>
      <w:r w:rsidR="003420B6">
        <w:rPr>
          <w:rFonts w:ascii="Times New Roman" w:hAnsi="Times New Roman" w:cs="Times New Roman"/>
          <w:sz w:val="28"/>
          <w:szCs w:val="28"/>
        </w:rPr>
        <w:t xml:space="preserve">therein </w:t>
      </w:r>
      <w:r w:rsidR="003420B6" w:rsidRPr="003420B6">
        <w:rPr>
          <w:rFonts w:ascii="Times New Roman" w:hAnsi="Times New Roman" w:cs="Times New Roman"/>
          <w:sz w:val="28"/>
          <w:szCs w:val="28"/>
        </w:rPr>
        <w:t>that it was annexed</w:t>
      </w:r>
      <w:r w:rsidR="003420B6">
        <w:rPr>
          <w:rFonts w:ascii="Times New Roman" w:hAnsi="Times New Roman" w:cs="Times New Roman"/>
          <w:sz w:val="28"/>
          <w:szCs w:val="28"/>
        </w:rPr>
        <w:t>. Though that was an inelegant way of pleading, i</w:t>
      </w:r>
      <w:r w:rsidR="003420B6" w:rsidRPr="003420B6">
        <w:rPr>
          <w:rFonts w:ascii="Times New Roman" w:hAnsi="Times New Roman" w:cs="Times New Roman"/>
          <w:sz w:val="28"/>
          <w:szCs w:val="28"/>
        </w:rPr>
        <w:t>t cannot be argued that the applicants by so doing</w:t>
      </w:r>
      <w:r w:rsidR="003420B6">
        <w:rPr>
          <w:rFonts w:ascii="Times New Roman" w:hAnsi="Times New Roman" w:cs="Times New Roman"/>
          <w:sz w:val="28"/>
          <w:szCs w:val="28"/>
        </w:rPr>
        <w:t>,</w:t>
      </w:r>
      <w:r w:rsidR="003420B6" w:rsidRPr="003420B6">
        <w:rPr>
          <w:rFonts w:ascii="Times New Roman" w:hAnsi="Times New Roman" w:cs="Times New Roman"/>
          <w:sz w:val="28"/>
          <w:szCs w:val="28"/>
        </w:rPr>
        <w:t xml:space="preserve"> mad</w:t>
      </w:r>
      <w:r w:rsidR="003420B6">
        <w:rPr>
          <w:rFonts w:ascii="Times New Roman" w:hAnsi="Times New Roman" w:cs="Times New Roman"/>
          <w:sz w:val="28"/>
          <w:szCs w:val="28"/>
        </w:rPr>
        <w:t>e out a new case or augmented their case</w:t>
      </w:r>
      <w:r w:rsidR="003420B6" w:rsidRPr="003420B6">
        <w:rPr>
          <w:rFonts w:ascii="Times New Roman" w:hAnsi="Times New Roman" w:cs="Times New Roman"/>
          <w:sz w:val="28"/>
          <w:szCs w:val="28"/>
        </w:rPr>
        <w:t xml:space="preserve"> at the reply stage. </w:t>
      </w:r>
      <w:r w:rsidR="003420B6">
        <w:rPr>
          <w:rFonts w:ascii="Times New Roman" w:hAnsi="Times New Roman" w:cs="Times New Roman"/>
          <w:sz w:val="28"/>
          <w:szCs w:val="28"/>
        </w:rPr>
        <w:t xml:space="preserve">This is more so considering that the parties in this matter are all from ABC. </w:t>
      </w:r>
      <w:r w:rsidR="000550EA">
        <w:rPr>
          <w:rFonts w:ascii="Times New Roman" w:hAnsi="Times New Roman" w:cs="Times New Roman"/>
          <w:sz w:val="28"/>
          <w:szCs w:val="28"/>
        </w:rPr>
        <w:t xml:space="preserve">I should point out </w:t>
      </w:r>
      <w:r w:rsidR="00901247">
        <w:rPr>
          <w:rFonts w:ascii="Times New Roman" w:hAnsi="Times New Roman" w:cs="Times New Roman"/>
          <w:sz w:val="28"/>
          <w:szCs w:val="28"/>
        </w:rPr>
        <w:t xml:space="preserve">that </w:t>
      </w:r>
      <w:r w:rsidR="00D432DB">
        <w:rPr>
          <w:rFonts w:ascii="Times New Roman" w:hAnsi="Times New Roman" w:cs="Times New Roman"/>
          <w:sz w:val="28"/>
          <w:szCs w:val="28"/>
        </w:rPr>
        <w:t xml:space="preserve">I </w:t>
      </w:r>
      <w:r w:rsidR="00901247">
        <w:rPr>
          <w:rFonts w:ascii="Times New Roman" w:hAnsi="Times New Roman" w:cs="Times New Roman"/>
          <w:sz w:val="28"/>
          <w:szCs w:val="28"/>
        </w:rPr>
        <w:t>perused</w:t>
      </w:r>
      <w:r w:rsidR="003420B6">
        <w:rPr>
          <w:rFonts w:ascii="Times New Roman" w:hAnsi="Times New Roman" w:cs="Times New Roman"/>
          <w:sz w:val="28"/>
          <w:szCs w:val="28"/>
        </w:rPr>
        <w:t xml:space="preserve"> the ABC Constitution in</w:t>
      </w:r>
      <w:r w:rsidR="000550EA">
        <w:rPr>
          <w:rFonts w:ascii="Times New Roman" w:hAnsi="Times New Roman" w:cs="Times New Roman"/>
          <w:sz w:val="28"/>
          <w:szCs w:val="28"/>
        </w:rPr>
        <w:t xml:space="preserve"> </w:t>
      </w:r>
      <w:r w:rsidR="003420B6">
        <w:rPr>
          <w:rFonts w:ascii="Times New Roman" w:hAnsi="Times New Roman" w:cs="Times New Roman"/>
          <w:sz w:val="28"/>
          <w:szCs w:val="28"/>
        </w:rPr>
        <w:t xml:space="preserve">vain searching </w:t>
      </w:r>
      <w:r w:rsidR="000550EA">
        <w:rPr>
          <w:rFonts w:ascii="Times New Roman" w:hAnsi="Times New Roman" w:cs="Times New Roman"/>
          <w:sz w:val="28"/>
          <w:szCs w:val="28"/>
        </w:rPr>
        <w:t>for clause 8 (4) (b)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880A92" w14:textId="77777777" w:rsidR="00495D10" w:rsidRDefault="00495D10" w:rsidP="003B3BBB">
      <w:pPr>
        <w:pStyle w:val="NoSpacing"/>
      </w:pPr>
    </w:p>
    <w:p w14:paraId="738D0D7E" w14:textId="72F99BF6" w:rsidR="00962FDF" w:rsidRPr="00962FDF" w:rsidRDefault="00ED1A68" w:rsidP="003D7F7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C6234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 other issue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raised by the applicants is that there was no circular from the NEC authorizing the holding of the re-elections.</w:t>
      </w:r>
      <w:r w:rsidR="00355FAC" w:rsidRPr="00355F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355F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 </w:t>
      </w:r>
      <w:r w:rsidR="00355FAC" w:rsidRPr="00C6234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applicants have </w:t>
      </w:r>
      <w:r w:rsidR="00355FAC">
        <w:rPr>
          <w:rFonts w:ascii="Times New Roman" w:eastAsia="Calibri" w:hAnsi="Times New Roman" w:cs="Times New Roman"/>
          <w:sz w:val="28"/>
          <w:szCs w:val="28"/>
          <w:lang w:val="en-US"/>
        </w:rPr>
        <w:t>failed to refer the court to the clause of the ABC C</w:t>
      </w:r>
      <w:r w:rsidR="00355FAC" w:rsidRPr="00C6234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onstitution that requires the circular before </w:t>
      </w:r>
      <w:r w:rsidR="00355FAC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="00355FAC" w:rsidRPr="00C6234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constituency elective conference can be held.  </w:t>
      </w:r>
      <w:r w:rsidR="00355FAC">
        <w:rPr>
          <w:rFonts w:ascii="Times New Roman" w:eastAsia="Calibri" w:hAnsi="Times New Roman" w:cs="Times New Roman"/>
          <w:sz w:val="28"/>
          <w:szCs w:val="28"/>
          <w:lang w:val="en-US"/>
        </w:rPr>
        <w:t>Furthermore,</w:t>
      </w:r>
      <w:r w:rsidRPr="00C6234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the applicants participated in t</w:t>
      </w:r>
      <w:r w:rsidR="00355F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he re-elections and even </w:t>
      </w:r>
      <w:r w:rsidRPr="00C6234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contested for some portfolios.  By so doing, they acquiesced to the absence of a circular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that</w:t>
      </w:r>
      <w:r w:rsidRPr="00C6234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confirmed; the purpose of the 9</w:t>
      </w:r>
      <w:r w:rsidRPr="00C62341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th</w:t>
      </w:r>
      <w:r w:rsidRPr="00C6234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and 10</w:t>
      </w:r>
      <w:r w:rsidRPr="00C62341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th</w:t>
      </w:r>
      <w:r w:rsidRPr="00C6234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BD5679" w:rsidRPr="00C62341">
        <w:rPr>
          <w:rFonts w:ascii="Times New Roman" w:eastAsia="Calibri" w:hAnsi="Times New Roman" w:cs="Times New Roman"/>
          <w:sz w:val="28"/>
          <w:szCs w:val="28"/>
          <w:lang w:val="en-US"/>
        </w:rPr>
        <w:t>respondents’</w:t>
      </w:r>
      <w:r w:rsidR="00BD567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C6234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presence at the elective conference; the mandate they had been given by NEC; communication that there had been a complaint and by also; and how the NEC had resolved the complaint.  Nowhere in the applicant’s founding papers </w:t>
      </w:r>
      <w:r w:rsidR="00355F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have </w:t>
      </w:r>
      <w:r w:rsidRPr="00C6234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they alleged that they contested the absence of </w:t>
      </w:r>
      <w:r w:rsidR="00355F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 </w:t>
      </w:r>
      <w:r w:rsidRPr="00C62341">
        <w:rPr>
          <w:rFonts w:ascii="Times New Roman" w:eastAsia="Calibri" w:hAnsi="Times New Roman" w:cs="Times New Roman"/>
          <w:sz w:val="28"/>
          <w:szCs w:val="28"/>
          <w:lang w:val="en-US"/>
        </w:rPr>
        <w:t>circular either before the commencement of the elective conference or during the confere</w:t>
      </w:r>
      <w:r w:rsidR="00355F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nce. The issue of the circular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surfaced for the first time in</w:t>
      </w:r>
      <w:r w:rsidRPr="00C6234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their complaint letter of 04</w:t>
      </w:r>
      <w:r w:rsidRPr="00C62341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th</w:t>
      </w:r>
      <w:r w:rsidRPr="00C6234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July 2022 (</w:t>
      </w:r>
      <w:r w:rsidRPr="00355FAC">
        <w:rPr>
          <w:rFonts w:ascii="Times New Roman" w:eastAsia="Calibri" w:hAnsi="Times New Roman" w:cs="Times New Roman"/>
          <w:b/>
          <w:sz w:val="28"/>
          <w:szCs w:val="28"/>
          <w:lang w:val="en-US"/>
        </w:rPr>
        <w:t>SM7</w:t>
      </w:r>
      <w:r w:rsidR="008479A0">
        <w:rPr>
          <w:rFonts w:ascii="Times New Roman" w:eastAsia="Calibri" w:hAnsi="Times New Roman" w:cs="Times New Roman"/>
          <w:sz w:val="28"/>
          <w:szCs w:val="28"/>
          <w:lang w:val="en-US"/>
        </w:rPr>
        <w:t>).  The applicants</w:t>
      </w:r>
      <w:r w:rsidRPr="00C6234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cannot, therefore, complain about the elections in which they</w:t>
      </w:r>
      <w:r w:rsidR="008479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duly</w:t>
      </w:r>
      <w:r w:rsidRPr="00C6234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par</w:t>
      </w:r>
      <w:r w:rsidR="008479A0">
        <w:rPr>
          <w:rFonts w:ascii="Times New Roman" w:eastAsia="Calibri" w:hAnsi="Times New Roman" w:cs="Times New Roman"/>
          <w:sz w:val="28"/>
          <w:szCs w:val="28"/>
          <w:lang w:val="en-US"/>
        </w:rPr>
        <w:t>ticipated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without a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complaint</w:t>
      </w:r>
      <w:r w:rsidR="008479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while they were already</w:t>
      </w:r>
      <w:r w:rsidR="008479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aware of the</w:t>
      </w:r>
      <w:r w:rsidRPr="00C6234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absence of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the alleged</w:t>
      </w:r>
      <w:r w:rsidRPr="00C6234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authorizing circular.</w:t>
      </w:r>
      <w:r w:rsidR="008479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This belated</w:t>
      </w:r>
      <w:r w:rsidR="008479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complaint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gives the irresistible suspicion that it arose just because the applicants</w:t>
      </w:r>
      <w:r w:rsidR="008479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had lost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in the elections race</w:t>
      </w:r>
      <w:r w:rsidR="008479A0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C6234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14:paraId="409679CB" w14:textId="77777777" w:rsidR="00962FDF" w:rsidRPr="00962FDF" w:rsidRDefault="00962FDF" w:rsidP="00962FDF">
      <w:pPr>
        <w:pStyle w:val="ListParagraph"/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</w:p>
    <w:p w14:paraId="31E767D8" w14:textId="6D833076" w:rsidR="003D7F73" w:rsidRPr="00D34118" w:rsidRDefault="00ED1A68" w:rsidP="003D7F7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C6234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As I have already indicated, the courts should avoid being seen </w:t>
      </w:r>
      <w:r w:rsidR="008479A0">
        <w:rPr>
          <w:rFonts w:ascii="Times New Roman" w:eastAsia="Calibri" w:hAnsi="Times New Roman" w:cs="Times New Roman"/>
          <w:sz w:val="28"/>
          <w:szCs w:val="28"/>
          <w:lang w:val="en-US"/>
        </w:rPr>
        <w:t>as</w:t>
      </w:r>
      <w:r w:rsidRPr="00C6234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running political parties for the party member or committees or getting involved unnecessarily in the internal aff</w:t>
      </w:r>
      <w:r w:rsidR="00962FD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airs of political parties.  The applicant’s complaint about the absence of the alleged circular </w:t>
      </w:r>
      <w:r w:rsidRPr="00C6234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is </w:t>
      </w:r>
      <w:r w:rsidR="008479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 </w:t>
      </w:r>
      <w:r w:rsidRPr="00C6234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typical </w:t>
      </w:r>
      <w:r w:rsidR="00686D7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one </w:t>
      </w:r>
      <w:r w:rsidRPr="00C62341">
        <w:rPr>
          <w:rFonts w:ascii="Times New Roman" w:eastAsia="Calibri" w:hAnsi="Times New Roman" w:cs="Times New Roman"/>
          <w:sz w:val="28"/>
          <w:szCs w:val="28"/>
          <w:lang w:val="en-US"/>
        </w:rPr>
        <w:t>which the court shoul</w:t>
      </w:r>
      <w:r w:rsidR="008479A0">
        <w:rPr>
          <w:rFonts w:ascii="Times New Roman" w:eastAsia="Calibri" w:hAnsi="Times New Roman" w:cs="Times New Roman"/>
          <w:sz w:val="28"/>
          <w:szCs w:val="28"/>
          <w:lang w:val="en-US"/>
        </w:rPr>
        <w:t>d be wary to involve itself in as</w:t>
      </w:r>
      <w:r w:rsidRPr="00C6234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there is no apparent</w:t>
      </w:r>
      <w:r w:rsidR="00686D7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or alleged </w:t>
      </w:r>
      <w:r w:rsidRPr="00C62341">
        <w:rPr>
          <w:rFonts w:ascii="Times New Roman" w:eastAsia="Calibri" w:hAnsi="Times New Roman" w:cs="Times New Roman"/>
          <w:sz w:val="28"/>
          <w:szCs w:val="28"/>
          <w:lang w:val="en-US"/>
        </w:rPr>
        <w:t>illegality unfairness or arbitrariness which could justif</w:t>
      </w:r>
      <w:r w:rsidR="008479A0">
        <w:rPr>
          <w:rFonts w:ascii="Times New Roman" w:eastAsia="Calibri" w:hAnsi="Times New Roman" w:cs="Times New Roman"/>
          <w:sz w:val="28"/>
          <w:szCs w:val="28"/>
          <w:lang w:val="en-US"/>
        </w:rPr>
        <w:t>y the intervention of the court</w:t>
      </w:r>
      <w:r w:rsidRPr="00C6234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</w:t>
      </w:r>
      <w:r w:rsidRPr="00C6234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Basutoland Congress Party and Another v </w:t>
      </w:r>
      <w:proofErr w:type="spellStart"/>
      <w:r w:rsidRPr="00C6234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Molapo</w:t>
      </w:r>
      <w:proofErr w:type="spellEnd"/>
      <w:r w:rsidRPr="00C6234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6234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Qhobela</w:t>
      </w:r>
      <w:proofErr w:type="spellEnd"/>
      <w:r w:rsidRPr="00C6234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and Another</w:t>
      </w:r>
      <w:r>
        <w:rPr>
          <w:rStyle w:val="FootnoteReference"/>
          <w:rFonts w:ascii="Times New Roman" w:eastAsia="Calibri" w:hAnsi="Times New Roman" w:cs="Times New Roman"/>
          <w:bCs/>
          <w:sz w:val="28"/>
          <w:szCs w:val="28"/>
          <w:lang w:val="en-US"/>
        </w:rPr>
        <w:footnoteReference w:id="3"/>
      </w:r>
      <w:r w:rsidR="00D34118" w:rsidRPr="00D3411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).</w:t>
      </w:r>
    </w:p>
    <w:p w14:paraId="5F9DF5A5" w14:textId="77777777" w:rsidR="003D7F73" w:rsidRDefault="003D7F73" w:rsidP="00355FAC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CFEF0E" w14:textId="0F24659C" w:rsidR="003750FD" w:rsidRDefault="00ED1A68" w:rsidP="00686D7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E06">
        <w:rPr>
          <w:rFonts w:ascii="Times New Roman" w:hAnsi="Times New Roman" w:cs="Times New Roman"/>
          <w:sz w:val="28"/>
          <w:szCs w:val="28"/>
        </w:rPr>
        <w:t>A</w:t>
      </w:r>
      <w:r w:rsidR="00495D10">
        <w:rPr>
          <w:rFonts w:ascii="Times New Roman" w:hAnsi="Times New Roman" w:cs="Times New Roman"/>
          <w:sz w:val="28"/>
          <w:szCs w:val="28"/>
        </w:rPr>
        <w:t xml:space="preserve">s often said, the courts should try as much as possible to </w:t>
      </w:r>
      <w:r w:rsidR="00203352">
        <w:rPr>
          <w:rFonts w:ascii="Times New Roman" w:hAnsi="Times New Roman" w:cs="Times New Roman"/>
          <w:sz w:val="28"/>
          <w:szCs w:val="28"/>
        </w:rPr>
        <w:t>avoid</w:t>
      </w:r>
      <w:r w:rsidR="003420B6">
        <w:rPr>
          <w:rFonts w:ascii="Times New Roman" w:hAnsi="Times New Roman" w:cs="Times New Roman"/>
          <w:sz w:val="28"/>
          <w:szCs w:val="28"/>
        </w:rPr>
        <w:t xml:space="preserve"> being</w:t>
      </w:r>
      <w:r w:rsidR="00203352">
        <w:rPr>
          <w:rFonts w:ascii="Times New Roman" w:hAnsi="Times New Roman" w:cs="Times New Roman"/>
          <w:sz w:val="28"/>
          <w:szCs w:val="28"/>
        </w:rPr>
        <w:t xml:space="preserve"> dragged</w:t>
      </w:r>
      <w:r w:rsidR="00495D10">
        <w:rPr>
          <w:rFonts w:ascii="Times New Roman" w:hAnsi="Times New Roman" w:cs="Times New Roman"/>
          <w:sz w:val="28"/>
          <w:szCs w:val="28"/>
        </w:rPr>
        <w:t xml:space="preserve"> in</w:t>
      </w:r>
      <w:r w:rsidR="003420B6">
        <w:rPr>
          <w:rFonts w:ascii="Times New Roman" w:hAnsi="Times New Roman" w:cs="Times New Roman"/>
          <w:sz w:val="28"/>
          <w:szCs w:val="28"/>
        </w:rPr>
        <w:t xml:space="preserve">to </w:t>
      </w:r>
      <w:r w:rsidR="00495D10">
        <w:rPr>
          <w:rFonts w:ascii="Times New Roman" w:hAnsi="Times New Roman" w:cs="Times New Roman"/>
          <w:sz w:val="28"/>
          <w:szCs w:val="28"/>
        </w:rPr>
        <w:t>matter</w:t>
      </w:r>
      <w:r w:rsidR="00203352">
        <w:rPr>
          <w:rFonts w:ascii="Times New Roman" w:hAnsi="Times New Roman" w:cs="Times New Roman"/>
          <w:sz w:val="28"/>
          <w:szCs w:val="28"/>
        </w:rPr>
        <w:t>s purely administrative of political parties. (</w:t>
      </w:r>
      <w:r w:rsidR="00203352" w:rsidRPr="00901247">
        <w:rPr>
          <w:rFonts w:ascii="Times New Roman" w:hAnsi="Times New Roman" w:cs="Times New Roman"/>
          <w:b/>
          <w:bCs/>
          <w:sz w:val="28"/>
          <w:szCs w:val="28"/>
        </w:rPr>
        <w:t xml:space="preserve">Basutoland Congress Party v </w:t>
      </w:r>
      <w:proofErr w:type="spellStart"/>
      <w:r w:rsidR="00203352" w:rsidRPr="00901247">
        <w:rPr>
          <w:rFonts w:ascii="Times New Roman" w:hAnsi="Times New Roman" w:cs="Times New Roman"/>
          <w:b/>
          <w:bCs/>
          <w:sz w:val="28"/>
          <w:szCs w:val="28"/>
        </w:rPr>
        <w:t>Molapo</w:t>
      </w:r>
      <w:proofErr w:type="spellEnd"/>
      <w:r w:rsidR="00203352" w:rsidRPr="009012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03352" w:rsidRPr="00901247">
        <w:rPr>
          <w:rFonts w:ascii="Times New Roman" w:hAnsi="Times New Roman" w:cs="Times New Roman"/>
          <w:b/>
          <w:bCs/>
          <w:sz w:val="28"/>
          <w:szCs w:val="28"/>
        </w:rPr>
        <w:t>Qhobela</w:t>
      </w:r>
      <w:proofErr w:type="spellEnd"/>
      <w:r>
        <w:rPr>
          <w:rStyle w:val="FootnoteReference"/>
          <w:rFonts w:ascii="Times New Roman" w:hAnsi="Times New Roman" w:cs="Times New Roman"/>
          <w:b/>
          <w:bCs/>
          <w:sz w:val="28"/>
          <w:szCs w:val="28"/>
        </w:rPr>
        <w:footnoteReference w:id="4"/>
      </w:r>
      <w:r w:rsidR="00203352" w:rsidRPr="00901247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3420B6">
        <w:rPr>
          <w:rFonts w:ascii="Times New Roman" w:hAnsi="Times New Roman" w:cs="Times New Roman"/>
          <w:sz w:val="28"/>
          <w:szCs w:val="28"/>
        </w:rPr>
        <w:t xml:space="preserve"> W</w:t>
      </w:r>
      <w:r w:rsidR="00203352">
        <w:rPr>
          <w:rFonts w:ascii="Times New Roman" w:hAnsi="Times New Roman" w:cs="Times New Roman"/>
          <w:sz w:val="28"/>
          <w:szCs w:val="28"/>
        </w:rPr>
        <w:t xml:space="preserve">hat </w:t>
      </w:r>
      <w:r w:rsidR="00076AA7">
        <w:rPr>
          <w:rFonts w:ascii="Times New Roman" w:hAnsi="Times New Roman" w:cs="Times New Roman"/>
          <w:sz w:val="28"/>
          <w:szCs w:val="28"/>
        </w:rPr>
        <w:t>the applica</w:t>
      </w:r>
      <w:r w:rsidR="0006629A">
        <w:rPr>
          <w:rFonts w:ascii="Times New Roman" w:hAnsi="Times New Roman" w:cs="Times New Roman"/>
          <w:sz w:val="28"/>
          <w:szCs w:val="28"/>
        </w:rPr>
        <w:t>nts are</w:t>
      </w:r>
      <w:r w:rsidR="00076AA7">
        <w:rPr>
          <w:rFonts w:ascii="Times New Roman" w:hAnsi="Times New Roman" w:cs="Times New Roman"/>
          <w:sz w:val="28"/>
          <w:szCs w:val="28"/>
        </w:rPr>
        <w:t xml:space="preserve"> seeking drags this court to intervene in the party's internal dynamics relating to the organisation of the constituency elective confe</w:t>
      </w:r>
      <w:r w:rsidR="007726FD">
        <w:rPr>
          <w:rFonts w:ascii="Times New Roman" w:hAnsi="Times New Roman" w:cs="Times New Roman"/>
          <w:sz w:val="28"/>
          <w:szCs w:val="28"/>
        </w:rPr>
        <w:t>rence. This I say given the grounds put forth by the applicants to have the elective conference declared null and void. Th</w:t>
      </w:r>
      <w:r w:rsidR="00A013B4">
        <w:rPr>
          <w:rFonts w:ascii="Times New Roman" w:hAnsi="Times New Roman" w:cs="Times New Roman"/>
          <w:sz w:val="28"/>
          <w:szCs w:val="28"/>
        </w:rPr>
        <w:t>o</w:t>
      </w:r>
      <w:r w:rsidR="007726FD">
        <w:rPr>
          <w:rFonts w:ascii="Times New Roman" w:hAnsi="Times New Roman" w:cs="Times New Roman"/>
          <w:sz w:val="28"/>
          <w:szCs w:val="28"/>
        </w:rPr>
        <w:t>se are pure political parties</w:t>
      </w:r>
      <w:r w:rsidR="0006629A">
        <w:rPr>
          <w:rFonts w:ascii="Times New Roman" w:hAnsi="Times New Roman" w:cs="Times New Roman"/>
          <w:sz w:val="28"/>
          <w:szCs w:val="28"/>
        </w:rPr>
        <w:t>’</w:t>
      </w:r>
      <w:r w:rsidR="007726FD">
        <w:rPr>
          <w:rFonts w:ascii="Times New Roman" w:hAnsi="Times New Roman" w:cs="Times New Roman"/>
          <w:sz w:val="28"/>
          <w:szCs w:val="28"/>
        </w:rPr>
        <w:t xml:space="preserve"> </w:t>
      </w:r>
      <w:r w:rsidR="00D07538">
        <w:rPr>
          <w:rFonts w:ascii="Times New Roman" w:hAnsi="Times New Roman" w:cs="Times New Roman"/>
          <w:sz w:val="28"/>
          <w:szCs w:val="28"/>
        </w:rPr>
        <w:t>dynamics</w:t>
      </w:r>
      <w:r w:rsidR="007726FD">
        <w:rPr>
          <w:rFonts w:ascii="Times New Roman" w:hAnsi="Times New Roman" w:cs="Times New Roman"/>
          <w:sz w:val="28"/>
          <w:szCs w:val="28"/>
        </w:rPr>
        <w:t xml:space="preserve"> </w:t>
      </w:r>
      <w:r w:rsidR="00A013B4">
        <w:rPr>
          <w:rFonts w:ascii="Times New Roman" w:hAnsi="Times New Roman" w:cs="Times New Roman"/>
          <w:sz w:val="28"/>
          <w:szCs w:val="28"/>
        </w:rPr>
        <w:t>that usually cloud or negate merit</w:t>
      </w:r>
      <w:r w:rsidR="00D07538">
        <w:rPr>
          <w:rFonts w:ascii="Times New Roman" w:hAnsi="Times New Roman" w:cs="Times New Roman"/>
          <w:sz w:val="28"/>
          <w:szCs w:val="28"/>
        </w:rPr>
        <w:t xml:space="preserve"> and are often</w:t>
      </w:r>
      <w:r w:rsidR="00D07538" w:rsidRPr="00D07538">
        <w:t xml:space="preserve"> </w:t>
      </w:r>
      <w:r w:rsidR="00D07538" w:rsidRPr="00D07538">
        <w:rPr>
          <w:rFonts w:ascii="Times New Roman" w:hAnsi="Times New Roman" w:cs="Times New Roman"/>
          <w:sz w:val="28"/>
          <w:szCs w:val="28"/>
        </w:rPr>
        <w:t>influenced by</w:t>
      </w:r>
      <w:r w:rsidR="00D07538">
        <w:rPr>
          <w:rFonts w:ascii="Times New Roman" w:hAnsi="Times New Roman" w:cs="Times New Roman"/>
          <w:sz w:val="28"/>
          <w:szCs w:val="28"/>
        </w:rPr>
        <w:t xml:space="preserve"> power struggles,</w:t>
      </w:r>
      <w:r w:rsidR="00D07538" w:rsidRPr="00D075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7538" w:rsidRPr="00D07538">
        <w:rPr>
          <w:rFonts w:ascii="Times New Roman" w:hAnsi="Times New Roman" w:cs="Times New Roman"/>
          <w:sz w:val="28"/>
          <w:szCs w:val="28"/>
        </w:rPr>
        <w:t>emotions</w:t>
      </w:r>
      <w:proofErr w:type="gramEnd"/>
      <w:r w:rsidR="00D07538" w:rsidRPr="00D07538">
        <w:rPr>
          <w:rFonts w:ascii="Times New Roman" w:hAnsi="Times New Roman" w:cs="Times New Roman"/>
          <w:sz w:val="28"/>
          <w:szCs w:val="28"/>
        </w:rPr>
        <w:t xml:space="preserve"> and egos</w:t>
      </w:r>
      <w:r w:rsidR="00A013B4">
        <w:rPr>
          <w:rFonts w:ascii="Times New Roman" w:hAnsi="Times New Roman" w:cs="Times New Roman"/>
          <w:sz w:val="28"/>
          <w:szCs w:val="28"/>
        </w:rPr>
        <w:t xml:space="preserve"> when it comes to </w:t>
      </w:r>
      <w:r w:rsidR="00D07538">
        <w:rPr>
          <w:rFonts w:ascii="Times New Roman" w:hAnsi="Times New Roman" w:cs="Times New Roman"/>
          <w:sz w:val="28"/>
          <w:szCs w:val="28"/>
        </w:rPr>
        <w:t xml:space="preserve">scrambles for </w:t>
      </w:r>
      <w:r w:rsidR="00A013B4">
        <w:rPr>
          <w:rFonts w:ascii="Times New Roman" w:hAnsi="Times New Roman" w:cs="Times New Roman"/>
          <w:sz w:val="28"/>
          <w:szCs w:val="28"/>
        </w:rPr>
        <w:t xml:space="preserve">elections </w:t>
      </w:r>
      <w:r w:rsidR="00D07538">
        <w:rPr>
          <w:rFonts w:ascii="Times New Roman" w:hAnsi="Times New Roman" w:cs="Times New Roman"/>
          <w:sz w:val="28"/>
          <w:szCs w:val="28"/>
        </w:rPr>
        <w:t>into</w:t>
      </w:r>
      <w:r w:rsidR="00A013B4">
        <w:rPr>
          <w:rFonts w:ascii="Times New Roman" w:hAnsi="Times New Roman" w:cs="Times New Roman"/>
          <w:sz w:val="28"/>
          <w:szCs w:val="28"/>
        </w:rPr>
        <w:t xml:space="preserve"> political parties’ governance </w:t>
      </w:r>
      <w:r w:rsidR="00D07538">
        <w:rPr>
          <w:rFonts w:ascii="Times New Roman" w:hAnsi="Times New Roman" w:cs="Times New Roman"/>
          <w:sz w:val="28"/>
          <w:szCs w:val="28"/>
        </w:rPr>
        <w:t>structures</w:t>
      </w:r>
      <w:r w:rsidR="00A013B4">
        <w:rPr>
          <w:rFonts w:ascii="Times New Roman" w:hAnsi="Times New Roman" w:cs="Times New Roman"/>
          <w:sz w:val="28"/>
          <w:szCs w:val="28"/>
        </w:rPr>
        <w:t xml:space="preserve">. Courts should </w:t>
      </w:r>
      <w:r w:rsidR="00D4451A">
        <w:rPr>
          <w:rFonts w:ascii="Times New Roman" w:hAnsi="Times New Roman" w:cs="Times New Roman"/>
          <w:sz w:val="28"/>
          <w:szCs w:val="28"/>
        </w:rPr>
        <w:t>be wary of intervening in purely political disputes within the sphere of political parties (</w:t>
      </w:r>
      <w:r w:rsidR="00D7747E" w:rsidRPr="00D7747E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D4451A" w:rsidRPr="00D7747E">
        <w:rPr>
          <w:rFonts w:ascii="Times New Roman" w:hAnsi="Times New Roman" w:cs="Times New Roman"/>
          <w:b/>
          <w:bCs/>
          <w:sz w:val="28"/>
          <w:szCs w:val="28"/>
        </w:rPr>
        <w:t>oko-koro constituency committee and 2 others v Executi</w:t>
      </w:r>
      <w:r w:rsidR="0096601B" w:rsidRPr="00D7747E">
        <w:rPr>
          <w:rFonts w:ascii="Times New Roman" w:hAnsi="Times New Roman" w:cs="Times New Roman"/>
          <w:b/>
          <w:bCs/>
          <w:sz w:val="28"/>
          <w:szCs w:val="28"/>
        </w:rPr>
        <w:t>ve Committee – ABC and 8 others</w:t>
      </w:r>
      <w:r>
        <w:rPr>
          <w:rStyle w:val="FootnoteReference"/>
          <w:rFonts w:ascii="Times New Roman" w:hAnsi="Times New Roman" w:cs="Times New Roman"/>
          <w:bCs/>
          <w:sz w:val="28"/>
          <w:szCs w:val="28"/>
        </w:rPr>
        <w:footnoteReference w:id="5"/>
      </w:r>
      <w:r w:rsidR="00D34118" w:rsidRPr="00D34118">
        <w:rPr>
          <w:rFonts w:ascii="Times New Roman" w:hAnsi="Times New Roman" w:cs="Times New Roman"/>
          <w:bCs/>
          <w:sz w:val="28"/>
          <w:szCs w:val="28"/>
        </w:rPr>
        <w:t>)</w:t>
      </w:r>
      <w:r w:rsidR="0096601B" w:rsidRPr="00D34118">
        <w:rPr>
          <w:rFonts w:ascii="Times New Roman" w:hAnsi="Times New Roman" w:cs="Times New Roman"/>
          <w:bCs/>
          <w:sz w:val="28"/>
          <w:szCs w:val="28"/>
        </w:rPr>
        <w:t>.</w:t>
      </w:r>
      <w:r w:rsidR="0096601B" w:rsidRPr="00D774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6D75">
        <w:rPr>
          <w:rFonts w:ascii="Times New Roman" w:hAnsi="Times New Roman" w:cs="Times New Roman"/>
          <w:bCs/>
          <w:sz w:val="28"/>
          <w:szCs w:val="28"/>
        </w:rPr>
        <w:t>The i</w:t>
      </w:r>
      <w:r w:rsidR="00686D75">
        <w:rPr>
          <w:rFonts w:ascii="Times New Roman" w:hAnsi="Times New Roman" w:cs="Times New Roman"/>
          <w:sz w:val="28"/>
          <w:szCs w:val="28"/>
        </w:rPr>
        <w:t xml:space="preserve">ssue of which </w:t>
      </w:r>
      <w:r w:rsidR="00686D75">
        <w:rPr>
          <w:rFonts w:ascii="Times New Roman" w:hAnsi="Times New Roman" w:cs="Times New Roman"/>
          <w:sz w:val="28"/>
          <w:szCs w:val="28"/>
        </w:rPr>
        <w:lastRenderedPageBreak/>
        <w:t xml:space="preserve">committee for </w:t>
      </w:r>
      <w:proofErr w:type="spellStart"/>
      <w:r w:rsidR="00686D75">
        <w:rPr>
          <w:rFonts w:ascii="Times New Roman" w:hAnsi="Times New Roman" w:cs="Times New Roman"/>
          <w:sz w:val="28"/>
          <w:szCs w:val="28"/>
        </w:rPr>
        <w:t>Thetsane</w:t>
      </w:r>
      <w:proofErr w:type="spellEnd"/>
      <w:r w:rsidR="00686D75">
        <w:rPr>
          <w:rFonts w:ascii="Times New Roman" w:hAnsi="Times New Roman" w:cs="Times New Roman"/>
          <w:sz w:val="28"/>
          <w:szCs w:val="28"/>
        </w:rPr>
        <w:t xml:space="preserve"> Constituency is legitimate as well as</w:t>
      </w:r>
      <w:r w:rsidR="00382354">
        <w:rPr>
          <w:rFonts w:ascii="Times New Roman" w:hAnsi="Times New Roman" w:cs="Times New Roman"/>
          <w:sz w:val="28"/>
          <w:szCs w:val="28"/>
        </w:rPr>
        <w:t xml:space="preserve"> the</w:t>
      </w:r>
      <w:r w:rsidR="00686D75">
        <w:rPr>
          <w:rFonts w:ascii="Times New Roman" w:hAnsi="Times New Roman" w:cs="Times New Roman"/>
          <w:sz w:val="28"/>
          <w:szCs w:val="28"/>
        </w:rPr>
        <w:t xml:space="preserve"> issues that </w:t>
      </w:r>
      <w:r w:rsidR="0096601B">
        <w:rPr>
          <w:rFonts w:ascii="Times New Roman" w:hAnsi="Times New Roman" w:cs="Times New Roman"/>
          <w:sz w:val="28"/>
          <w:szCs w:val="28"/>
        </w:rPr>
        <w:t xml:space="preserve">the applicants </w:t>
      </w:r>
      <w:r w:rsidR="00686D75">
        <w:rPr>
          <w:rFonts w:ascii="Times New Roman" w:hAnsi="Times New Roman" w:cs="Times New Roman"/>
          <w:sz w:val="28"/>
          <w:szCs w:val="28"/>
        </w:rPr>
        <w:t>have raised</w:t>
      </w:r>
      <w:r w:rsidR="0096601B">
        <w:rPr>
          <w:rFonts w:ascii="Times New Roman" w:hAnsi="Times New Roman" w:cs="Times New Roman"/>
          <w:sz w:val="28"/>
          <w:szCs w:val="28"/>
        </w:rPr>
        <w:t xml:space="preserve"> </w:t>
      </w:r>
      <w:r w:rsidR="00D07538">
        <w:rPr>
          <w:rFonts w:ascii="Times New Roman" w:hAnsi="Times New Roman" w:cs="Times New Roman"/>
          <w:sz w:val="28"/>
          <w:szCs w:val="28"/>
        </w:rPr>
        <w:t xml:space="preserve">in </w:t>
      </w:r>
      <w:r w:rsidR="0096601B">
        <w:rPr>
          <w:rFonts w:ascii="Times New Roman" w:hAnsi="Times New Roman" w:cs="Times New Roman"/>
          <w:sz w:val="28"/>
          <w:szCs w:val="28"/>
        </w:rPr>
        <w:t>paragraph 36</w:t>
      </w:r>
      <w:r w:rsidR="00686D75">
        <w:rPr>
          <w:rFonts w:ascii="Times New Roman" w:hAnsi="Times New Roman" w:cs="Times New Roman"/>
          <w:sz w:val="28"/>
          <w:szCs w:val="28"/>
        </w:rPr>
        <w:t xml:space="preserve"> of the founding affidavit</w:t>
      </w:r>
      <w:r w:rsidR="0096601B">
        <w:rPr>
          <w:rFonts w:ascii="Times New Roman" w:hAnsi="Times New Roman" w:cs="Times New Roman"/>
          <w:sz w:val="28"/>
          <w:szCs w:val="28"/>
        </w:rPr>
        <w:t xml:space="preserve"> are purely political matters which should be resolved politic</w:t>
      </w:r>
      <w:r w:rsidR="00134880">
        <w:rPr>
          <w:rFonts w:ascii="Times New Roman" w:hAnsi="Times New Roman" w:cs="Times New Roman"/>
          <w:sz w:val="28"/>
          <w:szCs w:val="28"/>
        </w:rPr>
        <w:t>ally</w:t>
      </w:r>
      <w:r w:rsidR="00382354">
        <w:rPr>
          <w:rFonts w:ascii="Times New Roman" w:hAnsi="Times New Roman" w:cs="Times New Roman"/>
          <w:sz w:val="28"/>
          <w:szCs w:val="28"/>
        </w:rPr>
        <w:t xml:space="preserve"> by ABC through its internal dispute resolution mechanisms</w:t>
      </w:r>
      <w:r w:rsidR="00382354">
        <w:t xml:space="preserve">. </w:t>
      </w:r>
      <w:r w:rsidR="00686D75" w:rsidRPr="00686D75">
        <w:rPr>
          <w:rFonts w:ascii="Times New Roman" w:hAnsi="Times New Roman" w:cs="Times New Roman"/>
          <w:sz w:val="28"/>
          <w:szCs w:val="28"/>
        </w:rPr>
        <w:t>This Court c</w:t>
      </w:r>
      <w:r w:rsidR="00382354">
        <w:rPr>
          <w:rFonts w:ascii="Times New Roman" w:hAnsi="Times New Roman" w:cs="Times New Roman"/>
          <w:sz w:val="28"/>
          <w:szCs w:val="28"/>
        </w:rPr>
        <w:t>annot be the proper forum for such matters</w:t>
      </w:r>
      <w:r w:rsidR="00686D75" w:rsidRPr="00686D75">
        <w:rPr>
          <w:rFonts w:ascii="Times New Roman" w:hAnsi="Times New Roman" w:cs="Times New Roman"/>
          <w:sz w:val="28"/>
          <w:szCs w:val="28"/>
        </w:rPr>
        <w:t>.</w:t>
      </w:r>
      <w:r w:rsidR="00134880">
        <w:rPr>
          <w:rFonts w:ascii="Times New Roman" w:hAnsi="Times New Roman" w:cs="Times New Roman"/>
          <w:sz w:val="28"/>
          <w:szCs w:val="28"/>
        </w:rPr>
        <w:t xml:space="preserve"> </w:t>
      </w:r>
      <w:r w:rsidR="00D07538">
        <w:rPr>
          <w:rFonts w:ascii="Times New Roman" w:hAnsi="Times New Roman" w:cs="Times New Roman"/>
          <w:sz w:val="28"/>
          <w:szCs w:val="28"/>
        </w:rPr>
        <w:t xml:space="preserve">This is more so when </w:t>
      </w:r>
      <w:r w:rsidR="00382354">
        <w:rPr>
          <w:rFonts w:ascii="Times New Roman" w:hAnsi="Times New Roman" w:cs="Times New Roman"/>
          <w:sz w:val="28"/>
          <w:szCs w:val="28"/>
        </w:rPr>
        <w:t>the applicants have failed to</w:t>
      </w:r>
      <w:r w:rsidR="00436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prove</w:t>
      </w:r>
      <w:r w:rsidR="00382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that any of the </w:t>
      </w:r>
      <w:proofErr w:type="gramStart"/>
      <w:r>
        <w:rPr>
          <w:rFonts w:ascii="Times New Roman" w:hAnsi="Times New Roman" w:cs="Times New Roman"/>
          <w:sz w:val="28"/>
          <w:szCs w:val="28"/>
        </w:rPr>
        <w:t>issues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they complained of were in flagrant </w:t>
      </w:r>
      <w:r w:rsidR="00D07538">
        <w:rPr>
          <w:rFonts w:ascii="Times New Roman" w:hAnsi="Times New Roman" w:cs="Times New Roman"/>
          <w:sz w:val="28"/>
          <w:szCs w:val="28"/>
        </w:rPr>
        <w:t xml:space="preserve">contravention of the Constitution of the party. </w:t>
      </w:r>
    </w:p>
    <w:p w14:paraId="025AC2C1" w14:textId="77777777" w:rsidR="003D5083" w:rsidRDefault="003D5083" w:rsidP="003D5083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194689" w14:textId="7C12BB35" w:rsidR="009A6909" w:rsidRDefault="00ED1A68" w:rsidP="00686D7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stated in the </w:t>
      </w:r>
      <w:r w:rsidR="00D7747E">
        <w:rPr>
          <w:rFonts w:ascii="Times New Roman" w:hAnsi="Times New Roman" w:cs="Times New Roman"/>
          <w:sz w:val="28"/>
          <w:szCs w:val="28"/>
        </w:rPr>
        <w:t>case of</w:t>
      </w:r>
      <w:r w:rsidR="00227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E84" w:rsidRPr="00D7747E">
        <w:rPr>
          <w:rFonts w:ascii="Times New Roman" w:hAnsi="Times New Roman" w:cs="Times New Roman"/>
          <w:b/>
          <w:bCs/>
          <w:sz w:val="28"/>
          <w:szCs w:val="28"/>
        </w:rPr>
        <w:t>Patric</w:t>
      </w:r>
      <w:proofErr w:type="spellEnd"/>
      <w:r w:rsidR="00227E84" w:rsidRPr="00D774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27E84" w:rsidRPr="00D7747E">
        <w:rPr>
          <w:rFonts w:ascii="Times New Roman" w:hAnsi="Times New Roman" w:cs="Times New Roman"/>
          <w:b/>
          <w:bCs/>
          <w:sz w:val="28"/>
          <w:szCs w:val="28"/>
        </w:rPr>
        <w:t>Ba</w:t>
      </w:r>
      <w:r w:rsidRPr="00D7747E">
        <w:rPr>
          <w:rFonts w:ascii="Times New Roman" w:hAnsi="Times New Roman" w:cs="Times New Roman"/>
          <w:b/>
          <w:bCs/>
          <w:sz w:val="28"/>
          <w:szCs w:val="28"/>
        </w:rPr>
        <w:t>ndawe</w:t>
      </w:r>
      <w:proofErr w:type="spellEnd"/>
      <w:r w:rsidRPr="00D7747E">
        <w:rPr>
          <w:rFonts w:ascii="Times New Roman" w:hAnsi="Times New Roman" w:cs="Times New Roman"/>
          <w:b/>
          <w:bCs/>
          <w:sz w:val="28"/>
          <w:szCs w:val="28"/>
        </w:rPr>
        <w:t xml:space="preserve"> v Malawi Congress Party</w:t>
      </w:r>
      <w:r>
        <w:rPr>
          <w:rStyle w:val="FootnoteReference"/>
          <w:rFonts w:ascii="Times New Roman" w:hAnsi="Times New Roman" w:cs="Times New Roman"/>
          <w:b/>
          <w:bCs/>
          <w:sz w:val="28"/>
          <w:szCs w:val="28"/>
        </w:rPr>
        <w:footnoteReference w:id="6"/>
      </w:r>
      <w:r w:rsidRPr="00D774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cited with approval by our superior court in the </w:t>
      </w:r>
      <w:r w:rsidR="00D07538">
        <w:rPr>
          <w:rFonts w:ascii="Times New Roman" w:hAnsi="Times New Roman" w:cs="Times New Roman"/>
          <w:b/>
          <w:sz w:val="28"/>
          <w:szCs w:val="28"/>
        </w:rPr>
        <w:t>Koro-koro C</w:t>
      </w:r>
      <w:r w:rsidRPr="00D07538">
        <w:rPr>
          <w:rFonts w:ascii="Times New Roman" w:hAnsi="Times New Roman" w:cs="Times New Roman"/>
          <w:b/>
          <w:sz w:val="28"/>
          <w:szCs w:val="28"/>
        </w:rPr>
        <w:t>onstituency</w:t>
      </w:r>
      <w:r>
        <w:rPr>
          <w:rFonts w:ascii="Times New Roman" w:hAnsi="Times New Roman" w:cs="Times New Roman"/>
          <w:sz w:val="28"/>
          <w:szCs w:val="28"/>
        </w:rPr>
        <w:t xml:space="preserve"> case (supra), the courts will intervene in political disputes if</w:t>
      </w:r>
      <w:r w:rsidR="00D07538">
        <w:rPr>
          <w:rFonts w:ascii="Times New Roman" w:hAnsi="Times New Roman" w:cs="Times New Roman"/>
          <w:sz w:val="28"/>
          <w:szCs w:val="28"/>
        </w:rPr>
        <w:t>:</w:t>
      </w:r>
    </w:p>
    <w:p w14:paraId="014A9B34" w14:textId="77777777" w:rsidR="009A6909" w:rsidRDefault="009A6909" w:rsidP="003B3BBB">
      <w:pPr>
        <w:pStyle w:val="NoSpacing"/>
      </w:pPr>
    </w:p>
    <w:p w14:paraId="34E52363" w14:textId="53BDF7AB" w:rsidR="005F04ED" w:rsidRDefault="00ED1A68" w:rsidP="00D7747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7538">
        <w:rPr>
          <w:rFonts w:ascii="Times New Roman" w:hAnsi="Times New Roman" w:cs="Times New Roman"/>
          <w:sz w:val="28"/>
          <w:szCs w:val="28"/>
        </w:rPr>
        <w:tab/>
        <w:t xml:space="preserve">(a) </w:t>
      </w:r>
      <w:r>
        <w:rPr>
          <w:rFonts w:ascii="Times New Roman" w:hAnsi="Times New Roman" w:cs="Times New Roman"/>
          <w:sz w:val="28"/>
          <w:szCs w:val="28"/>
        </w:rPr>
        <w:t xml:space="preserve">A political party is in breach of its constitutive </w:t>
      </w:r>
      <w:proofErr w:type="gramStart"/>
      <w:r>
        <w:rPr>
          <w:rFonts w:ascii="Times New Roman" w:hAnsi="Times New Roman" w:cs="Times New Roman"/>
          <w:sz w:val="28"/>
          <w:szCs w:val="28"/>
        </w:rPr>
        <w:t>document;</w:t>
      </w:r>
      <w:proofErr w:type="gramEnd"/>
    </w:p>
    <w:p w14:paraId="78678BC8" w14:textId="0863CB63" w:rsidR="005F04ED" w:rsidRDefault="00ED1A68" w:rsidP="00D7747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7538">
        <w:rPr>
          <w:rFonts w:ascii="Times New Roman" w:hAnsi="Times New Roman" w:cs="Times New Roman"/>
          <w:sz w:val="28"/>
          <w:szCs w:val="28"/>
        </w:rPr>
        <w:tab/>
        <w:t xml:space="preserve">(b) </w:t>
      </w:r>
      <w:r>
        <w:rPr>
          <w:rFonts w:ascii="Times New Roman" w:hAnsi="Times New Roman" w:cs="Times New Roman"/>
          <w:sz w:val="28"/>
          <w:szCs w:val="28"/>
        </w:rPr>
        <w:t>A political party acts in breach of the rules of natural</w:t>
      </w:r>
      <w:r w:rsidR="003423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2373">
        <w:rPr>
          <w:rFonts w:ascii="Times New Roman" w:hAnsi="Times New Roman" w:cs="Times New Roman"/>
          <w:sz w:val="28"/>
          <w:szCs w:val="28"/>
        </w:rPr>
        <w:t>justice;</w:t>
      </w:r>
      <w:proofErr w:type="gramEnd"/>
    </w:p>
    <w:p w14:paraId="54E60FC0" w14:textId="7AC7FCAD" w:rsidR="005F04ED" w:rsidRDefault="00ED1A68" w:rsidP="00D07538">
      <w:pPr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(c) A political party or its members act in breach of the </w:t>
      </w:r>
      <w:r w:rsidR="00342373">
        <w:rPr>
          <w:rFonts w:ascii="Times New Roman" w:hAnsi="Times New Roman" w:cs="Times New Roman"/>
          <w:sz w:val="28"/>
          <w:szCs w:val="28"/>
        </w:rPr>
        <w:t xml:space="preserve">laws of </w:t>
      </w:r>
      <w:r>
        <w:rPr>
          <w:rFonts w:ascii="Times New Roman" w:hAnsi="Times New Roman" w:cs="Times New Roman"/>
          <w:sz w:val="28"/>
          <w:szCs w:val="28"/>
        </w:rPr>
        <w:t>the country; and</w:t>
      </w:r>
    </w:p>
    <w:p w14:paraId="32546396" w14:textId="7D812412" w:rsidR="003B3BBB" w:rsidRDefault="00ED1A68" w:rsidP="00342373">
      <w:pPr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(d) </w:t>
      </w:r>
      <w:r w:rsidR="005F04ED">
        <w:rPr>
          <w:rFonts w:ascii="Times New Roman" w:hAnsi="Times New Roman" w:cs="Times New Roman"/>
          <w:sz w:val="28"/>
          <w:szCs w:val="28"/>
        </w:rPr>
        <w:t>A political party or its members conduct</w:t>
      </w:r>
      <w:r w:rsidR="00D7747E">
        <w:rPr>
          <w:rFonts w:ascii="Times New Roman" w:hAnsi="Times New Roman" w:cs="Times New Roman"/>
          <w:sz w:val="28"/>
          <w:szCs w:val="28"/>
        </w:rPr>
        <w:t xml:space="preserve"> themselves capriciously or arbitrarily.</w:t>
      </w:r>
      <w:r w:rsidR="005F04ED">
        <w:rPr>
          <w:rFonts w:ascii="Times New Roman" w:hAnsi="Times New Roman" w:cs="Times New Roman"/>
          <w:sz w:val="28"/>
          <w:szCs w:val="28"/>
        </w:rPr>
        <w:t xml:space="preserve"> </w:t>
      </w:r>
      <w:r w:rsidR="00A013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51D37A" w14:textId="77777777" w:rsidR="002D7016" w:rsidRDefault="002D7016" w:rsidP="00342373">
      <w:pPr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2C67968B" w14:textId="2DB1CD8D" w:rsidR="00C62341" w:rsidRPr="00C62341" w:rsidRDefault="00ED1A68" w:rsidP="00342373">
      <w:pPr>
        <w:spacing w:line="360" w:lineRule="auto"/>
        <w:ind w:left="720" w:hanging="7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423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076AA7" w:rsidRPr="003423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0550EA" w:rsidRPr="003423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D53C4" w:rsidRPr="003423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0628A9" w:rsidRPr="003423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r w:rsidR="00342373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C62341">
        <w:rPr>
          <w:rFonts w:ascii="Times New Roman" w:eastAsia="Calibri" w:hAnsi="Times New Roman" w:cs="Times New Roman"/>
          <w:sz w:val="28"/>
          <w:szCs w:val="28"/>
          <w:lang w:val="en-US"/>
        </w:rPr>
        <w:t>In the instant case, none of the</w:t>
      </w:r>
      <w:r w:rsidR="007525F9">
        <w:rPr>
          <w:rFonts w:ascii="Times New Roman" w:eastAsia="Calibri" w:hAnsi="Times New Roman" w:cs="Times New Roman"/>
          <w:sz w:val="28"/>
          <w:szCs w:val="28"/>
          <w:lang w:val="en-US"/>
        </w:rPr>
        <w:t>se</w:t>
      </w:r>
      <w:r w:rsidRPr="00C6234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four </w:t>
      </w:r>
      <w:r w:rsidR="007525F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benchmarks </w:t>
      </w:r>
      <w:r w:rsidRPr="00C6234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has been </w:t>
      </w:r>
      <w:r w:rsidR="00382354">
        <w:rPr>
          <w:rFonts w:ascii="Times New Roman" w:eastAsia="Calibri" w:hAnsi="Times New Roman" w:cs="Times New Roman"/>
          <w:sz w:val="28"/>
          <w:szCs w:val="28"/>
          <w:lang w:val="en-US"/>
        </w:rPr>
        <w:t>established</w:t>
      </w:r>
      <w:r w:rsidRPr="00C6234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by the applicants.  As already indicated, the applicants failed to </w:t>
      </w:r>
      <w:r w:rsidR="0038235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refer this court to </w:t>
      </w:r>
      <w:r w:rsidRPr="00C62341">
        <w:rPr>
          <w:rFonts w:ascii="Times New Roman" w:eastAsia="Calibri" w:hAnsi="Times New Roman" w:cs="Times New Roman"/>
          <w:sz w:val="28"/>
          <w:szCs w:val="28"/>
          <w:lang w:val="en-US"/>
        </w:rPr>
        <w:t>the exact provisions of the ABC c</w:t>
      </w:r>
      <w:r w:rsidR="00342373">
        <w:rPr>
          <w:rFonts w:ascii="Times New Roman" w:eastAsia="Calibri" w:hAnsi="Times New Roman" w:cs="Times New Roman"/>
          <w:sz w:val="28"/>
          <w:szCs w:val="28"/>
          <w:lang w:val="en-US"/>
        </w:rPr>
        <w:t>onstitution that they allege have</w:t>
      </w:r>
      <w:r w:rsidRPr="00C6234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been vi</w:t>
      </w:r>
      <w:r w:rsidR="00382354">
        <w:rPr>
          <w:rFonts w:ascii="Times New Roman" w:eastAsia="Calibri" w:hAnsi="Times New Roman" w:cs="Times New Roman"/>
          <w:sz w:val="28"/>
          <w:szCs w:val="28"/>
          <w:lang w:val="en-US"/>
        </w:rPr>
        <w:t>olated in the conduct of the re</w:t>
      </w:r>
      <w:r w:rsidR="00342373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Pr="00C62341">
        <w:rPr>
          <w:rFonts w:ascii="Times New Roman" w:eastAsia="Calibri" w:hAnsi="Times New Roman" w:cs="Times New Roman"/>
          <w:sz w:val="28"/>
          <w:szCs w:val="28"/>
          <w:lang w:val="en-US"/>
        </w:rPr>
        <w:t>elections.</w:t>
      </w:r>
    </w:p>
    <w:p w14:paraId="08E2AD03" w14:textId="77777777" w:rsidR="00C62341" w:rsidRPr="00C62341" w:rsidRDefault="00C62341" w:rsidP="00C62341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14:paraId="7B13FF90" w14:textId="77777777" w:rsidR="00C62341" w:rsidRPr="00C62341" w:rsidRDefault="00ED1A68" w:rsidP="00C62341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/>
        </w:rPr>
      </w:pPr>
      <w:r w:rsidRPr="00C62341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C6234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/>
        </w:rPr>
        <w:t>Disposition</w:t>
      </w:r>
    </w:p>
    <w:p w14:paraId="38B6BA25" w14:textId="5A438BC1" w:rsidR="00026976" w:rsidRPr="00D009A1" w:rsidRDefault="00ED1A68" w:rsidP="00D009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9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In the final analysis, this court finds that </w:t>
      </w:r>
      <w:r w:rsidR="0038235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 applicants have failed to establish </w:t>
      </w:r>
      <w:r w:rsidRPr="00D009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justifiable grounds </w:t>
      </w:r>
      <w:r w:rsidR="008479A0" w:rsidRPr="00D009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upon which </w:t>
      </w:r>
      <w:r w:rsidR="00382354">
        <w:rPr>
          <w:rFonts w:ascii="Times New Roman" w:eastAsia="Calibri" w:hAnsi="Times New Roman" w:cs="Times New Roman"/>
          <w:sz w:val="28"/>
          <w:szCs w:val="28"/>
          <w:lang w:val="en-US"/>
        </w:rPr>
        <w:t>they</w:t>
      </w:r>
      <w:r w:rsidR="008479A0" w:rsidRPr="00D009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called upon </w:t>
      </w:r>
      <w:r w:rsidR="0038235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this court </w:t>
      </w:r>
      <w:r w:rsidR="008479A0" w:rsidRPr="00D009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to nullify the elections of the </w:t>
      </w:r>
      <w:proofErr w:type="spellStart"/>
      <w:r w:rsidR="008479A0" w:rsidRPr="00D009A1">
        <w:rPr>
          <w:rFonts w:ascii="Times New Roman" w:eastAsia="Calibri" w:hAnsi="Times New Roman" w:cs="Times New Roman"/>
          <w:sz w:val="28"/>
          <w:szCs w:val="28"/>
          <w:lang w:val="en-US"/>
        </w:rPr>
        <w:t>Thetsane</w:t>
      </w:r>
      <w:proofErr w:type="spellEnd"/>
      <w:r w:rsidR="008479A0" w:rsidRPr="00D009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Constituency Committee</w:t>
      </w:r>
      <w:r w:rsidRPr="00D009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held on 2</w:t>
      </w:r>
      <w:r w:rsidRPr="00D009A1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nd</w:t>
      </w:r>
      <w:r w:rsidRPr="00D009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D009A1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July 2022. The grounds advanced by the applicants for the prayer impugning and seeking nullifica</w:t>
      </w:r>
      <w:r w:rsidR="00F86D6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tion of the elections are purely </w:t>
      </w:r>
      <w:r w:rsidRPr="00D009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political matters which demand political solutions by the internal structures of </w:t>
      </w:r>
      <w:r w:rsidR="00F86D6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ABC. </w:t>
      </w:r>
      <w:r w:rsidR="00D009A1" w:rsidRPr="00D009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</w:t>
      </w:r>
      <w:r w:rsidR="00D009A1" w:rsidRPr="00D34118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Pela- </w:t>
      </w:r>
      <w:proofErr w:type="spellStart"/>
      <w:r w:rsidR="00D009A1" w:rsidRPr="00D34118">
        <w:rPr>
          <w:rFonts w:ascii="Times New Roman" w:eastAsia="Calibri" w:hAnsi="Times New Roman" w:cs="Times New Roman"/>
          <w:b/>
          <w:sz w:val="28"/>
          <w:szCs w:val="28"/>
          <w:lang w:val="en-US"/>
        </w:rPr>
        <w:t>Tsoeu</w:t>
      </w:r>
      <w:proofErr w:type="spellEnd"/>
      <w:r w:rsidR="00D009A1" w:rsidRPr="00D34118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No.10 Constituency Committee of the Basutoland Congress Party v Basotho Congress Party and Executive Committee of the Basotho Congress Party</w:t>
      </w:r>
      <w:r w:rsidR="00D34118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and Another</w:t>
      </w:r>
      <w:r>
        <w:rPr>
          <w:rStyle w:val="FootnoteReference"/>
          <w:rFonts w:ascii="Times New Roman" w:eastAsia="Calibri" w:hAnsi="Times New Roman" w:cs="Times New Roman"/>
          <w:sz w:val="28"/>
          <w:szCs w:val="28"/>
          <w:lang w:val="en-US"/>
        </w:rPr>
        <w:footnoteReference w:id="7"/>
      </w:r>
      <w:r w:rsidR="00D34118" w:rsidRPr="00D34118">
        <w:rPr>
          <w:rFonts w:ascii="Times New Roman" w:eastAsia="Calibri" w:hAnsi="Times New Roman" w:cs="Times New Roman"/>
          <w:sz w:val="28"/>
          <w:szCs w:val="28"/>
          <w:lang w:val="en-US"/>
        </w:rPr>
        <w:t>).</w:t>
      </w:r>
      <w:r w:rsidR="0043654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The</w:t>
      </w:r>
      <w:r w:rsidRPr="00D009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grounds</w:t>
      </w:r>
      <w:r w:rsidR="0043654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advanced by the applicants</w:t>
      </w:r>
      <w:r w:rsidR="00D20276" w:rsidRPr="00D009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0B467D" w:rsidRPr="00D009A1">
        <w:rPr>
          <w:rFonts w:ascii="Times New Roman" w:hAnsi="Times New Roman" w:cs="Times New Roman"/>
          <w:sz w:val="28"/>
          <w:szCs w:val="28"/>
        </w:rPr>
        <w:t xml:space="preserve">as per paragraphs 36.1 through to 36.15 of the founding </w:t>
      </w:r>
      <w:proofErr w:type="gramStart"/>
      <w:r w:rsidR="000B467D" w:rsidRPr="00D009A1">
        <w:rPr>
          <w:rFonts w:ascii="Times New Roman" w:hAnsi="Times New Roman" w:cs="Times New Roman"/>
          <w:sz w:val="28"/>
          <w:szCs w:val="28"/>
        </w:rPr>
        <w:t>affidavit</w:t>
      </w:r>
      <w:proofErr w:type="gramEnd"/>
      <w:r w:rsidR="008479A0" w:rsidRPr="00D009A1">
        <w:rPr>
          <w:rFonts w:ascii="Times New Roman" w:hAnsi="Times New Roman" w:cs="Times New Roman"/>
          <w:sz w:val="28"/>
          <w:szCs w:val="28"/>
        </w:rPr>
        <w:t>,</w:t>
      </w:r>
      <w:r w:rsidR="000B467D" w:rsidRPr="00D009A1">
        <w:rPr>
          <w:rFonts w:ascii="Times New Roman" w:hAnsi="Times New Roman" w:cs="Times New Roman"/>
          <w:sz w:val="28"/>
          <w:szCs w:val="28"/>
        </w:rPr>
        <w:t xml:space="preserve"> have nothing to do with illegality</w:t>
      </w:r>
      <w:r w:rsidR="008479A0" w:rsidRPr="00D009A1">
        <w:rPr>
          <w:rFonts w:ascii="Times New Roman" w:hAnsi="Times New Roman" w:cs="Times New Roman"/>
          <w:sz w:val="28"/>
          <w:szCs w:val="28"/>
        </w:rPr>
        <w:t>,</w:t>
      </w:r>
      <w:r w:rsidR="000B467D" w:rsidRPr="00D009A1">
        <w:rPr>
          <w:rFonts w:ascii="Times New Roman" w:hAnsi="Times New Roman" w:cs="Times New Roman"/>
          <w:sz w:val="28"/>
          <w:szCs w:val="28"/>
        </w:rPr>
        <w:t xml:space="preserve"> irrationality or unfairness which are ground upon which the court would be ready to intervene</w:t>
      </w:r>
      <w:r w:rsidR="00F86D6D">
        <w:rPr>
          <w:rFonts w:ascii="Times New Roman" w:hAnsi="Times New Roman" w:cs="Times New Roman"/>
          <w:sz w:val="28"/>
          <w:szCs w:val="28"/>
        </w:rPr>
        <w:t xml:space="preserve"> and exercise its review powers</w:t>
      </w:r>
      <w:r w:rsidR="000B467D" w:rsidRPr="00D009A1">
        <w:rPr>
          <w:rFonts w:ascii="Times New Roman" w:hAnsi="Times New Roman" w:cs="Times New Roman"/>
          <w:sz w:val="28"/>
          <w:szCs w:val="28"/>
        </w:rPr>
        <w:t>.</w:t>
      </w:r>
      <w:r w:rsidR="00F86D6D">
        <w:rPr>
          <w:rFonts w:ascii="Times New Roman" w:hAnsi="Times New Roman" w:cs="Times New Roman"/>
          <w:sz w:val="28"/>
          <w:szCs w:val="28"/>
        </w:rPr>
        <w:t xml:space="preserve"> Prayer (g) in the notice of motion is therefore dismissed.</w:t>
      </w:r>
      <w:r w:rsidR="000B467D" w:rsidRPr="00D009A1">
        <w:rPr>
          <w:rFonts w:ascii="Times New Roman" w:hAnsi="Times New Roman" w:cs="Times New Roman"/>
          <w:sz w:val="28"/>
          <w:szCs w:val="28"/>
        </w:rPr>
        <w:t xml:space="preserve"> It follows therefore that prayers (f)</w:t>
      </w:r>
      <w:r w:rsidR="007D1A23" w:rsidRPr="00D009A1">
        <w:rPr>
          <w:rFonts w:ascii="Times New Roman" w:hAnsi="Times New Roman" w:cs="Times New Roman"/>
          <w:sz w:val="28"/>
          <w:szCs w:val="28"/>
        </w:rPr>
        <w:t xml:space="preserve"> and (h) also fall off as they were dependent on the court’s finding on prayer</w:t>
      </w:r>
      <w:r w:rsidR="00817CAA" w:rsidRPr="00D009A1">
        <w:rPr>
          <w:rFonts w:ascii="Times New Roman" w:hAnsi="Times New Roman" w:cs="Times New Roman"/>
          <w:sz w:val="28"/>
          <w:szCs w:val="28"/>
        </w:rPr>
        <w:t xml:space="preserve"> </w:t>
      </w:r>
      <w:r w:rsidR="007D1A23" w:rsidRPr="00D009A1">
        <w:rPr>
          <w:rFonts w:ascii="Times New Roman" w:hAnsi="Times New Roman" w:cs="Times New Roman"/>
          <w:sz w:val="28"/>
          <w:szCs w:val="28"/>
        </w:rPr>
        <w:t>(g).</w:t>
      </w:r>
    </w:p>
    <w:p w14:paraId="2BE4444F" w14:textId="77777777" w:rsidR="00817CAA" w:rsidRDefault="00817CAA" w:rsidP="00817CAA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A4BE29" w14:textId="4D3861A5" w:rsidR="00325322" w:rsidRDefault="00ED1A68" w:rsidP="00E4608E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25322">
        <w:rPr>
          <w:rFonts w:ascii="Times New Roman" w:hAnsi="Times New Roman" w:cs="Times New Roman"/>
          <w:sz w:val="28"/>
          <w:szCs w:val="28"/>
        </w:rPr>
        <w:t xml:space="preserve">As I earlier </w:t>
      </w:r>
      <w:r w:rsidR="00FC5DAA" w:rsidRPr="00325322">
        <w:rPr>
          <w:rFonts w:ascii="Times New Roman" w:hAnsi="Times New Roman" w:cs="Times New Roman"/>
          <w:sz w:val="28"/>
          <w:szCs w:val="28"/>
        </w:rPr>
        <w:t>mention</w:t>
      </w:r>
      <w:r w:rsidRPr="00325322">
        <w:rPr>
          <w:rFonts w:ascii="Times New Roman" w:hAnsi="Times New Roman" w:cs="Times New Roman"/>
          <w:sz w:val="28"/>
          <w:szCs w:val="28"/>
        </w:rPr>
        <w:t xml:space="preserve">ed, </w:t>
      </w:r>
      <w:r w:rsidR="00FC5DAA" w:rsidRPr="00325322">
        <w:rPr>
          <w:rFonts w:ascii="Times New Roman" w:hAnsi="Times New Roman" w:cs="Times New Roman"/>
          <w:sz w:val="28"/>
          <w:szCs w:val="28"/>
        </w:rPr>
        <w:t xml:space="preserve">the applicants </w:t>
      </w:r>
      <w:r w:rsidR="002F6E09" w:rsidRPr="00325322">
        <w:rPr>
          <w:rFonts w:ascii="Times New Roman" w:hAnsi="Times New Roman" w:cs="Times New Roman"/>
          <w:sz w:val="28"/>
          <w:szCs w:val="28"/>
        </w:rPr>
        <w:t>failed to disclose</w:t>
      </w:r>
      <w:r w:rsidR="00FC5DAA" w:rsidRPr="00325322">
        <w:rPr>
          <w:rFonts w:ascii="Times New Roman" w:hAnsi="Times New Roman" w:cs="Times New Roman"/>
          <w:sz w:val="28"/>
          <w:szCs w:val="28"/>
        </w:rPr>
        <w:t xml:space="preserve"> material facts which would enlighten the court on the background of this case. In the first place they failed to disclose </w:t>
      </w:r>
      <w:r w:rsidRPr="00325322">
        <w:rPr>
          <w:rFonts w:ascii="Times New Roman" w:hAnsi="Times New Roman" w:cs="Times New Roman"/>
          <w:sz w:val="28"/>
          <w:szCs w:val="28"/>
        </w:rPr>
        <w:t xml:space="preserve">the issues that plugged the committee elections in some branches; they withheld information regarding </w:t>
      </w:r>
      <w:r w:rsidR="00FC5DAA" w:rsidRPr="00325322">
        <w:rPr>
          <w:rFonts w:ascii="Times New Roman" w:hAnsi="Times New Roman" w:cs="Times New Roman"/>
          <w:sz w:val="28"/>
          <w:szCs w:val="28"/>
        </w:rPr>
        <w:t xml:space="preserve">what </w:t>
      </w:r>
      <w:proofErr w:type="gramStart"/>
      <w:r w:rsidR="00FC5DAA" w:rsidRPr="00325322">
        <w:rPr>
          <w:rFonts w:ascii="Times New Roman" w:hAnsi="Times New Roman" w:cs="Times New Roman"/>
          <w:sz w:val="28"/>
          <w:szCs w:val="28"/>
        </w:rPr>
        <w:t xml:space="preserve">actually </w:t>
      </w:r>
      <w:r w:rsidRPr="00325322">
        <w:rPr>
          <w:rFonts w:ascii="Times New Roman" w:hAnsi="Times New Roman" w:cs="Times New Roman"/>
          <w:sz w:val="28"/>
          <w:szCs w:val="28"/>
        </w:rPr>
        <w:t>transpired</w:t>
      </w:r>
      <w:proofErr w:type="gramEnd"/>
      <w:r w:rsidR="00FC5DAA" w:rsidRPr="00325322">
        <w:rPr>
          <w:rFonts w:ascii="Times New Roman" w:hAnsi="Times New Roman" w:cs="Times New Roman"/>
          <w:sz w:val="28"/>
          <w:szCs w:val="28"/>
        </w:rPr>
        <w:t xml:space="preserve"> on 11</w:t>
      </w:r>
      <w:r w:rsidR="00FC5DAA" w:rsidRPr="0032532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C5DAA" w:rsidRPr="00325322">
        <w:rPr>
          <w:rFonts w:ascii="Times New Roman" w:hAnsi="Times New Roman" w:cs="Times New Roman"/>
          <w:sz w:val="28"/>
          <w:szCs w:val="28"/>
        </w:rPr>
        <w:t xml:space="preserve"> June 2022 during the constituency elective conference. </w:t>
      </w:r>
      <w:r w:rsidRPr="00325322">
        <w:rPr>
          <w:rFonts w:ascii="Times New Roman" w:hAnsi="Times New Roman" w:cs="Times New Roman"/>
          <w:sz w:val="28"/>
          <w:szCs w:val="28"/>
        </w:rPr>
        <w:t>They also</w:t>
      </w:r>
      <w:r w:rsidR="00FC5DAA" w:rsidRPr="00325322">
        <w:rPr>
          <w:rFonts w:ascii="Times New Roman" w:hAnsi="Times New Roman" w:cs="Times New Roman"/>
          <w:sz w:val="28"/>
          <w:szCs w:val="28"/>
        </w:rPr>
        <w:t xml:space="preserve"> failed to disclose that there were two constituency committees</w:t>
      </w:r>
      <w:r w:rsidRPr="00325322">
        <w:rPr>
          <w:rFonts w:ascii="Times New Roman" w:hAnsi="Times New Roman" w:cs="Times New Roman"/>
          <w:sz w:val="28"/>
          <w:szCs w:val="28"/>
        </w:rPr>
        <w:t xml:space="preserve"> elected on 11</w:t>
      </w:r>
      <w:r w:rsidRPr="0032532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25322">
        <w:rPr>
          <w:rFonts w:ascii="Times New Roman" w:hAnsi="Times New Roman" w:cs="Times New Roman"/>
          <w:sz w:val="28"/>
          <w:szCs w:val="28"/>
        </w:rPr>
        <w:t xml:space="preserve"> June 2022</w:t>
      </w:r>
      <w:r w:rsidR="00FC5DAA" w:rsidRPr="00325322">
        <w:rPr>
          <w:rFonts w:ascii="Times New Roman" w:hAnsi="Times New Roman" w:cs="Times New Roman"/>
          <w:sz w:val="28"/>
          <w:szCs w:val="28"/>
        </w:rPr>
        <w:t xml:space="preserve"> which prompted the meeting on 27</w:t>
      </w:r>
      <w:r w:rsidR="00FC5DAA" w:rsidRPr="0032532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C5DAA" w:rsidRPr="00325322">
        <w:rPr>
          <w:rFonts w:ascii="Times New Roman" w:hAnsi="Times New Roman" w:cs="Times New Roman"/>
          <w:sz w:val="28"/>
          <w:szCs w:val="28"/>
        </w:rPr>
        <w:t xml:space="preserve"> June 2022 and led to the decision to hold re-elections of the constituency committee. </w:t>
      </w:r>
      <w:r w:rsidRPr="00325322">
        <w:rPr>
          <w:rFonts w:ascii="Times New Roman" w:hAnsi="Times New Roman" w:cs="Times New Roman"/>
          <w:sz w:val="28"/>
          <w:szCs w:val="28"/>
        </w:rPr>
        <w:t>They also</w:t>
      </w:r>
      <w:r w:rsidR="00FC5DAA" w:rsidRPr="00325322">
        <w:rPr>
          <w:rFonts w:ascii="Times New Roman" w:hAnsi="Times New Roman" w:cs="Times New Roman"/>
          <w:sz w:val="28"/>
          <w:szCs w:val="28"/>
        </w:rPr>
        <w:t xml:space="preserve"> did not disclose that they participated in the re-elections for 2</w:t>
      </w:r>
      <w:r w:rsidR="00FC5DAA" w:rsidRPr="00325322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FC5DAA" w:rsidRPr="00325322">
        <w:rPr>
          <w:rFonts w:ascii="Times New Roman" w:hAnsi="Times New Roman" w:cs="Times New Roman"/>
          <w:sz w:val="28"/>
          <w:szCs w:val="28"/>
        </w:rPr>
        <w:t xml:space="preserve"> July 2022 and </w:t>
      </w:r>
      <w:proofErr w:type="gramStart"/>
      <w:r w:rsidR="00FC5DAA" w:rsidRPr="00325322">
        <w:rPr>
          <w:rFonts w:ascii="Times New Roman" w:hAnsi="Times New Roman" w:cs="Times New Roman"/>
          <w:sz w:val="28"/>
          <w:szCs w:val="28"/>
        </w:rPr>
        <w:t>actually contested</w:t>
      </w:r>
      <w:proofErr w:type="gramEnd"/>
      <w:r w:rsidR="00FC5DAA" w:rsidRPr="00325322">
        <w:rPr>
          <w:rFonts w:ascii="Times New Roman" w:hAnsi="Times New Roman" w:cs="Times New Roman"/>
          <w:sz w:val="28"/>
          <w:szCs w:val="28"/>
        </w:rPr>
        <w:t xml:space="preserve"> for some </w:t>
      </w:r>
      <w:r w:rsidRPr="00325322">
        <w:rPr>
          <w:rFonts w:ascii="Times New Roman" w:hAnsi="Times New Roman" w:cs="Times New Roman"/>
          <w:sz w:val="28"/>
          <w:szCs w:val="28"/>
        </w:rPr>
        <w:t>portfolios</w:t>
      </w:r>
      <w:r w:rsidR="00FC5DAA" w:rsidRPr="00325322">
        <w:rPr>
          <w:rFonts w:ascii="Times New Roman" w:hAnsi="Times New Roman" w:cs="Times New Roman"/>
          <w:sz w:val="28"/>
          <w:szCs w:val="28"/>
        </w:rPr>
        <w:t xml:space="preserve">. </w:t>
      </w:r>
      <w:r w:rsidRPr="00325322">
        <w:rPr>
          <w:rFonts w:ascii="Times New Roman" w:hAnsi="Times New Roman" w:cs="Times New Roman"/>
          <w:sz w:val="28"/>
          <w:szCs w:val="28"/>
        </w:rPr>
        <w:t>I find the non-</w:t>
      </w:r>
      <w:r w:rsidR="00FC5DAA" w:rsidRPr="00325322">
        <w:rPr>
          <w:rFonts w:ascii="Times New Roman" w:hAnsi="Times New Roman" w:cs="Times New Roman"/>
          <w:sz w:val="28"/>
          <w:szCs w:val="28"/>
        </w:rPr>
        <w:t>disclosure to have been a deliberate suppression of facts w</w:t>
      </w:r>
      <w:r w:rsidRPr="00325322">
        <w:rPr>
          <w:rFonts w:ascii="Times New Roman" w:hAnsi="Times New Roman" w:cs="Times New Roman"/>
          <w:sz w:val="28"/>
          <w:szCs w:val="28"/>
        </w:rPr>
        <w:t>ith the intention to mislead this</w:t>
      </w:r>
      <w:r w:rsidR="00FC5DAA" w:rsidRPr="00325322">
        <w:rPr>
          <w:rFonts w:ascii="Times New Roman" w:hAnsi="Times New Roman" w:cs="Times New Roman"/>
          <w:sz w:val="28"/>
          <w:szCs w:val="28"/>
        </w:rPr>
        <w:t xml:space="preserve"> court. As held in </w:t>
      </w:r>
      <w:r w:rsidRPr="00325322">
        <w:rPr>
          <w:rFonts w:ascii="Times New Roman" w:hAnsi="Times New Roman" w:cs="Times New Roman"/>
          <w:b/>
          <w:bCs/>
          <w:sz w:val="28"/>
          <w:szCs w:val="28"/>
        </w:rPr>
        <w:t xml:space="preserve">Trackman No v </w:t>
      </w:r>
      <w:proofErr w:type="spellStart"/>
      <w:r w:rsidRPr="00325322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FC5DAA" w:rsidRPr="00325322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325322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FC5DAA" w:rsidRPr="00325322">
        <w:rPr>
          <w:rFonts w:ascii="Times New Roman" w:hAnsi="Times New Roman" w:cs="Times New Roman"/>
          <w:b/>
          <w:bCs/>
          <w:sz w:val="28"/>
          <w:szCs w:val="28"/>
        </w:rPr>
        <w:t>shit</w:t>
      </w:r>
      <w:r w:rsidRPr="00325322">
        <w:rPr>
          <w:rFonts w:ascii="Times New Roman" w:hAnsi="Times New Roman" w:cs="Times New Roman"/>
          <w:b/>
          <w:bCs/>
          <w:sz w:val="28"/>
          <w:szCs w:val="28"/>
        </w:rPr>
        <w:t>z</w:t>
      </w:r>
      <w:proofErr w:type="spellEnd"/>
      <w:r>
        <w:rPr>
          <w:rStyle w:val="FootnoteReference"/>
          <w:rFonts w:ascii="Times New Roman" w:hAnsi="Times New Roman" w:cs="Times New Roman"/>
          <w:bCs/>
          <w:sz w:val="28"/>
          <w:szCs w:val="28"/>
        </w:rPr>
        <w:footnoteReference w:id="8"/>
      </w:r>
      <w:r w:rsidR="00FC5DAA" w:rsidRPr="00843A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5DAA" w:rsidRPr="00325322">
        <w:rPr>
          <w:rFonts w:ascii="Times New Roman" w:hAnsi="Times New Roman" w:cs="Times New Roman"/>
          <w:bCs/>
          <w:sz w:val="28"/>
          <w:szCs w:val="28"/>
        </w:rPr>
        <w:t>t</w:t>
      </w:r>
      <w:r w:rsidR="00FC5DAA" w:rsidRPr="00325322">
        <w:rPr>
          <w:rFonts w:ascii="Times New Roman" w:hAnsi="Times New Roman" w:cs="Times New Roman"/>
          <w:sz w:val="28"/>
          <w:szCs w:val="28"/>
        </w:rPr>
        <w:t>h</w:t>
      </w:r>
      <w:r w:rsidRPr="00325322">
        <w:rPr>
          <w:rFonts w:ascii="Times New Roman" w:hAnsi="Times New Roman" w:cs="Times New Roman"/>
          <w:sz w:val="28"/>
          <w:szCs w:val="28"/>
        </w:rPr>
        <w:t>is non-</w:t>
      </w:r>
      <w:r w:rsidR="00FC5DAA" w:rsidRPr="00325322">
        <w:rPr>
          <w:rFonts w:ascii="Times New Roman" w:hAnsi="Times New Roman" w:cs="Times New Roman"/>
          <w:sz w:val="28"/>
          <w:szCs w:val="28"/>
        </w:rPr>
        <w:t>disclosure calls for an order of costs against the applicants.</w:t>
      </w:r>
      <w:r w:rsidRPr="00325322">
        <w:rPr>
          <w:rFonts w:ascii="Times New Roman" w:hAnsi="Times New Roman" w:cs="Times New Roman"/>
          <w:sz w:val="28"/>
          <w:szCs w:val="28"/>
        </w:rPr>
        <w:t xml:space="preserve"> </w:t>
      </w:r>
      <w:r w:rsidR="007D1A23" w:rsidRPr="00325322">
        <w:rPr>
          <w:rFonts w:ascii="Times New Roman" w:hAnsi="Times New Roman" w:cs="Times New Roman"/>
          <w:sz w:val="28"/>
          <w:szCs w:val="28"/>
        </w:rPr>
        <w:t xml:space="preserve">The </w:t>
      </w:r>
      <w:r w:rsidRPr="00325322">
        <w:rPr>
          <w:rFonts w:ascii="Times New Roman" w:hAnsi="Times New Roman" w:cs="Times New Roman"/>
          <w:sz w:val="28"/>
          <w:szCs w:val="28"/>
        </w:rPr>
        <w:t>2</w:t>
      </w:r>
      <w:r w:rsidRPr="00325322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325322">
        <w:rPr>
          <w:rFonts w:ascii="Times New Roman" w:hAnsi="Times New Roman" w:cs="Times New Roman"/>
          <w:sz w:val="28"/>
          <w:szCs w:val="28"/>
        </w:rPr>
        <w:t xml:space="preserve">, </w:t>
      </w:r>
      <w:r w:rsidR="007D1A23" w:rsidRPr="00325322">
        <w:rPr>
          <w:rFonts w:ascii="Times New Roman" w:hAnsi="Times New Roman" w:cs="Times New Roman"/>
          <w:sz w:val="28"/>
          <w:szCs w:val="28"/>
        </w:rPr>
        <w:t>4</w:t>
      </w:r>
      <w:r w:rsidR="007D1A23" w:rsidRPr="0032532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D1A23" w:rsidRPr="00325322">
        <w:rPr>
          <w:rFonts w:ascii="Times New Roman" w:hAnsi="Times New Roman" w:cs="Times New Roman"/>
          <w:sz w:val="28"/>
          <w:szCs w:val="28"/>
        </w:rPr>
        <w:t xml:space="preserve"> and 5</w:t>
      </w:r>
      <w:r w:rsidR="007D1A23" w:rsidRPr="0032532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F224E">
        <w:rPr>
          <w:rFonts w:ascii="Times New Roman" w:hAnsi="Times New Roman" w:cs="Times New Roman"/>
          <w:sz w:val="28"/>
          <w:szCs w:val="28"/>
        </w:rPr>
        <w:t xml:space="preserve"> applicants</w:t>
      </w:r>
      <w:r w:rsidR="007D1A23" w:rsidRPr="00325322">
        <w:rPr>
          <w:rFonts w:ascii="Times New Roman" w:hAnsi="Times New Roman" w:cs="Times New Roman"/>
          <w:sz w:val="28"/>
          <w:szCs w:val="28"/>
        </w:rPr>
        <w:t xml:space="preserve"> </w:t>
      </w:r>
      <w:r w:rsidRPr="00325322">
        <w:rPr>
          <w:rFonts w:ascii="Times New Roman" w:hAnsi="Times New Roman" w:cs="Times New Roman"/>
          <w:sz w:val="28"/>
          <w:szCs w:val="28"/>
        </w:rPr>
        <w:t xml:space="preserve">should </w:t>
      </w:r>
      <w:r>
        <w:rPr>
          <w:rFonts w:ascii="Times New Roman" w:hAnsi="Times New Roman" w:cs="Times New Roman"/>
          <w:sz w:val="28"/>
          <w:szCs w:val="28"/>
        </w:rPr>
        <w:t xml:space="preserve">therefore </w:t>
      </w:r>
      <w:r w:rsidRPr="00325322">
        <w:rPr>
          <w:rFonts w:ascii="Times New Roman" w:hAnsi="Times New Roman" w:cs="Times New Roman"/>
          <w:sz w:val="28"/>
          <w:szCs w:val="28"/>
        </w:rPr>
        <w:t xml:space="preserve">bear the costs of suit </w:t>
      </w:r>
      <w:r w:rsidR="007D1A23" w:rsidRPr="00325322">
        <w:rPr>
          <w:rFonts w:ascii="Times New Roman" w:hAnsi="Times New Roman" w:cs="Times New Roman"/>
          <w:sz w:val="28"/>
          <w:szCs w:val="28"/>
        </w:rPr>
        <w:t xml:space="preserve">jointly and severally </w:t>
      </w:r>
      <w:r w:rsidR="007D1A23" w:rsidRPr="00325322">
        <w:rPr>
          <w:rFonts w:ascii="Times New Roman" w:hAnsi="Times New Roman" w:cs="Times New Roman"/>
          <w:sz w:val="28"/>
          <w:szCs w:val="28"/>
        </w:rPr>
        <w:lastRenderedPageBreak/>
        <w:t>an</w:t>
      </w:r>
      <w:r w:rsidR="00596FB6" w:rsidRPr="00325322">
        <w:rPr>
          <w:rFonts w:ascii="Times New Roman" w:hAnsi="Times New Roman" w:cs="Times New Roman"/>
          <w:sz w:val="28"/>
          <w:szCs w:val="28"/>
        </w:rPr>
        <w:t xml:space="preserve"> attorney and client scale for their failure to disclose material facts which would undoubtedly assist the court to better appreciate the background to their ease. </w:t>
      </w:r>
    </w:p>
    <w:p w14:paraId="03164EED" w14:textId="3A200673" w:rsidR="00325322" w:rsidRDefault="00ED1A68" w:rsidP="00325322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3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65933B" w14:textId="09DE991E" w:rsidR="007D1A23" w:rsidRDefault="00ED1A68" w:rsidP="00E4608E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25322">
        <w:rPr>
          <w:rFonts w:ascii="Times New Roman" w:hAnsi="Times New Roman" w:cs="Times New Roman"/>
          <w:sz w:val="28"/>
          <w:szCs w:val="28"/>
        </w:rPr>
        <w:t>The 1</w:t>
      </w:r>
      <w:r w:rsidRPr="00325322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325322">
        <w:rPr>
          <w:rFonts w:ascii="Times New Roman" w:hAnsi="Times New Roman" w:cs="Times New Roman"/>
          <w:sz w:val="28"/>
          <w:szCs w:val="28"/>
        </w:rPr>
        <w:t>, 3</w:t>
      </w:r>
      <w:r w:rsidRPr="00325322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325322">
        <w:rPr>
          <w:rFonts w:ascii="Times New Roman" w:hAnsi="Times New Roman" w:cs="Times New Roman"/>
          <w:sz w:val="28"/>
          <w:szCs w:val="28"/>
        </w:rPr>
        <w:t xml:space="preserve"> and 6</w:t>
      </w:r>
      <w:r w:rsidRPr="0032532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25322">
        <w:rPr>
          <w:rFonts w:ascii="Times New Roman" w:hAnsi="Times New Roman" w:cs="Times New Roman"/>
          <w:sz w:val="28"/>
          <w:szCs w:val="28"/>
        </w:rPr>
        <w:t xml:space="preserve"> applicants should also bear the costs associated with their withdrawal jointly and severally pursuant to High Court Rule 43.</w:t>
      </w:r>
    </w:p>
    <w:p w14:paraId="48F8AB90" w14:textId="77777777" w:rsidR="00AF224E" w:rsidRDefault="00AF224E" w:rsidP="00AF224E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5E7C75" w14:textId="6EBC4D91" w:rsidR="00AF224E" w:rsidRPr="00AF224E" w:rsidRDefault="00ED1A68" w:rsidP="00AF224E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224E">
        <w:rPr>
          <w:rFonts w:ascii="Times New Roman" w:hAnsi="Times New Roman" w:cs="Times New Roman"/>
          <w:b/>
          <w:sz w:val="28"/>
          <w:szCs w:val="28"/>
          <w:u w:val="single"/>
        </w:rPr>
        <w:t>Order</w:t>
      </w:r>
    </w:p>
    <w:p w14:paraId="7456CA6C" w14:textId="77777777" w:rsidR="002D7016" w:rsidRDefault="00ED1A68" w:rsidP="00E4608E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(a) The application is dismissed with costs to be borne by </w:t>
      </w:r>
      <w:r w:rsidRPr="00AF224E">
        <w:rPr>
          <w:rFonts w:ascii="Times New Roman" w:hAnsi="Times New Roman" w:cs="Times New Roman"/>
          <w:sz w:val="28"/>
          <w:szCs w:val="28"/>
        </w:rPr>
        <w:t>2</w:t>
      </w:r>
      <w:r w:rsidRPr="00AF224E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AF224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F224E">
        <w:rPr>
          <w:rFonts w:ascii="Times New Roman" w:hAnsi="Times New Roman" w:cs="Times New Roman"/>
          <w:sz w:val="28"/>
          <w:szCs w:val="28"/>
        </w:rPr>
        <w:t>4</w:t>
      </w:r>
      <w:r w:rsidRPr="00AF224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proofErr w:type="gramEnd"/>
      <w:r w:rsidRPr="00AF224E">
        <w:rPr>
          <w:rFonts w:ascii="Times New Roman" w:hAnsi="Times New Roman" w:cs="Times New Roman"/>
          <w:sz w:val="28"/>
          <w:szCs w:val="28"/>
        </w:rPr>
        <w:t xml:space="preserve"> and 5</w:t>
      </w:r>
      <w:r w:rsidRPr="00AF224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016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44EB27B1" w14:textId="6BA37BFF" w:rsidR="00AF224E" w:rsidRDefault="002D7016" w:rsidP="002D7016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1A68">
        <w:rPr>
          <w:rFonts w:ascii="Times New Roman" w:hAnsi="Times New Roman" w:cs="Times New Roman"/>
          <w:sz w:val="28"/>
          <w:szCs w:val="28"/>
        </w:rPr>
        <w:t>applicants jointly and severally.</w:t>
      </w:r>
    </w:p>
    <w:p w14:paraId="79D8E948" w14:textId="77777777" w:rsidR="002D7016" w:rsidRDefault="002D7016" w:rsidP="002D7016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B66E4B" w14:textId="77777777" w:rsidR="00523327" w:rsidRDefault="00ED1A68" w:rsidP="00523327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(b) </w:t>
      </w:r>
      <w:r w:rsidRPr="00325322">
        <w:rPr>
          <w:rFonts w:ascii="Times New Roman" w:hAnsi="Times New Roman" w:cs="Times New Roman"/>
          <w:sz w:val="28"/>
          <w:szCs w:val="28"/>
        </w:rPr>
        <w:t>The 1</w:t>
      </w:r>
      <w:r w:rsidRPr="00325322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325322">
        <w:rPr>
          <w:rFonts w:ascii="Times New Roman" w:hAnsi="Times New Roman" w:cs="Times New Roman"/>
          <w:sz w:val="28"/>
          <w:szCs w:val="28"/>
        </w:rPr>
        <w:t>, 3</w:t>
      </w:r>
      <w:r w:rsidRPr="00325322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325322">
        <w:rPr>
          <w:rFonts w:ascii="Times New Roman" w:hAnsi="Times New Roman" w:cs="Times New Roman"/>
          <w:sz w:val="28"/>
          <w:szCs w:val="28"/>
        </w:rPr>
        <w:t xml:space="preserve"> and 6</w:t>
      </w:r>
      <w:r w:rsidRPr="0032532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25322">
        <w:rPr>
          <w:rFonts w:ascii="Times New Roman" w:hAnsi="Times New Roman" w:cs="Times New Roman"/>
          <w:sz w:val="28"/>
          <w:szCs w:val="28"/>
        </w:rPr>
        <w:t xml:space="preserve"> applicants</w:t>
      </w:r>
      <w:r>
        <w:rPr>
          <w:rFonts w:ascii="Times New Roman" w:hAnsi="Times New Roman" w:cs="Times New Roman"/>
          <w:sz w:val="28"/>
          <w:szCs w:val="28"/>
        </w:rPr>
        <w:t xml:space="preserve"> should bear the costs associated with </w:t>
      </w:r>
      <w:proofErr w:type="gramStart"/>
      <w:r>
        <w:rPr>
          <w:rFonts w:ascii="Times New Roman" w:hAnsi="Times New Roman" w:cs="Times New Roman"/>
          <w:sz w:val="28"/>
          <w:szCs w:val="28"/>
        </w:rPr>
        <w:t>their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327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48FCBD60" w14:textId="57CF9E55" w:rsidR="00AF224E" w:rsidRDefault="00523327" w:rsidP="00523327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1A68">
        <w:rPr>
          <w:rFonts w:ascii="Times New Roman" w:hAnsi="Times New Roman" w:cs="Times New Roman"/>
          <w:sz w:val="28"/>
          <w:szCs w:val="28"/>
        </w:rPr>
        <w:t>withdrawal from these proceedings jointly and severally.</w:t>
      </w:r>
    </w:p>
    <w:p w14:paraId="3C93186D" w14:textId="77777777" w:rsidR="00AF224E" w:rsidRDefault="00AF224E" w:rsidP="00AF224E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C082FA" w14:textId="77777777" w:rsidR="009F567B" w:rsidRPr="009F567B" w:rsidRDefault="009F567B" w:rsidP="009F567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ZA"/>
        </w:rPr>
      </w:pPr>
    </w:p>
    <w:p w14:paraId="456D5649" w14:textId="77777777" w:rsidR="009F567B" w:rsidRPr="009F567B" w:rsidRDefault="00ED1A68" w:rsidP="009F56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ZA"/>
        </w:rPr>
      </w:pPr>
      <w:r w:rsidRPr="009F567B">
        <w:rPr>
          <w:rFonts w:ascii="Times New Roman" w:eastAsia="Times New Roman" w:hAnsi="Times New Roman" w:cs="Times New Roman"/>
          <w:sz w:val="28"/>
          <w:szCs w:val="28"/>
          <w:lang w:eastAsia="en-ZA"/>
        </w:rPr>
        <w:t>_______________________________</w:t>
      </w:r>
    </w:p>
    <w:p w14:paraId="0E940178" w14:textId="77777777" w:rsidR="009F567B" w:rsidRPr="009F567B" w:rsidRDefault="00ED1A68" w:rsidP="009F56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en-ZA"/>
        </w:rPr>
      </w:pPr>
      <w:r w:rsidRPr="009F567B">
        <w:rPr>
          <w:rFonts w:ascii="Times New Roman" w:eastAsia="Times New Roman" w:hAnsi="Times New Roman" w:cs="Times New Roman"/>
          <w:b/>
          <w:bCs/>
          <w:sz w:val="28"/>
          <w:szCs w:val="28"/>
          <w:lang w:eastAsia="en-ZA"/>
        </w:rPr>
        <w:t>M. P RALEBESE J</w:t>
      </w:r>
    </w:p>
    <w:p w14:paraId="5F090EFD" w14:textId="77777777" w:rsidR="009F567B" w:rsidRPr="009F567B" w:rsidRDefault="009F567B" w:rsidP="009F56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en-ZA"/>
        </w:rPr>
      </w:pPr>
    </w:p>
    <w:p w14:paraId="7990FB2A" w14:textId="77777777" w:rsidR="009F567B" w:rsidRPr="009F567B" w:rsidRDefault="00ED1A68" w:rsidP="009F56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en-ZA"/>
        </w:rPr>
      </w:pPr>
      <w:r w:rsidRPr="009F567B">
        <w:rPr>
          <w:rFonts w:ascii="Times New Roman" w:eastAsia="Times New Roman" w:hAnsi="Times New Roman" w:cs="Times New Roman"/>
          <w:b/>
          <w:bCs/>
          <w:sz w:val="28"/>
          <w:szCs w:val="28"/>
          <w:lang w:eastAsia="en-ZA"/>
        </w:rPr>
        <w:t>JUDGE</w:t>
      </w:r>
    </w:p>
    <w:p w14:paraId="4A0072BE" w14:textId="77777777" w:rsidR="009F567B" w:rsidRPr="009F567B" w:rsidRDefault="009F567B" w:rsidP="009F56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en-ZA"/>
        </w:rPr>
      </w:pPr>
    </w:p>
    <w:p w14:paraId="0E3EBFDD" w14:textId="77777777" w:rsidR="009F567B" w:rsidRPr="009F567B" w:rsidRDefault="009F567B" w:rsidP="009F56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ZA"/>
        </w:rPr>
      </w:pPr>
    </w:p>
    <w:p w14:paraId="185336C9" w14:textId="3F45772B" w:rsidR="009F567B" w:rsidRPr="009F567B" w:rsidRDefault="00ED1A68" w:rsidP="009F56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ZA"/>
        </w:rPr>
      </w:pPr>
      <w:r w:rsidRPr="009F567B">
        <w:rPr>
          <w:rFonts w:ascii="Times New Roman" w:eastAsia="Times New Roman" w:hAnsi="Times New Roman" w:cs="Times New Roman"/>
          <w:sz w:val="28"/>
          <w:szCs w:val="28"/>
          <w:lang w:eastAsia="en-ZA"/>
        </w:rPr>
        <w:t>For the applicants:</w:t>
      </w:r>
      <w:r w:rsidRPr="009F567B">
        <w:rPr>
          <w:rFonts w:ascii="Times New Roman" w:eastAsia="Times New Roman" w:hAnsi="Times New Roman" w:cs="Times New Roman"/>
          <w:sz w:val="28"/>
          <w:szCs w:val="28"/>
          <w:lang w:eastAsia="en-Z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ZA"/>
        </w:rPr>
        <w:tab/>
        <w:t xml:space="preserve">Adv. </w:t>
      </w:r>
      <w:r w:rsidRPr="009F567B">
        <w:rPr>
          <w:rFonts w:ascii="Times New Roman" w:eastAsia="Times New Roman" w:hAnsi="Times New Roman" w:cs="Times New Roman"/>
          <w:sz w:val="28"/>
          <w:szCs w:val="28"/>
          <w:lang w:eastAsia="en-ZA"/>
        </w:rPr>
        <w:t>Molise</w:t>
      </w:r>
    </w:p>
    <w:p w14:paraId="4B698B05" w14:textId="165762D4" w:rsidR="009F567B" w:rsidRPr="009F567B" w:rsidRDefault="00ED1A68" w:rsidP="009F56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ZA"/>
        </w:rPr>
      </w:pPr>
      <w:r w:rsidRPr="009F567B">
        <w:rPr>
          <w:rFonts w:ascii="Times New Roman" w:eastAsia="Times New Roman" w:hAnsi="Times New Roman" w:cs="Times New Roman"/>
          <w:sz w:val="28"/>
          <w:szCs w:val="28"/>
          <w:lang w:eastAsia="en-ZA"/>
        </w:rPr>
        <w:t xml:space="preserve">For the respondents: </w:t>
      </w:r>
      <w:r>
        <w:rPr>
          <w:rFonts w:ascii="Times New Roman" w:eastAsia="Times New Roman" w:hAnsi="Times New Roman" w:cs="Times New Roman"/>
          <w:sz w:val="28"/>
          <w:szCs w:val="28"/>
          <w:lang w:eastAsia="en-ZA"/>
        </w:rPr>
        <w:tab/>
        <w:t>Mr. Ndebele</w:t>
      </w:r>
    </w:p>
    <w:p w14:paraId="2B071C07" w14:textId="77777777" w:rsidR="009F567B" w:rsidRPr="009F567B" w:rsidRDefault="009F567B" w:rsidP="009F56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ZA"/>
        </w:rPr>
      </w:pPr>
    </w:p>
    <w:p w14:paraId="79A432FB" w14:textId="77777777" w:rsidR="00325322" w:rsidRPr="009F567B" w:rsidRDefault="00325322" w:rsidP="003253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F34952" w14:textId="23E58B16" w:rsidR="00026976" w:rsidRDefault="00362408" w:rsidP="00362408">
      <w:pPr>
        <w:tabs>
          <w:tab w:val="left" w:pos="6930"/>
        </w:tabs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26976" w:rsidSect="009415D7"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1FD83" w14:textId="77777777" w:rsidR="001B70FC" w:rsidRDefault="001B70FC">
      <w:pPr>
        <w:spacing w:after="0" w:line="240" w:lineRule="auto"/>
      </w:pPr>
      <w:r>
        <w:separator/>
      </w:r>
    </w:p>
  </w:endnote>
  <w:endnote w:type="continuationSeparator" w:id="0">
    <w:p w14:paraId="720BEC4D" w14:textId="77777777" w:rsidR="001B70FC" w:rsidRDefault="001B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8495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6C64EB8" w14:textId="32DFD3FE" w:rsidR="00D432DB" w:rsidRPr="00970930" w:rsidRDefault="00ED1A68">
        <w:pPr>
          <w:pStyle w:val="Footer"/>
          <w:jc w:val="center"/>
          <w:rPr>
            <w:rFonts w:ascii="Times New Roman" w:hAnsi="Times New Roman" w:cs="Times New Roman"/>
          </w:rPr>
        </w:pPr>
        <w:r w:rsidRPr="00970930">
          <w:rPr>
            <w:rFonts w:ascii="Times New Roman" w:hAnsi="Times New Roman" w:cs="Times New Roman"/>
          </w:rPr>
          <w:fldChar w:fldCharType="begin"/>
        </w:r>
        <w:r w:rsidRPr="00970930">
          <w:rPr>
            <w:rFonts w:ascii="Times New Roman" w:hAnsi="Times New Roman" w:cs="Times New Roman"/>
          </w:rPr>
          <w:instrText xml:space="preserve"> PAGE   \* MERGEFORMAT </w:instrText>
        </w:r>
        <w:r w:rsidRPr="00970930">
          <w:rPr>
            <w:rFonts w:ascii="Times New Roman" w:hAnsi="Times New Roman" w:cs="Times New Roman"/>
          </w:rPr>
          <w:fldChar w:fldCharType="separate"/>
        </w:r>
        <w:r w:rsidR="00406CCC">
          <w:rPr>
            <w:rFonts w:ascii="Times New Roman" w:hAnsi="Times New Roman" w:cs="Times New Roman"/>
            <w:noProof/>
          </w:rPr>
          <w:t>3</w:t>
        </w:r>
        <w:r w:rsidRPr="0097093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F7294B2" w14:textId="77777777" w:rsidR="00D432DB" w:rsidRDefault="00D43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33EE3" w14:textId="77777777" w:rsidR="001B70FC" w:rsidRDefault="001B70FC" w:rsidP="009415D7">
      <w:pPr>
        <w:spacing w:after="0" w:line="240" w:lineRule="auto"/>
      </w:pPr>
      <w:r>
        <w:separator/>
      </w:r>
    </w:p>
  </w:footnote>
  <w:footnote w:type="continuationSeparator" w:id="0">
    <w:p w14:paraId="01A743E8" w14:textId="77777777" w:rsidR="001B70FC" w:rsidRDefault="001B70FC" w:rsidP="009415D7">
      <w:pPr>
        <w:spacing w:after="0" w:line="240" w:lineRule="auto"/>
      </w:pPr>
      <w:r>
        <w:continuationSeparator/>
      </w:r>
    </w:p>
  </w:footnote>
  <w:footnote w:id="1">
    <w:p w14:paraId="75F5DE1B" w14:textId="2DDD8533" w:rsidR="00D34118" w:rsidRPr="00D34118" w:rsidRDefault="00ED1A6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D34118">
        <w:t>(2000-2004) LAC 450 at 457</w:t>
      </w:r>
    </w:p>
  </w:footnote>
  <w:footnote w:id="2">
    <w:p w14:paraId="0444B34F" w14:textId="2C7B0FF2" w:rsidR="00D34118" w:rsidRPr="00D34118" w:rsidRDefault="00ED1A6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D34118">
        <w:t xml:space="preserve"> LAC (1995-1999) 698 at 702</w:t>
      </w:r>
      <w:r>
        <w:t xml:space="preserve"> </w:t>
      </w:r>
    </w:p>
  </w:footnote>
  <w:footnote w:id="3">
    <w:p w14:paraId="72235909" w14:textId="376B0A28" w:rsidR="00D34118" w:rsidRPr="00D34118" w:rsidRDefault="00ED1A6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D34118">
        <w:t>(CIV/APN/410/99) [2000] LSCA 10 (17 January 2000</w:t>
      </w:r>
    </w:p>
  </w:footnote>
  <w:footnote w:id="4">
    <w:p w14:paraId="79C567F4" w14:textId="522334AB" w:rsidR="00D34118" w:rsidRPr="00D34118" w:rsidRDefault="00ED1A6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Supra</w:t>
      </w:r>
    </w:p>
  </w:footnote>
  <w:footnote w:id="5">
    <w:p w14:paraId="1E17EFD8" w14:textId="72CCE204" w:rsidR="00D34118" w:rsidRPr="00D34118" w:rsidRDefault="00ED1A6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D34118">
        <w:t>C of A (civ) N0.10 of 2019</w:t>
      </w:r>
    </w:p>
  </w:footnote>
  <w:footnote w:id="6">
    <w:p w14:paraId="5BC999AF" w14:textId="08A86F63" w:rsidR="00B826C3" w:rsidRPr="00B826C3" w:rsidRDefault="00ED1A6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B826C3">
        <w:t>CIVIL CAUSE NO. 1010 OF 2018 [2019] MWHC 3 (08 January 2019).</w:t>
      </w:r>
    </w:p>
  </w:footnote>
  <w:footnote w:id="7">
    <w:p w14:paraId="6AA40E1B" w14:textId="3B3262B5" w:rsidR="00D34118" w:rsidRPr="00D34118" w:rsidRDefault="00ED1A6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D34118">
        <w:t xml:space="preserve">(CIV/APN/360/08) </w:t>
      </w:r>
      <w:r>
        <w:t>[</w:t>
      </w:r>
      <w:r w:rsidRPr="00D34118">
        <w:t>2011] LSHC 129 (22 June 2011)</w:t>
      </w:r>
    </w:p>
  </w:footnote>
  <w:footnote w:id="8">
    <w:p w14:paraId="77876839" w14:textId="2C0EF99E" w:rsidR="00843AFF" w:rsidRPr="00843AFF" w:rsidRDefault="00ED1A6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843AFF">
        <w:t>1995 (1) SA 282 at 288 E-H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0A2F"/>
    <w:multiLevelType w:val="hybridMultilevel"/>
    <w:tmpl w:val="0F92B9B0"/>
    <w:lvl w:ilvl="0" w:tplc="627A6A7E">
      <w:start w:val="1"/>
      <w:numFmt w:val="decimal"/>
      <w:lvlText w:val="%1."/>
      <w:lvlJc w:val="left"/>
      <w:pPr>
        <w:ind w:left="720" w:hanging="360"/>
      </w:pPr>
    </w:lvl>
    <w:lvl w:ilvl="1" w:tplc="FADA4AD8" w:tentative="1">
      <w:start w:val="1"/>
      <w:numFmt w:val="lowerLetter"/>
      <w:lvlText w:val="%2."/>
      <w:lvlJc w:val="left"/>
      <w:pPr>
        <w:ind w:left="1440" w:hanging="360"/>
      </w:pPr>
    </w:lvl>
    <w:lvl w:ilvl="2" w:tplc="AA424CB0" w:tentative="1">
      <w:start w:val="1"/>
      <w:numFmt w:val="lowerRoman"/>
      <w:lvlText w:val="%3."/>
      <w:lvlJc w:val="right"/>
      <w:pPr>
        <w:ind w:left="2160" w:hanging="180"/>
      </w:pPr>
    </w:lvl>
    <w:lvl w:ilvl="3" w:tplc="76AAE9BA" w:tentative="1">
      <w:start w:val="1"/>
      <w:numFmt w:val="decimal"/>
      <w:lvlText w:val="%4."/>
      <w:lvlJc w:val="left"/>
      <w:pPr>
        <w:ind w:left="2880" w:hanging="360"/>
      </w:pPr>
    </w:lvl>
    <w:lvl w:ilvl="4" w:tplc="13261D0C" w:tentative="1">
      <w:start w:val="1"/>
      <w:numFmt w:val="lowerLetter"/>
      <w:lvlText w:val="%5."/>
      <w:lvlJc w:val="left"/>
      <w:pPr>
        <w:ind w:left="3600" w:hanging="360"/>
      </w:pPr>
    </w:lvl>
    <w:lvl w:ilvl="5" w:tplc="AE9E8630" w:tentative="1">
      <w:start w:val="1"/>
      <w:numFmt w:val="lowerRoman"/>
      <w:lvlText w:val="%6."/>
      <w:lvlJc w:val="right"/>
      <w:pPr>
        <w:ind w:left="4320" w:hanging="180"/>
      </w:pPr>
    </w:lvl>
    <w:lvl w:ilvl="6" w:tplc="53FA19D8" w:tentative="1">
      <w:start w:val="1"/>
      <w:numFmt w:val="decimal"/>
      <w:lvlText w:val="%7."/>
      <w:lvlJc w:val="left"/>
      <w:pPr>
        <w:ind w:left="5040" w:hanging="360"/>
      </w:pPr>
    </w:lvl>
    <w:lvl w:ilvl="7" w:tplc="BD8ADA5E" w:tentative="1">
      <w:start w:val="1"/>
      <w:numFmt w:val="lowerLetter"/>
      <w:lvlText w:val="%8."/>
      <w:lvlJc w:val="left"/>
      <w:pPr>
        <w:ind w:left="5760" w:hanging="360"/>
      </w:pPr>
    </w:lvl>
    <w:lvl w:ilvl="8" w:tplc="E67847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61CFD"/>
    <w:multiLevelType w:val="hybridMultilevel"/>
    <w:tmpl w:val="43129CF6"/>
    <w:lvl w:ilvl="0" w:tplc="8320E35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31FE411C" w:tentative="1">
      <w:start w:val="1"/>
      <w:numFmt w:val="lowerLetter"/>
      <w:lvlText w:val="%2."/>
      <w:lvlJc w:val="left"/>
      <w:pPr>
        <w:ind w:left="1440" w:hanging="360"/>
      </w:pPr>
    </w:lvl>
    <w:lvl w:ilvl="2" w:tplc="5328791C" w:tentative="1">
      <w:start w:val="1"/>
      <w:numFmt w:val="lowerRoman"/>
      <w:lvlText w:val="%3."/>
      <w:lvlJc w:val="right"/>
      <w:pPr>
        <w:ind w:left="2160" w:hanging="180"/>
      </w:pPr>
    </w:lvl>
    <w:lvl w:ilvl="3" w:tplc="8D6832E4" w:tentative="1">
      <w:start w:val="1"/>
      <w:numFmt w:val="decimal"/>
      <w:lvlText w:val="%4."/>
      <w:lvlJc w:val="left"/>
      <w:pPr>
        <w:ind w:left="2880" w:hanging="360"/>
      </w:pPr>
    </w:lvl>
    <w:lvl w:ilvl="4" w:tplc="B8A0642A" w:tentative="1">
      <w:start w:val="1"/>
      <w:numFmt w:val="lowerLetter"/>
      <w:lvlText w:val="%5."/>
      <w:lvlJc w:val="left"/>
      <w:pPr>
        <w:ind w:left="3600" w:hanging="360"/>
      </w:pPr>
    </w:lvl>
    <w:lvl w:ilvl="5" w:tplc="1480C98C" w:tentative="1">
      <w:start w:val="1"/>
      <w:numFmt w:val="lowerRoman"/>
      <w:lvlText w:val="%6."/>
      <w:lvlJc w:val="right"/>
      <w:pPr>
        <w:ind w:left="4320" w:hanging="180"/>
      </w:pPr>
    </w:lvl>
    <w:lvl w:ilvl="6" w:tplc="BC664350" w:tentative="1">
      <w:start w:val="1"/>
      <w:numFmt w:val="decimal"/>
      <w:lvlText w:val="%7."/>
      <w:lvlJc w:val="left"/>
      <w:pPr>
        <w:ind w:left="5040" w:hanging="360"/>
      </w:pPr>
    </w:lvl>
    <w:lvl w:ilvl="7" w:tplc="DF1E0FBE" w:tentative="1">
      <w:start w:val="1"/>
      <w:numFmt w:val="lowerLetter"/>
      <w:lvlText w:val="%8."/>
      <w:lvlJc w:val="left"/>
      <w:pPr>
        <w:ind w:left="5760" w:hanging="360"/>
      </w:pPr>
    </w:lvl>
    <w:lvl w:ilvl="8" w:tplc="71FA13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95D17"/>
    <w:multiLevelType w:val="hybridMultilevel"/>
    <w:tmpl w:val="0F92B9B0"/>
    <w:lvl w:ilvl="0" w:tplc="8932BE80">
      <w:start w:val="1"/>
      <w:numFmt w:val="decimal"/>
      <w:lvlText w:val="%1."/>
      <w:lvlJc w:val="left"/>
      <w:pPr>
        <w:ind w:left="720" w:hanging="360"/>
      </w:pPr>
    </w:lvl>
    <w:lvl w:ilvl="1" w:tplc="CCCE9174" w:tentative="1">
      <w:start w:val="1"/>
      <w:numFmt w:val="lowerLetter"/>
      <w:lvlText w:val="%2."/>
      <w:lvlJc w:val="left"/>
      <w:pPr>
        <w:ind w:left="1440" w:hanging="360"/>
      </w:pPr>
    </w:lvl>
    <w:lvl w:ilvl="2" w:tplc="B2FACF9A" w:tentative="1">
      <w:start w:val="1"/>
      <w:numFmt w:val="lowerRoman"/>
      <w:lvlText w:val="%3."/>
      <w:lvlJc w:val="right"/>
      <w:pPr>
        <w:ind w:left="2160" w:hanging="180"/>
      </w:pPr>
    </w:lvl>
    <w:lvl w:ilvl="3" w:tplc="CEF6585A" w:tentative="1">
      <w:start w:val="1"/>
      <w:numFmt w:val="decimal"/>
      <w:lvlText w:val="%4."/>
      <w:lvlJc w:val="left"/>
      <w:pPr>
        <w:ind w:left="2880" w:hanging="360"/>
      </w:pPr>
    </w:lvl>
    <w:lvl w:ilvl="4" w:tplc="0F1CE90E" w:tentative="1">
      <w:start w:val="1"/>
      <w:numFmt w:val="lowerLetter"/>
      <w:lvlText w:val="%5."/>
      <w:lvlJc w:val="left"/>
      <w:pPr>
        <w:ind w:left="3600" w:hanging="360"/>
      </w:pPr>
    </w:lvl>
    <w:lvl w:ilvl="5" w:tplc="69043DBC" w:tentative="1">
      <w:start w:val="1"/>
      <w:numFmt w:val="lowerRoman"/>
      <w:lvlText w:val="%6."/>
      <w:lvlJc w:val="right"/>
      <w:pPr>
        <w:ind w:left="4320" w:hanging="180"/>
      </w:pPr>
    </w:lvl>
    <w:lvl w:ilvl="6" w:tplc="E6249660" w:tentative="1">
      <w:start w:val="1"/>
      <w:numFmt w:val="decimal"/>
      <w:lvlText w:val="%7."/>
      <w:lvlJc w:val="left"/>
      <w:pPr>
        <w:ind w:left="5040" w:hanging="360"/>
      </w:pPr>
    </w:lvl>
    <w:lvl w:ilvl="7" w:tplc="44B064C2" w:tentative="1">
      <w:start w:val="1"/>
      <w:numFmt w:val="lowerLetter"/>
      <w:lvlText w:val="%8."/>
      <w:lvlJc w:val="left"/>
      <w:pPr>
        <w:ind w:left="5760" w:hanging="360"/>
      </w:pPr>
    </w:lvl>
    <w:lvl w:ilvl="8" w:tplc="D34822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E18D6"/>
    <w:multiLevelType w:val="hybridMultilevel"/>
    <w:tmpl w:val="2B0E1EF8"/>
    <w:lvl w:ilvl="0" w:tplc="4F3C47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90C45CC">
      <w:start w:val="1"/>
      <w:numFmt w:val="lowerLetter"/>
      <w:lvlText w:val="%2."/>
      <w:lvlJc w:val="left"/>
      <w:pPr>
        <w:ind w:left="1440" w:hanging="360"/>
      </w:pPr>
    </w:lvl>
    <w:lvl w:ilvl="2" w:tplc="29D4FC70" w:tentative="1">
      <w:start w:val="1"/>
      <w:numFmt w:val="lowerRoman"/>
      <w:lvlText w:val="%3."/>
      <w:lvlJc w:val="right"/>
      <w:pPr>
        <w:ind w:left="2160" w:hanging="180"/>
      </w:pPr>
    </w:lvl>
    <w:lvl w:ilvl="3" w:tplc="0BAC3D38" w:tentative="1">
      <w:start w:val="1"/>
      <w:numFmt w:val="decimal"/>
      <w:lvlText w:val="%4."/>
      <w:lvlJc w:val="left"/>
      <w:pPr>
        <w:ind w:left="2880" w:hanging="360"/>
      </w:pPr>
    </w:lvl>
    <w:lvl w:ilvl="4" w:tplc="E182D5E0" w:tentative="1">
      <w:start w:val="1"/>
      <w:numFmt w:val="lowerLetter"/>
      <w:lvlText w:val="%5."/>
      <w:lvlJc w:val="left"/>
      <w:pPr>
        <w:ind w:left="3600" w:hanging="360"/>
      </w:pPr>
    </w:lvl>
    <w:lvl w:ilvl="5" w:tplc="B0E859C8" w:tentative="1">
      <w:start w:val="1"/>
      <w:numFmt w:val="lowerRoman"/>
      <w:lvlText w:val="%6."/>
      <w:lvlJc w:val="right"/>
      <w:pPr>
        <w:ind w:left="4320" w:hanging="180"/>
      </w:pPr>
    </w:lvl>
    <w:lvl w:ilvl="6" w:tplc="C1324560" w:tentative="1">
      <w:start w:val="1"/>
      <w:numFmt w:val="decimal"/>
      <w:lvlText w:val="%7."/>
      <w:lvlJc w:val="left"/>
      <w:pPr>
        <w:ind w:left="5040" w:hanging="360"/>
      </w:pPr>
    </w:lvl>
    <w:lvl w:ilvl="7" w:tplc="DBBC77BA" w:tentative="1">
      <w:start w:val="1"/>
      <w:numFmt w:val="lowerLetter"/>
      <w:lvlText w:val="%8."/>
      <w:lvlJc w:val="left"/>
      <w:pPr>
        <w:ind w:left="5760" w:hanging="360"/>
      </w:pPr>
    </w:lvl>
    <w:lvl w:ilvl="8" w:tplc="B860D2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E1A"/>
    <w:rsid w:val="00010782"/>
    <w:rsid w:val="00026976"/>
    <w:rsid w:val="000368FF"/>
    <w:rsid w:val="00044727"/>
    <w:rsid w:val="000550EA"/>
    <w:rsid w:val="000628A9"/>
    <w:rsid w:val="0006629A"/>
    <w:rsid w:val="00071B6B"/>
    <w:rsid w:val="00076AA7"/>
    <w:rsid w:val="00096FFC"/>
    <w:rsid w:val="000B467D"/>
    <w:rsid w:val="00105605"/>
    <w:rsid w:val="00134880"/>
    <w:rsid w:val="0015608E"/>
    <w:rsid w:val="001753E1"/>
    <w:rsid w:val="00186C37"/>
    <w:rsid w:val="001A7496"/>
    <w:rsid w:val="001B3A92"/>
    <w:rsid w:val="001B70FC"/>
    <w:rsid w:val="001D53C4"/>
    <w:rsid w:val="001E760E"/>
    <w:rsid w:val="00203352"/>
    <w:rsid w:val="0022426B"/>
    <w:rsid w:val="00227E84"/>
    <w:rsid w:val="00230934"/>
    <w:rsid w:val="0024067D"/>
    <w:rsid w:val="0024189D"/>
    <w:rsid w:val="002A055A"/>
    <w:rsid w:val="002B1974"/>
    <w:rsid w:val="002D7016"/>
    <w:rsid w:val="002E3772"/>
    <w:rsid w:val="002F6E09"/>
    <w:rsid w:val="00325322"/>
    <w:rsid w:val="00332EE5"/>
    <w:rsid w:val="003420B6"/>
    <w:rsid w:val="00342373"/>
    <w:rsid w:val="00355FAC"/>
    <w:rsid w:val="00362408"/>
    <w:rsid w:val="0036280C"/>
    <w:rsid w:val="003750FD"/>
    <w:rsid w:val="0037658F"/>
    <w:rsid w:val="00382354"/>
    <w:rsid w:val="00385390"/>
    <w:rsid w:val="003B3BBB"/>
    <w:rsid w:val="003C4674"/>
    <w:rsid w:val="003D5083"/>
    <w:rsid w:val="003D7F73"/>
    <w:rsid w:val="003E45E6"/>
    <w:rsid w:val="003E472E"/>
    <w:rsid w:val="003F0BE5"/>
    <w:rsid w:val="00406CCC"/>
    <w:rsid w:val="00436541"/>
    <w:rsid w:val="00466D78"/>
    <w:rsid w:val="00470260"/>
    <w:rsid w:val="004760A4"/>
    <w:rsid w:val="00495D10"/>
    <w:rsid w:val="00495EC2"/>
    <w:rsid w:val="004D020B"/>
    <w:rsid w:val="00523327"/>
    <w:rsid w:val="0053538A"/>
    <w:rsid w:val="005840E0"/>
    <w:rsid w:val="00596FB6"/>
    <w:rsid w:val="005B0E06"/>
    <w:rsid w:val="005B2CF4"/>
    <w:rsid w:val="005B43C3"/>
    <w:rsid w:val="005F04ED"/>
    <w:rsid w:val="00603F1E"/>
    <w:rsid w:val="0066726C"/>
    <w:rsid w:val="006745A2"/>
    <w:rsid w:val="00686D75"/>
    <w:rsid w:val="0069530D"/>
    <w:rsid w:val="006B4D16"/>
    <w:rsid w:val="006C1367"/>
    <w:rsid w:val="007046CE"/>
    <w:rsid w:val="00751179"/>
    <w:rsid w:val="007525F9"/>
    <w:rsid w:val="007726FD"/>
    <w:rsid w:val="007816F3"/>
    <w:rsid w:val="007A11D4"/>
    <w:rsid w:val="007B07ED"/>
    <w:rsid w:val="007C143D"/>
    <w:rsid w:val="007D1A23"/>
    <w:rsid w:val="00802F9C"/>
    <w:rsid w:val="00817CAA"/>
    <w:rsid w:val="00835ED1"/>
    <w:rsid w:val="00842CC0"/>
    <w:rsid w:val="00843AFF"/>
    <w:rsid w:val="008479A0"/>
    <w:rsid w:val="00866D5B"/>
    <w:rsid w:val="00882016"/>
    <w:rsid w:val="00883717"/>
    <w:rsid w:val="00885D72"/>
    <w:rsid w:val="008C00AA"/>
    <w:rsid w:val="00901247"/>
    <w:rsid w:val="00936A31"/>
    <w:rsid w:val="009415D7"/>
    <w:rsid w:val="00952AF2"/>
    <w:rsid w:val="009610E7"/>
    <w:rsid w:val="00962A7A"/>
    <w:rsid w:val="00962FDF"/>
    <w:rsid w:val="009637EE"/>
    <w:rsid w:val="00965670"/>
    <w:rsid w:val="0096601B"/>
    <w:rsid w:val="00970930"/>
    <w:rsid w:val="00996251"/>
    <w:rsid w:val="009A6909"/>
    <w:rsid w:val="009B0A30"/>
    <w:rsid w:val="009B125B"/>
    <w:rsid w:val="009E1AD9"/>
    <w:rsid w:val="009E7E1A"/>
    <w:rsid w:val="009F4917"/>
    <w:rsid w:val="009F567B"/>
    <w:rsid w:val="00A00904"/>
    <w:rsid w:val="00A013B4"/>
    <w:rsid w:val="00A508E2"/>
    <w:rsid w:val="00A50E33"/>
    <w:rsid w:val="00AF224E"/>
    <w:rsid w:val="00AF2C8C"/>
    <w:rsid w:val="00B00B8E"/>
    <w:rsid w:val="00B81E62"/>
    <w:rsid w:val="00B826C3"/>
    <w:rsid w:val="00B92F99"/>
    <w:rsid w:val="00BD5679"/>
    <w:rsid w:val="00BF2A5D"/>
    <w:rsid w:val="00C31F76"/>
    <w:rsid w:val="00C550F8"/>
    <w:rsid w:val="00C62341"/>
    <w:rsid w:val="00C80DD4"/>
    <w:rsid w:val="00CB3460"/>
    <w:rsid w:val="00D009A1"/>
    <w:rsid w:val="00D04E3E"/>
    <w:rsid w:val="00D07538"/>
    <w:rsid w:val="00D20276"/>
    <w:rsid w:val="00D23072"/>
    <w:rsid w:val="00D34118"/>
    <w:rsid w:val="00D432DB"/>
    <w:rsid w:val="00D4451A"/>
    <w:rsid w:val="00D455C0"/>
    <w:rsid w:val="00D52142"/>
    <w:rsid w:val="00D71603"/>
    <w:rsid w:val="00D7747E"/>
    <w:rsid w:val="00D9157F"/>
    <w:rsid w:val="00DA545E"/>
    <w:rsid w:val="00DB7AD2"/>
    <w:rsid w:val="00DC4E69"/>
    <w:rsid w:val="00DF7971"/>
    <w:rsid w:val="00E056E3"/>
    <w:rsid w:val="00E05CEA"/>
    <w:rsid w:val="00E1037D"/>
    <w:rsid w:val="00E16DFC"/>
    <w:rsid w:val="00E45710"/>
    <w:rsid w:val="00E4608E"/>
    <w:rsid w:val="00E622B0"/>
    <w:rsid w:val="00E62A29"/>
    <w:rsid w:val="00ED0AFE"/>
    <w:rsid w:val="00ED1615"/>
    <w:rsid w:val="00ED1A68"/>
    <w:rsid w:val="00F0129D"/>
    <w:rsid w:val="00F21D54"/>
    <w:rsid w:val="00F27B28"/>
    <w:rsid w:val="00F47ED7"/>
    <w:rsid w:val="00F54C26"/>
    <w:rsid w:val="00F567DD"/>
    <w:rsid w:val="00F86D3B"/>
    <w:rsid w:val="00F86D6D"/>
    <w:rsid w:val="00F945A4"/>
    <w:rsid w:val="00FC5DAA"/>
    <w:rsid w:val="00FE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E339"/>
  <w15:chartTrackingRefBased/>
  <w15:docId w15:val="{DCE587F7-78C3-4106-A342-0FA38268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5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1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5D7"/>
  </w:style>
  <w:style w:type="paragraph" w:styleId="Footer">
    <w:name w:val="footer"/>
    <w:basedOn w:val="Normal"/>
    <w:link w:val="FooterChar"/>
    <w:uiPriority w:val="99"/>
    <w:unhideWhenUsed/>
    <w:rsid w:val="00941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5D7"/>
  </w:style>
  <w:style w:type="paragraph" w:styleId="ListParagraph">
    <w:name w:val="List Paragraph"/>
    <w:basedOn w:val="Normal"/>
    <w:uiPriority w:val="34"/>
    <w:qFormat/>
    <w:rsid w:val="0015608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341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41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41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4B17C-2B58-4D2E-88A7-5E68649F1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3304</Words>
  <Characters>18833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Moipone Bulane</dc:creator>
  <cp:lastModifiedBy>Moipone Bulane</cp:lastModifiedBy>
  <cp:revision>13</cp:revision>
  <cp:lastPrinted>2022-10-05T12:47:00Z</cp:lastPrinted>
  <dcterms:created xsi:type="dcterms:W3CDTF">2022-10-05T11:30:00Z</dcterms:created>
  <dcterms:modified xsi:type="dcterms:W3CDTF">2022-10-05T12:48:00Z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914f9e-4c1b-4005-a7de-34e254df930c_ActionId">
    <vt:lpwstr>22a1aca6-891d-48a0-9bfd-d44b5f4f064f</vt:lpwstr>
  </property>
  <property fmtid="{D5CDD505-2E9C-101B-9397-08002B2CF9AE}" pid="3" name="MSIP_Label_9f914f9e-4c1b-4005-a7de-34e254df930c_ContentBits">
    <vt:lpwstr>0</vt:lpwstr>
  </property>
  <property fmtid="{D5CDD505-2E9C-101B-9397-08002B2CF9AE}" pid="4" name="MSIP_Label_9f914f9e-4c1b-4005-a7de-34e254df930c_Enabled">
    <vt:lpwstr>true</vt:lpwstr>
  </property>
  <property fmtid="{D5CDD505-2E9C-101B-9397-08002B2CF9AE}" pid="5" name="MSIP_Label_9f914f9e-4c1b-4005-a7de-34e254df930c_Method">
    <vt:lpwstr>Standard</vt:lpwstr>
  </property>
  <property fmtid="{D5CDD505-2E9C-101B-9397-08002B2CF9AE}" pid="6" name="MSIP_Label_9f914f9e-4c1b-4005-a7de-34e254df930c_Name">
    <vt:lpwstr>Personal</vt:lpwstr>
  </property>
  <property fmtid="{D5CDD505-2E9C-101B-9397-08002B2CF9AE}" pid="7" name="MSIP_Label_9f914f9e-4c1b-4005-a7de-34e254df930c_SetDate">
    <vt:lpwstr>2022-09-29T07:00:26Z</vt:lpwstr>
  </property>
  <property fmtid="{D5CDD505-2E9C-101B-9397-08002B2CF9AE}" pid="8" name="MSIP_Label_9f914f9e-4c1b-4005-a7de-34e254df930c_SiteId">
    <vt:lpwstr>2da551e5-ab0a-45ad-b85e-866ea2d3c525</vt:lpwstr>
  </property>
</Properties>
</file>