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F8C5C6" w14:textId="25D77C0D" w:rsidR="0059253D" w:rsidRDefault="0059253D" w:rsidP="0005724C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56BECF32" w14:textId="711F8E26" w:rsidR="00A0537A" w:rsidRDefault="00A0537A" w:rsidP="0005724C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629D319A" w14:textId="7641D62B" w:rsidR="00A0537A" w:rsidRDefault="00A0537A" w:rsidP="0005724C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56C232BF" w14:textId="77777777" w:rsidR="00E3790C" w:rsidRDefault="00E3790C" w:rsidP="0005724C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9098A3B" w14:textId="790CBE98" w:rsidR="0032551D" w:rsidRPr="0083673D" w:rsidRDefault="0005724C" w:rsidP="0005724C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3673D">
        <w:rPr>
          <w:rFonts w:ascii="Times New Roman" w:hAnsi="Times New Roman" w:cs="Times New Roman"/>
          <w:b/>
          <w:bCs/>
          <w:sz w:val="28"/>
          <w:szCs w:val="28"/>
          <w:u w:val="single"/>
        </w:rPr>
        <w:t>IN THE HIGH COURT OF LESOTHO</w:t>
      </w:r>
    </w:p>
    <w:p w14:paraId="6E476B8C" w14:textId="77777777" w:rsidR="0005724C" w:rsidRPr="0083673D" w:rsidRDefault="0005724C" w:rsidP="0005724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CB05D2B" w14:textId="1023BAF2" w:rsidR="0005724C" w:rsidRPr="0083673D" w:rsidRDefault="0005724C" w:rsidP="0005724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673D">
        <w:rPr>
          <w:rFonts w:ascii="Times New Roman" w:hAnsi="Times New Roman" w:cs="Times New Roman"/>
          <w:b/>
          <w:bCs/>
          <w:sz w:val="28"/>
          <w:szCs w:val="28"/>
        </w:rPr>
        <w:t>HELD AT MASERU</w:t>
      </w:r>
      <w:r w:rsidRPr="0083673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3673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3673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3673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3673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3673D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CIV/T/395/2021      </w:t>
      </w:r>
    </w:p>
    <w:p w14:paraId="45C78F3C" w14:textId="13CEC8EA" w:rsidR="0005724C" w:rsidRDefault="0005724C" w:rsidP="0005724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EFE83DC" w14:textId="248281BC" w:rsidR="0005724C" w:rsidRDefault="0005724C" w:rsidP="000572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the matter between:</w:t>
      </w:r>
    </w:p>
    <w:p w14:paraId="3DB7D25A" w14:textId="334E659C" w:rsidR="0005724C" w:rsidRPr="0083673D" w:rsidRDefault="004D5595" w:rsidP="0005724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`</w:t>
      </w:r>
      <w:r w:rsidR="0005724C" w:rsidRPr="0083673D">
        <w:rPr>
          <w:rFonts w:ascii="Times New Roman" w:hAnsi="Times New Roman" w:cs="Times New Roman"/>
          <w:b/>
          <w:bCs/>
          <w:sz w:val="28"/>
          <w:szCs w:val="28"/>
        </w:rPr>
        <w:t>MATHABISO PITSI</w:t>
      </w:r>
      <w:r w:rsidR="0005724C" w:rsidRPr="0083673D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05724C" w:rsidRPr="0083673D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05724C" w:rsidRPr="0083673D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05724C" w:rsidRPr="0083673D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05724C" w:rsidRPr="0083673D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05724C" w:rsidRPr="0083673D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05724C" w:rsidRPr="0083673D">
        <w:rPr>
          <w:rFonts w:ascii="Times New Roman" w:hAnsi="Times New Roman" w:cs="Times New Roman"/>
          <w:b/>
          <w:bCs/>
          <w:sz w:val="28"/>
          <w:szCs w:val="28"/>
        </w:rPr>
        <w:tab/>
        <w:t>PLAINTIFF</w:t>
      </w:r>
    </w:p>
    <w:p w14:paraId="70CF6525" w14:textId="70187DDA" w:rsidR="0005724C" w:rsidRDefault="004D5595" w:rsidP="000572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="0005724C">
        <w:rPr>
          <w:rFonts w:ascii="Times New Roman" w:hAnsi="Times New Roman" w:cs="Times New Roman"/>
          <w:sz w:val="28"/>
          <w:szCs w:val="28"/>
        </w:rPr>
        <w:t>nd</w:t>
      </w:r>
    </w:p>
    <w:p w14:paraId="41BEC5EA" w14:textId="55CAB50F" w:rsidR="0005724C" w:rsidRPr="0083673D" w:rsidRDefault="0005724C" w:rsidP="0005724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673D">
        <w:rPr>
          <w:rFonts w:ascii="Times New Roman" w:hAnsi="Times New Roman" w:cs="Times New Roman"/>
          <w:b/>
          <w:bCs/>
          <w:sz w:val="28"/>
          <w:szCs w:val="28"/>
        </w:rPr>
        <w:t>THE COMMANDER, LESOTHO</w:t>
      </w:r>
      <w:r w:rsidR="0083673D" w:rsidRPr="0083673D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3673D" w:rsidRPr="0083673D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3673D" w:rsidRPr="0083673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3673D">
        <w:rPr>
          <w:rFonts w:ascii="Times New Roman" w:hAnsi="Times New Roman" w:cs="Times New Roman"/>
          <w:b/>
          <w:bCs/>
          <w:sz w:val="28"/>
          <w:szCs w:val="28"/>
        </w:rPr>
        <w:tab/>
        <w:t>1</w:t>
      </w:r>
      <w:r w:rsidRPr="0083673D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st</w:t>
      </w:r>
      <w:r w:rsidRPr="0083673D">
        <w:rPr>
          <w:rFonts w:ascii="Times New Roman" w:hAnsi="Times New Roman" w:cs="Times New Roman"/>
          <w:b/>
          <w:bCs/>
          <w:sz w:val="28"/>
          <w:szCs w:val="28"/>
        </w:rPr>
        <w:t xml:space="preserve"> RESPONDENT</w:t>
      </w:r>
    </w:p>
    <w:p w14:paraId="5C90ED05" w14:textId="3EE1BA39" w:rsidR="0083673D" w:rsidRPr="0083673D" w:rsidRDefault="0083673D" w:rsidP="0005724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673D">
        <w:rPr>
          <w:rFonts w:ascii="Times New Roman" w:hAnsi="Times New Roman" w:cs="Times New Roman"/>
          <w:b/>
          <w:bCs/>
          <w:sz w:val="28"/>
          <w:szCs w:val="28"/>
        </w:rPr>
        <w:t>DEFENCE FORCE</w:t>
      </w:r>
    </w:p>
    <w:p w14:paraId="6E7B10A4" w14:textId="6A6B0628" w:rsidR="0005724C" w:rsidRPr="0083673D" w:rsidRDefault="0005724C" w:rsidP="0005724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673D">
        <w:rPr>
          <w:rFonts w:ascii="Times New Roman" w:hAnsi="Times New Roman" w:cs="Times New Roman"/>
          <w:b/>
          <w:bCs/>
          <w:sz w:val="28"/>
          <w:szCs w:val="28"/>
        </w:rPr>
        <w:t>THE MINISTER OF DEFENCE</w:t>
      </w:r>
      <w:r w:rsidRPr="0083673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3673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3673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3673D">
        <w:rPr>
          <w:rFonts w:ascii="Times New Roman" w:hAnsi="Times New Roman" w:cs="Times New Roman"/>
          <w:b/>
          <w:bCs/>
          <w:sz w:val="28"/>
          <w:szCs w:val="28"/>
        </w:rPr>
        <w:tab/>
        <w:t>2</w:t>
      </w:r>
      <w:r w:rsidRPr="0083673D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nd</w:t>
      </w:r>
      <w:r w:rsidRPr="0083673D">
        <w:rPr>
          <w:rFonts w:ascii="Times New Roman" w:hAnsi="Times New Roman" w:cs="Times New Roman"/>
          <w:b/>
          <w:bCs/>
          <w:sz w:val="28"/>
          <w:szCs w:val="28"/>
        </w:rPr>
        <w:t xml:space="preserve"> RESPONDENT</w:t>
      </w:r>
    </w:p>
    <w:p w14:paraId="26D8289D" w14:textId="74B1FBA3" w:rsidR="0005724C" w:rsidRPr="0083673D" w:rsidRDefault="0005724C" w:rsidP="0005724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673D">
        <w:rPr>
          <w:rFonts w:ascii="Times New Roman" w:hAnsi="Times New Roman" w:cs="Times New Roman"/>
          <w:b/>
          <w:bCs/>
          <w:sz w:val="28"/>
          <w:szCs w:val="28"/>
        </w:rPr>
        <w:t>THE ATTORNEY GENERAL</w:t>
      </w:r>
      <w:r w:rsidRPr="0083673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3673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3673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3673D">
        <w:rPr>
          <w:rFonts w:ascii="Times New Roman" w:hAnsi="Times New Roman" w:cs="Times New Roman"/>
          <w:b/>
          <w:bCs/>
          <w:sz w:val="28"/>
          <w:szCs w:val="28"/>
        </w:rPr>
        <w:tab/>
        <w:t>3</w:t>
      </w:r>
      <w:r w:rsidRPr="0083673D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rd</w:t>
      </w:r>
      <w:r w:rsidRPr="0083673D">
        <w:rPr>
          <w:rFonts w:ascii="Times New Roman" w:hAnsi="Times New Roman" w:cs="Times New Roman"/>
          <w:b/>
          <w:bCs/>
          <w:sz w:val="28"/>
          <w:szCs w:val="28"/>
        </w:rPr>
        <w:t xml:space="preserve"> RESPONDENT</w:t>
      </w:r>
    </w:p>
    <w:p w14:paraId="06AD9DFD" w14:textId="4D92B021" w:rsidR="0005724C" w:rsidRDefault="0005724C" w:rsidP="0005724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F7BBBD2" w14:textId="650FBEF5" w:rsidR="0005724C" w:rsidRDefault="0005724C" w:rsidP="0005724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81D9785" w14:textId="090B2242" w:rsidR="000E2342" w:rsidRPr="0083673D" w:rsidRDefault="000E2342" w:rsidP="0005724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673D">
        <w:rPr>
          <w:rFonts w:ascii="Times New Roman" w:hAnsi="Times New Roman" w:cs="Times New Roman"/>
          <w:b/>
          <w:bCs/>
          <w:sz w:val="28"/>
          <w:szCs w:val="28"/>
        </w:rPr>
        <w:t>CORAM</w:t>
      </w:r>
      <w:r w:rsidRPr="0083673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3673D">
        <w:rPr>
          <w:rFonts w:ascii="Times New Roman" w:hAnsi="Times New Roman" w:cs="Times New Roman"/>
          <w:b/>
          <w:bCs/>
          <w:sz w:val="28"/>
          <w:szCs w:val="28"/>
        </w:rPr>
        <w:tab/>
        <w:t>: F.M. KHABO J.</w:t>
      </w:r>
      <w:r w:rsidR="00BE5726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14:paraId="04894574" w14:textId="136767D7" w:rsidR="000E2342" w:rsidRPr="0083673D" w:rsidRDefault="000E2342" w:rsidP="0005724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673D">
        <w:rPr>
          <w:rFonts w:ascii="Times New Roman" w:hAnsi="Times New Roman" w:cs="Times New Roman"/>
          <w:b/>
          <w:bCs/>
          <w:sz w:val="28"/>
          <w:szCs w:val="28"/>
        </w:rPr>
        <w:t>HEARD</w:t>
      </w:r>
      <w:r w:rsidRPr="0083673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3673D">
        <w:rPr>
          <w:rFonts w:ascii="Times New Roman" w:hAnsi="Times New Roman" w:cs="Times New Roman"/>
          <w:b/>
          <w:bCs/>
          <w:sz w:val="28"/>
          <w:szCs w:val="28"/>
        </w:rPr>
        <w:tab/>
        <w:t>: 21 February, 2022</w:t>
      </w:r>
    </w:p>
    <w:p w14:paraId="09434579" w14:textId="13493004" w:rsidR="000E2342" w:rsidRDefault="000E2342" w:rsidP="0005724C">
      <w:pPr>
        <w:jc w:val="both"/>
        <w:rPr>
          <w:rFonts w:ascii="Times New Roman" w:hAnsi="Times New Roman" w:cs="Times New Roman"/>
          <w:sz w:val="28"/>
          <w:szCs w:val="28"/>
        </w:rPr>
      </w:pPr>
      <w:r w:rsidRPr="0083673D">
        <w:rPr>
          <w:rFonts w:ascii="Times New Roman" w:hAnsi="Times New Roman" w:cs="Times New Roman"/>
          <w:b/>
          <w:bCs/>
          <w:sz w:val="28"/>
          <w:szCs w:val="28"/>
        </w:rPr>
        <w:t>DELIVERED</w:t>
      </w:r>
      <w:r w:rsidRPr="0083673D">
        <w:rPr>
          <w:rFonts w:ascii="Times New Roman" w:hAnsi="Times New Roman" w:cs="Times New Roman"/>
          <w:b/>
          <w:bCs/>
          <w:sz w:val="28"/>
          <w:szCs w:val="28"/>
        </w:rPr>
        <w:tab/>
        <w:t>: 21</w:t>
      </w:r>
      <w:bookmarkStart w:id="0" w:name="_GoBack"/>
      <w:bookmarkEnd w:id="0"/>
      <w:r w:rsidRPr="0083673D">
        <w:rPr>
          <w:rFonts w:ascii="Times New Roman" w:hAnsi="Times New Roman" w:cs="Times New Roman"/>
          <w:b/>
          <w:bCs/>
          <w:sz w:val="28"/>
          <w:szCs w:val="28"/>
        </w:rPr>
        <w:t xml:space="preserve"> February, 2022</w:t>
      </w:r>
    </w:p>
    <w:p w14:paraId="40246F37" w14:textId="77777777" w:rsidR="004D5595" w:rsidRDefault="004D5595" w:rsidP="004D5595">
      <w:pPr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28B2EA01" w14:textId="50E59EBC" w:rsidR="00A87F8A" w:rsidRPr="00993B83" w:rsidRDefault="00A87F8A" w:rsidP="007E779C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93B83">
        <w:rPr>
          <w:rFonts w:ascii="Times New Roman" w:hAnsi="Times New Roman" w:cs="Times New Roman"/>
          <w:iCs/>
          <w:sz w:val="28"/>
          <w:szCs w:val="28"/>
          <w:u w:val="single"/>
        </w:rPr>
        <w:t xml:space="preserve">Neutral </w:t>
      </w:r>
      <w:r w:rsidR="00A14145">
        <w:rPr>
          <w:rFonts w:ascii="Times New Roman" w:hAnsi="Times New Roman" w:cs="Times New Roman"/>
          <w:iCs/>
          <w:sz w:val="28"/>
          <w:szCs w:val="28"/>
          <w:u w:val="single"/>
        </w:rPr>
        <w:t>C</w:t>
      </w:r>
      <w:r w:rsidRPr="00993B83">
        <w:rPr>
          <w:rFonts w:ascii="Times New Roman" w:hAnsi="Times New Roman" w:cs="Times New Roman"/>
          <w:iCs/>
          <w:sz w:val="28"/>
          <w:szCs w:val="28"/>
          <w:u w:val="single"/>
        </w:rPr>
        <w:t>itation</w:t>
      </w:r>
      <w:r w:rsidR="007E779C" w:rsidRPr="00993B83">
        <w:rPr>
          <w:rFonts w:ascii="Times New Roman" w:hAnsi="Times New Roman" w:cs="Times New Roman"/>
          <w:iCs/>
          <w:sz w:val="28"/>
          <w:szCs w:val="28"/>
        </w:rPr>
        <w:t xml:space="preserve">: </w:t>
      </w:r>
      <w:r w:rsidR="00BE7742">
        <w:rPr>
          <w:rFonts w:ascii="Times New Roman" w:hAnsi="Times New Roman" w:cs="Times New Roman"/>
          <w:iCs/>
          <w:sz w:val="28"/>
          <w:szCs w:val="28"/>
        </w:rPr>
        <w:t>`</w:t>
      </w:r>
      <w:r w:rsidR="007E779C" w:rsidRPr="00993B83">
        <w:rPr>
          <w:rFonts w:ascii="Times New Roman" w:hAnsi="Times New Roman" w:cs="Times New Roman"/>
          <w:iCs/>
          <w:sz w:val="28"/>
          <w:szCs w:val="28"/>
        </w:rPr>
        <w:t xml:space="preserve">Mathabiso Pitsi v The Commander Lesotho Defence Force &amp; 3 </w:t>
      </w:r>
      <w:r w:rsidR="00A14145">
        <w:rPr>
          <w:rFonts w:ascii="Times New Roman" w:hAnsi="Times New Roman" w:cs="Times New Roman"/>
          <w:iCs/>
          <w:sz w:val="28"/>
          <w:szCs w:val="28"/>
        </w:rPr>
        <w:t>o</w:t>
      </w:r>
      <w:r w:rsidR="007E779C" w:rsidRPr="00993B83">
        <w:rPr>
          <w:rFonts w:ascii="Times New Roman" w:hAnsi="Times New Roman" w:cs="Times New Roman"/>
          <w:iCs/>
          <w:sz w:val="28"/>
          <w:szCs w:val="28"/>
        </w:rPr>
        <w:t>thers</w:t>
      </w:r>
      <w:r w:rsidR="00993B83">
        <w:rPr>
          <w:rFonts w:ascii="Times New Roman" w:hAnsi="Times New Roman" w:cs="Times New Roman"/>
          <w:iCs/>
          <w:sz w:val="28"/>
          <w:szCs w:val="28"/>
        </w:rPr>
        <w:t xml:space="preserve"> [202</w:t>
      </w:r>
      <w:r w:rsidR="00A0537A">
        <w:rPr>
          <w:rFonts w:ascii="Times New Roman" w:hAnsi="Times New Roman" w:cs="Times New Roman"/>
          <w:iCs/>
          <w:sz w:val="28"/>
          <w:szCs w:val="28"/>
        </w:rPr>
        <w:t>2</w:t>
      </w:r>
      <w:r w:rsidR="00993B83">
        <w:rPr>
          <w:rFonts w:ascii="Times New Roman" w:hAnsi="Times New Roman" w:cs="Times New Roman"/>
          <w:iCs/>
          <w:sz w:val="28"/>
          <w:szCs w:val="28"/>
        </w:rPr>
        <w:t>] LSHC 33</w:t>
      </w:r>
      <w:r w:rsidR="0032614B">
        <w:rPr>
          <w:rFonts w:ascii="Times New Roman" w:hAnsi="Times New Roman" w:cs="Times New Roman"/>
          <w:iCs/>
          <w:sz w:val="28"/>
          <w:szCs w:val="28"/>
        </w:rPr>
        <w:t xml:space="preserve"> C</w:t>
      </w:r>
      <w:r w:rsidR="000F7D5D">
        <w:rPr>
          <w:rFonts w:ascii="Times New Roman" w:hAnsi="Times New Roman" w:cs="Times New Roman"/>
          <w:iCs/>
          <w:sz w:val="28"/>
          <w:szCs w:val="28"/>
        </w:rPr>
        <w:t>iv</w:t>
      </w:r>
      <w:r w:rsidR="00A1414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93B83">
        <w:rPr>
          <w:rFonts w:ascii="Times New Roman" w:hAnsi="Times New Roman" w:cs="Times New Roman"/>
          <w:iCs/>
          <w:sz w:val="28"/>
          <w:szCs w:val="28"/>
        </w:rPr>
        <w:t>(21 February 2022)</w:t>
      </w:r>
    </w:p>
    <w:p w14:paraId="58BBE322" w14:textId="77777777" w:rsidR="00A0537A" w:rsidRDefault="00A0537A" w:rsidP="004D5595">
      <w:pPr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592DFAB7" w14:textId="3489920D" w:rsidR="004D5595" w:rsidRDefault="004D5595" w:rsidP="004D5595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D5595">
        <w:rPr>
          <w:rFonts w:ascii="Times New Roman" w:hAnsi="Times New Roman" w:cs="Times New Roman"/>
          <w:b/>
          <w:bCs/>
          <w:iCs/>
          <w:sz w:val="28"/>
          <w:szCs w:val="28"/>
        </w:rPr>
        <w:t>ANNOTATIONS</w:t>
      </w:r>
    </w:p>
    <w:p w14:paraId="2FB4DAD6" w14:textId="72FFD995" w:rsidR="0059253D" w:rsidRPr="0059253D" w:rsidRDefault="0059253D" w:rsidP="0005724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9253D">
        <w:rPr>
          <w:rFonts w:ascii="Times New Roman" w:hAnsi="Times New Roman" w:cs="Times New Roman"/>
          <w:b/>
          <w:bCs/>
          <w:sz w:val="28"/>
          <w:szCs w:val="28"/>
        </w:rPr>
        <w:t>Statutes</w:t>
      </w:r>
    </w:p>
    <w:p w14:paraId="216A9E8B" w14:textId="4B5D0C07" w:rsidR="005A4A5C" w:rsidRPr="005A4A5C" w:rsidRDefault="005A4A5C" w:rsidP="00E1722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A4A5C">
        <w:rPr>
          <w:rFonts w:ascii="Times New Roman" w:hAnsi="Times New Roman" w:cs="Times New Roman"/>
          <w:sz w:val="28"/>
          <w:szCs w:val="28"/>
        </w:rPr>
        <w:t>Government Contracts and Proceedings Act No. 4 of 1965</w:t>
      </w:r>
    </w:p>
    <w:p w14:paraId="1250FF35" w14:textId="1BDAC0D8" w:rsidR="005A4A5C" w:rsidRDefault="005A4A5C" w:rsidP="00E1722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D5595">
        <w:rPr>
          <w:rFonts w:ascii="Times New Roman" w:hAnsi="Times New Roman" w:cs="Times New Roman"/>
          <w:sz w:val="28"/>
          <w:szCs w:val="28"/>
        </w:rPr>
        <w:t>High Court Rules No. 9 of 1980</w:t>
      </w:r>
    </w:p>
    <w:p w14:paraId="6F643AA9" w14:textId="6753787D" w:rsidR="005A4A5C" w:rsidRDefault="005A4A5C" w:rsidP="004D559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084248D4" w14:textId="77777777" w:rsidR="00BE7742" w:rsidRPr="004D5595" w:rsidRDefault="00BE7742" w:rsidP="004D559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17B9F2C7" w14:textId="072CF9E4" w:rsidR="0059253D" w:rsidRDefault="0059253D" w:rsidP="0005724C">
      <w:pPr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4D5595">
        <w:rPr>
          <w:rFonts w:ascii="Times New Roman" w:hAnsi="Times New Roman" w:cs="Times New Roman"/>
          <w:b/>
          <w:iCs/>
          <w:sz w:val="28"/>
          <w:szCs w:val="28"/>
        </w:rPr>
        <w:t xml:space="preserve">Cited </w:t>
      </w:r>
      <w:r w:rsidR="008C2557">
        <w:rPr>
          <w:rFonts w:ascii="Times New Roman" w:hAnsi="Times New Roman" w:cs="Times New Roman"/>
          <w:b/>
          <w:iCs/>
          <w:sz w:val="28"/>
          <w:szCs w:val="28"/>
        </w:rPr>
        <w:t>c</w:t>
      </w:r>
      <w:r w:rsidRPr="004D5595">
        <w:rPr>
          <w:rFonts w:ascii="Times New Roman" w:hAnsi="Times New Roman" w:cs="Times New Roman"/>
          <w:b/>
          <w:iCs/>
          <w:sz w:val="28"/>
          <w:szCs w:val="28"/>
        </w:rPr>
        <w:t>ases</w:t>
      </w:r>
    </w:p>
    <w:p w14:paraId="10D30502" w14:textId="4C1F320E" w:rsidR="004C0007" w:rsidRPr="004C0007" w:rsidRDefault="004C0007" w:rsidP="0005724C">
      <w:pPr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4C0007">
        <w:rPr>
          <w:rFonts w:ascii="Times New Roman" w:hAnsi="Times New Roman" w:cs="Times New Roman"/>
          <w:b/>
          <w:iCs/>
          <w:sz w:val="28"/>
          <w:szCs w:val="28"/>
        </w:rPr>
        <w:t>Lesotho</w:t>
      </w:r>
    </w:p>
    <w:p w14:paraId="03778381" w14:textId="0CE1DEEB" w:rsidR="005A4A5C" w:rsidRPr="00167C53" w:rsidRDefault="005A4A5C" w:rsidP="00E1722C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7C53">
        <w:rPr>
          <w:rFonts w:ascii="Times New Roman" w:hAnsi="Times New Roman" w:cs="Times New Roman"/>
          <w:sz w:val="28"/>
          <w:szCs w:val="28"/>
        </w:rPr>
        <w:t xml:space="preserve">Bokang Lelimo v Teaching Service </w:t>
      </w:r>
      <w:r w:rsidR="0027720C">
        <w:rPr>
          <w:rFonts w:ascii="Times New Roman" w:hAnsi="Times New Roman" w:cs="Times New Roman"/>
          <w:sz w:val="28"/>
          <w:szCs w:val="28"/>
        </w:rPr>
        <w:t>Department</w:t>
      </w:r>
      <w:r w:rsidRPr="00167C53">
        <w:rPr>
          <w:rFonts w:ascii="Times New Roman" w:hAnsi="Times New Roman" w:cs="Times New Roman"/>
          <w:sz w:val="28"/>
          <w:szCs w:val="28"/>
        </w:rPr>
        <w:t xml:space="preserve"> and </w:t>
      </w:r>
      <w:r w:rsidR="0027720C">
        <w:rPr>
          <w:rFonts w:ascii="Times New Roman" w:hAnsi="Times New Roman" w:cs="Times New Roman"/>
          <w:sz w:val="28"/>
          <w:szCs w:val="28"/>
        </w:rPr>
        <w:t>4</w:t>
      </w:r>
      <w:r w:rsidRPr="00167C53">
        <w:rPr>
          <w:rFonts w:ascii="Times New Roman" w:hAnsi="Times New Roman" w:cs="Times New Roman"/>
          <w:sz w:val="28"/>
          <w:szCs w:val="28"/>
        </w:rPr>
        <w:t xml:space="preserve"> Others C of A (CIV) No. 01 of 2012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AFCB12D" w14:textId="3754B5DE" w:rsidR="005A4A5C" w:rsidRPr="004C0007" w:rsidRDefault="005A4A5C" w:rsidP="00E1722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C0007">
        <w:rPr>
          <w:rFonts w:ascii="Times New Roman" w:hAnsi="Times New Roman" w:cs="Times New Roman"/>
          <w:sz w:val="28"/>
          <w:szCs w:val="28"/>
        </w:rPr>
        <w:t>Lesotho Nissan (Pty) Ltd v Katiso Makara C of A (CIV)</w:t>
      </w:r>
      <w:r>
        <w:rPr>
          <w:rFonts w:ascii="Times New Roman" w:hAnsi="Times New Roman" w:cs="Times New Roman"/>
          <w:sz w:val="28"/>
          <w:szCs w:val="28"/>
        </w:rPr>
        <w:t xml:space="preserve"> No.</w:t>
      </w:r>
      <w:r w:rsidRPr="004C0007">
        <w:rPr>
          <w:rFonts w:ascii="Times New Roman" w:hAnsi="Times New Roman" w:cs="Times New Roman"/>
          <w:sz w:val="28"/>
          <w:szCs w:val="28"/>
        </w:rPr>
        <w:t xml:space="preserve"> 72 of 2014</w:t>
      </w:r>
      <w:r w:rsidR="0027720C">
        <w:rPr>
          <w:rFonts w:ascii="Times New Roman" w:hAnsi="Times New Roman" w:cs="Times New Roman"/>
          <w:sz w:val="28"/>
          <w:szCs w:val="28"/>
        </w:rPr>
        <w:t>;</w:t>
      </w:r>
    </w:p>
    <w:p w14:paraId="6B25BF7F" w14:textId="43009D9A" w:rsidR="005A4A5C" w:rsidRPr="004C0007" w:rsidRDefault="005A4A5C" w:rsidP="00E1722C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C0007">
        <w:rPr>
          <w:rFonts w:ascii="Times New Roman" w:hAnsi="Times New Roman" w:cs="Times New Roman"/>
          <w:sz w:val="28"/>
          <w:szCs w:val="28"/>
        </w:rPr>
        <w:t>Makamane v Minister of Communication</w:t>
      </w:r>
      <w:r w:rsidR="0027720C">
        <w:rPr>
          <w:rFonts w:ascii="Times New Roman" w:hAnsi="Times New Roman" w:cs="Times New Roman"/>
          <w:sz w:val="28"/>
          <w:szCs w:val="28"/>
        </w:rPr>
        <w:t xml:space="preserve">, Science and Technology </w:t>
      </w:r>
      <w:r w:rsidRPr="004C0007">
        <w:rPr>
          <w:rFonts w:ascii="Times New Roman" w:hAnsi="Times New Roman" w:cs="Times New Roman"/>
          <w:sz w:val="28"/>
          <w:szCs w:val="28"/>
        </w:rPr>
        <w:t>and</w:t>
      </w:r>
      <w:r w:rsidR="0027720C">
        <w:rPr>
          <w:rFonts w:ascii="Times New Roman" w:hAnsi="Times New Roman" w:cs="Times New Roman"/>
          <w:sz w:val="28"/>
          <w:szCs w:val="28"/>
        </w:rPr>
        <w:t xml:space="preserve"> 5</w:t>
      </w:r>
      <w:r w:rsidRPr="004C0007">
        <w:rPr>
          <w:rFonts w:ascii="Times New Roman" w:hAnsi="Times New Roman" w:cs="Times New Roman"/>
          <w:sz w:val="28"/>
          <w:szCs w:val="28"/>
        </w:rPr>
        <w:t xml:space="preserve"> Others C of A (CIV)</w:t>
      </w:r>
      <w:r>
        <w:rPr>
          <w:rFonts w:ascii="Times New Roman" w:hAnsi="Times New Roman" w:cs="Times New Roman"/>
          <w:sz w:val="28"/>
          <w:szCs w:val="28"/>
        </w:rPr>
        <w:t xml:space="preserve"> No. </w:t>
      </w:r>
      <w:r w:rsidRPr="004C0007">
        <w:rPr>
          <w:rFonts w:ascii="Times New Roman" w:hAnsi="Times New Roman" w:cs="Times New Roman"/>
          <w:sz w:val="28"/>
          <w:szCs w:val="28"/>
        </w:rPr>
        <w:t>27 of 2011</w:t>
      </w:r>
      <w:r w:rsidR="0027720C">
        <w:rPr>
          <w:rFonts w:ascii="Times New Roman" w:hAnsi="Times New Roman" w:cs="Times New Roman"/>
          <w:sz w:val="28"/>
          <w:szCs w:val="28"/>
        </w:rPr>
        <w:t>;</w:t>
      </w:r>
    </w:p>
    <w:p w14:paraId="2230552A" w14:textId="7B260F4C" w:rsidR="005A4A5C" w:rsidRDefault="005A4A5C" w:rsidP="00E1722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C0007">
        <w:rPr>
          <w:rFonts w:ascii="Times New Roman" w:hAnsi="Times New Roman" w:cs="Times New Roman"/>
          <w:sz w:val="28"/>
          <w:szCs w:val="28"/>
        </w:rPr>
        <w:t xml:space="preserve">Putsoa v Attorney General C of A (CIV) </w:t>
      </w:r>
      <w:r>
        <w:rPr>
          <w:rFonts w:ascii="Times New Roman" w:hAnsi="Times New Roman" w:cs="Times New Roman"/>
          <w:sz w:val="28"/>
          <w:szCs w:val="28"/>
        </w:rPr>
        <w:t>No. 0</w:t>
      </w:r>
      <w:r w:rsidRPr="004C0007">
        <w:rPr>
          <w:rFonts w:ascii="Times New Roman" w:hAnsi="Times New Roman" w:cs="Times New Roman"/>
          <w:sz w:val="28"/>
          <w:szCs w:val="28"/>
        </w:rPr>
        <w:t>1 of 1987</w:t>
      </w:r>
      <w:r w:rsidR="0027720C">
        <w:rPr>
          <w:rFonts w:ascii="Times New Roman" w:hAnsi="Times New Roman" w:cs="Times New Roman"/>
          <w:sz w:val="28"/>
          <w:szCs w:val="28"/>
        </w:rPr>
        <w:t>.</w:t>
      </w:r>
    </w:p>
    <w:p w14:paraId="34997F6B" w14:textId="77777777" w:rsidR="005A4A5C" w:rsidRPr="004C0007" w:rsidRDefault="005A4A5C" w:rsidP="004C000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43F67A98" w14:textId="2136919F" w:rsidR="004C0007" w:rsidRDefault="004C0007" w:rsidP="003935E1">
      <w:pPr>
        <w:spacing w:line="360" w:lineRule="auto"/>
        <w:ind w:left="720" w:hanging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007">
        <w:rPr>
          <w:rFonts w:ascii="Times New Roman" w:hAnsi="Times New Roman" w:cs="Times New Roman"/>
          <w:b/>
          <w:sz w:val="28"/>
          <w:szCs w:val="28"/>
        </w:rPr>
        <w:t>South Africa</w:t>
      </w:r>
    </w:p>
    <w:p w14:paraId="70C828A1" w14:textId="7911F689" w:rsidR="004C0007" w:rsidRPr="004C0007" w:rsidRDefault="004C0007" w:rsidP="0027720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C0007">
        <w:rPr>
          <w:rFonts w:ascii="Times New Roman" w:hAnsi="Times New Roman" w:cs="Times New Roman"/>
          <w:bCs/>
          <w:sz w:val="28"/>
          <w:szCs w:val="28"/>
        </w:rPr>
        <w:t xml:space="preserve">Melane </w:t>
      </w:r>
      <w:r w:rsidR="00BA1E61">
        <w:rPr>
          <w:rFonts w:ascii="Times New Roman" w:hAnsi="Times New Roman" w:cs="Times New Roman"/>
          <w:bCs/>
          <w:sz w:val="28"/>
          <w:szCs w:val="28"/>
        </w:rPr>
        <w:t>v</w:t>
      </w:r>
      <w:r w:rsidRPr="004C0007">
        <w:rPr>
          <w:rFonts w:ascii="Times New Roman" w:hAnsi="Times New Roman" w:cs="Times New Roman"/>
          <w:bCs/>
          <w:sz w:val="28"/>
          <w:szCs w:val="28"/>
        </w:rPr>
        <w:t xml:space="preserve"> Santam Insurance Co</w:t>
      </w:r>
      <w:r w:rsidRPr="004C0007">
        <w:rPr>
          <w:rFonts w:ascii="Times New Roman" w:hAnsi="Times New Roman" w:cs="Times New Roman"/>
          <w:sz w:val="28"/>
          <w:szCs w:val="28"/>
        </w:rPr>
        <w:t>., (Ltd) 1962 (4) SA 531 (CA)</w:t>
      </w:r>
    </w:p>
    <w:p w14:paraId="3CE72A6D" w14:textId="77777777" w:rsidR="007332E6" w:rsidRDefault="007332E6" w:rsidP="007332E6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044C026A" w14:textId="797FF22C" w:rsidR="00FC6B95" w:rsidRDefault="00FC6B95" w:rsidP="00514B9A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C6B95">
        <w:rPr>
          <w:rFonts w:ascii="Times New Roman" w:hAnsi="Times New Roman" w:cs="Times New Roman"/>
          <w:b/>
          <w:bCs/>
          <w:sz w:val="28"/>
          <w:szCs w:val="28"/>
          <w:u w:val="single"/>
        </w:rPr>
        <w:t>RULIN</w:t>
      </w:r>
      <w:r w:rsidR="00A87F8A">
        <w:rPr>
          <w:rFonts w:ascii="Times New Roman" w:hAnsi="Times New Roman" w:cs="Times New Roman"/>
          <w:b/>
          <w:bCs/>
          <w:sz w:val="28"/>
          <w:szCs w:val="28"/>
          <w:u w:val="single"/>
        </w:rPr>
        <w:t>G</w:t>
      </w:r>
    </w:p>
    <w:p w14:paraId="3C7A75E6" w14:textId="77777777" w:rsidR="00B777BA" w:rsidRDefault="00B777BA" w:rsidP="00514B9A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7AC48335" w14:textId="4B612D99" w:rsidR="00527411" w:rsidRPr="00826F8C" w:rsidRDefault="00527411" w:rsidP="00527411">
      <w:pPr>
        <w:ind w:left="567" w:right="521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826F8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Condonation application </w:t>
      </w:r>
      <w:r w:rsidR="0078382E" w:rsidRPr="00826F8C">
        <w:rPr>
          <w:rFonts w:ascii="Times New Roman" w:hAnsi="Times New Roman" w:cs="Times New Roman"/>
          <w:b/>
          <w:bCs/>
          <w:i/>
          <w:sz w:val="28"/>
          <w:szCs w:val="28"/>
        </w:rPr>
        <w:t>-</w:t>
      </w:r>
      <w:r w:rsidRPr="00826F8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For failure by applicant to file summons against a Government Ministry within two years </w:t>
      </w:r>
      <w:r w:rsidR="0078382E" w:rsidRPr="00826F8C">
        <w:rPr>
          <w:rFonts w:ascii="Times New Roman" w:hAnsi="Times New Roman" w:cs="Times New Roman"/>
          <w:b/>
          <w:bCs/>
          <w:i/>
          <w:sz w:val="28"/>
          <w:szCs w:val="28"/>
        </w:rPr>
        <w:t>-</w:t>
      </w:r>
      <w:r w:rsidRPr="00826F8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Court constrained by Section 6 of the Government Contracts and Proceedings Act 4 of 1965 </w:t>
      </w:r>
      <w:r w:rsidR="0078382E" w:rsidRPr="00826F8C">
        <w:rPr>
          <w:rFonts w:ascii="Times New Roman" w:hAnsi="Times New Roman" w:cs="Times New Roman"/>
          <w:b/>
          <w:bCs/>
          <w:i/>
          <w:sz w:val="28"/>
          <w:szCs w:val="28"/>
        </w:rPr>
        <w:t>-</w:t>
      </w:r>
      <w:r w:rsidR="0067354E" w:rsidRPr="00826F8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826F8C">
        <w:rPr>
          <w:rFonts w:ascii="Times New Roman" w:hAnsi="Times New Roman" w:cs="Times New Roman"/>
          <w:b/>
          <w:bCs/>
          <w:i/>
          <w:sz w:val="28"/>
          <w:szCs w:val="28"/>
        </w:rPr>
        <w:t>Condonation application dismissed for being brought out of time.</w:t>
      </w:r>
    </w:p>
    <w:p w14:paraId="0CE12619" w14:textId="77777777" w:rsidR="0041185E" w:rsidRPr="00527411" w:rsidRDefault="0041185E" w:rsidP="00527411">
      <w:pPr>
        <w:ind w:left="567" w:right="521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04B2E53C" w14:textId="05828DAC" w:rsidR="00461BF1" w:rsidRDefault="00FC6B95" w:rsidP="00CF78CF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[1]</w:t>
      </w:r>
      <w:r>
        <w:rPr>
          <w:rFonts w:ascii="Times New Roman" w:hAnsi="Times New Roman" w:cs="Times New Roman"/>
          <w:sz w:val="28"/>
          <w:szCs w:val="28"/>
        </w:rPr>
        <w:tab/>
      </w:r>
      <w:r w:rsidR="00461BF1">
        <w:rPr>
          <w:rFonts w:ascii="Times New Roman" w:hAnsi="Times New Roman" w:cs="Times New Roman"/>
          <w:sz w:val="28"/>
          <w:szCs w:val="28"/>
        </w:rPr>
        <w:t xml:space="preserve">Applicant herein </w:t>
      </w:r>
      <w:r w:rsidR="000F11D4">
        <w:rPr>
          <w:rFonts w:ascii="Times New Roman" w:hAnsi="Times New Roman" w:cs="Times New Roman"/>
          <w:sz w:val="28"/>
          <w:szCs w:val="28"/>
        </w:rPr>
        <w:t>is also</w:t>
      </w:r>
      <w:r w:rsidR="00461BF1">
        <w:rPr>
          <w:rFonts w:ascii="Times New Roman" w:hAnsi="Times New Roman" w:cs="Times New Roman"/>
          <w:sz w:val="28"/>
          <w:szCs w:val="28"/>
        </w:rPr>
        <w:t xml:space="preserve"> Plaintiff in the main action filed with this </w:t>
      </w:r>
      <w:r w:rsidR="00042F5A">
        <w:rPr>
          <w:rFonts w:ascii="Times New Roman" w:hAnsi="Times New Roman" w:cs="Times New Roman"/>
          <w:sz w:val="28"/>
          <w:szCs w:val="28"/>
        </w:rPr>
        <w:t>court under</w:t>
      </w:r>
      <w:r w:rsidR="00461BF1">
        <w:rPr>
          <w:rFonts w:ascii="Times New Roman" w:hAnsi="Times New Roman" w:cs="Times New Roman"/>
          <w:sz w:val="28"/>
          <w:szCs w:val="28"/>
        </w:rPr>
        <w:t xml:space="preserve"> CIV/T/395/</w:t>
      </w:r>
      <w:r w:rsidR="00B846F6">
        <w:rPr>
          <w:rFonts w:ascii="Times New Roman" w:hAnsi="Times New Roman" w:cs="Times New Roman"/>
          <w:sz w:val="28"/>
          <w:szCs w:val="28"/>
        </w:rPr>
        <w:t>21</w:t>
      </w:r>
      <w:r w:rsidR="00461BF1">
        <w:rPr>
          <w:rFonts w:ascii="Times New Roman" w:hAnsi="Times New Roman" w:cs="Times New Roman"/>
          <w:sz w:val="28"/>
          <w:szCs w:val="28"/>
        </w:rPr>
        <w:t>. In her summons Plaintiff’s claim</w:t>
      </w:r>
      <w:r w:rsidR="002677B5">
        <w:rPr>
          <w:rFonts w:ascii="Times New Roman" w:hAnsi="Times New Roman" w:cs="Times New Roman"/>
          <w:sz w:val="28"/>
          <w:szCs w:val="28"/>
        </w:rPr>
        <w:t xml:space="preserve"> against </w:t>
      </w:r>
      <w:r w:rsidR="00077A7C">
        <w:rPr>
          <w:rFonts w:ascii="Times New Roman" w:hAnsi="Times New Roman" w:cs="Times New Roman"/>
          <w:sz w:val="28"/>
          <w:szCs w:val="28"/>
        </w:rPr>
        <w:t>Defendants</w:t>
      </w:r>
      <w:r w:rsidR="00461BF1">
        <w:rPr>
          <w:rFonts w:ascii="Times New Roman" w:hAnsi="Times New Roman" w:cs="Times New Roman"/>
          <w:sz w:val="28"/>
          <w:szCs w:val="28"/>
        </w:rPr>
        <w:t xml:space="preserve"> is:</w:t>
      </w:r>
    </w:p>
    <w:p w14:paraId="0D74FD93" w14:textId="508F8E4B" w:rsidR="00042F5A" w:rsidRDefault="007A65FD" w:rsidP="007A65FD">
      <w:pPr>
        <w:spacing w:line="36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(a)    </w:t>
      </w:r>
      <w:r w:rsidR="00A82DB1">
        <w:rPr>
          <w:rFonts w:ascii="Times New Roman" w:hAnsi="Times New Roman" w:cs="Times New Roman"/>
          <w:sz w:val="28"/>
          <w:szCs w:val="28"/>
        </w:rPr>
        <w:t>Payment</w:t>
      </w:r>
      <w:r w:rsidR="00461BF1">
        <w:rPr>
          <w:rFonts w:ascii="Times New Roman" w:hAnsi="Times New Roman" w:cs="Times New Roman"/>
          <w:sz w:val="28"/>
          <w:szCs w:val="28"/>
        </w:rPr>
        <w:t xml:space="preserve"> of </w:t>
      </w:r>
      <w:r>
        <w:rPr>
          <w:rFonts w:ascii="Times New Roman" w:hAnsi="Times New Roman" w:cs="Times New Roman"/>
          <w:sz w:val="28"/>
          <w:szCs w:val="28"/>
        </w:rPr>
        <w:t>O</w:t>
      </w:r>
      <w:r w:rsidR="00461BF1">
        <w:rPr>
          <w:rFonts w:ascii="Times New Roman" w:hAnsi="Times New Roman" w:cs="Times New Roman"/>
          <w:sz w:val="28"/>
          <w:szCs w:val="28"/>
        </w:rPr>
        <w:t xml:space="preserve">ne </w:t>
      </w:r>
      <w:r>
        <w:rPr>
          <w:rFonts w:ascii="Times New Roman" w:hAnsi="Times New Roman" w:cs="Times New Roman"/>
          <w:sz w:val="28"/>
          <w:szCs w:val="28"/>
        </w:rPr>
        <w:t>M</w:t>
      </w:r>
      <w:r w:rsidR="00461BF1">
        <w:rPr>
          <w:rFonts w:ascii="Times New Roman" w:hAnsi="Times New Roman" w:cs="Times New Roman"/>
          <w:sz w:val="28"/>
          <w:szCs w:val="28"/>
        </w:rPr>
        <w:t>illion Maloti (M1</w:t>
      </w:r>
      <w:r>
        <w:rPr>
          <w:rFonts w:ascii="Times New Roman" w:hAnsi="Times New Roman" w:cs="Times New Roman"/>
          <w:sz w:val="28"/>
          <w:szCs w:val="28"/>
        </w:rPr>
        <w:t> </w:t>
      </w:r>
      <w:r w:rsidR="00461BF1">
        <w:rPr>
          <w:rFonts w:ascii="Times New Roman" w:hAnsi="Times New Roman" w:cs="Times New Roman"/>
          <w:sz w:val="28"/>
          <w:szCs w:val="28"/>
        </w:rPr>
        <w:t>000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1BF1">
        <w:rPr>
          <w:rFonts w:ascii="Times New Roman" w:hAnsi="Times New Roman" w:cs="Times New Roman"/>
          <w:sz w:val="28"/>
          <w:szCs w:val="28"/>
        </w:rPr>
        <w:t xml:space="preserve">000.00) for pain and suffering resulting from </w:t>
      </w:r>
      <w:r w:rsidR="00A82DB1">
        <w:rPr>
          <w:rFonts w:ascii="Times New Roman" w:hAnsi="Times New Roman" w:cs="Times New Roman"/>
          <w:sz w:val="28"/>
          <w:szCs w:val="28"/>
        </w:rPr>
        <w:t>a</w:t>
      </w:r>
      <w:r w:rsidR="00461BF1">
        <w:rPr>
          <w:rFonts w:ascii="Times New Roman" w:hAnsi="Times New Roman" w:cs="Times New Roman"/>
          <w:sz w:val="28"/>
          <w:szCs w:val="28"/>
        </w:rPr>
        <w:t xml:space="preserve"> gunshot</w:t>
      </w:r>
      <w:r w:rsidR="008D20C8">
        <w:rPr>
          <w:rFonts w:ascii="Times New Roman" w:hAnsi="Times New Roman" w:cs="Times New Roman"/>
          <w:sz w:val="28"/>
          <w:szCs w:val="28"/>
        </w:rPr>
        <w:t>;</w:t>
      </w:r>
    </w:p>
    <w:p w14:paraId="79858477" w14:textId="662B667D" w:rsidR="00077A7C" w:rsidRDefault="007A65FD" w:rsidP="007A65FD">
      <w:pPr>
        <w:spacing w:line="36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(b) </w:t>
      </w:r>
      <w:r w:rsidR="00042F5A">
        <w:rPr>
          <w:rFonts w:ascii="Times New Roman" w:hAnsi="Times New Roman" w:cs="Times New Roman"/>
          <w:sz w:val="28"/>
          <w:szCs w:val="28"/>
        </w:rPr>
        <w:t xml:space="preserve">Payment of </w:t>
      </w:r>
      <w:r w:rsidR="00AE7BAF">
        <w:rPr>
          <w:rFonts w:ascii="Times New Roman" w:hAnsi="Times New Roman" w:cs="Times New Roman"/>
          <w:sz w:val="28"/>
          <w:szCs w:val="28"/>
        </w:rPr>
        <w:t>O</w:t>
      </w:r>
      <w:r w:rsidR="00042F5A">
        <w:rPr>
          <w:rFonts w:ascii="Times New Roman" w:hAnsi="Times New Roman" w:cs="Times New Roman"/>
          <w:sz w:val="28"/>
          <w:szCs w:val="28"/>
        </w:rPr>
        <w:t xml:space="preserve">ne </w:t>
      </w:r>
      <w:r w:rsidR="00AE7BAF">
        <w:rPr>
          <w:rFonts w:ascii="Times New Roman" w:hAnsi="Times New Roman" w:cs="Times New Roman"/>
          <w:sz w:val="28"/>
          <w:szCs w:val="28"/>
        </w:rPr>
        <w:t>M</w:t>
      </w:r>
      <w:r w:rsidR="00042F5A">
        <w:rPr>
          <w:rFonts w:ascii="Times New Roman" w:hAnsi="Times New Roman" w:cs="Times New Roman"/>
          <w:sz w:val="28"/>
          <w:szCs w:val="28"/>
        </w:rPr>
        <w:t>illion Maloti (M1</w:t>
      </w:r>
      <w:r w:rsidR="00997975">
        <w:rPr>
          <w:rFonts w:ascii="Times New Roman" w:hAnsi="Times New Roman" w:cs="Times New Roman"/>
          <w:sz w:val="28"/>
          <w:szCs w:val="28"/>
        </w:rPr>
        <w:t> </w:t>
      </w:r>
      <w:r w:rsidR="00042F5A">
        <w:rPr>
          <w:rFonts w:ascii="Times New Roman" w:hAnsi="Times New Roman" w:cs="Times New Roman"/>
          <w:sz w:val="28"/>
          <w:szCs w:val="28"/>
        </w:rPr>
        <w:t>000</w:t>
      </w:r>
      <w:r w:rsidR="00997975">
        <w:rPr>
          <w:rFonts w:ascii="Times New Roman" w:hAnsi="Times New Roman" w:cs="Times New Roman"/>
          <w:sz w:val="28"/>
          <w:szCs w:val="28"/>
        </w:rPr>
        <w:t xml:space="preserve"> </w:t>
      </w:r>
      <w:r w:rsidR="00042F5A">
        <w:rPr>
          <w:rFonts w:ascii="Times New Roman" w:hAnsi="Times New Roman" w:cs="Times New Roman"/>
          <w:sz w:val="28"/>
          <w:szCs w:val="28"/>
        </w:rPr>
        <w:t>00</w:t>
      </w:r>
      <w:r w:rsidR="00AE7BAF">
        <w:rPr>
          <w:rFonts w:ascii="Times New Roman" w:hAnsi="Times New Roman" w:cs="Times New Roman"/>
          <w:sz w:val="28"/>
          <w:szCs w:val="28"/>
        </w:rPr>
        <w:t>0</w:t>
      </w:r>
      <w:r w:rsidR="00042F5A">
        <w:rPr>
          <w:rFonts w:ascii="Times New Roman" w:hAnsi="Times New Roman" w:cs="Times New Roman"/>
          <w:sz w:val="28"/>
          <w:szCs w:val="28"/>
        </w:rPr>
        <w:t>.00</w:t>
      </w:r>
      <w:r w:rsidR="00077A7C">
        <w:rPr>
          <w:rFonts w:ascii="Times New Roman" w:hAnsi="Times New Roman" w:cs="Times New Roman"/>
          <w:sz w:val="28"/>
          <w:szCs w:val="28"/>
        </w:rPr>
        <w:t>) for permanent disability</w:t>
      </w:r>
      <w:r w:rsidR="00BB4396">
        <w:rPr>
          <w:rFonts w:ascii="Times New Roman" w:hAnsi="Times New Roman" w:cs="Times New Roman"/>
          <w:sz w:val="28"/>
          <w:szCs w:val="28"/>
        </w:rPr>
        <w:t>;</w:t>
      </w:r>
    </w:p>
    <w:p w14:paraId="280BA758" w14:textId="27FC6221" w:rsidR="00A82DB1" w:rsidRDefault="007A65FD" w:rsidP="007A65FD">
      <w:pPr>
        <w:spacing w:line="360" w:lineRule="auto"/>
        <w:ind w:left="1134" w:hanging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(c) </w:t>
      </w:r>
      <w:r w:rsidR="00A82DB1">
        <w:rPr>
          <w:rFonts w:ascii="Times New Roman" w:hAnsi="Times New Roman" w:cs="Times New Roman"/>
          <w:sz w:val="28"/>
          <w:szCs w:val="28"/>
        </w:rPr>
        <w:t xml:space="preserve">Payment of </w:t>
      </w:r>
      <w:r w:rsidR="00997975">
        <w:rPr>
          <w:rFonts w:ascii="Times New Roman" w:hAnsi="Times New Roman" w:cs="Times New Roman"/>
          <w:sz w:val="28"/>
          <w:szCs w:val="28"/>
        </w:rPr>
        <w:t>F</w:t>
      </w:r>
      <w:r w:rsidR="00D60F6F">
        <w:rPr>
          <w:rFonts w:ascii="Times New Roman" w:hAnsi="Times New Roman" w:cs="Times New Roman"/>
          <w:sz w:val="28"/>
          <w:szCs w:val="28"/>
        </w:rPr>
        <w:t xml:space="preserve">ive </w:t>
      </w:r>
      <w:r w:rsidR="00997975">
        <w:rPr>
          <w:rFonts w:ascii="Times New Roman" w:hAnsi="Times New Roman" w:cs="Times New Roman"/>
          <w:sz w:val="28"/>
          <w:szCs w:val="28"/>
        </w:rPr>
        <w:t>H</w:t>
      </w:r>
      <w:r w:rsidR="00D60F6F">
        <w:rPr>
          <w:rFonts w:ascii="Times New Roman" w:hAnsi="Times New Roman" w:cs="Times New Roman"/>
          <w:sz w:val="28"/>
          <w:szCs w:val="28"/>
        </w:rPr>
        <w:t xml:space="preserve">undred </w:t>
      </w:r>
      <w:r w:rsidR="00997975">
        <w:rPr>
          <w:rFonts w:ascii="Times New Roman" w:hAnsi="Times New Roman" w:cs="Times New Roman"/>
          <w:sz w:val="28"/>
          <w:szCs w:val="28"/>
        </w:rPr>
        <w:t>T</w:t>
      </w:r>
      <w:r w:rsidR="00A82DB1">
        <w:rPr>
          <w:rFonts w:ascii="Times New Roman" w:hAnsi="Times New Roman" w:cs="Times New Roman"/>
          <w:sz w:val="28"/>
          <w:szCs w:val="28"/>
        </w:rPr>
        <w:t>housand Maloti</w:t>
      </w:r>
      <w:r w:rsidR="0008408A">
        <w:rPr>
          <w:rFonts w:ascii="Times New Roman" w:hAnsi="Times New Roman" w:cs="Times New Roman"/>
          <w:sz w:val="28"/>
          <w:szCs w:val="28"/>
        </w:rPr>
        <w:t xml:space="preserve"> (M500 000.00) </w:t>
      </w:r>
      <w:r w:rsidR="00A82DB1">
        <w:rPr>
          <w:rFonts w:ascii="Times New Roman" w:hAnsi="Times New Roman" w:cs="Times New Roman"/>
          <w:sz w:val="28"/>
          <w:szCs w:val="28"/>
        </w:rPr>
        <w:t xml:space="preserve">for emotional shock and </w:t>
      </w:r>
      <w:r w:rsidR="00A82DB1" w:rsidRPr="008D20C8">
        <w:rPr>
          <w:rFonts w:ascii="Times New Roman" w:hAnsi="Times New Roman" w:cs="Times New Roman"/>
          <w:b/>
          <w:i/>
          <w:iCs/>
          <w:sz w:val="28"/>
          <w:szCs w:val="28"/>
        </w:rPr>
        <w:t>contumelia</w:t>
      </w:r>
      <w:r w:rsidR="00997975"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14:paraId="47FBB6FE" w14:textId="185C05EF" w:rsidR="00A82DB1" w:rsidRDefault="00997975" w:rsidP="007A65FD">
      <w:pPr>
        <w:spacing w:line="36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7A65FD">
        <w:rPr>
          <w:rFonts w:ascii="Times New Roman" w:hAnsi="Times New Roman" w:cs="Times New Roman"/>
          <w:sz w:val="28"/>
          <w:szCs w:val="28"/>
        </w:rPr>
        <w:t xml:space="preserve">(d)   </w:t>
      </w:r>
      <w:r w:rsidR="00A82DB1">
        <w:rPr>
          <w:rFonts w:ascii="Times New Roman" w:hAnsi="Times New Roman" w:cs="Times New Roman"/>
          <w:sz w:val="28"/>
          <w:szCs w:val="28"/>
        </w:rPr>
        <w:t xml:space="preserve">Payment of </w:t>
      </w:r>
      <w:r w:rsidR="00476AAA">
        <w:rPr>
          <w:rFonts w:ascii="Times New Roman" w:hAnsi="Times New Roman" w:cs="Times New Roman"/>
          <w:sz w:val="28"/>
          <w:szCs w:val="28"/>
        </w:rPr>
        <w:t>O</w:t>
      </w:r>
      <w:r w:rsidR="00A82DB1">
        <w:rPr>
          <w:rFonts w:ascii="Times New Roman" w:hAnsi="Times New Roman" w:cs="Times New Roman"/>
          <w:sz w:val="28"/>
          <w:szCs w:val="28"/>
        </w:rPr>
        <w:t xml:space="preserve">ne </w:t>
      </w:r>
      <w:r w:rsidR="00476AAA">
        <w:rPr>
          <w:rFonts w:ascii="Times New Roman" w:hAnsi="Times New Roman" w:cs="Times New Roman"/>
          <w:sz w:val="28"/>
          <w:szCs w:val="28"/>
        </w:rPr>
        <w:t>H</w:t>
      </w:r>
      <w:r w:rsidR="00A82DB1">
        <w:rPr>
          <w:rFonts w:ascii="Times New Roman" w:hAnsi="Times New Roman" w:cs="Times New Roman"/>
          <w:sz w:val="28"/>
          <w:szCs w:val="28"/>
        </w:rPr>
        <w:t xml:space="preserve">undred </w:t>
      </w:r>
      <w:r w:rsidR="00476AAA">
        <w:rPr>
          <w:rFonts w:ascii="Times New Roman" w:hAnsi="Times New Roman" w:cs="Times New Roman"/>
          <w:sz w:val="28"/>
          <w:szCs w:val="28"/>
        </w:rPr>
        <w:t>T</w:t>
      </w:r>
      <w:r w:rsidR="00A82DB1">
        <w:rPr>
          <w:rFonts w:ascii="Times New Roman" w:hAnsi="Times New Roman" w:cs="Times New Roman"/>
          <w:sz w:val="28"/>
          <w:szCs w:val="28"/>
        </w:rPr>
        <w:t>housand Maloti (M100 000.00) for medical expenses and costs associated with medical care</w:t>
      </w:r>
      <w:r>
        <w:rPr>
          <w:rFonts w:ascii="Times New Roman" w:hAnsi="Times New Roman" w:cs="Times New Roman"/>
          <w:sz w:val="28"/>
          <w:szCs w:val="28"/>
        </w:rPr>
        <w:t>; and</w:t>
      </w:r>
    </w:p>
    <w:p w14:paraId="127F877A" w14:textId="50D4905C" w:rsidR="000F11D4" w:rsidRDefault="007A65FD" w:rsidP="00997975">
      <w:pPr>
        <w:spacing w:line="360" w:lineRule="auto"/>
        <w:ind w:left="72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(e) </w:t>
      </w:r>
      <w:r w:rsidR="00997975">
        <w:rPr>
          <w:rFonts w:ascii="Times New Roman" w:hAnsi="Times New Roman" w:cs="Times New Roman"/>
          <w:sz w:val="28"/>
          <w:szCs w:val="28"/>
        </w:rPr>
        <w:t xml:space="preserve"> </w:t>
      </w:r>
      <w:r w:rsidR="000F11D4">
        <w:rPr>
          <w:rFonts w:ascii="Times New Roman" w:hAnsi="Times New Roman" w:cs="Times New Roman"/>
          <w:sz w:val="28"/>
          <w:szCs w:val="28"/>
        </w:rPr>
        <w:t>Costs of suit as well as further and/or alternative relief.</w:t>
      </w:r>
    </w:p>
    <w:p w14:paraId="40BF109C" w14:textId="4752C202" w:rsidR="00BC3E5E" w:rsidRDefault="000F11D4" w:rsidP="0054063A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[2] </w:t>
      </w:r>
      <w:r w:rsidR="0054063A">
        <w:rPr>
          <w:rFonts w:ascii="Times New Roman" w:hAnsi="Times New Roman" w:cs="Times New Roman"/>
          <w:sz w:val="28"/>
          <w:szCs w:val="28"/>
        </w:rPr>
        <w:t xml:space="preserve">  </w:t>
      </w:r>
      <w:r w:rsidR="000B6011">
        <w:rPr>
          <w:rFonts w:ascii="Times New Roman" w:hAnsi="Times New Roman" w:cs="Times New Roman"/>
          <w:sz w:val="28"/>
          <w:szCs w:val="28"/>
        </w:rPr>
        <w:t xml:space="preserve">The basis of </w:t>
      </w:r>
      <w:r w:rsidR="00813A07">
        <w:rPr>
          <w:rFonts w:ascii="Times New Roman" w:hAnsi="Times New Roman" w:cs="Times New Roman"/>
          <w:sz w:val="28"/>
          <w:szCs w:val="28"/>
        </w:rPr>
        <w:t>Plaintiff</w:t>
      </w:r>
      <w:r w:rsidR="00C41A16">
        <w:rPr>
          <w:rFonts w:ascii="Times New Roman" w:hAnsi="Times New Roman" w:cs="Times New Roman"/>
          <w:sz w:val="28"/>
          <w:szCs w:val="28"/>
        </w:rPr>
        <w:t>’s claims is</w:t>
      </w:r>
      <w:r w:rsidR="00813A07">
        <w:rPr>
          <w:rFonts w:ascii="Times New Roman" w:hAnsi="Times New Roman" w:cs="Times New Roman"/>
          <w:sz w:val="28"/>
          <w:szCs w:val="28"/>
        </w:rPr>
        <w:t xml:space="preserve"> that </w:t>
      </w:r>
      <w:r w:rsidR="00E65485">
        <w:rPr>
          <w:rFonts w:ascii="Times New Roman" w:hAnsi="Times New Roman" w:cs="Times New Roman"/>
          <w:sz w:val="28"/>
          <w:szCs w:val="28"/>
        </w:rPr>
        <w:t xml:space="preserve">on or </w:t>
      </w:r>
      <w:r w:rsidR="00D72C41">
        <w:rPr>
          <w:rFonts w:ascii="Times New Roman" w:hAnsi="Times New Roman" w:cs="Times New Roman"/>
          <w:sz w:val="28"/>
          <w:szCs w:val="28"/>
        </w:rPr>
        <w:t>around 24</w:t>
      </w:r>
      <w:r w:rsidR="00D72C41" w:rsidRPr="00D72C41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D72C41">
        <w:rPr>
          <w:rFonts w:ascii="Times New Roman" w:hAnsi="Times New Roman" w:cs="Times New Roman"/>
          <w:sz w:val="28"/>
          <w:szCs w:val="28"/>
        </w:rPr>
        <w:t xml:space="preserve"> January 1994, </w:t>
      </w:r>
      <w:r w:rsidR="00813A07">
        <w:rPr>
          <w:rFonts w:ascii="Times New Roman" w:hAnsi="Times New Roman" w:cs="Times New Roman"/>
          <w:sz w:val="28"/>
          <w:szCs w:val="28"/>
        </w:rPr>
        <w:t>sh</w:t>
      </w:r>
      <w:r w:rsidR="00C41A16">
        <w:rPr>
          <w:rFonts w:ascii="Times New Roman" w:hAnsi="Times New Roman" w:cs="Times New Roman"/>
          <w:sz w:val="28"/>
          <w:szCs w:val="28"/>
        </w:rPr>
        <w:t xml:space="preserve">e </w:t>
      </w:r>
      <w:r w:rsidR="00813A07">
        <w:rPr>
          <w:rFonts w:ascii="Times New Roman" w:hAnsi="Times New Roman" w:cs="Times New Roman"/>
          <w:sz w:val="28"/>
          <w:szCs w:val="28"/>
        </w:rPr>
        <w:t xml:space="preserve">was hit by a stray bullet during an unrest within the Lesotho </w:t>
      </w:r>
      <w:r w:rsidR="00C41A16">
        <w:rPr>
          <w:rFonts w:ascii="Times New Roman" w:hAnsi="Times New Roman" w:cs="Times New Roman"/>
          <w:sz w:val="28"/>
          <w:szCs w:val="28"/>
        </w:rPr>
        <w:t>Defence</w:t>
      </w:r>
      <w:r w:rsidR="00813A07">
        <w:rPr>
          <w:rFonts w:ascii="Times New Roman" w:hAnsi="Times New Roman" w:cs="Times New Roman"/>
          <w:sz w:val="28"/>
          <w:szCs w:val="28"/>
        </w:rPr>
        <w:t xml:space="preserve"> Force</w:t>
      </w:r>
      <w:r w:rsidR="009854C6">
        <w:rPr>
          <w:rFonts w:ascii="Times New Roman" w:hAnsi="Times New Roman" w:cs="Times New Roman"/>
          <w:sz w:val="28"/>
          <w:szCs w:val="28"/>
        </w:rPr>
        <w:t xml:space="preserve"> as a result of which she suffered as appears under the headings above. It is common cause that following the incident, Plaintiff’s summons were filed on 4</w:t>
      </w:r>
      <w:r w:rsidR="009854C6" w:rsidRPr="009854C6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9854C6">
        <w:rPr>
          <w:rFonts w:ascii="Times New Roman" w:hAnsi="Times New Roman" w:cs="Times New Roman"/>
          <w:sz w:val="28"/>
          <w:szCs w:val="28"/>
        </w:rPr>
        <w:t xml:space="preserve"> June, 2021.</w:t>
      </w:r>
      <w:r w:rsidR="00AD3046">
        <w:rPr>
          <w:rFonts w:ascii="Times New Roman" w:hAnsi="Times New Roman" w:cs="Times New Roman"/>
          <w:sz w:val="28"/>
          <w:szCs w:val="28"/>
        </w:rPr>
        <w:t xml:space="preserve"> </w:t>
      </w:r>
      <w:r w:rsidR="00573199">
        <w:rPr>
          <w:rFonts w:ascii="Times New Roman" w:hAnsi="Times New Roman" w:cs="Times New Roman"/>
          <w:sz w:val="28"/>
          <w:szCs w:val="28"/>
        </w:rPr>
        <w:t>The cause of action as reflected above arose on 24</w:t>
      </w:r>
      <w:r w:rsidR="00573199" w:rsidRPr="00573199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573199">
        <w:rPr>
          <w:rFonts w:ascii="Times New Roman" w:hAnsi="Times New Roman" w:cs="Times New Roman"/>
          <w:sz w:val="28"/>
          <w:szCs w:val="28"/>
        </w:rPr>
        <w:t xml:space="preserve"> January, 1994. </w:t>
      </w:r>
      <w:r w:rsidR="009854C6">
        <w:rPr>
          <w:rFonts w:ascii="Times New Roman" w:hAnsi="Times New Roman" w:cs="Times New Roman"/>
          <w:sz w:val="28"/>
          <w:szCs w:val="28"/>
        </w:rPr>
        <w:t xml:space="preserve">In their </w:t>
      </w:r>
      <w:r w:rsidR="00C07AA4">
        <w:rPr>
          <w:rFonts w:ascii="Times New Roman" w:hAnsi="Times New Roman" w:cs="Times New Roman"/>
          <w:sz w:val="28"/>
          <w:szCs w:val="28"/>
        </w:rPr>
        <w:t>p</w:t>
      </w:r>
      <w:r w:rsidR="009854C6">
        <w:rPr>
          <w:rFonts w:ascii="Times New Roman" w:hAnsi="Times New Roman" w:cs="Times New Roman"/>
          <w:sz w:val="28"/>
          <w:szCs w:val="28"/>
        </w:rPr>
        <w:t>lea</w:t>
      </w:r>
      <w:r w:rsidR="00BC3E5E">
        <w:rPr>
          <w:rFonts w:ascii="Times New Roman" w:hAnsi="Times New Roman" w:cs="Times New Roman"/>
          <w:sz w:val="28"/>
          <w:szCs w:val="28"/>
        </w:rPr>
        <w:t>,</w:t>
      </w:r>
      <w:r w:rsidR="009854C6">
        <w:rPr>
          <w:rFonts w:ascii="Times New Roman" w:hAnsi="Times New Roman" w:cs="Times New Roman"/>
          <w:sz w:val="28"/>
          <w:szCs w:val="28"/>
        </w:rPr>
        <w:t xml:space="preserve"> Defendants raise</w:t>
      </w:r>
      <w:r w:rsidR="00BC3E5E">
        <w:rPr>
          <w:rFonts w:ascii="Times New Roman" w:hAnsi="Times New Roman" w:cs="Times New Roman"/>
          <w:sz w:val="28"/>
          <w:szCs w:val="28"/>
        </w:rPr>
        <w:t>d</w:t>
      </w:r>
      <w:r w:rsidR="009854C6">
        <w:rPr>
          <w:rFonts w:ascii="Times New Roman" w:hAnsi="Times New Roman" w:cs="Times New Roman"/>
          <w:sz w:val="28"/>
          <w:szCs w:val="28"/>
        </w:rPr>
        <w:t xml:space="preserve"> a special plea of </w:t>
      </w:r>
      <w:r w:rsidR="00BC3E5E">
        <w:rPr>
          <w:rFonts w:ascii="Times New Roman" w:hAnsi="Times New Roman" w:cs="Times New Roman"/>
          <w:sz w:val="28"/>
          <w:szCs w:val="28"/>
        </w:rPr>
        <w:t>p</w:t>
      </w:r>
      <w:r w:rsidR="009854C6">
        <w:rPr>
          <w:rFonts w:ascii="Times New Roman" w:hAnsi="Times New Roman" w:cs="Times New Roman"/>
          <w:sz w:val="28"/>
          <w:szCs w:val="28"/>
        </w:rPr>
        <w:t xml:space="preserve">rescription relying on section 2 read with </w:t>
      </w:r>
      <w:r w:rsidR="003F295B">
        <w:rPr>
          <w:rFonts w:ascii="Times New Roman" w:hAnsi="Times New Roman" w:cs="Times New Roman"/>
          <w:sz w:val="28"/>
          <w:szCs w:val="28"/>
        </w:rPr>
        <w:t>S</w:t>
      </w:r>
      <w:r w:rsidR="009854C6">
        <w:rPr>
          <w:rFonts w:ascii="Times New Roman" w:hAnsi="Times New Roman" w:cs="Times New Roman"/>
          <w:sz w:val="28"/>
          <w:szCs w:val="28"/>
        </w:rPr>
        <w:t xml:space="preserve">ection 6 of the Governments Contracts and Proceedings Act No. 4 of 1965. </w:t>
      </w:r>
      <w:r w:rsidR="00184148">
        <w:rPr>
          <w:rFonts w:ascii="Times New Roman" w:hAnsi="Times New Roman" w:cs="Times New Roman"/>
          <w:sz w:val="28"/>
          <w:szCs w:val="28"/>
        </w:rPr>
        <w:t>Section 6</w:t>
      </w:r>
      <w:r w:rsidR="00BC3E5E">
        <w:rPr>
          <w:rFonts w:ascii="Times New Roman" w:hAnsi="Times New Roman" w:cs="Times New Roman"/>
          <w:sz w:val="28"/>
          <w:szCs w:val="28"/>
        </w:rPr>
        <w:t xml:space="preserve"> </w:t>
      </w:r>
      <w:r w:rsidR="00AD3046">
        <w:rPr>
          <w:rFonts w:ascii="Times New Roman" w:hAnsi="Times New Roman" w:cs="Times New Roman"/>
          <w:sz w:val="28"/>
          <w:szCs w:val="28"/>
        </w:rPr>
        <w:t>provides</w:t>
      </w:r>
      <w:r w:rsidR="003F295B">
        <w:rPr>
          <w:rFonts w:ascii="Times New Roman" w:hAnsi="Times New Roman" w:cs="Times New Roman"/>
          <w:sz w:val="28"/>
          <w:szCs w:val="28"/>
        </w:rPr>
        <w:t xml:space="preserve">, </w:t>
      </w:r>
      <w:r w:rsidR="003F295B" w:rsidRPr="00BC3E5E">
        <w:rPr>
          <w:rFonts w:ascii="Times New Roman" w:hAnsi="Times New Roman" w:cs="Times New Roman"/>
          <w:b/>
          <w:i/>
          <w:iCs/>
          <w:sz w:val="28"/>
          <w:szCs w:val="28"/>
        </w:rPr>
        <w:t>inter</w:t>
      </w:r>
      <w:r w:rsidR="003F295B" w:rsidRPr="00BC3E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295B" w:rsidRPr="00BC3E5E">
        <w:rPr>
          <w:rFonts w:ascii="Times New Roman" w:hAnsi="Times New Roman" w:cs="Times New Roman"/>
          <w:b/>
          <w:i/>
          <w:iCs/>
          <w:sz w:val="28"/>
          <w:szCs w:val="28"/>
        </w:rPr>
        <w:t>alia</w:t>
      </w:r>
      <w:r w:rsidR="003F295B" w:rsidRPr="003F295B">
        <w:rPr>
          <w:rFonts w:ascii="Times New Roman" w:hAnsi="Times New Roman" w:cs="Times New Roman"/>
          <w:iCs/>
          <w:sz w:val="28"/>
          <w:szCs w:val="28"/>
        </w:rPr>
        <w:t>,</w:t>
      </w:r>
      <w:r w:rsidR="00AD3046">
        <w:rPr>
          <w:rFonts w:ascii="Times New Roman" w:hAnsi="Times New Roman" w:cs="Times New Roman"/>
          <w:sz w:val="28"/>
          <w:szCs w:val="28"/>
        </w:rPr>
        <w:t xml:space="preserve"> that</w:t>
      </w:r>
      <w:r w:rsidR="00BC3E5E">
        <w:rPr>
          <w:rFonts w:ascii="Times New Roman" w:hAnsi="Times New Roman" w:cs="Times New Roman"/>
          <w:sz w:val="28"/>
          <w:szCs w:val="28"/>
        </w:rPr>
        <w:t>:</w:t>
      </w:r>
      <w:r w:rsidR="00AD304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F68EF4" w14:textId="786DD148" w:rsidR="00BC3E5E" w:rsidRPr="00826F8C" w:rsidRDefault="00BC3E5E" w:rsidP="003F295B">
      <w:pPr>
        <w:ind w:left="851" w:right="237" w:hanging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t xml:space="preserve">           </w:t>
      </w:r>
      <w:r w:rsidR="005B15E2">
        <w:t xml:space="preserve">     </w:t>
      </w:r>
      <w:r w:rsidR="003F295B">
        <w:t xml:space="preserve"> </w:t>
      </w:r>
      <w:r w:rsidR="00AD3046" w:rsidRPr="00826F8C">
        <w:rPr>
          <w:rFonts w:ascii="Times New Roman" w:hAnsi="Times New Roman" w:cs="Times New Roman"/>
          <w:sz w:val="28"/>
          <w:szCs w:val="28"/>
        </w:rPr>
        <w:t xml:space="preserve">… </w:t>
      </w:r>
      <w:r w:rsidR="00AD3046" w:rsidRPr="00826F8C">
        <w:rPr>
          <w:rFonts w:ascii="Times New Roman" w:hAnsi="Times New Roman" w:cs="Times New Roman"/>
          <w:b/>
          <w:i/>
          <w:sz w:val="28"/>
          <w:szCs w:val="28"/>
        </w:rPr>
        <w:t xml:space="preserve">no action or other proceedings shall be capable of being brought against </w:t>
      </w:r>
      <w:r w:rsidR="00AD3046" w:rsidRPr="00826F8C">
        <w:rPr>
          <w:rFonts w:ascii="Times New Roman" w:hAnsi="Times New Roman" w:cs="Times New Roman"/>
          <w:sz w:val="28"/>
          <w:szCs w:val="28"/>
        </w:rPr>
        <w:t>[the State]</w:t>
      </w:r>
      <w:r w:rsidR="00AD3046" w:rsidRPr="00826F8C">
        <w:rPr>
          <w:rFonts w:ascii="Times New Roman" w:hAnsi="Times New Roman" w:cs="Times New Roman"/>
          <w:b/>
          <w:i/>
          <w:sz w:val="28"/>
          <w:szCs w:val="28"/>
        </w:rPr>
        <w:t xml:space="preserve"> by virtue of the provisions of Section two of this Act after the expiration of two years from the time when the cause of action or other proceedings first accrued</w:t>
      </w:r>
      <w:r w:rsidRPr="00826F8C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1464D104" w14:textId="3AE24A64" w:rsidR="00A44562" w:rsidRDefault="00BC3E5E" w:rsidP="001222D1">
      <w:pPr>
        <w:pStyle w:val="NoSpacing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BC3E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F295B">
        <w:rPr>
          <w:rFonts w:ascii="Times New Roman" w:hAnsi="Times New Roman" w:cs="Times New Roman"/>
          <w:sz w:val="28"/>
          <w:szCs w:val="28"/>
        </w:rPr>
        <w:t xml:space="preserve"> </w:t>
      </w:r>
      <w:r w:rsidR="00AD3046" w:rsidRPr="00BC3E5E">
        <w:rPr>
          <w:rFonts w:ascii="Times New Roman" w:hAnsi="Times New Roman" w:cs="Times New Roman"/>
          <w:sz w:val="28"/>
          <w:szCs w:val="28"/>
        </w:rPr>
        <w:t xml:space="preserve">It </w:t>
      </w:r>
      <w:r w:rsidRPr="00BC3E5E">
        <w:rPr>
          <w:rFonts w:ascii="Times New Roman" w:hAnsi="Times New Roman" w:cs="Times New Roman"/>
          <w:sz w:val="28"/>
          <w:szCs w:val="28"/>
        </w:rPr>
        <w:t>was</w:t>
      </w:r>
      <w:r w:rsidR="00AD3046" w:rsidRPr="00BC3E5E">
        <w:rPr>
          <w:rFonts w:ascii="Times New Roman" w:hAnsi="Times New Roman" w:cs="Times New Roman"/>
          <w:sz w:val="28"/>
          <w:szCs w:val="28"/>
        </w:rPr>
        <w:t xml:space="preserve"> on that basis that Defendants plead</w:t>
      </w:r>
      <w:r w:rsidR="001222D1">
        <w:rPr>
          <w:rFonts w:ascii="Times New Roman" w:hAnsi="Times New Roman" w:cs="Times New Roman"/>
          <w:sz w:val="28"/>
          <w:szCs w:val="28"/>
        </w:rPr>
        <w:t>ed</w:t>
      </w:r>
      <w:r w:rsidR="00AD3046" w:rsidRPr="00BC3E5E">
        <w:rPr>
          <w:rFonts w:ascii="Times New Roman" w:hAnsi="Times New Roman" w:cs="Times New Roman"/>
          <w:sz w:val="28"/>
          <w:szCs w:val="28"/>
        </w:rPr>
        <w:t xml:space="preserve"> that Plaintiff’s claim as pleaded</w:t>
      </w:r>
    </w:p>
    <w:p w14:paraId="164CB89F" w14:textId="77777777" w:rsidR="00A44562" w:rsidRPr="00B846F6" w:rsidRDefault="00A44562" w:rsidP="00A44562">
      <w:pPr>
        <w:pStyle w:val="NoSpacing"/>
        <w:ind w:left="567" w:hanging="567"/>
        <w:jc w:val="both"/>
        <w:rPr>
          <w:rFonts w:ascii="Times New Roman" w:hAnsi="Times New Roman" w:cs="Times New Roman"/>
          <w:sz w:val="16"/>
          <w:szCs w:val="16"/>
        </w:rPr>
      </w:pPr>
    </w:p>
    <w:p w14:paraId="0EF4B43C" w14:textId="0C0E6B54" w:rsidR="00AD3046" w:rsidRDefault="00AD3046" w:rsidP="001222D1">
      <w:pPr>
        <w:pStyle w:val="NoSpacing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BC3E5E">
        <w:rPr>
          <w:rFonts w:ascii="Times New Roman" w:hAnsi="Times New Roman" w:cs="Times New Roman"/>
          <w:sz w:val="28"/>
          <w:szCs w:val="28"/>
        </w:rPr>
        <w:t xml:space="preserve"> </w:t>
      </w:r>
      <w:r w:rsidR="00A44562">
        <w:rPr>
          <w:rFonts w:ascii="Times New Roman" w:hAnsi="Times New Roman" w:cs="Times New Roman"/>
          <w:sz w:val="28"/>
          <w:szCs w:val="28"/>
        </w:rPr>
        <w:t xml:space="preserve">       </w:t>
      </w:r>
      <w:r w:rsidRPr="00BC3E5E">
        <w:rPr>
          <w:rFonts w:ascii="Times New Roman" w:hAnsi="Times New Roman" w:cs="Times New Roman"/>
          <w:sz w:val="28"/>
          <w:szCs w:val="28"/>
        </w:rPr>
        <w:t>in the summons be dismissed because it ha</w:t>
      </w:r>
      <w:r w:rsidR="001222D1">
        <w:rPr>
          <w:rFonts w:ascii="Times New Roman" w:hAnsi="Times New Roman" w:cs="Times New Roman"/>
          <w:sz w:val="28"/>
          <w:szCs w:val="28"/>
        </w:rPr>
        <w:t>d</w:t>
      </w:r>
      <w:r w:rsidRPr="00BC3E5E">
        <w:rPr>
          <w:rFonts w:ascii="Times New Roman" w:hAnsi="Times New Roman" w:cs="Times New Roman"/>
          <w:sz w:val="28"/>
          <w:szCs w:val="28"/>
        </w:rPr>
        <w:t xml:space="preserve"> prescribed.</w:t>
      </w:r>
    </w:p>
    <w:p w14:paraId="50765F0C" w14:textId="77777777" w:rsidR="003F295B" w:rsidRPr="00BC3E5E" w:rsidRDefault="003F295B" w:rsidP="00BC3E5E">
      <w:pPr>
        <w:pStyle w:val="NoSpacing"/>
        <w:ind w:left="567" w:hanging="567"/>
        <w:rPr>
          <w:rFonts w:ascii="Times New Roman" w:hAnsi="Times New Roman" w:cs="Times New Roman"/>
          <w:sz w:val="28"/>
          <w:szCs w:val="28"/>
        </w:rPr>
      </w:pPr>
    </w:p>
    <w:p w14:paraId="2DCCA8EC" w14:textId="4D3E5018" w:rsidR="00D33DE3" w:rsidRDefault="00AD3046" w:rsidP="001222D1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[</w:t>
      </w:r>
      <w:r w:rsidR="003F295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] </w:t>
      </w:r>
      <w:r w:rsidR="003F295B">
        <w:rPr>
          <w:rFonts w:ascii="Times New Roman" w:hAnsi="Times New Roman" w:cs="Times New Roman"/>
          <w:sz w:val="28"/>
          <w:szCs w:val="28"/>
        </w:rPr>
        <w:t xml:space="preserve">  </w:t>
      </w:r>
      <w:r w:rsidR="009854C6">
        <w:rPr>
          <w:rFonts w:ascii="Times New Roman" w:hAnsi="Times New Roman" w:cs="Times New Roman"/>
          <w:sz w:val="28"/>
          <w:szCs w:val="28"/>
        </w:rPr>
        <w:t xml:space="preserve">In reaction to the special </w:t>
      </w:r>
      <w:r w:rsidR="001222D1">
        <w:rPr>
          <w:rFonts w:ascii="Times New Roman" w:hAnsi="Times New Roman" w:cs="Times New Roman"/>
          <w:sz w:val="28"/>
          <w:szCs w:val="28"/>
        </w:rPr>
        <w:t>p</w:t>
      </w:r>
      <w:r w:rsidR="009854C6">
        <w:rPr>
          <w:rFonts w:ascii="Times New Roman" w:hAnsi="Times New Roman" w:cs="Times New Roman"/>
          <w:sz w:val="28"/>
          <w:szCs w:val="28"/>
        </w:rPr>
        <w:t xml:space="preserve">lea, Plaintiff filed a </w:t>
      </w:r>
      <w:r w:rsidR="001222D1">
        <w:rPr>
          <w:rFonts w:ascii="Times New Roman" w:hAnsi="Times New Roman" w:cs="Times New Roman"/>
          <w:sz w:val="28"/>
          <w:szCs w:val="28"/>
        </w:rPr>
        <w:t>r</w:t>
      </w:r>
      <w:r w:rsidR="009854C6">
        <w:rPr>
          <w:rFonts w:ascii="Times New Roman" w:hAnsi="Times New Roman" w:cs="Times New Roman"/>
          <w:sz w:val="28"/>
          <w:szCs w:val="28"/>
        </w:rPr>
        <w:t xml:space="preserve">eplication wherein she </w:t>
      </w:r>
      <w:r w:rsidR="001222D1">
        <w:rPr>
          <w:rFonts w:ascii="Times New Roman" w:hAnsi="Times New Roman" w:cs="Times New Roman"/>
          <w:sz w:val="28"/>
          <w:szCs w:val="28"/>
        </w:rPr>
        <w:t xml:space="preserve">pointed out that she </w:t>
      </w:r>
      <w:r w:rsidR="009854C6">
        <w:rPr>
          <w:rFonts w:ascii="Times New Roman" w:hAnsi="Times New Roman" w:cs="Times New Roman"/>
          <w:sz w:val="28"/>
          <w:szCs w:val="28"/>
        </w:rPr>
        <w:t xml:space="preserve">“notes” Defendant’s special </w:t>
      </w:r>
      <w:r w:rsidR="001222D1">
        <w:rPr>
          <w:rFonts w:ascii="Times New Roman" w:hAnsi="Times New Roman" w:cs="Times New Roman"/>
          <w:sz w:val="28"/>
          <w:szCs w:val="28"/>
        </w:rPr>
        <w:t>p</w:t>
      </w:r>
      <w:r w:rsidR="009854C6">
        <w:rPr>
          <w:rFonts w:ascii="Times New Roman" w:hAnsi="Times New Roman" w:cs="Times New Roman"/>
          <w:sz w:val="28"/>
          <w:szCs w:val="28"/>
        </w:rPr>
        <w:t xml:space="preserve">lea of prescription. </w:t>
      </w:r>
      <w:r w:rsidR="001222D1">
        <w:rPr>
          <w:rFonts w:ascii="Times New Roman" w:hAnsi="Times New Roman" w:cs="Times New Roman"/>
          <w:sz w:val="28"/>
          <w:szCs w:val="28"/>
        </w:rPr>
        <w:t>Plaintiff’s r</w:t>
      </w:r>
      <w:r w:rsidR="009854C6">
        <w:rPr>
          <w:rFonts w:ascii="Times New Roman" w:hAnsi="Times New Roman" w:cs="Times New Roman"/>
          <w:sz w:val="28"/>
          <w:szCs w:val="28"/>
        </w:rPr>
        <w:t xml:space="preserve">eplication </w:t>
      </w:r>
      <w:r w:rsidR="001222D1">
        <w:rPr>
          <w:rFonts w:ascii="Times New Roman" w:hAnsi="Times New Roman" w:cs="Times New Roman"/>
          <w:sz w:val="28"/>
          <w:szCs w:val="28"/>
        </w:rPr>
        <w:t xml:space="preserve">was accompanied by the </w:t>
      </w:r>
      <w:r w:rsidR="009854C6">
        <w:rPr>
          <w:rFonts w:ascii="Times New Roman" w:hAnsi="Times New Roman" w:cs="Times New Roman"/>
          <w:sz w:val="28"/>
          <w:szCs w:val="28"/>
        </w:rPr>
        <w:t>present application</w:t>
      </w:r>
      <w:r>
        <w:rPr>
          <w:rFonts w:ascii="Times New Roman" w:hAnsi="Times New Roman" w:cs="Times New Roman"/>
          <w:sz w:val="28"/>
          <w:szCs w:val="28"/>
        </w:rPr>
        <w:t xml:space="preserve"> seeking an order for condonation of late filing of her summons.</w:t>
      </w:r>
      <w:r w:rsidR="009854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In motivating the condonation application Adv.</w:t>
      </w:r>
      <w:r w:rsidR="00D33DE3">
        <w:rPr>
          <w:rFonts w:ascii="Times New Roman" w:hAnsi="Times New Roman" w:cs="Times New Roman"/>
          <w:sz w:val="28"/>
          <w:szCs w:val="28"/>
        </w:rPr>
        <w:t>,</w:t>
      </w:r>
      <w:r w:rsidR="00FC6B95">
        <w:rPr>
          <w:rFonts w:ascii="Times New Roman" w:hAnsi="Times New Roman" w:cs="Times New Roman"/>
          <w:sz w:val="28"/>
          <w:szCs w:val="28"/>
        </w:rPr>
        <w:t xml:space="preserve"> Rakharebe </w:t>
      </w:r>
      <w:r w:rsidR="00461BF1">
        <w:rPr>
          <w:rFonts w:ascii="Times New Roman" w:hAnsi="Times New Roman" w:cs="Times New Roman"/>
          <w:sz w:val="28"/>
          <w:szCs w:val="28"/>
        </w:rPr>
        <w:t>for Plaintiff</w:t>
      </w:r>
      <w:r w:rsidR="00D33DE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argued </w:t>
      </w:r>
      <w:r w:rsidR="00FC6B95">
        <w:rPr>
          <w:rFonts w:ascii="Times New Roman" w:hAnsi="Times New Roman" w:cs="Times New Roman"/>
          <w:sz w:val="28"/>
          <w:szCs w:val="28"/>
        </w:rPr>
        <w:t xml:space="preserve">that the </w:t>
      </w:r>
      <w:r w:rsidR="00377419">
        <w:rPr>
          <w:rFonts w:ascii="Times New Roman" w:hAnsi="Times New Roman" w:cs="Times New Roman"/>
          <w:sz w:val="28"/>
          <w:szCs w:val="28"/>
        </w:rPr>
        <w:t>delay on Applicant’s</w:t>
      </w:r>
      <w:r>
        <w:rPr>
          <w:rFonts w:ascii="Times New Roman" w:hAnsi="Times New Roman" w:cs="Times New Roman"/>
          <w:sz w:val="28"/>
          <w:szCs w:val="28"/>
        </w:rPr>
        <w:t>/Plaintiff’s</w:t>
      </w:r>
      <w:r w:rsidR="00377419">
        <w:rPr>
          <w:rFonts w:ascii="Times New Roman" w:hAnsi="Times New Roman" w:cs="Times New Roman"/>
          <w:sz w:val="28"/>
          <w:szCs w:val="28"/>
        </w:rPr>
        <w:t xml:space="preserve"> part in filing this case was not intentional because the </w:t>
      </w:r>
      <w:r w:rsidR="00FC6B95">
        <w:rPr>
          <w:rFonts w:ascii="Times New Roman" w:hAnsi="Times New Roman" w:cs="Times New Roman"/>
          <w:sz w:val="28"/>
          <w:szCs w:val="28"/>
        </w:rPr>
        <w:t>matter was still being dealt with within the Lesotho Defence Force</w:t>
      </w:r>
      <w:r w:rsidR="0037741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7F635E9" w14:textId="5BBC5D6C" w:rsidR="00BE3270" w:rsidRDefault="00D33DE3" w:rsidP="00D33DE3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[4]  </w:t>
      </w:r>
      <w:r w:rsidR="00377419">
        <w:rPr>
          <w:rFonts w:ascii="Times New Roman" w:hAnsi="Times New Roman" w:cs="Times New Roman"/>
          <w:sz w:val="28"/>
          <w:szCs w:val="28"/>
        </w:rPr>
        <w:t>She prayed that c</w:t>
      </w:r>
      <w:r w:rsidR="00FC6B95">
        <w:rPr>
          <w:rFonts w:ascii="Times New Roman" w:hAnsi="Times New Roman" w:cs="Times New Roman"/>
          <w:sz w:val="28"/>
          <w:szCs w:val="28"/>
        </w:rPr>
        <w:t xml:space="preserve">ondonation be granted in the interests of </w:t>
      </w:r>
      <w:r w:rsidR="00BE3270">
        <w:rPr>
          <w:rFonts w:ascii="Times New Roman" w:hAnsi="Times New Roman" w:cs="Times New Roman"/>
          <w:sz w:val="28"/>
          <w:szCs w:val="28"/>
        </w:rPr>
        <w:t>justice as anticipated b</w:t>
      </w:r>
      <w:r w:rsidR="00CF78CF">
        <w:rPr>
          <w:rFonts w:ascii="Times New Roman" w:hAnsi="Times New Roman" w:cs="Times New Roman"/>
          <w:sz w:val="28"/>
          <w:szCs w:val="28"/>
        </w:rPr>
        <w:t>y</w:t>
      </w:r>
      <w:r w:rsidR="00BE3270">
        <w:rPr>
          <w:rFonts w:ascii="Times New Roman" w:hAnsi="Times New Roman" w:cs="Times New Roman"/>
          <w:sz w:val="28"/>
          <w:szCs w:val="28"/>
        </w:rPr>
        <w:t xml:space="preserve"> </w:t>
      </w:r>
      <w:r w:rsidR="00BE3270" w:rsidRPr="00377419">
        <w:rPr>
          <w:rFonts w:ascii="Times New Roman" w:hAnsi="Times New Roman" w:cs="Times New Roman"/>
          <w:bCs/>
          <w:sz w:val="28"/>
          <w:szCs w:val="28"/>
        </w:rPr>
        <w:t xml:space="preserve">Rule 59 of the </w:t>
      </w:r>
      <w:r w:rsidR="00377419" w:rsidRPr="00377419">
        <w:rPr>
          <w:rFonts w:ascii="Times New Roman" w:hAnsi="Times New Roman" w:cs="Times New Roman"/>
          <w:bCs/>
          <w:sz w:val="28"/>
          <w:szCs w:val="28"/>
        </w:rPr>
        <w:t>Rules of this court</w:t>
      </w:r>
      <w:r w:rsidR="00377419">
        <w:rPr>
          <w:rStyle w:val="FootnoteReference"/>
          <w:rFonts w:ascii="Times New Roman" w:hAnsi="Times New Roman" w:cs="Times New Roman"/>
          <w:sz w:val="28"/>
          <w:szCs w:val="28"/>
        </w:rPr>
        <w:footnoteReference w:id="1"/>
      </w:r>
      <w:r w:rsidR="00BE3270">
        <w:rPr>
          <w:rFonts w:ascii="Times New Roman" w:hAnsi="Times New Roman" w:cs="Times New Roman"/>
          <w:sz w:val="28"/>
          <w:szCs w:val="28"/>
        </w:rPr>
        <w:t xml:space="preserve"> which gives this </w:t>
      </w:r>
      <w:r w:rsidR="00377419">
        <w:rPr>
          <w:rFonts w:ascii="Times New Roman" w:hAnsi="Times New Roman" w:cs="Times New Roman"/>
          <w:sz w:val="28"/>
          <w:szCs w:val="28"/>
        </w:rPr>
        <w:t>c</w:t>
      </w:r>
      <w:r w:rsidR="00BE3270">
        <w:rPr>
          <w:rFonts w:ascii="Times New Roman" w:hAnsi="Times New Roman" w:cs="Times New Roman"/>
          <w:sz w:val="28"/>
          <w:szCs w:val="28"/>
        </w:rPr>
        <w:t xml:space="preserve">ourt a </w:t>
      </w:r>
      <w:r w:rsidR="00BE3270">
        <w:rPr>
          <w:rFonts w:ascii="Times New Roman" w:hAnsi="Times New Roman" w:cs="Times New Roman"/>
          <w:sz w:val="28"/>
          <w:szCs w:val="28"/>
        </w:rPr>
        <w:lastRenderedPageBreak/>
        <w:t xml:space="preserve">discretion, to condone the late filing of any proceedings in which </w:t>
      </w:r>
      <w:r w:rsidR="00377419">
        <w:rPr>
          <w:rFonts w:ascii="Times New Roman" w:hAnsi="Times New Roman" w:cs="Times New Roman"/>
          <w:sz w:val="28"/>
          <w:szCs w:val="28"/>
        </w:rPr>
        <w:t>any</w:t>
      </w:r>
      <w:r w:rsidR="00BE3270">
        <w:rPr>
          <w:rFonts w:ascii="Times New Roman" w:hAnsi="Times New Roman" w:cs="Times New Roman"/>
          <w:sz w:val="28"/>
          <w:szCs w:val="28"/>
        </w:rPr>
        <w:t xml:space="preserve"> provision of the Rules ha</w:t>
      </w:r>
      <w:r w:rsidR="00377419">
        <w:rPr>
          <w:rFonts w:ascii="Times New Roman" w:hAnsi="Times New Roman" w:cs="Times New Roman"/>
          <w:sz w:val="28"/>
          <w:szCs w:val="28"/>
        </w:rPr>
        <w:t>s</w:t>
      </w:r>
      <w:r w:rsidR="00BE3270">
        <w:rPr>
          <w:rFonts w:ascii="Times New Roman" w:hAnsi="Times New Roman" w:cs="Times New Roman"/>
          <w:sz w:val="28"/>
          <w:szCs w:val="28"/>
        </w:rPr>
        <w:t xml:space="preserve"> not been followed. </w:t>
      </w:r>
      <w:r w:rsidR="00377419">
        <w:rPr>
          <w:rFonts w:ascii="Times New Roman" w:hAnsi="Times New Roman" w:cs="Times New Roman"/>
          <w:sz w:val="28"/>
          <w:szCs w:val="28"/>
        </w:rPr>
        <w:t>She submitted t</w:t>
      </w:r>
      <w:r w:rsidR="00BE3270">
        <w:rPr>
          <w:rFonts w:ascii="Times New Roman" w:hAnsi="Times New Roman" w:cs="Times New Roman"/>
          <w:sz w:val="28"/>
          <w:szCs w:val="28"/>
        </w:rPr>
        <w:t>hat it was 1</w:t>
      </w:r>
      <w:r w:rsidR="00BE3270" w:rsidRPr="00BE3270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="00BE3270">
        <w:rPr>
          <w:rFonts w:ascii="Times New Roman" w:hAnsi="Times New Roman" w:cs="Times New Roman"/>
          <w:sz w:val="28"/>
          <w:szCs w:val="28"/>
        </w:rPr>
        <w:t xml:space="preserve"> and 2</w:t>
      </w:r>
      <w:r w:rsidR="00BE3270" w:rsidRPr="00BE3270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 w:rsidR="00BE3270">
        <w:rPr>
          <w:rFonts w:ascii="Times New Roman" w:hAnsi="Times New Roman" w:cs="Times New Roman"/>
          <w:sz w:val="28"/>
          <w:szCs w:val="28"/>
        </w:rPr>
        <w:t xml:space="preserve"> Respondents</w:t>
      </w:r>
      <w:r w:rsidR="00377419">
        <w:rPr>
          <w:rFonts w:ascii="Times New Roman" w:hAnsi="Times New Roman" w:cs="Times New Roman"/>
          <w:sz w:val="28"/>
          <w:szCs w:val="28"/>
        </w:rPr>
        <w:t>’</w:t>
      </w:r>
      <w:r w:rsidR="00BE3270">
        <w:rPr>
          <w:rFonts w:ascii="Times New Roman" w:hAnsi="Times New Roman" w:cs="Times New Roman"/>
          <w:sz w:val="28"/>
          <w:szCs w:val="28"/>
        </w:rPr>
        <w:t xml:space="preserve"> </w:t>
      </w:r>
      <w:r w:rsidR="00A86147">
        <w:rPr>
          <w:rFonts w:ascii="Times New Roman" w:hAnsi="Times New Roman" w:cs="Times New Roman"/>
          <w:sz w:val="28"/>
          <w:szCs w:val="28"/>
        </w:rPr>
        <w:t>making</w:t>
      </w:r>
      <w:r w:rsidR="00BE3270">
        <w:rPr>
          <w:rFonts w:ascii="Times New Roman" w:hAnsi="Times New Roman" w:cs="Times New Roman"/>
          <w:sz w:val="28"/>
          <w:szCs w:val="28"/>
        </w:rPr>
        <w:t xml:space="preserve"> that the </w:t>
      </w:r>
      <w:r w:rsidR="00233CA4">
        <w:rPr>
          <w:rFonts w:ascii="Times New Roman" w:hAnsi="Times New Roman" w:cs="Times New Roman"/>
          <w:sz w:val="28"/>
          <w:szCs w:val="28"/>
        </w:rPr>
        <w:t>action proceedings</w:t>
      </w:r>
      <w:r w:rsidR="00BE3270">
        <w:rPr>
          <w:rFonts w:ascii="Times New Roman" w:hAnsi="Times New Roman" w:cs="Times New Roman"/>
          <w:sz w:val="28"/>
          <w:szCs w:val="28"/>
        </w:rPr>
        <w:t xml:space="preserve"> w</w:t>
      </w:r>
      <w:r w:rsidR="00233CA4">
        <w:rPr>
          <w:rFonts w:ascii="Times New Roman" w:hAnsi="Times New Roman" w:cs="Times New Roman"/>
          <w:sz w:val="28"/>
          <w:szCs w:val="28"/>
        </w:rPr>
        <w:t>ere</w:t>
      </w:r>
      <w:r w:rsidR="00BE3270">
        <w:rPr>
          <w:rFonts w:ascii="Times New Roman" w:hAnsi="Times New Roman" w:cs="Times New Roman"/>
          <w:sz w:val="28"/>
          <w:szCs w:val="28"/>
        </w:rPr>
        <w:t xml:space="preserve"> filed </w:t>
      </w:r>
      <w:r w:rsidR="00377419">
        <w:rPr>
          <w:rFonts w:ascii="Times New Roman" w:hAnsi="Times New Roman" w:cs="Times New Roman"/>
          <w:sz w:val="28"/>
          <w:szCs w:val="28"/>
        </w:rPr>
        <w:t>out of time</w:t>
      </w:r>
      <w:r w:rsidR="00BE327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3270">
        <w:rPr>
          <w:rFonts w:ascii="Times New Roman" w:hAnsi="Times New Roman" w:cs="Times New Roman"/>
          <w:sz w:val="28"/>
          <w:szCs w:val="28"/>
        </w:rPr>
        <w:t xml:space="preserve">She </w:t>
      </w:r>
      <w:r w:rsidR="00377419">
        <w:rPr>
          <w:rFonts w:ascii="Times New Roman" w:hAnsi="Times New Roman" w:cs="Times New Roman"/>
          <w:sz w:val="28"/>
          <w:szCs w:val="28"/>
        </w:rPr>
        <w:t xml:space="preserve">relied on a number of cases and </w:t>
      </w:r>
      <w:r w:rsidR="00BE3270">
        <w:rPr>
          <w:rFonts w:ascii="Times New Roman" w:hAnsi="Times New Roman" w:cs="Times New Roman"/>
          <w:sz w:val="28"/>
          <w:szCs w:val="28"/>
        </w:rPr>
        <w:t xml:space="preserve">took the </w:t>
      </w:r>
      <w:r w:rsidR="00377419">
        <w:rPr>
          <w:rFonts w:ascii="Times New Roman" w:hAnsi="Times New Roman" w:cs="Times New Roman"/>
          <w:sz w:val="28"/>
          <w:szCs w:val="28"/>
        </w:rPr>
        <w:t>c</w:t>
      </w:r>
      <w:r w:rsidR="00BE3270">
        <w:rPr>
          <w:rFonts w:ascii="Times New Roman" w:hAnsi="Times New Roman" w:cs="Times New Roman"/>
          <w:sz w:val="28"/>
          <w:szCs w:val="28"/>
        </w:rPr>
        <w:t>ourt through the requisites</w:t>
      </w:r>
      <w:r w:rsidR="00377419">
        <w:rPr>
          <w:rFonts w:ascii="Times New Roman" w:hAnsi="Times New Roman" w:cs="Times New Roman"/>
          <w:sz w:val="28"/>
          <w:szCs w:val="28"/>
        </w:rPr>
        <w:t xml:space="preserve"> of</w:t>
      </w:r>
      <w:r w:rsidR="00BE3270">
        <w:rPr>
          <w:rFonts w:ascii="Times New Roman" w:hAnsi="Times New Roman" w:cs="Times New Roman"/>
          <w:sz w:val="28"/>
          <w:szCs w:val="28"/>
        </w:rPr>
        <w:t xml:space="preserve"> a condonation application as enunciated in </w:t>
      </w:r>
      <w:bookmarkStart w:id="1" w:name="_Hlk96345105"/>
      <w:r w:rsidR="00BE3270" w:rsidRPr="00B26860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Lesotho Nissan (Pty) Ltd </w:t>
      </w:r>
      <w:r w:rsidR="00377419" w:rsidRPr="00B26860">
        <w:rPr>
          <w:rFonts w:ascii="Times New Roman" w:hAnsi="Times New Roman" w:cs="Times New Roman"/>
          <w:b/>
          <w:bCs/>
          <w:i/>
          <w:sz w:val="28"/>
          <w:szCs w:val="28"/>
        </w:rPr>
        <w:t>v</w:t>
      </w:r>
      <w:r w:rsidR="00BE3270" w:rsidRPr="00B26860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Katiso Makara</w:t>
      </w:r>
      <w:r w:rsidR="00377419" w:rsidRPr="00B26860">
        <w:rPr>
          <w:rStyle w:val="FootnoteReference"/>
          <w:rFonts w:ascii="Times New Roman" w:hAnsi="Times New Roman" w:cs="Times New Roman"/>
          <w:b/>
          <w:bCs/>
          <w:i/>
          <w:sz w:val="28"/>
          <w:szCs w:val="28"/>
        </w:rPr>
        <w:footnoteReference w:id="2"/>
      </w:r>
      <w:r w:rsidR="00BE3270" w:rsidRPr="00B2686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E3270" w:rsidRPr="00B26860">
        <w:rPr>
          <w:rFonts w:ascii="Times New Roman" w:hAnsi="Times New Roman" w:cs="Times New Roman"/>
          <w:sz w:val="28"/>
          <w:szCs w:val="28"/>
        </w:rPr>
        <w:t>and</w:t>
      </w:r>
      <w:r w:rsidR="00BE3270" w:rsidRPr="00B2686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E3270" w:rsidRPr="00B26860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Melane </w:t>
      </w:r>
      <w:r w:rsidR="00377419" w:rsidRPr="00B26860">
        <w:rPr>
          <w:rFonts w:ascii="Times New Roman" w:hAnsi="Times New Roman" w:cs="Times New Roman"/>
          <w:b/>
          <w:bCs/>
          <w:i/>
          <w:sz w:val="28"/>
          <w:szCs w:val="28"/>
        </w:rPr>
        <w:t>v</w:t>
      </w:r>
      <w:r w:rsidR="00BE3270" w:rsidRPr="00B26860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Santam</w:t>
      </w:r>
      <w:r w:rsidR="00377419" w:rsidRPr="00B26860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BE3270" w:rsidRPr="00B26860">
        <w:rPr>
          <w:rFonts w:ascii="Times New Roman" w:hAnsi="Times New Roman" w:cs="Times New Roman"/>
          <w:b/>
          <w:bCs/>
          <w:i/>
          <w:sz w:val="28"/>
          <w:szCs w:val="28"/>
        </w:rPr>
        <w:t>Insurance Co</w:t>
      </w:r>
      <w:r w:rsidR="00BE3270" w:rsidRPr="00B26860">
        <w:rPr>
          <w:rFonts w:ascii="Times New Roman" w:hAnsi="Times New Roman" w:cs="Times New Roman"/>
          <w:b/>
          <w:i/>
          <w:sz w:val="28"/>
          <w:szCs w:val="28"/>
        </w:rPr>
        <w:t>., (Ltd)</w:t>
      </w:r>
      <w:r w:rsidR="00B25F50" w:rsidRPr="00826F8C">
        <w:rPr>
          <w:rFonts w:ascii="Times New Roman" w:hAnsi="Times New Roman" w:cs="Times New Roman"/>
          <w:sz w:val="28"/>
          <w:szCs w:val="28"/>
        </w:rPr>
        <w:t>.</w:t>
      </w:r>
      <w:r w:rsidR="00B25F50" w:rsidRPr="00B26860">
        <w:rPr>
          <w:rStyle w:val="FootnoteReference"/>
          <w:rFonts w:ascii="Times New Roman" w:hAnsi="Times New Roman" w:cs="Times New Roman"/>
          <w:b/>
          <w:i/>
          <w:sz w:val="28"/>
          <w:szCs w:val="28"/>
        </w:rPr>
        <w:footnoteReference w:id="3"/>
      </w:r>
    </w:p>
    <w:bookmarkEnd w:id="1"/>
    <w:p w14:paraId="56246C9C" w14:textId="34722229" w:rsidR="006E6127" w:rsidRPr="00273057" w:rsidRDefault="00BE3270" w:rsidP="005F6C6D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[</w:t>
      </w:r>
      <w:r w:rsidR="00D33DE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]</w:t>
      </w:r>
      <w:r w:rsidR="005F6C6D">
        <w:rPr>
          <w:rFonts w:ascii="Times New Roman" w:hAnsi="Times New Roman" w:cs="Times New Roman"/>
          <w:sz w:val="28"/>
          <w:szCs w:val="28"/>
        </w:rPr>
        <w:t xml:space="preserve">    </w:t>
      </w:r>
      <w:r w:rsidR="00CF78CF">
        <w:rPr>
          <w:rFonts w:ascii="Times New Roman" w:hAnsi="Times New Roman" w:cs="Times New Roman"/>
          <w:sz w:val="28"/>
          <w:szCs w:val="28"/>
        </w:rPr>
        <w:t xml:space="preserve">In </w:t>
      </w:r>
      <w:r w:rsidR="00B25F50">
        <w:rPr>
          <w:rFonts w:ascii="Times New Roman" w:hAnsi="Times New Roman" w:cs="Times New Roman"/>
          <w:sz w:val="28"/>
          <w:szCs w:val="28"/>
        </w:rPr>
        <w:t>r</w:t>
      </w:r>
      <w:r w:rsidR="00CF78CF">
        <w:rPr>
          <w:rFonts w:ascii="Times New Roman" w:hAnsi="Times New Roman" w:cs="Times New Roman"/>
          <w:sz w:val="28"/>
          <w:szCs w:val="28"/>
        </w:rPr>
        <w:t>eply Adv.,</w:t>
      </w:r>
      <w:r w:rsidR="00487536">
        <w:rPr>
          <w:rFonts w:ascii="Times New Roman" w:hAnsi="Times New Roman" w:cs="Times New Roman"/>
          <w:sz w:val="28"/>
          <w:szCs w:val="28"/>
        </w:rPr>
        <w:t xml:space="preserve"> </w:t>
      </w:r>
      <w:r w:rsidR="00CF78CF">
        <w:rPr>
          <w:rFonts w:ascii="Times New Roman" w:hAnsi="Times New Roman" w:cs="Times New Roman"/>
          <w:sz w:val="28"/>
          <w:szCs w:val="28"/>
        </w:rPr>
        <w:t xml:space="preserve">Thakalekoala </w:t>
      </w:r>
      <w:r w:rsidR="00A86147">
        <w:rPr>
          <w:rFonts w:ascii="Times New Roman" w:hAnsi="Times New Roman" w:cs="Times New Roman"/>
          <w:sz w:val="28"/>
          <w:szCs w:val="28"/>
        </w:rPr>
        <w:t xml:space="preserve">underscored </w:t>
      </w:r>
      <w:r w:rsidR="00CF78CF">
        <w:rPr>
          <w:rFonts w:ascii="Times New Roman" w:hAnsi="Times New Roman" w:cs="Times New Roman"/>
          <w:sz w:val="28"/>
          <w:szCs w:val="28"/>
        </w:rPr>
        <w:t>the words</w:t>
      </w:r>
      <w:r w:rsidR="00A86147">
        <w:rPr>
          <w:rFonts w:ascii="Times New Roman" w:hAnsi="Times New Roman" w:cs="Times New Roman"/>
          <w:sz w:val="28"/>
          <w:szCs w:val="28"/>
        </w:rPr>
        <w:t xml:space="preserve"> </w:t>
      </w:r>
      <w:r w:rsidR="00CF78CF">
        <w:rPr>
          <w:rFonts w:ascii="Times New Roman" w:hAnsi="Times New Roman" w:cs="Times New Roman"/>
          <w:sz w:val="28"/>
          <w:szCs w:val="28"/>
        </w:rPr>
        <w:t>“</w:t>
      </w:r>
      <w:r w:rsidR="00CF78CF" w:rsidRPr="00B922E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proceedings in which the provisions of these Rules are not </w:t>
      </w:r>
      <w:r w:rsidR="00426BBD" w:rsidRPr="00B922ED">
        <w:rPr>
          <w:rFonts w:ascii="Times New Roman" w:hAnsi="Times New Roman" w:cs="Times New Roman"/>
          <w:b/>
          <w:bCs/>
          <w:i/>
          <w:sz w:val="28"/>
          <w:szCs w:val="28"/>
        </w:rPr>
        <w:t>f</w:t>
      </w:r>
      <w:r w:rsidR="00CF78CF" w:rsidRPr="00B922ED">
        <w:rPr>
          <w:rFonts w:ascii="Times New Roman" w:hAnsi="Times New Roman" w:cs="Times New Roman"/>
          <w:b/>
          <w:bCs/>
          <w:i/>
          <w:sz w:val="28"/>
          <w:szCs w:val="28"/>
        </w:rPr>
        <w:t>ollowed</w:t>
      </w:r>
      <w:r w:rsidR="00CF78CF" w:rsidRPr="00756E5A">
        <w:rPr>
          <w:rFonts w:ascii="Times New Roman" w:hAnsi="Times New Roman" w:cs="Times New Roman"/>
          <w:sz w:val="28"/>
          <w:szCs w:val="28"/>
        </w:rPr>
        <w:t>”</w:t>
      </w:r>
      <w:r w:rsidR="00CF78CF">
        <w:rPr>
          <w:rFonts w:ascii="Times New Roman" w:hAnsi="Times New Roman" w:cs="Times New Roman"/>
          <w:sz w:val="28"/>
          <w:szCs w:val="28"/>
        </w:rPr>
        <w:t xml:space="preserve"> </w:t>
      </w:r>
      <w:r w:rsidR="00A86147">
        <w:rPr>
          <w:rFonts w:ascii="Times New Roman" w:hAnsi="Times New Roman" w:cs="Times New Roman"/>
          <w:sz w:val="28"/>
          <w:szCs w:val="28"/>
        </w:rPr>
        <w:t xml:space="preserve">in Rule 59. </w:t>
      </w:r>
      <w:r w:rsidR="005A15C2">
        <w:rPr>
          <w:rFonts w:ascii="Times New Roman" w:hAnsi="Times New Roman" w:cs="Times New Roman"/>
          <w:sz w:val="28"/>
          <w:szCs w:val="28"/>
        </w:rPr>
        <w:t xml:space="preserve">He argued that the condonation envisaged in Rule 59 relates to condonation over the infringement of the Rules of this </w:t>
      </w:r>
      <w:r w:rsidR="0041185E">
        <w:rPr>
          <w:rFonts w:ascii="Times New Roman" w:hAnsi="Times New Roman" w:cs="Times New Roman"/>
          <w:sz w:val="28"/>
          <w:szCs w:val="28"/>
        </w:rPr>
        <w:t>c</w:t>
      </w:r>
      <w:r w:rsidR="005A15C2">
        <w:rPr>
          <w:rFonts w:ascii="Times New Roman" w:hAnsi="Times New Roman" w:cs="Times New Roman"/>
          <w:sz w:val="28"/>
          <w:szCs w:val="28"/>
        </w:rPr>
        <w:t xml:space="preserve">ourt as contained therein not </w:t>
      </w:r>
      <w:r w:rsidR="00A86147">
        <w:rPr>
          <w:rFonts w:ascii="Times New Roman" w:hAnsi="Times New Roman" w:cs="Times New Roman"/>
          <w:sz w:val="28"/>
          <w:szCs w:val="28"/>
        </w:rPr>
        <w:t xml:space="preserve">over </w:t>
      </w:r>
      <w:r w:rsidR="005A15C2">
        <w:rPr>
          <w:rFonts w:ascii="Times New Roman" w:hAnsi="Times New Roman" w:cs="Times New Roman"/>
          <w:sz w:val="28"/>
          <w:szCs w:val="28"/>
        </w:rPr>
        <w:t>other piece</w:t>
      </w:r>
      <w:r w:rsidR="00A86147">
        <w:rPr>
          <w:rFonts w:ascii="Times New Roman" w:hAnsi="Times New Roman" w:cs="Times New Roman"/>
          <w:sz w:val="28"/>
          <w:szCs w:val="28"/>
        </w:rPr>
        <w:t>s</w:t>
      </w:r>
      <w:r w:rsidR="005A15C2">
        <w:rPr>
          <w:rFonts w:ascii="Times New Roman" w:hAnsi="Times New Roman" w:cs="Times New Roman"/>
          <w:sz w:val="28"/>
          <w:szCs w:val="28"/>
        </w:rPr>
        <w:t xml:space="preserve"> of </w:t>
      </w:r>
      <w:r w:rsidR="005A15C2" w:rsidRPr="00A86147">
        <w:rPr>
          <w:rFonts w:ascii="Times New Roman" w:hAnsi="Times New Roman" w:cs="Times New Roman"/>
          <w:bCs/>
          <w:sz w:val="28"/>
          <w:szCs w:val="28"/>
        </w:rPr>
        <w:t xml:space="preserve">legislation </w:t>
      </w:r>
      <w:r w:rsidR="00A86147">
        <w:rPr>
          <w:rFonts w:ascii="Times New Roman" w:hAnsi="Times New Roman" w:cs="Times New Roman"/>
          <w:bCs/>
          <w:sz w:val="28"/>
          <w:szCs w:val="28"/>
        </w:rPr>
        <w:t xml:space="preserve">such </w:t>
      </w:r>
      <w:r w:rsidR="005A15C2" w:rsidRPr="00A86147">
        <w:rPr>
          <w:rFonts w:ascii="Times New Roman" w:hAnsi="Times New Roman" w:cs="Times New Roman"/>
          <w:bCs/>
          <w:sz w:val="28"/>
          <w:szCs w:val="28"/>
        </w:rPr>
        <w:t xml:space="preserve">as the </w:t>
      </w:r>
      <w:bookmarkStart w:id="2" w:name="_Hlk96345419"/>
      <w:r w:rsidR="005A15C2" w:rsidRPr="00B922ED">
        <w:rPr>
          <w:rFonts w:ascii="Times New Roman" w:hAnsi="Times New Roman" w:cs="Times New Roman"/>
          <w:bCs/>
          <w:sz w:val="28"/>
          <w:szCs w:val="28"/>
        </w:rPr>
        <w:t xml:space="preserve">Government Contracts and Proceedings </w:t>
      </w:r>
      <w:r w:rsidR="005A15C2" w:rsidRPr="00B922ED">
        <w:rPr>
          <w:rFonts w:ascii="Times New Roman" w:hAnsi="Times New Roman" w:cs="Times New Roman"/>
          <w:sz w:val="28"/>
          <w:szCs w:val="28"/>
        </w:rPr>
        <w:t>Act</w:t>
      </w:r>
      <w:bookmarkEnd w:id="2"/>
      <w:r w:rsidR="00B922ED" w:rsidRPr="00B922ED">
        <w:rPr>
          <w:rFonts w:ascii="Times New Roman" w:hAnsi="Times New Roman" w:cs="Times New Roman"/>
          <w:sz w:val="28"/>
          <w:szCs w:val="28"/>
        </w:rPr>
        <w:t>.</w:t>
      </w:r>
      <w:r w:rsidR="00A86147" w:rsidRPr="00A86147">
        <w:rPr>
          <w:rStyle w:val="FootnoteReference"/>
          <w:rFonts w:ascii="Times New Roman" w:hAnsi="Times New Roman" w:cs="Times New Roman"/>
          <w:b/>
          <w:sz w:val="28"/>
          <w:szCs w:val="28"/>
        </w:rPr>
        <w:footnoteReference w:id="4"/>
      </w:r>
      <w:r w:rsidR="00A86147">
        <w:rPr>
          <w:rFonts w:ascii="Times New Roman" w:hAnsi="Times New Roman" w:cs="Times New Roman"/>
          <w:sz w:val="28"/>
          <w:szCs w:val="28"/>
        </w:rPr>
        <w:t xml:space="preserve">  He contended that in terms of Section 6 of this Act a</w:t>
      </w:r>
      <w:r w:rsidR="006E6127">
        <w:rPr>
          <w:rFonts w:ascii="Times New Roman" w:hAnsi="Times New Roman" w:cs="Times New Roman"/>
          <w:sz w:val="28"/>
          <w:szCs w:val="28"/>
        </w:rPr>
        <w:t>n</w:t>
      </w:r>
      <w:r w:rsidR="00A86147">
        <w:rPr>
          <w:rFonts w:ascii="Times New Roman" w:hAnsi="Times New Roman" w:cs="Times New Roman"/>
          <w:sz w:val="28"/>
          <w:szCs w:val="28"/>
        </w:rPr>
        <w:t>y</w:t>
      </w:r>
      <w:r w:rsidR="006E6127">
        <w:rPr>
          <w:rFonts w:ascii="Times New Roman" w:hAnsi="Times New Roman" w:cs="Times New Roman"/>
          <w:sz w:val="28"/>
          <w:szCs w:val="28"/>
        </w:rPr>
        <w:t xml:space="preserve"> action against the </w:t>
      </w:r>
      <w:r w:rsidR="00A86147">
        <w:rPr>
          <w:rFonts w:ascii="Times New Roman" w:hAnsi="Times New Roman" w:cs="Times New Roman"/>
          <w:sz w:val="28"/>
          <w:szCs w:val="28"/>
        </w:rPr>
        <w:t>State</w:t>
      </w:r>
      <w:r w:rsidR="006E6127">
        <w:rPr>
          <w:rFonts w:ascii="Times New Roman" w:hAnsi="Times New Roman" w:cs="Times New Roman"/>
          <w:sz w:val="28"/>
          <w:szCs w:val="28"/>
        </w:rPr>
        <w:t xml:space="preserve"> has to be brought within two years</w:t>
      </w:r>
      <w:r w:rsidR="00273057">
        <w:rPr>
          <w:rFonts w:ascii="Times New Roman" w:hAnsi="Times New Roman" w:cs="Times New Roman"/>
          <w:sz w:val="28"/>
          <w:szCs w:val="28"/>
        </w:rPr>
        <w:t xml:space="preserve"> of the cause of action arising</w:t>
      </w:r>
      <w:r w:rsidR="006E6127">
        <w:rPr>
          <w:rFonts w:ascii="Times New Roman" w:hAnsi="Times New Roman" w:cs="Times New Roman"/>
          <w:sz w:val="28"/>
          <w:szCs w:val="28"/>
        </w:rPr>
        <w:t xml:space="preserve">. He </w:t>
      </w:r>
      <w:r w:rsidR="006C57A0">
        <w:rPr>
          <w:rFonts w:ascii="Times New Roman" w:hAnsi="Times New Roman" w:cs="Times New Roman"/>
          <w:sz w:val="28"/>
          <w:szCs w:val="28"/>
        </w:rPr>
        <w:t xml:space="preserve">pointed out </w:t>
      </w:r>
      <w:r w:rsidR="00A86147">
        <w:rPr>
          <w:rFonts w:ascii="Times New Roman" w:hAnsi="Times New Roman" w:cs="Times New Roman"/>
          <w:sz w:val="28"/>
          <w:szCs w:val="28"/>
        </w:rPr>
        <w:t>t</w:t>
      </w:r>
      <w:r w:rsidR="006E6127">
        <w:rPr>
          <w:rFonts w:ascii="Times New Roman" w:hAnsi="Times New Roman" w:cs="Times New Roman"/>
          <w:sz w:val="28"/>
          <w:szCs w:val="28"/>
        </w:rPr>
        <w:t xml:space="preserve">hat </w:t>
      </w:r>
      <w:r w:rsidR="00273057">
        <w:rPr>
          <w:rFonts w:ascii="Times New Roman" w:hAnsi="Times New Roman" w:cs="Times New Roman"/>
          <w:sz w:val="28"/>
          <w:szCs w:val="28"/>
        </w:rPr>
        <w:t>in terms of the Act</w:t>
      </w:r>
      <w:r w:rsidR="006C57A0">
        <w:rPr>
          <w:rFonts w:ascii="Times New Roman" w:hAnsi="Times New Roman" w:cs="Times New Roman"/>
          <w:sz w:val="28"/>
          <w:szCs w:val="28"/>
        </w:rPr>
        <w:t>,</w:t>
      </w:r>
      <w:r w:rsidR="00273057">
        <w:rPr>
          <w:rFonts w:ascii="Times New Roman" w:hAnsi="Times New Roman" w:cs="Times New Roman"/>
          <w:sz w:val="28"/>
          <w:szCs w:val="28"/>
        </w:rPr>
        <w:t xml:space="preserve"> </w:t>
      </w:r>
      <w:r w:rsidR="006E6127">
        <w:rPr>
          <w:rFonts w:ascii="Times New Roman" w:hAnsi="Times New Roman" w:cs="Times New Roman"/>
          <w:sz w:val="28"/>
          <w:szCs w:val="28"/>
        </w:rPr>
        <w:t xml:space="preserve">negotiations do not interrupt prescription in an action brought against the </w:t>
      </w:r>
      <w:r w:rsidR="00A86147">
        <w:rPr>
          <w:rFonts w:ascii="Times New Roman" w:hAnsi="Times New Roman" w:cs="Times New Roman"/>
          <w:sz w:val="28"/>
          <w:szCs w:val="28"/>
        </w:rPr>
        <w:t>State</w:t>
      </w:r>
      <w:r w:rsidR="00273057">
        <w:rPr>
          <w:rFonts w:ascii="Times New Roman" w:hAnsi="Times New Roman" w:cs="Times New Roman"/>
          <w:sz w:val="28"/>
          <w:szCs w:val="28"/>
        </w:rPr>
        <w:t>.</w:t>
      </w:r>
    </w:p>
    <w:p w14:paraId="13EA928C" w14:textId="67475C31" w:rsidR="004C7AE3" w:rsidRPr="00876BA0" w:rsidRDefault="00AF2CC4" w:rsidP="00AB1052">
      <w:pPr>
        <w:jc w:val="both"/>
        <w:rPr>
          <w:rFonts w:ascii="Times New Roman" w:hAnsi="Times New Roman" w:cs="Times New Roman"/>
          <w:sz w:val="28"/>
          <w:szCs w:val="28"/>
        </w:rPr>
      </w:pPr>
      <w:r w:rsidRPr="00876BA0">
        <w:rPr>
          <w:rFonts w:ascii="Times New Roman" w:hAnsi="Times New Roman" w:cs="Times New Roman"/>
          <w:sz w:val="28"/>
          <w:szCs w:val="28"/>
        </w:rPr>
        <w:t>[</w:t>
      </w:r>
      <w:r w:rsidR="00ED3EA7" w:rsidRPr="00876BA0">
        <w:rPr>
          <w:rFonts w:ascii="Times New Roman" w:hAnsi="Times New Roman" w:cs="Times New Roman"/>
          <w:sz w:val="28"/>
          <w:szCs w:val="28"/>
        </w:rPr>
        <w:t>6</w:t>
      </w:r>
      <w:r w:rsidRPr="00876BA0">
        <w:rPr>
          <w:rFonts w:ascii="Times New Roman" w:hAnsi="Times New Roman" w:cs="Times New Roman"/>
          <w:sz w:val="28"/>
          <w:szCs w:val="28"/>
        </w:rPr>
        <w:t>]</w:t>
      </w:r>
      <w:r w:rsidR="00876BA0">
        <w:t xml:space="preserve">     </w:t>
      </w:r>
      <w:r w:rsidRPr="00876BA0">
        <w:rPr>
          <w:rFonts w:ascii="Times New Roman" w:hAnsi="Times New Roman" w:cs="Times New Roman"/>
          <w:sz w:val="28"/>
          <w:szCs w:val="28"/>
        </w:rPr>
        <w:t>He submitted that</w:t>
      </w:r>
      <w:r w:rsidR="00422BE2" w:rsidRPr="00876BA0">
        <w:rPr>
          <w:rFonts w:ascii="Times New Roman" w:hAnsi="Times New Roman" w:cs="Times New Roman"/>
          <w:sz w:val="28"/>
          <w:szCs w:val="28"/>
        </w:rPr>
        <w:t>,</w:t>
      </w:r>
      <w:r w:rsidRPr="00876BA0">
        <w:rPr>
          <w:rFonts w:ascii="Times New Roman" w:hAnsi="Times New Roman" w:cs="Times New Roman"/>
          <w:sz w:val="28"/>
          <w:szCs w:val="28"/>
        </w:rPr>
        <w:t xml:space="preserve"> therefore, there is no room for condonation</w:t>
      </w:r>
      <w:r w:rsidR="00CB6FA4" w:rsidRPr="00876BA0">
        <w:rPr>
          <w:rFonts w:ascii="Times New Roman" w:hAnsi="Times New Roman" w:cs="Times New Roman"/>
          <w:sz w:val="28"/>
          <w:szCs w:val="28"/>
        </w:rPr>
        <w:t xml:space="preserve"> in the matter</w:t>
      </w:r>
      <w:r w:rsidR="00273057" w:rsidRPr="00876BA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882DF1E" w14:textId="77777777" w:rsidR="00876BA0" w:rsidRDefault="00273057" w:rsidP="00AB1052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76BA0">
        <w:rPr>
          <w:rFonts w:ascii="Times New Roman" w:hAnsi="Times New Roman" w:cs="Times New Roman"/>
          <w:sz w:val="28"/>
          <w:szCs w:val="28"/>
        </w:rPr>
        <w:t>That this court is not even permitted to grant such an order.</w:t>
      </w:r>
      <w:r w:rsidR="00AF2CC4" w:rsidRPr="00876BA0">
        <w:rPr>
          <w:rFonts w:ascii="Times New Roman" w:hAnsi="Times New Roman" w:cs="Times New Roman"/>
          <w:sz w:val="28"/>
          <w:szCs w:val="28"/>
        </w:rPr>
        <w:t xml:space="preserve"> He augmented</w:t>
      </w:r>
    </w:p>
    <w:p w14:paraId="3F653B9E" w14:textId="77777777" w:rsidR="00876BA0" w:rsidRDefault="00AF2CC4" w:rsidP="00AB1052">
      <w:pPr>
        <w:ind w:left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76BA0">
        <w:rPr>
          <w:rFonts w:ascii="Times New Roman" w:hAnsi="Times New Roman" w:cs="Times New Roman"/>
          <w:sz w:val="28"/>
          <w:szCs w:val="28"/>
        </w:rPr>
        <w:t xml:space="preserve"> his</w:t>
      </w:r>
      <w:r w:rsidR="00876BA0">
        <w:rPr>
          <w:rFonts w:ascii="Times New Roman" w:hAnsi="Times New Roman" w:cs="Times New Roman"/>
          <w:sz w:val="28"/>
          <w:szCs w:val="28"/>
        </w:rPr>
        <w:t xml:space="preserve"> </w:t>
      </w:r>
      <w:r w:rsidRPr="00876BA0">
        <w:rPr>
          <w:rFonts w:ascii="Times New Roman" w:hAnsi="Times New Roman" w:cs="Times New Roman"/>
          <w:sz w:val="28"/>
          <w:szCs w:val="28"/>
        </w:rPr>
        <w:t xml:space="preserve">argument with a number of Court of Appeal </w:t>
      </w:r>
      <w:r w:rsidR="00422BE2" w:rsidRPr="00876BA0">
        <w:rPr>
          <w:rFonts w:ascii="Times New Roman" w:hAnsi="Times New Roman" w:cs="Times New Roman"/>
          <w:sz w:val="28"/>
          <w:szCs w:val="28"/>
        </w:rPr>
        <w:t xml:space="preserve">decisions </w:t>
      </w:r>
      <w:r w:rsidRPr="00876BA0">
        <w:rPr>
          <w:rFonts w:ascii="Times New Roman" w:hAnsi="Times New Roman" w:cs="Times New Roman"/>
          <w:sz w:val="28"/>
          <w:szCs w:val="28"/>
        </w:rPr>
        <w:t xml:space="preserve">including </w:t>
      </w:r>
      <w:r w:rsidRPr="00876BA0">
        <w:rPr>
          <w:rFonts w:ascii="Times New Roman" w:hAnsi="Times New Roman" w:cs="Times New Roman"/>
          <w:b/>
          <w:i/>
          <w:sz w:val="28"/>
          <w:szCs w:val="28"/>
        </w:rPr>
        <w:t>Putsoa</w:t>
      </w:r>
    </w:p>
    <w:p w14:paraId="4551A39C" w14:textId="77777777" w:rsidR="00826F8C" w:rsidRDefault="00AF2CC4" w:rsidP="00AB1052">
      <w:pPr>
        <w:ind w:left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76BA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76BA0" w:rsidRPr="00876BA0">
        <w:rPr>
          <w:rFonts w:ascii="Times New Roman" w:hAnsi="Times New Roman" w:cs="Times New Roman"/>
          <w:b/>
          <w:i/>
          <w:sz w:val="28"/>
          <w:szCs w:val="28"/>
        </w:rPr>
        <w:t>v</w:t>
      </w:r>
      <w:r w:rsidR="00876BA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76BA0" w:rsidRPr="00876BA0">
        <w:rPr>
          <w:rFonts w:ascii="Times New Roman" w:hAnsi="Times New Roman" w:cs="Times New Roman"/>
          <w:b/>
          <w:i/>
          <w:sz w:val="28"/>
          <w:szCs w:val="28"/>
        </w:rPr>
        <w:t>Attorney</w:t>
      </w:r>
      <w:r w:rsidRPr="00876BA0">
        <w:rPr>
          <w:rFonts w:ascii="Times New Roman" w:hAnsi="Times New Roman" w:cs="Times New Roman"/>
          <w:b/>
          <w:i/>
          <w:sz w:val="28"/>
          <w:szCs w:val="28"/>
        </w:rPr>
        <w:t xml:space="preserve"> General</w:t>
      </w:r>
      <w:r w:rsidR="00422BE2" w:rsidRPr="00876BA0">
        <w:rPr>
          <w:rStyle w:val="FootnoteReference"/>
          <w:rFonts w:ascii="Times New Roman" w:hAnsi="Times New Roman" w:cs="Times New Roman"/>
          <w:b/>
          <w:i/>
          <w:sz w:val="28"/>
          <w:szCs w:val="28"/>
        </w:rPr>
        <w:footnoteReference w:id="5"/>
      </w:r>
      <w:r w:rsidRPr="00876BA0">
        <w:rPr>
          <w:rFonts w:ascii="Times New Roman" w:hAnsi="Times New Roman" w:cs="Times New Roman"/>
          <w:sz w:val="28"/>
          <w:szCs w:val="28"/>
        </w:rPr>
        <w:t xml:space="preserve"> and </w:t>
      </w:r>
      <w:r w:rsidRPr="00876BA0">
        <w:rPr>
          <w:rFonts w:ascii="Times New Roman" w:hAnsi="Times New Roman" w:cs="Times New Roman"/>
          <w:b/>
          <w:i/>
          <w:sz w:val="28"/>
          <w:szCs w:val="28"/>
        </w:rPr>
        <w:t xml:space="preserve">Mohau Makamane </w:t>
      </w:r>
      <w:r w:rsidR="00B922ED" w:rsidRPr="00876BA0">
        <w:rPr>
          <w:rFonts w:ascii="Times New Roman" w:hAnsi="Times New Roman" w:cs="Times New Roman"/>
          <w:b/>
          <w:i/>
          <w:sz w:val="28"/>
          <w:szCs w:val="28"/>
        </w:rPr>
        <w:t xml:space="preserve">v </w:t>
      </w:r>
      <w:r w:rsidRPr="00876BA0">
        <w:rPr>
          <w:rFonts w:ascii="Times New Roman" w:hAnsi="Times New Roman" w:cs="Times New Roman"/>
          <w:b/>
          <w:i/>
          <w:sz w:val="28"/>
          <w:szCs w:val="28"/>
        </w:rPr>
        <w:t>Minister of</w:t>
      </w:r>
      <w:r w:rsidR="00876BA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1535E" w:rsidRPr="0051535E">
        <w:rPr>
          <w:rFonts w:ascii="Times New Roman" w:hAnsi="Times New Roman" w:cs="Times New Roman"/>
          <w:b/>
          <w:i/>
          <w:sz w:val="28"/>
          <w:szCs w:val="28"/>
        </w:rPr>
        <w:t>C</w:t>
      </w:r>
      <w:r w:rsidRPr="0051535E">
        <w:rPr>
          <w:rFonts w:ascii="Times New Roman" w:hAnsi="Times New Roman" w:cs="Times New Roman"/>
          <w:b/>
          <w:i/>
          <w:sz w:val="28"/>
          <w:szCs w:val="28"/>
        </w:rPr>
        <w:t>ommunication</w:t>
      </w:r>
    </w:p>
    <w:p w14:paraId="29BF8475" w14:textId="77777777" w:rsidR="00826F8C" w:rsidRDefault="00AF2CC4" w:rsidP="00AB1052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1535E">
        <w:rPr>
          <w:rFonts w:ascii="Times New Roman" w:hAnsi="Times New Roman" w:cs="Times New Roman"/>
          <w:b/>
          <w:i/>
          <w:sz w:val="28"/>
          <w:szCs w:val="28"/>
        </w:rPr>
        <w:t xml:space="preserve"> and</w:t>
      </w:r>
      <w:r w:rsidR="00876BA0" w:rsidRPr="0051535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1535E">
        <w:rPr>
          <w:rFonts w:ascii="Times New Roman" w:hAnsi="Times New Roman" w:cs="Times New Roman"/>
          <w:b/>
          <w:i/>
          <w:sz w:val="28"/>
          <w:szCs w:val="28"/>
        </w:rPr>
        <w:t>Others</w:t>
      </w:r>
      <w:r w:rsidR="00B922ED" w:rsidRPr="0051535E">
        <w:rPr>
          <w:rStyle w:val="FootnoteReference"/>
          <w:rFonts w:ascii="Times New Roman" w:hAnsi="Times New Roman" w:cs="Times New Roman"/>
          <w:b/>
          <w:i/>
          <w:sz w:val="28"/>
          <w:szCs w:val="28"/>
        </w:rPr>
        <w:footnoteReference w:id="6"/>
      </w:r>
      <w:r w:rsidRPr="0051535E">
        <w:rPr>
          <w:rFonts w:ascii="Times New Roman" w:hAnsi="Times New Roman" w:cs="Times New Roman"/>
          <w:sz w:val="28"/>
          <w:szCs w:val="28"/>
        </w:rPr>
        <w:t xml:space="preserve"> in which </w:t>
      </w:r>
      <w:r w:rsidR="00B922ED" w:rsidRPr="0051535E">
        <w:rPr>
          <w:rFonts w:ascii="Times New Roman" w:hAnsi="Times New Roman" w:cs="Times New Roman"/>
          <w:sz w:val="28"/>
          <w:szCs w:val="28"/>
        </w:rPr>
        <w:t>the</w:t>
      </w:r>
      <w:r w:rsidR="00876BA0" w:rsidRPr="0051535E">
        <w:rPr>
          <w:rFonts w:ascii="Times New Roman" w:hAnsi="Times New Roman" w:cs="Times New Roman"/>
          <w:sz w:val="28"/>
          <w:szCs w:val="28"/>
        </w:rPr>
        <w:t xml:space="preserve"> </w:t>
      </w:r>
      <w:r w:rsidR="00B922ED" w:rsidRPr="0051535E">
        <w:rPr>
          <w:rFonts w:ascii="Times New Roman" w:hAnsi="Times New Roman" w:cs="Times New Roman"/>
          <w:sz w:val="28"/>
          <w:szCs w:val="28"/>
        </w:rPr>
        <w:t xml:space="preserve">apex court </w:t>
      </w:r>
      <w:r w:rsidRPr="0051535E">
        <w:rPr>
          <w:rFonts w:ascii="Times New Roman" w:hAnsi="Times New Roman" w:cs="Times New Roman"/>
          <w:sz w:val="28"/>
          <w:szCs w:val="28"/>
        </w:rPr>
        <w:t>decided that this</w:t>
      </w:r>
      <w:r w:rsidR="00876BA0">
        <w:t xml:space="preserve"> </w:t>
      </w:r>
      <w:r w:rsidR="00B922ED" w:rsidRPr="00876BA0">
        <w:rPr>
          <w:rFonts w:ascii="Times New Roman" w:hAnsi="Times New Roman" w:cs="Times New Roman"/>
          <w:sz w:val="28"/>
          <w:szCs w:val="28"/>
        </w:rPr>
        <w:t>c</w:t>
      </w:r>
      <w:r w:rsidRPr="00876BA0">
        <w:rPr>
          <w:rFonts w:ascii="Times New Roman" w:hAnsi="Times New Roman" w:cs="Times New Roman"/>
          <w:sz w:val="28"/>
          <w:szCs w:val="28"/>
        </w:rPr>
        <w:t xml:space="preserve">ourt has been usurped </w:t>
      </w:r>
    </w:p>
    <w:p w14:paraId="2D81249F" w14:textId="77777777" w:rsidR="00826F8C" w:rsidRDefault="00AF2CC4" w:rsidP="00826F8C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76BA0">
        <w:rPr>
          <w:rFonts w:ascii="Times New Roman" w:hAnsi="Times New Roman" w:cs="Times New Roman"/>
          <w:sz w:val="28"/>
          <w:szCs w:val="28"/>
        </w:rPr>
        <w:t>of its</w:t>
      </w:r>
      <w:r w:rsidR="00876BA0">
        <w:rPr>
          <w:rFonts w:ascii="Times New Roman" w:hAnsi="Times New Roman" w:cs="Times New Roman"/>
          <w:sz w:val="28"/>
          <w:szCs w:val="28"/>
        </w:rPr>
        <w:t xml:space="preserve"> </w:t>
      </w:r>
      <w:r w:rsidRPr="00876BA0">
        <w:rPr>
          <w:rFonts w:ascii="Times New Roman" w:hAnsi="Times New Roman" w:cs="Times New Roman"/>
          <w:sz w:val="28"/>
          <w:szCs w:val="28"/>
        </w:rPr>
        <w:t>common law power</w:t>
      </w:r>
      <w:r w:rsidR="00B922ED" w:rsidRPr="00876BA0">
        <w:rPr>
          <w:rFonts w:ascii="Times New Roman" w:hAnsi="Times New Roman" w:cs="Times New Roman"/>
          <w:sz w:val="28"/>
          <w:szCs w:val="28"/>
        </w:rPr>
        <w:t>s</w:t>
      </w:r>
      <w:r w:rsidRPr="00876BA0">
        <w:rPr>
          <w:rFonts w:ascii="Times New Roman" w:hAnsi="Times New Roman" w:cs="Times New Roman"/>
          <w:sz w:val="28"/>
          <w:szCs w:val="28"/>
        </w:rPr>
        <w:t xml:space="preserve"> to</w:t>
      </w:r>
      <w:r w:rsidR="004C7AE3" w:rsidRPr="00876BA0">
        <w:rPr>
          <w:rFonts w:ascii="Times New Roman" w:hAnsi="Times New Roman" w:cs="Times New Roman"/>
          <w:sz w:val="28"/>
          <w:szCs w:val="28"/>
        </w:rPr>
        <w:t xml:space="preserve"> </w:t>
      </w:r>
      <w:r w:rsidRPr="00876BA0">
        <w:rPr>
          <w:rFonts w:ascii="Times New Roman" w:hAnsi="Times New Roman" w:cs="Times New Roman"/>
          <w:sz w:val="28"/>
          <w:szCs w:val="28"/>
        </w:rPr>
        <w:t>extend times</w:t>
      </w:r>
      <w:r w:rsidR="00B922ED" w:rsidRPr="00876BA0">
        <w:rPr>
          <w:rFonts w:ascii="Times New Roman" w:hAnsi="Times New Roman" w:cs="Times New Roman"/>
          <w:sz w:val="28"/>
          <w:szCs w:val="28"/>
        </w:rPr>
        <w:t xml:space="preserve"> in</w:t>
      </w:r>
      <w:r w:rsidR="00AB1052">
        <w:rPr>
          <w:rFonts w:ascii="Times New Roman" w:hAnsi="Times New Roman" w:cs="Times New Roman"/>
          <w:sz w:val="28"/>
          <w:szCs w:val="28"/>
        </w:rPr>
        <w:t xml:space="preserve"> </w:t>
      </w:r>
      <w:r w:rsidR="00B922ED" w:rsidRPr="00876BA0">
        <w:rPr>
          <w:rFonts w:ascii="Times New Roman" w:hAnsi="Times New Roman" w:cs="Times New Roman"/>
          <w:sz w:val="28"/>
          <w:szCs w:val="28"/>
        </w:rPr>
        <w:t>proceedings against the State</w:t>
      </w:r>
      <w:r w:rsidRPr="00876BA0">
        <w:rPr>
          <w:rFonts w:ascii="Times New Roman" w:hAnsi="Times New Roman" w:cs="Times New Roman"/>
          <w:sz w:val="28"/>
          <w:szCs w:val="28"/>
        </w:rPr>
        <w:t>.</w:t>
      </w:r>
    </w:p>
    <w:p w14:paraId="543B43DA" w14:textId="77777777" w:rsidR="00826F8C" w:rsidRDefault="00273057" w:rsidP="00826F8C">
      <w:pPr>
        <w:ind w:left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76BA0">
        <w:rPr>
          <w:rFonts w:ascii="Times New Roman" w:hAnsi="Times New Roman" w:cs="Times New Roman"/>
          <w:sz w:val="28"/>
          <w:szCs w:val="28"/>
        </w:rPr>
        <w:t xml:space="preserve"> </w:t>
      </w:r>
      <w:r w:rsidR="00C81629" w:rsidRPr="00876BA0">
        <w:rPr>
          <w:rFonts w:ascii="Times New Roman" w:hAnsi="Times New Roman" w:cs="Times New Roman"/>
          <w:sz w:val="28"/>
          <w:szCs w:val="28"/>
        </w:rPr>
        <w:t>This</w:t>
      </w:r>
      <w:r w:rsidR="00876BA0">
        <w:rPr>
          <w:rFonts w:ascii="Times New Roman" w:hAnsi="Times New Roman" w:cs="Times New Roman"/>
          <w:sz w:val="28"/>
          <w:szCs w:val="28"/>
        </w:rPr>
        <w:t xml:space="preserve"> </w:t>
      </w:r>
      <w:r w:rsidR="00C81629" w:rsidRPr="00876BA0">
        <w:rPr>
          <w:rFonts w:ascii="Times New Roman" w:hAnsi="Times New Roman" w:cs="Times New Roman"/>
          <w:sz w:val="28"/>
          <w:szCs w:val="28"/>
        </w:rPr>
        <w:t xml:space="preserve"> position was later confirmed</w:t>
      </w:r>
      <w:r w:rsidR="00876BA0">
        <w:rPr>
          <w:rFonts w:ascii="Times New Roman" w:hAnsi="Times New Roman" w:cs="Times New Roman"/>
          <w:sz w:val="28"/>
          <w:szCs w:val="28"/>
        </w:rPr>
        <w:t xml:space="preserve"> </w:t>
      </w:r>
      <w:r w:rsidR="00C81629" w:rsidRPr="00876BA0">
        <w:rPr>
          <w:rFonts w:ascii="Times New Roman" w:hAnsi="Times New Roman" w:cs="Times New Roman"/>
          <w:sz w:val="28"/>
          <w:szCs w:val="28"/>
        </w:rPr>
        <w:t>by the</w:t>
      </w:r>
      <w:r w:rsidR="00826F8C">
        <w:rPr>
          <w:rFonts w:ascii="Times New Roman" w:hAnsi="Times New Roman" w:cs="Times New Roman"/>
          <w:sz w:val="28"/>
          <w:szCs w:val="28"/>
        </w:rPr>
        <w:t xml:space="preserve"> </w:t>
      </w:r>
      <w:r w:rsidR="00C81629" w:rsidRPr="00876BA0">
        <w:rPr>
          <w:rFonts w:ascii="Times New Roman" w:hAnsi="Times New Roman" w:cs="Times New Roman"/>
          <w:sz w:val="28"/>
          <w:szCs w:val="28"/>
        </w:rPr>
        <w:t xml:space="preserve"> same court in </w:t>
      </w:r>
      <w:r w:rsidR="00C81629" w:rsidRPr="00876BA0">
        <w:rPr>
          <w:rFonts w:ascii="Times New Roman" w:hAnsi="Times New Roman" w:cs="Times New Roman"/>
          <w:b/>
          <w:i/>
          <w:sz w:val="28"/>
          <w:szCs w:val="28"/>
        </w:rPr>
        <w:t xml:space="preserve">Bokang Lelimo v </w:t>
      </w:r>
    </w:p>
    <w:p w14:paraId="187E6CE9" w14:textId="09B713C7" w:rsidR="00C81629" w:rsidRDefault="00C81629" w:rsidP="00826F8C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76BA0">
        <w:rPr>
          <w:rFonts w:ascii="Times New Roman" w:hAnsi="Times New Roman" w:cs="Times New Roman"/>
          <w:b/>
          <w:i/>
          <w:sz w:val="28"/>
          <w:szCs w:val="28"/>
        </w:rPr>
        <w:t>Teaching</w:t>
      </w:r>
      <w:r w:rsidR="00876BA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76BA0">
        <w:rPr>
          <w:rFonts w:ascii="Times New Roman" w:hAnsi="Times New Roman" w:cs="Times New Roman"/>
          <w:b/>
          <w:i/>
          <w:sz w:val="28"/>
          <w:szCs w:val="28"/>
        </w:rPr>
        <w:t xml:space="preserve">Service </w:t>
      </w:r>
      <w:r w:rsidR="00C20A45">
        <w:rPr>
          <w:rFonts w:ascii="Times New Roman" w:hAnsi="Times New Roman" w:cs="Times New Roman"/>
          <w:b/>
          <w:i/>
          <w:sz w:val="28"/>
          <w:szCs w:val="28"/>
        </w:rPr>
        <w:t>Department</w:t>
      </w:r>
      <w:r w:rsidRPr="00876BA0">
        <w:rPr>
          <w:rFonts w:ascii="Times New Roman" w:hAnsi="Times New Roman" w:cs="Times New Roman"/>
          <w:b/>
          <w:i/>
          <w:sz w:val="28"/>
          <w:szCs w:val="28"/>
        </w:rPr>
        <w:t xml:space="preserve"> and 3 Others</w:t>
      </w:r>
      <w:r w:rsidR="00614994" w:rsidRPr="00876BA0">
        <w:rPr>
          <w:rFonts w:ascii="Times New Roman" w:hAnsi="Times New Roman" w:cs="Times New Roman"/>
          <w:sz w:val="28"/>
          <w:szCs w:val="28"/>
        </w:rPr>
        <w:t>.</w:t>
      </w:r>
      <w:r w:rsidRPr="00876BA0">
        <w:rPr>
          <w:rStyle w:val="FootnoteReference"/>
          <w:rFonts w:ascii="Times New Roman" w:hAnsi="Times New Roman" w:cs="Times New Roman"/>
          <w:sz w:val="28"/>
          <w:szCs w:val="28"/>
        </w:rPr>
        <w:footnoteReference w:id="7"/>
      </w:r>
    </w:p>
    <w:p w14:paraId="2429F900" w14:textId="5010C316" w:rsidR="00926968" w:rsidRDefault="00AF2CC4" w:rsidP="00876BA0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[</w:t>
      </w:r>
      <w:r w:rsidR="0002176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ab/>
      </w:r>
      <w:r w:rsidR="00273057">
        <w:rPr>
          <w:rFonts w:ascii="Times New Roman" w:hAnsi="Times New Roman" w:cs="Times New Roman"/>
          <w:sz w:val="28"/>
          <w:szCs w:val="28"/>
        </w:rPr>
        <w:t>Grateful for</w:t>
      </w:r>
      <w:r w:rsidR="00B922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both Counsels’ </w:t>
      </w:r>
      <w:r w:rsidR="00273057">
        <w:rPr>
          <w:rFonts w:ascii="Times New Roman" w:hAnsi="Times New Roman" w:cs="Times New Roman"/>
          <w:sz w:val="28"/>
          <w:szCs w:val="28"/>
        </w:rPr>
        <w:t xml:space="preserve">elegant </w:t>
      </w:r>
      <w:r>
        <w:rPr>
          <w:rFonts w:ascii="Times New Roman" w:hAnsi="Times New Roman" w:cs="Times New Roman"/>
          <w:sz w:val="28"/>
          <w:szCs w:val="28"/>
        </w:rPr>
        <w:t>submissions</w:t>
      </w:r>
      <w:r w:rsidR="00273057">
        <w:rPr>
          <w:rFonts w:ascii="Times New Roman" w:hAnsi="Times New Roman" w:cs="Times New Roman"/>
          <w:sz w:val="28"/>
          <w:szCs w:val="28"/>
        </w:rPr>
        <w:t xml:space="preserve"> and consideration of authorities</w:t>
      </w:r>
      <w:r>
        <w:rPr>
          <w:rFonts w:ascii="Times New Roman" w:hAnsi="Times New Roman" w:cs="Times New Roman"/>
          <w:sz w:val="28"/>
          <w:szCs w:val="28"/>
        </w:rPr>
        <w:t xml:space="preserve">, the </w:t>
      </w:r>
      <w:r w:rsidR="00B922ED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ourt comes</w:t>
      </w:r>
      <w:r w:rsidR="00876B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to the conclusion that the condonation application stands to be dismissed. Section 6 of the Government Contracts and Proceedings</w:t>
      </w:r>
      <w:r w:rsidR="00387192">
        <w:rPr>
          <w:rFonts w:ascii="Times New Roman" w:hAnsi="Times New Roman" w:cs="Times New Roman"/>
          <w:sz w:val="28"/>
          <w:szCs w:val="28"/>
        </w:rPr>
        <w:t xml:space="preserve"> </w:t>
      </w:r>
      <w:r w:rsidR="00CB6FA4">
        <w:rPr>
          <w:rFonts w:ascii="Times New Roman" w:hAnsi="Times New Roman" w:cs="Times New Roman"/>
          <w:sz w:val="28"/>
          <w:szCs w:val="28"/>
        </w:rPr>
        <w:t xml:space="preserve">is </w:t>
      </w:r>
      <w:r>
        <w:rPr>
          <w:rFonts w:ascii="Times New Roman" w:hAnsi="Times New Roman" w:cs="Times New Roman"/>
          <w:sz w:val="28"/>
          <w:szCs w:val="28"/>
        </w:rPr>
        <w:t>couched in peremptory terms. It follows</w:t>
      </w:r>
      <w:r w:rsidR="00387192">
        <w:rPr>
          <w:rFonts w:ascii="Times New Roman" w:hAnsi="Times New Roman" w:cs="Times New Roman"/>
          <w:sz w:val="28"/>
          <w:szCs w:val="28"/>
        </w:rPr>
        <w:t xml:space="preserve">, therefore, </w:t>
      </w:r>
      <w:r>
        <w:rPr>
          <w:rFonts w:ascii="Times New Roman" w:hAnsi="Times New Roman" w:cs="Times New Roman"/>
          <w:sz w:val="28"/>
          <w:szCs w:val="28"/>
        </w:rPr>
        <w:t xml:space="preserve"> that any action against the </w:t>
      </w:r>
      <w:r w:rsidR="00CB6FA4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tate has to be brought within two </w:t>
      </w:r>
      <w:r w:rsidR="00926968">
        <w:rPr>
          <w:rFonts w:ascii="Times New Roman" w:hAnsi="Times New Roman" w:cs="Times New Roman"/>
          <w:sz w:val="28"/>
          <w:szCs w:val="28"/>
        </w:rPr>
        <w:t>years</w:t>
      </w:r>
      <w:r w:rsidR="00CB6FA4">
        <w:rPr>
          <w:rFonts w:ascii="Times New Roman" w:hAnsi="Times New Roman" w:cs="Times New Roman"/>
          <w:sz w:val="28"/>
          <w:szCs w:val="28"/>
        </w:rPr>
        <w:t xml:space="preserve">, which was not the case </w:t>
      </w:r>
      <w:r w:rsidR="00CB6FA4" w:rsidRPr="00CB6FA4">
        <w:rPr>
          <w:rFonts w:ascii="Times New Roman" w:hAnsi="Times New Roman" w:cs="Times New Roman"/>
          <w:b/>
          <w:i/>
          <w:sz w:val="28"/>
          <w:szCs w:val="28"/>
        </w:rPr>
        <w:t>in casu</w:t>
      </w:r>
      <w:r w:rsidR="00CB6FA4">
        <w:rPr>
          <w:rFonts w:ascii="Times New Roman" w:hAnsi="Times New Roman" w:cs="Times New Roman"/>
          <w:sz w:val="28"/>
          <w:szCs w:val="28"/>
        </w:rPr>
        <w:t>. R</w:t>
      </w:r>
      <w:r w:rsidR="00926968">
        <w:rPr>
          <w:rFonts w:ascii="Times New Roman" w:hAnsi="Times New Roman" w:cs="Times New Roman"/>
          <w:sz w:val="28"/>
          <w:szCs w:val="28"/>
        </w:rPr>
        <w:t>ule 59 and judgments r</w:t>
      </w:r>
      <w:r w:rsidR="00CB6FA4">
        <w:rPr>
          <w:rFonts w:ascii="Times New Roman" w:hAnsi="Times New Roman" w:cs="Times New Roman"/>
          <w:sz w:val="28"/>
          <w:szCs w:val="28"/>
        </w:rPr>
        <w:t>elied on</w:t>
      </w:r>
      <w:r w:rsidR="00926968">
        <w:rPr>
          <w:rFonts w:ascii="Times New Roman" w:hAnsi="Times New Roman" w:cs="Times New Roman"/>
          <w:sz w:val="28"/>
          <w:szCs w:val="28"/>
        </w:rPr>
        <w:t xml:space="preserve"> by Applicant’s Counsel relate to the infringement of High Court Rules.</w:t>
      </w:r>
      <w:r w:rsidR="007332E6">
        <w:rPr>
          <w:rFonts w:ascii="Times New Roman" w:hAnsi="Times New Roman" w:cs="Times New Roman"/>
          <w:sz w:val="28"/>
          <w:szCs w:val="28"/>
        </w:rPr>
        <w:t xml:space="preserve"> Present is not an infringement of Rules of court </w:t>
      </w:r>
      <w:r w:rsidR="00387192" w:rsidRPr="00387192">
        <w:rPr>
          <w:rFonts w:ascii="Times New Roman" w:hAnsi="Times New Roman" w:cs="Times New Roman"/>
          <w:b/>
          <w:i/>
          <w:sz w:val="28"/>
          <w:szCs w:val="28"/>
        </w:rPr>
        <w:t>‘</w:t>
      </w:r>
      <w:r w:rsidR="007332E6" w:rsidRPr="00387192">
        <w:rPr>
          <w:rFonts w:ascii="Times New Roman" w:hAnsi="Times New Roman" w:cs="Times New Roman"/>
          <w:b/>
          <w:i/>
          <w:iCs/>
          <w:sz w:val="28"/>
          <w:szCs w:val="28"/>
        </w:rPr>
        <w:t>per se’</w:t>
      </w:r>
      <w:r w:rsidR="007332E6">
        <w:rPr>
          <w:rFonts w:ascii="Times New Roman" w:hAnsi="Times New Roman" w:cs="Times New Roman"/>
          <w:sz w:val="28"/>
          <w:szCs w:val="28"/>
        </w:rPr>
        <w:t xml:space="preserve"> but an infringement of </w:t>
      </w:r>
      <w:r w:rsidR="00E3790C">
        <w:rPr>
          <w:rFonts w:ascii="Times New Roman" w:hAnsi="Times New Roman" w:cs="Times New Roman"/>
          <w:sz w:val="28"/>
          <w:szCs w:val="28"/>
        </w:rPr>
        <w:t xml:space="preserve">a </w:t>
      </w:r>
      <w:r w:rsidR="007332E6">
        <w:rPr>
          <w:rFonts w:ascii="Times New Roman" w:hAnsi="Times New Roman" w:cs="Times New Roman"/>
          <w:sz w:val="28"/>
          <w:szCs w:val="28"/>
        </w:rPr>
        <w:t>mandatory statutory provision.</w:t>
      </w:r>
    </w:p>
    <w:p w14:paraId="73E546FE" w14:textId="084E5254" w:rsidR="00926968" w:rsidRPr="001C46D0" w:rsidRDefault="00926968" w:rsidP="007332E6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C46D0">
        <w:rPr>
          <w:rFonts w:ascii="Times New Roman" w:hAnsi="Times New Roman" w:cs="Times New Roman"/>
          <w:b/>
          <w:bCs/>
          <w:sz w:val="28"/>
          <w:szCs w:val="28"/>
        </w:rPr>
        <w:t>ORDER</w:t>
      </w:r>
    </w:p>
    <w:p w14:paraId="19DFD180" w14:textId="584AB72E" w:rsidR="00926968" w:rsidRPr="00AF2CC4" w:rsidRDefault="00CB6FA4" w:rsidP="00CB6F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[</w:t>
      </w:r>
      <w:r w:rsidR="0038719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]   </w:t>
      </w:r>
      <w:r w:rsidR="00653A9F">
        <w:rPr>
          <w:rFonts w:ascii="Times New Roman" w:hAnsi="Times New Roman" w:cs="Times New Roman"/>
          <w:sz w:val="28"/>
          <w:szCs w:val="28"/>
        </w:rPr>
        <w:t xml:space="preserve">  </w:t>
      </w:r>
      <w:r w:rsidR="00926968">
        <w:rPr>
          <w:rFonts w:ascii="Times New Roman" w:hAnsi="Times New Roman" w:cs="Times New Roman"/>
          <w:sz w:val="28"/>
          <w:szCs w:val="28"/>
        </w:rPr>
        <w:t xml:space="preserve">The </w:t>
      </w:r>
      <w:r>
        <w:rPr>
          <w:rFonts w:ascii="Times New Roman" w:hAnsi="Times New Roman" w:cs="Times New Roman"/>
          <w:sz w:val="28"/>
          <w:szCs w:val="28"/>
        </w:rPr>
        <w:t>c</w:t>
      </w:r>
      <w:r w:rsidR="00926968">
        <w:rPr>
          <w:rFonts w:ascii="Times New Roman" w:hAnsi="Times New Roman" w:cs="Times New Roman"/>
          <w:sz w:val="28"/>
          <w:szCs w:val="28"/>
        </w:rPr>
        <w:t xml:space="preserve">ondonation </w:t>
      </w:r>
      <w:r>
        <w:rPr>
          <w:rFonts w:ascii="Times New Roman" w:hAnsi="Times New Roman" w:cs="Times New Roman"/>
          <w:sz w:val="28"/>
          <w:szCs w:val="28"/>
        </w:rPr>
        <w:t>a</w:t>
      </w:r>
      <w:r w:rsidR="00926968">
        <w:rPr>
          <w:rFonts w:ascii="Times New Roman" w:hAnsi="Times New Roman" w:cs="Times New Roman"/>
          <w:sz w:val="28"/>
          <w:szCs w:val="28"/>
        </w:rPr>
        <w:t>pplication is dismissed</w:t>
      </w:r>
      <w:r>
        <w:rPr>
          <w:rFonts w:ascii="Times New Roman" w:hAnsi="Times New Roman" w:cs="Times New Roman"/>
          <w:sz w:val="28"/>
          <w:szCs w:val="28"/>
        </w:rPr>
        <w:t xml:space="preserve"> with costs.</w:t>
      </w:r>
    </w:p>
    <w:p w14:paraId="402FE146" w14:textId="77777777" w:rsidR="009E7CA6" w:rsidRPr="009E7CA6" w:rsidRDefault="009E7CA6" w:rsidP="00426BBD">
      <w:pPr>
        <w:spacing w:line="360" w:lineRule="auto"/>
        <w:ind w:left="720" w:hanging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2D875298" w14:textId="1B96B662" w:rsidR="006E6127" w:rsidRDefault="006E6127" w:rsidP="006E612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</w:p>
    <w:p w14:paraId="7FDF9C59" w14:textId="78085A8A" w:rsidR="006E6127" w:rsidRPr="006E6127" w:rsidRDefault="006E6127" w:rsidP="006E6127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6127">
        <w:rPr>
          <w:rFonts w:ascii="Times New Roman" w:hAnsi="Times New Roman" w:cs="Times New Roman"/>
          <w:b/>
          <w:bCs/>
          <w:sz w:val="28"/>
          <w:szCs w:val="28"/>
        </w:rPr>
        <w:t>F.M. KHABO</w:t>
      </w:r>
    </w:p>
    <w:p w14:paraId="14EF58CA" w14:textId="164EEA3F" w:rsidR="006E6127" w:rsidRDefault="006E6127" w:rsidP="006E6127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6127">
        <w:rPr>
          <w:rFonts w:ascii="Times New Roman" w:hAnsi="Times New Roman" w:cs="Times New Roman"/>
          <w:b/>
          <w:bCs/>
          <w:sz w:val="28"/>
          <w:szCs w:val="28"/>
        </w:rPr>
        <w:t>JUDGE</w:t>
      </w:r>
    </w:p>
    <w:p w14:paraId="6C7D2337" w14:textId="77777777" w:rsidR="006E6127" w:rsidRPr="006E6127" w:rsidRDefault="006E6127" w:rsidP="006E6127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D8ED196" w14:textId="6431386D" w:rsidR="00BE3270" w:rsidRDefault="00AD3925" w:rsidP="00CF78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For Plaintiff</w:t>
      </w:r>
      <w:r w:rsidR="006E6127">
        <w:rPr>
          <w:rFonts w:ascii="Times New Roman" w:hAnsi="Times New Roman" w:cs="Times New Roman"/>
          <w:sz w:val="28"/>
          <w:szCs w:val="28"/>
        </w:rPr>
        <w:tab/>
      </w:r>
      <w:r w:rsidR="006E6127">
        <w:rPr>
          <w:rFonts w:ascii="Times New Roman" w:hAnsi="Times New Roman" w:cs="Times New Roman"/>
          <w:sz w:val="28"/>
          <w:szCs w:val="28"/>
        </w:rPr>
        <w:tab/>
        <w:t>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C46D0">
        <w:rPr>
          <w:rFonts w:ascii="Times New Roman" w:hAnsi="Times New Roman" w:cs="Times New Roman"/>
          <w:sz w:val="28"/>
          <w:szCs w:val="28"/>
        </w:rPr>
        <w:t>Adv.</w:t>
      </w:r>
      <w:r w:rsidR="003539BE">
        <w:rPr>
          <w:rFonts w:ascii="Times New Roman" w:hAnsi="Times New Roman" w:cs="Times New Roman"/>
          <w:sz w:val="28"/>
          <w:szCs w:val="28"/>
        </w:rPr>
        <w:t>,</w:t>
      </w:r>
      <w:r w:rsidR="001C46D0">
        <w:rPr>
          <w:rFonts w:ascii="Times New Roman" w:hAnsi="Times New Roman" w:cs="Times New Roman"/>
          <w:sz w:val="28"/>
          <w:szCs w:val="28"/>
        </w:rPr>
        <w:t xml:space="preserve"> Rakharebe</w:t>
      </w:r>
    </w:p>
    <w:p w14:paraId="156E9520" w14:textId="4F4E9F7D" w:rsidR="00AD3925" w:rsidRDefault="00AD3925" w:rsidP="00CF78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For</w:t>
      </w:r>
      <w:r w:rsidR="006E6127">
        <w:rPr>
          <w:rFonts w:ascii="Times New Roman" w:hAnsi="Times New Roman" w:cs="Times New Roman"/>
          <w:sz w:val="28"/>
          <w:szCs w:val="28"/>
        </w:rPr>
        <w:t xml:space="preserve"> Respondents</w:t>
      </w:r>
      <w:r w:rsidR="006E6127">
        <w:rPr>
          <w:rFonts w:ascii="Times New Roman" w:hAnsi="Times New Roman" w:cs="Times New Roman"/>
          <w:sz w:val="28"/>
          <w:szCs w:val="28"/>
        </w:rPr>
        <w:tab/>
        <w:t>:</w:t>
      </w:r>
      <w:r w:rsidR="001C46D0">
        <w:rPr>
          <w:rFonts w:ascii="Times New Roman" w:hAnsi="Times New Roman" w:cs="Times New Roman"/>
          <w:sz w:val="28"/>
          <w:szCs w:val="28"/>
        </w:rPr>
        <w:t xml:space="preserve"> Adv.</w:t>
      </w:r>
      <w:r w:rsidR="003539BE">
        <w:rPr>
          <w:rFonts w:ascii="Times New Roman" w:hAnsi="Times New Roman" w:cs="Times New Roman"/>
          <w:sz w:val="28"/>
          <w:szCs w:val="28"/>
        </w:rPr>
        <w:t>,</w:t>
      </w:r>
      <w:r w:rsidR="001C46D0">
        <w:rPr>
          <w:rFonts w:ascii="Times New Roman" w:hAnsi="Times New Roman" w:cs="Times New Roman"/>
          <w:sz w:val="28"/>
          <w:szCs w:val="28"/>
        </w:rPr>
        <w:t xml:space="preserve"> Thakalekoala</w:t>
      </w:r>
    </w:p>
    <w:sectPr w:rsidR="00AD3925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351996" w14:textId="77777777" w:rsidR="005C1B78" w:rsidRDefault="005C1B78" w:rsidP="0083673D">
      <w:pPr>
        <w:spacing w:after="0" w:line="240" w:lineRule="auto"/>
      </w:pPr>
      <w:r>
        <w:separator/>
      </w:r>
    </w:p>
  </w:endnote>
  <w:endnote w:type="continuationSeparator" w:id="0">
    <w:p w14:paraId="0C31E843" w14:textId="77777777" w:rsidR="005C1B78" w:rsidRDefault="005C1B78" w:rsidP="00836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00242746"/>
      <w:docPartObj>
        <w:docPartGallery w:val="Page Numbers (Bottom of Page)"/>
        <w:docPartUnique/>
      </w:docPartObj>
    </w:sdtPr>
    <w:sdtEndPr/>
    <w:sdtContent>
      <w:p w14:paraId="56EE6B21" w14:textId="3251FD88" w:rsidR="000B6011" w:rsidRDefault="000B6011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14:paraId="73C246D0" w14:textId="77777777" w:rsidR="0083673D" w:rsidRDefault="008367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F39CEA" w14:textId="77777777" w:rsidR="005C1B78" w:rsidRDefault="005C1B78" w:rsidP="0083673D">
      <w:pPr>
        <w:spacing w:after="0" w:line="240" w:lineRule="auto"/>
      </w:pPr>
      <w:r>
        <w:separator/>
      </w:r>
    </w:p>
  </w:footnote>
  <w:footnote w:type="continuationSeparator" w:id="0">
    <w:p w14:paraId="6565FF17" w14:textId="77777777" w:rsidR="005C1B78" w:rsidRDefault="005C1B78" w:rsidP="0083673D">
      <w:pPr>
        <w:spacing w:after="0" w:line="240" w:lineRule="auto"/>
      </w:pPr>
      <w:r>
        <w:continuationSeparator/>
      </w:r>
    </w:p>
  </w:footnote>
  <w:footnote w:id="1">
    <w:p w14:paraId="58B8C67B" w14:textId="1F00CA46" w:rsidR="00377419" w:rsidRDefault="00377419" w:rsidP="00377419">
      <w:pPr>
        <w:pStyle w:val="FootnoteText"/>
      </w:pPr>
      <w:r>
        <w:rPr>
          <w:rStyle w:val="FootnoteReference"/>
        </w:rPr>
        <w:footnoteRef/>
      </w:r>
      <w:r w:rsidRPr="0059253D">
        <w:rPr>
          <w:rFonts w:ascii="Times New Roman" w:hAnsi="Times New Roman" w:cs="Times New Roman"/>
          <w:sz w:val="22"/>
          <w:szCs w:val="22"/>
        </w:rPr>
        <w:t xml:space="preserve"> </w:t>
      </w:r>
      <w:r w:rsidRPr="00595E71">
        <w:rPr>
          <w:rFonts w:cstheme="minorHAnsi"/>
        </w:rPr>
        <w:t>High Court Rules N</w:t>
      </w:r>
      <w:r w:rsidR="00595E71">
        <w:rPr>
          <w:rFonts w:cstheme="minorHAnsi"/>
        </w:rPr>
        <w:t>o</w:t>
      </w:r>
      <w:r w:rsidRPr="00595E71">
        <w:rPr>
          <w:rFonts w:cstheme="minorHAnsi"/>
        </w:rPr>
        <w:t>. 9 of 1980</w:t>
      </w:r>
    </w:p>
  </w:footnote>
  <w:footnote w:id="2">
    <w:p w14:paraId="73AA3BF6" w14:textId="19E9DA8F" w:rsidR="00377419" w:rsidRDefault="0037741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77419">
        <w:rPr>
          <w:rFonts w:cstheme="minorHAnsi"/>
        </w:rPr>
        <w:t xml:space="preserve">C of A (CIV) </w:t>
      </w:r>
      <w:r w:rsidR="00C81629">
        <w:rPr>
          <w:rFonts w:cstheme="minorHAnsi"/>
        </w:rPr>
        <w:t xml:space="preserve">No. </w:t>
      </w:r>
      <w:r w:rsidRPr="00377419">
        <w:rPr>
          <w:rFonts w:cstheme="minorHAnsi"/>
        </w:rPr>
        <w:t>72 of 2014</w:t>
      </w:r>
    </w:p>
  </w:footnote>
  <w:footnote w:id="3">
    <w:p w14:paraId="4C50FAC5" w14:textId="009A9021" w:rsidR="00B25F50" w:rsidRDefault="00B25F5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25F50">
        <w:rPr>
          <w:rFonts w:cstheme="minorHAnsi"/>
        </w:rPr>
        <w:t>1962 (4) SA 531 (CA)</w:t>
      </w:r>
    </w:p>
  </w:footnote>
  <w:footnote w:id="4">
    <w:p w14:paraId="09BB8CAB" w14:textId="6A3E49A7" w:rsidR="00A86147" w:rsidRPr="0059253D" w:rsidRDefault="00A86147" w:rsidP="00A86147">
      <w:pPr>
        <w:pStyle w:val="FootnoteText"/>
        <w:rPr>
          <w:sz w:val="24"/>
          <w:szCs w:val="24"/>
        </w:rPr>
      </w:pPr>
      <w:r w:rsidRPr="0059253D">
        <w:rPr>
          <w:rStyle w:val="FootnoteReference"/>
          <w:sz w:val="24"/>
          <w:szCs w:val="24"/>
        </w:rPr>
        <w:footnoteRef/>
      </w:r>
      <w:r w:rsidRPr="0059253D">
        <w:rPr>
          <w:sz w:val="24"/>
          <w:szCs w:val="24"/>
        </w:rPr>
        <w:t xml:space="preserve"> </w:t>
      </w:r>
      <w:r w:rsidRPr="00595E71">
        <w:rPr>
          <w:rFonts w:cstheme="minorHAnsi"/>
        </w:rPr>
        <w:t>Act 4 of 1965</w:t>
      </w:r>
    </w:p>
  </w:footnote>
  <w:footnote w:id="5">
    <w:p w14:paraId="602454E1" w14:textId="5E7C7BA5" w:rsidR="00422BE2" w:rsidRDefault="00422BE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22BE2">
        <w:rPr>
          <w:rFonts w:cstheme="minorHAnsi"/>
        </w:rPr>
        <w:t>C of A</w:t>
      </w:r>
      <w:r>
        <w:rPr>
          <w:rFonts w:cstheme="minorHAnsi"/>
        </w:rPr>
        <w:t xml:space="preserve"> </w:t>
      </w:r>
      <w:r w:rsidRPr="00422BE2">
        <w:rPr>
          <w:rFonts w:cstheme="minorHAnsi"/>
        </w:rPr>
        <w:t>(CIV) N</w:t>
      </w:r>
      <w:r>
        <w:rPr>
          <w:rFonts w:cstheme="minorHAnsi"/>
        </w:rPr>
        <w:t>o</w:t>
      </w:r>
      <w:r w:rsidRPr="00422BE2">
        <w:rPr>
          <w:rFonts w:cstheme="minorHAnsi"/>
        </w:rPr>
        <w:t>.</w:t>
      </w:r>
      <w:r w:rsidR="00C81629">
        <w:rPr>
          <w:rFonts w:cstheme="minorHAnsi"/>
        </w:rPr>
        <w:t xml:space="preserve"> </w:t>
      </w:r>
      <w:r w:rsidR="008B7347">
        <w:rPr>
          <w:rFonts w:cstheme="minorHAnsi"/>
        </w:rPr>
        <w:t>0</w:t>
      </w:r>
      <w:r w:rsidRPr="00422BE2">
        <w:rPr>
          <w:rFonts w:cstheme="minorHAnsi"/>
        </w:rPr>
        <w:t>1</w:t>
      </w:r>
      <w:r w:rsidR="00B922ED">
        <w:rPr>
          <w:rFonts w:cstheme="minorHAnsi"/>
        </w:rPr>
        <w:t xml:space="preserve"> of 19</w:t>
      </w:r>
      <w:r w:rsidRPr="00422BE2">
        <w:rPr>
          <w:rFonts w:cstheme="minorHAnsi"/>
        </w:rPr>
        <w:t>87</w:t>
      </w:r>
    </w:p>
  </w:footnote>
  <w:footnote w:id="6">
    <w:p w14:paraId="6960DFAE" w14:textId="2618E289" w:rsidR="00B922ED" w:rsidRDefault="00B922E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922ED">
        <w:rPr>
          <w:rFonts w:cstheme="minorHAnsi"/>
        </w:rPr>
        <w:t>C of A (CIV) No.27 of 2011</w:t>
      </w:r>
    </w:p>
  </w:footnote>
  <w:footnote w:id="7">
    <w:p w14:paraId="088749F2" w14:textId="255528DA" w:rsidR="00C81629" w:rsidRDefault="00C8162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81629">
        <w:rPr>
          <w:rFonts w:cstheme="minorHAnsi"/>
        </w:rPr>
        <w:t>C of A (CIV) No. 01 of 2012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E6ABE"/>
    <w:multiLevelType w:val="hybridMultilevel"/>
    <w:tmpl w:val="64684B4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7A2FB5"/>
    <w:multiLevelType w:val="hybridMultilevel"/>
    <w:tmpl w:val="83689A1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24C"/>
    <w:rsid w:val="00004FA3"/>
    <w:rsid w:val="0002176E"/>
    <w:rsid w:val="00042F5A"/>
    <w:rsid w:val="0005724C"/>
    <w:rsid w:val="000605AE"/>
    <w:rsid w:val="00060D0D"/>
    <w:rsid w:val="00077A7C"/>
    <w:rsid w:val="0008408A"/>
    <w:rsid w:val="000B6011"/>
    <w:rsid w:val="000C01C8"/>
    <w:rsid w:val="000E2342"/>
    <w:rsid w:val="000F11D4"/>
    <w:rsid w:val="000F7D5D"/>
    <w:rsid w:val="001222D1"/>
    <w:rsid w:val="00152866"/>
    <w:rsid w:val="0016784D"/>
    <w:rsid w:val="00167C53"/>
    <w:rsid w:val="00184148"/>
    <w:rsid w:val="00187449"/>
    <w:rsid w:val="001C46D0"/>
    <w:rsid w:val="002137DC"/>
    <w:rsid w:val="00233CA4"/>
    <w:rsid w:val="002653FA"/>
    <w:rsid w:val="002677B5"/>
    <w:rsid w:val="00273057"/>
    <w:rsid w:val="0027720C"/>
    <w:rsid w:val="00280799"/>
    <w:rsid w:val="002860C4"/>
    <w:rsid w:val="002B3482"/>
    <w:rsid w:val="002D189F"/>
    <w:rsid w:val="00312A45"/>
    <w:rsid w:val="0032551D"/>
    <w:rsid w:val="0032614B"/>
    <w:rsid w:val="003275C2"/>
    <w:rsid w:val="003539BE"/>
    <w:rsid w:val="00377419"/>
    <w:rsid w:val="0038694D"/>
    <w:rsid w:val="00387192"/>
    <w:rsid w:val="003935E1"/>
    <w:rsid w:val="003C47DA"/>
    <w:rsid w:val="003F295B"/>
    <w:rsid w:val="0041185E"/>
    <w:rsid w:val="00413B7B"/>
    <w:rsid w:val="00422BE2"/>
    <w:rsid w:val="00426BBD"/>
    <w:rsid w:val="0042754B"/>
    <w:rsid w:val="00461BF1"/>
    <w:rsid w:val="00476AAA"/>
    <w:rsid w:val="00487536"/>
    <w:rsid w:val="004C0007"/>
    <w:rsid w:val="004C7AE3"/>
    <w:rsid w:val="004D12E2"/>
    <w:rsid w:val="004D5595"/>
    <w:rsid w:val="004D7F59"/>
    <w:rsid w:val="00511A2C"/>
    <w:rsid w:val="00514B9A"/>
    <w:rsid w:val="0051535E"/>
    <w:rsid w:val="005220D6"/>
    <w:rsid w:val="00527411"/>
    <w:rsid w:val="0054063A"/>
    <w:rsid w:val="00573199"/>
    <w:rsid w:val="00581DB6"/>
    <w:rsid w:val="0059253D"/>
    <w:rsid w:val="00595E71"/>
    <w:rsid w:val="005A15C2"/>
    <w:rsid w:val="005A4A5C"/>
    <w:rsid w:val="005B15E2"/>
    <w:rsid w:val="005C1B78"/>
    <w:rsid w:val="005D6DB6"/>
    <w:rsid w:val="005F37C6"/>
    <w:rsid w:val="005F6C6D"/>
    <w:rsid w:val="00614994"/>
    <w:rsid w:val="00653A9F"/>
    <w:rsid w:val="00656381"/>
    <w:rsid w:val="00663269"/>
    <w:rsid w:val="00670021"/>
    <w:rsid w:val="0067354E"/>
    <w:rsid w:val="006C57A0"/>
    <w:rsid w:val="006D407D"/>
    <w:rsid w:val="006E6127"/>
    <w:rsid w:val="00702D4E"/>
    <w:rsid w:val="007332E6"/>
    <w:rsid w:val="007428B4"/>
    <w:rsid w:val="00756873"/>
    <w:rsid w:val="00756E5A"/>
    <w:rsid w:val="0078382E"/>
    <w:rsid w:val="007A65FD"/>
    <w:rsid w:val="007E779C"/>
    <w:rsid w:val="007E7F01"/>
    <w:rsid w:val="00801060"/>
    <w:rsid w:val="00813A07"/>
    <w:rsid w:val="00826F8C"/>
    <w:rsid w:val="0083673D"/>
    <w:rsid w:val="00876BA0"/>
    <w:rsid w:val="00876F62"/>
    <w:rsid w:val="00885765"/>
    <w:rsid w:val="00890053"/>
    <w:rsid w:val="008A7735"/>
    <w:rsid w:val="008B7347"/>
    <w:rsid w:val="008C2557"/>
    <w:rsid w:val="008D20C8"/>
    <w:rsid w:val="008F7559"/>
    <w:rsid w:val="00906002"/>
    <w:rsid w:val="0092246B"/>
    <w:rsid w:val="00926968"/>
    <w:rsid w:val="009854C6"/>
    <w:rsid w:val="00993B83"/>
    <w:rsid w:val="00997975"/>
    <w:rsid w:val="009B1470"/>
    <w:rsid w:val="009E7CA6"/>
    <w:rsid w:val="00A0537A"/>
    <w:rsid w:val="00A14145"/>
    <w:rsid w:val="00A44562"/>
    <w:rsid w:val="00A82DB1"/>
    <w:rsid w:val="00A86147"/>
    <w:rsid w:val="00A87F8A"/>
    <w:rsid w:val="00AB1052"/>
    <w:rsid w:val="00AD3046"/>
    <w:rsid w:val="00AD3925"/>
    <w:rsid w:val="00AE7BAF"/>
    <w:rsid w:val="00AF2CC4"/>
    <w:rsid w:val="00B25F50"/>
    <w:rsid w:val="00B26860"/>
    <w:rsid w:val="00B41247"/>
    <w:rsid w:val="00B777BA"/>
    <w:rsid w:val="00B846F6"/>
    <w:rsid w:val="00B922ED"/>
    <w:rsid w:val="00BA1E61"/>
    <w:rsid w:val="00BB4396"/>
    <w:rsid w:val="00BC3E5E"/>
    <w:rsid w:val="00BC6162"/>
    <w:rsid w:val="00BE3270"/>
    <w:rsid w:val="00BE5726"/>
    <w:rsid w:val="00BE7742"/>
    <w:rsid w:val="00BF2738"/>
    <w:rsid w:val="00C07AA4"/>
    <w:rsid w:val="00C20A45"/>
    <w:rsid w:val="00C41A16"/>
    <w:rsid w:val="00C81629"/>
    <w:rsid w:val="00CB6FA4"/>
    <w:rsid w:val="00CD64A4"/>
    <w:rsid w:val="00CF5356"/>
    <w:rsid w:val="00CF66FE"/>
    <w:rsid w:val="00CF78CF"/>
    <w:rsid w:val="00D2554F"/>
    <w:rsid w:val="00D26273"/>
    <w:rsid w:val="00D33DE3"/>
    <w:rsid w:val="00D60F6F"/>
    <w:rsid w:val="00D72C41"/>
    <w:rsid w:val="00D75D33"/>
    <w:rsid w:val="00D96A20"/>
    <w:rsid w:val="00DE0708"/>
    <w:rsid w:val="00E04B05"/>
    <w:rsid w:val="00E1722C"/>
    <w:rsid w:val="00E3790C"/>
    <w:rsid w:val="00E65485"/>
    <w:rsid w:val="00EA7344"/>
    <w:rsid w:val="00EC4742"/>
    <w:rsid w:val="00EC78DF"/>
    <w:rsid w:val="00ED3EA7"/>
    <w:rsid w:val="00EF40AA"/>
    <w:rsid w:val="00F02092"/>
    <w:rsid w:val="00F34703"/>
    <w:rsid w:val="00F710FB"/>
    <w:rsid w:val="00FC5252"/>
    <w:rsid w:val="00FC6B95"/>
    <w:rsid w:val="00FC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E28F4F4"/>
  <w15:chartTrackingRefBased/>
  <w15:docId w15:val="{C4FA0F44-F08F-4578-9F5D-F37402D28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67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673D"/>
  </w:style>
  <w:style w:type="paragraph" w:styleId="Footer">
    <w:name w:val="footer"/>
    <w:basedOn w:val="Normal"/>
    <w:link w:val="FooterChar"/>
    <w:uiPriority w:val="99"/>
    <w:unhideWhenUsed/>
    <w:rsid w:val="008367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673D"/>
  </w:style>
  <w:style w:type="paragraph" w:styleId="FootnoteText">
    <w:name w:val="footnote text"/>
    <w:basedOn w:val="Normal"/>
    <w:link w:val="FootnoteTextChar"/>
    <w:uiPriority w:val="99"/>
    <w:semiHidden/>
    <w:unhideWhenUsed/>
    <w:rsid w:val="0059253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253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9253D"/>
    <w:rPr>
      <w:vertAlign w:val="superscript"/>
    </w:rPr>
  </w:style>
  <w:style w:type="paragraph" w:styleId="NoSpacing">
    <w:name w:val="No Spacing"/>
    <w:uiPriority w:val="1"/>
    <w:qFormat/>
    <w:rsid w:val="004D559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79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9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940230-3519-4E03-8B53-3E66A71B2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901</Words>
  <Characters>5141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Malebakae Maliehe</dc:creator>
  <cp:keywords/>
  <dc:description/>
  <cp:lastModifiedBy>Malebakae Maliehe</cp:lastModifiedBy>
  <cp:revision>7</cp:revision>
  <cp:lastPrinted>2022-02-23T13:47:00Z</cp:lastPrinted>
  <dcterms:created xsi:type="dcterms:W3CDTF">2022-02-23T13:48:00Z</dcterms:created>
  <dcterms:modified xsi:type="dcterms:W3CDTF">2022-02-24T08:31:00Z</dcterms:modified>
</cp:coreProperties>
</file>