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921A6" w14:textId="44E9B6D5" w:rsidR="00C96917" w:rsidRDefault="00C96917" w:rsidP="00B839CA">
      <w:pPr>
        <w:spacing w:line="360" w:lineRule="auto"/>
        <w:jc w:val="both"/>
        <w:rPr>
          <w:rFonts w:ascii="Times New Roman" w:hAnsi="Times New Roman" w:cs="Times New Roman"/>
          <w:sz w:val="28"/>
          <w:szCs w:val="28"/>
        </w:rPr>
      </w:pPr>
    </w:p>
    <w:p w14:paraId="5517E923" w14:textId="1157C2CD" w:rsidR="00A31225" w:rsidRDefault="00A31225" w:rsidP="00B839CA">
      <w:pPr>
        <w:spacing w:line="360" w:lineRule="auto"/>
        <w:jc w:val="both"/>
        <w:rPr>
          <w:rFonts w:ascii="Times New Roman" w:hAnsi="Times New Roman" w:cs="Times New Roman"/>
          <w:sz w:val="28"/>
          <w:szCs w:val="28"/>
        </w:rPr>
      </w:pPr>
    </w:p>
    <w:p w14:paraId="6ED8F934" w14:textId="14DD2BB7" w:rsidR="00A31225" w:rsidRDefault="00A31225" w:rsidP="00B839CA">
      <w:pPr>
        <w:spacing w:line="360" w:lineRule="auto"/>
        <w:jc w:val="both"/>
        <w:rPr>
          <w:rFonts w:ascii="Times New Roman" w:hAnsi="Times New Roman" w:cs="Times New Roman"/>
          <w:sz w:val="28"/>
          <w:szCs w:val="28"/>
        </w:rPr>
      </w:pPr>
    </w:p>
    <w:p w14:paraId="798B6ECE" w14:textId="77777777" w:rsidR="00A31225" w:rsidRDefault="00A31225" w:rsidP="00B839CA">
      <w:pPr>
        <w:spacing w:line="360" w:lineRule="auto"/>
        <w:jc w:val="both"/>
        <w:rPr>
          <w:rFonts w:ascii="Times New Roman" w:hAnsi="Times New Roman" w:cs="Times New Roman"/>
          <w:sz w:val="28"/>
          <w:szCs w:val="28"/>
        </w:rPr>
      </w:pPr>
    </w:p>
    <w:p w14:paraId="169CBAD1" w14:textId="77777777" w:rsidR="00C96917" w:rsidRPr="00C96917" w:rsidRDefault="00C96917" w:rsidP="00C96917">
      <w:pPr>
        <w:suppressAutoHyphens/>
        <w:autoSpaceDN w:val="0"/>
        <w:spacing w:after="0" w:line="240" w:lineRule="auto"/>
        <w:jc w:val="center"/>
        <w:textAlignment w:val="baseline"/>
        <w:rPr>
          <w:rFonts w:ascii="Times New Roman" w:eastAsia="Calibri" w:hAnsi="Times New Roman" w:cs="Times New Roman"/>
          <w:b/>
          <w:sz w:val="32"/>
          <w:szCs w:val="32"/>
          <w:u w:val="single"/>
        </w:rPr>
      </w:pPr>
      <w:r w:rsidRPr="00C96917">
        <w:rPr>
          <w:rFonts w:ascii="Times New Roman" w:eastAsia="Calibri" w:hAnsi="Times New Roman" w:cs="Times New Roman"/>
          <w:b/>
          <w:sz w:val="32"/>
          <w:szCs w:val="32"/>
          <w:u w:val="single"/>
        </w:rPr>
        <w:t xml:space="preserve">IN THE HIGH COURT OF LESOTHO </w:t>
      </w:r>
    </w:p>
    <w:p w14:paraId="15B7B1C7" w14:textId="77777777" w:rsidR="00C96917" w:rsidRPr="005C48B1" w:rsidRDefault="00C96917" w:rsidP="00C96917">
      <w:pPr>
        <w:suppressAutoHyphens/>
        <w:autoSpaceDN w:val="0"/>
        <w:spacing w:after="0" w:line="240" w:lineRule="auto"/>
        <w:jc w:val="center"/>
        <w:textAlignment w:val="baseline"/>
        <w:rPr>
          <w:rFonts w:ascii="Times New Roman" w:eastAsia="Calibri" w:hAnsi="Times New Roman" w:cs="Times New Roman"/>
          <w:b/>
          <w:sz w:val="32"/>
          <w:szCs w:val="32"/>
        </w:rPr>
      </w:pPr>
      <w:r w:rsidRPr="005C48B1">
        <w:rPr>
          <w:rFonts w:ascii="Times New Roman" w:eastAsia="Calibri" w:hAnsi="Times New Roman" w:cs="Times New Roman"/>
          <w:b/>
          <w:sz w:val="32"/>
          <w:szCs w:val="32"/>
        </w:rPr>
        <w:t>(Commercial Court Division)</w:t>
      </w:r>
    </w:p>
    <w:p w14:paraId="432BEE91" w14:textId="77777777" w:rsidR="00C96917" w:rsidRPr="005C48B1" w:rsidRDefault="00C96917" w:rsidP="00C96917">
      <w:pPr>
        <w:suppressAutoHyphens/>
        <w:autoSpaceDN w:val="0"/>
        <w:spacing w:after="0" w:line="240" w:lineRule="auto"/>
        <w:jc w:val="center"/>
        <w:textAlignment w:val="baseline"/>
        <w:rPr>
          <w:rFonts w:ascii="Times New Roman" w:eastAsia="Calibri" w:hAnsi="Times New Roman" w:cs="Times New Roman"/>
          <w:b/>
          <w:sz w:val="32"/>
          <w:szCs w:val="32"/>
        </w:rPr>
      </w:pPr>
    </w:p>
    <w:p w14:paraId="076C1143" w14:textId="77777777" w:rsidR="00C96917" w:rsidRPr="005C48B1" w:rsidRDefault="00C96917" w:rsidP="00C96917">
      <w:pPr>
        <w:suppressAutoHyphens/>
        <w:autoSpaceDN w:val="0"/>
        <w:spacing w:before="120" w:after="240" w:line="240" w:lineRule="auto"/>
        <w:jc w:val="center"/>
        <w:textAlignment w:val="baseline"/>
        <w:rPr>
          <w:rFonts w:ascii="Times New Roman" w:eastAsia="Calibri" w:hAnsi="Times New Roman" w:cs="Times New Roman"/>
          <w:b/>
          <w:sz w:val="32"/>
          <w:szCs w:val="32"/>
        </w:rPr>
      </w:pPr>
    </w:p>
    <w:p w14:paraId="57DEEFFC" w14:textId="77777777" w:rsidR="00C96917" w:rsidRPr="00C96917" w:rsidRDefault="00C96917" w:rsidP="00C96917">
      <w:pPr>
        <w:suppressAutoHyphens/>
        <w:autoSpaceDN w:val="0"/>
        <w:spacing w:before="120" w:after="240" w:line="480" w:lineRule="auto"/>
        <w:textAlignment w:val="baseline"/>
        <w:rPr>
          <w:rFonts w:ascii="Times New Roman" w:eastAsia="Calibri" w:hAnsi="Times New Roman" w:cs="Times New Roman"/>
          <w:b/>
          <w:sz w:val="32"/>
          <w:szCs w:val="32"/>
        </w:rPr>
      </w:pPr>
      <w:r w:rsidRPr="00C96917">
        <w:rPr>
          <w:rFonts w:ascii="Times New Roman" w:eastAsia="Calibri" w:hAnsi="Times New Roman" w:cs="Times New Roman"/>
          <w:b/>
          <w:sz w:val="32"/>
          <w:szCs w:val="32"/>
        </w:rPr>
        <w:t>HELD AT MASERU</w:t>
      </w:r>
      <w:r w:rsidRPr="00C96917">
        <w:rPr>
          <w:rFonts w:ascii="Times New Roman" w:eastAsia="Calibri" w:hAnsi="Times New Roman" w:cs="Times New Roman"/>
          <w:b/>
          <w:sz w:val="32"/>
          <w:szCs w:val="32"/>
        </w:rPr>
        <w:tab/>
      </w:r>
      <w:r w:rsidRPr="00C96917">
        <w:rPr>
          <w:rFonts w:ascii="Times New Roman" w:eastAsia="Calibri" w:hAnsi="Times New Roman" w:cs="Times New Roman"/>
          <w:b/>
          <w:sz w:val="32"/>
          <w:szCs w:val="32"/>
        </w:rPr>
        <w:tab/>
      </w:r>
      <w:r w:rsidRPr="00C96917">
        <w:rPr>
          <w:rFonts w:ascii="Times New Roman" w:eastAsia="Calibri" w:hAnsi="Times New Roman" w:cs="Times New Roman"/>
          <w:b/>
          <w:sz w:val="32"/>
          <w:szCs w:val="32"/>
        </w:rPr>
        <w:tab/>
      </w:r>
      <w:r w:rsidRPr="00C96917">
        <w:rPr>
          <w:rFonts w:ascii="Times New Roman" w:eastAsia="Calibri" w:hAnsi="Times New Roman" w:cs="Times New Roman"/>
          <w:b/>
          <w:sz w:val="32"/>
          <w:szCs w:val="32"/>
        </w:rPr>
        <w:tab/>
        <w:t xml:space="preserve">        CCT</w:t>
      </w:r>
      <w:r w:rsidR="001725F9">
        <w:rPr>
          <w:rFonts w:ascii="Times New Roman" w:eastAsia="Calibri" w:hAnsi="Times New Roman" w:cs="Times New Roman"/>
          <w:b/>
          <w:sz w:val="32"/>
          <w:szCs w:val="32"/>
        </w:rPr>
        <w:t>/0468</w:t>
      </w:r>
      <w:r w:rsidRPr="00C96917">
        <w:rPr>
          <w:rFonts w:ascii="Times New Roman" w:eastAsia="Calibri" w:hAnsi="Times New Roman" w:cs="Times New Roman"/>
          <w:b/>
          <w:sz w:val="32"/>
          <w:szCs w:val="32"/>
        </w:rPr>
        <w:t>/2021</w:t>
      </w:r>
    </w:p>
    <w:p w14:paraId="1EA97CAD" w14:textId="77777777" w:rsidR="00C96917" w:rsidRPr="00C96917" w:rsidRDefault="00C96917" w:rsidP="00C96917">
      <w:pPr>
        <w:suppressAutoHyphens/>
        <w:autoSpaceDN w:val="0"/>
        <w:spacing w:before="120" w:after="240" w:line="480" w:lineRule="auto"/>
        <w:textAlignment w:val="baseline"/>
        <w:rPr>
          <w:rFonts w:ascii="Times New Roman" w:eastAsia="Calibri" w:hAnsi="Times New Roman" w:cs="Times New Roman"/>
          <w:sz w:val="32"/>
          <w:szCs w:val="32"/>
        </w:rPr>
      </w:pPr>
      <w:r w:rsidRPr="00C96917">
        <w:rPr>
          <w:rFonts w:ascii="Times New Roman" w:eastAsia="Calibri" w:hAnsi="Times New Roman" w:cs="Times New Roman"/>
          <w:sz w:val="32"/>
          <w:szCs w:val="32"/>
        </w:rPr>
        <w:t xml:space="preserve">In the matter between: </w:t>
      </w:r>
    </w:p>
    <w:p w14:paraId="65081253" w14:textId="77777777" w:rsidR="00A31225" w:rsidRDefault="001725F9" w:rsidP="00C96917">
      <w:pPr>
        <w:suppressAutoHyphens/>
        <w:autoSpaceDN w:val="0"/>
        <w:spacing w:before="120" w:after="240" w:line="480" w:lineRule="auto"/>
        <w:jc w:val="both"/>
        <w:textAlignment w:val="baseline"/>
        <w:rPr>
          <w:rFonts w:ascii="Times New Roman" w:eastAsia="Calibri" w:hAnsi="Times New Roman" w:cs="Times New Roman"/>
          <w:b/>
          <w:sz w:val="28"/>
          <w:szCs w:val="28"/>
        </w:rPr>
      </w:pPr>
      <w:r>
        <w:rPr>
          <w:rFonts w:ascii="Times New Roman" w:eastAsia="Calibri" w:hAnsi="Times New Roman" w:cs="Times New Roman"/>
          <w:b/>
          <w:sz w:val="28"/>
          <w:szCs w:val="28"/>
        </w:rPr>
        <w:t xml:space="preserve">‘MAMPOETSI LEMEKE </w:t>
      </w:r>
      <w:r w:rsidR="00C96917" w:rsidRPr="00C96917">
        <w:rPr>
          <w:rFonts w:ascii="Times New Roman" w:eastAsia="Calibri" w:hAnsi="Times New Roman" w:cs="Times New Roman"/>
          <w:b/>
          <w:sz w:val="28"/>
          <w:szCs w:val="28"/>
        </w:rPr>
        <w:tab/>
      </w:r>
      <w:r w:rsidR="00C96917" w:rsidRPr="00C96917">
        <w:rPr>
          <w:rFonts w:ascii="Times New Roman" w:eastAsia="Calibri" w:hAnsi="Times New Roman" w:cs="Times New Roman"/>
          <w:b/>
          <w:sz w:val="28"/>
          <w:szCs w:val="28"/>
        </w:rPr>
        <w:tab/>
        <w:t xml:space="preserve">           </w:t>
      </w:r>
      <w:r w:rsidR="00C96917" w:rsidRPr="00C96917">
        <w:rPr>
          <w:rFonts w:ascii="Times New Roman" w:eastAsia="Calibri" w:hAnsi="Times New Roman" w:cs="Times New Roman"/>
          <w:b/>
          <w:sz w:val="28"/>
          <w:szCs w:val="28"/>
        </w:rPr>
        <w:tab/>
      </w:r>
      <w:r w:rsidR="00E94F06">
        <w:rPr>
          <w:rFonts w:ascii="Times New Roman" w:eastAsia="Calibri" w:hAnsi="Times New Roman" w:cs="Times New Roman"/>
          <w:b/>
          <w:sz w:val="28"/>
          <w:szCs w:val="28"/>
        </w:rPr>
        <w:t xml:space="preserve">           </w:t>
      </w:r>
      <w:r w:rsidR="00C96917" w:rsidRPr="00C96917">
        <w:rPr>
          <w:rFonts w:ascii="Times New Roman" w:eastAsia="Calibri" w:hAnsi="Times New Roman" w:cs="Times New Roman"/>
          <w:b/>
          <w:sz w:val="28"/>
          <w:szCs w:val="28"/>
        </w:rPr>
        <w:t>PLAINTIFF</w:t>
      </w:r>
    </w:p>
    <w:p w14:paraId="6ECFB7AC" w14:textId="0D0A73C5" w:rsidR="00C96917" w:rsidRPr="00A31225" w:rsidRDefault="00C96917" w:rsidP="00C96917">
      <w:pPr>
        <w:suppressAutoHyphens/>
        <w:autoSpaceDN w:val="0"/>
        <w:spacing w:before="120" w:after="240" w:line="480" w:lineRule="auto"/>
        <w:jc w:val="both"/>
        <w:textAlignment w:val="baseline"/>
        <w:rPr>
          <w:rFonts w:ascii="Calibri" w:eastAsia="Calibri" w:hAnsi="Calibri" w:cs="Times New Roman"/>
          <w:sz w:val="28"/>
          <w:szCs w:val="28"/>
        </w:rPr>
      </w:pPr>
      <w:r w:rsidRPr="00C96917">
        <w:rPr>
          <w:rFonts w:ascii="Times New Roman" w:eastAsia="Calibri" w:hAnsi="Times New Roman" w:cs="Times New Roman"/>
          <w:sz w:val="28"/>
          <w:szCs w:val="28"/>
        </w:rPr>
        <w:t>And</w:t>
      </w:r>
    </w:p>
    <w:p w14:paraId="31C626CA" w14:textId="77777777" w:rsidR="00C96917" w:rsidRPr="00C96917" w:rsidRDefault="001725F9" w:rsidP="00C96917">
      <w:pPr>
        <w:suppressAutoHyphens/>
        <w:autoSpaceDN w:val="0"/>
        <w:spacing w:after="0" w:line="240" w:lineRule="auto"/>
        <w:jc w:val="both"/>
        <w:textAlignment w:val="baseline"/>
        <w:rPr>
          <w:rFonts w:ascii="Times New Roman" w:eastAsia="Calibri" w:hAnsi="Times New Roman" w:cs="Times New Roman"/>
          <w:b/>
          <w:sz w:val="28"/>
          <w:szCs w:val="28"/>
        </w:rPr>
      </w:pPr>
      <w:r>
        <w:rPr>
          <w:rFonts w:ascii="Times New Roman" w:eastAsia="Calibri" w:hAnsi="Times New Roman" w:cs="Times New Roman"/>
          <w:b/>
          <w:sz w:val="28"/>
          <w:szCs w:val="28"/>
        </w:rPr>
        <w:t xml:space="preserve">THABANG SEFALI </w:t>
      </w:r>
      <w:r w:rsidRPr="00C96917">
        <w:rPr>
          <w:rFonts w:ascii="Times New Roman" w:eastAsia="Calibri" w:hAnsi="Times New Roman" w:cs="Times New Roman"/>
          <w:b/>
          <w:sz w:val="28"/>
          <w:szCs w:val="28"/>
        </w:rPr>
        <w:tab/>
      </w:r>
      <w:r w:rsidR="00C96917" w:rsidRPr="00C96917">
        <w:rPr>
          <w:rFonts w:ascii="Times New Roman" w:eastAsia="Calibri" w:hAnsi="Times New Roman" w:cs="Times New Roman"/>
          <w:b/>
          <w:sz w:val="28"/>
          <w:szCs w:val="28"/>
        </w:rPr>
        <w:tab/>
      </w:r>
      <w:r w:rsidR="00C96917" w:rsidRPr="00C96917">
        <w:rPr>
          <w:rFonts w:ascii="Times New Roman" w:eastAsia="Calibri" w:hAnsi="Times New Roman" w:cs="Times New Roman"/>
          <w:b/>
          <w:sz w:val="28"/>
          <w:szCs w:val="28"/>
        </w:rPr>
        <w:tab/>
      </w:r>
      <w:r w:rsidR="00C96917" w:rsidRPr="00C96917">
        <w:rPr>
          <w:rFonts w:ascii="Times New Roman" w:eastAsia="Calibri" w:hAnsi="Times New Roman" w:cs="Times New Roman"/>
          <w:b/>
          <w:sz w:val="28"/>
          <w:szCs w:val="28"/>
        </w:rPr>
        <w:tab/>
        <w:t xml:space="preserve"> </w:t>
      </w:r>
      <w:r>
        <w:rPr>
          <w:rFonts w:ascii="Times New Roman" w:eastAsia="Calibri" w:hAnsi="Times New Roman" w:cs="Times New Roman"/>
          <w:b/>
          <w:sz w:val="28"/>
          <w:szCs w:val="28"/>
        </w:rPr>
        <w:t xml:space="preserve">                    </w:t>
      </w:r>
      <w:r w:rsidR="00C96917" w:rsidRPr="00C96917">
        <w:rPr>
          <w:rFonts w:ascii="Times New Roman" w:eastAsia="Calibri" w:hAnsi="Times New Roman" w:cs="Times New Roman"/>
          <w:b/>
          <w:sz w:val="28"/>
          <w:szCs w:val="28"/>
        </w:rPr>
        <w:t>1</w:t>
      </w:r>
      <w:r w:rsidR="00C96917" w:rsidRPr="00C96917">
        <w:rPr>
          <w:rFonts w:ascii="Times New Roman" w:eastAsia="Calibri" w:hAnsi="Times New Roman" w:cs="Times New Roman"/>
          <w:b/>
          <w:sz w:val="28"/>
          <w:szCs w:val="28"/>
          <w:vertAlign w:val="superscript"/>
        </w:rPr>
        <w:t>ST</w:t>
      </w:r>
      <w:r w:rsidR="00C96917" w:rsidRPr="00C96917">
        <w:rPr>
          <w:rFonts w:ascii="Times New Roman" w:eastAsia="Calibri" w:hAnsi="Times New Roman" w:cs="Times New Roman"/>
          <w:b/>
          <w:sz w:val="28"/>
          <w:szCs w:val="28"/>
        </w:rPr>
        <w:t xml:space="preserve"> DEFENDANT </w:t>
      </w:r>
    </w:p>
    <w:p w14:paraId="19CADD0A" w14:textId="77777777" w:rsidR="00C96917" w:rsidRPr="00C96917" w:rsidRDefault="00C96917" w:rsidP="00C96917">
      <w:pPr>
        <w:suppressAutoHyphens/>
        <w:autoSpaceDN w:val="0"/>
        <w:spacing w:after="0" w:line="240" w:lineRule="auto"/>
        <w:jc w:val="both"/>
        <w:textAlignment w:val="baseline"/>
        <w:rPr>
          <w:rFonts w:ascii="Times New Roman" w:eastAsia="Calibri" w:hAnsi="Times New Roman" w:cs="Times New Roman"/>
          <w:b/>
          <w:sz w:val="28"/>
          <w:szCs w:val="28"/>
        </w:rPr>
      </w:pPr>
    </w:p>
    <w:p w14:paraId="4EC2C073" w14:textId="3290481A" w:rsidR="00AE5DC6" w:rsidRPr="005B6824" w:rsidRDefault="001725F9" w:rsidP="00C96917">
      <w:pPr>
        <w:suppressAutoHyphens/>
        <w:autoSpaceDN w:val="0"/>
        <w:spacing w:line="480" w:lineRule="auto"/>
        <w:jc w:val="both"/>
        <w:textAlignment w:val="baseline"/>
        <w:rPr>
          <w:rFonts w:ascii="Times New Roman" w:eastAsia="Calibri" w:hAnsi="Times New Roman" w:cs="Times New Roman"/>
          <w:b/>
          <w:sz w:val="28"/>
          <w:szCs w:val="28"/>
        </w:rPr>
      </w:pPr>
      <w:r>
        <w:rPr>
          <w:rFonts w:ascii="Times New Roman" w:eastAsia="Calibri" w:hAnsi="Times New Roman" w:cs="Times New Roman"/>
          <w:b/>
          <w:sz w:val="28"/>
          <w:szCs w:val="28"/>
        </w:rPr>
        <w:t>‘MABAFOKENG SEFALI</w:t>
      </w:r>
      <w:r w:rsidR="00C96917" w:rsidRPr="00C96917">
        <w:rPr>
          <w:rFonts w:ascii="Times New Roman" w:eastAsia="Calibri" w:hAnsi="Times New Roman" w:cs="Times New Roman"/>
          <w:b/>
          <w:sz w:val="28"/>
          <w:szCs w:val="28"/>
        </w:rPr>
        <w:t xml:space="preserve">                    </w:t>
      </w:r>
      <w:r w:rsidR="00C96917" w:rsidRPr="00C96917">
        <w:rPr>
          <w:rFonts w:ascii="Times New Roman" w:eastAsia="Calibri" w:hAnsi="Times New Roman" w:cs="Times New Roman"/>
          <w:b/>
          <w:sz w:val="28"/>
          <w:szCs w:val="28"/>
        </w:rPr>
        <w:tab/>
      </w:r>
      <w:r w:rsidR="00C96917" w:rsidRPr="00C96917">
        <w:rPr>
          <w:rFonts w:ascii="Times New Roman" w:eastAsia="Calibri" w:hAnsi="Times New Roman" w:cs="Times New Roman"/>
          <w:b/>
          <w:sz w:val="28"/>
          <w:szCs w:val="28"/>
        </w:rPr>
        <w:tab/>
      </w:r>
      <w:r w:rsidR="00C96917" w:rsidRPr="00C96917">
        <w:rPr>
          <w:rFonts w:ascii="Times New Roman" w:eastAsia="Calibri" w:hAnsi="Times New Roman" w:cs="Times New Roman"/>
          <w:b/>
          <w:sz w:val="28"/>
          <w:szCs w:val="28"/>
        </w:rPr>
        <w:tab/>
      </w:r>
      <w:r>
        <w:rPr>
          <w:rFonts w:ascii="Times New Roman" w:eastAsia="Calibri" w:hAnsi="Times New Roman" w:cs="Times New Roman"/>
          <w:b/>
          <w:sz w:val="28"/>
          <w:szCs w:val="28"/>
        </w:rPr>
        <w:t xml:space="preserve"> 2</w:t>
      </w:r>
      <w:r w:rsidRPr="001725F9">
        <w:rPr>
          <w:rFonts w:ascii="Times New Roman" w:eastAsia="Calibri" w:hAnsi="Times New Roman" w:cs="Times New Roman"/>
          <w:b/>
          <w:sz w:val="28"/>
          <w:szCs w:val="28"/>
          <w:vertAlign w:val="superscript"/>
        </w:rPr>
        <w:t>ND</w:t>
      </w:r>
      <w:r>
        <w:rPr>
          <w:rFonts w:ascii="Times New Roman" w:eastAsia="Calibri" w:hAnsi="Times New Roman" w:cs="Times New Roman"/>
          <w:b/>
          <w:sz w:val="28"/>
          <w:szCs w:val="28"/>
        </w:rPr>
        <w:t xml:space="preserve"> </w:t>
      </w:r>
      <w:r w:rsidR="00C96917" w:rsidRPr="00C96917">
        <w:rPr>
          <w:rFonts w:ascii="Times New Roman" w:eastAsia="Calibri" w:hAnsi="Times New Roman" w:cs="Times New Roman"/>
          <w:b/>
          <w:sz w:val="28"/>
          <w:szCs w:val="28"/>
        </w:rPr>
        <w:t xml:space="preserve">DEFENDANT </w:t>
      </w:r>
    </w:p>
    <w:p w14:paraId="76698B3E" w14:textId="108F4F92" w:rsidR="00C96917" w:rsidRPr="00BF4DFA" w:rsidRDefault="00C96917" w:rsidP="00C96917">
      <w:pPr>
        <w:suppressAutoHyphens/>
        <w:autoSpaceDN w:val="0"/>
        <w:spacing w:line="240" w:lineRule="auto"/>
        <w:jc w:val="both"/>
        <w:textAlignment w:val="baseline"/>
        <w:rPr>
          <w:rFonts w:ascii="Times New Roman" w:eastAsia="SimSun" w:hAnsi="Times New Roman" w:cs="Times New Roman"/>
          <w:b/>
          <w:sz w:val="28"/>
          <w:szCs w:val="28"/>
        </w:rPr>
      </w:pPr>
      <w:r w:rsidRPr="00BF4DFA">
        <w:rPr>
          <w:rFonts w:ascii="Times New Roman" w:eastAsia="Calibri" w:hAnsi="Times New Roman" w:cs="Times New Roman"/>
          <w:b/>
          <w:sz w:val="28"/>
          <w:szCs w:val="28"/>
        </w:rPr>
        <w:t xml:space="preserve">Neutral Citation: </w:t>
      </w:r>
      <w:r w:rsidR="00BF4DFA" w:rsidRPr="00BF4DFA">
        <w:rPr>
          <w:rFonts w:ascii="Times New Roman" w:eastAsia="Calibri" w:hAnsi="Times New Roman" w:cs="Times New Roman"/>
          <w:bCs/>
          <w:sz w:val="28"/>
          <w:szCs w:val="28"/>
        </w:rPr>
        <w:t>‘</w:t>
      </w:r>
      <w:proofErr w:type="spellStart"/>
      <w:r w:rsidR="00BF4DFA" w:rsidRPr="00BF4DFA">
        <w:rPr>
          <w:rFonts w:ascii="Times New Roman" w:eastAsia="Calibri" w:hAnsi="Times New Roman" w:cs="Times New Roman"/>
          <w:bCs/>
          <w:sz w:val="28"/>
          <w:szCs w:val="28"/>
        </w:rPr>
        <w:t>Mampoetsi</w:t>
      </w:r>
      <w:proofErr w:type="spellEnd"/>
      <w:r w:rsidR="00BF4DFA" w:rsidRPr="00BF4DFA">
        <w:rPr>
          <w:rFonts w:ascii="Times New Roman" w:eastAsia="Calibri" w:hAnsi="Times New Roman" w:cs="Times New Roman"/>
          <w:bCs/>
          <w:sz w:val="28"/>
          <w:szCs w:val="28"/>
        </w:rPr>
        <w:t xml:space="preserve"> </w:t>
      </w:r>
      <w:proofErr w:type="spellStart"/>
      <w:r w:rsidR="00BF4DFA" w:rsidRPr="00BF4DFA">
        <w:rPr>
          <w:rFonts w:ascii="Times New Roman" w:eastAsia="Calibri" w:hAnsi="Times New Roman" w:cs="Times New Roman"/>
          <w:bCs/>
          <w:sz w:val="28"/>
          <w:szCs w:val="28"/>
        </w:rPr>
        <w:t>Lemeke</w:t>
      </w:r>
      <w:proofErr w:type="spellEnd"/>
      <w:r w:rsidR="00BF4DFA" w:rsidRPr="00BF4DFA">
        <w:rPr>
          <w:rFonts w:ascii="Times New Roman" w:eastAsia="Calibri" w:hAnsi="Times New Roman" w:cs="Times New Roman"/>
          <w:bCs/>
          <w:sz w:val="28"/>
          <w:szCs w:val="28"/>
        </w:rPr>
        <w:t xml:space="preserve"> v Thabang </w:t>
      </w:r>
      <w:proofErr w:type="spellStart"/>
      <w:r w:rsidR="00BF4DFA" w:rsidRPr="00BF4DFA">
        <w:rPr>
          <w:rFonts w:ascii="Times New Roman" w:eastAsia="Calibri" w:hAnsi="Times New Roman" w:cs="Times New Roman"/>
          <w:bCs/>
          <w:sz w:val="28"/>
          <w:szCs w:val="28"/>
        </w:rPr>
        <w:t>Sefali</w:t>
      </w:r>
      <w:proofErr w:type="spellEnd"/>
      <w:r w:rsidR="00BF4DFA" w:rsidRPr="00BF4DFA">
        <w:rPr>
          <w:rFonts w:ascii="Times New Roman" w:eastAsia="Calibri" w:hAnsi="Times New Roman" w:cs="Times New Roman"/>
          <w:bCs/>
          <w:sz w:val="28"/>
          <w:szCs w:val="28"/>
        </w:rPr>
        <w:t xml:space="preserve"> &amp; another</w:t>
      </w:r>
      <w:r w:rsidR="005C48B1">
        <w:rPr>
          <w:rFonts w:ascii="Times New Roman" w:eastAsia="Calibri" w:hAnsi="Times New Roman" w:cs="Times New Roman"/>
          <w:bCs/>
          <w:sz w:val="28"/>
          <w:szCs w:val="28"/>
        </w:rPr>
        <w:t xml:space="preserve"> (No.1</w:t>
      </w:r>
      <w:r w:rsidR="00BF4DFA">
        <w:rPr>
          <w:rFonts w:ascii="Times New Roman" w:eastAsia="Calibri" w:hAnsi="Times New Roman" w:cs="Times New Roman"/>
          <w:bCs/>
          <w:sz w:val="28"/>
          <w:szCs w:val="28"/>
        </w:rPr>
        <w:t xml:space="preserve"> [2022] LSHC</w:t>
      </w:r>
      <w:r w:rsidR="00442043">
        <w:rPr>
          <w:rFonts w:ascii="Times New Roman" w:eastAsia="Calibri" w:hAnsi="Times New Roman" w:cs="Times New Roman"/>
          <w:bCs/>
          <w:sz w:val="28"/>
          <w:szCs w:val="28"/>
        </w:rPr>
        <w:t xml:space="preserve"> 311</w:t>
      </w:r>
      <w:r w:rsidR="00BF4DFA">
        <w:rPr>
          <w:rFonts w:ascii="Times New Roman" w:eastAsia="Calibri" w:hAnsi="Times New Roman" w:cs="Times New Roman"/>
          <w:bCs/>
          <w:sz w:val="28"/>
          <w:szCs w:val="28"/>
        </w:rPr>
        <w:t xml:space="preserve"> COM (30</w:t>
      </w:r>
      <w:r w:rsidR="00BF4DFA">
        <w:rPr>
          <w:rFonts w:ascii="Times New Roman" w:eastAsia="Calibri" w:hAnsi="Times New Roman" w:cs="Times New Roman"/>
          <w:bCs/>
          <w:sz w:val="28"/>
          <w:szCs w:val="28"/>
          <w:vertAlign w:val="superscript"/>
        </w:rPr>
        <w:t>th</w:t>
      </w:r>
      <w:r w:rsidR="00BF4DFA" w:rsidRPr="00BF4DFA">
        <w:rPr>
          <w:rFonts w:ascii="Times New Roman" w:eastAsia="Calibri" w:hAnsi="Times New Roman" w:cs="Times New Roman"/>
          <w:bCs/>
          <w:sz w:val="28"/>
          <w:szCs w:val="28"/>
          <w:vertAlign w:val="superscript"/>
        </w:rPr>
        <w:t xml:space="preserve"> </w:t>
      </w:r>
      <w:r w:rsidR="00BF4DFA" w:rsidRPr="00BF4DFA">
        <w:rPr>
          <w:rFonts w:ascii="Times New Roman" w:eastAsia="SimSun" w:hAnsi="Times New Roman" w:cs="Times New Roman"/>
          <w:bCs/>
          <w:sz w:val="28"/>
          <w:szCs w:val="28"/>
        </w:rPr>
        <w:t>November,</w:t>
      </w:r>
      <w:r w:rsidR="00BF4DFA">
        <w:rPr>
          <w:rFonts w:ascii="Times New Roman" w:eastAsia="SimSun" w:hAnsi="Times New Roman" w:cs="Times New Roman"/>
          <w:bCs/>
          <w:sz w:val="28"/>
          <w:szCs w:val="28"/>
        </w:rPr>
        <w:t xml:space="preserve"> </w:t>
      </w:r>
      <w:r w:rsidR="00BF4DFA" w:rsidRPr="00BF4DFA">
        <w:rPr>
          <w:rFonts w:ascii="Times New Roman" w:eastAsia="SimSun" w:hAnsi="Times New Roman" w:cs="Times New Roman"/>
          <w:bCs/>
          <w:sz w:val="28"/>
          <w:szCs w:val="28"/>
        </w:rPr>
        <w:t>2022)</w:t>
      </w:r>
    </w:p>
    <w:p w14:paraId="50B84937" w14:textId="77777777" w:rsidR="000D1D32" w:rsidRDefault="000D1D32" w:rsidP="003954A0">
      <w:pPr>
        <w:tabs>
          <w:tab w:val="left" w:pos="1134"/>
        </w:tabs>
        <w:suppressAutoHyphens/>
        <w:autoSpaceDN w:val="0"/>
        <w:spacing w:after="0" w:line="360" w:lineRule="auto"/>
        <w:textAlignment w:val="baseline"/>
        <w:rPr>
          <w:rFonts w:ascii="Times New Roman" w:eastAsia="Calibri" w:hAnsi="Times New Roman" w:cs="Times New Roman"/>
          <w:b/>
          <w:iCs/>
          <w:sz w:val="28"/>
          <w:szCs w:val="28"/>
          <w:u w:val="single"/>
        </w:rPr>
      </w:pPr>
    </w:p>
    <w:p w14:paraId="7F1052B0" w14:textId="7B63F84E" w:rsidR="00C96917" w:rsidRPr="00C96917" w:rsidRDefault="00C96917" w:rsidP="005B6824">
      <w:pPr>
        <w:tabs>
          <w:tab w:val="left" w:pos="1134"/>
        </w:tabs>
        <w:suppressAutoHyphens/>
        <w:autoSpaceDN w:val="0"/>
        <w:spacing w:after="0" w:line="480" w:lineRule="auto"/>
        <w:jc w:val="center"/>
        <w:textAlignment w:val="baseline"/>
        <w:rPr>
          <w:rFonts w:ascii="Times New Roman" w:eastAsia="Calibri" w:hAnsi="Times New Roman" w:cs="Times New Roman"/>
          <w:b/>
          <w:iCs/>
          <w:sz w:val="28"/>
          <w:szCs w:val="28"/>
          <w:u w:val="single"/>
        </w:rPr>
      </w:pPr>
    </w:p>
    <w:p w14:paraId="446794ED" w14:textId="77777777" w:rsidR="000D1D32" w:rsidRDefault="00C96917" w:rsidP="000D1D32">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rPr>
      </w:pPr>
      <w:r w:rsidRPr="00C96917">
        <w:rPr>
          <w:rFonts w:ascii="Times New Roman" w:eastAsia="Calibri" w:hAnsi="Times New Roman" w:cs="Times New Roman"/>
          <w:bCs/>
          <w:iCs/>
          <w:sz w:val="28"/>
          <w:szCs w:val="28"/>
        </w:rPr>
        <w:t>CORAM:</w:t>
      </w:r>
      <w:r w:rsidRPr="00C96917">
        <w:rPr>
          <w:rFonts w:ascii="Times New Roman" w:eastAsia="Calibri" w:hAnsi="Times New Roman" w:cs="Times New Roman"/>
          <w:bCs/>
          <w:iCs/>
          <w:sz w:val="28"/>
          <w:szCs w:val="28"/>
        </w:rPr>
        <w:tab/>
      </w:r>
      <w:r w:rsidRPr="00C96917">
        <w:rPr>
          <w:rFonts w:ascii="Times New Roman" w:eastAsia="Calibri" w:hAnsi="Times New Roman" w:cs="Times New Roman"/>
          <w:bCs/>
          <w:iCs/>
          <w:sz w:val="28"/>
          <w:szCs w:val="28"/>
        </w:rPr>
        <w:tab/>
      </w:r>
      <w:r w:rsidRPr="00C96917">
        <w:rPr>
          <w:rFonts w:ascii="Times New Roman" w:eastAsia="Calibri" w:hAnsi="Times New Roman" w:cs="Times New Roman"/>
          <w:bCs/>
          <w:iCs/>
          <w:sz w:val="28"/>
          <w:szCs w:val="28"/>
        </w:rPr>
        <w:tab/>
      </w:r>
      <w:r w:rsidRPr="00C96917">
        <w:rPr>
          <w:rFonts w:ascii="Times New Roman" w:eastAsia="Calibri" w:hAnsi="Times New Roman" w:cs="Times New Roman"/>
          <w:bCs/>
          <w:iCs/>
          <w:sz w:val="28"/>
          <w:szCs w:val="28"/>
        </w:rPr>
        <w:tab/>
        <w:t>MATHABA J</w:t>
      </w:r>
    </w:p>
    <w:p w14:paraId="159378C3" w14:textId="684F471A" w:rsidR="00C96917" w:rsidRPr="000D1D32" w:rsidRDefault="00C96917" w:rsidP="000D1D32">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rPr>
      </w:pPr>
      <w:r w:rsidRPr="00C96917">
        <w:rPr>
          <w:rFonts w:ascii="Times New Roman" w:eastAsia="Calibri" w:hAnsi="Times New Roman" w:cs="Times New Roman"/>
          <w:bCs/>
          <w:iCs/>
          <w:sz w:val="28"/>
          <w:szCs w:val="28"/>
        </w:rPr>
        <w:t xml:space="preserve">HEARD ON: </w:t>
      </w:r>
      <w:r w:rsidRPr="00C96917">
        <w:rPr>
          <w:rFonts w:ascii="Times New Roman" w:eastAsia="Calibri" w:hAnsi="Times New Roman" w:cs="Times New Roman"/>
          <w:bCs/>
          <w:iCs/>
          <w:sz w:val="28"/>
          <w:szCs w:val="28"/>
        </w:rPr>
        <w:tab/>
      </w:r>
      <w:r w:rsidRPr="00C96917">
        <w:rPr>
          <w:rFonts w:ascii="Times New Roman" w:eastAsia="Calibri" w:hAnsi="Times New Roman" w:cs="Times New Roman"/>
          <w:bCs/>
          <w:iCs/>
          <w:sz w:val="28"/>
          <w:szCs w:val="28"/>
        </w:rPr>
        <w:tab/>
      </w:r>
      <w:r>
        <w:rPr>
          <w:rFonts w:ascii="Times New Roman" w:eastAsia="Calibri" w:hAnsi="Times New Roman" w:cs="Times New Roman"/>
          <w:bCs/>
          <w:iCs/>
          <w:sz w:val="28"/>
          <w:szCs w:val="28"/>
        </w:rPr>
        <w:t>17</w:t>
      </w:r>
      <w:r>
        <w:rPr>
          <w:rFonts w:ascii="Times New Roman" w:eastAsia="Calibri" w:hAnsi="Times New Roman" w:cs="Times New Roman"/>
          <w:bCs/>
          <w:iCs/>
          <w:sz w:val="28"/>
          <w:szCs w:val="28"/>
          <w:vertAlign w:val="superscript"/>
        </w:rPr>
        <w:t>th</w:t>
      </w:r>
      <w:r w:rsidRPr="00C96917">
        <w:rPr>
          <w:rFonts w:ascii="Times New Roman" w:eastAsia="Calibri" w:hAnsi="Times New Roman" w:cs="Times New Roman"/>
          <w:bCs/>
          <w:iCs/>
          <w:sz w:val="28"/>
          <w:szCs w:val="28"/>
          <w:vertAlign w:val="superscript"/>
        </w:rPr>
        <w:t xml:space="preserve"> </w:t>
      </w:r>
      <w:r>
        <w:rPr>
          <w:rFonts w:ascii="Times New Roman" w:eastAsia="Calibri" w:hAnsi="Times New Roman" w:cs="Times New Roman"/>
          <w:bCs/>
          <w:iCs/>
          <w:sz w:val="28"/>
          <w:szCs w:val="28"/>
        </w:rPr>
        <w:t xml:space="preserve">October </w:t>
      </w:r>
      <w:r w:rsidRPr="00C96917">
        <w:rPr>
          <w:rFonts w:ascii="Times New Roman" w:eastAsia="Calibri" w:hAnsi="Times New Roman" w:cs="Times New Roman"/>
          <w:bCs/>
          <w:iCs/>
          <w:sz w:val="28"/>
          <w:szCs w:val="28"/>
        </w:rPr>
        <w:t>2022</w:t>
      </w:r>
    </w:p>
    <w:p w14:paraId="148DCFDD" w14:textId="5C95F196" w:rsidR="001702CC" w:rsidRPr="005B6824" w:rsidRDefault="00C96917" w:rsidP="005B6824">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rPr>
      </w:pPr>
      <w:r w:rsidRPr="00C96917">
        <w:rPr>
          <w:rFonts w:ascii="Times New Roman" w:eastAsia="Calibri" w:hAnsi="Times New Roman" w:cs="Times New Roman"/>
          <w:bCs/>
          <w:iCs/>
          <w:sz w:val="28"/>
          <w:szCs w:val="28"/>
        </w:rPr>
        <w:t>DELIVERED ON:</w:t>
      </w:r>
      <w:r w:rsidRPr="00C96917">
        <w:rPr>
          <w:rFonts w:ascii="Times New Roman" w:eastAsia="Calibri" w:hAnsi="Times New Roman" w:cs="Times New Roman"/>
          <w:bCs/>
          <w:iCs/>
          <w:sz w:val="28"/>
          <w:szCs w:val="28"/>
        </w:rPr>
        <w:tab/>
      </w:r>
      <w:r w:rsidRPr="00C96917">
        <w:rPr>
          <w:rFonts w:ascii="Times New Roman" w:eastAsia="Calibri" w:hAnsi="Times New Roman" w:cs="Times New Roman"/>
          <w:bCs/>
          <w:iCs/>
          <w:sz w:val="28"/>
          <w:szCs w:val="28"/>
        </w:rPr>
        <w:tab/>
      </w:r>
      <w:r>
        <w:rPr>
          <w:rFonts w:ascii="Times New Roman" w:eastAsia="Calibri" w:hAnsi="Times New Roman" w:cs="Times New Roman"/>
          <w:bCs/>
          <w:iCs/>
          <w:sz w:val="28"/>
          <w:szCs w:val="28"/>
        </w:rPr>
        <w:t xml:space="preserve"> </w:t>
      </w:r>
      <w:r w:rsidR="00EB1FB9">
        <w:rPr>
          <w:rFonts w:ascii="Times New Roman" w:eastAsia="Calibri" w:hAnsi="Times New Roman" w:cs="Times New Roman"/>
          <w:bCs/>
          <w:iCs/>
          <w:sz w:val="28"/>
          <w:szCs w:val="28"/>
        </w:rPr>
        <w:t>30</w:t>
      </w:r>
      <w:r w:rsidR="00EB1FB9" w:rsidRPr="00EB1FB9">
        <w:rPr>
          <w:rFonts w:ascii="Times New Roman" w:eastAsia="Calibri" w:hAnsi="Times New Roman" w:cs="Times New Roman"/>
          <w:bCs/>
          <w:iCs/>
          <w:sz w:val="28"/>
          <w:szCs w:val="28"/>
          <w:vertAlign w:val="superscript"/>
        </w:rPr>
        <w:t>th</w:t>
      </w:r>
      <w:r w:rsidR="00EB1FB9">
        <w:rPr>
          <w:rFonts w:ascii="Times New Roman" w:eastAsia="Calibri" w:hAnsi="Times New Roman" w:cs="Times New Roman"/>
          <w:bCs/>
          <w:iCs/>
          <w:sz w:val="28"/>
          <w:szCs w:val="28"/>
        </w:rPr>
        <w:t xml:space="preserve"> </w:t>
      </w:r>
      <w:r>
        <w:rPr>
          <w:rFonts w:ascii="Times New Roman" w:eastAsia="Calibri" w:hAnsi="Times New Roman" w:cs="Times New Roman"/>
          <w:bCs/>
          <w:iCs/>
          <w:sz w:val="28"/>
          <w:szCs w:val="28"/>
        </w:rPr>
        <w:t xml:space="preserve">November </w:t>
      </w:r>
      <w:r w:rsidR="00F118A6">
        <w:rPr>
          <w:rFonts w:ascii="Times New Roman" w:eastAsia="Calibri" w:hAnsi="Times New Roman" w:cs="Times New Roman"/>
          <w:bCs/>
          <w:iCs/>
          <w:sz w:val="28"/>
          <w:szCs w:val="28"/>
        </w:rPr>
        <w:t>202</w:t>
      </w:r>
      <w:r w:rsidR="00373AD5">
        <w:rPr>
          <w:rFonts w:ascii="Times New Roman" w:eastAsia="Calibri" w:hAnsi="Times New Roman" w:cs="Times New Roman"/>
          <w:bCs/>
          <w:iCs/>
          <w:sz w:val="28"/>
          <w:szCs w:val="28"/>
        </w:rPr>
        <w:t>2</w:t>
      </w:r>
    </w:p>
    <w:p w14:paraId="35F5B2A8" w14:textId="304430F0" w:rsidR="00D76805" w:rsidRPr="00A24047" w:rsidRDefault="00D76805" w:rsidP="00BA1456">
      <w:pPr>
        <w:spacing w:after="200" w:line="480" w:lineRule="auto"/>
        <w:jc w:val="center"/>
        <w:rPr>
          <w:rFonts w:ascii="Times New Roman" w:eastAsia="Times New Roman" w:hAnsi="Times New Roman" w:cs="Times New Roman"/>
          <w:b/>
          <w:bCs/>
          <w:i/>
          <w:iCs/>
          <w:sz w:val="28"/>
          <w:szCs w:val="28"/>
          <w:lang w:val="en-US"/>
        </w:rPr>
      </w:pPr>
      <w:r w:rsidRPr="00A24047">
        <w:rPr>
          <w:rFonts w:ascii="Times New Roman" w:eastAsia="Times New Roman" w:hAnsi="Times New Roman" w:cs="Times New Roman"/>
          <w:b/>
          <w:bCs/>
          <w:i/>
          <w:iCs/>
          <w:sz w:val="28"/>
          <w:szCs w:val="28"/>
          <w:lang w:val="en-US"/>
        </w:rPr>
        <w:lastRenderedPageBreak/>
        <w:t>Summary</w:t>
      </w:r>
      <w:r w:rsidR="00A24047">
        <w:rPr>
          <w:rFonts w:ascii="Times New Roman" w:eastAsia="Times New Roman" w:hAnsi="Times New Roman" w:cs="Times New Roman"/>
          <w:b/>
          <w:bCs/>
          <w:i/>
          <w:iCs/>
          <w:sz w:val="28"/>
          <w:szCs w:val="28"/>
          <w:lang w:val="en-US"/>
        </w:rPr>
        <w:t>:</w:t>
      </w:r>
    </w:p>
    <w:p w14:paraId="60CEE3F8" w14:textId="10606937" w:rsidR="00D76805" w:rsidRPr="00350A96" w:rsidRDefault="00DC2C3F" w:rsidP="002326DB">
      <w:pPr>
        <w:spacing w:after="0" w:line="240" w:lineRule="auto"/>
        <w:jc w:val="both"/>
        <w:rPr>
          <w:rFonts w:ascii="Times New Roman" w:eastAsia="Times New Roman" w:hAnsi="Times New Roman" w:cs="Times New Roman"/>
          <w:i/>
          <w:iCs/>
          <w:sz w:val="28"/>
          <w:szCs w:val="28"/>
          <w:lang w:val="en-US"/>
        </w:rPr>
      </w:pPr>
      <w:r>
        <w:rPr>
          <w:rFonts w:ascii="Times New Roman" w:eastAsia="Times New Roman" w:hAnsi="Times New Roman" w:cs="Times New Roman"/>
          <w:i/>
          <w:iCs/>
          <w:sz w:val="28"/>
          <w:szCs w:val="28"/>
          <w:lang w:val="en-US"/>
        </w:rPr>
        <w:t xml:space="preserve">Exception – Defendants </w:t>
      </w:r>
      <w:r w:rsidR="00B838C3">
        <w:rPr>
          <w:rFonts w:ascii="Times New Roman" w:eastAsia="Times New Roman" w:hAnsi="Times New Roman" w:cs="Times New Roman"/>
          <w:i/>
          <w:iCs/>
          <w:sz w:val="28"/>
          <w:szCs w:val="28"/>
          <w:lang w:val="en-US"/>
        </w:rPr>
        <w:t xml:space="preserve">raising </w:t>
      </w:r>
      <w:r w:rsidR="00B838C3" w:rsidRPr="00350A96">
        <w:rPr>
          <w:rFonts w:ascii="Times New Roman" w:eastAsia="Times New Roman" w:hAnsi="Times New Roman" w:cs="Times New Roman"/>
          <w:i/>
          <w:iCs/>
          <w:sz w:val="28"/>
          <w:szCs w:val="28"/>
          <w:lang w:val="en-US"/>
        </w:rPr>
        <w:t>non</w:t>
      </w:r>
      <w:r>
        <w:rPr>
          <w:rFonts w:ascii="Times New Roman" w:eastAsia="Times New Roman" w:hAnsi="Times New Roman" w:cs="Times New Roman"/>
          <w:i/>
          <w:iCs/>
          <w:sz w:val="28"/>
          <w:szCs w:val="28"/>
          <w:lang w:val="en-US"/>
        </w:rPr>
        <w:t xml:space="preserve"> </w:t>
      </w:r>
      <w:r w:rsidR="00067EDC" w:rsidRPr="00350A96">
        <w:rPr>
          <w:rFonts w:ascii="Times New Roman" w:eastAsia="Times New Roman" w:hAnsi="Times New Roman" w:cs="Times New Roman"/>
          <w:i/>
          <w:iCs/>
          <w:sz w:val="28"/>
          <w:szCs w:val="28"/>
          <w:lang w:val="en-US"/>
        </w:rPr>
        <w:t>- joinder and misjoinder</w:t>
      </w:r>
      <w:r>
        <w:rPr>
          <w:rFonts w:ascii="Times New Roman" w:eastAsia="Times New Roman" w:hAnsi="Times New Roman" w:cs="Times New Roman"/>
          <w:i/>
          <w:iCs/>
          <w:sz w:val="28"/>
          <w:szCs w:val="28"/>
          <w:lang w:val="en-US"/>
        </w:rPr>
        <w:t xml:space="preserve"> by way of exception under rule 29 (1)(a) of the High Court Rules – W</w:t>
      </w:r>
      <w:r w:rsidR="00067EDC" w:rsidRPr="00350A96">
        <w:rPr>
          <w:rFonts w:ascii="Times New Roman" w:eastAsia="Times New Roman" w:hAnsi="Times New Roman" w:cs="Times New Roman"/>
          <w:i/>
          <w:iCs/>
          <w:sz w:val="28"/>
          <w:szCs w:val="28"/>
          <w:lang w:val="en-US"/>
        </w:rPr>
        <w:t xml:space="preserve">hether </w:t>
      </w:r>
      <w:r>
        <w:rPr>
          <w:rFonts w:ascii="Times New Roman" w:eastAsia="Times New Roman" w:hAnsi="Times New Roman" w:cs="Times New Roman"/>
          <w:i/>
          <w:iCs/>
          <w:sz w:val="28"/>
          <w:szCs w:val="28"/>
          <w:lang w:val="en-US"/>
        </w:rPr>
        <w:t>the defen</w:t>
      </w:r>
      <w:r w:rsidR="00B838C3">
        <w:rPr>
          <w:rFonts w:ascii="Times New Roman" w:eastAsia="Times New Roman" w:hAnsi="Times New Roman" w:cs="Times New Roman"/>
          <w:i/>
          <w:iCs/>
          <w:sz w:val="28"/>
          <w:szCs w:val="28"/>
          <w:lang w:val="en-US"/>
        </w:rPr>
        <w:t>c</w:t>
      </w:r>
      <w:r>
        <w:rPr>
          <w:rFonts w:ascii="Times New Roman" w:eastAsia="Times New Roman" w:hAnsi="Times New Roman" w:cs="Times New Roman"/>
          <w:i/>
          <w:iCs/>
          <w:sz w:val="28"/>
          <w:szCs w:val="28"/>
          <w:lang w:val="en-US"/>
        </w:rPr>
        <w:t xml:space="preserve">e is </w:t>
      </w:r>
      <w:r w:rsidR="00067EDC" w:rsidRPr="00350A96">
        <w:rPr>
          <w:rFonts w:ascii="Times New Roman" w:eastAsia="Times New Roman" w:hAnsi="Times New Roman" w:cs="Times New Roman"/>
          <w:i/>
          <w:iCs/>
          <w:sz w:val="28"/>
          <w:szCs w:val="28"/>
          <w:lang w:val="en-US"/>
        </w:rPr>
        <w:t xml:space="preserve">within the ambit of </w:t>
      </w:r>
      <w:r>
        <w:rPr>
          <w:rFonts w:ascii="Times New Roman" w:eastAsia="Times New Roman" w:hAnsi="Times New Roman" w:cs="Times New Roman"/>
          <w:i/>
          <w:iCs/>
          <w:sz w:val="28"/>
          <w:szCs w:val="28"/>
          <w:lang w:val="en-US"/>
        </w:rPr>
        <w:t xml:space="preserve">the </w:t>
      </w:r>
      <w:r w:rsidR="00067EDC" w:rsidRPr="00350A96">
        <w:rPr>
          <w:rFonts w:ascii="Times New Roman" w:eastAsia="Times New Roman" w:hAnsi="Times New Roman" w:cs="Times New Roman"/>
          <w:i/>
          <w:iCs/>
          <w:sz w:val="28"/>
          <w:szCs w:val="28"/>
          <w:lang w:val="en-US"/>
        </w:rPr>
        <w:t>rule</w:t>
      </w:r>
      <w:r>
        <w:rPr>
          <w:rFonts w:ascii="Times New Roman" w:eastAsia="Times New Roman" w:hAnsi="Times New Roman" w:cs="Times New Roman"/>
          <w:i/>
          <w:iCs/>
          <w:sz w:val="28"/>
          <w:szCs w:val="28"/>
          <w:lang w:val="en-US"/>
        </w:rPr>
        <w:t xml:space="preserve"> – E</w:t>
      </w:r>
      <w:r w:rsidR="00B93880">
        <w:rPr>
          <w:rFonts w:ascii="Times New Roman" w:eastAsia="Times New Roman" w:hAnsi="Times New Roman" w:cs="Times New Roman"/>
          <w:i/>
          <w:iCs/>
          <w:sz w:val="28"/>
          <w:szCs w:val="28"/>
          <w:lang w:val="en-US"/>
        </w:rPr>
        <w:t>xception</w:t>
      </w:r>
      <w:r>
        <w:rPr>
          <w:rFonts w:ascii="Times New Roman" w:eastAsia="Times New Roman" w:hAnsi="Times New Roman" w:cs="Times New Roman"/>
          <w:i/>
          <w:iCs/>
          <w:sz w:val="28"/>
          <w:szCs w:val="28"/>
          <w:lang w:val="en-US"/>
        </w:rPr>
        <w:t xml:space="preserve"> is permissible where the </w:t>
      </w:r>
      <w:r w:rsidR="00067EDC" w:rsidRPr="00350A96">
        <w:rPr>
          <w:rFonts w:ascii="Times New Roman" w:eastAsia="Times New Roman" w:hAnsi="Times New Roman" w:cs="Times New Roman"/>
          <w:i/>
          <w:iCs/>
          <w:sz w:val="28"/>
          <w:szCs w:val="28"/>
          <w:lang w:val="en-US"/>
        </w:rPr>
        <w:t>defect</w:t>
      </w:r>
      <w:r>
        <w:rPr>
          <w:rFonts w:ascii="Times New Roman" w:eastAsia="Times New Roman" w:hAnsi="Times New Roman" w:cs="Times New Roman"/>
          <w:i/>
          <w:iCs/>
          <w:sz w:val="28"/>
          <w:szCs w:val="28"/>
          <w:lang w:val="en-US"/>
        </w:rPr>
        <w:t xml:space="preserve"> complained </w:t>
      </w:r>
      <w:r w:rsidR="00C11EB4">
        <w:rPr>
          <w:rFonts w:ascii="Times New Roman" w:eastAsia="Times New Roman" w:hAnsi="Times New Roman" w:cs="Times New Roman"/>
          <w:i/>
          <w:iCs/>
          <w:sz w:val="28"/>
          <w:szCs w:val="28"/>
          <w:lang w:val="en-US"/>
        </w:rPr>
        <w:t xml:space="preserve">of </w:t>
      </w:r>
      <w:r w:rsidR="00C11EB4" w:rsidRPr="00350A96">
        <w:rPr>
          <w:rFonts w:ascii="Times New Roman" w:eastAsia="Times New Roman" w:hAnsi="Times New Roman" w:cs="Times New Roman"/>
          <w:i/>
          <w:iCs/>
          <w:sz w:val="28"/>
          <w:szCs w:val="28"/>
          <w:lang w:val="en-US"/>
        </w:rPr>
        <w:t>is</w:t>
      </w:r>
      <w:r w:rsidR="00067EDC" w:rsidRPr="00350A96">
        <w:rPr>
          <w:rFonts w:ascii="Times New Roman" w:eastAsia="Times New Roman" w:hAnsi="Times New Roman" w:cs="Times New Roman"/>
          <w:i/>
          <w:iCs/>
          <w:sz w:val="28"/>
          <w:szCs w:val="28"/>
          <w:lang w:val="en-US"/>
        </w:rPr>
        <w:t xml:space="preserve"> ex facie pleadings</w:t>
      </w:r>
      <w:r>
        <w:rPr>
          <w:rFonts w:ascii="Times New Roman" w:eastAsia="Times New Roman" w:hAnsi="Times New Roman" w:cs="Times New Roman"/>
          <w:i/>
          <w:iCs/>
          <w:sz w:val="28"/>
          <w:szCs w:val="28"/>
          <w:lang w:val="en-US"/>
        </w:rPr>
        <w:t xml:space="preserve"> –</w:t>
      </w:r>
      <w:r w:rsidR="00067EDC" w:rsidRPr="00350A96">
        <w:rPr>
          <w:rFonts w:ascii="Times New Roman" w:eastAsia="Times New Roman" w:hAnsi="Times New Roman" w:cs="Times New Roman"/>
          <w:i/>
          <w:iCs/>
          <w:sz w:val="28"/>
          <w:szCs w:val="28"/>
          <w:lang w:val="en-US"/>
        </w:rPr>
        <w:t xml:space="preserve"> </w:t>
      </w:r>
      <w:r>
        <w:rPr>
          <w:rFonts w:ascii="Times New Roman" w:eastAsia="Times New Roman" w:hAnsi="Times New Roman" w:cs="Times New Roman"/>
          <w:i/>
          <w:iCs/>
          <w:sz w:val="28"/>
          <w:szCs w:val="28"/>
          <w:lang w:val="en-US"/>
        </w:rPr>
        <w:t>E</w:t>
      </w:r>
      <w:r w:rsidR="00067EDC" w:rsidRPr="00350A96">
        <w:rPr>
          <w:rFonts w:ascii="Times New Roman" w:eastAsia="Times New Roman" w:hAnsi="Times New Roman" w:cs="Times New Roman"/>
          <w:i/>
          <w:iCs/>
          <w:sz w:val="28"/>
          <w:szCs w:val="28"/>
          <w:lang w:val="en-US"/>
        </w:rPr>
        <w:t xml:space="preserve">xception dismissed  </w:t>
      </w:r>
    </w:p>
    <w:p w14:paraId="09AF0548" w14:textId="77777777" w:rsidR="00D76805" w:rsidRPr="00350A96" w:rsidRDefault="00D76805" w:rsidP="00BA1456">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u w:val="single"/>
        </w:rPr>
      </w:pPr>
    </w:p>
    <w:p w14:paraId="0D3B0C64" w14:textId="1205F5AF" w:rsidR="002614E5" w:rsidRPr="00422CDC" w:rsidRDefault="00422CDC" w:rsidP="00F118A6">
      <w:pPr>
        <w:tabs>
          <w:tab w:val="left" w:pos="1134"/>
        </w:tabs>
        <w:suppressAutoHyphens/>
        <w:autoSpaceDN w:val="0"/>
        <w:spacing w:after="240" w:line="360" w:lineRule="auto"/>
        <w:jc w:val="both"/>
        <w:textAlignment w:val="baseline"/>
        <w:rPr>
          <w:rFonts w:ascii="Times New Roman" w:eastAsia="Calibri" w:hAnsi="Times New Roman" w:cs="Times New Roman"/>
          <w:b/>
          <w:bCs/>
          <w:iCs/>
          <w:sz w:val="28"/>
          <w:szCs w:val="28"/>
          <w:u w:val="single"/>
        </w:rPr>
      </w:pPr>
      <w:r w:rsidRPr="00422CDC">
        <w:rPr>
          <w:rFonts w:ascii="Times New Roman" w:eastAsia="Calibri" w:hAnsi="Times New Roman" w:cs="Times New Roman"/>
          <w:b/>
          <w:bCs/>
          <w:iCs/>
          <w:sz w:val="28"/>
          <w:szCs w:val="28"/>
          <w:u w:val="single"/>
        </w:rPr>
        <w:t>Annotations</w:t>
      </w:r>
    </w:p>
    <w:p w14:paraId="2D571133" w14:textId="1E360E90" w:rsidR="002614E5" w:rsidRPr="00422CDC" w:rsidRDefault="00422CDC" w:rsidP="00F118A6">
      <w:pPr>
        <w:tabs>
          <w:tab w:val="left" w:pos="1134"/>
        </w:tabs>
        <w:suppressAutoHyphens/>
        <w:autoSpaceDN w:val="0"/>
        <w:spacing w:after="240" w:line="360" w:lineRule="auto"/>
        <w:jc w:val="both"/>
        <w:textAlignment w:val="baseline"/>
        <w:rPr>
          <w:rFonts w:ascii="Times New Roman" w:eastAsia="Calibri" w:hAnsi="Times New Roman" w:cs="Times New Roman"/>
          <w:b/>
          <w:bCs/>
          <w:iCs/>
          <w:sz w:val="28"/>
          <w:szCs w:val="28"/>
          <w:u w:val="single"/>
        </w:rPr>
      </w:pPr>
      <w:r w:rsidRPr="00422CDC">
        <w:rPr>
          <w:rFonts w:ascii="Times New Roman" w:eastAsia="Calibri" w:hAnsi="Times New Roman" w:cs="Times New Roman"/>
          <w:b/>
          <w:bCs/>
          <w:iCs/>
          <w:sz w:val="28"/>
          <w:szCs w:val="28"/>
          <w:u w:val="single"/>
        </w:rPr>
        <w:t>Statutes</w:t>
      </w:r>
    </w:p>
    <w:p w14:paraId="003BA633" w14:textId="77777777" w:rsidR="002614E5" w:rsidRPr="00FB2AE1" w:rsidRDefault="002614E5" w:rsidP="00F118A6">
      <w:pPr>
        <w:tabs>
          <w:tab w:val="left" w:pos="1134"/>
        </w:tabs>
        <w:suppressAutoHyphens/>
        <w:autoSpaceDN w:val="0"/>
        <w:spacing w:after="240" w:line="360" w:lineRule="auto"/>
        <w:jc w:val="both"/>
        <w:textAlignment w:val="baseline"/>
        <w:rPr>
          <w:rFonts w:ascii="Times New Roman" w:eastAsia="Calibri" w:hAnsi="Times New Roman" w:cs="Times New Roman"/>
          <w:iCs/>
          <w:sz w:val="28"/>
          <w:szCs w:val="28"/>
        </w:rPr>
      </w:pPr>
      <w:r w:rsidRPr="00FB2AE1">
        <w:rPr>
          <w:rFonts w:ascii="Times New Roman" w:eastAsia="Calibri" w:hAnsi="Times New Roman" w:cs="Times New Roman"/>
          <w:iCs/>
          <w:sz w:val="28"/>
          <w:szCs w:val="28"/>
        </w:rPr>
        <w:t>High Court Rules 1980</w:t>
      </w:r>
    </w:p>
    <w:p w14:paraId="0B63AFBF" w14:textId="77777777" w:rsidR="00422CDC" w:rsidRPr="00422CDC" w:rsidRDefault="00422CDC" w:rsidP="00F118A6">
      <w:pPr>
        <w:tabs>
          <w:tab w:val="left" w:pos="1134"/>
        </w:tabs>
        <w:suppressAutoHyphens/>
        <w:autoSpaceDN w:val="0"/>
        <w:spacing w:after="240" w:line="360" w:lineRule="auto"/>
        <w:jc w:val="both"/>
        <w:textAlignment w:val="baseline"/>
        <w:rPr>
          <w:rFonts w:ascii="Times New Roman" w:eastAsia="Calibri" w:hAnsi="Times New Roman" w:cs="Times New Roman"/>
          <w:b/>
          <w:bCs/>
          <w:iCs/>
          <w:sz w:val="28"/>
          <w:szCs w:val="28"/>
          <w:u w:val="single"/>
        </w:rPr>
      </w:pPr>
      <w:r w:rsidRPr="00422CDC">
        <w:rPr>
          <w:rFonts w:ascii="Times New Roman" w:eastAsia="Calibri" w:hAnsi="Times New Roman" w:cs="Times New Roman"/>
          <w:b/>
          <w:bCs/>
          <w:iCs/>
          <w:sz w:val="28"/>
          <w:szCs w:val="28"/>
          <w:u w:val="single"/>
        </w:rPr>
        <w:t>Cited Cases</w:t>
      </w:r>
    </w:p>
    <w:p w14:paraId="0A59F53A" w14:textId="77777777" w:rsidR="002614E5" w:rsidRDefault="002614E5" w:rsidP="00F118A6">
      <w:pPr>
        <w:tabs>
          <w:tab w:val="left" w:pos="1134"/>
        </w:tabs>
        <w:suppressAutoHyphens/>
        <w:autoSpaceDN w:val="0"/>
        <w:spacing w:after="240" w:line="360" w:lineRule="auto"/>
        <w:jc w:val="both"/>
        <w:textAlignment w:val="baseline"/>
        <w:rPr>
          <w:rFonts w:ascii="Times New Roman" w:eastAsia="Calibri" w:hAnsi="Times New Roman" w:cs="Times New Roman"/>
          <w:b/>
          <w:bCs/>
          <w:iCs/>
          <w:sz w:val="28"/>
          <w:szCs w:val="28"/>
          <w:u w:val="single"/>
        </w:rPr>
      </w:pPr>
      <w:r w:rsidRPr="00422CDC">
        <w:rPr>
          <w:rFonts w:ascii="Times New Roman" w:eastAsia="Calibri" w:hAnsi="Times New Roman" w:cs="Times New Roman"/>
          <w:b/>
          <w:bCs/>
          <w:iCs/>
          <w:sz w:val="28"/>
          <w:szCs w:val="28"/>
          <w:u w:val="single"/>
        </w:rPr>
        <w:t xml:space="preserve">Lesotho </w:t>
      </w:r>
    </w:p>
    <w:p w14:paraId="382174D3" w14:textId="56C5F3B4" w:rsidR="00414EF9" w:rsidRDefault="00414EF9" w:rsidP="00414EF9">
      <w:pPr>
        <w:tabs>
          <w:tab w:val="left" w:pos="1134"/>
        </w:tabs>
        <w:suppressAutoHyphens/>
        <w:autoSpaceDN w:val="0"/>
        <w:spacing w:after="240" w:line="360" w:lineRule="auto"/>
        <w:jc w:val="both"/>
        <w:textAlignment w:val="baseline"/>
        <w:rPr>
          <w:rFonts w:ascii="Times New Roman" w:hAnsi="Times New Roman" w:cs="Times New Roman"/>
          <w:sz w:val="28"/>
          <w:szCs w:val="28"/>
        </w:rPr>
      </w:pPr>
      <w:proofErr w:type="spellStart"/>
      <w:r w:rsidRPr="00414EF9">
        <w:rPr>
          <w:rFonts w:ascii="Times New Roman" w:hAnsi="Times New Roman" w:cs="Times New Roman"/>
          <w:sz w:val="28"/>
          <w:szCs w:val="28"/>
        </w:rPr>
        <w:t>Jonothane</w:t>
      </w:r>
      <w:proofErr w:type="spellEnd"/>
      <w:r w:rsidRPr="00414EF9">
        <w:rPr>
          <w:rFonts w:ascii="Times New Roman" w:hAnsi="Times New Roman" w:cs="Times New Roman"/>
          <w:sz w:val="28"/>
          <w:szCs w:val="28"/>
        </w:rPr>
        <w:t xml:space="preserve"> v Lephole (C of a (CIV) 5 of 2017 [2018] LSCA 4</w:t>
      </w:r>
    </w:p>
    <w:p w14:paraId="03233402" w14:textId="656A55F5" w:rsidR="00A168D5" w:rsidRPr="00905E3F" w:rsidRDefault="00A168D5" w:rsidP="00A168D5">
      <w:pPr>
        <w:tabs>
          <w:tab w:val="left" w:pos="1134"/>
        </w:tabs>
        <w:suppressAutoHyphens/>
        <w:autoSpaceDN w:val="0"/>
        <w:spacing w:after="24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VVM </w:t>
      </w:r>
      <w:proofErr w:type="spellStart"/>
      <w:r>
        <w:rPr>
          <w:rFonts w:ascii="Times New Roman" w:hAnsi="Times New Roman" w:cs="Times New Roman"/>
          <w:sz w:val="28"/>
          <w:szCs w:val="28"/>
        </w:rPr>
        <w:t>Kotelo</w:t>
      </w:r>
      <w:proofErr w:type="spellEnd"/>
      <w:r>
        <w:rPr>
          <w:rFonts w:ascii="Times New Roman" w:hAnsi="Times New Roman" w:cs="Times New Roman"/>
          <w:sz w:val="28"/>
          <w:szCs w:val="28"/>
        </w:rPr>
        <w:t xml:space="preserve"> &amp; Co v </w:t>
      </w:r>
      <w:proofErr w:type="spellStart"/>
      <w:r>
        <w:rPr>
          <w:rFonts w:ascii="Times New Roman" w:hAnsi="Times New Roman" w:cs="Times New Roman"/>
          <w:sz w:val="28"/>
          <w:szCs w:val="28"/>
        </w:rPr>
        <w:t>Monyane</w:t>
      </w:r>
      <w:proofErr w:type="spellEnd"/>
      <w:r>
        <w:rPr>
          <w:rFonts w:ascii="Times New Roman" w:hAnsi="Times New Roman" w:cs="Times New Roman"/>
          <w:sz w:val="28"/>
          <w:szCs w:val="28"/>
        </w:rPr>
        <w:t xml:space="preserve"> and Another </w:t>
      </w:r>
      <w:r w:rsidRPr="00936056">
        <w:rPr>
          <w:sz w:val="28"/>
          <w:szCs w:val="28"/>
        </w:rPr>
        <w:t xml:space="preserve">(C of </w:t>
      </w:r>
      <w:r w:rsidR="00905E3F" w:rsidRPr="00905E3F">
        <w:rPr>
          <w:sz w:val="28"/>
          <w:szCs w:val="28"/>
        </w:rPr>
        <w:t>A (</w:t>
      </w:r>
      <w:r w:rsidRPr="00936056">
        <w:rPr>
          <w:sz w:val="28"/>
          <w:szCs w:val="28"/>
        </w:rPr>
        <w:t>CIV</w:t>
      </w:r>
      <w:r w:rsidR="00905E3F" w:rsidRPr="00905E3F">
        <w:rPr>
          <w:sz w:val="28"/>
          <w:szCs w:val="28"/>
        </w:rPr>
        <w:t>) 15</w:t>
      </w:r>
      <w:r w:rsidRPr="00936056">
        <w:rPr>
          <w:sz w:val="28"/>
          <w:szCs w:val="28"/>
        </w:rPr>
        <w:t xml:space="preserve">/2006) </w:t>
      </w:r>
      <w:r w:rsidR="00905E3F" w:rsidRPr="00905E3F">
        <w:rPr>
          <w:sz w:val="28"/>
          <w:szCs w:val="28"/>
        </w:rPr>
        <w:t>(NULL</w:t>
      </w:r>
      <w:r w:rsidRPr="00936056">
        <w:rPr>
          <w:sz w:val="28"/>
          <w:szCs w:val="28"/>
        </w:rPr>
        <w:t>) [2007] LHSC 47</w:t>
      </w:r>
    </w:p>
    <w:p w14:paraId="1223A816" w14:textId="77777777" w:rsidR="00A168D5" w:rsidRPr="00414EF9" w:rsidRDefault="00A168D5" w:rsidP="00414EF9">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u w:val="single"/>
        </w:rPr>
      </w:pPr>
    </w:p>
    <w:p w14:paraId="768B8729" w14:textId="77777777" w:rsidR="002614E5" w:rsidRDefault="002614E5" w:rsidP="00F118A6">
      <w:pPr>
        <w:tabs>
          <w:tab w:val="left" w:pos="1134"/>
        </w:tabs>
        <w:suppressAutoHyphens/>
        <w:autoSpaceDN w:val="0"/>
        <w:spacing w:after="240" w:line="360" w:lineRule="auto"/>
        <w:jc w:val="both"/>
        <w:textAlignment w:val="baseline"/>
        <w:rPr>
          <w:rFonts w:ascii="Times New Roman" w:eastAsia="Calibri" w:hAnsi="Times New Roman" w:cs="Times New Roman"/>
          <w:b/>
          <w:bCs/>
          <w:iCs/>
          <w:sz w:val="28"/>
          <w:szCs w:val="28"/>
          <w:u w:val="single"/>
        </w:rPr>
      </w:pPr>
      <w:r w:rsidRPr="00422CDC">
        <w:rPr>
          <w:rFonts w:ascii="Times New Roman" w:eastAsia="Calibri" w:hAnsi="Times New Roman" w:cs="Times New Roman"/>
          <w:b/>
          <w:bCs/>
          <w:iCs/>
          <w:sz w:val="28"/>
          <w:szCs w:val="28"/>
          <w:u w:val="single"/>
        </w:rPr>
        <w:t>South Africa</w:t>
      </w:r>
    </w:p>
    <w:p w14:paraId="61CD3843" w14:textId="77777777" w:rsidR="00CB7532" w:rsidRDefault="00CB7532" w:rsidP="00CB7532">
      <w:pPr>
        <w:tabs>
          <w:tab w:val="left" w:pos="1134"/>
        </w:tabs>
        <w:suppressAutoHyphens/>
        <w:autoSpaceDN w:val="0"/>
        <w:spacing w:after="240" w:line="360" w:lineRule="auto"/>
        <w:jc w:val="both"/>
        <w:textAlignment w:val="baseline"/>
        <w:rPr>
          <w:rFonts w:ascii="Times New Roman" w:hAnsi="Times New Roman" w:cs="Times New Roman"/>
          <w:sz w:val="28"/>
          <w:szCs w:val="28"/>
        </w:rPr>
      </w:pPr>
      <w:proofErr w:type="spellStart"/>
      <w:r w:rsidRPr="00CB7532">
        <w:rPr>
          <w:rFonts w:ascii="Times New Roman" w:hAnsi="Times New Roman" w:cs="Times New Roman"/>
          <w:sz w:val="28"/>
          <w:szCs w:val="28"/>
        </w:rPr>
        <w:t>Curoscore</w:t>
      </w:r>
      <w:proofErr w:type="spellEnd"/>
      <w:r w:rsidRPr="00CB7532">
        <w:rPr>
          <w:rFonts w:ascii="Times New Roman" w:hAnsi="Times New Roman" w:cs="Times New Roman"/>
          <w:sz w:val="28"/>
          <w:szCs w:val="28"/>
        </w:rPr>
        <w:t xml:space="preserve"> (Pty) Ltd v </w:t>
      </w:r>
      <w:proofErr w:type="spellStart"/>
      <w:r w:rsidRPr="00CB7532">
        <w:rPr>
          <w:rFonts w:ascii="Times New Roman" w:hAnsi="Times New Roman" w:cs="Times New Roman"/>
          <w:sz w:val="28"/>
          <w:szCs w:val="28"/>
        </w:rPr>
        <w:t>Nqobile</w:t>
      </w:r>
      <w:proofErr w:type="spellEnd"/>
      <w:r w:rsidRPr="00CB7532">
        <w:rPr>
          <w:rFonts w:ascii="Times New Roman" w:hAnsi="Times New Roman" w:cs="Times New Roman"/>
          <w:sz w:val="28"/>
          <w:szCs w:val="28"/>
        </w:rPr>
        <w:t xml:space="preserve"> Nxumalo 1619/2020 [2021] ZAECBHC 6</w:t>
      </w:r>
    </w:p>
    <w:p w14:paraId="18F452A9" w14:textId="77777777" w:rsidR="00414EF9" w:rsidRDefault="00414EF9" w:rsidP="00414EF9">
      <w:pPr>
        <w:tabs>
          <w:tab w:val="left" w:pos="1134"/>
        </w:tabs>
        <w:suppressAutoHyphens/>
        <w:autoSpaceDN w:val="0"/>
        <w:spacing w:after="240" w:line="360" w:lineRule="auto"/>
        <w:jc w:val="both"/>
        <w:textAlignment w:val="baseline"/>
        <w:rPr>
          <w:rFonts w:ascii="Times New Roman" w:hAnsi="Times New Roman" w:cs="Times New Roman"/>
          <w:sz w:val="28"/>
          <w:szCs w:val="28"/>
        </w:rPr>
      </w:pPr>
      <w:r w:rsidRPr="004A6CA3">
        <w:rPr>
          <w:rFonts w:ascii="Times New Roman" w:hAnsi="Times New Roman" w:cs="Times New Roman"/>
          <w:sz w:val="28"/>
          <w:szCs w:val="28"/>
        </w:rPr>
        <w:t>Deon Stuart Frank v Premier Hangers CC  11821/05 [2007] ZAWCHC 21; 2008 (3) SA 594C</w:t>
      </w:r>
    </w:p>
    <w:p w14:paraId="7013DB95" w14:textId="77777777" w:rsidR="00414EF9" w:rsidRDefault="00414EF9" w:rsidP="00414EF9">
      <w:pPr>
        <w:tabs>
          <w:tab w:val="left" w:pos="1134"/>
        </w:tabs>
        <w:suppressAutoHyphens/>
        <w:autoSpaceDN w:val="0"/>
        <w:spacing w:after="240" w:line="360" w:lineRule="auto"/>
        <w:jc w:val="both"/>
        <w:textAlignment w:val="baseline"/>
        <w:rPr>
          <w:rFonts w:ascii="Times New Roman" w:hAnsi="Times New Roman" w:cs="Times New Roman"/>
          <w:sz w:val="28"/>
          <w:szCs w:val="28"/>
        </w:rPr>
      </w:pPr>
      <w:proofErr w:type="spellStart"/>
      <w:r w:rsidRPr="00790C22">
        <w:rPr>
          <w:rFonts w:ascii="Times New Roman" w:hAnsi="Times New Roman" w:cs="Times New Roman"/>
          <w:sz w:val="28"/>
          <w:szCs w:val="28"/>
        </w:rPr>
        <w:t>Knoesen</w:t>
      </w:r>
      <w:proofErr w:type="spellEnd"/>
      <w:r w:rsidRPr="00790C22">
        <w:rPr>
          <w:rFonts w:ascii="Times New Roman" w:hAnsi="Times New Roman" w:cs="Times New Roman"/>
          <w:sz w:val="28"/>
          <w:szCs w:val="28"/>
        </w:rPr>
        <w:t xml:space="preserve"> v Maritz 5001/2018 [2019] ZAFSHC 92</w:t>
      </w:r>
    </w:p>
    <w:p w14:paraId="44DBDA31" w14:textId="77777777" w:rsidR="00414EF9" w:rsidRPr="007A45D8" w:rsidRDefault="00414EF9" w:rsidP="00CB7532">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u w:val="single"/>
        </w:rPr>
      </w:pPr>
      <w:proofErr w:type="spellStart"/>
      <w:r w:rsidRPr="007A45D8">
        <w:rPr>
          <w:rFonts w:ascii="Times New Roman" w:hAnsi="Times New Roman" w:cs="Times New Roman"/>
          <w:sz w:val="28"/>
          <w:szCs w:val="28"/>
        </w:rPr>
        <w:t>Songo</w:t>
      </w:r>
      <w:proofErr w:type="spellEnd"/>
      <w:r w:rsidRPr="007A45D8">
        <w:rPr>
          <w:rFonts w:ascii="Times New Roman" w:hAnsi="Times New Roman" w:cs="Times New Roman"/>
          <w:sz w:val="28"/>
          <w:szCs w:val="28"/>
        </w:rPr>
        <w:t xml:space="preserve"> v Minister of Police (220/2021) [2022] ZASCA 43</w:t>
      </w:r>
    </w:p>
    <w:p w14:paraId="414E5567" w14:textId="77777777" w:rsidR="00CB7532" w:rsidRDefault="00CB7532" w:rsidP="00CB7532">
      <w:pPr>
        <w:tabs>
          <w:tab w:val="left" w:pos="1134"/>
        </w:tabs>
        <w:suppressAutoHyphens/>
        <w:autoSpaceDN w:val="0"/>
        <w:spacing w:after="240" w:line="360" w:lineRule="auto"/>
        <w:jc w:val="both"/>
        <w:textAlignment w:val="baseline"/>
        <w:rPr>
          <w:rFonts w:ascii="Times New Roman" w:hAnsi="Times New Roman" w:cs="Times New Roman"/>
          <w:sz w:val="28"/>
          <w:szCs w:val="28"/>
        </w:rPr>
      </w:pPr>
      <w:r w:rsidRPr="00CB7532">
        <w:rPr>
          <w:rFonts w:ascii="Times New Roman" w:hAnsi="Times New Roman" w:cs="Times New Roman"/>
          <w:sz w:val="28"/>
          <w:szCs w:val="28"/>
        </w:rPr>
        <w:lastRenderedPageBreak/>
        <w:t>Vermeulen v Goose Valley Investments (Pty) Ltd 121/99 [2002] ZASCA 53; [2001] (3) ALL SA 350A</w:t>
      </w:r>
    </w:p>
    <w:p w14:paraId="752F34D2" w14:textId="77777777" w:rsidR="00422CDC" w:rsidRDefault="00422CDC" w:rsidP="00F118A6">
      <w:pPr>
        <w:tabs>
          <w:tab w:val="left" w:pos="1134"/>
        </w:tabs>
        <w:suppressAutoHyphens/>
        <w:autoSpaceDN w:val="0"/>
        <w:spacing w:after="240" w:line="360" w:lineRule="auto"/>
        <w:jc w:val="both"/>
        <w:textAlignment w:val="baseline"/>
        <w:rPr>
          <w:rFonts w:ascii="Times New Roman" w:eastAsia="Calibri" w:hAnsi="Times New Roman" w:cs="Times New Roman"/>
          <w:b/>
          <w:bCs/>
          <w:iCs/>
          <w:sz w:val="28"/>
          <w:szCs w:val="28"/>
          <w:u w:val="single"/>
        </w:rPr>
      </w:pPr>
      <w:r>
        <w:rPr>
          <w:rFonts w:ascii="Times New Roman" w:eastAsia="Calibri" w:hAnsi="Times New Roman" w:cs="Times New Roman"/>
          <w:b/>
          <w:bCs/>
          <w:iCs/>
          <w:sz w:val="28"/>
          <w:szCs w:val="28"/>
          <w:u w:val="single"/>
        </w:rPr>
        <w:t xml:space="preserve">Books </w:t>
      </w:r>
    </w:p>
    <w:p w14:paraId="3815C75A" w14:textId="6171464E" w:rsidR="00422CDC" w:rsidRDefault="00422CDC" w:rsidP="00422CDC">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rPr>
      </w:pPr>
      <w:proofErr w:type="spellStart"/>
      <w:r w:rsidRPr="00422CDC">
        <w:rPr>
          <w:rFonts w:ascii="Times New Roman" w:eastAsia="Calibri" w:hAnsi="Times New Roman" w:cs="Times New Roman"/>
          <w:bCs/>
          <w:iCs/>
          <w:sz w:val="28"/>
          <w:szCs w:val="28"/>
        </w:rPr>
        <w:t>Herbestein</w:t>
      </w:r>
      <w:proofErr w:type="spellEnd"/>
      <w:r w:rsidRPr="00422CDC">
        <w:rPr>
          <w:rFonts w:ascii="Times New Roman" w:eastAsia="Calibri" w:hAnsi="Times New Roman" w:cs="Times New Roman"/>
          <w:bCs/>
          <w:iCs/>
          <w:sz w:val="28"/>
          <w:szCs w:val="28"/>
        </w:rPr>
        <w:t xml:space="preserve"> and Van </w:t>
      </w:r>
      <w:proofErr w:type="spellStart"/>
      <w:r w:rsidRPr="00422CDC">
        <w:rPr>
          <w:rFonts w:ascii="Times New Roman" w:eastAsia="Calibri" w:hAnsi="Times New Roman" w:cs="Times New Roman"/>
          <w:bCs/>
          <w:iCs/>
          <w:sz w:val="28"/>
          <w:szCs w:val="28"/>
        </w:rPr>
        <w:t>Winsen</w:t>
      </w:r>
      <w:proofErr w:type="spellEnd"/>
      <w:r w:rsidRPr="00422CDC">
        <w:rPr>
          <w:rFonts w:ascii="Times New Roman" w:eastAsia="Calibri" w:hAnsi="Times New Roman" w:cs="Times New Roman"/>
          <w:bCs/>
          <w:iCs/>
          <w:sz w:val="28"/>
          <w:szCs w:val="28"/>
        </w:rPr>
        <w:t>, Civil Practice of the High Court of South</w:t>
      </w:r>
      <w:r w:rsidR="00731013">
        <w:rPr>
          <w:rFonts w:ascii="Times New Roman" w:eastAsia="Calibri" w:hAnsi="Times New Roman" w:cs="Times New Roman"/>
          <w:bCs/>
          <w:iCs/>
          <w:sz w:val="28"/>
          <w:szCs w:val="28"/>
        </w:rPr>
        <w:t xml:space="preserve"> </w:t>
      </w:r>
      <w:r>
        <w:rPr>
          <w:rFonts w:ascii="Times New Roman" w:eastAsia="Calibri" w:hAnsi="Times New Roman" w:cs="Times New Roman"/>
          <w:bCs/>
          <w:iCs/>
          <w:sz w:val="28"/>
          <w:szCs w:val="28"/>
        </w:rPr>
        <w:t>Africa 5</w:t>
      </w:r>
      <w:r w:rsidRPr="00422CDC">
        <w:rPr>
          <w:rFonts w:ascii="Times New Roman" w:eastAsia="Calibri" w:hAnsi="Times New Roman" w:cs="Times New Roman"/>
          <w:bCs/>
          <w:iCs/>
          <w:sz w:val="28"/>
          <w:szCs w:val="28"/>
          <w:vertAlign w:val="superscript"/>
        </w:rPr>
        <w:t>th</w:t>
      </w:r>
      <w:r>
        <w:rPr>
          <w:rFonts w:ascii="Times New Roman" w:eastAsia="Calibri" w:hAnsi="Times New Roman" w:cs="Times New Roman"/>
          <w:bCs/>
          <w:iCs/>
          <w:sz w:val="28"/>
          <w:szCs w:val="28"/>
        </w:rPr>
        <w:t xml:space="preserve"> ed Vol 1</w:t>
      </w:r>
    </w:p>
    <w:p w14:paraId="5B89B61E" w14:textId="1B680739" w:rsidR="00635F95" w:rsidRDefault="00635F95" w:rsidP="00E77D95">
      <w:pPr>
        <w:spacing w:line="360" w:lineRule="auto"/>
        <w:jc w:val="both"/>
        <w:rPr>
          <w:rFonts w:ascii="Times New Roman" w:hAnsi="Times New Roman" w:cs="Times New Roman"/>
          <w:b/>
          <w:sz w:val="28"/>
          <w:szCs w:val="28"/>
          <w:u w:val="single"/>
        </w:rPr>
      </w:pPr>
    </w:p>
    <w:p w14:paraId="00E9E3C9" w14:textId="19CB77D1" w:rsidR="00C11EB4" w:rsidRPr="00C11EB4" w:rsidRDefault="00C11EB4" w:rsidP="00C11EB4">
      <w:pPr>
        <w:spacing w:line="360" w:lineRule="auto"/>
        <w:jc w:val="center"/>
        <w:rPr>
          <w:rFonts w:ascii="Times New Roman" w:hAnsi="Times New Roman" w:cs="Times New Roman"/>
          <w:b/>
          <w:sz w:val="28"/>
          <w:szCs w:val="28"/>
        </w:rPr>
      </w:pPr>
      <w:r w:rsidRPr="00C11EB4">
        <w:rPr>
          <w:rFonts w:ascii="Times New Roman" w:hAnsi="Times New Roman" w:cs="Times New Roman"/>
          <w:b/>
          <w:sz w:val="28"/>
          <w:szCs w:val="28"/>
        </w:rPr>
        <w:t>RULING</w:t>
      </w:r>
    </w:p>
    <w:p w14:paraId="46A0FC7E" w14:textId="77777777" w:rsidR="00C11EB4" w:rsidRDefault="00C11EB4" w:rsidP="00E77D95">
      <w:pPr>
        <w:spacing w:line="360" w:lineRule="auto"/>
        <w:jc w:val="both"/>
        <w:rPr>
          <w:rFonts w:ascii="Times New Roman" w:hAnsi="Times New Roman" w:cs="Times New Roman"/>
          <w:b/>
          <w:sz w:val="28"/>
          <w:szCs w:val="28"/>
          <w:u w:val="single"/>
        </w:rPr>
      </w:pPr>
    </w:p>
    <w:p w14:paraId="4D1C75D6" w14:textId="2DC0559C" w:rsidR="00E77D95" w:rsidRDefault="00296AD4" w:rsidP="00E77D95">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BACKGROUND</w:t>
      </w:r>
    </w:p>
    <w:p w14:paraId="57E183E2" w14:textId="21B61B9D" w:rsidR="00440D92" w:rsidRPr="00E77D95" w:rsidRDefault="00E77D95" w:rsidP="00906DD7">
      <w:pPr>
        <w:spacing w:line="480" w:lineRule="auto"/>
        <w:jc w:val="both"/>
        <w:rPr>
          <w:rFonts w:ascii="Times New Roman" w:hAnsi="Times New Roman" w:cs="Times New Roman"/>
          <w:b/>
          <w:sz w:val="28"/>
          <w:szCs w:val="28"/>
          <w:u w:val="single"/>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r>
      <w:r w:rsidR="004E5C71" w:rsidRPr="00376487">
        <w:rPr>
          <w:rFonts w:ascii="Times New Roman" w:hAnsi="Times New Roman" w:cs="Times New Roman"/>
          <w:sz w:val="28"/>
          <w:szCs w:val="28"/>
        </w:rPr>
        <w:t xml:space="preserve">This is an application </w:t>
      </w:r>
      <w:r w:rsidR="00F118A6" w:rsidRPr="00376487">
        <w:rPr>
          <w:rFonts w:ascii="Times New Roman" w:hAnsi="Times New Roman" w:cs="Times New Roman"/>
          <w:sz w:val="28"/>
          <w:szCs w:val="28"/>
        </w:rPr>
        <w:t>purportedly</w:t>
      </w:r>
      <w:r w:rsidR="004E5C71" w:rsidRPr="00376487">
        <w:rPr>
          <w:rFonts w:ascii="Times New Roman" w:hAnsi="Times New Roman" w:cs="Times New Roman"/>
          <w:sz w:val="28"/>
          <w:szCs w:val="28"/>
        </w:rPr>
        <w:t xml:space="preserve"> brought in </w:t>
      </w:r>
      <w:r w:rsidR="00F118A6" w:rsidRPr="00376487">
        <w:rPr>
          <w:rFonts w:ascii="Times New Roman" w:hAnsi="Times New Roman" w:cs="Times New Roman"/>
          <w:sz w:val="28"/>
          <w:szCs w:val="28"/>
        </w:rPr>
        <w:t>terms</w:t>
      </w:r>
      <w:r w:rsidR="004E5C71" w:rsidRPr="00376487">
        <w:rPr>
          <w:rFonts w:ascii="Times New Roman" w:hAnsi="Times New Roman" w:cs="Times New Roman"/>
          <w:sz w:val="28"/>
          <w:szCs w:val="28"/>
        </w:rPr>
        <w:t xml:space="preserve"> of Rule 29</w:t>
      </w:r>
      <w:r w:rsidR="00256354">
        <w:rPr>
          <w:rFonts w:ascii="Times New Roman" w:hAnsi="Times New Roman" w:cs="Times New Roman"/>
          <w:sz w:val="28"/>
          <w:szCs w:val="28"/>
        </w:rPr>
        <w:t xml:space="preserve"> (1) (a)</w:t>
      </w:r>
      <w:r w:rsidR="004E5C71" w:rsidRPr="00376487">
        <w:rPr>
          <w:rFonts w:ascii="Times New Roman" w:hAnsi="Times New Roman" w:cs="Times New Roman"/>
          <w:sz w:val="28"/>
          <w:szCs w:val="28"/>
        </w:rPr>
        <w:t xml:space="preserve"> of the High Court Rules</w:t>
      </w:r>
      <w:r w:rsidR="00DC2C3F">
        <w:rPr>
          <w:rFonts w:ascii="Times New Roman" w:hAnsi="Times New Roman" w:cs="Times New Roman"/>
          <w:sz w:val="28"/>
          <w:szCs w:val="28"/>
        </w:rPr>
        <w:t xml:space="preserve"> 1980</w:t>
      </w:r>
      <w:r w:rsidR="004E5C71" w:rsidRPr="00376487">
        <w:rPr>
          <w:rFonts w:ascii="Times New Roman" w:hAnsi="Times New Roman" w:cs="Times New Roman"/>
          <w:sz w:val="28"/>
          <w:szCs w:val="28"/>
        </w:rPr>
        <w:t xml:space="preserve"> (</w:t>
      </w:r>
      <w:r w:rsidR="004E5C71" w:rsidRPr="00373AD5">
        <w:rPr>
          <w:rFonts w:ascii="Times New Roman" w:hAnsi="Times New Roman" w:cs="Times New Roman"/>
          <w:i/>
          <w:sz w:val="28"/>
          <w:szCs w:val="28"/>
        </w:rPr>
        <w:t>The</w:t>
      </w:r>
      <w:r w:rsidR="004E5C71" w:rsidRPr="00376487">
        <w:rPr>
          <w:rFonts w:ascii="Times New Roman" w:hAnsi="Times New Roman" w:cs="Times New Roman"/>
          <w:sz w:val="28"/>
          <w:szCs w:val="28"/>
        </w:rPr>
        <w:t xml:space="preserve"> </w:t>
      </w:r>
      <w:r w:rsidR="004E5C71" w:rsidRPr="00373AD5">
        <w:rPr>
          <w:rFonts w:ascii="Times New Roman" w:hAnsi="Times New Roman" w:cs="Times New Roman"/>
          <w:i/>
          <w:sz w:val="28"/>
          <w:szCs w:val="28"/>
        </w:rPr>
        <w:t>Rules</w:t>
      </w:r>
      <w:r w:rsidR="004E5C71" w:rsidRPr="00376487">
        <w:rPr>
          <w:rFonts w:ascii="Times New Roman" w:hAnsi="Times New Roman" w:cs="Times New Roman"/>
          <w:sz w:val="28"/>
          <w:szCs w:val="28"/>
        </w:rPr>
        <w:t xml:space="preserve">). The </w:t>
      </w:r>
      <w:r w:rsidR="00F118A6" w:rsidRPr="00376487">
        <w:rPr>
          <w:rFonts w:ascii="Times New Roman" w:hAnsi="Times New Roman" w:cs="Times New Roman"/>
          <w:sz w:val="28"/>
          <w:szCs w:val="28"/>
        </w:rPr>
        <w:t>plaintiff</w:t>
      </w:r>
      <w:r w:rsidR="004E5C71" w:rsidRPr="00376487">
        <w:rPr>
          <w:rFonts w:ascii="Times New Roman" w:hAnsi="Times New Roman" w:cs="Times New Roman"/>
          <w:sz w:val="28"/>
          <w:szCs w:val="28"/>
        </w:rPr>
        <w:t xml:space="preserve"> </w:t>
      </w:r>
      <w:r w:rsidR="004E5C71" w:rsidRPr="00DC2C3F">
        <w:rPr>
          <w:rFonts w:ascii="Times New Roman" w:hAnsi="Times New Roman" w:cs="Times New Roman"/>
          <w:i/>
          <w:iCs/>
          <w:sz w:val="28"/>
          <w:szCs w:val="28"/>
        </w:rPr>
        <w:t>(</w:t>
      </w:r>
      <w:r w:rsidR="00F118A6" w:rsidRPr="00DC2C3F">
        <w:rPr>
          <w:rFonts w:ascii="Times New Roman" w:hAnsi="Times New Roman" w:cs="Times New Roman"/>
          <w:i/>
          <w:iCs/>
          <w:sz w:val="28"/>
          <w:szCs w:val="28"/>
        </w:rPr>
        <w:t>respondent</w:t>
      </w:r>
      <w:r w:rsidR="004E5C71" w:rsidRPr="00DC2C3F">
        <w:rPr>
          <w:rFonts w:ascii="Times New Roman" w:hAnsi="Times New Roman" w:cs="Times New Roman"/>
          <w:i/>
          <w:iCs/>
          <w:sz w:val="28"/>
          <w:szCs w:val="28"/>
        </w:rPr>
        <w:t xml:space="preserve"> herein)</w:t>
      </w:r>
      <w:r w:rsidR="004E5C71" w:rsidRPr="00376487">
        <w:rPr>
          <w:rFonts w:ascii="Times New Roman" w:hAnsi="Times New Roman" w:cs="Times New Roman"/>
          <w:sz w:val="28"/>
          <w:szCs w:val="28"/>
        </w:rPr>
        <w:t xml:space="preserve"> issued summons against the </w:t>
      </w:r>
      <w:r w:rsidR="00F118A6" w:rsidRPr="00376487">
        <w:rPr>
          <w:rFonts w:ascii="Times New Roman" w:hAnsi="Times New Roman" w:cs="Times New Roman"/>
          <w:sz w:val="28"/>
          <w:szCs w:val="28"/>
        </w:rPr>
        <w:t>defendant</w:t>
      </w:r>
      <w:r w:rsidR="004E5C71" w:rsidRPr="00376487">
        <w:rPr>
          <w:rFonts w:ascii="Times New Roman" w:hAnsi="Times New Roman" w:cs="Times New Roman"/>
          <w:sz w:val="28"/>
          <w:szCs w:val="28"/>
        </w:rPr>
        <w:t xml:space="preserve"> </w:t>
      </w:r>
      <w:r w:rsidR="004E5C71" w:rsidRPr="00DC2C3F">
        <w:rPr>
          <w:rFonts w:ascii="Times New Roman" w:hAnsi="Times New Roman" w:cs="Times New Roman"/>
          <w:i/>
          <w:iCs/>
          <w:sz w:val="28"/>
          <w:szCs w:val="28"/>
        </w:rPr>
        <w:t>(</w:t>
      </w:r>
      <w:r w:rsidR="00F118A6" w:rsidRPr="00DC2C3F">
        <w:rPr>
          <w:rFonts w:ascii="Times New Roman" w:hAnsi="Times New Roman" w:cs="Times New Roman"/>
          <w:i/>
          <w:iCs/>
          <w:sz w:val="28"/>
          <w:szCs w:val="28"/>
        </w:rPr>
        <w:t>applicant</w:t>
      </w:r>
      <w:r w:rsidR="004E5C71" w:rsidRPr="00DC2C3F">
        <w:rPr>
          <w:rFonts w:ascii="Times New Roman" w:hAnsi="Times New Roman" w:cs="Times New Roman"/>
          <w:i/>
          <w:iCs/>
          <w:sz w:val="28"/>
          <w:szCs w:val="28"/>
        </w:rPr>
        <w:t xml:space="preserve"> herein)</w:t>
      </w:r>
      <w:r w:rsidR="004E5C71" w:rsidRPr="00376487">
        <w:rPr>
          <w:rFonts w:ascii="Times New Roman" w:hAnsi="Times New Roman" w:cs="Times New Roman"/>
          <w:sz w:val="28"/>
          <w:szCs w:val="28"/>
        </w:rPr>
        <w:t xml:space="preserve"> on the 27</w:t>
      </w:r>
      <w:r w:rsidR="004E5C71" w:rsidRPr="00376487">
        <w:rPr>
          <w:rFonts w:ascii="Times New Roman" w:hAnsi="Times New Roman" w:cs="Times New Roman"/>
          <w:sz w:val="28"/>
          <w:szCs w:val="28"/>
          <w:vertAlign w:val="superscript"/>
        </w:rPr>
        <w:t>th</w:t>
      </w:r>
      <w:r w:rsidR="004E5C71" w:rsidRPr="00376487">
        <w:rPr>
          <w:rFonts w:ascii="Times New Roman" w:hAnsi="Times New Roman" w:cs="Times New Roman"/>
          <w:sz w:val="28"/>
          <w:szCs w:val="28"/>
        </w:rPr>
        <w:t xml:space="preserve"> September 2021 </w:t>
      </w:r>
      <w:r w:rsidR="00F118A6" w:rsidRPr="00376487">
        <w:rPr>
          <w:rFonts w:ascii="Times New Roman" w:hAnsi="Times New Roman" w:cs="Times New Roman"/>
          <w:sz w:val="28"/>
          <w:szCs w:val="28"/>
        </w:rPr>
        <w:t>seeking</w:t>
      </w:r>
      <w:r w:rsidR="004E5C71" w:rsidRPr="00376487">
        <w:rPr>
          <w:rFonts w:ascii="Times New Roman" w:hAnsi="Times New Roman" w:cs="Times New Roman"/>
          <w:sz w:val="28"/>
          <w:szCs w:val="28"/>
        </w:rPr>
        <w:t xml:space="preserve"> an order for payment of a</w:t>
      </w:r>
      <w:r w:rsidR="008E1819">
        <w:rPr>
          <w:rFonts w:ascii="Times New Roman" w:hAnsi="Times New Roman" w:cs="Times New Roman"/>
          <w:sz w:val="28"/>
          <w:szCs w:val="28"/>
        </w:rPr>
        <w:t xml:space="preserve"> refund in the sum of </w:t>
      </w:r>
      <w:r w:rsidR="004E5C71" w:rsidRPr="00376487">
        <w:rPr>
          <w:rFonts w:ascii="Times New Roman" w:hAnsi="Times New Roman" w:cs="Times New Roman"/>
          <w:sz w:val="28"/>
          <w:szCs w:val="28"/>
        </w:rPr>
        <w:t>M95,000,</w:t>
      </w:r>
      <w:r w:rsidR="005E3E5A" w:rsidRPr="00376487">
        <w:rPr>
          <w:rFonts w:ascii="Times New Roman" w:hAnsi="Times New Roman" w:cs="Times New Roman"/>
          <w:sz w:val="28"/>
          <w:szCs w:val="28"/>
        </w:rPr>
        <w:t xml:space="preserve">00 </w:t>
      </w:r>
      <w:r w:rsidR="005E3E5A">
        <w:rPr>
          <w:rFonts w:ascii="Times New Roman" w:hAnsi="Times New Roman" w:cs="Times New Roman"/>
          <w:sz w:val="28"/>
          <w:szCs w:val="28"/>
        </w:rPr>
        <w:t>and</w:t>
      </w:r>
      <w:r>
        <w:rPr>
          <w:rFonts w:ascii="Times New Roman" w:hAnsi="Times New Roman" w:cs="Times New Roman"/>
          <w:sz w:val="28"/>
          <w:szCs w:val="28"/>
        </w:rPr>
        <w:t xml:space="preserve"> </w:t>
      </w:r>
      <w:r w:rsidR="008E1819">
        <w:rPr>
          <w:rFonts w:ascii="Times New Roman" w:hAnsi="Times New Roman" w:cs="Times New Roman"/>
          <w:sz w:val="28"/>
          <w:szCs w:val="28"/>
        </w:rPr>
        <w:t xml:space="preserve">of </w:t>
      </w:r>
      <w:r>
        <w:rPr>
          <w:rFonts w:ascii="Times New Roman" w:hAnsi="Times New Roman" w:cs="Times New Roman"/>
          <w:sz w:val="28"/>
          <w:szCs w:val="28"/>
        </w:rPr>
        <w:t>M32, 644,</w:t>
      </w:r>
      <w:r w:rsidR="005E3E5A">
        <w:rPr>
          <w:rFonts w:ascii="Times New Roman" w:hAnsi="Times New Roman" w:cs="Times New Roman"/>
          <w:sz w:val="28"/>
          <w:szCs w:val="28"/>
        </w:rPr>
        <w:t xml:space="preserve">00 </w:t>
      </w:r>
      <w:r w:rsidR="008E1819">
        <w:rPr>
          <w:rFonts w:ascii="Times New Roman" w:hAnsi="Times New Roman" w:cs="Times New Roman"/>
          <w:sz w:val="28"/>
          <w:szCs w:val="28"/>
        </w:rPr>
        <w:t xml:space="preserve">for </w:t>
      </w:r>
      <w:r>
        <w:rPr>
          <w:rFonts w:ascii="Times New Roman" w:hAnsi="Times New Roman" w:cs="Times New Roman"/>
          <w:sz w:val="28"/>
          <w:szCs w:val="28"/>
        </w:rPr>
        <w:t>damages</w:t>
      </w:r>
      <w:r w:rsidR="00413204">
        <w:rPr>
          <w:rFonts w:ascii="Times New Roman" w:hAnsi="Times New Roman" w:cs="Times New Roman"/>
          <w:sz w:val="28"/>
          <w:szCs w:val="28"/>
        </w:rPr>
        <w:t xml:space="preserve"> and interest at the rate of 18.5% per annum.</w:t>
      </w:r>
      <w:r w:rsidR="00C42BD7">
        <w:rPr>
          <w:rFonts w:ascii="Times New Roman" w:hAnsi="Times New Roman" w:cs="Times New Roman"/>
          <w:sz w:val="28"/>
          <w:szCs w:val="28"/>
        </w:rPr>
        <w:t xml:space="preserve"> For convenience</w:t>
      </w:r>
      <w:r w:rsidR="008E1819">
        <w:rPr>
          <w:rFonts w:ascii="Times New Roman" w:hAnsi="Times New Roman" w:cs="Times New Roman"/>
          <w:sz w:val="28"/>
          <w:szCs w:val="28"/>
        </w:rPr>
        <w:t xml:space="preserve">, </w:t>
      </w:r>
      <w:r w:rsidR="00C42BD7">
        <w:rPr>
          <w:rFonts w:ascii="Times New Roman" w:hAnsi="Times New Roman" w:cs="Times New Roman"/>
          <w:sz w:val="28"/>
          <w:szCs w:val="28"/>
        </w:rPr>
        <w:t>the parties will be referred</w:t>
      </w:r>
      <w:r>
        <w:rPr>
          <w:rFonts w:ascii="Times New Roman" w:hAnsi="Times New Roman" w:cs="Times New Roman"/>
          <w:sz w:val="28"/>
          <w:szCs w:val="28"/>
        </w:rPr>
        <w:t xml:space="preserve"> to</w:t>
      </w:r>
      <w:r w:rsidR="00C42BD7">
        <w:rPr>
          <w:rFonts w:ascii="Times New Roman" w:hAnsi="Times New Roman" w:cs="Times New Roman"/>
          <w:sz w:val="28"/>
          <w:szCs w:val="28"/>
        </w:rPr>
        <w:t xml:space="preserve"> as </w:t>
      </w:r>
      <w:r w:rsidR="00373AD5">
        <w:rPr>
          <w:rFonts w:ascii="Times New Roman" w:hAnsi="Times New Roman" w:cs="Times New Roman"/>
          <w:sz w:val="28"/>
          <w:szCs w:val="28"/>
        </w:rPr>
        <w:t xml:space="preserve">plaintiff and defendants as they appear in the main </w:t>
      </w:r>
      <w:r w:rsidR="00DC2C3F">
        <w:rPr>
          <w:rFonts w:ascii="Times New Roman" w:hAnsi="Times New Roman" w:cs="Times New Roman"/>
          <w:sz w:val="28"/>
          <w:szCs w:val="28"/>
        </w:rPr>
        <w:t>matter.</w:t>
      </w:r>
    </w:p>
    <w:p w14:paraId="018D5996" w14:textId="4AA20465" w:rsidR="00440D92" w:rsidRDefault="00E77D95" w:rsidP="00906DD7">
      <w:pPr>
        <w:spacing w:line="48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9C0E1F">
        <w:rPr>
          <w:rFonts w:ascii="Times New Roman" w:hAnsi="Times New Roman" w:cs="Times New Roman"/>
          <w:sz w:val="28"/>
          <w:szCs w:val="28"/>
        </w:rPr>
        <w:tab/>
      </w:r>
      <w:r w:rsidR="00C42BD7">
        <w:rPr>
          <w:rFonts w:ascii="Times New Roman" w:hAnsi="Times New Roman" w:cs="Times New Roman"/>
          <w:sz w:val="28"/>
          <w:szCs w:val="28"/>
        </w:rPr>
        <w:t>The</w:t>
      </w:r>
      <w:r w:rsidR="00373AD5">
        <w:rPr>
          <w:rFonts w:ascii="Times New Roman" w:hAnsi="Times New Roman" w:cs="Times New Roman"/>
          <w:sz w:val="28"/>
          <w:szCs w:val="28"/>
        </w:rPr>
        <w:t xml:space="preserve"> </w:t>
      </w:r>
      <w:r w:rsidR="008E1819">
        <w:rPr>
          <w:rFonts w:ascii="Times New Roman" w:hAnsi="Times New Roman" w:cs="Times New Roman"/>
          <w:sz w:val="28"/>
          <w:szCs w:val="28"/>
        </w:rPr>
        <w:t xml:space="preserve">claim arises from </w:t>
      </w:r>
      <w:r w:rsidR="003962E7">
        <w:rPr>
          <w:rFonts w:ascii="Times New Roman" w:hAnsi="Times New Roman" w:cs="Times New Roman"/>
          <w:sz w:val="28"/>
          <w:szCs w:val="28"/>
        </w:rPr>
        <w:t xml:space="preserve">cancelled agreement of sale of a site. </w:t>
      </w:r>
      <w:r w:rsidR="00F60E00">
        <w:rPr>
          <w:rFonts w:ascii="Times New Roman" w:hAnsi="Times New Roman" w:cs="Times New Roman"/>
          <w:sz w:val="28"/>
          <w:szCs w:val="28"/>
        </w:rPr>
        <w:t xml:space="preserve"> The </w:t>
      </w:r>
      <w:r>
        <w:rPr>
          <w:rFonts w:ascii="Times New Roman" w:hAnsi="Times New Roman" w:cs="Times New Roman"/>
          <w:sz w:val="28"/>
          <w:szCs w:val="28"/>
        </w:rPr>
        <w:t>defendants</w:t>
      </w:r>
      <w:r w:rsidR="00F60E00">
        <w:rPr>
          <w:rFonts w:ascii="Times New Roman" w:hAnsi="Times New Roman" w:cs="Times New Roman"/>
          <w:sz w:val="28"/>
          <w:szCs w:val="28"/>
        </w:rPr>
        <w:t xml:space="preserve"> </w:t>
      </w:r>
      <w:r w:rsidR="00E3678A">
        <w:rPr>
          <w:rFonts w:ascii="Times New Roman" w:hAnsi="Times New Roman" w:cs="Times New Roman"/>
          <w:sz w:val="28"/>
          <w:szCs w:val="28"/>
        </w:rPr>
        <w:t>were</w:t>
      </w:r>
      <w:r w:rsidR="00F60E00">
        <w:rPr>
          <w:rFonts w:ascii="Times New Roman" w:hAnsi="Times New Roman" w:cs="Times New Roman"/>
          <w:sz w:val="28"/>
          <w:szCs w:val="28"/>
        </w:rPr>
        <w:t xml:space="preserve"> sued </w:t>
      </w:r>
      <w:r w:rsidR="00E3678A">
        <w:rPr>
          <w:rFonts w:ascii="Times New Roman" w:hAnsi="Times New Roman" w:cs="Times New Roman"/>
          <w:sz w:val="28"/>
          <w:szCs w:val="28"/>
        </w:rPr>
        <w:t>for</w:t>
      </w:r>
      <w:r>
        <w:rPr>
          <w:rFonts w:ascii="Times New Roman" w:hAnsi="Times New Roman" w:cs="Times New Roman"/>
          <w:sz w:val="28"/>
          <w:szCs w:val="28"/>
        </w:rPr>
        <w:t xml:space="preserve"> breach of th</w:t>
      </w:r>
      <w:r w:rsidR="008E1819">
        <w:rPr>
          <w:rFonts w:ascii="Times New Roman" w:hAnsi="Times New Roman" w:cs="Times New Roman"/>
          <w:sz w:val="28"/>
          <w:szCs w:val="28"/>
        </w:rPr>
        <w:t>e</w:t>
      </w:r>
      <w:r w:rsidR="00F60E00">
        <w:rPr>
          <w:rFonts w:ascii="Times New Roman" w:hAnsi="Times New Roman" w:cs="Times New Roman"/>
          <w:sz w:val="28"/>
          <w:szCs w:val="28"/>
        </w:rPr>
        <w:t xml:space="preserve"> sale agreement. The purchase price for the said plot was </w:t>
      </w:r>
      <w:r>
        <w:rPr>
          <w:rFonts w:ascii="Times New Roman" w:hAnsi="Times New Roman" w:cs="Times New Roman"/>
          <w:sz w:val="28"/>
          <w:szCs w:val="28"/>
        </w:rPr>
        <w:t>M</w:t>
      </w:r>
      <w:r w:rsidR="00F60E00">
        <w:rPr>
          <w:rFonts w:ascii="Times New Roman" w:hAnsi="Times New Roman" w:cs="Times New Roman"/>
          <w:sz w:val="28"/>
          <w:szCs w:val="28"/>
        </w:rPr>
        <w:t>150,000,</w:t>
      </w:r>
      <w:r w:rsidR="005E3E5A">
        <w:rPr>
          <w:rFonts w:ascii="Times New Roman" w:hAnsi="Times New Roman" w:cs="Times New Roman"/>
          <w:sz w:val="28"/>
          <w:szCs w:val="28"/>
        </w:rPr>
        <w:t>00 which</w:t>
      </w:r>
      <w:r w:rsidR="00F60E00">
        <w:rPr>
          <w:rFonts w:ascii="Times New Roman" w:hAnsi="Times New Roman" w:cs="Times New Roman"/>
          <w:sz w:val="28"/>
          <w:szCs w:val="28"/>
        </w:rPr>
        <w:t xml:space="preserve"> </w:t>
      </w:r>
      <w:r w:rsidR="005E3E5A">
        <w:rPr>
          <w:rFonts w:ascii="Times New Roman" w:hAnsi="Times New Roman" w:cs="Times New Roman"/>
          <w:sz w:val="28"/>
          <w:szCs w:val="28"/>
        </w:rPr>
        <w:t>plaintiff paid</w:t>
      </w:r>
      <w:r w:rsidR="00F60E00">
        <w:rPr>
          <w:rFonts w:ascii="Times New Roman" w:hAnsi="Times New Roman" w:cs="Times New Roman"/>
          <w:sz w:val="28"/>
          <w:szCs w:val="28"/>
        </w:rPr>
        <w:t xml:space="preserve"> to the </w:t>
      </w:r>
      <w:r w:rsidR="00E3678A">
        <w:rPr>
          <w:rFonts w:ascii="Times New Roman" w:hAnsi="Times New Roman" w:cs="Times New Roman"/>
          <w:sz w:val="28"/>
          <w:szCs w:val="28"/>
        </w:rPr>
        <w:t>defendants</w:t>
      </w:r>
      <w:r w:rsidR="00F60E00">
        <w:rPr>
          <w:rFonts w:ascii="Times New Roman" w:hAnsi="Times New Roman" w:cs="Times New Roman"/>
          <w:sz w:val="28"/>
          <w:szCs w:val="28"/>
        </w:rPr>
        <w:t>.</w:t>
      </w:r>
      <w:r w:rsidR="008E1819">
        <w:rPr>
          <w:rFonts w:ascii="Times New Roman" w:hAnsi="Times New Roman" w:cs="Times New Roman"/>
          <w:sz w:val="28"/>
          <w:szCs w:val="28"/>
        </w:rPr>
        <w:t xml:space="preserve"> </w:t>
      </w:r>
      <w:r w:rsidR="00C36EC0">
        <w:rPr>
          <w:rFonts w:ascii="Times New Roman" w:hAnsi="Times New Roman" w:cs="Times New Roman"/>
          <w:sz w:val="28"/>
          <w:szCs w:val="28"/>
        </w:rPr>
        <w:t xml:space="preserve">Contrary to the agreement, the </w:t>
      </w:r>
      <w:r>
        <w:rPr>
          <w:rFonts w:ascii="Times New Roman" w:hAnsi="Times New Roman" w:cs="Times New Roman"/>
          <w:sz w:val="28"/>
          <w:szCs w:val="28"/>
        </w:rPr>
        <w:t>defendants</w:t>
      </w:r>
      <w:r w:rsidR="00C36EC0">
        <w:rPr>
          <w:rFonts w:ascii="Times New Roman" w:hAnsi="Times New Roman" w:cs="Times New Roman"/>
          <w:sz w:val="28"/>
          <w:szCs w:val="28"/>
        </w:rPr>
        <w:t xml:space="preserve"> failed to </w:t>
      </w:r>
      <w:r w:rsidR="00F60E00">
        <w:rPr>
          <w:rFonts w:ascii="Times New Roman" w:hAnsi="Times New Roman" w:cs="Times New Roman"/>
          <w:sz w:val="28"/>
          <w:szCs w:val="28"/>
        </w:rPr>
        <w:t xml:space="preserve">hand over </w:t>
      </w:r>
      <w:r w:rsidR="00C36EC0">
        <w:rPr>
          <w:rFonts w:ascii="Times New Roman" w:hAnsi="Times New Roman" w:cs="Times New Roman"/>
          <w:sz w:val="28"/>
          <w:szCs w:val="28"/>
        </w:rPr>
        <w:t xml:space="preserve">the </w:t>
      </w:r>
      <w:r w:rsidR="00F60E00">
        <w:rPr>
          <w:rFonts w:ascii="Times New Roman" w:hAnsi="Times New Roman" w:cs="Times New Roman"/>
          <w:sz w:val="28"/>
          <w:szCs w:val="28"/>
        </w:rPr>
        <w:t xml:space="preserve">necessary documents including a lease to the </w:t>
      </w:r>
      <w:r w:rsidR="005E3E5A">
        <w:rPr>
          <w:rFonts w:ascii="Times New Roman" w:hAnsi="Times New Roman" w:cs="Times New Roman"/>
          <w:sz w:val="28"/>
          <w:szCs w:val="28"/>
        </w:rPr>
        <w:t>plaintiff a</w:t>
      </w:r>
      <w:r w:rsidR="00C36EC0">
        <w:rPr>
          <w:rFonts w:ascii="Times New Roman" w:hAnsi="Times New Roman" w:cs="Times New Roman"/>
          <w:sz w:val="28"/>
          <w:szCs w:val="28"/>
        </w:rPr>
        <w:t xml:space="preserve">s well as to transfer </w:t>
      </w:r>
      <w:r w:rsidR="00AE72CD">
        <w:rPr>
          <w:rFonts w:ascii="Times New Roman" w:hAnsi="Times New Roman" w:cs="Times New Roman"/>
          <w:sz w:val="28"/>
          <w:szCs w:val="28"/>
        </w:rPr>
        <w:t xml:space="preserve">the plot </w:t>
      </w:r>
      <w:r w:rsidR="00E3678A">
        <w:rPr>
          <w:rFonts w:ascii="Times New Roman" w:hAnsi="Times New Roman" w:cs="Times New Roman"/>
          <w:sz w:val="28"/>
          <w:szCs w:val="28"/>
        </w:rPr>
        <w:t>into</w:t>
      </w:r>
      <w:r w:rsidR="00F60E00">
        <w:rPr>
          <w:rFonts w:ascii="Times New Roman" w:hAnsi="Times New Roman" w:cs="Times New Roman"/>
          <w:sz w:val="28"/>
          <w:szCs w:val="28"/>
        </w:rPr>
        <w:t xml:space="preserve"> </w:t>
      </w:r>
      <w:r>
        <w:rPr>
          <w:rFonts w:ascii="Times New Roman" w:hAnsi="Times New Roman" w:cs="Times New Roman"/>
          <w:sz w:val="28"/>
          <w:szCs w:val="28"/>
        </w:rPr>
        <w:t>plaintiff’s</w:t>
      </w:r>
      <w:r w:rsidR="00F60E00">
        <w:rPr>
          <w:rFonts w:ascii="Times New Roman" w:hAnsi="Times New Roman" w:cs="Times New Roman"/>
          <w:sz w:val="28"/>
          <w:szCs w:val="28"/>
        </w:rPr>
        <w:t xml:space="preserve"> names. </w:t>
      </w:r>
    </w:p>
    <w:p w14:paraId="26B272DC" w14:textId="5B36B870" w:rsidR="004E5C71" w:rsidRDefault="00F60E00" w:rsidP="00906DD7">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73B38">
        <w:rPr>
          <w:rFonts w:ascii="Times New Roman" w:hAnsi="Times New Roman" w:cs="Times New Roman"/>
          <w:sz w:val="28"/>
          <w:szCs w:val="28"/>
        </w:rPr>
        <w:t>[3]</w:t>
      </w:r>
      <w:r w:rsidR="00C73B38">
        <w:rPr>
          <w:rFonts w:ascii="Times New Roman" w:hAnsi="Times New Roman" w:cs="Times New Roman"/>
          <w:sz w:val="28"/>
          <w:szCs w:val="28"/>
        </w:rPr>
        <w:tab/>
      </w:r>
      <w:r w:rsidR="00C73B38">
        <w:rPr>
          <w:rFonts w:ascii="Times New Roman" w:hAnsi="Times New Roman" w:cs="Times New Roman"/>
          <w:sz w:val="28"/>
          <w:szCs w:val="28"/>
        </w:rPr>
        <w:tab/>
      </w:r>
      <w:r w:rsidR="00C36EC0">
        <w:rPr>
          <w:rFonts w:ascii="Times New Roman" w:hAnsi="Times New Roman" w:cs="Times New Roman"/>
          <w:sz w:val="28"/>
          <w:szCs w:val="28"/>
        </w:rPr>
        <w:t>Rather, t</w:t>
      </w:r>
      <w:r>
        <w:rPr>
          <w:rFonts w:ascii="Times New Roman" w:hAnsi="Times New Roman" w:cs="Times New Roman"/>
          <w:sz w:val="28"/>
          <w:szCs w:val="28"/>
        </w:rPr>
        <w:t xml:space="preserve">he </w:t>
      </w:r>
      <w:r w:rsidR="00C73B38">
        <w:rPr>
          <w:rFonts w:ascii="Times New Roman" w:hAnsi="Times New Roman" w:cs="Times New Roman"/>
          <w:sz w:val="28"/>
          <w:szCs w:val="28"/>
        </w:rPr>
        <w:t xml:space="preserve">defendants </w:t>
      </w:r>
      <w:r w:rsidR="00C36EC0">
        <w:rPr>
          <w:rFonts w:ascii="Times New Roman" w:hAnsi="Times New Roman" w:cs="Times New Roman"/>
          <w:sz w:val="28"/>
          <w:szCs w:val="28"/>
        </w:rPr>
        <w:t>s</w:t>
      </w:r>
      <w:r>
        <w:rPr>
          <w:rFonts w:ascii="Times New Roman" w:hAnsi="Times New Roman" w:cs="Times New Roman"/>
          <w:sz w:val="28"/>
          <w:szCs w:val="28"/>
        </w:rPr>
        <w:t>ol</w:t>
      </w:r>
      <w:r w:rsidR="00C73B38">
        <w:rPr>
          <w:rFonts w:ascii="Times New Roman" w:hAnsi="Times New Roman" w:cs="Times New Roman"/>
          <w:sz w:val="28"/>
          <w:szCs w:val="28"/>
        </w:rPr>
        <w:t>d the same plot to another person</w:t>
      </w:r>
      <w:r>
        <w:rPr>
          <w:rFonts w:ascii="Times New Roman" w:hAnsi="Times New Roman" w:cs="Times New Roman"/>
          <w:sz w:val="28"/>
          <w:szCs w:val="28"/>
        </w:rPr>
        <w:t xml:space="preserve"> </w:t>
      </w:r>
      <w:r w:rsidR="00E3678A">
        <w:rPr>
          <w:rFonts w:ascii="Times New Roman" w:hAnsi="Times New Roman" w:cs="Times New Roman"/>
          <w:sz w:val="28"/>
          <w:szCs w:val="28"/>
        </w:rPr>
        <w:t>unknown</w:t>
      </w:r>
      <w:r w:rsidR="00C73B38">
        <w:rPr>
          <w:rFonts w:ascii="Times New Roman" w:hAnsi="Times New Roman" w:cs="Times New Roman"/>
          <w:sz w:val="28"/>
          <w:szCs w:val="28"/>
        </w:rPr>
        <w:t xml:space="preserve"> to the plaintiff</w:t>
      </w:r>
      <w:r w:rsidR="00C36EC0">
        <w:rPr>
          <w:rFonts w:ascii="Times New Roman" w:hAnsi="Times New Roman" w:cs="Times New Roman"/>
          <w:sz w:val="28"/>
          <w:szCs w:val="28"/>
        </w:rPr>
        <w:t xml:space="preserve">. As a result, </w:t>
      </w:r>
      <w:r>
        <w:rPr>
          <w:rFonts w:ascii="Times New Roman" w:hAnsi="Times New Roman" w:cs="Times New Roman"/>
          <w:sz w:val="28"/>
          <w:szCs w:val="28"/>
        </w:rPr>
        <w:t>the agreement</w:t>
      </w:r>
      <w:r w:rsidR="00C36EC0">
        <w:rPr>
          <w:rFonts w:ascii="Times New Roman" w:hAnsi="Times New Roman" w:cs="Times New Roman"/>
          <w:sz w:val="28"/>
          <w:szCs w:val="28"/>
        </w:rPr>
        <w:t xml:space="preserve"> </w:t>
      </w:r>
      <w:r>
        <w:rPr>
          <w:rFonts w:ascii="Times New Roman" w:hAnsi="Times New Roman" w:cs="Times New Roman"/>
          <w:sz w:val="28"/>
          <w:szCs w:val="28"/>
        </w:rPr>
        <w:t xml:space="preserve">was cancelled by the parties and </w:t>
      </w:r>
      <w:r w:rsidR="00E3678A">
        <w:rPr>
          <w:rFonts w:ascii="Times New Roman" w:hAnsi="Times New Roman" w:cs="Times New Roman"/>
          <w:sz w:val="28"/>
          <w:szCs w:val="28"/>
        </w:rPr>
        <w:t>the</w:t>
      </w:r>
      <w:r w:rsidR="00C73B38">
        <w:rPr>
          <w:rFonts w:ascii="Times New Roman" w:hAnsi="Times New Roman" w:cs="Times New Roman"/>
          <w:sz w:val="28"/>
          <w:szCs w:val="28"/>
        </w:rPr>
        <w:t xml:space="preserve"> defendants </w:t>
      </w:r>
      <w:r>
        <w:rPr>
          <w:rFonts w:ascii="Times New Roman" w:hAnsi="Times New Roman" w:cs="Times New Roman"/>
          <w:sz w:val="28"/>
          <w:szCs w:val="28"/>
        </w:rPr>
        <w:t>paid M55,000,</w:t>
      </w:r>
      <w:r w:rsidR="00C21780">
        <w:rPr>
          <w:rFonts w:ascii="Times New Roman" w:hAnsi="Times New Roman" w:cs="Times New Roman"/>
          <w:sz w:val="28"/>
          <w:szCs w:val="28"/>
        </w:rPr>
        <w:t>00 as</w:t>
      </w:r>
      <w:r>
        <w:rPr>
          <w:rFonts w:ascii="Times New Roman" w:hAnsi="Times New Roman" w:cs="Times New Roman"/>
          <w:sz w:val="28"/>
          <w:szCs w:val="28"/>
        </w:rPr>
        <w:t xml:space="preserve"> refund </w:t>
      </w:r>
      <w:r w:rsidR="00256354">
        <w:rPr>
          <w:rFonts w:ascii="Times New Roman" w:hAnsi="Times New Roman" w:cs="Times New Roman"/>
          <w:sz w:val="28"/>
          <w:szCs w:val="28"/>
        </w:rPr>
        <w:t xml:space="preserve">but </w:t>
      </w:r>
      <w:r>
        <w:rPr>
          <w:rFonts w:ascii="Times New Roman" w:hAnsi="Times New Roman" w:cs="Times New Roman"/>
          <w:sz w:val="28"/>
          <w:szCs w:val="28"/>
        </w:rPr>
        <w:t>failed to pay the balance of M95,000,00</w:t>
      </w:r>
      <w:r w:rsidR="00C36EC0">
        <w:rPr>
          <w:rFonts w:ascii="Times New Roman" w:hAnsi="Times New Roman" w:cs="Times New Roman"/>
          <w:sz w:val="28"/>
          <w:szCs w:val="28"/>
        </w:rPr>
        <w:t xml:space="preserve"> to the plaintiff</w:t>
      </w:r>
      <w:r w:rsidR="00E3678A">
        <w:rPr>
          <w:rFonts w:ascii="Times New Roman" w:hAnsi="Times New Roman" w:cs="Times New Roman"/>
          <w:sz w:val="28"/>
          <w:szCs w:val="28"/>
        </w:rPr>
        <w:t>.</w:t>
      </w:r>
      <w:r w:rsidR="00C73B38">
        <w:rPr>
          <w:rFonts w:ascii="Times New Roman" w:hAnsi="Times New Roman" w:cs="Times New Roman"/>
          <w:sz w:val="28"/>
          <w:szCs w:val="28"/>
        </w:rPr>
        <w:t xml:space="preserve"> </w:t>
      </w:r>
      <w:r w:rsidR="001C3493">
        <w:rPr>
          <w:rFonts w:ascii="Times New Roman" w:hAnsi="Times New Roman" w:cs="Times New Roman"/>
          <w:sz w:val="28"/>
          <w:szCs w:val="28"/>
        </w:rPr>
        <w:t xml:space="preserve"> </w:t>
      </w:r>
      <w:r w:rsidR="00E3678A">
        <w:rPr>
          <w:rFonts w:ascii="Times New Roman" w:hAnsi="Times New Roman" w:cs="Times New Roman"/>
          <w:sz w:val="28"/>
          <w:szCs w:val="28"/>
        </w:rPr>
        <w:t xml:space="preserve"> The </w:t>
      </w:r>
      <w:r w:rsidR="00C73B38">
        <w:rPr>
          <w:rFonts w:ascii="Times New Roman" w:hAnsi="Times New Roman" w:cs="Times New Roman"/>
          <w:sz w:val="28"/>
          <w:szCs w:val="28"/>
        </w:rPr>
        <w:t xml:space="preserve">plaintiff </w:t>
      </w:r>
      <w:r w:rsidR="00E3678A">
        <w:rPr>
          <w:rFonts w:ascii="Times New Roman" w:hAnsi="Times New Roman" w:cs="Times New Roman"/>
          <w:sz w:val="28"/>
          <w:szCs w:val="28"/>
        </w:rPr>
        <w:t>had taken a loan for payment of the purchase price which accumulated inte</w:t>
      </w:r>
      <w:r w:rsidR="00C73B38">
        <w:rPr>
          <w:rFonts w:ascii="Times New Roman" w:hAnsi="Times New Roman" w:cs="Times New Roman"/>
          <w:sz w:val="28"/>
          <w:szCs w:val="28"/>
        </w:rPr>
        <w:t xml:space="preserve">rest in the amount of </w:t>
      </w:r>
      <w:r w:rsidR="008C172E">
        <w:rPr>
          <w:rFonts w:ascii="Times New Roman" w:hAnsi="Times New Roman" w:cs="Times New Roman"/>
          <w:sz w:val="28"/>
          <w:szCs w:val="28"/>
        </w:rPr>
        <w:t>M</w:t>
      </w:r>
      <w:r w:rsidR="00C73B38">
        <w:rPr>
          <w:rFonts w:ascii="Times New Roman" w:hAnsi="Times New Roman" w:cs="Times New Roman"/>
          <w:sz w:val="28"/>
          <w:szCs w:val="28"/>
        </w:rPr>
        <w:t xml:space="preserve">32,644.00 which she </w:t>
      </w:r>
      <w:r w:rsidR="00C36EC0">
        <w:rPr>
          <w:rFonts w:ascii="Times New Roman" w:hAnsi="Times New Roman" w:cs="Times New Roman"/>
          <w:sz w:val="28"/>
          <w:szCs w:val="28"/>
        </w:rPr>
        <w:t xml:space="preserve">also </w:t>
      </w:r>
      <w:r w:rsidR="00C73B38">
        <w:rPr>
          <w:rFonts w:ascii="Times New Roman" w:hAnsi="Times New Roman" w:cs="Times New Roman"/>
          <w:sz w:val="28"/>
          <w:szCs w:val="28"/>
        </w:rPr>
        <w:t xml:space="preserve">claims </w:t>
      </w:r>
      <w:r w:rsidR="00C36EC0">
        <w:rPr>
          <w:rFonts w:ascii="Times New Roman" w:hAnsi="Times New Roman" w:cs="Times New Roman"/>
          <w:sz w:val="28"/>
          <w:szCs w:val="28"/>
        </w:rPr>
        <w:t xml:space="preserve">from the </w:t>
      </w:r>
      <w:r w:rsidR="00C73B38">
        <w:rPr>
          <w:rFonts w:ascii="Times New Roman" w:hAnsi="Times New Roman" w:cs="Times New Roman"/>
          <w:sz w:val="28"/>
          <w:szCs w:val="28"/>
        </w:rPr>
        <w:t xml:space="preserve">defendants. </w:t>
      </w:r>
      <w:r w:rsidR="00E3678A">
        <w:rPr>
          <w:rFonts w:ascii="Times New Roman" w:hAnsi="Times New Roman" w:cs="Times New Roman"/>
          <w:sz w:val="28"/>
          <w:szCs w:val="28"/>
        </w:rPr>
        <w:t xml:space="preserve"> The</w:t>
      </w:r>
      <w:r w:rsidR="00C42BD7">
        <w:rPr>
          <w:rFonts w:ascii="Times New Roman" w:hAnsi="Times New Roman" w:cs="Times New Roman"/>
          <w:sz w:val="28"/>
          <w:szCs w:val="28"/>
        </w:rPr>
        <w:t xml:space="preserve"> </w:t>
      </w:r>
      <w:r w:rsidR="00C73B38">
        <w:rPr>
          <w:rFonts w:ascii="Times New Roman" w:hAnsi="Times New Roman" w:cs="Times New Roman"/>
          <w:sz w:val="28"/>
          <w:szCs w:val="28"/>
        </w:rPr>
        <w:t>defendants filed</w:t>
      </w:r>
      <w:r w:rsidR="00C42BD7">
        <w:rPr>
          <w:rFonts w:ascii="Times New Roman" w:hAnsi="Times New Roman" w:cs="Times New Roman"/>
          <w:sz w:val="28"/>
          <w:szCs w:val="28"/>
        </w:rPr>
        <w:t xml:space="preserve"> a notice of appearance to defend and subsequent thereto an excepti</w:t>
      </w:r>
      <w:r w:rsidR="00C36EC0">
        <w:rPr>
          <w:rFonts w:ascii="Times New Roman" w:hAnsi="Times New Roman" w:cs="Times New Roman"/>
          <w:sz w:val="28"/>
          <w:szCs w:val="28"/>
        </w:rPr>
        <w:t xml:space="preserve">on </w:t>
      </w:r>
      <w:r w:rsidR="00C42BD7">
        <w:rPr>
          <w:rFonts w:ascii="Times New Roman" w:hAnsi="Times New Roman" w:cs="Times New Roman"/>
          <w:sz w:val="28"/>
          <w:szCs w:val="28"/>
        </w:rPr>
        <w:t xml:space="preserve">to the declaration. </w:t>
      </w:r>
    </w:p>
    <w:p w14:paraId="74939699" w14:textId="0C5824F0" w:rsidR="004932B4" w:rsidRDefault="00313BE5" w:rsidP="00906DD7">
      <w:pPr>
        <w:spacing w:line="480" w:lineRule="auto"/>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Pr>
          <w:rFonts w:ascii="Times New Roman" w:hAnsi="Times New Roman" w:cs="Times New Roman"/>
          <w:sz w:val="28"/>
          <w:szCs w:val="28"/>
        </w:rPr>
        <w:tab/>
      </w:r>
      <w:r w:rsidR="00526D0A">
        <w:rPr>
          <w:rFonts w:ascii="Times New Roman" w:hAnsi="Times New Roman" w:cs="Times New Roman"/>
          <w:sz w:val="28"/>
          <w:szCs w:val="28"/>
        </w:rPr>
        <w:t xml:space="preserve">It is the </w:t>
      </w:r>
      <w:r w:rsidR="00E563F0">
        <w:rPr>
          <w:rFonts w:ascii="Times New Roman" w:hAnsi="Times New Roman" w:cs="Times New Roman"/>
          <w:sz w:val="28"/>
          <w:szCs w:val="28"/>
        </w:rPr>
        <w:t>defendants</w:t>
      </w:r>
      <w:r w:rsidR="00C73B38">
        <w:rPr>
          <w:rFonts w:ascii="Times New Roman" w:hAnsi="Times New Roman" w:cs="Times New Roman"/>
          <w:sz w:val="28"/>
          <w:szCs w:val="28"/>
        </w:rPr>
        <w:t>’</w:t>
      </w:r>
      <w:r w:rsidR="00526D0A">
        <w:rPr>
          <w:rFonts w:ascii="Times New Roman" w:hAnsi="Times New Roman" w:cs="Times New Roman"/>
          <w:sz w:val="28"/>
          <w:szCs w:val="28"/>
        </w:rPr>
        <w:t xml:space="preserve"> case that the </w:t>
      </w:r>
      <w:r w:rsidR="00E563F0">
        <w:rPr>
          <w:rFonts w:ascii="Times New Roman" w:hAnsi="Times New Roman" w:cs="Times New Roman"/>
          <w:sz w:val="28"/>
          <w:szCs w:val="28"/>
        </w:rPr>
        <w:t>plaintiff</w:t>
      </w:r>
      <w:r w:rsidR="00526D0A">
        <w:rPr>
          <w:rFonts w:ascii="Times New Roman" w:hAnsi="Times New Roman" w:cs="Times New Roman"/>
          <w:sz w:val="28"/>
          <w:szCs w:val="28"/>
        </w:rPr>
        <w:t xml:space="preserve"> </w:t>
      </w:r>
      <w:r w:rsidR="00677E52">
        <w:rPr>
          <w:rFonts w:ascii="Times New Roman" w:hAnsi="Times New Roman" w:cs="Times New Roman"/>
          <w:sz w:val="28"/>
          <w:szCs w:val="28"/>
        </w:rPr>
        <w:t>failed</w:t>
      </w:r>
      <w:r w:rsidR="00526D0A">
        <w:rPr>
          <w:rFonts w:ascii="Times New Roman" w:hAnsi="Times New Roman" w:cs="Times New Roman"/>
          <w:sz w:val="28"/>
          <w:szCs w:val="28"/>
        </w:rPr>
        <w:t xml:space="preserve"> to join the </w:t>
      </w:r>
      <w:r w:rsidR="00677E52">
        <w:rPr>
          <w:rFonts w:ascii="Times New Roman" w:hAnsi="Times New Roman" w:cs="Times New Roman"/>
          <w:sz w:val="28"/>
          <w:szCs w:val="28"/>
        </w:rPr>
        <w:t>owner</w:t>
      </w:r>
      <w:r w:rsidR="00526D0A">
        <w:rPr>
          <w:rFonts w:ascii="Times New Roman" w:hAnsi="Times New Roman" w:cs="Times New Roman"/>
          <w:sz w:val="28"/>
          <w:szCs w:val="28"/>
        </w:rPr>
        <w:t xml:space="preserve"> of the site in i</w:t>
      </w:r>
      <w:r w:rsidR="00E563F0">
        <w:rPr>
          <w:rFonts w:ascii="Times New Roman" w:hAnsi="Times New Roman" w:cs="Times New Roman"/>
          <w:sz w:val="28"/>
          <w:szCs w:val="28"/>
        </w:rPr>
        <w:t>ssue</w:t>
      </w:r>
      <w:r w:rsidR="00277FAD">
        <w:rPr>
          <w:rFonts w:ascii="Times New Roman" w:hAnsi="Times New Roman" w:cs="Times New Roman"/>
          <w:sz w:val="28"/>
          <w:szCs w:val="28"/>
        </w:rPr>
        <w:t>,</w:t>
      </w:r>
      <w:r w:rsidR="00E563F0">
        <w:rPr>
          <w:rFonts w:ascii="Times New Roman" w:hAnsi="Times New Roman" w:cs="Times New Roman"/>
          <w:sz w:val="28"/>
          <w:szCs w:val="28"/>
        </w:rPr>
        <w:t xml:space="preserve"> being the </w:t>
      </w:r>
      <w:r w:rsidR="00277FAD">
        <w:rPr>
          <w:rFonts w:ascii="Times New Roman" w:hAnsi="Times New Roman" w:cs="Times New Roman"/>
          <w:sz w:val="28"/>
          <w:szCs w:val="28"/>
        </w:rPr>
        <w:t>heir to second</w:t>
      </w:r>
      <w:r w:rsidR="00E563F0">
        <w:rPr>
          <w:rFonts w:ascii="Times New Roman" w:hAnsi="Times New Roman" w:cs="Times New Roman"/>
          <w:sz w:val="28"/>
          <w:szCs w:val="28"/>
        </w:rPr>
        <w:t xml:space="preserve"> defendant’s mother</w:t>
      </w:r>
      <w:r w:rsidR="00277FAD">
        <w:rPr>
          <w:rFonts w:ascii="Times New Roman" w:hAnsi="Times New Roman" w:cs="Times New Roman"/>
          <w:sz w:val="28"/>
          <w:szCs w:val="28"/>
        </w:rPr>
        <w:t>,</w:t>
      </w:r>
      <w:r w:rsidR="00E563F0">
        <w:rPr>
          <w:rFonts w:ascii="Times New Roman" w:hAnsi="Times New Roman" w:cs="Times New Roman"/>
          <w:sz w:val="28"/>
          <w:szCs w:val="28"/>
        </w:rPr>
        <w:t xml:space="preserve"> and that they are improperly joined</w:t>
      </w:r>
      <w:r w:rsidR="00E3678A">
        <w:rPr>
          <w:rFonts w:ascii="Times New Roman" w:hAnsi="Times New Roman" w:cs="Times New Roman"/>
          <w:sz w:val="28"/>
          <w:szCs w:val="28"/>
        </w:rPr>
        <w:t xml:space="preserve"> in the proceedings. </w:t>
      </w:r>
      <w:r w:rsidR="00E563F0">
        <w:rPr>
          <w:rFonts w:ascii="Times New Roman" w:hAnsi="Times New Roman" w:cs="Times New Roman"/>
          <w:sz w:val="28"/>
          <w:szCs w:val="28"/>
        </w:rPr>
        <w:t xml:space="preserve"> This </w:t>
      </w:r>
      <w:r w:rsidR="00C36EC0">
        <w:rPr>
          <w:rFonts w:ascii="Times New Roman" w:hAnsi="Times New Roman" w:cs="Times New Roman"/>
          <w:sz w:val="28"/>
          <w:szCs w:val="28"/>
        </w:rPr>
        <w:t>defen</w:t>
      </w:r>
      <w:r w:rsidR="00B838C3">
        <w:rPr>
          <w:rFonts w:ascii="Times New Roman" w:hAnsi="Times New Roman" w:cs="Times New Roman"/>
          <w:sz w:val="28"/>
          <w:szCs w:val="28"/>
        </w:rPr>
        <w:t>c</w:t>
      </w:r>
      <w:r w:rsidR="00C36EC0">
        <w:rPr>
          <w:rFonts w:ascii="Times New Roman" w:hAnsi="Times New Roman" w:cs="Times New Roman"/>
          <w:sz w:val="28"/>
          <w:szCs w:val="28"/>
        </w:rPr>
        <w:t>e is raised b</w:t>
      </w:r>
      <w:r w:rsidR="00E563F0">
        <w:rPr>
          <w:rFonts w:ascii="Times New Roman" w:hAnsi="Times New Roman" w:cs="Times New Roman"/>
          <w:sz w:val="28"/>
          <w:szCs w:val="28"/>
        </w:rPr>
        <w:t xml:space="preserve">y </w:t>
      </w:r>
      <w:r w:rsidR="00C36EC0">
        <w:rPr>
          <w:rFonts w:ascii="Times New Roman" w:hAnsi="Times New Roman" w:cs="Times New Roman"/>
          <w:sz w:val="28"/>
          <w:szCs w:val="28"/>
        </w:rPr>
        <w:t>way of an</w:t>
      </w:r>
      <w:r w:rsidR="00526D0A">
        <w:rPr>
          <w:rFonts w:ascii="Times New Roman" w:hAnsi="Times New Roman" w:cs="Times New Roman"/>
          <w:sz w:val="28"/>
          <w:szCs w:val="28"/>
        </w:rPr>
        <w:t xml:space="preserve"> exception in terms</w:t>
      </w:r>
      <w:r w:rsidR="00677E52">
        <w:rPr>
          <w:rFonts w:ascii="Times New Roman" w:hAnsi="Times New Roman" w:cs="Times New Roman"/>
          <w:sz w:val="28"/>
          <w:szCs w:val="28"/>
        </w:rPr>
        <w:t xml:space="preserve"> of ru</w:t>
      </w:r>
      <w:r w:rsidR="000940C4">
        <w:rPr>
          <w:rFonts w:ascii="Times New Roman" w:hAnsi="Times New Roman" w:cs="Times New Roman"/>
          <w:sz w:val="28"/>
          <w:szCs w:val="28"/>
        </w:rPr>
        <w:t>l</w:t>
      </w:r>
      <w:r w:rsidR="00677E52">
        <w:rPr>
          <w:rFonts w:ascii="Times New Roman" w:hAnsi="Times New Roman" w:cs="Times New Roman"/>
          <w:sz w:val="28"/>
          <w:szCs w:val="28"/>
        </w:rPr>
        <w:t>e 29 (1) (a) of the</w:t>
      </w:r>
      <w:r w:rsidR="006D623A">
        <w:rPr>
          <w:rFonts w:ascii="Times New Roman" w:hAnsi="Times New Roman" w:cs="Times New Roman"/>
          <w:sz w:val="28"/>
          <w:szCs w:val="28"/>
        </w:rPr>
        <w:t xml:space="preserve"> </w:t>
      </w:r>
      <w:r w:rsidR="00256354">
        <w:rPr>
          <w:rFonts w:ascii="Times New Roman" w:hAnsi="Times New Roman" w:cs="Times New Roman"/>
          <w:sz w:val="28"/>
          <w:szCs w:val="28"/>
        </w:rPr>
        <w:t>rules</w:t>
      </w:r>
      <w:r w:rsidR="006D623A">
        <w:rPr>
          <w:rFonts w:ascii="Times New Roman" w:hAnsi="Times New Roman" w:cs="Times New Roman"/>
          <w:i/>
          <w:sz w:val="28"/>
          <w:szCs w:val="28"/>
        </w:rPr>
        <w:t>.</w:t>
      </w:r>
      <w:r w:rsidR="00677E52">
        <w:rPr>
          <w:rFonts w:ascii="Times New Roman" w:hAnsi="Times New Roman" w:cs="Times New Roman"/>
          <w:sz w:val="28"/>
          <w:szCs w:val="28"/>
        </w:rPr>
        <w:t xml:space="preserve"> They submit that </w:t>
      </w:r>
      <w:r w:rsidR="004932B4">
        <w:rPr>
          <w:rFonts w:ascii="Times New Roman" w:hAnsi="Times New Roman" w:cs="Times New Roman"/>
          <w:sz w:val="28"/>
          <w:szCs w:val="28"/>
        </w:rPr>
        <w:t xml:space="preserve">there is no cause of action </w:t>
      </w:r>
      <w:r w:rsidR="00677E52">
        <w:rPr>
          <w:rFonts w:ascii="Times New Roman" w:hAnsi="Times New Roman" w:cs="Times New Roman"/>
          <w:sz w:val="28"/>
          <w:szCs w:val="28"/>
        </w:rPr>
        <w:t xml:space="preserve">against them </w:t>
      </w:r>
      <w:r w:rsidR="00277FAD">
        <w:rPr>
          <w:rFonts w:ascii="Times New Roman" w:hAnsi="Times New Roman" w:cs="Times New Roman"/>
          <w:sz w:val="28"/>
          <w:szCs w:val="28"/>
        </w:rPr>
        <w:t xml:space="preserve">as a result of which the </w:t>
      </w:r>
      <w:r w:rsidR="00034374">
        <w:rPr>
          <w:rFonts w:ascii="Times New Roman" w:hAnsi="Times New Roman" w:cs="Times New Roman"/>
          <w:sz w:val="28"/>
          <w:szCs w:val="28"/>
        </w:rPr>
        <w:t xml:space="preserve">action </w:t>
      </w:r>
      <w:proofErr w:type="gramStart"/>
      <w:r w:rsidR="00034374">
        <w:rPr>
          <w:rFonts w:ascii="Times New Roman" w:hAnsi="Times New Roman" w:cs="Times New Roman"/>
          <w:sz w:val="28"/>
          <w:szCs w:val="28"/>
        </w:rPr>
        <w:t>has</w:t>
      </w:r>
      <w:r w:rsidR="00C36EC0">
        <w:rPr>
          <w:rFonts w:ascii="Times New Roman" w:hAnsi="Times New Roman" w:cs="Times New Roman"/>
          <w:sz w:val="28"/>
          <w:szCs w:val="28"/>
        </w:rPr>
        <w:t xml:space="preserve"> to</w:t>
      </w:r>
      <w:proofErr w:type="gramEnd"/>
      <w:r w:rsidR="00C36EC0">
        <w:rPr>
          <w:rFonts w:ascii="Times New Roman" w:hAnsi="Times New Roman" w:cs="Times New Roman"/>
          <w:sz w:val="28"/>
          <w:szCs w:val="28"/>
        </w:rPr>
        <w:t xml:space="preserve"> be dismissed. </w:t>
      </w:r>
      <w:r w:rsidR="004932B4">
        <w:rPr>
          <w:rFonts w:ascii="Times New Roman" w:hAnsi="Times New Roman" w:cs="Times New Roman"/>
          <w:sz w:val="28"/>
          <w:szCs w:val="28"/>
        </w:rPr>
        <w:t xml:space="preserve"> </w:t>
      </w:r>
    </w:p>
    <w:p w14:paraId="5D056AFF" w14:textId="6B71B132" w:rsidR="00440D92" w:rsidRDefault="00313BE5" w:rsidP="00906DD7">
      <w:pPr>
        <w:spacing w:line="480" w:lineRule="auto"/>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9C0E1F">
        <w:rPr>
          <w:rFonts w:ascii="Times New Roman" w:hAnsi="Times New Roman" w:cs="Times New Roman"/>
          <w:sz w:val="28"/>
          <w:szCs w:val="28"/>
        </w:rPr>
        <w:tab/>
      </w:r>
      <w:r>
        <w:rPr>
          <w:rFonts w:ascii="Times New Roman" w:hAnsi="Times New Roman" w:cs="Times New Roman"/>
          <w:sz w:val="28"/>
          <w:szCs w:val="28"/>
        </w:rPr>
        <w:t>The plaintiff</w:t>
      </w:r>
      <w:r w:rsidR="00677E52">
        <w:rPr>
          <w:rFonts w:ascii="Times New Roman" w:hAnsi="Times New Roman" w:cs="Times New Roman"/>
          <w:sz w:val="28"/>
          <w:szCs w:val="28"/>
        </w:rPr>
        <w:t xml:space="preserve"> </w:t>
      </w:r>
      <w:r w:rsidR="00AD7739">
        <w:rPr>
          <w:rFonts w:ascii="Times New Roman" w:hAnsi="Times New Roman" w:cs="Times New Roman"/>
          <w:sz w:val="28"/>
          <w:szCs w:val="28"/>
        </w:rPr>
        <w:t>submit</w:t>
      </w:r>
      <w:r w:rsidR="00D15A97">
        <w:rPr>
          <w:rFonts w:ascii="Times New Roman" w:hAnsi="Times New Roman" w:cs="Times New Roman"/>
          <w:sz w:val="28"/>
          <w:szCs w:val="28"/>
        </w:rPr>
        <w:t>s</w:t>
      </w:r>
      <w:r w:rsidR="003170B1">
        <w:rPr>
          <w:rFonts w:ascii="Times New Roman" w:hAnsi="Times New Roman" w:cs="Times New Roman"/>
          <w:sz w:val="28"/>
          <w:szCs w:val="28"/>
        </w:rPr>
        <w:t xml:space="preserve"> that th</w:t>
      </w:r>
      <w:r>
        <w:rPr>
          <w:rFonts w:ascii="Times New Roman" w:hAnsi="Times New Roman" w:cs="Times New Roman"/>
          <w:sz w:val="28"/>
          <w:szCs w:val="28"/>
        </w:rPr>
        <w:t>e defendants ought</w:t>
      </w:r>
      <w:r w:rsidR="00AD7739">
        <w:rPr>
          <w:rFonts w:ascii="Times New Roman" w:hAnsi="Times New Roman" w:cs="Times New Roman"/>
          <w:sz w:val="28"/>
          <w:szCs w:val="28"/>
        </w:rPr>
        <w:t xml:space="preserve"> to have raised special pleas of non-joinder and misjoinder and </w:t>
      </w:r>
      <w:r w:rsidR="005858C0">
        <w:rPr>
          <w:rFonts w:ascii="Times New Roman" w:hAnsi="Times New Roman" w:cs="Times New Roman"/>
          <w:sz w:val="28"/>
          <w:szCs w:val="28"/>
        </w:rPr>
        <w:t>not an</w:t>
      </w:r>
      <w:r>
        <w:rPr>
          <w:rFonts w:ascii="Times New Roman" w:hAnsi="Times New Roman" w:cs="Times New Roman"/>
          <w:sz w:val="28"/>
          <w:szCs w:val="28"/>
        </w:rPr>
        <w:t xml:space="preserve"> exception. It is the plaintiff’s contention that the defendants</w:t>
      </w:r>
      <w:r w:rsidR="00AD7739">
        <w:rPr>
          <w:rFonts w:ascii="Times New Roman" w:hAnsi="Times New Roman" w:cs="Times New Roman"/>
          <w:sz w:val="28"/>
          <w:szCs w:val="28"/>
        </w:rPr>
        <w:t xml:space="preserve"> do not allege that the declaration lacks</w:t>
      </w:r>
      <w:r w:rsidR="00277FAD">
        <w:rPr>
          <w:rFonts w:ascii="Times New Roman" w:hAnsi="Times New Roman" w:cs="Times New Roman"/>
          <w:sz w:val="28"/>
          <w:szCs w:val="28"/>
        </w:rPr>
        <w:t xml:space="preserve"> the</w:t>
      </w:r>
      <w:r w:rsidR="00AD7739">
        <w:rPr>
          <w:rFonts w:ascii="Times New Roman" w:hAnsi="Times New Roman" w:cs="Times New Roman"/>
          <w:sz w:val="28"/>
          <w:szCs w:val="28"/>
        </w:rPr>
        <w:t xml:space="preserve"> necessary averments to sustain</w:t>
      </w:r>
      <w:r w:rsidR="00F60E00">
        <w:rPr>
          <w:rFonts w:ascii="Times New Roman" w:hAnsi="Times New Roman" w:cs="Times New Roman"/>
          <w:sz w:val="28"/>
          <w:szCs w:val="28"/>
        </w:rPr>
        <w:t xml:space="preserve"> a cause of action and as such</w:t>
      </w:r>
      <w:r w:rsidR="000940C4">
        <w:rPr>
          <w:rFonts w:ascii="Times New Roman" w:hAnsi="Times New Roman" w:cs="Times New Roman"/>
          <w:sz w:val="28"/>
          <w:szCs w:val="28"/>
        </w:rPr>
        <w:t>,</w:t>
      </w:r>
      <w:r w:rsidR="00F60E00">
        <w:rPr>
          <w:rFonts w:ascii="Times New Roman" w:hAnsi="Times New Roman" w:cs="Times New Roman"/>
          <w:sz w:val="28"/>
          <w:szCs w:val="28"/>
        </w:rPr>
        <w:t xml:space="preserve"> the exception does not fall </w:t>
      </w:r>
      <w:r w:rsidR="00E3678A">
        <w:rPr>
          <w:rFonts w:ascii="Times New Roman" w:hAnsi="Times New Roman" w:cs="Times New Roman"/>
          <w:sz w:val="28"/>
          <w:szCs w:val="28"/>
        </w:rPr>
        <w:t>within</w:t>
      </w:r>
      <w:r>
        <w:rPr>
          <w:rFonts w:ascii="Times New Roman" w:hAnsi="Times New Roman" w:cs="Times New Roman"/>
          <w:sz w:val="28"/>
          <w:szCs w:val="28"/>
        </w:rPr>
        <w:t xml:space="preserve"> the ambit of Rule </w:t>
      </w:r>
      <w:r w:rsidR="00F60E00">
        <w:rPr>
          <w:rFonts w:ascii="Times New Roman" w:hAnsi="Times New Roman" w:cs="Times New Roman"/>
          <w:sz w:val="28"/>
          <w:szCs w:val="28"/>
        </w:rPr>
        <w:t>29</w:t>
      </w:r>
      <w:r>
        <w:rPr>
          <w:rFonts w:ascii="Times New Roman" w:hAnsi="Times New Roman" w:cs="Times New Roman"/>
          <w:sz w:val="28"/>
          <w:szCs w:val="28"/>
        </w:rPr>
        <w:t>(1) (a)</w:t>
      </w:r>
      <w:r w:rsidR="00D15A97">
        <w:rPr>
          <w:rFonts w:ascii="Times New Roman" w:hAnsi="Times New Roman" w:cs="Times New Roman"/>
          <w:sz w:val="28"/>
          <w:szCs w:val="28"/>
        </w:rPr>
        <w:t>.</w:t>
      </w:r>
      <w:r>
        <w:rPr>
          <w:rFonts w:ascii="Times New Roman" w:hAnsi="Times New Roman" w:cs="Times New Roman"/>
          <w:sz w:val="28"/>
          <w:szCs w:val="28"/>
        </w:rPr>
        <w:t xml:space="preserve"> </w:t>
      </w:r>
    </w:p>
    <w:p w14:paraId="31C18AA5" w14:textId="401A71FC" w:rsidR="002614E5" w:rsidRDefault="00313BE5" w:rsidP="00906DD7">
      <w:pPr>
        <w:spacing w:line="480" w:lineRule="auto"/>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Pr>
          <w:rFonts w:ascii="Times New Roman" w:hAnsi="Times New Roman" w:cs="Times New Roman"/>
          <w:sz w:val="28"/>
          <w:szCs w:val="28"/>
        </w:rPr>
        <w:tab/>
      </w:r>
      <w:r w:rsidR="004676FB">
        <w:rPr>
          <w:rFonts w:ascii="Times New Roman" w:hAnsi="Times New Roman" w:cs="Times New Roman"/>
          <w:sz w:val="28"/>
          <w:szCs w:val="28"/>
        </w:rPr>
        <w:t xml:space="preserve">It was argued on behalf of the </w:t>
      </w:r>
      <w:r w:rsidR="007F68E2">
        <w:rPr>
          <w:rFonts w:ascii="Times New Roman" w:hAnsi="Times New Roman" w:cs="Times New Roman"/>
          <w:sz w:val="28"/>
          <w:szCs w:val="28"/>
        </w:rPr>
        <w:t xml:space="preserve">plaintiff </w:t>
      </w:r>
      <w:r w:rsidR="00B94A9C">
        <w:rPr>
          <w:rFonts w:ascii="Times New Roman" w:hAnsi="Times New Roman" w:cs="Times New Roman"/>
          <w:sz w:val="28"/>
          <w:szCs w:val="28"/>
        </w:rPr>
        <w:t>t</w:t>
      </w:r>
      <w:r w:rsidR="004676FB">
        <w:rPr>
          <w:rFonts w:ascii="Times New Roman" w:hAnsi="Times New Roman" w:cs="Times New Roman"/>
          <w:sz w:val="28"/>
          <w:szCs w:val="28"/>
        </w:rPr>
        <w:t xml:space="preserve">hat in an exception the Court may have regard only to the facts appearing in the pleading that is being attacked and not </w:t>
      </w:r>
      <w:r w:rsidR="00AA159A">
        <w:rPr>
          <w:rFonts w:ascii="Times New Roman" w:hAnsi="Times New Roman" w:cs="Times New Roman"/>
          <w:sz w:val="28"/>
          <w:szCs w:val="28"/>
        </w:rPr>
        <w:t>on allegations which</w:t>
      </w:r>
      <w:r w:rsidR="00256354">
        <w:rPr>
          <w:rFonts w:ascii="Times New Roman" w:hAnsi="Times New Roman" w:cs="Times New Roman"/>
          <w:sz w:val="28"/>
          <w:szCs w:val="28"/>
        </w:rPr>
        <w:t xml:space="preserve"> are</w:t>
      </w:r>
      <w:r w:rsidR="00E1399E">
        <w:rPr>
          <w:rFonts w:ascii="Times New Roman" w:hAnsi="Times New Roman" w:cs="Times New Roman"/>
          <w:sz w:val="28"/>
          <w:szCs w:val="28"/>
        </w:rPr>
        <w:t xml:space="preserve"> not contained in the pleadings. </w:t>
      </w:r>
      <w:r w:rsidR="00111161">
        <w:rPr>
          <w:rFonts w:ascii="Times New Roman" w:hAnsi="Times New Roman" w:cs="Times New Roman"/>
          <w:sz w:val="28"/>
          <w:szCs w:val="28"/>
        </w:rPr>
        <w:t xml:space="preserve"> </w:t>
      </w:r>
      <w:r w:rsidR="007F68E2">
        <w:rPr>
          <w:rFonts w:ascii="Times New Roman" w:hAnsi="Times New Roman" w:cs="Times New Roman"/>
          <w:sz w:val="28"/>
          <w:szCs w:val="28"/>
        </w:rPr>
        <w:t xml:space="preserve">The plaintiff </w:t>
      </w:r>
      <w:r w:rsidR="007F68E2">
        <w:rPr>
          <w:rFonts w:ascii="Times New Roman" w:hAnsi="Times New Roman" w:cs="Times New Roman"/>
          <w:sz w:val="28"/>
          <w:szCs w:val="28"/>
        </w:rPr>
        <w:lastRenderedPageBreak/>
        <w:t>submit</w:t>
      </w:r>
      <w:r w:rsidR="00256354">
        <w:rPr>
          <w:rFonts w:ascii="Times New Roman" w:hAnsi="Times New Roman" w:cs="Times New Roman"/>
          <w:sz w:val="28"/>
          <w:szCs w:val="28"/>
        </w:rPr>
        <w:t>s</w:t>
      </w:r>
      <w:r w:rsidR="007F68E2">
        <w:rPr>
          <w:rFonts w:ascii="Times New Roman" w:hAnsi="Times New Roman" w:cs="Times New Roman"/>
          <w:sz w:val="28"/>
          <w:szCs w:val="28"/>
        </w:rPr>
        <w:t xml:space="preserve"> that</w:t>
      </w:r>
      <w:r w:rsidR="00277FAD">
        <w:rPr>
          <w:rFonts w:ascii="Times New Roman" w:hAnsi="Times New Roman" w:cs="Times New Roman"/>
          <w:sz w:val="28"/>
          <w:szCs w:val="28"/>
        </w:rPr>
        <w:t xml:space="preserve"> there is no reference to </w:t>
      </w:r>
      <w:r w:rsidR="007F68E2">
        <w:rPr>
          <w:rFonts w:ascii="Times New Roman" w:hAnsi="Times New Roman" w:cs="Times New Roman"/>
          <w:sz w:val="28"/>
          <w:szCs w:val="28"/>
        </w:rPr>
        <w:t xml:space="preserve">the </w:t>
      </w:r>
      <w:r w:rsidR="00277FAD">
        <w:rPr>
          <w:rFonts w:ascii="Times New Roman" w:hAnsi="Times New Roman" w:cs="Times New Roman"/>
          <w:sz w:val="28"/>
          <w:szCs w:val="28"/>
        </w:rPr>
        <w:t xml:space="preserve">second </w:t>
      </w:r>
      <w:r w:rsidR="007F68E2">
        <w:rPr>
          <w:rFonts w:ascii="Times New Roman" w:hAnsi="Times New Roman" w:cs="Times New Roman"/>
          <w:sz w:val="28"/>
          <w:szCs w:val="28"/>
        </w:rPr>
        <w:t>defendant’</w:t>
      </w:r>
      <w:r w:rsidR="00111161">
        <w:rPr>
          <w:rFonts w:ascii="Times New Roman" w:hAnsi="Times New Roman" w:cs="Times New Roman"/>
          <w:sz w:val="28"/>
          <w:szCs w:val="28"/>
        </w:rPr>
        <w:t>s deceased mother</w:t>
      </w:r>
      <w:r w:rsidR="00277FAD">
        <w:rPr>
          <w:rFonts w:ascii="Times New Roman" w:hAnsi="Times New Roman" w:cs="Times New Roman"/>
          <w:sz w:val="28"/>
          <w:szCs w:val="28"/>
        </w:rPr>
        <w:t>, who is claimed to be the owner of the site,</w:t>
      </w:r>
      <w:r w:rsidR="00111161">
        <w:rPr>
          <w:rFonts w:ascii="Times New Roman" w:hAnsi="Times New Roman" w:cs="Times New Roman"/>
          <w:sz w:val="28"/>
          <w:szCs w:val="28"/>
        </w:rPr>
        <w:t xml:space="preserve"> </w:t>
      </w:r>
      <w:r w:rsidR="00B94A9C">
        <w:rPr>
          <w:rFonts w:ascii="Times New Roman" w:hAnsi="Times New Roman" w:cs="Times New Roman"/>
          <w:sz w:val="28"/>
          <w:szCs w:val="28"/>
        </w:rPr>
        <w:t>i</w:t>
      </w:r>
      <w:r w:rsidR="00111161">
        <w:rPr>
          <w:rFonts w:ascii="Times New Roman" w:hAnsi="Times New Roman" w:cs="Times New Roman"/>
          <w:sz w:val="28"/>
          <w:szCs w:val="28"/>
        </w:rPr>
        <w:t>n</w:t>
      </w:r>
      <w:r w:rsidR="00277FAD">
        <w:rPr>
          <w:rFonts w:ascii="Times New Roman" w:hAnsi="Times New Roman" w:cs="Times New Roman"/>
          <w:sz w:val="28"/>
          <w:szCs w:val="28"/>
        </w:rPr>
        <w:t xml:space="preserve"> the declaration</w:t>
      </w:r>
      <w:r w:rsidR="00B838C3">
        <w:rPr>
          <w:rFonts w:ascii="Times New Roman" w:hAnsi="Times New Roman" w:cs="Times New Roman"/>
          <w:sz w:val="28"/>
          <w:szCs w:val="28"/>
        </w:rPr>
        <w:t xml:space="preserve">. </w:t>
      </w:r>
      <w:r w:rsidR="00111161">
        <w:rPr>
          <w:rFonts w:ascii="Times New Roman" w:hAnsi="Times New Roman" w:cs="Times New Roman"/>
          <w:sz w:val="28"/>
          <w:szCs w:val="28"/>
        </w:rPr>
        <w:t xml:space="preserve"> </w:t>
      </w:r>
    </w:p>
    <w:p w14:paraId="68F0B33B" w14:textId="2E33422A" w:rsidR="002614E5" w:rsidRPr="002614E5" w:rsidRDefault="002614E5" w:rsidP="00906DD7">
      <w:pPr>
        <w:spacing w:line="480" w:lineRule="auto"/>
        <w:jc w:val="both"/>
        <w:rPr>
          <w:rFonts w:ascii="Times New Roman" w:hAnsi="Times New Roman" w:cs="Times New Roman"/>
          <w:b/>
          <w:sz w:val="28"/>
          <w:szCs w:val="28"/>
          <w:u w:val="single"/>
        </w:rPr>
      </w:pPr>
      <w:r w:rsidRPr="002614E5">
        <w:rPr>
          <w:rFonts w:ascii="Times New Roman" w:hAnsi="Times New Roman" w:cs="Times New Roman"/>
          <w:b/>
          <w:sz w:val="28"/>
          <w:szCs w:val="28"/>
          <w:u w:val="single"/>
        </w:rPr>
        <w:t>ISSUE</w:t>
      </w:r>
      <w:r w:rsidR="000940C4">
        <w:rPr>
          <w:rFonts w:ascii="Times New Roman" w:hAnsi="Times New Roman" w:cs="Times New Roman"/>
          <w:b/>
          <w:sz w:val="28"/>
          <w:szCs w:val="28"/>
          <w:u w:val="single"/>
        </w:rPr>
        <w:t>S</w:t>
      </w:r>
    </w:p>
    <w:p w14:paraId="53E5DE9F" w14:textId="5193AA76" w:rsidR="00E5502A" w:rsidRPr="00944D5D" w:rsidRDefault="002614E5" w:rsidP="00906DD7">
      <w:pPr>
        <w:spacing w:line="480" w:lineRule="auto"/>
        <w:jc w:val="both"/>
        <w:rPr>
          <w:rFonts w:ascii="Times New Roman" w:hAnsi="Times New Roman" w:cs="Times New Roman"/>
          <w:sz w:val="28"/>
          <w:szCs w:val="28"/>
        </w:rPr>
      </w:pPr>
      <w:r>
        <w:rPr>
          <w:rFonts w:ascii="Times New Roman" w:hAnsi="Times New Roman" w:cs="Times New Roman"/>
          <w:sz w:val="28"/>
          <w:szCs w:val="28"/>
        </w:rPr>
        <w:t>W</w:t>
      </w:r>
      <w:r w:rsidR="00942DD7">
        <w:rPr>
          <w:rFonts w:ascii="Times New Roman" w:hAnsi="Times New Roman" w:cs="Times New Roman"/>
          <w:sz w:val="28"/>
          <w:szCs w:val="28"/>
        </w:rPr>
        <w:t xml:space="preserve">hat I am called upon to determine is if </w:t>
      </w:r>
      <w:r>
        <w:rPr>
          <w:rFonts w:ascii="Times New Roman" w:hAnsi="Times New Roman" w:cs="Times New Roman"/>
          <w:sz w:val="28"/>
          <w:szCs w:val="28"/>
        </w:rPr>
        <w:t>the defen</w:t>
      </w:r>
      <w:r w:rsidR="00B838C3">
        <w:rPr>
          <w:rFonts w:ascii="Times New Roman" w:hAnsi="Times New Roman" w:cs="Times New Roman"/>
          <w:sz w:val="28"/>
          <w:szCs w:val="28"/>
        </w:rPr>
        <w:t>ces</w:t>
      </w:r>
      <w:r>
        <w:rPr>
          <w:rFonts w:ascii="Times New Roman" w:hAnsi="Times New Roman" w:cs="Times New Roman"/>
          <w:sz w:val="28"/>
          <w:szCs w:val="28"/>
        </w:rPr>
        <w:t xml:space="preserve"> of </w:t>
      </w:r>
      <w:r w:rsidR="00422CDC">
        <w:rPr>
          <w:rFonts w:ascii="Times New Roman" w:hAnsi="Times New Roman" w:cs="Times New Roman"/>
          <w:sz w:val="28"/>
          <w:szCs w:val="28"/>
        </w:rPr>
        <w:t>non-joinder</w:t>
      </w:r>
      <w:r w:rsidR="00957149">
        <w:rPr>
          <w:rFonts w:ascii="Times New Roman" w:hAnsi="Times New Roman" w:cs="Times New Roman"/>
          <w:sz w:val="28"/>
          <w:szCs w:val="28"/>
        </w:rPr>
        <w:t xml:space="preserve"> and </w:t>
      </w:r>
      <w:r w:rsidR="00B838C3">
        <w:rPr>
          <w:rFonts w:ascii="Times New Roman" w:hAnsi="Times New Roman" w:cs="Times New Roman"/>
          <w:sz w:val="28"/>
          <w:szCs w:val="28"/>
        </w:rPr>
        <w:t>misjoinder</w:t>
      </w:r>
      <w:r w:rsidR="00D15A97">
        <w:rPr>
          <w:rFonts w:ascii="Times New Roman" w:hAnsi="Times New Roman" w:cs="Times New Roman"/>
          <w:sz w:val="28"/>
          <w:szCs w:val="28"/>
        </w:rPr>
        <w:t xml:space="preserve"> can be raised </w:t>
      </w:r>
      <w:r w:rsidR="00B838C3">
        <w:rPr>
          <w:rFonts w:ascii="Times New Roman" w:hAnsi="Times New Roman" w:cs="Times New Roman"/>
          <w:sz w:val="28"/>
          <w:szCs w:val="28"/>
        </w:rPr>
        <w:t>by way of</w:t>
      </w:r>
      <w:r w:rsidR="00D15A97">
        <w:rPr>
          <w:rFonts w:ascii="Times New Roman" w:hAnsi="Times New Roman" w:cs="Times New Roman"/>
          <w:sz w:val="28"/>
          <w:szCs w:val="28"/>
        </w:rPr>
        <w:t xml:space="preserve"> an exception</w:t>
      </w:r>
      <w:r w:rsidR="00942DD7">
        <w:rPr>
          <w:rFonts w:ascii="Times New Roman" w:hAnsi="Times New Roman" w:cs="Times New Roman"/>
          <w:sz w:val="28"/>
          <w:szCs w:val="28"/>
        </w:rPr>
        <w:t xml:space="preserve"> and if the defendants have brought their attack within the ambit of rule 29(1)(a)</w:t>
      </w:r>
      <w:r w:rsidR="00D15A97">
        <w:rPr>
          <w:rFonts w:ascii="Times New Roman" w:hAnsi="Times New Roman" w:cs="Times New Roman"/>
          <w:sz w:val="28"/>
          <w:szCs w:val="28"/>
        </w:rPr>
        <w:t>.</w:t>
      </w:r>
    </w:p>
    <w:p w14:paraId="349A61B0" w14:textId="77777777" w:rsidR="004407E8" w:rsidRDefault="004407E8" w:rsidP="00906DD7">
      <w:pPr>
        <w:tabs>
          <w:tab w:val="center" w:pos="4513"/>
        </w:tabs>
        <w:spacing w:line="480" w:lineRule="auto"/>
        <w:jc w:val="both"/>
        <w:rPr>
          <w:rFonts w:ascii="Times New Roman" w:hAnsi="Times New Roman" w:cs="Times New Roman"/>
          <w:b/>
          <w:sz w:val="28"/>
          <w:szCs w:val="28"/>
          <w:u w:val="single"/>
        </w:rPr>
      </w:pPr>
      <w:r w:rsidRPr="00376487">
        <w:rPr>
          <w:rFonts w:ascii="Times New Roman" w:hAnsi="Times New Roman" w:cs="Times New Roman"/>
          <w:b/>
          <w:sz w:val="28"/>
          <w:szCs w:val="28"/>
          <w:u w:val="single"/>
        </w:rPr>
        <w:t xml:space="preserve">APPLICABLE PRINCIPLES </w:t>
      </w:r>
    </w:p>
    <w:p w14:paraId="21A2744E" w14:textId="010EB799" w:rsidR="00D168F4" w:rsidRDefault="0051751A" w:rsidP="00906DD7">
      <w:pPr>
        <w:tabs>
          <w:tab w:val="center" w:pos="4513"/>
        </w:tabs>
        <w:spacing w:line="48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 xml:space="preserve">                     </w:t>
      </w:r>
      <w:r w:rsidR="004E14D0" w:rsidRPr="00321957">
        <w:rPr>
          <w:rFonts w:ascii="Times New Roman" w:hAnsi="Times New Roman" w:cs="Times New Roman"/>
          <w:sz w:val="28"/>
          <w:szCs w:val="28"/>
        </w:rPr>
        <w:t xml:space="preserve">The formal requirements  </w:t>
      </w:r>
      <w:r w:rsidR="00A8654C">
        <w:rPr>
          <w:rFonts w:ascii="Times New Roman" w:hAnsi="Times New Roman" w:cs="Times New Roman"/>
          <w:sz w:val="28"/>
          <w:szCs w:val="28"/>
        </w:rPr>
        <w:t>for an exception to succeed a</w:t>
      </w:r>
      <w:r w:rsidR="00832DCF">
        <w:rPr>
          <w:rFonts w:ascii="Times New Roman" w:hAnsi="Times New Roman" w:cs="Times New Roman"/>
          <w:sz w:val="28"/>
          <w:szCs w:val="28"/>
        </w:rPr>
        <w:t>r</w:t>
      </w:r>
      <w:r w:rsidR="00A8654C">
        <w:rPr>
          <w:rFonts w:ascii="Times New Roman" w:hAnsi="Times New Roman" w:cs="Times New Roman"/>
          <w:sz w:val="28"/>
          <w:szCs w:val="28"/>
        </w:rPr>
        <w:t xml:space="preserve">e either to </w:t>
      </w:r>
      <w:r w:rsidR="0057279C">
        <w:rPr>
          <w:rFonts w:ascii="Times New Roman" w:hAnsi="Times New Roman" w:cs="Times New Roman"/>
          <w:sz w:val="28"/>
          <w:szCs w:val="28"/>
        </w:rPr>
        <w:t xml:space="preserve">demonstrate </w:t>
      </w:r>
      <w:r w:rsidR="00A8654C">
        <w:rPr>
          <w:rFonts w:ascii="Times New Roman" w:hAnsi="Times New Roman" w:cs="Times New Roman"/>
          <w:sz w:val="28"/>
          <w:szCs w:val="28"/>
        </w:rPr>
        <w:t>that a pleading is vague and embarrassing or a pleading lacks the averments necessary to sustain a cause of action or a defence.</w:t>
      </w:r>
      <w:r w:rsidR="00A8654C">
        <w:rPr>
          <w:rStyle w:val="FootnoteReference"/>
          <w:rFonts w:ascii="Times New Roman" w:hAnsi="Times New Roman" w:cs="Times New Roman"/>
          <w:sz w:val="28"/>
          <w:szCs w:val="28"/>
        </w:rPr>
        <w:footnoteReference w:id="1"/>
      </w:r>
      <w:r w:rsidR="00A8654C">
        <w:rPr>
          <w:rFonts w:ascii="Times New Roman" w:hAnsi="Times New Roman" w:cs="Times New Roman"/>
          <w:sz w:val="28"/>
          <w:szCs w:val="28"/>
        </w:rPr>
        <w:t xml:space="preserve"> </w:t>
      </w:r>
      <w:r>
        <w:rPr>
          <w:rFonts w:ascii="Times New Roman" w:hAnsi="Times New Roman" w:cs="Times New Roman"/>
          <w:sz w:val="28"/>
          <w:szCs w:val="28"/>
        </w:rPr>
        <w:t>Rule 29 deals with exceptions and application to strike out. It stipulates that where a pleading is vague and embarrassing or lacks averments to disclose either a cause of action or defence</w:t>
      </w:r>
      <w:r w:rsidR="00B838C3">
        <w:rPr>
          <w:rFonts w:ascii="Times New Roman" w:hAnsi="Times New Roman" w:cs="Times New Roman"/>
          <w:sz w:val="28"/>
          <w:szCs w:val="28"/>
        </w:rPr>
        <w:t>,</w:t>
      </w:r>
      <w:r>
        <w:rPr>
          <w:rFonts w:ascii="Times New Roman" w:hAnsi="Times New Roman" w:cs="Times New Roman"/>
          <w:sz w:val="28"/>
          <w:szCs w:val="28"/>
        </w:rPr>
        <w:t xml:space="preserve"> as the case may be</w:t>
      </w:r>
      <w:r w:rsidR="00B838C3">
        <w:rPr>
          <w:rFonts w:ascii="Times New Roman" w:hAnsi="Times New Roman" w:cs="Times New Roman"/>
          <w:sz w:val="28"/>
          <w:szCs w:val="28"/>
        </w:rPr>
        <w:t>,</w:t>
      </w:r>
      <w:r>
        <w:rPr>
          <w:rFonts w:ascii="Times New Roman" w:hAnsi="Times New Roman" w:cs="Times New Roman"/>
          <w:sz w:val="28"/>
          <w:szCs w:val="28"/>
        </w:rPr>
        <w:t xml:space="preserve"> an</w:t>
      </w:r>
      <w:r w:rsidR="006379C8">
        <w:rPr>
          <w:rFonts w:ascii="Times New Roman" w:hAnsi="Times New Roman" w:cs="Times New Roman"/>
          <w:sz w:val="28"/>
          <w:szCs w:val="28"/>
        </w:rPr>
        <w:t xml:space="preserve"> opposing party may deliver an exception</w:t>
      </w:r>
      <w:r>
        <w:rPr>
          <w:rFonts w:ascii="Times New Roman" w:hAnsi="Times New Roman" w:cs="Times New Roman"/>
          <w:sz w:val="28"/>
          <w:szCs w:val="28"/>
        </w:rPr>
        <w:t xml:space="preserve"> thereto.</w:t>
      </w:r>
      <w:r w:rsidR="00414800">
        <w:rPr>
          <w:rFonts w:ascii="Times New Roman" w:hAnsi="Times New Roman" w:cs="Times New Roman"/>
          <w:sz w:val="28"/>
          <w:szCs w:val="28"/>
        </w:rPr>
        <w:t xml:space="preserve"> </w:t>
      </w:r>
    </w:p>
    <w:p w14:paraId="0DCBE088" w14:textId="5BD17E23" w:rsidR="00E947F6" w:rsidRDefault="00D168F4" w:rsidP="00906DD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sidR="00D63062" w:rsidRPr="00FD66FA">
        <w:rPr>
          <w:rFonts w:ascii="Times New Roman" w:hAnsi="Times New Roman" w:cs="Times New Roman"/>
          <w:i/>
          <w:iCs/>
          <w:sz w:val="28"/>
          <w:szCs w:val="28"/>
        </w:rPr>
        <w:t>Oppernman</w:t>
      </w:r>
      <w:proofErr w:type="spellEnd"/>
      <w:r w:rsidR="00D63062">
        <w:rPr>
          <w:rFonts w:ascii="Times New Roman" w:hAnsi="Times New Roman" w:cs="Times New Roman"/>
          <w:sz w:val="28"/>
          <w:szCs w:val="28"/>
        </w:rPr>
        <w:t xml:space="preserve"> J aptly put it</w:t>
      </w:r>
      <w:r w:rsidR="00E947F6">
        <w:rPr>
          <w:rFonts w:ascii="Times New Roman" w:hAnsi="Times New Roman" w:cs="Times New Roman"/>
          <w:sz w:val="28"/>
          <w:szCs w:val="28"/>
        </w:rPr>
        <w:t xml:space="preserve"> as follows</w:t>
      </w:r>
      <w:r w:rsidR="00D63062">
        <w:rPr>
          <w:rFonts w:ascii="Times New Roman" w:hAnsi="Times New Roman" w:cs="Times New Roman"/>
          <w:sz w:val="28"/>
          <w:szCs w:val="28"/>
        </w:rPr>
        <w:t xml:space="preserve"> in </w:t>
      </w:r>
      <w:proofErr w:type="spellStart"/>
      <w:r w:rsidR="00D63062" w:rsidRPr="00FD66FA">
        <w:rPr>
          <w:rFonts w:ascii="Times New Roman" w:hAnsi="Times New Roman" w:cs="Times New Roman"/>
          <w:b/>
          <w:bCs/>
          <w:sz w:val="28"/>
          <w:szCs w:val="28"/>
        </w:rPr>
        <w:t>Knoesen</w:t>
      </w:r>
      <w:proofErr w:type="spellEnd"/>
      <w:r w:rsidR="00D63062" w:rsidRPr="00FD66FA">
        <w:rPr>
          <w:rFonts w:ascii="Times New Roman" w:hAnsi="Times New Roman" w:cs="Times New Roman"/>
          <w:b/>
          <w:bCs/>
          <w:sz w:val="28"/>
          <w:szCs w:val="28"/>
        </w:rPr>
        <w:t xml:space="preserve"> v </w:t>
      </w:r>
      <w:proofErr w:type="spellStart"/>
      <w:r w:rsidR="00D63062" w:rsidRPr="00FD66FA">
        <w:rPr>
          <w:rFonts w:ascii="Times New Roman" w:hAnsi="Times New Roman" w:cs="Times New Roman"/>
          <w:b/>
          <w:bCs/>
          <w:sz w:val="28"/>
          <w:szCs w:val="28"/>
        </w:rPr>
        <w:t>Huijink</w:t>
      </w:r>
      <w:proofErr w:type="spellEnd"/>
      <w:r w:rsidR="00D63062" w:rsidRPr="00FD66FA">
        <w:rPr>
          <w:rFonts w:ascii="Times New Roman" w:hAnsi="Times New Roman" w:cs="Times New Roman"/>
          <w:b/>
          <w:bCs/>
          <w:sz w:val="28"/>
          <w:szCs w:val="28"/>
        </w:rPr>
        <w:t xml:space="preserve"> – Maritz</w:t>
      </w:r>
      <w:r w:rsidR="00E947F6">
        <w:rPr>
          <w:rStyle w:val="FootnoteReference"/>
          <w:rFonts w:ascii="Times New Roman" w:hAnsi="Times New Roman" w:cs="Times New Roman"/>
          <w:sz w:val="28"/>
          <w:szCs w:val="28"/>
        </w:rPr>
        <w:footnoteReference w:id="2"/>
      </w:r>
      <w:r w:rsidR="00D63062">
        <w:rPr>
          <w:rFonts w:ascii="Times New Roman" w:hAnsi="Times New Roman" w:cs="Times New Roman"/>
          <w:sz w:val="28"/>
          <w:szCs w:val="28"/>
        </w:rPr>
        <w:t xml:space="preserve"> </w:t>
      </w:r>
      <w:r w:rsidR="00E947F6">
        <w:rPr>
          <w:rFonts w:ascii="Times New Roman" w:hAnsi="Times New Roman" w:cs="Times New Roman"/>
          <w:sz w:val="28"/>
          <w:szCs w:val="28"/>
        </w:rPr>
        <w:t>in explaining what an exception is:</w:t>
      </w:r>
    </w:p>
    <w:p w14:paraId="4BDA012D" w14:textId="64B3D57E" w:rsidR="0092787B" w:rsidRDefault="00E947F6" w:rsidP="00944D5D">
      <w:pPr>
        <w:spacing w:line="240" w:lineRule="auto"/>
        <w:ind w:left="1440" w:right="907"/>
        <w:jc w:val="both"/>
        <w:rPr>
          <w:rFonts w:ascii="Times New Roman" w:hAnsi="Times New Roman" w:cs="Times New Roman"/>
          <w:sz w:val="28"/>
          <w:szCs w:val="28"/>
        </w:rPr>
      </w:pPr>
      <w:r>
        <w:rPr>
          <w:rFonts w:ascii="Times New Roman" w:hAnsi="Times New Roman" w:cs="Times New Roman"/>
          <w:sz w:val="28"/>
          <w:szCs w:val="28"/>
        </w:rPr>
        <w:t>“</w:t>
      </w:r>
      <w:r w:rsidR="00414800" w:rsidRPr="00FD66FA">
        <w:rPr>
          <w:rFonts w:ascii="Times New Roman" w:hAnsi="Times New Roman" w:cs="Times New Roman"/>
          <w:sz w:val="24"/>
          <w:szCs w:val="24"/>
        </w:rPr>
        <w:t xml:space="preserve">An exception is a legal objection to the opposition’s pleading. It complains of a defect inherent in the pleading; admitting for a moment that all allegations in the summons or plea are true; it asserts that even with such admission the pleading does not disclose either a cause of action or a </w:t>
      </w:r>
      <w:r w:rsidR="00D168F4" w:rsidRPr="00FD66FA">
        <w:rPr>
          <w:rFonts w:ascii="Times New Roman" w:hAnsi="Times New Roman" w:cs="Times New Roman"/>
          <w:sz w:val="24"/>
          <w:szCs w:val="24"/>
        </w:rPr>
        <w:t>defence as</w:t>
      </w:r>
      <w:r w:rsidR="00414800" w:rsidRPr="00FD66FA">
        <w:rPr>
          <w:rFonts w:ascii="Times New Roman" w:hAnsi="Times New Roman" w:cs="Times New Roman"/>
          <w:sz w:val="24"/>
          <w:szCs w:val="24"/>
        </w:rPr>
        <w:t xml:space="preserve"> the case may be</w:t>
      </w:r>
      <w:r w:rsidR="00414800">
        <w:rPr>
          <w:rFonts w:ascii="Times New Roman" w:hAnsi="Times New Roman" w:cs="Times New Roman"/>
          <w:sz w:val="28"/>
          <w:szCs w:val="28"/>
        </w:rPr>
        <w:t>.</w:t>
      </w:r>
      <w:r>
        <w:rPr>
          <w:rFonts w:ascii="Times New Roman" w:hAnsi="Times New Roman" w:cs="Times New Roman"/>
          <w:sz w:val="28"/>
          <w:szCs w:val="28"/>
        </w:rPr>
        <w:t>”</w:t>
      </w:r>
      <w:r w:rsidR="00D168F4">
        <w:rPr>
          <w:rFonts w:ascii="Times New Roman" w:hAnsi="Times New Roman" w:cs="Times New Roman"/>
          <w:sz w:val="28"/>
          <w:szCs w:val="28"/>
        </w:rPr>
        <w:t xml:space="preserve"> </w:t>
      </w:r>
    </w:p>
    <w:p w14:paraId="621237BC" w14:textId="77777777" w:rsidR="00944D5D" w:rsidRDefault="00944D5D" w:rsidP="00944D5D">
      <w:pPr>
        <w:spacing w:line="240" w:lineRule="auto"/>
        <w:ind w:left="1440" w:right="907"/>
        <w:jc w:val="both"/>
        <w:rPr>
          <w:rFonts w:ascii="Times New Roman" w:hAnsi="Times New Roman" w:cs="Times New Roman"/>
          <w:sz w:val="28"/>
          <w:szCs w:val="28"/>
        </w:rPr>
      </w:pPr>
    </w:p>
    <w:p w14:paraId="36977943" w14:textId="0AE32FD4" w:rsidR="00B10E81" w:rsidRPr="009C1DB4" w:rsidRDefault="0092787B" w:rsidP="00906DD7">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[9]</w:t>
      </w:r>
      <w:r>
        <w:rPr>
          <w:rFonts w:ascii="Times New Roman" w:hAnsi="Times New Roman" w:cs="Times New Roman"/>
          <w:sz w:val="28"/>
          <w:szCs w:val="28"/>
        </w:rPr>
        <w:tab/>
      </w:r>
      <w:r w:rsidR="009C1DB4">
        <w:rPr>
          <w:rFonts w:ascii="Times New Roman" w:hAnsi="Times New Roman" w:cs="Times New Roman"/>
          <w:sz w:val="28"/>
          <w:szCs w:val="28"/>
        </w:rPr>
        <w:tab/>
        <w:t>E</w:t>
      </w:r>
      <w:r w:rsidR="00D168F4" w:rsidRPr="00376487">
        <w:rPr>
          <w:rFonts w:ascii="Times New Roman" w:hAnsi="Times New Roman" w:cs="Times New Roman"/>
          <w:sz w:val="28"/>
          <w:szCs w:val="28"/>
        </w:rPr>
        <w:t xml:space="preserve">xception may only be taken when the defect appears </w:t>
      </w:r>
      <w:r w:rsidR="00D168F4" w:rsidRPr="00FD66FA">
        <w:rPr>
          <w:rFonts w:ascii="Times New Roman" w:hAnsi="Times New Roman" w:cs="Times New Roman"/>
          <w:i/>
          <w:iCs/>
          <w:sz w:val="28"/>
          <w:szCs w:val="28"/>
        </w:rPr>
        <w:t>ex facie</w:t>
      </w:r>
      <w:r w:rsidR="00D168F4" w:rsidRPr="00376487">
        <w:rPr>
          <w:rFonts w:ascii="Times New Roman" w:hAnsi="Times New Roman" w:cs="Times New Roman"/>
          <w:sz w:val="28"/>
          <w:szCs w:val="28"/>
        </w:rPr>
        <w:t xml:space="preserve"> the pleading, since no facts may be adduced to show that the pleading is excipiable</w:t>
      </w:r>
      <w:r w:rsidR="009C1DB4">
        <w:rPr>
          <w:rStyle w:val="FootnoteReference"/>
          <w:rFonts w:ascii="Times New Roman" w:hAnsi="Times New Roman" w:cs="Times New Roman"/>
          <w:sz w:val="28"/>
          <w:szCs w:val="28"/>
        </w:rPr>
        <w:footnoteReference w:id="3"/>
      </w:r>
      <w:r w:rsidR="00B838C3">
        <w:rPr>
          <w:rFonts w:ascii="Times New Roman" w:hAnsi="Times New Roman" w:cs="Times New Roman"/>
          <w:sz w:val="28"/>
          <w:szCs w:val="28"/>
        </w:rPr>
        <w:t>.</w:t>
      </w:r>
      <w:r w:rsidR="00B10E81">
        <w:rPr>
          <w:rFonts w:ascii="Times New Roman" w:hAnsi="Times New Roman" w:cs="Times New Roman"/>
          <w:sz w:val="28"/>
          <w:szCs w:val="28"/>
        </w:rPr>
        <w:t xml:space="preserve"> </w:t>
      </w:r>
      <w:r w:rsidR="009C1DB4">
        <w:rPr>
          <w:rFonts w:ascii="Times New Roman" w:hAnsi="Times New Roman" w:cs="Times New Roman"/>
          <w:sz w:val="28"/>
          <w:szCs w:val="28"/>
        </w:rPr>
        <w:t xml:space="preserve">Thus, in </w:t>
      </w:r>
      <w:r w:rsidR="00B10E81" w:rsidRPr="009C1DB4">
        <w:rPr>
          <w:rFonts w:ascii="Times New Roman" w:hAnsi="Times New Roman" w:cs="Times New Roman"/>
          <w:b/>
          <w:bCs/>
          <w:sz w:val="28"/>
          <w:szCs w:val="28"/>
        </w:rPr>
        <w:t xml:space="preserve">VVM </w:t>
      </w:r>
      <w:proofErr w:type="spellStart"/>
      <w:r w:rsidR="00B10E81" w:rsidRPr="009C1DB4">
        <w:rPr>
          <w:rFonts w:ascii="Times New Roman" w:hAnsi="Times New Roman" w:cs="Times New Roman"/>
          <w:b/>
          <w:bCs/>
          <w:sz w:val="28"/>
          <w:szCs w:val="28"/>
        </w:rPr>
        <w:t>Kotelo</w:t>
      </w:r>
      <w:proofErr w:type="spellEnd"/>
      <w:r w:rsidR="00B10E81" w:rsidRPr="009C1DB4">
        <w:rPr>
          <w:rFonts w:ascii="Times New Roman" w:hAnsi="Times New Roman" w:cs="Times New Roman"/>
          <w:b/>
          <w:bCs/>
          <w:sz w:val="28"/>
          <w:szCs w:val="28"/>
        </w:rPr>
        <w:t xml:space="preserve"> &amp; Co v </w:t>
      </w:r>
      <w:proofErr w:type="spellStart"/>
      <w:r w:rsidR="00B10E81" w:rsidRPr="009C1DB4">
        <w:rPr>
          <w:rFonts w:ascii="Times New Roman" w:hAnsi="Times New Roman" w:cs="Times New Roman"/>
          <w:b/>
          <w:bCs/>
          <w:sz w:val="28"/>
          <w:szCs w:val="28"/>
        </w:rPr>
        <w:t>Monyane</w:t>
      </w:r>
      <w:proofErr w:type="spellEnd"/>
      <w:r w:rsidR="00B10E81" w:rsidRPr="009C1DB4">
        <w:rPr>
          <w:rFonts w:ascii="Times New Roman" w:hAnsi="Times New Roman" w:cs="Times New Roman"/>
          <w:b/>
          <w:bCs/>
          <w:sz w:val="28"/>
          <w:szCs w:val="28"/>
        </w:rPr>
        <w:t xml:space="preserve"> and Another</w:t>
      </w:r>
      <w:r w:rsidR="00B10E81">
        <w:rPr>
          <w:rStyle w:val="FootnoteReference"/>
          <w:rFonts w:ascii="Times New Roman" w:hAnsi="Times New Roman" w:cs="Times New Roman"/>
          <w:sz w:val="28"/>
          <w:szCs w:val="28"/>
        </w:rPr>
        <w:footnoteReference w:id="4"/>
      </w:r>
      <w:r w:rsidR="009C1DB4">
        <w:rPr>
          <w:rFonts w:ascii="Times New Roman" w:hAnsi="Times New Roman" w:cs="Times New Roman"/>
          <w:b/>
          <w:bCs/>
          <w:sz w:val="28"/>
          <w:szCs w:val="28"/>
        </w:rPr>
        <w:t xml:space="preserve"> </w:t>
      </w:r>
      <w:r w:rsidR="009C1DB4" w:rsidRPr="009C1DB4">
        <w:rPr>
          <w:rFonts w:ascii="Times New Roman" w:hAnsi="Times New Roman" w:cs="Times New Roman"/>
          <w:sz w:val="28"/>
          <w:szCs w:val="28"/>
        </w:rPr>
        <w:t>the court stated as follows</w:t>
      </w:r>
      <w:r w:rsidR="00B10E81" w:rsidRPr="009C1DB4">
        <w:rPr>
          <w:rFonts w:ascii="Times New Roman" w:hAnsi="Times New Roman" w:cs="Times New Roman"/>
          <w:sz w:val="28"/>
          <w:szCs w:val="28"/>
        </w:rPr>
        <w:t>:</w:t>
      </w:r>
    </w:p>
    <w:p w14:paraId="7A7A13BA" w14:textId="0EE1A991" w:rsidR="00E463C3" w:rsidRDefault="00B10E81" w:rsidP="00944D5D">
      <w:pPr>
        <w:spacing w:line="240" w:lineRule="auto"/>
        <w:ind w:left="1701" w:right="680"/>
        <w:jc w:val="both"/>
        <w:rPr>
          <w:rFonts w:ascii="Times New Roman" w:hAnsi="Times New Roman" w:cs="Times New Roman"/>
          <w:sz w:val="24"/>
          <w:szCs w:val="24"/>
        </w:rPr>
      </w:pPr>
      <w:r w:rsidRPr="00936056">
        <w:rPr>
          <w:rFonts w:ascii="Times New Roman" w:hAnsi="Times New Roman" w:cs="Times New Roman"/>
          <w:sz w:val="24"/>
          <w:szCs w:val="24"/>
        </w:rPr>
        <w:t xml:space="preserve">“It is a well-established principle that in ruling on an exception a court may have regard only to the facts appearing in the pleading that is attacked and not outside allegations, whether contained in other documents or in counsel’s submissions.”  </w:t>
      </w:r>
    </w:p>
    <w:p w14:paraId="0232DC26" w14:textId="77777777" w:rsidR="00944D5D" w:rsidRPr="00944D5D" w:rsidRDefault="00944D5D" w:rsidP="00944D5D">
      <w:pPr>
        <w:spacing w:line="240" w:lineRule="auto"/>
        <w:ind w:left="1701" w:right="680"/>
        <w:jc w:val="both"/>
        <w:rPr>
          <w:rFonts w:ascii="Times New Roman" w:hAnsi="Times New Roman" w:cs="Times New Roman"/>
          <w:sz w:val="24"/>
          <w:szCs w:val="24"/>
        </w:rPr>
      </w:pPr>
    </w:p>
    <w:p w14:paraId="7D65950F" w14:textId="0EE0F6C2" w:rsidR="00832DCF" w:rsidRDefault="00832DCF" w:rsidP="00906DD7">
      <w:pPr>
        <w:spacing w:line="480" w:lineRule="auto"/>
        <w:jc w:val="both"/>
        <w:rPr>
          <w:rFonts w:ascii="Times New Roman" w:hAnsi="Times New Roman" w:cs="Times New Roman"/>
          <w:sz w:val="28"/>
          <w:szCs w:val="28"/>
        </w:rPr>
      </w:pPr>
      <w:r>
        <w:rPr>
          <w:rFonts w:ascii="Times New Roman" w:hAnsi="Times New Roman" w:cs="Times New Roman"/>
          <w:sz w:val="28"/>
          <w:szCs w:val="28"/>
        </w:rPr>
        <w:t>[</w:t>
      </w:r>
      <w:r w:rsidR="00CE43D3">
        <w:rPr>
          <w:rFonts w:ascii="Times New Roman" w:hAnsi="Times New Roman" w:cs="Times New Roman"/>
          <w:sz w:val="28"/>
          <w:szCs w:val="28"/>
        </w:rPr>
        <w:t>10</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9C1DB4">
        <w:rPr>
          <w:rFonts w:ascii="Times New Roman" w:hAnsi="Times New Roman" w:cs="Times New Roman"/>
          <w:sz w:val="28"/>
          <w:szCs w:val="28"/>
        </w:rPr>
        <w:t>In short, a</w:t>
      </w:r>
      <w:r w:rsidRPr="00376487">
        <w:rPr>
          <w:rFonts w:ascii="Times New Roman" w:hAnsi="Times New Roman" w:cs="Times New Roman"/>
          <w:sz w:val="28"/>
          <w:szCs w:val="28"/>
        </w:rPr>
        <w:t xml:space="preserve">n exception that a cause of action is not disclosed by a pleading cannot succeed unless it be shown that </w:t>
      </w:r>
      <w:r w:rsidRPr="00FD66FA">
        <w:rPr>
          <w:rFonts w:ascii="Times New Roman" w:hAnsi="Times New Roman" w:cs="Times New Roman"/>
          <w:i/>
          <w:iCs/>
          <w:sz w:val="28"/>
          <w:szCs w:val="28"/>
        </w:rPr>
        <w:t>ex facie</w:t>
      </w:r>
      <w:r w:rsidRPr="00376487">
        <w:rPr>
          <w:rFonts w:ascii="Times New Roman" w:hAnsi="Times New Roman" w:cs="Times New Roman"/>
          <w:sz w:val="28"/>
          <w:szCs w:val="28"/>
        </w:rPr>
        <w:t xml:space="preserve"> the allegations made by a plaintiff and any document upon which </w:t>
      </w:r>
      <w:r w:rsidR="00BE7D8A">
        <w:rPr>
          <w:rFonts w:ascii="Times New Roman" w:hAnsi="Times New Roman" w:cs="Times New Roman"/>
          <w:sz w:val="28"/>
          <w:szCs w:val="28"/>
        </w:rPr>
        <w:t xml:space="preserve">plaintiff’s cause of </w:t>
      </w:r>
      <w:r w:rsidR="00064D9C">
        <w:rPr>
          <w:rFonts w:ascii="Times New Roman" w:hAnsi="Times New Roman" w:cs="Times New Roman"/>
          <w:sz w:val="28"/>
          <w:szCs w:val="28"/>
        </w:rPr>
        <w:t xml:space="preserve">action </w:t>
      </w:r>
      <w:r w:rsidR="00064D9C" w:rsidRPr="00376487">
        <w:rPr>
          <w:rFonts w:ascii="Times New Roman" w:hAnsi="Times New Roman" w:cs="Times New Roman"/>
          <w:sz w:val="28"/>
          <w:szCs w:val="28"/>
        </w:rPr>
        <w:t>may</w:t>
      </w:r>
      <w:r w:rsidR="008006E5">
        <w:rPr>
          <w:rFonts w:ascii="Times New Roman" w:hAnsi="Times New Roman" w:cs="Times New Roman"/>
          <w:sz w:val="28"/>
          <w:szCs w:val="28"/>
        </w:rPr>
        <w:t xml:space="preserve"> be based, </w:t>
      </w:r>
      <w:r w:rsidR="008006E5" w:rsidRPr="00376487">
        <w:rPr>
          <w:rFonts w:ascii="Times New Roman" w:hAnsi="Times New Roman" w:cs="Times New Roman"/>
          <w:sz w:val="28"/>
          <w:szCs w:val="28"/>
        </w:rPr>
        <w:t>is</w:t>
      </w:r>
      <w:r w:rsidR="00064D9C" w:rsidRPr="00376487">
        <w:rPr>
          <w:rFonts w:ascii="Times New Roman" w:hAnsi="Times New Roman" w:cs="Times New Roman"/>
          <w:sz w:val="28"/>
          <w:szCs w:val="28"/>
        </w:rPr>
        <w:t xml:space="preserve"> bad</w:t>
      </w:r>
      <w:r w:rsidRPr="00376487">
        <w:rPr>
          <w:rFonts w:ascii="Times New Roman" w:hAnsi="Times New Roman" w:cs="Times New Roman"/>
          <w:sz w:val="28"/>
          <w:szCs w:val="28"/>
        </w:rPr>
        <w:t xml:space="preserve"> in law.</w:t>
      </w:r>
      <w:r>
        <w:rPr>
          <w:rFonts w:ascii="Times New Roman" w:hAnsi="Times New Roman" w:cs="Times New Roman"/>
          <w:sz w:val="28"/>
          <w:szCs w:val="28"/>
        </w:rPr>
        <w:t xml:space="preserve"> </w:t>
      </w:r>
      <w:r w:rsidR="006A5F4C" w:rsidRPr="00FD66FA">
        <w:rPr>
          <w:rFonts w:ascii="Times New Roman" w:hAnsi="Times New Roman" w:cs="Times New Roman"/>
          <w:i/>
          <w:iCs/>
          <w:sz w:val="28"/>
          <w:szCs w:val="28"/>
        </w:rPr>
        <w:t>See</w:t>
      </w:r>
      <w:r w:rsidR="00BE7D8A">
        <w:rPr>
          <w:rFonts w:ascii="Times New Roman" w:hAnsi="Times New Roman" w:cs="Times New Roman"/>
          <w:sz w:val="28"/>
          <w:szCs w:val="28"/>
        </w:rPr>
        <w:t>:</w:t>
      </w:r>
      <w:r w:rsidR="006A5F4C">
        <w:rPr>
          <w:rFonts w:ascii="Times New Roman" w:hAnsi="Times New Roman" w:cs="Times New Roman"/>
          <w:b/>
          <w:sz w:val="28"/>
          <w:szCs w:val="28"/>
        </w:rPr>
        <w:t xml:space="preserve"> </w:t>
      </w:r>
      <w:r w:rsidRPr="00CF254C">
        <w:rPr>
          <w:rFonts w:ascii="Times New Roman" w:hAnsi="Times New Roman" w:cs="Times New Roman"/>
          <w:b/>
          <w:sz w:val="28"/>
          <w:szCs w:val="28"/>
        </w:rPr>
        <w:t>Vermeulen v Goose Valley Investments (Pty) Ltd</w:t>
      </w:r>
      <w:r w:rsidR="00BE7D8A">
        <w:rPr>
          <w:rStyle w:val="FootnoteReference"/>
          <w:rFonts w:ascii="Times New Roman" w:hAnsi="Times New Roman" w:cs="Times New Roman"/>
          <w:b/>
          <w:sz w:val="28"/>
          <w:szCs w:val="28"/>
        </w:rPr>
        <w:footnoteReference w:id="5"/>
      </w:r>
      <w:r w:rsidR="009C1DB4">
        <w:rPr>
          <w:rFonts w:ascii="Times New Roman" w:hAnsi="Times New Roman" w:cs="Times New Roman"/>
          <w:b/>
          <w:sz w:val="28"/>
          <w:szCs w:val="28"/>
        </w:rPr>
        <w:t>.</w:t>
      </w:r>
      <w:r w:rsidR="00886027">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BE7D8A">
        <w:rPr>
          <w:rFonts w:ascii="Times New Roman" w:hAnsi="Times New Roman" w:cs="Times New Roman"/>
          <w:sz w:val="28"/>
          <w:szCs w:val="28"/>
        </w:rPr>
        <w:t>T</w:t>
      </w:r>
      <w:r>
        <w:rPr>
          <w:rFonts w:ascii="Times New Roman" w:hAnsi="Times New Roman" w:cs="Times New Roman"/>
          <w:sz w:val="28"/>
          <w:szCs w:val="28"/>
        </w:rPr>
        <w:t xml:space="preserve">he excipient </w:t>
      </w:r>
      <w:r w:rsidR="00BE7D8A">
        <w:rPr>
          <w:rFonts w:ascii="Times New Roman" w:hAnsi="Times New Roman" w:cs="Times New Roman"/>
          <w:sz w:val="28"/>
          <w:szCs w:val="28"/>
        </w:rPr>
        <w:t xml:space="preserve">bears </w:t>
      </w:r>
      <w:r>
        <w:rPr>
          <w:rFonts w:ascii="Times New Roman" w:hAnsi="Times New Roman" w:cs="Times New Roman"/>
          <w:sz w:val="28"/>
          <w:szCs w:val="28"/>
        </w:rPr>
        <w:t xml:space="preserve">the onus to convince the court that upon every interpretation which the pleading can reasonably bear, no defence or cause of action is disclosed. </w:t>
      </w:r>
      <w:r w:rsidRPr="009C1DB4">
        <w:rPr>
          <w:rFonts w:ascii="Times New Roman" w:hAnsi="Times New Roman" w:cs="Times New Roman"/>
          <w:i/>
          <w:iCs/>
          <w:sz w:val="28"/>
          <w:szCs w:val="28"/>
        </w:rPr>
        <w:t>See</w:t>
      </w:r>
      <w:r w:rsidR="00BE7D8A">
        <w:rPr>
          <w:rFonts w:ascii="Times New Roman" w:hAnsi="Times New Roman" w:cs="Times New Roman"/>
          <w:sz w:val="28"/>
          <w:szCs w:val="28"/>
        </w:rPr>
        <w:t>:</w:t>
      </w:r>
      <w:r>
        <w:rPr>
          <w:rFonts w:ascii="Times New Roman" w:hAnsi="Times New Roman" w:cs="Times New Roman"/>
          <w:sz w:val="28"/>
          <w:szCs w:val="28"/>
        </w:rPr>
        <w:t xml:space="preserve"> </w:t>
      </w:r>
      <w:r w:rsidRPr="005A0E74">
        <w:rPr>
          <w:rFonts w:ascii="Times New Roman" w:hAnsi="Times New Roman" w:cs="Times New Roman"/>
          <w:b/>
          <w:sz w:val="28"/>
          <w:szCs w:val="28"/>
        </w:rPr>
        <w:t>Deon Stuart Frank v Premier Hangers CC</w:t>
      </w:r>
      <w:r w:rsidR="00BE7D8A">
        <w:rPr>
          <w:rStyle w:val="FootnoteReference"/>
          <w:rFonts w:ascii="Times New Roman" w:hAnsi="Times New Roman" w:cs="Times New Roman"/>
          <w:b/>
          <w:sz w:val="28"/>
          <w:szCs w:val="28"/>
        </w:rPr>
        <w:footnoteReference w:id="6"/>
      </w:r>
      <w:r w:rsidR="009C1DB4">
        <w:rPr>
          <w:rFonts w:ascii="Times New Roman" w:hAnsi="Times New Roman" w:cs="Times New Roman"/>
          <w:sz w:val="28"/>
          <w:szCs w:val="28"/>
        </w:rPr>
        <w:t>.</w:t>
      </w:r>
    </w:p>
    <w:p w14:paraId="4F2EF69F" w14:textId="0EC3B5DF" w:rsidR="00A91291" w:rsidRPr="00944D5D" w:rsidRDefault="00832DCF" w:rsidP="00944D5D">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rPr>
      </w:pPr>
      <w:r>
        <w:rPr>
          <w:rFonts w:ascii="Times New Roman" w:hAnsi="Times New Roman" w:cs="Times New Roman"/>
          <w:sz w:val="28"/>
          <w:szCs w:val="28"/>
        </w:rPr>
        <w:t>[1</w:t>
      </w:r>
      <w:r w:rsidR="00F51185">
        <w:rPr>
          <w:rFonts w:ascii="Times New Roman" w:hAnsi="Times New Roman" w:cs="Times New Roman"/>
          <w:sz w:val="28"/>
          <w:szCs w:val="28"/>
        </w:rPr>
        <w:t>1</w:t>
      </w:r>
      <w:r w:rsidR="00D168F4">
        <w:rPr>
          <w:rFonts w:ascii="Times New Roman" w:hAnsi="Times New Roman" w:cs="Times New Roman"/>
          <w:sz w:val="28"/>
          <w:szCs w:val="28"/>
        </w:rPr>
        <w:t>]</w:t>
      </w:r>
      <w:r w:rsidR="00D168F4">
        <w:rPr>
          <w:rFonts w:ascii="Times New Roman" w:hAnsi="Times New Roman" w:cs="Times New Roman"/>
          <w:sz w:val="28"/>
          <w:szCs w:val="28"/>
        </w:rPr>
        <w:tab/>
      </w:r>
      <w:r w:rsidR="00D168F4">
        <w:rPr>
          <w:rFonts w:ascii="Times New Roman" w:hAnsi="Times New Roman" w:cs="Times New Roman"/>
          <w:sz w:val="28"/>
          <w:szCs w:val="28"/>
        </w:rPr>
        <w:tab/>
      </w:r>
      <w:r w:rsidR="007B0729">
        <w:rPr>
          <w:rFonts w:ascii="Times New Roman" w:hAnsi="Times New Roman" w:cs="Times New Roman"/>
          <w:sz w:val="28"/>
          <w:szCs w:val="28"/>
        </w:rPr>
        <w:t xml:space="preserve">It is thus evident </w:t>
      </w:r>
      <w:r w:rsidR="00D168F4" w:rsidRPr="00376487">
        <w:rPr>
          <w:rFonts w:ascii="Times New Roman" w:hAnsi="Times New Roman" w:cs="Times New Roman"/>
          <w:sz w:val="28"/>
          <w:szCs w:val="28"/>
        </w:rPr>
        <w:t xml:space="preserve">that misjoinder or non-joinder may be raised by way of exception where the alleged defect appears </w:t>
      </w:r>
      <w:r w:rsidR="00D168F4" w:rsidRPr="00FD66FA">
        <w:rPr>
          <w:rFonts w:ascii="Times New Roman" w:hAnsi="Times New Roman" w:cs="Times New Roman"/>
          <w:i/>
          <w:iCs/>
          <w:sz w:val="28"/>
          <w:szCs w:val="28"/>
        </w:rPr>
        <w:t>ex facie</w:t>
      </w:r>
      <w:r w:rsidR="00D168F4" w:rsidRPr="00376487">
        <w:rPr>
          <w:rFonts w:ascii="Times New Roman" w:hAnsi="Times New Roman" w:cs="Times New Roman"/>
          <w:sz w:val="28"/>
          <w:szCs w:val="28"/>
        </w:rPr>
        <w:t xml:space="preserve"> the pleadings and no additional evidence is require</w:t>
      </w:r>
      <w:r w:rsidR="00D168F4">
        <w:rPr>
          <w:rFonts w:ascii="Times New Roman" w:hAnsi="Times New Roman" w:cs="Times New Roman"/>
          <w:sz w:val="28"/>
          <w:szCs w:val="28"/>
        </w:rPr>
        <w:t>d to substantiate the defence.</w:t>
      </w:r>
      <w:r w:rsidR="00D168F4" w:rsidRPr="00376487">
        <w:rPr>
          <w:rFonts w:ascii="Times New Roman" w:hAnsi="Times New Roman" w:cs="Times New Roman"/>
          <w:sz w:val="28"/>
          <w:szCs w:val="28"/>
        </w:rPr>
        <w:t xml:space="preserve"> </w:t>
      </w:r>
      <w:r w:rsidR="00A26C80" w:rsidRPr="00FD66FA">
        <w:rPr>
          <w:rFonts w:ascii="Times New Roman" w:hAnsi="Times New Roman" w:cs="Times New Roman"/>
          <w:i/>
          <w:iCs/>
          <w:sz w:val="28"/>
          <w:szCs w:val="28"/>
        </w:rPr>
        <w:t>See</w:t>
      </w:r>
      <w:r w:rsidR="00212838">
        <w:rPr>
          <w:rFonts w:ascii="Times New Roman" w:hAnsi="Times New Roman" w:cs="Times New Roman"/>
          <w:sz w:val="28"/>
          <w:szCs w:val="28"/>
        </w:rPr>
        <w:t>:</w:t>
      </w:r>
      <w:r w:rsidR="007B0729">
        <w:rPr>
          <w:rFonts w:ascii="Times New Roman" w:hAnsi="Times New Roman" w:cs="Times New Roman"/>
          <w:sz w:val="28"/>
          <w:szCs w:val="28"/>
        </w:rPr>
        <w:t xml:space="preserve"> </w:t>
      </w:r>
      <w:proofErr w:type="spellStart"/>
      <w:r w:rsidR="00422CDC" w:rsidRPr="001A091E">
        <w:rPr>
          <w:rFonts w:ascii="Times New Roman" w:eastAsia="Calibri" w:hAnsi="Times New Roman" w:cs="Times New Roman"/>
          <w:b/>
          <w:bCs/>
          <w:iCs/>
          <w:sz w:val="28"/>
          <w:szCs w:val="28"/>
        </w:rPr>
        <w:t>Herbstein</w:t>
      </w:r>
      <w:proofErr w:type="spellEnd"/>
      <w:r w:rsidR="00422CDC" w:rsidRPr="001A091E">
        <w:rPr>
          <w:rFonts w:ascii="Times New Roman" w:eastAsia="Calibri" w:hAnsi="Times New Roman" w:cs="Times New Roman"/>
          <w:b/>
          <w:bCs/>
          <w:iCs/>
          <w:sz w:val="28"/>
          <w:szCs w:val="28"/>
        </w:rPr>
        <w:t xml:space="preserve"> and Van </w:t>
      </w:r>
      <w:proofErr w:type="spellStart"/>
      <w:r w:rsidR="00422CDC" w:rsidRPr="001A091E">
        <w:rPr>
          <w:rFonts w:ascii="Times New Roman" w:eastAsia="Calibri" w:hAnsi="Times New Roman" w:cs="Times New Roman"/>
          <w:b/>
          <w:bCs/>
          <w:iCs/>
          <w:sz w:val="28"/>
          <w:szCs w:val="28"/>
        </w:rPr>
        <w:t>Winsen</w:t>
      </w:r>
      <w:proofErr w:type="spellEnd"/>
      <w:r w:rsidR="00422CDC" w:rsidRPr="001A091E">
        <w:rPr>
          <w:rFonts w:ascii="Times New Roman" w:eastAsia="Calibri" w:hAnsi="Times New Roman" w:cs="Times New Roman"/>
          <w:b/>
          <w:bCs/>
          <w:iCs/>
          <w:sz w:val="28"/>
          <w:szCs w:val="28"/>
        </w:rPr>
        <w:t>, Civil Practice of the High Court of South Africa 5</w:t>
      </w:r>
      <w:r w:rsidR="00422CDC" w:rsidRPr="001A091E">
        <w:rPr>
          <w:rFonts w:ascii="Times New Roman" w:eastAsia="Calibri" w:hAnsi="Times New Roman" w:cs="Times New Roman"/>
          <w:b/>
          <w:bCs/>
          <w:iCs/>
          <w:sz w:val="28"/>
          <w:szCs w:val="28"/>
          <w:vertAlign w:val="superscript"/>
        </w:rPr>
        <w:t>th</w:t>
      </w:r>
      <w:r w:rsidR="00422CDC" w:rsidRPr="001A091E">
        <w:rPr>
          <w:rFonts w:ascii="Times New Roman" w:eastAsia="Calibri" w:hAnsi="Times New Roman" w:cs="Times New Roman"/>
          <w:b/>
          <w:bCs/>
          <w:iCs/>
          <w:sz w:val="28"/>
          <w:szCs w:val="28"/>
        </w:rPr>
        <w:t xml:space="preserve"> ed Vol 1</w:t>
      </w:r>
      <w:r w:rsidR="007B0729" w:rsidRPr="001A091E">
        <w:rPr>
          <w:rFonts w:ascii="Times New Roman" w:eastAsia="Calibri" w:hAnsi="Times New Roman" w:cs="Times New Roman"/>
          <w:b/>
          <w:bCs/>
          <w:iCs/>
          <w:sz w:val="28"/>
          <w:szCs w:val="28"/>
        </w:rPr>
        <w:t xml:space="preserve"> </w:t>
      </w:r>
      <w:r w:rsidR="00A26C80" w:rsidRPr="001A091E">
        <w:rPr>
          <w:rFonts w:ascii="Times New Roman" w:hAnsi="Times New Roman" w:cs="Times New Roman"/>
          <w:b/>
          <w:sz w:val="28"/>
          <w:szCs w:val="28"/>
        </w:rPr>
        <w:t>page 633</w:t>
      </w:r>
      <w:r w:rsidR="00212838">
        <w:rPr>
          <w:rFonts w:ascii="Times New Roman" w:hAnsi="Times New Roman" w:cs="Times New Roman"/>
          <w:b/>
          <w:sz w:val="28"/>
          <w:szCs w:val="28"/>
        </w:rPr>
        <w:t xml:space="preserve">; </w:t>
      </w:r>
      <w:proofErr w:type="spellStart"/>
      <w:r w:rsidR="00212838" w:rsidRPr="005E2FA7">
        <w:rPr>
          <w:rFonts w:ascii="Times New Roman" w:hAnsi="Times New Roman" w:cs="Times New Roman"/>
          <w:b/>
          <w:sz w:val="28"/>
          <w:szCs w:val="28"/>
        </w:rPr>
        <w:t>Knoesen</w:t>
      </w:r>
      <w:proofErr w:type="spellEnd"/>
      <w:r w:rsidR="00212838" w:rsidRPr="005E2FA7">
        <w:rPr>
          <w:rFonts w:ascii="Times New Roman" w:hAnsi="Times New Roman" w:cs="Times New Roman"/>
          <w:b/>
          <w:sz w:val="28"/>
          <w:szCs w:val="28"/>
        </w:rPr>
        <w:t xml:space="preserve"> v Maritz</w:t>
      </w:r>
      <w:r w:rsidR="00F51185">
        <w:rPr>
          <w:rStyle w:val="FootnoteReference"/>
          <w:rFonts w:ascii="Times New Roman" w:hAnsi="Times New Roman" w:cs="Times New Roman"/>
          <w:b/>
          <w:sz w:val="28"/>
          <w:szCs w:val="28"/>
        </w:rPr>
        <w:footnoteReference w:id="7"/>
      </w:r>
      <w:r w:rsidR="00F51185">
        <w:rPr>
          <w:rFonts w:ascii="Times New Roman" w:hAnsi="Times New Roman" w:cs="Times New Roman"/>
          <w:b/>
          <w:sz w:val="28"/>
          <w:szCs w:val="28"/>
        </w:rPr>
        <w:t>.</w:t>
      </w:r>
      <w:r w:rsidR="00A26C80">
        <w:rPr>
          <w:rFonts w:ascii="Times New Roman" w:hAnsi="Times New Roman" w:cs="Times New Roman"/>
          <w:sz w:val="28"/>
          <w:szCs w:val="28"/>
        </w:rPr>
        <w:t xml:space="preserve"> </w:t>
      </w:r>
      <w:r w:rsidR="00D168F4" w:rsidRPr="00376487">
        <w:rPr>
          <w:rFonts w:ascii="Times New Roman" w:hAnsi="Times New Roman" w:cs="Times New Roman"/>
          <w:sz w:val="28"/>
          <w:szCs w:val="28"/>
        </w:rPr>
        <w:t xml:space="preserve">Where additional facts need to be placed before </w:t>
      </w:r>
      <w:r w:rsidR="00D168F4" w:rsidRPr="00376487">
        <w:rPr>
          <w:rFonts w:ascii="Times New Roman" w:hAnsi="Times New Roman" w:cs="Times New Roman"/>
          <w:sz w:val="28"/>
          <w:szCs w:val="28"/>
        </w:rPr>
        <w:lastRenderedPageBreak/>
        <w:t>the court to show that there has been a misjoinder or non-joinder, a special plea is generally used</w:t>
      </w:r>
      <w:r w:rsidR="00F51185">
        <w:rPr>
          <w:rStyle w:val="FootnoteReference"/>
          <w:rFonts w:ascii="Times New Roman" w:hAnsi="Times New Roman" w:cs="Times New Roman"/>
          <w:sz w:val="28"/>
          <w:szCs w:val="28"/>
        </w:rPr>
        <w:footnoteReference w:id="8"/>
      </w:r>
      <w:r w:rsidR="00D168F4" w:rsidRPr="00376487">
        <w:rPr>
          <w:rFonts w:ascii="Times New Roman" w:hAnsi="Times New Roman" w:cs="Times New Roman"/>
          <w:sz w:val="28"/>
          <w:szCs w:val="28"/>
        </w:rPr>
        <w:t>. It is permissible however</w:t>
      </w:r>
      <w:r w:rsidR="000940C4">
        <w:rPr>
          <w:rFonts w:ascii="Times New Roman" w:hAnsi="Times New Roman" w:cs="Times New Roman"/>
          <w:sz w:val="28"/>
          <w:szCs w:val="28"/>
        </w:rPr>
        <w:t xml:space="preserve"> </w:t>
      </w:r>
      <w:r w:rsidR="00D168F4" w:rsidRPr="00376487">
        <w:rPr>
          <w:rFonts w:ascii="Times New Roman" w:hAnsi="Times New Roman" w:cs="Times New Roman"/>
          <w:sz w:val="28"/>
          <w:szCs w:val="28"/>
        </w:rPr>
        <w:t xml:space="preserve">that where it is apparent </w:t>
      </w:r>
      <w:r w:rsidR="00D168F4" w:rsidRPr="00FD66FA">
        <w:rPr>
          <w:rFonts w:ascii="Times New Roman" w:hAnsi="Times New Roman" w:cs="Times New Roman"/>
          <w:i/>
          <w:iCs/>
          <w:sz w:val="28"/>
          <w:szCs w:val="28"/>
        </w:rPr>
        <w:t>ex facie</w:t>
      </w:r>
      <w:r w:rsidR="00D168F4" w:rsidRPr="00376487">
        <w:rPr>
          <w:rFonts w:ascii="Times New Roman" w:hAnsi="Times New Roman" w:cs="Times New Roman"/>
          <w:sz w:val="28"/>
          <w:szCs w:val="28"/>
        </w:rPr>
        <w:t xml:space="preserve"> the particulars of claim that the court lacks jurisdiction, or that the plaintiff does not have </w:t>
      </w:r>
      <w:r w:rsidR="00D168F4" w:rsidRPr="00EF69B4">
        <w:rPr>
          <w:rFonts w:ascii="Times New Roman" w:hAnsi="Times New Roman" w:cs="Times New Roman"/>
          <w:i/>
          <w:sz w:val="28"/>
          <w:szCs w:val="28"/>
        </w:rPr>
        <w:t>locus standi</w:t>
      </w:r>
      <w:r w:rsidR="00D168F4" w:rsidRPr="00376487">
        <w:rPr>
          <w:rFonts w:ascii="Times New Roman" w:hAnsi="Times New Roman" w:cs="Times New Roman"/>
          <w:sz w:val="28"/>
          <w:szCs w:val="28"/>
        </w:rPr>
        <w:t>,</w:t>
      </w:r>
      <w:r w:rsidR="00D168F4" w:rsidRPr="00D168F4">
        <w:rPr>
          <w:rFonts w:ascii="Times New Roman" w:hAnsi="Times New Roman" w:cs="Times New Roman"/>
          <w:sz w:val="28"/>
          <w:szCs w:val="28"/>
        </w:rPr>
        <w:t xml:space="preserve"> </w:t>
      </w:r>
      <w:r w:rsidR="00D168F4" w:rsidRPr="00376487">
        <w:rPr>
          <w:rFonts w:ascii="Times New Roman" w:hAnsi="Times New Roman" w:cs="Times New Roman"/>
          <w:sz w:val="28"/>
          <w:szCs w:val="28"/>
        </w:rPr>
        <w:t xml:space="preserve">the defendant may take an exception rather </w:t>
      </w:r>
      <w:r w:rsidR="00D168F4">
        <w:rPr>
          <w:rFonts w:ascii="Times New Roman" w:hAnsi="Times New Roman" w:cs="Times New Roman"/>
          <w:sz w:val="28"/>
          <w:szCs w:val="28"/>
        </w:rPr>
        <w:t>than file a special plea.</w:t>
      </w:r>
      <w:r w:rsidR="00D168F4">
        <w:rPr>
          <w:rStyle w:val="FootnoteReference"/>
          <w:rFonts w:ascii="Times New Roman" w:hAnsi="Times New Roman" w:cs="Times New Roman"/>
          <w:sz w:val="28"/>
          <w:szCs w:val="28"/>
        </w:rPr>
        <w:footnoteReference w:id="9"/>
      </w:r>
      <w:r w:rsidR="00A26C80">
        <w:rPr>
          <w:rFonts w:ascii="Times New Roman" w:hAnsi="Times New Roman" w:cs="Times New Roman"/>
          <w:sz w:val="28"/>
          <w:szCs w:val="28"/>
        </w:rPr>
        <w:t xml:space="preserve"> </w:t>
      </w:r>
    </w:p>
    <w:p w14:paraId="3DC606C8" w14:textId="09CE3160" w:rsidR="00411D3E" w:rsidRDefault="00832DCF" w:rsidP="00906DD7">
      <w:pPr>
        <w:spacing w:line="480" w:lineRule="auto"/>
        <w:jc w:val="both"/>
        <w:rPr>
          <w:rFonts w:ascii="Times New Roman" w:hAnsi="Times New Roman" w:cs="Times New Roman"/>
          <w:sz w:val="28"/>
          <w:szCs w:val="28"/>
        </w:rPr>
      </w:pPr>
      <w:r>
        <w:rPr>
          <w:rFonts w:ascii="Times New Roman" w:hAnsi="Times New Roman" w:cs="Times New Roman"/>
          <w:sz w:val="28"/>
          <w:szCs w:val="28"/>
        </w:rPr>
        <w:t>[1</w:t>
      </w:r>
      <w:r w:rsidR="005858C0">
        <w:rPr>
          <w:rFonts w:ascii="Times New Roman" w:hAnsi="Times New Roman" w:cs="Times New Roman"/>
          <w:sz w:val="28"/>
          <w:szCs w:val="28"/>
        </w:rPr>
        <w:t>2</w:t>
      </w:r>
      <w:r w:rsidR="00636ACA">
        <w:rPr>
          <w:rFonts w:ascii="Times New Roman" w:hAnsi="Times New Roman" w:cs="Times New Roman"/>
          <w:sz w:val="28"/>
          <w:szCs w:val="28"/>
        </w:rPr>
        <w:t>]</w:t>
      </w:r>
      <w:r w:rsidR="00636ACA">
        <w:rPr>
          <w:rFonts w:ascii="Times New Roman" w:hAnsi="Times New Roman" w:cs="Times New Roman"/>
          <w:sz w:val="28"/>
          <w:szCs w:val="28"/>
        </w:rPr>
        <w:tab/>
      </w:r>
      <w:r w:rsidR="00636ACA">
        <w:rPr>
          <w:rFonts w:ascii="Times New Roman" w:hAnsi="Times New Roman" w:cs="Times New Roman"/>
          <w:sz w:val="28"/>
          <w:szCs w:val="28"/>
        </w:rPr>
        <w:tab/>
      </w:r>
      <w:r w:rsidR="009C1EAE">
        <w:rPr>
          <w:rFonts w:ascii="Times New Roman" w:hAnsi="Times New Roman" w:cs="Times New Roman"/>
          <w:sz w:val="28"/>
          <w:szCs w:val="28"/>
        </w:rPr>
        <w:t xml:space="preserve">The </w:t>
      </w:r>
      <w:r w:rsidR="00916154">
        <w:rPr>
          <w:rFonts w:ascii="Times New Roman" w:hAnsi="Times New Roman" w:cs="Times New Roman"/>
          <w:sz w:val="28"/>
          <w:szCs w:val="28"/>
        </w:rPr>
        <w:t xml:space="preserve">essential difference between exception and a </w:t>
      </w:r>
      <w:r w:rsidR="007B0729">
        <w:rPr>
          <w:rFonts w:ascii="Times New Roman" w:hAnsi="Times New Roman" w:cs="Times New Roman"/>
          <w:sz w:val="28"/>
          <w:szCs w:val="28"/>
        </w:rPr>
        <w:t>special plea is</w:t>
      </w:r>
      <w:r w:rsidR="00916154">
        <w:rPr>
          <w:rFonts w:ascii="Times New Roman" w:hAnsi="Times New Roman" w:cs="Times New Roman"/>
          <w:sz w:val="28"/>
          <w:szCs w:val="28"/>
        </w:rPr>
        <w:t xml:space="preserve"> that in the case of the </w:t>
      </w:r>
      <w:r w:rsidR="009C1DB4">
        <w:rPr>
          <w:rFonts w:ascii="Times New Roman" w:hAnsi="Times New Roman" w:cs="Times New Roman"/>
          <w:sz w:val="28"/>
          <w:szCs w:val="28"/>
        </w:rPr>
        <w:t xml:space="preserve">former </w:t>
      </w:r>
      <w:r w:rsidR="00916154">
        <w:rPr>
          <w:rFonts w:ascii="Times New Roman" w:hAnsi="Times New Roman" w:cs="Times New Roman"/>
          <w:sz w:val="28"/>
          <w:szCs w:val="28"/>
        </w:rPr>
        <w:t>the excipient is confined to the four corners of the pleading.</w:t>
      </w:r>
      <w:r w:rsidR="009C1EAE">
        <w:rPr>
          <w:rStyle w:val="FootnoteReference"/>
          <w:rFonts w:ascii="Times New Roman" w:hAnsi="Times New Roman" w:cs="Times New Roman"/>
          <w:sz w:val="28"/>
          <w:szCs w:val="28"/>
        </w:rPr>
        <w:footnoteReference w:id="10"/>
      </w:r>
      <w:r w:rsidR="009C1DB4">
        <w:rPr>
          <w:rFonts w:ascii="Times New Roman" w:hAnsi="Times New Roman" w:cs="Times New Roman"/>
          <w:sz w:val="28"/>
          <w:szCs w:val="28"/>
        </w:rPr>
        <w:t xml:space="preserve"> </w:t>
      </w:r>
      <w:r w:rsidR="007B0729">
        <w:rPr>
          <w:rFonts w:ascii="Times New Roman" w:hAnsi="Times New Roman" w:cs="Times New Roman"/>
          <w:sz w:val="28"/>
          <w:szCs w:val="28"/>
        </w:rPr>
        <w:t xml:space="preserve"> S</w:t>
      </w:r>
      <w:r w:rsidR="009C1EAE">
        <w:rPr>
          <w:rFonts w:ascii="Times New Roman" w:hAnsi="Times New Roman" w:cs="Times New Roman"/>
          <w:sz w:val="28"/>
          <w:szCs w:val="28"/>
        </w:rPr>
        <w:t xml:space="preserve">pecial pleas </w:t>
      </w:r>
      <w:r w:rsidR="009C1DB4">
        <w:rPr>
          <w:rFonts w:ascii="Times New Roman" w:hAnsi="Times New Roman" w:cs="Times New Roman"/>
          <w:sz w:val="28"/>
          <w:szCs w:val="28"/>
        </w:rPr>
        <w:t xml:space="preserve">however, </w:t>
      </w:r>
      <w:r w:rsidR="001C24D1">
        <w:rPr>
          <w:rFonts w:ascii="Times New Roman" w:hAnsi="Times New Roman" w:cs="Times New Roman"/>
          <w:sz w:val="28"/>
          <w:szCs w:val="28"/>
        </w:rPr>
        <w:t xml:space="preserve">can be </w:t>
      </w:r>
      <w:r w:rsidR="009C1EAE">
        <w:rPr>
          <w:rFonts w:ascii="Times New Roman" w:hAnsi="Times New Roman" w:cs="Times New Roman"/>
          <w:sz w:val="28"/>
          <w:szCs w:val="28"/>
        </w:rPr>
        <w:t xml:space="preserve">established by introduction of fresh facts from outside the circumference of the pleading and those facts have to be established by evidence in the usual way. </w:t>
      </w:r>
      <w:r w:rsidR="00F65ED5">
        <w:rPr>
          <w:rStyle w:val="FootnoteReference"/>
          <w:rFonts w:ascii="Times New Roman" w:hAnsi="Times New Roman" w:cs="Times New Roman"/>
          <w:sz w:val="28"/>
          <w:szCs w:val="28"/>
        </w:rPr>
        <w:footnoteReference w:id="11"/>
      </w:r>
      <w:r w:rsidR="009C1EAE">
        <w:rPr>
          <w:rFonts w:ascii="Times New Roman" w:hAnsi="Times New Roman" w:cs="Times New Roman"/>
          <w:sz w:val="28"/>
          <w:szCs w:val="28"/>
        </w:rPr>
        <w:t xml:space="preserve"> </w:t>
      </w:r>
      <w:r w:rsidR="00916154">
        <w:rPr>
          <w:rFonts w:ascii="Times New Roman" w:hAnsi="Times New Roman" w:cs="Times New Roman"/>
          <w:sz w:val="28"/>
          <w:szCs w:val="28"/>
        </w:rPr>
        <w:t xml:space="preserve"> </w:t>
      </w:r>
    </w:p>
    <w:p w14:paraId="0704CA62" w14:textId="0439F058" w:rsidR="00BA45F3" w:rsidRDefault="00916154" w:rsidP="00906DD7">
      <w:pPr>
        <w:spacing w:line="480" w:lineRule="auto"/>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sidR="00DC2DAF" w:rsidRPr="00456D55">
        <w:rPr>
          <w:rFonts w:ascii="Times New Roman" w:hAnsi="Times New Roman" w:cs="Times New Roman"/>
          <w:b/>
          <w:sz w:val="28"/>
          <w:szCs w:val="28"/>
          <w:u w:val="single"/>
        </w:rPr>
        <w:t>DISCUSSION</w:t>
      </w:r>
      <w:r w:rsidR="00456D55">
        <w:rPr>
          <w:rFonts w:ascii="Times New Roman" w:hAnsi="Times New Roman" w:cs="Times New Roman"/>
          <w:b/>
          <w:sz w:val="28"/>
          <w:szCs w:val="28"/>
          <w:u w:val="single"/>
        </w:rPr>
        <w:t xml:space="preserve">S </w:t>
      </w:r>
      <w:r w:rsidR="00DC2DAF" w:rsidRPr="00456D55">
        <w:rPr>
          <w:rFonts w:ascii="Times New Roman" w:hAnsi="Times New Roman" w:cs="Times New Roman"/>
          <w:b/>
          <w:sz w:val="28"/>
          <w:szCs w:val="28"/>
          <w:u w:val="single"/>
        </w:rPr>
        <w:t xml:space="preserve"> </w:t>
      </w:r>
    </w:p>
    <w:p w14:paraId="5DD4C154" w14:textId="77604D2E" w:rsidR="00754531" w:rsidRDefault="00F0476D" w:rsidP="00906DD7">
      <w:pPr>
        <w:spacing w:line="480" w:lineRule="auto"/>
        <w:jc w:val="both"/>
        <w:rPr>
          <w:rFonts w:ascii="Times New Roman" w:hAnsi="Times New Roman" w:cs="Times New Roman"/>
          <w:sz w:val="28"/>
          <w:szCs w:val="28"/>
        </w:rPr>
      </w:pPr>
      <w:r>
        <w:rPr>
          <w:rFonts w:ascii="Times New Roman" w:hAnsi="Times New Roman" w:cs="Times New Roman"/>
          <w:sz w:val="28"/>
          <w:szCs w:val="28"/>
        </w:rPr>
        <w:t>[1</w:t>
      </w:r>
      <w:r w:rsidR="005858C0">
        <w:rPr>
          <w:rFonts w:ascii="Times New Roman" w:hAnsi="Times New Roman" w:cs="Times New Roman"/>
          <w:sz w:val="28"/>
          <w:szCs w:val="28"/>
        </w:rPr>
        <w:t>3</w:t>
      </w:r>
      <w:r w:rsidR="00832DCF">
        <w:rPr>
          <w:rFonts w:ascii="Times New Roman" w:hAnsi="Times New Roman" w:cs="Times New Roman"/>
          <w:sz w:val="28"/>
          <w:szCs w:val="28"/>
        </w:rPr>
        <w:t>]</w:t>
      </w:r>
      <w:r w:rsidR="00832DCF">
        <w:rPr>
          <w:rFonts w:ascii="Times New Roman" w:hAnsi="Times New Roman" w:cs="Times New Roman"/>
          <w:sz w:val="28"/>
          <w:szCs w:val="28"/>
        </w:rPr>
        <w:tab/>
      </w:r>
      <w:r w:rsidR="00832DCF">
        <w:rPr>
          <w:rFonts w:ascii="Times New Roman" w:hAnsi="Times New Roman" w:cs="Times New Roman"/>
          <w:sz w:val="28"/>
          <w:szCs w:val="28"/>
        </w:rPr>
        <w:tab/>
      </w:r>
      <w:r w:rsidR="00825F3D">
        <w:rPr>
          <w:rFonts w:ascii="Times New Roman" w:hAnsi="Times New Roman" w:cs="Times New Roman"/>
          <w:sz w:val="28"/>
          <w:szCs w:val="28"/>
        </w:rPr>
        <w:t>T</w:t>
      </w:r>
      <w:r w:rsidR="00C70596" w:rsidRPr="00376487">
        <w:rPr>
          <w:rFonts w:ascii="Times New Roman" w:hAnsi="Times New Roman" w:cs="Times New Roman"/>
          <w:sz w:val="28"/>
          <w:szCs w:val="28"/>
        </w:rPr>
        <w:t>he defendant</w:t>
      </w:r>
      <w:r w:rsidR="00C85C83">
        <w:rPr>
          <w:rFonts w:ascii="Times New Roman" w:hAnsi="Times New Roman" w:cs="Times New Roman"/>
          <w:sz w:val="28"/>
          <w:szCs w:val="28"/>
        </w:rPr>
        <w:t xml:space="preserve">s </w:t>
      </w:r>
      <w:r w:rsidR="0098772D">
        <w:rPr>
          <w:rFonts w:ascii="Times New Roman" w:hAnsi="Times New Roman" w:cs="Times New Roman"/>
          <w:sz w:val="28"/>
          <w:szCs w:val="28"/>
        </w:rPr>
        <w:t xml:space="preserve">are relying on rule 29(1)(a) for their exception. Curiously, it is not their complaint that the pleading under attack “lacks averments which are necessary to sustain an action” against them. Rather their complaint relates to non – joinder and misjoinder. </w:t>
      </w:r>
      <w:r w:rsidR="00272939">
        <w:rPr>
          <w:rFonts w:ascii="Times New Roman" w:hAnsi="Times New Roman" w:cs="Times New Roman"/>
          <w:sz w:val="28"/>
          <w:szCs w:val="28"/>
        </w:rPr>
        <w:t>Fa</w:t>
      </w:r>
      <w:r w:rsidR="00C70596" w:rsidRPr="00376487">
        <w:rPr>
          <w:rFonts w:ascii="Times New Roman" w:hAnsi="Times New Roman" w:cs="Times New Roman"/>
          <w:sz w:val="28"/>
          <w:szCs w:val="28"/>
        </w:rPr>
        <w:t>r from being a ground for exception, this is a classic case for special plea</w:t>
      </w:r>
      <w:r w:rsidR="00DA539E">
        <w:rPr>
          <w:rFonts w:ascii="Times New Roman" w:hAnsi="Times New Roman" w:cs="Times New Roman"/>
          <w:sz w:val="28"/>
          <w:szCs w:val="28"/>
        </w:rPr>
        <w:t>.</w:t>
      </w:r>
      <w:r w:rsidR="00AD4EC0" w:rsidRPr="00AD4EC0">
        <w:rPr>
          <w:rFonts w:ascii="Times New Roman" w:hAnsi="Times New Roman" w:cs="Times New Roman"/>
          <w:sz w:val="28"/>
          <w:szCs w:val="28"/>
        </w:rPr>
        <w:t xml:space="preserve"> </w:t>
      </w:r>
      <w:r w:rsidR="00BB6323">
        <w:rPr>
          <w:rFonts w:ascii="Times New Roman" w:hAnsi="Times New Roman" w:cs="Times New Roman"/>
          <w:sz w:val="28"/>
          <w:szCs w:val="28"/>
        </w:rPr>
        <w:t>T</w:t>
      </w:r>
      <w:r w:rsidR="00D76193">
        <w:rPr>
          <w:rFonts w:ascii="Times New Roman" w:hAnsi="Times New Roman" w:cs="Times New Roman"/>
          <w:sz w:val="28"/>
          <w:szCs w:val="28"/>
        </w:rPr>
        <w:t>he defendan</w:t>
      </w:r>
      <w:r w:rsidR="00DA539E">
        <w:rPr>
          <w:rFonts w:ascii="Times New Roman" w:hAnsi="Times New Roman" w:cs="Times New Roman"/>
          <w:sz w:val="28"/>
          <w:szCs w:val="28"/>
        </w:rPr>
        <w:t>t</w:t>
      </w:r>
      <w:r w:rsidR="00BB6323">
        <w:rPr>
          <w:rFonts w:ascii="Times New Roman" w:hAnsi="Times New Roman" w:cs="Times New Roman"/>
          <w:sz w:val="28"/>
          <w:szCs w:val="28"/>
        </w:rPr>
        <w:t xml:space="preserve">s are raising new issues that are not stated </w:t>
      </w:r>
      <w:r w:rsidR="008104DB">
        <w:rPr>
          <w:rFonts w:ascii="Times New Roman" w:hAnsi="Times New Roman" w:cs="Times New Roman"/>
          <w:sz w:val="28"/>
          <w:szCs w:val="28"/>
        </w:rPr>
        <w:t>in the</w:t>
      </w:r>
      <w:r w:rsidR="00DA539E">
        <w:rPr>
          <w:rFonts w:ascii="Times New Roman" w:hAnsi="Times New Roman" w:cs="Times New Roman"/>
          <w:sz w:val="28"/>
          <w:szCs w:val="28"/>
        </w:rPr>
        <w:t xml:space="preserve"> declaration which is being excepted to, that is</w:t>
      </w:r>
      <w:r w:rsidR="00C85C83">
        <w:rPr>
          <w:rFonts w:ascii="Times New Roman" w:hAnsi="Times New Roman" w:cs="Times New Roman"/>
          <w:sz w:val="28"/>
          <w:szCs w:val="28"/>
        </w:rPr>
        <w:t>,</w:t>
      </w:r>
      <w:r w:rsidR="00DA539E">
        <w:rPr>
          <w:rFonts w:ascii="Times New Roman" w:hAnsi="Times New Roman" w:cs="Times New Roman"/>
          <w:sz w:val="28"/>
          <w:szCs w:val="28"/>
        </w:rPr>
        <w:t xml:space="preserve"> non-</w:t>
      </w:r>
      <w:r w:rsidR="00D76193">
        <w:rPr>
          <w:rFonts w:ascii="Times New Roman" w:hAnsi="Times New Roman" w:cs="Times New Roman"/>
          <w:sz w:val="28"/>
          <w:szCs w:val="28"/>
        </w:rPr>
        <w:t xml:space="preserve"> joinder </w:t>
      </w:r>
      <w:r w:rsidR="00D76193">
        <w:rPr>
          <w:rFonts w:ascii="Times New Roman" w:hAnsi="Times New Roman" w:cs="Times New Roman"/>
          <w:sz w:val="28"/>
          <w:szCs w:val="28"/>
        </w:rPr>
        <w:lastRenderedPageBreak/>
        <w:t xml:space="preserve">of </w:t>
      </w:r>
      <w:r w:rsidR="001C24D1">
        <w:rPr>
          <w:rFonts w:ascii="Times New Roman" w:hAnsi="Times New Roman" w:cs="Times New Roman"/>
          <w:sz w:val="28"/>
          <w:szCs w:val="28"/>
        </w:rPr>
        <w:t xml:space="preserve">the heir to second </w:t>
      </w:r>
      <w:r w:rsidR="00AD4EC0">
        <w:rPr>
          <w:rFonts w:ascii="Times New Roman" w:hAnsi="Times New Roman" w:cs="Times New Roman"/>
          <w:sz w:val="28"/>
          <w:szCs w:val="28"/>
        </w:rPr>
        <w:t>defendant’s</w:t>
      </w:r>
      <w:r w:rsidR="00817199">
        <w:rPr>
          <w:rFonts w:ascii="Times New Roman" w:hAnsi="Times New Roman" w:cs="Times New Roman"/>
          <w:sz w:val="28"/>
          <w:szCs w:val="28"/>
        </w:rPr>
        <w:t xml:space="preserve"> mother</w:t>
      </w:r>
      <w:r w:rsidR="00BB6323">
        <w:rPr>
          <w:rFonts w:ascii="Times New Roman" w:hAnsi="Times New Roman" w:cs="Times New Roman"/>
          <w:sz w:val="28"/>
          <w:szCs w:val="28"/>
        </w:rPr>
        <w:t xml:space="preserve"> </w:t>
      </w:r>
      <w:r w:rsidR="001C24D1">
        <w:rPr>
          <w:rFonts w:ascii="Times New Roman" w:hAnsi="Times New Roman" w:cs="Times New Roman"/>
          <w:sz w:val="28"/>
          <w:szCs w:val="28"/>
        </w:rPr>
        <w:t xml:space="preserve">and </w:t>
      </w:r>
      <w:r w:rsidR="00BB6323">
        <w:rPr>
          <w:rFonts w:ascii="Times New Roman" w:hAnsi="Times New Roman" w:cs="Times New Roman"/>
          <w:sz w:val="28"/>
          <w:szCs w:val="28"/>
        </w:rPr>
        <w:t>misjoinder of defendants</w:t>
      </w:r>
      <w:r w:rsidR="00817199">
        <w:rPr>
          <w:rFonts w:ascii="Times New Roman" w:hAnsi="Times New Roman" w:cs="Times New Roman"/>
          <w:sz w:val="28"/>
          <w:szCs w:val="28"/>
        </w:rPr>
        <w:t xml:space="preserve">. </w:t>
      </w:r>
      <w:r w:rsidR="00BB6323">
        <w:rPr>
          <w:rFonts w:ascii="Times New Roman" w:hAnsi="Times New Roman" w:cs="Times New Roman"/>
          <w:sz w:val="28"/>
          <w:szCs w:val="28"/>
        </w:rPr>
        <w:t xml:space="preserve">As a consequence, these issues will require evidence. </w:t>
      </w:r>
    </w:p>
    <w:p w14:paraId="1FE10ADB" w14:textId="1F585721" w:rsidR="00C207D9" w:rsidRPr="00376487" w:rsidRDefault="00F0476D" w:rsidP="00906DD7">
      <w:pPr>
        <w:spacing w:line="480" w:lineRule="auto"/>
        <w:jc w:val="both"/>
        <w:rPr>
          <w:rFonts w:ascii="Times New Roman" w:hAnsi="Times New Roman" w:cs="Times New Roman"/>
          <w:sz w:val="28"/>
          <w:szCs w:val="28"/>
        </w:rPr>
      </w:pPr>
      <w:r>
        <w:rPr>
          <w:rFonts w:ascii="Times New Roman" w:hAnsi="Times New Roman" w:cs="Times New Roman"/>
          <w:sz w:val="28"/>
          <w:szCs w:val="28"/>
        </w:rPr>
        <w:t>[1</w:t>
      </w:r>
      <w:r w:rsidR="008104DB">
        <w:rPr>
          <w:rFonts w:ascii="Times New Roman" w:hAnsi="Times New Roman" w:cs="Times New Roman"/>
          <w:sz w:val="28"/>
          <w:szCs w:val="28"/>
        </w:rPr>
        <w:t>4</w:t>
      </w:r>
      <w:r w:rsidR="00832DCF">
        <w:rPr>
          <w:rFonts w:ascii="Times New Roman" w:hAnsi="Times New Roman" w:cs="Times New Roman"/>
          <w:sz w:val="28"/>
          <w:szCs w:val="28"/>
        </w:rPr>
        <w:t>]</w:t>
      </w:r>
      <w:r w:rsidR="00832DCF">
        <w:rPr>
          <w:rFonts w:ascii="Times New Roman" w:hAnsi="Times New Roman" w:cs="Times New Roman"/>
          <w:sz w:val="28"/>
          <w:szCs w:val="28"/>
        </w:rPr>
        <w:tab/>
      </w:r>
      <w:r w:rsidR="00832DCF">
        <w:rPr>
          <w:rFonts w:ascii="Times New Roman" w:hAnsi="Times New Roman" w:cs="Times New Roman"/>
          <w:sz w:val="28"/>
          <w:szCs w:val="28"/>
        </w:rPr>
        <w:tab/>
      </w:r>
      <w:r w:rsidR="00DA539E">
        <w:rPr>
          <w:rFonts w:ascii="Times New Roman" w:hAnsi="Times New Roman" w:cs="Times New Roman"/>
          <w:sz w:val="28"/>
          <w:szCs w:val="28"/>
        </w:rPr>
        <w:t>Th</w:t>
      </w:r>
      <w:r w:rsidR="000940C4">
        <w:rPr>
          <w:rFonts w:ascii="Times New Roman" w:hAnsi="Times New Roman" w:cs="Times New Roman"/>
          <w:sz w:val="28"/>
          <w:szCs w:val="28"/>
        </w:rPr>
        <w:t>e defendant’s approach</w:t>
      </w:r>
      <w:r w:rsidR="00DA539E">
        <w:rPr>
          <w:rFonts w:ascii="Times New Roman" w:hAnsi="Times New Roman" w:cs="Times New Roman"/>
          <w:sz w:val="28"/>
          <w:szCs w:val="28"/>
        </w:rPr>
        <w:t xml:space="preserve"> is contrary to the principle that for one to succeed in an exception</w:t>
      </w:r>
      <w:r w:rsidR="00BB6323">
        <w:rPr>
          <w:rFonts w:ascii="Times New Roman" w:hAnsi="Times New Roman" w:cs="Times New Roman"/>
          <w:sz w:val="28"/>
          <w:szCs w:val="28"/>
        </w:rPr>
        <w:t xml:space="preserve"> he or she</w:t>
      </w:r>
      <w:r w:rsidR="00DA539E">
        <w:rPr>
          <w:rFonts w:ascii="Times New Roman" w:hAnsi="Times New Roman" w:cs="Times New Roman"/>
          <w:sz w:val="28"/>
          <w:szCs w:val="28"/>
        </w:rPr>
        <w:t xml:space="preserve"> should be confined to the pleadings and</w:t>
      </w:r>
      <w:r w:rsidR="000940C4">
        <w:rPr>
          <w:rFonts w:ascii="Times New Roman" w:hAnsi="Times New Roman" w:cs="Times New Roman"/>
          <w:sz w:val="28"/>
          <w:szCs w:val="28"/>
        </w:rPr>
        <w:t xml:space="preserve"> that </w:t>
      </w:r>
      <w:r w:rsidR="00DA539E">
        <w:rPr>
          <w:rFonts w:ascii="Times New Roman" w:hAnsi="Times New Roman" w:cs="Times New Roman"/>
          <w:sz w:val="28"/>
          <w:szCs w:val="28"/>
        </w:rPr>
        <w:t xml:space="preserve">no new evidence may be introduced. </w:t>
      </w:r>
      <w:r w:rsidR="00C70596" w:rsidRPr="00376487">
        <w:rPr>
          <w:rFonts w:ascii="Times New Roman" w:hAnsi="Times New Roman" w:cs="Times New Roman"/>
          <w:sz w:val="28"/>
          <w:szCs w:val="28"/>
        </w:rPr>
        <w:t xml:space="preserve"> </w:t>
      </w:r>
      <w:r w:rsidR="004879F6" w:rsidRPr="00376487">
        <w:rPr>
          <w:rFonts w:ascii="Times New Roman" w:hAnsi="Times New Roman" w:cs="Times New Roman"/>
          <w:sz w:val="28"/>
          <w:szCs w:val="28"/>
        </w:rPr>
        <w:t>Certainly,</w:t>
      </w:r>
      <w:r w:rsidR="00FA15A6" w:rsidRPr="00376487">
        <w:rPr>
          <w:rFonts w:ascii="Times New Roman" w:hAnsi="Times New Roman" w:cs="Times New Roman"/>
          <w:sz w:val="28"/>
          <w:szCs w:val="28"/>
        </w:rPr>
        <w:t xml:space="preserve"> as on</w:t>
      </w:r>
      <w:r w:rsidR="00172D66">
        <w:rPr>
          <w:rFonts w:ascii="Times New Roman" w:hAnsi="Times New Roman" w:cs="Times New Roman"/>
          <w:sz w:val="28"/>
          <w:szCs w:val="28"/>
        </w:rPr>
        <w:t xml:space="preserve">e reads </w:t>
      </w:r>
      <w:r w:rsidR="00BB6323">
        <w:rPr>
          <w:rFonts w:ascii="Times New Roman" w:hAnsi="Times New Roman" w:cs="Times New Roman"/>
          <w:sz w:val="28"/>
          <w:szCs w:val="28"/>
        </w:rPr>
        <w:t xml:space="preserve">the complaints from the </w:t>
      </w:r>
      <w:r w:rsidR="008104DB">
        <w:rPr>
          <w:rFonts w:ascii="Times New Roman" w:hAnsi="Times New Roman" w:cs="Times New Roman"/>
          <w:sz w:val="28"/>
          <w:szCs w:val="28"/>
        </w:rPr>
        <w:t>defendants, they</w:t>
      </w:r>
      <w:r w:rsidR="00172D66">
        <w:rPr>
          <w:rFonts w:ascii="Times New Roman" w:hAnsi="Times New Roman" w:cs="Times New Roman"/>
          <w:sz w:val="28"/>
          <w:szCs w:val="28"/>
        </w:rPr>
        <w:t xml:space="preserve"> do not </w:t>
      </w:r>
      <w:r w:rsidR="00FA15A6" w:rsidRPr="00376487">
        <w:rPr>
          <w:rFonts w:ascii="Times New Roman" w:hAnsi="Times New Roman" w:cs="Times New Roman"/>
          <w:sz w:val="28"/>
          <w:szCs w:val="28"/>
        </w:rPr>
        <w:t>constitute an exception in the legal sense</w:t>
      </w:r>
      <w:r w:rsidR="00CD5BAF">
        <w:rPr>
          <w:rFonts w:ascii="Times New Roman" w:hAnsi="Times New Roman" w:cs="Times New Roman"/>
          <w:color w:val="242121"/>
          <w:sz w:val="28"/>
          <w:szCs w:val="28"/>
          <w:shd w:val="clear" w:color="auto" w:fill="FFFFFF"/>
        </w:rPr>
        <w:t>.</w:t>
      </w:r>
      <w:r w:rsidR="00116F3F">
        <w:rPr>
          <w:rFonts w:ascii="Times New Roman" w:hAnsi="Times New Roman" w:cs="Times New Roman"/>
          <w:sz w:val="28"/>
          <w:szCs w:val="28"/>
        </w:rPr>
        <w:t xml:space="preserve"> </w:t>
      </w:r>
      <w:r w:rsidR="00ED36FF">
        <w:rPr>
          <w:rFonts w:ascii="Times New Roman" w:hAnsi="Times New Roman" w:cs="Times New Roman"/>
          <w:sz w:val="28"/>
          <w:szCs w:val="28"/>
        </w:rPr>
        <w:t xml:space="preserve"> It seems inco</w:t>
      </w:r>
      <w:r w:rsidR="00097AF0">
        <w:rPr>
          <w:rFonts w:ascii="Times New Roman" w:hAnsi="Times New Roman" w:cs="Times New Roman"/>
          <w:sz w:val="28"/>
          <w:szCs w:val="28"/>
        </w:rPr>
        <w:t>ngruous to me that the defendants</w:t>
      </w:r>
      <w:r w:rsidR="00ED36FF">
        <w:rPr>
          <w:rFonts w:ascii="Times New Roman" w:hAnsi="Times New Roman" w:cs="Times New Roman"/>
          <w:sz w:val="28"/>
          <w:szCs w:val="28"/>
        </w:rPr>
        <w:t xml:space="preserve"> raised non-joinder as an exception rather than by way of special plea </w:t>
      </w:r>
      <w:r w:rsidR="004879F6">
        <w:rPr>
          <w:rFonts w:ascii="Times New Roman" w:hAnsi="Times New Roman" w:cs="Times New Roman"/>
          <w:sz w:val="28"/>
          <w:szCs w:val="28"/>
        </w:rPr>
        <w:t xml:space="preserve">in circumstances </w:t>
      </w:r>
      <w:r w:rsidR="00ED36FF">
        <w:rPr>
          <w:rFonts w:ascii="Times New Roman" w:hAnsi="Times New Roman" w:cs="Times New Roman"/>
          <w:sz w:val="28"/>
          <w:szCs w:val="28"/>
        </w:rPr>
        <w:t xml:space="preserve">where they </w:t>
      </w:r>
      <w:r w:rsidR="00421483">
        <w:rPr>
          <w:rFonts w:ascii="Times New Roman" w:hAnsi="Times New Roman" w:cs="Times New Roman"/>
          <w:sz w:val="28"/>
          <w:szCs w:val="28"/>
        </w:rPr>
        <w:t xml:space="preserve">introduce </w:t>
      </w:r>
      <w:r w:rsidR="004879F6">
        <w:rPr>
          <w:rFonts w:ascii="Times New Roman" w:hAnsi="Times New Roman" w:cs="Times New Roman"/>
          <w:sz w:val="28"/>
          <w:szCs w:val="28"/>
        </w:rPr>
        <w:t>facts that are not stated in the pleading excepted to.</w:t>
      </w:r>
      <w:r w:rsidR="00ED36FF">
        <w:rPr>
          <w:rFonts w:ascii="Times New Roman" w:hAnsi="Times New Roman" w:cs="Times New Roman"/>
          <w:sz w:val="28"/>
          <w:szCs w:val="28"/>
        </w:rPr>
        <w:t xml:space="preserve"> </w:t>
      </w:r>
      <w:r w:rsidR="00CD5BAF">
        <w:rPr>
          <w:rFonts w:ascii="Times New Roman" w:hAnsi="Times New Roman" w:cs="Times New Roman"/>
          <w:sz w:val="28"/>
          <w:szCs w:val="28"/>
        </w:rPr>
        <w:t>I</w:t>
      </w:r>
      <w:r w:rsidR="00116F3F">
        <w:rPr>
          <w:rFonts w:ascii="Times New Roman" w:hAnsi="Times New Roman" w:cs="Times New Roman"/>
          <w:sz w:val="28"/>
          <w:szCs w:val="28"/>
        </w:rPr>
        <w:t xml:space="preserve">n a veiled manner the </w:t>
      </w:r>
      <w:r w:rsidR="00C85C83">
        <w:rPr>
          <w:rFonts w:ascii="Times New Roman" w:hAnsi="Times New Roman" w:cs="Times New Roman"/>
          <w:sz w:val="28"/>
          <w:szCs w:val="28"/>
        </w:rPr>
        <w:t xml:space="preserve">defendants’ </w:t>
      </w:r>
      <w:r w:rsidR="004879F6">
        <w:rPr>
          <w:rFonts w:ascii="Times New Roman" w:hAnsi="Times New Roman" w:cs="Times New Roman"/>
          <w:sz w:val="28"/>
          <w:szCs w:val="28"/>
        </w:rPr>
        <w:t>C</w:t>
      </w:r>
      <w:r w:rsidR="00ED36FF">
        <w:rPr>
          <w:rFonts w:ascii="Times New Roman" w:hAnsi="Times New Roman" w:cs="Times New Roman"/>
          <w:sz w:val="28"/>
          <w:szCs w:val="28"/>
        </w:rPr>
        <w:t xml:space="preserve">ounsel </w:t>
      </w:r>
      <w:r w:rsidR="00B30D87">
        <w:rPr>
          <w:rFonts w:ascii="Times New Roman" w:hAnsi="Times New Roman" w:cs="Times New Roman"/>
          <w:sz w:val="28"/>
          <w:szCs w:val="28"/>
        </w:rPr>
        <w:t>conceded that</w:t>
      </w:r>
      <w:r w:rsidR="00ED36FF">
        <w:rPr>
          <w:rFonts w:ascii="Times New Roman" w:hAnsi="Times New Roman" w:cs="Times New Roman"/>
          <w:sz w:val="28"/>
          <w:szCs w:val="28"/>
        </w:rPr>
        <w:t xml:space="preserve"> </w:t>
      </w:r>
      <w:r w:rsidR="007574A3">
        <w:rPr>
          <w:rFonts w:ascii="Times New Roman" w:hAnsi="Times New Roman" w:cs="Times New Roman"/>
          <w:sz w:val="28"/>
          <w:szCs w:val="28"/>
        </w:rPr>
        <w:t>an inquiry into whether a</w:t>
      </w:r>
      <w:r w:rsidR="00ED36FF">
        <w:rPr>
          <w:rFonts w:ascii="Times New Roman" w:hAnsi="Times New Roman" w:cs="Times New Roman"/>
          <w:sz w:val="28"/>
          <w:szCs w:val="28"/>
        </w:rPr>
        <w:t xml:space="preserve"> party proceeds by way of an exception should be determined by </w:t>
      </w:r>
      <w:r w:rsidR="007574A3">
        <w:rPr>
          <w:rFonts w:ascii="Times New Roman" w:hAnsi="Times New Roman" w:cs="Times New Roman"/>
          <w:sz w:val="28"/>
          <w:szCs w:val="28"/>
        </w:rPr>
        <w:t xml:space="preserve">whether the defect complained of is </w:t>
      </w:r>
      <w:r w:rsidR="007574A3" w:rsidRPr="00FD66FA">
        <w:rPr>
          <w:rFonts w:ascii="Times New Roman" w:hAnsi="Times New Roman" w:cs="Times New Roman"/>
          <w:i/>
          <w:iCs/>
          <w:sz w:val="28"/>
          <w:szCs w:val="28"/>
        </w:rPr>
        <w:t>ex facie</w:t>
      </w:r>
      <w:r w:rsidR="007574A3">
        <w:rPr>
          <w:rFonts w:ascii="Times New Roman" w:hAnsi="Times New Roman" w:cs="Times New Roman"/>
          <w:sz w:val="28"/>
          <w:szCs w:val="28"/>
        </w:rPr>
        <w:t xml:space="preserve"> </w:t>
      </w:r>
      <w:r w:rsidR="004879F6">
        <w:rPr>
          <w:rFonts w:ascii="Times New Roman" w:hAnsi="Times New Roman" w:cs="Times New Roman"/>
          <w:sz w:val="28"/>
          <w:szCs w:val="28"/>
        </w:rPr>
        <w:t xml:space="preserve">the </w:t>
      </w:r>
      <w:r w:rsidR="007574A3">
        <w:rPr>
          <w:rFonts w:ascii="Times New Roman" w:hAnsi="Times New Roman" w:cs="Times New Roman"/>
          <w:sz w:val="28"/>
          <w:szCs w:val="28"/>
        </w:rPr>
        <w:t xml:space="preserve">pleading </w:t>
      </w:r>
      <w:r w:rsidR="004879F6">
        <w:rPr>
          <w:rFonts w:ascii="Times New Roman" w:hAnsi="Times New Roman" w:cs="Times New Roman"/>
          <w:sz w:val="28"/>
          <w:szCs w:val="28"/>
        </w:rPr>
        <w:t xml:space="preserve">excepted to </w:t>
      </w:r>
      <w:r w:rsidR="007574A3">
        <w:rPr>
          <w:rFonts w:ascii="Times New Roman" w:hAnsi="Times New Roman" w:cs="Times New Roman"/>
          <w:sz w:val="28"/>
          <w:szCs w:val="28"/>
        </w:rPr>
        <w:t xml:space="preserve">or there is a need for introducing new evidence. </w:t>
      </w:r>
      <w:r w:rsidR="00832DCF">
        <w:rPr>
          <w:rFonts w:ascii="Times New Roman" w:hAnsi="Times New Roman" w:cs="Times New Roman"/>
          <w:sz w:val="28"/>
          <w:szCs w:val="28"/>
        </w:rPr>
        <w:tab/>
      </w:r>
      <w:r w:rsidR="00832DCF">
        <w:rPr>
          <w:rFonts w:ascii="Times New Roman" w:hAnsi="Times New Roman" w:cs="Times New Roman"/>
          <w:sz w:val="28"/>
          <w:szCs w:val="28"/>
        </w:rPr>
        <w:tab/>
      </w:r>
    </w:p>
    <w:p w14:paraId="323462DA" w14:textId="2B249247" w:rsidR="00E528DE" w:rsidRDefault="00F0476D" w:rsidP="00906DD7">
      <w:pPr>
        <w:spacing w:line="480" w:lineRule="auto"/>
        <w:jc w:val="both"/>
        <w:rPr>
          <w:rFonts w:ascii="Times New Roman" w:hAnsi="Times New Roman" w:cs="Times New Roman"/>
          <w:sz w:val="28"/>
          <w:szCs w:val="28"/>
        </w:rPr>
      </w:pPr>
      <w:r>
        <w:rPr>
          <w:rFonts w:ascii="Times New Roman" w:hAnsi="Times New Roman" w:cs="Times New Roman"/>
          <w:sz w:val="28"/>
          <w:szCs w:val="28"/>
        </w:rPr>
        <w:t>[1</w:t>
      </w:r>
      <w:r w:rsidR="008104DB">
        <w:rPr>
          <w:rFonts w:ascii="Times New Roman" w:hAnsi="Times New Roman" w:cs="Times New Roman"/>
          <w:sz w:val="28"/>
          <w:szCs w:val="28"/>
        </w:rPr>
        <w:t>5</w:t>
      </w:r>
      <w:r w:rsidR="00832DCF">
        <w:rPr>
          <w:rFonts w:ascii="Times New Roman" w:hAnsi="Times New Roman" w:cs="Times New Roman"/>
          <w:sz w:val="28"/>
          <w:szCs w:val="28"/>
        </w:rPr>
        <w:t>]</w:t>
      </w:r>
      <w:r w:rsidR="00832DCF">
        <w:rPr>
          <w:rFonts w:ascii="Times New Roman" w:hAnsi="Times New Roman" w:cs="Times New Roman"/>
          <w:sz w:val="28"/>
          <w:szCs w:val="28"/>
        </w:rPr>
        <w:tab/>
      </w:r>
      <w:r w:rsidR="00832DCF">
        <w:rPr>
          <w:rFonts w:ascii="Times New Roman" w:hAnsi="Times New Roman" w:cs="Times New Roman"/>
          <w:sz w:val="28"/>
          <w:szCs w:val="28"/>
        </w:rPr>
        <w:tab/>
      </w:r>
      <w:r w:rsidR="000520D5">
        <w:rPr>
          <w:rFonts w:ascii="Times New Roman" w:hAnsi="Times New Roman" w:cs="Times New Roman"/>
          <w:sz w:val="28"/>
          <w:szCs w:val="28"/>
        </w:rPr>
        <w:t>In my view</w:t>
      </w:r>
      <w:r w:rsidR="00A100B2">
        <w:rPr>
          <w:rFonts w:ascii="Times New Roman" w:hAnsi="Times New Roman" w:cs="Times New Roman"/>
          <w:sz w:val="28"/>
          <w:szCs w:val="28"/>
        </w:rPr>
        <w:t>, the plaintiff has pleaded the facts necessary to sustain her claim against the defendants. It is clear that her claim is</w:t>
      </w:r>
      <w:r w:rsidR="000520D5">
        <w:rPr>
          <w:rFonts w:ascii="Times New Roman" w:hAnsi="Times New Roman" w:cs="Times New Roman"/>
          <w:sz w:val="28"/>
          <w:szCs w:val="28"/>
        </w:rPr>
        <w:t xml:space="preserve"> rooted in the</w:t>
      </w:r>
      <w:r w:rsidR="004879F6">
        <w:rPr>
          <w:rFonts w:ascii="Times New Roman" w:hAnsi="Times New Roman" w:cs="Times New Roman"/>
          <w:sz w:val="28"/>
          <w:szCs w:val="28"/>
        </w:rPr>
        <w:t xml:space="preserve"> fact</w:t>
      </w:r>
      <w:r w:rsidR="00B96F3E">
        <w:rPr>
          <w:rFonts w:ascii="Times New Roman" w:hAnsi="Times New Roman" w:cs="Times New Roman"/>
          <w:sz w:val="28"/>
          <w:szCs w:val="28"/>
        </w:rPr>
        <w:t xml:space="preserve"> that</w:t>
      </w:r>
      <w:r w:rsidR="00A100B2">
        <w:rPr>
          <w:rFonts w:ascii="Times New Roman" w:hAnsi="Times New Roman" w:cs="Times New Roman"/>
          <w:sz w:val="28"/>
          <w:szCs w:val="28"/>
        </w:rPr>
        <w:t xml:space="preserve"> when the sale agreement was cancelled, she was not refunded all the money she had paid for the site and that</w:t>
      </w:r>
      <w:r w:rsidR="00B96F3E">
        <w:rPr>
          <w:rFonts w:ascii="Times New Roman" w:hAnsi="Times New Roman" w:cs="Times New Roman"/>
          <w:sz w:val="28"/>
          <w:szCs w:val="28"/>
        </w:rPr>
        <w:t xml:space="preserve"> she had to pay interest on the loan she had taken to purchase the site. </w:t>
      </w:r>
      <w:r w:rsidR="00A100B2">
        <w:rPr>
          <w:rFonts w:ascii="Times New Roman" w:hAnsi="Times New Roman" w:cs="Times New Roman"/>
          <w:sz w:val="28"/>
          <w:szCs w:val="28"/>
        </w:rPr>
        <w:t xml:space="preserve"> </w:t>
      </w:r>
      <w:r w:rsidR="004879F6">
        <w:rPr>
          <w:rFonts w:ascii="Times New Roman" w:hAnsi="Times New Roman" w:cs="Times New Roman"/>
          <w:sz w:val="28"/>
          <w:szCs w:val="28"/>
        </w:rPr>
        <w:t xml:space="preserve"> </w:t>
      </w:r>
      <w:r w:rsidR="00C140F8" w:rsidRPr="00376487">
        <w:rPr>
          <w:rFonts w:ascii="Times New Roman" w:hAnsi="Times New Roman" w:cs="Times New Roman"/>
          <w:sz w:val="28"/>
          <w:szCs w:val="28"/>
        </w:rPr>
        <w:t xml:space="preserve">Put differently, the necessary facts which the plaintiff would be required to prove </w:t>
      </w:r>
      <w:proofErr w:type="gramStart"/>
      <w:r w:rsidR="00C140F8" w:rsidRPr="00376487">
        <w:rPr>
          <w:rFonts w:ascii="Times New Roman" w:hAnsi="Times New Roman" w:cs="Times New Roman"/>
          <w:sz w:val="28"/>
          <w:szCs w:val="28"/>
        </w:rPr>
        <w:t>in order to</w:t>
      </w:r>
      <w:proofErr w:type="gramEnd"/>
      <w:r w:rsidR="00C140F8" w:rsidRPr="00376487">
        <w:rPr>
          <w:rFonts w:ascii="Times New Roman" w:hAnsi="Times New Roman" w:cs="Times New Roman"/>
          <w:sz w:val="28"/>
          <w:szCs w:val="28"/>
        </w:rPr>
        <w:t xml:space="preserve"> support</w:t>
      </w:r>
      <w:r w:rsidR="00B96F3E">
        <w:rPr>
          <w:rFonts w:ascii="Times New Roman" w:hAnsi="Times New Roman" w:cs="Times New Roman"/>
          <w:sz w:val="28"/>
          <w:szCs w:val="28"/>
        </w:rPr>
        <w:t xml:space="preserve"> her</w:t>
      </w:r>
      <w:r w:rsidR="00C140F8" w:rsidRPr="00376487">
        <w:rPr>
          <w:rFonts w:ascii="Times New Roman" w:hAnsi="Times New Roman" w:cs="Times New Roman"/>
          <w:sz w:val="28"/>
          <w:szCs w:val="28"/>
        </w:rPr>
        <w:t xml:space="preserve"> claim, have been disclosed in sufficient detail.</w:t>
      </w:r>
    </w:p>
    <w:p w14:paraId="03F09813" w14:textId="77777777" w:rsidR="007377D0" w:rsidRDefault="007377D0" w:rsidP="00906DD7">
      <w:pPr>
        <w:spacing w:line="480" w:lineRule="auto"/>
        <w:jc w:val="both"/>
        <w:rPr>
          <w:rFonts w:ascii="Times New Roman" w:hAnsi="Times New Roman" w:cs="Times New Roman"/>
          <w:sz w:val="28"/>
          <w:szCs w:val="28"/>
        </w:rPr>
      </w:pPr>
    </w:p>
    <w:p w14:paraId="6DFC3A0A" w14:textId="1B135BD1" w:rsidR="00E528DE" w:rsidRDefault="00F0476D" w:rsidP="00906DD7">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sidR="008104DB">
        <w:rPr>
          <w:rFonts w:ascii="Times New Roman" w:hAnsi="Times New Roman" w:cs="Times New Roman"/>
          <w:sz w:val="28"/>
          <w:szCs w:val="28"/>
        </w:rPr>
        <w:t>6</w:t>
      </w:r>
      <w:r w:rsidR="00E528DE">
        <w:rPr>
          <w:rFonts w:ascii="Times New Roman" w:hAnsi="Times New Roman" w:cs="Times New Roman"/>
          <w:sz w:val="28"/>
          <w:szCs w:val="28"/>
        </w:rPr>
        <w:t>]</w:t>
      </w:r>
      <w:r w:rsidR="00E528DE">
        <w:rPr>
          <w:rFonts w:ascii="Times New Roman" w:hAnsi="Times New Roman" w:cs="Times New Roman"/>
          <w:sz w:val="28"/>
          <w:szCs w:val="28"/>
        </w:rPr>
        <w:tab/>
      </w:r>
      <w:r w:rsidR="00E528DE">
        <w:rPr>
          <w:rFonts w:ascii="Times New Roman" w:hAnsi="Times New Roman" w:cs="Times New Roman"/>
          <w:sz w:val="28"/>
          <w:szCs w:val="28"/>
        </w:rPr>
        <w:tab/>
      </w:r>
      <w:r w:rsidR="00296AD4">
        <w:rPr>
          <w:rFonts w:ascii="Times New Roman" w:hAnsi="Times New Roman" w:cs="Times New Roman"/>
          <w:sz w:val="28"/>
          <w:szCs w:val="28"/>
        </w:rPr>
        <w:t>Clearly, the defence of</w:t>
      </w:r>
      <w:r w:rsidR="00E528DE">
        <w:rPr>
          <w:rFonts w:ascii="Times New Roman" w:hAnsi="Times New Roman" w:cs="Times New Roman"/>
          <w:sz w:val="28"/>
          <w:szCs w:val="28"/>
        </w:rPr>
        <w:t xml:space="preserve"> mis- joinder and non-join</w:t>
      </w:r>
      <w:r w:rsidR="00A9295C">
        <w:rPr>
          <w:rFonts w:ascii="Times New Roman" w:hAnsi="Times New Roman" w:cs="Times New Roman"/>
          <w:sz w:val="28"/>
          <w:szCs w:val="28"/>
        </w:rPr>
        <w:t>der</w:t>
      </w:r>
      <w:r w:rsidR="00E528DE" w:rsidRPr="00376487">
        <w:rPr>
          <w:rFonts w:ascii="Times New Roman" w:hAnsi="Times New Roman" w:cs="Times New Roman"/>
          <w:sz w:val="28"/>
          <w:szCs w:val="28"/>
        </w:rPr>
        <w:t xml:space="preserve"> cannot be subsu</w:t>
      </w:r>
      <w:r w:rsidR="00E528DE">
        <w:rPr>
          <w:rFonts w:ascii="Times New Roman" w:hAnsi="Times New Roman" w:cs="Times New Roman"/>
          <w:sz w:val="28"/>
          <w:szCs w:val="28"/>
        </w:rPr>
        <w:t>med under the attack that the pleadings do not disclose a cause of action as envisaged in rule 29 (1)(a), rather a special plea of mis-joinder</w:t>
      </w:r>
      <w:r w:rsidR="005300DA">
        <w:rPr>
          <w:rFonts w:ascii="Times New Roman" w:hAnsi="Times New Roman" w:cs="Times New Roman"/>
          <w:sz w:val="28"/>
          <w:szCs w:val="28"/>
        </w:rPr>
        <w:t xml:space="preserve"> and non-joinder</w:t>
      </w:r>
      <w:r w:rsidR="00E528DE">
        <w:rPr>
          <w:rFonts w:ascii="Times New Roman" w:hAnsi="Times New Roman" w:cs="Times New Roman"/>
          <w:sz w:val="28"/>
          <w:szCs w:val="28"/>
        </w:rPr>
        <w:t xml:space="preserve"> would assist the defendants in the circumstances of this case. The </w:t>
      </w:r>
      <w:r w:rsidR="008C172E">
        <w:rPr>
          <w:rFonts w:ascii="Times New Roman" w:hAnsi="Times New Roman" w:cs="Times New Roman"/>
          <w:sz w:val="28"/>
          <w:szCs w:val="28"/>
        </w:rPr>
        <w:t>C</w:t>
      </w:r>
      <w:r w:rsidR="00E528DE">
        <w:rPr>
          <w:rFonts w:ascii="Times New Roman" w:hAnsi="Times New Roman" w:cs="Times New Roman"/>
          <w:sz w:val="28"/>
          <w:szCs w:val="28"/>
        </w:rPr>
        <w:t>ounsel for the defendants was unable to provide relevant authorities for the proposition that non joiner or mis-joinder may be taken by way of an exception even where the defect complained of</w:t>
      </w:r>
      <w:r w:rsidR="001C24D1">
        <w:rPr>
          <w:rFonts w:ascii="Times New Roman" w:hAnsi="Times New Roman" w:cs="Times New Roman"/>
          <w:sz w:val="28"/>
          <w:szCs w:val="28"/>
        </w:rPr>
        <w:t xml:space="preserve"> does not appear </w:t>
      </w:r>
      <w:r w:rsidR="00E528DE" w:rsidRPr="00FD66FA">
        <w:rPr>
          <w:rFonts w:ascii="Times New Roman" w:hAnsi="Times New Roman" w:cs="Times New Roman"/>
          <w:i/>
          <w:iCs/>
          <w:sz w:val="28"/>
          <w:szCs w:val="28"/>
        </w:rPr>
        <w:t>ex facie</w:t>
      </w:r>
      <w:r w:rsidR="00E528DE">
        <w:rPr>
          <w:rFonts w:ascii="Times New Roman" w:hAnsi="Times New Roman" w:cs="Times New Roman"/>
          <w:sz w:val="28"/>
          <w:szCs w:val="28"/>
        </w:rPr>
        <w:t xml:space="preserve"> pleadings. </w:t>
      </w:r>
    </w:p>
    <w:p w14:paraId="311FE3E9" w14:textId="77777777" w:rsidR="007377D0" w:rsidRDefault="007377D0" w:rsidP="00906DD7">
      <w:pPr>
        <w:spacing w:line="480" w:lineRule="auto"/>
        <w:jc w:val="both"/>
        <w:rPr>
          <w:rFonts w:ascii="Times New Roman" w:hAnsi="Times New Roman" w:cs="Times New Roman"/>
          <w:sz w:val="28"/>
          <w:szCs w:val="28"/>
        </w:rPr>
      </w:pPr>
    </w:p>
    <w:p w14:paraId="19D73BA1" w14:textId="2B264994" w:rsidR="000B0ED8" w:rsidRDefault="008104DB" w:rsidP="00906DD7">
      <w:pPr>
        <w:spacing w:line="480" w:lineRule="auto"/>
        <w:jc w:val="both"/>
        <w:rPr>
          <w:rFonts w:ascii="Times New Roman" w:hAnsi="Times New Roman" w:cs="Times New Roman"/>
          <w:sz w:val="28"/>
          <w:szCs w:val="28"/>
        </w:rPr>
      </w:pPr>
      <w:r>
        <w:rPr>
          <w:rFonts w:ascii="Times New Roman" w:hAnsi="Times New Roman" w:cs="Times New Roman"/>
          <w:sz w:val="28"/>
          <w:szCs w:val="28"/>
        </w:rPr>
        <w:t>[17</w:t>
      </w:r>
      <w:r w:rsidR="00E528DE">
        <w:rPr>
          <w:rFonts w:ascii="Times New Roman" w:hAnsi="Times New Roman" w:cs="Times New Roman"/>
          <w:sz w:val="28"/>
          <w:szCs w:val="28"/>
        </w:rPr>
        <w:t>]</w:t>
      </w:r>
      <w:r w:rsidR="00E528DE">
        <w:rPr>
          <w:rFonts w:ascii="Times New Roman" w:hAnsi="Times New Roman" w:cs="Times New Roman"/>
          <w:sz w:val="28"/>
          <w:szCs w:val="28"/>
        </w:rPr>
        <w:tab/>
      </w:r>
      <w:r w:rsidR="00E528DE">
        <w:rPr>
          <w:rFonts w:ascii="Times New Roman" w:hAnsi="Times New Roman" w:cs="Times New Roman"/>
          <w:sz w:val="28"/>
          <w:szCs w:val="28"/>
        </w:rPr>
        <w:tab/>
        <w:t xml:space="preserve">I agree with the defendant’s submission that </w:t>
      </w:r>
      <w:proofErr w:type="gramStart"/>
      <w:r w:rsidR="00E528DE">
        <w:rPr>
          <w:rFonts w:ascii="Times New Roman" w:hAnsi="Times New Roman" w:cs="Times New Roman"/>
          <w:sz w:val="28"/>
          <w:szCs w:val="28"/>
        </w:rPr>
        <w:t>as a general rule</w:t>
      </w:r>
      <w:proofErr w:type="gramEnd"/>
      <w:r w:rsidR="00942DD7">
        <w:rPr>
          <w:rFonts w:ascii="Times New Roman" w:hAnsi="Times New Roman" w:cs="Times New Roman"/>
          <w:sz w:val="28"/>
          <w:szCs w:val="28"/>
        </w:rPr>
        <w:t>,</w:t>
      </w:r>
      <w:r w:rsidR="00E528DE">
        <w:rPr>
          <w:rFonts w:ascii="Times New Roman" w:hAnsi="Times New Roman" w:cs="Times New Roman"/>
          <w:sz w:val="28"/>
          <w:szCs w:val="28"/>
        </w:rPr>
        <w:t xml:space="preserve"> a party who has a direct and substantial interest in the outcome of a case ought to be joined in that proce</w:t>
      </w:r>
      <w:r w:rsidR="005300DA">
        <w:rPr>
          <w:rFonts w:ascii="Times New Roman" w:hAnsi="Times New Roman" w:cs="Times New Roman"/>
          <w:sz w:val="28"/>
          <w:szCs w:val="28"/>
        </w:rPr>
        <w:t xml:space="preserve">edings. However,  reliance </w:t>
      </w:r>
      <w:r w:rsidR="00B96F3E">
        <w:rPr>
          <w:rFonts w:ascii="Times New Roman" w:hAnsi="Times New Roman" w:cs="Times New Roman"/>
          <w:sz w:val="28"/>
          <w:szCs w:val="28"/>
        </w:rPr>
        <w:t xml:space="preserve">by defendants’ counsel </w:t>
      </w:r>
      <w:r w:rsidR="005300DA">
        <w:rPr>
          <w:rFonts w:ascii="Times New Roman" w:hAnsi="Times New Roman" w:cs="Times New Roman"/>
          <w:sz w:val="28"/>
          <w:szCs w:val="28"/>
        </w:rPr>
        <w:t>on</w:t>
      </w:r>
      <w:r w:rsidR="00E528DE">
        <w:rPr>
          <w:rFonts w:ascii="Times New Roman" w:hAnsi="Times New Roman" w:cs="Times New Roman"/>
          <w:sz w:val="28"/>
          <w:szCs w:val="28"/>
        </w:rPr>
        <w:t xml:space="preserve"> </w:t>
      </w:r>
      <w:proofErr w:type="spellStart"/>
      <w:r w:rsidR="00E528DE" w:rsidRPr="00CA5AB9">
        <w:rPr>
          <w:rFonts w:ascii="Times New Roman" w:hAnsi="Times New Roman" w:cs="Times New Roman"/>
          <w:b/>
          <w:sz w:val="28"/>
          <w:szCs w:val="28"/>
        </w:rPr>
        <w:t>Jonothane</w:t>
      </w:r>
      <w:proofErr w:type="spellEnd"/>
      <w:r w:rsidR="00E528DE" w:rsidRPr="00CA5AB9">
        <w:rPr>
          <w:rFonts w:ascii="Times New Roman" w:hAnsi="Times New Roman" w:cs="Times New Roman"/>
          <w:b/>
          <w:sz w:val="28"/>
          <w:szCs w:val="28"/>
        </w:rPr>
        <w:t xml:space="preserve"> v</w:t>
      </w:r>
      <w:r w:rsidR="00942DD7">
        <w:rPr>
          <w:rFonts w:ascii="Times New Roman" w:hAnsi="Times New Roman" w:cs="Times New Roman"/>
          <w:b/>
          <w:sz w:val="28"/>
          <w:szCs w:val="28"/>
        </w:rPr>
        <w:t>.</w:t>
      </w:r>
      <w:r w:rsidR="00E528DE" w:rsidRPr="00CA5AB9">
        <w:rPr>
          <w:rFonts w:ascii="Times New Roman" w:hAnsi="Times New Roman" w:cs="Times New Roman"/>
          <w:b/>
          <w:sz w:val="28"/>
          <w:szCs w:val="28"/>
        </w:rPr>
        <w:t xml:space="preserve"> Lephole</w:t>
      </w:r>
      <w:r w:rsidR="00B96F3E">
        <w:rPr>
          <w:rStyle w:val="FootnoteReference"/>
          <w:rFonts w:ascii="Times New Roman" w:hAnsi="Times New Roman" w:cs="Times New Roman"/>
          <w:b/>
          <w:sz w:val="28"/>
          <w:szCs w:val="28"/>
        </w:rPr>
        <w:footnoteReference w:id="12"/>
      </w:r>
      <w:r w:rsidR="0061530B">
        <w:rPr>
          <w:rFonts w:ascii="Times New Roman" w:hAnsi="Times New Roman" w:cs="Times New Roman"/>
          <w:b/>
          <w:sz w:val="28"/>
          <w:szCs w:val="28"/>
        </w:rPr>
        <w:t xml:space="preserve"> </w:t>
      </w:r>
      <w:r w:rsidR="00E46897">
        <w:rPr>
          <w:rFonts w:ascii="Times New Roman" w:hAnsi="Times New Roman" w:cs="Times New Roman"/>
          <w:sz w:val="28"/>
          <w:szCs w:val="28"/>
        </w:rPr>
        <w:t>is</w:t>
      </w:r>
      <w:r w:rsidR="005300DA">
        <w:rPr>
          <w:rFonts w:ascii="Times New Roman" w:hAnsi="Times New Roman" w:cs="Times New Roman"/>
          <w:sz w:val="28"/>
          <w:szCs w:val="28"/>
        </w:rPr>
        <w:t xml:space="preserve"> misconceived</w:t>
      </w:r>
      <w:r w:rsidR="00B96F3E">
        <w:rPr>
          <w:rFonts w:ascii="Times New Roman" w:hAnsi="Times New Roman" w:cs="Times New Roman"/>
          <w:sz w:val="28"/>
          <w:szCs w:val="28"/>
        </w:rPr>
        <w:t>.</w:t>
      </w:r>
      <w:r w:rsidR="005300DA">
        <w:rPr>
          <w:rFonts w:ascii="Times New Roman" w:hAnsi="Times New Roman" w:cs="Times New Roman"/>
          <w:sz w:val="28"/>
          <w:szCs w:val="28"/>
        </w:rPr>
        <w:t xml:space="preserve"> This </w:t>
      </w:r>
      <w:r w:rsidR="00E528DE">
        <w:rPr>
          <w:rFonts w:ascii="Times New Roman" w:hAnsi="Times New Roman" w:cs="Times New Roman"/>
          <w:sz w:val="28"/>
          <w:szCs w:val="28"/>
        </w:rPr>
        <w:t>case cannot be regarded as an authority that non-</w:t>
      </w:r>
      <w:r w:rsidR="005300DA">
        <w:rPr>
          <w:rFonts w:ascii="Times New Roman" w:hAnsi="Times New Roman" w:cs="Times New Roman"/>
          <w:sz w:val="28"/>
          <w:szCs w:val="28"/>
        </w:rPr>
        <w:t>joinder and mis-joinder</w:t>
      </w:r>
      <w:r w:rsidR="00E528DE">
        <w:rPr>
          <w:rFonts w:ascii="Times New Roman" w:hAnsi="Times New Roman" w:cs="Times New Roman"/>
          <w:sz w:val="28"/>
          <w:szCs w:val="28"/>
        </w:rPr>
        <w:t xml:space="preserve"> may be raised by way of exception. In that case the court dismissed an appeal on the ground that there was non-joinder of an interested party</w:t>
      </w:r>
      <w:r w:rsidR="00942DD7">
        <w:rPr>
          <w:rFonts w:ascii="Times New Roman" w:hAnsi="Times New Roman" w:cs="Times New Roman"/>
          <w:sz w:val="28"/>
          <w:szCs w:val="28"/>
        </w:rPr>
        <w:t>. T</w:t>
      </w:r>
      <w:r w:rsidR="00E528DE">
        <w:rPr>
          <w:rFonts w:ascii="Times New Roman" w:hAnsi="Times New Roman" w:cs="Times New Roman"/>
          <w:sz w:val="28"/>
          <w:szCs w:val="28"/>
        </w:rPr>
        <w:t>he court was not c</w:t>
      </w:r>
      <w:r w:rsidR="00942DD7">
        <w:rPr>
          <w:rFonts w:ascii="Times New Roman" w:hAnsi="Times New Roman" w:cs="Times New Roman"/>
          <w:sz w:val="28"/>
          <w:szCs w:val="28"/>
        </w:rPr>
        <w:t xml:space="preserve">alled upon </w:t>
      </w:r>
      <w:r w:rsidR="008D09EF">
        <w:rPr>
          <w:rFonts w:ascii="Times New Roman" w:hAnsi="Times New Roman" w:cs="Times New Roman"/>
          <w:sz w:val="28"/>
          <w:szCs w:val="28"/>
        </w:rPr>
        <w:t>to determine</w:t>
      </w:r>
      <w:r w:rsidR="00E528DE">
        <w:rPr>
          <w:rFonts w:ascii="Times New Roman" w:hAnsi="Times New Roman" w:cs="Times New Roman"/>
          <w:sz w:val="28"/>
          <w:szCs w:val="28"/>
        </w:rPr>
        <w:t xml:space="preserve"> whether non-joinder ought to be raised as an exception or special plea. Th</w:t>
      </w:r>
      <w:r w:rsidR="001A19EF">
        <w:rPr>
          <w:rFonts w:ascii="Times New Roman" w:hAnsi="Times New Roman" w:cs="Times New Roman"/>
          <w:sz w:val="28"/>
          <w:szCs w:val="28"/>
        </w:rPr>
        <w:t>is case therefore does not assis</w:t>
      </w:r>
      <w:r w:rsidR="00E528DE">
        <w:rPr>
          <w:rFonts w:ascii="Times New Roman" w:hAnsi="Times New Roman" w:cs="Times New Roman"/>
          <w:sz w:val="28"/>
          <w:szCs w:val="28"/>
        </w:rPr>
        <w:t>t the defendants in their argument.</w:t>
      </w:r>
    </w:p>
    <w:p w14:paraId="153F3DDC" w14:textId="77777777" w:rsidR="005937BB" w:rsidRDefault="005937BB" w:rsidP="00906DD7">
      <w:pPr>
        <w:spacing w:line="480" w:lineRule="auto"/>
        <w:jc w:val="both"/>
        <w:rPr>
          <w:rFonts w:ascii="Times New Roman" w:hAnsi="Times New Roman" w:cs="Times New Roman"/>
          <w:sz w:val="28"/>
          <w:szCs w:val="28"/>
        </w:rPr>
      </w:pPr>
    </w:p>
    <w:p w14:paraId="48D0EF8A" w14:textId="77777777" w:rsidR="00DD14AE" w:rsidRDefault="00DD14AE" w:rsidP="00906DD7">
      <w:pPr>
        <w:spacing w:line="480" w:lineRule="auto"/>
        <w:jc w:val="both"/>
        <w:rPr>
          <w:rFonts w:ascii="Times New Roman" w:hAnsi="Times New Roman" w:cs="Times New Roman"/>
          <w:sz w:val="28"/>
          <w:szCs w:val="28"/>
        </w:rPr>
      </w:pPr>
    </w:p>
    <w:p w14:paraId="76E16CD5" w14:textId="3578AAE7" w:rsidR="008C172E" w:rsidRPr="00DD14AE" w:rsidRDefault="008C172E" w:rsidP="00906DD7">
      <w:pPr>
        <w:spacing w:line="480" w:lineRule="auto"/>
        <w:jc w:val="both"/>
        <w:rPr>
          <w:rFonts w:ascii="Times New Roman" w:hAnsi="Times New Roman" w:cs="Times New Roman"/>
          <w:b/>
          <w:bCs/>
          <w:sz w:val="28"/>
          <w:szCs w:val="28"/>
          <w:u w:val="single"/>
        </w:rPr>
      </w:pPr>
      <w:r w:rsidRPr="00DD14AE">
        <w:rPr>
          <w:rFonts w:ascii="Times New Roman" w:hAnsi="Times New Roman" w:cs="Times New Roman"/>
          <w:b/>
          <w:bCs/>
          <w:sz w:val="28"/>
          <w:szCs w:val="28"/>
          <w:u w:val="single"/>
        </w:rPr>
        <w:lastRenderedPageBreak/>
        <w:t>ORDER</w:t>
      </w:r>
    </w:p>
    <w:p w14:paraId="2703D95A" w14:textId="77777777" w:rsidR="005937BB" w:rsidRPr="002326DB" w:rsidRDefault="005937BB" w:rsidP="00906DD7">
      <w:pPr>
        <w:spacing w:line="480" w:lineRule="auto"/>
        <w:jc w:val="both"/>
        <w:rPr>
          <w:rFonts w:ascii="Times New Roman" w:hAnsi="Times New Roman" w:cs="Times New Roman"/>
          <w:b/>
          <w:bCs/>
          <w:sz w:val="28"/>
          <w:szCs w:val="28"/>
        </w:rPr>
      </w:pPr>
    </w:p>
    <w:p w14:paraId="7117529F" w14:textId="070887C3" w:rsidR="00832DCF" w:rsidRDefault="005858C0" w:rsidP="00906DD7">
      <w:pPr>
        <w:spacing w:line="480" w:lineRule="auto"/>
        <w:jc w:val="both"/>
        <w:rPr>
          <w:rFonts w:ascii="Times New Roman" w:hAnsi="Times New Roman" w:cs="Times New Roman"/>
          <w:sz w:val="28"/>
          <w:szCs w:val="28"/>
        </w:rPr>
      </w:pPr>
      <w:r>
        <w:rPr>
          <w:rFonts w:ascii="Times New Roman" w:hAnsi="Times New Roman" w:cs="Times New Roman"/>
          <w:sz w:val="28"/>
          <w:szCs w:val="28"/>
        </w:rPr>
        <w:t>[1</w:t>
      </w:r>
      <w:r w:rsidR="009C0E1F">
        <w:rPr>
          <w:rFonts w:ascii="Times New Roman" w:hAnsi="Times New Roman" w:cs="Times New Roman"/>
          <w:sz w:val="28"/>
          <w:szCs w:val="28"/>
        </w:rPr>
        <w:t>8</w:t>
      </w:r>
      <w:r>
        <w:rPr>
          <w:rFonts w:ascii="Times New Roman" w:hAnsi="Times New Roman" w:cs="Times New Roman"/>
          <w:sz w:val="28"/>
          <w:szCs w:val="28"/>
        </w:rPr>
        <w:t>]</w:t>
      </w:r>
      <w:r w:rsidR="0098350B">
        <w:rPr>
          <w:rFonts w:ascii="Times New Roman" w:hAnsi="Times New Roman" w:cs="Times New Roman"/>
          <w:sz w:val="28"/>
          <w:szCs w:val="28"/>
        </w:rPr>
        <w:tab/>
      </w:r>
      <w:r w:rsidR="0098350B">
        <w:rPr>
          <w:rFonts w:ascii="Times New Roman" w:hAnsi="Times New Roman" w:cs="Times New Roman"/>
          <w:sz w:val="28"/>
          <w:szCs w:val="28"/>
        </w:rPr>
        <w:tab/>
      </w:r>
      <w:r w:rsidR="00942DD7">
        <w:rPr>
          <w:rFonts w:ascii="Times New Roman" w:hAnsi="Times New Roman" w:cs="Times New Roman"/>
          <w:sz w:val="28"/>
          <w:szCs w:val="28"/>
        </w:rPr>
        <w:t xml:space="preserve">The </w:t>
      </w:r>
      <w:r w:rsidR="00942DD7">
        <w:rPr>
          <w:rFonts w:ascii="Times New Roman" w:hAnsi="Times New Roman" w:cs="Times New Roman"/>
          <w:bCs/>
          <w:sz w:val="28"/>
          <w:szCs w:val="28"/>
        </w:rPr>
        <w:t xml:space="preserve">defendants have manifestly failed to bring their attack within rule 29(1)(a). As a </w:t>
      </w:r>
      <w:r w:rsidR="008104DB">
        <w:rPr>
          <w:rFonts w:ascii="Times New Roman" w:hAnsi="Times New Roman" w:cs="Times New Roman"/>
          <w:bCs/>
          <w:sz w:val="28"/>
          <w:szCs w:val="28"/>
        </w:rPr>
        <w:t xml:space="preserve">consequence, </w:t>
      </w:r>
      <w:r w:rsidR="008104DB">
        <w:rPr>
          <w:rFonts w:ascii="Times New Roman" w:hAnsi="Times New Roman" w:cs="Times New Roman"/>
          <w:sz w:val="28"/>
          <w:szCs w:val="28"/>
        </w:rPr>
        <w:t>I</w:t>
      </w:r>
      <w:r w:rsidR="00832DCF">
        <w:rPr>
          <w:rFonts w:ascii="Times New Roman" w:hAnsi="Times New Roman" w:cs="Times New Roman"/>
          <w:sz w:val="28"/>
          <w:szCs w:val="28"/>
        </w:rPr>
        <w:t xml:space="preserve"> </w:t>
      </w:r>
      <w:r w:rsidR="0098350B">
        <w:rPr>
          <w:rFonts w:ascii="Times New Roman" w:hAnsi="Times New Roman" w:cs="Times New Roman"/>
          <w:sz w:val="28"/>
          <w:szCs w:val="28"/>
        </w:rPr>
        <w:t>make the following order:</w:t>
      </w:r>
    </w:p>
    <w:p w14:paraId="26C99460" w14:textId="5B0CABDC" w:rsidR="00832DCF" w:rsidRDefault="00B137C4" w:rsidP="00906DD7">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t>18</w:t>
      </w:r>
      <w:r w:rsidR="00E528DE">
        <w:rPr>
          <w:rFonts w:ascii="Times New Roman" w:hAnsi="Times New Roman" w:cs="Times New Roman"/>
          <w:sz w:val="28"/>
          <w:szCs w:val="28"/>
        </w:rPr>
        <w:t>.1</w:t>
      </w:r>
      <w:r w:rsidR="0098350B">
        <w:rPr>
          <w:rFonts w:ascii="Times New Roman" w:hAnsi="Times New Roman" w:cs="Times New Roman"/>
          <w:sz w:val="28"/>
          <w:szCs w:val="28"/>
        </w:rPr>
        <w:t xml:space="preserve">    </w:t>
      </w:r>
      <w:r w:rsidR="00832DCF">
        <w:rPr>
          <w:rFonts w:ascii="Times New Roman" w:hAnsi="Times New Roman" w:cs="Times New Roman"/>
          <w:sz w:val="28"/>
          <w:szCs w:val="28"/>
        </w:rPr>
        <w:t xml:space="preserve">the exception is dismissed with costs. </w:t>
      </w:r>
    </w:p>
    <w:p w14:paraId="2ED7DCAD" w14:textId="256465C1" w:rsidR="00A271B6" w:rsidRDefault="00A271B6" w:rsidP="00906DD7">
      <w:pPr>
        <w:spacing w:line="480" w:lineRule="auto"/>
        <w:jc w:val="both"/>
        <w:rPr>
          <w:rFonts w:ascii="Times New Roman" w:hAnsi="Times New Roman" w:cs="Times New Roman"/>
          <w:sz w:val="28"/>
          <w:szCs w:val="28"/>
        </w:rPr>
      </w:pPr>
    </w:p>
    <w:p w14:paraId="17A0735C" w14:textId="77777777" w:rsidR="00944D5D" w:rsidRDefault="00944D5D" w:rsidP="00906DD7">
      <w:pPr>
        <w:spacing w:line="480" w:lineRule="auto"/>
        <w:jc w:val="both"/>
        <w:rPr>
          <w:rFonts w:ascii="Times New Roman" w:hAnsi="Times New Roman" w:cs="Times New Roman"/>
          <w:sz w:val="28"/>
          <w:szCs w:val="28"/>
        </w:rPr>
      </w:pPr>
    </w:p>
    <w:p w14:paraId="2A39995D" w14:textId="3FD6A776" w:rsidR="00832DCF" w:rsidRPr="00944D5D" w:rsidRDefault="00944D5D" w:rsidP="00944D5D">
      <w:pPr>
        <w:pStyle w:val="NoSpacing"/>
        <w:jc w:val="center"/>
        <w:rPr>
          <w:rFonts w:ascii="Times New Roman" w:hAnsi="Times New Roman" w:cs="Times New Roman"/>
          <w:sz w:val="28"/>
          <w:szCs w:val="28"/>
        </w:rPr>
      </w:pPr>
      <w:r w:rsidRPr="00944D5D">
        <w:rPr>
          <w:rFonts w:ascii="Times New Roman" w:hAnsi="Times New Roman" w:cs="Times New Roman"/>
          <w:sz w:val="28"/>
          <w:szCs w:val="28"/>
        </w:rPr>
        <w:t>________________________</w:t>
      </w:r>
    </w:p>
    <w:p w14:paraId="7EBD4751" w14:textId="77777777" w:rsidR="00832DCF" w:rsidRPr="00944D5D" w:rsidRDefault="00832DCF" w:rsidP="00944D5D">
      <w:pPr>
        <w:pStyle w:val="NoSpacing"/>
        <w:jc w:val="center"/>
        <w:rPr>
          <w:rFonts w:ascii="Times New Roman" w:eastAsia="Calibri" w:hAnsi="Times New Roman" w:cs="Times New Roman"/>
          <w:b/>
          <w:bCs/>
          <w:color w:val="0E101A"/>
          <w:sz w:val="28"/>
          <w:szCs w:val="28"/>
        </w:rPr>
      </w:pPr>
      <w:r w:rsidRPr="00944D5D">
        <w:rPr>
          <w:rFonts w:ascii="Times New Roman" w:eastAsia="Calibri" w:hAnsi="Times New Roman" w:cs="Times New Roman"/>
          <w:b/>
          <w:bCs/>
          <w:color w:val="0E101A"/>
          <w:sz w:val="28"/>
          <w:szCs w:val="28"/>
        </w:rPr>
        <w:t>A.R. MATHABA J</w:t>
      </w:r>
    </w:p>
    <w:p w14:paraId="3E65FA05" w14:textId="77777777" w:rsidR="00832DCF" w:rsidRPr="00832DCF" w:rsidRDefault="00832DCF" w:rsidP="00944D5D">
      <w:pPr>
        <w:pStyle w:val="NoSpacing"/>
        <w:jc w:val="center"/>
        <w:rPr>
          <w:rFonts w:eastAsia="Calibri"/>
          <w:color w:val="0E101A"/>
        </w:rPr>
      </w:pPr>
      <w:r w:rsidRPr="00944D5D">
        <w:rPr>
          <w:rFonts w:ascii="Times New Roman" w:eastAsia="Calibri" w:hAnsi="Times New Roman" w:cs="Times New Roman"/>
          <w:color w:val="0E101A"/>
          <w:sz w:val="28"/>
          <w:szCs w:val="28"/>
        </w:rPr>
        <w:t>Judge of the High Court</w:t>
      </w:r>
    </w:p>
    <w:p w14:paraId="4EE1B575" w14:textId="77777777" w:rsidR="00832DCF" w:rsidRPr="00832DCF" w:rsidRDefault="00832DCF" w:rsidP="00944D5D">
      <w:pPr>
        <w:suppressAutoHyphens/>
        <w:autoSpaceDN w:val="0"/>
        <w:spacing w:after="0" w:line="480" w:lineRule="auto"/>
        <w:textAlignment w:val="baseline"/>
        <w:rPr>
          <w:rFonts w:ascii="Times New Roman" w:eastAsia="Calibri" w:hAnsi="Times New Roman" w:cs="Times New Roman"/>
          <w:color w:val="0E101A"/>
          <w:sz w:val="28"/>
          <w:szCs w:val="28"/>
        </w:rPr>
      </w:pPr>
    </w:p>
    <w:p w14:paraId="12BEAD35" w14:textId="4FD98555" w:rsidR="00832DCF" w:rsidRPr="00832DCF" w:rsidRDefault="00812091" w:rsidP="00906DD7">
      <w:pPr>
        <w:suppressAutoHyphens/>
        <w:autoSpaceDN w:val="0"/>
        <w:spacing w:after="0" w:line="480" w:lineRule="auto"/>
        <w:textAlignment w:val="baseline"/>
        <w:rPr>
          <w:rFonts w:ascii="Times New Roman" w:eastAsia="Calibri" w:hAnsi="Times New Roman" w:cs="Times New Roman"/>
          <w:color w:val="0E101A"/>
          <w:sz w:val="28"/>
          <w:szCs w:val="28"/>
        </w:rPr>
      </w:pPr>
      <w:r>
        <w:rPr>
          <w:rFonts w:ascii="Times New Roman" w:eastAsia="Calibri" w:hAnsi="Times New Roman" w:cs="Times New Roman"/>
          <w:color w:val="0E101A"/>
          <w:sz w:val="28"/>
          <w:szCs w:val="28"/>
        </w:rPr>
        <w:t>For the plaintiff</w:t>
      </w:r>
      <w:r w:rsidR="00832DCF" w:rsidRPr="00832DCF">
        <w:rPr>
          <w:rFonts w:ascii="Times New Roman" w:eastAsia="Calibri" w:hAnsi="Times New Roman" w:cs="Times New Roman"/>
          <w:color w:val="0E101A"/>
          <w:sz w:val="28"/>
          <w:szCs w:val="28"/>
        </w:rPr>
        <w:t>’s:</w:t>
      </w:r>
      <w:r w:rsidR="00832DCF" w:rsidRPr="00832DCF">
        <w:rPr>
          <w:rFonts w:ascii="Times New Roman" w:eastAsia="Calibri" w:hAnsi="Times New Roman" w:cs="Times New Roman"/>
          <w:color w:val="0E101A"/>
          <w:sz w:val="28"/>
          <w:szCs w:val="28"/>
        </w:rPr>
        <w:tab/>
        <w:t>Advocate</w:t>
      </w:r>
      <w:r>
        <w:rPr>
          <w:rFonts w:ascii="Times New Roman" w:eastAsia="Calibri" w:hAnsi="Times New Roman" w:cs="Times New Roman"/>
          <w:color w:val="0E101A"/>
          <w:sz w:val="28"/>
          <w:szCs w:val="28"/>
        </w:rPr>
        <w:t xml:space="preserve"> T.A </w:t>
      </w:r>
      <w:proofErr w:type="spellStart"/>
      <w:r>
        <w:rPr>
          <w:rFonts w:ascii="Times New Roman" w:eastAsia="Calibri" w:hAnsi="Times New Roman" w:cs="Times New Roman"/>
          <w:color w:val="0E101A"/>
          <w:sz w:val="28"/>
          <w:szCs w:val="28"/>
        </w:rPr>
        <w:t>Lesaoana</w:t>
      </w:r>
      <w:proofErr w:type="spellEnd"/>
    </w:p>
    <w:p w14:paraId="3807805A" w14:textId="77777777" w:rsidR="00832DCF" w:rsidRPr="00832DCF" w:rsidRDefault="00812091" w:rsidP="00906DD7">
      <w:pPr>
        <w:tabs>
          <w:tab w:val="left" w:pos="720"/>
          <w:tab w:val="left" w:pos="1440"/>
          <w:tab w:val="left" w:pos="2160"/>
          <w:tab w:val="left" w:pos="2880"/>
          <w:tab w:val="left" w:pos="3600"/>
          <w:tab w:val="left" w:pos="4320"/>
          <w:tab w:val="left" w:pos="5040"/>
          <w:tab w:val="left" w:pos="5760"/>
          <w:tab w:val="left" w:pos="6480"/>
          <w:tab w:val="left" w:pos="8175"/>
        </w:tabs>
        <w:suppressAutoHyphens/>
        <w:autoSpaceDN w:val="0"/>
        <w:spacing w:after="0" w:line="480" w:lineRule="auto"/>
        <w:textAlignment w:val="baseline"/>
        <w:rPr>
          <w:rFonts w:ascii="Times New Roman" w:eastAsia="Calibri" w:hAnsi="Times New Roman" w:cs="Times New Roman"/>
          <w:color w:val="0E101A"/>
          <w:sz w:val="28"/>
          <w:szCs w:val="28"/>
        </w:rPr>
      </w:pPr>
      <w:r>
        <w:rPr>
          <w:rFonts w:ascii="Times New Roman" w:eastAsia="Calibri" w:hAnsi="Times New Roman" w:cs="Times New Roman"/>
          <w:color w:val="0E101A"/>
          <w:sz w:val="28"/>
          <w:szCs w:val="28"/>
        </w:rPr>
        <w:t>For the Defendants:</w:t>
      </w:r>
      <w:r w:rsidR="0098350B">
        <w:rPr>
          <w:rFonts w:ascii="Times New Roman" w:eastAsia="Calibri" w:hAnsi="Times New Roman" w:cs="Times New Roman"/>
          <w:color w:val="0E101A"/>
          <w:sz w:val="28"/>
          <w:szCs w:val="28"/>
        </w:rPr>
        <w:t xml:space="preserve"> Advocate</w:t>
      </w:r>
      <w:r w:rsidR="009833C3">
        <w:rPr>
          <w:rFonts w:ascii="Times New Roman" w:eastAsia="Calibri" w:hAnsi="Times New Roman" w:cs="Times New Roman"/>
          <w:color w:val="0E101A"/>
          <w:sz w:val="28"/>
          <w:szCs w:val="28"/>
        </w:rPr>
        <w:t xml:space="preserve"> P.</w:t>
      </w:r>
      <w:r w:rsidR="0098350B">
        <w:rPr>
          <w:rFonts w:ascii="Times New Roman" w:eastAsia="Calibri" w:hAnsi="Times New Roman" w:cs="Times New Roman"/>
          <w:color w:val="0E101A"/>
          <w:sz w:val="28"/>
          <w:szCs w:val="28"/>
        </w:rPr>
        <w:t xml:space="preserve"> </w:t>
      </w:r>
      <w:proofErr w:type="spellStart"/>
      <w:r w:rsidR="0098350B">
        <w:rPr>
          <w:rFonts w:ascii="Times New Roman" w:eastAsia="Calibri" w:hAnsi="Times New Roman" w:cs="Times New Roman"/>
          <w:color w:val="0E101A"/>
          <w:sz w:val="28"/>
          <w:szCs w:val="28"/>
        </w:rPr>
        <w:t>Khutlang</w:t>
      </w:r>
      <w:proofErr w:type="spellEnd"/>
      <w:r w:rsidR="00832DCF" w:rsidRPr="00832DCF">
        <w:rPr>
          <w:rFonts w:ascii="Times New Roman" w:eastAsia="Calibri" w:hAnsi="Times New Roman" w:cs="Times New Roman"/>
          <w:color w:val="0E101A"/>
          <w:sz w:val="28"/>
          <w:szCs w:val="28"/>
        </w:rPr>
        <w:tab/>
      </w:r>
    </w:p>
    <w:p w14:paraId="12D3DC15" w14:textId="77777777" w:rsidR="00832DCF" w:rsidRPr="00832DCF" w:rsidRDefault="00832DCF" w:rsidP="00906DD7">
      <w:pPr>
        <w:tabs>
          <w:tab w:val="left" w:pos="720"/>
          <w:tab w:val="left" w:pos="1440"/>
          <w:tab w:val="left" w:pos="2160"/>
          <w:tab w:val="left" w:pos="2880"/>
          <w:tab w:val="left" w:pos="3600"/>
          <w:tab w:val="left" w:pos="4320"/>
          <w:tab w:val="left" w:pos="5040"/>
          <w:tab w:val="left" w:pos="5760"/>
          <w:tab w:val="left" w:pos="6480"/>
          <w:tab w:val="left" w:pos="8175"/>
        </w:tabs>
        <w:suppressAutoHyphens/>
        <w:autoSpaceDN w:val="0"/>
        <w:spacing w:after="0" w:line="480" w:lineRule="auto"/>
        <w:textAlignment w:val="baseline"/>
        <w:rPr>
          <w:rFonts w:ascii="Times New Roman" w:eastAsia="Calibri" w:hAnsi="Times New Roman" w:cs="Times New Roman"/>
          <w:color w:val="0E101A"/>
          <w:sz w:val="28"/>
          <w:szCs w:val="28"/>
        </w:rPr>
      </w:pPr>
    </w:p>
    <w:p w14:paraId="64AECDDF" w14:textId="77777777" w:rsidR="00832DCF" w:rsidRPr="00832DCF" w:rsidRDefault="00832DCF" w:rsidP="00906DD7">
      <w:pPr>
        <w:suppressAutoHyphens/>
        <w:autoSpaceDN w:val="0"/>
        <w:spacing w:after="0" w:line="480" w:lineRule="auto"/>
        <w:jc w:val="both"/>
        <w:textAlignment w:val="baseline"/>
        <w:rPr>
          <w:rFonts w:ascii="Times New Roman" w:eastAsia="Calibri" w:hAnsi="Times New Roman" w:cs="Times New Roman"/>
          <w:color w:val="0E101A"/>
          <w:sz w:val="28"/>
          <w:szCs w:val="28"/>
        </w:rPr>
      </w:pPr>
    </w:p>
    <w:p w14:paraId="211CBF5A" w14:textId="77777777" w:rsidR="00832DCF" w:rsidRPr="00832DCF" w:rsidRDefault="00832DCF" w:rsidP="00906DD7">
      <w:pPr>
        <w:suppressAutoHyphens/>
        <w:autoSpaceDN w:val="0"/>
        <w:spacing w:after="0" w:line="480" w:lineRule="auto"/>
        <w:jc w:val="both"/>
        <w:textAlignment w:val="baseline"/>
        <w:rPr>
          <w:rFonts w:ascii="Times New Roman" w:eastAsia="Calibri" w:hAnsi="Times New Roman" w:cs="Times New Roman"/>
          <w:color w:val="0E101A"/>
          <w:sz w:val="28"/>
          <w:szCs w:val="28"/>
        </w:rPr>
      </w:pPr>
      <w:r w:rsidRPr="00832DCF">
        <w:rPr>
          <w:rFonts w:ascii="Times New Roman" w:eastAsia="Calibri" w:hAnsi="Times New Roman" w:cs="Times New Roman"/>
          <w:color w:val="0E101A"/>
          <w:sz w:val="28"/>
          <w:szCs w:val="28"/>
        </w:rPr>
        <w:tab/>
      </w:r>
      <w:r w:rsidRPr="00832DCF">
        <w:rPr>
          <w:rFonts w:ascii="Times New Roman" w:eastAsia="Calibri" w:hAnsi="Times New Roman" w:cs="Times New Roman"/>
          <w:color w:val="0E101A"/>
          <w:sz w:val="28"/>
          <w:szCs w:val="28"/>
        </w:rPr>
        <w:tab/>
      </w:r>
      <w:r w:rsidRPr="00832DCF">
        <w:rPr>
          <w:rFonts w:ascii="Times New Roman" w:eastAsia="Calibri" w:hAnsi="Times New Roman" w:cs="Times New Roman"/>
          <w:color w:val="0E101A"/>
          <w:sz w:val="28"/>
          <w:szCs w:val="28"/>
        </w:rPr>
        <w:tab/>
      </w:r>
    </w:p>
    <w:p w14:paraId="66E5A347" w14:textId="77777777" w:rsidR="00832DCF" w:rsidRPr="00832DCF" w:rsidRDefault="00832DCF" w:rsidP="00832DCF">
      <w:pPr>
        <w:suppressAutoHyphens/>
        <w:autoSpaceDN w:val="0"/>
        <w:spacing w:after="0" w:line="240" w:lineRule="auto"/>
        <w:jc w:val="both"/>
        <w:textAlignment w:val="baseline"/>
        <w:rPr>
          <w:rFonts w:ascii="Times New Roman" w:eastAsia="Times New Roman" w:hAnsi="Times New Roman" w:cs="Times New Roman"/>
          <w:sz w:val="28"/>
          <w:szCs w:val="28"/>
          <w:lang w:val="en-US"/>
        </w:rPr>
      </w:pPr>
      <w:r w:rsidRPr="00832DCF">
        <w:rPr>
          <w:rFonts w:ascii="Times New Roman" w:eastAsia="Calibri" w:hAnsi="Times New Roman" w:cs="Times New Roman"/>
          <w:color w:val="0E101A"/>
          <w:sz w:val="28"/>
          <w:szCs w:val="28"/>
        </w:rPr>
        <w:tab/>
      </w:r>
    </w:p>
    <w:p w14:paraId="12B5D4DB" w14:textId="77777777" w:rsidR="00832DCF" w:rsidRPr="00376487" w:rsidRDefault="00832DCF" w:rsidP="000B0ED8">
      <w:pPr>
        <w:spacing w:line="360" w:lineRule="auto"/>
        <w:jc w:val="both"/>
        <w:rPr>
          <w:rFonts w:ascii="Times New Roman" w:hAnsi="Times New Roman" w:cs="Times New Roman"/>
          <w:sz w:val="28"/>
          <w:szCs w:val="28"/>
        </w:rPr>
      </w:pPr>
    </w:p>
    <w:p w14:paraId="64B384E9" w14:textId="77777777" w:rsidR="000B0ED8" w:rsidRPr="00376487" w:rsidRDefault="000B0ED8" w:rsidP="00376487">
      <w:pPr>
        <w:spacing w:line="360" w:lineRule="auto"/>
        <w:jc w:val="both"/>
        <w:rPr>
          <w:rFonts w:ascii="Times New Roman" w:hAnsi="Times New Roman" w:cs="Times New Roman"/>
          <w:sz w:val="28"/>
          <w:szCs w:val="28"/>
        </w:rPr>
      </w:pPr>
    </w:p>
    <w:p w14:paraId="55FED70E" w14:textId="77777777" w:rsidR="00410D19" w:rsidRPr="00376487" w:rsidRDefault="00410D19" w:rsidP="00376487">
      <w:pPr>
        <w:spacing w:line="360" w:lineRule="auto"/>
        <w:jc w:val="both"/>
        <w:rPr>
          <w:rFonts w:ascii="Times New Roman" w:hAnsi="Times New Roman" w:cs="Times New Roman"/>
          <w:sz w:val="28"/>
          <w:szCs w:val="28"/>
        </w:rPr>
      </w:pPr>
    </w:p>
    <w:p w14:paraId="2C8D09F5" w14:textId="77777777" w:rsidR="00410D19" w:rsidRPr="00376487" w:rsidRDefault="00410D19" w:rsidP="00376487">
      <w:pPr>
        <w:spacing w:line="360" w:lineRule="auto"/>
        <w:jc w:val="both"/>
        <w:rPr>
          <w:rFonts w:ascii="Times New Roman" w:hAnsi="Times New Roman" w:cs="Times New Roman"/>
          <w:sz w:val="28"/>
          <w:szCs w:val="28"/>
        </w:rPr>
      </w:pPr>
    </w:p>
    <w:sectPr w:rsidR="00410D19" w:rsidRPr="00376487" w:rsidSect="005B6824">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E9EBC" w14:textId="77777777" w:rsidR="00554CE6" w:rsidRDefault="00554CE6" w:rsidP="00785CA1">
      <w:pPr>
        <w:spacing w:after="0" w:line="240" w:lineRule="auto"/>
      </w:pPr>
      <w:r>
        <w:separator/>
      </w:r>
    </w:p>
  </w:endnote>
  <w:endnote w:type="continuationSeparator" w:id="0">
    <w:p w14:paraId="4E684516" w14:textId="77777777" w:rsidR="00554CE6" w:rsidRDefault="00554CE6" w:rsidP="00785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044939"/>
      <w:docPartObj>
        <w:docPartGallery w:val="Page Numbers (Bottom of Page)"/>
        <w:docPartUnique/>
      </w:docPartObj>
    </w:sdtPr>
    <w:sdtEndPr>
      <w:rPr>
        <w:noProof/>
      </w:rPr>
    </w:sdtEndPr>
    <w:sdtContent>
      <w:p w14:paraId="31027B6B" w14:textId="1ECBA1B5" w:rsidR="00AE72CD" w:rsidRDefault="00AE72CD">
        <w:pPr>
          <w:pStyle w:val="Footer"/>
          <w:jc w:val="right"/>
        </w:pPr>
        <w:r>
          <w:fldChar w:fldCharType="begin"/>
        </w:r>
        <w:r>
          <w:instrText xml:space="preserve"> PAGE   \* MERGEFORMAT </w:instrText>
        </w:r>
        <w:r>
          <w:fldChar w:fldCharType="separate"/>
        </w:r>
        <w:r w:rsidR="004451F4">
          <w:rPr>
            <w:noProof/>
          </w:rPr>
          <w:t>12</w:t>
        </w:r>
        <w:r>
          <w:rPr>
            <w:noProof/>
          </w:rPr>
          <w:fldChar w:fldCharType="end"/>
        </w:r>
      </w:p>
    </w:sdtContent>
  </w:sdt>
  <w:p w14:paraId="474595FB" w14:textId="77777777" w:rsidR="00AE72CD" w:rsidRDefault="00AE7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5FFE3" w14:textId="77777777" w:rsidR="00554CE6" w:rsidRDefault="00554CE6" w:rsidP="00785CA1">
      <w:pPr>
        <w:spacing w:after="0" w:line="240" w:lineRule="auto"/>
      </w:pPr>
      <w:r>
        <w:separator/>
      </w:r>
    </w:p>
  </w:footnote>
  <w:footnote w:type="continuationSeparator" w:id="0">
    <w:p w14:paraId="74A76B6C" w14:textId="77777777" w:rsidR="00554CE6" w:rsidRDefault="00554CE6" w:rsidP="00785CA1">
      <w:pPr>
        <w:spacing w:after="0" w:line="240" w:lineRule="auto"/>
      </w:pPr>
      <w:r>
        <w:continuationSeparator/>
      </w:r>
    </w:p>
  </w:footnote>
  <w:footnote w:id="1">
    <w:p w14:paraId="715F1FB6" w14:textId="77777777" w:rsidR="00A8654C" w:rsidRDefault="00A8654C">
      <w:pPr>
        <w:pStyle w:val="FootnoteText"/>
      </w:pPr>
      <w:r>
        <w:rPr>
          <w:rStyle w:val="FootnoteReference"/>
        </w:rPr>
        <w:footnoteRef/>
      </w:r>
      <w:r w:rsidR="001D3C5E">
        <w:t xml:space="preserve"> </w:t>
      </w:r>
      <w:proofErr w:type="spellStart"/>
      <w:r w:rsidR="001D3C5E">
        <w:t>Songo</w:t>
      </w:r>
      <w:proofErr w:type="spellEnd"/>
      <w:r w:rsidR="001D3C5E">
        <w:t xml:space="preserve"> v Minister of Police (220/2021) [2022] ZASCA 43 </w:t>
      </w:r>
      <w:r>
        <w:t>at para</w:t>
      </w:r>
      <w:r w:rsidR="001D3C5E">
        <w:t>graph</w:t>
      </w:r>
      <w:r>
        <w:t xml:space="preserve"> 31</w:t>
      </w:r>
      <w:r w:rsidR="001D3C5E">
        <w:t>:</w:t>
      </w:r>
      <w:r w:rsidR="003D4FD3">
        <w:t xml:space="preserve"> rule 29 (1)(a) 29(2)(a).</w:t>
      </w:r>
    </w:p>
  </w:footnote>
  <w:footnote w:id="2">
    <w:p w14:paraId="5987ED55" w14:textId="0138082F" w:rsidR="00E947F6" w:rsidRPr="00FD66FA" w:rsidRDefault="00E947F6">
      <w:pPr>
        <w:pStyle w:val="FootnoteText"/>
        <w:rPr>
          <w:lang w:val="en-GB"/>
        </w:rPr>
      </w:pPr>
      <w:r>
        <w:rPr>
          <w:rStyle w:val="FootnoteReference"/>
        </w:rPr>
        <w:footnoteRef/>
      </w:r>
      <w:r>
        <w:t xml:space="preserve"> </w:t>
      </w:r>
      <w:proofErr w:type="spellStart"/>
      <w:r w:rsidRPr="006B1EE4">
        <w:rPr>
          <w:rFonts w:ascii="Times New Roman" w:hAnsi="Times New Roman" w:cs="Times New Roman"/>
        </w:rPr>
        <w:t>Knoesen</w:t>
      </w:r>
      <w:proofErr w:type="spellEnd"/>
      <w:r w:rsidRPr="006B1EE4">
        <w:rPr>
          <w:rFonts w:ascii="Times New Roman" w:hAnsi="Times New Roman" w:cs="Times New Roman"/>
        </w:rPr>
        <w:t xml:space="preserve"> v Maritz 5001/2018 [2019] ZAFSHC 92</w:t>
      </w:r>
      <w:r>
        <w:rPr>
          <w:rFonts w:ascii="Times New Roman" w:hAnsi="Times New Roman" w:cs="Times New Roman"/>
        </w:rPr>
        <w:t xml:space="preserve"> page 7 paragraph 11.</w:t>
      </w:r>
    </w:p>
  </w:footnote>
  <w:footnote w:id="3">
    <w:p w14:paraId="70FEB649" w14:textId="44D8FF74" w:rsidR="009C1DB4" w:rsidRPr="009C1DB4" w:rsidRDefault="009C1DB4">
      <w:pPr>
        <w:pStyle w:val="FootnoteText"/>
        <w:rPr>
          <w:lang w:val="en-GB"/>
        </w:rPr>
      </w:pPr>
      <w:r>
        <w:rPr>
          <w:rStyle w:val="FootnoteReference"/>
        </w:rPr>
        <w:footnoteRef/>
      </w:r>
      <w:r>
        <w:t xml:space="preserve"> </w:t>
      </w:r>
      <w:proofErr w:type="spellStart"/>
      <w:r>
        <w:rPr>
          <w:lang w:val="en-GB"/>
        </w:rPr>
        <w:t>Coruscore</w:t>
      </w:r>
      <w:proofErr w:type="spellEnd"/>
      <w:r>
        <w:rPr>
          <w:lang w:val="en-GB"/>
        </w:rPr>
        <w:t xml:space="preserve"> (Pty) Ltd v </w:t>
      </w:r>
      <w:proofErr w:type="spellStart"/>
      <w:r>
        <w:rPr>
          <w:lang w:val="en-GB"/>
        </w:rPr>
        <w:t>Nqobile</w:t>
      </w:r>
      <w:proofErr w:type="spellEnd"/>
      <w:r>
        <w:rPr>
          <w:lang w:val="en-GB"/>
        </w:rPr>
        <w:t xml:space="preserve"> Nxumalo 1619/2020 [2021] ZAECBHC 6, page 9 para 8 </w:t>
      </w:r>
    </w:p>
  </w:footnote>
  <w:footnote w:id="4">
    <w:p w14:paraId="5691CCFD" w14:textId="3BF343E2" w:rsidR="00B10E81" w:rsidRDefault="00B10E81" w:rsidP="00B10E81">
      <w:pPr>
        <w:pStyle w:val="FootnoteText"/>
      </w:pPr>
      <w:r>
        <w:rPr>
          <w:rStyle w:val="FootnoteReference"/>
        </w:rPr>
        <w:footnoteRef/>
      </w:r>
      <w:r>
        <w:t xml:space="preserve"> (C</w:t>
      </w:r>
      <w:r w:rsidR="00A168D5">
        <w:t xml:space="preserve"> </w:t>
      </w:r>
      <w:r>
        <w:t xml:space="preserve">of </w:t>
      </w:r>
      <w:r w:rsidR="009C1DB4">
        <w:t>A (</w:t>
      </w:r>
      <w:r>
        <w:t xml:space="preserve">CIV) 15/2006) </w:t>
      </w:r>
      <w:proofErr w:type="gramStart"/>
      <w:r>
        <w:t>( NULL</w:t>
      </w:r>
      <w:proofErr w:type="gramEnd"/>
      <w:r>
        <w:t xml:space="preserve">) [2007] LHSC 47 </w:t>
      </w:r>
    </w:p>
  </w:footnote>
  <w:footnote w:id="5">
    <w:p w14:paraId="517D44F4" w14:textId="4EA48B12" w:rsidR="00BE7D8A" w:rsidRPr="00FD66FA" w:rsidRDefault="00BE7D8A">
      <w:pPr>
        <w:pStyle w:val="FootnoteText"/>
        <w:rPr>
          <w:lang w:val="en-GB"/>
        </w:rPr>
      </w:pPr>
      <w:r>
        <w:rPr>
          <w:rStyle w:val="FootnoteReference"/>
        </w:rPr>
        <w:footnoteRef/>
      </w:r>
      <w:r>
        <w:t xml:space="preserve"> </w:t>
      </w:r>
      <w:r>
        <w:rPr>
          <w:lang w:val="en-GB"/>
        </w:rPr>
        <w:t>121/99 [2002] ZACSA 53; [2001] 3 ALL SA 350 A page 21 – 22 para 7</w:t>
      </w:r>
    </w:p>
  </w:footnote>
  <w:footnote w:id="6">
    <w:p w14:paraId="7CE13199" w14:textId="3019444D" w:rsidR="00BE7D8A" w:rsidRPr="00FD66FA" w:rsidRDefault="00BE7D8A">
      <w:pPr>
        <w:pStyle w:val="FootnoteText"/>
        <w:rPr>
          <w:lang w:val="en-GB"/>
        </w:rPr>
      </w:pPr>
      <w:r>
        <w:rPr>
          <w:rStyle w:val="FootnoteReference"/>
        </w:rPr>
        <w:footnoteRef/>
      </w:r>
      <w:r>
        <w:t xml:space="preserve"> </w:t>
      </w:r>
      <w:r>
        <w:rPr>
          <w:lang w:val="en-GB"/>
        </w:rPr>
        <w:t xml:space="preserve">11821/05[2007] ZAWCHC 21; 2008 (3) SA 594 C para 22. </w:t>
      </w:r>
    </w:p>
  </w:footnote>
  <w:footnote w:id="7">
    <w:p w14:paraId="52B0B8BA" w14:textId="6DA629A0" w:rsidR="00F51185" w:rsidRPr="00FD66FA" w:rsidRDefault="00F51185">
      <w:pPr>
        <w:pStyle w:val="FootnoteText"/>
        <w:rPr>
          <w:lang w:val="en-GB"/>
        </w:rPr>
      </w:pPr>
      <w:r>
        <w:rPr>
          <w:rStyle w:val="FootnoteReference"/>
        </w:rPr>
        <w:footnoteRef/>
      </w:r>
      <w:r>
        <w:t xml:space="preserve"> Ibid para 5</w:t>
      </w:r>
    </w:p>
  </w:footnote>
  <w:footnote w:id="8">
    <w:p w14:paraId="4FBB6720" w14:textId="44A8E3A6" w:rsidR="00F51185" w:rsidRPr="00FD66FA" w:rsidRDefault="00F51185">
      <w:pPr>
        <w:pStyle w:val="FootnoteText"/>
        <w:rPr>
          <w:lang w:val="en-GB"/>
        </w:rPr>
      </w:pPr>
      <w:r>
        <w:rPr>
          <w:rStyle w:val="FootnoteReference"/>
        </w:rPr>
        <w:footnoteRef/>
      </w:r>
      <w:r>
        <w:t xml:space="preserve"> </w:t>
      </w:r>
      <w:r>
        <w:rPr>
          <w:lang w:val="en-GB"/>
        </w:rPr>
        <w:t xml:space="preserve">Ibid </w:t>
      </w:r>
    </w:p>
  </w:footnote>
  <w:footnote w:id="9">
    <w:p w14:paraId="4E41481C" w14:textId="77777777" w:rsidR="00D168F4" w:rsidRDefault="00D168F4">
      <w:pPr>
        <w:pStyle w:val="FootnoteText"/>
      </w:pPr>
      <w:r>
        <w:rPr>
          <w:rStyle w:val="FootnoteReference"/>
        </w:rPr>
        <w:footnoteRef/>
      </w:r>
      <w:r>
        <w:t xml:space="preserve"> </w:t>
      </w:r>
      <w:proofErr w:type="spellStart"/>
      <w:r>
        <w:t>Curoscore</w:t>
      </w:r>
      <w:proofErr w:type="spellEnd"/>
      <w:r>
        <w:t xml:space="preserve"> </w:t>
      </w:r>
      <w:r w:rsidR="002614E5">
        <w:t>at</w:t>
      </w:r>
      <w:r w:rsidR="00F91B63">
        <w:t xml:space="preserve"> page 14 </w:t>
      </w:r>
      <w:r w:rsidR="002614E5">
        <w:t xml:space="preserve">paragraph </w:t>
      </w:r>
      <w:r>
        <w:t>8</w:t>
      </w:r>
      <w:r w:rsidR="002614E5">
        <w:t>.</w:t>
      </w:r>
      <w:r>
        <w:t xml:space="preserve"> </w:t>
      </w:r>
    </w:p>
  </w:footnote>
  <w:footnote w:id="10">
    <w:p w14:paraId="39783596" w14:textId="77777777" w:rsidR="009C1EAE" w:rsidRDefault="009C1EAE">
      <w:pPr>
        <w:pStyle w:val="FootnoteText"/>
      </w:pPr>
      <w:r>
        <w:rPr>
          <w:rStyle w:val="FootnoteReference"/>
        </w:rPr>
        <w:footnoteRef/>
      </w:r>
      <w:r>
        <w:t xml:space="preserve"> </w:t>
      </w:r>
      <w:proofErr w:type="spellStart"/>
      <w:r>
        <w:t>Herbstein</w:t>
      </w:r>
      <w:proofErr w:type="spellEnd"/>
      <w:r>
        <w:t xml:space="preserve"> and </w:t>
      </w:r>
      <w:proofErr w:type="spellStart"/>
      <w:r>
        <w:t>Winsen</w:t>
      </w:r>
      <w:proofErr w:type="spellEnd"/>
      <w:r>
        <w:t xml:space="preserve"> at page 600</w:t>
      </w:r>
      <w:r w:rsidR="00830C80">
        <w:t>.</w:t>
      </w:r>
    </w:p>
  </w:footnote>
  <w:footnote w:id="11">
    <w:p w14:paraId="53AC860C" w14:textId="7766ED15" w:rsidR="00F65ED5" w:rsidRDefault="00F65ED5">
      <w:pPr>
        <w:pStyle w:val="FootnoteText"/>
      </w:pPr>
      <w:r>
        <w:rPr>
          <w:rStyle w:val="FootnoteReference"/>
        </w:rPr>
        <w:footnoteRef/>
      </w:r>
      <w:r w:rsidR="00830C80">
        <w:t xml:space="preserve"> Op cit </w:t>
      </w:r>
      <w:r w:rsidR="00824CAB">
        <w:t>foot</w:t>
      </w:r>
      <w:r w:rsidR="00830C80">
        <w:t>note 3.</w:t>
      </w:r>
      <w:r w:rsidR="00A366F1">
        <w:t xml:space="preserve"> </w:t>
      </w:r>
    </w:p>
  </w:footnote>
  <w:footnote w:id="12">
    <w:p w14:paraId="048AD5B4" w14:textId="450B1C9A" w:rsidR="00B96F3E" w:rsidRPr="00FD66FA" w:rsidRDefault="00B96F3E">
      <w:pPr>
        <w:pStyle w:val="FootnoteText"/>
        <w:rPr>
          <w:lang w:val="en-GB"/>
        </w:rPr>
      </w:pPr>
      <w:r>
        <w:rPr>
          <w:rStyle w:val="FootnoteReference"/>
        </w:rPr>
        <w:footnoteRef/>
      </w:r>
      <w:r>
        <w:t xml:space="preserve"> (C of A (CIV) 5 of 2017 [2018] LSCA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7AD3E" w14:textId="53248CF6" w:rsidR="00D76805" w:rsidRDefault="00D76805">
    <w:pPr>
      <w:pStyle w:val="Header"/>
    </w:pPr>
  </w:p>
  <w:p w14:paraId="3C40A5A1" w14:textId="77777777" w:rsidR="00D76805" w:rsidRDefault="00D76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86341F"/>
    <w:multiLevelType w:val="hybridMultilevel"/>
    <w:tmpl w:val="8ADA46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271203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291"/>
    <w:rsid w:val="0001306E"/>
    <w:rsid w:val="00034374"/>
    <w:rsid w:val="00036304"/>
    <w:rsid w:val="0004115E"/>
    <w:rsid w:val="00044723"/>
    <w:rsid w:val="000520D5"/>
    <w:rsid w:val="00064D9C"/>
    <w:rsid w:val="00067EDC"/>
    <w:rsid w:val="000746F9"/>
    <w:rsid w:val="000859BC"/>
    <w:rsid w:val="000940C4"/>
    <w:rsid w:val="0009493B"/>
    <w:rsid w:val="00097AF0"/>
    <w:rsid w:val="000A2880"/>
    <w:rsid w:val="000B0ED8"/>
    <w:rsid w:val="000C7C26"/>
    <w:rsid w:val="000D1D32"/>
    <w:rsid w:val="000D48A8"/>
    <w:rsid w:val="00104956"/>
    <w:rsid w:val="00111161"/>
    <w:rsid w:val="00116F3F"/>
    <w:rsid w:val="00122E97"/>
    <w:rsid w:val="00124336"/>
    <w:rsid w:val="00135C95"/>
    <w:rsid w:val="00160F54"/>
    <w:rsid w:val="00163EE2"/>
    <w:rsid w:val="001702CC"/>
    <w:rsid w:val="001725F9"/>
    <w:rsid w:val="00172D66"/>
    <w:rsid w:val="001804BB"/>
    <w:rsid w:val="001901D1"/>
    <w:rsid w:val="00192468"/>
    <w:rsid w:val="001976A7"/>
    <w:rsid w:val="001A091E"/>
    <w:rsid w:val="001A19EF"/>
    <w:rsid w:val="001C24D1"/>
    <w:rsid w:val="001C3493"/>
    <w:rsid w:val="001D3C5E"/>
    <w:rsid w:val="001E4347"/>
    <w:rsid w:val="00212838"/>
    <w:rsid w:val="00225EAD"/>
    <w:rsid w:val="002326DB"/>
    <w:rsid w:val="0023734D"/>
    <w:rsid w:val="00256354"/>
    <w:rsid w:val="002614E5"/>
    <w:rsid w:val="00272939"/>
    <w:rsid w:val="00277FAD"/>
    <w:rsid w:val="00285689"/>
    <w:rsid w:val="00296AD4"/>
    <w:rsid w:val="002D6E5A"/>
    <w:rsid w:val="002D7478"/>
    <w:rsid w:val="002D7B74"/>
    <w:rsid w:val="00302B30"/>
    <w:rsid w:val="00313BE5"/>
    <w:rsid w:val="003170B1"/>
    <w:rsid w:val="00321957"/>
    <w:rsid w:val="00347E3A"/>
    <w:rsid w:val="00350A96"/>
    <w:rsid w:val="00373AD5"/>
    <w:rsid w:val="00376487"/>
    <w:rsid w:val="00386164"/>
    <w:rsid w:val="003954A0"/>
    <w:rsid w:val="003962E7"/>
    <w:rsid w:val="003D4FD3"/>
    <w:rsid w:val="003F2ADE"/>
    <w:rsid w:val="004109C5"/>
    <w:rsid w:val="00410D19"/>
    <w:rsid w:val="00411D3E"/>
    <w:rsid w:val="00413204"/>
    <w:rsid w:val="00414800"/>
    <w:rsid w:val="00414EF9"/>
    <w:rsid w:val="00421483"/>
    <w:rsid w:val="00422CDC"/>
    <w:rsid w:val="0042768F"/>
    <w:rsid w:val="00430DD6"/>
    <w:rsid w:val="0043240D"/>
    <w:rsid w:val="00435F14"/>
    <w:rsid w:val="004373D7"/>
    <w:rsid w:val="004407E8"/>
    <w:rsid w:val="00440D92"/>
    <w:rsid w:val="00442043"/>
    <w:rsid w:val="004451F4"/>
    <w:rsid w:val="00456D55"/>
    <w:rsid w:val="004676FB"/>
    <w:rsid w:val="004719D2"/>
    <w:rsid w:val="004734FD"/>
    <w:rsid w:val="004760DB"/>
    <w:rsid w:val="0048067D"/>
    <w:rsid w:val="004879F6"/>
    <w:rsid w:val="004932B4"/>
    <w:rsid w:val="004A4DD7"/>
    <w:rsid w:val="004A6CA3"/>
    <w:rsid w:val="004D272B"/>
    <w:rsid w:val="004E14D0"/>
    <w:rsid w:val="004E5C71"/>
    <w:rsid w:val="00502D56"/>
    <w:rsid w:val="00503B85"/>
    <w:rsid w:val="0051751A"/>
    <w:rsid w:val="00526D0A"/>
    <w:rsid w:val="005300DA"/>
    <w:rsid w:val="00554CE6"/>
    <w:rsid w:val="00556F24"/>
    <w:rsid w:val="0057279C"/>
    <w:rsid w:val="005858C0"/>
    <w:rsid w:val="00585D5A"/>
    <w:rsid w:val="005937BB"/>
    <w:rsid w:val="005A0E74"/>
    <w:rsid w:val="005B6824"/>
    <w:rsid w:val="005C48B1"/>
    <w:rsid w:val="005D0D2A"/>
    <w:rsid w:val="005D7863"/>
    <w:rsid w:val="005E2FA7"/>
    <w:rsid w:val="005E3E5A"/>
    <w:rsid w:val="0061530B"/>
    <w:rsid w:val="00635F95"/>
    <w:rsid w:val="00636ACA"/>
    <w:rsid w:val="00636FEE"/>
    <w:rsid w:val="006379C8"/>
    <w:rsid w:val="006535E3"/>
    <w:rsid w:val="0066682C"/>
    <w:rsid w:val="00677E52"/>
    <w:rsid w:val="00690926"/>
    <w:rsid w:val="006A5F4C"/>
    <w:rsid w:val="006B1EE4"/>
    <w:rsid w:val="006D623A"/>
    <w:rsid w:val="00707B74"/>
    <w:rsid w:val="00721852"/>
    <w:rsid w:val="00723013"/>
    <w:rsid w:val="00731013"/>
    <w:rsid w:val="007338D7"/>
    <w:rsid w:val="007377D0"/>
    <w:rsid w:val="00743056"/>
    <w:rsid w:val="00754531"/>
    <w:rsid w:val="007574A3"/>
    <w:rsid w:val="00785CA1"/>
    <w:rsid w:val="00790C22"/>
    <w:rsid w:val="0079530C"/>
    <w:rsid w:val="007A45D8"/>
    <w:rsid w:val="007A6733"/>
    <w:rsid w:val="007B0729"/>
    <w:rsid w:val="007B1DC3"/>
    <w:rsid w:val="007D78F3"/>
    <w:rsid w:val="007E19C0"/>
    <w:rsid w:val="007F68E2"/>
    <w:rsid w:val="008006E5"/>
    <w:rsid w:val="008104DB"/>
    <w:rsid w:val="00812091"/>
    <w:rsid w:val="00817199"/>
    <w:rsid w:val="0082022D"/>
    <w:rsid w:val="00824CAB"/>
    <w:rsid w:val="00825F3D"/>
    <w:rsid w:val="00830C80"/>
    <w:rsid w:val="00832DCF"/>
    <w:rsid w:val="00884EEA"/>
    <w:rsid w:val="00886027"/>
    <w:rsid w:val="008C0412"/>
    <w:rsid w:val="008C172E"/>
    <w:rsid w:val="008D09EF"/>
    <w:rsid w:val="008E1819"/>
    <w:rsid w:val="008F06D2"/>
    <w:rsid w:val="00905E3F"/>
    <w:rsid w:val="00906DD7"/>
    <w:rsid w:val="009156B4"/>
    <w:rsid w:val="00916154"/>
    <w:rsid w:val="00921B15"/>
    <w:rsid w:val="0092787B"/>
    <w:rsid w:val="00936056"/>
    <w:rsid w:val="00942DD7"/>
    <w:rsid w:val="00944D5D"/>
    <w:rsid w:val="00957149"/>
    <w:rsid w:val="00974B0E"/>
    <w:rsid w:val="009833C3"/>
    <w:rsid w:val="0098350B"/>
    <w:rsid w:val="0098772D"/>
    <w:rsid w:val="009B3766"/>
    <w:rsid w:val="009C0E1F"/>
    <w:rsid w:val="009C1DB4"/>
    <w:rsid w:val="009C1EAE"/>
    <w:rsid w:val="009C70B7"/>
    <w:rsid w:val="009F55C7"/>
    <w:rsid w:val="00A04EDE"/>
    <w:rsid w:val="00A100B2"/>
    <w:rsid w:val="00A168D5"/>
    <w:rsid w:val="00A24047"/>
    <w:rsid w:val="00A25289"/>
    <w:rsid w:val="00A26C80"/>
    <w:rsid w:val="00A271B6"/>
    <w:rsid w:val="00A31225"/>
    <w:rsid w:val="00A366F1"/>
    <w:rsid w:val="00A63AB0"/>
    <w:rsid w:val="00A6530B"/>
    <w:rsid w:val="00A67AE4"/>
    <w:rsid w:val="00A8654C"/>
    <w:rsid w:val="00A91291"/>
    <w:rsid w:val="00A9295C"/>
    <w:rsid w:val="00AA159A"/>
    <w:rsid w:val="00AD4EC0"/>
    <w:rsid w:val="00AD7648"/>
    <w:rsid w:val="00AD7739"/>
    <w:rsid w:val="00AE5DC6"/>
    <w:rsid w:val="00AE72CD"/>
    <w:rsid w:val="00B0307F"/>
    <w:rsid w:val="00B10E81"/>
    <w:rsid w:val="00B137C4"/>
    <w:rsid w:val="00B17628"/>
    <w:rsid w:val="00B30D87"/>
    <w:rsid w:val="00B838C3"/>
    <w:rsid w:val="00B839CA"/>
    <w:rsid w:val="00B845A0"/>
    <w:rsid w:val="00B93880"/>
    <w:rsid w:val="00B94A9C"/>
    <w:rsid w:val="00B96F3E"/>
    <w:rsid w:val="00BA1456"/>
    <w:rsid w:val="00BA45F3"/>
    <w:rsid w:val="00BB6323"/>
    <w:rsid w:val="00BE7D8A"/>
    <w:rsid w:val="00BF4DFA"/>
    <w:rsid w:val="00BF7A3E"/>
    <w:rsid w:val="00C11EB4"/>
    <w:rsid w:val="00C140F8"/>
    <w:rsid w:val="00C207D9"/>
    <w:rsid w:val="00C21780"/>
    <w:rsid w:val="00C36EC0"/>
    <w:rsid w:val="00C42BD7"/>
    <w:rsid w:val="00C52918"/>
    <w:rsid w:val="00C54759"/>
    <w:rsid w:val="00C70596"/>
    <w:rsid w:val="00C73B38"/>
    <w:rsid w:val="00C85C83"/>
    <w:rsid w:val="00C96917"/>
    <w:rsid w:val="00CA5AB9"/>
    <w:rsid w:val="00CB7532"/>
    <w:rsid w:val="00CD2B7F"/>
    <w:rsid w:val="00CD5BAF"/>
    <w:rsid w:val="00CE43D3"/>
    <w:rsid w:val="00CF254C"/>
    <w:rsid w:val="00D15A97"/>
    <w:rsid w:val="00D168F4"/>
    <w:rsid w:val="00D24E56"/>
    <w:rsid w:val="00D63062"/>
    <w:rsid w:val="00D651BA"/>
    <w:rsid w:val="00D67E23"/>
    <w:rsid w:val="00D76193"/>
    <w:rsid w:val="00D76805"/>
    <w:rsid w:val="00D951C1"/>
    <w:rsid w:val="00DA539E"/>
    <w:rsid w:val="00DB041A"/>
    <w:rsid w:val="00DC2C3F"/>
    <w:rsid w:val="00DC2DAF"/>
    <w:rsid w:val="00DD14AE"/>
    <w:rsid w:val="00E03427"/>
    <w:rsid w:val="00E1399E"/>
    <w:rsid w:val="00E3678A"/>
    <w:rsid w:val="00E41CE2"/>
    <w:rsid w:val="00E44194"/>
    <w:rsid w:val="00E463C3"/>
    <w:rsid w:val="00E46897"/>
    <w:rsid w:val="00E528DE"/>
    <w:rsid w:val="00E5502A"/>
    <w:rsid w:val="00E563F0"/>
    <w:rsid w:val="00E72B08"/>
    <w:rsid w:val="00E77D95"/>
    <w:rsid w:val="00E91B86"/>
    <w:rsid w:val="00E947F6"/>
    <w:rsid w:val="00E94F06"/>
    <w:rsid w:val="00EA32DB"/>
    <w:rsid w:val="00EB1FB9"/>
    <w:rsid w:val="00ED36FF"/>
    <w:rsid w:val="00ED3C65"/>
    <w:rsid w:val="00EE3B76"/>
    <w:rsid w:val="00EF14B7"/>
    <w:rsid w:val="00EF666E"/>
    <w:rsid w:val="00EF69B4"/>
    <w:rsid w:val="00F0476D"/>
    <w:rsid w:val="00F118A6"/>
    <w:rsid w:val="00F23C5F"/>
    <w:rsid w:val="00F24184"/>
    <w:rsid w:val="00F32621"/>
    <w:rsid w:val="00F51185"/>
    <w:rsid w:val="00F60E00"/>
    <w:rsid w:val="00F65ED5"/>
    <w:rsid w:val="00F66361"/>
    <w:rsid w:val="00F826E9"/>
    <w:rsid w:val="00F90B79"/>
    <w:rsid w:val="00F91B63"/>
    <w:rsid w:val="00FA15A6"/>
    <w:rsid w:val="00FB2AE1"/>
    <w:rsid w:val="00FC2F40"/>
    <w:rsid w:val="00FC650F"/>
    <w:rsid w:val="00FD66FA"/>
    <w:rsid w:val="00FD74C6"/>
    <w:rsid w:val="00FF1E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A4E5"/>
  <w15:chartTrackingRefBased/>
  <w15:docId w15:val="{C7D3044D-CDE9-4460-A2B5-AD86D565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B79"/>
    <w:pPr>
      <w:ind w:left="720"/>
      <w:contextualSpacing/>
    </w:pPr>
  </w:style>
  <w:style w:type="paragraph" w:styleId="Header">
    <w:name w:val="header"/>
    <w:basedOn w:val="Normal"/>
    <w:link w:val="HeaderChar"/>
    <w:uiPriority w:val="99"/>
    <w:unhideWhenUsed/>
    <w:rsid w:val="00785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CA1"/>
  </w:style>
  <w:style w:type="paragraph" w:styleId="Footer">
    <w:name w:val="footer"/>
    <w:basedOn w:val="Normal"/>
    <w:link w:val="FooterChar"/>
    <w:uiPriority w:val="99"/>
    <w:unhideWhenUsed/>
    <w:rsid w:val="00785C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CA1"/>
  </w:style>
  <w:style w:type="paragraph" w:styleId="NormalWeb">
    <w:name w:val="Normal (Web)"/>
    <w:basedOn w:val="Normal"/>
    <w:uiPriority w:val="99"/>
    <w:unhideWhenUsed/>
    <w:rsid w:val="00D951C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9C70B7"/>
    <w:rPr>
      <w:color w:val="0000FF"/>
      <w:u w:val="single"/>
    </w:rPr>
  </w:style>
  <w:style w:type="paragraph" w:styleId="FootnoteText">
    <w:name w:val="footnote text"/>
    <w:basedOn w:val="Normal"/>
    <w:link w:val="FootnoteTextChar"/>
    <w:uiPriority w:val="99"/>
    <w:semiHidden/>
    <w:unhideWhenUsed/>
    <w:rsid w:val="00A865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654C"/>
    <w:rPr>
      <w:sz w:val="20"/>
      <w:szCs w:val="20"/>
    </w:rPr>
  </w:style>
  <w:style w:type="character" w:styleId="FootnoteReference">
    <w:name w:val="footnote reference"/>
    <w:basedOn w:val="DefaultParagraphFont"/>
    <w:uiPriority w:val="99"/>
    <w:semiHidden/>
    <w:unhideWhenUsed/>
    <w:rsid w:val="00A8654C"/>
    <w:rPr>
      <w:vertAlign w:val="superscript"/>
    </w:rPr>
  </w:style>
  <w:style w:type="paragraph" w:styleId="CommentText">
    <w:name w:val="annotation text"/>
    <w:basedOn w:val="Normal"/>
    <w:link w:val="CommentTextChar"/>
    <w:uiPriority w:val="99"/>
    <w:semiHidden/>
    <w:unhideWhenUsed/>
    <w:rsid w:val="00832DCF"/>
    <w:pPr>
      <w:spacing w:line="240" w:lineRule="auto"/>
    </w:pPr>
    <w:rPr>
      <w:sz w:val="20"/>
      <w:szCs w:val="20"/>
    </w:rPr>
  </w:style>
  <w:style w:type="character" w:customStyle="1" w:styleId="CommentTextChar">
    <w:name w:val="Comment Text Char"/>
    <w:basedOn w:val="DefaultParagraphFont"/>
    <w:link w:val="CommentText"/>
    <w:uiPriority w:val="99"/>
    <w:semiHidden/>
    <w:rsid w:val="00832DCF"/>
    <w:rPr>
      <w:sz w:val="20"/>
      <w:szCs w:val="20"/>
    </w:rPr>
  </w:style>
  <w:style w:type="character" w:styleId="CommentReference">
    <w:name w:val="annotation reference"/>
    <w:uiPriority w:val="99"/>
    <w:semiHidden/>
    <w:unhideWhenUsed/>
    <w:rsid w:val="00832DCF"/>
    <w:rPr>
      <w:sz w:val="16"/>
      <w:szCs w:val="16"/>
    </w:rPr>
  </w:style>
  <w:style w:type="paragraph" w:styleId="BalloonText">
    <w:name w:val="Balloon Text"/>
    <w:basedOn w:val="Normal"/>
    <w:link w:val="BalloonTextChar"/>
    <w:uiPriority w:val="99"/>
    <w:semiHidden/>
    <w:unhideWhenUsed/>
    <w:rsid w:val="00812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09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E72CD"/>
    <w:rPr>
      <w:b/>
      <w:bCs/>
    </w:rPr>
  </w:style>
  <w:style w:type="character" w:customStyle="1" w:styleId="CommentSubjectChar">
    <w:name w:val="Comment Subject Char"/>
    <w:basedOn w:val="CommentTextChar"/>
    <w:link w:val="CommentSubject"/>
    <w:uiPriority w:val="99"/>
    <w:semiHidden/>
    <w:rsid w:val="00AE72CD"/>
    <w:rPr>
      <w:b/>
      <w:bCs/>
      <w:sz w:val="20"/>
      <w:szCs w:val="20"/>
    </w:rPr>
  </w:style>
  <w:style w:type="paragraph" w:styleId="NoSpacing">
    <w:name w:val="No Spacing"/>
    <w:uiPriority w:val="1"/>
    <w:qFormat/>
    <w:rsid w:val="00944D5D"/>
    <w:pPr>
      <w:spacing w:after="0" w:line="240" w:lineRule="auto"/>
    </w:pPr>
  </w:style>
  <w:style w:type="paragraph" w:styleId="Revision">
    <w:name w:val="Revision"/>
    <w:hidden/>
    <w:uiPriority w:val="99"/>
    <w:semiHidden/>
    <w:rsid w:val="002326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664873">
      <w:bodyDiv w:val="1"/>
      <w:marLeft w:val="0"/>
      <w:marRight w:val="0"/>
      <w:marTop w:val="0"/>
      <w:marBottom w:val="0"/>
      <w:divBdr>
        <w:top w:val="none" w:sz="0" w:space="0" w:color="auto"/>
        <w:left w:val="none" w:sz="0" w:space="0" w:color="auto"/>
        <w:bottom w:val="none" w:sz="0" w:space="0" w:color="auto"/>
        <w:right w:val="none" w:sz="0" w:space="0" w:color="auto"/>
      </w:divBdr>
    </w:div>
    <w:div w:id="835878420">
      <w:bodyDiv w:val="1"/>
      <w:marLeft w:val="0"/>
      <w:marRight w:val="0"/>
      <w:marTop w:val="0"/>
      <w:marBottom w:val="0"/>
      <w:divBdr>
        <w:top w:val="none" w:sz="0" w:space="0" w:color="auto"/>
        <w:left w:val="none" w:sz="0" w:space="0" w:color="auto"/>
        <w:bottom w:val="none" w:sz="0" w:space="0" w:color="auto"/>
        <w:right w:val="none" w:sz="0" w:space="0" w:color="auto"/>
      </w:divBdr>
    </w:div>
    <w:div w:id="137200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CB7C9-2AC2-4A0A-96A2-AF18D196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Mahlompho (MN) Nkhabu</dc:creator>
  <cp:keywords/>
  <dc:description/>
  <cp:lastModifiedBy>Limakatso Tsekela</cp:lastModifiedBy>
  <cp:revision>9</cp:revision>
  <cp:lastPrinted>2022-11-29T13:16:00Z</cp:lastPrinted>
  <dcterms:created xsi:type="dcterms:W3CDTF">2022-11-30T04:24:00Z</dcterms:created>
  <dcterms:modified xsi:type="dcterms:W3CDTF">2023-03-22T09:02:00Z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2023-03-22T08:56:01Z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071e25de-bc58-4f4b-972e-b149ac8c1525</vt:lpwstr>
  </property>
  <property fmtid="{D5CDD505-2E9C-101B-9397-08002B2CF9AE}" pid="8" name="MSIP_Label_9f914f9e-4c1b-4005-a7de-34e254df930c_ContentBits">
    <vt:lpwstr>0</vt:lpwstr>
  </property>
</Properties>
</file>