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1723" w14:textId="77777777" w:rsidR="00167167" w:rsidRDefault="00167167" w:rsidP="00AC1EA3">
      <w:pPr>
        <w:spacing w:after="0" w:line="360" w:lineRule="auto"/>
        <w:jc w:val="center"/>
        <w:rPr>
          <w:rFonts w:ascii="Times New Roman" w:hAnsi="Times New Roman" w:cs="Times New Roman"/>
          <w:b/>
          <w:sz w:val="28"/>
          <w:szCs w:val="28"/>
          <w:lang w:val="en-GB"/>
        </w:rPr>
      </w:pPr>
    </w:p>
    <w:p w14:paraId="481BF730" w14:textId="77777777" w:rsidR="00167167" w:rsidRDefault="00167167" w:rsidP="00AC1EA3">
      <w:pPr>
        <w:spacing w:after="0" w:line="360" w:lineRule="auto"/>
        <w:jc w:val="center"/>
        <w:rPr>
          <w:rFonts w:ascii="Times New Roman" w:hAnsi="Times New Roman" w:cs="Times New Roman"/>
          <w:b/>
          <w:sz w:val="28"/>
          <w:szCs w:val="28"/>
          <w:lang w:val="en-GB"/>
        </w:rPr>
      </w:pPr>
    </w:p>
    <w:p w14:paraId="79036FEF" w14:textId="77777777" w:rsidR="00167167" w:rsidRDefault="00167167" w:rsidP="00AC1EA3">
      <w:pPr>
        <w:spacing w:after="0" w:line="360" w:lineRule="auto"/>
        <w:jc w:val="center"/>
        <w:rPr>
          <w:rFonts w:ascii="Times New Roman" w:hAnsi="Times New Roman" w:cs="Times New Roman"/>
          <w:b/>
          <w:sz w:val="28"/>
          <w:szCs w:val="28"/>
          <w:lang w:val="en-GB"/>
        </w:rPr>
      </w:pPr>
    </w:p>
    <w:p w14:paraId="1721C18E" w14:textId="77777777" w:rsidR="00167167" w:rsidRDefault="00167167" w:rsidP="00AC1EA3">
      <w:pPr>
        <w:spacing w:after="0" w:line="360" w:lineRule="auto"/>
        <w:jc w:val="center"/>
        <w:rPr>
          <w:rFonts w:ascii="Times New Roman" w:hAnsi="Times New Roman" w:cs="Times New Roman"/>
          <w:b/>
          <w:sz w:val="28"/>
          <w:szCs w:val="28"/>
          <w:lang w:val="en-GB"/>
        </w:rPr>
      </w:pPr>
    </w:p>
    <w:p w14:paraId="14C3D9B4" w14:textId="77777777" w:rsidR="00167167" w:rsidRDefault="00167167" w:rsidP="00AC1EA3">
      <w:pPr>
        <w:spacing w:after="0" w:line="360" w:lineRule="auto"/>
        <w:jc w:val="center"/>
        <w:rPr>
          <w:rFonts w:ascii="Times New Roman" w:hAnsi="Times New Roman" w:cs="Times New Roman"/>
          <w:b/>
          <w:sz w:val="28"/>
          <w:szCs w:val="28"/>
          <w:lang w:val="en-GB"/>
        </w:rPr>
      </w:pPr>
    </w:p>
    <w:p w14:paraId="2AD473E5" w14:textId="77777777" w:rsidR="00167167" w:rsidRDefault="00167167" w:rsidP="00AC1EA3">
      <w:pPr>
        <w:spacing w:after="0" w:line="360" w:lineRule="auto"/>
        <w:jc w:val="center"/>
        <w:rPr>
          <w:rFonts w:ascii="Times New Roman" w:hAnsi="Times New Roman" w:cs="Times New Roman"/>
          <w:b/>
          <w:sz w:val="28"/>
          <w:szCs w:val="28"/>
          <w:lang w:val="en-GB"/>
        </w:rPr>
      </w:pPr>
    </w:p>
    <w:p w14:paraId="585D2CF6" w14:textId="3F377C89" w:rsidR="008C3184" w:rsidRDefault="000160BE" w:rsidP="00AC1EA3">
      <w:pPr>
        <w:spacing w:after="0" w:line="360" w:lineRule="auto"/>
        <w:jc w:val="center"/>
        <w:rPr>
          <w:rFonts w:ascii="Times New Roman" w:hAnsi="Times New Roman" w:cs="Times New Roman"/>
          <w:b/>
          <w:sz w:val="32"/>
          <w:szCs w:val="32"/>
          <w:u w:val="single"/>
          <w:lang w:val="en-GB"/>
        </w:rPr>
      </w:pPr>
      <w:r w:rsidRPr="00167167">
        <w:rPr>
          <w:rFonts w:ascii="Times New Roman" w:hAnsi="Times New Roman" w:cs="Times New Roman"/>
          <w:b/>
          <w:sz w:val="32"/>
          <w:szCs w:val="32"/>
          <w:u w:val="single"/>
          <w:lang w:val="en-GB"/>
        </w:rPr>
        <w:t>IN THE HIGH COUR OF LESOTHO</w:t>
      </w:r>
    </w:p>
    <w:p w14:paraId="4EB15ACD" w14:textId="77777777" w:rsidR="00167167" w:rsidRPr="00167167" w:rsidRDefault="00167167" w:rsidP="00AC1EA3">
      <w:pPr>
        <w:spacing w:after="0" w:line="360" w:lineRule="auto"/>
        <w:jc w:val="center"/>
        <w:rPr>
          <w:rFonts w:ascii="Times New Roman" w:hAnsi="Times New Roman" w:cs="Times New Roman"/>
          <w:b/>
          <w:sz w:val="32"/>
          <w:szCs w:val="32"/>
          <w:u w:val="single"/>
          <w:lang w:val="en-GB"/>
        </w:rPr>
      </w:pPr>
    </w:p>
    <w:p w14:paraId="26A43E7E" w14:textId="303CE789"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HELD AT MASERU                  CONSTITUTIONAL CASE NO. 0022/2022</w:t>
      </w:r>
    </w:p>
    <w:p w14:paraId="41BDD391" w14:textId="7C4BC019" w:rsidR="000160BE" w:rsidRPr="001D62CA" w:rsidRDefault="00143C58" w:rsidP="00143C58">
      <w:pPr>
        <w:tabs>
          <w:tab w:val="left" w:pos="3765"/>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bookmarkStart w:id="0" w:name="_GoBack"/>
      <w:bookmarkEnd w:id="0"/>
    </w:p>
    <w:p w14:paraId="47D35020" w14:textId="63FAA16D" w:rsidR="000160BE" w:rsidRDefault="000160BE" w:rsidP="00AC1EA3">
      <w:pPr>
        <w:spacing w:after="0" w:line="360" w:lineRule="auto"/>
        <w:rPr>
          <w:rFonts w:ascii="Times New Roman" w:hAnsi="Times New Roman" w:cs="Times New Roman"/>
          <w:sz w:val="28"/>
          <w:szCs w:val="28"/>
          <w:lang w:val="en-GB"/>
        </w:rPr>
      </w:pPr>
      <w:r w:rsidRPr="001D62CA">
        <w:rPr>
          <w:rFonts w:ascii="Times New Roman" w:hAnsi="Times New Roman" w:cs="Times New Roman"/>
          <w:sz w:val="28"/>
          <w:szCs w:val="28"/>
          <w:lang w:val="en-GB"/>
        </w:rPr>
        <w:t>In the matter between:</w:t>
      </w:r>
    </w:p>
    <w:p w14:paraId="210FCDB5" w14:textId="77777777" w:rsidR="004527B2" w:rsidRPr="001D62CA" w:rsidRDefault="004527B2" w:rsidP="00AC1EA3">
      <w:pPr>
        <w:spacing w:after="0" w:line="360" w:lineRule="auto"/>
        <w:rPr>
          <w:rFonts w:ascii="Times New Roman" w:hAnsi="Times New Roman" w:cs="Times New Roman"/>
          <w:sz w:val="28"/>
          <w:szCs w:val="28"/>
          <w:lang w:val="en-GB"/>
        </w:rPr>
      </w:pPr>
    </w:p>
    <w:p w14:paraId="4389D983" w14:textId="403E7F8B"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INDEPENDENT ELECTORAL COMMISSION          1</w:t>
      </w:r>
      <w:r w:rsidRPr="001D62CA">
        <w:rPr>
          <w:rFonts w:ascii="Times New Roman" w:hAnsi="Times New Roman" w:cs="Times New Roman"/>
          <w:b/>
          <w:sz w:val="28"/>
          <w:szCs w:val="28"/>
          <w:vertAlign w:val="superscript"/>
          <w:lang w:val="en-GB"/>
        </w:rPr>
        <w:t>ST</w:t>
      </w:r>
      <w:r w:rsidRPr="001D62CA">
        <w:rPr>
          <w:rFonts w:ascii="Times New Roman" w:hAnsi="Times New Roman" w:cs="Times New Roman"/>
          <w:b/>
          <w:sz w:val="28"/>
          <w:szCs w:val="28"/>
          <w:lang w:val="en-GB"/>
        </w:rPr>
        <w:t xml:space="preserve"> APPLICANT</w:t>
      </w:r>
    </w:p>
    <w:p w14:paraId="08674294" w14:textId="6D69130A"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DIRECTOR OF ELECTIONS                                         2</w:t>
      </w:r>
      <w:r w:rsidRPr="001D62CA">
        <w:rPr>
          <w:rFonts w:ascii="Times New Roman" w:hAnsi="Times New Roman" w:cs="Times New Roman"/>
          <w:b/>
          <w:sz w:val="28"/>
          <w:szCs w:val="28"/>
          <w:vertAlign w:val="superscript"/>
          <w:lang w:val="en-GB"/>
        </w:rPr>
        <w:t>ND</w:t>
      </w:r>
      <w:r w:rsidRPr="001D62CA">
        <w:rPr>
          <w:rFonts w:ascii="Times New Roman" w:hAnsi="Times New Roman" w:cs="Times New Roman"/>
          <w:b/>
          <w:sz w:val="28"/>
          <w:szCs w:val="28"/>
          <w:lang w:val="en-GB"/>
        </w:rPr>
        <w:t xml:space="preserve"> APPLICANT</w:t>
      </w:r>
    </w:p>
    <w:p w14:paraId="21874267" w14:textId="5C257A1C"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BASOTHO NATIONAL PARTY                                    3</w:t>
      </w:r>
      <w:r w:rsidRPr="001D62CA">
        <w:rPr>
          <w:rFonts w:ascii="Times New Roman" w:hAnsi="Times New Roman" w:cs="Times New Roman"/>
          <w:b/>
          <w:sz w:val="28"/>
          <w:szCs w:val="28"/>
          <w:vertAlign w:val="superscript"/>
          <w:lang w:val="en-GB"/>
        </w:rPr>
        <w:t>RD</w:t>
      </w:r>
      <w:r w:rsidRPr="001D62CA">
        <w:rPr>
          <w:rFonts w:ascii="Times New Roman" w:hAnsi="Times New Roman" w:cs="Times New Roman"/>
          <w:b/>
          <w:sz w:val="28"/>
          <w:szCs w:val="28"/>
          <w:lang w:val="en-GB"/>
        </w:rPr>
        <w:t xml:space="preserve"> APPLICANT</w:t>
      </w:r>
    </w:p>
    <w:p w14:paraId="7751C53A" w14:textId="64C8FB59"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BASOTHO PATRIOTIC PARTY                                   4</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APPLICANT</w:t>
      </w:r>
    </w:p>
    <w:p w14:paraId="25449443" w14:textId="5E2A9053"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TEFO MAPESELA                                                           5</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APPLICANT</w:t>
      </w:r>
    </w:p>
    <w:p w14:paraId="6823633E" w14:textId="30A332AB" w:rsidR="000160BE" w:rsidRPr="001D62CA" w:rsidRDefault="000160BE" w:rsidP="00AC1EA3">
      <w:pPr>
        <w:spacing w:after="0" w:line="360" w:lineRule="auto"/>
        <w:rPr>
          <w:rFonts w:ascii="Times New Roman" w:hAnsi="Times New Roman" w:cs="Times New Roman"/>
          <w:b/>
          <w:sz w:val="28"/>
          <w:szCs w:val="28"/>
          <w:lang w:val="en-GB"/>
        </w:rPr>
      </w:pPr>
    </w:p>
    <w:p w14:paraId="7FDB883C" w14:textId="31798DEB"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A</w:t>
      </w:r>
      <w:r w:rsidR="004527B2">
        <w:rPr>
          <w:rFonts w:ascii="Times New Roman" w:hAnsi="Times New Roman" w:cs="Times New Roman"/>
          <w:b/>
          <w:sz w:val="28"/>
          <w:szCs w:val="28"/>
          <w:lang w:val="en-GB"/>
        </w:rPr>
        <w:t>nd</w:t>
      </w:r>
    </w:p>
    <w:p w14:paraId="4B82B45D" w14:textId="704E321E" w:rsidR="000160BE" w:rsidRPr="001D62CA" w:rsidRDefault="000160BE" w:rsidP="00AC1EA3">
      <w:pPr>
        <w:spacing w:after="0" w:line="360" w:lineRule="auto"/>
        <w:rPr>
          <w:rFonts w:ascii="Times New Roman" w:hAnsi="Times New Roman" w:cs="Times New Roman"/>
          <w:b/>
          <w:sz w:val="28"/>
          <w:szCs w:val="28"/>
          <w:lang w:val="en-GB"/>
        </w:rPr>
      </w:pPr>
    </w:p>
    <w:p w14:paraId="02E59D0B" w14:textId="5527FA9F"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SPEAKER OF THE NATIONA</w:t>
      </w:r>
      <w:r w:rsidR="00167167">
        <w:rPr>
          <w:rFonts w:ascii="Times New Roman" w:hAnsi="Times New Roman" w:cs="Times New Roman"/>
          <w:b/>
          <w:sz w:val="28"/>
          <w:szCs w:val="28"/>
          <w:lang w:val="en-GB"/>
        </w:rPr>
        <w:t>L</w:t>
      </w:r>
      <w:r w:rsidRPr="001D62CA">
        <w:rPr>
          <w:rFonts w:ascii="Times New Roman" w:hAnsi="Times New Roman" w:cs="Times New Roman"/>
          <w:b/>
          <w:sz w:val="28"/>
          <w:szCs w:val="28"/>
          <w:lang w:val="en-GB"/>
        </w:rPr>
        <w:t xml:space="preserve"> ASSEMBLY           1</w:t>
      </w:r>
      <w:r w:rsidRPr="001D62CA">
        <w:rPr>
          <w:rFonts w:ascii="Times New Roman" w:hAnsi="Times New Roman" w:cs="Times New Roman"/>
          <w:b/>
          <w:sz w:val="28"/>
          <w:szCs w:val="28"/>
          <w:vertAlign w:val="superscript"/>
          <w:lang w:val="en-GB"/>
        </w:rPr>
        <w:t>ST</w:t>
      </w:r>
      <w:r w:rsidRPr="001D62CA">
        <w:rPr>
          <w:rFonts w:ascii="Times New Roman" w:hAnsi="Times New Roman" w:cs="Times New Roman"/>
          <w:b/>
          <w:sz w:val="28"/>
          <w:szCs w:val="28"/>
          <w:lang w:val="en-GB"/>
        </w:rPr>
        <w:t xml:space="preserve"> RESPONDENT</w:t>
      </w:r>
    </w:p>
    <w:p w14:paraId="3875E798" w14:textId="35029F4E"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CLERK OF THE NATIONAL ASSESMBLY              2</w:t>
      </w:r>
      <w:r w:rsidRPr="001D62CA">
        <w:rPr>
          <w:rFonts w:ascii="Times New Roman" w:hAnsi="Times New Roman" w:cs="Times New Roman"/>
          <w:b/>
          <w:sz w:val="28"/>
          <w:szCs w:val="28"/>
          <w:vertAlign w:val="superscript"/>
          <w:lang w:val="en-GB"/>
        </w:rPr>
        <w:t>ND</w:t>
      </w:r>
      <w:r w:rsidRPr="001D62CA">
        <w:rPr>
          <w:rFonts w:ascii="Times New Roman" w:hAnsi="Times New Roman" w:cs="Times New Roman"/>
          <w:b/>
          <w:sz w:val="28"/>
          <w:szCs w:val="28"/>
          <w:lang w:val="en-GB"/>
        </w:rPr>
        <w:t xml:space="preserve"> RESPONDENT</w:t>
      </w:r>
    </w:p>
    <w:p w14:paraId="3701082A" w14:textId="3179E550" w:rsidR="001768EE" w:rsidRPr="001D62CA" w:rsidRDefault="001768E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HIS MAJEST</w:t>
      </w:r>
      <w:r w:rsidR="00C67F10">
        <w:rPr>
          <w:rFonts w:ascii="Times New Roman" w:hAnsi="Times New Roman" w:cs="Times New Roman"/>
          <w:b/>
          <w:sz w:val="28"/>
          <w:szCs w:val="28"/>
          <w:lang w:val="en-GB"/>
        </w:rPr>
        <w:t>Y</w:t>
      </w:r>
      <w:r w:rsidRPr="001D62CA">
        <w:rPr>
          <w:rFonts w:ascii="Times New Roman" w:hAnsi="Times New Roman" w:cs="Times New Roman"/>
          <w:b/>
          <w:sz w:val="28"/>
          <w:szCs w:val="28"/>
          <w:lang w:val="en-GB"/>
        </w:rPr>
        <w:t xml:space="preserve"> KING LETSIE III                                  3</w:t>
      </w:r>
      <w:r w:rsidRPr="001D62CA">
        <w:rPr>
          <w:rFonts w:ascii="Times New Roman" w:hAnsi="Times New Roman" w:cs="Times New Roman"/>
          <w:b/>
          <w:sz w:val="28"/>
          <w:szCs w:val="28"/>
          <w:vertAlign w:val="superscript"/>
          <w:lang w:val="en-GB"/>
        </w:rPr>
        <w:t>RD</w:t>
      </w:r>
      <w:r w:rsidRPr="001D62CA">
        <w:rPr>
          <w:rFonts w:ascii="Times New Roman" w:hAnsi="Times New Roman" w:cs="Times New Roman"/>
          <w:b/>
          <w:sz w:val="28"/>
          <w:szCs w:val="28"/>
          <w:lang w:val="en-GB"/>
        </w:rPr>
        <w:t xml:space="preserve"> RESPONDENT</w:t>
      </w:r>
    </w:p>
    <w:p w14:paraId="6D17C834" w14:textId="673631D9"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 xml:space="preserve">DEMOCRATIC CONGRESS                                         </w:t>
      </w:r>
      <w:r w:rsidR="001D62CA">
        <w:rPr>
          <w:rFonts w:ascii="Times New Roman" w:hAnsi="Times New Roman" w:cs="Times New Roman"/>
          <w:b/>
          <w:sz w:val="28"/>
          <w:szCs w:val="28"/>
          <w:lang w:val="en-GB"/>
        </w:rPr>
        <w:t xml:space="preserve"> </w:t>
      </w:r>
      <w:r w:rsidR="001768EE" w:rsidRPr="001D62CA">
        <w:rPr>
          <w:rFonts w:ascii="Times New Roman" w:hAnsi="Times New Roman" w:cs="Times New Roman"/>
          <w:b/>
          <w:sz w:val="28"/>
          <w:szCs w:val="28"/>
          <w:lang w:val="en-GB"/>
        </w:rPr>
        <w:t>4</w:t>
      </w:r>
      <w:r w:rsidR="001768EE"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71A9868F" w14:textId="22DAA143"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 xml:space="preserve">ALLIANCE FOR DEMOGRATS                                   </w:t>
      </w:r>
      <w:r w:rsidR="001768EE" w:rsidRPr="001D62CA">
        <w:rPr>
          <w:rFonts w:ascii="Times New Roman" w:hAnsi="Times New Roman" w:cs="Times New Roman"/>
          <w:b/>
          <w:sz w:val="28"/>
          <w:szCs w:val="28"/>
          <w:lang w:val="en-GB"/>
        </w:rPr>
        <w:t>5</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1103F6F7" w14:textId="2BE477DA"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 xml:space="preserve">MORAPELI MOTOBOLI                                               </w:t>
      </w:r>
      <w:r w:rsidR="001768EE" w:rsidRPr="001D62CA">
        <w:rPr>
          <w:rFonts w:ascii="Times New Roman" w:hAnsi="Times New Roman" w:cs="Times New Roman"/>
          <w:b/>
          <w:sz w:val="28"/>
          <w:szCs w:val="28"/>
          <w:lang w:val="en-GB"/>
        </w:rPr>
        <w:t>6</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35E3B48D" w14:textId="4E7B18C5"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 xml:space="preserve">MALETSEMA LETSOEPA                                            </w:t>
      </w:r>
      <w:r w:rsidR="001768EE" w:rsidRPr="001D62CA">
        <w:rPr>
          <w:rFonts w:ascii="Times New Roman" w:hAnsi="Times New Roman" w:cs="Times New Roman"/>
          <w:b/>
          <w:sz w:val="28"/>
          <w:szCs w:val="28"/>
          <w:lang w:val="en-GB"/>
        </w:rPr>
        <w:t>7</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654A3D3B" w14:textId="43B7A43D" w:rsidR="000160BE" w:rsidRPr="001D62CA" w:rsidRDefault="000160B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 xml:space="preserve">KATLEHO MOSOTHO                                                  </w:t>
      </w:r>
      <w:r w:rsidR="001768EE" w:rsidRPr="001D62CA">
        <w:rPr>
          <w:rFonts w:ascii="Times New Roman" w:hAnsi="Times New Roman" w:cs="Times New Roman"/>
          <w:b/>
          <w:sz w:val="28"/>
          <w:szCs w:val="28"/>
          <w:lang w:val="en-GB"/>
        </w:rPr>
        <w:t>8</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04371550" w14:textId="491918A0" w:rsidR="000160BE" w:rsidRPr="001D62CA" w:rsidRDefault="001768E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lastRenderedPageBreak/>
        <w:t>LEBOHANG MOCHABA                                               9</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68733F1A" w14:textId="3A3640F6" w:rsidR="001768EE" w:rsidRPr="001D62CA" w:rsidRDefault="001768E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UNITED FOR CHANGE                                                 10</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68379ABA" w14:textId="20848BF5" w:rsidR="001768EE" w:rsidRPr="001D62CA" w:rsidRDefault="001768E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LESOTHO PEOPLE’S CONGRESS                             11</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0DE7E3FB" w14:textId="2329112E" w:rsidR="001768EE" w:rsidRPr="001D62CA" w:rsidRDefault="001768E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ATTORNEY GENERAL                                                 12</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66175499" w14:textId="520A39C2" w:rsidR="0043214A" w:rsidRDefault="001768EE" w:rsidP="00AC1EA3">
      <w:pPr>
        <w:spacing w:after="0" w:line="360" w:lineRule="auto"/>
        <w:rPr>
          <w:rFonts w:ascii="Times New Roman" w:hAnsi="Times New Roman" w:cs="Times New Roman"/>
          <w:b/>
          <w:sz w:val="28"/>
          <w:szCs w:val="28"/>
          <w:lang w:val="en-GB"/>
        </w:rPr>
      </w:pPr>
      <w:r w:rsidRPr="001D62CA">
        <w:rPr>
          <w:rFonts w:ascii="Times New Roman" w:hAnsi="Times New Roman" w:cs="Times New Roman"/>
          <w:b/>
          <w:sz w:val="28"/>
          <w:szCs w:val="28"/>
          <w:lang w:val="en-GB"/>
        </w:rPr>
        <w:t>RE</w:t>
      </w:r>
      <w:r w:rsidR="00C67F10">
        <w:rPr>
          <w:rFonts w:ascii="Times New Roman" w:hAnsi="Times New Roman" w:cs="Times New Roman"/>
          <w:b/>
          <w:sz w:val="28"/>
          <w:szCs w:val="28"/>
          <w:lang w:val="en-GB"/>
        </w:rPr>
        <w:t>V</w:t>
      </w:r>
      <w:r w:rsidRPr="001D62CA">
        <w:rPr>
          <w:rFonts w:ascii="Times New Roman" w:hAnsi="Times New Roman" w:cs="Times New Roman"/>
          <w:b/>
          <w:sz w:val="28"/>
          <w:szCs w:val="28"/>
          <w:lang w:val="en-GB"/>
        </w:rPr>
        <w:t>OLUTION FOR PROSPERITY                             13</w:t>
      </w:r>
      <w:r w:rsidRPr="001D62CA">
        <w:rPr>
          <w:rFonts w:ascii="Times New Roman" w:hAnsi="Times New Roman" w:cs="Times New Roman"/>
          <w:b/>
          <w:sz w:val="28"/>
          <w:szCs w:val="28"/>
          <w:vertAlign w:val="superscript"/>
          <w:lang w:val="en-GB"/>
        </w:rPr>
        <w:t>TH</w:t>
      </w:r>
      <w:r w:rsidRPr="001D62CA">
        <w:rPr>
          <w:rFonts w:ascii="Times New Roman" w:hAnsi="Times New Roman" w:cs="Times New Roman"/>
          <w:b/>
          <w:sz w:val="28"/>
          <w:szCs w:val="28"/>
          <w:lang w:val="en-GB"/>
        </w:rPr>
        <w:t xml:space="preserve"> RESPONDENT</w:t>
      </w:r>
    </w:p>
    <w:p w14:paraId="778C13CA" w14:textId="53E0277D" w:rsidR="00167167" w:rsidRDefault="00167167" w:rsidP="00AC1EA3">
      <w:pPr>
        <w:spacing w:after="0" w:line="360" w:lineRule="auto"/>
        <w:rPr>
          <w:rFonts w:ascii="Times New Roman" w:hAnsi="Times New Roman" w:cs="Times New Roman"/>
          <w:b/>
          <w:sz w:val="28"/>
          <w:szCs w:val="28"/>
          <w:lang w:val="en-GB"/>
        </w:rPr>
      </w:pPr>
    </w:p>
    <w:p w14:paraId="5957D108" w14:textId="519381E3" w:rsidR="00167167" w:rsidRPr="004527B2" w:rsidRDefault="00167167" w:rsidP="004527B2">
      <w:pPr>
        <w:spacing w:after="0" w:line="360" w:lineRule="auto"/>
        <w:jc w:val="both"/>
        <w:rPr>
          <w:rFonts w:ascii="Times New Roman" w:hAnsi="Times New Roman" w:cs="Times New Roman"/>
          <w:bCs/>
          <w:sz w:val="28"/>
          <w:szCs w:val="28"/>
          <w:lang w:val="en-GB"/>
        </w:rPr>
      </w:pPr>
      <w:r w:rsidRPr="004527B2">
        <w:rPr>
          <w:rFonts w:ascii="Times New Roman" w:hAnsi="Times New Roman" w:cs="Times New Roman"/>
          <w:bCs/>
          <w:sz w:val="28"/>
          <w:szCs w:val="28"/>
          <w:u w:val="single"/>
          <w:lang w:val="en-GB"/>
        </w:rPr>
        <w:t>Neutral Citation:</w:t>
      </w:r>
      <w:r w:rsidRPr="004527B2">
        <w:rPr>
          <w:rFonts w:ascii="Times New Roman" w:hAnsi="Times New Roman" w:cs="Times New Roman"/>
          <w:bCs/>
          <w:sz w:val="28"/>
          <w:szCs w:val="28"/>
          <w:lang w:val="en-GB"/>
        </w:rPr>
        <w:t xml:space="preserve"> Independent Electoral Commission and 4 others v</w:t>
      </w:r>
      <w:r w:rsidR="00C67F10">
        <w:rPr>
          <w:rFonts w:ascii="Times New Roman" w:hAnsi="Times New Roman" w:cs="Times New Roman"/>
          <w:bCs/>
          <w:sz w:val="28"/>
          <w:szCs w:val="28"/>
          <w:lang w:val="en-GB"/>
        </w:rPr>
        <w:t xml:space="preserve"> Speaker of the </w:t>
      </w:r>
      <w:r w:rsidRPr="004527B2">
        <w:rPr>
          <w:rFonts w:ascii="Times New Roman" w:hAnsi="Times New Roman" w:cs="Times New Roman"/>
          <w:bCs/>
          <w:sz w:val="28"/>
          <w:szCs w:val="28"/>
          <w:lang w:val="en-GB"/>
        </w:rPr>
        <w:t xml:space="preserve">National Assembly and 12 others [2022] LSHC </w:t>
      </w:r>
      <w:r w:rsidR="000C0D8C">
        <w:rPr>
          <w:rFonts w:ascii="Times New Roman" w:hAnsi="Times New Roman" w:cs="Times New Roman"/>
          <w:bCs/>
          <w:sz w:val="28"/>
          <w:szCs w:val="28"/>
          <w:lang w:val="en-GB"/>
        </w:rPr>
        <w:t xml:space="preserve">319 </w:t>
      </w:r>
      <w:r w:rsidRPr="004527B2">
        <w:rPr>
          <w:rFonts w:ascii="Times New Roman" w:hAnsi="Times New Roman" w:cs="Times New Roman"/>
          <w:bCs/>
          <w:sz w:val="28"/>
          <w:szCs w:val="28"/>
          <w:lang w:val="en-GB"/>
        </w:rPr>
        <w:t>Co</w:t>
      </w:r>
      <w:r w:rsidR="00DE5D84" w:rsidRPr="004527B2">
        <w:rPr>
          <w:rFonts w:ascii="Times New Roman" w:hAnsi="Times New Roman" w:cs="Times New Roman"/>
          <w:bCs/>
          <w:sz w:val="28"/>
          <w:szCs w:val="28"/>
          <w:lang w:val="en-GB"/>
        </w:rPr>
        <w:t>nst. (1</w:t>
      </w:r>
      <w:r w:rsidR="00DE5D84" w:rsidRPr="004527B2">
        <w:rPr>
          <w:rFonts w:ascii="Times New Roman" w:hAnsi="Times New Roman" w:cs="Times New Roman"/>
          <w:bCs/>
          <w:sz w:val="28"/>
          <w:szCs w:val="28"/>
          <w:vertAlign w:val="superscript"/>
          <w:lang w:val="en-GB"/>
        </w:rPr>
        <w:t>st</w:t>
      </w:r>
      <w:r w:rsidR="00DE5D84" w:rsidRPr="004527B2">
        <w:rPr>
          <w:rFonts w:ascii="Times New Roman" w:hAnsi="Times New Roman" w:cs="Times New Roman"/>
          <w:bCs/>
          <w:sz w:val="28"/>
          <w:szCs w:val="28"/>
          <w:lang w:val="en-GB"/>
        </w:rPr>
        <w:t xml:space="preserve"> December 2022)</w:t>
      </w:r>
    </w:p>
    <w:p w14:paraId="572B9B2D" w14:textId="77777777" w:rsidR="0043214A" w:rsidRPr="001D62CA" w:rsidRDefault="0043214A" w:rsidP="001D62CA">
      <w:pPr>
        <w:spacing w:line="360" w:lineRule="auto"/>
        <w:rPr>
          <w:rFonts w:ascii="Times New Roman" w:hAnsi="Times New Roman" w:cs="Times New Roman"/>
          <w:b/>
          <w:sz w:val="28"/>
          <w:szCs w:val="28"/>
          <w:lang w:val="en-GB"/>
        </w:rPr>
      </w:pPr>
    </w:p>
    <w:p w14:paraId="7260C2CB" w14:textId="77777777" w:rsidR="00AA161A" w:rsidRPr="0093631D" w:rsidRDefault="0043214A" w:rsidP="00AC1EA3">
      <w:pPr>
        <w:spacing w:after="0" w:line="360" w:lineRule="auto"/>
        <w:rPr>
          <w:rFonts w:ascii="Times New Roman" w:hAnsi="Times New Roman" w:cs="Times New Roman"/>
          <w:b/>
          <w:sz w:val="28"/>
          <w:szCs w:val="28"/>
          <w:lang w:val="en-GB"/>
        </w:rPr>
      </w:pPr>
      <w:r w:rsidRPr="0093631D">
        <w:rPr>
          <w:rFonts w:ascii="Times New Roman" w:hAnsi="Times New Roman" w:cs="Times New Roman"/>
          <w:b/>
          <w:sz w:val="28"/>
          <w:szCs w:val="28"/>
          <w:lang w:val="en-GB"/>
        </w:rPr>
        <w:t>CORAM</w:t>
      </w:r>
      <w:r w:rsidR="00AA161A" w:rsidRPr="0093631D">
        <w:rPr>
          <w:rFonts w:ascii="Times New Roman" w:hAnsi="Times New Roman" w:cs="Times New Roman"/>
          <w:b/>
          <w:sz w:val="28"/>
          <w:szCs w:val="28"/>
          <w:lang w:val="en-GB"/>
        </w:rPr>
        <w:t>: M. MAHASE J</w:t>
      </w:r>
    </w:p>
    <w:p w14:paraId="0FB037C3" w14:textId="77777777" w:rsidR="00AA161A" w:rsidRPr="0093631D" w:rsidRDefault="00AA161A" w:rsidP="00AC1EA3">
      <w:pPr>
        <w:spacing w:after="0" w:line="360" w:lineRule="auto"/>
        <w:rPr>
          <w:rFonts w:ascii="Times New Roman" w:hAnsi="Times New Roman" w:cs="Times New Roman"/>
          <w:b/>
          <w:sz w:val="28"/>
          <w:szCs w:val="28"/>
          <w:lang w:val="en-GB"/>
        </w:rPr>
      </w:pPr>
      <w:r w:rsidRPr="0093631D">
        <w:rPr>
          <w:rFonts w:ascii="Times New Roman" w:hAnsi="Times New Roman" w:cs="Times New Roman"/>
          <w:b/>
          <w:sz w:val="28"/>
          <w:szCs w:val="28"/>
          <w:lang w:val="en-GB"/>
        </w:rPr>
        <w:t xml:space="preserve">                 M. KOPO J</w:t>
      </w:r>
    </w:p>
    <w:p w14:paraId="560BD058" w14:textId="77777777" w:rsidR="00AA161A" w:rsidRPr="0093631D" w:rsidRDefault="00AA161A" w:rsidP="00AC1EA3">
      <w:pPr>
        <w:spacing w:after="0" w:line="360" w:lineRule="auto"/>
        <w:rPr>
          <w:rFonts w:ascii="Times New Roman" w:hAnsi="Times New Roman" w:cs="Times New Roman"/>
          <w:b/>
          <w:sz w:val="28"/>
          <w:szCs w:val="28"/>
          <w:lang w:val="en-GB"/>
        </w:rPr>
      </w:pPr>
      <w:r w:rsidRPr="0093631D">
        <w:rPr>
          <w:rFonts w:ascii="Times New Roman" w:hAnsi="Times New Roman" w:cs="Times New Roman"/>
          <w:b/>
          <w:sz w:val="28"/>
          <w:szCs w:val="28"/>
          <w:lang w:val="en-GB"/>
        </w:rPr>
        <w:t xml:space="preserve">                 M. MAKHETHA J</w:t>
      </w:r>
    </w:p>
    <w:p w14:paraId="4BD588F4" w14:textId="77777777" w:rsidR="00AA161A" w:rsidRPr="0093631D" w:rsidRDefault="00AA161A" w:rsidP="00AC1EA3">
      <w:pPr>
        <w:spacing w:after="0" w:line="360" w:lineRule="auto"/>
        <w:rPr>
          <w:rFonts w:ascii="Times New Roman" w:hAnsi="Times New Roman" w:cs="Times New Roman"/>
          <w:b/>
          <w:sz w:val="28"/>
          <w:szCs w:val="28"/>
          <w:lang w:val="en-GB"/>
        </w:rPr>
      </w:pPr>
    </w:p>
    <w:p w14:paraId="4624EF9A" w14:textId="6AFBC285" w:rsidR="00AA161A" w:rsidRDefault="00AA161A" w:rsidP="00AC1EA3">
      <w:pPr>
        <w:spacing w:after="0" w:line="360" w:lineRule="auto"/>
        <w:rPr>
          <w:rFonts w:ascii="Times New Roman" w:hAnsi="Times New Roman" w:cs="Times New Roman"/>
          <w:b/>
          <w:sz w:val="28"/>
          <w:szCs w:val="28"/>
          <w:lang w:val="en-GB"/>
        </w:rPr>
      </w:pPr>
      <w:r w:rsidRPr="0093631D">
        <w:rPr>
          <w:rFonts w:ascii="Times New Roman" w:hAnsi="Times New Roman" w:cs="Times New Roman"/>
          <w:b/>
          <w:sz w:val="28"/>
          <w:szCs w:val="28"/>
          <w:lang w:val="en-GB"/>
        </w:rPr>
        <w:t>HEARD:</w:t>
      </w:r>
      <w:r w:rsidR="00DE5D84">
        <w:rPr>
          <w:rFonts w:ascii="Times New Roman" w:hAnsi="Times New Roman" w:cs="Times New Roman"/>
          <w:b/>
          <w:sz w:val="28"/>
          <w:szCs w:val="28"/>
          <w:lang w:val="en-GB"/>
        </w:rPr>
        <w:tab/>
      </w:r>
      <w:r w:rsidR="00DE5D84">
        <w:rPr>
          <w:rFonts w:ascii="Times New Roman" w:hAnsi="Times New Roman" w:cs="Times New Roman"/>
          <w:b/>
          <w:sz w:val="28"/>
          <w:szCs w:val="28"/>
          <w:lang w:val="en-GB"/>
        </w:rPr>
        <w:tab/>
      </w:r>
      <w:r w:rsidRPr="0093631D">
        <w:rPr>
          <w:rFonts w:ascii="Times New Roman" w:hAnsi="Times New Roman" w:cs="Times New Roman"/>
          <w:b/>
          <w:sz w:val="28"/>
          <w:szCs w:val="28"/>
          <w:lang w:val="en-GB"/>
        </w:rPr>
        <w:t>16</w:t>
      </w:r>
      <w:r w:rsidRPr="0093631D">
        <w:rPr>
          <w:rFonts w:ascii="Times New Roman" w:hAnsi="Times New Roman" w:cs="Times New Roman"/>
          <w:b/>
          <w:sz w:val="28"/>
          <w:szCs w:val="28"/>
          <w:vertAlign w:val="superscript"/>
          <w:lang w:val="en-GB"/>
        </w:rPr>
        <w:t>TH</w:t>
      </w:r>
      <w:r w:rsidRPr="0093631D">
        <w:rPr>
          <w:rFonts w:ascii="Times New Roman" w:hAnsi="Times New Roman" w:cs="Times New Roman"/>
          <w:b/>
          <w:sz w:val="28"/>
          <w:szCs w:val="28"/>
          <w:lang w:val="en-GB"/>
        </w:rPr>
        <w:t xml:space="preserve"> AND 17</w:t>
      </w:r>
      <w:r w:rsidRPr="0093631D">
        <w:rPr>
          <w:rFonts w:ascii="Times New Roman" w:hAnsi="Times New Roman" w:cs="Times New Roman"/>
          <w:b/>
          <w:sz w:val="28"/>
          <w:szCs w:val="28"/>
          <w:vertAlign w:val="superscript"/>
          <w:lang w:val="en-GB"/>
        </w:rPr>
        <w:t>TH</w:t>
      </w:r>
      <w:r w:rsidRPr="0093631D">
        <w:rPr>
          <w:rFonts w:ascii="Times New Roman" w:hAnsi="Times New Roman" w:cs="Times New Roman"/>
          <w:b/>
          <w:sz w:val="28"/>
          <w:szCs w:val="28"/>
          <w:lang w:val="en-GB"/>
        </w:rPr>
        <w:t xml:space="preserve"> NOVEMBER 2022</w:t>
      </w:r>
    </w:p>
    <w:p w14:paraId="4FC388BF" w14:textId="4F0AC386" w:rsidR="0093631D" w:rsidRPr="0093631D" w:rsidRDefault="0093631D" w:rsidP="00AC1EA3">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DELIVERED: </w:t>
      </w:r>
      <w:r w:rsidR="00DE5D84">
        <w:rPr>
          <w:rFonts w:ascii="Times New Roman" w:hAnsi="Times New Roman" w:cs="Times New Roman"/>
          <w:b/>
          <w:sz w:val="28"/>
          <w:szCs w:val="28"/>
          <w:lang w:val="en-GB"/>
        </w:rPr>
        <w:tab/>
      </w:r>
      <w:r>
        <w:rPr>
          <w:rFonts w:ascii="Times New Roman" w:hAnsi="Times New Roman" w:cs="Times New Roman"/>
          <w:b/>
          <w:sz w:val="28"/>
          <w:szCs w:val="28"/>
          <w:lang w:val="en-GB"/>
        </w:rPr>
        <w:t>01</w:t>
      </w:r>
      <w:r w:rsidRPr="0093631D">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DECEMBER 2022</w:t>
      </w:r>
    </w:p>
    <w:p w14:paraId="727FEBB8" w14:textId="478CF406" w:rsidR="00AA161A" w:rsidRDefault="00AA161A" w:rsidP="00AC1EA3">
      <w:pPr>
        <w:spacing w:after="0" w:line="360" w:lineRule="auto"/>
        <w:rPr>
          <w:rFonts w:ascii="Times New Roman" w:hAnsi="Times New Roman" w:cs="Times New Roman"/>
          <w:b/>
          <w:sz w:val="28"/>
          <w:szCs w:val="28"/>
          <w:lang w:val="en-GB"/>
        </w:rPr>
      </w:pPr>
    </w:p>
    <w:p w14:paraId="057A5F61" w14:textId="77777777" w:rsidR="004527B2" w:rsidRPr="0093631D" w:rsidRDefault="004527B2" w:rsidP="00AC1EA3">
      <w:pPr>
        <w:spacing w:after="0" w:line="360" w:lineRule="auto"/>
        <w:rPr>
          <w:rFonts w:ascii="Times New Roman" w:hAnsi="Times New Roman" w:cs="Times New Roman"/>
          <w:b/>
          <w:sz w:val="28"/>
          <w:szCs w:val="28"/>
          <w:lang w:val="en-GB"/>
        </w:rPr>
      </w:pPr>
    </w:p>
    <w:p w14:paraId="36A57DFF" w14:textId="05DF6819" w:rsidR="00AA161A" w:rsidRPr="004527B2" w:rsidRDefault="00AA161A" w:rsidP="00AC1EA3">
      <w:pPr>
        <w:spacing w:after="0" w:line="360" w:lineRule="auto"/>
        <w:jc w:val="center"/>
        <w:rPr>
          <w:rFonts w:ascii="Times New Roman" w:hAnsi="Times New Roman" w:cs="Times New Roman"/>
          <w:b/>
          <w:i/>
          <w:sz w:val="32"/>
          <w:szCs w:val="32"/>
          <w:lang w:val="en-GB"/>
        </w:rPr>
      </w:pPr>
      <w:r w:rsidRPr="004527B2">
        <w:rPr>
          <w:rFonts w:ascii="Times New Roman" w:hAnsi="Times New Roman" w:cs="Times New Roman"/>
          <w:b/>
          <w:i/>
          <w:sz w:val="32"/>
          <w:szCs w:val="32"/>
          <w:lang w:val="en-GB"/>
        </w:rPr>
        <w:t>SUMMARY</w:t>
      </w:r>
    </w:p>
    <w:p w14:paraId="66A92CFE" w14:textId="03300908" w:rsidR="00AA161A" w:rsidRPr="001D62CA" w:rsidRDefault="00AA161A" w:rsidP="00AC1EA3">
      <w:pPr>
        <w:spacing w:after="0" w:line="360" w:lineRule="auto"/>
        <w:jc w:val="center"/>
        <w:rPr>
          <w:rFonts w:ascii="Times New Roman" w:hAnsi="Times New Roman" w:cs="Times New Roman"/>
          <w:i/>
          <w:sz w:val="28"/>
          <w:szCs w:val="28"/>
          <w:lang w:val="en-GB"/>
        </w:rPr>
      </w:pPr>
    </w:p>
    <w:p w14:paraId="64D73BF0" w14:textId="4718E4FA" w:rsidR="00AA161A" w:rsidRPr="001D62CA" w:rsidRDefault="00AA161A" w:rsidP="00AC1EA3">
      <w:pPr>
        <w:spacing w:after="0" w:line="360" w:lineRule="auto"/>
        <w:jc w:val="both"/>
        <w:rPr>
          <w:rFonts w:ascii="Times New Roman" w:hAnsi="Times New Roman" w:cs="Times New Roman"/>
          <w:i/>
          <w:sz w:val="28"/>
          <w:szCs w:val="28"/>
          <w:lang w:val="en-GB"/>
        </w:rPr>
      </w:pPr>
      <w:r w:rsidRPr="001D62CA">
        <w:rPr>
          <w:rFonts w:ascii="Times New Roman" w:hAnsi="Times New Roman" w:cs="Times New Roman"/>
          <w:i/>
          <w:sz w:val="28"/>
          <w:szCs w:val="28"/>
          <w:lang w:val="en-GB"/>
        </w:rPr>
        <w:t xml:space="preserve">Constitutional provisions for decision of questions as to membership of parliament- </w:t>
      </w:r>
      <w:r w:rsidR="001D62CA" w:rsidRPr="001D62CA">
        <w:rPr>
          <w:rFonts w:ascii="Times New Roman" w:hAnsi="Times New Roman" w:cs="Times New Roman"/>
          <w:i/>
          <w:sz w:val="28"/>
          <w:szCs w:val="28"/>
          <w:lang w:val="en-GB"/>
        </w:rPr>
        <w:t>P</w:t>
      </w:r>
      <w:r w:rsidRPr="001D62CA">
        <w:rPr>
          <w:rFonts w:ascii="Times New Roman" w:hAnsi="Times New Roman" w:cs="Times New Roman"/>
          <w:i/>
          <w:sz w:val="28"/>
          <w:szCs w:val="28"/>
          <w:lang w:val="en-GB"/>
        </w:rPr>
        <w:t xml:space="preserve">rocedure to be followed where allocation of </w:t>
      </w:r>
      <w:r w:rsidR="001D62CA" w:rsidRPr="001D62CA">
        <w:rPr>
          <w:rFonts w:ascii="Times New Roman" w:hAnsi="Times New Roman" w:cs="Times New Roman"/>
          <w:i/>
          <w:sz w:val="28"/>
          <w:szCs w:val="28"/>
          <w:lang w:val="en-GB"/>
        </w:rPr>
        <w:t>proportional</w:t>
      </w:r>
      <w:r w:rsidRPr="001D62CA">
        <w:rPr>
          <w:rFonts w:ascii="Times New Roman" w:hAnsi="Times New Roman" w:cs="Times New Roman"/>
          <w:i/>
          <w:sz w:val="28"/>
          <w:szCs w:val="28"/>
          <w:lang w:val="en-GB"/>
        </w:rPr>
        <w:t xml:space="preserve"> representation seats is in issue – </w:t>
      </w:r>
      <w:r w:rsidR="001D62CA" w:rsidRPr="001D62CA">
        <w:rPr>
          <w:rFonts w:ascii="Times New Roman" w:hAnsi="Times New Roman" w:cs="Times New Roman"/>
          <w:i/>
          <w:sz w:val="28"/>
          <w:szCs w:val="28"/>
          <w:lang w:val="en-GB"/>
        </w:rPr>
        <w:t>D</w:t>
      </w:r>
      <w:r w:rsidRPr="001D62CA">
        <w:rPr>
          <w:rFonts w:ascii="Times New Roman" w:hAnsi="Times New Roman" w:cs="Times New Roman"/>
          <w:i/>
          <w:sz w:val="28"/>
          <w:szCs w:val="28"/>
          <w:lang w:val="en-GB"/>
        </w:rPr>
        <w:t>iscussion o</w:t>
      </w:r>
      <w:r w:rsidR="001D62CA" w:rsidRPr="001D62CA">
        <w:rPr>
          <w:rFonts w:ascii="Times New Roman" w:hAnsi="Times New Roman" w:cs="Times New Roman"/>
          <w:i/>
          <w:sz w:val="28"/>
          <w:szCs w:val="28"/>
          <w:lang w:val="en-GB"/>
        </w:rPr>
        <w:t>n</w:t>
      </w:r>
      <w:r w:rsidRPr="001D62CA">
        <w:rPr>
          <w:rFonts w:ascii="Times New Roman" w:hAnsi="Times New Roman" w:cs="Times New Roman"/>
          <w:i/>
          <w:sz w:val="28"/>
          <w:szCs w:val="28"/>
          <w:lang w:val="en-GB"/>
        </w:rPr>
        <w:t xml:space="preserve"> section 69 </w:t>
      </w:r>
      <w:r w:rsidR="001D62CA" w:rsidRPr="001D62CA">
        <w:rPr>
          <w:rFonts w:ascii="Times New Roman" w:hAnsi="Times New Roman" w:cs="Times New Roman"/>
          <w:i/>
          <w:sz w:val="28"/>
          <w:szCs w:val="28"/>
          <w:lang w:val="en-GB"/>
        </w:rPr>
        <w:t xml:space="preserve">of the Constitution </w:t>
      </w:r>
      <w:r w:rsidRPr="001D62CA">
        <w:rPr>
          <w:rFonts w:ascii="Times New Roman" w:hAnsi="Times New Roman" w:cs="Times New Roman"/>
          <w:i/>
          <w:sz w:val="28"/>
          <w:szCs w:val="28"/>
          <w:lang w:val="en-GB"/>
        </w:rPr>
        <w:t xml:space="preserve">and its reference in the </w:t>
      </w:r>
      <w:r w:rsidR="001D62CA" w:rsidRPr="001D62CA">
        <w:rPr>
          <w:rFonts w:ascii="Times New Roman" w:hAnsi="Times New Roman" w:cs="Times New Roman"/>
          <w:i/>
          <w:sz w:val="28"/>
          <w:szCs w:val="28"/>
          <w:lang w:val="en-GB"/>
        </w:rPr>
        <w:t>Electoral</w:t>
      </w:r>
      <w:r w:rsidRPr="001D62CA">
        <w:rPr>
          <w:rFonts w:ascii="Times New Roman" w:hAnsi="Times New Roman" w:cs="Times New Roman"/>
          <w:i/>
          <w:sz w:val="28"/>
          <w:szCs w:val="28"/>
          <w:lang w:val="en-GB"/>
        </w:rPr>
        <w:t xml:space="preserve"> </w:t>
      </w:r>
      <w:r w:rsidR="001D62CA" w:rsidRPr="001D62CA">
        <w:rPr>
          <w:rFonts w:ascii="Times New Roman" w:hAnsi="Times New Roman" w:cs="Times New Roman"/>
          <w:i/>
          <w:sz w:val="28"/>
          <w:szCs w:val="28"/>
          <w:lang w:val="en-GB"/>
        </w:rPr>
        <w:t>A</w:t>
      </w:r>
      <w:r w:rsidRPr="001D62CA">
        <w:rPr>
          <w:rFonts w:ascii="Times New Roman" w:hAnsi="Times New Roman" w:cs="Times New Roman"/>
          <w:i/>
          <w:sz w:val="28"/>
          <w:szCs w:val="28"/>
          <w:lang w:val="en-GB"/>
        </w:rPr>
        <w:t>ct</w:t>
      </w:r>
      <w:r w:rsidR="00777EE1">
        <w:rPr>
          <w:rFonts w:ascii="Times New Roman" w:hAnsi="Times New Roman" w:cs="Times New Roman"/>
          <w:i/>
          <w:sz w:val="28"/>
          <w:szCs w:val="28"/>
          <w:lang w:val="en-GB"/>
        </w:rPr>
        <w:t>.</w:t>
      </w:r>
    </w:p>
    <w:p w14:paraId="66BF22F0" w14:textId="3D7AE85A" w:rsidR="001768EE" w:rsidRDefault="001768EE" w:rsidP="00AC1EA3">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2F30A1D5" w14:textId="77BD39BF" w:rsidR="00C9444F" w:rsidRDefault="00C9444F" w:rsidP="00AC1EA3">
      <w:pPr>
        <w:spacing w:after="0" w:line="360" w:lineRule="auto"/>
        <w:rPr>
          <w:rFonts w:ascii="Times New Roman" w:hAnsi="Times New Roman" w:cs="Times New Roman"/>
          <w:sz w:val="28"/>
          <w:szCs w:val="28"/>
          <w:lang w:val="en-GB"/>
        </w:rPr>
      </w:pPr>
    </w:p>
    <w:p w14:paraId="315D5EA1" w14:textId="66042545" w:rsidR="00C9444F" w:rsidRDefault="00C9444F" w:rsidP="00AC1EA3">
      <w:pPr>
        <w:spacing w:after="0" w:line="360" w:lineRule="auto"/>
        <w:rPr>
          <w:rFonts w:ascii="Times New Roman" w:hAnsi="Times New Roman" w:cs="Times New Roman"/>
          <w:sz w:val="28"/>
          <w:szCs w:val="28"/>
          <w:lang w:val="en-GB"/>
        </w:rPr>
      </w:pPr>
    </w:p>
    <w:p w14:paraId="4816BFA7" w14:textId="77777777" w:rsidR="00C9444F" w:rsidRDefault="00C9444F" w:rsidP="00AC1EA3">
      <w:pPr>
        <w:spacing w:after="0" w:line="360" w:lineRule="auto"/>
        <w:rPr>
          <w:rFonts w:ascii="Times New Roman" w:hAnsi="Times New Roman" w:cs="Times New Roman"/>
          <w:sz w:val="28"/>
          <w:szCs w:val="28"/>
          <w:lang w:val="en-GB"/>
        </w:rPr>
      </w:pPr>
    </w:p>
    <w:p w14:paraId="6A0EB167" w14:textId="2AEAA764" w:rsidR="00777EE1" w:rsidRPr="004527B2" w:rsidRDefault="00777EE1" w:rsidP="00AC1EA3">
      <w:pPr>
        <w:spacing w:after="0" w:line="360" w:lineRule="auto"/>
        <w:rPr>
          <w:rFonts w:ascii="Times New Roman" w:hAnsi="Times New Roman" w:cs="Times New Roman"/>
          <w:b/>
          <w:sz w:val="32"/>
          <w:szCs w:val="32"/>
          <w:u w:val="single"/>
          <w:lang w:val="en-GB"/>
        </w:rPr>
      </w:pPr>
      <w:r w:rsidRPr="004527B2">
        <w:rPr>
          <w:rFonts w:ascii="Times New Roman" w:hAnsi="Times New Roman" w:cs="Times New Roman"/>
          <w:b/>
          <w:sz w:val="32"/>
          <w:szCs w:val="32"/>
          <w:u w:val="single"/>
          <w:lang w:val="en-GB"/>
        </w:rPr>
        <w:lastRenderedPageBreak/>
        <w:t>Annotations</w:t>
      </w:r>
    </w:p>
    <w:p w14:paraId="50B8B221" w14:textId="28318728" w:rsidR="00777EE1" w:rsidRPr="00777EE1" w:rsidRDefault="00777EE1" w:rsidP="00AC1EA3">
      <w:pPr>
        <w:spacing w:after="0" w:line="360" w:lineRule="auto"/>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Articles</w:t>
      </w:r>
    </w:p>
    <w:p w14:paraId="59FCFE55" w14:textId="21794811" w:rsidR="00660DC8" w:rsidRPr="00660DC8" w:rsidRDefault="00660DC8" w:rsidP="00AC1EA3">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Hoolo ‘Nyane. </w:t>
      </w:r>
      <w:r w:rsidRPr="00660DC8">
        <w:rPr>
          <w:rFonts w:ascii="Times New Roman" w:hAnsi="Times New Roman" w:cs="Times New Roman"/>
          <w:sz w:val="28"/>
          <w:szCs w:val="28"/>
        </w:rPr>
        <w:t>A critique of proceduralism in the</w:t>
      </w:r>
      <w:r>
        <w:rPr>
          <w:rFonts w:ascii="Times New Roman" w:hAnsi="Times New Roman" w:cs="Times New Roman"/>
          <w:sz w:val="28"/>
          <w:szCs w:val="28"/>
          <w:lang w:val="en-GB"/>
        </w:rPr>
        <w:t xml:space="preserve"> </w:t>
      </w:r>
      <w:r w:rsidRPr="00660DC8">
        <w:rPr>
          <w:rFonts w:ascii="Times New Roman" w:hAnsi="Times New Roman" w:cs="Times New Roman"/>
          <w:sz w:val="28"/>
          <w:szCs w:val="28"/>
        </w:rPr>
        <w:t>adjudication of electoral disputes in</w:t>
      </w:r>
      <w:r>
        <w:rPr>
          <w:rFonts w:ascii="Times New Roman" w:hAnsi="Times New Roman" w:cs="Times New Roman"/>
          <w:sz w:val="28"/>
          <w:szCs w:val="28"/>
          <w:lang w:val="en-GB"/>
        </w:rPr>
        <w:t xml:space="preserve"> </w:t>
      </w:r>
      <w:r w:rsidR="00820CAE" w:rsidRPr="00660DC8">
        <w:rPr>
          <w:rFonts w:ascii="Times New Roman" w:hAnsi="Times New Roman" w:cs="Times New Roman"/>
          <w:sz w:val="28"/>
          <w:szCs w:val="28"/>
        </w:rPr>
        <w:t>Lesotho</w:t>
      </w:r>
      <w:r w:rsidRPr="00660DC8">
        <w:rPr>
          <w:rFonts w:ascii="Times New Roman" w:hAnsi="Times New Roman" w:cs="Times New Roman"/>
          <w:sz w:val="28"/>
          <w:szCs w:val="28"/>
        </w:rPr>
        <w:t xml:space="preserve"> </w:t>
      </w:r>
      <w:r>
        <w:rPr>
          <w:rFonts w:ascii="Times New Roman" w:hAnsi="Times New Roman" w:cs="Times New Roman"/>
          <w:sz w:val="28"/>
          <w:szCs w:val="28"/>
          <w:lang w:val="en-GB"/>
        </w:rPr>
        <w:t xml:space="preserve"> </w:t>
      </w:r>
      <w:hyperlink r:id="rId8" w:history="1">
        <w:r w:rsidRPr="00413C7F">
          <w:rPr>
            <w:rStyle w:val="Hyperlink"/>
            <w:rFonts w:ascii="Times New Roman" w:hAnsi="Times New Roman" w:cs="Times New Roman"/>
            <w:sz w:val="28"/>
            <w:szCs w:val="28"/>
            <w:lang w:val="en-GB"/>
          </w:rPr>
          <w:t>https://www.eisa.org/pdf/JAE17.2Nyane.pdf</w:t>
        </w:r>
      </w:hyperlink>
      <w:r>
        <w:rPr>
          <w:rFonts w:ascii="Times New Roman" w:hAnsi="Times New Roman" w:cs="Times New Roman"/>
          <w:sz w:val="28"/>
          <w:szCs w:val="28"/>
          <w:lang w:val="en-GB"/>
        </w:rPr>
        <w:t xml:space="preserve"> </w:t>
      </w:r>
    </w:p>
    <w:p w14:paraId="21412006" w14:textId="59B5E675" w:rsidR="00777EE1" w:rsidRPr="00777EE1" w:rsidRDefault="00777EE1" w:rsidP="00AC1EA3">
      <w:pPr>
        <w:spacing w:after="0" w:line="360" w:lineRule="auto"/>
        <w:rPr>
          <w:rFonts w:ascii="Times New Roman" w:hAnsi="Times New Roman" w:cs="Times New Roman"/>
          <w:b/>
          <w:sz w:val="28"/>
          <w:szCs w:val="28"/>
          <w:u w:val="single"/>
          <w:lang w:val="en-GB"/>
        </w:rPr>
      </w:pPr>
      <w:r w:rsidRPr="00777EE1">
        <w:rPr>
          <w:rFonts w:ascii="Times New Roman" w:hAnsi="Times New Roman" w:cs="Times New Roman"/>
          <w:b/>
          <w:sz w:val="28"/>
          <w:szCs w:val="28"/>
          <w:u w:val="single"/>
          <w:lang w:val="en-GB"/>
        </w:rPr>
        <w:t>Cases</w:t>
      </w:r>
    </w:p>
    <w:p w14:paraId="5A764651" w14:textId="77777777" w:rsidR="00777EE1" w:rsidRPr="00777EE1" w:rsidRDefault="00777EE1" w:rsidP="00AC1EA3">
      <w:pPr>
        <w:spacing w:after="0" w:line="360" w:lineRule="auto"/>
        <w:rPr>
          <w:rFonts w:ascii="Times New Roman" w:hAnsi="Times New Roman" w:cs="Times New Roman"/>
          <w:b/>
          <w:sz w:val="28"/>
          <w:szCs w:val="28"/>
          <w:u w:val="single"/>
          <w:lang w:val="en-GB"/>
        </w:rPr>
      </w:pPr>
      <w:r w:rsidRPr="00777EE1">
        <w:rPr>
          <w:rFonts w:ascii="Times New Roman" w:hAnsi="Times New Roman" w:cs="Times New Roman"/>
          <w:b/>
          <w:sz w:val="28"/>
          <w:szCs w:val="28"/>
          <w:u w:val="single"/>
          <w:lang w:val="en-GB"/>
        </w:rPr>
        <w:t>Lesotho</w:t>
      </w:r>
    </w:p>
    <w:p w14:paraId="253203C2" w14:textId="038CD581" w:rsidR="00777EE1" w:rsidRPr="00777EE1" w:rsidRDefault="00660DC8" w:rsidP="00AC1EA3">
      <w:pPr>
        <w:spacing w:after="0" w:line="360" w:lineRule="auto"/>
        <w:rPr>
          <w:rFonts w:ascii="Times New Roman" w:hAnsi="Times New Roman" w:cs="Times New Roman"/>
          <w:sz w:val="28"/>
          <w:szCs w:val="28"/>
          <w:lang w:val="en-US"/>
        </w:rPr>
      </w:pPr>
      <w:r w:rsidRPr="00660DC8">
        <w:rPr>
          <w:rFonts w:ascii="Times New Roman" w:hAnsi="Times New Roman" w:cs="Times New Roman"/>
          <w:sz w:val="28"/>
          <w:szCs w:val="28"/>
          <w:lang w:val="en-US"/>
        </w:rPr>
        <w:t>Basotho National Party v The Principal Secretary Ministry of Law, Parliamentary and Constitutional Affairs and 30 others</w:t>
      </w:r>
      <w:r>
        <w:rPr>
          <w:rFonts w:ascii="Times New Roman" w:hAnsi="Times New Roman" w:cs="Times New Roman"/>
          <w:sz w:val="28"/>
          <w:szCs w:val="28"/>
          <w:lang w:val="en-US"/>
        </w:rPr>
        <w:t xml:space="preserve"> </w:t>
      </w:r>
      <w:r w:rsidRPr="00660DC8">
        <w:rPr>
          <w:rFonts w:ascii="Times New Roman" w:hAnsi="Times New Roman" w:cs="Times New Roman"/>
          <w:sz w:val="28"/>
          <w:szCs w:val="28"/>
          <w:lang w:val="en-US"/>
        </w:rPr>
        <w:t>CIV/APN/240/93</w:t>
      </w:r>
    </w:p>
    <w:p w14:paraId="0AC6E832" w14:textId="25398981" w:rsidR="00777EE1" w:rsidRPr="00777EE1" w:rsidRDefault="00764989" w:rsidP="00AC1EA3">
      <w:pPr>
        <w:spacing w:after="0" w:line="360" w:lineRule="auto"/>
        <w:rPr>
          <w:rFonts w:ascii="Times New Roman" w:hAnsi="Times New Roman" w:cs="Times New Roman"/>
          <w:sz w:val="28"/>
          <w:szCs w:val="28"/>
          <w:lang w:val="en-GB"/>
        </w:rPr>
      </w:pPr>
      <w:r w:rsidRPr="00764989">
        <w:rPr>
          <w:rFonts w:ascii="Times New Roman" w:hAnsi="Times New Roman" w:cs="Times New Roman"/>
          <w:sz w:val="28"/>
          <w:szCs w:val="28"/>
          <w:lang w:val="en-GB"/>
        </w:rPr>
        <w:t>Attorney General v Matlakeng and Anor</w:t>
      </w:r>
      <w:r>
        <w:rPr>
          <w:rFonts w:ascii="Times New Roman" w:hAnsi="Times New Roman" w:cs="Times New Roman"/>
          <w:sz w:val="28"/>
          <w:szCs w:val="28"/>
          <w:lang w:val="en-GB"/>
        </w:rPr>
        <w:t xml:space="preserve"> CIV/APN/63/89</w:t>
      </w:r>
    </w:p>
    <w:p w14:paraId="0BC67AEB" w14:textId="77777777" w:rsidR="00777EE1" w:rsidRPr="004527B2" w:rsidRDefault="00777EE1" w:rsidP="00AC1EA3">
      <w:pPr>
        <w:spacing w:after="0" w:line="360" w:lineRule="auto"/>
        <w:rPr>
          <w:rFonts w:ascii="Times New Roman" w:hAnsi="Times New Roman" w:cs="Times New Roman"/>
          <w:b/>
          <w:sz w:val="28"/>
          <w:szCs w:val="28"/>
          <w:u w:val="single"/>
          <w:lang w:val="en-GB"/>
        </w:rPr>
      </w:pPr>
      <w:r w:rsidRPr="004527B2">
        <w:rPr>
          <w:rFonts w:ascii="Times New Roman" w:hAnsi="Times New Roman" w:cs="Times New Roman"/>
          <w:b/>
          <w:sz w:val="28"/>
          <w:szCs w:val="28"/>
          <w:u w:val="single"/>
          <w:lang w:val="en-GB"/>
        </w:rPr>
        <w:t>South Africa</w:t>
      </w:r>
    </w:p>
    <w:p w14:paraId="64812AC7" w14:textId="548BD27B" w:rsidR="00777EE1" w:rsidRDefault="00D1666E" w:rsidP="00AC1EA3">
      <w:pPr>
        <w:spacing w:after="0" w:line="360" w:lineRule="auto"/>
        <w:rPr>
          <w:rFonts w:ascii="Times New Roman" w:hAnsi="Times New Roman" w:cs="Times New Roman"/>
          <w:sz w:val="28"/>
          <w:szCs w:val="28"/>
          <w:lang w:val="en-GB"/>
        </w:rPr>
      </w:pPr>
      <w:r w:rsidRPr="00D1666E">
        <w:rPr>
          <w:rFonts w:ascii="Times New Roman" w:hAnsi="Times New Roman" w:cs="Times New Roman"/>
          <w:sz w:val="28"/>
          <w:szCs w:val="28"/>
          <w:lang w:val="en-GB"/>
        </w:rPr>
        <w:t>Olufsen V Klisser</w:t>
      </w:r>
      <w:r w:rsidR="00764989">
        <w:rPr>
          <w:rFonts w:ascii="Times New Roman" w:hAnsi="Times New Roman" w:cs="Times New Roman"/>
          <w:sz w:val="28"/>
          <w:szCs w:val="28"/>
          <w:lang w:val="en-GB"/>
        </w:rPr>
        <w:t xml:space="preserve"> (1959) 3 SA 351</w:t>
      </w:r>
    </w:p>
    <w:p w14:paraId="0A4C5647" w14:textId="1FB5E672" w:rsidR="00764989" w:rsidRPr="00D1666E" w:rsidRDefault="00764989" w:rsidP="00AC1EA3">
      <w:pPr>
        <w:spacing w:after="0" w:line="360" w:lineRule="auto"/>
        <w:rPr>
          <w:rFonts w:ascii="Times New Roman" w:hAnsi="Times New Roman" w:cs="Times New Roman"/>
          <w:sz w:val="28"/>
          <w:szCs w:val="28"/>
          <w:lang w:val="en-US"/>
        </w:rPr>
      </w:pPr>
      <w:r w:rsidRPr="00764989">
        <w:rPr>
          <w:rFonts w:ascii="Times New Roman" w:hAnsi="Times New Roman" w:cs="Times New Roman"/>
          <w:sz w:val="28"/>
          <w:szCs w:val="28"/>
          <w:lang w:val="en-US"/>
        </w:rPr>
        <w:t>De Villiers v Louw</w:t>
      </w:r>
      <w:r>
        <w:rPr>
          <w:rFonts w:ascii="Times New Roman" w:hAnsi="Times New Roman" w:cs="Times New Roman"/>
          <w:sz w:val="28"/>
          <w:szCs w:val="28"/>
          <w:lang w:val="en-US"/>
        </w:rPr>
        <w:t xml:space="preserve"> (1930) AD 426</w:t>
      </w:r>
    </w:p>
    <w:p w14:paraId="4A530F40" w14:textId="77777777" w:rsidR="00777EE1" w:rsidRPr="00777EE1" w:rsidRDefault="00777EE1" w:rsidP="00AC1EA3">
      <w:pPr>
        <w:spacing w:after="0" w:line="360" w:lineRule="auto"/>
        <w:rPr>
          <w:rFonts w:ascii="Times New Roman" w:hAnsi="Times New Roman" w:cs="Times New Roman"/>
          <w:b/>
          <w:sz w:val="28"/>
          <w:szCs w:val="28"/>
          <w:u w:val="single"/>
          <w:lang w:val="en-GB"/>
        </w:rPr>
      </w:pPr>
      <w:r w:rsidRPr="00777EE1">
        <w:rPr>
          <w:rFonts w:ascii="Times New Roman" w:hAnsi="Times New Roman" w:cs="Times New Roman"/>
          <w:b/>
          <w:sz w:val="28"/>
          <w:szCs w:val="28"/>
          <w:u w:val="single"/>
          <w:lang w:val="en-GB"/>
        </w:rPr>
        <w:t>Statutes</w:t>
      </w:r>
    </w:p>
    <w:p w14:paraId="3A0C7A00" w14:textId="77777777" w:rsidR="008E0F52" w:rsidRDefault="008E0F52" w:rsidP="00AC1EA3">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Constitution of Lesotho</w:t>
      </w:r>
    </w:p>
    <w:p w14:paraId="5918FCB7" w14:textId="546822D0" w:rsidR="008E0F52" w:rsidRDefault="008E0F52" w:rsidP="00AC1EA3">
      <w:pPr>
        <w:spacing w:after="0" w:line="360" w:lineRule="auto"/>
        <w:rPr>
          <w:rFonts w:ascii="Times New Roman" w:hAnsi="Times New Roman" w:cs="Times New Roman"/>
          <w:sz w:val="28"/>
          <w:szCs w:val="28"/>
          <w:lang w:val="en-GB"/>
        </w:rPr>
      </w:pPr>
      <w:r w:rsidRPr="008E0F52">
        <w:rPr>
          <w:rFonts w:ascii="Times New Roman" w:hAnsi="Times New Roman" w:cs="Times New Roman"/>
          <w:sz w:val="28"/>
          <w:szCs w:val="28"/>
          <w:lang w:val="en-GB"/>
        </w:rPr>
        <w:t xml:space="preserve">Constitutional Litigation Rules </w:t>
      </w:r>
      <w:r>
        <w:rPr>
          <w:rFonts w:ascii="Times New Roman" w:hAnsi="Times New Roman" w:cs="Times New Roman"/>
          <w:sz w:val="28"/>
          <w:szCs w:val="28"/>
          <w:lang w:val="en-GB"/>
        </w:rPr>
        <w:t>of 2011</w:t>
      </w:r>
    </w:p>
    <w:p w14:paraId="5D5777BF" w14:textId="59317316" w:rsidR="00777EE1" w:rsidRDefault="008E0F52" w:rsidP="00AC1EA3">
      <w:pPr>
        <w:spacing w:after="0" w:line="360" w:lineRule="auto"/>
        <w:rPr>
          <w:rFonts w:ascii="Times New Roman" w:hAnsi="Times New Roman" w:cs="Times New Roman"/>
          <w:sz w:val="28"/>
          <w:szCs w:val="28"/>
          <w:lang w:val="en-GB"/>
        </w:rPr>
      </w:pPr>
      <w:r w:rsidRPr="008E0F52">
        <w:rPr>
          <w:rFonts w:ascii="Times New Roman" w:hAnsi="Times New Roman" w:cs="Times New Roman"/>
          <w:sz w:val="28"/>
          <w:szCs w:val="28"/>
          <w:lang w:val="en-GB"/>
        </w:rPr>
        <w:t>Elections Results Notice of 2022</w:t>
      </w:r>
    </w:p>
    <w:p w14:paraId="14B6A61E" w14:textId="712CBA98" w:rsidR="008E0F52" w:rsidRDefault="008E0F52" w:rsidP="00AC1EA3">
      <w:pPr>
        <w:spacing w:after="0" w:line="360" w:lineRule="auto"/>
        <w:rPr>
          <w:rFonts w:ascii="Times New Roman" w:hAnsi="Times New Roman" w:cs="Times New Roman"/>
          <w:sz w:val="28"/>
          <w:szCs w:val="28"/>
          <w:lang w:val="en-GB"/>
        </w:rPr>
      </w:pPr>
      <w:r w:rsidRPr="008E0F52">
        <w:rPr>
          <w:rFonts w:ascii="Times New Roman" w:hAnsi="Times New Roman" w:cs="Times New Roman"/>
          <w:sz w:val="28"/>
          <w:szCs w:val="28"/>
          <w:lang w:val="en-GB"/>
        </w:rPr>
        <w:t>National Assembly Electoral Act 2011(the Electoral Act)</w:t>
      </w:r>
    </w:p>
    <w:p w14:paraId="4F4392D7" w14:textId="7C6C2A9F" w:rsidR="00AC1EA3" w:rsidRDefault="008E0F52" w:rsidP="00C9444F">
      <w:pPr>
        <w:spacing w:after="0" w:line="360" w:lineRule="auto"/>
        <w:rPr>
          <w:rFonts w:ascii="Times New Roman" w:hAnsi="Times New Roman" w:cs="Times New Roman"/>
          <w:sz w:val="28"/>
          <w:szCs w:val="28"/>
          <w:lang w:val="en-GB"/>
        </w:rPr>
      </w:pPr>
      <w:r w:rsidRPr="008E0F52">
        <w:rPr>
          <w:rFonts w:ascii="Times New Roman" w:hAnsi="Times New Roman" w:cs="Times New Roman"/>
          <w:sz w:val="28"/>
          <w:szCs w:val="28"/>
          <w:lang w:val="en-GB"/>
        </w:rPr>
        <w:t>Seventh Amendment to the Constitution Act, 2011</w:t>
      </w:r>
    </w:p>
    <w:p w14:paraId="5CAC05A1" w14:textId="4E60D2AB" w:rsidR="00C9444F" w:rsidRDefault="00C9444F" w:rsidP="00C9444F">
      <w:pPr>
        <w:spacing w:after="0" w:line="360" w:lineRule="auto"/>
        <w:rPr>
          <w:rFonts w:ascii="Times New Roman" w:hAnsi="Times New Roman" w:cs="Times New Roman"/>
          <w:sz w:val="28"/>
          <w:szCs w:val="28"/>
          <w:lang w:val="en-GB"/>
        </w:rPr>
      </w:pPr>
    </w:p>
    <w:p w14:paraId="737EDA83" w14:textId="6491BF1C" w:rsidR="00C9444F" w:rsidRDefault="00C9444F" w:rsidP="00C9444F">
      <w:pPr>
        <w:spacing w:after="0" w:line="360" w:lineRule="auto"/>
        <w:rPr>
          <w:rFonts w:ascii="Times New Roman" w:hAnsi="Times New Roman" w:cs="Times New Roman"/>
          <w:sz w:val="28"/>
          <w:szCs w:val="28"/>
          <w:lang w:val="en-GB"/>
        </w:rPr>
      </w:pPr>
    </w:p>
    <w:p w14:paraId="465D8830" w14:textId="77777777" w:rsidR="00C9444F" w:rsidRDefault="00C9444F" w:rsidP="00C9444F">
      <w:pPr>
        <w:spacing w:after="0" w:line="360" w:lineRule="auto"/>
        <w:rPr>
          <w:rFonts w:ascii="Times New Roman" w:hAnsi="Times New Roman" w:cs="Times New Roman"/>
          <w:b/>
          <w:sz w:val="28"/>
          <w:szCs w:val="28"/>
          <w:lang w:val="en-GB"/>
        </w:rPr>
      </w:pPr>
    </w:p>
    <w:p w14:paraId="4C296350" w14:textId="5609C125" w:rsidR="001D62CA" w:rsidRPr="004527B2" w:rsidRDefault="00BF1AD9" w:rsidP="00AC1EA3">
      <w:pPr>
        <w:spacing w:after="0" w:line="480" w:lineRule="auto"/>
        <w:jc w:val="center"/>
        <w:rPr>
          <w:rFonts w:ascii="Times New Roman" w:hAnsi="Times New Roman" w:cs="Times New Roman"/>
          <w:b/>
          <w:sz w:val="32"/>
          <w:szCs w:val="32"/>
          <w:u w:val="single"/>
          <w:lang w:val="en-GB"/>
        </w:rPr>
      </w:pPr>
      <w:r w:rsidRPr="004527B2">
        <w:rPr>
          <w:rFonts w:ascii="Times New Roman" w:hAnsi="Times New Roman" w:cs="Times New Roman"/>
          <w:b/>
          <w:sz w:val="32"/>
          <w:szCs w:val="32"/>
          <w:u w:val="single"/>
          <w:lang w:val="en-GB"/>
        </w:rPr>
        <w:t>RULING</w:t>
      </w:r>
    </w:p>
    <w:p w14:paraId="48FB9A91" w14:textId="2B8B395B" w:rsidR="001D62CA" w:rsidRPr="0093631D" w:rsidRDefault="001D62CA" w:rsidP="00AC1EA3">
      <w:pPr>
        <w:spacing w:after="0" w:line="480" w:lineRule="auto"/>
        <w:rPr>
          <w:rFonts w:ascii="Times New Roman" w:hAnsi="Times New Roman" w:cs="Times New Roman"/>
          <w:b/>
          <w:sz w:val="28"/>
          <w:szCs w:val="28"/>
          <w:lang w:val="en-GB"/>
        </w:rPr>
      </w:pPr>
      <w:r w:rsidRPr="0093631D">
        <w:rPr>
          <w:rFonts w:ascii="Times New Roman" w:hAnsi="Times New Roman" w:cs="Times New Roman"/>
          <w:b/>
          <w:sz w:val="28"/>
          <w:szCs w:val="28"/>
          <w:lang w:val="en-GB"/>
        </w:rPr>
        <w:t>[A] INTRODUCTION</w:t>
      </w:r>
    </w:p>
    <w:p w14:paraId="28B7168A" w14:textId="517C1E4D" w:rsidR="001D62CA" w:rsidRDefault="0032073A"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On the 07</w:t>
      </w:r>
      <w:r w:rsidRPr="0032073A">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proofErr w:type="gramStart"/>
      <w:r>
        <w:rPr>
          <w:rFonts w:ascii="Times New Roman" w:hAnsi="Times New Roman" w:cs="Times New Roman"/>
          <w:sz w:val="28"/>
          <w:szCs w:val="28"/>
          <w:lang w:val="en-GB"/>
        </w:rPr>
        <w:t>October,</w:t>
      </w:r>
      <w:proofErr w:type="gramEnd"/>
      <w:r>
        <w:rPr>
          <w:rFonts w:ascii="Times New Roman" w:hAnsi="Times New Roman" w:cs="Times New Roman"/>
          <w:sz w:val="28"/>
          <w:szCs w:val="28"/>
          <w:lang w:val="en-GB"/>
        </w:rPr>
        <w:t xml:space="preserve"> 2022, this country held the General Elections. As is procedural</w:t>
      </w:r>
      <w:r w:rsidR="00CA31BB">
        <w:rPr>
          <w:rFonts w:ascii="Times New Roman" w:hAnsi="Times New Roman" w:cs="Times New Roman"/>
          <w:sz w:val="28"/>
          <w:szCs w:val="28"/>
          <w:lang w:val="en-GB"/>
        </w:rPr>
        <w:t>,</w:t>
      </w:r>
      <w:r>
        <w:rPr>
          <w:rFonts w:ascii="Times New Roman" w:hAnsi="Times New Roman" w:cs="Times New Roman"/>
          <w:sz w:val="28"/>
          <w:szCs w:val="28"/>
          <w:lang w:val="en-GB"/>
        </w:rPr>
        <w:t xml:space="preserve"> the Independent Electoral Commission</w:t>
      </w:r>
      <w:r w:rsidR="0018446C">
        <w:rPr>
          <w:rFonts w:ascii="Times New Roman" w:hAnsi="Times New Roman" w:cs="Times New Roman"/>
          <w:sz w:val="28"/>
          <w:szCs w:val="28"/>
          <w:lang w:val="en-GB"/>
        </w:rPr>
        <w:t xml:space="preserve"> (IEC)</w:t>
      </w:r>
      <w:r>
        <w:rPr>
          <w:rFonts w:ascii="Times New Roman" w:hAnsi="Times New Roman" w:cs="Times New Roman"/>
          <w:sz w:val="28"/>
          <w:szCs w:val="28"/>
          <w:lang w:val="en-GB"/>
        </w:rPr>
        <w:t>, a body or institution entrusted with overseeing to the process of the General Elections</w:t>
      </w:r>
      <w:r w:rsidR="00FE4603">
        <w:rPr>
          <w:rFonts w:ascii="Times New Roman" w:hAnsi="Times New Roman" w:cs="Times New Roman"/>
          <w:sz w:val="28"/>
          <w:szCs w:val="28"/>
          <w:lang w:val="en-GB"/>
        </w:rPr>
        <w:t>,</w:t>
      </w:r>
      <w:r>
        <w:rPr>
          <w:rFonts w:ascii="Times New Roman" w:hAnsi="Times New Roman" w:cs="Times New Roman"/>
          <w:sz w:val="28"/>
          <w:szCs w:val="28"/>
          <w:lang w:val="en-GB"/>
        </w:rPr>
        <w:t xml:space="preserve"> counted the votes and published the results of the </w:t>
      </w:r>
      <w:r w:rsidR="00CA31BB">
        <w:rPr>
          <w:rFonts w:ascii="Times New Roman" w:hAnsi="Times New Roman" w:cs="Times New Roman"/>
          <w:sz w:val="28"/>
          <w:szCs w:val="28"/>
          <w:lang w:val="en-GB"/>
        </w:rPr>
        <w:t xml:space="preserve">Constituency Candidates </w:t>
      </w:r>
      <w:r w:rsidR="00CA31BB">
        <w:rPr>
          <w:rFonts w:ascii="Times New Roman" w:hAnsi="Times New Roman" w:cs="Times New Roman"/>
          <w:sz w:val="28"/>
          <w:szCs w:val="28"/>
          <w:lang w:val="en-GB"/>
        </w:rPr>
        <w:lastRenderedPageBreak/>
        <w:t>Votes and the Party Votes</w:t>
      </w:r>
      <w:r w:rsidR="0018446C">
        <w:rPr>
          <w:rFonts w:ascii="Times New Roman" w:hAnsi="Times New Roman" w:cs="Times New Roman"/>
          <w:sz w:val="28"/>
          <w:szCs w:val="28"/>
          <w:lang w:val="en-GB"/>
        </w:rPr>
        <w:t xml:space="preserve">. The IEC then proceeded to calculate and eventually publicise the compensatory or proportional representation </w:t>
      </w:r>
      <w:r w:rsidR="00444076">
        <w:rPr>
          <w:rFonts w:ascii="Times New Roman" w:hAnsi="Times New Roman" w:cs="Times New Roman"/>
          <w:sz w:val="28"/>
          <w:szCs w:val="28"/>
          <w:lang w:val="en-GB"/>
        </w:rPr>
        <w:t xml:space="preserve">seats </w:t>
      </w:r>
      <w:r w:rsidR="0018446C">
        <w:rPr>
          <w:rFonts w:ascii="Times New Roman" w:hAnsi="Times New Roman" w:cs="Times New Roman"/>
          <w:sz w:val="28"/>
          <w:szCs w:val="28"/>
          <w:lang w:val="en-GB"/>
        </w:rPr>
        <w:t xml:space="preserve">(PR seats). </w:t>
      </w:r>
      <w:r w:rsidR="00C94158">
        <w:rPr>
          <w:rFonts w:ascii="Times New Roman" w:hAnsi="Times New Roman" w:cs="Times New Roman"/>
          <w:sz w:val="28"/>
          <w:szCs w:val="28"/>
          <w:lang w:val="en-GB"/>
        </w:rPr>
        <w:t>Th</w:t>
      </w:r>
      <w:r w:rsidR="00444076">
        <w:rPr>
          <w:rFonts w:ascii="Times New Roman" w:hAnsi="Times New Roman" w:cs="Times New Roman"/>
          <w:sz w:val="28"/>
          <w:szCs w:val="28"/>
          <w:lang w:val="en-GB"/>
        </w:rPr>
        <w:t>e</w:t>
      </w:r>
      <w:r w:rsidR="00C94158">
        <w:rPr>
          <w:rFonts w:ascii="Times New Roman" w:hAnsi="Times New Roman" w:cs="Times New Roman"/>
          <w:sz w:val="28"/>
          <w:szCs w:val="28"/>
          <w:lang w:val="en-GB"/>
        </w:rPr>
        <w:t xml:space="preserve"> publication was done in </w:t>
      </w:r>
      <w:bookmarkStart w:id="1" w:name="_Hlk120461663"/>
      <w:r w:rsidR="0010653D" w:rsidRPr="00841BD7">
        <w:rPr>
          <w:rFonts w:ascii="Times New Roman" w:hAnsi="Times New Roman" w:cs="Times New Roman"/>
          <w:b/>
          <w:sz w:val="28"/>
          <w:szCs w:val="28"/>
          <w:lang w:val="en-GB"/>
        </w:rPr>
        <w:t>Elections Results Notice of 2022</w:t>
      </w:r>
      <w:bookmarkEnd w:id="1"/>
      <w:r w:rsidR="00841BD7">
        <w:rPr>
          <w:rStyle w:val="FootnoteReference"/>
          <w:rFonts w:ascii="Times New Roman" w:hAnsi="Times New Roman" w:cs="Times New Roman"/>
          <w:b/>
          <w:sz w:val="28"/>
          <w:szCs w:val="28"/>
          <w:lang w:val="en-GB"/>
        </w:rPr>
        <w:footnoteReference w:id="1"/>
      </w:r>
      <w:r w:rsidR="0010653D">
        <w:rPr>
          <w:rFonts w:ascii="Times New Roman" w:hAnsi="Times New Roman" w:cs="Times New Roman"/>
          <w:sz w:val="28"/>
          <w:szCs w:val="28"/>
          <w:lang w:val="en-GB"/>
        </w:rPr>
        <w:t xml:space="preserve">. </w:t>
      </w:r>
    </w:p>
    <w:p w14:paraId="20A10F94" w14:textId="6E65193F" w:rsidR="0010653D" w:rsidRDefault="00AC1EA3" w:rsidP="00AC1EA3">
      <w:pPr>
        <w:pStyle w:val="ListParagraph"/>
        <w:tabs>
          <w:tab w:val="left" w:pos="3105"/>
        </w:tabs>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tab/>
      </w:r>
    </w:p>
    <w:p w14:paraId="61A9BB92" w14:textId="765BCFC8" w:rsidR="0010653D" w:rsidRDefault="00FE4603"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On the 22</w:t>
      </w:r>
      <w:r w:rsidRPr="00FE4603">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day of October 2022, an urgent application </w:t>
      </w:r>
      <w:r w:rsidR="00A97A96">
        <w:rPr>
          <w:rFonts w:ascii="Times New Roman" w:hAnsi="Times New Roman" w:cs="Times New Roman"/>
          <w:sz w:val="28"/>
          <w:szCs w:val="28"/>
          <w:lang w:val="en-GB"/>
        </w:rPr>
        <w:t>filed</w:t>
      </w:r>
      <w:r w:rsidR="00BF1AD9">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on behalf of IEC and Director of Elections was moved in this court in its </w:t>
      </w:r>
      <w:r w:rsidR="00444076">
        <w:rPr>
          <w:rFonts w:ascii="Times New Roman" w:hAnsi="Times New Roman" w:cs="Times New Roman"/>
          <w:sz w:val="28"/>
          <w:szCs w:val="28"/>
          <w:lang w:val="en-GB"/>
        </w:rPr>
        <w:t>c</w:t>
      </w:r>
      <w:r>
        <w:rPr>
          <w:rFonts w:ascii="Times New Roman" w:hAnsi="Times New Roman" w:cs="Times New Roman"/>
          <w:sz w:val="28"/>
          <w:szCs w:val="28"/>
          <w:lang w:val="en-GB"/>
        </w:rPr>
        <w:t xml:space="preserve">onstitutional </w:t>
      </w:r>
      <w:r w:rsidR="00444076">
        <w:rPr>
          <w:rFonts w:ascii="Times New Roman" w:hAnsi="Times New Roman" w:cs="Times New Roman"/>
          <w:sz w:val="28"/>
          <w:szCs w:val="28"/>
          <w:lang w:val="en-GB"/>
        </w:rPr>
        <w:t>j</w:t>
      </w:r>
      <w:r>
        <w:rPr>
          <w:rFonts w:ascii="Times New Roman" w:hAnsi="Times New Roman" w:cs="Times New Roman"/>
          <w:sz w:val="28"/>
          <w:szCs w:val="28"/>
          <w:lang w:val="en-GB"/>
        </w:rPr>
        <w:t xml:space="preserve">urisdiction before </w:t>
      </w:r>
      <w:r w:rsidR="00CD19BE">
        <w:rPr>
          <w:rFonts w:ascii="Times New Roman" w:hAnsi="Times New Roman" w:cs="Times New Roman"/>
          <w:sz w:val="28"/>
          <w:szCs w:val="28"/>
          <w:lang w:val="en-GB"/>
        </w:rPr>
        <w:t>Justice Ralebese for the following prayers</w:t>
      </w:r>
      <w:r w:rsidR="00AC31F8">
        <w:rPr>
          <w:rFonts w:ascii="Times New Roman" w:hAnsi="Times New Roman" w:cs="Times New Roman"/>
          <w:sz w:val="28"/>
          <w:szCs w:val="28"/>
          <w:lang w:val="en-GB"/>
        </w:rPr>
        <w:t>;</w:t>
      </w:r>
    </w:p>
    <w:p w14:paraId="798D22A5" w14:textId="77777777" w:rsidR="00CD19BE" w:rsidRPr="00CD19BE" w:rsidRDefault="00CD19BE" w:rsidP="00EC0770">
      <w:pPr>
        <w:pStyle w:val="ListParagraph"/>
        <w:spacing w:line="480" w:lineRule="auto"/>
        <w:ind w:left="1474" w:right="1474"/>
        <w:rPr>
          <w:rFonts w:ascii="Times New Roman" w:hAnsi="Times New Roman" w:cs="Times New Roman"/>
          <w:sz w:val="28"/>
          <w:szCs w:val="28"/>
          <w:lang w:val="en-GB"/>
        </w:rPr>
      </w:pPr>
    </w:p>
    <w:p w14:paraId="65228D21" w14:textId="23E56B23" w:rsidR="00CD19BE" w:rsidRPr="00990961" w:rsidRDefault="00990961" w:rsidP="00AC1EA3">
      <w:pPr>
        <w:pStyle w:val="ListParagraph"/>
        <w:numPr>
          <w:ilvl w:val="0"/>
          <w:numId w:val="3"/>
        </w:numPr>
        <w:spacing w:after="0" w:line="480" w:lineRule="auto"/>
        <w:ind w:left="147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Dispensing</w:t>
      </w:r>
      <w:r w:rsidR="00CD19BE" w:rsidRPr="00990961">
        <w:rPr>
          <w:rFonts w:ascii="Times New Roman" w:hAnsi="Times New Roman" w:cs="Times New Roman"/>
          <w:i/>
          <w:sz w:val="24"/>
          <w:szCs w:val="24"/>
          <w:lang w:val="en-GB"/>
        </w:rPr>
        <w:t xml:space="preserve"> with the rules as to form and service on account of urgency of this matter</w:t>
      </w:r>
      <w:r w:rsidR="005B3EB2">
        <w:rPr>
          <w:rFonts w:ascii="Times New Roman" w:hAnsi="Times New Roman" w:cs="Times New Roman"/>
          <w:i/>
          <w:sz w:val="24"/>
          <w:szCs w:val="24"/>
          <w:lang w:val="en-GB"/>
        </w:rPr>
        <w:t>.</w:t>
      </w:r>
    </w:p>
    <w:p w14:paraId="0054938D" w14:textId="3B3F2C15" w:rsidR="00CD19BE" w:rsidRPr="00990961" w:rsidRDefault="00CD19BE" w:rsidP="00AC1EA3">
      <w:pPr>
        <w:pStyle w:val="ListParagraph"/>
        <w:numPr>
          <w:ilvl w:val="0"/>
          <w:numId w:val="3"/>
        </w:numPr>
        <w:spacing w:after="0" w:line="480" w:lineRule="auto"/>
        <w:ind w:left="147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That the rule nis</w:t>
      </w:r>
      <w:r w:rsidR="00A97A96">
        <w:rPr>
          <w:rFonts w:ascii="Times New Roman" w:hAnsi="Times New Roman" w:cs="Times New Roman"/>
          <w:i/>
          <w:sz w:val="24"/>
          <w:szCs w:val="24"/>
          <w:lang w:val="en-GB"/>
        </w:rPr>
        <w:t>i</w:t>
      </w:r>
      <w:r w:rsidRPr="00990961">
        <w:rPr>
          <w:rFonts w:ascii="Times New Roman" w:hAnsi="Times New Roman" w:cs="Times New Roman"/>
          <w:i/>
          <w:sz w:val="24"/>
          <w:szCs w:val="24"/>
          <w:lang w:val="en-GB"/>
        </w:rPr>
        <w:t xml:space="preserve"> be and is hereby issued returnable on the date and time to be determined by this honourable court calling upon the respondents to show cause, if any, why the following order shall not be made absolute:</w:t>
      </w:r>
    </w:p>
    <w:p w14:paraId="536A8C36" w14:textId="0D87D34A" w:rsidR="00CD19BE" w:rsidRPr="00990961" w:rsidRDefault="00CD19BE"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An order interdicting the summoning of the Special Meeting of the National Assembly of the 11</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Parliament of the Kingdom of Lesotho scheduled to meet on Tuesday 25</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October, 2022, at 10:00 am at Parliament Buildings</w:t>
      </w:r>
      <w:r w:rsidR="00BF1AD9">
        <w:rPr>
          <w:rFonts w:ascii="Times New Roman" w:hAnsi="Times New Roman" w:cs="Times New Roman"/>
          <w:i/>
          <w:sz w:val="24"/>
          <w:szCs w:val="24"/>
          <w:lang w:val="en-GB"/>
        </w:rPr>
        <w:t>,</w:t>
      </w:r>
      <w:r w:rsidRPr="00990961">
        <w:rPr>
          <w:rFonts w:ascii="Times New Roman" w:hAnsi="Times New Roman" w:cs="Times New Roman"/>
          <w:i/>
          <w:sz w:val="24"/>
          <w:szCs w:val="24"/>
          <w:lang w:val="en-GB"/>
        </w:rPr>
        <w:t xml:space="preserve"> pending the determination of this application.</w:t>
      </w:r>
    </w:p>
    <w:p w14:paraId="5612212F" w14:textId="7DCB4172" w:rsidR="00CD19BE" w:rsidRPr="00990961" w:rsidRDefault="00CD19BE"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An order interdicting the operationalisation of any convening the special meeting of the National Assembly of the 11</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Parliament of the Kingdom of Lesotho pending the finalisation of this application</w:t>
      </w:r>
      <w:r w:rsidR="0087450E" w:rsidRPr="00990961">
        <w:rPr>
          <w:rFonts w:ascii="Times New Roman" w:hAnsi="Times New Roman" w:cs="Times New Roman"/>
          <w:i/>
          <w:sz w:val="24"/>
          <w:szCs w:val="24"/>
          <w:lang w:val="en-GB"/>
        </w:rPr>
        <w:t>.</w:t>
      </w:r>
    </w:p>
    <w:p w14:paraId="799ABF5A" w14:textId="78511DF8" w:rsidR="0087450E" w:rsidRPr="00990961" w:rsidRDefault="0087450E"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lastRenderedPageBreak/>
        <w:t>An order reviewing, the correcting and setting aside Legal Notice No. 100 of, 2022, as irregular.</w:t>
      </w:r>
    </w:p>
    <w:p w14:paraId="5AF7A236" w14:textId="3D36F908" w:rsidR="0087450E" w:rsidRPr="00990961" w:rsidRDefault="0087450E"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An order reviewing, correcting and setting aside the allocation of compensatory seats made following the General Elections of the 7</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October, 2022, published in Legal Notice No, 100 (Election Results Notice) of 2022 in so far as that allocation gave 4</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Respondent 11 compensatory seats in state of 8 compensatory seats.</w:t>
      </w:r>
    </w:p>
    <w:p w14:paraId="105F907E" w14:textId="21FE230E" w:rsidR="0087450E" w:rsidRPr="00990961" w:rsidRDefault="0087450E"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An order granting the applicants leave to amend the, allocation of compensatory seats, allocated to 4</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respondent, from 11 compensatory seats to 8 compensatory seats. </w:t>
      </w:r>
    </w:p>
    <w:p w14:paraId="7FE64DD7" w14:textId="05411D5E" w:rsidR="0087450E" w:rsidRPr="00990961" w:rsidRDefault="0087450E"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An order reviewing, correcting and setting aside the allocation of compensatory seats made following the General Elections of the 7</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October</w:t>
      </w:r>
      <w:r w:rsidR="00A217B4">
        <w:rPr>
          <w:rFonts w:ascii="Times New Roman" w:hAnsi="Times New Roman" w:cs="Times New Roman"/>
          <w:i/>
          <w:sz w:val="24"/>
          <w:szCs w:val="24"/>
          <w:lang w:val="en-GB"/>
        </w:rPr>
        <w:t>,</w:t>
      </w:r>
      <w:r w:rsidRPr="00990961">
        <w:rPr>
          <w:rFonts w:ascii="Times New Roman" w:hAnsi="Times New Roman" w:cs="Times New Roman"/>
          <w:i/>
          <w:sz w:val="24"/>
          <w:szCs w:val="24"/>
          <w:lang w:val="en-GB"/>
        </w:rPr>
        <w:t xml:space="preserve"> 2022 published in Legal Notice No. 100 (Elections Results Notice) of 2022 in so far as that allocation gave the 5</w:t>
      </w:r>
      <w:r w:rsidRPr="00990961">
        <w:rPr>
          <w:rFonts w:ascii="Times New Roman" w:hAnsi="Times New Roman" w:cs="Times New Roman"/>
          <w:i/>
          <w:sz w:val="24"/>
          <w:szCs w:val="24"/>
          <w:vertAlign w:val="superscript"/>
          <w:lang w:val="en-GB"/>
        </w:rPr>
        <w:t>th</w:t>
      </w:r>
      <w:r w:rsidRPr="00990961">
        <w:rPr>
          <w:rFonts w:ascii="Times New Roman" w:hAnsi="Times New Roman" w:cs="Times New Roman"/>
          <w:i/>
          <w:sz w:val="24"/>
          <w:szCs w:val="24"/>
          <w:lang w:val="en-GB"/>
        </w:rPr>
        <w:t xml:space="preserve"> respondent 3 compensatory seats in state of 2 compensatory seats.</w:t>
      </w:r>
    </w:p>
    <w:p w14:paraId="5E0381F9" w14:textId="44C58435" w:rsidR="009E13A2" w:rsidRPr="00990961" w:rsidRDefault="00BE36CF"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 xml:space="preserve">An order granting the applicants leave to amend the allocation of compensatory seats, </w:t>
      </w:r>
      <w:r w:rsidR="00DC7CB0" w:rsidRPr="00990961">
        <w:rPr>
          <w:rFonts w:ascii="Times New Roman" w:hAnsi="Times New Roman" w:cs="Times New Roman"/>
          <w:i/>
          <w:sz w:val="24"/>
          <w:szCs w:val="24"/>
          <w:lang w:val="en-GB"/>
        </w:rPr>
        <w:t xml:space="preserve">allocated </w:t>
      </w:r>
      <w:r w:rsidR="00E648AF" w:rsidRPr="00990961">
        <w:rPr>
          <w:rFonts w:ascii="Times New Roman" w:hAnsi="Times New Roman" w:cs="Times New Roman"/>
          <w:i/>
          <w:sz w:val="24"/>
          <w:szCs w:val="24"/>
          <w:lang w:val="en-GB"/>
        </w:rPr>
        <w:t>to 5</w:t>
      </w:r>
      <w:r w:rsidR="00E648AF" w:rsidRPr="00990961">
        <w:rPr>
          <w:rFonts w:ascii="Times New Roman" w:hAnsi="Times New Roman" w:cs="Times New Roman"/>
          <w:i/>
          <w:sz w:val="24"/>
          <w:szCs w:val="24"/>
          <w:vertAlign w:val="superscript"/>
          <w:lang w:val="en-GB"/>
        </w:rPr>
        <w:t>th</w:t>
      </w:r>
      <w:r w:rsidR="00E648AF" w:rsidRPr="00990961">
        <w:rPr>
          <w:rFonts w:ascii="Times New Roman" w:hAnsi="Times New Roman" w:cs="Times New Roman"/>
          <w:i/>
          <w:sz w:val="24"/>
          <w:szCs w:val="24"/>
          <w:lang w:val="en-GB"/>
        </w:rPr>
        <w:t xml:space="preserve"> respondent, f</w:t>
      </w:r>
      <w:r w:rsidR="00A217B4">
        <w:rPr>
          <w:rFonts w:ascii="Times New Roman" w:hAnsi="Times New Roman" w:cs="Times New Roman"/>
          <w:i/>
          <w:sz w:val="24"/>
          <w:szCs w:val="24"/>
          <w:lang w:val="en-GB"/>
        </w:rPr>
        <w:t>rom</w:t>
      </w:r>
      <w:r w:rsidR="00E648AF" w:rsidRPr="00990961">
        <w:rPr>
          <w:rFonts w:ascii="Times New Roman" w:hAnsi="Times New Roman" w:cs="Times New Roman"/>
          <w:i/>
          <w:sz w:val="24"/>
          <w:szCs w:val="24"/>
          <w:lang w:val="en-GB"/>
        </w:rPr>
        <w:t xml:space="preserve"> 3 compensatory seats</w:t>
      </w:r>
      <w:r w:rsidR="00A217B4">
        <w:rPr>
          <w:rFonts w:ascii="Times New Roman" w:hAnsi="Times New Roman" w:cs="Times New Roman"/>
          <w:i/>
          <w:sz w:val="24"/>
          <w:szCs w:val="24"/>
          <w:lang w:val="en-GB"/>
        </w:rPr>
        <w:t xml:space="preserve"> to 2 compensatory seats</w:t>
      </w:r>
      <w:r w:rsidR="00E648AF" w:rsidRPr="00990961">
        <w:rPr>
          <w:rFonts w:ascii="Times New Roman" w:hAnsi="Times New Roman" w:cs="Times New Roman"/>
          <w:i/>
          <w:sz w:val="24"/>
          <w:szCs w:val="24"/>
          <w:lang w:val="en-GB"/>
        </w:rPr>
        <w:t>.</w:t>
      </w:r>
    </w:p>
    <w:p w14:paraId="20529262" w14:textId="77777777" w:rsidR="00990961" w:rsidRDefault="00E648AF"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An order granting leave to recalculate the compensatory seats due to parties that contested elections of 7 October, 2022, and reallocate such compensatory seats to deserving parties as reflected on annexure IEC2 to the founding affidavit.</w:t>
      </w:r>
    </w:p>
    <w:p w14:paraId="13696BEC" w14:textId="538B413D" w:rsidR="00E648AF" w:rsidRPr="00990961" w:rsidRDefault="00E648AF" w:rsidP="00EC0770">
      <w:pPr>
        <w:pStyle w:val="ListParagraph"/>
        <w:numPr>
          <w:ilvl w:val="2"/>
          <w:numId w:val="3"/>
        </w:numPr>
        <w:spacing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lastRenderedPageBreak/>
        <w:t>Further and/or alternative relief as the court may deem fit.</w:t>
      </w:r>
    </w:p>
    <w:p w14:paraId="73B69D4C" w14:textId="334BDB3B" w:rsidR="00E648AF" w:rsidRDefault="00E648AF" w:rsidP="00AC1EA3">
      <w:pPr>
        <w:pStyle w:val="ListParagraph"/>
        <w:numPr>
          <w:ilvl w:val="2"/>
          <w:numId w:val="3"/>
        </w:numPr>
        <w:spacing w:after="0" w:line="480" w:lineRule="auto"/>
        <w:ind w:left="1654" w:right="1474"/>
        <w:jc w:val="both"/>
        <w:rPr>
          <w:rFonts w:ascii="Times New Roman" w:hAnsi="Times New Roman" w:cs="Times New Roman"/>
          <w:i/>
          <w:sz w:val="24"/>
          <w:szCs w:val="24"/>
          <w:lang w:val="en-GB"/>
        </w:rPr>
      </w:pPr>
      <w:r w:rsidRPr="00990961">
        <w:rPr>
          <w:rFonts w:ascii="Times New Roman" w:hAnsi="Times New Roman" w:cs="Times New Roman"/>
          <w:i/>
          <w:sz w:val="24"/>
          <w:szCs w:val="24"/>
          <w:lang w:val="en-GB"/>
        </w:rPr>
        <w:t>Directing that prayers 1 and 2 (a) operate with immediate effect as interim reliefs</w:t>
      </w:r>
      <w:r w:rsidR="005B3EB2">
        <w:rPr>
          <w:rFonts w:ascii="Times New Roman" w:hAnsi="Times New Roman" w:cs="Times New Roman"/>
          <w:i/>
          <w:sz w:val="24"/>
          <w:szCs w:val="24"/>
          <w:lang w:val="en-GB"/>
        </w:rPr>
        <w:t>.</w:t>
      </w:r>
    </w:p>
    <w:p w14:paraId="5357CE51" w14:textId="34477543" w:rsidR="00AC31F8" w:rsidRDefault="00AC31F8" w:rsidP="00AC1EA3">
      <w:pPr>
        <w:spacing w:after="0" w:line="480" w:lineRule="auto"/>
        <w:ind w:right="1474"/>
        <w:jc w:val="both"/>
        <w:rPr>
          <w:rFonts w:ascii="Times New Roman" w:hAnsi="Times New Roman" w:cs="Times New Roman"/>
          <w:i/>
          <w:sz w:val="24"/>
          <w:szCs w:val="24"/>
          <w:lang w:val="en-GB"/>
        </w:rPr>
      </w:pPr>
    </w:p>
    <w:p w14:paraId="346A62C8" w14:textId="3858D87B" w:rsidR="00AC31F8" w:rsidRDefault="00AC31F8"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The matter was, on record, initially opposed by the DC (4</w:t>
      </w:r>
      <w:r w:rsidRPr="00AC31F8">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w:t>
      </w:r>
      <w:r w:rsidR="001479F2">
        <w:rPr>
          <w:rFonts w:ascii="Times New Roman" w:hAnsi="Times New Roman" w:cs="Times New Roman"/>
          <w:sz w:val="28"/>
          <w:szCs w:val="28"/>
          <w:lang w:val="en-GB"/>
        </w:rPr>
        <w:t xml:space="preserve">The record shows that per agreement, the parties were put to terms on </w:t>
      </w:r>
      <w:r w:rsidR="00A97A96">
        <w:rPr>
          <w:rFonts w:ascii="Times New Roman" w:hAnsi="Times New Roman" w:cs="Times New Roman"/>
          <w:sz w:val="28"/>
          <w:szCs w:val="28"/>
          <w:lang w:val="en-GB"/>
        </w:rPr>
        <w:t>period</w:t>
      </w:r>
      <w:r w:rsidR="00A217B4">
        <w:rPr>
          <w:rFonts w:ascii="Times New Roman" w:hAnsi="Times New Roman" w:cs="Times New Roman"/>
          <w:sz w:val="28"/>
          <w:szCs w:val="28"/>
          <w:lang w:val="en-GB"/>
        </w:rPr>
        <w:t>s</w:t>
      </w:r>
      <w:r w:rsidR="00A97A96">
        <w:rPr>
          <w:rFonts w:ascii="Times New Roman" w:hAnsi="Times New Roman" w:cs="Times New Roman"/>
          <w:sz w:val="28"/>
          <w:szCs w:val="28"/>
          <w:lang w:val="en-GB"/>
        </w:rPr>
        <w:t xml:space="preserve"> of </w:t>
      </w:r>
      <w:r w:rsidR="001479F2">
        <w:rPr>
          <w:rFonts w:ascii="Times New Roman" w:hAnsi="Times New Roman" w:cs="Times New Roman"/>
          <w:sz w:val="28"/>
          <w:szCs w:val="28"/>
          <w:lang w:val="en-GB"/>
        </w:rPr>
        <w:t xml:space="preserve">filing and on when the matter will be heard. </w:t>
      </w:r>
      <w:r w:rsidR="007B714A">
        <w:rPr>
          <w:rFonts w:ascii="Times New Roman" w:hAnsi="Times New Roman" w:cs="Times New Roman"/>
          <w:sz w:val="28"/>
          <w:szCs w:val="28"/>
          <w:lang w:val="en-GB"/>
        </w:rPr>
        <w:t xml:space="preserve">Several other parties joined as Applicants and </w:t>
      </w:r>
      <w:r w:rsidR="00243BBD">
        <w:rPr>
          <w:rFonts w:ascii="Times New Roman" w:hAnsi="Times New Roman" w:cs="Times New Roman"/>
          <w:sz w:val="28"/>
          <w:szCs w:val="28"/>
          <w:lang w:val="en-GB"/>
        </w:rPr>
        <w:t>Respondents</w:t>
      </w:r>
      <w:r w:rsidR="007B714A">
        <w:rPr>
          <w:rFonts w:ascii="Times New Roman" w:hAnsi="Times New Roman" w:cs="Times New Roman"/>
          <w:sz w:val="28"/>
          <w:szCs w:val="28"/>
          <w:lang w:val="en-GB"/>
        </w:rPr>
        <w:t xml:space="preserve"> to eventual</w:t>
      </w:r>
      <w:r w:rsidR="00444076">
        <w:rPr>
          <w:rFonts w:ascii="Times New Roman" w:hAnsi="Times New Roman" w:cs="Times New Roman"/>
          <w:sz w:val="28"/>
          <w:szCs w:val="28"/>
          <w:lang w:val="en-GB"/>
        </w:rPr>
        <w:t>ly</w:t>
      </w:r>
      <w:r w:rsidR="007B714A">
        <w:rPr>
          <w:rFonts w:ascii="Times New Roman" w:hAnsi="Times New Roman" w:cs="Times New Roman"/>
          <w:sz w:val="28"/>
          <w:szCs w:val="28"/>
          <w:lang w:val="en-GB"/>
        </w:rPr>
        <w:t xml:space="preserve"> cause the litigants to be as they are now. Two intervention applications (by </w:t>
      </w:r>
      <w:r w:rsidR="00317C09">
        <w:rPr>
          <w:rFonts w:ascii="Times New Roman" w:hAnsi="Times New Roman" w:cs="Times New Roman"/>
          <w:sz w:val="28"/>
          <w:szCs w:val="28"/>
          <w:lang w:val="en-GB"/>
        </w:rPr>
        <w:t>Basotho National Party (BNP), Basotho Patriotic Party (BPP), Tefo Mapesela and Revolution For Prosperity (RFP</w:t>
      </w:r>
      <w:r w:rsidR="00243BBD">
        <w:rPr>
          <w:rFonts w:ascii="Times New Roman" w:hAnsi="Times New Roman" w:cs="Times New Roman"/>
          <w:sz w:val="28"/>
          <w:szCs w:val="28"/>
          <w:lang w:val="en-GB"/>
        </w:rPr>
        <w:t>))</w:t>
      </w:r>
      <w:r w:rsidR="00317C09">
        <w:rPr>
          <w:rFonts w:ascii="Times New Roman" w:hAnsi="Times New Roman" w:cs="Times New Roman"/>
          <w:sz w:val="28"/>
          <w:szCs w:val="28"/>
          <w:lang w:val="en-GB"/>
        </w:rPr>
        <w:t xml:space="preserve"> </w:t>
      </w:r>
      <w:r w:rsidR="007B714A">
        <w:rPr>
          <w:rFonts w:ascii="Times New Roman" w:hAnsi="Times New Roman" w:cs="Times New Roman"/>
          <w:sz w:val="28"/>
          <w:szCs w:val="28"/>
          <w:lang w:val="en-GB"/>
        </w:rPr>
        <w:t xml:space="preserve">were </w:t>
      </w:r>
      <w:r w:rsidR="00317C09">
        <w:rPr>
          <w:rFonts w:ascii="Times New Roman" w:hAnsi="Times New Roman" w:cs="Times New Roman"/>
          <w:sz w:val="28"/>
          <w:szCs w:val="28"/>
          <w:lang w:val="en-GB"/>
        </w:rPr>
        <w:t>moved and granted</w:t>
      </w:r>
      <w:r w:rsidR="00B57EDD">
        <w:rPr>
          <w:rFonts w:ascii="Times New Roman" w:hAnsi="Times New Roman" w:cs="Times New Roman"/>
          <w:sz w:val="28"/>
          <w:szCs w:val="28"/>
          <w:lang w:val="en-GB"/>
        </w:rPr>
        <w:t xml:space="preserve"> at different times</w:t>
      </w:r>
      <w:r w:rsidR="00317C09">
        <w:rPr>
          <w:rFonts w:ascii="Times New Roman" w:hAnsi="Times New Roman" w:cs="Times New Roman"/>
          <w:sz w:val="28"/>
          <w:szCs w:val="28"/>
          <w:lang w:val="en-GB"/>
        </w:rPr>
        <w:t xml:space="preserve">. </w:t>
      </w:r>
    </w:p>
    <w:p w14:paraId="19AE25AD" w14:textId="77777777" w:rsidR="001D456B" w:rsidRDefault="001D456B" w:rsidP="00AC1EA3">
      <w:pPr>
        <w:pStyle w:val="ListParagraph"/>
        <w:spacing w:after="0" w:line="480" w:lineRule="auto"/>
        <w:ind w:left="790"/>
        <w:jc w:val="both"/>
        <w:rPr>
          <w:rFonts w:ascii="Times New Roman" w:hAnsi="Times New Roman" w:cs="Times New Roman"/>
          <w:sz w:val="28"/>
          <w:szCs w:val="28"/>
          <w:lang w:val="en-GB"/>
        </w:rPr>
      </w:pPr>
    </w:p>
    <w:p w14:paraId="23105073" w14:textId="4CD3D91B" w:rsidR="00EE7078" w:rsidRDefault="00B57EDD"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matter was </w:t>
      </w:r>
      <w:r w:rsidR="006C0D02">
        <w:rPr>
          <w:rFonts w:ascii="Times New Roman" w:hAnsi="Times New Roman" w:cs="Times New Roman"/>
          <w:sz w:val="28"/>
          <w:szCs w:val="28"/>
          <w:lang w:val="en-GB"/>
        </w:rPr>
        <w:t>eventually set</w:t>
      </w:r>
      <w:r>
        <w:rPr>
          <w:rFonts w:ascii="Times New Roman" w:hAnsi="Times New Roman" w:cs="Times New Roman"/>
          <w:sz w:val="28"/>
          <w:szCs w:val="28"/>
          <w:lang w:val="en-GB"/>
        </w:rPr>
        <w:t xml:space="preserve"> down to </w:t>
      </w:r>
      <w:r w:rsidR="006C0D02">
        <w:rPr>
          <w:rFonts w:ascii="Times New Roman" w:hAnsi="Times New Roman" w:cs="Times New Roman"/>
          <w:sz w:val="28"/>
          <w:szCs w:val="28"/>
          <w:lang w:val="en-GB"/>
        </w:rPr>
        <w:t>proceed</w:t>
      </w:r>
      <w:r>
        <w:rPr>
          <w:rFonts w:ascii="Times New Roman" w:hAnsi="Times New Roman" w:cs="Times New Roman"/>
          <w:sz w:val="28"/>
          <w:szCs w:val="28"/>
          <w:lang w:val="en-GB"/>
        </w:rPr>
        <w:t xml:space="preserve"> on the 16</w:t>
      </w:r>
      <w:r w:rsidRPr="00B57ED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November for deliberation of the preliminary issue </w:t>
      </w:r>
      <w:r w:rsidR="00A97A96">
        <w:rPr>
          <w:rFonts w:ascii="Times New Roman" w:hAnsi="Times New Roman" w:cs="Times New Roman"/>
          <w:sz w:val="28"/>
          <w:szCs w:val="28"/>
          <w:lang w:val="en-GB"/>
        </w:rPr>
        <w:t>relating to</w:t>
      </w:r>
      <w:r w:rsidR="0044407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jurisdiction as DC and RFP had raised it. This judgment is therefore on whether the matter should have been instituted constitutionally or under </w:t>
      </w:r>
      <w:bookmarkStart w:id="2" w:name="_Hlk120461725"/>
      <w:r>
        <w:rPr>
          <w:rFonts w:ascii="Times New Roman" w:hAnsi="Times New Roman" w:cs="Times New Roman"/>
          <w:sz w:val="28"/>
          <w:szCs w:val="28"/>
          <w:lang w:val="en-GB"/>
        </w:rPr>
        <w:t xml:space="preserve">the </w:t>
      </w:r>
      <w:r w:rsidR="00841BD7" w:rsidRPr="0093631D">
        <w:rPr>
          <w:rFonts w:ascii="Times New Roman" w:hAnsi="Times New Roman" w:cs="Times New Roman"/>
          <w:b/>
          <w:sz w:val="28"/>
          <w:szCs w:val="28"/>
          <w:lang w:val="en-GB"/>
        </w:rPr>
        <w:t>National Assembly Electoral Act 2011</w:t>
      </w:r>
      <w:r w:rsidR="00B038AB" w:rsidRPr="0093631D">
        <w:rPr>
          <w:rFonts w:ascii="Times New Roman" w:hAnsi="Times New Roman" w:cs="Times New Roman"/>
          <w:b/>
          <w:sz w:val="28"/>
          <w:szCs w:val="28"/>
          <w:lang w:val="en-GB"/>
        </w:rPr>
        <w:t>(the Electoral Act)</w:t>
      </w:r>
      <w:bookmarkEnd w:id="2"/>
      <w:r w:rsidR="00841BD7" w:rsidRPr="0093631D">
        <w:rPr>
          <w:rFonts w:ascii="Times New Roman" w:hAnsi="Times New Roman" w:cs="Times New Roman"/>
          <w:b/>
          <w:sz w:val="28"/>
          <w:szCs w:val="28"/>
          <w:lang w:val="en-GB"/>
        </w:rPr>
        <w:t>.</w:t>
      </w:r>
      <w:r w:rsidR="00841BD7" w:rsidRPr="0093631D">
        <w:rPr>
          <w:rStyle w:val="FootnoteReference"/>
          <w:rFonts w:ascii="Times New Roman" w:hAnsi="Times New Roman" w:cs="Times New Roman"/>
          <w:b/>
          <w:sz w:val="28"/>
          <w:szCs w:val="28"/>
          <w:lang w:val="en-GB"/>
        </w:rPr>
        <w:footnoteReference w:id="2"/>
      </w:r>
      <w:r w:rsidR="00841BD7">
        <w:rPr>
          <w:rFonts w:ascii="Times New Roman" w:hAnsi="Times New Roman" w:cs="Times New Roman"/>
          <w:sz w:val="28"/>
          <w:szCs w:val="28"/>
          <w:lang w:val="en-GB"/>
        </w:rPr>
        <w:t xml:space="preserve"> </w:t>
      </w:r>
    </w:p>
    <w:p w14:paraId="48370C32" w14:textId="00264526" w:rsidR="00841BD7" w:rsidRDefault="00841BD7" w:rsidP="00AC1EA3">
      <w:pPr>
        <w:pStyle w:val="ListParagraph"/>
        <w:spacing w:after="0" w:line="480" w:lineRule="auto"/>
        <w:rPr>
          <w:rFonts w:ascii="Times New Roman" w:hAnsi="Times New Roman" w:cs="Times New Roman"/>
          <w:sz w:val="28"/>
          <w:szCs w:val="28"/>
          <w:lang w:val="en-GB"/>
        </w:rPr>
      </w:pPr>
    </w:p>
    <w:p w14:paraId="573766B2" w14:textId="036B94BC" w:rsidR="005B3EB2" w:rsidRDefault="005B3EB2" w:rsidP="00AC1EA3">
      <w:pPr>
        <w:pStyle w:val="ListParagraph"/>
        <w:spacing w:after="0" w:line="480" w:lineRule="auto"/>
        <w:rPr>
          <w:rFonts w:ascii="Times New Roman" w:hAnsi="Times New Roman" w:cs="Times New Roman"/>
          <w:sz w:val="28"/>
          <w:szCs w:val="28"/>
          <w:lang w:val="en-GB"/>
        </w:rPr>
      </w:pPr>
    </w:p>
    <w:p w14:paraId="51359888" w14:textId="10298801" w:rsidR="005B3EB2" w:rsidRDefault="005B3EB2" w:rsidP="00AC1EA3">
      <w:pPr>
        <w:pStyle w:val="ListParagraph"/>
        <w:spacing w:after="0" w:line="480" w:lineRule="auto"/>
        <w:rPr>
          <w:rFonts w:ascii="Times New Roman" w:hAnsi="Times New Roman" w:cs="Times New Roman"/>
          <w:sz w:val="28"/>
          <w:szCs w:val="28"/>
          <w:lang w:val="en-GB"/>
        </w:rPr>
      </w:pPr>
    </w:p>
    <w:p w14:paraId="245345BD" w14:textId="77777777" w:rsidR="005B3EB2" w:rsidRPr="00841BD7" w:rsidRDefault="005B3EB2" w:rsidP="00AC1EA3">
      <w:pPr>
        <w:pStyle w:val="ListParagraph"/>
        <w:spacing w:after="0" w:line="480" w:lineRule="auto"/>
        <w:rPr>
          <w:rFonts w:ascii="Times New Roman" w:hAnsi="Times New Roman" w:cs="Times New Roman"/>
          <w:sz w:val="28"/>
          <w:szCs w:val="28"/>
          <w:lang w:val="en-GB"/>
        </w:rPr>
      </w:pPr>
    </w:p>
    <w:p w14:paraId="3E3F4BAD" w14:textId="005D884F" w:rsidR="00841BD7" w:rsidRPr="00000A4F" w:rsidRDefault="00000A4F" w:rsidP="00AC1EA3">
      <w:pPr>
        <w:spacing w:after="0" w:line="480" w:lineRule="auto"/>
        <w:jc w:val="both"/>
        <w:rPr>
          <w:rFonts w:ascii="Times New Roman" w:hAnsi="Times New Roman" w:cs="Times New Roman"/>
          <w:b/>
          <w:sz w:val="28"/>
          <w:szCs w:val="28"/>
          <w:lang w:val="en-GB"/>
        </w:rPr>
      </w:pPr>
      <w:r w:rsidRPr="00000A4F">
        <w:rPr>
          <w:rFonts w:ascii="Times New Roman" w:hAnsi="Times New Roman" w:cs="Times New Roman"/>
          <w:b/>
          <w:sz w:val="28"/>
          <w:szCs w:val="28"/>
          <w:lang w:val="en-GB"/>
        </w:rPr>
        <w:lastRenderedPageBreak/>
        <w:t>[B] SUBMISSIONS</w:t>
      </w:r>
    </w:p>
    <w:p w14:paraId="4F4D9EDE" w14:textId="408F2554" w:rsidR="00000A4F" w:rsidRPr="00000A4F" w:rsidRDefault="00000A4F" w:rsidP="00AC1EA3">
      <w:pPr>
        <w:spacing w:after="0" w:line="480" w:lineRule="auto"/>
        <w:jc w:val="both"/>
        <w:rPr>
          <w:rFonts w:ascii="Times New Roman" w:hAnsi="Times New Roman" w:cs="Times New Roman"/>
          <w:b/>
          <w:sz w:val="28"/>
          <w:szCs w:val="28"/>
          <w:lang w:val="en-GB"/>
        </w:rPr>
      </w:pPr>
      <w:r w:rsidRPr="00000A4F">
        <w:rPr>
          <w:rFonts w:ascii="Times New Roman" w:hAnsi="Times New Roman" w:cs="Times New Roman"/>
          <w:b/>
          <w:sz w:val="28"/>
          <w:szCs w:val="28"/>
          <w:lang w:val="en-GB"/>
        </w:rPr>
        <w:t>[I] FOR DC AND RFP</w:t>
      </w:r>
    </w:p>
    <w:p w14:paraId="4E97E34D" w14:textId="33F7EE5E" w:rsidR="00000A4F" w:rsidRDefault="00000A4F" w:rsidP="00AC1EA3">
      <w:pPr>
        <w:spacing w:after="0" w:line="480" w:lineRule="auto"/>
        <w:jc w:val="both"/>
        <w:rPr>
          <w:rFonts w:ascii="Times New Roman" w:hAnsi="Times New Roman" w:cs="Times New Roman"/>
          <w:sz w:val="28"/>
          <w:szCs w:val="28"/>
          <w:lang w:val="en-GB"/>
        </w:rPr>
      </w:pPr>
    </w:p>
    <w:p w14:paraId="49806D7B" w14:textId="06B010D8" w:rsidR="00000A4F" w:rsidRDefault="00000A4F"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Teele KC appeared and argued the case for the DC while Advocate Molati argued the matter for the RFP. Their argument </w:t>
      </w:r>
      <w:r w:rsidR="00E82FB5">
        <w:rPr>
          <w:rFonts w:ascii="Times New Roman" w:hAnsi="Times New Roman" w:cs="Times New Roman"/>
          <w:sz w:val="28"/>
          <w:szCs w:val="28"/>
          <w:lang w:val="en-GB"/>
        </w:rPr>
        <w:t xml:space="preserve">was </w:t>
      </w:r>
      <w:r>
        <w:rPr>
          <w:rFonts w:ascii="Times New Roman" w:hAnsi="Times New Roman" w:cs="Times New Roman"/>
          <w:sz w:val="28"/>
          <w:szCs w:val="28"/>
          <w:lang w:val="en-GB"/>
        </w:rPr>
        <w:t xml:space="preserve">that the matter should not have been moved in this court sitting in its constitutional jurisdiction </w:t>
      </w:r>
      <w:proofErr w:type="gramStart"/>
      <w:r>
        <w:rPr>
          <w:rFonts w:ascii="Times New Roman" w:hAnsi="Times New Roman" w:cs="Times New Roman"/>
          <w:sz w:val="28"/>
          <w:szCs w:val="28"/>
          <w:lang w:val="en-GB"/>
        </w:rPr>
        <w:t>was more or less</w:t>
      </w:r>
      <w:proofErr w:type="gramEnd"/>
      <w:r>
        <w:rPr>
          <w:rFonts w:ascii="Times New Roman" w:hAnsi="Times New Roman" w:cs="Times New Roman"/>
          <w:sz w:val="28"/>
          <w:szCs w:val="28"/>
          <w:lang w:val="en-GB"/>
        </w:rPr>
        <w:t xml:space="preserve"> the same and therefore will be looked at together. Where they differ, clarity will be provided.</w:t>
      </w:r>
    </w:p>
    <w:p w14:paraId="45C82EB2" w14:textId="77777777" w:rsidR="00B038AB" w:rsidRDefault="00B038AB" w:rsidP="00AC1EA3">
      <w:pPr>
        <w:pStyle w:val="ListParagraph"/>
        <w:spacing w:after="0" w:line="480" w:lineRule="auto"/>
        <w:ind w:left="790"/>
        <w:jc w:val="both"/>
        <w:rPr>
          <w:rFonts w:ascii="Times New Roman" w:hAnsi="Times New Roman" w:cs="Times New Roman"/>
          <w:sz w:val="28"/>
          <w:szCs w:val="28"/>
          <w:lang w:val="en-GB"/>
        </w:rPr>
      </w:pPr>
    </w:p>
    <w:p w14:paraId="150B8FFE" w14:textId="2B6763DD" w:rsidR="00B038AB" w:rsidRDefault="00E272E8"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It was</w:t>
      </w:r>
      <w:r w:rsidR="00B038AB">
        <w:rPr>
          <w:rFonts w:ascii="Times New Roman" w:hAnsi="Times New Roman" w:cs="Times New Roman"/>
          <w:sz w:val="28"/>
          <w:szCs w:val="28"/>
          <w:lang w:val="en-GB"/>
        </w:rPr>
        <w:t xml:space="preserve"> argued </w:t>
      </w:r>
      <w:r w:rsidR="002E1BE1">
        <w:rPr>
          <w:rFonts w:ascii="Times New Roman" w:hAnsi="Times New Roman" w:cs="Times New Roman"/>
          <w:sz w:val="28"/>
          <w:szCs w:val="28"/>
          <w:lang w:val="en-GB"/>
        </w:rPr>
        <w:t xml:space="preserve">for both DC and RFP </w:t>
      </w:r>
      <w:r w:rsidR="00B038AB">
        <w:rPr>
          <w:rFonts w:ascii="Times New Roman" w:hAnsi="Times New Roman" w:cs="Times New Roman"/>
          <w:sz w:val="28"/>
          <w:szCs w:val="28"/>
          <w:lang w:val="en-GB"/>
        </w:rPr>
        <w:t xml:space="preserve">that the procedure followed by the Applicants in instituting this matter is ultra vires the provisions of section 69 of the </w:t>
      </w:r>
      <w:r w:rsidR="00B038AB" w:rsidRPr="006C0D02">
        <w:rPr>
          <w:rFonts w:ascii="Times New Roman" w:hAnsi="Times New Roman" w:cs="Times New Roman"/>
          <w:b/>
          <w:sz w:val="28"/>
          <w:szCs w:val="28"/>
          <w:lang w:val="en-GB"/>
        </w:rPr>
        <w:t>Constitution</w:t>
      </w:r>
      <w:r w:rsidR="00B038AB">
        <w:rPr>
          <w:rStyle w:val="FootnoteReference"/>
          <w:rFonts w:ascii="Times New Roman" w:hAnsi="Times New Roman" w:cs="Times New Roman"/>
          <w:sz w:val="28"/>
          <w:szCs w:val="28"/>
          <w:lang w:val="en-GB"/>
        </w:rPr>
        <w:footnoteReference w:id="3"/>
      </w:r>
      <w:r w:rsidR="00B038AB">
        <w:rPr>
          <w:rFonts w:ascii="Times New Roman" w:hAnsi="Times New Roman" w:cs="Times New Roman"/>
          <w:sz w:val="28"/>
          <w:szCs w:val="28"/>
          <w:lang w:val="en-GB"/>
        </w:rPr>
        <w:t xml:space="preserve"> as amended read with section 125 of the </w:t>
      </w:r>
      <w:r w:rsidR="00695E74">
        <w:rPr>
          <w:rFonts w:ascii="Times New Roman" w:hAnsi="Times New Roman" w:cs="Times New Roman"/>
          <w:sz w:val="28"/>
          <w:szCs w:val="28"/>
          <w:lang w:val="en-GB"/>
        </w:rPr>
        <w:t xml:space="preserve">Electoral Act. </w:t>
      </w:r>
      <w:r w:rsidR="00916AC9">
        <w:rPr>
          <w:rFonts w:ascii="Times New Roman" w:hAnsi="Times New Roman" w:cs="Times New Roman"/>
          <w:sz w:val="28"/>
          <w:szCs w:val="28"/>
          <w:lang w:val="en-GB"/>
        </w:rPr>
        <w:t xml:space="preserve">It was </w:t>
      </w:r>
      <w:r w:rsidR="0012378D">
        <w:rPr>
          <w:rFonts w:ascii="Times New Roman" w:hAnsi="Times New Roman" w:cs="Times New Roman"/>
          <w:sz w:val="28"/>
          <w:szCs w:val="28"/>
          <w:lang w:val="en-GB"/>
        </w:rPr>
        <w:t xml:space="preserve">argued further that the manner in which the procedure on how a matter instituted under section 125 of the Electoral Act is designed is meant to allow even for calling of </w:t>
      </w:r>
      <w:r w:rsidR="0012378D" w:rsidRPr="00022785">
        <w:rPr>
          <w:rFonts w:ascii="Times New Roman" w:hAnsi="Times New Roman" w:cs="Times New Roman"/>
          <w:i/>
          <w:sz w:val="28"/>
          <w:szCs w:val="28"/>
          <w:lang w:val="en-GB"/>
        </w:rPr>
        <w:t>viva voce</w:t>
      </w:r>
      <w:r w:rsidR="0012378D">
        <w:rPr>
          <w:rFonts w:ascii="Times New Roman" w:hAnsi="Times New Roman" w:cs="Times New Roman"/>
          <w:sz w:val="28"/>
          <w:szCs w:val="28"/>
          <w:lang w:val="en-GB"/>
        </w:rPr>
        <w:t xml:space="preserve"> evidence</w:t>
      </w:r>
      <w:r w:rsidR="00022785">
        <w:rPr>
          <w:rFonts w:ascii="Times New Roman" w:hAnsi="Times New Roman" w:cs="Times New Roman"/>
          <w:sz w:val="28"/>
          <w:szCs w:val="28"/>
          <w:lang w:val="en-GB"/>
        </w:rPr>
        <w:t xml:space="preserve"> which is a different procedure to that </w:t>
      </w:r>
      <w:r w:rsidR="00BE49A4">
        <w:rPr>
          <w:rFonts w:ascii="Times New Roman" w:hAnsi="Times New Roman" w:cs="Times New Roman"/>
          <w:sz w:val="28"/>
          <w:szCs w:val="28"/>
          <w:lang w:val="en-GB"/>
        </w:rPr>
        <w:t xml:space="preserve">provided for under the </w:t>
      </w:r>
      <w:bookmarkStart w:id="3" w:name="_Hlk120461834"/>
      <w:r w:rsidR="00BE49A4" w:rsidRPr="0087134E">
        <w:rPr>
          <w:rFonts w:ascii="Times New Roman" w:hAnsi="Times New Roman" w:cs="Times New Roman"/>
          <w:b/>
          <w:sz w:val="28"/>
          <w:szCs w:val="28"/>
          <w:lang w:val="en-GB"/>
        </w:rPr>
        <w:t>Constitutional Litigation Rules</w:t>
      </w:r>
      <w:r w:rsidR="0087134E">
        <w:rPr>
          <w:rFonts w:ascii="Times New Roman" w:hAnsi="Times New Roman" w:cs="Times New Roman"/>
          <w:b/>
          <w:sz w:val="28"/>
          <w:szCs w:val="28"/>
          <w:lang w:val="en-GB"/>
        </w:rPr>
        <w:t xml:space="preserve"> </w:t>
      </w:r>
      <w:bookmarkEnd w:id="3"/>
      <w:r w:rsidR="0087134E">
        <w:rPr>
          <w:rFonts w:ascii="Times New Roman" w:hAnsi="Times New Roman" w:cs="Times New Roman"/>
          <w:b/>
          <w:sz w:val="28"/>
          <w:szCs w:val="28"/>
          <w:lang w:val="en-GB"/>
        </w:rPr>
        <w:t>(the Rules)</w:t>
      </w:r>
      <w:r w:rsidR="00BE49A4">
        <w:rPr>
          <w:rStyle w:val="FootnoteReference"/>
          <w:rFonts w:ascii="Times New Roman" w:hAnsi="Times New Roman" w:cs="Times New Roman"/>
          <w:sz w:val="28"/>
          <w:szCs w:val="28"/>
          <w:lang w:val="en-GB"/>
        </w:rPr>
        <w:footnoteReference w:id="4"/>
      </w:r>
      <w:r w:rsidR="00BE49A4">
        <w:rPr>
          <w:rFonts w:ascii="Times New Roman" w:hAnsi="Times New Roman" w:cs="Times New Roman"/>
          <w:sz w:val="28"/>
          <w:szCs w:val="28"/>
          <w:lang w:val="en-GB"/>
        </w:rPr>
        <w:t>.</w:t>
      </w:r>
    </w:p>
    <w:p w14:paraId="01EBCCE5" w14:textId="3786693E" w:rsidR="00BE49A4" w:rsidRPr="00BE49A4" w:rsidRDefault="00AC1EA3" w:rsidP="00AC1EA3">
      <w:pPr>
        <w:pStyle w:val="ListParagraph"/>
        <w:tabs>
          <w:tab w:val="left" w:pos="1875"/>
        </w:tabs>
        <w:spacing w:after="0" w:line="480" w:lineRule="auto"/>
        <w:rPr>
          <w:rFonts w:ascii="Times New Roman" w:hAnsi="Times New Roman" w:cs="Times New Roman"/>
          <w:sz w:val="28"/>
          <w:szCs w:val="28"/>
          <w:lang w:val="en-GB"/>
        </w:rPr>
      </w:pPr>
      <w:r>
        <w:rPr>
          <w:rFonts w:ascii="Times New Roman" w:hAnsi="Times New Roman" w:cs="Times New Roman"/>
          <w:sz w:val="28"/>
          <w:szCs w:val="28"/>
          <w:lang w:val="en-GB"/>
        </w:rPr>
        <w:tab/>
      </w:r>
    </w:p>
    <w:p w14:paraId="48C15810" w14:textId="40D58EA4" w:rsidR="001768EE" w:rsidRDefault="00BE49A4"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sidRPr="00B259B7">
        <w:rPr>
          <w:rFonts w:ascii="Times New Roman" w:hAnsi="Times New Roman" w:cs="Times New Roman"/>
          <w:sz w:val="28"/>
          <w:szCs w:val="28"/>
          <w:lang w:val="en-GB"/>
        </w:rPr>
        <w:t>In the alternative, Advocate Teele KC argues that should the court find that the procedure to challenge the allocation of the PR seats is allowed even under the Constitution, it should not be followed as there is a non-</w:t>
      </w:r>
      <w:r w:rsidRPr="00B259B7">
        <w:rPr>
          <w:rFonts w:ascii="Times New Roman" w:hAnsi="Times New Roman" w:cs="Times New Roman"/>
          <w:sz w:val="28"/>
          <w:szCs w:val="28"/>
          <w:lang w:val="en-GB"/>
        </w:rPr>
        <w:lastRenderedPageBreak/>
        <w:t xml:space="preserve">constitutional remedy available. </w:t>
      </w:r>
      <w:r w:rsidR="002E1BE1">
        <w:rPr>
          <w:rFonts w:ascii="Times New Roman" w:hAnsi="Times New Roman" w:cs="Times New Roman"/>
          <w:sz w:val="28"/>
          <w:szCs w:val="28"/>
          <w:lang w:val="en-GB"/>
        </w:rPr>
        <w:t>Advocate Molati supported the principle of subsidiarity too.</w:t>
      </w:r>
    </w:p>
    <w:p w14:paraId="08DBF7C1" w14:textId="77777777" w:rsidR="00B57E04" w:rsidRPr="00B57E04" w:rsidRDefault="00B57E04" w:rsidP="00AC1EA3">
      <w:pPr>
        <w:pStyle w:val="ListParagraph"/>
        <w:spacing w:after="0" w:line="480" w:lineRule="auto"/>
        <w:rPr>
          <w:rFonts w:ascii="Times New Roman" w:hAnsi="Times New Roman" w:cs="Times New Roman"/>
          <w:sz w:val="28"/>
          <w:szCs w:val="28"/>
          <w:lang w:val="en-GB"/>
        </w:rPr>
      </w:pPr>
    </w:p>
    <w:p w14:paraId="5BCDFFD2" w14:textId="60066F2A" w:rsidR="00B57E04" w:rsidRPr="0093631D" w:rsidRDefault="0014666F" w:rsidP="00AC1EA3">
      <w:pPr>
        <w:spacing w:after="0" w:line="480" w:lineRule="auto"/>
        <w:jc w:val="both"/>
        <w:rPr>
          <w:rFonts w:ascii="Times New Roman" w:hAnsi="Times New Roman" w:cs="Times New Roman"/>
          <w:b/>
          <w:sz w:val="28"/>
          <w:szCs w:val="28"/>
          <w:lang w:val="en-GB"/>
        </w:rPr>
      </w:pPr>
      <w:r w:rsidRPr="0093631D">
        <w:rPr>
          <w:rFonts w:ascii="Times New Roman" w:hAnsi="Times New Roman" w:cs="Times New Roman"/>
          <w:b/>
          <w:sz w:val="28"/>
          <w:szCs w:val="28"/>
          <w:lang w:val="en-GB"/>
        </w:rPr>
        <w:t>[II] FOR THE APPLICANTS</w:t>
      </w:r>
    </w:p>
    <w:p w14:paraId="346424C4" w14:textId="01EF4436" w:rsidR="0014666F" w:rsidRDefault="0014666F"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Letuka</w:t>
      </w:r>
      <w:proofErr w:type="spellEnd"/>
      <w:r>
        <w:rPr>
          <w:rFonts w:ascii="Times New Roman" w:hAnsi="Times New Roman" w:cs="Times New Roman"/>
          <w:sz w:val="28"/>
          <w:szCs w:val="28"/>
          <w:lang w:val="en-GB"/>
        </w:rPr>
        <w:t xml:space="preserve"> for the 1</w:t>
      </w:r>
      <w:r w:rsidRPr="0014666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2</w:t>
      </w:r>
      <w:r w:rsidRPr="0014666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Applicant</w:t>
      </w:r>
      <w:r w:rsidR="00A76E3E">
        <w:rPr>
          <w:rFonts w:ascii="Times New Roman" w:hAnsi="Times New Roman" w:cs="Times New Roman"/>
          <w:sz w:val="28"/>
          <w:szCs w:val="28"/>
          <w:lang w:val="en-GB"/>
        </w:rPr>
        <w:t>s</w:t>
      </w:r>
      <w:r>
        <w:rPr>
          <w:rFonts w:ascii="Times New Roman" w:hAnsi="Times New Roman" w:cs="Times New Roman"/>
          <w:sz w:val="28"/>
          <w:szCs w:val="28"/>
          <w:lang w:val="en-GB"/>
        </w:rPr>
        <w:t xml:space="preserve"> argued that since the IEC is saying it committed an error, it committed that error in exercising its constitutional mandate. Secondly, in correcting that error, the IEC will be </w:t>
      </w:r>
      <w:r w:rsidR="00110B79">
        <w:rPr>
          <w:rFonts w:ascii="Times New Roman" w:hAnsi="Times New Roman" w:cs="Times New Roman"/>
          <w:sz w:val="28"/>
          <w:szCs w:val="28"/>
          <w:lang w:val="en-GB"/>
        </w:rPr>
        <w:t>changing the parliament, which is a constitutional creature and therefore the matter has been properly instituted under the jurisdiction of this court sitting in its constitutional capacity.</w:t>
      </w:r>
      <w:r w:rsidR="005B632B">
        <w:rPr>
          <w:rFonts w:ascii="Times New Roman" w:hAnsi="Times New Roman" w:cs="Times New Roman"/>
          <w:sz w:val="28"/>
          <w:szCs w:val="28"/>
          <w:lang w:val="en-GB"/>
        </w:rPr>
        <w:t xml:space="preserve"> </w:t>
      </w:r>
    </w:p>
    <w:p w14:paraId="7D3E6BD5" w14:textId="77777777" w:rsidR="00110B79" w:rsidRDefault="00110B79" w:rsidP="00AC1EA3">
      <w:pPr>
        <w:pStyle w:val="ListParagraph"/>
        <w:spacing w:after="0" w:line="480" w:lineRule="auto"/>
        <w:ind w:left="790"/>
        <w:jc w:val="both"/>
        <w:rPr>
          <w:rFonts w:ascii="Times New Roman" w:hAnsi="Times New Roman" w:cs="Times New Roman"/>
          <w:sz w:val="28"/>
          <w:szCs w:val="28"/>
          <w:lang w:val="en-GB"/>
        </w:rPr>
      </w:pPr>
    </w:p>
    <w:p w14:paraId="0E1F1BB1" w14:textId="15E6ABC6" w:rsidR="00110B79" w:rsidRDefault="00110B79"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Letuka argued further that </w:t>
      </w:r>
      <w:r w:rsidR="0093631D">
        <w:rPr>
          <w:rFonts w:ascii="Times New Roman" w:hAnsi="Times New Roman" w:cs="Times New Roman"/>
          <w:sz w:val="28"/>
          <w:szCs w:val="28"/>
          <w:lang w:val="en-GB"/>
        </w:rPr>
        <w:t>section 69 of the Constitution has elaborately provide</w:t>
      </w:r>
      <w:r w:rsidR="00A76E3E">
        <w:rPr>
          <w:rFonts w:ascii="Times New Roman" w:hAnsi="Times New Roman" w:cs="Times New Roman"/>
          <w:sz w:val="28"/>
          <w:szCs w:val="28"/>
          <w:lang w:val="en-GB"/>
        </w:rPr>
        <w:t>d</w:t>
      </w:r>
      <w:r w:rsidR="0093631D">
        <w:rPr>
          <w:rFonts w:ascii="Times New Roman" w:hAnsi="Times New Roman" w:cs="Times New Roman"/>
          <w:sz w:val="28"/>
          <w:szCs w:val="28"/>
          <w:lang w:val="en-GB"/>
        </w:rPr>
        <w:t xml:space="preserve"> the procedure for instituting the matter such as the present one </w:t>
      </w:r>
      <w:r w:rsidR="006C0D02">
        <w:rPr>
          <w:rFonts w:ascii="Times New Roman" w:hAnsi="Times New Roman" w:cs="Times New Roman"/>
          <w:sz w:val="28"/>
          <w:szCs w:val="28"/>
          <w:lang w:val="en-GB"/>
        </w:rPr>
        <w:t>and</w:t>
      </w:r>
      <w:r w:rsidR="0087134E">
        <w:rPr>
          <w:rFonts w:ascii="Times New Roman" w:hAnsi="Times New Roman" w:cs="Times New Roman"/>
          <w:sz w:val="28"/>
          <w:szCs w:val="28"/>
          <w:lang w:val="en-GB"/>
        </w:rPr>
        <w:t xml:space="preserve"> reference to the High Court in that section refers to this court sitting in its constitutional </w:t>
      </w:r>
      <w:r w:rsidR="00A76E3E">
        <w:rPr>
          <w:rFonts w:ascii="Times New Roman" w:hAnsi="Times New Roman" w:cs="Times New Roman"/>
          <w:sz w:val="28"/>
          <w:szCs w:val="28"/>
          <w:lang w:val="en-GB"/>
        </w:rPr>
        <w:t>jurisdiction hence</w:t>
      </w:r>
      <w:r w:rsidR="0087134E">
        <w:rPr>
          <w:rFonts w:ascii="Times New Roman" w:hAnsi="Times New Roman" w:cs="Times New Roman"/>
          <w:sz w:val="28"/>
          <w:szCs w:val="28"/>
          <w:lang w:val="en-GB"/>
        </w:rPr>
        <w:t xml:space="preserve"> </w:t>
      </w:r>
      <w:r w:rsidR="0093631D">
        <w:rPr>
          <w:rFonts w:ascii="Times New Roman" w:hAnsi="Times New Roman" w:cs="Times New Roman"/>
          <w:sz w:val="28"/>
          <w:szCs w:val="28"/>
          <w:lang w:val="en-GB"/>
        </w:rPr>
        <w:t xml:space="preserve">the </w:t>
      </w:r>
      <w:r w:rsidR="0087134E">
        <w:rPr>
          <w:rFonts w:ascii="Times New Roman" w:hAnsi="Times New Roman" w:cs="Times New Roman"/>
          <w:b/>
          <w:sz w:val="28"/>
          <w:szCs w:val="28"/>
          <w:lang w:val="en-GB"/>
        </w:rPr>
        <w:t xml:space="preserve">Rules </w:t>
      </w:r>
      <w:r w:rsidR="0093631D">
        <w:rPr>
          <w:rFonts w:ascii="Times New Roman" w:hAnsi="Times New Roman" w:cs="Times New Roman"/>
          <w:sz w:val="28"/>
          <w:szCs w:val="28"/>
          <w:lang w:val="en-GB"/>
        </w:rPr>
        <w:t>as issued by the Chief Justice.</w:t>
      </w:r>
      <w:r w:rsidR="005B632B">
        <w:rPr>
          <w:rFonts w:ascii="Times New Roman" w:hAnsi="Times New Roman" w:cs="Times New Roman"/>
          <w:sz w:val="28"/>
          <w:szCs w:val="28"/>
          <w:lang w:val="en-GB"/>
        </w:rPr>
        <w:t xml:space="preserve"> </w:t>
      </w:r>
    </w:p>
    <w:p w14:paraId="76257153" w14:textId="3A8043F8" w:rsidR="009642F6" w:rsidRPr="009642F6" w:rsidRDefault="00AC1EA3" w:rsidP="00AC1EA3">
      <w:pPr>
        <w:pStyle w:val="ListParagraph"/>
        <w:tabs>
          <w:tab w:val="left" w:pos="2025"/>
        </w:tabs>
        <w:spacing w:after="0" w:line="480" w:lineRule="auto"/>
        <w:rPr>
          <w:rFonts w:ascii="Times New Roman" w:hAnsi="Times New Roman" w:cs="Times New Roman"/>
          <w:sz w:val="28"/>
          <w:szCs w:val="28"/>
          <w:lang w:val="en-GB"/>
        </w:rPr>
      </w:pPr>
      <w:r>
        <w:rPr>
          <w:rFonts w:ascii="Times New Roman" w:hAnsi="Times New Roman" w:cs="Times New Roman"/>
          <w:sz w:val="28"/>
          <w:szCs w:val="28"/>
          <w:lang w:val="en-GB"/>
        </w:rPr>
        <w:tab/>
      </w:r>
    </w:p>
    <w:p w14:paraId="5D21D641" w14:textId="5991E556" w:rsidR="009642F6" w:rsidRDefault="009642F6" w:rsidP="004527B2">
      <w:pPr>
        <w:pStyle w:val="ListParagraph"/>
        <w:numPr>
          <w:ilvl w:val="0"/>
          <w:numId w:val="2"/>
        </w:numPr>
        <w:spacing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Another ground upon which the Applicants argue that the matter could not be instituted under the procedure as envisaged </w:t>
      </w:r>
      <w:r w:rsidR="00A76E3E">
        <w:rPr>
          <w:rFonts w:ascii="Times New Roman" w:hAnsi="Times New Roman" w:cs="Times New Roman"/>
          <w:sz w:val="28"/>
          <w:szCs w:val="28"/>
          <w:lang w:val="en-GB"/>
        </w:rPr>
        <w:t>in</w:t>
      </w:r>
      <w:r>
        <w:rPr>
          <w:rFonts w:ascii="Times New Roman" w:hAnsi="Times New Roman" w:cs="Times New Roman"/>
          <w:sz w:val="28"/>
          <w:szCs w:val="28"/>
          <w:lang w:val="en-GB"/>
        </w:rPr>
        <w:t xml:space="preserve"> the Electoral Act is that the procedure under </w:t>
      </w:r>
      <w:r w:rsidR="00A76E3E">
        <w:rPr>
          <w:rFonts w:ascii="Times New Roman" w:hAnsi="Times New Roman" w:cs="Times New Roman"/>
          <w:sz w:val="28"/>
          <w:szCs w:val="28"/>
          <w:lang w:val="en-GB"/>
        </w:rPr>
        <w:t>this Act</w:t>
      </w:r>
      <w:r>
        <w:rPr>
          <w:rFonts w:ascii="Times New Roman" w:hAnsi="Times New Roman" w:cs="Times New Roman"/>
          <w:sz w:val="28"/>
          <w:szCs w:val="28"/>
          <w:lang w:val="en-GB"/>
        </w:rPr>
        <w:t xml:space="preserve"> is meant for disputed returns. It was argued that in this matter there </w:t>
      </w:r>
      <w:r w:rsidR="00D028DB">
        <w:rPr>
          <w:rFonts w:ascii="Times New Roman" w:hAnsi="Times New Roman" w:cs="Times New Roman"/>
          <w:sz w:val="28"/>
          <w:szCs w:val="28"/>
          <w:lang w:val="en-GB"/>
        </w:rPr>
        <w:t>are</w:t>
      </w:r>
      <w:r>
        <w:rPr>
          <w:rFonts w:ascii="Times New Roman" w:hAnsi="Times New Roman" w:cs="Times New Roman"/>
          <w:sz w:val="28"/>
          <w:szCs w:val="28"/>
          <w:lang w:val="en-GB"/>
        </w:rPr>
        <w:t xml:space="preserve"> no election results that </w:t>
      </w:r>
      <w:r w:rsidR="00AA15F2">
        <w:rPr>
          <w:rFonts w:ascii="Times New Roman" w:hAnsi="Times New Roman" w:cs="Times New Roman"/>
          <w:sz w:val="28"/>
          <w:szCs w:val="28"/>
          <w:lang w:val="en-GB"/>
        </w:rPr>
        <w:t>are</w:t>
      </w:r>
      <w:r>
        <w:rPr>
          <w:rFonts w:ascii="Times New Roman" w:hAnsi="Times New Roman" w:cs="Times New Roman"/>
          <w:sz w:val="28"/>
          <w:szCs w:val="28"/>
          <w:lang w:val="en-GB"/>
        </w:rPr>
        <w:t xml:space="preserve"> disputed.</w:t>
      </w:r>
    </w:p>
    <w:p w14:paraId="1D037977" w14:textId="77777777" w:rsidR="00AA15F2" w:rsidRPr="00AA15F2" w:rsidRDefault="00AA15F2" w:rsidP="00AC1EA3">
      <w:pPr>
        <w:pStyle w:val="ListParagraph"/>
        <w:spacing w:after="0" w:line="480" w:lineRule="auto"/>
        <w:rPr>
          <w:rFonts w:ascii="Times New Roman" w:hAnsi="Times New Roman" w:cs="Times New Roman"/>
          <w:sz w:val="28"/>
          <w:szCs w:val="28"/>
          <w:lang w:val="en-GB"/>
        </w:rPr>
      </w:pPr>
    </w:p>
    <w:p w14:paraId="6F07E5B0" w14:textId="5BBD1BC1" w:rsidR="00AA15F2" w:rsidRDefault="00AA15F2"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The applicants buttress their point further by arguing that the self-review application is inherently a rule of law application and therefore constitutionally based. For that reason, this matter could not be moved under the Electoral Act.</w:t>
      </w:r>
      <w:r w:rsidR="00ED0DEE">
        <w:rPr>
          <w:rFonts w:ascii="Times New Roman" w:hAnsi="Times New Roman" w:cs="Times New Roman"/>
          <w:sz w:val="28"/>
          <w:szCs w:val="28"/>
          <w:lang w:val="en-GB"/>
        </w:rPr>
        <w:t xml:space="preserve"> </w:t>
      </w:r>
    </w:p>
    <w:p w14:paraId="433CE253" w14:textId="77777777" w:rsidR="00AA15F2" w:rsidRPr="00AA15F2" w:rsidRDefault="00AA15F2" w:rsidP="00AC1EA3">
      <w:pPr>
        <w:pStyle w:val="ListParagraph"/>
        <w:spacing w:after="0" w:line="480" w:lineRule="auto"/>
        <w:rPr>
          <w:rFonts w:ascii="Times New Roman" w:hAnsi="Times New Roman" w:cs="Times New Roman"/>
          <w:sz w:val="28"/>
          <w:szCs w:val="28"/>
          <w:lang w:val="en-GB"/>
        </w:rPr>
      </w:pPr>
    </w:p>
    <w:p w14:paraId="162FCFA0" w14:textId="449A8263" w:rsidR="00AA15F2" w:rsidRDefault="00AA15F2"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subsidiarity, both Advocate Letuka and Mr. Rasekoai are in harmony that it </w:t>
      </w:r>
      <w:r w:rsidR="00ED0DEE">
        <w:rPr>
          <w:rFonts w:ascii="Times New Roman" w:hAnsi="Times New Roman" w:cs="Times New Roman"/>
          <w:sz w:val="28"/>
          <w:szCs w:val="28"/>
          <w:lang w:val="en-GB"/>
        </w:rPr>
        <w:t xml:space="preserve">is </w:t>
      </w:r>
      <w:r>
        <w:rPr>
          <w:rFonts w:ascii="Times New Roman" w:hAnsi="Times New Roman" w:cs="Times New Roman"/>
          <w:sz w:val="28"/>
          <w:szCs w:val="28"/>
          <w:lang w:val="en-GB"/>
        </w:rPr>
        <w:t xml:space="preserve">only under section 22 of the Constitution that this court can decline to hear a matter constitutionally where there is a redress elsewhere. As Mr. Rasekoai put it, the present application is </w:t>
      </w:r>
      <w:r w:rsidRPr="00A76E3E">
        <w:rPr>
          <w:rFonts w:ascii="Times New Roman" w:hAnsi="Times New Roman" w:cs="Times New Roman"/>
          <w:sz w:val="28"/>
          <w:szCs w:val="28"/>
          <w:lang w:val="en-GB"/>
        </w:rPr>
        <w:t>not</w:t>
      </w:r>
      <w:r>
        <w:rPr>
          <w:rFonts w:ascii="Times New Roman" w:hAnsi="Times New Roman" w:cs="Times New Roman"/>
          <w:sz w:val="28"/>
          <w:szCs w:val="28"/>
          <w:lang w:val="en-GB"/>
        </w:rPr>
        <w:t xml:space="preserve"> a </w:t>
      </w:r>
      <w:r w:rsidR="00426E27">
        <w:rPr>
          <w:rFonts w:ascii="Times New Roman" w:hAnsi="Times New Roman" w:cs="Times New Roman"/>
          <w:sz w:val="28"/>
          <w:szCs w:val="28"/>
          <w:lang w:val="en-GB"/>
        </w:rPr>
        <w:t>rights-based</w:t>
      </w:r>
      <w:r>
        <w:rPr>
          <w:rFonts w:ascii="Times New Roman" w:hAnsi="Times New Roman" w:cs="Times New Roman"/>
          <w:sz w:val="28"/>
          <w:szCs w:val="28"/>
          <w:lang w:val="en-GB"/>
        </w:rPr>
        <w:t xml:space="preserve"> application </w:t>
      </w:r>
      <w:r w:rsidR="00A76E3E">
        <w:rPr>
          <w:rFonts w:ascii="Times New Roman" w:hAnsi="Times New Roman" w:cs="Times New Roman"/>
          <w:sz w:val="28"/>
          <w:szCs w:val="28"/>
          <w:lang w:val="en-GB"/>
        </w:rPr>
        <w:t xml:space="preserve">as envisaged under section 22 </w:t>
      </w:r>
      <w:r>
        <w:rPr>
          <w:rFonts w:ascii="Times New Roman" w:hAnsi="Times New Roman" w:cs="Times New Roman"/>
          <w:sz w:val="28"/>
          <w:szCs w:val="28"/>
          <w:lang w:val="en-GB"/>
        </w:rPr>
        <w:t xml:space="preserve">and therefore this court cannot decline to </w:t>
      </w:r>
      <w:r w:rsidR="00ED0DEE">
        <w:rPr>
          <w:rFonts w:ascii="Times New Roman" w:hAnsi="Times New Roman" w:cs="Times New Roman"/>
          <w:sz w:val="28"/>
          <w:szCs w:val="28"/>
          <w:lang w:val="en-GB"/>
        </w:rPr>
        <w:t xml:space="preserve">hear </w:t>
      </w:r>
      <w:r>
        <w:rPr>
          <w:rFonts w:ascii="Times New Roman" w:hAnsi="Times New Roman" w:cs="Times New Roman"/>
          <w:sz w:val="28"/>
          <w:szCs w:val="28"/>
          <w:lang w:val="en-GB"/>
        </w:rPr>
        <w:t xml:space="preserve">it. </w:t>
      </w:r>
    </w:p>
    <w:p w14:paraId="2A2AD4BD" w14:textId="77777777" w:rsidR="00AA15F2" w:rsidRPr="00AA15F2" w:rsidRDefault="00AA15F2" w:rsidP="00AC1EA3">
      <w:pPr>
        <w:pStyle w:val="ListParagraph"/>
        <w:spacing w:after="0" w:line="480" w:lineRule="auto"/>
        <w:rPr>
          <w:rFonts w:ascii="Times New Roman" w:hAnsi="Times New Roman" w:cs="Times New Roman"/>
          <w:sz w:val="28"/>
          <w:szCs w:val="28"/>
          <w:lang w:val="en-GB"/>
        </w:rPr>
      </w:pPr>
    </w:p>
    <w:p w14:paraId="187A62BE" w14:textId="05E1F9A3" w:rsidR="00AA15F2" w:rsidRDefault="00AA15F2"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Lephuthing at one point argued that it does not matter if the matter was moved </w:t>
      </w:r>
      <w:r w:rsidRPr="00426E27">
        <w:rPr>
          <w:rFonts w:ascii="Times New Roman" w:hAnsi="Times New Roman" w:cs="Times New Roman"/>
          <w:sz w:val="28"/>
          <w:szCs w:val="28"/>
          <w:lang w:val="en-GB"/>
        </w:rPr>
        <w:t>under</w:t>
      </w:r>
      <w:r>
        <w:rPr>
          <w:rFonts w:ascii="Times New Roman" w:hAnsi="Times New Roman" w:cs="Times New Roman"/>
          <w:sz w:val="28"/>
          <w:szCs w:val="28"/>
          <w:lang w:val="en-GB"/>
        </w:rPr>
        <w:t xml:space="preserve"> the constitutional litigation rules or under the Electoral Act. For that reason</w:t>
      </w:r>
      <w:r w:rsidR="00A011C7">
        <w:rPr>
          <w:rFonts w:ascii="Times New Roman" w:hAnsi="Times New Roman" w:cs="Times New Roman"/>
          <w:sz w:val="28"/>
          <w:szCs w:val="28"/>
          <w:lang w:val="en-GB"/>
        </w:rPr>
        <w:t>,</w:t>
      </w:r>
      <w:r>
        <w:rPr>
          <w:rFonts w:ascii="Times New Roman" w:hAnsi="Times New Roman" w:cs="Times New Roman"/>
          <w:sz w:val="28"/>
          <w:szCs w:val="28"/>
          <w:lang w:val="en-GB"/>
        </w:rPr>
        <w:t xml:space="preserve"> therefore, he argued, this court is rightly seized with the matter.</w:t>
      </w:r>
    </w:p>
    <w:p w14:paraId="1C85B4F2" w14:textId="77777777" w:rsidR="00BE336D" w:rsidRPr="00BE336D" w:rsidRDefault="00BE336D" w:rsidP="00AC1EA3">
      <w:pPr>
        <w:pStyle w:val="ListParagraph"/>
        <w:spacing w:after="0" w:line="480" w:lineRule="auto"/>
        <w:rPr>
          <w:rFonts w:ascii="Times New Roman" w:hAnsi="Times New Roman" w:cs="Times New Roman"/>
          <w:sz w:val="28"/>
          <w:szCs w:val="28"/>
          <w:lang w:val="en-GB"/>
        </w:rPr>
      </w:pPr>
    </w:p>
    <w:p w14:paraId="635A5BEE" w14:textId="1F32ED0E" w:rsidR="00BE336D" w:rsidRPr="000213C2" w:rsidRDefault="00A011C7" w:rsidP="00AC1EA3">
      <w:pPr>
        <w:spacing w:after="0" w:line="480" w:lineRule="auto"/>
        <w:jc w:val="both"/>
        <w:rPr>
          <w:rFonts w:ascii="Times New Roman" w:hAnsi="Times New Roman" w:cs="Times New Roman"/>
          <w:b/>
          <w:sz w:val="28"/>
          <w:szCs w:val="28"/>
          <w:lang w:val="en-GB"/>
        </w:rPr>
      </w:pPr>
      <w:r w:rsidRPr="000213C2">
        <w:rPr>
          <w:rFonts w:ascii="Times New Roman" w:hAnsi="Times New Roman" w:cs="Times New Roman"/>
          <w:b/>
          <w:sz w:val="28"/>
          <w:szCs w:val="28"/>
          <w:lang w:val="en-GB"/>
        </w:rPr>
        <w:t xml:space="preserve">[C] ANALYSIS OF THE </w:t>
      </w:r>
      <w:r w:rsidR="000213C2" w:rsidRPr="000213C2">
        <w:rPr>
          <w:rFonts w:ascii="Times New Roman" w:hAnsi="Times New Roman" w:cs="Times New Roman"/>
          <w:b/>
          <w:sz w:val="28"/>
          <w:szCs w:val="28"/>
          <w:lang w:val="en-GB"/>
        </w:rPr>
        <w:t>SUBMISSIONS</w:t>
      </w:r>
    </w:p>
    <w:p w14:paraId="0A563ABB" w14:textId="2917D334" w:rsidR="00A011C7" w:rsidRDefault="00A011C7" w:rsidP="00AC1EA3">
      <w:pPr>
        <w:spacing w:after="0" w:line="480" w:lineRule="auto"/>
        <w:jc w:val="both"/>
        <w:rPr>
          <w:rFonts w:ascii="Times New Roman" w:hAnsi="Times New Roman" w:cs="Times New Roman"/>
          <w:sz w:val="28"/>
          <w:szCs w:val="28"/>
          <w:lang w:val="en-GB"/>
        </w:rPr>
      </w:pPr>
    </w:p>
    <w:p w14:paraId="19FC5EE6" w14:textId="2663AD2A" w:rsidR="00426E27" w:rsidRDefault="0067217C"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Upon a</w:t>
      </w:r>
      <w:r w:rsidR="00A011C7">
        <w:rPr>
          <w:rFonts w:ascii="Times New Roman" w:hAnsi="Times New Roman" w:cs="Times New Roman"/>
          <w:sz w:val="28"/>
          <w:szCs w:val="28"/>
          <w:lang w:val="en-GB"/>
        </w:rPr>
        <w:t xml:space="preserve"> </w:t>
      </w:r>
      <w:r w:rsidR="00426E27">
        <w:rPr>
          <w:rFonts w:ascii="Times New Roman" w:hAnsi="Times New Roman" w:cs="Times New Roman"/>
          <w:sz w:val="28"/>
          <w:szCs w:val="28"/>
          <w:lang w:val="en-GB"/>
        </w:rPr>
        <w:t xml:space="preserve">closer perusal of the </w:t>
      </w:r>
      <w:r w:rsidR="00A011C7">
        <w:rPr>
          <w:rFonts w:ascii="Times New Roman" w:hAnsi="Times New Roman" w:cs="Times New Roman"/>
          <w:sz w:val="28"/>
          <w:szCs w:val="28"/>
          <w:lang w:val="en-GB"/>
        </w:rPr>
        <w:t>submissions</w:t>
      </w:r>
      <w:r w:rsidR="003B24A0">
        <w:rPr>
          <w:rFonts w:ascii="Times New Roman" w:hAnsi="Times New Roman" w:cs="Times New Roman"/>
          <w:sz w:val="28"/>
          <w:szCs w:val="28"/>
          <w:lang w:val="en-GB"/>
        </w:rPr>
        <w:t>,</w:t>
      </w:r>
      <w:r w:rsidR="00A011C7">
        <w:rPr>
          <w:rFonts w:ascii="Times New Roman" w:hAnsi="Times New Roman" w:cs="Times New Roman"/>
          <w:sz w:val="28"/>
          <w:szCs w:val="28"/>
          <w:lang w:val="en-GB"/>
        </w:rPr>
        <w:t xml:space="preserve"> t</w:t>
      </w:r>
      <w:r w:rsidR="00B87108">
        <w:rPr>
          <w:rFonts w:ascii="Times New Roman" w:hAnsi="Times New Roman" w:cs="Times New Roman"/>
          <w:sz w:val="28"/>
          <w:szCs w:val="28"/>
          <w:lang w:val="en-GB"/>
        </w:rPr>
        <w:t>hree (3)</w:t>
      </w:r>
      <w:r w:rsidR="00A011C7">
        <w:rPr>
          <w:rFonts w:ascii="Times New Roman" w:hAnsi="Times New Roman" w:cs="Times New Roman"/>
          <w:sz w:val="28"/>
          <w:szCs w:val="28"/>
          <w:lang w:val="en-GB"/>
        </w:rPr>
        <w:t xml:space="preserve"> issues come to the fore. </w:t>
      </w:r>
      <w:r w:rsidR="00426E27">
        <w:rPr>
          <w:rFonts w:ascii="Times New Roman" w:hAnsi="Times New Roman" w:cs="Times New Roman"/>
          <w:sz w:val="28"/>
          <w:szCs w:val="28"/>
          <w:lang w:val="en-GB"/>
        </w:rPr>
        <w:t>They are the following;</w:t>
      </w:r>
    </w:p>
    <w:p w14:paraId="58F6E405" w14:textId="77777777" w:rsidR="006C0D02" w:rsidRDefault="006C0D02" w:rsidP="00AC1EA3">
      <w:pPr>
        <w:pStyle w:val="ListParagraph"/>
        <w:spacing w:after="0" w:line="480" w:lineRule="auto"/>
        <w:ind w:left="790"/>
        <w:jc w:val="both"/>
        <w:rPr>
          <w:rFonts w:ascii="Times New Roman" w:hAnsi="Times New Roman" w:cs="Times New Roman"/>
          <w:sz w:val="28"/>
          <w:szCs w:val="28"/>
          <w:lang w:val="en-GB"/>
        </w:rPr>
      </w:pPr>
    </w:p>
    <w:p w14:paraId="338D9465" w14:textId="7C280563" w:rsidR="00426E27" w:rsidRDefault="006C0D02" w:rsidP="00AC1EA3">
      <w:pPr>
        <w:pStyle w:val="ListParagraph"/>
        <w:numPr>
          <w:ilvl w:val="1"/>
          <w:numId w:val="2"/>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H</w:t>
      </w:r>
      <w:r w:rsidR="00A011C7">
        <w:rPr>
          <w:rFonts w:ascii="Times New Roman" w:hAnsi="Times New Roman" w:cs="Times New Roman"/>
          <w:sz w:val="28"/>
          <w:szCs w:val="28"/>
          <w:lang w:val="en-GB"/>
        </w:rPr>
        <w:t xml:space="preserve">as the Electoral Act provided for the procedure to </w:t>
      </w:r>
      <w:r w:rsidR="009A67D6">
        <w:rPr>
          <w:rFonts w:ascii="Times New Roman" w:hAnsi="Times New Roman" w:cs="Times New Roman"/>
          <w:sz w:val="28"/>
          <w:szCs w:val="28"/>
          <w:lang w:val="en-GB"/>
        </w:rPr>
        <w:t>be</w:t>
      </w:r>
      <w:r w:rsidR="00A011C7">
        <w:rPr>
          <w:rFonts w:ascii="Times New Roman" w:hAnsi="Times New Roman" w:cs="Times New Roman"/>
          <w:sz w:val="28"/>
          <w:szCs w:val="28"/>
          <w:lang w:val="en-GB"/>
        </w:rPr>
        <w:t xml:space="preserve"> followed for the relief sought by the applicants?</w:t>
      </w:r>
    </w:p>
    <w:p w14:paraId="2D27D2AF" w14:textId="2F34D3E5" w:rsidR="00426E27" w:rsidRDefault="00426E27" w:rsidP="00AC1EA3">
      <w:pPr>
        <w:pStyle w:val="ListParagraph"/>
        <w:numPr>
          <w:ilvl w:val="1"/>
          <w:numId w:val="2"/>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9A67D6">
        <w:rPr>
          <w:rFonts w:ascii="Times New Roman" w:hAnsi="Times New Roman" w:cs="Times New Roman"/>
          <w:sz w:val="28"/>
          <w:szCs w:val="28"/>
          <w:lang w:val="en-GB"/>
        </w:rPr>
        <w:t xml:space="preserve">an the matter be instituted under section 69 of the Constitution? </w:t>
      </w:r>
      <w:r w:rsidR="006C0D02">
        <w:rPr>
          <w:rFonts w:ascii="Times New Roman" w:hAnsi="Times New Roman" w:cs="Times New Roman"/>
          <w:sz w:val="28"/>
          <w:szCs w:val="28"/>
          <w:lang w:val="en-GB"/>
        </w:rPr>
        <w:t>A</w:t>
      </w:r>
      <w:r>
        <w:rPr>
          <w:rFonts w:ascii="Times New Roman" w:hAnsi="Times New Roman" w:cs="Times New Roman"/>
          <w:sz w:val="28"/>
          <w:szCs w:val="28"/>
          <w:lang w:val="en-GB"/>
        </w:rPr>
        <w:t xml:space="preserve">nd </w:t>
      </w:r>
      <w:r w:rsidR="006C0D02">
        <w:rPr>
          <w:rFonts w:ascii="Times New Roman" w:hAnsi="Times New Roman" w:cs="Times New Roman"/>
          <w:sz w:val="28"/>
          <w:szCs w:val="28"/>
          <w:lang w:val="en-GB"/>
        </w:rPr>
        <w:t>i</w:t>
      </w:r>
      <w:r w:rsidR="009A67D6">
        <w:rPr>
          <w:rFonts w:ascii="Times New Roman" w:hAnsi="Times New Roman" w:cs="Times New Roman"/>
          <w:sz w:val="28"/>
          <w:szCs w:val="28"/>
          <w:lang w:val="en-GB"/>
        </w:rPr>
        <w:t>f so</w:t>
      </w:r>
      <w:r w:rsidR="00450836">
        <w:rPr>
          <w:rFonts w:ascii="Times New Roman" w:hAnsi="Times New Roman" w:cs="Times New Roman"/>
          <w:sz w:val="28"/>
          <w:szCs w:val="28"/>
          <w:lang w:val="en-GB"/>
        </w:rPr>
        <w:t>;</w:t>
      </w:r>
      <w:r w:rsidR="009A67D6">
        <w:rPr>
          <w:rFonts w:ascii="Times New Roman" w:hAnsi="Times New Roman" w:cs="Times New Roman"/>
          <w:sz w:val="28"/>
          <w:szCs w:val="28"/>
          <w:lang w:val="en-GB"/>
        </w:rPr>
        <w:t xml:space="preserve"> </w:t>
      </w:r>
    </w:p>
    <w:p w14:paraId="3C800DE0" w14:textId="1D608EF8" w:rsidR="00426E27" w:rsidRDefault="00426E27" w:rsidP="00AC1EA3">
      <w:pPr>
        <w:pStyle w:val="ListParagraph"/>
        <w:numPr>
          <w:ilvl w:val="1"/>
          <w:numId w:val="2"/>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009A67D6">
        <w:rPr>
          <w:rFonts w:ascii="Times New Roman" w:hAnsi="Times New Roman" w:cs="Times New Roman"/>
          <w:sz w:val="28"/>
          <w:szCs w:val="28"/>
          <w:lang w:val="en-GB"/>
        </w:rPr>
        <w:t>n a situation that the Electoral Act can also be relied on for the relief sought, can the principle of subsidiarity also be relevant in as far as section 69 of the Constitution is concerned?</w:t>
      </w:r>
      <w:r w:rsidR="00B87108">
        <w:rPr>
          <w:rFonts w:ascii="Times New Roman" w:hAnsi="Times New Roman" w:cs="Times New Roman"/>
          <w:sz w:val="28"/>
          <w:szCs w:val="28"/>
          <w:lang w:val="en-GB"/>
        </w:rPr>
        <w:t xml:space="preserve"> </w:t>
      </w:r>
    </w:p>
    <w:p w14:paraId="797A977F" w14:textId="77777777" w:rsidR="00426E27" w:rsidRDefault="00426E27" w:rsidP="00EC0770">
      <w:pPr>
        <w:pStyle w:val="ListParagraph"/>
        <w:spacing w:line="480" w:lineRule="auto"/>
        <w:ind w:left="1510"/>
        <w:jc w:val="both"/>
        <w:rPr>
          <w:rFonts w:ascii="Times New Roman" w:hAnsi="Times New Roman" w:cs="Times New Roman"/>
          <w:sz w:val="28"/>
          <w:szCs w:val="28"/>
          <w:lang w:val="en-GB"/>
        </w:rPr>
      </w:pPr>
    </w:p>
    <w:p w14:paraId="120E3F5F" w14:textId="76588D81" w:rsidR="00A011C7" w:rsidRDefault="00B87108"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In tackling these issues</w:t>
      </w:r>
      <w:r w:rsidR="00223D24">
        <w:rPr>
          <w:rFonts w:ascii="Times New Roman" w:hAnsi="Times New Roman" w:cs="Times New Roman"/>
          <w:sz w:val="28"/>
          <w:szCs w:val="28"/>
          <w:lang w:val="en-GB"/>
        </w:rPr>
        <w:t xml:space="preserve">, </w:t>
      </w:r>
      <w:r w:rsidR="00426E27">
        <w:rPr>
          <w:rFonts w:ascii="Times New Roman" w:hAnsi="Times New Roman" w:cs="Times New Roman"/>
          <w:sz w:val="28"/>
          <w:szCs w:val="28"/>
          <w:lang w:val="en-GB"/>
        </w:rPr>
        <w:t>this court</w:t>
      </w:r>
      <w:r w:rsidR="00223D24">
        <w:rPr>
          <w:rFonts w:ascii="Times New Roman" w:hAnsi="Times New Roman" w:cs="Times New Roman"/>
          <w:sz w:val="28"/>
          <w:szCs w:val="28"/>
          <w:lang w:val="en-GB"/>
        </w:rPr>
        <w:t xml:space="preserve"> will deal with the first and second issue jointly as they involve </w:t>
      </w:r>
      <w:r w:rsidR="00A26909">
        <w:rPr>
          <w:rFonts w:ascii="Times New Roman" w:hAnsi="Times New Roman" w:cs="Times New Roman"/>
          <w:sz w:val="28"/>
          <w:szCs w:val="28"/>
          <w:lang w:val="en-GB"/>
        </w:rPr>
        <w:t>interrogating both</w:t>
      </w:r>
      <w:r w:rsidR="00223D24">
        <w:rPr>
          <w:rFonts w:ascii="Times New Roman" w:hAnsi="Times New Roman" w:cs="Times New Roman"/>
          <w:sz w:val="28"/>
          <w:szCs w:val="28"/>
          <w:lang w:val="en-GB"/>
        </w:rPr>
        <w:t xml:space="preserve"> the provisions of the Constitution and the Electoral Act mutually.</w:t>
      </w:r>
    </w:p>
    <w:p w14:paraId="4D499097" w14:textId="77777777" w:rsidR="00223D24" w:rsidRDefault="00223D24" w:rsidP="00AC1EA3">
      <w:pPr>
        <w:pStyle w:val="ListParagraph"/>
        <w:spacing w:after="0" w:line="480" w:lineRule="auto"/>
        <w:ind w:left="790"/>
        <w:jc w:val="both"/>
        <w:rPr>
          <w:rFonts w:ascii="Times New Roman" w:hAnsi="Times New Roman" w:cs="Times New Roman"/>
          <w:sz w:val="28"/>
          <w:szCs w:val="28"/>
          <w:lang w:val="en-GB"/>
        </w:rPr>
      </w:pPr>
    </w:p>
    <w:p w14:paraId="1CFBB73C" w14:textId="15B3DFD9" w:rsidR="00223D24" w:rsidRDefault="00223D24"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w:t>
      </w:r>
      <w:r w:rsidR="001A19DA">
        <w:rPr>
          <w:rFonts w:ascii="Times New Roman" w:hAnsi="Times New Roman" w:cs="Times New Roman"/>
          <w:sz w:val="28"/>
          <w:szCs w:val="28"/>
          <w:lang w:val="en-GB"/>
        </w:rPr>
        <w:t xml:space="preserve">may not be necessary to quote the entire </w:t>
      </w:r>
      <w:r w:rsidR="00A15F62">
        <w:rPr>
          <w:rFonts w:ascii="Times New Roman" w:hAnsi="Times New Roman" w:cs="Times New Roman"/>
          <w:sz w:val="28"/>
          <w:szCs w:val="28"/>
          <w:lang w:val="en-GB"/>
        </w:rPr>
        <w:t xml:space="preserve">relevant </w:t>
      </w:r>
      <w:r w:rsidR="001A19DA">
        <w:rPr>
          <w:rFonts w:ascii="Times New Roman" w:hAnsi="Times New Roman" w:cs="Times New Roman"/>
          <w:sz w:val="28"/>
          <w:szCs w:val="28"/>
          <w:lang w:val="en-GB"/>
        </w:rPr>
        <w:t>provision</w:t>
      </w:r>
      <w:r w:rsidR="00A15F62">
        <w:rPr>
          <w:rFonts w:ascii="Times New Roman" w:hAnsi="Times New Roman" w:cs="Times New Roman"/>
          <w:sz w:val="28"/>
          <w:szCs w:val="28"/>
          <w:lang w:val="en-GB"/>
        </w:rPr>
        <w:t>s</w:t>
      </w:r>
      <w:r w:rsidR="001A19DA">
        <w:rPr>
          <w:rFonts w:ascii="Times New Roman" w:hAnsi="Times New Roman" w:cs="Times New Roman"/>
          <w:sz w:val="28"/>
          <w:szCs w:val="28"/>
          <w:lang w:val="en-GB"/>
        </w:rPr>
        <w:t xml:space="preserve"> </w:t>
      </w:r>
      <w:r w:rsidR="003B24A0">
        <w:rPr>
          <w:rFonts w:ascii="Times New Roman" w:hAnsi="Times New Roman" w:cs="Times New Roman"/>
          <w:sz w:val="28"/>
          <w:szCs w:val="28"/>
          <w:lang w:val="en-GB"/>
        </w:rPr>
        <w:t xml:space="preserve">of </w:t>
      </w:r>
      <w:r w:rsidR="001A19DA">
        <w:rPr>
          <w:rFonts w:ascii="Times New Roman" w:hAnsi="Times New Roman" w:cs="Times New Roman"/>
          <w:sz w:val="28"/>
          <w:szCs w:val="28"/>
          <w:lang w:val="en-GB"/>
        </w:rPr>
        <w:t>b</w:t>
      </w:r>
      <w:r>
        <w:rPr>
          <w:rFonts w:ascii="Times New Roman" w:hAnsi="Times New Roman" w:cs="Times New Roman"/>
          <w:sz w:val="28"/>
          <w:szCs w:val="28"/>
          <w:lang w:val="en-GB"/>
        </w:rPr>
        <w:t>oth the Constitution</w:t>
      </w:r>
      <w:r w:rsidR="001A19DA" w:rsidRPr="001A19DA">
        <w:rPr>
          <w:rFonts w:ascii="Times New Roman" w:hAnsi="Times New Roman" w:cs="Times New Roman"/>
          <w:sz w:val="28"/>
          <w:szCs w:val="28"/>
          <w:lang w:val="en-GB"/>
        </w:rPr>
        <w:t xml:space="preserve"> as amended by the </w:t>
      </w:r>
      <w:bookmarkStart w:id="4" w:name="_Hlk120461988"/>
      <w:r w:rsidR="001A19DA" w:rsidRPr="001A19DA">
        <w:rPr>
          <w:rFonts w:ascii="Times New Roman" w:hAnsi="Times New Roman" w:cs="Times New Roman"/>
          <w:b/>
          <w:sz w:val="28"/>
          <w:szCs w:val="28"/>
          <w:lang w:val="en-GB"/>
        </w:rPr>
        <w:t>Seventh Amendment to the Constitution Act, 2011</w:t>
      </w:r>
      <w:bookmarkEnd w:id="4"/>
      <w:r w:rsidR="001A19DA">
        <w:rPr>
          <w:rStyle w:val="FootnoteReference"/>
          <w:rFonts w:ascii="Times New Roman" w:hAnsi="Times New Roman" w:cs="Times New Roman"/>
          <w:b/>
          <w:sz w:val="28"/>
          <w:szCs w:val="28"/>
          <w:lang w:val="en-GB"/>
        </w:rPr>
        <w:footnoteReference w:id="5"/>
      </w:r>
      <w:r>
        <w:rPr>
          <w:rFonts w:ascii="Times New Roman" w:hAnsi="Times New Roman" w:cs="Times New Roman"/>
          <w:sz w:val="28"/>
          <w:szCs w:val="28"/>
          <w:lang w:val="en-GB"/>
        </w:rPr>
        <w:t xml:space="preserve"> </w:t>
      </w:r>
      <w:r w:rsidR="001A19DA">
        <w:rPr>
          <w:rFonts w:ascii="Times New Roman" w:hAnsi="Times New Roman" w:cs="Times New Roman"/>
          <w:sz w:val="28"/>
          <w:szCs w:val="28"/>
          <w:lang w:val="en-GB"/>
        </w:rPr>
        <w:t xml:space="preserve">and the Electoral Act due to their lengths. </w:t>
      </w:r>
      <w:r w:rsidR="00450836">
        <w:rPr>
          <w:rFonts w:ascii="Times New Roman" w:hAnsi="Times New Roman" w:cs="Times New Roman"/>
          <w:sz w:val="28"/>
          <w:szCs w:val="28"/>
          <w:lang w:val="en-GB"/>
        </w:rPr>
        <w:t>They</w:t>
      </w:r>
      <w:r w:rsidR="00A15F62">
        <w:rPr>
          <w:rFonts w:ascii="Times New Roman" w:hAnsi="Times New Roman" w:cs="Times New Roman"/>
          <w:sz w:val="28"/>
          <w:szCs w:val="28"/>
          <w:lang w:val="en-GB"/>
        </w:rPr>
        <w:t xml:space="preserve"> will, h</w:t>
      </w:r>
      <w:r w:rsidR="001A19DA">
        <w:rPr>
          <w:rFonts w:ascii="Times New Roman" w:hAnsi="Times New Roman" w:cs="Times New Roman"/>
          <w:sz w:val="28"/>
          <w:szCs w:val="28"/>
          <w:lang w:val="en-GB"/>
        </w:rPr>
        <w:t xml:space="preserve">owever, </w:t>
      </w:r>
      <w:r w:rsidR="00450836">
        <w:rPr>
          <w:rFonts w:ascii="Times New Roman" w:hAnsi="Times New Roman" w:cs="Times New Roman"/>
          <w:sz w:val="28"/>
          <w:szCs w:val="28"/>
          <w:lang w:val="en-GB"/>
        </w:rPr>
        <w:t xml:space="preserve">be </w:t>
      </w:r>
      <w:r w:rsidR="001A19DA">
        <w:rPr>
          <w:rFonts w:ascii="Times New Roman" w:hAnsi="Times New Roman" w:cs="Times New Roman"/>
          <w:sz w:val="28"/>
          <w:szCs w:val="28"/>
          <w:lang w:val="en-GB"/>
        </w:rPr>
        <w:t>paraphrase</w:t>
      </w:r>
      <w:r w:rsidR="00450836">
        <w:rPr>
          <w:rFonts w:ascii="Times New Roman" w:hAnsi="Times New Roman" w:cs="Times New Roman"/>
          <w:sz w:val="28"/>
          <w:szCs w:val="28"/>
          <w:lang w:val="en-GB"/>
        </w:rPr>
        <w:t>d</w:t>
      </w:r>
      <w:r w:rsidR="001A19DA">
        <w:rPr>
          <w:rFonts w:ascii="Times New Roman" w:hAnsi="Times New Roman" w:cs="Times New Roman"/>
          <w:sz w:val="28"/>
          <w:szCs w:val="28"/>
          <w:lang w:val="en-GB"/>
        </w:rPr>
        <w:t xml:space="preserve"> </w:t>
      </w:r>
      <w:r w:rsidR="00A15F62">
        <w:rPr>
          <w:rFonts w:ascii="Times New Roman" w:hAnsi="Times New Roman" w:cs="Times New Roman"/>
          <w:sz w:val="28"/>
          <w:szCs w:val="28"/>
          <w:lang w:val="en-GB"/>
        </w:rPr>
        <w:t xml:space="preserve">and </w:t>
      </w:r>
      <w:r w:rsidR="001A19DA">
        <w:rPr>
          <w:rFonts w:ascii="Times New Roman" w:hAnsi="Times New Roman" w:cs="Times New Roman"/>
          <w:sz w:val="28"/>
          <w:szCs w:val="28"/>
          <w:lang w:val="en-GB"/>
        </w:rPr>
        <w:t>then compare</w:t>
      </w:r>
      <w:r w:rsidR="00450836">
        <w:rPr>
          <w:rFonts w:ascii="Times New Roman" w:hAnsi="Times New Roman" w:cs="Times New Roman"/>
          <w:sz w:val="28"/>
          <w:szCs w:val="28"/>
          <w:lang w:val="en-GB"/>
        </w:rPr>
        <w:t>d</w:t>
      </w:r>
      <w:r w:rsidR="001A19DA">
        <w:rPr>
          <w:rFonts w:ascii="Times New Roman" w:hAnsi="Times New Roman" w:cs="Times New Roman"/>
          <w:sz w:val="28"/>
          <w:szCs w:val="28"/>
          <w:lang w:val="en-GB"/>
        </w:rPr>
        <w:t xml:space="preserve"> and </w:t>
      </w:r>
      <w:r w:rsidR="00A15F62">
        <w:rPr>
          <w:rFonts w:ascii="Times New Roman" w:hAnsi="Times New Roman" w:cs="Times New Roman"/>
          <w:sz w:val="28"/>
          <w:szCs w:val="28"/>
          <w:lang w:val="en-GB"/>
        </w:rPr>
        <w:t>contrast</w:t>
      </w:r>
      <w:r w:rsidR="00450836">
        <w:rPr>
          <w:rFonts w:ascii="Times New Roman" w:hAnsi="Times New Roman" w:cs="Times New Roman"/>
          <w:sz w:val="28"/>
          <w:szCs w:val="28"/>
          <w:lang w:val="en-GB"/>
        </w:rPr>
        <w:t>ed</w:t>
      </w:r>
      <w:r w:rsidR="00A15F62">
        <w:rPr>
          <w:rFonts w:ascii="Times New Roman" w:hAnsi="Times New Roman" w:cs="Times New Roman"/>
          <w:sz w:val="28"/>
          <w:szCs w:val="28"/>
          <w:lang w:val="en-GB"/>
        </w:rPr>
        <w:t xml:space="preserve"> them.</w:t>
      </w:r>
    </w:p>
    <w:p w14:paraId="0FE48072" w14:textId="77777777" w:rsidR="00A15F62" w:rsidRPr="00A15F62" w:rsidRDefault="00A15F62" w:rsidP="00AC1EA3">
      <w:pPr>
        <w:pStyle w:val="ListParagraph"/>
        <w:spacing w:after="0" w:line="480" w:lineRule="auto"/>
        <w:rPr>
          <w:rFonts w:ascii="Times New Roman" w:hAnsi="Times New Roman" w:cs="Times New Roman"/>
          <w:sz w:val="28"/>
          <w:szCs w:val="28"/>
          <w:lang w:val="en-GB"/>
        </w:rPr>
      </w:pPr>
    </w:p>
    <w:p w14:paraId="2B2D9CC8" w14:textId="77EF986F" w:rsidR="00A15F62" w:rsidRDefault="00A15F62"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Section 69 (1) (d) </w:t>
      </w:r>
      <w:r w:rsidR="00BD111D">
        <w:rPr>
          <w:rFonts w:ascii="Times New Roman" w:hAnsi="Times New Roman" w:cs="Times New Roman"/>
          <w:sz w:val="28"/>
          <w:szCs w:val="28"/>
          <w:lang w:val="en-GB"/>
        </w:rPr>
        <w:t xml:space="preserve">of the Constitution </w:t>
      </w:r>
      <w:r>
        <w:rPr>
          <w:rFonts w:ascii="Times New Roman" w:hAnsi="Times New Roman" w:cs="Times New Roman"/>
          <w:sz w:val="28"/>
          <w:szCs w:val="28"/>
          <w:lang w:val="en-GB"/>
        </w:rPr>
        <w:t xml:space="preserve">provides that the High Court shall have jurisdiction </w:t>
      </w:r>
      <w:r w:rsidR="00F55912">
        <w:rPr>
          <w:rFonts w:ascii="Times New Roman" w:hAnsi="Times New Roman" w:cs="Times New Roman"/>
          <w:sz w:val="28"/>
          <w:szCs w:val="28"/>
          <w:lang w:val="en-GB"/>
        </w:rPr>
        <w:t xml:space="preserve">to hear and determine any question </w:t>
      </w:r>
      <w:r w:rsidR="00450836">
        <w:rPr>
          <w:rFonts w:ascii="Times New Roman" w:hAnsi="Times New Roman" w:cs="Times New Roman"/>
          <w:sz w:val="28"/>
          <w:szCs w:val="28"/>
          <w:lang w:val="en-GB"/>
        </w:rPr>
        <w:t>on</w:t>
      </w:r>
      <w:r>
        <w:rPr>
          <w:rFonts w:ascii="Times New Roman" w:hAnsi="Times New Roman" w:cs="Times New Roman"/>
          <w:sz w:val="28"/>
          <w:szCs w:val="28"/>
          <w:lang w:val="en-GB"/>
        </w:rPr>
        <w:t xml:space="preserve"> whether </w:t>
      </w:r>
      <w:r w:rsidR="00F55912">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PR seats have been properly allocated. Section 69 (4A) then provides that an </w:t>
      </w:r>
      <w:r>
        <w:rPr>
          <w:rFonts w:ascii="Times New Roman" w:hAnsi="Times New Roman" w:cs="Times New Roman"/>
          <w:sz w:val="28"/>
          <w:szCs w:val="28"/>
          <w:lang w:val="en-GB"/>
        </w:rPr>
        <w:lastRenderedPageBreak/>
        <w:t xml:space="preserve">application for an issue envisaged under 69 (1) (d) may be made by any registered voter, a political party that participated in the elections or the IEC. Sub-section (5) enjoins the parliament to make provisions upon which </w:t>
      </w:r>
      <w:r w:rsidR="006E19BF">
        <w:rPr>
          <w:rFonts w:ascii="Times New Roman" w:hAnsi="Times New Roman" w:cs="Times New Roman"/>
          <w:sz w:val="28"/>
          <w:szCs w:val="28"/>
          <w:lang w:val="en-GB"/>
        </w:rPr>
        <w:t>an application under this section may be made to the High Court and its powers thereto.</w:t>
      </w:r>
    </w:p>
    <w:p w14:paraId="413F5A2F" w14:textId="77777777" w:rsidR="00AA10ED" w:rsidRPr="00AA10ED" w:rsidRDefault="00AA10ED" w:rsidP="00AC1EA3">
      <w:pPr>
        <w:pStyle w:val="ListParagraph"/>
        <w:spacing w:after="0" w:line="480" w:lineRule="auto"/>
        <w:rPr>
          <w:rFonts w:ascii="Times New Roman" w:hAnsi="Times New Roman" w:cs="Times New Roman"/>
          <w:sz w:val="28"/>
          <w:szCs w:val="28"/>
          <w:lang w:val="en-GB"/>
        </w:rPr>
      </w:pPr>
    </w:p>
    <w:p w14:paraId="404564F8" w14:textId="2FF11AAD" w:rsidR="00AA10ED" w:rsidRDefault="003D468A"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Section 125 </w:t>
      </w:r>
      <w:r w:rsidR="00F61BB2">
        <w:rPr>
          <w:rFonts w:ascii="Times New Roman" w:hAnsi="Times New Roman" w:cs="Times New Roman"/>
          <w:sz w:val="28"/>
          <w:szCs w:val="28"/>
          <w:lang w:val="en-GB"/>
        </w:rPr>
        <w:t xml:space="preserve">(c) </w:t>
      </w:r>
      <w:r>
        <w:rPr>
          <w:rFonts w:ascii="Times New Roman" w:hAnsi="Times New Roman" w:cs="Times New Roman"/>
          <w:sz w:val="28"/>
          <w:szCs w:val="28"/>
          <w:lang w:val="en-GB"/>
        </w:rPr>
        <w:t xml:space="preserve">of the Electoral Act on the other hand provides that in accordance with section 69 mentioned in the preceding paragraph, the High Court has jurisdiction to determine whether PR </w:t>
      </w:r>
      <w:r w:rsidR="00D94CDC">
        <w:rPr>
          <w:rFonts w:ascii="Times New Roman" w:hAnsi="Times New Roman" w:cs="Times New Roman"/>
          <w:sz w:val="28"/>
          <w:szCs w:val="28"/>
          <w:lang w:val="en-GB"/>
        </w:rPr>
        <w:t xml:space="preserve">seats </w:t>
      </w:r>
      <w:r>
        <w:rPr>
          <w:rFonts w:ascii="Times New Roman" w:hAnsi="Times New Roman" w:cs="Times New Roman"/>
          <w:sz w:val="28"/>
          <w:szCs w:val="28"/>
          <w:lang w:val="en-GB"/>
        </w:rPr>
        <w:t>have been properly allocated</w:t>
      </w:r>
      <w:r w:rsidR="00F61BB2">
        <w:rPr>
          <w:rFonts w:ascii="Times New Roman" w:hAnsi="Times New Roman" w:cs="Times New Roman"/>
          <w:sz w:val="28"/>
          <w:szCs w:val="28"/>
          <w:lang w:val="en-GB"/>
        </w:rPr>
        <w:t>.</w:t>
      </w:r>
      <w:r w:rsidR="00D94CDC">
        <w:rPr>
          <w:rFonts w:ascii="Times New Roman" w:hAnsi="Times New Roman" w:cs="Times New Roman"/>
          <w:sz w:val="28"/>
          <w:szCs w:val="28"/>
          <w:lang w:val="en-GB"/>
        </w:rPr>
        <w:t xml:space="preserve"> Section 126 (1) goes further to provide that IEC can apply to the High Court to effect section 125. </w:t>
      </w:r>
    </w:p>
    <w:p w14:paraId="43C1ADE1" w14:textId="77777777" w:rsidR="007A58F3" w:rsidRPr="007A58F3" w:rsidRDefault="007A58F3" w:rsidP="00AC1EA3">
      <w:pPr>
        <w:pStyle w:val="ListParagraph"/>
        <w:spacing w:after="0" w:line="480" w:lineRule="auto"/>
        <w:rPr>
          <w:rFonts w:ascii="Times New Roman" w:hAnsi="Times New Roman" w:cs="Times New Roman"/>
          <w:sz w:val="28"/>
          <w:szCs w:val="28"/>
          <w:lang w:val="en-GB"/>
        </w:rPr>
      </w:pPr>
    </w:p>
    <w:p w14:paraId="2BF4B8F0" w14:textId="6C956C37" w:rsidR="00394AED" w:rsidRDefault="000C207B"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It is</w:t>
      </w:r>
      <w:r w:rsidR="00BD111D">
        <w:rPr>
          <w:rFonts w:ascii="Times New Roman" w:hAnsi="Times New Roman" w:cs="Times New Roman"/>
          <w:sz w:val="28"/>
          <w:szCs w:val="28"/>
          <w:lang w:val="en-GB"/>
        </w:rPr>
        <w:t xml:space="preserve"> this court’s </w:t>
      </w:r>
      <w:r>
        <w:rPr>
          <w:rFonts w:ascii="Times New Roman" w:hAnsi="Times New Roman" w:cs="Times New Roman"/>
          <w:sz w:val="28"/>
          <w:szCs w:val="28"/>
          <w:lang w:val="en-GB"/>
        </w:rPr>
        <w:t xml:space="preserve">considered view that the answer to the interpretation of Section 69 of the Constitution hinges around sub-section (5). </w:t>
      </w:r>
      <w:r w:rsidR="00394AED">
        <w:rPr>
          <w:rFonts w:ascii="Times New Roman" w:hAnsi="Times New Roman" w:cs="Times New Roman"/>
          <w:sz w:val="28"/>
          <w:szCs w:val="28"/>
          <w:lang w:val="en-GB"/>
        </w:rPr>
        <w:t>It is therefore, apposite to quote the entire section verbatim. It states thus;</w:t>
      </w:r>
    </w:p>
    <w:p w14:paraId="66679877" w14:textId="77777777" w:rsidR="00394AED" w:rsidRPr="00394AED" w:rsidRDefault="00394AED" w:rsidP="00AC1EA3">
      <w:pPr>
        <w:pStyle w:val="ListParagraph"/>
        <w:spacing w:after="0" w:line="480" w:lineRule="auto"/>
        <w:rPr>
          <w:rFonts w:ascii="Times New Roman" w:hAnsi="Times New Roman" w:cs="Times New Roman"/>
          <w:sz w:val="28"/>
          <w:szCs w:val="28"/>
          <w:lang w:val="en-GB"/>
        </w:rPr>
      </w:pPr>
    </w:p>
    <w:p w14:paraId="5502C1A6" w14:textId="383960EC" w:rsidR="00394AED" w:rsidRPr="00E8292A" w:rsidRDefault="00B31B17" w:rsidP="00AC1EA3">
      <w:pPr>
        <w:spacing w:after="0" w:line="48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394AED" w:rsidRPr="00E8292A">
        <w:rPr>
          <w:rFonts w:ascii="Times New Roman" w:hAnsi="Times New Roman" w:cs="Times New Roman"/>
          <w:i/>
          <w:sz w:val="24"/>
          <w:szCs w:val="24"/>
          <w:lang w:val="en-GB"/>
        </w:rPr>
        <w:t>(5) Parliament may make provision with respect to-</w:t>
      </w:r>
    </w:p>
    <w:p w14:paraId="403CE92B" w14:textId="55A48C13" w:rsidR="00394AED" w:rsidRPr="00E8292A" w:rsidRDefault="00394AED" w:rsidP="00754378">
      <w:pPr>
        <w:spacing w:after="0" w:line="480" w:lineRule="auto"/>
        <w:ind w:left="1474" w:right="1474"/>
        <w:jc w:val="both"/>
        <w:rPr>
          <w:rFonts w:ascii="Times New Roman" w:hAnsi="Times New Roman" w:cs="Times New Roman"/>
          <w:i/>
          <w:sz w:val="24"/>
          <w:szCs w:val="24"/>
          <w:lang w:val="en-GB"/>
        </w:rPr>
      </w:pPr>
      <w:r w:rsidRPr="00E8292A">
        <w:rPr>
          <w:rFonts w:ascii="Times New Roman" w:hAnsi="Times New Roman" w:cs="Times New Roman"/>
          <w:i/>
          <w:sz w:val="24"/>
          <w:szCs w:val="24"/>
          <w:lang w:val="en-GB"/>
        </w:rPr>
        <w:t>(a) the circumstances and manner in which and the conditions upon which any application may be made to the High Court for the determination of any question under this section; and</w:t>
      </w:r>
    </w:p>
    <w:p w14:paraId="249E9556" w14:textId="00C20DCF" w:rsidR="00394AED" w:rsidRPr="00E8292A" w:rsidRDefault="00E8292A" w:rsidP="00754378">
      <w:pPr>
        <w:spacing w:after="0" w:line="480" w:lineRule="auto"/>
        <w:ind w:left="1474" w:right="1474"/>
        <w:jc w:val="both"/>
        <w:rPr>
          <w:rFonts w:ascii="Times New Roman" w:hAnsi="Times New Roman" w:cs="Times New Roman"/>
          <w:i/>
          <w:sz w:val="24"/>
          <w:szCs w:val="24"/>
          <w:lang w:val="en-GB"/>
        </w:rPr>
      </w:pPr>
      <w:r w:rsidRPr="00E8292A">
        <w:rPr>
          <w:rFonts w:ascii="Times New Roman" w:hAnsi="Times New Roman" w:cs="Times New Roman"/>
          <w:i/>
          <w:sz w:val="24"/>
          <w:szCs w:val="24"/>
          <w:lang w:val="en-GB"/>
        </w:rPr>
        <w:t>(b) the powers, practice and procedure of the High Court in relation to any such application,</w:t>
      </w:r>
    </w:p>
    <w:p w14:paraId="2F9862C4" w14:textId="2DCDD2D9" w:rsidR="00E8292A" w:rsidRPr="00E8292A" w:rsidRDefault="00E8292A" w:rsidP="00754378">
      <w:pPr>
        <w:spacing w:after="0" w:line="480" w:lineRule="auto"/>
        <w:ind w:left="1474" w:right="1474"/>
        <w:jc w:val="both"/>
        <w:rPr>
          <w:rFonts w:ascii="Times New Roman" w:hAnsi="Times New Roman" w:cs="Times New Roman"/>
          <w:i/>
          <w:sz w:val="24"/>
          <w:szCs w:val="24"/>
          <w:lang w:val="en-GB"/>
        </w:rPr>
      </w:pPr>
      <w:r w:rsidRPr="00E8292A">
        <w:rPr>
          <w:rFonts w:ascii="Times New Roman" w:hAnsi="Times New Roman" w:cs="Times New Roman"/>
          <w:i/>
          <w:sz w:val="24"/>
          <w:szCs w:val="24"/>
          <w:lang w:val="en-GB"/>
        </w:rPr>
        <w:lastRenderedPageBreak/>
        <w:t>but, subject to any provision in that behalf made by Parliament under this subsection, the practice and procedure of the High Court in relation to any such application shall be regulated by the Chief Justice.</w:t>
      </w:r>
      <w:r w:rsidR="00B31B17">
        <w:rPr>
          <w:rFonts w:ascii="Times New Roman" w:hAnsi="Times New Roman" w:cs="Times New Roman"/>
          <w:i/>
          <w:sz w:val="24"/>
          <w:szCs w:val="24"/>
          <w:lang w:val="en-GB"/>
        </w:rPr>
        <w:t>”</w:t>
      </w:r>
    </w:p>
    <w:p w14:paraId="462DB73A" w14:textId="1BB99E35" w:rsidR="001512CC" w:rsidRPr="00285768" w:rsidRDefault="000C207B" w:rsidP="00754378">
      <w:pPr>
        <w:pStyle w:val="ListParagraph"/>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t>This sub-section is clear that f</w:t>
      </w:r>
      <w:r w:rsidR="000E4461">
        <w:rPr>
          <w:rFonts w:ascii="Times New Roman" w:hAnsi="Times New Roman" w:cs="Times New Roman"/>
          <w:sz w:val="28"/>
          <w:szCs w:val="28"/>
          <w:lang w:val="en-GB"/>
        </w:rPr>
        <w:t>ro</w:t>
      </w:r>
      <w:r>
        <w:rPr>
          <w:rFonts w:ascii="Times New Roman" w:hAnsi="Times New Roman" w:cs="Times New Roman"/>
          <w:sz w:val="28"/>
          <w:szCs w:val="28"/>
          <w:lang w:val="en-GB"/>
        </w:rPr>
        <w:t xml:space="preserve">m the onset, the </w:t>
      </w:r>
      <w:r w:rsidR="009800B1" w:rsidRPr="000C14E4">
        <w:rPr>
          <w:rFonts w:ascii="Times New Roman" w:hAnsi="Times New Roman" w:cs="Times New Roman"/>
          <w:b/>
          <w:sz w:val="28"/>
          <w:szCs w:val="28"/>
          <w:lang w:val="en-GB"/>
        </w:rPr>
        <w:t>C</w:t>
      </w:r>
      <w:r w:rsidRPr="000C14E4">
        <w:rPr>
          <w:rFonts w:ascii="Times New Roman" w:hAnsi="Times New Roman" w:cs="Times New Roman"/>
          <w:b/>
          <w:sz w:val="28"/>
          <w:szCs w:val="28"/>
          <w:lang w:val="en-GB"/>
        </w:rPr>
        <w:t>onstitution</w:t>
      </w:r>
      <w:r>
        <w:rPr>
          <w:rFonts w:ascii="Times New Roman" w:hAnsi="Times New Roman" w:cs="Times New Roman"/>
          <w:sz w:val="28"/>
          <w:szCs w:val="28"/>
          <w:lang w:val="en-GB"/>
        </w:rPr>
        <w:t xml:space="preserve"> ma</w:t>
      </w:r>
      <w:r w:rsidR="000E4461">
        <w:rPr>
          <w:rFonts w:ascii="Times New Roman" w:hAnsi="Times New Roman" w:cs="Times New Roman"/>
          <w:sz w:val="28"/>
          <w:szCs w:val="28"/>
          <w:lang w:val="en-GB"/>
        </w:rPr>
        <w:t>k</w:t>
      </w:r>
      <w:r>
        <w:rPr>
          <w:rFonts w:ascii="Times New Roman" w:hAnsi="Times New Roman" w:cs="Times New Roman"/>
          <w:sz w:val="28"/>
          <w:szCs w:val="28"/>
          <w:lang w:val="en-GB"/>
        </w:rPr>
        <w:t>e</w:t>
      </w:r>
      <w:r w:rsidR="000E4461">
        <w:rPr>
          <w:rFonts w:ascii="Times New Roman" w:hAnsi="Times New Roman" w:cs="Times New Roman"/>
          <w:sz w:val="28"/>
          <w:szCs w:val="28"/>
          <w:lang w:val="en-GB"/>
        </w:rPr>
        <w:t>s</w:t>
      </w:r>
      <w:r>
        <w:rPr>
          <w:rFonts w:ascii="Times New Roman" w:hAnsi="Times New Roman" w:cs="Times New Roman"/>
          <w:sz w:val="28"/>
          <w:szCs w:val="28"/>
          <w:lang w:val="en-GB"/>
        </w:rPr>
        <w:t xml:space="preserve"> it clear that the implementation of Section 69 shall be through the promulgation of an Act of parliament. This point is buttressed further by the </w:t>
      </w:r>
      <w:r w:rsidR="00811C53">
        <w:rPr>
          <w:rFonts w:ascii="Times New Roman" w:hAnsi="Times New Roman" w:cs="Times New Roman"/>
          <w:sz w:val="28"/>
          <w:szCs w:val="28"/>
          <w:lang w:val="en-GB"/>
        </w:rPr>
        <w:t>opening text</w:t>
      </w:r>
      <w:r>
        <w:rPr>
          <w:rFonts w:ascii="Times New Roman" w:hAnsi="Times New Roman" w:cs="Times New Roman"/>
          <w:sz w:val="28"/>
          <w:szCs w:val="28"/>
          <w:lang w:val="en-GB"/>
        </w:rPr>
        <w:t xml:space="preserve"> of Section 125 of the Electoral Act itself</w:t>
      </w:r>
      <w:r w:rsidR="00E8292A">
        <w:rPr>
          <w:rFonts w:ascii="Times New Roman" w:hAnsi="Times New Roman" w:cs="Times New Roman"/>
          <w:sz w:val="28"/>
          <w:szCs w:val="28"/>
          <w:lang w:val="en-GB"/>
        </w:rPr>
        <w:t xml:space="preserve"> that the </w:t>
      </w:r>
      <w:r w:rsidR="001512CC">
        <w:rPr>
          <w:rFonts w:ascii="Times New Roman" w:hAnsi="Times New Roman" w:cs="Times New Roman"/>
          <w:sz w:val="28"/>
          <w:szCs w:val="28"/>
          <w:lang w:val="en-GB"/>
        </w:rPr>
        <w:t xml:space="preserve">powers conferred on the </w:t>
      </w:r>
      <w:r w:rsidR="00823CFB">
        <w:rPr>
          <w:rFonts w:ascii="Times New Roman" w:hAnsi="Times New Roman" w:cs="Times New Roman"/>
          <w:sz w:val="28"/>
          <w:szCs w:val="28"/>
          <w:lang w:val="en-GB"/>
        </w:rPr>
        <w:t>H</w:t>
      </w:r>
      <w:r w:rsidR="001512CC">
        <w:rPr>
          <w:rFonts w:ascii="Times New Roman" w:hAnsi="Times New Roman" w:cs="Times New Roman"/>
          <w:sz w:val="28"/>
          <w:szCs w:val="28"/>
          <w:lang w:val="en-GB"/>
        </w:rPr>
        <w:t xml:space="preserve">igh </w:t>
      </w:r>
      <w:r w:rsidR="00823CFB">
        <w:rPr>
          <w:rFonts w:ascii="Times New Roman" w:hAnsi="Times New Roman" w:cs="Times New Roman"/>
          <w:sz w:val="28"/>
          <w:szCs w:val="28"/>
          <w:lang w:val="en-GB"/>
        </w:rPr>
        <w:t>C</w:t>
      </w:r>
      <w:r w:rsidR="001512CC">
        <w:rPr>
          <w:rFonts w:ascii="Times New Roman" w:hAnsi="Times New Roman" w:cs="Times New Roman"/>
          <w:sz w:val="28"/>
          <w:szCs w:val="28"/>
          <w:lang w:val="en-GB"/>
        </w:rPr>
        <w:t xml:space="preserve">ourt therein are in accordance </w:t>
      </w:r>
      <w:r w:rsidR="000C14E4">
        <w:rPr>
          <w:rFonts w:ascii="Times New Roman" w:hAnsi="Times New Roman" w:cs="Times New Roman"/>
          <w:sz w:val="28"/>
          <w:szCs w:val="28"/>
          <w:lang w:val="en-GB"/>
        </w:rPr>
        <w:t>with</w:t>
      </w:r>
      <w:r w:rsidR="001512CC">
        <w:rPr>
          <w:rFonts w:ascii="Times New Roman" w:hAnsi="Times New Roman" w:cs="Times New Roman"/>
          <w:sz w:val="28"/>
          <w:szCs w:val="28"/>
          <w:lang w:val="en-GB"/>
        </w:rPr>
        <w:t xml:space="preserve"> </w:t>
      </w:r>
      <w:r w:rsidR="00006597">
        <w:rPr>
          <w:rFonts w:ascii="Times New Roman" w:hAnsi="Times New Roman" w:cs="Times New Roman"/>
          <w:sz w:val="28"/>
          <w:szCs w:val="28"/>
          <w:lang w:val="en-GB"/>
        </w:rPr>
        <w:t>section 69 of the Constitution</w:t>
      </w:r>
      <w:r>
        <w:rPr>
          <w:rFonts w:ascii="Times New Roman" w:hAnsi="Times New Roman" w:cs="Times New Roman"/>
          <w:sz w:val="28"/>
          <w:szCs w:val="28"/>
          <w:lang w:val="en-GB"/>
        </w:rPr>
        <w:t xml:space="preserve">. </w:t>
      </w:r>
    </w:p>
    <w:p w14:paraId="066A99BC" w14:textId="77777777" w:rsidR="001512CC" w:rsidRDefault="001512CC" w:rsidP="00754378">
      <w:pPr>
        <w:pStyle w:val="ListParagraph"/>
        <w:spacing w:after="0" w:line="480" w:lineRule="auto"/>
        <w:ind w:left="790"/>
        <w:jc w:val="both"/>
        <w:rPr>
          <w:rFonts w:ascii="Times New Roman" w:hAnsi="Times New Roman" w:cs="Times New Roman"/>
          <w:sz w:val="28"/>
          <w:szCs w:val="28"/>
          <w:lang w:val="en-GB"/>
        </w:rPr>
      </w:pPr>
    </w:p>
    <w:p w14:paraId="20B52DB8" w14:textId="33A28B40" w:rsidR="00223D24" w:rsidRDefault="00285768"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Prior to the coming into existence of the Electoral Act, the Chief Justice made the </w:t>
      </w:r>
      <w:r w:rsidR="002516A8">
        <w:rPr>
          <w:rFonts w:ascii="Times New Roman" w:hAnsi="Times New Roman" w:cs="Times New Roman"/>
          <w:sz w:val="28"/>
          <w:szCs w:val="28"/>
          <w:lang w:val="en-GB"/>
        </w:rPr>
        <w:t xml:space="preserve">Rules </w:t>
      </w:r>
      <w:r>
        <w:rPr>
          <w:rFonts w:ascii="Times New Roman" w:hAnsi="Times New Roman" w:cs="Times New Roman"/>
          <w:sz w:val="28"/>
          <w:szCs w:val="28"/>
          <w:lang w:val="en-GB"/>
        </w:rPr>
        <w:t>in the year 2000. Rule 14</w:t>
      </w:r>
      <w:r w:rsidR="00407D89">
        <w:rPr>
          <w:rFonts w:ascii="Times New Roman" w:hAnsi="Times New Roman" w:cs="Times New Roman"/>
          <w:sz w:val="28"/>
          <w:szCs w:val="28"/>
          <w:lang w:val="en-GB"/>
        </w:rPr>
        <w:t xml:space="preserve"> of the said rules provides for the procedure of an application brought under Section 69 of the Constitution.</w:t>
      </w:r>
      <w:r w:rsidR="006A2D76">
        <w:rPr>
          <w:rFonts w:ascii="Times New Roman" w:hAnsi="Times New Roman" w:cs="Times New Roman"/>
          <w:sz w:val="28"/>
          <w:szCs w:val="28"/>
          <w:lang w:val="en-GB"/>
        </w:rPr>
        <w:t xml:space="preserve"> These Rules</w:t>
      </w:r>
      <w:r w:rsidR="00B43AD4">
        <w:rPr>
          <w:rFonts w:ascii="Times New Roman" w:hAnsi="Times New Roman" w:cs="Times New Roman"/>
          <w:sz w:val="28"/>
          <w:szCs w:val="28"/>
          <w:lang w:val="en-GB"/>
        </w:rPr>
        <w:t>,</w:t>
      </w:r>
      <w:r w:rsidR="006A2D76">
        <w:rPr>
          <w:rFonts w:ascii="Times New Roman" w:hAnsi="Times New Roman" w:cs="Times New Roman"/>
          <w:sz w:val="28"/>
          <w:szCs w:val="28"/>
          <w:lang w:val="en-GB"/>
        </w:rPr>
        <w:t xml:space="preserve"> and Rule 14 in </w:t>
      </w:r>
      <w:r w:rsidR="00B43AD4">
        <w:rPr>
          <w:rFonts w:ascii="Times New Roman" w:hAnsi="Times New Roman" w:cs="Times New Roman"/>
          <w:sz w:val="28"/>
          <w:szCs w:val="28"/>
          <w:lang w:val="en-GB"/>
        </w:rPr>
        <w:t>particular,</w:t>
      </w:r>
      <w:r w:rsidR="006A2D76">
        <w:rPr>
          <w:rFonts w:ascii="Times New Roman" w:hAnsi="Times New Roman" w:cs="Times New Roman"/>
          <w:sz w:val="28"/>
          <w:szCs w:val="28"/>
          <w:lang w:val="en-GB"/>
        </w:rPr>
        <w:t xml:space="preserve"> </w:t>
      </w:r>
      <w:r w:rsidR="002516A8">
        <w:rPr>
          <w:rFonts w:ascii="Times New Roman" w:hAnsi="Times New Roman" w:cs="Times New Roman"/>
          <w:sz w:val="28"/>
          <w:szCs w:val="28"/>
          <w:lang w:val="en-GB"/>
        </w:rPr>
        <w:t xml:space="preserve">seem to </w:t>
      </w:r>
      <w:r w:rsidR="006A2D76">
        <w:rPr>
          <w:rFonts w:ascii="Times New Roman" w:hAnsi="Times New Roman" w:cs="Times New Roman"/>
          <w:sz w:val="28"/>
          <w:szCs w:val="28"/>
          <w:lang w:val="en-GB"/>
        </w:rPr>
        <w:t>give</w:t>
      </w:r>
      <w:r w:rsidR="00B43AD4">
        <w:rPr>
          <w:rFonts w:ascii="Times New Roman" w:hAnsi="Times New Roman" w:cs="Times New Roman"/>
          <w:sz w:val="28"/>
          <w:szCs w:val="28"/>
          <w:lang w:val="en-GB"/>
        </w:rPr>
        <w:t xml:space="preserve"> credence to the argument that questions as to the membership of parliament can be made under the constitutional jurisdiction of this court. However, </w:t>
      </w:r>
      <w:r w:rsidR="00BD111D">
        <w:rPr>
          <w:rFonts w:ascii="Times New Roman" w:hAnsi="Times New Roman" w:cs="Times New Roman"/>
          <w:sz w:val="28"/>
          <w:szCs w:val="28"/>
          <w:lang w:val="en-GB"/>
        </w:rPr>
        <w:t>a</w:t>
      </w:r>
      <w:r w:rsidR="00B43AD4">
        <w:rPr>
          <w:rFonts w:ascii="Times New Roman" w:hAnsi="Times New Roman" w:cs="Times New Roman"/>
          <w:sz w:val="28"/>
          <w:szCs w:val="28"/>
          <w:lang w:val="en-GB"/>
        </w:rPr>
        <w:t xml:space="preserve"> closer scrutiny of </w:t>
      </w:r>
      <w:r w:rsidR="00807DD1" w:rsidRPr="00BD111D">
        <w:rPr>
          <w:rFonts w:ascii="Times New Roman" w:hAnsi="Times New Roman" w:cs="Times New Roman"/>
          <w:sz w:val="28"/>
          <w:szCs w:val="28"/>
          <w:lang w:val="en-GB"/>
        </w:rPr>
        <w:t xml:space="preserve">Section </w:t>
      </w:r>
      <w:r w:rsidR="00B43AD4" w:rsidRPr="00BD111D">
        <w:rPr>
          <w:rFonts w:ascii="Times New Roman" w:hAnsi="Times New Roman" w:cs="Times New Roman"/>
          <w:sz w:val="28"/>
          <w:szCs w:val="28"/>
          <w:lang w:val="en-GB"/>
        </w:rPr>
        <w:t xml:space="preserve">69 (5) of the Constitution and the advent of the Electoral Act may </w:t>
      </w:r>
      <w:r w:rsidR="00BD111D" w:rsidRPr="000C14E4">
        <w:rPr>
          <w:rFonts w:ascii="Times New Roman" w:hAnsi="Times New Roman" w:cs="Times New Roman"/>
          <w:sz w:val="28"/>
          <w:szCs w:val="28"/>
          <w:lang w:val="en-GB"/>
        </w:rPr>
        <w:t>require</w:t>
      </w:r>
      <w:r w:rsidR="00B43AD4" w:rsidRPr="00BD111D">
        <w:rPr>
          <w:rFonts w:ascii="Times New Roman" w:hAnsi="Times New Roman" w:cs="Times New Roman"/>
          <w:sz w:val="28"/>
          <w:szCs w:val="28"/>
          <w:lang w:val="en-GB"/>
        </w:rPr>
        <w:t xml:space="preserve"> of us to re-assess the issue.</w:t>
      </w:r>
      <w:r w:rsidR="006A019C" w:rsidRPr="00BD111D">
        <w:rPr>
          <w:rFonts w:ascii="Times New Roman" w:hAnsi="Times New Roman" w:cs="Times New Roman"/>
          <w:sz w:val="28"/>
          <w:szCs w:val="28"/>
          <w:lang w:val="en-GB"/>
        </w:rPr>
        <w:t xml:space="preserve"> </w:t>
      </w:r>
      <w:r w:rsidR="00807DD1" w:rsidRPr="00BD111D">
        <w:rPr>
          <w:rFonts w:ascii="Times New Roman" w:hAnsi="Times New Roman" w:cs="Times New Roman"/>
          <w:sz w:val="28"/>
          <w:szCs w:val="28"/>
          <w:lang w:val="en-GB"/>
        </w:rPr>
        <w:t>Section 69 (5) provides that the Rules made by the Chief Justice shall be subject to an Act of Parliament</w:t>
      </w:r>
      <w:r w:rsidR="00807DD1" w:rsidRPr="000C14E4">
        <w:rPr>
          <w:rFonts w:ascii="Times New Roman" w:hAnsi="Times New Roman" w:cs="Times New Roman"/>
          <w:sz w:val="28"/>
          <w:szCs w:val="28"/>
          <w:lang w:val="en-GB"/>
        </w:rPr>
        <w:t>.</w:t>
      </w:r>
      <w:r w:rsidR="00660B27">
        <w:rPr>
          <w:rFonts w:ascii="Times New Roman" w:hAnsi="Times New Roman" w:cs="Times New Roman"/>
          <w:sz w:val="28"/>
          <w:szCs w:val="28"/>
          <w:lang w:val="en-GB"/>
        </w:rPr>
        <w:t xml:space="preserve"> </w:t>
      </w:r>
      <w:r w:rsidR="009A7838">
        <w:rPr>
          <w:rFonts w:ascii="Times New Roman" w:hAnsi="Times New Roman" w:cs="Times New Roman"/>
          <w:sz w:val="28"/>
          <w:szCs w:val="28"/>
          <w:lang w:val="en-GB"/>
        </w:rPr>
        <w:t>This means that whatever the Rules made by the Chief Justice say pertaining to Section 69 of the Constitution</w:t>
      </w:r>
      <w:r w:rsidR="002516A8">
        <w:rPr>
          <w:rFonts w:ascii="Times New Roman" w:hAnsi="Times New Roman" w:cs="Times New Roman"/>
          <w:sz w:val="28"/>
          <w:szCs w:val="28"/>
          <w:lang w:val="en-GB"/>
        </w:rPr>
        <w:t>,</w:t>
      </w:r>
      <w:r w:rsidR="009A7838">
        <w:rPr>
          <w:rFonts w:ascii="Times New Roman" w:hAnsi="Times New Roman" w:cs="Times New Roman"/>
          <w:sz w:val="28"/>
          <w:szCs w:val="28"/>
          <w:lang w:val="en-GB"/>
        </w:rPr>
        <w:t xml:space="preserve"> </w:t>
      </w:r>
      <w:r w:rsidR="003B24A0">
        <w:rPr>
          <w:rFonts w:ascii="Times New Roman" w:hAnsi="Times New Roman" w:cs="Times New Roman"/>
          <w:sz w:val="28"/>
          <w:szCs w:val="28"/>
          <w:lang w:val="en-GB"/>
        </w:rPr>
        <w:t xml:space="preserve">they </w:t>
      </w:r>
      <w:r w:rsidR="009A7838">
        <w:rPr>
          <w:rFonts w:ascii="Times New Roman" w:hAnsi="Times New Roman" w:cs="Times New Roman"/>
          <w:sz w:val="28"/>
          <w:szCs w:val="28"/>
          <w:lang w:val="en-GB"/>
        </w:rPr>
        <w:t xml:space="preserve">have to be interpreted subject to what </w:t>
      </w:r>
      <w:r w:rsidR="009A7838">
        <w:rPr>
          <w:rFonts w:ascii="Times New Roman" w:hAnsi="Times New Roman" w:cs="Times New Roman"/>
          <w:sz w:val="28"/>
          <w:szCs w:val="28"/>
          <w:lang w:val="en-GB"/>
        </w:rPr>
        <w:lastRenderedPageBreak/>
        <w:t>the Electoral Act</w:t>
      </w:r>
      <w:r w:rsidR="002516A8">
        <w:rPr>
          <w:rFonts w:ascii="Times New Roman" w:hAnsi="Times New Roman" w:cs="Times New Roman"/>
          <w:sz w:val="28"/>
          <w:szCs w:val="28"/>
          <w:lang w:val="en-GB"/>
        </w:rPr>
        <w:t xml:space="preserve"> say</w:t>
      </w:r>
      <w:r w:rsidR="00F123B1">
        <w:rPr>
          <w:rFonts w:ascii="Times New Roman" w:hAnsi="Times New Roman" w:cs="Times New Roman"/>
          <w:sz w:val="28"/>
          <w:szCs w:val="28"/>
          <w:lang w:val="en-GB"/>
        </w:rPr>
        <w:t>s</w:t>
      </w:r>
      <w:r w:rsidR="009A7838">
        <w:rPr>
          <w:rFonts w:ascii="Times New Roman" w:hAnsi="Times New Roman" w:cs="Times New Roman"/>
          <w:sz w:val="28"/>
          <w:szCs w:val="28"/>
          <w:lang w:val="en-GB"/>
        </w:rPr>
        <w:t xml:space="preserve">. </w:t>
      </w:r>
      <w:r w:rsidR="002516A8">
        <w:rPr>
          <w:rFonts w:ascii="Times New Roman" w:hAnsi="Times New Roman" w:cs="Times New Roman"/>
          <w:sz w:val="28"/>
          <w:szCs w:val="28"/>
          <w:lang w:val="en-GB"/>
        </w:rPr>
        <w:t xml:space="preserve">For that reason, Rule 14 </w:t>
      </w:r>
      <w:r w:rsidR="00233DED">
        <w:rPr>
          <w:rFonts w:ascii="Times New Roman" w:hAnsi="Times New Roman" w:cs="Times New Roman"/>
          <w:sz w:val="28"/>
          <w:szCs w:val="28"/>
          <w:lang w:val="en-GB"/>
        </w:rPr>
        <w:t>cannot be followed as it is inconsistent with the Electoral Act.</w:t>
      </w:r>
    </w:p>
    <w:p w14:paraId="2B045C19" w14:textId="77777777" w:rsidR="00233DED" w:rsidRDefault="00233DED" w:rsidP="00754378">
      <w:pPr>
        <w:pStyle w:val="ListParagraph"/>
        <w:spacing w:after="0" w:line="480" w:lineRule="auto"/>
        <w:ind w:left="790"/>
        <w:jc w:val="both"/>
        <w:rPr>
          <w:rFonts w:ascii="Times New Roman" w:hAnsi="Times New Roman" w:cs="Times New Roman"/>
          <w:sz w:val="28"/>
          <w:szCs w:val="28"/>
          <w:lang w:val="en-GB"/>
        </w:rPr>
      </w:pPr>
    </w:p>
    <w:p w14:paraId="790AA5AE" w14:textId="77777777" w:rsidR="00314FC1" w:rsidRDefault="00233DED"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The decision that issues relating to section 69 of the Constitution should be through the predecessor to the Electoral Act (which was similar to the Electoral Act in many respects</w:t>
      </w:r>
      <w:r w:rsidR="005A6B15">
        <w:rPr>
          <w:rFonts w:ascii="Times New Roman" w:hAnsi="Times New Roman" w:cs="Times New Roman"/>
          <w:sz w:val="28"/>
          <w:szCs w:val="28"/>
          <w:lang w:val="en-GB"/>
        </w:rPr>
        <w:t>)</w:t>
      </w:r>
      <w:r>
        <w:rPr>
          <w:rFonts w:ascii="Times New Roman" w:hAnsi="Times New Roman" w:cs="Times New Roman"/>
          <w:sz w:val="28"/>
          <w:szCs w:val="28"/>
          <w:lang w:val="en-GB"/>
        </w:rPr>
        <w:t xml:space="preserve"> had already been reached in the case of </w:t>
      </w:r>
      <w:bookmarkStart w:id="5" w:name="_Hlk120461318"/>
      <w:r w:rsidRPr="008C7C59">
        <w:rPr>
          <w:rFonts w:ascii="Times New Roman" w:hAnsi="Times New Roman" w:cs="Times New Roman"/>
          <w:b/>
          <w:sz w:val="28"/>
          <w:szCs w:val="28"/>
          <w:lang w:val="en-GB"/>
        </w:rPr>
        <w:t xml:space="preserve">Basotho National Party v The Principal Secretary Ministry of Law, Parliamentary </w:t>
      </w:r>
      <w:r w:rsidR="005A6B15" w:rsidRPr="008C7C59">
        <w:rPr>
          <w:rFonts w:ascii="Times New Roman" w:hAnsi="Times New Roman" w:cs="Times New Roman"/>
          <w:b/>
          <w:sz w:val="28"/>
          <w:szCs w:val="28"/>
          <w:lang w:val="en-GB"/>
        </w:rPr>
        <w:t>and Constitutional Affairs and 30 others</w:t>
      </w:r>
      <w:bookmarkEnd w:id="5"/>
      <w:r w:rsidR="00314FC1">
        <w:rPr>
          <w:rStyle w:val="FootnoteReference"/>
          <w:rFonts w:ascii="Times New Roman" w:hAnsi="Times New Roman" w:cs="Times New Roman"/>
          <w:b/>
          <w:sz w:val="28"/>
          <w:szCs w:val="28"/>
          <w:lang w:val="en-GB"/>
        </w:rPr>
        <w:footnoteReference w:id="6"/>
      </w:r>
      <w:r w:rsidR="005A6B15">
        <w:rPr>
          <w:rFonts w:ascii="Times New Roman" w:hAnsi="Times New Roman" w:cs="Times New Roman"/>
          <w:sz w:val="28"/>
          <w:szCs w:val="28"/>
          <w:lang w:val="en-GB"/>
        </w:rPr>
        <w:t xml:space="preserve">. </w:t>
      </w:r>
      <w:r w:rsidR="00314FC1">
        <w:rPr>
          <w:rFonts w:ascii="Times New Roman" w:hAnsi="Times New Roman" w:cs="Times New Roman"/>
          <w:sz w:val="28"/>
          <w:szCs w:val="28"/>
          <w:lang w:val="en-GB"/>
        </w:rPr>
        <w:t>In this case, Cullinan CJ, with Molai J and Kheola J concurring, had this to say on the subject;</w:t>
      </w:r>
    </w:p>
    <w:p w14:paraId="28830AC9" w14:textId="77777777" w:rsidR="00314FC1" w:rsidRPr="00314FC1" w:rsidRDefault="00314FC1" w:rsidP="00754378">
      <w:pPr>
        <w:pStyle w:val="ListParagraph"/>
        <w:spacing w:after="0" w:line="480" w:lineRule="auto"/>
        <w:rPr>
          <w:rFonts w:ascii="Times New Roman" w:hAnsi="Times New Roman" w:cs="Times New Roman"/>
          <w:i/>
          <w:sz w:val="24"/>
          <w:szCs w:val="24"/>
          <w:lang w:val="en-GB"/>
        </w:rPr>
      </w:pPr>
    </w:p>
    <w:p w14:paraId="3640AA91" w14:textId="46EF8F3C" w:rsidR="00314FC1" w:rsidRPr="00314FC1" w:rsidRDefault="00314FC1" w:rsidP="00754378">
      <w:pPr>
        <w:pStyle w:val="ListParagraph"/>
        <w:spacing w:after="0" w:line="480" w:lineRule="auto"/>
        <w:ind w:left="1474" w:right="1474"/>
        <w:jc w:val="both"/>
        <w:rPr>
          <w:rFonts w:ascii="Times New Roman" w:hAnsi="Times New Roman" w:cs="Times New Roman"/>
          <w:i/>
          <w:sz w:val="24"/>
          <w:szCs w:val="24"/>
          <w:lang w:val="en-GB"/>
        </w:rPr>
      </w:pPr>
      <w:r w:rsidRPr="00314FC1">
        <w:rPr>
          <w:rFonts w:ascii="Times New Roman" w:hAnsi="Times New Roman" w:cs="Times New Roman"/>
          <w:i/>
          <w:sz w:val="24"/>
          <w:szCs w:val="24"/>
          <w:lang w:val="en-GB"/>
        </w:rPr>
        <w:t>“</w:t>
      </w:r>
      <w:r w:rsidRPr="00314FC1">
        <w:rPr>
          <w:rFonts w:ascii="Times New Roman" w:hAnsi="Times New Roman" w:cs="Times New Roman"/>
          <w:i/>
          <w:sz w:val="24"/>
          <w:szCs w:val="24"/>
        </w:rPr>
        <w:t>… the High Court’s powers in the matter, have been expressly</w:t>
      </w:r>
      <w:r w:rsidRPr="00314FC1">
        <w:rPr>
          <w:rFonts w:ascii="Times New Roman" w:hAnsi="Times New Roman" w:cs="Times New Roman"/>
          <w:i/>
          <w:sz w:val="24"/>
          <w:szCs w:val="24"/>
          <w:lang w:val="en-GB"/>
        </w:rPr>
        <w:t xml:space="preserve"> </w:t>
      </w:r>
      <w:r w:rsidRPr="00314FC1">
        <w:rPr>
          <w:rFonts w:ascii="Times New Roman" w:hAnsi="Times New Roman" w:cs="Times New Roman"/>
          <w:i/>
          <w:sz w:val="24"/>
          <w:szCs w:val="24"/>
        </w:rPr>
        <w:t>provided for by Parliament, namely that any such</w:t>
      </w:r>
      <w:r w:rsidRPr="00314FC1">
        <w:rPr>
          <w:rFonts w:ascii="Times New Roman" w:hAnsi="Times New Roman" w:cs="Times New Roman"/>
          <w:i/>
          <w:sz w:val="24"/>
          <w:szCs w:val="24"/>
          <w:lang w:val="en-GB"/>
        </w:rPr>
        <w:t xml:space="preserve"> </w:t>
      </w:r>
      <w:r w:rsidRPr="00314FC1">
        <w:rPr>
          <w:rFonts w:ascii="Times New Roman" w:hAnsi="Times New Roman" w:cs="Times New Roman"/>
          <w:i/>
          <w:sz w:val="24"/>
          <w:szCs w:val="24"/>
        </w:rPr>
        <w:t>question,</w:t>
      </w:r>
      <w:r w:rsidRPr="00314FC1">
        <w:rPr>
          <w:rFonts w:ascii="Times New Roman" w:hAnsi="Times New Roman" w:cs="Times New Roman"/>
          <w:i/>
          <w:sz w:val="24"/>
          <w:szCs w:val="24"/>
          <w:lang w:val="en-GB"/>
        </w:rPr>
        <w:t xml:space="preserve"> </w:t>
      </w:r>
      <w:r w:rsidRPr="00314FC1">
        <w:rPr>
          <w:rFonts w:ascii="Times New Roman" w:hAnsi="Times New Roman" w:cs="Times New Roman"/>
          <w:i/>
          <w:sz w:val="24"/>
          <w:szCs w:val="24"/>
        </w:rPr>
        <w:t>or any</w:t>
      </w:r>
      <w:r w:rsidRPr="00314FC1">
        <w:rPr>
          <w:rFonts w:ascii="Times New Roman" w:hAnsi="Times New Roman" w:cs="Times New Roman"/>
          <w:i/>
          <w:sz w:val="24"/>
          <w:szCs w:val="24"/>
          <w:lang w:val="en-GB"/>
        </w:rPr>
        <w:t xml:space="preserve"> </w:t>
      </w:r>
      <w:r w:rsidRPr="00314FC1">
        <w:rPr>
          <w:rFonts w:ascii="Times New Roman" w:hAnsi="Times New Roman" w:cs="Times New Roman"/>
          <w:i/>
          <w:sz w:val="24"/>
          <w:szCs w:val="24"/>
        </w:rPr>
        <w:t>matter ancillary to such question, can only be determined by the</w:t>
      </w:r>
      <w:r w:rsidRPr="00314FC1">
        <w:rPr>
          <w:rFonts w:ascii="Times New Roman" w:hAnsi="Times New Roman" w:cs="Times New Roman"/>
          <w:i/>
          <w:sz w:val="24"/>
          <w:szCs w:val="24"/>
          <w:lang w:val="en-GB"/>
        </w:rPr>
        <w:t xml:space="preserve"> </w:t>
      </w:r>
      <w:r w:rsidRPr="00314FC1">
        <w:rPr>
          <w:rFonts w:ascii="Times New Roman" w:hAnsi="Times New Roman" w:cs="Times New Roman"/>
          <w:i/>
          <w:sz w:val="24"/>
          <w:szCs w:val="24"/>
        </w:rPr>
        <w:t>High Court sitting as the Court of Disputed Returns, upon an election</w:t>
      </w:r>
      <w:r w:rsidRPr="00314FC1">
        <w:rPr>
          <w:rFonts w:ascii="Times New Roman" w:hAnsi="Times New Roman" w:cs="Times New Roman"/>
          <w:i/>
          <w:sz w:val="24"/>
          <w:szCs w:val="24"/>
          <w:lang w:val="en-GB"/>
        </w:rPr>
        <w:t xml:space="preserve"> </w:t>
      </w:r>
      <w:r w:rsidRPr="00314FC1">
        <w:rPr>
          <w:rFonts w:ascii="Times New Roman" w:hAnsi="Times New Roman" w:cs="Times New Roman"/>
          <w:i/>
          <w:sz w:val="24"/>
          <w:szCs w:val="24"/>
        </w:rPr>
        <w:t>petition.</w:t>
      </w:r>
      <w:r w:rsidRPr="00314FC1">
        <w:rPr>
          <w:rFonts w:ascii="Times New Roman" w:hAnsi="Times New Roman" w:cs="Times New Roman"/>
          <w:i/>
          <w:sz w:val="24"/>
          <w:szCs w:val="24"/>
          <w:lang w:val="en-GB"/>
        </w:rPr>
        <w:t>”</w:t>
      </w:r>
    </w:p>
    <w:p w14:paraId="69DC47E7" w14:textId="77777777" w:rsidR="00314FC1" w:rsidRPr="00314FC1" w:rsidRDefault="00314FC1" w:rsidP="00754378">
      <w:pPr>
        <w:pStyle w:val="ListParagraph"/>
        <w:spacing w:after="0" w:line="480" w:lineRule="auto"/>
        <w:rPr>
          <w:rFonts w:ascii="Times New Roman" w:hAnsi="Times New Roman" w:cs="Times New Roman"/>
          <w:sz w:val="28"/>
          <w:szCs w:val="28"/>
          <w:lang w:val="en-GB"/>
        </w:rPr>
      </w:pPr>
    </w:p>
    <w:p w14:paraId="44409ECF" w14:textId="079A4FC3" w:rsidR="00233DED" w:rsidRDefault="00BD005C" w:rsidP="00754378">
      <w:pPr>
        <w:pStyle w:val="ListParagraph"/>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t>This court</w:t>
      </w:r>
      <w:r w:rsidR="005A6B15">
        <w:rPr>
          <w:rFonts w:ascii="Times New Roman" w:hAnsi="Times New Roman" w:cs="Times New Roman"/>
          <w:sz w:val="28"/>
          <w:szCs w:val="28"/>
          <w:lang w:val="en-GB"/>
        </w:rPr>
        <w:t xml:space="preserve"> agree</w:t>
      </w:r>
      <w:r w:rsidR="000C14E4">
        <w:rPr>
          <w:rFonts w:ascii="Times New Roman" w:hAnsi="Times New Roman" w:cs="Times New Roman"/>
          <w:sz w:val="28"/>
          <w:szCs w:val="28"/>
          <w:lang w:val="en-GB"/>
        </w:rPr>
        <w:t>s</w:t>
      </w:r>
      <w:r w:rsidR="005A6B15">
        <w:rPr>
          <w:rFonts w:ascii="Times New Roman" w:hAnsi="Times New Roman" w:cs="Times New Roman"/>
          <w:sz w:val="28"/>
          <w:szCs w:val="28"/>
          <w:lang w:val="en-GB"/>
        </w:rPr>
        <w:t xml:space="preserve"> with that decision in as far as it relates to the fact that section 69 of the Constitution is implemented by an Act of parliament. </w:t>
      </w:r>
    </w:p>
    <w:p w14:paraId="4329AEC9" w14:textId="77777777" w:rsidR="005A6B15" w:rsidRPr="005A6B15" w:rsidRDefault="005A6B15" w:rsidP="00754378">
      <w:pPr>
        <w:pStyle w:val="ListParagraph"/>
        <w:spacing w:after="0" w:line="480" w:lineRule="auto"/>
        <w:rPr>
          <w:rFonts w:ascii="Times New Roman" w:hAnsi="Times New Roman" w:cs="Times New Roman"/>
          <w:sz w:val="28"/>
          <w:szCs w:val="28"/>
          <w:lang w:val="en-GB"/>
        </w:rPr>
      </w:pPr>
    </w:p>
    <w:p w14:paraId="602694DC" w14:textId="45F2B066" w:rsidR="005A6B15" w:rsidRDefault="005A6B15"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Advocate Lephuthing referred this court to an Article by Professor Hoolo ‘Nya</w:t>
      </w:r>
      <w:r w:rsidR="008C7C59">
        <w:rPr>
          <w:rFonts w:ascii="Times New Roman" w:hAnsi="Times New Roman" w:cs="Times New Roman"/>
          <w:sz w:val="28"/>
          <w:szCs w:val="28"/>
          <w:lang w:val="en-GB"/>
        </w:rPr>
        <w:t xml:space="preserve">ne titled </w:t>
      </w:r>
      <w:r w:rsidR="008C7C59" w:rsidRPr="008C7C59">
        <w:rPr>
          <w:rFonts w:ascii="Times New Roman" w:hAnsi="Times New Roman" w:cs="Times New Roman"/>
          <w:b/>
          <w:sz w:val="28"/>
          <w:szCs w:val="28"/>
        </w:rPr>
        <w:t>A</w:t>
      </w:r>
      <w:r w:rsidR="008C7C59" w:rsidRPr="008C7C59">
        <w:rPr>
          <w:rFonts w:ascii="Times New Roman" w:hAnsi="Times New Roman" w:cs="Times New Roman"/>
          <w:b/>
          <w:sz w:val="28"/>
          <w:szCs w:val="28"/>
          <w:lang w:val="en-GB"/>
        </w:rPr>
        <w:t xml:space="preserve"> </w:t>
      </w:r>
      <w:r w:rsidR="008C7C59" w:rsidRPr="008C7C59">
        <w:rPr>
          <w:rFonts w:ascii="Times New Roman" w:hAnsi="Times New Roman" w:cs="Times New Roman"/>
          <w:b/>
          <w:sz w:val="28"/>
          <w:szCs w:val="28"/>
        </w:rPr>
        <w:t>CRITIQUE OF PROCEDURALISM IN THE</w:t>
      </w:r>
      <w:r w:rsidR="008C7C59" w:rsidRPr="008C7C59">
        <w:rPr>
          <w:rFonts w:ascii="Times New Roman" w:hAnsi="Times New Roman" w:cs="Times New Roman"/>
          <w:b/>
          <w:sz w:val="28"/>
          <w:szCs w:val="28"/>
        </w:rPr>
        <w:br/>
        <w:t>ADJUDICATION</w:t>
      </w:r>
      <w:r w:rsidR="00314FC1">
        <w:rPr>
          <w:rFonts w:ascii="Times New Roman" w:hAnsi="Times New Roman" w:cs="Times New Roman"/>
          <w:b/>
          <w:sz w:val="28"/>
          <w:szCs w:val="28"/>
          <w:lang w:val="en-GB"/>
        </w:rPr>
        <w:t xml:space="preserve"> </w:t>
      </w:r>
      <w:r w:rsidR="008C7C59" w:rsidRPr="008C7C59">
        <w:rPr>
          <w:rFonts w:ascii="Times New Roman" w:hAnsi="Times New Roman" w:cs="Times New Roman"/>
          <w:b/>
          <w:sz w:val="28"/>
          <w:szCs w:val="28"/>
        </w:rPr>
        <w:t>OF ELECTORAL</w:t>
      </w:r>
      <w:r w:rsidR="008C7C59" w:rsidRPr="008C7C59">
        <w:rPr>
          <w:rFonts w:ascii="Times New Roman" w:hAnsi="Times New Roman" w:cs="Times New Roman"/>
          <w:b/>
          <w:sz w:val="28"/>
          <w:szCs w:val="28"/>
          <w:lang w:val="en-GB"/>
        </w:rPr>
        <w:t xml:space="preserve"> </w:t>
      </w:r>
      <w:r w:rsidR="008C7C59" w:rsidRPr="008C7C59">
        <w:rPr>
          <w:rFonts w:ascii="Times New Roman" w:hAnsi="Times New Roman" w:cs="Times New Roman"/>
          <w:b/>
          <w:sz w:val="28"/>
          <w:szCs w:val="28"/>
        </w:rPr>
        <w:t>DISPUTES IN</w:t>
      </w:r>
      <w:r w:rsidR="008C7C59" w:rsidRPr="008C7C59">
        <w:rPr>
          <w:rFonts w:ascii="Times New Roman" w:hAnsi="Times New Roman" w:cs="Times New Roman"/>
          <w:b/>
          <w:sz w:val="28"/>
          <w:szCs w:val="28"/>
          <w:lang w:val="en-GB"/>
        </w:rPr>
        <w:t xml:space="preserve"> </w:t>
      </w:r>
      <w:r w:rsidR="008C7C59" w:rsidRPr="008C7C59">
        <w:rPr>
          <w:rFonts w:ascii="Times New Roman" w:hAnsi="Times New Roman" w:cs="Times New Roman"/>
          <w:b/>
          <w:sz w:val="28"/>
          <w:szCs w:val="28"/>
        </w:rPr>
        <w:t>LESOTHO</w:t>
      </w:r>
      <w:r w:rsidR="00660DC8">
        <w:rPr>
          <w:rStyle w:val="FootnoteReference"/>
          <w:rFonts w:ascii="Times New Roman" w:hAnsi="Times New Roman" w:cs="Times New Roman"/>
          <w:b/>
          <w:sz w:val="28"/>
          <w:szCs w:val="28"/>
        </w:rPr>
        <w:footnoteReference w:id="7"/>
      </w:r>
      <w:r w:rsidR="008C7C59">
        <w:rPr>
          <w:rFonts w:ascii="Times New Roman" w:hAnsi="Times New Roman" w:cs="Times New Roman"/>
          <w:sz w:val="28"/>
          <w:szCs w:val="28"/>
          <w:lang w:val="en-GB"/>
        </w:rPr>
        <w:t xml:space="preserve"> criticising the </w:t>
      </w:r>
      <w:r w:rsidR="008C7C59" w:rsidRPr="00314FC1">
        <w:rPr>
          <w:rFonts w:ascii="Times New Roman" w:hAnsi="Times New Roman" w:cs="Times New Roman"/>
          <w:b/>
          <w:sz w:val="28"/>
          <w:szCs w:val="28"/>
          <w:lang w:val="en-GB"/>
        </w:rPr>
        <w:t>BNP case</w:t>
      </w:r>
      <w:r w:rsidR="00314FC1">
        <w:rPr>
          <w:rStyle w:val="FootnoteReference"/>
          <w:rFonts w:ascii="Times New Roman" w:hAnsi="Times New Roman" w:cs="Times New Roman"/>
          <w:b/>
          <w:sz w:val="28"/>
          <w:szCs w:val="28"/>
          <w:lang w:val="en-GB"/>
        </w:rPr>
        <w:footnoteReference w:id="8"/>
      </w:r>
      <w:r w:rsidR="008C7C59">
        <w:rPr>
          <w:rFonts w:ascii="Times New Roman" w:hAnsi="Times New Roman" w:cs="Times New Roman"/>
          <w:sz w:val="28"/>
          <w:szCs w:val="28"/>
          <w:lang w:val="en-GB"/>
        </w:rPr>
        <w:t xml:space="preserve"> among others. Professor ‘Nyane in opining that the High Court in its constitutional jurisdiction </w:t>
      </w:r>
      <w:r w:rsidR="003B24A0">
        <w:rPr>
          <w:rFonts w:ascii="Times New Roman" w:hAnsi="Times New Roman" w:cs="Times New Roman"/>
          <w:sz w:val="28"/>
          <w:szCs w:val="28"/>
          <w:lang w:val="en-GB"/>
        </w:rPr>
        <w:t>could preside over elections dispute</w:t>
      </w:r>
      <w:r w:rsidR="00F123B1">
        <w:rPr>
          <w:rFonts w:ascii="Times New Roman" w:hAnsi="Times New Roman" w:cs="Times New Roman"/>
          <w:sz w:val="28"/>
          <w:szCs w:val="28"/>
          <w:lang w:val="en-GB"/>
        </w:rPr>
        <w:t>d</w:t>
      </w:r>
      <w:r w:rsidR="003B24A0">
        <w:rPr>
          <w:rFonts w:ascii="Times New Roman" w:hAnsi="Times New Roman" w:cs="Times New Roman"/>
          <w:sz w:val="28"/>
          <w:szCs w:val="28"/>
          <w:lang w:val="en-GB"/>
        </w:rPr>
        <w:t xml:space="preserve"> returns </w:t>
      </w:r>
      <w:r w:rsidR="008C7C59">
        <w:rPr>
          <w:rFonts w:ascii="Times New Roman" w:hAnsi="Times New Roman" w:cs="Times New Roman"/>
          <w:sz w:val="28"/>
          <w:szCs w:val="28"/>
          <w:lang w:val="en-GB"/>
        </w:rPr>
        <w:t>had this to say;</w:t>
      </w:r>
    </w:p>
    <w:p w14:paraId="1452EA08" w14:textId="77777777" w:rsidR="008C7C59" w:rsidRPr="00B31B17" w:rsidRDefault="008C7C59" w:rsidP="00EC0770">
      <w:pPr>
        <w:pStyle w:val="ListParagraph"/>
        <w:spacing w:line="480" w:lineRule="auto"/>
        <w:rPr>
          <w:rFonts w:ascii="Times New Roman" w:hAnsi="Times New Roman" w:cs="Times New Roman"/>
          <w:i/>
          <w:sz w:val="24"/>
          <w:szCs w:val="24"/>
          <w:lang w:val="en-GB"/>
        </w:rPr>
      </w:pPr>
    </w:p>
    <w:p w14:paraId="4AEA29D0" w14:textId="34242919" w:rsidR="008C7C59" w:rsidRDefault="00B31B17" w:rsidP="00754378">
      <w:pPr>
        <w:pStyle w:val="ListParagraph"/>
        <w:spacing w:after="0" w:line="480" w:lineRule="auto"/>
        <w:ind w:left="1474" w:right="1474"/>
        <w:jc w:val="both"/>
        <w:rPr>
          <w:rFonts w:ascii="Times New Roman" w:hAnsi="Times New Roman" w:cs="Times New Roman"/>
          <w:sz w:val="24"/>
          <w:szCs w:val="24"/>
          <w:lang w:val="en-GB"/>
        </w:rPr>
      </w:pPr>
      <w:r w:rsidRPr="00B31B17">
        <w:rPr>
          <w:rFonts w:ascii="Times New Roman" w:hAnsi="Times New Roman" w:cs="Times New Roman"/>
          <w:i/>
          <w:sz w:val="24"/>
          <w:szCs w:val="24"/>
          <w:lang w:val="en-GB"/>
        </w:rPr>
        <w:t>“</w:t>
      </w:r>
      <w:r w:rsidR="008C7C59" w:rsidRPr="00B31B17">
        <w:rPr>
          <w:rFonts w:ascii="Times New Roman" w:hAnsi="Times New Roman" w:cs="Times New Roman"/>
          <w:i/>
          <w:sz w:val="24"/>
          <w:szCs w:val="24"/>
          <w:lang w:val="en-GB"/>
        </w:rPr>
        <w:t>The Hight Court of Lesotho is empowered by the Constitution to a</w:t>
      </w:r>
      <w:r w:rsidRPr="00B31B17">
        <w:rPr>
          <w:rFonts w:ascii="Times New Roman" w:hAnsi="Times New Roman" w:cs="Times New Roman"/>
          <w:i/>
          <w:sz w:val="24"/>
          <w:szCs w:val="24"/>
          <w:lang w:val="en-GB"/>
        </w:rPr>
        <w:t xml:space="preserve">djudicate the electoral petitions. The fact that a provision of the electoral statute… provides that the High Court shall </w:t>
      </w:r>
      <w:r w:rsidR="000C14E4" w:rsidRPr="00B31B17">
        <w:rPr>
          <w:rFonts w:ascii="Times New Roman" w:hAnsi="Times New Roman" w:cs="Times New Roman"/>
          <w:i/>
          <w:sz w:val="24"/>
          <w:szCs w:val="24"/>
          <w:lang w:val="en-GB"/>
        </w:rPr>
        <w:t>be a</w:t>
      </w:r>
      <w:r w:rsidRPr="00B31B17">
        <w:rPr>
          <w:rFonts w:ascii="Times New Roman" w:hAnsi="Times New Roman" w:cs="Times New Roman"/>
          <w:i/>
          <w:sz w:val="24"/>
          <w:szCs w:val="24"/>
          <w:lang w:val="en-GB"/>
        </w:rPr>
        <w:t xml:space="preserve"> Court of Disputed Returns should not be interpreted in a manner that undermines the Constitution.”  </w:t>
      </w:r>
    </w:p>
    <w:p w14:paraId="4E6D8956" w14:textId="1F2821FA" w:rsidR="00B31B17" w:rsidRDefault="00B31B17" w:rsidP="00754378">
      <w:pPr>
        <w:spacing w:after="0" w:line="480" w:lineRule="auto"/>
        <w:ind w:right="1474"/>
        <w:jc w:val="both"/>
        <w:rPr>
          <w:rFonts w:ascii="Times New Roman" w:hAnsi="Times New Roman" w:cs="Times New Roman"/>
          <w:sz w:val="24"/>
          <w:szCs w:val="24"/>
          <w:lang w:val="en-GB"/>
        </w:rPr>
      </w:pPr>
    </w:p>
    <w:p w14:paraId="41282CF6" w14:textId="128C868A" w:rsidR="00230D39" w:rsidRDefault="00B31B17"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sidRPr="00BD005C">
        <w:rPr>
          <w:rFonts w:ascii="Times New Roman" w:hAnsi="Times New Roman" w:cs="Times New Roman"/>
          <w:sz w:val="28"/>
          <w:szCs w:val="28"/>
          <w:lang w:val="en-GB"/>
        </w:rPr>
        <w:t xml:space="preserve">While </w:t>
      </w:r>
      <w:r w:rsidR="00BD005C" w:rsidRPr="000C14E4">
        <w:rPr>
          <w:rFonts w:ascii="Times New Roman" w:hAnsi="Times New Roman" w:cs="Times New Roman"/>
          <w:sz w:val="28"/>
          <w:szCs w:val="28"/>
          <w:lang w:val="en-GB"/>
        </w:rPr>
        <w:t>this court</w:t>
      </w:r>
      <w:r w:rsidRPr="00BD005C">
        <w:rPr>
          <w:rFonts w:ascii="Times New Roman" w:hAnsi="Times New Roman" w:cs="Times New Roman"/>
          <w:sz w:val="28"/>
          <w:szCs w:val="28"/>
          <w:lang w:val="en-GB"/>
        </w:rPr>
        <w:t xml:space="preserve"> agree</w:t>
      </w:r>
      <w:r w:rsidR="000C14E4">
        <w:rPr>
          <w:rFonts w:ascii="Times New Roman" w:hAnsi="Times New Roman" w:cs="Times New Roman"/>
          <w:sz w:val="28"/>
          <w:szCs w:val="28"/>
          <w:lang w:val="en-GB"/>
        </w:rPr>
        <w:t>s</w:t>
      </w:r>
      <w:r w:rsidRPr="00BD005C">
        <w:rPr>
          <w:rFonts w:ascii="Times New Roman" w:hAnsi="Times New Roman" w:cs="Times New Roman"/>
          <w:sz w:val="28"/>
          <w:szCs w:val="28"/>
          <w:lang w:val="en-GB"/>
        </w:rPr>
        <w:t xml:space="preserve"> with most part</w:t>
      </w:r>
      <w:r w:rsidR="00F123B1" w:rsidRPr="00BD005C">
        <w:rPr>
          <w:rFonts w:ascii="Times New Roman" w:hAnsi="Times New Roman" w:cs="Times New Roman"/>
          <w:sz w:val="28"/>
          <w:szCs w:val="28"/>
          <w:lang w:val="en-GB"/>
        </w:rPr>
        <w:t>s</w:t>
      </w:r>
      <w:r w:rsidRPr="00BD005C">
        <w:rPr>
          <w:rFonts w:ascii="Times New Roman" w:hAnsi="Times New Roman" w:cs="Times New Roman"/>
          <w:sz w:val="28"/>
          <w:szCs w:val="28"/>
          <w:lang w:val="en-GB"/>
        </w:rPr>
        <w:t xml:space="preserve"> of this article by Professor ‘Nyane, </w:t>
      </w:r>
      <w:r w:rsidR="00BD005C" w:rsidRPr="000C14E4">
        <w:rPr>
          <w:rFonts w:ascii="Times New Roman" w:hAnsi="Times New Roman" w:cs="Times New Roman"/>
          <w:sz w:val="28"/>
          <w:szCs w:val="28"/>
          <w:lang w:val="en-GB"/>
        </w:rPr>
        <w:t>it</w:t>
      </w:r>
      <w:r w:rsidRPr="00BD005C">
        <w:rPr>
          <w:rFonts w:ascii="Times New Roman" w:hAnsi="Times New Roman" w:cs="Times New Roman"/>
          <w:sz w:val="28"/>
          <w:szCs w:val="28"/>
          <w:lang w:val="en-GB"/>
        </w:rPr>
        <w:t xml:space="preserve"> do</w:t>
      </w:r>
      <w:r w:rsidR="00BD005C" w:rsidRPr="000C14E4">
        <w:rPr>
          <w:rFonts w:ascii="Times New Roman" w:hAnsi="Times New Roman" w:cs="Times New Roman"/>
          <w:sz w:val="28"/>
          <w:szCs w:val="28"/>
          <w:lang w:val="en-GB"/>
        </w:rPr>
        <w:t>es</w:t>
      </w:r>
      <w:r w:rsidRPr="00BD005C">
        <w:rPr>
          <w:rFonts w:ascii="Times New Roman" w:hAnsi="Times New Roman" w:cs="Times New Roman"/>
          <w:sz w:val="28"/>
          <w:szCs w:val="28"/>
          <w:lang w:val="en-GB"/>
        </w:rPr>
        <w:t xml:space="preserve"> not agree that interpreting the Electoral Act to </w:t>
      </w:r>
      <w:r w:rsidR="0060596D" w:rsidRPr="00BD005C">
        <w:rPr>
          <w:rFonts w:ascii="Times New Roman" w:hAnsi="Times New Roman" w:cs="Times New Roman"/>
          <w:sz w:val="28"/>
          <w:szCs w:val="28"/>
          <w:lang w:val="en-GB"/>
        </w:rPr>
        <w:t>say that it confers powers to the High Court to hear disputed returns undermines the constitution.</w:t>
      </w:r>
      <w:r w:rsidR="0060596D">
        <w:rPr>
          <w:rFonts w:ascii="Times New Roman" w:hAnsi="Times New Roman" w:cs="Times New Roman"/>
          <w:sz w:val="28"/>
          <w:szCs w:val="28"/>
          <w:lang w:val="en-GB"/>
        </w:rPr>
        <w:t xml:space="preserve"> In fact, the Electoral Act upholds the Constitution. The very core of Professor ‘Nyane’s article and the critique on the High Court that it is overly following form over substance, can only be avoided through the Electoral Act. </w:t>
      </w:r>
      <w:r w:rsidR="009A7838" w:rsidRPr="0060596D">
        <w:rPr>
          <w:rFonts w:ascii="Times New Roman" w:hAnsi="Times New Roman" w:cs="Times New Roman"/>
          <w:sz w:val="28"/>
          <w:szCs w:val="28"/>
          <w:lang w:val="en-GB"/>
        </w:rPr>
        <w:t xml:space="preserve">The Electoral Act </w:t>
      </w:r>
      <w:r w:rsidR="004C6024" w:rsidRPr="0060596D">
        <w:rPr>
          <w:rFonts w:ascii="Times New Roman" w:hAnsi="Times New Roman" w:cs="Times New Roman"/>
          <w:sz w:val="28"/>
          <w:szCs w:val="28"/>
          <w:lang w:val="en-GB"/>
        </w:rPr>
        <w:t xml:space="preserve">prescribes </w:t>
      </w:r>
      <w:r w:rsidR="00EE0CCB" w:rsidRPr="0060596D">
        <w:rPr>
          <w:rFonts w:ascii="Times New Roman" w:hAnsi="Times New Roman" w:cs="Times New Roman"/>
          <w:sz w:val="28"/>
          <w:szCs w:val="28"/>
          <w:lang w:val="en-GB"/>
        </w:rPr>
        <w:t xml:space="preserve">that </w:t>
      </w:r>
      <w:r w:rsidR="004C6024" w:rsidRPr="0060596D">
        <w:rPr>
          <w:rFonts w:ascii="Times New Roman" w:hAnsi="Times New Roman" w:cs="Times New Roman"/>
          <w:sz w:val="28"/>
          <w:szCs w:val="28"/>
          <w:lang w:val="en-GB"/>
        </w:rPr>
        <w:t xml:space="preserve">the procedure should be by way of a petition. Moreover, the Act provides for the relaxation of the </w:t>
      </w:r>
      <w:r w:rsidR="007D66E0" w:rsidRPr="0060596D">
        <w:rPr>
          <w:rFonts w:ascii="Times New Roman" w:hAnsi="Times New Roman" w:cs="Times New Roman"/>
          <w:sz w:val="28"/>
          <w:szCs w:val="28"/>
          <w:lang w:val="en-GB"/>
        </w:rPr>
        <w:t xml:space="preserve">strict </w:t>
      </w:r>
      <w:r w:rsidR="007D66E0" w:rsidRPr="0060596D">
        <w:rPr>
          <w:rFonts w:ascii="Times New Roman" w:hAnsi="Times New Roman" w:cs="Times New Roman"/>
          <w:sz w:val="28"/>
          <w:szCs w:val="28"/>
          <w:lang w:val="en-GB"/>
        </w:rPr>
        <w:lastRenderedPageBreak/>
        <w:t>rules of the law of evidence</w:t>
      </w:r>
      <w:r w:rsidR="0060596D">
        <w:rPr>
          <w:rFonts w:ascii="Times New Roman" w:hAnsi="Times New Roman" w:cs="Times New Roman"/>
          <w:sz w:val="28"/>
          <w:szCs w:val="28"/>
          <w:lang w:val="en-GB"/>
        </w:rPr>
        <w:t xml:space="preserve">. </w:t>
      </w:r>
      <w:r w:rsidR="00BD005C">
        <w:rPr>
          <w:rFonts w:ascii="Times New Roman" w:hAnsi="Times New Roman" w:cs="Times New Roman"/>
          <w:sz w:val="28"/>
          <w:szCs w:val="28"/>
          <w:lang w:val="en-GB"/>
        </w:rPr>
        <w:t>F</w:t>
      </w:r>
      <w:r w:rsidR="0060596D">
        <w:rPr>
          <w:rFonts w:ascii="Times New Roman" w:hAnsi="Times New Roman" w:cs="Times New Roman"/>
          <w:sz w:val="28"/>
          <w:szCs w:val="28"/>
          <w:lang w:val="en-GB"/>
        </w:rPr>
        <w:t xml:space="preserve">inally, according to professor ‘Nyane </w:t>
      </w:r>
      <w:r w:rsidR="00BD005C" w:rsidRPr="00A26909">
        <w:rPr>
          <w:rFonts w:ascii="Times New Roman" w:hAnsi="Times New Roman" w:cs="Times New Roman"/>
          <w:sz w:val="28"/>
          <w:szCs w:val="28"/>
          <w:lang w:val="en-GB"/>
        </w:rPr>
        <w:t>Electoral Act</w:t>
      </w:r>
      <w:r w:rsidR="0060596D">
        <w:rPr>
          <w:rFonts w:ascii="Times New Roman" w:hAnsi="Times New Roman" w:cs="Times New Roman"/>
          <w:sz w:val="28"/>
          <w:szCs w:val="28"/>
          <w:lang w:val="en-GB"/>
        </w:rPr>
        <w:t xml:space="preserve"> supports the inquisitorial approach as opposed to the adversarial one</w:t>
      </w:r>
      <w:r w:rsidR="008A7E35">
        <w:rPr>
          <w:rFonts w:ascii="Times New Roman" w:hAnsi="Times New Roman" w:cs="Times New Roman"/>
          <w:sz w:val="28"/>
          <w:szCs w:val="28"/>
          <w:lang w:val="en-GB"/>
        </w:rPr>
        <w:t xml:space="preserve"> that we follow in our jurisdiction</w:t>
      </w:r>
      <w:r w:rsidR="0060596D">
        <w:rPr>
          <w:rFonts w:ascii="Times New Roman" w:hAnsi="Times New Roman" w:cs="Times New Roman"/>
          <w:sz w:val="28"/>
          <w:szCs w:val="28"/>
          <w:lang w:val="en-GB"/>
        </w:rPr>
        <w:t xml:space="preserve">. </w:t>
      </w:r>
      <w:r w:rsidR="00D81BB0">
        <w:rPr>
          <w:rFonts w:ascii="Times New Roman" w:hAnsi="Times New Roman" w:cs="Times New Roman"/>
          <w:sz w:val="28"/>
          <w:szCs w:val="28"/>
          <w:lang w:val="en-GB"/>
        </w:rPr>
        <w:t xml:space="preserve">In fact, Advocate Teele KC had rightly argued that under the constitutional jurisdiction, there is no provision for leading viva voce evidence and procedure is by way of Motion Proceedings. </w:t>
      </w:r>
      <w:r w:rsidR="00BD005C">
        <w:rPr>
          <w:rFonts w:ascii="Times New Roman" w:hAnsi="Times New Roman" w:cs="Times New Roman"/>
          <w:sz w:val="28"/>
          <w:szCs w:val="28"/>
          <w:lang w:val="en-GB"/>
        </w:rPr>
        <w:t>I</w:t>
      </w:r>
      <w:r w:rsidR="00D1666E">
        <w:rPr>
          <w:rFonts w:ascii="Times New Roman" w:hAnsi="Times New Roman" w:cs="Times New Roman"/>
          <w:sz w:val="28"/>
          <w:szCs w:val="28"/>
          <w:lang w:val="en-GB"/>
        </w:rPr>
        <w:t>ndeed,</w:t>
      </w:r>
      <w:r w:rsidR="00230D39">
        <w:rPr>
          <w:rFonts w:ascii="Times New Roman" w:hAnsi="Times New Roman" w:cs="Times New Roman"/>
          <w:sz w:val="28"/>
          <w:szCs w:val="28"/>
          <w:lang w:val="en-GB"/>
        </w:rPr>
        <w:t xml:space="preserve"> in staying true to the nature </w:t>
      </w:r>
      <w:r w:rsidR="00D1666E">
        <w:rPr>
          <w:rFonts w:ascii="Times New Roman" w:hAnsi="Times New Roman" w:cs="Times New Roman"/>
          <w:sz w:val="28"/>
          <w:szCs w:val="28"/>
          <w:lang w:val="en-GB"/>
        </w:rPr>
        <w:t xml:space="preserve">and history </w:t>
      </w:r>
      <w:r w:rsidR="00230D39">
        <w:rPr>
          <w:rFonts w:ascii="Times New Roman" w:hAnsi="Times New Roman" w:cs="Times New Roman"/>
          <w:sz w:val="28"/>
          <w:szCs w:val="28"/>
          <w:lang w:val="en-GB"/>
        </w:rPr>
        <w:t>of the disputed returns petition</w:t>
      </w:r>
      <w:r w:rsidR="00A26909">
        <w:rPr>
          <w:rFonts w:ascii="Times New Roman" w:hAnsi="Times New Roman" w:cs="Times New Roman"/>
          <w:sz w:val="28"/>
          <w:szCs w:val="28"/>
          <w:lang w:val="en-GB"/>
        </w:rPr>
        <w:t>,</w:t>
      </w:r>
      <w:r w:rsidR="00230D39">
        <w:rPr>
          <w:rFonts w:ascii="Times New Roman" w:hAnsi="Times New Roman" w:cs="Times New Roman"/>
          <w:sz w:val="28"/>
          <w:szCs w:val="28"/>
          <w:lang w:val="en-GB"/>
        </w:rPr>
        <w:t xml:space="preserve"> Curlewis J.A in the South African case of </w:t>
      </w:r>
      <w:bookmarkStart w:id="7" w:name="_Hlk120465696"/>
      <w:r w:rsidR="00230D39" w:rsidRPr="00D1666E">
        <w:rPr>
          <w:rFonts w:ascii="Times New Roman" w:hAnsi="Times New Roman" w:cs="Times New Roman"/>
          <w:b/>
          <w:sz w:val="28"/>
          <w:szCs w:val="28"/>
          <w:lang w:val="en-GB"/>
        </w:rPr>
        <w:t>De Villiers v Louw</w:t>
      </w:r>
      <w:r w:rsidR="00764989">
        <w:rPr>
          <w:rStyle w:val="FootnoteReference"/>
          <w:rFonts w:ascii="Times New Roman" w:hAnsi="Times New Roman" w:cs="Times New Roman"/>
          <w:b/>
          <w:sz w:val="28"/>
          <w:szCs w:val="28"/>
          <w:lang w:val="en-GB"/>
        </w:rPr>
        <w:footnoteReference w:id="9"/>
      </w:r>
      <w:r w:rsidR="00230D39">
        <w:rPr>
          <w:rFonts w:ascii="Times New Roman" w:hAnsi="Times New Roman" w:cs="Times New Roman"/>
          <w:sz w:val="28"/>
          <w:szCs w:val="28"/>
          <w:lang w:val="en-GB"/>
        </w:rPr>
        <w:t xml:space="preserve"> </w:t>
      </w:r>
      <w:bookmarkEnd w:id="7"/>
      <w:r w:rsidR="00230D39">
        <w:rPr>
          <w:rFonts w:ascii="Times New Roman" w:hAnsi="Times New Roman" w:cs="Times New Roman"/>
          <w:sz w:val="28"/>
          <w:szCs w:val="28"/>
          <w:lang w:val="en-GB"/>
        </w:rPr>
        <w:t xml:space="preserve">that was cited with approval </w:t>
      </w:r>
      <w:r w:rsidR="00BD005C">
        <w:rPr>
          <w:rFonts w:ascii="Times New Roman" w:hAnsi="Times New Roman" w:cs="Times New Roman"/>
          <w:sz w:val="28"/>
          <w:szCs w:val="28"/>
          <w:lang w:val="en-GB"/>
        </w:rPr>
        <w:t>by</w:t>
      </w:r>
      <w:r w:rsidR="00230D39">
        <w:rPr>
          <w:rFonts w:ascii="Times New Roman" w:hAnsi="Times New Roman" w:cs="Times New Roman"/>
          <w:sz w:val="28"/>
          <w:szCs w:val="28"/>
          <w:lang w:val="en-GB"/>
        </w:rPr>
        <w:t xml:space="preserve"> Cullinan C.J in the </w:t>
      </w:r>
      <w:r w:rsidR="00230D39" w:rsidRPr="00D1666E">
        <w:rPr>
          <w:rFonts w:ascii="Times New Roman" w:hAnsi="Times New Roman" w:cs="Times New Roman"/>
          <w:b/>
          <w:sz w:val="28"/>
          <w:szCs w:val="28"/>
          <w:lang w:val="en-GB"/>
        </w:rPr>
        <w:t>BNP case</w:t>
      </w:r>
      <w:r w:rsidR="00230D39">
        <w:rPr>
          <w:rFonts w:ascii="Times New Roman" w:hAnsi="Times New Roman" w:cs="Times New Roman"/>
          <w:sz w:val="28"/>
          <w:szCs w:val="28"/>
          <w:lang w:val="en-GB"/>
        </w:rPr>
        <w:t>, said the following:</w:t>
      </w:r>
    </w:p>
    <w:p w14:paraId="023DCAF7" w14:textId="77777777" w:rsidR="00230D39" w:rsidRDefault="00230D39" w:rsidP="00754378">
      <w:pPr>
        <w:pStyle w:val="ListParagraph"/>
        <w:spacing w:after="0" w:line="480" w:lineRule="auto"/>
        <w:ind w:left="790"/>
        <w:jc w:val="both"/>
        <w:rPr>
          <w:rFonts w:ascii="Times New Roman" w:hAnsi="Times New Roman" w:cs="Times New Roman"/>
          <w:sz w:val="28"/>
          <w:szCs w:val="28"/>
          <w:lang w:val="en-GB"/>
        </w:rPr>
      </w:pPr>
    </w:p>
    <w:p w14:paraId="7313A203" w14:textId="5A8B6EF6" w:rsidR="00230D39" w:rsidRPr="00D1666E" w:rsidRDefault="00230D39" w:rsidP="00754378">
      <w:pPr>
        <w:pStyle w:val="ListParagraph"/>
        <w:spacing w:after="0" w:line="480" w:lineRule="auto"/>
        <w:ind w:left="1474" w:right="1474"/>
        <w:jc w:val="both"/>
        <w:rPr>
          <w:rFonts w:ascii="Times New Roman" w:hAnsi="Times New Roman" w:cs="Times New Roman"/>
          <w:i/>
          <w:sz w:val="24"/>
          <w:szCs w:val="24"/>
          <w:lang w:val="en-GB"/>
        </w:rPr>
      </w:pPr>
      <w:r w:rsidRPr="00D1666E">
        <w:rPr>
          <w:rFonts w:ascii="Times New Roman" w:hAnsi="Times New Roman" w:cs="Times New Roman"/>
          <w:i/>
          <w:sz w:val="24"/>
          <w:szCs w:val="24"/>
          <w:lang w:val="en-GB"/>
        </w:rPr>
        <w:t>“…it is well to bear in mind that a Court of law can have jurisdiction in connection with an election petition only in so far as jurisdiction has been conferred upon it by the Elect</w:t>
      </w:r>
      <w:r w:rsidR="00D1666E" w:rsidRPr="00D1666E">
        <w:rPr>
          <w:rFonts w:ascii="Times New Roman" w:hAnsi="Times New Roman" w:cs="Times New Roman"/>
          <w:i/>
          <w:sz w:val="24"/>
          <w:szCs w:val="24"/>
          <w:lang w:val="en-GB"/>
        </w:rPr>
        <w:t>oral Act, and that the power either of the court below or of this court to deal with an election petition in the first instance or on appeal, and the extent of the power, must be found within the four corners of the Act. The provisions of the Act clearly indicate that the trial by a court of law of an election petition cannot be regarded as a trial of any ordinary action before a Court, but as something special and distinct.”</w:t>
      </w:r>
    </w:p>
    <w:p w14:paraId="24E02A45" w14:textId="46C2535C" w:rsidR="00230D39" w:rsidRDefault="00230D39" w:rsidP="00754378">
      <w:pPr>
        <w:pStyle w:val="ListParagraph"/>
        <w:spacing w:after="0" w:line="480" w:lineRule="auto"/>
        <w:ind w:left="790"/>
        <w:jc w:val="both"/>
        <w:rPr>
          <w:rFonts w:ascii="Times New Roman" w:hAnsi="Times New Roman" w:cs="Times New Roman"/>
          <w:sz w:val="28"/>
          <w:szCs w:val="28"/>
          <w:lang w:val="en-GB"/>
        </w:rPr>
      </w:pPr>
    </w:p>
    <w:p w14:paraId="32B57FC8" w14:textId="3412189A" w:rsidR="009A7838" w:rsidRDefault="0060596D" w:rsidP="00754378">
      <w:pPr>
        <w:pStyle w:val="ListParagraph"/>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When the history (</w:t>
      </w:r>
      <w:r w:rsidR="00625FA1">
        <w:rPr>
          <w:rFonts w:ascii="Times New Roman" w:hAnsi="Times New Roman" w:cs="Times New Roman"/>
          <w:sz w:val="28"/>
          <w:szCs w:val="28"/>
          <w:lang w:val="en-GB"/>
        </w:rPr>
        <w:t>which</w:t>
      </w:r>
      <w:r>
        <w:rPr>
          <w:rFonts w:ascii="Times New Roman" w:hAnsi="Times New Roman" w:cs="Times New Roman"/>
          <w:sz w:val="28"/>
          <w:szCs w:val="28"/>
          <w:lang w:val="en-GB"/>
        </w:rPr>
        <w:t xml:space="preserve"> has been expertly narrated by Professor ‘Nyane) that the disputes of election returns were originally the purview of parliament itself</w:t>
      </w:r>
      <w:r w:rsidR="008A7E35">
        <w:rPr>
          <w:rFonts w:ascii="Times New Roman" w:hAnsi="Times New Roman" w:cs="Times New Roman"/>
          <w:sz w:val="28"/>
          <w:szCs w:val="28"/>
          <w:lang w:val="en-GB"/>
        </w:rPr>
        <w:t xml:space="preserve"> is considered and </w:t>
      </w:r>
      <w:r w:rsidR="00D1666E">
        <w:rPr>
          <w:rFonts w:ascii="Times New Roman" w:hAnsi="Times New Roman" w:cs="Times New Roman"/>
          <w:sz w:val="28"/>
          <w:szCs w:val="28"/>
          <w:lang w:val="en-GB"/>
        </w:rPr>
        <w:t xml:space="preserve">we </w:t>
      </w:r>
      <w:r w:rsidR="008A7E35">
        <w:rPr>
          <w:rFonts w:ascii="Times New Roman" w:hAnsi="Times New Roman" w:cs="Times New Roman"/>
          <w:sz w:val="28"/>
          <w:szCs w:val="28"/>
          <w:lang w:val="en-GB"/>
        </w:rPr>
        <w:t>accept that historically election returns did not follow a legalistic approach</w:t>
      </w:r>
      <w:r>
        <w:rPr>
          <w:rFonts w:ascii="Times New Roman" w:hAnsi="Times New Roman" w:cs="Times New Roman"/>
          <w:sz w:val="28"/>
          <w:szCs w:val="28"/>
          <w:lang w:val="en-GB"/>
        </w:rPr>
        <w:t xml:space="preserve">, such procedure cannot be achieved through motion proceedings and strict legal </w:t>
      </w:r>
      <w:r w:rsidR="00D1666E">
        <w:rPr>
          <w:rFonts w:ascii="Times New Roman" w:hAnsi="Times New Roman" w:cs="Times New Roman"/>
          <w:sz w:val="28"/>
          <w:szCs w:val="28"/>
          <w:lang w:val="en-GB"/>
        </w:rPr>
        <w:t>forms</w:t>
      </w:r>
      <w:r>
        <w:rPr>
          <w:rFonts w:ascii="Times New Roman" w:hAnsi="Times New Roman" w:cs="Times New Roman"/>
          <w:sz w:val="28"/>
          <w:szCs w:val="28"/>
          <w:lang w:val="en-GB"/>
        </w:rPr>
        <w:t xml:space="preserve"> envisaged under the Rules.</w:t>
      </w:r>
      <w:r w:rsidR="007F12EE">
        <w:rPr>
          <w:rFonts w:ascii="Times New Roman" w:hAnsi="Times New Roman" w:cs="Times New Roman"/>
          <w:sz w:val="28"/>
          <w:szCs w:val="28"/>
          <w:lang w:val="en-GB"/>
        </w:rPr>
        <w:t xml:space="preserve"> There is therefore no doubt in </w:t>
      </w:r>
      <w:r w:rsidR="00BD005C">
        <w:rPr>
          <w:rFonts w:ascii="Times New Roman" w:hAnsi="Times New Roman" w:cs="Times New Roman"/>
          <w:sz w:val="28"/>
          <w:szCs w:val="28"/>
          <w:lang w:val="en-GB"/>
        </w:rPr>
        <w:t>this court’s</w:t>
      </w:r>
      <w:r w:rsidR="007F12EE">
        <w:rPr>
          <w:rFonts w:ascii="Times New Roman" w:hAnsi="Times New Roman" w:cs="Times New Roman"/>
          <w:sz w:val="28"/>
          <w:szCs w:val="28"/>
          <w:lang w:val="en-GB"/>
        </w:rPr>
        <w:t xml:space="preserve"> mind that reference to the High Court under section 69 of the Constitution means the High Court sitting to determine disputed returns under the Electoral Act.</w:t>
      </w:r>
      <w:r w:rsidR="008A7E35">
        <w:rPr>
          <w:rFonts w:ascii="Times New Roman" w:hAnsi="Times New Roman" w:cs="Times New Roman"/>
          <w:sz w:val="28"/>
          <w:szCs w:val="28"/>
          <w:lang w:val="en-GB"/>
        </w:rPr>
        <w:t xml:space="preserve"> Furthermore, and again with reference to the history of disputed returns, the Constitution had to be specific that the High Court will have jurisdiction to hear disputed returns. By so saying, it was not necessarily saying in its constitutional jurisdiction.</w:t>
      </w:r>
      <w:r w:rsidR="007733DC">
        <w:rPr>
          <w:rFonts w:ascii="Times New Roman" w:hAnsi="Times New Roman" w:cs="Times New Roman"/>
          <w:sz w:val="28"/>
          <w:szCs w:val="28"/>
          <w:lang w:val="en-GB"/>
        </w:rPr>
        <w:t xml:space="preserve"> In the South African case of </w:t>
      </w:r>
      <w:bookmarkStart w:id="8" w:name="_Hlk120465582"/>
      <w:r w:rsidR="007733DC" w:rsidRPr="004D6BF5">
        <w:rPr>
          <w:rFonts w:ascii="Times New Roman" w:hAnsi="Times New Roman" w:cs="Times New Roman"/>
          <w:b/>
          <w:sz w:val="28"/>
          <w:szCs w:val="28"/>
          <w:lang w:val="en-GB"/>
        </w:rPr>
        <w:t>Olufsen V Klisser</w:t>
      </w:r>
      <w:bookmarkEnd w:id="8"/>
      <w:r w:rsidR="004D6BF5">
        <w:rPr>
          <w:rStyle w:val="FootnoteReference"/>
          <w:rFonts w:ascii="Times New Roman" w:hAnsi="Times New Roman" w:cs="Times New Roman"/>
          <w:sz w:val="28"/>
          <w:szCs w:val="28"/>
          <w:lang w:val="en-GB"/>
        </w:rPr>
        <w:footnoteReference w:id="10"/>
      </w:r>
      <w:r w:rsidR="007733DC">
        <w:rPr>
          <w:rFonts w:ascii="Times New Roman" w:hAnsi="Times New Roman" w:cs="Times New Roman"/>
          <w:sz w:val="28"/>
          <w:szCs w:val="28"/>
          <w:lang w:val="en-GB"/>
        </w:rPr>
        <w:t xml:space="preserve">, which has been cited with approval in </w:t>
      </w:r>
      <w:bookmarkStart w:id="9" w:name="_Hlk120465651"/>
      <w:r w:rsidR="007733DC" w:rsidRPr="004D6BF5">
        <w:rPr>
          <w:rFonts w:ascii="Times New Roman" w:hAnsi="Times New Roman" w:cs="Times New Roman"/>
          <w:b/>
          <w:sz w:val="28"/>
          <w:szCs w:val="28"/>
          <w:lang w:val="en-GB"/>
        </w:rPr>
        <w:t>Attorney General v Matla</w:t>
      </w:r>
      <w:r w:rsidR="004D6BF5" w:rsidRPr="004D6BF5">
        <w:rPr>
          <w:rFonts w:ascii="Times New Roman" w:hAnsi="Times New Roman" w:cs="Times New Roman"/>
          <w:b/>
          <w:sz w:val="28"/>
          <w:szCs w:val="28"/>
          <w:lang w:val="en-GB"/>
        </w:rPr>
        <w:t>keng and Anor</w:t>
      </w:r>
      <w:bookmarkEnd w:id="9"/>
      <w:r w:rsidR="004D6BF5" w:rsidRPr="004D6BF5">
        <w:rPr>
          <w:rStyle w:val="FootnoteReference"/>
          <w:rFonts w:ascii="Times New Roman" w:hAnsi="Times New Roman" w:cs="Times New Roman"/>
          <w:b/>
          <w:sz w:val="28"/>
          <w:szCs w:val="28"/>
          <w:lang w:val="en-GB"/>
        </w:rPr>
        <w:footnoteReference w:id="11"/>
      </w:r>
      <w:r w:rsidR="004D6BF5">
        <w:rPr>
          <w:rFonts w:ascii="Times New Roman" w:hAnsi="Times New Roman" w:cs="Times New Roman"/>
          <w:sz w:val="28"/>
          <w:szCs w:val="28"/>
          <w:lang w:val="en-GB"/>
        </w:rPr>
        <w:t xml:space="preserve"> and in the </w:t>
      </w:r>
      <w:r w:rsidR="004D6BF5" w:rsidRPr="004D6BF5">
        <w:rPr>
          <w:rFonts w:ascii="Times New Roman" w:hAnsi="Times New Roman" w:cs="Times New Roman"/>
          <w:b/>
          <w:sz w:val="28"/>
          <w:szCs w:val="28"/>
          <w:lang w:val="en-GB"/>
        </w:rPr>
        <w:t>BNP case</w:t>
      </w:r>
      <w:r w:rsidR="004D6BF5">
        <w:rPr>
          <w:rStyle w:val="FootnoteReference"/>
          <w:rFonts w:ascii="Times New Roman" w:hAnsi="Times New Roman" w:cs="Times New Roman"/>
          <w:b/>
          <w:sz w:val="28"/>
          <w:szCs w:val="28"/>
          <w:lang w:val="en-GB"/>
        </w:rPr>
        <w:footnoteReference w:id="12"/>
      </w:r>
      <w:r w:rsidR="004D6BF5" w:rsidRPr="004D6BF5">
        <w:rPr>
          <w:rFonts w:ascii="Times New Roman" w:hAnsi="Times New Roman" w:cs="Times New Roman"/>
          <w:sz w:val="28"/>
          <w:szCs w:val="28"/>
          <w:lang w:val="en-GB"/>
        </w:rPr>
        <w:t xml:space="preserve">, </w:t>
      </w:r>
      <w:r w:rsidR="004D6BF5">
        <w:rPr>
          <w:rFonts w:ascii="Times New Roman" w:hAnsi="Times New Roman" w:cs="Times New Roman"/>
          <w:sz w:val="28"/>
          <w:szCs w:val="28"/>
          <w:lang w:val="en-GB"/>
        </w:rPr>
        <w:t>Harcourt A.J still in resonance with the history of the adjudication of disputed returns, put</w:t>
      </w:r>
      <w:r w:rsidR="00275FC2">
        <w:rPr>
          <w:rFonts w:ascii="Times New Roman" w:hAnsi="Times New Roman" w:cs="Times New Roman"/>
          <w:sz w:val="28"/>
          <w:szCs w:val="28"/>
          <w:lang w:val="en-GB"/>
        </w:rPr>
        <w:t>s</w:t>
      </w:r>
      <w:r w:rsidR="004D6BF5">
        <w:rPr>
          <w:rFonts w:ascii="Times New Roman" w:hAnsi="Times New Roman" w:cs="Times New Roman"/>
          <w:sz w:val="28"/>
          <w:szCs w:val="28"/>
          <w:lang w:val="en-GB"/>
        </w:rPr>
        <w:t xml:space="preserve"> it thus;</w:t>
      </w:r>
    </w:p>
    <w:p w14:paraId="15D3BD49" w14:textId="0AB60859" w:rsidR="004D6BF5" w:rsidRDefault="004D6BF5" w:rsidP="00754378">
      <w:pPr>
        <w:pStyle w:val="ListParagraph"/>
        <w:spacing w:after="0" w:line="480" w:lineRule="auto"/>
        <w:ind w:left="790"/>
        <w:jc w:val="both"/>
        <w:rPr>
          <w:rFonts w:ascii="Times New Roman" w:hAnsi="Times New Roman" w:cs="Times New Roman"/>
          <w:sz w:val="28"/>
          <w:szCs w:val="28"/>
          <w:lang w:val="en-GB"/>
        </w:rPr>
      </w:pPr>
    </w:p>
    <w:p w14:paraId="046AE287" w14:textId="78E0B5DC" w:rsidR="004D6BF5" w:rsidRPr="004D6BF5" w:rsidRDefault="004D6BF5" w:rsidP="00754378">
      <w:pPr>
        <w:pStyle w:val="ListParagraph"/>
        <w:spacing w:after="0" w:line="48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Pr="004D6BF5">
        <w:rPr>
          <w:rFonts w:ascii="Times New Roman" w:hAnsi="Times New Roman" w:cs="Times New Roman"/>
          <w:i/>
          <w:sz w:val="24"/>
          <w:szCs w:val="24"/>
          <w:lang w:val="en-GB"/>
        </w:rPr>
        <w:t xml:space="preserve">…Legislature, in transferring the supervision of elections from itself to the Courts, must be taken to have granted to the Court </w:t>
      </w:r>
      <w:r w:rsidRPr="004D6BF5">
        <w:rPr>
          <w:rFonts w:ascii="Times New Roman" w:hAnsi="Times New Roman" w:cs="Times New Roman"/>
          <w:i/>
          <w:sz w:val="24"/>
          <w:szCs w:val="24"/>
          <w:lang w:val="en-GB"/>
        </w:rPr>
        <w:lastRenderedPageBreak/>
        <w:t>no more of its jurisdiction than is expressly conferred by the Act</w:t>
      </w:r>
      <w:r>
        <w:rPr>
          <w:rFonts w:ascii="Times New Roman" w:hAnsi="Times New Roman" w:cs="Times New Roman"/>
          <w:i/>
          <w:sz w:val="24"/>
          <w:szCs w:val="24"/>
          <w:lang w:val="en-GB"/>
        </w:rPr>
        <w:t>”</w:t>
      </w:r>
    </w:p>
    <w:p w14:paraId="49EFC193" w14:textId="44C2A06C" w:rsidR="007F12EE" w:rsidRDefault="00754378" w:rsidP="00754378">
      <w:pPr>
        <w:pStyle w:val="ListParagraph"/>
        <w:tabs>
          <w:tab w:val="left" w:pos="2205"/>
        </w:tabs>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tab/>
      </w:r>
    </w:p>
    <w:p w14:paraId="33591162" w14:textId="25A598F0" w:rsidR="007F12EE" w:rsidRDefault="007F12EE"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has been argued for the respondents that the </w:t>
      </w:r>
      <w:r w:rsidR="002E0122">
        <w:rPr>
          <w:rFonts w:ascii="Times New Roman" w:hAnsi="Times New Roman" w:cs="Times New Roman"/>
          <w:sz w:val="28"/>
          <w:szCs w:val="28"/>
          <w:lang w:val="en-GB"/>
        </w:rPr>
        <w:t xml:space="preserve">election </w:t>
      </w:r>
      <w:r>
        <w:rPr>
          <w:rFonts w:ascii="Times New Roman" w:hAnsi="Times New Roman" w:cs="Times New Roman"/>
          <w:sz w:val="28"/>
          <w:szCs w:val="28"/>
          <w:lang w:val="en-GB"/>
        </w:rPr>
        <w:t xml:space="preserve">returns are not disputed and therefore this is not a matter for the court of disputed returns. However, section 125 (c) is clear that allocation of PR seats is the terrain of the High Court under the Electoral Act. This argument </w:t>
      </w:r>
      <w:r w:rsidR="00265DCD">
        <w:rPr>
          <w:rFonts w:ascii="Times New Roman" w:hAnsi="Times New Roman" w:cs="Times New Roman"/>
          <w:sz w:val="28"/>
          <w:szCs w:val="28"/>
          <w:lang w:val="en-GB"/>
        </w:rPr>
        <w:t>therefore stand</w:t>
      </w:r>
      <w:r w:rsidR="002E0122">
        <w:rPr>
          <w:rFonts w:ascii="Times New Roman" w:hAnsi="Times New Roman" w:cs="Times New Roman"/>
          <w:sz w:val="28"/>
          <w:szCs w:val="28"/>
          <w:lang w:val="en-GB"/>
        </w:rPr>
        <w:t>s</w:t>
      </w:r>
      <w:r w:rsidR="00265DCD">
        <w:rPr>
          <w:rFonts w:ascii="Times New Roman" w:hAnsi="Times New Roman" w:cs="Times New Roman"/>
          <w:sz w:val="28"/>
          <w:szCs w:val="28"/>
          <w:lang w:val="en-GB"/>
        </w:rPr>
        <w:t xml:space="preserve"> to be dismissed on that ground alone.</w:t>
      </w:r>
    </w:p>
    <w:p w14:paraId="5CE906A1" w14:textId="77777777" w:rsidR="00027F9F" w:rsidRDefault="00027F9F" w:rsidP="00EC0770">
      <w:pPr>
        <w:pStyle w:val="ListParagraph"/>
        <w:spacing w:line="480" w:lineRule="auto"/>
        <w:ind w:left="790"/>
        <w:jc w:val="both"/>
        <w:rPr>
          <w:rFonts w:ascii="Times New Roman" w:hAnsi="Times New Roman" w:cs="Times New Roman"/>
          <w:sz w:val="28"/>
          <w:szCs w:val="28"/>
          <w:lang w:val="en-GB"/>
        </w:rPr>
      </w:pPr>
    </w:p>
    <w:p w14:paraId="0B9C4F47" w14:textId="02083A4D" w:rsidR="00B63E95" w:rsidRPr="00B63E95" w:rsidRDefault="00B63E95" w:rsidP="00754378">
      <w:pPr>
        <w:spacing w:after="0" w:line="480" w:lineRule="auto"/>
        <w:jc w:val="both"/>
        <w:rPr>
          <w:rFonts w:ascii="Times New Roman" w:hAnsi="Times New Roman" w:cs="Times New Roman"/>
          <w:b/>
          <w:sz w:val="28"/>
          <w:szCs w:val="28"/>
          <w:lang w:val="en-GB"/>
        </w:rPr>
      </w:pPr>
      <w:r w:rsidRPr="00B63E95">
        <w:rPr>
          <w:rFonts w:ascii="Times New Roman" w:hAnsi="Times New Roman" w:cs="Times New Roman"/>
          <w:b/>
          <w:sz w:val="28"/>
          <w:szCs w:val="28"/>
          <w:lang w:val="en-GB"/>
        </w:rPr>
        <w:t>[C] CONCLUSION</w:t>
      </w:r>
    </w:p>
    <w:p w14:paraId="10B1403E" w14:textId="77777777" w:rsidR="00B63E95" w:rsidRDefault="00B63E95" w:rsidP="00754378">
      <w:pPr>
        <w:spacing w:after="0" w:line="480" w:lineRule="auto"/>
        <w:jc w:val="both"/>
        <w:rPr>
          <w:rFonts w:ascii="Times New Roman" w:hAnsi="Times New Roman" w:cs="Times New Roman"/>
          <w:sz w:val="28"/>
          <w:szCs w:val="28"/>
          <w:lang w:val="en-GB"/>
        </w:rPr>
      </w:pPr>
    </w:p>
    <w:p w14:paraId="604615EE" w14:textId="454C505C" w:rsidR="00B63E95" w:rsidRDefault="00027F9F" w:rsidP="004527B2">
      <w:pPr>
        <w:pStyle w:val="ListParagraph"/>
        <w:numPr>
          <w:ilvl w:val="0"/>
          <w:numId w:val="2"/>
        </w:numPr>
        <w:spacing w:after="0" w:line="480" w:lineRule="auto"/>
        <w:ind w:left="587"/>
        <w:jc w:val="both"/>
        <w:rPr>
          <w:rFonts w:ascii="Times New Roman" w:hAnsi="Times New Roman" w:cs="Times New Roman"/>
          <w:sz w:val="28"/>
          <w:szCs w:val="28"/>
          <w:lang w:val="en-GB"/>
        </w:rPr>
      </w:pPr>
      <w:r w:rsidRPr="00B63E95">
        <w:rPr>
          <w:rFonts w:ascii="Times New Roman" w:hAnsi="Times New Roman" w:cs="Times New Roman"/>
          <w:sz w:val="28"/>
          <w:szCs w:val="28"/>
          <w:lang w:val="en-GB"/>
        </w:rPr>
        <w:t>Having come to the conclusion tha</w:t>
      </w:r>
      <w:r w:rsidR="00B63E95">
        <w:rPr>
          <w:rFonts w:ascii="Times New Roman" w:hAnsi="Times New Roman" w:cs="Times New Roman"/>
          <w:sz w:val="28"/>
          <w:szCs w:val="28"/>
          <w:lang w:val="en-GB"/>
        </w:rPr>
        <w:t xml:space="preserve">t section 69 of the Constitution does not necessarily inherently confer constitutional jurisdiction on the High court directly but gives the High Court jurisdiction to hear disputed returns under the Electoral Act and that the determination on the question of allocation of PR seats is catered for under section 125 (c), </w:t>
      </w:r>
      <w:r w:rsidR="00777EE1">
        <w:rPr>
          <w:rFonts w:ascii="Times New Roman" w:hAnsi="Times New Roman" w:cs="Times New Roman"/>
          <w:sz w:val="28"/>
          <w:szCs w:val="28"/>
          <w:lang w:val="en-GB"/>
        </w:rPr>
        <w:t xml:space="preserve">there is no longer need to look into the other issues mentioned in paragraph </w:t>
      </w:r>
      <w:r w:rsidR="00777EE1" w:rsidRPr="00777EE1">
        <w:rPr>
          <w:rFonts w:ascii="Times New Roman" w:hAnsi="Times New Roman" w:cs="Times New Roman"/>
          <w:b/>
          <w:sz w:val="28"/>
          <w:szCs w:val="28"/>
          <w:lang w:val="en-GB"/>
        </w:rPr>
        <w:t>[14]</w:t>
      </w:r>
      <w:r w:rsidR="00777EE1">
        <w:rPr>
          <w:rFonts w:ascii="Times New Roman" w:hAnsi="Times New Roman" w:cs="Times New Roman"/>
          <w:sz w:val="28"/>
          <w:szCs w:val="28"/>
          <w:lang w:val="en-GB"/>
        </w:rPr>
        <w:t xml:space="preserve"> above. For that reason, therefore, </w:t>
      </w:r>
      <w:r w:rsidR="00B63E95">
        <w:rPr>
          <w:rFonts w:ascii="Times New Roman" w:hAnsi="Times New Roman" w:cs="Times New Roman"/>
          <w:sz w:val="28"/>
          <w:szCs w:val="28"/>
          <w:lang w:val="en-GB"/>
        </w:rPr>
        <w:t>the following order is made:</w:t>
      </w:r>
    </w:p>
    <w:p w14:paraId="302AFD63" w14:textId="77777777" w:rsidR="00B63E95" w:rsidRDefault="00B63E95" w:rsidP="00754378">
      <w:pPr>
        <w:pStyle w:val="ListParagraph"/>
        <w:spacing w:after="0" w:line="480" w:lineRule="auto"/>
        <w:ind w:left="790"/>
        <w:jc w:val="both"/>
        <w:rPr>
          <w:rFonts w:ascii="Times New Roman" w:hAnsi="Times New Roman" w:cs="Times New Roman"/>
          <w:sz w:val="28"/>
          <w:szCs w:val="28"/>
          <w:lang w:val="en-GB"/>
        </w:rPr>
      </w:pPr>
    </w:p>
    <w:p w14:paraId="19C80EF1" w14:textId="354695D3" w:rsidR="002168CE" w:rsidRDefault="00B63E95" w:rsidP="00754378">
      <w:pPr>
        <w:pStyle w:val="ListParagraph"/>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matter should not have been instituted by way of Motion Proceedings following the Constitutional </w:t>
      </w:r>
      <w:r w:rsidRPr="00B63E95">
        <w:rPr>
          <w:rFonts w:ascii="Times New Roman" w:hAnsi="Times New Roman" w:cs="Times New Roman"/>
          <w:sz w:val="28"/>
          <w:szCs w:val="28"/>
          <w:lang w:val="en-GB"/>
        </w:rPr>
        <w:t>Litigation</w:t>
      </w:r>
      <w:r>
        <w:rPr>
          <w:rFonts w:ascii="Times New Roman" w:hAnsi="Times New Roman" w:cs="Times New Roman"/>
          <w:sz w:val="28"/>
          <w:szCs w:val="28"/>
          <w:lang w:val="en-GB"/>
        </w:rPr>
        <w:t xml:space="preserve"> Rules. The matter is struck-off the </w:t>
      </w:r>
      <w:r>
        <w:rPr>
          <w:rFonts w:ascii="Times New Roman" w:hAnsi="Times New Roman" w:cs="Times New Roman"/>
          <w:sz w:val="28"/>
          <w:szCs w:val="28"/>
          <w:lang w:val="en-GB"/>
        </w:rPr>
        <w:lastRenderedPageBreak/>
        <w:t xml:space="preserve">roll </w:t>
      </w:r>
      <w:r w:rsidR="002168CE">
        <w:rPr>
          <w:rFonts w:ascii="Times New Roman" w:hAnsi="Times New Roman" w:cs="Times New Roman"/>
          <w:sz w:val="28"/>
          <w:szCs w:val="28"/>
          <w:lang w:val="en-GB"/>
        </w:rPr>
        <w:t xml:space="preserve">of this court sitting in its Constitutional jurisdiction. It is accordingly ordered that </w:t>
      </w:r>
      <w:r>
        <w:rPr>
          <w:rFonts w:ascii="Times New Roman" w:hAnsi="Times New Roman" w:cs="Times New Roman"/>
          <w:sz w:val="28"/>
          <w:szCs w:val="28"/>
          <w:lang w:val="en-GB"/>
        </w:rPr>
        <w:t xml:space="preserve">it is to be instituted under the </w:t>
      </w:r>
      <w:r w:rsidR="00777EE1">
        <w:rPr>
          <w:rFonts w:ascii="Times New Roman" w:hAnsi="Times New Roman" w:cs="Times New Roman"/>
          <w:sz w:val="28"/>
          <w:szCs w:val="28"/>
          <w:lang w:val="en-GB"/>
        </w:rPr>
        <w:t>Electoral</w:t>
      </w:r>
      <w:r>
        <w:rPr>
          <w:rFonts w:ascii="Times New Roman" w:hAnsi="Times New Roman" w:cs="Times New Roman"/>
          <w:sz w:val="28"/>
          <w:szCs w:val="28"/>
          <w:lang w:val="en-GB"/>
        </w:rPr>
        <w:t xml:space="preserve"> Act procedure</w:t>
      </w:r>
      <w:r w:rsidR="006E5500">
        <w:rPr>
          <w:rFonts w:ascii="Times New Roman" w:hAnsi="Times New Roman" w:cs="Times New Roman"/>
          <w:sz w:val="28"/>
          <w:szCs w:val="28"/>
          <w:lang w:val="en-GB"/>
        </w:rPr>
        <w:t xml:space="preserve">. </w:t>
      </w:r>
    </w:p>
    <w:p w14:paraId="21DBF3CE" w14:textId="77777777" w:rsidR="002168CE" w:rsidRDefault="002168CE" w:rsidP="00754378">
      <w:pPr>
        <w:pStyle w:val="ListParagraph"/>
        <w:spacing w:after="0" w:line="480" w:lineRule="auto"/>
        <w:ind w:left="790"/>
        <w:jc w:val="both"/>
        <w:rPr>
          <w:rFonts w:ascii="Times New Roman" w:hAnsi="Times New Roman" w:cs="Times New Roman"/>
          <w:sz w:val="28"/>
          <w:szCs w:val="28"/>
          <w:lang w:val="en-GB"/>
        </w:rPr>
      </w:pPr>
    </w:p>
    <w:p w14:paraId="24BDEFCF" w14:textId="2AF205F9" w:rsidR="00027F9F" w:rsidRDefault="006E5500" w:rsidP="00754378">
      <w:pPr>
        <w:pStyle w:val="ListParagraph"/>
        <w:spacing w:after="0" w:line="480" w:lineRule="auto"/>
        <w:ind w:left="790"/>
        <w:jc w:val="both"/>
        <w:rPr>
          <w:rFonts w:ascii="Times New Roman" w:hAnsi="Times New Roman" w:cs="Times New Roman"/>
          <w:sz w:val="28"/>
          <w:szCs w:val="28"/>
          <w:lang w:val="en-GB"/>
        </w:rPr>
      </w:pPr>
      <w:r>
        <w:rPr>
          <w:rFonts w:ascii="Times New Roman" w:hAnsi="Times New Roman" w:cs="Times New Roman"/>
          <w:sz w:val="28"/>
          <w:szCs w:val="28"/>
          <w:lang w:val="en-GB"/>
        </w:rPr>
        <w:t>There is no order as to costs</w:t>
      </w:r>
    </w:p>
    <w:p w14:paraId="21693DB2" w14:textId="77777777" w:rsidR="00764989" w:rsidRDefault="00764989" w:rsidP="00754378">
      <w:pPr>
        <w:pStyle w:val="ListParagraph"/>
        <w:spacing w:after="0" w:line="480" w:lineRule="auto"/>
        <w:ind w:left="790"/>
        <w:jc w:val="both"/>
        <w:rPr>
          <w:rFonts w:ascii="Times New Roman" w:hAnsi="Times New Roman" w:cs="Times New Roman"/>
          <w:sz w:val="28"/>
          <w:szCs w:val="28"/>
          <w:lang w:val="en-GB"/>
        </w:rPr>
      </w:pPr>
    </w:p>
    <w:p w14:paraId="6C91CC8A" w14:textId="3060CB63" w:rsidR="00764989" w:rsidRDefault="00764989" w:rsidP="00754378">
      <w:pPr>
        <w:pStyle w:val="ListParagraph"/>
        <w:spacing w:after="0" w:line="480" w:lineRule="auto"/>
        <w:ind w:left="790"/>
        <w:jc w:val="both"/>
        <w:rPr>
          <w:rFonts w:ascii="Times New Roman" w:hAnsi="Times New Roman" w:cs="Times New Roman"/>
          <w:sz w:val="28"/>
          <w:szCs w:val="28"/>
          <w:lang w:val="en-GB"/>
        </w:rPr>
      </w:pPr>
    </w:p>
    <w:p w14:paraId="0C67552F" w14:textId="42F79274" w:rsidR="00764989" w:rsidRPr="008F37CD" w:rsidRDefault="00764989" w:rsidP="008F37CD">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_______________________</w:t>
      </w:r>
    </w:p>
    <w:p w14:paraId="4F792C02" w14:textId="5ED75855" w:rsidR="00764989" w:rsidRPr="008F37CD" w:rsidRDefault="00764989" w:rsidP="008F37CD">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M. S. KOPO</w:t>
      </w:r>
    </w:p>
    <w:p w14:paraId="06648D13" w14:textId="5D70944D" w:rsidR="00764989" w:rsidRPr="008F37CD" w:rsidRDefault="00764989" w:rsidP="008F37CD">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JUDGE</w:t>
      </w:r>
    </w:p>
    <w:p w14:paraId="42F6487B" w14:textId="7D476FD8" w:rsidR="00764989" w:rsidRPr="008F37CD" w:rsidRDefault="00764989" w:rsidP="00EC0770">
      <w:pPr>
        <w:pStyle w:val="ListParagraph"/>
        <w:spacing w:line="480" w:lineRule="auto"/>
        <w:ind w:left="790"/>
        <w:jc w:val="center"/>
        <w:rPr>
          <w:rFonts w:ascii="Times New Roman" w:hAnsi="Times New Roman" w:cs="Times New Roman"/>
          <w:b/>
          <w:bCs/>
          <w:sz w:val="28"/>
          <w:szCs w:val="28"/>
          <w:lang w:val="en-GB"/>
        </w:rPr>
      </w:pPr>
    </w:p>
    <w:p w14:paraId="389AB784" w14:textId="7F74029A" w:rsidR="00764989" w:rsidRPr="008F37CD" w:rsidRDefault="00764989" w:rsidP="00A5355C">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I CONCUR_____________________</w:t>
      </w:r>
    </w:p>
    <w:p w14:paraId="2EE6262A" w14:textId="225AE231" w:rsidR="00764989" w:rsidRPr="008F37CD" w:rsidRDefault="00764989" w:rsidP="00A5355C">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M. MAHASE</w:t>
      </w:r>
    </w:p>
    <w:p w14:paraId="13A435D7" w14:textId="10F08C09" w:rsidR="00764989" w:rsidRPr="008F37CD" w:rsidRDefault="00764989" w:rsidP="00A5355C">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 xml:space="preserve">JUDGE </w:t>
      </w:r>
    </w:p>
    <w:p w14:paraId="773902BE" w14:textId="612B2C2E" w:rsidR="00764989" w:rsidRPr="008F37CD" w:rsidRDefault="00764989" w:rsidP="00EC0770">
      <w:pPr>
        <w:pStyle w:val="ListParagraph"/>
        <w:spacing w:line="480" w:lineRule="auto"/>
        <w:ind w:left="790"/>
        <w:jc w:val="center"/>
        <w:rPr>
          <w:rFonts w:ascii="Times New Roman" w:hAnsi="Times New Roman" w:cs="Times New Roman"/>
          <w:b/>
          <w:bCs/>
          <w:sz w:val="28"/>
          <w:szCs w:val="28"/>
          <w:lang w:val="en-GB"/>
        </w:rPr>
      </w:pPr>
    </w:p>
    <w:p w14:paraId="504AD5F9" w14:textId="6F3AD6A9" w:rsidR="00764989" w:rsidRPr="008F37CD" w:rsidRDefault="006E5500" w:rsidP="008F37CD">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 xml:space="preserve">I </w:t>
      </w:r>
      <w:r w:rsidRPr="00A5355C">
        <w:rPr>
          <w:rFonts w:ascii="Times New Roman" w:hAnsi="Times New Roman" w:cs="Times New Roman"/>
          <w:b/>
          <w:bCs/>
          <w:sz w:val="28"/>
          <w:szCs w:val="28"/>
          <w:lang w:val="en-GB"/>
        </w:rPr>
        <w:t>CONCUR</w:t>
      </w:r>
      <w:r w:rsidR="00764989" w:rsidRPr="008F37CD">
        <w:rPr>
          <w:rFonts w:ascii="Times New Roman" w:hAnsi="Times New Roman" w:cs="Times New Roman"/>
          <w:b/>
          <w:bCs/>
          <w:sz w:val="28"/>
          <w:szCs w:val="28"/>
          <w:lang w:val="en-GB"/>
        </w:rPr>
        <w:t>________________________</w:t>
      </w:r>
    </w:p>
    <w:p w14:paraId="4BAA49B7" w14:textId="1A647D55" w:rsidR="00764989" w:rsidRPr="008F37CD" w:rsidRDefault="00764989" w:rsidP="008F37CD">
      <w:pPr>
        <w:pStyle w:val="ListParagraph"/>
        <w:spacing w:after="0"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 xml:space="preserve">M. MAKHETHA </w:t>
      </w:r>
    </w:p>
    <w:p w14:paraId="1C28E5A5" w14:textId="29A7200E" w:rsidR="00764989" w:rsidRDefault="00764989" w:rsidP="008F37CD">
      <w:pPr>
        <w:pStyle w:val="ListParagraph"/>
        <w:spacing w:line="240" w:lineRule="auto"/>
        <w:ind w:left="790"/>
        <w:jc w:val="center"/>
        <w:rPr>
          <w:rFonts w:ascii="Times New Roman" w:hAnsi="Times New Roman" w:cs="Times New Roman"/>
          <w:b/>
          <w:bCs/>
          <w:sz w:val="28"/>
          <w:szCs w:val="28"/>
          <w:lang w:val="en-GB"/>
        </w:rPr>
      </w:pPr>
      <w:r w:rsidRPr="008F37CD">
        <w:rPr>
          <w:rFonts w:ascii="Times New Roman" w:hAnsi="Times New Roman" w:cs="Times New Roman"/>
          <w:b/>
          <w:bCs/>
          <w:sz w:val="28"/>
          <w:szCs w:val="28"/>
          <w:lang w:val="en-GB"/>
        </w:rPr>
        <w:t>JUDGE</w:t>
      </w:r>
    </w:p>
    <w:p w14:paraId="0B857C00" w14:textId="1AF2C759" w:rsidR="005B3EB2" w:rsidRPr="005B3EB2" w:rsidRDefault="005B3EB2" w:rsidP="005B3EB2">
      <w:pPr>
        <w:rPr>
          <w:lang w:val="en-GB"/>
        </w:rPr>
      </w:pPr>
    </w:p>
    <w:p w14:paraId="6ED64F69" w14:textId="2EB1642F" w:rsidR="005B3EB2" w:rsidRDefault="005B3EB2" w:rsidP="005B3EB2">
      <w:pPr>
        <w:rPr>
          <w:rFonts w:ascii="Times New Roman" w:hAnsi="Times New Roman" w:cs="Times New Roman"/>
          <w:b/>
          <w:bCs/>
          <w:sz w:val="28"/>
          <w:szCs w:val="28"/>
          <w:lang w:val="en-GB"/>
        </w:rPr>
      </w:pPr>
    </w:p>
    <w:p w14:paraId="665D2E6C" w14:textId="07520718" w:rsidR="005B3EB2" w:rsidRPr="00A5355C" w:rsidRDefault="005B3EB2" w:rsidP="00A5355C">
      <w:pPr>
        <w:spacing w:line="360" w:lineRule="auto"/>
        <w:rPr>
          <w:rFonts w:ascii="Times New Roman" w:hAnsi="Times New Roman" w:cs="Times New Roman"/>
          <w:b/>
          <w:bCs/>
          <w:sz w:val="28"/>
          <w:szCs w:val="28"/>
          <w:lang w:val="en-GB"/>
        </w:rPr>
      </w:pPr>
      <w:r w:rsidRPr="00A5355C">
        <w:rPr>
          <w:rFonts w:ascii="Times New Roman" w:hAnsi="Times New Roman" w:cs="Times New Roman"/>
          <w:b/>
          <w:bCs/>
          <w:sz w:val="28"/>
          <w:szCs w:val="28"/>
          <w:lang w:val="en-GB"/>
        </w:rPr>
        <w:t>For 1</w:t>
      </w:r>
      <w:r w:rsidRPr="00A5355C">
        <w:rPr>
          <w:rFonts w:ascii="Times New Roman" w:hAnsi="Times New Roman" w:cs="Times New Roman"/>
          <w:b/>
          <w:bCs/>
          <w:sz w:val="28"/>
          <w:szCs w:val="28"/>
          <w:vertAlign w:val="superscript"/>
          <w:lang w:val="en-GB"/>
        </w:rPr>
        <w:t>st</w:t>
      </w:r>
      <w:r w:rsidRPr="00A5355C">
        <w:rPr>
          <w:rFonts w:ascii="Times New Roman" w:hAnsi="Times New Roman" w:cs="Times New Roman"/>
          <w:b/>
          <w:bCs/>
          <w:sz w:val="28"/>
          <w:szCs w:val="28"/>
          <w:lang w:val="en-GB"/>
        </w:rPr>
        <w:t xml:space="preserve"> and 2</w:t>
      </w:r>
      <w:r w:rsidRPr="00A5355C">
        <w:rPr>
          <w:rFonts w:ascii="Times New Roman" w:hAnsi="Times New Roman" w:cs="Times New Roman"/>
          <w:b/>
          <w:bCs/>
          <w:sz w:val="28"/>
          <w:szCs w:val="28"/>
          <w:vertAlign w:val="superscript"/>
          <w:lang w:val="en-GB"/>
        </w:rPr>
        <w:t>nd</w:t>
      </w:r>
      <w:r w:rsidRPr="00A5355C">
        <w:rPr>
          <w:rFonts w:ascii="Times New Roman" w:hAnsi="Times New Roman" w:cs="Times New Roman"/>
          <w:b/>
          <w:bCs/>
          <w:sz w:val="28"/>
          <w:szCs w:val="28"/>
          <w:lang w:val="en-GB"/>
        </w:rPr>
        <w:t xml:space="preserve"> Applicants: </w:t>
      </w:r>
      <w:r w:rsidR="00A5355C">
        <w:rPr>
          <w:rFonts w:ascii="Times New Roman" w:hAnsi="Times New Roman" w:cs="Times New Roman"/>
          <w:b/>
          <w:bCs/>
          <w:sz w:val="28"/>
          <w:szCs w:val="28"/>
          <w:lang w:val="en-GB"/>
        </w:rPr>
        <w:tab/>
      </w:r>
      <w:r w:rsidRPr="00A5355C">
        <w:rPr>
          <w:rFonts w:ascii="Times New Roman" w:hAnsi="Times New Roman" w:cs="Times New Roman"/>
          <w:b/>
          <w:bCs/>
          <w:sz w:val="28"/>
          <w:szCs w:val="28"/>
          <w:lang w:val="en-GB"/>
        </w:rPr>
        <w:t xml:space="preserve">Adv. </w:t>
      </w:r>
      <w:proofErr w:type="spellStart"/>
      <w:r w:rsidRPr="00A5355C">
        <w:rPr>
          <w:rFonts w:ascii="Times New Roman" w:hAnsi="Times New Roman" w:cs="Times New Roman"/>
          <w:b/>
          <w:bCs/>
          <w:sz w:val="28"/>
          <w:szCs w:val="28"/>
          <w:lang w:val="en-GB"/>
        </w:rPr>
        <w:t>Letuka</w:t>
      </w:r>
      <w:proofErr w:type="spellEnd"/>
      <w:r w:rsidRPr="00A5355C">
        <w:rPr>
          <w:rFonts w:ascii="Times New Roman" w:hAnsi="Times New Roman" w:cs="Times New Roman"/>
          <w:b/>
          <w:bCs/>
          <w:sz w:val="28"/>
          <w:szCs w:val="28"/>
          <w:lang w:val="en-GB"/>
        </w:rPr>
        <w:t xml:space="preserve"> </w:t>
      </w:r>
    </w:p>
    <w:p w14:paraId="1C3994E9" w14:textId="70E6D611" w:rsidR="005B3EB2" w:rsidRPr="00A5355C" w:rsidRDefault="005B3EB2" w:rsidP="00A5355C">
      <w:pPr>
        <w:spacing w:line="360" w:lineRule="auto"/>
        <w:rPr>
          <w:rFonts w:ascii="Times New Roman" w:hAnsi="Times New Roman" w:cs="Times New Roman"/>
          <w:b/>
          <w:bCs/>
          <w:sz w:val="28"/>
          <w:szCs w:val="28"/>
          <w:lang w:val="en-GB"/>
        </w:rPr>
      </w:pPr>
      <w:r w:rsidRPr="00A5355C">
        <w:rPr>
          <w:rFonts w:ascii="Times New Roman" w:hAnsi="Times New Roman" w:cs="Times New Roman"/>
          <w:b/>
          <w:bCs/>
          <w:sz w:val="28"/>
          <w:szCs w:val="28"/>
          <w:lang w:val="en-GB"/>
        </w:rPr>
        <w:t>For 3</w:t>
      </w:r>
      <w:r w:rsidRPr="00A5355C">
        <w:rPr>
          <w:rFonts w:ascii="Times New Roman" w:hAnsi="Times New Roman" w:cs="Times New Roman"/>
          <w:b/>
          <w:bCs/>
          <w:sz w:val="28"/>
          <w:szCs w:val="28"/>
          <w:vertAlign w:val="superscript"/>
          <w:lang w:val="en-GB"/>
        </w:rPr>
        <w:t>rd</w:t>
      </w:r>
      <w:r w:rsidRPr="00A5355C">
        <w:rPr>
          <w:rFonts w:ascii="Times New Roman" w:hAnsi="Times New Roman" w:cs="Times New Roman"/>
          <w:b/>
          <w:bCs/>
          <w:sz w:val="28"/>
          <w:szCs w:val="28"/>
          <w:lang w:val="en-GB"/>
        </w:rPr>
        <w:t xml:space="preserve"> and 5</w:t>
      </w:r>
      <w:r w:rsidRPr="00A5355C">
        <w:rPr>
          <w:rFonts w:ascii="Times New Roman" w:hAnsi="Times New Roman" w:cs="Times New Roman"/>
          <w:b/>
          <w:bCs/>
          <w:sz w:val="28"/>
          <w:szCs w:val="28"/>
          <w:vertAlign w:val="superscript"/>
          <w:lang w:val="en-GB"/>
        </w:rPr>
        <w:t>th</w:t>
      </w:r>
      <w:r w:rsidRPr="00A5355C">
        <w:rPr>
          <w:rFonts w:ascii="Times New Roman" w:hAnsi="Times New Roman" w:cs="Times New Roman"/>
          <w:b/>
          <w:bCs/>
          <w:sz w:val="28"/>
          <w:szCs w:val="28"/>
          <w:lang w:val="en-GB"/>
        </w:rPr>
        <w:t xml:space="preserve"> </w:t>
      </w:r>
      <w:r w:rsidR="00285DBE" w:rsidRPr="00A5355C">
        <w:rPr>
          <w:rFonts w:ascii="Times New Roman" w:hAnsi="Times New Roman" w:cs="Times New Roman"/>
          <w:b/>
          <w:bCs/>
          <w:sz w:val="28"/>
          <w:szCs w:val="28"/>
          <w:lang w:val="en-GB"/>
        </w:rPr>
        <w:t>Applicants</w:t>
      </w:r>
      <w:r w:rsidRPr="00A5355C">
        <w:rPr>
          <w:rFonts w:ascii="Times New Roman" w:hAnsi="Times New Roman" w:cs="Times New Roman"/>
          <w:b/>
          <w:bCs/>
          <w:sz w:val="28"/>
          <w:szCs w:val="28"/>
          <w:lang w:val="en-GB"/>
        </w:rPr>
        <w:t xml:space="preserve">: </w:t>
      </w:r>
      <w:r w:rsidR="00A5355C">
        <w:rPr>
          <w:rFonts w:ascii="Times New Roman" w:hAnsi="Times New Roman" w:cs="Times New Roman"/>
          <w:b/>
          <w:bCs/>
          <w:sz w:val="28"/>
          <w:szCs w:val="28"/>
          <w:lang w:val="en-GB"/>
        </w:rPr>
        <w:tab/>
      </w:r>
      <w:r w:rsidRPr="00A5355C">
        <w:rPr>
          <w:rFonts w:ascii="Times New Roman" w:hAnsi="Times New Roman" w:cs="Times New Roman"/>
          <w:b/>
          <w:bCs/>
          <w:sz w:val="28"/>
          <w:szCs w:val="28"/>
          <w:lang w:val="en-GB"/>
        </w:rPr>
        <w:t xml:space="preserve">Adv. </w:t>
      </w:r>
      <w:proofErr w:type="spellStart"/>
      <w:r w:rsidRPr="00A5355C">
        <w:rPr>
          <w:rFonts w:ascii="Times New Roman" w:hAnsi="Times New Roman" w:cs="Times New Roman"/>
          <w:b/>
          <w:bCs/>
          <w:sz w:val="28"/>
          <w:szCs w:val="28"/>
          <w:lang w:val="en-GB"/>
        </w:rPr>
        <w:t>Lephuthing</w:t>
      </w:r>
      <w:proofErr w:type="spellEnd"/>
    </w:p>
    <w:p w14:paraId="3915D86B" w14:textId="62AF4CC6" w:rsidR="005B3EB2" w:rsidRPr="00A5355C" w:rsidRDefault="005B3EB2" w:rsidP="00A5355C">
      <w:pPr>
        <w:spacing w:line="360" w:lineRule="auto"/>
        <w:rPr>
          <w:rFonts w:ascii="Times New Roman" w:hAnsi="Times New Roman" w:cs="Times New Roman"/>
          <w:b/>
          <w:bCs/>
          <w:sz w:val="28"/>
          <w:szCs w:val="28"/>
          <w:lang w:val="en-GB"/>
        </w:rPr>
      </w:pPr>
      <w:r w:rsidRPr="00A5355C">
        <w:rPr>
          <w:rFonts w:ascii="Times New Roman" w:hAnsi="Times New Roman" w:cs="Times New Roman"/>
          <w:b/>
          <w:bCs/>
          <w:sz w:val="28"/>
          <w:szCs w:val="28"/>
          <w:lang w:val="en-GB"/>
        </w:rPr>
        <w:t>For 4</w:t>
      </w:r>
      <w:r w:rsidRPr="00A5355C">
        <w:rPr>
          <w:rFonts w:ascii="Times New Roman" w:hAnsi="Times New Roman" w:cs="Times New Roman"/>
          <w:b/>
          <w:bCs/>
          <w:sz w:val="28"/>
          <w:szCs w:val="28"/>
          <w:vertAlign w:val="superscript"/>
          <w:lang w:val="en-GB"/>
        </w:rPr>
        <w:t>th</w:t>
      </w:r>
      <w:r w:rsidRPr="00A5355C">
        <w:rPr>
          <w:rFonts w:ascii="Times New Roman" w:hAnsi="Times New Roman" w:cs="Times New Roman"/>
          <w:b/>
          <w:bCs/>
          <w:sz w:val="28"/>
          <w:szCs w:val="28"/>
          <w:lang w:val="en-GB"/>
        </w:rPr>
        <w:t xml:space="preserve"> and 6</w:t>
      </w:r>
      <w:r w:rsidRPr="00A5355C">
        <w:rPr>
          <w:rFonts w:ascii="Times New Roman" w:hAnsi="Times New Roman" w:cs="Times New Roman"/>
          <w:b/>
          <w:bCs/>
          <w:sz w:val="28"/>
          <w:szCs w:val="28"/>
          <w:vertAlign w:val="superscript"/>
          <w:lang w:val="en-GB"/>
        </w:rPr>
        <w:t>th</w:t>
      </w:r>
      <w:r w:rsidRPr="00A5355C">
        <w:rPr>
          <w:rFonts w:ascii="Times New Roman" w:hAnsi="Times New Roman" w:cs="Times New Roman"/>
          <w:b/>
          <w:bCs/>
          <w:sz w:val="28"/>
          <w:szCs w:val="28"/>
          <w:lang w:val="en-GB"/>
        </w:rPr>
        <w:t xml:space="preserve"> Applicants</w:t>
      </w:r>
      <w:r w:rsidR="00285DBE" w:rsidRPr="00A5355C">
        <w:rPr>
          <w:rFonts w:ascii="Times New Roman" w:hAnsi="Times New Roman" w:cs="Times New Roman"/>
          <w:b/>
          <w:bCs/>
          <w:sz w:val="28"/>
          <w:szCs w:val="28"/>
          <w:lang w:val="en-GB"/>
        </w:rPr>
        <w:t>:</w:t>
      </w:r>
      <w:r w:rsidR="00A5355C">
        <w:rPr>
          <w:rFonts w:ascii="Times New Roman" w:hAnsi="Times New Roman" w:cs="Times New Roman"/>
          <w:b/>
          <w:bCs/>
          <w:sz w:val="28"/>
          <w:szCs w:val="28"/>
          <w:lang w:val="en-GB"/>
        </w:rPr>
        <w:tab/>
      </w:r>
      <w:r w:rsidR="00285DBE" w:rsidRPr="00A5355C">
        <w:rPr>
          <w:rFonts w:ascii="Times New Roman" w:hAnsi="Times New Roman" w:cs="Times New Roman"/>
          <w:b/>
          <w:bCs/>
          <w:sz w:val="28"/>
          <w:szCs w:val="28"/>
          <w:lang w:val="en-GB"/>
        </w:rPr>
        <w:t xml:space="preserve"> Mr. </w:t>
      </w:r>
      <w:proofErr w:type="spellStart"/>
      <w:r w:rsidR="00285DBE" w:rsidRPr="00A5355C">
        <w:rPr>
          <w:rFonts w:ascii="Times New Roman" w:hAnsi="Times New Roman" w:cs="Times New Roman"/>
          <w:b/>
          <w:bCs/>
          <w:sz w:val="28"/>
          <w:szCs w:val="28"/>
          <w:lang w:val="en-GB"/>
        </w:rPr>
        <w:t>Rasekoai</w:t>
      </w:r>
      <w:proofErr w:type="spellEnd"/>
    </w:p>
    <w:p w14:paraId="11579CB1" w14:textId="7A2138D8" w:rsidR="00285DBE" w:rsidRPr="00A5355C" w:rsidRDefault="00285DBE" w:rsidP="00A5355C">
      <w:pPr>
        <w:spacing w:line="360" w:lineRule="auto"/>
        <w:rPr>
          <w:rFonts w:ascii="Times New Roman" w:hAnsi="Times New Roman" w:cs="Times New Roman"/>
          <w:b/>
          <w:bCs/>
          <w:sz w:val="28"/>
          <w:szCs w:val="28"/>
          <w:lang w:val="en-GB"/>
        </w:rPr>
      </w:pPr>
      <w:r w:rsidRPr="00A5355C">
        <w:rPr>
          <w:rFonts w:ascii="Times New Roman" w:hAnsi="Times New Roman" w:cs="Times New Roman"/>
          <w:b/>
          <w:bCs/>
          <w:sz w:val="28"/>
          <w:szCs w:val="28"/>
          <w:lang w:val="en-GB"/>
        </w:rPr>
        <w:t>For 4</w:t>
      </w:r>
      <w:r w:rsidRPr="00A5355C">
        <w:rPr>
          <w:rFonts w:ascii="Times New Roman" w:hAnsi="Times New Roman" w:cs="Times New Roman"/>
          <w:b/>
          <w:bCs/>
          <w:sz w:val="28"/>
          <w:szCs w:val="28"/>
          <w:vertAlign w:val="superscript"/>
          <w:lang w:val="en-GB"/>
        </w:rPr>
        <w:t>th</w:t>
      </w:r>
      <w:r w:rsidRPr="00A5355C">
        <w:rPr>
          <w:rFonts w:ascii="Times New Roman" w:hAnsi="Times New Roman" w:cs="Times New Roman"/>
          <w:b/>
          <w:bCs/>
          <w:sz w:val="28"/>
          <w:szCs w:val="28"/>
          <w:lang w:val="en-GB"/>
        </w:rPr>
        <w:t xml:space="preserve"> Respondent: Adv. </w:t>
      </w:r>
      <w:r w:rsidR="00A5355C">
        <w:rPr>
          <w:rFonts w:ascii="Times New Roman" w:hAnsi="Times New Roman" w:cs="Times New Roman"/>
          <w:b/>
          <w:bCs/>
          <w:sz w:val="28"/>
          <w:szCs w:val="28"/>
          <w:lang w:val="en-GB"/>
        </w:rPr>
        <w:tab/>
      </w:r>
      <w:r w:rsidRPr="00A5355C">
        <w:rPr>
          <w:rFonts w:ascii="Times New Roman" w:hAnsi="Times New Roman" w:cs="Times New Roman"/>
          <w:b/>
          <w:bCs/>
          <w:sz w:val="28"/>
          <w:szCs w:val="28"/>
          <w:lang w:val="en-GB"/>
        </w:rPr>
        <w:t>Teele KC</w:t>
      </w:r>
    </w:p>
    <w:p w14:paraId="648EA5DC" w14:textId="246A0AA5" w:rsidR="00285DBE" w:rsidRDefault="00285DBE" w:rsidP="00A5355C">
      <w:pPr>
        <w:spacing w:line="360" w:lineRule="auto"/>
        <w:rPr>
          <w:rFonts w:ascii="Times New Roman" w:hAnsi="Times New Roman" w:cs="Times New Roman"/>
          <w:b/>
          <w:bCs/>
          <w:sz w:val="28"/>
          <w:szCs w:val="28"/>
          <w:lang w:val="en-GB"/>
        </w:rPr>
      </w:pPr>
      <w:r w:rsidRPr="00A5355C">
        <w:rPr>
          <w:rFonts w:ascii="Times New Roman" w:hAnsi="Times New Roman" w:cs="Times New Roman"/>
          <w:b/>
          <w:bCs/>
          <w:sz w:val="28"/>
          <w:szCs w:val="28"/>
          <w:lang w:val="en-GB"/>
        </w:rPr>
        <w:t xml:space="preserve">For </w:t>
      </w:r>
      <w:r w:rsidR="00A5355C" w:rsidRPr="00A5355C">
        <w:rPr>
          <w:rFonts w:ascii="Times New Roman" w:hAnsi="Times New Roman" w:cs="Times New Roman"/>
          <w:b/>
          <w:bCs/>
          <w:sz w:val="28"/>
          <w:szCs w:val="28"/>
          <w:lang w:val="en-GB"/>
        </w:rPr>
        <w:t>13</w:t>
      </w:r>
      <w:r w:rsidR="00A5355C" w:rsidRPr="00A5355C">
        <w:rPr>
          <w:rFonts w:ascii="Times New Roman" w:hAnsi="Times New Roman" w:cs="Times New Roman"/>
          <w:b/>
          <w:bCs/>
          <w:sz w:val="28"/>
          <w:szCs w:val="28"/>
          <w:vertAlign w:val="superscript"/>
          <w:lang w:val="en-GB"/>
        </w:rPr>
        <w:t>th</w:t>
      </w:r>
      <w:r w:rsidR="00A5355C" w:rsidRPr="00A5355C">
        <w:rPr>
          <w:rFonts w:ascii="Times New Roman" w:hAnsi="Times New Roman" w:cs="Times New Roman"/>
          <w:b/>
          <w:bCs/>
          <w:sz w:val="28"/>
          <w:szCs w:val="28"/>
          <w:lang w:val="en-GB"/>
        </w:rPr>
        <w:t xml:space="preserve"> Respondent: </w:t>
      </w:r>
      <w:r w:rsidR="00A5355C">
        <w:rPr>
          <w:rFonts w:ascii="Times New Roman" w:hAnsi="Times New Roman" w:cs="Times New Roman"/>
          <w:b/>
          <w:bCs/>
          <w:sz w:val="28"/>
          <w:szCs w:val="28"/>
          <w:lang w:val="en-GB"/>
        </w:rPr>
        <w:tab/>
      </w:r>
      <w:r w:rsidR="00A5355C">
        <w:rPr>
          <w:rFonts w:ascii="Times New Roman" w:hAnsi="Times New Roman" w:cs="Times New Roman"/>
          <w:b/>
          <w:bCs/>
          <w:sz w:val="28"/>
          <w:szCs w:val="28"/>
          <w:lang w:val="en-GB"/>
        </w:rPr>
        <w:tab/>
      </w:r>
      <w:r w:rsidR="00A5355C" w:rsidRPr="00A5355C">
        <w:rPr>
          <w:rFonts w:ascii="Times New Roman" w:hAnsi="Times New Roman" w:cs="Times New Roman"/>
          <w:b/>
          <w:bCs/>
          <w:sz w:val="28"/>
          <w:szCs w:val="28"/>
          <w:lang w:val="en-GB"/>
        </w:rPr>
        <w:t xml:space="preserve">Adv. </w:t>
      </w:r>
      <w:proofErr w:type="spellStart"/>
      <w:r w:rsidR="00A5355C" w:rsidRPr="00A5355C">
        <w:rPr>
          <w:rFonts w:ascii="Times New Roman" w:hAnsi="Times New Roman" w:cs="Times New Roman"/>
          <w:b/>
          <w:bCs/>
          <w:sz w:val="28"/>
          <w:szCs w:val="28"/>
          <w:lang w:val="en-GB"/>
        </w:rPr>
        <w:t>Molati</w:t>
      </w:r>
      <w:proofErr w:type="spellEnd"/>
    </w:p>
    <w:p w14:paraId="132714F7" w14:textId="5D5C03F9" w:rsidR="00A5355C" w:rsidRPr="00A5355C" w:rsidRDefault="00A5355C" w:rsidP="00A5355C">
      <w:pPr>
        <w:tabs>
          <w:tab w:val="left" w:pos="6990"/>
        </w:tabs>
        <w:rPr>
          <w:rFonts w:ascii="Times New Roman" w:hAnsi="Times New Roman" w:cs="Times New Roman"/>
          <w:sz w:val="28"/>
          <w:szCs w:val="28"/>
          <w:lang w:val="en-GB"/>
        </w:rPr>
      </w:pPr>
      <w:r>
        <w:rPr>
          <w:rFonts w:ascii="Times New Roman" w:hAnsi="Times New Roman" w:cs="Times New Roman"/>
          <w:sz w:val="28"/>
          <w:szCs w:val="28"/>
          <w:lang w:val="en-GB"/>
        </w:rPr>
        <w:tab/>
      </w:r>
    </w:p>
    <w:sectPr w:rsidR="00A5355C" w:rsidRPr="00A5355C" w:rsidSect="00C67F1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808D" w14:textId="77777777" w:rsidR="0075258A" w:rsidRDefault="0075258A" w:rsidP="00841BD7">
      <w:pPr>
        <w:spacing w:after="0" w:line="240" w:lineRule="auto"/>
      </w:pPr>
      <w:r>
        <w:separator/>
      </w:r>
    </w:p>
  </w:endnote>
  <w:endnote w:type="continuationSeparator" w:id="0">
    <w:p w14:paraId="7DCFD1FF" w14:textId="77777777" w:rsidR="0075258A" w:rsidRDefault="0075258A" w:rsidP="0084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79841"/>
      <w:docPartObj>
        <w:docPartGallery w:val="Page Numbers (Bottom of Page)"/>
        <w:docPartUnique/>
      </w:docPartObj>
    </w:sdtPr>
    <w:sdtEndPr>
      <w:rPr>
        <w:noProof/>
      </w:rPr>
    </w:sdtEndPr>
    <w:sdtContent>
      <w:p w14:paraId="2FF413D2" w14:textId="1063E24E" w:rsidR="00C67F10" w:rsidRDefault="00C67F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3803C" w14:textId="77777777" w:rsidR="00C67F10" w:rsidRDefault="00C6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5A9A" w14:textId="77777777" w:rsidR="0075258A" w:rsidRDefault="0075258A" w:rsidP="00841BD7">
      <w:pPr>
        <w:spacing w:after="0" w:line="240" w:lineRule="auto"/>
      </w:pPr>
      <w:r>
        <w:separator/>
      </w:r>
    </w:p>
  </w:footnote>
  <w:footnote w:type="continuationSeparator" w:id="0">
    <w:p w14:paraId="22383656" w14:textId="77777777" w:rsidR="0075258A" w:rsidRDefault="0075258A" w:rsidP="00841BD7">
      <w:pPr>
        <w:spacing w:after="0" w:line="240" w:lineRule="auto"/>
      </w:pPr>
      <w:r>
        <w:continuationSeparator/>
      </w:r>
    </w:p>
  </w:footnote>
  <w:footnote w:id="1">
    <w:p w14:paraId="63023E7A" w14:textId="03C5C37E" w:rsidR="00230D39" w:rsidRPr="00841BD7" w:rsidRDefault="00230D39">
      <w:pPr>
        <w:pStyle w:val="FootnoteText"/>
        <w:rPr>
          <w:lang w:val="en-GB"/>
        </w:rPr>
      </w:pPr>
      <w:r>
        <w:rPr>
          <w:rStyle w:val="FootnoteReference"/>
        </w:rPr>
        <w:footnoteRef/>
      </w:r>
      <w:r>
        <w:t xml:space="preserve"> </w:t>
      </w:r>
      <w:r>
        <w:rPr>
          <w:lang w:val="en-GB"/>
        </w:rPr>
        <w:t>Legal Notice No. 100 of 2022</w:t>
      </w:r>
    </w:p>
  </w:footnote>
  <w:footnote w:id="2">
    <w:p w14:paraId="75364E5A" w14:textId="0F816D9D" w:rsidR="00230D39" w:rsidRPr="00841BD7" w:rsidRDefault="00230D39">
      <w:pPr>
        <w:pStyle w:val="FootnoteText"/>
        <w:rPr>
          <w:lang w:val="en-GB"/>
        </w:rPr>
      </w:pPr>
      <w:r>
        <w:rPr>
          <w:rStyle w:val="FootnoteReference"/>
        </w:rPr>
        <w:footnoteRef/>
      </w:r>
      <w:r>
        <w:t xml:space="preserve"> </w:t>
      </w:r>
      <w:r>
        <w:rPr>
          <w:lang w:val="en-GB"/>
        </w:rPr>
        <w:t>Act No. 14 of 2011</w:t>
      </w:r>
    </w:p>
  </w:footnote>
  <w:footnote w:id="3">
    <w:p w14:paraId="069066DC" w14:textId="184B893C" w:rsidR="00230D39" w:rsidRPr="00B038AB" w:rsidRDefault="00230D39">
      <w:pPr>
        <w:pStyle w:val="FootnoteText"/>
        <w:rPr>
          <w:lang w:val="en-GB"/>
        </w:rPr>
      </w:pPr>
      <w:r>
        <w:rPr>
          <w:rStyle w:val="FootnoteReference"/>
        </w:rPr>
        <w:footnoteRef/>
      </w:r>
      <w:r>
        <w:t xml:space="preserve"> </w:t>
      </w:r>
      <w:r>
        <w:rPr>
          <w:lang w:val="en-GB"/>
        </w:rPr>
        <w:t xml:space="preserve">The Constitution of Lesotho </w:t>
      </w:r>
    </w:p>
  </w:footnote>
  <w:footnote w:id="4">
    <w:p w14:paraId="2F84AD15" w14:textId="48C73398" w:rsidR="00230D39" w:rsidRPr="00BE49A4" w:rsidRDefault="00230D39">
      <w:pPr>
        <w:pStyle w:val="FootnoteText"/>
        <w:rPr>
          <w:lang w:val="en-GB"/>
        </w:rPr>
      </w:pPr>
      <w:r>
        <w:rPr>
          <w:rStyle w:val="FootnoteReference"/>
        </w:rPr>
        <w:footnoteRef/>
      </w:r>
      <w:r>
        <w:t xml:space="preserve"> </w:t>
      </w:r>
      <w:r>
        <w:rPr>
          <w:lang w:val="en-GB"/>
        </w:rPr>
        <w:t>Legal Notice No. 194 of 2000</w:t>
      </w:r>
    </w:p>
  </w:footnote>
  <w:footnote w:id="5">
    <w:p w14:paraId="4A35913B" w14:textId="1DD3216D" w:rsidR="00230D39" w:rsidRPr="000E4461" w:rsidRDefault="00230D39">
      <w:pPr>
        <w:pStyle w:val="FootnoteText"/>
        <w:rPr>
          <w:lang w:val="en-GB"/>
        </w:rPr>
      </w:pPr>
      <w:r>
        <w:rPr>
          <w:rStyle w:val="FootnoteReference"/>
        </w:rPr>
        <w:footnoteRef/>
      </w:r>
      <w:r>
        <w:t xml:space="preserve"> </w:t>
      </w:r>
      <w:r>
        <w:rPr>
          <w:lang w:val="en-GB"/>
        </w:rPr>
        <w:t>Act No. 15 of 2000</w:t>
      </w:r>
    </w:p>
  </w:footnote>
  <w:footnote w:id="6">
    <w:p w14:paraId="661DCD42" w14:textId="053B22F9" w:rsidR="00230D39" w:rsidRPr="00314FC1" w:rsidRDefault="00230D39">
      <w:pPr>
        <w:pStyle w:val="FootnoteText"/>
        <w:rPr>
          <w:lang w:val="en-GB"/>
        </w:rPr>
      </w:pPr>
      <w:r>
        <w:rPr>
          <w:rStyle w:val="FootnoteReference"/>
        </w:rPr>
        <w:footnoteRef/>
      </w:r>
      <w:r>
        <w:t xml:space="preserve"> </w:t>
      </w:r>
      <w:bookmarkStart w:id="6" w:name="_Hlk120461400"/>
      <w:r>
        <w:rPr>
          <w:lang w:val="en-GB"/>
        </w:rPr>
        <w:t>CIV/APN/240/93</w:t>
      </w:r>
      <w:bookmarkEnd w:id="6"/>
    </w:p>
  </w:footnote>
  <w:footnote w:id="7">
    <w:p w14:paraId="33B54EA0" w14:textId="0DF575F6" w:rsidR="00230D39" w:rsidRPr="00660DC8" w:rsidRDefault="00230D39">
      <w:pPr>
        <w:pStyle w:val="FootnoteText"/>
        <w:rPr>
          <w:lang w:val="en-GB"/>
        </w:rPr>
      </w:pPr>
      <w:r>
        <w:rPr>
          <w:rStyle w:val="FootnoteReference"/>
        </w:rPr>
        <w:footnoteRef/>
      </w:r>
      <w:r>
        <w:t xml:space="preserve"> </w:t>
      </w:r>
      <w:hyperlink r:id="rId1" w:history="1">
        <w:r w:rsidRPr="00413C7F">
          <w:rPr>
            <w:rStyle w:val="Hyperlink"/>
          </w:rPr>
          <w:t>https://www.eisa.org/pdf/JAE17.2Nyane.pdf</w:t>
        </w:r>
      </w:hyperlink>
      <w:r>
        <w:rPr>
          <w:lang w:val="en-GB"/>
        </w:rPr>
        <w:t xml:space="preserve"> </w:t>
      </w:r>
    </w:p>
  </w:footnote>
  <w:footnote w:id="8">
    <w:p w14:paraId="1601BBDB" w14:textId="6ADBE943" w:rsidR="00230D39" w:rsidRPr="00314FC1" w:rsidRDefault="00230D39">
      <w:pPr>
        <w:pStyle w:val="FootnoteText"/>
        <w:rPr>
          <w:lang w:val="en-GB"/>
        </w:rPr>
      </w:pPr>
      <w:r>
        <w:rPr>
          <w:rStyle w:val="FootnoteReference"/>
        </w:rPr>
        <w:footnoteRef/>
      </w:r>
      <w:r>
        <w:t xml:space="preserve"> </w:t>
      </w:r>
      <w:r>
        <w:rPr>
          <w:lang w:val="en-GB"/>
        </w:rPr>
        <w:t>Supra</w:t>
      </w:r>
    </w:p>
  </w:footnote>
  <w:footnote w:id="9">
    <w:p w14:paraId="3F2EC203" w14:textId="2ACBDD8E" w:rsidR="00764989" w:rsidRPr="00764989" w:rsidRDefault="00764989">
      <w:pPr>
        <w:pStyle w:val="FootnoteText"/>
        <w:rPr>
          <w:lang w:val="en-GB"/>
        </w:rPr>
      </w:pPr>
      <w:r>
        <w:rPr>
          <w:rStyle w:val="FootnoteReference"/>
        </w:rPr>
        <w:footnoteRef/>
      </w:r>
      <w:r>
        <w:t xml:space="preserve"> </w:t>
      </w:r>
      <w:r>
        <w:rPr>
          <w:lang w:val="en-GB"/>
        </w:rPr>
        <w:t>(1930) AD 426</w:t>
      </w:r>
    </w:p>
  </w:footnote>
  <w:footnote w:id="10">
    <w:p w14:paraId="7EB6C173" w14:textId="56E4B095" w:rsidR="00230D39" w:rsidRPr="004D6BF5" w:rsidRDefault="00230D39">
      <w:pPr>
        <w:pStyle w:val="FootnoteText"/>
        <w:rPr>
          <w:lang w:val="en-GB"/>
        </w:rPr>
      </w:pPr>
      <w:r>
        <w:rPr>
          <w:rStyle w:val="FootnoteReference"/>
        </w:rPr>
        <w:footnoteRef/>
      </w:r>
      <w:r>
        <w:t xml:space="preserve"> </w:t>
      </w:r>
      <w:r>
        <w:rPr>
          <w:lang w:val="en-GB"/>
        </w:rPr>
        <w:t>1959 (3) SA 351</w:t>
      </w:r>
    </w:p>
  </w:footnote>
  <w:footnote w:id="11">
    <w:p w14:paraId="5FEC65F7" w14:textId="2BEB5E7C" w:rsidR="00230D39" w:rsidRPr="004D6BF5" w:rsidRDefault="00230D39">
      <w:pPr>
        <w:pStyle w:val="FootnoteText"/>
        <w:rPr>
          <w:lang w:val="en-GB"/>
        </w:rPr>
      </w:pPr>
      <w:r>
        <w:rPr>
          <w:rStyle w:val="FootnoteReference"/>
        </w:rPr>
        <w:footnoteRef/>
      </w:r>
      <w:r>
        <w:t xml:space="preserve"> </w:t>
      </w:r>
      <w:r>
        <w:rPr>
          <w:lang w:val="en-GB"/>
        </w:rPr>
        <w:t>CIV/APN/63/89</w:t>
      </w:r>
    </w:p>
  </w:footnote>
  <w:footnote w:id="12">
    <w:p w14:paraId="6554DF28" w14:textId="11F510B6" w:rsidR="00230D39" w:rsidRPr="004D6BF5" w:rsidRDefault="00230D39">
      <w:pPr>
        <w:pStyle w:val="FootnoteText"/>
        <w:rPr>
          <w:lang w:val="en-GB"/>
        </w:rPr>
      </w:pPr>
      <w:r>
        <w:rPr>
          <w:rStyle w:val="FootnoteReference"/>
        </w:rPr>
        <w:footnoteRef/>
      </w:r>
      <w:r>
        <w:t xml:space="preserve"> </w:t>
      </w:r>
      <w:r>
        <w:rPr>
          <w:lang w:val="en-GB"/>
        </w:rPr>
        <w:t>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8F2"/>
    <w:multiLevelType w:val="hybridMultilevel"/>
    <w:tmpl w:val="4FC6B0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F0642D6"/>
    <w:multiLevelType w:val="hybridMultilevel"/>
    <w:tmpl w:val="9C3E973C"/>
    <w:lvl w:ilvl="0" w:tplc="EAF67DF0">
      <w:start w:val="1"/>
      <w:numFmt w:val="decimal"/>
      <w:lvlText w:val="%1"/>
      <w:lvlJc w:val="left"/>
      <w:pPr>
        <w:ind w:left="1510" w:hanging="360"/>
      </w:pPr>
      <w:rPr>
        <w:rFonts w:hint="default"/>
      </w:rPr>
    </w:lvl>
    <w:lvl w:ilvl="1" w:tplc="20000017">
      <w:start w:val="1"/>
      <w:numFmt w:val="lowerLetter"/>
      <w:lvlText w:val="%2)"/>
      <w:lvlJc w:val="left"/>
      <w:pPr>
        <w:ind w:left="2230" w:hanging="360"/>
      </w:pPr>
    </w:lvl>
    <w:lvl w:ilvl="2" w:tplc="20000017">
      <w:start w:val="1"/>
      <w:numFmt w:val="lowerLetter"/>
      <w:lvlText w:val="%3)"/>
      <w:lvlJc w:val="left"/>
      <w:pPr>
        <w:ind w:left="2950" w:hanging="180"/>
      </w:pPr>
    </w:lvl>
    <w:lvl w:ilvl="3" w:tplc="2000000F" w:tentative="1">
      <w:start w:val="1"/>
      <w:numFmt w:val="decimal"/>
      <w:lvlText w:val="%4."/>
      <w:lvlJc w:val="left"/>
      <w:pPr>
        <w:ind w:left="3670" w:hanging="360"/>
      </w:pPr>
    </w:lvl>
    <w:lvl w:ilvl="4" w:tplc="20000019" w:tentative="1">
      <w:start w:val="1"/>
      <w:numFmt w:val="lowerLetter"/>
      <w:lvlText w:val="%5."/>
      <w:lvlJc w:val="left"/>
      <w:pPr>
        <w:ind w:left="4390" w:hanging="360"/>
      </w:pPr>
    </w:lvl>
    <w:lvl w:ilvl="5" w:tplc="2000001B" w:tentative="1">
      <w:start w:val="1"/>
      <w:numFmt w:val="lowerRoman"/>
      <w:lvlText w:val="%6."/>
      <w:lvlJc w:val="right"/>
      <w:pPr>
        <w:ind w:left="5110" w:hanging="180"/>
      </w:pPr>
    </w:lvl>
    <w:lvl w:ilvl="6" w:tplc="2000000F" w:tentative="1">
      <w:start w:val="1"/>
      <w:numFmt w:val="decimal"/>
      <w:lvlText w:val="%7."/>
      <w:lvlJc w:val="left"/>
      <w:pPr>
        <w:ind w:left="5830" w:hanging="360"/>
      </w:pPr>
    </w:lvl>
    <w:lvl w:ilvl="7" w:tplc="20000019" w:tentative="1">
      <w:start w:val="1"/>
      <w:numFmt w:val="lowerLetter"/>
      <w:lvlText w:val="%8."/>
      <w:lvlJc w:val="left"/>
      <w:pPr>
        <w:ind w:left="6550" w:hanging="360"/>
      </w:pPr>
    </w:lvl>
    <w:lvl w:ilvl="8" w:tplc="2000001B" w:tentative="1">
      <w:start w:val="1"/>
      <w:numFmt w:val="lowerRoman"/>
      <w:lvlText w:val="%9."/>
      <w:lvlJc w:val="right"/>
      <w:pPr>
        <w:ind w:left="7270" w:hanging="180"/>
      </w:pPr>
    </w:lvl>
  </w:abstractNum>
  <w:abstractNum w:abstractNumId="2" w15:restartNumberingAfterBreak="0">
    <w:nsid w:val="654546C0"/>
    <w:multiLevelType w:val="hybridMultilevel"/>
    <w:tmpl w:val="A7108690"/>
    <w:lvl w:ilvl="0" w:tplc="269A6130">
      <w:start w:val="1"/>
      <w:numFmt w:val="decimal"/>
      <w:lvlText w:val="[%1]"/>
      <w:lvlJc w:val="left"/>
      <w:pPr>
        <w:ind w:left="790" w:hanging="360"/>
      </w:pPr>
      <w:rPr>
        <w:rFonts w:hint="default"/>
        <w:b/>
      </w:rPr>
    </w:lvl>
    <w:lvl w:ilvl="1" w:tplc="20000001">
      <w:start w:val="1"/>
      <w:numFmt w:val="bullet"/>
      <w:lvlText w:val=""/>
      <w:lvlJc w:val="left"/>
      <w:pPr>
        <w:ind w:left="1510" w:hanging="360"/>
      </w:pPr>
      <w:rPr>
        <w:rFonts w:ascii="Symbol" w:hAnsi="Symbol" w:hint="default"/>
      </w:r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3" w15:restartNumberingAfterBreak="0">
    <w:nsid w:val="6FB678A9"/>
    <w:multiLevelType w:val="hybridMultilevel"/>
    <w:tmpl w:val="81983B08"/>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4" w15:restartNumberingAfterBreak="0">
    <w:nsid w:val="7FB765AD"/>
    <w:multiLevelType w:val="hybridMultilevel"/>
    <w:tmpl w:val="C3A4EB9E"/>
    <w:lvl w:ilvl="0" w:tplc="B4AA6D80">
      <w:start w:val="1"/>
      <w:numFmt w:val="lowerLetter"/>
      <w:lvlText w:val="(%1)"/>
      <w:lvlJc w:val="left"/>
      <w:pPr>
        <w:ind w:left="2554" w:hanging="360"/>
      </w:pPr>
      <w:rPr>
        <w:rFonts w:hint="default"/>
      </w:rPr>
    </w:lvl>
    <w:lvl w:ilvl="1" w:tplc="20000019" w:tentative="1">
      <w:start w:val="1"/>
      <w:numFmt w:val="lowerLetter"/>
      <w:lvlText w:val="%2."/>
      <w:lvlJc w:val="left"/>
      <w:pPr>
        <w:ind w:left="3274" w:hanging="360"/>
      </w:pPr>
    </w:lvl>
    <w:lvl w:ilvl="2" w:tplc="2000001B" w:tentative="1">
      <w:start w:val="1"/>
      <w:numFmt w:val="lowerRoman"/>
      <w:lvlText w:val="%3."/>
      <w:lvlJc w:val="right"/>
      <w:pPr>
        <w:ind w:left="3994" w:hanging="180"/>
      </w:pPr>
    </w:lvl>
    <w:lvl w:ilvl="3" w:tplc="2000000F" w:tentative="1">
      <w:start w:val="1"/>
      <w:numFmt w:val="decimal"/>
      <w:lvlText w:val="%4."/>
      <w:lvlJc w:val="left"/>
      <w:pPr>
        <w:ind w:left="4714" w:hanging="360"/>
      </w:pPr>
    </w:lvl>
    <w:lvl w:ilvl="4" w:tplc="20000019" w:tentative="1">
      <w:start w:val="1"/>
      <w:numFmt w:val="lowerLetter"/>
      <w:lvlText w:val="%5."/>
      <w:lvlJc w:val="left"/>
      <w:pPr>
        <w:ind w:left="5434" w:hanging="360"/>
      </w:pPr>
    </w:lvl>
    <w:lvl w:ilvl="5" w:tplc="2000001B" w:tentative="1">
      <w:start w:val="1"/>
      <w:numFmt w:val="lowerRoman"/>
      <w:lvlText w:val="%6."/>
      <w:lvlJc w:val="right"/>
      <w:pPr>
        <w:ind w:left="6154" w:hanging="180"/>
      </w:pPr>
    </w:lvl>
    <w:lvl w:ilvl="6" w:tplc="2000000F" w:tentative="1">
      <w:start w:val="1"/>
      <w:numFmt w:val="decimal"/>
      <w:lvlText w:val="%7."/>
      <w:lvlJc w:val="left"/>
      <w:pPr>
        <w:ind w:left="6874" w:hanging="360"/>
      </w:pPr>
    </w:lvl>
    <w:lvl w:ilvl="7" w:tplc="20000019" w:tentative="1">
      <w:start w:val="1"/>
      <w:numFmt w:val="lowerLetter"/>
      <w:lvlText w:val="%8."/>
      <w:lvlJc w:val="left"/>
      <w:pPr>
        <w:ind w:left="7594" w:hanging="360"/>
      </w:pPr>
    </w:lvl>
    <w:lvl w:ilvl="8" w:tplc="2000001B" w:tentative="1">
      <w:start w:val="1"/>
      <w:numFmt w:val="lowerRoman"/>
      <w:lvlText w:val="%9."/>
      <w:lvlJc w:val="right"/>
      <w:pPr>
        <w:ind w:left="8314"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BE"/>
    <w:rsid w:val="00000840"/>
    <w:rsid w:val="00000A4F"/>
    <w:rsid w:val="000051D5"/>
    <w:rsid w:val="00006597"/>
    <w:rsid w:val="00011EFD"/>
    <w:rsid w:val="000160BE"/>
    <w:rsid w:val="000213C2"/>
    <w:rsid w:val="00022785"/>
    <w:rsid w:val="00027F9F"/>
    <w:rsid w:val="00034172"/>
    <w:rsid w:val="000C0D8C"/>
    <w:rsid w:val="000C14E4"/>
    <w:rsid w:val="000C207B"/>
    <w:rsid w:val="000D0E80"/>
    <w:rsid w:val="000D46EF"/>
    <w:rsid w:val="000E4461"/>
    <w:rsid w:val="0010653D"/>
    <w:rsid w:val="00110B79"/>
    <w:rsid w:val="0012378D"/>
    <w:rsid w:val="00143C58"/>
    <w:rsid w:val="0014666F"/>
    <w:rsid w:val="001479F2"/>
    <w:rsid w:val="001512CC"/>
    <w:rsid w:val="00167167"/>
    <w:rsid w:val="001768EE"/>
    <w:rsid w:val="0018446C"/>
    <w:rsid w:val="001A19DA"/>
    <w:rsid w:val="001D456B"/>
    <w:rsid w:val="001D62CA"/>
    <w:rsid w:val="002168CE"/>
    <w:rsid w:val="00223D24"/>
    <w:rsid w:val="00230D39"/>
    <w:rsid w:val="00233DED"/>
    <w:rsid w:val="00243BBD"/>
    <w:rsid w:val="002516A8"/>
    <w:rsid w:val="00265DCD"/>
    <w:rsid w:val="00275FC2"/>
    <w:rsid w:val="00285768"/>
    <w:rsid w:val="00285DBE"/>
    <w:rsid w:val="002E0122"/>
    <w:rsid w:val="002E1BE1"/>
    <w:rsid w:val="00314FC1"/>
    <w:rsid w:val="00317C09"/>
    <w:rsid w:val="0032073A"/>
    <w:rsid w:val="00394AED"/>
    <w:rsid w:val="003B24A0"/>
    <w:rsid w:val="003D468A"/>
    <w:rsid w:val="00407D89"/>
    <w:rsid w:val="00426E27"/>
    <w:rsid w:val="0043214A"/>
    <w:rsid w:val="0043338C"/>
    <w:rsid w:val="00434030"/>
    <w:rsid w:val="00444076"/>
    <w:rsid w:val="00450836"/>
    <w:rsid w:val="004527B2"/>
    <w:rsid w:val="004527ED"/>
    <w:rsid w:val="004C6024"/>
    <w:rsid w:val="004D6BF5"/>
    <w:rsid w:val="00564698"/>
    <w:rsid w:val="005A6B15"/>
    <w:rsid w:val="005B3EB2"/>
    <w:rsid w:val="005B632B"/>
    <w:rsid w:val="005E724D"/>
    <w:rsid w:val="0060596D"/>
    <w:rsid w:val="00625FA1"/>
    <w:rsid w:val="006301C1"/>
    <w:rsid w:val="00660B27"/>
    <w:rsid w:val="00660DC8"/>
    <w:rsid w:val="0067217C"/>
    <w:rsid w:val="00695E74"/>
    <w:rsid w:val="006A019C"/>
    <w:rsid w:val="006A2D76"/>
    <w:rsid w:val="006A4AE3"/>
    <w:rsid w:val="006C0D02"/>
    <w:rsid w:val="006C46DB"/>
    <w:rsid w:val="006E19BF"/>
    <w:rsid w:val="006E5500"/>
    <w:rsid w:val="0075258A"/>
    <w:rsid w:val="00754378"/>
    <w:rsid w:val="00764989"/>
    <w:rsid w:val="00772140"/>
    <w:rsid w:val="007733DC"/>
    <w:rsid w:val="00777EE1"/>
    <w:rsid w:val="007A58F3"/>
    <w:rsid w:val="007B714A"/>
    <w:rsid w:val="007D66E0"/>
    <w:rsid w:val="007F12EE"/>
    <w:rsid w:val="00807DD1"/>
    <w:rsid w:val="00811C53"/>
    <w:rsid w:val="00820CAE"/>
    <w:rsid w:val="00823CFB"/>
    <w:rsid w:val="00841BD7"/>
    <w:rsid w:val="0087134E"/>
    <w:rsid w:val="0087450E"/>
    <w:rsid w:val="008A7E35"/>
    <w:rsid w:val="008A7FF3"/>
    <w:rsid w:val="008C3184"/>
    <w:rsid w:val="008C7C59"/>
    <w:rsid w:val="008E0F52"/>
    <w:rsid w:val="008F37CD"/>
    <w:rsid w:val="009061E6"/>
    <w:rsid w:val="00916AC9"/>
    <w:rsid w:val="0093631D"/>
    <w:rsid w:val="009642F6"/>
    <w:rsid w:val="009800B1"/>
    <w:rsid w:val="00990961"/>
    <w:rsid w:val="00996A19"/>
    <w:rsid w:val="009A67D6"/>
    <w:rsid w:val="009A7838"/>
    <w:rsid w:val="009D2A3C"/>
    <w:rsid w:val="009E13A2"/>
    <w:rsid w:val="00A011C7"/>
    <w:rsid w:val="00A15F62"/>
    <w:rsid w:val="00A217B4"/>
    <w:rsid w:val="00A26909"/>
    <w:rsid w:val="00A5355C"/>
    <w:rsid w:val="00A76E3E"/>
    <w:rsid w:val="00A97A96"/>
    <w:rsid w:val="00AA10ED"/>
    <w:rsid w:val="00AA15F2"/>
    <w:rsid w:val="00AA161A"/>
    <w:rsid w:val="00AC1EA3"/>
    <w:rsid w:val="00AC31F8"/>
    <w:rsid w:val="00AD7FC5"/>
    <w:rsid w:val="00B038AB"/>
    <w:rsid w:val="00B259B7"/>
    <w:rsid w:val="00B31B17"/>
    <w:rsid w:val="00B43AD4"/>
    <w:rsid w:val="00B57E04"/>
    <w:rsid w:val="00B57EDD"/>
    <w:rsid w:val="00B629B3"/>
    <w:rsid w:val="00B63E95"/>
    <w:rsid w:val="00B87108"/>
    <w:rsid w:val="00BA7FE5"/>
    <w:rsid w:val="00BC2F09"/>
    <w:rsid w:val="00BD005C"/>
    <w:rsid w:val="00BD111D"/>
    <w:rsid w:val="00BE336D"/>
    <w:rsid w:val="00BE36CF"/>
    <w:rsid w:val="00BE49A4"/>
    <w:rsid w:val="00BF1AD9"/>
    <w:rsid w:val="00C67F10"/>
    <w:rsid w:val="00C71183"/>
    <w:rsid w:val="00C94158"/>
    <w:rsid w:val="00C9444F"/>
    <w:rsid w:val="00CA31BB"/>
    <w:rsid w:val="00CA4EFD"/>
    <w:rsid w:val="00CD19BE"/>
    <w:rsid w:val="00CE3B9A"/>
    <w:rsid w:val="00D028DB"/>
    <w:rsid w:val="00D07AE1"/>
    <w:rsid w:val="00D1666E"/>
    <w:rsid w:val="00D81BB0"/>
    <w:rsid w:val="00D94CDC"/>
    <w:rsid w:val="00DC7CB0"/>
    <w:rsid w:val="00DE5D84"/>
    <w:rsid w:val="00E272E8"/>
    <w:rsid w:val="00E475E0"/>
    <w:rsid w:val="00E648AF"/>
    <w:rsid w:val="00E8292A"/>
    <w:rsid w:val="00E82FB5"/>
    <w:rsid w:val="00E90D7C"/>
    <w:rsid w:val="00EC0770"/>
    <w:rsid w:val="00ED0DEE"/>
    <w:rsid w:val="00EE0CCB"/>
    <w:rsid w:val="00EE7078"/>
    <w:rsid w:val="00F123B1"/>
    <w:rsid w:val="00F55912"/>
    <w:rsid w:val="00F61BB2"/>
    <w:rsid w:val="00F87961"/>
    <w:rsid w:val="00FE46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1DD8"/>
  <w15:docId w15:val="{774FF3D4-F872-4CE0-A4D9-D537C18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CA"/>
    <w:pPr>
      <w:ind w:left="720"/>
      <w:contextualSpacing/>
    </w:pPr>
  </w:style>
  <w:style w:type="paragraph" w:styleId="FootnoteText">
    <w:name w:val="footnote text"/>
    <w:basedOn w:val="Normal"/>
    <w:link w:val="FootnoteTextChar"/>
    <w:uiPriority w:val="99"/>
    <w:semiHidden/>
    <w:unhideWhenUsed/>
    <w:rsid w:val="00841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BD7"/>
    <w:rPr>
      <w:sz w:val="20"/>
      <w:szCs w:val="20"/>
    </w:rPr>
  </w:style>
  <w:style w:type="character" w:styleId="FootnoteReference">
    <w:name w:val="footnote reference"/>
    <w:basedOn w:val="DefaultParagraphFont"/>
    <w:uiPriority w:val="99"/>
    <w:semiHidden/>
    <w:unhideWhenUsed/>
    <w:rsid w:val="00841BD7"/>
    <w:rPr>
      <w:vertAlign w:val="superscript"/>
    </w:rPr>
  </w:style>
  <w:style w:type="character" w:styleId="Hyperlink">
    <w:name w:val="Hyperlink"/>
    <w:basedOn w:val="DefaultParagraphFont"/>
    <w:uiPriority w:val="99"/>
    <w:unhideWhenUsed/>
    <w:rsid w:val="00660DC8"/>
    <w:rPr>
      <w:color w:val="0563C1" w:themeColor="hyperlink"/>
      <w:u w:val="single"/>
    </w:rPr>
  </w:style>
  <w:style w:type="character" w:styleId="UnresolvedMention">
    <w:name w:val="Unresolved Mention"/>
    <w:basedOn w:val="DefaultParagraphFont"/>
    <w:uiPriority w:val="99"/>
    <w:semiHidden/>
    <w:unhideWhenUsed/>
    <w:rsid w:val="00660DC8"/>
    <w:rPr>
      <w:color w:val="605E5C"/>
      <w:shd w:val="clear" w:color="auto" w:fill="E1DFDD"/>
    </w:rPr>
  </w:style>
  <w:style w:type="paragraph" w:styleId="Revision">
    <w:name w:val="Revision"/>
    <w:hidden/>
    <w:uiPriority w:val="99"/>
    <w:semiHidden/>
    <w:rsid w:val="00444076"/>
    <w:pPr>
      <w:spacing w:after="0" w:line="240" w:lineRule="auto"/>
    </w:pPr>
  </w:style>
  <w:style w:type="paragraph" w:styleId="BalloonText">
    <w:name w:val="Balloon Text"/>
    <w:basedOn w:val="Normal"/>
    <w:link w:val="BalloonTextChar"/>
    <w:uiPriority w:val="99"/>
    <w:semiHidden/>
    <w:unhideWhenUsed/>
    <w:rsid w:val="00A97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96"/>
    <w:rPr>
      <w:rFonts w:ascii="Segoe UI" w:hAnsi="Segoe UI" w:cs="Segoe UI"/>
      <w:sz w:val="18"/>
      <w:szCs w:val="18"/>
    </w:rPr>
  </w:style>
  <w:style w:type="paragraph" w:styleId="Header">
    <w:name w:val="header"/>
    <w:basedOn w:val="Normal"/>
    <w:link w:val="HeaderChar"/>
    <w:uiPriority w:val="99"/>
    <w:unhideWhenUsed/>
    <w:rsid w:val="00AD7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FC5"/>
  </w:style>
  <w:style w:type="paragraph" w:styleId="Footer">
    <w:name w:val="footer"/>
    <w:basedOn w:val="Normal"/>
    <w:link w:val="FooterChar"/>
    <w:uiPriority w:val="99"/>
    <w:unhideWhenUsed/>
    <w:rsid w:val="00AD7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a.org/pdf/JAE17.2Nya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a.org/pdf/JAE17.2Nya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66DE-271B-4C05-AE6C-4A9AFA52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Moneuoa Kopo</dc:creator>
  <cp:keywords/>
  <dc:description/>
  <cp:lastModifiedBy>Makatleho Chechela</cp:lastModifiedBy>
  <cp:revision>23</cp:revision>
  <cp:lastPrinted>2022-12-01T07:29:00Z</cp:lastPrinted>
  <dcterms:created xsi:type="dcterms:W3CDTF">2022-12-01T06:09:00Z</dcterms:created>
  <dcterms:modified xsi:type="dcterms:W3CDTF">2022-12-01T07:30:00Z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2022-11-30T10:51:02Z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20bcd2fd-e128-4f49-9683-afed890f180e</vt:lpwstr>
  </property>
  <property fmtid="{D5CDD505-2E9C-101B-9397-08002B2CF9AE}" pid="8" name="MSIP_Label_9f914f9e-4c1b-4005-a7de-34e254df930c_ContentBits">
    <vt:lpwstr>0</vt:lpwstr>
  </property>
</Properties>
</file>