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CC171" w14:textId="77777777" w:rsidR="00AB137E" w:rsidRDefault="00AB137E" w:rsidP="00AB137E">
      <w:pPr>
        <w:spacing w:line="360" w:lineRule="auto"/>
        <w:jc w:val="center"/>
        <w:rPr>
          <w:rFonts w:ascii="Times New Roman" w:hAnsi="Times New Roman" w:cs="Times New Roman"/>
          <w:b/>
          <w:bCs/>
          <w:sz w:val="28"/>
          <w:szCs w:val="28"/>
        </w:rPr>
      </w:pPr>
    </w:p>
    <w:p w14:paraId="0155DC3A" w14:textId="77777777" w:rsidR="00AB137E" w:rsidRDefault="00AB137E" w:rsidP="00AB137E">
      <w:pPr>
        <w:spacing w:line="360" w:lineRule="auto"/>
        <w:jc w:val="center"/>
        <w:rPr>
          <w:rFonts w:ascii="Times New Roman" w:hAnsi="Times New Roman" w:cs="Times New Roman"/>
          <w:b/>
          <w:bCs/>
          <w:sz w:val="28"/>
          <w:szCs w:val="28"/>
        </w:rPr>
      </w:pPr>
    </w:p>
    <w:p w14:paraId="55EE5E2F" w14:textId="77777777" w:rsidR="00AB137E" w:rsidRDefault="00AB137E" w:rsidP="00260C2F">
      <w:pPr>
        <w:spacing w:line="360" w:lineRule="auto"/>
        <w:rPr>
          <w:rFonts w:ascii="Times New Roman" w:hAnsi="Times New Roman" w:cs="Times New Roman"/>
          <w:b/>
          <w:bCs/>
          <w:sz w:val="28"/>
          <w:szCs w:val="28"/>
        </w:rPr>
      </w:pPr>
    </w:p>
    <w:p w14:paraId="30EF9325" w14:textId="77777777" w:rsidR="00873173" w:rsidRDefault="00873173" w:rsidP="00AB137E">
      <w:pPr>
        <w:spacing w:line="360" w:lineRule="auto"/>
        <w:jc w:val="center"/>
        <w:rPr>
          <w:rFonts w:ascii="Times New Roman" w:hAnsi="Times New Roman" w:cs="Times New Roman"/>
          <w:b/>
          <w:bCs/>
          <w:sz w:val="28"/>
          <w:szCs w:val="28"/>
        </w:rPr>
      </w:pPr>
    </w:p>
    <w:p w14:paraId="34A004FF" w14:textId="4452A0CC" w:rsidR="00AB137E" w:rsidRPr="00BB2C29" w:rsidRDefault="00AB137E" w:rsidP="00AB137E">
      <w:pPr>
        <w:spacing w:line="360" w:lineRule="auto"/>
        <w:jc w:val="center"/>
        <w:rPr>
          <w:rFonts w:ascii="Times New Roman" w:hAnsi="Times New Roman" w:cs="Times New Roman"/>
          <w:b/>
          <w:bCs/>
          <w:sz w:val="28"/>
          <w:szCs w:val="28"/>
        </w:rPr>
      </w:pPr>
      <w:r w:rsidRPr="00BB2C29">
        <w:rPr>
          <w:rFonts w:ascii="Times New Roman" w:hAnsi="Times New Roman" w:cs="Times New Roman"/>
          <w:b/>
          <w:bCs/>
          <w:sz w:val="28"/>
          <w:szCs w:val="28"/>
        </w:rPr>
        <w:t>IN THE HIGH COURT OF LESOTHO</w:t>
      </w:r>
    </w:p>
    <w:p w14:paraId="79EC7A5B" w14:textId="77777777" w:rsidR="00AB137E" w:rsidRPr="00BB2C29" w:rsidRDefault="00AB137E" w:rsidP="00AB137E">
      <w:pPr>
        <w:spacing w:line="360" w:lineRule="auto"/>
        <w:jc w:val="both"/>
        <w:rPr>
          <w:rFonts w:ascii="Times New Roman" w:hAnsi="Times New Roman" w:cs="Times New Roman"/>
          <w:b/>
          <w:bCs/>
          <w:sz w:val="28"/>
          <w:szCs w:val="28"/>
        </w:rPr>
      </w:pPr>
      <w:r w:rsidRPr="00BB2C29">
        <w:rPr>
          <w:rFonts w:ascii="Times New Roman" w:hAnsi="Times New Roman" w:cs="Times New Roman"/>
          <w:b/>
          <w:bCs/>
          <w:sz w:val="28"/>
          <w:szCs w:val="28"/>
        </w:rPr>
        <w:t>Held at Maseru</w:t>
      </w:r>
    </w:p>
    <w:p w14:paraId="001EFF75" w14:textId="53740EBD" w:rsidR="00AB137E" w:rsidRPr="00BB2C29" w:rsidRDefault="00AB137E" w:rsidP="00AB137E">
      <w:pPr>
        <w:spacing w:line="360" w:lineRule="auto"/>
        <w:contextualSpacing/>
        <w:jc w:val="right"/>
        <w:rPr>
          <w:rFonts w:ascii="Times New Roman" w:hAnsi="Times New Roman" w:cs="Times New Roman"/>
          <w:b/>
          <w:bCs/>
          <w:sz w:val="28"/>
          <w:szCs w:val="28"/>
        </w:rPr>
      </w:pPr>
      <w:r w:rsidRPr="00BB2C29">
        <w:rPr>
          <w:rFonts w:ascii="Times New Roman" w:hAnsi="Times New Roman" w:cs="Times New Roman"/>
          <w:b/>
          <w:bCs/>
          <w:sz w:val="28"/>
          <w:szCs w:val="28"/>
        </w:rPr>
        <w:t>C</w:t>
      </w:r>
      <w:r>
        <w:rPr>
          <w:rFonts w:ascii="Times New Roman" w:hAnsi="Times New Roman" w:cs="Times New Roman"/>
          <w:b/>
          <w:bCs/>
          <w:sz w:val="28"/>
          <w:szCs w:val="28"/>
        </w:rPr>
        <w:t>IV</w:t>
      </w:r>
      <w:r w:rsidRPr="00BB2C29">
        <w:rPr>
          <w:rFonts w:ascii="Times New Roman" w:hAnsi="Times New Roman" w:cs="Times New Roman"/>
          <w:b/>
          <w:bCs/>
          <w:sz w:val="28"/>
          <w:szCs w:val="28"/>
        </w:rPr>
        <w:t>/</w:t>
      </w:r>
      <w:r>
        <w:rPr>
          <w:rFonts w:ascii="Times New Roman" w:hAnsi="Times New Roman" w:cs="Times New Roman"/>
          <w:b/>
          <w:bCs/>
          <w:sz w:val="28"/>
          <w:szCs w:val="28"/>
        </w:rPr>
        <w:t>APN</w:t>
      </w:r>
      <w:r w:rsidRPr="00BB2C29">
        <w:rPr>
          <w:rFonts w:ascii="Times New Roman" w:hAnsi="Times New Roman" w:cs="Times New Roman"/>
          <w:b/>
          <w:bCs/>
          <w:sz w:val="28"/>
          <w:szCs w:val="28"/>
        </w:rPr>
        <w:t>/</w:t>
      </w:r>
      <w:r w:rsidR="005F0C16">
        <w:rPr>
          <w:rFonts w:ascii="Times New Roman" w:hAnsi="Times New Roman" w:cs="Times New Roman"/>
          <w:b/>
          <w:bCs/>
          <w:sz w:val="28"/>
          <w:szCs w:val="28"/>
        </w:rPr>
        <w:t>0170</w:t>
      </w:r>
      <w:r w:rsidR="00484CAB">
        <w:rPr>
          <w:rFonts w:ascii="Times New Roman" w:hAnsi="Times New Roman" w:cs="Times New Roman"/>
          <w:b/>
          <w:bCs/>
          <w:sz w:val="28"/>
          <w:szCs w:val="28"/>
        </w:rPr>
        <w:t xml:space="preserve"> </w:t>
      </w:r>
      <w:r>
        <w:rPr>
          <w:rFonts w:ascii="Times New Roman" w:hAnsi="Times New Roman" w:cs="Times New Roman"/>
          <w:b/>
          <w:bCs/>
          <w:sz w:val="28"/>
          <w:szCs w:val="28"/>
        </w:rPr>
        <w:t>/2022</w:t>
      </w:r>
    </w:p>
    <w:p w14:paraId="403ACB80" w14:textId="77777777" w:rsidR="00AB137E" w:rsidRPr="00284644" w:rsidRDefault="00AB137E" w:rsidP="00AB137E">
      <w:pPr>
        <w:spacing w:line="360" w:lineRule="auto"/>
        <w:contextualSpacing/>
        <w:jc w:val="right"/>
        <w:rPr>
          <w:rFonts w:ascii="Times New Roman" w:hAnsi="Times New Roman" w:cs="Times New Roman"/>
          <w:b/>
          <w:bCs/>
          <w:sz w:val="16"/>
          <w:szCs w:val="16"/>
        </w:rPr>
      </w:pPr>
    </w:p>
    <w:p w14:paraId="2A9DB67C" w14:textId="77777777" w:rsidR="00AB137E" w:rsidRPr="00AB137E" w:rsidRDefault="00AB137E" w:rsidP="00AB137E">
      <w:pPr>
        <w:spacing w:line="360" w:lineRule="auto"/>
        <w:contextualSpacing/>
        <w:jc w:val="both"/>
        <w:rPr>
          <w:rFonts w:ascii="Times New Roman" w:hAnsi="Times New Roman" w:cs="Times New Roman"/>
          <w:sz w:val="28"/>
          <w:szCs w:val="28"/>
        </w:rPr>
      </w:pPr>
      <w:r w:rsidRPr="00BB2C29">
        <w:rPr>
          <w:rFonts w:ascii="Times New Roman" w:hAnsi="Times New Roman" w:cs="Times New Roman"/>
          <w:sz w:val="28"/>
          <w:szCs w:val="28"/>
        </w:rPr>
        <w:t>In the matter between:</w:t>
      </w:r>
    </w:p>
    <w:p w14:paraId="7F6E71C2" w14:textId="77777777" w:rsidR="00AB137E" w:rsidRPr="00284644" w:rsidRDefault="00AB137E" w:rsidP="00AB137E">
      <w:pPr>
        <w:spacing w:line="360" w:lineRule="auto"/>
        <w:contextualSpacing/>
        <w:jc w:val="both"/>
        <w:rPr>
          <w:rFonts w:ascii="Times New Roman" w:hAnsi="Times New Roman" w:cs="Times New Roman"/>
          <w:b/>
          <w:bCs/>
          <w:sz w:val="16"/>
          <w:szCs w:val="16"/>
        </w:rPr>
      </w:pPr>
    </w:p>
    <w:p w14:paraId="4B0F20F4" w14:textId="77777777" w:rsidR="00AB137E" w:rsidRDefault="00AB137E" w:rsidP="00AB137E">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MOLIEHI DLAM</w:t>
      </w:r>
      <w:r w:rsidR="002D1227">
        <w:rPr>
          <w:rFonts w:ascii="Times New Roman" w:hAnsi="Times New Roman" w:cs="Times New Roman"/>
          <w:b/>
          <w:bCs/>
          <w:sz w:val="28"/>
          <w:szCs w:val="28"/>
        </w:rPr>
        <w:t>I</w:t>
      </w:r>
      <w:r>
        <w:rPr>
          <w:rFonts w:ascii="Times New Roman" w:hAnsi="Times New Roman" w:cs="Times New Roman"/>
          <w:b/>
          <w:bCs/>
          <w:sz w:val="28"/>
          <w:szCs w:val="28"/>
        </w:rPr>
        <w:t>NI</w:t>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00645621">
        <w:rPr>
          <w:rFonts w:ascii="Times New Roman" w:hAnsi="Times New Roman" w:cs="Times New Roman"/>
          <w:b/>
          <w:bCs/>
          <w:sz w:val="28"/>
          <w:szCs w:val="28"/>
        </w:rPr>
        <w:t xml:space="preserve">    </w:t>
      </w:r>
      <w:r>
        <w:rPr>
          <w:rFonts w:ascii="Times New Roman" w:hAnsi="Times New Roman" w:cs="Times New Roman"/>
          <w:b/>
          <w:bCs/>
          <w:sz w:val="28"/>
          <w:szCs w:val="28"/>
        </w:rPr>
        <w:t>1</w:t>
      </w:r>
      <w:r w:rsidRPr="00B8783A">
        <w:rPr>
          <w:rFonts w:ascii="Times New Roman" w:hAnsi="Times New Roman" w:cs="Times New Roman"/>
          <w:b/>
          <w:bCs/>
          <w:sz w:val="28"/>
          <w:szCs w:val="28"/>
          <w:vertAlign w:val="superscript"/>
        </w:rPr>
        <w:t>ST</w:t>
      </w:r>
      <w:r w:rsidR="00645621">
        <w:rPr>
          <w:rFonts w:ascii="Times New Roman" w:hAnsi="Times New Roman" w:cs="Times New Roman"/>
          <w:b/>
          <w:bCs/>
          <w:sz w:val="28"/>
          <w:szCs w:val="28"/>
        </w:rPr>
        <w:t>APPLICANT</w:t>
      </w:r>
    </w:p>
    <w:p w14:paraId="1E7005B0" w14:textId="77777777" w:rsidR="00AB137E" w:rsidRDefault="00AB137E" w:rsidP="00AB137E">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MOKHETHI DAMANE</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00645621">
        <w:rPr>
          <w:rFonts w:ascii="Times New Roman" w:hAnsi="Times New Roman" w:cs="Times New Roman"/>
          <w:b/>
          <w:bCs/>
          <w:sz w:val="28"/>
          <w:szCs w:val="28"/>
        </w:rPr>
        <w:t xml:space="preserve">    </w:t>
      </w:r>
      <w:r>
        <w:rPr>
          <w:rFonts w:ascii="Times New Roman" w:hAnsi="Times New Roman" w:cs="Times New Roman"/>
          <w:b/>
          <w:bCs/>
          <w:sz w:val="28"/>
          <w:szCs w:val="28"/>
        </w:rPr>
        <w:t xml:space="preserve"> 2</w:t>
      </w:r>
      <w:r w:rsidRPr="00B8783A">
        <w:rPr>
          <w:rFonts w:ascii="Times New Roman" w:hAnsi="Times New Roman" w:cs="Times New Roman"/>
          <w:b/>
          <w:bCs/>
          <w:sz w:val="28"/>
          <w:szCs w:val="28"/>
          <w:vertAlign w:val="superscript"/>
        </w:rPr>
        <w:t>ND</w:t>
      </w:r>
      <w:r>
        <w:rPr>
          <w:rFonts w:ascii="Times New Roman" w:hAnsi="Times New Roman" w:cs="Times New Roman"/>
          <w:b/>
          <w:bCs/>
          <w:sz w:val="28"/>
          <w:szCs w:val="28"/>
        </w:rPr>
        <w:t xml:space="preserve"> </w:t>
      </w:r>
      <w:r w:rsidR="00645621">
        <w:rPr>
          <w:rFonts w:ascii="Times New Roman" w:hAnsi="Times New Roman" w:cs="Times New Roman"/>
          <w:b/>
          <w:bCs/>
          <w:sz w:val="28"/>
          <w:szCs w:val="28"/>
        </w:rPr>
        <w:t>APPLICANT</w:t>
      </w:r>
    </w:p>
    <w:p w14:paraId="4A96EAA2" w14:textId="77777777" w:rsidR="00AB137E" w:rsidRDefault="00AB137E" w:rsidP="00AB137E">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LEBAKA MATIEA</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00645621">
        <w:rPr>
          <w:rFonts w:ascii="Times New Roman" w:hAnsi="Times New Roman" w:cs="Times New Roman"/>
          <w:b/>
          <w:bCs/>
          <w:sz w:val="28"/>
          <w:szCs w:val="28"/>
        </w:rPr>
        <w:t xml:space="preserve">    </w:t>
      </w:r>
      <w:r>
        <w:rPr>
          <w:rFonts w:ascii="Times New Roman" w:hAnsi="Times New Roman" w:cs="Times New Roman"/>
          <w:b/>
          <w:bCs/>
          <w:sz w:val="28"/>
          <w:szCs w:val="28"/>
        </w:rPr>
        <w:t xml:space="preserve"> 3</w:t>
      </w:r>
      <w:r w:rsidRPr="00E70E86">
        <w:rPr>
          <w:rFonts w:ascii="Times New Roman" w:hAnsi="Times New Roman" w:cs="Times New Roman"/>
          <w:b/>
          <w:bCs/>
          <w:sz w:val="28"/>
          <w:szCs w:val="28"/>
          <w:vertAlign w:val="superscript"/>
        </w:rPr>
        <w:t>RD</w:t>
      </w:r>
      <w:r>
        <w:rPr>
          <w:rFonts w:ascii="Times New Roman" w:hAnsi="Times New Roman" w:cs="Times New Roman"/>
          <w:b/>
          <w:bCs/>
          <w:sz w:val="28"/>
          <w:szCs w:val="28"/>
        </w:rPr>
        <w:t xml:space="preserve"> </w:t>
      </w:r>
      <w:r w:rsidR="00645621">
        <w:rPr>
          <w:rFonts w:ascii="Times New Roman" w:hAnsi="Times New Roman" w:cs="Times New Roman"/>
          <w:b/>
          <w:bCs/>
          <w:sz w:val="28"/>
          <w:szCs w:val="28"/>
        </w:rPr>
        <w:t>APPLICANT</w:t>
      </w:r>
    </w:p>
    <w:p w14:paraId="1AB41D73" w14:textId="77777777" w:rsidR="00AB137E" w:rsidRDefault="00AB137E" w:rsidP="00AB137E">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KOPANO RAMOKHORO</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00645621">
        <w:rPr>
          <w:rFonts w:ascii="Times New Roman" w:hAnsi="Times New Roman" w:cs="Times New Roman"/>
          <w:b/>
          <w:bCs/>
          <w:sz w:val="28"/>
          <w:szCs w:val="28"/>
        </w:rPr>
        <w:t xml:space="preserve">    </w:t>
      </w:r>
      <w:r>
        <w:rPr>
          <w:rFonts w:ascii="Times New Roman" w:hAnsi="Times New Roman" w:cs="Times New Roman"/>
          <w:b/>
          <w:bCs/>
          <w:sz w:val="28"/>
          <w:szCs w:val="28"/>
        </w:rPr>
        <w:t>4</w:t>
      </w:r>
      <w:r w:rsidRPr="00B8783A">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w:t>
      </w:r>
      <w:r w:rsidR="00645621">
        <w:rPr>
          <w:rFonts w:ascii="Times New Roman" w:hAnsi="Times New Roman" w:cs="Times New Roman"/>
          <w:b/>
          <w:bCs/>
          <w:sz w:val="28"/>
          <w:szCs w:val="28"/>
        </w:rPr>
        <w:t>APPLICANT</w:t>
      </w:r>
    </w:p>
    <w:p w14:paraId="0ADA7B07" w14:textId="312C1900" w:rsidR="00AB137E" w:rsidRDefault="00AB137E" w:rsidP="00AB137E">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NGAKA LENKA</w:t>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00645621">
        <w:rPr>
          <w:rFonts w:ascii="Times New Roman" w:hAnsi="Times New Roman" w:cs="Times New Roman"/>
          <w:b/>
          <w:bCs/>
          <w:sz w:val="28"/>
          <w:szCs w:val="28"/>
        </w:rPr>
        <w:t xml:space="preserve">    </w:t>
      </w:r>
      <w:r>
        <w:rPr>
          <w:rFonts w:ascii="Times New Roman" w:hAnsi="Times New Roman" w:cs="Times New Roman"/>
          <w:b/>
          <w:bCs/>
          <w:sz w:val="28"/>
          <w:szCs w:val="28"/>
        </w:rPr>
        <w:t xml:space="preserve"> 5</w:t>
      </w:r>
      <w:r w:rsidRPr="00B8783A">
        <w:rPr>
          <w:rFonts w:ascii="Times New Roman" w:hAnsi="Times New Roman" w:cs="Times New Roman"/>
          <w:b/>
          <w:bCs/>
          <w:sz w:val="28"/>
          <w:szCs w:val="28"/>
          <w:vertAlign w:val="superscript"/>
        </w:rPr>
        <w:t>TH</w:t>
      </w:r>
      <w:r w:rsidR="00645621">
        <w:rPr>
          <w:rFonts w:ascii="Times New Roman" w:hAnsi="Times New Roman" w:cs="Times New Roman"/>
          <w:b/>
          <w:bCs/>
          <w:sz w:val="28"/>
          <w:szCs w:val="28"/>
          <w:vertAlign w:val="superscript"/>
        </w:rPr>
        <w:t xml:space="preserve"> </w:t>
      </w:r>
      <w:r w:rsidR="00386AFA">
        <w:rPr>
          <w:rFonts w:ascii="Times New Roman" w:hAnsi="Times New Roman" w:cs="Times New Roman"/>
          <w:b/>
          <w:bCs/>
          <w:sz w:val="28"/>
          <w:szCs w:val="28"/>
          <w:vertAlign w:val="superscript"/>
        </w:rPr>
        <w:t xml:space="preserve"> </w:t>
      </w:r>
      <w:r w:rsidR="00645621">
        <w:rPr>
          <w:rFonts w:ascii="Times New Roman" w:hAnsi="Times New Roman" w:cs="Times New Roman"/>
          <w:b/>
          <w:bCs/>
          <w:sz w:val="28"/>
          <w:szCs w:val="28"/>
        </w:rPr>
        <w:t>APPLICANT</w:t>
      </w:r>
    </w:p>
    <w:p w14:paraId="7AAE827F" w14:textId="77777777" w:rsidR="00AB137E" w:rsidRDefault="00AB137E" w:rsidP="00AB137E">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MOJELA GUGUSHE</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00645621">
        <w:rPr>
          <w:rFonts w:ascii="Times New Roman" w:hAnsi="Times New Roman" w:cs="Times New Roman"/>
          <w:b/>
          <w:bCs/>
          <w:sz w:val="28"/>
          <w:szCs w:val="28"/>
        </w:rPr>
        <w:t xml:space="preserve">    </w:t>
      </w:r>
      <w:r>
        <w:rPr>
          <w:rFonts w:ascii="Times New Roman" w:hAnsi="Times New Roman" w:cs="Times New Roman"/>
          <w:b/>
          <w:bCs/>
          <w:sz w:val="28"/>
          <w:szCs w:val="28"/>
        </w:rPr>
        <w:t xml:space="preserve"> 6</w:t>
      </w:r>
      <w:r w:rsidRPr="00B8783A">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w:t>
      </w:r>
      <w:r w:rsidR="00645621">
        <w:rPr>
          <w:rFonts w:ascii="Times New Roman" w:hAnsi="Times New Roman" w:cs="Times New Roman"/>
          <w:b/>
          <w:bCs/>
          <w:sz w:val="28"/>
          <w:szCs w:val="28"/>
        </w:rPr>
        <w:t>APPLICANT</w:t>
      </w:r>
    </w:p>
    <w:p w14:paraId="13D142DE" w14:textId="77777777" w:rsidR="00AB137E" w:rsidRDefault="00AB137E" w:rsidP="00AB137E">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THABANG MAIME</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00645621">
        <w:rPr>
          <w:rFonts w:ascii="Times New Roman" w:hAnsi="Times New Roman" w:cs="Times New Roman"/>
          <w:b/>
          <w:bCs/>
          <w:sz w:val="28"/>
          <w:szCs w:val="28"/>
        </w:rPr>
        <w:t xml:space="preserve">    </w:t>
      </w:r>
      <w:r>
        <w:rPr>
          <w:rFonts w:ascii="Times New Roman" w:hAnsi="Times New Roman" w:cs="Times New Roman"/>
          <w:b/>
          <w:bCs/>
          <w:sz w:val="28"/>
          <w:szCs w:val="28"/>
        </w:rPr>
        <w:t>7</w:t>
      </w:r>
      <w:r w:rsidRPr="00B8783A">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w:t>
      </w:r>
      <w:r w:rsidR="00645621">
        <w:rPr>
          <w:rFonts w:ascii="Times New Roman" w:hAnsi="Times New Roman" w:cs="Times New Roman"/>
          <w:b/>
          <w:bCs/>
          <w:sz w:val="28"/>
          <w:szCs w:val="28"/>
        </w:rPr>
        <w:t>APPLICANT</w:t>
      </w:r>
    </w:p>
    <w:p w14:paraId="5DFEF485" w14:textId="77777777" w:rsidR="00AB137E" w:rsidRDefault="00AB137E" w:rsidP="00AB137E">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LECHESA LEPHEANE</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00645621">
        <w:rPr>
          <w:rFonts w:ascii="Times New Roman" w:hAnsi="Times New Roman" w:cs="Times New Roman"/>
          <w:b/>
          <w:bCs/>
          <w:sz w:val="28"/>
          <w:szCs w:val="28"/>
        </w:rPr>
        <w:t xml:space="preserve">    </w:t>
      </w:r>
      <w:r>
        <w:rPr>
          <w:rFonts w:ascii="Times New Roman" w:hAnsi="Times New Roman" w:cs="Times New Roman"/>
          <w:b/>
          <w:bCs/>
          <w:sz w:val="28"/>
          <w:szCs w:val="28"/>
        </w:rPr>
        <w:t>8</w:t>
      </w:r>
      <w:r>
        <w:rPr>
          <w:rFonts w:ascii="Times New Roman" w:hAnsi="Times New Roman" w:cs="Times New Roman"/>
          <w:b/>
          <w:bCs/>
          <w:sz w:val="28"/>
          <w:szCs w:val="28"/>
          <w:vertAlign w:val="superscript"/>
        </w:rPr>
        <w:t>T</w:t>
      </w:r>
      <w:r w:rsidRPr="00B8783A">
        <w:rPr>
          <w:rFonts w:ascii="Times New Roman" w:hAnsi="Times New Roman" w:cs="Times New Roman"/>
          <w:b/>
          <w:bCs/>
          <w:sz w:val="28"/>
          <w:szCs w:val="28"/>
          <w:vertAlign w:val="superscript"/>
        </w:rPr>
        <w:t>H</w:t>
      </w:r>
      <w:r>
        <w:rPr>
          <w:rFonts w:ascii="Times New Roman" w:hAnsi="Times New Roman" w:cs="Times New Roman"/>
          <w:b/>
          <w:bCs/>
          <w:sz w:val="28"/>
          <w:szCs w:val="28"/>
        </w:rPr>
        <w:t xml:space="preserve"> </w:t>
      </w:r>
      <w:r w:rsidR="00645621">
        <w:rPr>
          <w:rFonts w:ascii="Times New Roman" w:hAnsi="Times New Roman" w:cs="Times New Roman"/>
          <w:b/>
          <w:bCs/>
          <w:sz w:val="28"/>
          <w:szCs w:val="28"/>
        </w:rPr>
        <w:t>APPLICANT</w:t>
      </w:r>
    </w:p>
    <w:p w14:paraId="18F78329" w14:textId="77777777" w:rsidR="00AB137E" w:rsidRDefault="00AB137E" w:rsidP="00AB137E">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POLOKO SEKHOHOLA</w:t>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00645621">
        <w:rPr>
          <w:rFonts w:ascii="Times New Roman" w:hAnsi="Times New Roman" w:cs="Times New Roman"/>
          <w:b/>
          <w:bCs/>
          <w:sz w:val="28"/>
          <w:szCs w:val="28"/>
        </w:rPr>
        <w:t xml:space="preserve">    </w:t>
      </w:r>
      <w:r>
        <w:rPr>
          <w:rFonts w:ascii="Times New Roman" w:hAnsi="Times New Roman" w:cs="Times New Roman"/>
          <w:b/>
          <w:bCs/>
          <w:sz w:val="28"/>
          <w:szCs w:val="28"/>
        </w:rPr>
        <w:t xml:space="preserve"> 9</w:t>
      </w:r>
      <w:r w:rsidRPr="00B8783A">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w:t>
      </w:r>
      <w:r w:rsidR="00645621">
        <w:rPr>
          <w:rFonts w:ascii="Times New Roman" w:hAnsi="Times New Roman" w:cs="Times New Roman"/>
          <w:b/>
          <w:bCs/>
          <w:sz w:val="28"/>
          <w:szCs w:val="28"/>
        </w:rPr>
        <w:t>APPLICANT</w:t>
      </w:r>
    </w:p>
    <w:p w14:paraId="6A6F847F" w14:textId="77777777" w:rsidR="00AB137E" w:rsidRDefault="00AB137E" w:rsidP="00AB137E">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REFILOE KHELELI</w:t>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00645621">
        <w:rPr>
          <w:rFonts w:ascii="Times New Roman" w:hAnsi="Times New Roman" w:cs="Times New Roman"/>
          <w:b/>
          <w:bCs/>
          <w:sz w:val="28"/>
          <w:szCs w:val="28"/>
        </w:rPr>
        <w:t xml:space="preserve">    </w:t>
      </w:r>
      <w:r>
        <w:rPr>
          <w:rFonts w:ascii="Times New Roman" w:hAnsi="Times New Roman" w:cs="Times New Roman"/>
          <w:b/>
          <w:bCs/>
          <w:sz w:val="28"/>
          <w:szCs w:val="28"/>
        </w:rPr>
        <w:t>10</w:t>
      </w:r>
      <w:r w:rsidRPr="00B8783A">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w:t>
      </w:r>
      <w:r w:rsidR="00645621">
        <w:rPr>
          <w:rFonts w:ascii="Times New Roman" w:hAnsi="Times New Roman" w:cs="Times New Roman"/>
          <w:b/>
          <w:bCs/>
          <w:sz w:val="28"/>
          <w:szCs w:val="28"/>
        </w:rPr>
        <w:t>APPLICANT</w:t>
      </w:r>
    </w:p>
    <w:p w14:paraId="533AFCB6" w14:textId="77777777" w:rsidR="00AB137E" w:rsidRDefault="00AB137E" w:rsidP="00AB137E">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MOOROSI KALANE</w:t>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00645621">
        <w:rPr>
          <w:rFonts w:ascii="Times New Roman" w:hAnsi="Times New Roman" w:cs="Times New Roman"/>
          <w:b/>
          <w:bCs/>
          <w:sz w:val="28"/>
          <w:szCs w:val="28"/>
        </w:rPr>
        <w:t xml:space="preserve">    </w:t>
      </w:r>
      <w:r>
        <w:rPr>
          <w:rFonts w:ascii="Times New Roman" w:hAnsi="Times New Roman" w:cs="Times New Roman"/>
          <w:b/>
          <w:bCs/>
          <w:sz w:val="28"/>
          <w:szCs w:val="28"/>
        </w:rPr>
        <w:t xml:space="preserve"> 11</w:t>
      </w:r>
      <w:r w:rsidRPr="00B8783A">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w:t>
      </w:r>
      <w:r w:rsidR="00645621">
        <w:rPr>
          <w:rFonts w:ascii="Times New Roman" w:hAnsi="Times New Roman" w:cs="Times New Roman"/>
          <w:b/>
          <w:bCs/>
          <w:sz w:val="28"/>
          <w:szCs w:val="28"/>
        </w:rPr>
        <w:t>APPLICANT</w:t>
      </w:r>
    </w:p>
    <w:p w14:paraId="18FDC6A2" w14:textId="77777777" w:rsidR="00AB137E" w:rsidRDefault="00AB137E" w:rsidP="00AB137E">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SEBONGILE CEKWANE</w:t>
      </w:r>
      <w:r>
        <w:rPr>
          <w:rFonts w:ascii="Times New Roman" w:hAnsi="Times New Roman" w:cs="Times New Roman"/>
          <w:b/>
          <w:bCs/>
          <w:sz w:val="28"/>
          <w:szCs w:val="28"/>
        </w:rPr>
        <w:tab/>
        <w:t xml:space="preserve">                                         </w:t>
      </w:r>
      <w:r w:rsidR="00645621">
        <w:rPr>
          <w:rFonts w:ascii="Times New Roman" w:hAnsi="Times New Roman" w:cs="Times New Roman"/>
          <w:b/>
          <w:bCs/>
          <w:sz w:val="28"/>
          <w:szCs w:val="28"/>
        </w:rPr>
        <w:t xml:space="preserve">    </w:t>
      </w:r>
      <w:r>
        <w:rPr>
          <w:rFonts w:ascii="Times New Roman" w:hAnsi="Times New Roman" w:cs="Times New Roman"/>
          <w:b/>
          <w:bCs/>
          <w:sz w:val="28"/>
          <w:szCs w:val="28"/>
        </w:rPr>
        <w:t>12</w:t>
      </w:r>
      <w:r w:rsidRPr="00B8783A">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w:t>
      </w:r>
      <w:r w:rsidR="00645621">
        <w:rPr>
          <w:rFonts w:ascii="Times New Roman" w:hAnsi="Times New Roman" w:cs="Times New Roman"/>
          <w:b/>
          <w:bCs/>
          <w:sz w:val="28"/>
          <w:szCs w:val="28"/>
        </w:rPr>
        <w:t>APPLICANT</w:t>
      </w:r>
    </w:p>
    <w:p w14:paraId="5AB9F9A2" w14:textId="77777777" w:rsidR="000B22EB" w:rsidRPr="000B22EB" w:rsidRDefault="000B22EB" w:rsidP="00AB137E">
      <w:pPr>
        <w:spacing w:line="360" w:lineRule="auto"/>
        <w:contextualSpacing/>
        <w:jc w:val="both"/>
        <w:rPr>
          <w:rFonts w:ascii="Times New Roman" w:hAnsi="Times New Roman" w:cs="Times New Roman"/>
          <w:b/>
          <w:bCs/>
          <w:sz w:val="16"/>
          <w:szCs w:val="16"/>
        </w:rPr>
      </w:pPr>
    </w:p>
    <w:p w14:paraId="2BAAB251" w14:textId="77777777" w:rsidR="00AB137E" w:rsidRDefault="00AB137E" w:rsidP="00AB137E">
      <w:pPr>
        <w:spacing w:line="360" w:lineRule="auto"/>
        <w:contextualSpacing/>
        <w:jc w:val="both"/>
        <w:rPr>
          <w:rFonts w:ascii="Times New Roman" w:hAnsi="Times New Roman" w:cs="Times New Roman"/>
          <w:sz w:val="28"/>
          <w:szCs w:val="28"/>
        </w:rPr>
      </w:pPr>
      <w:r w:rsidRPr="00AB137E">
        <w:rPr>
          <w:rFonts w:ascii="Times New Roman" w:hAnsi="Times New Roman" w:cs="Times New Roman"/>
          <w:sz w:val="28"/>
          <w:szCs w:val="28"/>
        </w:rPr>
        <w:t xml:space="preserve">And </w:t>
      </w:r>
    </w:p>
    <w:p w14:paraId="4E878792" w14:textId="77777777" w:rsidR="000B22EB" w:rsidRPr="000B22EB" w:rsidRDefault="000B22EB" w:rsidP="00AB137E">
      <w:pPr>
        <w:spacing w:line="360" w:lineRule="auto"/>
        <w:contextualSpacing/>
        <w:jc w:val="both"/>
        <w:rPr>
          <w:rFonts w:ascii="Times New Roman" w:hAnsi="Times New Roman" w:cs="Times New Roman"/>
          <w:sz w:val="16"/>
          <w:szCs w:val="16"/>
        </w:rPr>
      </w:pPr>
    </w:p>
    <w:p w14:paraId="4068C415" w14:textId="34091F64" w:rsidR="00AB137E" w:rsidRDefault="00AB137E" w:rsidP="00AB137E">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THE COMMISSIONER OF POLICE</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1</w:t>
      </w:r>
      <w:r w:rsidRPr="00E70E86">
        <w:rPr>
          <w:rFonts w:ascii="Times New Roman" w:hAnsi="Times New Roman" w:cs="Times New Roman"/>
          <w:b/>
          <w:bCs/>
          <w:sz w:val="28"/>
          <w:szCs w:val="28"/>
          <w:vertAlign w:val="superscript"/>
        </w:rPr>
        <w:t>ST</w:t>
      </w:r>
      <w:r w:rsidR="00BF6B41">
        <w:rPr>
          <w:rFonts w:ascii="Times New Roman" w:hAnsi="Times New Roman" w:cs="Times New Roman"/>
          <w:b/>
          <w:bCs/>
          <w:sz w:val="28"/>
          <w:szCs w:val="28"/>
          <w:vertAlign w:val="superscript"/>
        </w:rPr>
        <w:t xml:space="preserve"> </w:t>
      </w:r>
      <w:r>
        <w:rPr>
          <w:rFonts w:ascii="Times New Roman" w:hAnsi="Times New Roman" w:cs="Times New Roman"/>
          <w:b/>
          <w:bCs/>
          <w:sz w:val="28"/>
          <w:szCs w:val="28"/>
        </w:rPr>
        <w:t xml:space="preserve">RESPONDENT </w:t>
      </w:r>
    </w:p>
    <w:p w14:paraId="0E371D84" w14:textId="03A68040" w:rsidR="00AB137E" w:rsidRPr="00260C2F" w:rsidRDefault="00AB137E" w:rsidP="00260C2F">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THE ATTORNEY GENERAL</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386AFA">
        <w:rPr>
          <w:rFonts w:ascii="Times New Roman" w:hAnsi="Times New Roman" w:cs="Times New Roman"/>
          <w:b/>
          <w:bCs/>
          <w:sz w:val="28"/>
          <w:szCs w:val="28"/>
        </w:rPr>
        <w:tab/>
        <w:t xml:space="preserve"> 2</w:t>
      </w:r>
      <w:r w:rsidRPr="00E70E86">
        <w:rPr>
          <w:rFonts w:ascii="Times New Roman" w:hAnsi="Times New Roman" w:cs="Times New Roman"/>
          <w:b/>
          <w:bCs/>
          <w:sz w:val="28"/>
          <w:szCs w:val="28"/>
          <w:vertAlign w:val="superscript"/>
        </w:rPr>
        <w:t>ND</w:t>
      </w:r>
      <w:r>
        <w:rPr>
          <w:rFonts w:ascii="Times New Roman" w:hAnsi="Times New Roman" w:cs="Times New Roman"/>
          <w:b/>
          <w:bCs/>
          <w:sz w:val="28"/>
          <w:szCs w:val="28"/>
          <w:vertAlign w:val="superscript"/>
        </w:rPr>
        <w:t xml:space="preserve"> </w:t>
      </w:r>
      <w:r>
        <w:rPr>
          <w:rFonts w:ascii="Times New Roman" w:hAnsi="Times New Roman" w:cs="Times New Roman"/>
          <w:b/>
          <w:bCs/>
          <w:sz w:val="28"/>
          <w:szCs w:val="28"/>
        </w:rPr>
        <w:t xml:space="preserve">RESPONDENT </w:t>
      </w:r>
    </w:p>
    <w:p w14:paraId="0307318A" w14:textId="77777777" w:rsidR="000B22EB" w:rsidRDefault="000B22EB" w:rsidP="000B22EB">
      <w:pPr>
        <w:spacing w:line="360" w:lineRule="auto"/>
        <w:contextualSpacing/>
        <w:rPr>
          <w:rFonts w:ascii="Times New Roman" w:hAnsi="Times New Roman" w:cs="Times New Roman"/>
          <w:b/>
          <w:bCs/>
          <w:sz w:val="28"/>
          <w:szCs w:val="28"/>
          <w:u w:val="single"/>
        </w:rPr>
      </w:pPr>
    </w:p>
    <w:p w14:paraId="46041C8D" w14:textId="77777777" w:rsidR="00AB137E" w:rsidRDefault="00E137A7" w:rsidP="00AB137E">
      <w:pPr>
        <w:spacing w:line="360" w:lineRule="auto"/>
        <w:contextualSpacing/>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JUDGMENT</w:t>
      </w:r>
    </w:p>
    <w:p w14:paraId="26C82784" w14:textId="77777777" w:rsidR="00AB137E" w:rsidRPr="00B11465" w:rsidRDefault="00AB137E" w:rsidP="00AB137E">
      <w:pPr>
        <w:spacing w:line="360" w:lineRule="auto"/>
        <w:contextualSpacing/>
        <w:jc w:val="center"/>
        <w:rPr>
          <w:rFonts w:ascii="Times New Roman" w:hAnsi="Times New Roman" w:cs="Times New Roman"/>
          <w:b/>
          <w:bCs/>
          <w:sz w:val="16"/>
          <w:szCs w:val="16"/>
          <w:u w:val="single"/>
        </w:rPr>
      </w:pPr>
    </w:p>
    <w:p w14:paraId="67A0B8B6" w14:textId="0A3B078F" w:rsidR="00AB137E" w:rsidRDefault="00AB137E" w:rsidP="00AB137E">
      <w:pPr>
        <w:spacing w:line="360" w:lineRule="auto"/>
        <w:contextualSpacing/>
        <w:rPr>
          <w:rFonts w:ascii="Times New Roman" w:hAnsi="Times New Roman" w:cs="Times New Roman"/>
          <w:sz w:val="28"/>
          <w:szCs w:val="28"/>
        </w:rPr>
      </w:pPr>
      <w:r w:rsidRPr="00C35056">
        <w:rPr>
          <w:rFonts w:ascii="Times New Roman" w:hAnsi="Times New Roman" w:cs="Times New Roman"/>
          <w:sz w:val="28"/>
          <w:szCs w:val="28"/>
          <w:u w:val="single"/>
        </w:rPr>
        <w:t>Neutral citation:</w:t>
      </w:r>
      <w:r w:rsidRPr="00C35056">
        <w:rPr>
          <w:rFonts w:ascii="Times New Roman" w:hAnsi="Times New Roman" w:cs="Times New Roman"/>
          <w:sz w:val="28"/>
          <w:szCs w:val="28"/>
        </w:rPr>
        <w:t xml:space="preserve"> </w:t>
      </w:r>
      <w:r w:rsidR="00974F6F">
        <w:rPr>
          <w:rFonts w:ascii="Times New Roman" w:hAnsi="Times New Roman" w:cs="Times New Roman"/>
          <w:sz w:val="28"/>
          <w:szCs w:val="28"/>
        </w:rPr>
        <w:t xml:space="preserve">Moliehi Dlamini &amp; 11 </w:t>
      </w:r>
      <w:r w:rsidR="00E137A7">
        <w:rPr>
          <w:rFonts w:ascii="Times New Roman" w:hAnsi="Times New Roman" w:cs="Times New Roman"/>
          <w:sz w:val="28"/>
          <w:szCs w:val="28"/>
        </w:rPr>
        <w:t>Ors v</w:t>
      </w:r>
      <w:r w:rsidR="00974F6F">
        <w:rPr>
          <w:rFonts w:ascii="Times New Roman" w:hAnsi="Times New Roman" w:cs="Times New Roman"/>
          <w:sz w:val="28"/>
          <w:szCs w:val="28"/>
        </w:rPr>
        <w:t xml:space="preserve"> </w:t>
      </w:r>
      <w:r>
        <w:rPr>
          <w:rFonts w:ascii="Times New Roman" w:hAnsi="Times New Roman" w:cs="Times New Roman"/>
          <w:sz w:val="28"/>
          <w:szCs w:val="28"/>
        </w:rPr>
        <w:t>Commissioner of Police and Another (No.</w:t>
      </w:r>
      <w:r w:rsidR="00974F6F">
        <w:rPr>
          <w:rFonts w:ascii="Times New Roman" w:hAnsi="Times New Roman" w:cs="Times New Roman"/>
          <w:sz w:val="28"/>
          <w:szCs w:val="28"/>
        </w:rPr>
        <w:t>2</w:t>
      </w:r>
      <w:r>
        <w:rPr>
          <w:rFonts w:ascii="Times New Roman" w:hAnsi="Times New Roman" w:cs="Times New Roman"/>
          <w:sz w:val="28"/>
          <w:szCs w:val="28"/>
        </w:rPr>
        <w:t xml:space="preserve">) </w:t>
      </w:r>
      <w:r w:rsidR="00386AFA">
        <w:rPr>
          <w:rFonts w:ascii="Times New Roman" w:hAnsi="Times New Roman" w:cs="Times New Roman"/>
          <w:sz w:val="28"/>
          <w:szCs w:val="28"/>
        </w:rPr>
        <w:t>LSHC</w:t>
      </w:r>
      <w:r w:rsidR="003F483B">
        <w:rPr>
          <w:rFonts w:ascii="Times New Roman" w:hAnsi="Times New Roman" w:cs="Times New Roman"/>
          <w:sz w:val="28"/>
          <w:szCs w:val="28"/>
        </w:rPr>
        <w:t xml:space="preserve"> 172</w:t>
      </w:r>
      <w:r w:rsidR="00386AFA">
        <w:rPr>
          <w:rFonts w:ascii="Times New Roman" w:hAnsi="Times New Roman" w:cs="Times New Roman"/>
          <w:sz w:val="28"/>
          <w:szCs w:val="28"/>
        </w:rPr>
        <w:t xml:space="preserve"> CIV</w:t>
      </w:r>
      <w:r>
        <w:rPr>
          <w:rFonts w:ascii="Times New Roman" w:hAnsi="Times New Roman" w:cs="Times New Roman"/>
          <w:sz w:val="28"/>
          <w:szCs w:val="28"/>
        </w:rPr>
        <w:t xml:space="preserve"> (</w:t>
      </w:r>
      <w:r w:rsidR="00F3394A">
        <w:rPr>
          <w:rFonts w:ascii="Times New Roman" w:hAnsi="Times New Roman" w:cs="Times New Roman"/>
          <w:sz w:val="28"/>
          <w:szCs w:val="28"/>
        </w:rPr>
        <w:t>29 June 2022</w:t>
      </w:r>
      <w:r>
        <w:rPr>
          <w:rFonts w:ascii="Times New Roman" w:hAnsi="Times New Roman" w:cs="Times New Roman"/>
          <w:sz w:val="28"/>
          <w:szCs w:val="28"/>
        </w:rPr>
        <w:t>).</w:t>
      </w:r>
    </w:p>
    <w:p w14:paraId="1BDAFC14" w14:textId="77777777" w:rsidR="00AB137E" w:rsidRPr="003228B5" w:rsidRDefault="00AB137E" w:rsidP="00AB137E">
      <w:pPr>
        <w:spacing w:line="360" w:lineRule="auto"/>
        <w:contextualSpacing/>
        <w:rPr>
          <w:rFonts w:ascii="Times New Roman" w:hAnsi="Times New Roman" w:cs="Times New Roman"/>
          <w:sz w:val="16"/>
          <w:szCs w:val="16"/>
          <w:u w:val="single"/>
        </w:rPr>
      </w:pPr>
    </w:p>
    <w:p w14:paraId="3B055C90" w14:textId="77777777" w:rsidR="00AB137E" w:rsidRPr="00BB2C29" w:rsidRDefault="00AB137E" w:rsidP="00AB137E">
      <w:pPr>
        <w:spacing w:line="360" w:lineRule="auto"/>
        <w:contextualSpacing/>
        <w:jc w:val="both"/>
        <w:rPr>
          <w:rFonts w:ascii="Times New Roman" w:hAnsi="Times New Roman" w:cs="Times New Roman"/>
          <w:b/>
          <w:bCs/>
          <w:sz w:val="28"/>
          <w:szCs w:val="28"/>
        </w:rPr>
      </w:pPr>
      <w:r w:rsidRPr="00BB2C29">
        <w:rPr>
          <w:rFonts w:ascii="Times New Roman" w:hAnsi="Times New Roman" w:cs="Times New Roman"/>
          <w:b/>
          <w:bCs/>
          <w:sz w:val="28"/>
          <w:szCs w:val="28"/>
        </w:rPr>
        <w:t xml:space="preserve">CORAM: </w:t>
      </w:r>
      <w:r w:rsidRPr="00BB2C29">
        <w:rPr>
          <w:rFonts w:ascii="Times New Roman" w:hAnsi="Times New Roman" w:cs="Times New Roman"/>
          <w:b/>
          <w:bCs/>
          <w:sz w:val="28"/>
          <w:szCs w:val="28"/>
        </w:rPr>
        <w:tab/>
      </w:r>
      <w:r w:rsidRPr="00BB2C29">
        <w:rPr>
          <w:rFonts w:ascii="Times New Roman" w:hAnsi="Times New Roman" w:cs="Times New Roman"/>
          <w:b/>
          <w:bCs/>
          <w:sz w:val="28"/>
          <w:szCs w:val="28"/>
        </w:rPr>
        <w:tab/>
      </w:r>
      <w:r w:rsidRPr="00BB2C29">
        <w:rPr>
          <w:rFonts w:ascii="Times New Roman" w:hAnsi="Times New Roman" w:cs="Times New Roman"/>
          <w:b/>
          <w:bCs/>
          <w:sz w:val="28"/>
          <w:szCs w:val="28"/>
        </w:rPr>
        <w:tab/>
      </w:r>
      <w:r w:rsidRPr="00BB2C29">
        <w:rPr>
          <w:rFonts w:ascii="Times New Roman" w:hAnsi="Times New Roman" w:cs="Times New Roman"/>
          <w:b/>
          <w:bCs/>
          <w:sz w:val="28"/>
          <w:szCs w:val="28"/>
        </w:rPr>
        <w:tab/>
      </w:r>
      <w:r w:rsidRPr="00BB2C29">
        <w:rPr>
          <w:rFonts w:ascii="Times New Roman" w:hAnsi="Times New Roman" w:cs="Times New Roman"/>
          <w:sz w:val="28"/>
          <w:szCs w:val="28"/>
        </w:rPr>
        <w:t>T.J. MOKOKO J</w:t>
      </w:r>
    </w:p>
    <w:p w14:paraId="57BCDD39" w14:textId="2E3737DC" w:rsidR="00AB137E" w:rsidRPr="00BB2C29" w:rsidRDefault="00AB137E" w:rsidP="00AB137E">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HEARD</w:t>
      </w:r>
      <w:r w:rsidRPr="00BB2C29">
        <w:rPr>
          <w:rFonts w:ascii="Times New Roman" w:hAnsi="Times New Roman" w:cs="Times New Roman"/>
          <w:b/>
          <w:bCs/>
          <w:sz w:val="28"/>
          <w:szCs w:val="28"/>
        </w:rPr>
        <w:t xml:space="preserve">: </w:t>
      </w:r>
      <w:r w:rsidRPr="00BB2C29">
        <w:rPr>
          <w:rFonts w:ascii="Times New Roman" w:hAnsi="Times New Roman" w:cs="Times New Roman"/>
          <w:b/>
          <w:bCs/>
          <w:sz w:val="28"/>
          <w:szCs w:val="28"/>
        </w:rPr>
        <w:tab/>
      </w:r>
      <w:r w:rsidR="00B65260">
        <w:rPr>
          <w:rFonts w:ascii="Times New Roman" w:hAnsi="Times New Roman" w:cs="Times New Roman"/>
          <w:b/>
          <w:bCs/>
          <w:sz w:val="28"/>
          <w:szCs w:val="28"/>
        </w:rPr>
        <w:tab/>
      </w:r>
      <w:r w:rsidR="00B65260">
        <w:rPr>
          <w:rFonts w:ascii="Times New Roman" w:hAnsi="Times New Roman" w:cs="Times New Roman"/>
          <w:b/>
          <w:bCs/>
          <w:sz w:val="28"/>
          <w:szCs w:val="28"/>
        </w:rPr>
        <w:tab/>
      </w:r>
      <w:r w:rsidR="00B65260">
        <w:rPr>
          <w:rFonts w:ascii="Times New Roman" w:hAnsi="Times New Roman" w:cs="Times New Roman"/>
          <w:b/>
          <w:bCs/>
          <w:sz w:val="28"/>
          <w:szCs w:val="28"/>
        </w:rPr>
        <w:tab/>
      </w:r>
      <w:r w:rsidR="00B65260" w:rsidRPr="00B65260">
        <w:rPr>
          <w:rFonts w:ascii="Times New Roman" w:hAnsi="Times New Roman" w:cs="Times New Roman"/>
          <w:sz w:val="28"/>
          <w:szCs w:val="28"/>
        </w:rPr>
        <w:t>23 JUNE 2022</w:t>
      </w:r>
      <w:r w:rsidRPr="00B65260">
        <w:rPr>
          <w:rFonts w:ascii="Times New Roman" w:hAnsi="Times New Roman" w:cs="Times New Roman"/>
          <w:sz w:val="28"/>
          <w:szCs w:val="28"/>
        </w:rPr>
        <w:tab/>
      </w:r>
      <w:r>
        <w:rPr>
          <w:rFonts w:ascii="Times New Roman" w:hAnsi="Times New Roman" w:cs="Times New Roman"/>
          <w:b/>
          <w:bCs/>
          <w:sz w:val="28"/>
          <w:szCs w:val="28"/>
        </w:rPr>
        <w:tab/>
      </w:r>
    </w:p>
    <w:p w14:paraId="41E8D9C8" w14:textId="5EA32225" w:rsidR="00B65260" w:rsidRPr="00B65260" w:rsidRDefault="00AB137E" w:rsidP="00AB137E">
      <w:pPr>
        <w:spacing w:line="360" w:lineRule="auto"/>
        <w:contextualSpacing/>
        <w:jc w:val="both"/>
        <w:rPr>
          <w:rFonts w:ascii="Times New Roman" w:hAnsi="Times New Roman" w:cs="Times New Roman"/>
          <w:sz w:val="28"/>
          <w:szCs w:val="28"/>
        </w:rPr>
      </w:pPr>
      <w:r w:rsidRPr="00BB2C29">
        <w:rPr>
          <w:rFonts w:ascii="Times New Roman" w:hAnsi="Times New Roman" w:cs="Times New Roman"/>
          <w:b/>
          <w:bCs/>
          <w:sz w:val="28"/>
          <w:szCs w:val="28"/>
        </w:rPr>
        <w:t>D</w:t>
      </w:r>
      <w:r>
        <w:rPr>
          <w:rFonts w:ascii="Times New Roman" w:hAnsi="Times New Roman" w:cs="Times New Roman"/>
          <w:b/>
          <w:bCs/>
          <w:sz w:val="28"/>
          <w:szCs w:val="28"/>
        </w:rPr>
        <w:t>ELIVERED</w:t>
      </w:r>
      <w:r w:rsidRPr="00BB2C29">
        <w:rPr>
          <w:rFonts w:ascii="Times New Roman" w:hAnsi="Times New Roman" w:cs="Times New Roman"/>
          <w:b/>
          <w:bCs/>
          <w:sz w:val="28"/>
          <w:szCs w:val="28"/>
        </w:rPr>
        <w:t xml:space="preserve">: </w:t>
      </w:r>
      <w:r>
        <w:rPr>
          <w:rFonts w:ascii="Times New Roman" w:hAnsi="Times New Roman" w:cs="Times New Roman"/>
          <w:b/>
          <w:bCs/>
          <w:sz w:val="28"/>
          <w:szCs w:val="28"/>
        </w:rPr>
        <w:tab/>
      </w:r>
      <w:r w:rsidR="00B65260">
        <w:rPr>
          <w:rFonts w:ascii="Times New Roman" w:hAnsi="Times New Roman" w:cs="Times New Roman"/>
          <w:b/>
          <w:bCs/>
          <w:sz w:val="28"/>
          <w:szCs w:val="28"/>
        </w:rPr>
        <w:tab/>
      </w:r>
      <w:r w:rsidR="00B65260">
        <w:rPr>
          <w:rFonts w:ascii="Times New Roman" w:hAnsi="Times New Roman" w:cs="Times New Roman"/>
          <w:b/>
          <w:bCs/>
          <w:sz w:val="28"/>
          <w:szCs w:val="28"/>
        </w:rPr>
        <w:tab/>
      </w:r>
      <w:r w:rsidR="00B65260" w:rsidRPr="00B65260">
        <w:rPr>
          <w:rFonts w:ascii="Times New Roman" w:hAnsi="Times New Roman" w:cs="Times New Roman"/>
          <w:sz w:val="28"/>
          <w:szCs w:val="28"/>
        </w:rPr>
        <w:t>29 JUNE 2022</w:t>
      </w:r>
    </w:p>
    <w:p w14:paraId="558A9603" w14:textId="1CF7A433" w:rsidR="00AB137E" w:rsidRPr="00B65260" w:rsidRDefault="00AB137E" w:rsidP="00B65260">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ab/>
      </w:r>
      <w:r w:rsidRPr="00BB2C29">
        <w:rPr>
          <w:rFonts w:ascii="Times New Roman" w:hAnsi="Times New Roman" w:cs="Times New Roman"/>
          <w:b/>
          <w:bCs/>
          <w:sz w:val="28"/>
          <w:szCs w:val="28"/>
        </w:rPr>
        <w:tab/>
      </w:r>
    </w:p>
    <w:p w14:paraId="40A9CEAD" w14:textId="20FB593B" w:rsidR="00AB137E" w:rsidRDefault="00AB137E" w:rsidP="00AB137E">
      <w:pPr>
        <w:spacing w:line="360" w:lineRule="auto"/>
        <w:contextualSpacing/>
        <w:jc w:val="center"/>
        <w:rPr>
          <w:rFonts w:ascii="Times New Roman" w:hAnsi="Times New Roman" w:cs="Times New Roman"/>
          <w:b/>
          <w:bCs/>
          <w:i/>
          <w:iCs/>
          <w:sz w:val="28"/>
          <w:szCs w:val="28"/>
          <w:u w:val="single"/>
        </w:rPr>
      </w:pPr>
      <w:r w:rsidRPr="00A90F8D">
        <w:rPr>
          <w:rFonts w:ascii="Times New Roman" w:hAnsi="Times New Roman" w:cs="Times New Roman"/>
          <w:b/>
          <w:bCs/>
          <w:i/>
          <w:iCs/>
          <w:sz w:val="28"/>
          <w:szCs w:val="28"/>
          <w:u w:val="single"/>
        </w:rPr>
        <w:t xml:space="preserve">SUMMARY </w:t>
      </w:r>
    </w:p>
    <w:p w14:paraId="659ADFFB" w14:textId="77777777" w:rsidR="00C611ED" w:rsidRPr="00C611ED" w:rsidRDefault="00C611ED" w:rsidP="00AB137E">
      <w:pPr>
        <w:spacing w:line="360" w:lineRule="auto"/>
        <w:contextualSpacing/>
        <w:jc w:val="center"/>
        <w:rPr>
          <w:rFonts w:ascii="Times New Roman" w:hAnsi="Times New Roman" w:cs="Times New Roman"/>
          <w:b/>
          <w:bCs/>
          <w:i/>
          <w:iCs/>
          <w:sz w:val="16"/>
          <w:szCs w:val="16"/>
          <w:u w:val="single"/>
        </w:rPr>
      </w:pPr>
    </w:p>
    <w:p w14:paraId="6CB5ADFD" w14:textId="7FE87164" w:rsidR="00C611ED" w:rsidRPr="00C611ED" w:rsidRDefault="00C611ED" w:rsidP="006606BB">
      <w:pPr>
        <w:spacing w:line="360" w:lineRule="auto"/>
        <w:contextualSpacing/>
        <w:jc w:val="both"/>
        <w:rPr>
          <w:rFonts w:ascii="Times New Roman" w:hAnsi="Times New Roman" w:cs="Times New Roman"/>
          <w:i/>
          <w:iCs/>
          <w:sz w:val="28"/>
          <w:szCs w:val="28"/>
        </w:rPr>
      </w:pPr>
      <w:r>
        <w:rPr>
          <w:rFonts w:ascii="Times New Roman" w:hAnsi="Times New Roman" w:cs="Times New Roman"/>
          <w:i/>
          <w:iCs/>
          <w:sz w:val="28"/>
          <w:szCs w:val="28"/>
        </w:rPr>
        <w:t xml:space="preserve">Court Order suspending furnishing of applicants’ representations – Whether termination </w:t>
      </w:r>
      <w:r w:rsidR="006606BB">
        <w:rPr>
          <w:rFonts w:ascii="Times New Roman" w:hAnsi="Times New Roman" w:cs="Times New Roman"/>
          <w:i/>
          <w:iCs/>
          <w:sz w:val="28"/>
          <w:szCs w:val="28"/>
        </w:rPr>
        <w:t>o</w:t>
      </w:r>
      <w:r>
        <w:rPr>
          <w:rFonts w:ascii="Times New Roman" w:hAnsi="Times New Roman" w:cs="Times New Roman"/>
          <w:i/>
          <w:iCs/>
          <w:sz w:val="28"/>
          <w:szCs w:val="28"/>
        </w:rPr>
        <w:t xml:space="preserve">f applicants’ training as police recruits justified – </w:t>
      </w:r>
      <w:r w:rsidR="008F4789">
        <w:rPr>
          <w:rFonts w:ascii="Times New Roman" w:hAnsi="Times New Roman" w:cs="Times New Roman"/>
          <w:i/>
          <w:iCs/>
          <w:sz w:val="28"/>
          <w:szCs w:val="28"/>
        </w:rPr>
        <w:t>Where there</w:t>
      </w:r>
      <w:r>
        <w:rPr>
          <w:rFonts w:ascii="Times New Roman" w:hAnsi="Times New Roman" w:cs="Times New Roman"/>
          <w:i/>
          <w:iCs/>
          <w:sz w:val="28"/>
          <w:szCs w:val="28"/>
        </w:rPr>
        <w:t xml:space="preserve"> was Court Order suspending such termination.</w:t>
      </w:r>
      <w:r w:rsidR="006606BB">
        <w:rPr>
          <w:rFonts w:ascii="Times New Roman" w:hAnsi="Times New Roman" w:cs="Times New Roman"/>
          <w:i/>
          <w:iCs/>
          <w:sz w:val="28"/>
          <w:szCs w:val="28"/>
        </w:rPr>
        <w:tab/>
      </w:r>
      <w:r w:rsidRPr="006606BB">
        <w:rPr>
          <w:rFonts w:ascii="Times New Roman" w:hAnsi="Times New Roman" w:cs="Times New Roman"/>
          <w:b/>
          <w:bCs/>
          <w:i/>
          <w:iCs/>
          <w:sz w:val="28"/>
          <w:szCs w:val="28"/>
        </w:rPr>
        <w:t>Costs</w:t>
      </w:r>
      <w:r>
        <w:rPr>
          <w:rFonts w:ascii="Times New Roman" w:hAnsi="Times New Roman" w:cs="Times New Roman"/>
          <w:i/>
          <w:iCs/>
          <w:sz w:val="28"/>
          <w:szCs w:val="28"/>
        </w:rPr>
        <w:t xml:space="preserve"> – Whether costs on attorney and clients scale</w:t>
      </w:r>
      <w:r w:rsidR="008F4789">
        <w:rPr>
          <w:rFonts w:ascii="Times New Roman" w:hAnsi="Times New Roman" w:cs="Times New Roman"/>
          <w:i/>
          <w:iCs/>
          <w:sz w:val="28"/>
          <w:szCs w:val="28"/>
        </w:rPr>
        <w:t xml:space="preserve"> are</w:t>
      </w:r>
      <w:r>
        <w:rPr>
          <w:rFonts w:ascii="Times New Roman" w:hAnsi="Times New Roman" w:cs="Times New Roman"/>
          <w:i/>
          <w:iCs/>
          <w:sz w:val="28"/>
          <w:szCs w:val="28"/>
        </w:rPr>
        <w:t xml:space="preserve"> justified – requisites, there</w:t>
      </w:r>
      <w:r w:rsidR="006E1A73">
        <w:rPr>
          <w:rFonts w:ascii="Times New Roman" w:hAnsi="Times New Roman" w:cs="Times New Roman"/>
          <w:i/>
          <w:iCs/>
          <w:sz w:val="28"/>
          <w:szCs w:val="28"/>
        </w:rPr>
        <w:t>of</w:t>
      </w:r>
      <w:r>
        <w:rPr>
          <w:rFonts w:ascii="Times New Roman" w:hAnsi="Times New Roman" w:cs="Times New Roman"/>
          <w:i/>
          <w:iCs/>
          <w:sz w:val="28"/>
          <w:szCs w:val="28"/>
        </w:rPr>
        <w:t>.</w:t>
      </w:r>
    </w:p>
    <w:p w14:paraId="2BC2CD74" w14:textId="77777777" w:rsidR="00FD14CD" w:rsidRPr="008201C5" w:rsidRDefault="00FD14CD" w:rsidP="00847772">
      <w:pPr>
        <w:spacing w:line="360" w:lineRule="auto"/>
        <w:contextualSpacing/>
        <w:rPr>
          <w:rFonts w:ascii="Times New Roman" w:hAnsi="Times New Roman" w:cs="Times New Roman"/>
          <w:i/>
          <w:iCs/>
          <w:sz w:val="16"/>
          <w:szCs w:val="16"/>
        </w:rPr>
      </w:pPr>
    </w:p>
    <w:p w14:paraId="6B50ACA9" w14:textId="77777777" w:rsidR="00FD14CD" w:rsidRPr="00E54EEB" w:rsidRDefault="00FD14CD" w:rsidP="00AB137E">
      <w:pPr>
        <w:spacing w:line="360" w:lineRule="auto"/>
        <w:contextualSpacing/>
        <w:jc w:val="center"/>
        <w:rPr>
          <w:rFonts w:ascii="Times New Roman" w:hAnsi="Times New Roman" w:cs="Times New Roman"/>
          <w:b/>
          <w:bCs/>
          <w:sz w:val="16"/>
          <w:szCs w:val="16"/>
        </w:rPr>
      </w:pPr>
    </w:p>
    <w:p w14:paraId="10FCC137" w14:textId="77777777" w:rsidR="00AB137E" w:rsidRDefault="00AB137E" w:rsidP="00AB137E">
      <w:pPr>
        <w:spacing w:line="360" w:lineRule="auto"/>
        <w:contextualSpacing/>
        <w:jc w:val="center"/>
        <w:rPr>
          <w:rFonts w:ascii="Times New Roman" w:hAnsi="Times New Roman" w:cs="Times New Roman"/>
          <w:b/>
          <w:bCs/>
          <w:sz w:val="28"/>
          <w:szCs w:val="28"/>
        </w:rPr>
      </w:pPr>
      <w:r w:rsidRPr="00AF4654">
        <w:rPr>
          <w:rFonts w:ascii="Times New Roman" w:hAnsi="Times New Roman" w:cs="Times New Roman"/>
          <w:b/>
          <w:bCs/>
          <w:sz w:val="28"/>
          <w:szCs w:val="28"/>
        </w:rPr>
        <w:t xml:space="preserve">ANNOTATIONS </w:t>
      </w:r>
    </w:p>
    <w:p w14:paraId="4B8D0B29" w14:textId="77777777" w:rsidR="00AB137E" w:rsidRDefault="00AB137E" w:rsidP="00AB137E">
      <w:pPr>
        <w:spacing w:line="360" w:lineRule="auto"/>
        <w:contextualSpacing/>
        <w:jc w:val="both"/>
        <w:rPr>
          <w:rFonts w:ascii="Times New Roman" w:hAnsi="Times New Roman" w:cs="Times New Roman"/>
          <w:b/>
          <w:bCs/>
          <w:i/>
          <w:iCs/>
          <w:sz w:val="28"/>
          <w:szCs w:val="28"/>
        </w:rPr>
      </w:pPr>
      <w:r w:rsidRPr="00AF4654">
        <w:rPr>
          <w:rFonts w:ascii="Times New Roman" w:hAnsi="Times New Roman" w:cs="Times New Roman"/>
          <w:b/>
          <w:bCs/>
          <w:i/>
          <w:iCs/>
          <w:sz w:val="28"/>
          <w:szCs w:val="28"/>
        </w:rPr>
        <w:t xml:space="preserve">Cases </w:t>
      </w:r>
    </w:p>
    <w:p w14:paraId="7CF1F5DD" w14:textId="77777777" w:rsidR="00866B13" w:rsidRPr="00866B13" w:rsidRDefault="00866B13" w:rsidP="00866B13">
      <w:pPr>
        <w:pStyle w:val="ListParagraph"/>
        <w:numPr>
          <w:ilvl w:val="0"/>
          <w:numId w:val="7"/>
        </w:numPr>
        <w:spacing w:line="360" w:lineRule="auto"/>
        <w:jc w:val="both"/>
        <w:rPr>
          <w:rFonts w:ascii="Times New Roman" w:hAnsi="Times New Roman" w:cs="Times New Roman"/>
          <w:i/>
          <w:iCs/>
          <w:sz w:val="28"/>
          <w:szCs w:val="28"/>
        </w:rPr>
      </w:pPr>
      <w:r w:rsidRPr="005B5E8F">
        <w:rPr>
          <w:rFonts w:ascii="Times New Roman" w:hAnsi="Times New Roman" w:cs="Times New Roman"/>
          <w:i/>
          <w:iCs/>
          <w:sz w:val="28"/>
          <w:szCs w:val="28"/>
        </w:rPr>
        <w:t>Beavan v Carelse 1939 CPD 323</w:t>
      </w:r>
    </w:p>
    <w:p w14:paraId="6972148C" w14:textId="64CA3EE9" w:rsidR="00831FB5" w:rsidRPr="00417079" w:rsidRDefault="00831FB5" w:rsidP="00831FB5">
      <w:pPr>
        <w:pStyle w:val="ListParagraph"/>
        <w:numPr>
          <w:ilvl w:val="0"/>
          <w:numId w:val="7"/>
        </w:numPr>
        <w:spacing w:line="360" w:lineRule="auto"/>
        <w:jc w:val="both"/>
        <w:rPr>
          <w:rFonts w:ascii="Times New Roman" w:hAnsi="Times New Roman" w:cs="Times New Roman"/>
          <w:i/>
          <w:iCs/>
          <w:sz w:val="28"/>
          <w:szCs w:val="28"/>
        </w:rPr>
      </w:pPr>
      <w:r w:rsidRPr="00417079">
        <w:rPr>
          <w:rFonts w:ascii="Times New Roman" w:hAnsi="Times New Roman" w:cs="Times New Roman"/>
          <w:i/>
          <w:iCs/>
          <w:sz w:val="28"/>
          <w:szCs w:val="28"/>
        </w:rPr>
        <w:t xml:space="preserve">Bushman v Lesotho Development and Construction (Pty) Ltd and </w:t>
      </w:r>
      <w:r w:rsidR="00C55FA9">
        <w:rPr>
          <w:rFonts w:ascii="Times New Roman" w:hAnsi="Times New Roman" w:cs="Times New Roman"/>
          <w:i/>
          <w:iCs/>
          <w:sz w:val="28"/>
          <w:szCs w:val="28"/>
        </w:rPr>
        <w:t>O</w:t>
      </w:r>
      <w:r w:rsidRPr="00417079">
        <w:rPr>
          <w:rFonts w:ascii="Times New Roman" w:hAnsi="Times New Roman" w:cs="Times New Roman"/>
          <w:i/>
          <w:iCs/>
          <w:sz w:val="28"/>
          <w:szCs w:val="28"/>
        </w:rPr>
        <w:t>thers (C OF A CIV) NO. 3 OF 2015 [2015] LSCA 4</w:t>
      </w:r>
    </w:p>
    <w:p w14:paraId="588B230A" w14:textId="77777777" w:rsidR="00831FB5" w:rsidRPr="00210300" w:rsidRDefault="00831FB5" w:rsidP="00831FB5">
      <w:pPr>
        <w:pStyle w:val="ListParagraph"/>
        <w:numPr>
          <w:ilvl w:val="0"/>
          <w:numId w:val="7"/>
        </w:numPr>
        <w:spacing w:line="360" w:lineRule="auto"/>
        <w:jc w:val="both"/>
        <w:rPr>
          <w:rFonts w:ascii="Times New Roman" w:hAnsi="Times New Roman" w:cs="Times New Roman"/>
          <w:i/>
          <w:iCs/>
          <w:sz w:val="28"/>
          <w:szCs w:val="28"/>
        </w:rPr>
      </w:pPr>
      <w:r w:rsidRPr="00210300">
        <w:rPr>
          <w:rFonts w:ascii="Times New Roman" w:hAnsi="Times New Roman" w:cs="Times New Roman"/>
          <w:i/>
          <w:iCs/>
          <w:sz w:val="28"/>
          <w:szCs w:val="28"/>
        </w:rPr>
        <w:t>Commissioner of Police and Another v Moliehi Dlamini and 11 Others – CIV/APN/0170/2022</w:t>
      </w:r>
    </w:p>
    <w:p w14:paraId="6CCC0ADA" w14:textId="77777777" w:rsidR="00831FB5" w:rsidRPr="00831FB5" w:rsidRDefault="00831FB5" w:rsidP="00831FB5">
      <w:pPr>
        <w:pStyle w:val="ListParagraph"/>
        <w:numPr>
          <w:ilvl w:val="0"/>
          <w:numId w:val="7"/>
        </w:numPr>
        <w:spacing w:line="360" w:lineRule="auto"/>
        <w:jc w:val="both"/>
        <w:rPr>
          <w:rFonts w:ascii="Times New Roman" w:hAnsi="Times New Roman" w:cs="Times New Roman"/>
          <w:i/>
          <w:iCs/>
          <w:sz w:val="28"/>
          <w:szCs w:val="28"/>
        </w:rPr>
      </w:pPr>
      <w:r w:rsidRPr="005B5E8F">
        <w:rPr>
          <w:rFonts w:ascii="Times New Roman" w:hAnsi="Times New Roman" w:cs="Times New Roman"/>
          <w:i/>
          <w:iCs/>
          <w:sz w:val="28"/>
          <w:szCs w:val="28"/>
        </w:rPr>
        <w:t>Cooke v Gill LR 8 CP 116</w:t>
      </w:r>
    </w:p>
    <w:p w14:paraId="6AC92D53" w14:textId="77777777" w:rsidR="008E4D1F" w:rsidRDefault="008E4D1F" w:rsidP="008E4D1F">
      <w:pPr>
        <w:pStyle w:val="ListParagraph"/>
        <w:numPr>
          <w:ilvl w:val="0"/>
          <w:numId w:val="7"/>
        </w:numPr>
        <w:spacing w:line="360" w:lineRule="auto"/>
        <w:jc w:val="both"/>
        <w:rPr>
          <w:rFonts w:ascii="Times New Roman" w:hAnsi="Times New Roman" w:cs="Times New Roman"/>
          <w:i/>
          <w:iCs/>
          <w:sz w:val="28"/>
          <w:szCs w:val="28"/>
        </w:rPr>
      </w:pPr>
      <w:r w:rsidRPr="00417079">
        <w:rPr>
          <w:rFonts w:ascii="Times New Roman" w:hAnsi="Times New Roman" w:cs="Times New Roman"/>
          <w:i/>
          <w:iCs/>
          <w:sz w:val="28"/>
          <w:szCs w:val="28"/>
        </w:rPr>
        <w:t>CIV/APN/0169/2022</w:t>
      </w:r>
    </w:p>
    <w:p w14:paraId="42DCCB27" w14:textId="32E4C9E4" w:rsidR="00831FB5" w:rsidRDefault="00831FB5" w:rsidP="00831FB5">
      <w:pPr>
        <w:pStyle w:val="ListParagraph"/>
        <w:numPr>
          <w:ilvl w:val="0"/>
          <w:numId w:val="7"/>
        </w:numPr>
        <w:spacing w:line="360" w:lineRule="auto"/>
        <w:jc w:val="both"/>
        <w:rPr>
          <w:rFonts w:ascii="Times New Roman" w:hAnsi="Times New Roman" w:cs="Times New Roman"/>
          <w:i/>
          <w:iCs/>
          <w:sz w:val="28"/>
          <w:szCs w:val="28"/>
        </w:rPr>
      </w:pPr>
      <w:r w:rsidRPr="005B5E8F">
        <w:rPr>
          <w:rFonts w:ascii="Times New Roman" w:hAnsi="Times New Roman" w:cs="Times New Roman"/>
          <w:i/>
          <w:iCs/>
          <w:sz w:val="28"/>
          <w:szCs w:val="28"/>
        </w:rPr>
        <w:t xml:space="preserve">Crieff Investment (PVT) Ltd and </w:t>
      </w:r>
      <w:r w:rsidR="00C55FA9">
        <w:rPr>
          <w:rFonts w:ascii="Times New Roman" w:hAnsi="Times New Roman" w:cs="Times New Roman"/>
          <w:i/>
          <w:iCs/>
          <w:sz w:val="28"/>
          <w:szCs w:val="28"/>
        </w:rPr>
        <w:t>A</w:t>
      </w:r>
      <w:r w:rsidRPr="005B5E8F">
        <w:rPr>
          <w:rFonts w:ascii="Times New Roman" w:hAnsi="Times New Roman" w:cs="Times New Roman"/>
          <w:i/>
          <w:iCs/>
          <w:sz w:val="28"/>
          <w:szCs w:val="28"/>
        </w:rPr>
        <w:t xml:space="preserve">nother vs Grand Home Centre (PVT) Ltd and </w:t>
      </w:r>
      <w:r w:rsidR="007A5C61">
        <w:rPr>
          <w:rFonts w:ascii="Times New Roman" w:hAnsi="Times New Roman" w:cs="Times New Roman"/>
          <w:i/>
          <w:iCs/>
          <w:sz w:val="28"/>
          <w:szCs w:val="28"/>
        </w:rPr>
        <w:t>O</w:t>
      </w:r>
      <w:r w:rsidRPr="005B5E8F">
        <w:rPr>
          <w:rFonts w:ascii="Times New Roman" w:hAnsi="Times New Roman" w:cs="Times New Roman"/>
          <w:i/>
          <w:iCs/>
          <w:sz w:val="28"/>
          <w:szCs w:val="28"/>
        </w:rPr>
        <w:t>thers, HH 12 of 2018, HC6113 OF 2016 Ref 8895 of 2012 [2018] ZWHHC12</w:t>
      </w:r>
    </w:p>
    <w:p w14:paraId="2B6A76B4" w14:textId="77777777" w:rsidR="00831FB5" w:rsidRPr="005B5E8F" w:rsidRDefault="00831FB5" w:rsidP="00831FB5">
      <w:pPr>
        <w:pStyle w:val="ListParagraph"/>
        <w:numPr>
          <w:ilvl w:val="0"/>
          <w:numId w:val="7"/>
        </w:numPr>
        <w:spacing w:line="360" w:lineRule="auto"/>
        <w:jc w:val="both"/>
        <w:rPr>
          <w:rFonts w:ascii="Times New Roman" w:hAnsi="Times New Roman" w:cs="Times New Roman"/>
          <w:i/>
          <w:iCs/>
          <w:sz w:val="28"/>
          <w:szCs w:val="28"/>
        </w:rPr>
      </w:pPr>
      <w:r w:rsidRPr="005B5E8F">
        <w:rPr>
          <w:rFonts w:ascii="Times New Roman" w:hAnsi="Times New Roman" w:cs="Times New Roman"/>
          <w:i/>
          <w:iCs/>
          <w:sz w:val="28"/>
          <w:szCs w:val="28"/>
        </w:rPr>
        <w:t>Department of Transport v Tasima (PTY) Limited 2017 (2) S.A 622 (CC)</w:t>
      </w:r>
    </w:p>
    <w:p w14:paraId="2E58A192" w14:textId="2341F09B" w:rsidR="00831FB5" w:rsidRPr="00866B13" w:rsidRDefault="00831FB5" w:rsidP="00831FB5">
      <w:pPr>
        <w:pStyle w:val="ListParagraph"/>
        <w:numPr>
          <w:ilvl w:val="0"/>
          <w:numId w:val="7"/>
        </w:numPr>
        <w:spacing w:line="360" w:lineRule="auto"/>
        <w:jc w:val="both"/>
        <w:rPr>
          <w:rFonts w:ascii="Times New Roman" w:hAnsi="Times New Roman" w:cs="Times New Roman"/>
          <w:i/>
          <w:iCs/>
          <w:sz w:val="28"/>
          <w:szCs w:val="28"/>
        </w:rPr>
      </w:pPr>
      <w:r w:rsidRPr="00866B13">
        <w:rPr>
          <w:rFonts w:ascii="Times New Roman" w:hAnsi="Times New Roman" w:cs="Times New Roman"/>
          <w:i/>
          <w:iCs/>
          <w:sz w:val="28"/>
          <w:szCs w:val="28"/>
        </w:rPr>
        <w:lastRenderedPageBreak/>
        <w:t xml:space="preserve">G North and </w:t>
      </w:r>
      <w:r w:rsidR="007A5C61">
        <w:rPr>
          <w:rFonts w:ascii="Times New Roman" w:hAnsi="Times New Roman" w:cs="Times New Roman"/>
          <w:i/>
          <w:iCs/>
          <w:sz w:val="28"/>
          <w:szCs w:val="28"/>
        </w:rPr>
        <w:t>S</w:t>
      </w:r>
      <w:r w:rsidRPr="00866B13">
        <w:rPr>
          <w:rFonts w:ascii="Times New Roman" w:hAnsi="Times New Roman" w:cs="Times New Roman"/>
          <w:i/>
          <w:iCs/>
          <w:sz w:val="28"/>
          <w:szCs w:val="28"/>
        </w:rPr>
        <w:t xml:space="preserve">on v Brewer and </w:t>
      </w:r>
      <w:r w:rsidR="007A5C61">
        <w:rPr>
          <w:rFonts w:ascii="Times New Roman" w:hAnsi="Times New Roman" w:cs="Times New Roman"/>
          <w:i/>
          <w:iCs/>
          <w:sz w:val="28"/>
          <w:szCs w:val="28"/>
        </w:rPr>
        <w:t>S</w:t>
      </w:r>
      <w:r w:rsidRPr="00866B13">
        <w:rPr>
          <w:rFonts w:ascii="Times New Roman" w:hAnsi="Times New Roman" w:cs="Times New Roman"/>
          <w:i/>
          <w:iCs/>
          <w:sz w:val="28"/>
          <w:szCs w:val="28"/>
        </w:rPr>
        <w:t xml:space="preserve">on 1941 NPD 74 Khoali v. His Worship Selebeng and </w:t>
      </w:r>
      <w:r w:rsidR="007A5C61">
        <w:rPr>
          <w:rFonts w:ascii="Times New Roman" w:hAnsi="Times New Roman" w:cs="Times New Roman"/>
          <w:i/>
          <w:iCs/>
          <w:sz w:val="28"/>
          <w:szCs w:val="28"/>
        </w:rPr>
        <w:t>O</w:t>
      </w:r>
      <w:r w:rsidRPr="00866B13">
        <w:rPr>
          <w:rFonts w:ascii="Times New Roman" w:hAnsi="Times New Roman" w:cs="Times New Roman"/>
          <w:i/>
          <w:iCs/>
          <w:sz w:val="28"/>
          <w:szCs w:val="28"/>
        </w:rPr>
        <w:t>thers C OF A (CIV) NO. 23/2020</w:t>
      </w:r>
    </w:p>
    <w:p w14:paraId="193B3123" w14:textId="77777777" w:rsidR="00831FB5" w:rsidRPr="005B5E8F" w:rsidRDefault="00831FB5" w:rsidP="00831FB5">
      <w:pPr>
        <w:pStyle w:val="ListParagraph"/>
        <w:numPr>
          <w:ilvl w:val="0"/>
          <w:numId w:val="7"/>
        </w:numPr>
        <w:spacing w:line="360" w:lineRule="auto"/>
        <w:jc w:val="both"/>
        <w:rPr>
          <w:rFonts w:ascii="Times New Roman" w:hAnsi="Times New Roman" w:cs="Times New Roman"/>
          <w:i/>
          <w:iCs/>
          <w:sz w:val="28"/>
          <w:szCs w:val="28"/>
        </w:rPr>
      </w:pPr>
      <w:r w:rsidRPr="005B5E8F">
        <w:rPr>
          <w:rFonts w:ascii="Times New Roman" w:hAnsi="Times New Roman" w:cs="Times New Roman"/>
          <w:i/>
          <w:iCs/>
          <w:sz w:val="28"/>
          <w:szCs w:val="28"/>
        </w:rPr>
        <w:t>Lyon v SAR&amp; H 1930 CPD 276</w:t>
      </w:r>
    </w:p>
    <w:p w14:paraId="0ED8D00E" w14:textId="77777777" w:rsidR="00831FB5" w:rsidRPr="00D27EA1" w:rsidRDefault="00831FB5" w:rsidP="00831FB5">
      <w:pPr>
        <w:pStyle w:val="ListParagraph"/>
        <w:numPr>
          <w:ilvl w:val="0"/>
          <w:numId w:val="7"/>
        </w:numPr>
        <w:spacing w:line="360" w:lineRule="auto"/>
        <w:jc w:val="both"/>
        <w:rPr>
          <w:rFonts w:ascii="Times New Roman" w:hAnsi="Times New Roman" w:cs="Times New Roman"/>
          <w:i/>
          <w:iCs/>
          <w:sz w:val="28"/>
          <w:szCs w:val="28"/>
        </w:rPr>
      </w:pPr>
      <w:r w:rsidRPr="00D27EA1">
        <w:rPr>
          <w:rFonts w:ascii="Times New Roman" w:hAnsi="Times New Roman" w:cs="Times New Roman"/>
          <w:i/>
          <w:iCs/>
          <w:sz w:val="28"/>
          <w:szCs w:val="28"/>
        </w:rPr>
        <w:t>Madyibi vs Minister of Safety and Security 2008 JDR 0505 (TK)</w:t>
      </w:r>
    </w:p>
    <w:p w14:paraId="2EB24F60" w14:textId="7CF89771" w:rsidR="00831FB5" w:rsidRPr="005B5E8F" w:rsidRDefault="00831FB5" w:rsidP="00831FB5">
      <w:pPr>
        <w:pStyle w:val="ListParagraph"/>
        <w:numPr>
          <w:ilvl w:val="0"/>
          <w:numId w:val="7"/>
        </w:numPr>
        <w:spacing w:line="360" w:lineRule="auto"/>
        <w:jc w:val="both"/>
        <w:rPr>
          <w:rFonts w:ascii="Times New Roman" w:hAnsi="Times New Roman" w:cs="Times New Roman"/>
          <w:i/>
          <w:iCs/>
          <w:sz w:val="28"/>
          <w:szCs w:val="28"/>
        </w:rPr>
      </w:pPr>
      <w:r w:rsidRPr="005B5E8F">
        <w:rPr>
          <w:rFonts w:ascii="Times New Roman" w:hAnsi="Times New Roman" w:cs="Times New Roman"/>
          <w:i/>
          <w:iCs/>
          <w:sz w:val="28"/>
          <w:szCs w:val="28"/>
        </w:rPr>
        <w:t xml:space="preserve">Marabe v Maseru Magistrates’ Court and </w:t>
      </w:r>
      <w:r w:rsidR="00E74AC5">
        <w:rPr>
          <w:rFonts w:ascii="Times New Roman" w:hAnsi="Times New Roman" w:cs="Times New Roman"/>
          <w:i/>
          <w:iCs/>
          <w:sz w:val="28"/>
          <w:szCs w:val="28"/>
        </w:rPr>
        <w:t>O</w:t>
      </w:r>
      <w:r w:rsidRPr="005B5E8F">
        <w:rPr>
          <w:rFonts w:ascii="Times New Roman" w:hAnsi="Times New Roman" w:cs="Times New Roman"/>
          <w:i/>
          <w:iCs/>
          <w:sz w:val="28"/>
          <w:szCs w:val="28"/>
        </w:rPr>
        <w:t>thers Constitutional Case No.18/2020 [2021] LSHCONST 51</w:t>
      </w:r>
    </w:p>
    <w:p w14:paraId="099BE8C0" w14:textId="25CE151E" w:rsidR="00831FB5" w:rsidRDefault="00831FB5" w:rsidP="00831FB5">
      <w:pPr>
        <w:pStyle w:val="ListParagraph"/>
        <w:numPr>
          <w:ilvl w:val="0"/>
          <w:numId w:val="7"/>
        </w:numPr>
        <w:spacing w:line="360" w:lineRule="auto"/>
        <w:jc w:val="both"/>
        <w:rPr>
          <w:rFonts w:ascii="Times New Roman" w:hAnsi="Times New Roman" w:cs="Times New Roman"/>
          <w:i/>
          <w:iCs/>
          <w:sz w:val="28"/>
          <w:szCs w:val="28"/>
        </w:rPr>
      </w:pPr>
      <w:r w:rsidRPr="009A39D9">
        <w:rPr>
          <w:rFonts w:ascii="Times New Roman" w:hAnsi="Times New Roman" w:cs="Times New Roman"/>
          <w:i/>
          <w:iCs/>
          <w:sz w:val="28"/>
          <w:szCs w:val="28"/>
        </w:rPr>
        <w:t xml:space="preserve">Mokete Mohai and </w:t>
      </w:r>
      <w:r w:rsidR="005F0C16">
        <w:rPr>
          <w:rFonts w:ascii="Times New Roman" w:hAnsi="Times New Roman" w:cs="Times New Roman"/>
          <w:i/>
          <w:iCs/>
          <w:sz w:val="28"/>
          <w:szCs w:val="28"/>
        </w:rPr>
        <w:t>A</w:t>
      </w:r>
      <w:r w:rsidRPr="009A39D9">
        <w:rPr>
          <w:rFonts w:ascii="Times New Roman" w:hAnsi="Times New Roman" w:cs="Times New Roman"/>
          <w:i/>
          <w:iCs/>
          <w:sz w:val="28"/>
          <w:szCs w:val="28"/>
        </w:rPr>
        <w:t xml:space="preserve">nother v. Lesotho Electricity Company and </w:t>
      </w:r>
      <w:r w:rsidR="005F0C16">
        <w:rPr>
          <w:rFonts w:ascii="Times New Roman" w:hAnsi="Times New Roman" w:cs="Times New Roman"/>
          <w:i/>
          <w:iCs/>
          <w:sz w:val="28"/>
          <w:szCs w:val="28"/>
        </w:rPr>
        <w:t>O</w:t>
      </w:r>
      <w:r w:rsidRPr="009A39D9">
        <w:rPr>
          <w:rFonts w:ascii="Times New Roman" w:hAnsi="Times New Roman" w:cs="Times New Roman"/>
          <w:i/>
          <w:iCs/>
          <w:sz w:val="28"/>
          <w:szCs w:val="28"/>
        </w:rPr>
        <w:t>thers LAC/CIV/A/13/2013 [2014] LSLAC 3</w:t>
      </w:r>
    </w:p>
    <w:p w14:paraId="3D3CBD2E" w14:textId="0A7DFFBD" w:rsidR="00831FB5" w:rsidRPr="00417079" w:rsidRDefault="00831FB5" w:rsidP="00831FB5">
      <w:pPr>
        <w:pStyle w:val="ListParagraph"/>
        <w:numPr>
          <w:ilvl w:val="0"/>
          <w:numId w:val="7"/>
        </w:numPr>
        <w:spacing w:before="240" w:line="360" w:lineRule="auto"/>
        <w:jc w:val="both"/>
        <w:rPr>
          <w:rFonts w:ascii="Times New Roman" w:hAnsi="Times New Roman" w:cs="Times New Roman"/>
          <w:i/>
          <w:iCs/>
          <w:sz w:val="28"/>
          <w:szCs w:val="28"/>
        </w:rPr>
      </w:pPr>
      <w:r w:rsidRPr="00417079">
        <w:rPr>
          <w:rFonts w:ascii="Times New Roman" w:hAnsi="Times New Roman" w:cs="Times New Roman"/>
          <w:i/>
          <w:iCs/>
          <w:sz w:val="28"/>
          <w:szCs w:val="28"/>
        </w:rPr>
        <w:t xml:space="preserve">Nestle South Africa (Pty) Ltd v Mars Inc 2001 (4) SA 542 (SCA) </w:t>
      </w:r>
    </w:p>
    <w:p w14:paraId="5E3266B9" w14:textId="77777777" w:rsidR="00831FB5" w:rsidRPr="00D27EA1" w:rsidRDefault="00831FB5" w:rsidP="00831FB5">
      <w:pPr>
        <w:pStyle w:val="ListParagraph"/>
        <w:numPr>
          <w:ilvl w:val="0"/>
          <w:numId w:val="7"/>
        </w:numPr>
        <w:spacing w:line="360" w:lineRule="auto"/>
        <w:jc w:val="both"/>
        <w:rPr>
          <w:rFonts w:ascii="Times New Roman" w:hAnsi="Times New Roman" w:cs="Times New Roman"/>
          <w:i/>
          <w:iCs/>
          <w:sz w:val="28"/>
          <w:szCs w:val="28"/>
        </w:rPr>
      </w:pPr>
      <w:r w:rsidRPr="00D27EA1">
        <w:rPr>
          <w:rFonts w:ascii="Times New Roman" w:hAnsi="Times New Roman" w:cs="Times New Roman"/>
          <w:i/>
          <w:iCs/>
          <w:sz w:val="28"/>
          <w:szCs w:val="28"/>
        </w:rPr>
        <w:t>Public Protector vs South African Reserve Bank, CCT/107/18 [2019] ZACC 29</w:t>
      </w:r>
    </w:p>
    <w:p w14:paraId="4E9BBF51" w14:textId="77777777" w:rsidR="00831FB5" w:rsidRPr="00831FB5" w:rsidRDefault="00831FB5" w:rsidP="00831FB5">
      <w:pPr>
        <w:pStyle w:val="ListParagraph"/>
        <w:numPr>
          <w:ilvl w:val="0"/>
          <w:numId w:val="7"/>
        </w:numPr>
        <w:spacing w:line="360" w:lineRule="auto"/>
        <w:jc w:val="both"/>
        <w:rPr>
          <w:rFonts w:ascii="Times New Roman" w:hAnsi="Times New Roman" w:cs="Times New Roman"/>
          <w:i/>
          <w:iCs/>
          <w:sz w:val="28"/>
          <w:szCs w:val="28"/>
        </w:rPr>
      </w:pPr>
      <w:r w:rsidRPr="005B5E8F">
        <w:rPr>
          <w:rFonts w:ascii="Times New Roman" w:hAnsi="Times New Roman" w:cs="Times New Roman"/>
          <w:i/>
          <w:iCs/>
          <w:sz w:val="28"/>
          <w:szCs w:val="28"/>
        </w:rPr>
        <w:t>Read v Brown 22 QBD 131</w:t>
      </w:r>
    </w:p>
    <w:p w14:paraId="480766C9" w14:textId="667116E8" w:rsidR="006F2B54" w:rsidRPr="006C23BD" w:rsidRDefault="00FF04FF" w:rsidP="006C23BD">
      <w:pPr>
        <w:pStyle w:val="ListParagraph"/>
        <w:numPr>
          <w:ilvl w:val="0"/>
          <w:numId w:val="7"/>
        </w:numPr>
        <w:spacing w:line="360" w:lineRule="auto"/>
        <w:jc w:val="both"/>
        <w:rPr>
          <w:rFonts w:ascii="Times New Roman" w:hAnsi="Times New Roman" w:cs="Times New Roman"/>
          <w:i/>
          <w:iCs/>
          <w:sz w:val="28"/>
          <w:szCs w:val="28"/>
        </w:rPr>
      </w:pPr>
      <w:r w:rsidRPr="00FF04FF">
        <w:rPr>
          <w:rFonts w:ascii="Times New Roman" w:hAnsi="Times New Roman" w:cs="Times New Roman"/>
          <w:i/>
          <w:iCs/>
          <w:sz w:val="28"/>
          <w:szCs w:val="28"/>
        </w:rPr>
        <w:t xml:space="preserve">Willem Daniel Knoesen and Another v Izette Huijink-Maritz and </w:t>
      </w:r>
      <w:r w:rsidR="005F0C16">
        <w:rPr>
          <w:rFonts w:ascii="Times New Roman" w:hAnsi="Times New Roman" w:cs="Times New Roman"/>
          <w:i/>
          <w:iCs/>
          <w:sz w:val="28"/>
          <w:szCs w:val="28"/>
        </w:rPr>
        <w:t>O</w:t>
      </w:r>
      <w:r w:rsidRPr="00FF04FF">
        <w:rPr>
          <w:rFonts w:ascii="Times New Roman" w:hAnsi="Times New Roman" w:cs="Times New Roman"/>
          <w:i/>
          <w:iCs/>
          <w:sz w:val="28"/>
          <w:szCs w:val="28"/>
        </w:rPr>
        <w:t>thers Case No. 5007/2018</w:t>
      </w:r>
    </w:p>
    <w:p w14:paraId="5EFEF71F" w14:textId="77777777" w:rsidR="00D27EA1" w:rsidRDefault="00DD3DEB" w:rsidP="00AB137E">
      <w:pPr>
        <w:spacing w:line="360" w:lineRule="auto"/>
        <w:contextualSpacing/>
        <w:jc w:val="both"/>
        <w:rPr>
          <w:rFonts w:ascii="Times New Roman" w:hAnsi="Times New Roman" w:cs="Times New Roman"/>
          <w:b/>
          <w:bCs/>
          <w:i/>
          <w:iCs/>
          <w:sz w:val="28"/>
          <w:szCs w:val="28"/>
        </w:rPr>
      </w:pPr>
      <w:r>
        <w:rPr>
          <w:rFonts w:ascii="Times New Roman" w:hAnsi="Times New Roman" w:cs="Times New Roman"/>
          <w:b/>
          <w:bCs/>
          <w:i/>
          <w:iCs/>
          <w:sz w:val="28"/>
          <w:szCs w:val="28"/>
        </w:rPr>
        <w:t>Statutes</w:t>
      </w:r>
    </w:p>
    <w:p w14:paraId="765B52C0" w14:textId="352F90F1" w:rsidR="006F2B54" w:rsidRPr="006C23BD" w:rsidRDefault="00DD3DEB" w:rsidP="006C23BD">
      <w:pPr>
        <w:pStyle w:val="ListParagraph"/>
        <w:numPr>
          <w:ilvl w:val="0"/>
          <w:numId w:val="9"/>
        </w:numPr>
        <w:spacing w:line="360" w:lineRule="auto"/>
        <w:jc w:val="both"/>
        <w:rPr>
          <w:rFonts w:ascii="Times New Roman" w:hAnsi="Times New Roman" w:cs="Times New Roman"/>
          <w:b/>
          <w:bCs/>
          <w:i/>
          <w:iCs/>
          <w:sz w:val="28"/>
          <w:szCs w:val="28"/>
        </w:rPr>
      </w:pPr>
      <w:r w:rsidRPr="005B5E8F">
        <w:rPr>
          <w:rFonts w:ascii="Times New Roman" w:hAnsi="Times New Roman" w:cs="Times New Roman"/>
          <w:i/>
          <w:iCs/>
          <w:sz w:val="28"/>
          <w:szCs w:val="28"/>
        </w:rPr>
        <w:t>Act 22 of 1916</w:t>
      </w:r>
    </w:p>
    <w:p w14:paraId="28827E92" w14:textId="77777777" w:rsidR="00AB137E" w:rsidRDefault="000A3AAC" w:rsidP="008504A1">
      <w:pPr>
        <w:spacing w:line="360" w:lineRule="auto"/>
        <w:contextualSpacing/>
        <w:jc w:val="both"/>
        <w:rPr>
          <w:rFonts w:ascii="Times New Roman" w:hAnsi="Times New Roman" w:cs="Times New Roman"/>
          <w:b/>
          <w:bCs/>
          <w:i/>
          <w:iCs/>
          <w:sz w:val="28"/>
          <w:szCs w:val="28"/>
        </w:rPr>
      </w:pPr>
      <w:r w:rsidRPr="000A3AAC">
        <w:rPr>
          <w:rFonts w:ascii="Times New Roman" w:hAnsi="Times New Roman" w:cs="Times New Roman"/>
          <w:b/>
          <w:bCs/>
          <w:i/>
          <w:iCs/>
          <w:sz w:val="28"/>
          <w:szCs w:val="28"/>
        </w:rPr>
        <w:t>Books</w:t>
      </w:r>
    </w:p>
    <w:p w14:paraId="313E7364" w14:textId="51DECF45" w:rsidR="005B5E8F" w:rsidRPr="005B5E8F" w:rsidRDefault="005B5E8F" w:rsidP="005B5E8F">
      <w:pPr>
        <w:pStyle w:val="ListParagraph"/>
        <w:numPr>
          <w:ilvl w:val="0"/>
          <w:numId w:val="8"/>
        </w:numPr>
        <w:spacing w:line="360" w:lineRule="auto"/>
        <w:jc w:val="both"/>
        <w:rPr>
          <w:rFonts w:ascii="Times New Roman" w:hAnsi="Times New Roman" w:cs="Times New Roman"/>
          <w:i/>
          <w:iCs/>
          <w:sz w:val="28"/>
          <w:szCs w:val="28"/>
        </w:rPr>
      </w:pPr>
      <w:r w:rsidRPr="005B5E8F">
        <w:rPr>
          <w:rFonts w:ascii="Times New Roman" w:hAnsi="Times New Roman" w:cs="Times New Roman"/>
          <w:i/>
          <w:iCs/>
          <w:sz w:val="28"/>
          <w:szCs w:val="28"/>
        </w:rPr>
        <w:t>AC Cilliers in the Law of Costs, 2</w:t>
      </w:r>
      <w:r w:rsidRPr="005B5E8F">
        <w:rPr>
          <w:rFonts w:ascii="Times New Roman" w:hAnsi="Times New Roman" w:cs="Times New Roman"/>
          <w:i/>
          <w:iCs/>
          <w:sz w:val="28"/>
          <w:szCs w:val="28"/>
          <w:vertAlign w:val="superscript"/>
        </w:rPr>
        <w:t>nd</w:t>
      </w:r>
      <w:r w:rsidRPr="005B5E8F">
        <w:rPr>
          <w:rFonts w:ascii="Times New Roman" w:hAnsi="Times New Roman" w:cs="Times New Roman"/>
          <w:i/>
          <w:iCs/>
          <w:sz w:val="28"/>
          <w:szCs w:val="28"/>
        </w:rPr>
        <w:t xml:space="preserve"> Edition </w:t>
      </w:r>
    </w:p>
    <w:p w14:paraId="43DDA0B0" w14:textId="77777777" w:rsidR="009A39D9" w:rsidRDefault="009A39D9" w:rsidP="009A39D9">
      <w:pPr>
        <w:pStyle w:val="ListParagraph"/>
        <w:numPr>
          <w:ilvl w:val="0"/>
          <w:numId w:val="8"/>
        </w:numPr>
        <w:spacing w:line="360" w:lineRule="auto"/>
        <w:jc w:val="both"/>
        <w:rPr>
          <w:rFonts w:ascii="Times New Roman" w:hAnsi="Times New Roman" w:cs="Times New Roman"/>
          <w:i/>
          <w:iCs/>
          <w:sz w:val="28"/>
          <w:szCs w:val="28"/>
        </w:rPr>
      </w:pPr>
      <w:r w:rsidRPr="005B5E8F">
        <w:rPr>
          <w:rFonts w:ascii="Times New Roman" w:hAnsi="Times New Roman" w:cs="Times New Roman"/>
          <w:i/>
          <w:iCs/>
          <w:sz w:val="28"/>
          <w:szCs w:val="28"/>
        </w:rPr>
        <w:t>Herbstein and Van Winsen Supreme Court Practice 4</w:t>
      </w:r>
      <w:r w:rsidRPr="005B5E8F">
        <w:rPr>
          <w:rFonts w:ascii="Times New Roman" w:hAnsi="Times New Roman" w:cs="Times New Roman"/>
          <w:i/>
          <w:iCs/>
          <w:sz w:val="28"/>
          <w:szCs w:val="28"/>
          <w:vertAlign w:val="superscript"/>
        </w:rPr>
        <w:t>th</w:t>
      </w:r>
      <w:r w:rsidRPr="005B5E8F">
        <w:rPr>
          <w:rFonts w:ascii="Times New Roman" w:hAnsi="Times New Roman" w:cs="Times New Roman"/>
          <w:i/>
          <w:iCs/>
          <w:sz w:val="28"/>
          <w:szCs w:val="28"/>
        </w:rPr>
        <w:t xml:space="preserve"> Edition</w:t>
      </w:r>
    </w:p>
    <w:p w14:paraId="286A6637" w14:textId="77777777" w:rsidR="004123DA" w:rsidRDefault="004123DA" w:rsidP="004123DA">
      <w:pPr>
        <w:spacing w:line="360" w:lineRule="auto"/>
        <w:jc w:val="both"/>
        <w:rPr>
          <w:rFonts w:ascii="Times New Roman" w:hAnsi="Times New Roman" w:cs="Times New Roman"/>
          <w:i/>
          <w:iCs/>
          <w:sz w:val="28"/>
          <w:szCs w:val="28"/>
        </w:rPr>
      </w:pPr>
    </w:p>
    <w:p w14:paraId="14E02380" w14:textId="77777777" w:rsidR="004123DA" w:rsidRDefault="004123DA" w:rsidP="004123DA">
      <w:pPr>
        <w:spacing w:line="360" w:lineRule="auto"/>
        <w:jc w:val="both"/>
        <w:rPr>
          <w:rFonts w:ascii="Times New Roman" w:hAnsi="Times New Roman" w:cs="Times New Roman"/>
          <w:i/>
          <w:iCs/>
          <w:sz w:val="28"/>
          <w:szCs w:val="28"/>
        </w:rPr>
      </w:pPr>
    </w:p>
    <w:p w14:paraId="75BE9EF8" w14:textId="77777777" w:rsidR="004123DA" w:rsidRDefault="004123DA" w:rsidP="004123DA">
      <w:pPr>
        <w:spacing w:line="360" w:lineRule="auto"/>
        <w:jc w:val="both"/>
        <w:rPr>
          <w:rFonts w:ascii="Times New Roman" w:hAnsi="Times New Roman" w:cs="Times New Roman"/>
          <w:i/>
          <w:iCs/>
          <w:sz w:val="28"/>
          <w:szCs w:val="28"/>
        </w:rPr>
      </w:pPr>
    </w:p>
    <w:p w14:paraId="2CE57626" w14:textId="77777777" w:rsidR="004123DA" w:rsidRDefault="004123DA" w:rsidP="004123DA">
      <w:pPr>
        <w:spacing w:line="360" w:lineRule="auto"/>
        <w:jc w:val="both"/>
        <w:rPr>
          <w:rFonts w:ascii="Times New Roman" w:hAnsi="Times New Roman" w:cs="Times New Roman"/>
          <w:i/>
          <w:iCs/>
          <w:sz w:val="28"/>
          <w:szCs w:val="28"/>
        </w:rPr>
      </w:pPr>
    </w:p>
    <w:p w14:paraId="71A6751C" w14:textId="65B7EF98" w:rsidR="000B22EB" w:rsidRDefault="000B22EB" w:rsidP="004123DA">
      <w:pPr>
        <w:spacing w:line="360" w:lineRule="auto"/>
        <w:jc w:val="both"/>
        <w:rPr>
          <w:rFonts w:ascii="Times New Roman" w:hAnsi="Times New Roman" w:cs="Times New Roman"/>
          <w:i/>
          <w:iCs/>
          <w:sz w:val="28"/>
          <w:szCs w:val="28"/>
        </w:rPr>
      </w:pPr>
    </w:p>
    <w:p w14:paraId="5C6F9819" w14:textId="77777777" w:rsidR="007E63CC" w:rsidRPr="004123DA" w:rsidRDefault="007E63CC" w:rsidP="004123DA">
      <w:pPr>
        <w:spacing w:line="360" w:lineRule="auto"/>
        <w:jc w:val="both"/>
        <w:rPr>
          <w:rFonts w:ascii="Times New Roman" w:hAnsi="Times New Roman" w:cs="Times New Roman"/>
          <w:i/>
          <w:iCs/>
          <w:sz w:val="28"/>
          <w:szCs w:val="28"/>
        </w:rPr>
      </w:pPr>
    </w:p>
    <w:p w14:paraId="19E7A7B0" w14:textId="3FBD4146" w:rsidR="00884209" w:rsidRPr="00CA1CFA" w:rsidRDefault="00CA1CFA" w:rsidP="008504A1">
      <w:pPr>
        <w:spacing w:line="360" w:lineRule="auto"/>
        <w:contextualSpacing/>
        <w:jc w:val="both"/>
        <w:rPr>
          <w:rFonts w:ascii="Times New Roman" w:hAnsi="Times New Roman" w:cs="Times New Roman"/>
          <w:b/>
          <w:bCs/>
          <w:sz w:val="28"/>
          <w:szCs w:val="28"/>
        </w:rPr>
      </w:pPr>
      <w:r w:rsidRPr="00CA1CFA">
        <w:rPr>
          <w:rFonts w:ascii="Times New Roman" w:hAnsi="Times New Roman" w:cs="Times New Roman"/>
          <w:b/>
          <w:bCs/>
          <w:sz w:val="28"/>
          <w:szCs w:val="28"/>
        </w:rPr>
        <w:lastRenderedPageBreak/>
        <w:t>INTRODUCTION</w:t>
      </w:r>
    </w:p>
    <w:p w14:paraId="6718CFCB" w14:textId="77777777" w:rsidR="00482869" w:rsidRPr="008504A1" w:rsidRDefault="00B025AD" w:rsidP="008504A1">
      <w:pPr>
        <w:spacing w:line="360" w:lineRule="auto"/>
        <w:contextualSpacing/>
        <w:jc w:val="both"/>
        <w:rPr>
          <w:rFonts w:ascii="Times New Roman" w:hAnsi="Times New Roman" w:cs="Times New Roman"/>
          <w:sz w:val="28"/>
          <w:szCs w:val="28"/>
        </w:rPr>
      </w:pPr>
      <w:r w:rsidRPr="008504A1">
        <w:rPr>
          <w:rFonts w:ascii="Times New Roman" w:hAnsi="Times New Roman" w:cs="Times New Roman"/>
          <w:sz w:val="28"/>
          <w:szCs w:val="28"/>
        </w:rPr>
        <w:t>[1]</w:t>
      </w:r>
      <w:r w:rsidR="00482869" w:rsidRPr="008504A1">
        <w:rPr>
          <w:rFonts w:ascii="Times New Roman" w:hAnsi="Times New Roman" w:cs="Times New Roman"/>
          <w:sz w:val="28"/>
          <w:szCs w:val="28"/>
        </w:rPr>
        <w:t xml:space="preserve"> This is an application brought on urgent basis for an order in the following terms;</w:t>
      </w:r>
    </w:p>
    <w:p w14:paraId="3DE89C2D" w14:textId="77777777" w:rsidR="00482869" w:rsidRDefault="00482869" w:rsidP="008504A1">
      <w:pPr>
        <w:pStyle w:val="ListParagraph"/>
        <w:numPr>
          <w:ilvl w:val="0"/>
          <w:numId w:val="1"/>
        </w:numPr>
        <w:spacing w:line="360" w:lineRule="auto"/>
        <w:jc w:val="both"/>
        <w:rPr>
          <w:rFonts w:ascii="Times New Roman" w:hAnsi="Times New Roman" w:cs="Times New Roman"/>
          <w:sz w:val="28"/>
          <w:szCs w:val="28"/>
        </w:rPr>
      </w:pPr>
      <w:r w:rsidRPr="008504A1">
        <w:rPr>
          <w:rFonts w:ascii="Times New Roman" w:hAnsi="Times New Roman" w:cs="Times New Roman"/>
          <w:sz w:val="28"/>
          <w:szCs w:val="28"/>
        </w:rPr>
        <w:t>That a rule nisi be issued calling upon the respondents to show cause if any, why;</w:t>
      </w:r>
    </w:p>
    <w:p w14:paraId="1FBC46BD" w14:textId="77777777" w:rsidR="00391562" w:rsidRPr="00391562" w:rsidRDefault="00391562" w:rsidP="00391562">
      <w:pPr>
        <w:pStyle w:val="ListParagraph"/>
        <w:spacing w:line="360" w:lineRule="auto"/>
        <w:jc w:val="both"/>
        <w:rPr>
          <w:rFonts w:ascii="Times New Roman" w:hAnsi="Times New Roman" w:cs="Times New Roman"/>
          <w:sz w:val="16"/>
          <w:szCs w:val="16"/>
        </w:rPr>
      </w:pPr>
    </w:p>
    <w:p w14:paraId="14F272B7" w14:textId="77777777" w:rsidR="00482869" w:rsidRDefault="00482869" w:rsidP="008504A1">
      <w:pPr>
        <w:pStyle w:val="ListParagraph"/>
        <w:numPr>
          <w:ilvl w:val="0"/>
          <w:numId w:val="2"/>
        </w:numPr>
        <w:spacing w:line="360" w:lineRule="auto"/>
        <w:jc w:val="both"/>
        <w:rPr>
          <w:rFonts w:ascii="Times New Roman" w:hAnsi="Times New Roman" w:cs="Times New Roman"/>
          <w:sz w:val="28"/>
          <w:szCs w:val="28"/>
        </w:rPr>
      </w:pPr>
      <w:r w:rsidRPr="008504A1">
        <w:rPr>
          <w:rFonts w:ascii="Times New Roman" w:hAnsi="Times New Roman" w:cs="Times New Roman"/>
          <w:sz w:val="28"/>
          <w:szCs w:val="28"/>
        </w:rPr>
        <w:t>The first respondent shall not be ordered to dispatch the record of the proceedings that gave birth to the discharge of the applicants from the Police Training College recruitment programme.</w:t>
      </w:r>
    </w:p>
    <w:p w14:paraId="342796D8" w14:textId="77777777" w:rsidR="008E4D1F" w:rsidRPr="008E4D1F" w:rsidRDefault="008E4D1F" w:rsidP="008E4D1F">
      <w:pPr>
        <w:pStyle w:val="ListParagraph"/>
        <w:spacing w:line="360" w:lineRule="auto"/>
        <w:ind w:left="1080"/>
        <w:jc w:val="both"/>
        <w:rPr>
          <w:rFonts w:ascii="Times New Roman" w:hAnsi="Times New Roman" w:cs="Times New Roman"/>
          <w:sz w:val="16"/>
          <w:szCs w:val="16"/>
        </w:rPr>
      </w:pPr>
    </w:p>
    <w:p w14:paraId="6DD2B76E" w14:textId="77777777" w:rsidR="008E4D1F" w:rsidRPr="008E4D1F" w:rsidRDefault="00482869" w:rsidP="008E4D1F">
      <w:pPr>
        <w:pStyle w:val="ListParagraph"/>
        <w:numPr>
          <w:ilvl w:val="0"/>
          <w:numId w:val="2"/>
        </w:numPr>
        <w:spacing w:line="360" w:lineRule="auto"/>
        <w:jc w:val="both"/>
        <w:rPr>
          <w:rFonts w:ascii="Times New Roman" w:hAnsi="Times New Roman" w:cs="Times New Roman"/>
          <w:sz w:val="28"/>
          <w:szCs w:val="28"/>
        </w:rPr>
      </w:pPr>
      <w:r w:rsidRPr="008504A1">
        <w:rPr>
          <w:rFonts w:ascii="Times New Roman" w:hAnsi="Times New Roman" w:cs="Times New Roman"/>
          <w:sz w:val="28"/>
          <w:szCs w:val="28"/>
        </w:rPr>
        <w:t>The decision taken by the first respondent to discharge the applicants from the Police Training College recruitment programme shall not be held in abeyance pending finalisation hereof.</w:t>
      </w:r>
    </w:p>
    <w:p w14:paraId="47D3E46E" w14:textId="77777777" w:rsidR="008E4D1F" w:rsidRPr="008E4D1F" w:rsidRDefault="008E4D1F" w:rsidP="008E4D1F">
      <w:pPr>
        <w:pStyle w:val="ListParagraph"/>
        <w:spacing w:line="360" w:lineRule="auto"/>
        <w:ind w:left="1080"/>
        <w:jc w:val="both"/>
        <w:rPr>
          <w:rFonts w:ascii="Times New Roman" w:hAnsi="Times New Roman" w:cs="Times New Roman"/>
          <w:sz w:val="16"/>
          <w:szCs w:val="16"/>
        </w:rPr>
      </w:pPr>
    </w:p>
    <w:p w14:paraId="26EF3857" w14:textId="77777777" w:rsidR="008E4D1F" w:rsidRPr="008E4D1F" w:rsidRDefault="00482869" w:rsidP="008E4D1F">
      <w:pPr>
        <w:pStyle w:val="ListParagraph"/>
        <w:numPr>
          <w:ilvl w:val="0"/>
          <w:numId w:val="2"/>
        </w:numPr>
        <w:spacing w:line="360" w:lineRule="auto"/>
        <w:jc w:val="both"/>
        <w:rPr>
          <w:rFonts w:ascii="Times New Roman" w:hAnsi="Times New Roman" w:cs="Times New Roman"/>
          <w:sz w:val="28"/>
          <w:szCs w:val="28"/>
        </w:rPr>
      </w:pPr>
      <w:r w:rsidRPr="008504A1">
        <w:rPr>
          <w:rFonts w:ascii="Times New Roman" w:hAnsi="Times New Roman" w:cs="Times New Roman"/>
          <w:sz w:val="28"/>
          <w:szCs w:val="28"/>
        </w:rPr>
        <w:t>The decision of the first respondent to discharge the applicants from the Police Training College shall not be reviewed and set aside as irregular</w:t>
      </w:r>
      <w:r w:rsidR="00DE149B" w:rsidRPr="008504A1">
        <w:rPr>
          <w:rFonts w:ascii="Times New Roman" w:hAnsi="Times New Roman" w:cs="Times New Roman"/>
          <w:sz w:val="28"/>
          <w:szCs w:val="28"/>
        </w:rPr>
        <w:t xml:space="preserve"> thus null and void ab initio and of no legal force and effect.</w:t>
      </w:r>
    </w:p>
    <w:p w14:paraId="4251160E" w14:textId="77777777" w:rsidR="008E4D1F" w:rsidRPr="008E4D1F" w:rsidRDefault="008E4D1F" w:rsidP="008E4D1F">
      <w:pPr>
        <w:pStyle w:val="ListParagraph"/>
        <w:spacing w:line="360" w:lineRule="auto"/>
        <w:ind w:left="1080"/>
        <w:jc w:val="both"/>
        <w:rPr>
          <w:rFonts w:ascii="Times New Roman" w:hAnsi="Times New Roman" w:cs="Times New Roman"/>
          <w:sz w:val="16"/>
          <w:szCs w:val="16"/>
        </w:rPr>
      </w:pPr>
    </w:p>
    <w:p w14:paraId="3BC7F69F" w14:textId="77777777" w:rsidR="008E4D1F" w:rsidRPr="008E4D1F" w:rsidRDefault="00DE149B" w:rsidP="008E4D1F">
      <w:pPr>
        <w:pStyle w:val="ListParagraph"/>
        <w:numPr>
          <w:ilvl w:val="0"/>
          <w:numId w:val="2"/>
        </w:numPr>
        <w:spacing w:line="360" w:lineRule="auto"/>
        <w:jc w:val="both"/>
        <w:rPr>
          <w:rFonts w:ascii="Times New Roman" w:hAnsi="Times New Roman" w:cs="Times New Roman"/>
          <w:sz w:val="28"/>
          <w:szCs w:val="28"/>
        </w:rPr>
      </w:pPr>
      <w:r w:rsidRPr="008504A1">
        <w:rPr>
          <w:rFonts w:ascii="Times New Roman" w:hAnsi="Times New Roman" w:cs="Times New Roman"/>
          <w:sz w:val="28"/>
          <w:szCs w:val="28"/>
        </w:rPr>
        <w:t>An order directing the first respondent to reinstate the</w:t>
      </w:r>
      <w:r w:rsidR="00C746F4" w:rsidRPr="008504A1">
        <w:rPr>
          <w:rFonts w:ascii="Times New Roman" w:hAnsi="Times New Roman" w:cs="Times New Roman"/>
          <w:sz w:val="28"/>
          <w:szCs w:val="28"/>
        </w:rPr>
        <w:t xml:space="preserve"> applicants back into the Police Training College Recruitment P</w:t>
      </w:r>
      <w:r w:rsidRPr="008504A1">
        <w:rPr>
          <w:rFonts w:ascii="Times New Roman" w:hAnsi="Times New Roman" w:cs="Times New Roman"/>
          <w:sz w:val="28"/>
          <w:szCs w:val="28"/>
        </w:rPr>
        <w:t>rogramme without loss of status and benefits and to pay th</w:t>
      </w:r>
      <w:r w:rsidR="00B025AD" w:rsidRPr="008504A1">
        <w:rPr>
          <w:rFonts w:ascii="Times New Roman" w:hAnsi="Times New Roman" w:cs="Times New Roman"/>
          <w:sz w:val="28"/>
          <w:szCs w:val="28"/>
        </w:rPr>
        <w:t>e applicants any arrear salaries</w:t>
      </w:r>
      <w:r w:rsidRPr="008504A1">
        <w:rPr>
          <w:rFonts w:ascii="Times New Roman" w:hAnsi="Times New Roman" w:cs="Times New Roman"/>
          <w:sz w:val="28"/>
          <w:szCs w:val="28"/>
        </w:rPr>
        <w:t xml:space="preserve"> which may have been paid in their absence.</w:t>
      </w:r>
    </w:p>
    <w:p w14:paraId="014CFBF2" w14:textId="77777777" w:rsidR="008E4D1F" w:rsidRPr="008E4D1F" w:rsidRDefault="008E4D1F" w:rsidP="008E4D1F">
      <w:pPr>
        <w:pStyle w:val="ListParagraph"/>
        <w:spacing w:line="360" w:lineRule="auto"/>
        <w:ind w:left="1080"/>
        <w:jc w:val="both"/>
        <w:rPr>
          <w:rFonts w:ascii="Times New Roman" w:hAnsi="Times New Roman" w:cs="Times New Roman"/>
          <w:sz w:val="16"/>
          <w:szCs w:val="16"/>
        </w:rPr>
      </w:pPr>
    </w:p>
    <w:p w14:paraId="016A1FA7" w14:textId="77777777" w:rsidR="008504A1" w:rsidRDefault="00DE149B" w:rsidP="004C59F1">
      <w:pPr>
        <w:pStyle w:val="ListParagraph"/>
        <w:numPr>
          <w:ilvl w:val="0"/>
          <w:numId w:val="2"/>
        </w:numPr>
        <w:spacing w:line="240" w:lineRule="auto"/>
        <w:jc w:val="both"/>
        <w:rPr>
          <w:rFonts w:ascii="Times New Roman" w:hAnsi="Times New Roman" w:cs="Times New Roman"/>
          <w:sz w:val="28"/>
          <w:szCs w:val="28"/>
        </w:rPr>
      </w:pPr>
      <w:r w:rsidRPr="008504A1">
        <w:rPr>
          <w:rFonts w:ascii="Times New Roman" w:hAnsi="Times New Roman" w:cs="Times New Roman"/>
          <w:sz w:val="28"/>
          <w:szCs w:val="28"/>
        </w:rPr>
        <w:t>The respondents to pay costs on attorney client scale.</w:t>
      </w:r>
    </w:p>
    <w:p w14:paraId="10CA11C3" w14:textId="77777777" w:rsidR="00445FB3" w:rsidRPr="00F10896" w:rsidRDefault="00445FB3" w:rsidP="00F10896">
      <w:pPr>
        <w:spacing w:line="240" w:lineRule="auto"/>
        <w:jc w:val="both"/>
        <w:rPr>
          <w:rFonts w:ascii="Times New Roman" w:hAnsi="Times New Roman" w:cs="Times New Roman"/>
          <w:sz w:val="24"/>
          <w:szCs w:val="24"/>
        </w:rPr>
      </w:pPr>
    </w:p>
    <w:p w14:paraId="07898FB4" w14:textId="0B51C3DD" w:rsidR="00576A31" w:rsidRPr="00602BEE" w:rsidRDefault="00602BEE" w:rsidP="004C59F1">
      <w:pPr>
        <w:spacing w:line="360" w:lineRule="auto"/>
        <w:contextualSpacing/>
        <w:jc w:val="both"/>
        <w:rPr>
          <w:rFonts w:ascii="Times New Roman" w:hAnsi="Times New Roman" w:cs="Times New Roman"/>
          <w:b/>
          <w:bCs/>
          <w:sz w:val="28"/>
          <w:szCs w:val="28"/>
        </w:rPr>
      </w:pPr>
      <w:r w:rsidRPr="00602BEE">
        <w:rPr>
          <w:rFonts w:ascii="Times New Roman" w:hAnsi="Times New Roman" w:cs="Times New Roman"/>
          <w:b/>
          <w:bCs/>
          <w:sz w:val="28"/>
          <w:szCs w:val="28"/>
        </w:rPr>
        <w:t>BACKGROUND</w:t>
      </w:r>
    </w:p>
    <w:p w14:paraId="788F0E7C" w14:textId="05DDA3B9" w:rsidR="00411A64" w:rsidRPr="00386AFA" w:rsidRDefault="00411A64" w:rsidP="004C59F1">
      <w:pPr>
        <w:spacing w:line="360" w:lineRule="auto"/>
        <w:contextualSpacing/>
        <w:jc w:val="both"/>
        <w:rPr>
          <w:rFonts w:ascii="Times New Roman" w:hAnsi="Times New Roman" w:cs="Times New Roman"/>
          <w:i/>
          <w:iCs/>
          <w:sz w:val="28"/>
          <w:szCs w:val="28"/>
        </w:rPr>
      </w:pPr>
      <w:r w:rsidRPr="008504A1">
        <w:rPr>
          <w:rFonts w:ascii="Times New Roman" w:hAnsi="Times New Roman" w:cs="Times New Roman"/>
          <w:sz w:val="28"/>
          <w:szCs w:val="28"/>
        </w:rPr>
        <w:t xml:space="preserve">[2] On the </w:t>
      </w:r>
      <w:r w:rsidR="00693036" w:rsidRPr="008504A1">
        <w:rPr>
          <w:rFonts w:ascii="Times New Roman" w:hAnsi="Times New Roman" w:cs="Times New Roman"/>
          <w:sz w:val="28"/>
          <w:szCs w:val="28"/>
        </w:rPr>
        <w:t>31</w:t>
      </w:r>
      <w:r w:rsidR="00693036" w:rsidRPr="008504A1">
        <w:rPr>
          <w:rFonts w:ascii="Times New Roman" w:hAnsi="Times New Roman" w:cs="Times New Roman"/>
          <w:sz w:val="28"/>
          <w:szCs w:val="28"/>
          <w:vertAlign w:val="superscript"/>
        </w:rPr>
        <w:t>st</w:t>
      </w:r>
      <w:r w:rsidRPr="008504A1">
        <w:rPr>
          <w:rFonts w:ascii="Times New Roman" w:hAnsi="Times New Roman" w:cs="Times New Roman"/>
          <w:sz w:val="28"/>
          <w:szCs w:val="28"/>
        </w:rPr>
        <w:t xml:space="preserve"> May 2022, this court granted th</w:t>
      </w:r>
      <w:r w:rsidR="00DC1618" w:rsidRPr="008504A1">
        <w:rPr>
          <w:rFonts w:ascii="Times New Roman" w:hAnsi="Times New Roman" w:cs="Times New Roman"/>
          <w:sz w:val="28"/>
          <w:szCs w:val="28"/>
        </w:rPr>
        <w:t xml:space="preserve">e applicants a </w:t>
      </w:r>
      <w:r w:rsidR="00DC1618" w:rsidRPr="00DC6566">
        <w:rPr>
          <w:rFonts w:ascii="Times New Roman" w:hAnsi="Times New Roman" w:cs="Times New Roman"/>
          <w:i/>
          <w:iCs/>
          <w:sz w:val="28"/>
          <w:szCs w:val="28"/>
        </w:rPr>
        <w:t>rule nisi</w:t>
      </w:r>
      <w:r w:rsidR="00B025AD" w:rsidRPr="008504A1">
        <w:rPr>
          <w:rFonts w:ascii="Times New Roman" w:hAnsi="Times New Roman" w:cs="Times New Roman"/>
          <w:sz w:val="28"/>
          <w:szCs w:val="28"/>
        </w:rPr>
        <w:t xml:space="preserve">, </w:t>
      </w:r>
      <w:r w:rsidR="005D08D9" w:rsidRPr="008504A1">
        <w:rPr>
          <w:rFonts w:ascii="Times New Roman" w:hAnsi="Times New Roman" w:cs="Times New Roman"/>
          <w:sz w:val="28"/>
          <w:szCs w:val="28"/>
        </w:rPr>
        <w:t>returnable on the 8</w:t>
      </w:r>
      <w:r w:rsidR="005D08D9" w:rsidRPr="008504A1">
        <w:rPr>
          <w:rFonts w:ascii="Times New Roman" w:hAnsi="Times New Roman" w:cs="Times New Roman"/>
          <w:sz w:val="28"/>
          <w:szCs w:val="28"/>
          <w:vertAlign w:val="superscript"/>
        </w:rPr>
        <w:t>th</w:t>
      </w:r>
      <w:r w:rsidR="005D08D9" w:rsidRPr="008504A1">
        <w:rPr>
          <w:rFonts w:ascii="Times New Roman" w:hAnsi="Times New Roman" w:cs="Times New Roman"/>
          <w:sz w:val="28"/>
          <w:szCs w:val="28"/>
        </w:rPr>
        <w:t xml:space="preserve"> June 2022. The matter was ultimately allocated to this court and on the day the parties appeared before court for the selection of the date of hearing, </w:t>
      </w:r>
      <w:r w:rsidR="006A3DFB">
        <w:rPr>
          <w:rFonts w:ascii="Times New Roman" w:hAnsi="Times New Roman" w:cs="Times New Roman"/>
          <w:sz w:val="28"/>
          <w:szCs w:val="28"/>
        </w:rPr>
        <w:t>this matter</w:t>
      </w:r>
      <w:r w:rsidR="00DE55DD">
        <w:rPr>
          <w:rFonts w:ascii="Times New Roman" w:hAnsi="Times New Roman" w:cs="Times New Roman"/>
          <w:sz w:val="28"/>
          <w:szCs w:val="28"/>
        </w:rPr>
        <w:t xml:space="preserve"> </w:t>
      </w:r>
      <w:r w:rsidR="005D08D9" w:rsidRPr="008504A1">
        <w:rPr>
          <w:rFonts w:ascii="Times New Roman" w:hAnsi="Times New Roman" w:cs="Times New Roman"/>
          <w:sz w:val="28"/>
          <w:szCs w:val="28"/>
        </w:rPr>
        <w:t>w</w:t>
      </w:r>
      <w:r w:rsidR="00602E68" w:rsidRPr="008504A1">
        <w:rPr>
          <w:rFonts w:ascii="Times New Roman" w:hAnsi="Times New Roman" w:cs="Times New Roman"/>
          <w:sz w:val="28"/>
          <w:szCs w:val="28"/>
        </w:rPr>
        <w:t xml:space="preserve">as accompanied by another </w:t>
      </w:r>
      <w:r w:rsidR="005D08D9" w:rsidRPr="008504A1">
        <w:rPr>
          <w:rFonts w:ascii="Times New Roman" w:hAnsi="Times New Roman" w:cs="Times New Roman"/>
          <w:sz w:val="28"/>
          <w:szCs w:val="28"/>
        </w:rPr>
        <w:t xml:space="preserve">in </w:t>
      </w:r>
      <w:bookmarkStart w:id="0" w:name="_Hlk110847579"/>
      <w:r w:rsidR="005D08D9" w:rsidRPr="00386AFA">
        <w:rPr>
          <w:rFonts w:ascii="Times New Roman" w:hAnsi="Times New Roman" w:cs="Times New Roman"/>
          <w:b/>
          <w:bCs/>
          <w:i/>
          <w:iCs/>
          <w:sz w:val="28"/>
          <w:szCs w:val="28"/>
        </w:rPr>
        <w:t>CIV/APN/</w:t>
      </w:r>
      <w:r w:rsidR="000A6D5C" w:rsidRPr="00386AFA">
        <w:rPr>
          <w:rFonts w:ascii="Times New Roman" w:hAnsi="Times New Roman" w:cs="Times New Roman"/>
          <w:b/>
          <w:bCs/>
          <w:i/>
          <w:iCs/>
          <w:sz w:val="28"/>
          <w:szCs w:val="28"/>
        </w:rPr>
        <w:t>0</w:t>
      </w:r>
      <w:r w:rsidR="005D08D9" w:rsidRPr="00386AFA">
        <w:rPr>
          <w:rFonts w:ascii="Times New Roman" w:hAnsi="Times New Roman" w:cs="Times New Roman"/>
          <w:b/>
          <w:bCs/>
          <w:i/>
          <w:iCs/>
          <w:sz w:val="28"/>
          <w:szCs w:val="28"/>
        </w:rPr>
        <w:t>169/2022</w:t>
      </w:r>
      <w:bookmarkEnd w:id="0"/>
      <w:r w:rsidR="005D08D9" w:rsidRPr="008504A1">
        <w:rPr>
          <w:rFonts w:ascii="Times New Roman" w:hAnsi="Times New Roman" w:cs="Times New Roman"/>
          <w:sz w:val="28"/>
          <w:szCs w:val="28"/>
        </w:rPr>
        <w:t xml:space="preserve">, which was also allocated to this court. </w:t>
      </w:r>
      <w:r w:rsidR="00402955" w:rsidRPr="008504A1">
        <w:rPr>
          <w:rFonts w:ascii="Times New Roman" w:hAnsi="Times New Roman" w:cs="Times New Roman"/>
          <w:sz w:val="28"/>
          <w:szCs w:val="28"/>
        </w:rPr>
        <w:t>For</w:t>
      </w:r>
      <w:r w:rsidR="005D08D9" w:rsidRPr="008504A1">
        <w:rPr>
          <w:rFonts w:ascii="Times New Roman" w:hAnsi="Times New Roman" w:cs="Times New Roman"/>
          <w:sz w:val="28"/>
          <w:szCs w:val="28"/>
        </w:rPr>
        <w:t xml:space="preserve"> all intends and purposes the parties in this other matter </w:t>
      </w:r>
      <w:r w:rsidR="005D08D9" w:rsidRPr="008504A1">
        <w:rPr>
          <w:rFonts w:ascii="Times New Roman" w:hAnsi="Times New Roman" w:cs="Times New Roman"/>
          <w:sz w:val="28"/>
          <w:szCs w:val="28"/>
        </w:rPr>
        <w:lastRenderedPageBreak/>
        <w:t xml:space="preserve">were the same </w:t>
      </w:r>
      <w:r w:rsidR="005D08D9" w:rsidRPr="00402955">
        <w:rPr>
          <w:rFonts w:ascii="Times New Roman" w:hAnsi="Times New Roman" w:cs="Times New Roman"/>
          <w:sz w:val="28"/>
          <w:szCs w:val="28"/>
        </w:rPr>
        <w:t>parties in</w:t>
      </w:r>
      <w:r w:rsidR="00402955">
        <w:rPr>
          <w:rFonts w:ascii="Times New Roman" w:hAnsi="Times New Roman" w:cs="Times New Roman"/>
          <w:i/>
          <w:iCs/>
          <w:sz w:val="28"/>
          <w:szCs w:val="28"/>
        </w:rPr>
        <w:t xml:space="preserve"> </w:t>
      </w:r>
      <w:r w:rsidR="00E361C2" w:rsidRPr="00386AFA">
        <w:rPr>
          <w:rFonts w:ascii="Times New Roman" w:hAnsi="Times New Roman" w:cs="Times New Roman"/>
          <w:b/>
          <w:bCs/>
          <w:i/>
          <w:iCs/>
          <w:sz w:val="28"/>
          <w:szCs w:val="28"/>
        </w:rPr>
        <w:t>Moliehi Dlamini and 11 Others</w:t>
      </w:r>
      <w:r w:rsidR="00402955">
        <w:rPr>
          <w:rFonts w:ascii="Times New Roman" w:hAnsi="Times New Roman" w:cs="Times New Roman"/>
          <w:b/>
          <w:bCs/>
          <w:i/>
          <w:iCs/>
          <w:sz w:val="28"/>
          <w:szCs w:val="28"/>
        </w:rPr>
        <w:t xml:space="preserve"> v </w:t>
      </w:r>
      <w:r w:rsidR="00402955" w:rsidRPr="00386AFA">
        <w:rPr>
          <w:rFonts w:ascii="Times New Roman" w:hAnsi="Times New Roman" w:cs="Times New Roman"/>
          <w:b/>
          <w:bCs/>
          <w:i/>
          <w:iCs/>
          <w:sz w:val="28"/>
          <w:szCs w:val="28"/>
        </w:rPr>
        <w:t xml:space="preserve">Commissioner of Police and Another </w:t>
      </w:r>
      <w:r w:rsidR="00E361C2" w:rsidRPr="00386AFA">
        <w:rPr>
          <w:rStyle w:val="FootnoteReference"/>
          <w:rFonts w:ascii="Times New Roman" w:hAnsi="Times New Roman" w:cs="Times New Roman"/>
          <w:b/>
          <w:bCs/>
          <w:i/>
          <w:iCs/>
          <w:sz w:val="28"/>
          <w:szCs w:val="28"/>
        </w:rPr>
        <w:footnoteReference w:id="1"/>
      </w:r>
      <w:r w:rsidR="004041D6" w:rsidRPr="00386AFA">
        <w:rPr>
          <w:rFonts w:ascii="Times New Roman" w:hAnsi="Times New Roman" w:cs="Times New Roman"/>
          <w:i/>
          <w:iCs/>
          <w:sz w:val="28"/>
          <w:szCs w:val="28"/>
        </w:rPr>
        <w:t>.</w:t>
      </w:r>
    </w:p>
    <w:p w14:paraId="232BA0FC" w14:textId="77777777" w:rsidR="00FC0ED8" w:rsidRPr="00F10896" w:rsidRDefault="00FC0ED8" w:rsidP="008504A1">
      <w:pPr>
        <w:spacing w:line="360" w:lineRule="auto"/>
        <w:contextualSpacing/>
        <w:jc w:val="both"/>
        <w:rPr>
          <w:rFonts w:ascii="Times New Roman" w:hAnsi="Times New Roman" w:cs="Times New Roman"/>
          <w:sz w:val="24"/>
          <w:szCs w:val="24"/>
        </w:rPr>
      </w:pPr>
    </w:p>
    <w:p w14:paraId="31A356D8" w14:textId="05E9BC88" w:rsidR="008504A1" w:rsidRPr="00847772" w:rsidRDefault="004041D6" w:rsidP="008504A1">
      <w:pPr>
        <w:spacing w:line="360" w:lineRule="auto"/>
        <w:contextualSpacing/>
        <w:jc w:val="both"/>
        <w:rPr>
          <w:rFonts w:ascii="Times New Roman" w:hAnsi="Times New Roman" w:cs="Times New Roman"/>
          <w:sz w:val="28"/>
          <w:szCs w:val="28"/>
        </w:rPr>
      </w:pPr>
      <w:r w:rsidRPr="008504A1">
        <w:rPr>
          <w:rFonts w:ascii="Times New Roman" w:hAnsi="Times New Roman" w:cs="Times New Roman"/>
          <w:sz w:val="28"/>
          <w:szCs w:val="28"/>
        </w:rPr>
        <w:t>[3] The brief history of the</w:t>
      </w:r>
      <w:r w:rsidR="000A6D5C" w:rsidRPr="008504A1">
        <w:rPr>
          <w:rFonts w:ascii="Times New Roman" w:hAnsi="Times New Roman" w:cs="Times New Roman"/>
          <w:sz w:val="28"/>
          <w:szCs w:val="28"/>
        </w:rPr>
        <w:t xml:space="preserve"> </w:t>
      </w:r>
      <w:r w:rsidR="000A6D5C" w:rsidRPr="00386AFA">
        <w:rPr>
          <w:rFonts w:ascii="Times New Roman" w:hAnsi="Times New Roman" w:cs="Times New Roman"/>
          <w:b/>
          <w:bCs/>
          <w:i/>
          <w:iCs/>
          <w:sz w:val="28"/>
          <w:szCs w:val="28"/>
        </w:rPr>
        <w:t>CIV/APN/0169/2022</w:t>
      </w:r>
      <w:r w:rsidR="000A6D5C" w:rsidRPr="008504A1">
        <w:rPr>
          <w:rFonts w:ascii="Times New Roman" w:hAnsi="Times New Roman" w:cs="Times New Roman"/>
          <w:sz w:val="28"/>
          <w:szCs w:val="28"/>
        </w:rPr>
        <w:t>, was that on the 24</w:t>
      </w:r>
      <w:r w:rsidR="000A6D5C" w:rsidRPr="008504A1">
        <w:rPr>
          <w:rFonts w:ascii="Times New Roman" w:hAnsi="Times New Roman" w:cs="Times New Roman"/>
          <w:sz w:val="28"/>
          <w:szCs w:val="28"/>
          <w:vertAlign w:val="superscript"/>
        </w:rPr>
        <w:t>th</w:t>
      </w:r>
      <w:r w:rsidR="000A6D5C" w:rsidRPr="008504A1">
        <w:rPr>
          <w:rFonts w:ascii="Times New Roman" w:hAnsi="Times New Roman" w:cs="Times New Roman"/>
          <w:sz w:val="28"/>
          <w:szCs w:val="28"/>
        </w:rPr>
        <w:t xml:space="preserve"> May 2022, my </w:t>
      </w:r>
      <w:r w:rsidR="00DC6566">
        <w:rPr>
          <w:rFonts w:ascii="Times New Roman" w:hAnsi="Times New Roman" w:cs="Times New Roman"/>
          <w:sz w:val="28"/>
          <w:szCs w:val="28"/>
        </w:rPr>
        <w:t>Sister</w:t>
      </w:r>
      <w:r w:rsidR="000A6D5C" w:rsidRPr="008504A1">
        <w:rPr>
          <w:rFonts w:ascii="Times New Roman" w:hAnsi="Times New Roman" w:cs="Times New Roman"/>
          <w:sz w:val="28"/>
          <w:szCs w:val="28"/>
        </w:rPr>
        <w:t xml:space="preserve"> </w:t>
      </w:r>
      <w:r w:rsidR="000A6D5C" w:rsidRPr="00816758">
        <w:rPr>
          <w:rFonts w:ascii="Times New Roman" w:hAnsi="Times New Roman" w:cs="Times New Roman"/>
          <w:b/>
          <w:bCs/>
          <w:sz w:val="28"/>
          <w:szCs w:val="28"/>
        </w:rPr>
        <w:t xml:space="preserve">Makhetha </w:t>
      </w:r>
      <w:r w:rsidR="000A6D5C" w:rsidRPr="005807D1">
        <w:rPr>
          <w:rFonts w:ascii="Times New Roman" w:hAnsi="Times New Roman" w:cs="Times New Roman"/>
          <w:b/>
          <w:bCs/>
          <w:sz w:val="28"/>
          <w:szCs w:val="28"/>
        </w:rPr>
        <w:t xml:space="preserve">J </w:t>
      </w:r>
      <w:r w:rsidR="000A6D5C" w:rsidRPr="008504A1">
        <w:rPr>
          <w:rFonts w:ascii="Times New Roman" w:hAnsi="Times New Roman" w:cs="Times New Roman"/>
          <w:sz w:val="28"/>
          <w:szCs w:val="28"/>
        </w:rPr>
        <w:t>granted an Interim Court Order, and the rule nisi was returnable on the 31</w:t>
      </w:r>
      <w:r w:rsidR="000A6D5C" w:rsidRPr="008504A1">
        <w:rPr>
          <w:rFonts w:ascii="Times New Roman" w:hAnsi="Times New Roman" w:cs="Times New Roman"/>
          <w:sz w:val="28"/>
          <w:szCs w:val="28"/>
          <w:vertAlign w:val="superscript"/>
        </w:rPr>
        <w:t>st</w:t>
      </w:r>
      <w:r w:rsidR="000A6D5C" w:rsidRPr="008504A1">
        <w:rPr>
          <w:rFonts w:ascii="Times New Roman" w:hAnsi="Times New Roman" w:cs="Times New Roman"/>
          <w:sz w:val="28"/>
          <w:szCs w:val="28"/>
        </w:rPr>
        <w:t xml:space="preserve"> day of May 2022,</w:t>
      </w:r>
      <w:r w:rsidR="00E668FA" w:rsidRPr="008504A1">
        <w:rPr>
          <w:rFonts w:ascii="Times New Roman" w:hAnsi="Times New Roman" w:cs="Times New Roman"/>
          <w:sz w:val="28"/>
          <w:szCs w:val="28"/>
        </w:rPr>
        <w:t xml:space="preserve"> </w:t>
      </w:r>
      <w:r w:rsidR="000A6D5C" w:rsidRPr="008504A1">
        <w:rPr>
          <w:rFonts w:ascii="Times New Roman" w:hAnsi="Times New Roman" w:cs="Times New Roman"/>
          <w:sz w:val="28"/>
          <w:szCs w:val="28"/>
        </w:rPr>
        <w:t>calling upon the respondents to show cause if any, why;</w:t>
      </w:r>
    </w:p>
    <w:p w14:paraId="62477BDA" w14:textId="16F19217" w:rsidR="00FE2953" w:rsidRDefault="000A6D5C" w:rsidP="004123DA">
      <w:pPr>
        <w:pStyle w:val="ListParagraph"/>
        <w:numPr>
          <w:ilvl w:val="0"/>
          <w:numId w:val="3"/>
        </w:numPr>
        <w:spacing w:line="360" w:lineRule="auto"/>
        <w:jc w:val="both"/>
        <w:rPr>
          <w:rFonts w:ascii="Times New Roman" w:hAnsi="Times New Roman" w:cs="Times New Roman"/>
          <w:sz w:val="28"/>
          <w:szCs w:val="28"/>
        </w:rPr>
      </w:pPr>
      <w:r w:rsidRPr="008504A1">
        <w:rPr>
          <w:rFonts w:ascii="Times New Roman" w:hAnsi="Times New Roman" w:cs="Times New Roman"/>
          <w:sz w:val="28"/>
          <w:szCs w:val="28"/>
        </w:rPr>
        <w:t>The first respondent shall not be interdicted and restrained from proceeding to discharge the applicants as contemplated by the letters in terms of which the applicants were invited to make representations for the discharge pending finalisation hereof.</w:t>
      </w:r>
    </w:p>
    <w:p w14:paraId="4C7E4A21" w14:textId="77777777" w:rsidR="00847772" w:rsidRPr="00847772" w:rsidRDefault="00847772" w:rsidP="00847772">
      <w:pPr>
        <w:pStyle w:val="ListParagraph"/>
        <w:spacing w:line="360" w:lineRule="auto"/>
        <w:jc w:val="both"/>
        <w:rPr>
          <w:rFonts w:ascii="Times New Roman" w:hAnsi="Times New Roman" w:cs="Times New Roman"/>
          <w:sz w:val="16"/>
          <w:szCs w:val="16"/>
        </w:rPr>
      </w:pPr>
    </w:p>
    <w:p w14:paraId="6B673CCC" w14:textId="77777777" w:rsidR="00FE2953" w:rsidRPr="00FE2953" w:rsidRDefault="000A6D5C" w:rsidP="00FE2953">
      <w:pPr>
        <w:pStyle w:val="ListParagraph"/>
        <w:numPr>
          <w:ilvl w:val="0"/>
          <w:numId w:val="3"/>
        </w:numPr>
        <w:spacing w:line="360" w:lineRule="auto"/>
        <w:jc w:val="both"/>
        <w:rPr>
          <w:rFonts w:ascii="Times New Roman" w:hAnsi="Times New Roman" w:cs="Times New Roman"/>
          <w:sz w:val="28"/>
          <w:szCs w:val="28"/>
        </w:rPr>
      </w:pPr>
      <w:r w:rsidRPr="008504A1">
        <w:rPr>
          <w:rFonts w:ascii="Times New Roman" w:hAnsi="Times New Roman" w:cs="Times New Roman"/>
          <w:sz w:val="28"/>
          <w:szCs w:val="28"/>
        </w:rPr>
        <w:t>The first respondent shall not be directed and ordered to allow the applicants to continue with the recruitment training pending finalisation hereof.</w:t>
      </w:r>
    </w:p>
    <w:p w14:paraId="72945FCF" w14:textId="77777777" w:rsidR="00FE2953" w:rsidRPr="00FE2953" w:rsidRDefault="00FE2953" w:rsidP="00FE2953">
      <w:pPr>
        <w:pStyle w:val="ListParagraph"/>
        <w:spacing w:line="360" w:lineRule="auto"/>
        <w:jc w:val="both"/>
        <w:rPr>
          <w:rFonts w:ascii="Times New Roman" w:hAnsi="Times New Roman" w:cs="Times New Roman"/>
          <w:sz w:val="16"/>
          <w:szCs w:val="16"/>
        </w:rPr>
      </w:pPr>
    </w:p>
    <w:p w14:paraId="412C7239" w14:textId="77777777" w:rsidR="00FE2953" w:rsidRPr="00FE2953" w:rsidRDefault="00962366" w:rsidP="00FE2953">
      <w:pPr>
        <w:pStyle w:val="ListParagraph"/>
        <w:numPr>
          <w:ilvl w:val="0"/>
          <w:numId w:val="3"/>
        </w:numPr>
        <w:spacing w:line="360" w:lineRule="auto"/>
        <w:jc w:val="both"/>
        <w:rPr>
          <w:rFonts w:ascii="Times New Roman" w:hAnsi="Times New Roman" w:cs="Times New Roman"/>
          <w:sz w:val="28"/>
          <w:szCs w:val="28"/>
        </w:rPr>
      </w:pPr>
      <w:r w:rsidRPr="008504A1">
        <w:rPr>
          <w:rFonts w:ascii="Times New Roman" w:hAnsi="Times New Roman" w:cs="Times New Roman"/>
          <w:sz w:val="28"/>
          <w:szCs w:val="28"/>
        </w:rPr>
        <w:t>The first respondent shall not be directed to hold in abeyance the letters in terms of which the applicants had been invited to make representations for discharge pending finalisation hereof.</w:t>
      </w:r>
    </w:p>
    <w:p w14:paraId="6126CF72" w14:textId="77777777" w:rsidR="00FE2953" w:rsidRPr="00FE2953" w:rsidRDefault="00FE2953" w:rsidP="00FE2953">
      <w:pPr>
        <w:pStyle w:val="ListParagraph"/>
        <w:spacing w:line="360" w:lineRule="auto"/>
        <w:jc w:val="both"/>
        <w:rPr>
          <w:rFonts w:ascii="Times New Roman" w:hAnsi="Times New Roman" w:cs="Times New Roman"/>
          <w:sz w:val="16"/>
          <w:szCs w:val="16"/>
        </w:rPr>
      </w:pPr>
    </w:p>
    <w:p w14:paraId="28F120FB" w14:textId="77777777" w:rsidR="00FE2953" w:rsidRPr="00FE2953" w:rsidRDefault="00962366" w:rsidP="00FE2953">
      <w:pPr>
        <w:pStyle w:val="ListParagraph"/>
        <w:numPr>
          <w:ilvl w:val="0"/>
          <w:numId w:val="3"/>
        </w:numPr>
        <w:spacing w:line="360" w:lineRule="auto"/>
        <w:jc w:val="both"/>
        <w:rPr>
          <w:rFonts w:ascii="Times New Roman" w:hAnsi="Times New Roman" w:cs="Times New Roman"/>
          <w:sz w:val="28"/>
          <w:szCs w:val="28"/>
        </w:rPr>
      </w:pPr>
      <w:r w:rsidRPr="008504A1">
        <w:rPr>
          <w:rFonts w:ascii="Times New Roman" w:hAnsi="Times New Roman" w:cs="Times New Roman"/>
          <w:sz w:val="28"/>
          <w:szCs w:val="28"/>
        </w:rPr>
        <w:t>The first respondent shall not be ordered to dispatch the record of the proceedings if any that gave birth to the decision to refuse to provide the applicants with further particulars to the Registrar of this Court, within ten days hereof.</w:t>
      </w:r>
    </w:p>
    <w:p w14:paraId="458B0B7C" w14:textId="77777777" w:rsidR="00FE2953" w:rsidRPr="00FE2953" w:rsidRDefault="00FE2953" w:rsidP="00FE2953">
      <w:pPr>
        <w:pStyle w:val="ListParagraph"/>
        <w:spacing w:line="360" w:lineRule="auto"/>
        <w:jc w:val="both"/>
        <w:rPr>
          <w:rFonts w:ascii="Times New Roman" w:hAnsi="Times New Roman" w:cs="Times New Roman"/>
          <w:sz w:val="16"/>
          <w:szCs w:val="16"/>
        </w:rPr>
      </w:pPr>
    </w:p>
    <w:p w14:paraId="024466C6" w14:textId="77777777" w:rsidR="00FE2953" w:rsidRPr="00FE2953" w:rsidRDefault="00962366" w:rsidP="00FE2953">
      <w:pPr>
        <w:pStyle w:val="ListParagraph"/>
        <w:numPr>
          <w:ilvl w:val="0"/>
          <w:numId w:val="3"/>
        </w:numPr>
        <w:spacing w:line="360" w:lineRule="auto"/>
        <w:jc w:val="both"/>
        <w:rPr>
          <w:rFonts w:ascii="Times New Roman" w:hAnsi="Times New Roman" w:cs="Times New Roman"/>
          <w:sz w:val="28"/>
          <w:szCs w:val="28"/>
        </w:rPr>
      </w:pPr>
      <w:r w:rsidRPr="008504A1">
        <w:rPr>
          <w:rFonts w:ascii="Times New Roman" w:hAnsi="Times New Roman" w:cs="Times New Roman"/>
          <w:sz w:val="28"/>
          <w:szCs w:val="28"/>
        </w:rPr>
        <w:t>The first respondent’s decision to refuse to provide the applicants with further particulars as delineated in their letters dated the 16</w:t>
      </w:r>
      <w:r w:rsidRPr="008504A1">
        <w:rPr>
          <w:rFonts w:ascii="Times New Roman" w:hAnsi="Times New Roman" w:cs="Times New Roman"/>
          <w:sz w:val="28"/>
          <w:szCs w:val="28"/>
          <w:vertAlign w:val="superscript"/>
        </w:rPr>
        <w:t>th</w:t>
      </w:r>
      <w:r w:rsidRPr="008504A1">
        <w:rPr>
          <w:rFonts w:ascii="Times New Roman" w:hAnsi="Times New Roman" w:cs="Times New Roman"/>
          <w:sz w:val="28"/>
          <w:szCs w:val="28"/>
        </w:rPr>
        <w:t xml:space="preserve"> and 18</w:t>
      </w:r>
      <w:r w:rsidRPr="008504A1">
        <w:rPr>
          <w:rFonts w:ascii="Times New Roman" w:hAnsi="Times New Roman" w:cs="Times New Roman"/>
          <w:sz w:val="28"/>
          <w:szCs w:val="28"/>
          <w:vertAlign w:val="superscript"/>
        </w:rPr>
        <w:t>th</w:t>
      </w:r>
      <w:r w:rsidRPr="008504A1">
        <w:rPr>
          <w:rFonts w:ascii="Times New Roman" w:hAnsi="Times New Roman" w:cs="Times New Roman"/>
          <w:sz w:val="28"/>
          <w:szCs w:val="28"/>
        </w:rPr>
        <w:t xml:space="preserve"> May 2022 shall not be reviewed and set aside.</w:t>
      </w:r>
    </w:p>
    <w:p w14:paraId="15275B6D" w14:textId="77777777" w:rsidR="00FE2953" w:rsidRPr="00FE2953" w:rsidRDefault="00FE2953" w:rsidP="00FE2953">
      <w:pPr>
        <w:pStyle w:val="ListParagraph"/>
        <w:spacing w:line="360" w:lineRule="auto"/>
        <w:jc w:val="both"/>
        <w:rPr>
          <w:rFonts w:ascii="Times New Roman" w:hAnsi="Times New Roman" w:cs="Times New Roman"/>
          <w:sz w:val="16"/>
          <w:szCs w:val="16"/>
        </w:rPr>
      </w:pPr>
    </w:p>
    <w:p w14:paraId="21EB1F7F" w14:textId="77777777" w:rsidR="00A5249C" w:rsidRPr="00A5249C" w:rsidRDefault="00962366" w:rsidP="00A5249C">
      <w:pPr>
        <w:pStyle w:val="ListParagraph"/>
        <w:numPr>
          <w:ilvl w:val="0"/>
          <w:numId w:val="3"/>
        </w:numPr>
        <w:spacing w:line="360" w:lineRule="auto"/>
        <w:jc w:val="both"/>
        <w:rPr>
          <w:rFonts w:ascii="Times New Roman" w:hAnsi="Times New Roman" w:cs="Times New Roman"/>
          <w:sz w:val="28"/>
          <w:szCs w:val="28"/>
        </w:rPr>
      </w:pPr>
      <w:r w:rsidRPr="008504A1">
        <w:rPr>
          <w:rFonts w:ascii="Times New Roman" w:hAnsi="Times New Roman" w:cs="Times New Roman"/>
          <w:sz w:val="28"/>
          <w:szCs w:val="28"/>
        </w:rPr>
        <w:lastRenderedPageBreak/>
        <w:t>The first resp</w:t>
      </w:r>
      <w:r w:rsidR="00EE1FCB" w:rsidRPr="008504A1">
        <w:rPr>
          <w:rFonts w:ascii="Times New Roman" w:hAnsi="Times New Roman" w:cs="Times New Roman"/>
          <w:sz w:val="28"/>
          <w:szCs w:val="28"/>
        </w:rPr>
        <w:t xml:space="preserve">ondent shall not be ordered to </w:t>
      </w:r>
      <w:r w:rsidRPr="008504A1">
        <w:rPr>
          <w:rFonts w:ascii="Times New Roman" w:hAnsi="Times New Roman" w:cs="Times New Roman"/>
          <w:sz w:val="28"/>
          <w:szCs w:val="28"/>
        </w:rPr>
        <w:t>provide the requested further particulars to the applicants herein within ten days of the service of the order, so as to enable applicants to respond to the show cause letters.</w:t>
      </w:r>
    </w:p>
    <w:p w14:paraId="54240CC6" w14:textId="77777777" w:rsidR="00A5249C" w:rsidRPr="00A5249C" w:rsidRDefault="00A5249C" w:rsidP="00A5249C">
      <w:pPr>
        <w:pStyle w:val="ListParagraph"/>
        <w:spacing w:line="360" w:lineRule="auto"/>
        <w:jc w:val="both"/>
        <w:rPr>
          <w:rFonts w:ascii="Times New Roman" w:hAnsi="Times New Roman" w:cs="Times New Roman"/>
          <w:sz w:val="16"/>
          <w:szCs w:val="16"/>
        </w:rPr>
      </w:pPr>
    </w:p>
    <w:p w14:paraId="060AE645" w14:textId="77777777" w:rsidR="00816758" w:rsidRDefault="00962366" w:rsidP="004C59F1">
      <w:pPr>
        <w:pStyle w:val="ListParagraph"/>
        <w:numPr>
          <w:ilvl w:val="0"/>
          <w:numId w:val="3"/>
        </w:numPr>
        <w:spacing w:line="360" w:lineRule="auto"/>
        <w:jc w:val="both"/>
        <w:rPr>
          <w:rFonts w:ascii="Times New Roman" w:hAnsi="Times New Roman" w:cs="Times New Roman"/>
          <w:sz w:val="28"/>
          <w:szCs w:val="28"/>
        </w:rPr>
      </w:pPr>
      <w:r w:rsidRPr="00FE2953">
        <w:rPr>
          <w:rFonts w:ascii="Times New Roman" w:hAnsi="Times New Roman" w:cs="Times New Roman"/>
          <w:sz w:val="28"/>
          <w:szCs w:val="28"/>
        </w:rPr>
        <w:t>That it be declared that the applicants herein are entitled to the vetting reports that revea</w:t>
      </w:r>
      <w:r w:rsidR="00EE1FCB" w:rsidRPr="00FE2953">
        <w:rPr>
          <w:rFonts w:ascii="Times New Roman" w:hAnsi="Times New Roman" w:cs="Times New Roman"/>
          <w:sz w:val="28"/>
          <w:szCs w:val="28"/>
        </w:rPr>
        <w:t>led that they are notorious criminal gang to enable them to respond to the show cause letters.</w:t>
      </w:r>
      <w:r w:rsidR="004041D6" w:rsidRPr="00FE2953">
        <w:rPr>
          <w:rFonts w:ascii="Times New Roman" w:hAnsi="Times New Roman" w:cs="Times New Roman"/>
          <w:sz w:val="28"/>
          <w:szCs w:val="28"/>
        </w:rPr>
        <w:t xml:space="preserve"> </w:t>
      </w:r>
    </w:p>
    <w:p w14:paraId="6B308C7A" w14:textId="77777777" w:rsidR="00816758" w:rsidRPr="00816758" w:rsidRDefault="00816758" w:rsidP="004C59F1">
      <w:pPr>
        <w:pStyle w:val="ListParagraph"/>
        <w:spacing w:line="240" w:lineRule="auto"/>
        <w:jc w:val="both"/>
        <w:rPr>
          <w:rFonts w:ascii="Times New Roman" w:hAnsi="Times New Roman" w:cs="Times New Roman"/>
          <w:sz w:val="16"/>
          <w:szCs w:val="16"/>
        </w:rPr>
      </w:pPr>
    </w:p>
    <w:p w14:paraId="408A12FD" w14:textId="77777777" w:rsidR="00EE1FCB" w:rsidRDefault="00EE1FCB" w:rsidP="008504A1">
      <w:pPr>
        <w:spacing w:line="360" w:lineRule="auto"/>
        <w:contextualSpacing/>
        <w:jc w:val="both"/>
        <w:rPr>
          <w:rFonts w:ascii="Times New Roman" w:hAnsi="Times New Roman" w:cs="Times New Roman"/>
          <w:sz w:val="28"/>
          <w:szCs w:val="28"/>
        </w:rPr>
      </w:pPr>
      <w:r w:rsidRPr="008504A1">
        <w:rPr>
          <w:rFonts w:ascii="Times New Roman" w:hAnsi="Times New Roman" w:cs="Times New Roman"/>
          <w:sz w:val="28"/>
          <w:szCs w:val="28"/>
        </w:rPr>
        <w:t>The rule in this matter was returnable on the 31</w:t>
      </w:r>
      <w:r w:rsidRPr="008504A1">
        <w:rPr>
          <w:rFonts w:ascii="Times New Roman" w:hAnsi="Times New Roman" w:cs="Times New Roman"/>
          <w:sz w:val="28"/>
          <w:szCs w:val="28"/>
          <w:vertAlign w:val="superscript"/>
        </w:rPr>
        <w:t>st</w:t>
      </w:r>
      <w:r w:rsidRPr="008504A1">
        <w:rPr>
          <w:rFonts w:ascii="Times New Roman" w:hAnsi="Times New Roman" w:cs="Times New Roman"/>
          <w:sz w:val="28"/>
          <w:szCs w:val="28"/>
        </w:rPr>
        <w:t xml:space="preserve"> May 2022. On the 31</w:t>
      </w:r>
      <w:r w:rsidRPr="008504A1">
        <w:rPr>
          <w:rFonts w:ascii="Times New Roman" w:hAnsi="Times New Roman" w:cs="Times New Roman"/>
          <w:sz w:val="28"/>
          <w:szCs w:val="28"/>
          <w:vertAlign w:val="superscript"/>
        </w:rPr>
        <w:t>st</w:t>
      </w:r>
      <w:r w:rsidRPr="008504A1">
        <w:rPr>
          <w:rFonts w:ascii="Times New Roman" w:hAnsi="Times New Roman" w:cs="Times New Roman"/>
          <w:sz w:val="28"/>
          <w:szCs w:val="28"/>
        </w:rPr>
        <w:t xml:space="preserve"> May 2022, the rule in this matter was extended to the 13</w:t>
      </w:r>
      <w:r w:rsidRPr="008504A1">
        <w:rPr>
          <w:rFonts w:ascii="Times New Roman" w:hAnsi="Times New Roman" w:cs="Times New Roman"/>
          <w:sz w:val="28"/>
          <w:szCs w:val="28"/>
          <w:vertAlign w:val="superscript"/>
        </w:rPr>
        <w:t>th</w:t>
      </w:r>
      <w:r w:rsidRPr="008504A1">
        <w:rPr>
          <w:rFonts w:ascii="Times New Roman" w:hAnsi="Times New Roman" w:cs="Times New Roman"/>
          <w:sz w:val="28"/>
          <w:szCs w:val="28"/>
        </w:rPr>
        <w:t xml:space="preserve"> June 2022. It is worth mentioning that the rule in </w:t>
      </w:r>
      <w:r w:rsidRPr="00386AFA">
        <w:rPr>
          <w:rFonts w:ascii="Times New Roman" w:hAnsi="Times New Roman" w:cs="Times New Roman"/>
          <w:b/>
          <w:bCs/>
          <w:i/>
          <w:iCs/>
          <w:sz w:val="28"/>
          <w:szCs w:val="28"/>
        </w:rPr>
        <w:t>CIV/APN/0170/2022</w:t>
      </w:r>
      <w:r w:rsidRPr="008504A1">
        <w:rPr>
          <w:rFonts w:ascii="Times New Roman" w:hAnsi="Times New Roman" w:cs="Times New Roman"/>
          <w:sz w:val="28"/>
          <w:szCs w:val="28"/>
        </w:rPr>
        <w:t xml:space="preserve"> was also extended to the same date of 13</w:t>
      </w:r>
      <w:r w:rsidRPr="008504A1">
        <w:rPr>
          <w:rFonts w:ascii="Times New Roman" w:hAnsi="Times New Roman" w:cs="Times New Roman"/>
          <w:sz w:val="28"/>
          <w:szCs w:val="28"/>
          <w:vertAlign w:val="superscript"/>
        </w:rPr>
        <w:t xml:space="preserve">th </w:t>
      </w:r>
      <w:r w:rsidRPr="008504A1">
        <w:rPr>
          <w:rFonts w:ascii="Times New Roman" w:hAnsi="Times New Roman" w:cs="Times New Roman"/>
          <w:sz w:val="28"/>
          <w:szCs w:val="28"/>
        </w:rPr>
        <w:t>June 2022.  On the 13</w:t>
      </w:r>
      <w:r w:rsidRPr="008504A1">
        <w:rPr>
          <w:rFonts w:ascii="Times New Roman" w:hAnsi="Times New Roman" w:cs="Times New Roman"/>
          <w:sz w:val="28"/>
          <w:szCs w:val="28"/>
          <w:vertAlign w:val="superscript"/>
        </w:rPr>
        <w:t>th</w:t>
      </w:r>
      <w:r w:rsidRPr="008504A1">
        <w:rPr>
          <w:rFonts w:ascii="Times New Roman" w:hAnsi="Times New Roman" w:cs="Times New Roman"/>
          <w:sz w:val="28"/>
          <w:szCs w:val="28"/>
        </w:rPr>
        <w:t xml:space="preserve"> June 2022 this matter was postponed to the 23</w:t>
      </w:r>
      <w:r w:rsidRPr="008504A1">
        <w:rPr>
          <w:rFonts w:ascii="Times New Roman" w:hAnsi="Times New Roman" w:cs="Times New Roman"/>
          <w:sz w:val="28"/>
          <w:szCs w:val="28"/>
          <w:vertAlign w:val="superscript"/>
        </w:rPr>
        <w:t>rd</w:t>
      </w:r>
      <w:r w:rsidRPr="008504A1">
        <w:rPr>
          <w:rFonts w:ascii="Times New Roman" w:hAnsi="Times New Roman" w:cs="Times New Roman"/>
          <w:sz w:val="28"/>
          <w:szCs w:val="28"/>
        </w:rPr>
        <w:t xml:space="preserve"> June 2022 for hearing, and the other matter in </w:t>
      </w:r>
      <w:r w:rsidRPr="00386AFA">
        <w:rPr>
          <w:rFonts w:ascii="Times New Roman" w:hAnsi="Times New Roman" w:cs="Times New Roman"/>
          <w:b/>
          <w:bCs/>
          <w:i/>
          <w:iCs/>
          <w:sz w:val="28"/>
          <w:szCs w:val="28"/>
        </w:rPr>
        <w:t>CIV/APN/0169/2022</w:t>
      </w:r>
      <w:r w:rsidRPr="008504A1">
        <w:rPr>
          <w:rFonts w:ascii="Times New Roman" w:hAnsi="Times New Roman" w:cs="Times New Roman"/>
          <w:sz w:val="28"/>
          <w:szCs w:val="28"/>
        </w:rPr>
        <w:t xml:space="preserve"> was also postponed to the 23</w:t>
      </w:r>
      <w:r w:rsidRPr="008504A1">
        <w:rPr>
          <w:rFonts w:ascii="Times New Roman" w:hAnsi="Times New Roman" w:cs="Times New Roman"/>
          <w:sz w:val="28"/>
          <w:szCs w:val="28"/>
          <w:vertAlign w:val="superscript"/>
        </w:rPr>
        <w:t>rd</w:t>
      </w:r>
      <w:r w:rsidRPr="008504A1">
        <w:rPr>
          <w:rFonts w:ascii="Times New Roman" w:hAnsi="Times New Roman" w:cs="Times New Roman"/>
          <w:sz w:val="28"/>
          <w:szCs w:val="28"/>
        </w:rPr>
        <w:t xml:space="preserve"> June 2022, to be dealt with on that day. </w:t>
      </w:r>
    </w:p>
    <w:p w14:paraId="0C0758B1" w14:textId="77777777" w:rsidR="00FE2953" w:rsidRPr="00F10896" w:rsidRDefault="00FE2953" w:rsidP="008504A1">
      <w:pPr>
        <w:spacing w:line="360" w:lineRule="auto"/>
        <w:contextualSpacing/>
        <w:jc w:val="both"/>
        <w:rPr>
          <w:rFonts w:ascii="Times New Roman" w:hAnsi="Times New Roman" w:cs="Times New Roman"/>
          <w:sz w:val="24"/>
          <w:szCs w:val="24"/>
        </w:rPr>
      </w:pPr>
    </w:p>
    <w:p w14:paraId="10E23D8B" w14:textId="38FDFCEE" w:rsidR="00EE1FCB" w:rsidRDefault="006B077A" w:rsidP="008504A1">
      <w:pPr>
        <w:spacing w:line="360" w:lineRule="auto"/>
        <w:contextualSpacing/>
        <w:jc w:val="both"/>
        <w:rPr>
          <w:rFonts w:ascii="Times New Roman" w:hAnsi="Times New Roman" w:cs="Times New Roman"/>
          <w:sz w:val="28"/>
          <w:szCs w:val="28"/>
        </w:rPr>
      </w:pPr>
      <w:r w:rsidRPr="008504A1">
        <w:rPr>
          <w:rFonts w:ascii="Times New Roman" w:hAnsi="Times New Roman" w:cs="Times New Roman"/>
          <w:sz w:val="28"/>
          <w:szCs w:val="28"/>
        </w:rPr>
        <w:t>[</w:t>
      </w:r>
      <w:r w:rsidR="00644F6A">
        <w:rPr>
          <w:rFonts w:ascii="Times New Roman" w:hAnsi="Times New Roman" w:cs="Times New Roman"/>
          <w:sz w:val="28"/>
          <w:szCs w:val="28"/>
        </w:rPr>
        <w:t>4</w:t>
      </w:r>
      <w:r w:rsidRPr="008504A1">
        <w:rPr>
          <w:rFonts w:ascii="Times New Roman" w:hAnsi="Times New Roman" w:cs="Times New Roman"/>
          <w:sz w:val="28"/>
          <w:szCs w:val="28"/>
        </w:rPr>
        <w:t xml:space="preserve">] It is apposite to state that in </w:t>
      </w:r>
      <w:r w:rsidRPr="00386AFA">
        <w:rPr>
          <w:rFonts w:ascii="Times New Roman" w:hAnsi="Times New Roman" w:cs="Times New Roman"/>
          <w:b/>
          <w:bCs/>
          <w:i/>
          <w:iCs/>
          <w:sz w:val="28"/>
          <w:szCs w:val="28"/>
        </w:rPr>
        <w:t>CIV/APN/0169/2022</w:t>
      </w:r>
      <w:r w:rsidRPr="008504A1">
        <w:rPr>
          <w:rFonts w:ascii="Times New Roman" w:hAnsi="Times New Roman" w:cs="Times New Roman"/>
          <w:sz w:val="28"/>
          <w:szCs w:val="28"/>
        </w:rPr>
        <w:t xml:space="preserve">, the First respondent- the Commissioner of Police was interdicted and restrained from discharging the applicants, as contemplated in his letters, in which applicants were invited to make representations. The first respondent- Commissioner of Police was further ordered to allow applicants to continue with the recruitment training pending finalisation hereof. </w:t>
      </w:r>
      <w:r w:rsidR="00155B76" w:rsidRPr="008504A1">
        <w:rPr>
          <w:rFonts w:ascii="Times New Roman" w:hAnsi="Times New Roman" w:cs="Times New Roman"/>
          <w:sz w:val="28"/>
          <w:szCs w:val="28"/>
        </w:rPr>
        <w:t>The requirement for the applicants to submit letters of representations on the 25</w:t>
      </w:r>
      <w:r w:rsidR="00155B76" w:rsidRPr="008504A1">
        <w:rPr>
          <w:rFonts w:ascii="Times New Roman" w:hAnsi="Times New Roman" w:cs="Times New Roman"/>
          <w:sz w:val="28"/>
          <w:szCs w:val="28"/>
          <w:vertAlign w:val="superscript"/>
        </w:rPr>
        <w:t>th</w:t>
      </w:r>
      <w:r w:rsidR="00155B76" w:rsidRPr="008504A1">
        <w:rPr>
          <w:rFonts w:ascii="Times New Roman" w:hAnsi="Times New Roman" w:cs="Times New Roman"/>
          <w:sz w:val="28"/>
          <w:szCs w:val="28"/>
        </w:rPr>
        <w:t xml:space="preserve"> May 2022, was held in abeyance, pending finalisation of the application. This</w:t>
      </w:r>
      <w:r w:rsidRPr="008504A1">
        <w:rPr>
          <w:rFonts w:ascii="Times New Roman" w:hAnsi="Times New Roman" w:cs="Times New Roman"/>
          <w:sz w:val="28"/>
          <w:szCs w:val="28"/>
        </w:rPr>
        <w:t xml:space="preserve"> Interim Court Order was granted on the 24</w:t>
      </w:r>
      <w:r w:rsidRPr="008504A1">
        <w:rPr>
          <w:rFonts w:ascii="Times New Roman" w:hAnsi="Times New Roman" w:cs="Times New Roman"/>
          <w:sz w:val="28"/>
          <w:szCs w:val="28"/>
          <w:vertAlign w:val="superscript"/>
        </w:rPr>
        <w:t>th</w:t>
      </w:r>
      <w:r w:rsidRPr="008504A1">
        <w:rPr>
          <w:rFonts w:ascii="Times New Roman" w:hAnsi="Times New Roman" w:cs="Times New Roman"/>
          <w:sz w:val="28"/>
          <w:szCs w:val="28"/>
        </w:rPr>
        <w:t xml:space="preserve"> May 2022. However</w:t>
      </w:r>
      <w:r w:rsidR="003D1A2D" w:rsidRPr="008504A1">
        <w:rPr>
          <w:rFonts w:ascii="Times New Roman" w:hAnsi="Times New Roman" w:cs="Times New Roman"/>
          <w:sz w:val="28"/>
          <w:szCs w:val="28"/>
        </w:rPr>
        <w:t>,</w:t>
      </w:r>
      <w:r w:rsidRPr="008504A1">
        <w:rPr>
          <w:rFonts w:ascii="Times New Roman" w:hAnsi="Times New Roman" w:cs="Times New Roman"/>
          <w:sz w:val="28"/>
          <w:szCs w:val="28"/>
        </w:rPr>
        <w:t xml:space="preserve"> on the 25</w:t>
      </w:r>
      <w:r w:rsidRPr="008504A1">
        <w:rPr>
          <w:rFonts w:ascii="Times New Roman" w:hAnsi="Times New Roman" w:cs="Times New Roman"/>
          <w:sz w:val="28"/>
          <w:szCs w:val="28"/>
          <w:vertAlign w:val="superscript"/>
        </w:rPr>
        <w:t>th</w:t>
      </w:r>
      <w:r w:rsidRPr="008504A1">
        <w:rPr>
          <w:rFonts w:ascii="Times New Roman" w:hAnsi="Times New Roman" w:cs="Times New Roman"/>
          <w:sz w:val="28"/>
          <w:szCs w:val="28"/>
        </w:rPr>
        <w:t xml:space="preserve"> May 2022, the first respondent</w:t>
      </w:r>
      <w:r w:rsidR="003D1A2D" w:rsidRPr="008504A1">
        <w:rPr>
          <w:rFonts w:ascii="Times New Roman" w:hAnsi="Times New Roman" w:cs="Times New Roman"/>
          <w:sz w:val="28"/>
          <w:szCs w:val="28"/>
        </w:rPr>
        <w:t xml:space="preserve"> terminated applicants’ appointment as Police Recruits. It is important to mention that in terms of the Court Order in </w:t>
      </w:r>
      <w:r w:rsidR="003D1A2D" w:rsidRPr="00386AFA">
        <w:rPr>
          <w:rFonts w:ascii="Times New Roman" w:hAnsi="Times New Roman" w:cs="Times New Roman"/>
          <w:b/>
          <w:bCs/>
          <w:i/>
          <w:iCs/>
          <w:sz w:val="28"/>
          <w:szCs w:val="28"/>
        </w:rPr>
        <w:t>CIV/APN/0169/2022</w:t>
      </w:r>
      <w:r w:rsidR="003D1A2D" w:rsidRPr="008504A1">
        <w:rPr>
          <w:rFonts w:ascii="Times New Roman" w:hAnsi="Times New Roman" w:cs="Times New Roman"/>
          <w:sz w:val="28"/>
          <w:szCs w:val="28"/>
        </w:rPr>
        <w:t xml:space="preserve">, the first respondent was interdicted and restrained from terminating the applicants’ appointment as Police recruits. It is for this reason that this court holds a strong view that the proceedings in </w:t>
      </w:r>
      <w:r w:rsidR="003D1A2D" w:rsidRPr="00386AFA">
        <w:rPr>
          <w:rFonts w:ascii="Times New Roman" w:hAnsi="Times New Roman" w:cs="Times New Roman"/>
          <w:b/>
          <w:bCs/>
          <w:i/>
          <w:iCs/>
          <w:sz w:val="28"/>
          <w:szCs w:val="28"/>
        </w:rPr>
        <w:t>CIV/APN/0169/2022</w:t>
      </w:r>
      <w:r w:rsidR="003D1A2D" w:rsidRPr="008504A1">
        <w:rPr>
          <w:rFonts w:ascii="Times New Roman" w:hAnsi="Times New Roman" w:cs="Times New Roman"/>
          <w:sz w:val="28"/>
          <w:szCs w:val="28"/>
        </w:rPr>
        <w:t xml:space="preserve"> are connected to the proceedings in this matter-</w:t>
      </w:r>
      <w:r w:rsidR="003D1A2D" w:rsidRPr="00386AFA">
        <w:rPr>
          <w:rFonts w:ascii="Times New Roman" w:hAnsi="Times New Roman" w:cs="Times New Roman"/>
          <w:b/>
          <w:bCs/>
          <w:i/>
          <w:iCs/>
          <w:sz w:val="28"/>
          <w:szCs w:val="28"/>
        </w:rPr>
        <w:t>CIV/APN/0170/2022</w:t>
      </w:r>
      <w:r w:rsidR="003D1A2D" w:rsidRPr="008504A1">
        <w:rPr>
          <w:rFonts w:ascii="Times New Roman" w:hAnsi="Times New Roman" w:cs="Times New Roman"/>
          <w:sz w:val="28"/>
          <w:szCs w:val="28"/>
        </w:rPr>
        <w:t xml:space="preserve">. The respondents have also taken </w:t>
      </w:r>
      <w:r w:rsidR="002566F6" w:rsidRPr="002566F6">
        <w:rPr>
          <w:rFonts w:ascii="Times New Roman" w:hAnsi="Times New Roman" w:cs="Times New Roman"/>
          <w:i/>
          <w:iCs/>
          <w:sz w:val="28"/>
          <w:szCs w:val="28"/>
        </w:rPr>
        <w:t>lis pendens</w:t>
      </w:r>
      <w:r w:rsidR="002566F6" w:rsidRPr="008504A1">
        <w:rPr>
          <w:rFonts w:ascii="Times New Roman" w:hAnsi="Times New Roman" w:cs="Times New Roman"/>
          <w:sz w:val="28"/>
          <w:szCs w:val="28"/>
        </w:rPr>
        <w:t xml:space="preserve"> </w:t>
      </w:r>
      <w:r w:rsidR="003D1A2D" w:rsidRPr="008504A1">
        <w:rPr>
          <w:rFonts w:ascii="Times New Roman" w:hAnsi="Times New Roman" w:cs="Times New Roman"/>
          <w:sz w:val="28"/>
          <w:szCs w:val="28"/>
        </w:rPr>
        <w:t xml:space="preserve">as a point </w:t>
      </w:r>
      <w:r w:rsidR="003D1A2D" w:rsidRPr="00386AFA">
        <w:rPr>
          <w:rFonts w:ascii="Times New Roman" w:hAnsi="Times New Roman" w:cs="Times New Roman"/>
          <w:i/>
          <w:iCs/>
          <w:sz w:val="28"/>
          <w:szCs w:val="28"/>
        </w:rPr>
        <w:t xml:space="preserve">in </w:t>
      </w:r>
      <w:r w:rsidR="003D1A2D" w:rsidRPr="00386AFA">
        <w:rPr>
          <w:rFonts w:ascii="Times New Roman" w:hAnsi="Times New Roman" w:cs="Times New Roman"/>
          <w:i/>
          <w:iCs/>
          <w:sz w:val="28"/>
          <w:szCs w:val="28"/>
        </w:rPr>
        <w:lastRenderedPageBreak/>
        <w:t>limine.</w:t>
      </w:r>
      <w:r w:rsidR="003D1A2D" w:rsidRPr="008504A1">
        <w:rPr>
          <w:rFonts w:ascii="Times New Roman" w:hAnsi="Times New Roman" w:cs="Times New Roman"/>
          <w:sz w:val="28"/>
          <w:szCs w:val="28"/>
        </w:rPr>
        <w:t xml:space="preserve"> Having put forward this</w:t>
      </w:r>
      <w:r w:rsidR="00155B76" w:rsidRPr="008504A1">
        <w:rPr>
          <w:rFonts w:ascii="Times New Roman" w:hAnsi="Times New Roman" w:cs="Times New Roman"/>
          <w:sz w:val="28"/>
          <w:szCs w:val="28"/>
        </w:rPr>
        <w:t xml:space="preserve"> brief history,</w:t>
      </w:r>
      <w:r w:rsidR="006B54C5" w:rsidRPr="008504A1">
        <w:rPr>
          <w:rFonts w:ascii="Times New Roman" w:hAnsi="Times New Roman" w:cs="Times New Roman"/>
          <w:sz w:val="28"/>
          <w:szCs w:val="28"/>
        </w:rPr>
        <w:t xml:space="preserve"> I shall now proceed to deal with the point </w:t>
      </w:r>
      <w:r w:rsidR="006B54C5" w:rsidRPr="00386AFA">
        <w:rPr>
          <w:rFonts w:ascii="Times New Roman" w:hAnsi="Times New Roman" w:cs="Times New Roman"/>
          <w:i/>
          <w:iCs/>
          <w:sz w:val="28"/>
          <w:szCs w:val="28"/>
        </w:rPr>
        <w:t>in limine</w:t>
      </w:r>
      <w:r w:rsidR="006B54C5" w:rsidRPr="008504A1">
        <w:rPr>
          <w:rFonts w:ascii="Times New Roman" w:hAnsi="Times New Roman" w:cs="Times New Roman"/>
          <w:sz w:val="28"/>
          <w:szCs w:val="28"/>
        </w:rPr>
        <w:t xml:space="preserve"> taken by the respondents.</w:t>
      </w:r>
    </w:p>
    <w:p w14:paraId="525FBCA9" w14:textId="77777777" w:rsidR="00FE2953" w:rsidRPr="00F10896" w:rsidRDefault="00FE2953" w:rsidP="008504A1">
      <w:pPr>
        <w:spacing w:line="360" w:lineRule="auto"/>
        <w:contextualSpacing/>
        <w:jc w:val="both"/>
        <w:rPr>
          <w:rFonts w:ascii="Times New Roman" w:hAnsi="Times New Roman" w:cs="Times New Roman"/>
          <w:sz w:val="24"/>
          <w:szCs w:val="24"/>
        </w:rPr>
      </w:pPr>
    </w:p>
    <w:p w14:paraId="3DD57DF4" w14:textId="7E164162" w:rsidR="00155B76" w:rsidRPr="00CA1CFA" w:rsidRDefault="00CA1CFA" w:rsidP="008504A1">
      <w:pPr>
        <w:spacing w:line="360" w:lineRule="auto"/>
        <w:contextualSpacing/>
        <w:jc w:val="both"/>
        <w:rPr>
          <w:rFonts w:ascii="Times New Roman" w:hAnsi="Times New Roman" w:cs="Times New Roman"/>
          <w:sz w:val="28"/>
          <w:szCs w:val="28"/>
        </w:rPr>
      </w:pPr>
      <w:r w:rsidRPr="00CA1CFA">
        <w:rPr>
          <w:rFonts w:ascii="Times New Roman" w:hAnsi="Times New Roman" w:cs="Times New Roman"/>
          <w:b/>
          <w:i/>
          <w:iCs/>
          <w:sz w:val="28"/>
          <w:szCs w:val="28"/>
        </w:rPr>
        <w:t>LIS PENDENS</w:t>
      </w:r>
      <w:r w:rsidRPr="00CA1CFA">
        <w:rPr>
          <w:rFonts w:ascii="Times New Roman" w:hAnsi="Times New Roman" w:cs="Times New Roman"/>
          <w:sz w:val="28"/>
          <w:szCs w:val="28"/>
        </w:rPr>
        <w:t>:</w:t>
      </w:r>
    </w:p>
    <w:p w14:paraId="424DDC52" w14:textId="74545C53" w:rsidR="0025208C" w:rsidRDefault="0025208C" w:rsidP="008504A1">
      <w:pPr>
        <w:spacing w:line="360" w:lineRule="auto"/>
        <w:contextualSpacing/>
        <w:jc w:val="both"/>
        <w:rPr>
          <w:rFonts w:ascii="Times New Roman" w:hAnsi="Times New Roman" w:cs="Times New Roman"/>
          <w:sz w:val="28"/>
          <w:szCs w:val="28"/>
        </w:rPr>
      </w:pPr>
      <w:r w:rsidRPr="008504A1">
        <w:rPr>
          <w:rFonts w:ascii="Times New Roman" w:hAnsi="Times New Roman" w:cs="Times New Roman"/>
          <w:sz w:val="28"/>
          <w:szCs w:val="28"/>
        </w:rPr>
        <w:t>[</w:t>
      </w:r>
      <w:r w:rsidR="00644F6A">
        <w:rPr>
          <w:rFonts w:ascii="Times New Roman" w:hAnsi="Times New Roman" w:cs="Times New Roman"/>
          <w:sz w:val="28"/>
          <w:szCs w:val="28"/>
        </w:rPr>
        <w:t>5</w:t>
      </w:r>
      <w:r w:rsidRPr="008504A1">
        <w:rPr>
          <w:rFonts w:ascii="Times New Roman" w:hAnsi="Times New Roman" w:cs="Times New Roman"/>
          <w:sz w:val="28"/>
          <w:szCs w:val="28"/>
        </w:rPr>
        <w:t>]</w:t>
      </w:r>
      <w:r w:rsidR="00155B76" w:rsidRPr="008504A1">
        <w:rPr>
          <w:rFonts w:ascii="Times New Roman" w:hAnsi="Times New Roman" w:cs="Times New Roman"/>
          <w:sz w:val="28"/>
          <w:szCs w:val="28"/>
        </w:rPr>
        <w:t xml:space="preserve"> The respondents on the point of</w:t>
      </w:r>
      <w:r w:rsidR="009538EB" w:rsidRPr="008504A1">
        <w:rPr>
          <w:rFonts w:ascii="Times New Roman" w:hAnsi="Times New Roman" w:cs="Times New Roman"/>
          <w:sz w:val="28"/>
          <w:szCs w:val="28"/>
        </w:rPr>
        <w:t xml:space="preserve"> </w:t>
      </w:r>
      <w:r w:rsidR="009538EB" w:rsidRPr="002566F6">
        <w:rPr>
          <w:rFonts w:ascii="Times New Roman" w:hAnsi="Times New Roman" w:cs="Times New Roman"/>
          <w:i/>
          <w:iCs/>
          <w:sz w:val="28"/>
          <w:szCs w:val="28"/>
        </w:rPr>
        <w:t>lis pendens</w:t>
      </w:r>
      <w:r w:rsidRPr="008504A1">
        <w:rPr>
          <w:rFonts w:ascii="Times New Roman" w:hAnsi="Times New Roman" w:cs="Times New Roman"/>
          <w:sz w:val="28"/>
          <w:szCs w:val="28"/>
        </w:rPr>
        <w:t xml:space="preserve"> plead</w:t>
      </w:r>
      <w:r w:rsidR="00E668FA" w:rsidRPr="008504A1">
        <w:rPr>
          <w:rFonts w:ascii="Times New Roman" w:hAnsi="Times New Roman" w:cs="Times New Roman"/>
          <w:sz w:val="28"/>
          <w:szCs w:val="28"/>
        </w:rPr>
        <w:t>ed</w:t>
      </w:r>
      <w:r w:rsidRPr="008504A1">
        <w:rPr>
          <w:rFonts w:ascii="Times New Roman" w:hAnsi="Times New Roman" w:cs="Times New Roman"/>
          <w:sz w:val="28"/>
          <w:szCs w:val="28"/>
        </w:rPr>
        <w:t xml:space="preserve"> that </w:t>
      </w:r>
      <w:r w:rsidR="00101B28" w:rsidRPr="008504A1">
        <w:rPr>
          <w:rFonts w:ascii="Times New Roman" w:hAnsi="Times New Roman" w:cs="Times New Roman"/>
          <w:sz w:val="28"/>
          <w:szCs w:val="28"/>
        </w:rPr>
        <w:t xml:space="preserve">the applicants have instituted these proceedings, while there are pending proceedings in </w:t>
      </w:r>
      <w:r w:rsidR="00101B28" w:rsidRPr="00386AFA">
        <w:rPr>
          <w:rFonts w:ascii="Times New Roman" w:hAnsi="Times New Roman" w:cs="Times New Roman"/>
          <w:b/>
          <w:bCs/>
          <w:i/>
          <w:iCs/>
          <w:sz w:val="28"/>
          <w:szCs w:val="28"/>
        </w:rPr>
        <w:t>CIV/APN/0169/2022</w:t>
      </w:r>
      <w:r w:rsidR="00101B28" w:rsidRPr="008504A1">
        <w:rPr>
          <w:rFonts w:ascii="Times New Roman" w:hAnsi="Times New Roman" w:cs="Times New Roman"/>
          <w:sz w:val="28"/>
          <w:szCs w:val="28"/>
        </w:rPr>
        <w:t>. That the same applicants have brought before this court substantially the same issues, between the same parties and that these matters are not finalised. Lastly that the applicants are abusing the court process therefore this matter should be dismissed on this ground alone.</w:t>
      </w:r>
      <w:r w:rsidR="00FB7CBF" w:rsidRPr="008504A1">
        <w:rPr>
          <w:rFonts w:ascii="Times New Roman" w:hAnsi="Times New Roman" w:cs="Times New Roman"/>
          <w:sz w:val="28"/>
          <w:szCs w:val="28"/>
        </w:rPr>
        <w:t xml:space="preserve"> To buttress this point respondents submitted that both matters are pending cases between the same parties, concerning the same subject </w:t>
      </w:r>
      <w:r w:rsidR="009F140B" w:rsidRPr="008504A1">
        <w:rPr>
          <w:rFonts w:ascii="Times New Roman" w:hAnsi="Times New Roman" w:cs="Times New Roman"/>
          <w:sz w:val="28"/>
          <w:szCs w:val="28"/>
        </w:rPr>
        <w:t>matter,</w:t>
      </w:r>
      <w:r w:rsidR="00FB7CBF" w:rsidRPr="008504A1">
        <w:rPr>
          <w:rFonts w:ascii="Times New Roman" w:hAnsi="Times New Roman" w:cs="Times New Roman"/>
          <w:sz w:val="28"/>
          <w:szCs w:val="28"/>
        </w:rPr>
        <w:t xml:space="preserve"> and founded on the same cause of action. In that the applicants are in both cases praying that the decision of the first respondent to discharge the applicants from Police Training College programme shall not be reviewed and set aside as irregular. That the prayer directing the first respondent to reinstate the applicants back into the programme without loss of status and benefits was the common relief in the two cases pending before court.</w:t>
      </w:r>
      <w:r w:rsidR="00101B28" w:rsidRPr="008504A1">
        <w:rPr>
          <w:rFonts w:ascii="Times New Roman" w:hAnsi="Times New Roman" w:cs="Times New Roman"/>
          <w:sz w:val="28"/>
          <w:szCs w:val="28"/>
        </w:rPr>
        <w:t xml:space="preserve"> </w:t>
      </w:r>
    </w:p>
    <w:p w14:paraId="400A1818" w14:textId="77777777" w:rsidR="00FE2953" w:rsidRPr="00F10896" w:rsidRDefault="00FE2953" w:rsidP="008504A1">
      <w:pPr>
        <w:spacing w:line="360" w:lineRule="auto"/>
        <w:contextualSpacing/>
        <w:jc w:val="both"/>
        <w:rPr>
          <w:rFonts w:ascii="Times New Roman" w:hAnsi="Times New Roman" w:cs="Times New Roman"/>
          <w:sz w:val="24"/>
          <w:szCs w:val="24"/>
        </w:rPr>
      </w:pPr>
    </w:p>
    <w:p w14:paraId="5E4B368B" w14:textId="7B3D6206" w:rsidR="002C74AE" w:rsidRDefault="002C5C78" w:rsidP="008504A1">
      <w:pPr>
        <w:spacing w:before="240" w:line="360" w:lineRule="auto"/>
        <w:contextualSpacing/>
        <w:jc w:val="both"/>
        <w:rPr>
          <w:rFonts w:ascii="Times New Roman" w:hAnsi="Times New Roman" w:cs="Times New Roman"/>
          <w:sz w:val="28"/>
          <w:szCs w:val="28"/>
        </w:rPr>
      </w:pPr>
      <w:r w:rsidRPr="008504A1">
        <w:rPr>
          <w:rFonts w:ascii="Times New Roman" w:hAnsi="Times New Roman" w:cs="Times New Roman"/>
          <w:sz w:val="28"/>
          <w:szCs w:val="28"/>
        </w:rPr>
        <w:t>[</w:t>
      </w:r>
      <w:r w:rsidR="00644F6A">
        <w:rPr>
          <w:rFonts w:ascii="Times New Roman" w:hAnsi="Times New Roman" w:cs="Times New Roman"/>
          <w:sz w:val="28"/>
          <w:szCs w:val="28"/>
        </w:rPr>
        <w:t>6</w:t>
      </w:r>
      <w:r w:rsidRPr="008504A1">
        <w:rPr>
          <w:rFonts w:ascii="Times New Roman" w:hAnsi="Times New Roman" w:cs="Times New Roman"/>
          <w:sz w:val="28"/>
          <w:szCs w:val="28"/>
        </w:rPr>
        <w:t xml:space="preserve">] </w:t>
      </w:r>
      <w:r w:rsidRPr="00816758">
        <w:rPr>
          <w:rFonts w:ascii="Times New Roman" w:hAnsi="Times New Roman" w:cs="Times New Roman"/>
          <w:b/>
          <w:bCs/>
          <w:sz w:val="28"/>
          <w:szCs w:val="28"/>
        </w:rPr>
        <w:t>Adv. Sehloho</w:t>
      </w:r>
      <w:r w:rsidRPr="008504A1">
        <w:rPr>
          <w:rFonts w:ascii="Times New Roman" w:hAnsi="Times New Roman" w:cs="Times New Roman"/>
          <w:sz w:val="28"/>
          <w:szCs w:val="28"/>
        </w:rPr>
        <w:t xml:space="preserve"> referred this court to the case of </w:t>
      </w:r>
      <w:r w:rsidRPr="00386AFA">
        <w:rPr>
          <w:rFonts w:ascii="Times New Roman" w:hAnsi="Times New Roman" w:cs="Times New Roman"/>
          <w:b/>
          <w:bCs/>
          <w:i/>
          <w:iCs/>
          <w:sz w:val="28"/>
          <w:szCs w:val="28"/>
        </w:rPr>
        <w:t>Bushman v Lesotho Development and Construction (Pty) Ltd and</w:t>
      </w:r>
      <w:r w:rsidR="009F140B">
        <w:rPr>
          <w:rFonts w:ascii="Times New Roman" w:hAnsi="Times New Roman" w:cs="Times New Roman"/>
          <w:b/>
          <w:bCs/>
          <w:i/>
          <w:iCs/>
          <w:sz w:val="28"/>
          <w:szCs w:val="28"/>
        </w:rPr>
        <w:t xml:space="preserve"> Others</w:t>
      </w:r>
      <w:r w:rsidR="00E361C2" w:rsidRPr="00386AFA">
        <w:rPr>
          <w:rStyle w:val="FootnoteReference"/>
          <w:rFonts w:ascii="Times New Roman" w:hAnsi="Times New Roman" w:cs="Times New Roman"/>
          <w:b/>
          <w:bCs/>
          <w:i/>
          <w:iCs/>
          <w:sz w:val="28"/>
          <w:szCs w:val="28"/>
        </w:rPr>
        <w:footnoteReference w:id="2"/>
      </w:r>
      <w:r w:rsidR="00E74AC5">
        <w:rPr>
          <w:rFonts w:ascii="Times New Roman" w:hAnsi="Times New Roman" w:cs="Times New Roman"/>
          <w:b/>
          <w:bCs/>
          <w:i/>
          <w:iCs/>
          <w:sz w:val="28"/>
          <w:szCs w:val="28"/>
        </w:rPr>
        <w:t xml:space="preserve"> </w:t>
      </w:r>
      <w:r w:rsidRPr="008504A1">
        <w:rPr>
          <w:rFonts w:ascii="Times New Roman" w:hAnsi="Times New Roman" w:cs="Times New Roman"/>
          <w:sz w:val="28"/>
          <w:szCs w:val="28"/>
        </w:rPr>
        <w:t xml:space="preserve">where </w:t>
      </w:r>
      <w:r w:rsidRPr="00816758">
        <w:rPr>
          <w:rFonts w:ascii="Times New Roman" w:hAnsi="Times New Roman" w:cs="Times New Roman"/>
          <w:b/>
          <w:bCs/>
          <w:sz w:val="28"/>
          <w:szCs w:val="28"/>
        </w:rPr>
        <w:t>Mosito P</w:t>
      </w:r>
      <w:r w:rsidRPr="008504A1">
        <w:rPr>
          <w:rFonts w:ascii="Times New Roman" w:hAnsi="Times New Roman" w:cs="Times New Roman"/>
          <w:sz w:val="28"/>
          <w:szCs w:val="28"/>
        </w:rPr>
        <w:t xml:space="preserve"> referred</w:t>
      </w:r>
      <w:r w:rsidR="00155B76" w:rsidRPr="008504A1">
        <w:rPr>
          <w:rFonts w:ascii="Times New Roman" w:hAnsi="Times New Roman" w:cs="Times New Roman"/>
          <w:sz w:val="28"/>
          <w:szCs w:val="28"/>
        </w:rPr>
        <w:t xml:space="preserve"> to</w:t>
      </w:r>
      <w:r w:rsidRPr="008504A1">
        <w:rPr>
          <w:rFonts w:ascii="Times New Roman" w:hAnsi="Times New Roman" w:cs="Times New Roman"/>
          <w:sz w:val="28"/>
          <w:szCs w:val="28"/>
        </w:rPr>
        <w:t xml:space="preserve"> </w:t>
      </w:r>
      <w:bookmarkStart w:id="1" w:name="_Hlk110847931"/>
      <w:r w:rsidRPr="00386AFA">
        <w:rPr>
          <w:rFonts w:ascii="Times New Roman" w:hAnsi="Times New Roman" w:cs="Times New Roman"/>
          <w:b/>
          <w:bCs/>
          <w:i/>
          <w:iCs/>
          <w:sz w:val="28"/>
          <w:szCs w:val="28"/>
        </w:rPr>
        <w:t>Nestle South Africa (Pty) Ltd v Mars Inc</w:t>
      </w:r>
      <w:r w:rsidR="006F7124">
        <w:rPr>
          <w:rStyle w:val="FootnoteReference"/>
          <w:rFonts w:ascii="Times New Roman" w:hAnsi="Times New Roman" w:cs="Times New Roman"/>
          <w:b/>
          <w:bCs/>
          <w:sz w:val="28"/>
          <w:szCs w:val="28"/>
        </w:rPr>
        <w:footnoteReference w:id="3"/>
      </w:r>
      <w:r w:rsidR="002C74AE" w:rsidRPr="008504A1">
        <w:rPr>
          <w:rFonts w:ascii="Times New Roman" w:hAnsi="Times New Roman" w:cs="Times New Roman"/>
          <w:sz w:val="28"/>
          <w:szCs w:val="28"/>
        </w:rPr>
        <w:t>:</w:t>
      </w:r>
    </w:p>
    <w:p w14:paraId="06786CEF" w14:textId="77777777" w:rsidR="00816758" w:rsidRPr="00816758" w:rsidRDefault="00816758" w:rsidP="008504A1">
      <w:pPr>
        <w:spacing w:before="240" w:line="360" w:lineRule="auto"/>
        <w:contextualSpacing/>
        <w:jc w:val="both"/>
        <w:rPr>
          <w:rFonts w:ascii="Times New Roman" w:hAnsi="Times New Roman" w:cs="Times New Roman"/>
          <w:sz w:val="16"/>
          <w:szCs w:val="16"/>
        </w:rPr>
      </w:pPr>
    </w:p>
    <w:bookmarkEnd w:id="1"/>
    <w:p w14:paraId="54F7B8A8" w14:textId="3AFAF627" w:rsidR="00411A64" w:rsidRDefault="00155B76" w:rsidP="00816758">
      <w:pPr>
        <w:spacing w:before="240" w:line="360" w:lineRule="auto"/>
        <w:ind w:left="720"/>
        <w:contextualSpacing/>
        <w:jc w:val="both"/>
        <w:rPr>
          <w:rFonts w:ascii="Times New Roman" w:hAnsi="Times New Roman" w:cs="Times New Roman"/>
          <w:sz w:val="28"/>
          <w:szCs w:val="28"/>
        </w:rPr>
      </w:pPr>
      <w:r w:rsidRPr="008504A1">
        <w:rPr>
          <w:rFonts w:ascii="Times New Roman" w:hAnsi="Times New Roman" w:cs="Times New Roman"/>
          <w:sz w:val="28"/>
          <w:szCs w:val="28"/>
        </w:rPr>
        <w:t>“The</w:t>
      </w:r>
      <w:r w:rsidR="002C74AE" w:rsidRPr="008504A1">
        <w:rPr>
          <w:rFonts w:ascii="Times New Roman" w:hAnsi="Times New Roman" w:cs="Times New Roman"/>
          <w:sz w:val="28"/>
          <w:szCs w:val="28"/>
        </w:rPr>
        <w:t xml:space="preserve"> defence of </w:t>
      </w:r>
      <w:r w:rsidR="002C74AE" w:rsidRPr="00816758">
        <w:rPr>
          <w:rFonts w:ascii="Times New Roman" w:hAnsi="Times New Roman" w:cs="Times New Roman"/>
          <w:i/>
          <w:iCs/>
          <w:sz w:val="28"/>
          <w:szCs w:val="28"/>
        </w:rPr>
        <w:t>lis alibi pendens</w:t>
      </w:r>
      <w:r w:rsidR="002C74AE" w:rsidRPr="008504A1">
        <w:rPr>
          <w:rFonts w:ascii="Times New Roman" w:hAnsi="Times New Roman" w:cs="Times New Roman"/>
          <w:sz w:val="28"/>
          <w:szCs w:val="28"/>
        </w:rPr>
        <w:t xml:space="preserve"> shares features in common with the defence of </w:t>
      </w:r>
      <w:r w:rsidR="002C74AE" w:rsidRPr="009C4518">
        <w:rPr>
          <w:rFonts w:ascii="Times New Roman" w:hAnsi="Times New Roman" w:cs="Times New Roman"/>
          <w:i/>
          <w:iCs/>
          <w:sz w:val="28"/>
          <w:szCs w:val="28"/>
        </w:rPr>
        <w:t>res judicata</w:t>
      </w:r>
      <w:r w:rsidR="002C74AE" w:rsidRPr="008504A1">
        <w:rPr>
          <w:rFonts w:ascii="Times New Roman" w:hAnsi="Times New Roman" w:cs="Times New Roman"/>
          <w:sz w:val="28"/>
          <w:szCs w:val="28"/>
        </w:rPr>
        <w:t xml:space="preserve"> because they have a common underlying principle, which is that there should be finality to litigation. Once</w:t>
      </w:r>
      <w:r w:rsidR="00E668FA" w:rsidRPr="008504A1">
        <w:rPr>
          <w:rFonts w:ascii="Times New Roman" w:hAnsi="Times New Roman" w:cs="Times New Roman"/>
          <w:sz w:val="28"/>
          <w:szCs w:val="28"/>
        </w:rPr>
        <w:t xml:space="preserve"> a litigation has been commenced</w:t>
      </w:r>
      <w:r w:rsidR="002C74AE" w:rsidRPr="008504A1">
        <w:rPr>
          <w:rFonts w:ascii="Times New Roman" w:hAnsi="Times New Roman" w:cs="Times New Roman"/>
          <w:sz w:val="28"/>
          <w:szCs w:val="28"/>
        </w:rPr>
        <w:t xml:space="preserve"> before a tribunal that is competent to adjudicate upon it, the suit m</w:t>
      </w:r>
      <w:r w:rsidR="00E668FA" w:rsidRPr="008504A1">
        <w:rPr>
          <w:rFonts w:ascii="Times New Roman" w:hAnsi="Times New Roman" w:cs="Times New Roman"/>
          <w:sz w:val="28"/>
          <w:szCs w:val="28"/>
        </w:rPr>
        <w:t>u</w:t>
      </w:r>
      <w:r w:rsidR="002C74AE" w:rsidRPr="008504A1">
        <w:rPr>
          <w:rFonts w:ascii="Times New Roman" w:hAnsi="Times New Roman" w:cs="Times New Roman"/>
          <w:sz w:val="28"/>
          <w:szCs w:val="28"/>
        </w:rPr>
        <w:t>st generally be brought to its conclusion before that trib</w:t>
      </w:r>
      <w:r w:rsidRPr="008504A1">
        <w:rPr>
          <w:rFonts w:ascii="Times New Roman" w:hAnsi="Times New Roman" w:cs="Times New Roman"/>
          <w:sz w:val="28"/>
          <w:szCs w:val="28"/>
        </w:rPr>
        <w:t xml:space="preserve">unal and should be replicated </w:t>
      </w:r>
      <w:r w:rsidR="002C74AE" w:rsidRPr="00816758">
        <w:rPr>
          <w:rFonts w:ascii="Times New Roman" w:hAnsi="Times New Roman" w:cs="Times New Roman"/>
          <w:i/>
          <w:iCs/>
          <w:sz w:val="28"/>
          <w:szCs w:val="28"/>
        </w:rPr>
        <w:t>lis pendens</w:t>
      </w:r>
      <w:r w:rsidR="002C74AE" w:rsidRPr="008504A1">
        <w:rPr>
          <w:rFonts w:ascii="Times New Roman" w:hAnsi="Times New Roman" w:cs="Times New Roman"/>
          <w:sz w:val="28"/>
          <w:szCs w:val="28"/>
        </w:rPr>
        <w:t xml:space="preserve">. By the same token the suit will not be </w:t>
      </w:r>
      <w:r w:rsidR="002C74AE" w:rsidRPr="008504A1">
        <w:rPr>
          <w:rFonts w:ascii="Times New Roman" w:hAnsi="Times New Roman" w:cs="Times New Roman"/>
          <w:sz w:val="28"/>
          <w:szCs w:val="28"/>
        </w:rPr>
        <w:lastRenderedPageBreak/>
        <w:t>permitted to revive once it has been bro</w:t>
      </w:r>
      <w:r w:rsidR="00E668FA" w:rsidRPr="008504A1">
        <w:rPr>
          <w:rFonts w:ascii="Times New Roman" w:hAnsi="Times New Roman" w:cs="Times New Roman"/>
          <w:sz w:val="28"/>
          <w:szCs w:val="28"/>
        </w:rPr>
        <w:t xml:space="preserve">ught to its proper conclusion </w:t>
      </w:r>
      <w:r w:rsidRPr="005F0C16">
        <w:rPr>
          <w:rFonts w:ascii="Times New Roman" w:hAnsi="Times New Roman" w:cs="Times New Roman"/>
          <w:i/>
          <w:iCs/>
          <w:sz w:val="28"/>
          <w:szCs w:val="28"/>
        </w:rPr>
        <w:t>res judicata</w:t>
      </w:r>
      <w:r w:rsidR="005F0C16">
        <w:rPr>
          <w:rFonts w:ascii="Times New Roman" w:hAnsi="Times New Roman" w:cs="Times New Roman"/>
          <w:i/>
          <w:iCs/>
          <w:sz w:val="28"/>
          <w:szCs w:val="28"/>
        </w:rPr>
        <w:t>.</w:t>
      </w:r>
      <w:r w:rsidR="002C74AE" w:rsidRPr="008504A1">
        <w:rPr>
          <w:rFonts w:ascii="Times New Roman" w:hAnsi="Times New Roman" w:cs="Times New Roman"/>
          <w:sz w:val="28"/>
          <w:szCs w:val="28"/>
        </w:rPr>
        <w:t xml:space="preserve"> The same suit between the same </w:t>
      </w:r>
      <w:r w:rsidR="00FE2953" w:rsidRPr="008504A1">
        <w:rPr>
          <w:rFonts w:ascii="Times New Roman" w:hAnsi="Times New Roman" w:cs="Times New Roman"/>
          <w:sz w:val="28"/>
          <w:szCs w:val="28"/>
        </w:rPr>
        <w:t>parties,</w:t>
      </w:r>
      <w:r w:rsidR="002C74AE" w:rsidRPr="008504A1">
        <w:rPr>
          <w:rFonts w:ascii="Times New Roman" w:hAnsi="Times New Roman" w:cs="Times New Roman"/>
          <w:sz w:val="28"/>
          <w:szCs w:val="28"/>
        </w:rPr>
        <w:t xml:space="preserve"> should be brought once and finally.”</w:t>
      </w:r>
      <w:r w:rsidR="002C5C78" w:rsidRPr="008504A1">
        <w:rPr>
          <w:rFonts w:ascii="Times New Roman" w:hAnsi="Times New Roman" w:cs="Times New Roman"/>
          <w:sz w:val="28"/>
          <w:szCs w:val="28"/>
        </w:rPr>
        <w:t xml:space="preserve"> </w:t>
      </w:r>
    </w:p>
    <w:p w14:paraId="3E73E8D6" w14:textId="77777777" w:rsidR="00943C53" w:rsidRPr="00F10896" w:rsidRDefault="00943C53" w:rsidP="00816758">
      <w:pPr>
        <w:spacing w:before="240" w:line="360" w:lineRule="auto"/>
        <w:ind w:left="720"/>
        <w:contextualSpacing/>
        <w:jc w:val="both"/>
        <w:rPr>
          <w:rFonts w:ascii="Times New Roman" w:hAnsi="Times New Roman" w:cs="Times New Roman"/>
          <w:sz w:val="24"/>
          <w:szCs w:val="24"/>
        </w:rPr>
      </w:pPr>
    </w:p>
    <w:p w14:paraId="7FB8317B" w14:textId="2E8247D6" w:rsidR="002C74AE" w:rsidRDefault="00534DC7" w:rsidP="008504A1">
      <w:pPr>
        <w:spacing w:before="240" w:line="360" w:lineRule="auto"/>
        <w:contextualSpacing/>
        <w:jc w:val="both"/>
        <w:rPr>
          <w:rFonts w:ascii="Times New Roman" w:hAnsi="Times New Roman" w:cs="Times New Roman"/>
          <w:sz w:val="28"/>
          <w:szCs w:val="28"/>
        </w:rPr>
      </w:pPr>
      <w:r w:rsidRPr="008504A1">
        <w:rPr>
          <w:rFonts w:ascii="Times New Roman" w:hAnsi="Times New Roman" w:cs="Times New Roman"/>
          <w:sz w:val="28"/>
          <w:szCs w:val="28"/>
        </w:rPr>
        <w:t>[</w:t>
      </w:r>
      <w:r w:rsidR="00644F6A">
        <w:rPr>
          <w:rFonts w:ascii="Times New Roman" w:hAnsi="Times New Roman" w:cs="Times New Roman"/>
          <w:sz w:val="28"/>
          <w:szCs w:val="28"/>
        </w:rPr>
        <w:t>7</w:t>
      </w:r>
      <w:r w:rsidRPr="008504A1">
        <w:rPr>
          <w:rFonts w:ascii="Times New Roman" w:hAnsi="Times New Roman" w:cs="Times New Roman"/>
          <w:sz w:val="28"/>
          <w:szCs w:val="28"/>
        </w:rPr>
        <w:t xml:space="preserve">] </w:t>
      </w:r>
      <w:r w:rsidRPr="00816758">
        <w:rPr>
          <w:rFonts w:ascii="Times New Roman" w:hAnsi="Times New Roman" w:cs="Times New Roman"/>
          <w:b/>
          <w:bCs/>
          <w:sz w:val="28"/>
          <w:szCs w:val="28"/>
        </w:rPr>
        <w:t>Adv. Sehloho</w:t>
      </w:r>
      <w:r w:rsidRPr="008504A1">
        <w:rPr>
          <w:rFonts w:ascii="Times New Roman" w:hAnsi="Times New Roman" w:cs="Times New Roman"/>
          <w:sz w:val="28"/>
          <w:szCs w:val="28"/>
        </w:rPr>
        <w:t xml:space="preserve"> referred this court to the case of </w:t>
      </w:r>
      <w:r w:rsidRPr="00B80FD2">
        <w:rPr>
          <w:rFonts w:ascii="Times New Roman" w:hAnsi="Times New Roman" w:cs="Times New Roman"/>
          <w:b/>
          <w:bCs/>
          <w:i/>
          <w:iCs/>
          <w:sz w:val="28"/>
          <w:szCs w:val="28"/>
        </w:rPr>
        <w:t xml:space="preserve">Mokete Mohai and </w:t>
      </w:r>
      <w:r w:rsidR="009F140B">
        <w:rPr>
          <w:rFonts w:ascii="Times New Roman" w:hAnsi="Times New Roman" w:cs="Times New Roman"/>
          <w:b/>
          <w:bCs/>
          <w:i/>
          <w:iCs/>
          <w:sz w:val="28"/>
          <w:szCs w:val="28"/>
        </w:rPr>
        <w:t>A</w:t>
      </w:r>
      <w:r w:rsidRPr="00B80FD2">
        <w:rPr>
          <w:rFonts w:ascii="Times New Roman" w:hAnsi="Times New Roman" w:cs="Times New Roman"/>
          <w:b/>
          <w:bCs/>
          <w:i/>
          <w:iCs/>
          <w:sz w:val="28"/>
          <w:szCs w:val="28"/>
        </w:rPr>
        <w:t xml:space="preserve">nother v. Lesotho Electricity Company and </w:t>
      </w:r>
      <w:r w:rsidR="009F140B">
        <w:rPr>
          <w:rFonts w:ascii="Times New Roman" w:hAnsi="Times New Roman" w:cs="Times New Roman"/>
          <w:b/>
          <w:bCs/>
          <w:i/>
          <w:iCs/>
          <w:sz w:val="28"/>
          <w:szCs w:val="28"/>
        </w:rPr>
        <w:t>O</w:t>
      </w:r>
      <w:r w:rsidRPr="00B80FD2">
        <w:rPr>
          <w:rFonts w:ascii="Times New Roman" w:hAnsi="Times New Roman" w:cs="Times New Roman"/>
          <w:b/>
          <w:bCs/>
          <w:i/>
          <w:iCs/>
          <w:sz w:val="28"/>
          <w:szCs w:val="28"/>
        </w:rPr>
        <w:t>thers</w:t>
      </w:r>
      <w:r w:rsidR="006F7124" w:rsidRPr="00B80FD2">
        <w:rPr>
          <w:rStyle w:val="FootnoteReference"/>
          <w:rFonts w:ascii="Times New Roman" w:hAnsi="Times New Roman" w:cs="Times New Roman"/>
          <w:b/>
          <w:bCs/>
          <w:i/>
          <w:iCs/>
          <w:sz w:val="28"/>
          <w:szCs w:val="28"/>
        </w:rPr>
        <w:footnoteReference w:id="4"/>
      </w:r>
      <w:r w:rsidR="006F7124">
        <w:rPr>
          <w:rFonts w:ascii="Times New Roman" w:hAnsi="Times New Roman" w:cs="Times New Roman"/>
          <w:b/>
          <w:bCs/>
          <w:sz w:val="28"/>
          <w:szCs w:val="28"/>
        </w:rPr>
        <w:t xml:space="preserve"> </w:t>
      </w:r>
      <w:r w:rsidRPr="008504A1">
        <w:rPr>
          <w:rFonts w:ascii="Times New Roman" w:hAnsi="Times New Roman" w:cs="Times New Roman"/>
          <w:sz w:val="28"/>
          <w:szCs w:val="28"/>
        </w:rPr>
        <w:t xml:space="preserve">in which </w:t>
      </w:r>
      <w:r w:rsidRPr="00816758">
        <w:rPr>
          <w:rFonts w:ascii="Times New Roman" w:hAnsi="Times New Roman" w:cs="Times New Roman"/>
          <w:b/>
          <w:bCs/>
          <w:sz w:val="28"/>
          <w:szCs w:val="28"/>
        </w:rPr>
        <w:t>Mosito P</w:t>
      </w:r>
      <w:r w:rsidRPr="008504A1">
        <w:rPr>
          <w:rFonts w:ascii="Times New Roman" w:hAnsi="Times New Roman" w:cs="Times New Roman"/>
          <w:sz w:val="28"/>
          <w:szCs w:val="28"/>
        </w:rPr>
        <w:t xml:space="preserve"> stated that:</w:t>
      </w:r>
    </w:p>
    <w:p w14:paraId="584F306C" w14:textId="77777777" w:rsidR="00FE2953" w:rsidRPr="00FE2953" w:rsidRDefault="00FE2953" w:rsidP="008504A1">
      <w:pPr>
        <w:spacing w:before="240" w:line="360" w:lineRule="auto"/>
        <w:contextualSpacing/>
        <w:jc w:val="both"/>
        <w:rPr>
          <w:rFonts w:ascii="Times New Roman" w:hAnsi="Times New Roman" w:cs="Times New Roman"/>
          <w:sz w:val="16"/>
          <w:szCs w:val="16"/>
        </w:rPr>
      </w:pPr>
    </w:p>
    <w:p w14:paraId="71017912" w14:textId="298D0A46" w:rsidR="00534DC7" w:rsidRPr="00B80FD2" w:rsidRDefault="00EB0A19" w:rsidP="00FE2953">
      <w:pPr>
        <w:spacing w:before="240" w:line="360" w:lineRule="auto"/>
        <w:ind w:left="720"/>
        <w:contextualSpacing/>
        <w:jc w:val="both"/>
        <w:rPr>
          <w:rFonts w:ascii="Times New Roman" w:hAnsi="Times New Roman" w:cs="Times New Roman"/>
          <w:i/>
          <w:iCs/>
          <w:sz w:val="28"/>
          <w:szCs w:val="28"/>
        </w:rPr>
      </w:pPr>
      <w:r w:rsidRPr="008504A1">
        <w:rPr>
          <w:rFonts w:ascii="Times New Roman" w:hAnsi="Times New Roman" w:cs="Times New Roman"/>
          <w:sz w:val="28"/>
          <w:szCs w:val="28"/>
        </w:rPr>
        <w:t>“</w:t>
      </w:r>
      <w:r w:rsidR="00534DC7" w:rsidRPr="008504A1">
        <w:rPr>
          <w:rFonts w:ascii="Times New Roman" w:hAnsi="Times New Roman" w:cs="Times New Roman"/>
          <w:sz w:val="28"/>
          <w:szCs w:val="28"/>
        </w:rPr>
        <w:t>[3.3] The general principle is that if an action is already pending between the parties and the plaintiff brings another action against the same defendant on the same cause of action and in respect of the same subject matter, it is open to t</w:t>
      </w:r>
      <w:r w:rsidR="00E668FA" w:rsidRPr="008504A1">
        <w:rPr>
          <w:rFonts w:ascii="Times New Roman" w:hAnsi="Times New Roman" w:cs="Times New Roman"/>
          <w:sz w:val="28"/>
          <w:szCs w:val="28"/>
        </w:rPr>
        <w:t>he defendant</w:t>
      </w:r>
      <w:r w:rsidR="00534DC7" w:rsidRPr="008504A1">
        <w:rPr>
          <w:rFonts w:ascii="Times New Roman" w:hAnsi="Times New Roman" w:cs="Times New Roman"/>
          <w:sz w:val="28"/>
          <w:szCs w:val="28"/>
        </w:rPr>
        <w:t xml:space="preserve"> to take the objection of </w:t>
      </w:r>
      <w:r w:rsidR="00534DC7" w:rsidRPr="00816758">
        <w:rPr>
          <w:rFonts w:ascii="Times New Roman" w:hAnsi="Times New Roman" w:cs="Times New Roman"/>
          <w:i/>
          <w:iCs/>
          <w:sz w:val="28"/>
          <w:szCs w:val="28"/>
        </w:rPr>
        <w:t>lis pendens</w:t>
      </w:r>
      <w:r w:rsidR="00534DC7" w:rsidRPr="008504A1">
        <w:rPr>
          <w:rFonts w:ascii="Times New Roman" w:hAnsi="Times New Roman" w:cs="Times New Roman"/>
          <w:sz w:val="28"/>
          <w:szCs w:val="28"/>
        </w:rPr>
        <w:t>, that is that another action respecting the identical subject matter has already been instituted whereupon the court in its discretion may stay the second action pendin</w:t>
      </w:r>
      <w:r w:rsidR="00155B76" w:rsidRPr="008504A1">
        <w:rPr>
          <w:rFonts w:ascii="Times New Roman" w:hAnsi="Times New Roman" w:cs="Times New Roman"/>
          <w:sz w:val="28"/>
          <w:szCs w:val="28"/>
        </w:rPr>
        <w:t xml:space="preserve">g the decision of the first.” </w:t>
      </w:r>
      <w:bookmarkStart w:id="2" w:name="_Hlk110848102"/>
      <w:r w:rsidR="00534DC7" w:rsidRPr="00B80FD2">
        <w:rPr>
          <w:rFonts w:ascii="Times New Roman" w:hAnsi="Times New Roman" w:cs="Times New Roman"/>
          <w:b/>
          <w:bCs/>
          <w:i/>
          <w:iCs/>
          <w:sz w:val="28"/>
          <w:szCs w:val="28"/>
        </w:rPr>
        <w:t>Herbstein and Van Winsen Supreme Court Practice</w:t>
      </w:r>
      <w:bookmarkEnd w:id="2"/>
      <w:r w:rsidR="006F7124" w:rsidRPr="00B80FD2">
        <w:rPr>
          <w:rStyle w:val="FootnoteReference"/>
          <w:rFonts w:ascii="Times New Roman" w:hAnsi="Times New Roman" w:cs="Times New Roman"/>
          <w:b/>
          <w:bCs/>
          <w:i/>
          <w:iCs/>
          <w:sz w:val="28"/>
          <w:szCs w:val="28"/>
        </w:rPr>
        <w:footnoteReference w:id="5"/>
      </w:r>
      <w:r w:rsidR="00534DC7" w:rsidRPr="00B80FD2">
        <w:rPr>
          <w:rFonts w:ascii="Times New Roman" w:hAnsi="Times New Roman" w:cs="Times New Roman"/>
          <w:i/>
          <w:iCs/>
          <w:sz w:val="28"/>
          <w:szCs w:val="28"/>
        </w:rPr>
        <w:t>.</w:t>
      </w:r>
    </w:p>
    <w:p w14:paraId="608E9F93" w14:textId="77777777" w:rsidR="00FE2953" w:rsidRPr="00EB3375" w:rsidRDefault="00FE2953" w:rsidP="00FE2953">
      <w:pPr>
        <w:spacing w:before="240" w:line="360" w:lineRule="auto"/>
        <w:ind w:left="720"/>
        <w:contextualSpacing/>
        <w:jc w:val="both"/>
        <w:rPr>
          <w:rFonts w:ascii="Times New Roman" w:hAnsi="Times New Roman" w:cs="Times New Roman"/>
          <w:sz w:val="24"/>
          <w:szCs w:val="24"/>
        </w:rPr>
      </w:pPr>
    </w:p>
    <w:p w14:paraId="5A8CA3F1" w14:textId="4CC6F4F2" w:rsidR="00534DC7" w:rsidRDefault="00534DC7" w:rsidP="008504A1">
      <w:pPr>
        <w:spacing w:before="240" w:line="360" w:lineRule="auto"/>
        <w:contextualSpacing/>
        <w:jc w:val="both"/>
        <w:rPr>
          <w:rFonts w:ascii="Times New Roman" w:hAnsi="Times New Roman" w:cs="Times New Roman"/>
          <w:sz w:val="28"/>
          <w:szCs w:val="28"/>
        </w:rPr>
      </w:pPr>
      <w:r w:rsidRPr="008504A1">
        <w:rPr>
          <w:rFonts w:ascii="Times New Roman" w:hAnsi="Times New Roman" w:cs="Times New Roman"/>
          <w:sz w:val="28"/>
          <w:szCs w:val="28"/>
        </w:rPr>
        <w:t>[</w:t>
      </w:r>
      <w:r w:rsidR="00644F6A">
        <w:rPr>
          <w:rFonts w:ascii="Times New Roman" w:hAnsi="Times New Roman" w:cs="Times New Roman"/>
          <w:sz w:val="28"/>
          <w:szCs w:val="28"/>
        </w:rPr>
        <w:t>8</w:t>
      </w:r>
      <w:r w:rsidR="00ED1F30" w:rsidRPr="008504A1">
        <w:rPr>
          <w:rFonts w:ascii="Times New Roman" w:hAnsi="Times New Roman" w:cs="Times New Roman"/>
          <w:sz w:val="28"/>
          <w:szCs w:val="28"/>
        </w:rPr>
        <w:t xml:space="preserve">] On the other hand </w:t>
      </w:r>
      <w:r w:rsidR="00ED1F30" w:rsidRPr="00816758">
        <w:rPr>
          <w:rFonts w:ascii="Times New Roman" w:hAnsi="Times New Roman" w:cs="Times New Roman"/>
          <w:b/>
          <w:bCs/>
          <w:sz w:val="28"/>
          <w:szCs w:val="28"/>
        </w:rPr>
        <w:t>Adv. Setlojoane</w:t>
      </w:r>
      <w:r w:rsidR="00ED1F30" w:rsidRPr="008504A1">
        <w:rPr>
          <w:rFonts w:ascii="Times New Roman" w:hAnsi="Times New Roman" w:cs="Times New Roman"/>
          <w:sz w:val="28"/>
          <w:szCs w:val="28"/>
        </w:rPr>
        <w:t xml:space="preserve">- Counsel for the applicants, on the point of </w:t>
      </w:r>
      <w:r w:rsidR="00ED1F30" w:rsidRPr="008F7B34">
        <w:rPr>
          <w:rFonts w:ascii="Times New Roman" w:hAnsi="Times New Roman" w:cs="Times New Roman"/>
          <w:i/>
          <w:iCs/>
          <w:sz w:val="28"/>
          <w:szCs w:val="28"/>
        </w:rPr>
        <w:t>lis pendens</w:t>
      </w:r>
      <w:r w:rsidR="00ED1F30" w:rsidRPr="008504A1">
        <w:rPr>
          <w:rFonts w:ascii="Times New Roman" w:hAnsi="Times New Roman" w:cs="Times New Roman"/>
          <w:sz w:val="28"/>
          <w:szCs w:val="28"/>
        </w:rPr>
        <w:t xml:space="preserve"> submitted that the present application is between the same parties but constitutes a totally different cause of action and subject matter. That the ap</w:t>
      </w:r>
      <w:r w:rsidR="00E668FA" w:rsidRPr="008504A1">
        <w:rPr>
          <w:rFonts w:ascii="Times New Roman" w:hAnsi="Times New Roman" w:cs="Times New Roman"/>
          <w:sz w:val="28"/>
          <w:szCs w:val="28"/>
        </w:rPr>
        <w:t xml:space="preserve">plication in </w:t>
      </w:r>
      <w:r w:rsidR="00E668FA" w:rsidRPr="00B80FD2">
        <w:rPr>
          <w:rFonts w:ascii="Times New Roman" w:hAnsi="Times New Roman" w:cs="Times New Roman"/>
          <w:b/>
          <w:bCs/>
          <w:i/>
          <w:iCs/>
          <w:sz w:val="28"/>
          <w:szCs w:val="28"/>
        </w:rPr>
        <w:t>CIV/ANP/169/2022</w:t>
      </w:r>
      <w:r w:rsidR="00E668FA" w:rsidRPr="008504A1">
        <w:rPr>
          <w:rFonts w:ascii="Times New Roman" w:hAnsi="Times New Roman" w:cs="Times New Roman"/>
          <w:sz w:val="28"/>
          <w:szCs w:val="28"/>
        </w:rPr>
        <w:t xml:space="preserve"> was</w:t>
      </w:r>
      <w:r w:rsidR="00ED1F30" w:rsidRPr="008504A1">
        <w:rPr>
          <w:rFonts w:ascii="Times New Roman" w:hAnsi="Times New Roman" w:cs="Times New Roman"/>
          <w:sz w:val="28"/>
          <w:szCs w:val="28"/>
        </w:rPr>
        <w:t xml:space="preserve"> meant to compel the Commissioner to furnish the particulars which were sought therein. The cause of action is different as it was based on protecting the right to a fair hearing by way of having the court to intervene at the stage of the show cause. That </w:t>
      </w:r>
      <w:r w:rsidR="00E668FA" w:rsidRPr="008504A1">
        <w:rPr>
          <w:rFonts w:ascii="Times New Roman" w:hAnsi="Times New Roman" w:cs="Times New Roman"/>
          <w:sz w:val="28"/>
          <w:szCs w:val="28"/>
        </w:rPr>
        <w:t>the present case before court is</w:t>
      </w:r>
      <w:r w:rsidR="00ED1F30" w:rsidRPr="008504A1">
        <w:rPr>
          <w:rFonts w:ascii="Times New Roman" w:hAnsi="Times New Roman" w:cs="Times New Roman"/>
          <w:sz w:val="28"/>
          <w:szCs w:val="28"/>
        </w:rPr>
        <w:t xml:space="preserve"> based on a totally different cause of a</w:t>
      </w:r>
      <w:r w:rsidR="00E668FA" w:rsidRPr="008504A1">
        <w:rPr>
          <w:rFonts w:ascii="Times New Roman" w:hAnsi="Times New Roman" w:cs="Times New Roman"/>
          <w:sz w:val="28"/>
          <w:szCs w:val="28"/>
        </w:rPr>
        <w:t xml:space="preserve">ction. When </w:t>
      </w:r>
      <w:r w:rsidR="00E668FA" w:rsidRPr="00B80FD2">
        <w:rPr>
          <w:rFonts w:ascii="Times New Roman" w:hAnsi="Times New Roman" w:cs="Times New Roman"/>
          <w:b/>
          <w:bCs/>
          <w:i/>
          <w:iCs/>
          <w:sz w:val="28"/>
          <w:szCs w:val="28"/>
        </w:rPr>
        <w:t>CIV/APN/0169/2022</w:t>
      </w:r>
      <w:r w:rsidR="00E668FA" w:rsidRPr="00816758">
        <w:rPr>
          <w:rFonts w:ascii="Times New Roman" w:hAnsi="Times New Roman" w:cs="Times New Roman"/>
          <w:b/>
          <w:bCs/>
          <w:sz w:val="28"/>
          <w:szCs w:val="28"/>
        </w:rPr>
        <w:t xml:space="preserve"> </w:t>
      </w:r>
      <w:r w:rsidR="00E668FA" w:rsidRPr="008504A1">
        <w:rPr>
          <w:rFonts w:ascii="Times New Roman" w:hAnsi="Times New Roman" w:cs="Times New Roman"/>
          <w:sz w:val="28"/>
          <w:szCs w:val="28"/>
        </w:rPr>
        <w:t>was</w:t>
      </w:r>
      <w:r w:rsidR="00ED1F30" w:rsidRPr="008504A1">
        <w:rPr>
          <w:rFonts w:ascii="Times New Roman" w:hAnsi="Times New Roman" w:cs="Times New Roman"/>
          <w:sz w:val="28"/>
          <w:szCs w:val="28"/>
        </w:rPr>
        <w:t xml:space="preserve"> pending the Commissioner proceeded to discharge the applicants thereby shifting the goal posts. That by discharging the applicants the Commissioner ended the hearing process thereby actually making a decision that was meant to be made at the end of the pre-hearing process.</w:t>
      </w:r>
      <w:r w:rsidR="00ED5AF9" w:rsidRPr="008504A1">
        <w:rPr>
          <w:rFonts w:ascii="Times New Roman" w:hAnsi="Times New Roman" w:cs="Times New Roman"/>
          <w:sz w:val="28"/>
          <w:szCs w:val="28"/>
        </w:rPr>
        <w:t xml:space="preserve"> </w:t>
      </w:r>
      <w:r w:rsidR="00ED5AF9" w:rsidRPr="00816758">
        <w:rPr>
          <w:rFonts w:ascii="Times New Roman" w:hAnsi="Times New Roman" w:cs="Times New Roman"/>
          <w:b/>
          <w:bCs/>
          <w:sz w:val="28"/>
          <w:szCs w:val="28"/>
        </w:rPr>
        <w:t>Adv. Setlojoane</w:t>
      </w:r>
      <w:r w:rsidR="00ED5AF9" w:rsidRPr="008504A1">
        <w:rPr>
          <w:rFonts w:ascii="Times New Roman" w:hAnsi="Times New Roman" w:cs="Times New Roman"/>
          <w:sz w:val="28"/>
          <w:szCs w:val="28"/>
        </w:rPr>
        <w:t xml:space="preserve"> referred this court to the case </w:t>
      </w:r>
      <w:r w:rsidR="00ED5AF9" w:rsidRPr="008504A1">
        <w:rPr>
          <w:rFonts w:ascii="Times New Roman" w:hAnsi="Times New Roman" w:cs="Times New Roman"/>
          <w:sz w:val="28"/>
          <w:szCs w:val="28"/>
        </w:rPr>
        <w:lastRenderedPageBreak/>
        <w:t xml:space="preserve">of </w:t>
      </w:r>
      <w:bookmarkStart w:id="3" w:name="_Hlk110848240"/>
      <w:r w:rsidR="00ED5AF9" w:rsidRPr="00B80FD2">
        <w:rPr>
          <w:rFonts w:ascii="Times New Roman" w:hAnsi="Times New Roman" w:cs="Times New Roman"/>
          <w:b/>
          <w:bCs/>
          <w:i/>
          <w:iCs/>
          <w:sz w:val="28"/>
          <w:szCs w:val="28"/>
        </w:rPr>
        <w:t>Khoali v. His Wors</w:t>
      </w:r>
      <w:r w:rsidR="009538EB" w:rsidRPr="00B80FD2">
        <w:rPr>
          <w:rFonts w:ascii="Times New Roman" w:hAnsi="Times New Roman" w:cs="Times New Roman"/>
          <w:b/>
          <w:bCs/>
          <w:i/>
          <w:iCs/>
          <w:sz w:val="28"/>
          <w:szCs w:val="28"/>
        </w:rPr>
        <w:t xml:space="preserve">hip Selebeng and </w:t>
      </w:r>
      <w:r w:rsidR="009F140B">
        <w:rPr>
          <w:rFonts w:ascii="Times New Roman" w:hAnsi="Times New Roman" w:cs="Times New Roman"/>
          <w:b/>
          <w:bCs/>
          <w:i/>
          <w:iCs/>
          <w:sz w:val="28"/>
          <w:szCs w:val="28"/>
        </w:rPr>
        <w:t>O</w:t>
      </w:r>
      <w:r w:rsidR="009538EB" w:rsidRPr="00B80FD2">
        <w:rPr>
          <w:rFonts w:ascii="Times New Roman" w:hAnsi="Times New Roman" w:cs="Times New Roman"/>
          <w:b/>
          <w:bCs/>
          <w:i/>
          <w:iCs/>
          <w:sz w:val="28"/>
          <w:szCs w:val="28"/>
        </w:rPr>
        <w:t>thers</w:t>
      </w:r>
      <w:bookmarkEnd w:id="3"/>
      <w:r w:rsidR="006F7124">
        <w:rPr>
          <w:rStyle w:val="FootnoteReference"/>
          <w:rFonts w:ascii="Times New Roman" w:hAnsi="Times New Roman" w:cs="Times New Roman"/>
          <w:b/>
          <w:bCs/>
          <w:sz w:val="28"/>
          <w:szCs w:val="28"/>
        </w:rPr>
        <w:footnoteReference w:id="6"/>
      </w:r>
      <w:r w:rsidR="00ED5AF9" w:rsidRPr="008504A1">
        <w:rPr>
          <w:rFonts w:ascii="Times New Roman" w:hAnsi="Times New Roman" w:cs="Times New Roman"/>
          <w:sz w:val="28"/>
          <w:szCs w:val="28"/>
        </w:rPr>
        <w:t xml:space="preserve">, where </w:t>
      </w:r>
      <w:r w:rsidR="00ED5AF9" w:rsidRPr="00816758">
        <w:rPr>
          <w:rFonts w:ascii="Times New Roman" w:hAnsi="Times New Roman" w:cs="Times New Roman"/>
          <w:b/>
          <w:bCs/>
          <w:sz w:val="28"/>
          <w:szCs w:val="28"/>
        </w:rPr>
        <w:t>Chinhengo AJA</w:t>
      </w:r>
      <w:r w:rsidR="00ED5AF9" w:rsidRPr="008504A1">
        <w:rPr>
          <w:rFonts w:ascii="Times New Roman" w:hAnsi="Times New Roman" w:cs="Times New Roman"/>
          <w:sz w:val="28"/>
          <w:szCs w:val="28"/>
        </w:rPr>
        <w:t xml:space="preserve"> said the req</w:t>
      </w:r>
      <w:r w:rsidR="00E668FA" w:rsidRPr="008504A1">
        <w:rPr>
          <w:rFonts w:ascii="Times New Roman" w:hAnsi="Times New Roman" w:cs="Times New Roman"/>
          <w:sz w:val="28"/>
          <w:szCs w:val="28"/>
        </w:rPr>
        <w:t>uirements for a successful plea</w:t>
      </w:r>
      <w:r w:rsidR="00ED5AF9" w:rsidRPr="008504A1">
        <w:rPr>
          <w:rFonts w:ascii="Times New Roman" w:hAnsi="Times New Roman" w:cs="Times New Roman"/>
          <w:sz w:val="28"/>
          <w:szCs w:val="28"/>
        </w:rPr>
        <w:t xml:space="preserve"> of </w:t>
      </w:r>
      <w:r w:rsidR="00ED5AF9" w:rsidRPr="00816758">
        <w:rPr>
          <w:rFonts w:ascii="Times New Roman" w:hAnsi="Times New Roman" w:cs="Times New Roman"/>
          <w:i/>
          <w:iCs/>
          <w:sz w:val="28"/>
          <w:szCs w:val="28"/>
        </w:rPr>
        <w:t>lis pendens</w:t>
      </w:r>
      <w:r w:rsidR="00ED5AF9" w:rsidRPr="008504A1">
        <w:rPr>
          <w:rFonts w:ascii="Times New Roman" w:hAnsi="Times New Roman" w:cs="Times New Roman"/>
          <w:sz w:val="28"/>
          <w:szCs w:val="28"/>
        </w:rPr>
        <w:t xml:space="preserve"> are that;</w:t>
      </w:r>
    </w:p>
    <w:p w14:paraId="607A30B6" w14:textId="77777777" w:rsidR="00FE2953" w:rsidRPr="00FE2953" w:rsidRDefault="00FE2953" w:rsidP="008504A1">
      <w:pPr>
        <w:spacing w:before="240" w:line="360" w:lineRule="auto"/>
        <w:contextualSpacing/>
        <w:jc w:val="both"/>
        <w:rPr>
          <w:rFonts w:ascii="Times New Roman" w:hAnsi="Times New Roman" w:cs="Times New Roman"/>
          <w:sz w:val="16"/>
          <w:szCs w:val="16"/>
        </w:rPr>
      </w:pPr>
    </w:p>
    <w:p w14:paraId="644AA9D7" w14:textId="238840BC" w:rsidR="002634FE" w:rsidRDefault="00D07859" w:rsidP="00974C90">
      <w:pPr>
        <w:spacing w:before="240" w:line="360" w:lineRule="auto"/>
        <w:ind w:left="720"/>
        <w:contextualSpacing/>
        <w:jc w:val="both"/>
        <w:rPr>
          <w:rFonts w:ascii="Times New Roman" w:hAnsi="Times New Roman" w:cs="Times New Roman"/>
          <w:sz w:val="28"/>
          <w:szCs w:val="28"/>
        </w:rPr>
      </w:pPr>
      <w:r>
        <w:rPr>
          <w:rFonts w:ascii="Times New Roman" w:hAnsi="Times New Roman" w:cs="Times New Roman"/>
          <w:sz w:val="28"/>
          <w:szCs w:val="28"/>
        </w:rPr>
        <w:t>“</w:t>
      </w:r>
      <w:r w:rsidR="005C6929" w:rsidRPr="008504A1">
        <w:rPr>
          <w:rFonts w:ascii="Times New Roman" w:hAnsi="Times New Roman" w:cs="Times New Roman"/>
          <w:sz w:val="28"/>
          <w:szCs w:val="28"/>
        </w:rPr>
        <w:t>[21] The</w:t>
      </w:r>
      <w:r w:rsidR="009B79DB" w:rsidRPr="008504A1">
        <w:rPr>
          <w:rFonts w:ascii="Times New Roman" w:hAnsi="Times New Roman" w:cs="Times New Roman"/>
          <w:sz w:val="28"/>
          <w:szCs w:val="28"/>
        </w:rPr>
        <w:t xml:space="preserve"> two actions must have been between the same parties or their successors, concerning the same subject matter and founded upon the same cause of action</w:t>
      </w:r>
      <w:r w:rsidR="002634FE">
        <w:rPr>
          <w:rFonts w:ascii="Times New Roman" w:hAnsi="Times New Roman" w:cs="Times New Roman"/>
          <w:sz w:val="28"/>
          <w:szCs w:val="28"/>
        </w:rPr>
        <w:t>”</w:t>
      </w:r>
      <w:r w:rsidR="009B79DB" w:rsidRPr="008504A1">
        <w:rPr>
          <w:rFonts w:ascii="Times New Roman" w:hAnsi="Times New Roman" w:cs="Times New Roman"/>
          <w:sz w:val="28"/>
          <w:szCs w:val="28"/>
        </w:rPr>
        <w:t>.</w:t>
      </w:r>
      <w:r w:rsidR="004678CD" w:rsidRPr="008504A1">
        <w:rPr>
          <w:rFonts w:ascii="Times New Roman" w:hAnsi="Times New Roman" w:cs="Times New Roman"/>
          <w:sz w:val="28"/>
          <w:szCs w:val="28"/>
        </w:rPr>
        <w:t xml:space="preserve"> </w:t>
      </w:r>
    </w:p>
    <w:p w14:paraId="3A8D8C98" w14:textId="77777777" w:rsidR="002634FE" w:rsidRPr="002634FE" w:rsidRDefault="002634FE" w:rsidP="002634FE">
      <w:pPr>
        <w:spacing w:before="240" w:line="360" w:lineRule="auto"/>
        <w:contextualSpacing/>
        <w:jc w:val="both"/>
        <w:rPr>
          <w:rFonts w:ascii="Times New Roman" w:hAnsi="Times New Roman" w:cs="Times New Roman"/>
          <w:sz w:val="16"/>
          <w:szCs w:val="16"/>
        </w:rPr>
      </w:pPr>
    </w:p>
    <w:p w14:paraId="4AAB9FFE" w14:textId="49CC543C" w:rsidR="00ED5AF9" w:rsidRDefault="004678CD" w:rsidP="002634FE">
      <w:pPr>
        <w:spacing w:before="240" w:line="360" w:lineRule="auto"/>
        <w:contextualSpacing/>
        <w:jc w:val="both"/>
        <w:rPr>
          <w:rFonts w:ascii="Times New Roman" w:hAnsi="Times New Roman" w:cs="Times New Roman"/>
          <w:sz w:val="28"/>
          <w:szCs w:val="28"/>
        </w:rPr>
      </w:pPr>
      <w:r w:rsidRPr="008504A1">
        <w:rPr>
          <w:rFonts w:ascii="Times New Roman" w:hAnsi="Times New Roman" w:cs="Times New Roman"/>
          <w:sz w:val="28"/>
          <w:szCs w:val="28"/>
        </w:rPr>
        <w:t>He submitted that the present application is between the same parties but</w:t>
      </w:r>
      <w:r w:rsidR="007D6C65" w:rsidRPr="008504A1">
        <w:rPr>
          <w:rFonts w:ascii="Times New Roman" w:hAnsi="Times New Roman" w:cs="Times New Roman"/>
          <w:sz w:val="28"/>
          <w:szCs w:val="28"/>
        </w:rPr>
        <w:t xml:space="preserve"> </w:t>
      </w:r>
      <w:r w:rsidRPr="008504A1">
        <w:rPr>
          <w:rFonts w:ascii="Times New Roman" w:hAnsi="Times New Roman" w:cs="Times New Roman"/>
          <w:sz w:val="28"/>
          <w:szCs w:val="28"/>
        </w:rPr>
        <w:t>constitutes a totally different cau</w:t>
      </w:r>
      <w:r w:rsidR="002F2A1B" w:rsidRPr="008504A1">
        <w:rPr>
          <w:rFonts w:ascii="Times New Roman" w:hAnsi="Times New Roman" w:cs="Times New Roman"/>
          <w:sz w:val="28"/>
          <w:szCs w:val="28"/>
        </w:rPr>
        <w:t>se of action and subject matter</w:t>
      </w:r>
      <w:r w:rsidR="005C6929" w:rsidRPr="008504A1">
        <w:rPr>
          <w:rFonts w:ascii="Times New Roman" w:hAnsi="Times New Roman" w:cs="Times New Roman"/>
          <w:sz w:val="28"/>
          <w:szCs w:val="28"/>
        </w:rPr>
        <w:t>.</w:t>
      </w:r>
    </w:p>
    <w:p w14:paraId="3525A000" w14:textId="77777777" w:rsidR="00974C90" w:rsidRPr="00EB3375" w:rsidRDefault="00974C90" w:rsidP="00974C90">
      <w:pPr>
        <w:spacing w:before="240" w:line="360" w:lineRule="auto"/>
        <w:ind w:left="720"/>
        <w:contextualSpacing/>
        <w:jc w:val="both"/>
        <w:rPr>
          <w:rFonts w:ascii="Times New Roman" w:hAnsi="Times New Roman" w:cs="Times New Roman"/>
          <w:sz w:val="24"/>
          <w:szCs w:val="24"/>
        </w:rPr>
      </w:pPr>
    </w:p>
    <w:p w14:paraId="7F77F9D6" w14:textId="77777777" w:rsidR="002F2A1B" w:rsidRPr="008504A1" w:rsidRDefault="002F2A1B" w:rsidP="008504A1">
      <w:pPr>
        <w:spacing w:before="240" w:line="360" w:lineRule="auto"/>
        <w:contextualSpacing/>
        <w:jc w:val="both"/>
        <w:rPr>
          <w:rFonts w:ascii="Times New Roman" w:hAnsi="Times New Roman" w:cs="Times New Roman"/>
          <w:sz w:val="28"/>
          <w:szCs w:val="28"/>
        </w:rPr>
      </w:pPr>
      <w:r w:rsidRPr="008504A1">
        <w:rPr>
          <w:rFonts w:ascii="Times New Roman" w:hAnsi="Times New Roman" w:cs="Times New Roman"/>
          <w:b/>
          <w:sz w:val="28"/>
          <w:szCs w:val="28"/>
        </w:rPr>
        <w:t xml:space="preserve">Requisites for </w:t>
      </w:r>
      <w:r w:rsidRPr="00C76D16">
        <w:rPr>
          <w:rFonts w:ascii="Times New Roman" w:hAnsi="Times New Roman" w:cs="Times New Roman"/>
          <w:b/>
          <w:i/>
          <w:iCs/>
          <w:sz w:val="28"/>
          <w:szCs w:val="28"/>
        </w:rPr>
        <w:t>lis pendens</w:t>
      </w:r>
      <w:r w:rsidRPr="008504A1">
        <w:rPr>
          <w:rFonts w:ascii="Times New Roman" w:hAnsi="Times New Roman" w:cs="Times New Roman"/>
          <w:sz w:val="28"/>
          <w:szCs w:val="28"/>
        </w:rPr>
        <w:t>.</w:t>
      </w:r>
    </w:p>
    <w:p w14:paraId="38B87EC7" w14:textId="7B8F2775" w:rsidR="002F2A1B" w:rsidRDefault="002F2A1B" w:rsidP="008504A1">
      <w:pPr>
        <w:spacing w:before="240" w:line="360" w:lineRule="auto"/>
        <w:contextualSpacing/>
        <w:jc w:val="both"/>
        <w:rPr>
          <w:rFonts w:ascii="Times New Roman" w:hAnsi="Times New Roman" w:cs="Times New Roman"/>
          <w:sz w:val="28"/>
          <w:szCs w:val="28"/>
        </w:rPr>
      </w:pPr>
      <w:r w:rsidRPr="008504A1">
        <w:rPr>
          <w:rFonts w:ascii="Times New Roman" w:hAnsi="Times New Roman" w:cs="Times New Roman"/>
          <w:sz w:val="28"/>
          <w:szCs w:val="28"/>
        </w:rPr>
        <w:t>[</w:t>
      </w:r>
      <w:r w:rsidR="00644F6A">
        <w:rPr>
          <w:rFonts w:ascii="Times New Roman" w:hAnsi="Times New Roman" w:cs="Times New Roman"/>
          <w:sz w:val="28"/>
          <w:szCs w:val="28"/>
        </w:rPr>
        <w:t>9</w:t>
      </w:r>
      <w:r w:rsidRPr="008504A1">
        <w:rPr>
          <w:rFonts w:ascii="Times New Roman" w:hAnsi="Times New Roman" w:cs="Times New Roman"/>
          <w:sz w:val="28"/>
          <w:szCs w:val="28"/>
        </w:rPr>
        <w:t xml:space="preserve">] Where a party has taken the plea of </w:t>
      </w:r>
      <w:r w:rsidRPr="00C76D16">
        <w:rPr>
          <w:rFonts w:ascii="Times New Roman" w:hAnsi="Times New Roman" w:cs="Times New Roman"/>
          <w:i/>
          <w:iCs/>
          <w:sz w:val="28"/>
          <w:szCs w:val="28"/>
        </w:rPr>
        <w:t>lis pendens</w:t>
      </w:r>
      <w:r w:rsidRPr="008504A1">
        <w:rPr>
          <w:rFonts w:ascii="Times New Roman" w:hAnsi="Times New Roman" w:cs="Times New Roman"/>
          <w:sz w:val="28"/>
          <w:szCs w:val="28"/>
        </w:rPr>
        <w:t xml:space="preserve">, there are a number of considerations that the court must take into account, in determining this plea. </w:t>
      </w:r>
      <w:r w:rsidRPr="00B80FD2">
        <w:rPr>
          <w:rFonts w:ascii="Times New Roman" w:hAnsi="Times New Roman" w:cs="Times New Roman"/>
          <w:b/>
          <w:bCs/>
          <w:i/>
          <w:iCs/>
          <w:sz w:val="28"/>
          <w:szCs w:val="28"/>
        </w:rPr>
        <w:t>Herbstein and Van Winsen in the Civil Practice of the Superior Courts in South Africa</w:t>
      </w:r>
      <w:r w:rsidR="006F7124" w:rsidRPr="00B80FD2">
        <w:rPr>
          <w:rStyle w:val="FootnoteReference"/>
          <w:rFonts w:ascii="Times New Roman" w:hAnsi="Times New Roman" w:cs="Times New Roman"/>
          <w:b/>
          <w:bCs/>
          <w:i/>
          <w:iCs/>
          <w:sz w:val="28"/>
          <w:szCs w:val="28"/>
        </w:rPr>
        <w:footnoteReference w:id="7"/>
      </w:r>
      <w:r w:rsidRPr="00B80FD2">
        <w:rPr>
          <w:rFonts w:ascii="Times New Roman" w:hAnsi="Times New Roman" w:cs="Times New Roman"/>
          <w:i/>
          <w:iCs/>
          <w:sz w:val="28"/>
          <w:szCs w:val="28"/>
        </w:rPr>
        <w:t>,</w:t>
      </w:r>
      <w:r w:rsidRPr="008504A1">
        <w:rPr>
          <w:rFonts w:ascii="Times New Roman" w:hAnsi="Times New Roman" w:cs="Times New Roman"/>
          <w:sz w:val="28"/>
          <w:szCs w:val="28"/>
        </w:rPr>
        <w:t xml:space="preserve"> the learned authors say:</w:t>
      </w:r>
    </w:p>
    <w:p w14:paraId="18E471D6" w14:textId="77777777" w:rsidR="00974C90" w:rsidRPr="00974C90" w:rsidRDefault="00974C90" w:rsidP="008504A1">
      <w:pPr>
        <w:spacing w:before="240" w:line="360" w:lineRule="auto"/>
        <w:contextualSpacing/>
        <w:jc w:val="both"/>
        <w:rPr>
          <w:rFonts w:ascii="Times New Roman" w:hAnsi="Times New Roman" w:cs="Times New Roman"/>
          <w:sz w:val="16"/>
          <w:szCs w:val="16"/>
        </w:rPr>
      </w:pPr>
    </w:p>
    <w:p w14:paraId="0EEFD48B" w14:textId="3D282817" w:rsidR="002F2A1B" w:rsidRDefault="005C6929" w:rsidP="00974C90">
      <w:pPr>
        <w:spacing w:before="240" w:line="360" w:lineRule="auto"/>
        <w:ind w:left="720"/>
        <w:contextualSpacing/>
        <w:jc w:val="both"/>
        <w:rPr>
          <w:rFonts w:ascii="Times New Roman" w:hAnsi="Times New Roman" w:cs="Times New Roman"/>
          <w:sz w:val="28"/>
          <w:szCs w:val="28"/>
        </w:rPr>
      </w:pPr>
      <w:r w:rsidRPr="008504A1">
        <w:rPr>
          <w:rFonts w:ascii="Times New Roman" w:hAnsi="Times New Roman" w:cs="Times New Roman"/>
          <w:sz w:val="28"/>
          <w:szCs w:val="28"/>
        </w:rPr>
        <w:t>“</w:t>
      </w:r>
      <w:r w:rsidR="002F2A1B" w:rsidRPr="008504A1">
        <w:rPr>
          <w:rFonts w:ascii="Times New Roman" w:hAnsi="Times New Roman" w:cs="Times New Roman"/>
          <w:sz w:val="28"/>
          <w:szCs w:val="28"/>
        </w:rPr>
        <w:t>If an action is already pending between the parties and the plaintiff bring</w:t>
      </w:r>
      <w:r w:rsidR="002634FE">
        <w:rPr>
          <w:rFonts w:ascii="Times New Roman" w:hAnsi="Times New Roman" w:cs="Times New Roman"/>
          <w:sz w:val="28"/>
          <w:szCs w:val="28"/>
        </w:rPr>
        <w:t>s</w:t>
      </w:r>
      <w:r w:rsidR="002F2A1B" w:rsidRPr="008504A1">
        <w:rPr>
          <w:rFonts w:ascii="Times New Roman" w:hAnsi="Times New Roman" w:cs="Times New Roman"/>
          <w:sz w:val="28"/>
          <w:szCs w:val="28"/>
        </w:rPr>
        <w:t xml:space="preserve"> another action against the same defendant on the same cause of action and in respect</w:t>
      </w:r>
      <w:r w:rsidR="00A443A5" w:rsidRPr="008504A1">
        <w:rPr>
          <w:rFonts w:ascii="Times New Roman" w:hAnsi="Times New Roman" w:cs="Times New Roman"/>
          <w:sz w:val="28"/>
          <w:szCs w:val="28"/>
        </w:rPr>
        <w:t xml:space="preserve"> of the same subject matter, whether in the same or in a court, it is open to the defendant to take the ob</w:t>
      </w:r>
      <w:r w:rsidRPr="008504A1">
        <w:rPr>
          <w:rFonts w:ascii="Times New Roman" w:hAnsi="Times New Roman" w:cs="Times New Roman"/>
          <w:sz w:val="28"/>
          <w:szCs w:val="28"/>
        </w:rPr>
        <w:t xml:space="preserve">jection of </w:t>
      </w:r>
      <w:r w:rsidRPr="00B80FD2">
        <w:rPr>
          <w:rFonts w:ascii="Times New Roman" w:hAnsi="Times New Roman" w:cs="Times New Roman"/>
          <w:i/>
          <w:iCs/>
          <w:sz w:val="28"/>
          <w:szCs w:val="28"/>
        </w:rPr>
        <w:t>lis pendens</w:t>
      </w:r>
      <w:r w:rsidRPr="008504A1">
        <w:rPr>
          <w:rFonts w:ascii="Times New Roman" w:hAnsi="Times New Roman" w:cs="Times New Roman"/>
          <w:sz w:val="28"/>
          <w:szCs w:val="28"/>
        </w:rPr>
        <w:t>, that is</w:t>
      </w:r>
      <w:r w:rsidR="00A443A5" w:rsidRPr="008504A1">
        <w:rPr>
          <w:rFonts w:ascii="Times New Roman" w:hAnsi="Times New Roman" w:cs="Times New Roman"/>
          <w:sz w:val="28"/>
          <w:szCs w:val="28"/>
        </w:rPr>
        <w:t>, that another action respecting the identical subject matter has already been instituted, whereupon the court in its discretion may stay the second action pending the decision of the first.</w:t>
      </w:r>
      <w:r w:rsidR="00F84096" w:rsidRPr="008504A1">
        <w:rPr>
          <w:rFonts w:ascii="Times New Roman" w:hAnsi="Times New Roman" w:cs="Times New Roman"/>
          <w:sz w:val="28"/>
          <w:szCs w:val="28"/>
        </w:rPr>
        <w:t>”</w:t>
      </w:r>
    </w:p>
    <w:p w14:paraId="21B99C02" w14:textId="77777777" w:rsidR="00974C90" w:rsidRPr="00EB3375" w:rsidRDefault="00974C90" w:rsidP="00974C90">
      <w:pPr>
        <w:spacing w:before="240" w:line="360" w:lineRule="auto"/>
        <w:ind w:left="720"/>
        <w:contextualSpacing/>
        <w:jc w:val="both"/>
        <w:rPr>
          <w:rFonts w:ascii="Times New Roman" w:hAnsi="Times New Roman" w:cs="Times New Roman"/>
          <w:sz w:val="24"/>
          <w:szCs w:val="24"/>
        </w:rPr>
      </w:pPr>
    </w:p>
    <w:p w14:paraId="68A2C573" w14:textId="44D691F9" w:rsidR="0062706B" w:rsidRDefault="0062706B" w:rsidP="008504A1">
      <w:pPr>
        <w:spacing w:before="240" w:line="360" w:lineRule="auto"/>
        <w:contextualSpacing/>
        <w:jc w:val="both"/>
        <w:rPr>
          <w:rFonts w:ascii="Times New Roman" w:hAnsi="Times New Roman" w:cs="Times New Roman"/>
          <w:sz w:val="28"/>
          <w:szCs w:val="28"/>
        </w:rPr>
      </w:pPr>
      <w:r w:rsidRPr="008504A1">
        <w:rPr>
          <w:rFonts w:ascii="Times New Roman" w:hAnsi="Times New Roman" w:cs="Times New Roman"/>
          <w:sz w:val="28"/>
          <w:szCs w:val="28"/>
        </w:rPr>
        <w:t>[</w:t>
      </w:r>
      <w:r w:rsidR="00644F6A">
        <w:rPr>
          <w:rFonts w:ascii="Times New Roman" w:hAnsi="Times New Roman" w:cs="Times New Roman"/>
          <w:sz w:val="28"/>
          <w:szCs w:val="28"/>
        </w:rPr>
        <w:t>10</w:t>
      </w:r>
      <w:r w:rsidRPr="008504A1">
        <w:rPr>
          <w:rFonts w:ascii="Times New Roman" w:hAnsi="Times New Roman" w:cs="Times New Roman"/>
          <w:sz w:val="28"/>
          <w:szCs w:val="28"/>
        </w:rPr>
        <w:t xml:space="preserve">] Having looked at the requisites for </w:t>
      </w:r>
      <w:r w:rsidRPr="00F0511F">
        <w:rPr>
          <w:rFonts w:ascii="Times New Roman" w:hAnsi="Times New Roman" w:cs="Times New Roman"/>
          <w:i/>
          <w:iCs/>
          <w:sz w:val="28"/>
          <w:szCs w:val="28"/>
        </w:rPr>
        <w:t>lis pendens</w:t>
      </w:r>
      <w:r w:rsidRPr="008504A1">
        <w:rPr>
          <w:rFonts w:ascii="Times New Roman" w:hAnsi="Times New Roman" w:cs="Times New Roman"/>
          <w:sz w:val="28"/>
          <w:szCs w:val="28"/>
        </w:rPr>
        <w:t>, the question that</w:t>
      </w:r>
      <w:r w:rsidR="005C6929" w:rsidRPr="008504A1">
        <w:rPr>
          <w:rFonts w:ascii="Times New Roman" w:hAnsi="Times New Roman" w:cs="Times New Roman"/>
          <w:sz w:val="28"/>
          <w:szCs w:val="28"/>
        </w:rPr>
        <w:t xml:space="preserve"> this court must ask itself</w:t>
      </w:r>
      <w:r w:rsidRPr="008504A1">
        <w:rPr>
          <w:rFonts w:ascii="Times New Roman" w:hAnsi="Times New Roman" w:cs="Times New Roman"/>
          <w:sz w:val="28"/>
          <w:szCs w:val="28"/>
        </w:rPr>
        <w:t xml:space="preserve"> </w:t>
      </w:r>
      <w:r w:rsidR="00DD2033" w:rsidRPr="008504A1">
        <w:rPr>
          <w:rFonts w:ascii="Times New Roman" w:hAnsi="Times New Roman" w:cs="Times New Roman"/>
          <w:sz w:val="28"/>
          <w:szCs w:val="28"/>
        </w:rPr>
        <w:t>is</w:t>
      </w:r>
      <w:r w:rsidR="00DD2033">
        <w:rPr>
          <w:rFonts w:ascii="Times New Roman" w:hAnsi="Times New Roman" w:cs="Times New Roman"/>
          <w:sz w:val="28"/>
          <w:szCs w:val="28"/>
        </w:rPr>
        <w:t>,</w:t>
      </w:r>
      <w:r w:rsidRPr="008504A1">
        <w:rPr>
          <w:rFonts w:ascii="Times New Roman" w:hAnsi="Times New Roman" w:cs="Times New Roman"/>
          <w:sz w:val="28"/>
          <w:szCs w:val="28"/>
        </w:rPr>
        <w:t xml:space="preserve"> what is th</w:t>
      </w:r>
      <w:r w:rsidR="005C6929" w:rsidRPr="008504A1">
        <w:rPr>
          <w:rFonts w:ascii="Times New Roman" w:hAnsi="Times New Roman" w:cs="Times New Roman"/>
          <w:sz w:val="28"/>
          <w:szCs w:val="28"/>
        </w:rPr>
        <w:t>e cause of action?</w:t>
      </w:r>
      <w:r w:rsidR="0003482D" w:rsidRPr="008504A1">
        <w:rPr>
          <w:rFonts w:ascii="Times New Roman" w:hAnsi="Times New Roman" w:cs="Times New Roman"/>
          <w:sz w:val="28"/>
          <w:szCs w:val="28"/>
        </w:rPr>
        <w:t xml:space="preserve"> The phrase “</w:t>
      </w:r>
      <w:r w:rsidRPr="008504A1">
        <w:rPr>
          <w:rFonts w:ascii="Times New Roman" w:hAnsi="Times New Roman" w:cs="Times New Roman"/>
          <w:sz w:val="28"/>
          <w:szCs w:val="28"/>
        </w:rPr>
        <w:t>Cause of Action” as found in dictionary, Thasaurus means:</w:t>
      </w:r>
    </w:p>
    <w:p w14:paraId="477DCCFB" w14:textId="77777777" w:rsidR="00974C90" w:rsidRPr="00974C90" w:rsidRDefault="00974C90" w:rsidP="008504A1">
      <w:pPr>
        <w:spacing w:before="240" w:line="360" w:lineRule="auto"/>
        <w:contextualSpacing/>
        <w:jc w:val="both"/>
        <w:rPr>
          <w:rFonts w:ascii="Times New Roman" w:hAnsi="Times New Roman" w:cs="Times New Roman"/>
          <w:sz w:val="16"/>
          <w:szCs w:val="16"/>
        </w:rPr>
      </w:pPr>
    </w:p>
    <w:p w14:paraId="402D8ADB" w14:textId="77777777" w:rsidR="0062706B" w:rsidRDefault="005C6929" w:rsidP="00974C90">
      <w:pPr>
        <w:spacing w:before="240" w:line="360" w:lineRule="auto"/>
        <w:ind w:left="720"/>
        <w:contextualSpacing/>
        <w:jc w:val="both"/>
        <w:rPr>
          <w:rFonts w:ascii="Times New Roman" w:hAnsi="Times New Roman" w:cs="Times New Roman"/>
          <w:sz w:val="28"/>
          <w:szCs w:val="28"/>
        </w:rPr>
      </w:pPr>
      <w:r w:rsidRPr="008504A1">
        <w:rPr>
          <w:rFonts w:ascii="Times New Roman" w:hAnsi="Times New Roman" w:cs="Times New Roman"/>
          <w:sz w:val="28"/>
          <w:szCs w:val="28"/>
        </w:rPr>
        <w:lastRenderedPageBreak/>
        <w:t>“</w:t>
      </w:r>
      <w:r w:rsidR="0062706B" w:rsidRPr="008504A1">
        <w:rPr>
          <w:rFonts w:ascii="Times New Roman" w:hAnsi="Times New Roman" w:cs="Times New Roman"/>
          <w:sz w:val="28"/>
          <w:szCs w:val="28"/>
        </w:rPr>
        <w:t>The fact or combination of facts that gives a person the right to seek judicial redress or relief against another. The cause of action is the heart of the complaint, which is the pleading that initiates a lawsuit. Without an adequately stated cause of action the plaintiff’s case can be dismissed at the outset.</w:t>
      </w:r>
      <w:r w:rsidR="00377168" w:rsidRPr="008504A1">
        <w:rPr>
          <w:rFonts w:ascii="Times New Roman" w:hAnsi="Times New Roman" w:cs="Times New Roman"/>
          <w:sz w:val="28"/>
          <w:szCs w:val="28"/>
        </w:rPr>
        <w:t>”</w:t>
      </w:r>
    </w:p>
    <w:p w14:paraId="2E34CCF3" w14:textId="77777777" w:rsidR="00B01B5C" w:rsidRPr="00EB3375" w:rsidRDefault="00B01B5C" w:rsidP="00974C90">
      <w:pPr>
        <w:spacing w:before="240" w:line="360" w:lineRule="auto"/>
        <w:ind w:left="720"/>
        <w:contextualSpacing/>
        <w:jc w:val="both"/>
        <w:rPr>
          <w:rFonts w:ascii="Times New Roman" w:hAnsi="Times New Roman" w:cs="Times New Roman"/>
          <w:sz w:val="24"/>
          <w:szCs w:val="24"/>
        </w:rPr>
      </w:pPr>
    </w:p>
    <w:p w14:paraId="3AA75481" w14:textId="1409852A" w:rsidR="00377168" w:rsidRDefault="00377168" w:rsidP="008504A1">
      <w:pPr>
        <w:spacing w:before="240" w:line="360" w:lineRule="auto"/>
        <w:contextualSpacing/>
        <w:jc w:val="both"/>
        <w:rPr>
          <w:rFonts w:ascii="Times New Roman" w:hAnsi="Times New Roman" w:cs="Times New Roman"/>
          <w:sz w:val="28"/>
          <w:szCs w:val="28"/>
        </w:rPr>
      </w:pPr>
      <w:r w:rsidRPr="008504A1">
        <w:rPr>
          <w:rFonts w:ascii="Times New Roman" w:hAnsi="Times New Roman" w:cs="Times New Roman"/>
          <w:sz w:val="28"/>
          <w:szCs w:val="28"/>
        </w:rPr>
        <w:t>[1</w:t>
      </w:r>
      <w:r w:rsidR="00644F6A">
        <w:rPr>
          <w:rFonts w:ascii="Times New Roman" w:hAnsi="Times New Roman" w:cs="Times New Roman"/>
          <w:sz w:val="28"/>
          <w:szCs w:val="28"/>
        </w:rPr>
        <w:t>1</w:t>
      </w:r>
      <w:r w:rsidRPr="008504A1">
        <w:rPr>
          <w:rFonts w:ascii="Times New Roman" w:hAnsi="Times New Roman" w:cs="Times New Roman"/>
          <w:sz w:val="28"/>
          <w:szCs w:val="28"/>
        </w:rPr>
        <w:t xml:space="preserve">] In </w:t>
      </w:r>
      <w:bookmarkStart w:id="4" w:name="_Hlk110848355"/>
      <w:r w:rsidRPr="00B80FD2">
        <w:rPr>
          <w:rFonts w:ascii="Times New Roman" w:hAnsi="Times New Roman" w:cs="Times New Roman"/>
          <w:b/>
          <w:bCs/>
          <w:i/>
          <w:iCs/>
          <w:sz w:val="28"/>
          <w:szCs w:val="28"/>
        </w:rPr>
        <w:t>Wil</w:t>
      </w:r>
      <w:r w:rsidR="00B830BF" w:rsidRPr="00B80FD2">
        <w:rPr>
          <w:rFonts w:ascii="Times New Roman" w:hAnsi="Times New Roman" w:cs="Times New Roman"/>
          <w:b/>
          <w:bCs/>
          <w:i/>
          <w:iCs/>
          <w:sz w:val="28"/>
          <w:szCs w:val="28"/>
        </w:rPr>
        <w:t>lem Daniel Knoesen and Another v</w:t>
      </w:r>
      <w:r w:rsidRPr="00B80FD2">
        <w:rPr>
          <w:rFonts w:ascii="Times New Roman" w:hAnsi="Times New Roman" w:cs="Times New Roman"/>
          <w:b/>
          <w:bCs/>
          <w:i/>
          <w:iCs/>
          <w:sz w:val="28"/>
          <w:szCs w:val="28"/>
        </w:rPr>
        <w:t xml:space="preserve"> Izette Huijink-Maritz</w:t>
      </w:r>
      <w:r w:rsidRPr="008504A1">
        <w:rPr>
          <w:rFonts w:ascii="Times New Roman" w:hAnsi="Times New Roman" w:cs="Times New Roman"/>
          <w:sz w:val="28"/>
          <w:szCs w:val="28"/>
        </w:rPr>
        <w:t xml:space="preserve"> </w:t>
      </w:r>
      <w:r w:rsidR="00FE2B03" w:rsidRPr="008504A1">
        <w:rPr>
          <w:rFonts w:ascii="Times New Roman" w:hAnsi="Times New Roman" w:cs="Times New Roman"/>
          <w:sz w:val="28"/>
          <w:szCs w:val="28"/>
        </w:rPr>
        <w:t xml:space="preserve">and </w:t>
      </w:r>
      <w:r w:rsidR="00DD2033">
        <w:rPr>
          <w:rFonts w:ascii="Times New Roman" w:hAnsi="Times New Roman" w:cs="Times New Roman"/>
          <w:sz w:val="28"/>
          <w:szCs w:val="28"/>
        </w:rPr>
        <w:t>O</w:t>
      </w:r>
      <w:r w:rsidR="00FE2B03" w:rsidRPr="00FF04FF">
        <w:rPr>
          <w:rFonts w:ascii="Times New Roman" w:hAnsi="Times New Roman" w:cs="Times New Roman"/>
          <w:b/>
          <w:bCs/>
          <w:sz w:val="28"/>
          <w:szCs w:val="28"/>
        </w:rPr>
        <w:t>thers</w:t>
      </w:r>
      <w:bookmarkEnd w:id="4"/>
      <w:r w:rsidR="00866B13">
        <w:rPr>
          <w:rStyle w:val="FootnoteReference"/>
          <w:rFonts w:ascii="Times New Roman" w:hAnsi="Times New Roman" w:cs="Times New Roman"/>
          <w:b/>
          <w:bCs/>
          <w:sz w:val="28"/>
          <w:szCs w:val="28"/>
        </w:rPr>
        <w:footnoteReference w:id="8"/>
      </w:r>
      <w:r w:rsidR="00055F42">
        <w:rPr>
          <w:rFonts w:ascii="Times New Roman" w:hAnsi="Times New Roman" w:cs="Times New Roman"/>
          <w:b/>
          <w:bCs/>
          <w:sz w:val="28"/>
          <w:szCs w:val="28"/>
        </w:rPr>
        <w:t xml:space="preserve">, </w:t>
      </w:r>
      <w:r w:rsidRPr="00F0511F">
        <w:rPr>
          <w:rFonts w:ascii="Times New Roman" w:hAnsi="Times New Roman" w:cs="Times New Roman"/>
          <w:b/>
          <w:bCs/>
          <w:sz w:val="28"/>
          <w:szCs w:val="28"/>
        </w:rPr>
        <w:t>Opperman J</w:t>
      </w:r>
      <w:r w:rsidRPr="008504A1">
        <w:rPr>
          <w:rFonts w:ascii="Times New Roman" w:hAnsi="Times New Roman" w:cs="Times New Roman"/>
          <w:sz w:val="28"/>
          <w:szCs w:val="28"/>
        </w:rPr>
        <w:t xml:space="preserve"> had the following to say:</w:t>
      </w:r>
    </w:p>
    <w:p w14:paraId="4061A49E" w14:textId="77777777" w:rsidR="00974C90" w:rsidRPr="00974C90" w:rsidRDefault="00974C90" w:rsidP="008504A1">
      <w:pPr>
        <w:spacing w:before="240" w:line="360" w:lineRule="auto"/>
        <w:contextualSpacing/>
        <w:jc w:val="both"/>
        <w:rPr>
          <w:rFonts w:ascii="Times New Roman" w:hAnsi="Times New Roman" w:cs="Times New Roman"/>
          <w:sz w:val="16"/>
          <w:szCs w:val="16"/>
        </w:rPr>
      </w:pPr>
    </w:p>
    <w:p w14:paraId="7CF50D5F" w14:textId="77777777" w:rsidR="00377168" w:rsidRPr="008504A1" w:rsidRDefault="0003482D" w:rsidP="00F0511F">
      <w:pPr>
        <w:spacing w:before="240" w:line="360" w:lineRule="auto"/>
        <w:ind w:left="720"/>
        <w:contextualSpacing/>
        <w:jc w:val="both"/>
        <w:rPr>
          <w:rFonts w:ascii="Times New Roman" w:hAnsi="Times New Roman" w:cs="Times New Roman"/>
          <w:sz w:val="28"/>
          <w:szCs w:val="28"/>
        </w:rPr>
      </w:pPr>
      <w:r w:rsidRPr="008504A1">
        <w:rPr>
          <w:rFonts w:ascii="Times New Roman" w:hAnsi="Times New Roman" w:cs="Times New Roman"/>
          <w:sz w:val="28"/>
          <w:szCs w:val="28"/>
        </w:rPr>
        <w:t>“</w:t>
      </w:r>
      <w:r w:rsidR="00377168" w:rsidRPr="008504A1">
        <w:rPr>
          <w:rFonts w:ascii="Times New Roman" w:hAnsi="Times New Roman" w:cs="Times New Roman"/>
          <w:sz w:val="28"/>
          <w:szCs w:val="28"/>
        </w:rPr>
        <w:t>[41] The actions of the second defendant that caused the litigation and the “cause of action” is synthesised in the following definitions:</w:t>
      </w:r>
    </w:p>
    <w:p w14:paraId="600EFCC1" w14:textId="55944DB3" w:rsidR="00974C90" w:rsidRPr="00796754" w:rsidRDefault="00377168" w:rsidP="006A4E69">
      <w:pPr>
        <w:spacing w:before="240" w:line="360" w:lineRule="auto"/>
        <w:ind w:left="720"/>
        <w:contextualSpacing/>
        <w:jc w:val="both"/>
        <w:rPr>
          <w:rFonts w:ascii="Times New Roman" w:hAnsi="Times New Roman" w:cs="Times New Roman"/>
          <w:i/>
          <w:iCs/>
          <w:sz w:val="28"/>
          <w:szCs w:val="28"/>
        </w:rPr>
      </w:pPr>
      <w:r w:rsidRPr="008504A1">
        <w:rPr>
          <w:rFonts w:ascii="Times New Roman" w:hAnsi="Times New Roman" w:cs="Times New Roman"/>
          <w:sz w:val="28"/>
          <w:szCs w:val="28"/>
        </w:rPr>
        <w:t>“</w:t>
      </w:r>
      <w:r w:rsidR="00FE2B03" w:rsidRPr="008504A1">
        <w:rPr>
          <w:rFonts w:ascii="Times New Roman" w:hAnsi="Times New Roman" w:cs="Times New Roman"/>
          <w:sz w:val="28"/>
          <w:szCs w:val="28"/>
        </w:rPr>
        <w:t>Cause</w:t>
      </w:r>
      <w:r w:rsidRPr="008504A1">
        <w:rPr>
          <w:rFonts w:ascii="Times New Roman" w:hAnsi="Times New Roman" w:cs="Times New Roman"/>
          <w:sz w:val="28"/>
          <w:szCs w:val="28"/>
        </w:rPr>
        <w:t xml:space="preserve"> of action”:</w:t>
      </w:r>
      <w:r w:rsidR="00A924C6" w:rsidRPr="008504A1">
        <w:rPr>
          <w:rFonts w:ascii="Times New Roman" w:hAnsi="Times New Roman" w:cs="Times New Roman"/>
          <w:sz w:val="28"/>
          <w:szCs w:val="28"/>
        </w:rPr>
        <w:t xml:space="preserve"> was defined by </w:t>
      </w:r>
      <w:r w:rsidR="00A924C6" w:rsidRPr="00B80FD2">
        <w:rPr>
          <w:rFonts w:ascii="Times New Roman" w:hAnsi="Times New Roman" w:cs="Times New Roman"/>
          <w:b/>
          <w:bCs/>
          <w:sz w:val="28"/>
          <w:szCs w:val="28"/>
        </w:rPr>
        <w:t>Lord Esher</w:t>
      </w:r>
      <w:r w:rsidR="00A924C6" w:rsidRPr="008504A1">
        <w:rPr>
          <w:rFonts w:ascii="Times New Roman" w:hAnsi="Times New Roman" w:cs="Times New Roman"/>
          <w:sz w:val="28"/>
          <w:szCs w:val="28"/>
        </w:rPr>
        <w:t xml:space="preserve">, </w:t>
      </w:r>
      <w:r w:rsidR="00A924C6" w:rsidRPr="00CE4235">
        <w:rPr>
          <w:rFonts w:ascii="Times New Roman" w:hAnsi="Times New Roman" w:cs="Times New Roman"/>
          <w:sz w:val="28"/>
          <w:szCs w:val="28"/>
        </w:rPr>
        <w:t>MR</w:t>
      </w:r>
      <w:r w:rsidR="00A924C6" w:rsidRPr="008504A1">
        <w:rPr>
          <w:rFonts w:ascii="Times New Roman" w:hAnsi="Times New Roman" w:cs="Times New Roman"/>
          <w:sz w:val="28"/>
          <w:szCs w:val="28"/>
        </w:rPr>
        <w:t xml:space="preserve"> in </w:t>
      </w:r>
      <w:r w:rsidR="00A924C6" w:rsidRPr="00B80FD2">
        <w:rPr>
          <w:rFonts w:ascii="Times New Roman" w:hAnsi="Times New Roman" w:cs="Times New Roman"/>
          <w:b/>
          <w:bCs/>
          <w:i/>
          <w:iCs/>
          <w:sz w:val="28"/>
          <w:szCs w:val="28"/>
        </w:rPr>
        <w:t>Read V Brown</w:t>
      </w:r>
      <w:r w:rsidR="00866B13" w:rsidRPr="00B80FD2">
        <w:rPr>
          <w:rStyle w:val="FootnoteReference"/>
          <w:rFonts w:ascii="Times New Roman" w:hAnsi="Times New Roman" w:cs="Times New Roman"/>
          <w:b/>
          <w:bCs/>
          <w:i/>
          <w:iCs/>
          <w:sz w:val="28"/>
          <w:szCs w:val="28"/>
        </w:rPr>
        <w:footnoteReference w:id="9"/>
      </w:r>
      <w:r w:rsidR="00A924C6" w:rsidRPr="00F0511F">
        <w:rPr>
          <w:rFonts w:ascii="Times New Roman" w:hAnsi="Times New Roman" w:cs="Times New Roman"/>
          <w:b/>
          <w:bCs/>
          <w:sz w:val="28"/>
          <w:szCs w:val="28"/>
        </w:rPr>
        <w:t xml:space="preserve"> </w:t>
      </w:r>
      <w:r w:rsidR="0003482D" w:rsidRPr="008504A1">
        <w:rPr>
          <w:rFonts w:ascii="Times New Roman" w:hAnsi="Times New Roman" w:cs="Times New Roman"/>
          <w:sz w:val="28"/>
          <w:szCs w:val="28"/>
        </w:rPr>
        <w:t xml:space="preserve"> to be “</w:t>
      </w:r>
      <w:r w:rsidR="00A924C6" w:rsidRPr="008504A1">
        <w:rPr>
          <w:rFonts w:ascii="Times New Roman" w:hAnsi="Times New Roman" w:cs="Times New Roman"/>
          <w:sz w:val="28"/>
          <w:szCs w:val="28"/>
        </w:rPr>
        <w:t>every</w:t>
      </w:r>
      <w:r w:rsidR="00FE2B03" w:rsidRPr="008504A1">
        <w:rPr>
          <w:rFonts w:ascii="Times New Roman" w:hAnsi="Times New Roman" w:cs="Times New Roman"/>
          <w:sz w:val="28"/>
          <w:szCs w:val="28"/>
        </w:rPr>
        <w:t xml:space="preserve"> </w:t>
      </w:r>
      <w:r w:rsidR="00A924C6" w:rsidRPr="008504A1">
        <w:rPr>
          <w:rFonts w:ascii="Times New Roman" w:hAnsi="Times New Roman" w:cs="Times New Roman"/>
          <w:sz w:val="28"/>
          <w:szCs w:val="28"/>
        </w:rPr>
        <w:t>fact which it would be necessary for the plaintiff to prove if traversed, in order to support his right to the judgment of the court. It does not comprise every piece of evidence which is necessary to prove each</w:t>
      </w:r>
      <w:r w:rsidR="00FE2B03" w:rsidRPr="008504A1">
        <w:rPr>
          <w:rFonts w:ascii="Times New Roman" w:hAnsi="Times New Roman" w:cs="Times New Roman"/>
          <w:sz w:val="28"/>
          <w:szCs w:val="28"/>
        </w:rPr>
        <w:t xml:space="preserve"> fact</w:t>
      </w:r>
      <w:r w:rsidR="00A924C6" w:rsidRPr="008504A1">
        <w:rPr>
          <w:rFonts w:ascii="Times New Roman" w:hAnsi="Times New Roman" w:cs="Times New Roman"/>
          <w:sz w:val="28"/>
          <w:szCs w:val="28"/>
        </w:rPr>
        <w:t xml:space="preserve"> but every fact which is necessary to be proved.</w:t>
      </w:r>
      <w:r w:rsidR="00FE2B03" w:rsidRPr="008504A1">
        <w:rPr>
          <w:rFonts w:ascii="Times New Roman" w:hAnsi="Times New Roman" w:cs="Times New Roman"/>
          <w:sz w:val="28"/>
          <w:szCs w:val="28"/>
        </w:rPr>
        <w:t xml:space="preserve"> See also </w:t>
      </w:r>
      <w:bookmarkStart w:id="5" w:name="_Hlk110848542"/>
      <w:r w:rsidR="00FE2B03" w:rsidRPr="00B80FD2">
        <w:rPr>
          <w:rFonts w:ascii="Times New Roman" w:hAnsi="Times New Roman" w:cs="Times New Roman"/>
          <w:b/>
          <w:bCs/>
          <w:i/>
          <w:iCs/>
          <w:sz w:val="28"/>
          <w:szCs w:val="28"/>
        </w:rPr>
        <w:t>C</w:t>
      </w:r>
      <w:r w:rsidR="0003482D" w:rsidRPr="00B80FD2">
        <w:rPr>
          <w:rFonts w:ascii="Times New Roman" w:hAnsi="Times New Roman" w:cs="Times New Roman"/>
          <w:b/>
          <w:bCs/>
          <w:i/>
          <w:iCs/>
          <w:sz w:val="28"/>
          <w:szCs w:val="28"/>
        </w:rPr>
        <w:t>ooke v Gill LR</w:t>
      </w:r>
      <w:r w:rsidR="00866B13">
        <w:rPr>
          <w:rStyle w:val="FootnoteReference"/>
          <w:rFonts w:ascii="Times New Roman" w:hAnsi="Times New Roman" w:cs="Times New Roman"/>
          <w:b/>
          <w:bCs/>
          <w:sz w:val="28"/>
          <w:szCs w:val="28"/>
        </w:rPr>
        <w:footnoteReference w:id="10"/>
      </w:r>
      <w:r w:rsidR="0003482D" w:rsidRPr="00866B13">
        <w:rPr>
          <w:rFonts w:ascii="Times New Roman" w:hAnsi="Times New Roman" w:cs="Times New Roman"/>
          <w:sz w:val="28"/>
          <w:szCs w:val="28"/>
        </w:rPr>
        <w:t>.</w:t>
      </w:r>
      <w:r w:rsidR="0003482D" w:rsidRPr="00F0511F">
        <w:rPr>
          <w:rFonts w:ascii="Times New Roman" w:hAnsi="Times New Roman" w:cs="Times New Roman"/>
          <w:b/>
          <w:bCs/>
          <w:sz w:val="28"/>
          <w:szCs w:val="28"/>
        </w:rPr>
        <w:t xml:space="preserve"> </w:t>
      </w:r>
      <w:r w:rsidR="00866B13">
        <w:rPr>
          <w:rFonts w:ascii="Times New Roman" w:hAnsi="Times New Roman" w:cs="Times New Roman"/>
          <w:b/>
          <w:bCs/>
          <w:sz w:val="28"/>
          <w:szCs w:val="28"/>
        </w:rPr>
        <w:t xml:space="preserve"> </w:t>
      </w:r>
      <w:r w:rsidR="00FE2B03" w:rsidRPr="00CE4235">
        <w:rPr>
          <w:rFonts w:ascii="Times New Roman" w:hAnsi="Times New Roman" w:cs="Times New Roman"/>
          <w:b/>
          <w:bCs/>
          <w:i/>
          <w:iCs/>
          <w:sz w:val="28"/>
          <w:szCs w:val="28"/>
        </w:rPr>
        <w:t xml:space="preserve"> </w:t>
      </w:r>
      <w:r w:rsidR="0003482D" w:rsidRPr="00CE4235">
        <w:rPr>
          <w:rFonts w:ascii="Times New Roman" w:hAnsi="Times New Roman" w:cs="Times New Roman"/>
          <w:b/>
          <w:bCs/>
          <w:i/>
          <w:iCs/>
          <w:sz w:val="28"/>
          <w:szCs w:val="28"/>
        </w:rPr>
        <w:t>Act 22 of 1916</w:t>
      </w:r>
      <w:bookmarkEnd w:id="5"/>
      <w:r w:rsidR="004C264C">
        <w:rPr>
          <w:rStyle w:val="FootnoteReference"/>
          <w:rFonts w:ascii="Times New Roman" w:hAnsi="Times New Roman" w:cs="Times New Roman"/>
          <w:b/>
          <w:bCs/>
          <w:i/>
          <w:iCs/>
          <w:sz w:val="28"/>
          <w:szCs w:val="28"/>
        </w:rPr>
        <w:footnoteReference w:id="11"/>
      </w:r>
      <w:r w:rsidR="0003482D" w:rsidRPr="00CE4235">
        <w:rPr>
          <w:rFonts w:ascii="Times New Roman" w:hAnsi="Times New Roman" w:cs="Times New Roman"/>
          <w:sz w:val="28"/>
          <w:szCs w:val="28"/>
        </w:rPr>
        <w:t xml:space="preserve">: </w:t>
      </w:r>
      <w:r w:rsidR="0003482D" w:rsidRPr="008504A1">
        <w:rPr>
          <w:rFonts w:ascii="Times New Roman" w:hAnsi="Times New Roman" w:cs="Times New Roman"/>
          <w:sz w:val="28"/>
          <w:szCs w:val="28"/>
        </w:rPr>
        <w:t>means “</w:t>
      </w:r>
      <w:r w:rsidR="00072232" w:rsidRPr="008504A1">
        <w:rPr>
          <w:rFonts w:ascii="Times New Roman" w:hAnsi="Times New Roman" w:cs="Times New Roman"/>
          <w:sz w:val="28"/>
          <w:szCs w:val="28"/>
        </w:rPr>
        <w:t xml:space="preserve">every fact which is material to be </w:t>
      </w:r>
      <w:r w:rsidR="0003482D" w:rsidRPr="008504A1">
        <w:rPr>
          <w:rFonts w:ascii="Times New Roman" w:hAnsi="Times New Roman" w:cs="Times New Roman"/>
          <w:sz w:val="28"/>
          <w:szCs w:val="28"/>
        </w:rPr>
        <w:t>proved to entitle a plaintiff to</w:t>
      </w:r>
      <w:r w:rsidR="00072232" w:rsidRPr="008504A1">
        <w:rPr>
          <w:rFonts w:ascii="Times New Roman" w:hAnsi="Times New Roman" w:cs="Times New Roman"/>
          <w:sz w:val="28"/>
          <w:szCs w:val="28"/>
        </w:rPr>
        <w:t xml:space="preserve"> succeed in his claim”</w:t>
      </w:r>
      <w:r w:rsidR="00976FCC" w:rsidRPr="008504A1">
        <w:rPr>
          <w:rFonts w:ascii="Times New Roman" w:hAnsi="Times New Roman" w:cs="Times New Roman"/>
          <w:sz w:val="28"/>
          <w:szCs w:val="28"/>
        </w:rPr>
        <w:t xml:space="preserve">. </w:t>
      </w:r>
      <w:bookmarkStart w:id="6" w:name="_Hlk110848833"/>
      <w:r w:rsidR="001A058B" w:rsidRPr="00D27C7A">
        <w:rPr>
          <w:rFonts w:ascii="Times New Roman" w:hAnsi="Times New Roman" w:cs="Times New Roman"/>
          <w:b/>
          <w:bCs/>
          <w:i/>
          <w:iCs/>
          <w:sz w:val="28"/>
          <w:szCs w:val="28"/>
        </w:rPr>
        <w:t>Lyon v SAR&amp; H</w:t>
      </w:r>
      <w:bookmarkEnd w:id="6"/>
      <w:r w:rsidR="00866B13" w:rsidRPr="00D27C7A">
        <w:rPr>
          <w:rStyle w:val="FootnoteReference"/>
          <w:rFonts w:ascii="Times New Roman" w:hAnsi="Times New Roman" w:cs="Times New Roman"/>
          <w:b/>
          <w:bCs/>
          <w:sz w:val="28"/>
          <w:szCs w:val="28"/>
        </w:rPr>
        <w:footnoteReference w:id="12"/>
      </w:r>
      <w:r w:rsidR="0003482D" w:rsidRPr="00D27C7A">
        <w:rPr>
          <w:rFonts w:ascii="Times New Roman" w:hAnsi="Times New Roman" w:cs="Times New Roman"/>
          <w:sz w:val="28"/>
          <w:szCs w:val="28"/>
        </w:rPr>
        <w:t xml:space="preserve">; </w:t>
      </w:r>
      <w:r w:rsidR="0003482D" w:rsidRPr="008504A1">
        <w:rPr>
          <w:rFonts w:ascii="Times New Roman" w:hAnsi="Times New Roman" w:cs="Times New Roman"/>
          <w:sz w:val="28"/>
          <w:szCs w:val="28"/>
        </w:rPr>
        <w:t>but it can mean “</w:t>
      </w:r>
      <w:r w:rsidR="00072232" w:rsidRPr="008504A1">
        <w:rPr>
          <w:rFonts w:ascii="Times New Roman" w:hAnsi="Times New Roman" w:cs="Times New Roman"/>
          <w:sz w:val="28"/>
          <w:szCs w:val="28"/>
        </w:rPr>
        <w:t>that particular act on the part of the defendant which gives the plain</w:t>
      </w:r>
      <w:r w:rsidR="0003482D" w:rsidRPr="008504A1">
        <w:rPr>
          <w:rFonts w:ascii="Times New Roman" w:hAnsi="Times New Roman" w:cs="Times New Roman"/>
          <w:sz w:val="28"/>
          <w:szCs w:val="28"/>
        </w:rPr>
        <w:t>tiff his cause of complaint.” “</w:t>
      </w:r>
      <w:r w:rsidR="00072232" w:rsidRPr="008504A1">
        <w:rPr>
          <w:rFonts w:ascii="Times New Roman" w:hAnsi="Times New Roman" w:cs="Times New Roman"/>
          <w:sz w:val="28"/>
          <w:szCs w:val="28"/>
        </w:rPr>
        <w:t>A cause of action accrues, when there is in existence a person who can sue and another who can be sued, and when all the facts have happened which are material to be proved to entitle the plaintiff to succeed.”</w:t>
      </w:r>
      <w:r w:rsidR="001A058B" w:rsidRPr="008504A1">
        <w:rPr>
          <w:rFonts w:ascii="Times New Roman" w:hAnsi="Times New Roman" w:cs="Times New Roman"/>
          <w:sz w:val="28"/>
          <w:szCs w:val="28"/>
        </w:rPr>
        <w:t xml:space="preserve"> </w:t>
      </w:r>
      <w:r w:rsidR="001A058B" w:rsidRPr="00D2090D">
        <w:rPr>
          <w:rFonts w:ascii="Times New Roman" w:hAnsi="Times New Roman" w:cs="Times New Roman"/>
          <w:sz w:val="28"/>
          <w:szCs w:val="28"/>
        </w:rPr>
        <w:t>See</w:t>
      </w:r>
      <w:r w:rsidR="001A058B" w:rsidRPr="008504A1">
        <w:rPr>
          <w:rFonts w:ascii="Times New Roman" w:hAnsi="Times New Roman" w:cs="Times New Roman"/>
          <w:sz w:val="28"/>
          <w:szCs w:val="28"/>
        </w:rPr>
        <w:t xml:space="preserve"> </w:t>
      </w:r>
      <w:bookmarkStart w:id="7" w:name="_Hlk110848873"/>
      <w:r w:rsidR="001A058B" w:rsidRPr="00796754">
        <w:rPr>
          <w:rFonts w:ascii="Times New Roman" w:hAnsi="Times New Roman" w:cs="Times New Roman"/>
          <w:b/>
          <w:bCs/>
          <w:i/>
          <w:iCs/>
          <w:sz w:val="28"/>
          <w:szCs w:val="28"/>
        </w:rPr>
        <w:t>G North and son v</w:t>
      </w:r>
      <w:r w:rsidR="00072232" w:rsidRPr="00796754">
        <w:rPr>
          <w:rFonts w:ascii="Times New Roman" w:hAnsi="Times New Roman" w:cs="Times New Roman"/>
          <w:b/>
          <w:bCs/>
          <w:i/>
          <w:iCs/>
          <w:sz w:val="28"/>
          <w:szCs w:val="28"/>
        </w:rPr>
        <w:t xml:space="preserve"> Bre</w:t>
      </w:r>
      <w:r w:rsidR="0003482D" w:rsidRPr="00796754">
        <w:rPr>
          <w:rFonts w:ascii="Times New Roman" w:hAnsi="Times New Roman" w:cs="Times New Roman"/>
          <w:b/>
          <w:bCs/>
          <w:i/>
          <w:iCs/>
          <w:sz w:val="28"/>
          <w:szCs w:val="28"/>
        </w:rPr>
        <w:t>wer and son</w:t>
      </w:r>
      <w:r w:rsidR="00866B13" w:rsidRPr="00796754">
        <w:rPr>
          <w:rStyle w:val="FootnoteReference"/>
          <w:rFonts w:ascii="Times New Roman" w:hAnsi="Times New Roman" w:cs="Times New Roman"/>
          <w:b/>
          <w:bCs/>
          <w:i/>
          <w:iCs/>
          <w:sz w:val="28"/>
          <w:szCs w:val="28"/>
        </w:rPr>
        <w:footnoteReference w:id="13"/>
      </w:r>
      <w:r w:rsidR="0003482D" w:rsidRPr="00796754">
        <w:rPr>
          <w:rFonts w:ascii="Times New Roman" w:hAnsi="Times New Roman" w:cs="Times New Roman"/>
          <w:i/>
          <w:iCs/>
          <w:sz w:val="28"/>
          <w:szCs w:val="28"/>
        </w:rPr>
        <w:t xml:space="preserve">; </w:t>
      </w:r>
      <w:r w:rsidR="0003482D" w:rsidRPr="00796754">
        <w:rPr>
          <w:rFonts w:ascii="Times New Roman" w:hAnsi="Times New Roman" w:cs="Times New Roman"/>
          <w:b/>
          <w:bCs/>
          <w:i/>
          <w:iCs/>
          <w:sz w:val="28"/>
          <w:szCs w:val="28"/>
        </w:rPr>
        <w:t xml:space="preserve">Beavan </w:t>
      </w:r>
      <w:r w:rsidR="00072232" w:rsidRPr="00796754">
        <w:rPr>
          <w:rFonts w:ascii="Times New Roman" w:hAnsi="Times New Roman" w:cs="Times New Roman"/>
          <w:b/>
          <w:bCs/>
          <w:i/>
          <w:iCs/>
          <w:sz w:val="28"/>
          <w:szCs w:val="28"/>
        </w:rPr>
        <w:t>v Carelse</w:t>
      </w:r>
      <w:bookmarkEnd w:id="7"/>
      <w:r w:rsidR="00866B13" w:rsidRPr="00796754">
        <w:rPr>
          <w:rStyle w:val="FootnoteReference"/>
          <w:rFonts w:ascii="Times New Roman" w:hAnsi="Times New Roman" w:cs="Times New Roman"/>
          <w:b/>
          <w:bCs/>
          <w:i/>
          <w:iCs/>
          <w:sz w:val="28"/>
          <w:szCs w:val="28"/>
        </w:rPr>
        <w:footnoteReference w:id="14"/>
      </w:r>
      <w:r w:rsidR="00072232" w:rsidRPr="00796754">
        <w:rPr>
          <w:rFonts w:ascii="Times New Roman" w:hAnsi="Times New Roman" w:cs="Times New Roman"/>
          <w:i/>
          <w:iCs/>
          <w:sz w:val="28"/>
          <w:szCs w:val="28"/>
        </w:rPr>
        <w:t>.</w:t>
      </w:r>
      <w:r w:rsidR="00A924C6" w:rsidRPr="00796754">
        <w:rPr>
          <w:rFonts w:ascii="Times New Roman" w:hAnsi="Times New Roman" w:cs="Times New Roman"/>
          <w:i/>
          <w:iCs/>
          <w:sz w:val="28"/>
          <w:szCs w:val="28"/>
        </w:rPr>
        <w:t xml:space="preserve"> </w:t>
      </w:r>
    </w:p>
    <w:p w14:paraId="3A037312" w14:textId="661E1787" w:rsidR="0058353E" w:rsidRDefault="0058353E" w:rsidP="006A4E69">
      <w:pPr>
        <w:spacing w:before="240" w:line="360" w:lineRule="auto"/>
        <w:ind w:left="720"/>
        <w:contextualSpacing/>
        <w:jc w:val="both"/>
        <w:rPr>
          <w:rFonts w:ascii="Times New Roman" w:hAnsi="Times New Roman" w:cs="Times New Roman"/>
          <w:sz w:val="28"/>
          <w:szCs w:val="28"/>
        </w:rPr>
      </w:pPr>
    </w:p>
    <w:p w14:paraId="2B798B15" w14:textId="77777777" w:rsidR="00A556C4" w:rsidRPr="006A4E69" w:rsidRDefault="00A556C4" w:rsidP="006A4E69">
      <w:pPr>
        <w:spacing w:before="240" w:line="360" w:lineRule="auto"/>
        <w:ind w:left="720"/>
        <w:contextualSpacing/>
        <w:jc w:val="both"/>
        <w:rPr>
          <w:rFonts w:ascii="Times New Roman" w:hAnsi="Times New Roman" w:cs="Times New Roman"/>
          <w:sz w:val="28"/>
          <w:szCs w:val="28"/>
        </w:rPr>
      </w:pPr>
    </w:p>
    <w:p w14:paraId="31625627" w14:textId="74233EA0" w:rsidR="00F0308C" w:rsidRPr="00CA1CFA" w:rsidRDefault="00CA1CFA" w:rsidP="008504A1">
      <w:pPr>
        <w:spacing w:before="240" w:line="360" w:lineRule="auto"/>
        <w:contextualSpacing/>
        <w:jc w:val="both"/>
        <w:rPr>
          <w:rFonts w:ascii="Times New Roman" w:hAnsi="Times New Roman" w:cs="Times New Roman"/>
          <w:sz w:val="28"/>
          <w:szCs w:val="28"/>
        </w:rPr>
      </w:pPr>
      <w:r w:rsidRPr="00CA1CFA">
        <w:rPr>
          <w:rFonts w:ascii="Times New Roman" w:hAnsi="Times New Roman" w:cs="Times New Roman"/>
          <w:b/>
          <w:bCs/>
          <w:sz w:val="28"/>
          <w:szCs w:val="28"/>
        </w:rPr>
        <w:lastRenderedPageBreak/>
        <w:t>DISCUSSION</w:t>
      </w:r>
      <w:r w:rsidRPr="00CA1CFA">
        <w:rPr>
          <w:rFonts w:ascii="Times New Roman" w:hAnsi="Times New Roman" w:cs="Times New Roman"/>
          <w:sz w:val="28"/>
          <w:szCs w:val="28"/>
        </w:rPr>
        <w:t>:</w:t>
      </w:r>
    </w:p>
    <w:p w14:paraId="248FDD21" w14:textId="3EFDC186" w:rsidR="00F0308C" w:rsidRDefault="00F0308C" w:rsidP="008504A1">
      <w:pPr>
        <w:spacing w:before="240" w:line="360" w:lineRule="auto"/>
        <w:contextualSpacing/>
        <w:jc w:val="both"/>
        <w:rPr>
          <w:rFonts w:ascii="Times New Roman" w:hAnsi="Times New Roman" w:cs="Times New Roman"/>
          <w:sz w:val="28"/>
          <w:szCs w:val="28"/>
        </w:rPr>
      </w:pPr>
      <w:r w:rsidRPr="008504A1">
        <w:rPr>
          <w:rFonts w:ascii="Times New Roman" w:hAnsi="Times New Roman" w:cs="Times New Roman"/>
          <w:sz w:val="28"/>
          <w:szCs w:val="28"/>
        </w:rPr>
        <w:t>[1</w:t>
      </w:r>
      <w:r w:rsidR="00644F6A">
        <w:rPr>
          <w:rFonts w:ascii="Times New Roman" w:hAnsi="Times New Roman" w:cs="Times New Roman"/>
          <w:sz w:val="28"/>
          <w:szCs w:val="28"/>
        </w:rPr>
        <w:t>2</w:t>
      </w:r>
      <w:r w:rsidRPr="008504A1">
        <w:rPr>
          <w:rFonts w:ascii="Times New Roman" w:hAnsi="Times New Roman" w:cs="Times New Roman"/>
          <w:sz w:val="28"/>
          <w:szCs w:val="28"/>
        </w:rPr>
        <w:t xml:space="preserve">] On the point of </w:t>
      </w:r>
      <w:r w:rsidRPr="008E6308">
        <w:rPr>
          <w:rFonts w:ascii="Times New Roman" w:hAnsi="Times New Roman" w:cs="Times New Roman"/>
          <w:i/>
          <w:iCs/>
          <w:sz w:val="28"/>
          <w:szCs w:val="28"/>
        </w:rPr>
        <w:t>lis pendens</w:t>
      </w:r>
      <w:r w:rsidRPr="008504A1">
        <w:rPr>
          <w:rFonts w:ascii="Times New Roman" w:hAnsi="Times New Roman" w:cs="Times New Roman"/>
          <w:sz w:val="28"/>
          <w:szCs w:val="28"/>
        </w:rPr>
        <w:t xml:space="preserve"> taken by the respondent, it is the respondent’s submission that </w:t>
      </w:r>
      <w:r w:rsidRPr="00796754">
        <w:rPr>
          <w:rFonts w:ascii="Times New Roman" w:hAnsi="Times New Roman" w:cs="Times New Roman"/>
          <w:b/>
          <w:bCs/>
          <w:i/>
          <w:iCs/>
          <w:sz w:val="28"/>
          <w:szCs w:val="28"/>
        </w:rPr>
        <w:t>CIV/APN/0169/2022</w:t>
      </w:r>
      <w:r w:rsidRPr="008504A1">
        <w:rPr>
          <w:rFonts w:ascii="Times New Roman" w:hAnsi="Times New Roman" w:cs="Times New Roman"/>
          <w:sz w:val="28"/>
          <w:szCs w:val="28"/>
        </w:rPr>
        <w:t xml:space="preserve"> and </w:t>
      </w:r>
      <w:r w:rsidRPr="00796754">
        <w:rPr>
          <w:rFonts w:ascii="Times New Roman" w:hAnsi="Times New Roman" w:cs="Times New Roman"/>
          <w:b/>
          <w:bCs/>
          <w:i/>
          <w:iCs/>
          <w:sz w:val="28"/>
          <w:szCs w:val="28"/>
        </w:rPr>
        <w:t>CIV/APN/0170/2022</w:t>
      </w:r>
      <w:r w:rsidRPr="008504A1">
        <w:rPr>
          <w:rFonts w:ascii="Times New Roman" w:hAnsi="Times New Roman" w:cs="Times New Roman"/>
          <w:sz w:val="28"/>
          <w:szCs w:val="28"/>
        </w:rPr>
        <w:t xml:space="preserve"> are pending cases between the same parties, concerning the same subject matter and founded on the same cause of action. To substantiate this </w:t>
      </w:r>
      <w:r w:rsidR="0003482D" w:rsidRPr="008504A1">
        <w:rPr>
          <w:rFonts w:ascii="Times New Roman" w:hAnsi="Times New Roman" w:cs="Times New Roman"/>
          <w:sz w:val="28"/>
          <w:szCs w:val="28"/>
        </w:rPr>
        <w:t>submission,</w:t>
      </w:r>
      <w:r w:rsidRPr="008504A1">
        <w:rPr>
          <w:rFonts w:ascii="Times New Roman" w:hAnsi="Times New Roman" w:cs="Times New Roman"/>
          <w:sz w:val="28"/>
          <w:szCs w:val="28"/>
        </w:rPr>
        <w:t xml:space="preserve"> the </w:t>
      </w:r>
      <w:r w:rsidR="0003482D" w:rsidRPr="008504A1">
        <w:rPr>
          <w:rFonts w:ascii="Times New Roman" w:hAnsi="Times New Roman" w:cs="Times New Roman"/>
          <w:sz w:val="28"/>
          <w:szCs w:val="28"/>
        </w:rPr>
        <w:t>respondents,</w:t>
      </w:r>
      <w:r w:rsidRPr="008504A1">
        <w:rPr>
          <w:rFonts w:ascii="Times New Roman" w:hAnsi="Times New Roman" w:cs="Times New Roman"/>
          <w:sz w:val="28"/>
          <w:szCs w:val="28"/>
        </w:rPr>
        <w:t xml:space="preserve"> make reference to the prayers sought by the applicants in both matters, to indicate that the applicants are seeking</w:t>
      </w:r>
      <w:r w:rsidR="00B2042C" w:rsidRPr="008504A1">
        <w:rPr>
          <w:rFonts w:ascii="Times New Roman" w:hAnsi="Times New Roman" w:cs="Times New Roman"/>
          <w:sz w:val="28"/>
          <w:szCs w:val="28"/>
        </w:rPr>
        <w:t xml:space="preserve"> the same reliefs in both cases. At paragraph 3.5 of the opposing affidavit the first respondent says:</w:t>
      </w:r>
    </w:p>
    <w:p w14:paraId="3E22EEFD" w14:textId="77777777" w:rsidR="00974C90" w:rsidRPr="00974C90" w:rsidRDefault="00974C90" w:rsidP="008504A1">
      <w:pPr>
        <w:spacing w:before="240" w:line="360" w:lineRule="auto"/>
        <w:contextualSpacing/>
        <w:jc w:val="both"/>
        <w:rPr>
          <w:rFonts w:ascii="Times New Roman" w:hAnsi="Times New Roman" w:cs="Times New Roman"/>
          <w:sz w:val="16"/>
          <w:szCs w:val="16"/>
        </w:rPr>
      </w:pPr>
    </w:p>
    <w:p w14:paraId="5D373BFF" w14:textId="77777777" w:rsidR="00B2042C" w:rsidRDefault="0003482D" w:rsidP="00974C90">
      <w:pPr>
        <w:spacing w:before="240" w:line="360" w:lineRule="auto"/>
        <w:ind w:left="720"/>
        <w:contextualSpacing/>
        <w:jc w:val="both"/>
        <w:rPr>
          <w:rFonts w:ascii="Times New Roman" w:hAnsi="Times New Roman" w:cs="Times New Roman"/>
          <w:sz w:val="28"/>
          <w:szCs w:val="28"/>
        </w:rPr>
      </w:pPr>
      <w:r w:rsidRPr="008504A1">
        <w:rPr>
          <w:rFonts w:ascii="Times New Roman" w:hAnsi="Times New Roman" w:cs="Times New Roman"/>
          <w:sz w:val="28"/>
          <w:szCs w:val="28"/>
        </w:rPr>
        <w:t>“</w:t>
      </w:r>
      <w:r w:rsidR="00B2042C" w:rsidRPr="008504A1">
        <w:rPr>
          <w:rFonts w:ascii="Times New Roman" w:hAnsi="Times New Roman" w:cs="Times New Roman"/>
          <w:sz w:val="28"/>
          <w:szCs w:val="28"/>
        </w:rPr>
        <w:t xml:space="preserve">…the applicants are in both cases praying in the Notice of Motion paragraph 1 (d) that the </w:t>
      </w:r>
      <w:r w:rsidR="007D6C65" w:rsidRPr="008504A1">
        <w:rPr>
          <w:rFonts w:ascii="Times New Roman" w:hAnsi="Times New Roman" w:cs="Times New Roman"/>
          <w:sz w:val="28"/>
          <w:szCs w:val="28"/>
        </w:rPr>
        <w:t>decision of</w:t>
      </w:r>
      <w:r w:rsidR="00B2042C" w:rsidRPr="008504A1">
        <w:rPr>
          <w:rFonts w:ascii="Times New Roman" w:hAnsi="Times New Roman" w:cs="Times New Roman"/>
          <w:sz w:val="28"/>
          <w:szCs w:val="28"/>
        </w:rPr>
        <w:t xml:space="preserve"> the 1</w:t>
      </w:r>
      <w:r w:rsidR="00B2042C" w:rsidRPr="008504A1">
        <w:rPr>
          <w:rFonts w:ascii="Times New Roman" w:hAnsi="Times New Roman" w:cs="Times New Roman"/>
          <w:sz w:val="28"/>
          <w:szCs w:val="28"/>
          <w:vertAlign w:val="superscript"/>
        </w:rPr>
        <w:t>st</w:t>
      </w:r>
      <w:r w:rsidR="00B2042C" w:rsidRPr="008504A1">
        <w:rPr>
          <w:rFonts w:ascii="Times New Roman" w:hAnsi="Times New Roman" w:cs="Times New Roman"/>
          <w:sz w:val="28"/>
          <w:szCs w:val="28"/>
        </w:rPr>
        <w:t xml:space="preserve"> respondent to discharge the applicants from Police Training College Programme shall not be reviewed and set aside as irregular and wrongful and thus null and void ab initio and of no legal force and effect. </w:t>
      </w:r>
      <w:r w:rsidRPr="008504A1">
        <w:rPr>
          <w:rFonts w:ascii="Times New Roman" w:hAnsi="Times New Roman" w:cs="Times New Roman"/>
          <w:sz w:val="28"/>
          <w:szCs w:val="28"/>
        </w:rPr>
        <w:t>Furthermore,</w:t>
      </w:r>
      <w:r w:rsidR="00B2042C" w:rsidRPr="008504A1">
        <w:rPr>
          <w:rFonts w:ascii="Times New Roman" w:hAnsi="Times New Roman" w:cs="Times New Roman"/>
          <w:sz w:val="28"/>
          <w:szCs w:val="28"/>
        </w:rPr>
        <w:t xml:space="preserve"> applicants are praying in paragraph 1 (e) of Notice of Motion that the honourable court to grant an order directing the 1</w:t>
      </w:r>
      <w:r w:rsidR="00B2042C" w:rsidRPr="008504A1">
        <w:rPr>
          <w:rFonts w:ascii="Times New Roman" w:hAnsi="Times New Roman" w:cs="Times New Roman"/>
          <w:sz w:val="28"/>
          <w:szCs w:val="28"/>
          <w:vertAlign w:val="superscript"/>
        </w:rPr>
        <w:t>st</w:t>
      </w:r>
      <w:r w:rsidR="00B2042C" w:rsidRPr="008504A1">
        <w:rPr>
          <w:rFonts w:ascii="Times New Roman" w:hAnsi="Times New Roman" w:cs="Times New Roman"/>
          <w:sz w:val="28"/>
          <w:szCs w:val="28"/>
        </w:rPr>
        <w:t xml:space="preserve"> respondent to reinstate the applicants back into the Police Training College Recruitment Programme without loss of status and benefits and to pay the applicants any arrear salaries which may have been paid in their absence.</w:t>
      </w:r>
      <w:r w:rsidR="00F91A7A" w:rsidRPr="008504A1">
        <w:rPr>
          <w:rFonts w:ascii="Times New Roman" w:hAnsi="Times New Roman" w:cs="Times New Roman"/>
          <w:sz w:val="28"/>
          <w:szCs w:val="28"/>
        </w:rPr>
        <w:t>”</w:t>
      </w:r>
    </w:p>
    <w:p w14:paraId="2B05888B" w14:textId="77777777" w:rsidR="00974C90" w:rsidRPr="00EB3375" w:rsidRDefault="00974C90" w:rsidP="00974C90">
      <w:pPr>
        <w:spacing w:before="240" w:line="360" w:lineRule="auto"/>
        <w:ind w:left="720"/>
        <w:contextualSpacing/>
        <w:jc w:val="both"/>
        <w:rPr>
          <w:rFonts w:ascii="Times New Roman" w:hAnsi="Times New Roman" w:cs="Times New Roman"/>
          <w:sz w:val="24"/>
          <w:szCs w:val="24"/>
        </w:rPr>
      </w:pPr>
    </w:p>
    <w:p w14:paraId="0E540D59" w14:textId="23A39052" w:rsidR="00974C90" w:rsidRPr="00B01B5C" w:rsidRDefault="00F91A7A" w:rsidP="008504A1">
      <w:pPr>
        <w:spacing w:before="240" w:line="360" w:lineRule="auto"/>
        <w:contextualSpacing/>
        <w:jc w:val="both"/>
        <w:rPr>
          <w:rFonts w:ascii="Times New Roman" w:hAnsi="Times New Roman" w:cs="Times New Roman"/>
          <w:sz w:val="28"/>
          <w:szCs w:val="28"/>
        </w:rPr>
      </w:pPr>
      <w:r w:rsidRPr="008504A1">
        <w:rPr>
          <w:rFonts w:ascii="Times New Roman" w:hAnsi="Times New Roman" w:cs="Times New Roman"/>
          <w:sz w:val="28"/>
          <w:szCs w:val="28"/>
        </w:rPr>
        <w:t>[1</w:t>
      </w:r>
      <w:r w:rsidR="00644F6A">
        <w:rPr>
          <w:rFonts w:ascii="Times New Roman" w:hAnsi="Times New Roman" w:cs="Times New Roman"/>
          <w:sz w:val="28"/>
          <w:szCs w:val="28"/>
        </w:rPr>
        <w:t>3</w:t>
      </w:r>
      <w:r w:rsidRPr="008504A1">
        <w:rPr>
          <w:rFonts w:ascii="Times New Roman" w:hAnsi="Times New Roman" w:cs="Times New Roman"/>
          <w:sz w:val="28"/>
          <w:szCs w:val="28"/>
        </w:rPr>
        <w:t>] At paragraph 3.6 of the opposing affidavit, the first respondent goes further to say:</w:t>
      </w:r>
    </w:p>
    <w:p w14:paraId="65C2468E" w14:textId="07F9358E" w:rsidR="005706B3" w:rsidRDefault="0003482D" w:rsidP="00445FB3">
      <w:pPr>
        <w:spacing w:before="240" w:line="360" w:lineRule="auto"/>
        <w:ind w:left="720"/>
        <w:contextualSpacing/>
        <w:jc w:val="both"/>
        <w:rPr>
          <w:rFonts w:ascii="Times New Roman" w:hAnsi="Times New Roman" w:cs="Times New Roman"/>
          <w:sz w:val="28"/>
          <w:szCs w:val="28"/>
        </w:rPr>
      </w:pPr>
      <w:r w:rsidRPr="008504A1">
        <w:rPr>
          <w:rFonts w:ascii="Times New Roman" w:hAnsi="Times New Roman" w:cs="Times New Roman"/>
          <w:sz w:val="28"/>
          <w:szCs w:val="28"/>
        </w:rPr>
        <w:t>“</w:t>
      </w:r>
      <w:r w:rsidR="00F91A7A" w:rsidRPr="008504A1">
        <w:rPr>
          <w:rFonts w:ascii="Times New Roman" w:hAnsi="Times New Roman" w:cs="Times New Roman"/>
          <w:sz w:val="28"/>
          <w:szCs w:val="28"/>
        </w:rPr>
        <w:t>In paragraph 1(j) of the Notice of Motion the applicants pray the honourable court to review and set aside the 1</w:t>
      </w:r>
      <w:r w:rsidR="00F91A7A" w:rsidRPr="008504A1">
        <w:rPr>
          <w:rFonts w:ascii="Times New Roman" w:hAnsi="Times New Roman" w:cs="Times New Roman"/>
          <w:sz w:val="28"/>
          <w:szCs w:val="28"/>
          <w:vertAlign w:val="superscript"/>
        </w:rPr>
        <w:t>st</w:t>
      </w:r>
      <w:r w:rsidR="00F91A7A" w:rsidRPr="008504A1">
        <w:rPr>
          <w:rFonts w:ascii="Times New Roman" w:hAnsi="Times New Roman" w:cs="Times New Roman"/>
          <w:sz w:val="28"/>
          <w:szCs w:val="28"/>
        </w:rPr>
        <w:t xml:space="preserve"> respondent’s decision to terminate the </w:t>
      </w:r>
      <w:r w:rsidRPr="008504A1">
        <w:rPr>
          <w:rFonts w:ascii="Times New Roman" w:hAnsi="Times New Roman" w:cs="Times New Roman"/>
          <w:sz w:val="28"/>
          <w:szCs w:val="28"/>
        </w:rPr>
        <w:t>applicants’</w:t>
      </w:r>
      <w:r w:rsidR="00F91A7A" w:rsidRPr="008504A1">
        <w:rPr>
          <w:rFonts w:ascii="Times New Roman" w:hAnsi="Times New Roman" w:cs="Times New Roman"/>
          <w:sz w:val="28"/>
          <w:szCs w:val="28"/>
        </w:rPr>
        <w:t xml:space="preserve"> appointment without loss of title and all their benefits. </w:t>
      </w:r>
      <w:r w:rsidR="00F91A7A" w:rsidRPr="008504A1">
        <w:rPr>
          <w:rFonts w:ascii="Times New Roman" w:hAnsi="Times New Roman" w:cs="Times New Roman"/>
          <w:sz w:val="28"/>
          <w:szCs w:val="28"/>
          <w:u w:val="single"/>
        </w:rPr>
        <w:t xml:space="preserve">These substantive prayers in both </w:t>
      </w:r>
      <w:r w:rsidR="00F91A7A" w:rsidRPr="00796754">
        <w:rPr>
          <w:rFonts w:ascii="Times New Roman" w:hAnsi="Times New Roman" w:cs="Times New Roman"/>
          <w:b/>
          <w:bCs/>
          <w:i/>
          <w:iCs/>
          <w:sz w:val="28"/>
          <w:szCs w:val="28"/>
          <w:u w:val="single"/>
        </w:rPr>
        <w:t>CIV/APN/0169/2022</w:t>
      </w:r>
      <w:r w:rsidR="00F91A7A" w:rsidRPr="008504A1">
        <w:rPr>
          <w:rFonts w:ascii="Times New Roman" w:hAnsi="Times New Roman" w:cs="Times New Roman"/>
          <w:sz w:val="28"/>
          <w:szCs w:val="28"/>
          <w:u w:val="single"/>
        </w:rPr>
        <w:t xml:space="preserve"> and </w:t>
      </w:r>
      <w:r w:rsidR="00F91A7A" w:rsidRPr="00796754">
        <w:rPr>
          <w:rFonts w:ascii="Times New Roman" w:hAnsi="Times New Roman" w:cs="Times New Roman"/>
          <w:b/>
          <w:bCs/>
          <w:i/>
          <w:iCs/>
          <w:sz w:val="28"/>
          <w:szCs w:val="28"/>
          <w:u w:val="single"/>
        </w:rPr>
        <w:t>CIV/APN/0170/2022</w:t>
      </w:r>
      <w:r w:rsidR="00F91A7A" w:rsidRPr="008504A1">
        <w:rPr>
          <w:rFonts w:ascii="Times New Roman" w:hAnsi="Times New Roman" w:cs="Times New Roman"/>
          <w:sz w:val="28"/>
          <w:szCs w:val="28"/>
          <w:u w:val="single"/>
        </w:rPr>
        <w:t xml:space="preserve"> are essentially the same.</w:t>
      </w:r>
      <w:r w:rsidR="00F91A7A" w:rsidRPr="008E6308">
        <w:rPr>
          <w:rFonts w:ascii="Times New Roman" w:hAnsi="Times New Roman" w:cs="Times New Roman"/>
          <w:sz w:val="28"/>
          <w:szCs w:val="28"/>
        </w:rPr>
        <w:t xml:space="preserve"> </w:t>
      </w:r>
      <w:r w:rsidR="00F91A7A" w:rsidRPr="008504A1">
        <w:rPr>
          <w:rFonts w:ascii="Times New Roman" w:hAnsi="Times New Roman" w:cs="Times New Roman"/>
          <w:sz w:val="28"/>
          <w:szCs w:val="28"/>
        </w:rPr>
        <w:t xml:space="preserve">I hereinafter annex Notice of Motion in </w:t>
      </w:r>
      <w:r w:rsidR="00F91A7A" w:rsidRPr="00796754">
        <w:rPr>
          <w:rFonts w:ascii="Times New Roman" w:hAnsi="Times New Roman" w:cs="Times New Roman"/>
          <w:b/>
          <w:bCs/>
          <w:i/>
          <w:iCs/>
          <w:sz w:val="28"/>
          <w:szCs w:val="28"/>
        </w:rPr>
        <w:t>CIV/APN/0169/</w:t>
      </w:r>
      <w:r w:rsidRPr="00796754">
        <w:rPr>
          <w:rFonts w:ascii="Times New Roman" w:hAnsi="Times New Roman" w:cs="Times New Roman"/>
          <w:b/>
          <w:bCs/>
          <w:i/>
          <w:iCs/>
          <w:sz w:val="28"/>
          <w:szCs w:val="28"/>
        </w:rPr>
        <w:t>2022</w:t>
      </w:r>
      <w:r w:rsidRPr="008504A1">
        <w:rPr>
          <w:rFonts w:ascii="Times New Roman" w:hAnsi="Times New Roman" w:cs="Times New Roman"/>
          <w:sz w:val="28"/>
          <w:szCs w:val="28"/>
        </w:rPr>
        <w:t xml:space="preserve"> for ease of reference as “</w:t>
      </w:r>
      <w:r w:rsidR="00F91A7A" w:rsidRPr="008504A1">
        <w:rPr>
          <w:rFonts w:ascii="Times New Roman" w:hAnsi="Times New Roman" w:cs="Times New Roman"/>
          <w:sz w:val="28"/>
          <w:szCs w:val="28"/>
        </w:rPr>
        <w:t xml:space="preserve">LMPS 0”. </w:t>
      </w:r>
      <w:r w:rsidR="00F91A7A" w:rsidRPr="008504A1">
        <w:rPr>
          <w:rFonts w:ascii="Times New Roman" w:hAnsi="Times New Roman" w:cs="Times New Roman"/>
          <w:sz w:val="28"/>
          <w:szCs w:val="28"/>
        </w:rPr>
        <w:lastRenderedPageBreak/>
        <w:t>They are all founded on the fact that applicants were given show cause letter why they cannot be discharged from PTC.”</w:t>
      </w:r>
    </w:p>
    <w:p w14:paraId="7E883FE1" w14:textId="77777777" w:rsidR="00EB3375" w:rsidRPr="00EB3375" w:rsidRDefault="00EB3375" w:rsidP="00445FB3">
      <w:pPr>
        <w:spacing w:before="240" w:line="360" w:lineRule="auto"/>
        <w:ind w:left="720"/>
        <w:contextualSpacing/>
        <w:jc w:val="both"/>
        <w:rPr>
          <w:rFonts w:ascii="Times New Roman" w:hAnsi="Times New Roman" w:cs="Times New Roman"/>
          <w:sz w:val="24"/>
          <w:szCs w:val="24"/>
        </w:rPr>
      </w:pPr>
    </w:p>
    <w:p w14:paraId="125230A2" w14:textId="57A86207" w:rsidR="009B267D" w:rsidRPr="005706B3" w:rsidRDefault="00F91A7A" w:rsidP="008504A1">
      <w:pPr>
        <w:spacing w:before="240" w:line="360" w:lineRule="auto"/>
        <w:contextualSpacing/>
        <w:jc w:val="both"/>
        <w:rPr>
          <w:rFonts w:ascii="Times New Roman" w:hAnsi="Times New Roman" w:cs="Times New Roman"/>
          <w:sz w:val="28"/>
          <w:szCs w:val="28"/>
        </w:rPr>
      </w:pPr>
      <w:r w:rsidRPr="008504A1">
        <w:rPr>
          <w:rFonts w:ascii="Times New Roman" w:hAnsi="Times New Roman" w:cs="Times New Roman"/>
          <w:sz w:val="28"/>
          <w:szCs w:val="28"/>
        </w:rPr>
        <w:t>[1</w:t>
      </w:r>
      <w:r w:rsidR="00644F6A">
        <w:rPr>
          <w:rFonts w:ascii="Times New Roman" w:hAnsi="Times New Roman" w:cs="Times New Roman"/>
          <w:sz w:val="28"/>
          <w:szCs w:val="28"/>
        </w:rPr>
        <w:t>4</w:t>
      </w:r>
      <w:r w:rsidRPr="008504A1">
        <w:rPr>
          <w:rFonts w:ascii="Times New Roman" w:hAnsi="Times New Roman" w:cs="Times New Roman"/>
          <w:sz w:val="28"/>
          <w:szCs w:val="28"/>
        </w:rPr>
        <w:t xml:space="preserve">] I have no doubt in my mind that the respondent’s point </w:t>
      </w:r>
      <w:r w:rsidRPr="00796754">
        <w:rPr>
          <w:rFonts w:ascii="Times New Roman" w:hAnsi="Times New Roman" w:cs="Times New Roman"/>
          <w:i/>
          <w:iCs/>
          <w:sz w:val="28"/>
          <w:szCs w:val="28"/>
        </w:rPr>
        <w:t>in limine</w:t>
      </w:r>
      <w:r w:rsidRPr="008504A1">
        <w:rPr>
          <w:rFonts w:ascii="Times New Roman" w:hAnsi="Times New Roman" w:cs="Times New Roman"/>
          <w:sz w:val="28"/>
          <w:szCs w:val="28"/>
        </w:rPr>
        <w:t xml:space="preserve"> of </w:t>
      </w:r>
      <w:r w:rsidRPr="00F0511F">
        <w:rPr>
          <w:rFonts w:ascii="Times New Roman" w:hAnsi="Times New Roman" w:cs="Times New Roman"/>
          <w:i/>
          <w:iCs/>
          <w:sz w:val="28"/>
          <w:szCs w:val="28"/>
        </w:rPr>
        <w:t>lis pendens</w:t>
      </w:r>
      <w:r w:rsidRPr="008504A1">
        <w:rPr>
          <w:rFonts w:ascii="Times New Roman" w:hAnsi="Times New Roman" w:cs="Times New Roman"/>
          <w:sz w:val="28"/>
          <w:szCs w:val="28"/>
        </w:rPr>
        <w:t xml:space="preserve"> is improperly taken because the respondent has lost sight of the fac</w:t>
      </w:r>
      <w:r w:rsidR="0003482D" w:rsidRPr="008504A1">
        <w:rPr>
          <w:rFonts w:ascii="Times New Roman" w:hAnsi="Times New Roman" w:cs="Times New Roman"/>
          <w:sz w:val="28"/>
          <w:szCs w:val="28"/>
        </w:rPr>
        <w:t>t that, this matter is not based</w:t>
      </w:r>
      <w:r w:rsidRPr="008504A1">
        <w:rPr>
          <w:rFonts w:ascii="Times New Roman" w:hAnsi="Times New Roman" w:cs="Times New Roman"/>
          <w:sz w:val="28"/>
          <w:szCs w:val="28"/>
        </w:rPr>
        <w:t xml:space="preserve"> on the same cause of action as in </w:t>
      </w:r>
      <w:r w:rsidRPr="00F0511F">
        <w:rPr>
          <w:rFonts w:ascii="Times New Roman" w:hAnsi="Times New Roman" w:cs="Times New Roman"/>
          <w:b/>
          <w:bCs/>
          <w:sz w:val="28"/>
          <w:szCs w:val="28"/>
        </w:rPr>
        <w:t>CIV/APN/0169/2022</w:t>
      </w:r>
      <w:r w:rsidRPr="008504A1">
        <w:rPr>
          <w:rFonts w:ascii="Times New Roman" w:hAnsi="Times New Roman" w:cs="Times New Roman"/>
          <w:sz w:val="28"/>
          <w:szCs w:val="28"/>
        </w:rPr>
        <w:t xml:space="preserve">. </w:t>
      </w:r>
      <w:r w:rsidR="00866AEE" w:rsidRPr="008504A1">
        <w:rPr>
          <w:rFonts w:ascii="Times New Roman" w:hAnsi="Times New Roman" w:cs="Times New Roman"/>
          <w:sz w:val="28"/>
          <w:szCs w:val="28"/>
        </w:rPr>
        <w:t xml:space="preserve">The legal requisites for </w:t>
      </w:r>
      <w:r w:rsidR="00866AEE" w:rsidRPr="00F0511F">
        <w:rPr>
          <w:rFonts w:ascii="Times New Roman" w:hAnsi="Times New Roman" w:cs="Times New Roman"/>
          <w:i/>
          <w:iCs/>
          <w:sz w:val="28"/>
          <w:szCs w:val="28"/>
        </w:rPr>
        <w:t>lis pendens</w:t>
      </w:r>
      <w:r w:rsidR="00866AEE" w:rsidRPr="008504A1">
        <w:rPr>
          <w:rFonts w:ascii="Times New Roman" w:hAnsi="Times New Roman" w:cs="Times New Roman"/>
          <w:sz w:val="28"/>
          <w:szCs w:val="28"/>
        </w:rPr>
        <w:t xml:space="preserve"> are that the two actions must have been between the sa</w:t>
      </w:r>
      <w:r w:rsidR="0003482D" w:rsidRPr="008504A1">
        <w:rPr>
          <w:rFonts w:ascii="Times New Roman" w:hAnsi="Times New Roman" w:cs="Times New Roman"/>
          <w:sz w:val="28"/>
          <w:szCs w:val="28"/>
        </w:rPr>
        <w:t>me parties</w:t>
      </w:r>
      <w:r w:rsidR="00866AEE" w:rsidRPr="008504A1">
        <w:rPr>
          <w:rFonts w:ascii="Times New Roman" w:hAnsi="Times New Roman" w:cs="Times New Roman"/>
          <w:sz w:val="28"/>
          <w:szCs w:val="28"/>
        </w:rPr>
        <w:t xml:space="preserve">, concerning the same subject matter and founded on the same cause of action. The </w:t>
      </w:r>
      <w:r w:rsidR="0003482D" w:rsidRPr="008504A1">
        <w:rPr>
          <w:rFonts w:ascii="Times New Roman" w:hAnsi="Times New Roman" w:cs="Times New Roman"/>
          <w:sz w:val="28"/>
          <w:szCs w:val="28"/>
        </w:rPr>
        <w:t>respondents’</w:t>
      </w:r>
      <w:r w:rsidR="00866AEE" w:rsidRPr="008504A1">
        <w:rPr>
          <w:rFonts w:ascii="Times New Roman" w:hAnsi="Times New Roman" w:cs="Times New Roman"/>
          <w:sz w:val="28"/>
          <w:szCs w:val="28"/>
        </w:rPr>
        <w:t xml:space="preserve"> plea of </w:t>
      </w:r>
      <w:r w:rsidR="00866AEE" w:rsidRPr="00F0511F">
        <w:rPr>
          <w:rFonts w:ascii="Times New Roman" w:hAnsi="Times New Roman" w:cs="Times New Roman"/>
          <w:i/>
          <w:iCs/>
          <w:sz w:val="28"/>
          <w:szCs w:val="28"/>
        </w:rPr>
        <w:t>lis pendens</w:t>
      </w:r>
      <w:r w:rsidR="00866AEE" w:rsidRPr="008504A1">
        <w:rPr>
          <w:rFonts w:ascii="Times New Roman" w:hAnsi="Times New Roman" w:cs="Times New Roman"/>
          <w:sz w:val="28"/>
          <w:szCs w:val="28"/>
        </w:rPr>
        <w:t xml:space="preserve"> is based on the prayers that the applicants are seeking before this court as fully demonstrated above. In the case of </w:t>
      </w:r>
      <w:r w:rsidR="00866AEE" w:rsidRPr="00796754">
        <w:rPr>
          <w:rFonts w:ascii="Times New Roman" w:hAnsi="Times New Roman" w:cs="Times New Roman"/>
          <w:b/>
          <w:bCs/>
          <w:i/>
          <w:iCs/>
          <w:sz w:val="28"/>
          <w:szCs w:val="28"/>
        </w:rPr>
        <w:t>Willem Daniel Knoesen</w:t>
      </w:r>
      <w:r w:rsidR="00E75403">
        <w:rPr>
          <w:rStyle w:val="FootnoteReference"/>
          <w:rFonts w:ascii="Times New Roman" w:hAnsi="Times New Roman" w:cs="Times New Roman"/>
          <w:b/>
          <w:bCs/>
          <w:i/>
          <w:iCs/>
          <w:sz w:val="28"/>
          <w:szCs w:val="28"/>
        </w:rPr>
        <w:footnoteReference w:id="15"/>
      </w:r>
      <w:r w:rsidR="00E75403">
        <w:rPr>
          <w:rFonts w:ascii="Times New Roman" w:hAnsi="Times New Roman" w:cs="Times New Roman"/>
          <w:sz w:val="28"/>
          <w:szCs w:val="28"/>
        </w:rPr>
        <w:t xml:space="preserve">, </w:t>
      </w:r>
      <w:r w:rsidR="00866AEE" w:rsidRPr="00F0511F">
        <w:rPr>
          <w:rFonts w:ascii="Times New Roman" w:hAnsi="Times New Roman" w:cs="Times New Roman"/>
          <w:b/>
          <w:bCs/>
          <w:sz w:val="28"/>
          <w:szCs w:val="28"/>
        </w:rPr>
        <w:t>Opperman J</w:t>
      </w:r>
      <w:r w:rsidR="00866AEE" w:rsidRPr="008504A1">
        <w:rPr>
          <w:rFonts w:ascii="Times New Roman" w:hAnsi="Times New Roman" w:cs="Times New Roman"/>
          <w:sz w:val="28"/>
          <w:szCs w:val="28"/>
        </w:rPr>
        <w:t xml:space="preserve"> quoted with approval the words of Lord Esher, where he defined the cause of action to be every fact which it would be necessary for the plaintiff to prove if</w:t>
      </w:r>
      <w:r w:rsidR="00A27462" w:rsidRPr="008504A1">
        <w:rPr>
          <w:rFonts w:ascii="Times New Roman" w:hAnsi="Times New Roman" w:cs="Times New Roman"/>
          <w:sz w:val="28"/>
          <w:szCs w:val="28"/>
        </w:rPr>
        <w:t xml:space="preserve"> traversed, in order to support his right to the judgment of the court. It does not comprise every piece of evidence which is necessary to prove each fact, but every fact which is necessary to be proved. This court therefore holds a strong view that the cause of action in this matter, is the discharge of the applicants from the Police Training College. This is the fact on which the applicants </w:t>
      </w:r>
      <w:r w:rsidR="00974C90" w:rsidRPr="008504A1">
        <w:rPr>
          <w:rFonts w:ascii="Times New Roman" w:hAnsi="Times New Roman" w:cs="Times New Roman"/>
          <w:sz w:val="28"/>
          <w:szCs w:val="28"/>
        </w:rPr>
        <w:t>claim,</w:t>
      </w:r>
      <w:r w:rsidR="00A27462" w:rsidRPr="008504A1">
        <w:rPr>
          <w:rFonts w:ascii="Times New Roman" w:hAnsi="Times New Roman" w:cs="Times New Roman"/>
          <w:sz w:val="28"/>
          <w:szCs w:val="28"/>
        </w:rPr>
        <w:t xml:space="preserve"> or cause of action is founded on. Whereas in the other matter the cause of action in that matter was founded on the fact that the 1</w:t>
      </w:r>
      <w:r w:rsidR="00A27462" w:rsidRPr="008504A1">
        <w:rPr>
          <w:rFonts w:ascii="Times New Roman" w:hAnsi="Times New Roman" w:cs="Times New Roman"/>
          <w:sz w:val="28"/>
          <w:szCs w:val="28"/>
          <w:vertAlign w:val="superscript"/>
        </w:rPr>
        <w:t>st</w:t>
      </w:r>
      <w:r w:rsidR="00A27462" w:rsidRPr="008504A1">
        <w:rPr>
          <w:rFonts w:ascii="Times New Roman" w:hAnsi="Times New Roman" w:cs="Times New Roman"/>
          <w:sz w:val="28"/>
          <w:szCs w:val="28"/>
        </w:rPr>
        <w:t xml:space="preserve"> respondent had failed to provide the applicants with further particulars that they had requested, and they approached the court to compel the 1</w:t>
      </w:r>
      <w:r w:rsidR="00A27462" w:rsidRPr="008504A1">
        <w:rPr>
          <w:rFonts w:ascii="Times New Roman" w:hAnsi="Times New Roman" w:cs="Times New Roman"/>
          <w:sz w:val="28"/>
          <w:szCs w:val="28"/>
          <w:vertAlign w:val="superscript"/>
        </w:rPr>
        <w:t>st</w:t>
      </w:r>
      <w:r w:rsidR="00A27462" w:rsidRPr="008504A1">
        <w:rPr>
          <w:rFonts w:ascii="Times New Roman" w:hAnsi="Times New Roman" w:cs="Times New Roman"/>
          <w:sz w:val="28"/>
          <w:szCs w:val="28"/>
        </w:rPr>
        <w:t xml:space="preserve"> respondent to provide them with further particulars so requested. It should be stated that when the matter in </w:t>
      </w:r>
      <w:r w:rsidR="00A27462" w:rsidRPr="00796754">
        <w:rPr>
          <w:rFonts w:ascii="Times New Roman" w:hAnsi="Times New Roman" w:cs="Times New Roman"/>
          <w:b/>
          <w:bCs/>
          <w:i/>
          <w:iCs/>
          <w:sz w:val="28"/>
          <w:szCs w:val="28"/>
        </w:rPr>
        <w:t>CIV/APN/0169/2022</w:t>
      </w:r>
      <w:r w:rsidR="003B2A1F" w:rsidRPr="008504A1">
        <w:rPr>
          <w:rFonts w:ascii="Times New Roman" w:hAnsi="Times New Roman" w:cs="Times New Roman"/>
          <w:sz w:val="28"/>
          <w:szCs w:val="28"/>
        </w:rPr>
        <w:t xml:space="preserve"> was instituted</w:t>
      </w:r>
      <w:r w:rsidR="00A27462" w:rsidRPr="008504A1">
        <w:rPr>
          <w:rFonts w:ascii="Times New Roman" w:hAnsi="Times New Roman" w:cs="Times New Roman"/>
          <w:sz w:val="28"/>
          <w:szCs w:val="28"/>
        </w:rPr>
        <w:t xml:space="preserve">, the first respondent had not yet discharged the applicants or terminated their appointment as Police Recruits. This difference in the set of facts clearly point to one thing </w:t>
      </w:r>
      <w:r w:rsidR="003B2A1F" w:rsidRPr="008504A1">
        <w:rPr>
          <w:rFonts w:ascii="Times New Roman" w:hAnsi="Times New Roman" w:cs="Times New Roman"/>
          <w:sz w:val="28"/>
          <w:szCs w:val="28"/>
        </w:rPr>
        <w:t>that the cause of action in the</w:t>
      </w:r>
      <w:r w:rsidR="00A27462" w:rsidRPr="008504A1">
        <w:rPr>
          <w:rFonts w:ascii="Times New Roman" w:hAnsi="Times New Roman" w:cs="Times New Roman"/>
          <w:sz w:val="28"/>
          <w:szCs w:val="28"/>
        </w:rPr>
        <w:t xml:space="preserve"> present</w:t>
      </w:r>
      <w:r w:rsidR="003B2A1F" w:rsidRPr="008504A1">
        <w:rPr>
          <w:rFonts w:ascii="Times New Roman" w:hAnsi="Times New Roman" w:cs="Times New Roman"/>
          <w:sz w:val="28"/>
          <w:szCs w:val="28"/>
        </w:rPr>
        <w:t xml:space="preserve"> case</w:t>
      </w:r>
      <w:r w:rsidR="00A27462" w:rsidRPr="008504A1">
        <w:rPr>
          <w:rFonts w:ascii="Times New Roman" w:hAnsi="Times New Roman" w:cs="Times New Roman"/>
          <w:sz w:val="28"/>
          <w:szCs w:val="28"/>
        </w:rPr>
        <w:t xml:space="preserve"> is totally different from the cause of action in the other matter.</w:t>
      </w:r>
      <w:r w:rsidR="00866AEE" w:rsidRPr="008504A1">
        <w:rPr>
          <w:rFonts w:ascii="Times New Roman" w:hAnsi="Times New Roman" w:cs="Times New Roman"/>
          <w:sz w:val="28"/>
          <w:szCs w:val="28"/>
        </w:rPr>
        <w:t xml:space="preserve"> </w:t>
      </w:r>
      <w:r w:rsidR="00A27462" w:rsidRPr="008504A1">
        <w:rPr>
          <w:rFonts w:ascii="Times New Roman" w:hAnsi="Times New Roman" w:cs="Times New Roman"/>
          <w:sz w:val="28"/>
          <w:szCs w:val="28"/>
        </w:rPr>
        <w:t xml:space="preserve">It is on the basis of these reasons that this court holds </w:t>
      </w:r>
      <w:r w:rsidR="00A27462" w:rsidRPr="008504A1">
        <w:rPr>
          <w:rFonts w:ascii="Times New Roman" w:hAnsi="Times New Roman" w:cs="Times New Roman"/>
          <w:sz w:val="28"/>
          <w:szCs w:val="28"/>
        </w:rPr>
        <w:lastRenderedPageBreak/>
        <w:t xml:space="preserve">that the point </w:t>
      </w:r>
      <w:r w:rsidR="00A27462" w:rsidRPr="00796754">
        <w:rPr>
          <w:rFonts w:ascii="Times New Roman" w:hAnsi="Times New Roman" w:cs="Times New Roman"/>
          <w:i/>
          <w:iCs/>
          <w:sz w:val="28"/>
          <w:szCs w:val="28"/>
        </w:rPr>
        <w:t>in limine</w:t>
      </w:r>
      <w:r w:rsidR="00A27462" w:rsidRPr="008504A1">
        <w:rPr>
          <w:rFonts w:ascii="Times New Roman" w:hAnsi="Times New Roman" w:cs="Times New Roman"/>
          <w:sz w:val="28"/>
          <w:szCs w:val="28"/>
        </w:rPr>
        <w:t xml:space="preserve"> of </w:t>
      </w:r>
      <w:r w:rsidR="00A27462" w:rsidRPr="004C384B">
        <w:rPr>
          <w:rFonts w:ascii="Times New Roman" w:hAnsi="Times New Roman" w:cs="Times New Roman"/>
          <w:i/>
          <w:iCs/>
          <w:sz w:val="28"/>
          <w:szCs w:val="28"/>
        </w:rPr>
        <w:t>lis pendens</w:t>
      </w:r>
      <w:r w:rsidR="00A27462" w:rsidRPr="008504A1">
        <w:rPr>
          <w:rFonts w:ascii="Times New Roman" w:hAnsi="Times New Roman" w:cs="Times New Roman"/>
          <w:sz w:val="28"/>
          <w:szCs w:val="28"/>
        </w:rPr>
        <w:t xml:space="preserve"> was improperly taken and </w:t>
      </w:r>
      <w:r w:rsidR="00E91DC8" w:rsidRPr="008504A1">
        <w:rPr>
          <w:rFonts w:ascii="Times New Roman" w:hAnsi="Times New Roman" w:cs="Times New Roman"/>
          <w:sz w:val="28"/>
          <w:szCs w:val="28"/>
        </w:rPr>
        <w:t>is accordingly dismissed.</w:t>
      </w:r>
    </w:p>
    <w:p w14:paraId="5523041C" w14:textId="3E620C2B" w:rsidR="009B267D" w:rsidRDefault="009B267D" w:rsidP="008504A1">
      <w:pPr>
        <w:spacing w:before="240" w:line="360" w:lineRule="auto"/>
        <w:contextualSpacing/>
        <w:jc w:val="both"/>
        <w:rPr>
          <w:rFonts w:ascii="Times New Roman" w:hAnsi="Times New Roman" w:cs="Times New Roman"/>
          <w:sz w:val="16"/>
          <w:szCs w:val="16"/>
        </w:rPr>
      </w:pPr>
    </w:p>
    <w:p w14:paraId="52799C38" w14:textId="77777777" w:rsidR="00445FB3" w:rsidRPr="009B267D" w:rsidRDefault="00445FB3" w:rsidP="008504A1">
      <w:pPr>
        <w:spacing w:before="240" w:line="360" w:lineRule="auto"/>
        <w:contextualSpacing/>
        <w:jc w:val="both"/>
        <w:rPr>
          <w:rFonts w:ascii="Times New Roman" w:hAnsi="Times New Roman" w:cs="Times New Roman"/>
          <w:sz w:val="16"/>
          <w:szCs w:val="16"/>
        </w:rPr>
      </w:pPr>
    </w:p>
    <w:p w14:paraId="3B617DC3" w14:textId="0A3F8F41" w:rsidR="00FC5225" w:rsidRPr="00784171" w:rsidRDefault="00784171" w:rsidP="008504A1">
      <w:pPr>
        <w:spacing w:before="240" w:line="360" w:lineRule="auto"/>
        <w:contextualSpacing/>
        <w:jc w:val="both"/>
        <w:rPr>
          <w:rFonts w:ascii="Times New Roman" w:hAnsi="Times New Roman" w:cs="Times New Roman"/>
          <w:sz w:val="28"/>
          <w:szCs w:val="28"/>
        </w:rPr>
      </w:pPr>
      <w:r w:rsidRPr="00784171">
        <w:rPr>
          <w:rFonts w:ascii="Times New Roman" w:hAnsi="Times New Roman" w:cs="Times New Roman"/>
          <w:b/>
          <w:sz w:val="28"/>
          <w:szCs w:val="28"/>
        </w:rPr>
        <w:t>MERITS</w:t>
      </w:r>
    </w:p>
    <w:p w14:paraId="262288A5" w14:textId="407945AC" w:rsidR="0088006B" w:rsidRDefault="00FC5225" w:rsidP="008504A1">
      <w:pPr>
        <w:spacing w:before="240" w:line="360" w:lineRule="auto"/>
        <w:contextualSpacing/>
        <w:jc w:val="both"/>
        <w:rPr>
          <w:rFonts w:ascii="Times New Roman" w:hAnsi="Times New Roman" w:cs="Times New Roman"/>
          <w:sz w:val="28"/>
          <w:szCs w:val="28"/>
        </w:rPr>
      </w:pPr>
      <w:r w:rsidRPr="008504A1">
        <w:rPr>
          <w:rFonts w:ascii="Times New Roman" w:hAnsi="Times New Roman" w:cs="Times New Roman"/>
          <w:sz w:val="28"/>
          <w:szCs w:val="28"/>
        </w:rPr>
        <w:t>[1</w:t>
      </w:r>
      <w:r w:rsidR="00644F6A">
        <w:rPr>
          <w:rFonts w:ascii="Times New Roman" w:hAnsi="Times New Roman" w:cs="Times New Roman"/>
          <w:sz w:val="28"/>
          <w:szCs w:val="28"/>
        </w:rPr>
        <w:t>5</w:t>
      </w:r>
      <w:r w:rsidRPr="008504A1">
        <w:rPr>
          <w:rFonts w:ascii="Times New Roman" w:hAnsi="Times New Roman" w:cs="Times New Roman"/>
          <w:sz w:val="28"/>
          <w:szCs w:val="28"/>
        </w:rPr>
        <w:t xml:space="preserve">] Before I deal with the merits in this matter, I would like to deal with the Interim Court Order in </w:t>
      </w:r>
      <w:r w:rsidRPr="00796754">
        <w:rPr>
          <w:rFonts w:ascii="Times New Roman" w:hAnsi="Times New Roman" w:cs="Times New Roman"/>
          <w:b/>
          <w:i/>
          <w:iCs/>
          <w:sz w:val="28"/>
          <w:szCs w:val="28"/>
        </w:rPr>
        <w:t>CIV/APN/0169/2022</w:t>
      </w:r>
      <w:r w:rsidRPr="00796754">
        <w:rPr>
          <w:rFonts w:ascii="Times New Roman" w:hAnsi="Times New Roman" w:cs="Times New Roman"/>
          <w:i/>
          <w:iCs/>
          <w:sz w:val="28"/>
          <w:szCs w:val="28"/>
        </w:rPr>
        <w:t>,</w:t>
      </w:r>
      <w:r w:rsidRPr="008504A1">
        <w:rPr>
          <w:rFonts w:ascii="Times New Roman" w:hAnsi="Times New Roman" w:cs="Times New Roman"/>
          <w:sz w:val="28"/>
          <w:szCs w:val="28"/>
        </w:rPr>
        <w:t xml:space="preserve"> and the conduct of the Police in so far as this Interim Court Order is concerned. I have already given the background of this Interim Court Order, especially the orders that were granted by this court and the dates on which the said orders were granted. The court at this stage will deal with the conduct of the 1</w:t>
      </w:r>
      <w:r w:rsidRPr="008504A1">
        <w:rPr>
          <w:rFonts w:ascii="Times New Roman" w:hAnsi="Times New Roman" w:cs="Times New Roman"/>
          <w:sz w:val="28"/>
          <w:szCs w:val="28"/>
          <w:vertAlign w:val="superscript"/>
        </w:rPr>
        <w:t xml:space="preserve">st </w:t>
      </w:r>
      <w:r w:rsidR="00D01D06" w:rsidRPr="008504A1">
        <w:rPr>
          <w:rFonts w:ascii="Times New Roman" w:hAnsi="Times New Roman" w:cs="Times New Roman"/>
          <w:sz w:val="28"/>
          <w:szCs w:val="28"/>
        </w:rPr>
        <w:t>respondent,</w:t>
      </w:r>
      <w:r w:rsidRPr="008504A1">
        <w:rPr>
          <w:rFonts w:ascii="Times New Roman" w:hAnsi="Times New Roman" w:cs="Times New Roman"/>
          <w:sz w:val="28"/>
          <w:szCs w:val="28"/>
        </w:rPr>
        <w:t xml:space="preserve"> the </w:t>
      </w:r>
      <w:r w:rsidR="00D01D06" w:rsidRPr="008504A1">
        <w:rPr>
          <w:rFonts w:ascii="Times New Roman" w:hAnsi="Times New Roman" w:cs="Times New Roman"/>
          <w:sz w:val="28"/>
          <w:szCs w:val="28"/>
        </w:rPr>
        <w:t>averments of the Deputy Sheriff in the Return of Service and the supporting affidavit.</w:t>
      </w:r>
    </w:p>
    <w:p w14:paraId="15E0DD83" w14:textId="77777777" w:rsidR="00974C90" w:rsidRPr="00EB3375" w:rsidRDefault="00974C90" w:rsidP="008504A1">
      <w:pPr>
        <w:spacing w:before="240" w:line="360" w:lineRule="auto"/>
        <w:contextualSpacing/>
        <w:jc w:val="both"/>
        <w:rPr>
          <w:rFonts w:ascii="Times New Roman" w:hAnsi="Times New Roman" w:cs="Times New Roman"/>
          <w:sz w:val="24"/>
          <w:szCs w:val="24"/>
        </w:rPr>
      </w:pPr>
    </w:p>
    <w:p w14:paraId="6E9EAD93" w14:textId="5BD71FEE" w:rsidR="00D01D06" w:rsidRPr="00685020" w:rsidRDefault="00685020" w:rsidP="008504A1">
      <w:pPr>
        <w:spacing w:before="240" w:line="360" w:lineRule="auto"/>
        <w:contextualSpacing/>
        <w:jc w:val="both"/>
        <w:rPr>
          <w:rFonts w:ascii="Times New Roman" w:hAnsi="Times New Roman" w:cs="Times New Roman"/>
          <w:sz w:val="28"/>
          <w:szCs w:val="28"/>
        </w:rPr>
      </w:pPr>
      <w:r w:rsidRPr="00685020">
        <w:rPr>
          <w:rFonts w:ascii="Times New Roman" w:hAnsi="Times New Roman" w:cs="Times New Roman"/>
          <w:b/>
          <w:sz w:val="28"/>
          <w:szCs w:val="28"/>
        </w:rPr>
        <w:t>RETURN OF SERVICE:</w:t>
      </w:r>
    </w:p>
    <w:p w14:paraId="5875C913" w14:textId="53F8A69F" w:rsidR="00D01D06" w:rsidRDefault="00D01D06" w:rsidP="008504A1">
      <w:pPr>
        <w:spacing w:before="240" w:line="360" w:lineRule="auto"/>
        <w:contextualSpacing/>
        <w:jc w:val="both"/>
        <w:rPr>
          <w:rFonts w:ascii="Times New Roman" w:hAnsi="Times New Roman" w:cs="Times New Roman"/>
          <w:sz w:val="28"/>
          <w:szCs w:val="28"/>
        </w:rPr>
      </w:pPr>
      <w:r w:rsidRPr="008504A1">
        <w:rPr>
          <w:rFonts w:ascii="Times New Roman" w:hAnsi="Times New Roman" w:cs="Times New Roman"/>
          <w:sz w:val="28"/>
          <w:szCs w:val="28"/>
        </w:rPr>
        <w:t>[1</w:t>
      </w:r>
      <w:r w:rsidR="00644F6A">
        <w:rPr>
          <w:rFonts w:ascii="Times New Roman" w:hAnsi="Times New Roman" w:cs="Times New Roman"/>
          <w:sz w:val="28"/>
          <w:szCs w:val="28"/>
        </w:rPr>
        <w:t>6</w:t>
      </w:r>
      <w:r w:rsidRPr="008504A1">
        <w:rPr>
          <w:rFonts w:ascii="Times New Roman" w:hAnsi="Times New Roman" w:cs="Times New Roman"/>
          <w:sz w:val="28"/>
          <w:szCs w:val="28"/>
        </w:rPr>
        <w:t xml:space="preserve">] The Deputy Sheriff, namely ‘Makabelo Ntoi records the following in the Return of Service in </w:t>
      </w:r>
      <w:r w:rsidRPr="00F0511F">
        <w:rPr>
          <w:rFonts w:ascii="Times New Roman" w:hAnsi="Times New Roman" w:cs="Times New Roman"/>
          <w:b/>
          <w:bCs/>
          <w:sz w:val="28"/>
          <w:szCs w:val="28"/>
        </w:rPr>
        <w:t>CIV/APN/0169/2022</w:t>
      </w:r>
      <w:r w:rsidR="006C0D5D" w:rsidRPr="008504A1">
        <w:rPr>
          <w:rFonts w:ascii="Times New Roman" w:hAnsi="Times New Roman" w:cs="Times New Roman"/>
          <w:sz w:val="28"/>
          <w:szCs w:val="28"/>
        </w:rPr>
        <w:t>:</w:t>
      </w:r>
    </w:p>
    <w:p w14:paraId="39AFD4AA" w14:textId="77777777" w:rsidR="00974C90" w:rsidRPr="00974C90" w:rsidRDefault="00974C90" w:rsidP="008504A1">
      <w:pPr>
        <w:spacing w:before="240" w:line="360" w:lineRule="auto"/>
        <w:contextualSpacing/>
        <w:jc w:val="both"/>
        <w:rPr>
          <w:rFonts w:ascii="Times New Roman" w:hAnsi="Times New Roman" w:cs="Times New Roman"/>
          <w:sz w:val="16"/>
          <w:szCs w:val="16"/>
        </w:rPr>
      </w:pPr>
    </w:p>
    <w:p w14:paraId="48CC85D4" w14:textId="331CB41C" w:rsidR="005706B3" w:rsidRPr="00DD4FA4" w:rsidRDefault="00753DA1" w:rsidP="00DD4FA4">
      <w:pPr>
        <w:spacing w:before="240" w:line="360" w:lineRule="auto"/>
        <w:ind w:left="720"/>
        <w:contextualSpacing/>
        <w:jc w:val="both"/>
        <w:rPr>
          <w:rFonts w:ascii="Times New Roman" w:hAnsi="Times New Roman" w:cs="Times New Roman"/>
          <w:sz w:val="28"/>
          <w:szCs w:val="28"/>
        </w:rPr>
      </w:pPr>
      <w:r w:rsidRPr="008504A1">
        <w:rPr>
          <w:rFonts w:ascii="Times New Roman" w:hAnsi="Times New Roman" w:cs="Times New Roman"/>
          <w:sz w:val="28"/>
          <w:szCs w:val="28"/>
        </w:rPr>
        <w:t>“</w:t>
      </w:r>
      <w:r w:rsidR="006C0D5D" w:rsidRPr="008504A1">
        <w:rPr>
          <w:rFonts w:ascii="Times New Roman" w:hAnsi="Times New Roman" w:cs="Times New Roman"/>
          <w:sz w:val="28"/>
          <w:szCs w:val="28"/>
        </w:rPr>
        <w:t>On the 24/05/22 at around 17:10 hours, I made an attempted service at Police Head Quarters to serve the 1</w:t>
      </w:r>
      <w:r w:rsidR="006C0D5D" w:rsidRPr="008504A1">
        <w:rPr>
          <w:rFonts w:ascii="Times New Roman" w:hAnsi="Times New Roman" w:cs="Times New Roman"/>
          <w:sz w:val="28"/>
          <w:szCs w:val="28"/>
          <w:vertAlign w:val="superscript"/>
        </w:rPr>
        <w:t>st</w:t>
      </w:r>
      <w:r w:rsidR="006C0D5D" w:rsidRPr="008504A1">
        <w:rPr>
          <w:rFonts w:ascii="Times New Roman" w:hAnsi="Times New Roman" w:cs="Times New Roman"/>
          <w:sz w:val="28"/>
          <w:szCs w:val="28"/>
        </w:rPr>
        <w:t xml:space="preserve"> respondent with the copies of Certificate of Urgency, Notice of Motion and Interim Court Order. </w:t>
      </w:r>
      <w:r w:rsidR="00FD378E" w:rsidRPr="008504A1">
        <w:rPr>
          <w:rFonts w:ascii="Times New Roman" w:hAnsi="Times New Roman" w:cs="Times New Roman"/>
          <w:sz w:val="28"/>
          <w:szCs w:val="28"/>
        </w:rPr>
        <w:t>However,</w:t>
      </w:r>
      <w:r w:rsidR="006C0D5D" w:rsidRPr="008504A1">
        <w:rPr>
          <w:rFonts w:ascii="Times New Roman" w:hAnsi="Times New Roman" w:cs="Times New Roman"/>
          <w:sz w:val="28"/>
          <w:szCs w:val="28"/>
        </w:rPr>
        <w:t xml:space="preserve"> Mr</w:t>
      </w:r>
      <w:r w:rsidR="003B2A1F" w:rsidRPr="008504A1">
        <w:rPr>
          <w:rFonts w:ascii="Times New Roman" w:hAnsi="Times New Roman" w:cs="Times New Roman"/>
          <w:sz w:val="28"/>
          <w:szCs w:val="28"/>
        </w:rPr>
        <w:t>. Nkuatsana who was on duty told</w:t>
      </w:r>
      <w:r w:rsidR="006C0D5D" w:rsidRPr="008504A1">
        <w:rPr>
          <w:rFonts w:ascii="Times New Roman" w:hAnsi="Times New Roman" w:cs="Times New Roman"/>
          <w:sz w:val="28"/>
          <w:szCs w:val="28"/>
        </w:rPr>
        <w:t xml:space="preserve"> me that Legal</w:t>
      </w:r>
      <w:r w:rsidR="003B2A1F" w:rsidRPr="008504A1">
        <w:rPr>
          <w:rFonts w:ascii="Times New Roman" w:hAnsi="Times New Roman" w:cs="Times New Roman"/>
          <w:sz w:val="28"/>
          <w:szCs w:val="28"/>
        </w:rPr>
        <w:t>- Compol (unknown to me</w:t>
      </w:r>
      <w:r w:rsidR="006C0D5D" w:rsidRPr="008504A1">
        <w:rPr>
          <w:rFonts w:ascii="Times New Roman" w:hAnsi="Times New Roman" w:cs="Times New Roman"/>
          <w:sz w:val="28"/>
          <w:szCs w:val="28"/>
        </w:rPr>
        <w:t xml:space="preserve">) whom he was talking to him telephonically, said he will only receive the </w:t>
      </w:r>
      <w:r w:rsidRPr="008504A1">
        <w:rPr>
          <w:rFonts w:ascii="Times New Roman" w:hAnsi="Times New Roman" w:cs="Times New Roman"/>
          <w:sz w:val="28"/>
          <w:szCs w:val="28"/>
        </w:rPr>
        <w:t xml:space="preserve">Interim </w:t>
      </w:r>
      <w:r w:rsidR="00FD378E" w:rsidRPr="008504A1">
        <w:rPr>
          <w:rFonts w:ascii="Times New Roman" w:hAnsi="Times New Roman" w:cs="Times New Roman"/>
          <w:sz w:val="28"/>
          <w:szCs w:val="28"/>
        </w:rPr>
        <w:t>Court Order on Friday (27/05/22</w:t>
      </w:r>
      <w:r w:rsidR="006C0D5D" w:rsidRPr="008504A1">
        <w:rPr>
          <w:rFonts w:ascii="Times New Roman" w:hAnsi="Times New Roman" w:cs="Times New Roman"/>
          <w:sz w:val="28"/>
          <w:szCs w:val="28"/>
        </w:rPr>
        <w:t>) since he was already off from work began at 12:30 hrs as his half day. On the 25/05/22 at 13:22</w:t>
      </w:r>
      <w:r w:rsidR="003B2A1F" w:rsidRPr="008504A1">
        <w:rPr>
          <w:rFonts w:ascii="Times New Roman" w:hAnsi="Times New Roman" w:cs="Times New Roman"/>
          <w:sz w:val="28"/>
          <w:szCs w:val="28"/>
        </w:rPr>
        <w:t xml:space="preserve"> hrs. I talked to Mr. Maiseng (ComPol Legal</w:t>
      </w:r>
      <w:r w:rsidR="006C0D5D" w:rsidRPr="008504A1">
        <w:rPr>
          <w:rFonts w:ascii="Times New Roman" w:hAnsi="Times New Roman" w:cs="Times New Roman"/>
          <w:sz w:val="28"/>
          <w:szCs w:val="28"/>
        </w:rPr>
        <w:t>) telephonically and explained the nature of the Interim Court Order. However</w:t>
      </w:r>
      <w:r w:rsidR="0030146E" w:rsidRPr="008504A1">
        <w:rPr>
          <w:rFonts w:ascii="Times New Roman" w:hAnsi="Times New Roman" w:cs="Times New Roman"/>
          <w:sz w:val="28"/>
          <w:szCs w:val="28"/>
        </w:rPr>
        <w:t>,</w:t>
      </w:r>
      <w:r w:rsidR="006C0D5D" w:rsidRPr="008504A1">
        <w:rPr>
          <w:rFonts w:ascii="Times New Roman" w:hAnsi="Times New Roman" w:cs="Times New Roman"/>
          <w:sz w:val="28"/>
          <w:szCs w:val="28"/>
        </w:rPr>
        <w:t xml:space="preserve"> he told me that he was away from Maseru, at </w:t>
      </w:r>
      <w:r w:rsidR="00FD378E" w:rsidRPr="008504A1">
        <w:rPr>
          <w:rFonts w:ascii="Times New Roman" w:hAnsi="Times New Roman" w:cs="Times New Roman"/>
          <w:sz w:val="28"/>
          <w:szCs w:val="28"/>
        </w:rPr>
        <w:t>rural</w:t>
      </w:r>
      <w:r w:rsidR="006C0D5D" w:rsidRPr="008504A1">
        <w:rPr>
          <w:rFonts w:ascii="Times New Roman" w:hAnsi="Times New Roman" w:cs="Times New Roman"/>
          <w:sz w:val="28"/>
          <w:szCs w:val="28"/>
        </w:rPr>
        <w:t xml:space="preserve"> but he will meet me later afternoon. When I called him again telephonically at around 14:58 hrs he did not pick up my calls for two times. I only served the copies at legal on the 27/05/2022”</w:t>
      </w:r>
      <w:r w:rsidR="00DD4FA4">
        <w:rPr>
          <w:rFonts w:ascii="Times New Roman" w:hAnsi="Times New Roman" w:cs="Times New Roman"/>
          <w:sz w:val="28"/>
          <w:szCs w:val="28"/>
        </w:rPr>
        <w:t>.</w:t>
      </w:r>
    </w:p>
    <w:p w14:paraId="10D33095" w14:textId="2D9E04CB" w:rsidR="006737F4" w:rsidRPr="0052624A" w:rsidRDefault="006737F4" w:rsidP="008504A1">
      <w:pPr>
        <w:spacing w:before="240" w:line="360" w:lineRule="auto"/>
        <w:contextualSpacing/>
        <w:jc w:val="both"/>
        <w:rPr>
          <w:rFonts w:ascii="Times New Roman" w:hAnsi="Times New Roman" w:cs="Times New Roman"/>
          <w:sz w:val="28"/>
          <w:szCs w:val="28"/>
        </w:rPr>
      </w:pPr>
      <w:r w:rsidRPr="0052624A">
        <w:rPr>
          <w:rFonts w:ascii="Times New Roman" w:hAnsi="Times New Roman" w:cs="Times New Roman"/>
          <w:b/>
          <w:sz w:val="28"/>
          <w:szCs w:val="28"/>
        </w:rPr>
        <w:lastRenderedPageBreak/>
        <w:t>Supporting Affidavit:</w:t>
      </w:r>
    </w:p>
    <w:p w14:paraId="10FB7F66" w14:textId="4282E4EA" w:rsidR="00974C90" w:rsidRPr="009B267D" w:rsidRDefault="006737F4" w:rsidP="008504A1">
      <w:pPr>
        <w:spacing w:before="240" w:line="360" w:lineRule="auto"/>
        <w:contextualSpacing/>
        <w:jc w:val="both"/>
        <w:rPr>
          <w:rFonts w:ascii="Times New Roman" w:hAnsi="Times New Roman" w:cs="Times New Roman"/>
          <w:sz w:val="28"/>
          <w:szCs w:val="28"/>
        </w:rPr>
      </w:pPr>
      <w:r w:rsidRPr="008504A1">
        <w:rPr>
          <w:rFonts w:ascii="Times New Roman" w:hAnsi="Times New Roman" w:cs="Times New Roman"/>
          <w:sz w:val="28"/>
          <w:szCs w:val="28"/>
        </w:rPr>
        <w:t>[1</w:t>
      </w:r>
      <w:r w:rsidR="00644F6A">
        <w:rPr>
          <w:rFonts w:ascii="Times New Roman" w:hAnsi="Times New Roman" w:cs="Times New Roman"/>
          <w:sz w:val="28"/>
          <w:szCs w:val="28"/>
        </w:rPr>
        <w:t>7</w:t>
      </w:r>
      <w:r w:rsidRPr="008504A1">
        <w:rPr>
          <w:rFonts w:ascii="Times New Roman" w:hAnsi="Times New Roman" w:cs="Times New Roman"/>
          <w:sz w:val="28"/>
          <w:szCs w:val="28"/>
        </w:rPr>
        <w:t xml:space="preserve">] The Deputy Sheriff has filed a supporting affidavit in this </w:t>
      </w:r>
      <w:r w:rsidR="00974C90" w:rsidRPr="008504A1">
        <w:rPr>
          <w:rFonts w:ascii="Times New Roman" w:hAnsi="Times New Roman" w:cs="Times New Roman"/>
          <w:sz w:val="28"/>
          <w:szCs w:val="28"/>
        </w:rPr>
        <w:t>matter,</w:t>
      </w:r>
      <w:r w:rsidRPr="008504A1">
        <w:rPr>
          <w:rFonts w:ascii="Times New Roman" w:hAnsi="Times New Roman" w:cs="Times New Roman"/>
          <w:sz w:val="28"/>
          <w:szCs w:val="28"/>
        </w:rPr>
        <w:t xml:space="preserve"> and she stated as follows at paragraph 1 of her affidavit:</w:t>
      </w:r>
    </w:p>
    <w:p w14:paraId="62D2E933" w14:textId="70D973D3" w:rsidR="00F46FA8" w:rsidRDefault="003B2A1F" w:rsidP="00847772">
      <w:pPr>
        <w:spacing w:before="240" w:line="360" w:lineRule="auto"/>
        <w:ind w:left="720"/>
        <w:contextualSpacing/>
        <w:jc w:val="both"/>
        <w:rPr>
          <w:rFonts w:ascii="Times New Roman" w:hAnsi="Times New Roman" w:cs="Times New Roman"/>
          <w:i/>
          <w:iCs/>
          <w:sz w:val="28"/>
          <w:szCs w:val="28"/>
        </w:rPr>
      </w:pPr>
      <w:r w:rsidRPr="008504A1">
        <w:rPr>
          <w:rFonts w:ascii="Times New Roman" w:hAnsi="Times New Roman" w:cs="Times New Roman"/>
          <w:sz w:val="28"/>
          <w:szCs w:val="28"/>
        </w:rPr>
        <w:t>“</w:t>
      </w:r>
      <w:r w:rsidR="006737F4" w:rsidRPr="008504A1">
        <w:rPr>
          <w:rFonts w:ascii="Times New Roman" w:hAnsi="Times New Roman" w:cs="Times New Roman"/>
          <w:sz w:val="28"/>
          <w:szCs w:val="28"/>
        </w:rPr>
        <w:t>I am Mosotho female adult and the Deputy Sheriff of this Honourab</w:t>
      </w:r>
      <w:r w:rsidR="00FD378E" w:rsidRPr="008504A1">
        <w:rPr>
          <w:rFonts w:ascii="Times New Roman" w:hAnsi="Times New Roman" w:cs="Times New Roman"/>
          <w:sz w:val="28"/>
          <w:szCs w:val="28"/>
        </w:rPr>
        <w:t>le Court. I was charged with serving</w:t>
      </w:r>
      <w:r w:rsidR="006737F4" w:rsidRPr="008504A1">
        <w:rPr>
          <w:rFonts w:ascii="Times New Roman" w:hAnsi="Times New Roman" w:cs="Times New Roman"/>
          <w:sz w:val="28"/>
          <w:szCs w:val="28"/>
        </w:rPr>
        <w:t xml:space="preserve"> the application in </w:t>
      </w:r>
      <w:r w:rsidR="006737F4" w:rsidRPr="005706B3">
        <w:rPr>
          <w:rFonts w:ascii="Times New Roman" w:hAnsi="Times New Roman" w:cs="Times New Roman"/>
          <w:b/>
          <w:bCs/>
          <w:i/>
          <w:iCs/>
          <w:sz w:val="28"/>
          <w:szCs w:val="28"/>
        </w:rPr>
        <w:t>CIV/APN/0169/2022</w:t>
      </w:r>
      <w:r w:rsidR="006737F4" w:rsidRPr="005706B3">
        <w:rPr>
          <w:rFonts w:ascii="Times New Roman" w:hAnsi="Times New Roman" w:cs="Times New Roman"/>
          <w:i/>
          <w:iCs/>
          <w:sz w:val="28"/>
          <w:szCs w:val="28"/>
        </w:rPr>
        <w:t>.”</w:t>
      </w:r>
    </w:p>
    <w:p w14:paraId="613D65A1" w14:textId="77777777" w:rsidR="00A556C4" w:rsidRPr="00EB3375" w:rsidRDefault="00A556C4" w:rsidP="00847772">
      <w:pPr>
        <w:spacing w:before="240" w:line="360" w:lineRule="auto"/>
        <w:ind w:left="720"/>
        <w:contextualSpacing/>
        <w:jc w:val="both"/>
        <w:rPr>
          <w:rFonts w:ascii="Times New Roman" w:hAnsi="Times New Roman" w:cs="Times New Roman"/>
          <w:sz w:val="24"/>
          <w:szCs w:val="24"/>
        </w:rPr>
      </w:pPr>
    </w:p>
    <w:p w14:paraId="50493EB7" w14:textId="77777777" w:rsidR="006737F4" w:rsidRDefault="006737F4" w:rsidP="00D12CFF">
      <w:pPr>
        <w:spacing w:before="240" w:line="360" w:lineRule="auto"/>
        <w:contextualSpacing/>
        <w:jc w:val="both"/>
        <w:rPr>
          <w:rFonts w:ascii="Times New Roman" w:hAnsi="Times New Roman" w:cs="Times New Roman"/>
          <w:b/>
          <w:sz w:val="28"/>
          <w:szCs w:val="28"/>
        </w:rPr>
      </w:pPr>
      <w:r w:rsidRPr="008504A1">
        <w:rPr>
          <w:rFonts w:ascii="Times New Roman" w:hAnsi="Times New Roman" w:cs="Times New Roman"/>
          <w:b/>
          <w:sz w:val="28"/>
          <w:szCs w:val="28"/>
        </w:rPr>
        <w:t>At Paragraph 3 the deputy sheriff states as follows:</w:t>
      </w:r>
    </w:p>
    <w:p w14:paraId="24F7CF9E" w14:textId="77777777" w:rsidR="00DB714B" w:rsidRPr="00DB714B" w:rsidRDefault="00DB714B" w:rsidP="00D12CFF">
      <w:pPr>
        <w:spacing w:before="240" w:line="360" w:lineRule="auto"/>
        <w:contextualSpacing/>
        <w:jc w:val="both"/>
        <w:rPr>
          <w:rFonts w:ascii="Times New Roman" w:hAnsi="Times New Roman" w:cs="Times New Roman"/>
          <w:b/>
          <w:sz w:val="16"/>
          <w:szCs w:val="16"/>
        </w:rPr>
      </w:pPr>
    </w:p>
    <w:p w14:paraId="51E4B1C5" w14:textId="77777777" w:rsidR="006737F4" w:rsidRDefault="003B2A1F" w:rsidP="002C7D62">
      <w:pPr>
        <w:spacing w:before="240" w:line="360" w:lineRule="auto"/>
        <w:ind w:left="720"/>
        <w:contextualSpacing/>
        <w:jc w:val="both"/>
        <w:rPr>
          <w:rFonts w:ascii="Times New Roman" w:hAnsi="Times New Roman" w:cs="Times New Roman"/>
          <w:sz w:val="28"/>
          <w:szCs w:val="28"/>
        </w:rPr>
      </w:pPr>
      <w:r w:rsidRPr="008504A1">
        <w:rPr>
          <w:rFonts w:ascii="Times New Roman" w:hAnsi="Times New Roman" w:cs="Times New Roman"/>
          <w:sz w:val="28"/>
          <w:szCs w:val="28"/>
        </w:rPr>
        <w:t>“</w:t>
      </w:r>
      <w:r w:rsidR="00FD378E" w:rsidRPr="008504A1">
        <w:rPr>
          <w:rFonts w:ascii="Times New Roman" w:hAnsi="Times New Roman" w:cs="Times New Roman"/>
          <w:sz w:val="28"/>
          <w:szCs w:val="28"/>
        </w:rPr>
        <w:t xml:space="preserve">In particular </w:t>
      </w:r>
      <w:r w:rsidR="006737F4" w:rsidRPr="008504A1">
        <w:rPr>
          <w:rFonts w:ascii="Times New Roman" w:hAnsi="Times New Roman" w:cs="Times New Roman"/>
          <w:sz w:val="28"/>
          <w:szCs w:val="28"/>
        </w:rPr>
        <w:t>I confirm that on the 24</w:t>
      </w:r>
      <w:r w:rsidR="006737F4" w:rsidRPr="008504A1">
        <w:rPr>
          <w:rFonts w:ascii="Times New Roman" w:hAnsi="Times New Roman" w:cs="Times New Roman"/>
          <w:sz w:val="28"/>
          <w:szCs w:val="28"/>
          <w:vertAlign w:val="superscript"/>
        </w:rPr>
        <w:t>th</w:t>
      </w:r>
      <w:r w:rsidR="006737F4" w:rsidRPr="008504A1">
        <w:rPr>
          <w:rFonts w:ascii="Times New Roman" w:hAnsi="Times New Roman" w:cs="Times New Roman"/>
          <w:sz w:val="28"/>
          <w:szCs w:val="28"/>
        </w:rPr>
        <w:t xml:space="preserve"> May 2022 at around 17:10 hours, I went to Police Headquarters in order to effect service of an interim order and the notice of motion in the above application. When I arrived thereat, I was informed that the process would not be received because the person who could receive it had long gone home because they were a half day at the Police. No one then agreed to receive the process and I was told that it will be received on the 27</w:t>
      </w:r>
      <w:r w:rsidR="006737F4" w:rsidRPr="008504A1">
        <w:rPr>
          <w:rFonts w:ascii="Times New Roman" w:hAnsi="Times New Roman" w:cs="Times New Roman"/>
          <w:sz w:val="28"/>
          <w:szCs w:val="28"/>
          <w:vertAlign w:val="superscript"/>
        </w:rPr>
        <w:t>th</w:t>
      </w:r>
      <w:r w:rsidR="006737F4" w:rsidRPr="008504A1">
        <w:rPr>
          <w:rFonts w:ascii="Times New Roman" w:hAnsi="Times New Roman" w:cs="Times New Roman"/>
          <w:sz w:val="28"/>
          <w:szCs w:val="28"/>
        </w:rPr>
        <w:t xml:space="preserve"> May 2022.</w:t>
      </w:r>
      <w:r w:rsidR="00FA4E60" w:rsidRPr="008504A1">
        <w:rPr>
          <w:rFonts w:ascii="Times New Roman" w:hAnsi="Times New Roman" w:cs="Times New Roman"/>
          <w:sz w:val="28"/>
          <w:szCs w:val="28"/>
        </w:rPr>
        <w:t>”</w:t>
      </w:r>
    </w:p>
    <w:p w14:paraId="4D84B672" w14:textId="77777777" w:rsidR="002C7D62" w:rsidRPr="00EB3375" w:rsidRDefault="002C7D62" w:rsidP="002C7D62">
      <w:pPr>
        <w:spacing w:before="240" w:line="360" w:lineRule="auto"/>
        <w:ind w:left="720"/>
        <w:contextualSpacing/>
        <w:jc w:val="both"/>
        <w:rPr>
          <w:rFonts w:ascii="Times New Roman" w:hAnsi="Times New Roman" w:cs="Times New Roman"/>
          <w:sz w:val="24"/>
          <w:szCs w:val="24"/>
        </w:rPr>
      </w:pPr>
    </w:p>
    <w:p w14:paraId="7758121F" w14:textId="77777777" w:rsidR="00D12CFF" w:rsidRDefault="00FA4E60" w:rsidP="008504A1">
      <w:pPr>
        <w:spacing w:before="240" w:line="360" w:lineRule="auto"/>
        <w:contextualSpacing/>
        <w:jc w:val="both"/>
        <w:rPr>
          <w:rFonts w:ascii="Times New Roman" w:hAnsi="Times New Roman" w:cs="Times New Roman"/>
          <w:sz w:val="28"/>
          <w:szCs w:val="28"/>
        </w:rPr>
      </w:pPr>
      <w:r w:rsidRPr="008504A1">
        <w:rPr>
          <w:rFonts w:ascii="Times New Roman" w:hAnsi="Times New Roman" w:cs="Times New Roman"/>
          <w:b/>
          <w:sz w:val="28"/>
          <w:szCs w:val="28"/>
        </w:rPr>
        <w:t>At Paragraph 4 the deputy sheriff states as follows</w:t>
      </w:r>
      <w:r w:rsidRPr="008504A1">
        <w:rPr>
          <w:rFonts w:ascii="Times New Roman" w:hAnsi="Times New Roman" w:cs="Times New Roman"/>
          <w:sz w:val="28"/>
          <w:szCs w:val="28"/>
        </w:rPr>
        <w:t>:</w:t>
      </w:r>
    </w:p>
    <w:p w14:paraId="08BC1FE2" w14:textId="77777777" w:rsidR="00DB714B" w:rsidRPr="00DB714B" w:rsidRDefault="00DB714B" w:rsidP="008504A1">
      <w:pPr>
        <w:spacing w:before="240" w:line="360" w:lineRule="auto"/>
        <w:contextualSpacing/>
        <w:jc w:val="both"/>
        <w:rPr>
          <w:rFonts w:ascii="Times New Roman" w:hAnsi="Times New Roman" w:cs="Times New Roman"/>
          <w:sz w:val="16"/>
          <w:szCs w:val="16"/>
        </w:rPr>
      </w:pPr>
    </w:p>
    <w:p w14:paraId="341FD4E1" w14:textId="77777777" w:rsidR="00FA4E60" w:rsidRDefault="002B2A98" w:rsidP="00D12CFF">
      <w:pPr>
        <w:spacing w:before="240" w:line="360" w:lineRule="auto"/>
        <w:ind w:left="720"/>
        <w:contextualSpacing/>
        <w:jc w:val="both"/>
        <w:rPr>
          <w:rFonts w:ascii="Times New Roman" w:hAnsi="Times New Roman" w:cs="Times New Roman"/>
          <w:sz w:val="28"/>
          <w:szCs w:val="28"/>
        </w:rPr>
      </w:pPr>
      <w:r w:rsidRPr="008504A1">
        <w:rPr>
          <w:rFonts w:ascii="Times New Roman" w:hAnsi="Times New Roman" w:cs="Times New Roman"/>
          <w:sz w:val="28"/>
          <w:szCs w:val="28"/>
        </w:rPr>
        <w:t>“</w:t>
      </w:r>
      <w:r w:rsidR="00FA4E60" w:rsidRPr="008504A1">
        <w:rPr>
          <w:rFonts w:ascii="Times New Roman" w:hAnsi="Times New Roman" w:cs="Times New Roman"/>
          <w:sz w:val="28"/>
          <w:szCs w:val="28"/>
        </w:rPr>
        <w:t>On the following day, the 25</w:t>
      </w:r>
      <w:r w:rsidR="00FA4E60" w:rsidRPr="008504A1">
        <w:rPr>
          <w:rFonts w:ascii="Times New Roman" w:hAnsi="Times New Roman" w:cs="Times New Roman"/>
          <w:sz w:val="28"/>
          <w:szCs w:val="28"/>
          <w:vertAlign w:val="superscript"/>
        </w:rPr>
        <w:t>th</w:t>
      </w:r>
      <w:r w:rsidR="00FA4E60" w:rsidRPr="008504A1">
        <w:rPr>
          <w:rFonts w:ascii="Times New Roman" w:hAnsi="Times New Roman" w:cs="Times New Roman"/>
          <w:sz w:val="28"/>
          <w:szCs w:val="28"/>
        </w:rPr>
        <w:t xml:space="preserve"> May 2022, I made another attempt to serve the process and </w:t>
      </w:r>
      <w:r w:rsidR="007D6C65" w:rsidRPr="008504A1">
        <w:rPr>
          <w:rFonts w:ascii="Times New Roman" w:hAnsi="Times New Roman" w:cs="Times New Roman"/>
          <w:sz w:val="28"/>
          <w:szCs w:val="28"/>
        </w:rPr>
        <w:t>I caused to have the contacts of</w:t>
      </w:r>
      <w:r w:rsidR="00FA4E60" w:rsidRPr="008504A1">
        <w:rPr>
          <w:rFonts w:ascii="Times New Roman" w:hAnsi="Times New Roman" w:cs="Times New Roman"/>
          <w:sz w:val="28"/>
          <w:szCs w:val="28"/>
        </w:rPr>
        <w:t xml:space="preserve"> one Mr. Maiseng who I was told works in the legal office as head therein, since I had been informed that legal process is received only in the legal office. I called him and we agreed t</w:t>
      </w:r>
      <w:r w:rsidR="003B2A1F" w:rsidRPr="008504A1">
        <w:rPr>
          <w:rFonts w:ascii="Times New Roman" w:hAnsi="Times New Roman" w:cs="Times New Roman"/>
          <w:sz w:val="28"/>
          <w:szCs w:val="28"/>
        </w:rPr>
        <w:t>hat he would be at office towards</w:t>
      </w:r>
      <w:r w:rsidR="00FA4E60" w:rsidRPr="008504A1">
        <w:rPr>
          <w:rFonts w:ascii="Times New Roman" w:hAnsi="Times New Roman" w:cs="Times New Roman"/>
          <w:sz w:val="28"/>
          <w:szCs w:val="28"/>
        </w:rPr>
        <w:t xml:space="preserve"> the afternoon and that I would go to the Police Headquarters at that time. At around the agreed time, I called him to confirm that we would be meeting at his office for him to receive the </w:t>
      </w:r>
      <w:r w:rsidR="00D12CFF" w:rsidRPr="008504A1">
        <w:rPr>
          <w:rFonts w:ascii="Times New Roman" w:hAnsi="Times New Roman" w:cs="Times New Roman"/>
          <w:sz w:val="28"/>
          <w:szCs w:val="28"/>
        </w:rPr>
        <w:t>process,</w:t>
      </w:r>
      <w:r w:rsidR="00FA4E60" w:rsidRPr="008504A1">
        <w:rPr>
          <w:rFonts w:ascii="Times New Roman" w:hAnsi="Times New Roman" w:cs="Times New Roman"/>
          <w:sz w:val="28"/>
          <w:szCs w:val="28"/>
        </w:rPr>
        <w:t xml:space="preserve"> but his phones rang unanswered. I tried calling him until late in the afternoon and there was still no answer. I could suspect that had he known when I called that it is me, he would probably not have picked my </w:t>
      </w:r>
      <w:r w:rsidR="00FA4E60" w:rsidRPr="008504A1">
        <w:rPr>
          <w:rFonts w:ascii="Times New Roman" w:hAnsi="Times New Roman" w:cs="Times New Roman"/>
          <w:sz w:val="28"/>
          <w:szCs w:val="28"/>
        </w:rPr>
        <w:lastRenderedPageBreak/>
        <w:t>call. I confirm that I was not able to serve the order before the 1</w:t>
      </w:r>
      <w:r w:rsidR="00FA4E60" w:rsidRPr="008504A1">
        <w:rPr>
          <w:rFonts w:ascii="Times New Roman" w:hAnsi="Times New Roman" w:cs="Times New Roman"/>
          <w:sz w:val="28"/>
          <w:szCs w:val="28"/>
          <w:vertAlign w:val="superscript"/>
        </w:rPr>
        <w:t>st</w:t>
      </w:r>
      <w:r w:rsidR="00FA4E60" w:rsidRPr="008504A1">
        <w:rPr>
          <w:rFonts w:ascii="Times New Roman" w:hAnsi="Times New Roman" w:cs="Times New Roman"/>
          <w:sz w:val="28"/>
          <w:szCs w:val="28"/>
        </w:rPr>
        <w:t xml:space="preserve"> respondent made the decision herein challenged.</w:t>
      </w:r>
    </w:p>
    <w:p w14:paraId="46204750" w14:textId="77777777" w:rsidR="00A920FD" w:rsidRPr="00604164" w:rsidRDefault="00A920FD" w:rsidP="00C2270A">
      <w:pPr>
        <w:spacing w:before="240" w:line="360" w:lineRule="auto"/>
        <w:contextualSpacing/>
        <w:jc w:val="both"/>
        <w:rPr>
          <w:rFonts w:ascii="Times New Roman" w:hAnsi="Times New Roman" w:cs="Times New Roman"/>
          <w:sz w:val="24"/>
          <w:szCs w:val="24"/>
        </w:rPr>
      </w:pPr>
    </w:p>
    <w:p w14:paraId="31217DB9" w14:textId="77777777" w:rsidR="006339B3" w:rsidRDefault="006339B3" w:rsidP="008504A1">
      <w:pPr>
        <w:spacing w:before="240" w:line="360" w:lineRule="auto"/>
        <w:contextualSpacing/>
        <w:jc w:val="both"/>
        <w:rPr>
          <w:rFonts w:ascii="Times New Roman" w:hAnsi="Times New Roman" w:cs="Times New Roman"/>
          <w:b/>
          <w:sz w:val="28"/>
          <w:szCs w:val="28"/>
        </w:rPr>
      </w:pPr>
      <w:r w:rsidRPr="008504A1">
        <w:rPr>
          <w:rFonts w:ascii="Times New Roman" w:hAnsi="Times New Roman" w:cs="Times New Roman"/>
          <w:b/>
          <w:sz w:val="28"/>
          <w:szCs w:val="28"/>
        </w:rPr>
        <w:t>At Paragraph 6 the deputy sheriff says the following:</w:t>
      </w:r>
    </w:p>
    <w:p w14:paraId="6CE0EB2F" w14:textId="77777777" w:rsidR="006A7B06" w:rsidRPr="006A7B06" w:rsidRDefault="006A7B06" w:rsidP="008504A1">
      <w:pPr>
        <w:spacing w:before="240" w:line="360" w:lineRule="auto"/>
        <w:contextualSpacing/>
        <w:jc w:val="both"/>
        <w:rPr>
          <w:rFonts w:ascii="Times New Roman" w:hAnsi="Times New Roman" w:cs="Times New Roman"/>
          <w:b/>
          <w:sz w:val="16"/>
          <w:szCs w:val="16"/>
        </w:rPr>
      </w:pPr>
    </w:p>
    <w:p w14:paraId="0BAB6722" w14:textId="77777777" w:rsidR="006339B3" w:rsidRDefault="006339B3" w:rsidP="00D12CFF">
      <w:pPr>
        <w:spacing w:before="240" w:line="360" w:lineRule="auto"/>
        <w:ind w:left="720"/>
        <w:contextualSpacing/>
        <w:jc w:val="both"/>
        <w:rPr>
          <w:rFonts w:ascii="Times New Roman" w:hAnsi="Times New Roman" w:cs="Times New Roman"/>
          <w:sz w:val="28"/>
          <w:szCs w:val="28"/>
        </w:rPr>
      </w:pPr>
      <w:r w:rsidRPr="008504A1">
        <w:rPr>
          <w:rFonts w:ascii="Times New Roman" w:hAnsi="Times New Roman" w:cs="Times New Roman"/>
          <w:sz w:val="28"/>
          <w:szCs w:val="28"/>
        </w:rPr>
        <w:t>“That notwithstanding, I can confirm that the Police service was aware that there is an order that had to be served since the 24</w:t>
      </w:r>
      <w:r w:rsidRPr="008504A1">
        <w:rPr>
          <w:rFonts w:ascii="Times New Roman" w:hAnsi="Times New Roman" w:cs="Times New Roman"/>
          <w:sz w:val="28"/>
          <w:szCs w:val="28"/>
          <w:vertAlign w:val="superscript"/>
        </w:rPr>
        <w:t>th</w:t>
      </w:r>
      <w:r w:rsidRPr="008504A1">
        <w:rPr>
          <w:rFonts w:ascii="Times New Roman" w:hAnsi="Times New Roman" w:cs="Times New Roman"/>
          <w:sz w:val="28"/>
          <w:szCs w:val="28"/>
        </w:rPr>
        <w:t xml:space="preserve"> May 2022. Service of the order was frustrated by the legal office and having talked to Mr. Maiseng to whom I explained the nature of the process, I can say in certain terms that the Police knew of the order but they made it impossible for it to be legally served. I was only able to serve the order on the 27</w:t>
      </w:r>
      <w:r w:rsidRPr="008504A1">
        <w:rPr>
          <w:rFonts w:ascii="Times New Roman" w:hAnsi="Times New Roman" w:cs="Times New Roman"/>
          <w:sz w:val="28"/>
          <w:szCs w:val="28"/>
          <w:vertAlign w:val="superscript"/>
        </w:rPr>
        <w:t>th</w:t>
      </w:r>
      <w:r w:rsidRPr="008504A1">
        <w:rPr>
          <w:rFonts w:ascii="Times New Roman" w:hAnsi="Times New Roman" w:cs="Times New Roman"/>
          <w:sz w:val="28"/>
          <w:szCs w:val="28"/>
        </w:rPr>
        <w:t xml:space="preserve"> May 2022, only to be told when I submitted the return of service that the 1</w:t>
      </w:r>
      <w:r w:rsidRPr="008504A1">
        <w:rPr>
          <w:rFonts w:ascii="Times New Roman" w:hAnsi="Times New Roman" w:cs="Times New Roman"/>
          <w:sz w:val="28"/>
          <w:szCs w:val="28"/>
          <w:vertAlign w:val="superscript"/>
        </w:rPr>
        <w:t>st</w:t>
      </w:r>
      <w:r w:rsidRPr="008504A1">
        <w:rPr>
          <w:rFonts w:ascii="Times New Roman" w:hAnsi="Times New Roman" w:cs="Times New Roman"/>
          <w:sz w:val="28"/>
          <w:szCs w:val="28"/>
        </w:rPr>
        <w:t xml:space="preserve"> respondent proceeded to make the decision which had already been stayed by the order I attempted to serve.”</w:t>
      </w:r>
      <w:r w:rsidR="00CD1222" w:rsidRPr="008504A1">
        <w:rPr>
          <w:rFonts w:ascii="Times New Roman" w:hAnsi="Times New Roman" w:cs="Times New Roman"/>
          <w:sz w:val="28"/>
          <w:szCs w:val="28"/>
        </w:rPr>
        <w:t xml:space="preserve"> </w:t>
      </w:r>
    </w:p>
    <w:p w14:paraId="49A03CF9" w14:textId="77777777" w:rsidR="00D12CFF" w:rsidRPr="00EB3375" w:rsidRDefault="00D12CFF" w:rsidP="00D12CFF">
      <w:pPr>
        <w:spacing w:before="240" w:line="360" w:lineRule="auto"/>
        <w:ind w:left="720"/>
        <w:contextualSpacing/>
        <w:jc w:val="both"/>
        <w:rPr>
          <w:rFonts w:ascii="Times New Roman" w:hAnsi="Times New Roman" w:cs="Times New Roman"/>
          <w:sz w:val="24"/>
          <w:szCs w:val="24"/>
        </w:rPr>
      </w:pPr>
    </w:p>
    <w:p w14:paraId="234FEA16" w14:textId="4C8CBFEE" w:rsidR="00A42919" w:rsidRPr="00685020" w:rsidRDefault="00685020" w:rsidP="008504A1">
      <w:pPr>
        <w:spacing w:before="240" w:line="360" w:lineRule="auto"/>
        <w:contextualSpacing/>
        <w:jc w:val="both"/>
        <w:rPr>
          <w:rFonts w:ascii="Times New Roman" w:hAnsi="Times New Roman" w:cs="Times New Roman"/>
          <w:b/>
          <w:sz w:val="28"/>
          <w:szCs w:val="28"/>
        </w:rPr>
      </w:pPr>
      <w:r w:rsidRPr="00685020">
        <w:rPr>
          <w:rFonts w:ascii="Times New Roman" w:hAnsi="Times New Roman" w:cs="Times New Roman"/>
          <w:b/>
          <w:sz w:val="28"/>
          <w:szCs w:val="28"/>
        </w:rPr>
        <w:t>FOUNDING AFFIDAVIT OF MOLIEHI DLAMINI:</w:t>
      </w:r>
    </w:p>
    <w:p w14:paraId="4BD4085C" w14:textId="0CACFC10" w:rsidR="00A42919" w:rsidRDefault="00A42919" w:rsidP="008504A1">
      <w:pPr>
        <w:spacing w:before="240" w:line="360" w:lineRule="auto"/>
        <w:contextualSpacing/>
        <w:jc w:val="both"/>
        <w:rPr>
          <w:rFonts w:ascii="Times New Roman" w:hAnsi="Times New Roman" w:cs="Times New Roman"/>
          <w:sz w:val="28"/>
          <w:szCs w:val="28"/>
        </w:rPr>
      </w:pPr>
      <w:r w:rsidRPr="008504A1">
        <w:rPr>
          <w:rFonts w:ascii="Times New Roman" w:hAnsi="Times New Roman" w:cs="Times New Roman"/>
          <w:sz w:val="28"/>
          <w:szCs w:val="28"/>
        </w:rPr>
        <w:t>[1</w:t>
      </w:r>
      <w:r w:rsidR="00644F6A">
        <w:rPr>
          <w:rFonts w:ascii="Times New Roman" w:hAnsi="Times New Roman" w:cs="Times New Roman"/>
          <w:sz w:val="28"/>
          <w:szCs w:val="28"/>
        </w:rPr>
        <w:t>8</w:t>
      </w:r>
      <w:r w:rsidRPr="008504A1">
        <w:rPr>
          <w:rFonts w:ascii="Times New Roman" w:hAnsi="Times New Roman" w:cs="Times New Roman"/>
          <w:sz w:val="28"/>
          <w:szCs w:val="28"/>
        </w:rPr>
        <w:t>] This deponent at paragraph 8.10 states as follows:</w:t>
      </w:r>
    </w:p>
    <w:p w14:paraId="20519E5F" w14:textId="77777777" w:rsidR="004C384B" w:rsidRPr="004C384B" w:rsidRDefault="004C384B" w:rsidP="008504A1">
      <w:pPr>
        <w:spacing w:before="240" w:line="360" w:lineRule="auto"/>
        <w:contextualSpacing/>
        <w:jc w:val="both"/>
        <w:rPr>
          <w:rFonts w:ascii="Times New Roman" w:hAnsi="Times New Roman" w:cs="Times New Roman"/>
          <w:sz w:val="16"/>
          <w:szCs w:val="16"/>
        </w:rPr>
      </w:pPr>
    </w:p>
    <w:p w14:paraId="0B84E166" w14:textId="5A2E53FC" w:rsidR="00D2090D" w:rsidRDefault="002B2A98" w:rsidP="005706B3">
      <w:pPr>
        <w:spacing w:before="240" w:line="360" w:lineRule="auto"/>
        <w:ind w:left="720"/>
        <w:contextualSpacing/>
        <w:jc w:val="both"/>
        <w:rPr>
          <w:rFonts w:ascii="Times New Roman" w:hAnsi="Times New Roman" w:cs="Times New Roman"/>
          <w:sz w:val="28"/>
          <w:szCs w:val="28"/>
        </w:rPr>
      </w:pPr>
      <w:r w:rsidRPr="008504A1">
        <w:rPr>
          <w:rFonts w:ascii="Times New Roman" w:hAnsi="Times New Roman" w:cs="Times New Roman"/>
          <w:sz w:val="28"/>
          <w:szCs w:val="28"/>
        </w:rPr>
        <w:t>“</w:t>
      </w:r>
      <w:r w:rsidR="00A42919" w:rsidRPr="008504A1">
        <w:rPr>
          <w:rFonts w:ascii="Times New Roman" w:hAnsi="Times New Roman" w:cs="Times New Roman"/>
          <w:sz w:val="28"/>
          <w:szCs w:val="28"/>
        </w:rPr>
        <w:t>When we arrived in the morning, we were told to wait in the instructor’s room wherein we were further referred to wait in classroom 1. This is where we waited until one instructor, Sir Chitja, came in and asked where our cause letters are. We told him we did not have the letters but rather we have</w:t>
      </w:r>
      <w:r w:rsidR="000E56FC" w:rsidRPr="008504A1">
        <w:rPr>
          <w:rFonts w:ascii="Times New Roman" w:hAnsi="Times New Roman" w:cs="Times New Roman"/>
          <w:sz w:val="28"/>
          <w:szCs w:val="28"/>
        </w:rPr>
        <w:t xml:space="preserve"> court orders,</w:t>
      </w:r>
      <w:r w:rsidR="00A42919" w:rsidRPr="008504A1">
        <w:rPr>
          <w:rFonts w:ascii="Times New Roman" w:hAnsi="Times New Roman" w:cs="Times New Roman"/>
          <w:sz w:val="28"/>
          <w:szCs w:val="28"/>
        </w:rPr>
        <w:t xml:space="preserve"> since approached this court which grante</w:t>
      </w:r>
      <w:r w:rsidR="007D6C65" w:rsidRPr="008504A1">
        <w:rPr>
          <w:rFonts w:ascii="Times New Roman" w:hAnsi="Times New Roman" w:cs="Times New Roman"/>
          <w:sz w:val="28"/>
          <w:szCs w:val="28"/>
        </w:rPr>
        <w:t>d us an order of stay. We showed</w:t>
      </w:r>
      <w:r w:rsidR="00A42919" w:rsidRPr="008504A1">
        <w:rPr>
          <w:rFonts w:ascii="Times New Roman" w:hAnsi="Times New Roman" w:cs="Times New Roman"/>
          <w:sz w:val="28"/>
          <w:szCs w:val="28"/>
        </w:rPr>
        <w:t xml:space="preserve"> him the order after which he stood a few paces from us and began making calls. We suspect that he was calling Police Headquarters in relation to an order as the calls would take longer but nothing positive for us was to come from all those calls until he left us.</w:t>
      </w:r>
    </w:p>
    <w:p w14:paraId="3E58C86F" w14:textId="31506769" w:rsidR="005706B3" w:rsidRDefault="005706B3" w:rsidP="00B16D20">
      <w:pPr>
        <w:spacing w:before="240" w:line="360" w:lineRule="auto"/>
        <w:contextualSpacing/>
        <w:jc w:val="both"/>
        <w:rPr>
          <w:rFonts w:ascii="Times New Roman" w:hAnsi="Times New Roman" w:cs="Times New Roman"/>
          <w:sz w:val="24"/>
          <w:szCs w:val="24"/>
        </w:rPr>
      </w:pPr>
    </w:p>
    <w:p w14:paraId="749BF18C" w14:textId="1D8E6FDD" w:rsidR="00B16D20" w:rsidRDefault="00B16D20" w:rsidP="00B16D20">
      <w:pPr>
        <w:spacing w:before="240" w:line="360" w:lineRule="auto"/>
        <w:contextualSpacing/>
        <w:jc w:val="both"/>
        <w:rPr>
          <w:rFonts w:ascii="Times New Roman" w:hAnsi="Times New Roman" w:cs="Times New Roman"/>
          <w:sz w:val="24"/>
          <w:szCs w:val="24"/>
        </w:rPr>
      </w:pPr>
    </w:p>
    <w:p w14:paraId="7C662941" w14:textId="77777777" w:rsidR="00B16D20" w:rsidRPr="00EB3375" w:rsidRDefault="00B16D20" w:rsidP="00B16D20">
      <w:pPr>
        <w:spacing w:before="240" w:line="360" w:lineRule="auto"/>
        <w:contextualSpacing/>
        <w:jc w:val="both"/>
        <w:rPr>
          <w:rFonts w:ascii="Times New Roman" w:hAnsi="Times New Roman" w:cs="Times New Roman"/>
          <w:sz w:val="24"/>
          <w:szCs w:val="24"/>
        </w:rPr>
      </w:pPr>
    </w:p>
    <w:p w14:paraId="61CE2F9D" w14:textId="0EDB30CF" w:rsidR="000E1A41" w:rsidRPr="000A1349" w:rsidRDefault="00BA725F" w:rsidP="008504A1">
      <w:pPr>
        <w:spacing w:before="240" w:line="360" w:lineRule="auto"/>
        <w:contextualSpacing/>
        <w:jc w:val="both"/>
        <w:rPr>
          <w:rFonts w:ascii="Times New Roman" w:hAnsi="Times New Roman" w:cs="Times New Roman"/>
          <w:b/>
          <w:sz w:val="32"/>
          <w:szCs w:val="32"/>
        </w:rPr>
      </w:pPr>
      <w:r w:rsidRPr="00BA725F">
        <w:rPr>
          <w:rFonts w:ascii="Times New Roman" w:hAnsi="Times New Roman" w:cs="Times New Roman"/>
          <w:b/>
          <w:sz w:val="28"/>
          <w:szCs w:val="28"/>
        </w:rPr>
        <w:lastRenderedPageBreak/>
        <w:t>OPPOSING AFFIDAVIT OF HOLOMO MOLIBELI</w:t>
      </w:r>
      <w:r w:rsidR="000E1A41" w:rsidRPr="000A1349">
        <w:rPr>
          <w:rFonts w:ascii="Times New Roman" w:hAnsi="Times New Roman" w:cs="Times New Roman"/>
          <w:b/>
          <w:sz w:val="32"/>
          <w:szCs w:val="32"/>
        </w:rPr>
        <w:t>:</w:t>
      </w:r>
    </w:p>
    <w:p w14:paraId="3E057C91" w14:textId="5C4D0C5D" w:rsidR="000E1A41" w:rsidRPr="008504A1" w:rsidRDefault="000E1A41" w:rsidP="008504A1">
      <w:pPr>
        <w:spacing w:before="240" w:line="360" w:lineRule="auto"/>
        <w:contextualSpacing/>
        <w:jc w:val="both"/>
        <w:rPr>
          <w:rFonts w:ascii="Times New Roman" w:hAnsi="Times New Roman" w:cs="Times New Roman"/>
          <w:sz w:val="28"/>
          <w:szCs w:val="28"/>
        </w:rPr>
      </w:pPr>
      <w:r w:rsidRPr="008504A1">
        <w:rPr>
          <w:rFonts w:ascii="Times New Roman" w:hAnsi="Times New Roman" w:cs="Times New Roman"/>
          <w:sz w:val="28"/>
          <w:szCs w:val="28"/>
        </w:rPr>
        <w:t>[1</w:t>
      </w:r>
      <w:r w:rsidR="00644F6A">
        <w:rPr>
          <w:rFonts w:ascii="Times New Roman" w:hAnsi="Times New Roman" w:cs="Times New Roman"/>
          <w:sz w:val="28"/>
          <w:szCs w:val="28"/>
        </w:rPr>
        <w:t>9</w:t>
      </w:r>
      <w:r w:rsidRPr="008504A1">
        <w:rPr>
          <w:rFonts w:ascii="Times New Roman" w:hAnsi="Times New Roman" w:cs="Times New Roman"/>
          <w:sz w:val="28"/>
          <w:szCs w:val="28"/>
        </w:rPr>
        <w:t>] In answering paragraph 8.10 of the founding affidavit, the first respondent said the following at paragraph 31 thereof:</w:t>
      </w:r>
    </w:p>
    <w:p w14:paraId="5AB0E311" w14:textId="36565E83" w:rsidR="000B22EB" w:rsidRDefault="000E1A41" w:rsidP="008504A1">
      <w:pPr>
        <w:spacing w:before="240" w:line="360" w:lineRule="auto"/>
        <w:contextualSpacing/>
        <w:jc w:val="both"/>
        <w:rPr>
          <w:rFonts w:ascii="Times New Roman" w:hAnsi="Times New Roman" w:cs="Times New Roman"/>
          <w:sz w:val="28"/>
          <w:szCs w:val="28"/>
        </w:rPr>
      </w:pPr>
      <w:r w:rsidRPr="008504A1">
        <w:rPr>
          <w:rFonts w:ascii="Times New Roman" w:hAnsi="Times New Roman" w:cs="Times New Roman"/>
          <w:sz w:val="28"/>
          <w:szCs w:val="28"/>
        </w:rPr>
        <w:t xml:space="preserve">The contents herein are </w:t>
      </w:r>
      <w:r w:rsidR="00186C70" w:rsidRPr="008504A1">
        <w:rPr>
          <w:rFonts w:ascii="Times New Roman" w:hAnsi="Times New Roman" w:cs="Times New Roman"/>
          <w:sz w:val="28"/>
          <w:szCs w:val="28"/>
        </w:rPr>
        <w:t>denied,</w:t>
      </w:r>
      <w:r w:rsidRPr="008504A1">
        <w:rPr>
          <w:rFonts w:ascii="Times New Roman" w:hAnsi="Times New Roman" w:cs="Times New Roman"/>
          <w:sz w:val="28"/>
          <w:szCs w:val="28"/>
        </w:rPr>
        <w:t xml:space="preserve"> and the respondent wish to highlight the contradiction made by applicants. The applicants are now providing two contradictory version</w:t>
      </w:r>
      <w:r w:rsidR="000E56FC" w:rsidRPr="008504A1">
        <w:rPr>
          <w:rFonts w:ascii="Times New Roman" w:hAnsi="Times New Roman" w:cs="Times New Roman"/>
          <w:sz w:val="28"/>
          <w:szCs w:val="28"/>
        </w:rPr>
        <w:t>s</w:t>
      </w:r>
      <w:r w:rsidRPr="008504A1">
        <w:rPr>
          <w:rFonts w:ascii="Times New Roman" w:hAnsi="Times New Roman" w:cs="Times New Roman"/>
          <w:sz w:val="28"/>
          <w:szCs w:val="28"/>
        </w:rPr>
        <w:t xml:space="preserve">. On the one hand, the applicants are saying when they arrived at PTC, they were left unattended from the main gate. On the other </w:t>
      </w:r>
      <w:r w:rsidR="000E56FC" w:rsidRPr="008504A1">
        <w:rPr>
          <w:rFonts w:ascii="Times New Roman" w:hAnsi="Times New Roman" w:cs="Times New Roman"/>
          <w:sz w:val="28"/>
          <w:szCs w:val="28"/>
        </w:rPr>
        <w:t>hand,</w:t>
      </w:r>
      <w:r w:rsidRPr="008504A1">
        <w:rPr>
          <w:rFonts w:ascii="Times New Roman" w:hAnsi="Times New Roman" w:cs="Times New Roman"/>
          <w:sz w:val="28"/>
          <w:szCs w:val="28"/>
        </w:rPr>
        <w:t xml:space="preserve"> they are saying they are left in squad 1.</w:t>
      </w:r>
      <w:r w:rsidR="0039493C" w:rsidRPr="008504A1">
        <w:rPr>
          <w:rFonts w:ascii="Times New Roman" w:hAnsi="Times New Roman" w:cs="Times New Roman"/>
          <w:sz w:val="28"/>
          <w:szCs w:val="28"/>
        </w:rPr>
        <w:t xml:space="preserve"> It is the </w:t>
      </w:r>
      <w:r w:rsidR="00186C70" w:rsidRPr="008504A1">
        <w:rPr>
          <w:rFonts w:ascii="Times New Roman" w:hAnsi="Times New Roman" w:cs="Times New Roman"/>
          <w:sz w:val="28"/>
          <w:szCs w:val="28"/>
        </w:rPr>
        <w:t>respondents’</w:t>
      </w:r>
      <w:r w:rsidR="0039493C" w:rsidRPr="008504A1">
        <w:rPr>
          <w:rFonts w:ascii="Times New Roman" w:hAnsi="Times New Roman" w:cs="Times New Roman"/>
          <w:sz w:val="28"/>
          <w:szCs w:val="28"/>
        </w:rPr>
        <w:t xml:space="preserve"> case that the applicants are the ones who denied themselves audi alteram partem by failing to show cause as required. The respondent is duly advised that audi alteram partem is not absolute it can be attenuated by facts as in the present case.</w:t>
      </w:r>
    </w:p>
    <w:p w14:paraId="2A74AAF2" w14:textId="77777777" w:rsidR="00D55EB9" w:rsidRPr="00EB3375" w:rsidRDefault="00D55EB9" w:rsidP="008504A1">
      <w:pPr>
        <w:spacing w:before="240" w:line="360" w:lineRule="auto"/>
        <w:contextualSpacing/>
        <w:jc w:val="both"/>
        <w:rPr>
          <w:rFonts w:ascii="Times New Roman" w:hAnsi="Times New Roman" w:cs="Times New Roman"/>
          <w:sz w:val="24"/>
          <w:szCs w:val="24"/>
        </w:rPr>
      </w:pPr>
    </w:p>
    <w:p w14:paraId="4F03D692" w14:textId="77777777" w:rsidR="0039493C" w:rsidRPr="008504A1" w:rsidRDefault="0039493C" w:rsidP="008504A1">
      <w:pPr>
        <w:spacing w:before="240" w:line="360" w:lineRule="auto"/>
        <w:contextualSpacing/>
        <w:jc w:val="both"/>
        <w:rPr>
          <w:rFonts w:ascii="Times New Roman" w:hAnsi="Times New Roman" w:cs="Times New Roman"/>
          <w:b/>
          <w:sz w:val="28"/>
          <w:szCs w:val="28"/>
        </w:rPr>
      </w:pPr>
      <w:r w:rsidRPr="008504A1">
        <w:rPr>
          <w:rFonts w:ascii="Times New Roman" w:hAnsi="Times New Roman" w:cs="Times New Roman"/>
          <w:b/>
          <w:sz w:val="28"/>
          <w:szCs w:val="28"/>
        </w:rPr>
        <w:t>Supporting Affidavit of Semati Chitja:</w:t>
      </w:r>
    </w:p>
    <w:p w14:paraId="614B7F3F" w14:textId="092472AE" w:rsidR="0039493C" w:rsidRDefault="0039493C" w:rsidP="008504A1">
      <w:pPr>
        <w:spacing w:before="240" w:line="360" w:lineRule="auto"/>
        <w:contextualSpacing/>
        <w:jc w:val="both"/>
        <w:rPr>
          <w:rFonts w:ascii="Times New Roman" w:hAnsi="Times New Roman" w:cs="Times New Roman"/>
          <w:sz w:val="28"/>
          <w:szCs w:val="28"/>
        </w:rPr>
      </w:pPr>
      <w:r w:rsidRPr="008504A1">
        <w:rPr>
          <w:rFonts w:ascii="Times New Roman" w:hAnsi="Times New Roman" w:cs="Times New Roman"/>
          <w:sz w:val="28"/>
          <w:szCs w:val="28"/>
        </w:rPr>
        <w:t>[</w:t>
      </w:r>
      <w:r w:rsidR="003537B1">
        <w:rPr>
          <w:rFonts w:ascii="Times New Roman" w:hAnsi="Times New Roman" w:cs="Times New Roman"/>
          <w:sz w:val="28"/>
          <w:szCs w:val="28"/>
        </w:rPr>
        <w:t>20</w:t>
      </w:r>
      <w:r w:rsidRPr="008504A1">
        <w:rPr>
          <w:rFonts w:ascii="Times New Roman" w:hAnsi="Times New Roman" w:cs="Times New Roman"/>
          <w:sz w:val="28"/>
          <w:szCs w:val="28"/>
        </w:rPr>
        <w:t>] This deponent says that he has read the supporting affidavit of Commissioner of Police Mr. Holomo Molibeli and he aligns himself with its contents where it relates to him.</w:t>
      </w:r>
    </w:p>
    <w:p w14:paraId="285D766B" w14:textId="77777777" w:rsidR="00186C70" w:rsidRPr="00EB3375" w:rsidRDefault="00186C70" w:rsidP="008504A1">
      <w:pPr>
        <w:spacing w:before="240" w:line="360" w:lineRule="auto"/>
        <w:contextualSpacing/>
        <w:jc w:val="both"/>
        <w:rPr>
          <w:rFonts w:ascii="Times New Roman" w:hAnsi="Times New Roman" w:cs="Times New Roman"/>
          <w:sz w:val="24"/>
          <w:szCs w:val="24"/>
        </w:rPr>
      </w:pPr>
    </w:p>
    <w:p w14:paraId="2494BB3E" w14:textId="1F780AEF" w:rsidR="00BA303D" w:rsidRPr="00D53E21" w:rsidRDefault="00D53E21" w:rsidP="008504A1">
      <w:pPr>
        <w:spacing w:before="240" w:line="360" w:lineRule="auto"/>
        <w:contextualSpacing/>
        <w:jc w:val="both"/>
        <w:rPr>
          <w:rFonts w:ascii="Times New Roman" w:hAnsi="Times New Roman" w:cs="Times New Roman"/>
          <w:sz w:val="28"/>
          <w:szCs w:val="28"/>
        </w:rPr>
      </w:pPr>
      <w:r w:rsidRPr="00D53E21">
        <w:rPr>
          <w:rFonts w:ascii="Times New Roman" w:hAnsi="Times New Roman" w:cs="Times New Roman"/>
          <w:b/>
          <w:sz w:val="28"/>
          <w:szCs w:val="28"/>
        </w:rPr>
        <w:t>ISSUES FOR DETERMINATION</w:t>
      </w:r>
      <w:r w:rsidRPr="00D53E21">
        <w:rPr>
          <w:rFonts w:ascii="Times New Roman" w:hAnsi="Times New Roman" w:cs="Times New Roman"/>
          <w:sz w:val="28"/>
          <w:szCs w:val="28"/>
        </w:rPr>
        <w:t>:</w:t>
      </w:r>
    </w:p>
    <w:p w14:paraId="0E64D4E8" w14:textId="5B9136D1" w:rsidR="00330380" w:rsidRDefault="00BA303D" w:rsidP="008504A1">
      <w:pPr>
        <w:spacing w:before="240" w:line="360" w:lineRule="auto"/>
        <w:contextualSpacing/>
        <w:jc w:val="both"/>
        <w:rPr>
          <w:rFonts w:ascii="Times New Roman" w:hAnsi="Times New Roman" w:cs="Times New Roman"/>
          <w:sz w:val="28"/>
          <w:szCs w:val="28"/>
        </w:rPr>
      </w:pPr>
      <w:r w:rsidRPr="008504A1">
        <w:rPr>
          <w:rFonts w:ascii="Times New Roman" w:hAnsi="Times New Roman" w:cs="Times New Roman"/>
          <w:sz w:val="28"/>
          <w:szCs w:val="28"/>
        </w:rPr>
        <w:t>[</w:t>
      </w:r>
      <w:r w:rsidR="00644F6A">
        <w:rPr>
          <w:rFonts w:ascii="Times New Roman" w:hAnsi="Times New Roman" w:cs="Times New Roman"/>
          <w:sz w:val="28"/>
          <w:szCs w:val="28"/>
        </w:rPr>
        <w:t>2</w:t>
      </w:r>
      <w:r w:rsidR="003537B1">
        <w:rPr>
          <w:rFonts w:ascii="Times New Roman" w:hAnsi="Times New Roman" w:cs="Times New Roman"/>
          <w:sz w:val="28"/>
          <w:szCs w:val="28"/>
        </w:rPr>
        <w:t>1</w:t>
      </w:r>
      <w:r w:rsidRPr="008504A1">
        <w:rPr>
          <w:rFonts w:ascii="Times New Roman" w:hAnsi="Times New Roman" w:cs="Times New Roman"/>
          <w:sz w:val="28"/>
          <w:szCs w:val="28"/>
        </w:rPr>
        <w:t xml:space="preserve">] </w:t>
      </w:r>
      <w:r w:rsidR="0039493C" w:rsidRPr="008504A1">
        <w:rPr>
          <w:rFonts w:ascii="Times New Roman" w:hAnsi="Times New Roman" w:cs="Times New Roman"/>
          <w:sz w:val="28"/>
          <w:szCs w:val="28"/>
        </w:rPr>
        <w:t xml:space="preserve">The first issue that this court wants to deal with is whether the first respondent at any material time became aware of the Interim Court Order in </w:t>
      </w:r>
      <w:r w:rsidR="0039493C" w:rsidRPr="000A1349">
        <w:rPr>
          <w:rFonts w:ascii="Times New Roman" w:hAnsi="Times New Roman" w:cs="Times New Roman"/>
          <w:b/>
          <w:bCs/>
          <w:i/>
          <w:iCs/>
          <w:sz w:val="28"/>
          <w:szCs w:val="28"/>
        </w:rPr>
        <w:t>CIV/APN/0169/2022</w:t>
      </w:r>
      <w:r w:rsidR="0039493C" w:rsidRPr="008504A1">
        <w:rPr>
          <w:rFonts w:ascii="Times New Roman" w:hAnsi="Times New Roman" w:cs="Times New Roman"/>
          <w:sz w:val="28"/>
          <w:szCs w:val="28"/>
        </w:rPr>
        <w:t xml:space="preserve"> granted on the 24</w:t>
      </w:r>
      <w:r w:rsidR="0039493C" w:rsidRPr="008504A1">
        <w:rPr>
          <w:rFonts w:ascii="Times New Roman" w:hAnsi="Times New Roman" w:cs="Times New Roman"/>
          <w:sz w:val="28"/>
          <w:szCs w:val="28"/>
          <w:vertAlign w:val="superscript"/>
        </w:rPr>
        <w:t>th</w:t>
      </w:r>
      <w:r w:rsidR="0039493C" w:rsidRPr="008504A1">
        <w:rPr>
          <w:rFonts w:ascii="Times New Roman" w:hAnsi="Times New Roman" w:cs="Times New Roman"/>
          <w:sz w:val="28"/>
          <w:szCs w:val="28"/>
        </w:rPr>
        <w:t xml:space="preserve"> May 2022.</w:t>
      </w:r>
      <w:r w:rsidR="00235174" w:rsidRPr="008504A1">
        <w:rPr>
          <w:rFonts w:ascii="Times New Roman" w:hAnsi="Times New Roman" w:cs="Times New Roman"/>
          <w:sz w:val="28"/>
          <w:szCs w:val="28"/>
        </w:rPr>
        <w:t xml:space="preserve"> This court had an occasion to study the return of service, especially what the deputy Sheriff stated therein. It is a matter of common cause that the deputy Sheriff proceeded to the Police Head Quarters on the stated date and time to effect service of the court order. It is a matter of common cause that the deputy sheriff met one Police officer by the name of Nkuatsana, who duly advised the sheriff </w:t>
      </w:r>
      <w:r w:rsidR="000E56FC" w:rsidRPr="008504A1">
        <w:rPr>
          <w:rFonts w:ascii="Times New Roman" w:hAnsi="Times New Roman" w:cs="Times New Roman"/>
          <w:sz w:val="28"/>
          <w:szCs w:val="28"/>
        </w:rPr>
        <w:t>that all legal process that go</w:t>
      </w:r>
      <w:r w:rsidR="00235174" w:rsidRPr="008504A1">
        <w:rPr>
          <w:rFonts w:ascii="Times New Roman" w:hAnsi="Times New Roman" w:cs="Times New Roman"/>
          <w:sz w:val="28"/>
          <w:szCs w:val="28"/>
        </w:rPr>
        <w:t xml:space="preserve"> to the Office of Compol should be served on the Office of Compol- Legal. The sheriff in the return of service stated that Mr. Nkuatsana telephonically called Legal officer, who advised him that he would only receive the court process on </w:t>
      </w:r>
      <w:r w:rsidR="00235174" w:rsidRPr="008504A1">
        <w:rPr>
          <w:rFonts w:ascii="Times New Roman" w:hAnsi="Times New Roman" w:cs="Times New Roman"/>
          <w:sz w:val="28"/>
          <w:szCs w:val="28"/>
        </w:rPr>
        <w:lastRenderedPageBreak/>
        <w:t>the 27</w:t>
      </w:r>
      <w:r w:rsidR="00235174" w:rsidRPr="008504A1">
        <w:rPr>
          <w:rFonts w:ascii="Times New Roman" w:hAnsi="Times New Roman" w:cs="Times New Roman"/>
          <w:sz w:val="28"/>
          <w:szCs w:val="28"/>
          <w:vertAlign w:val="superscript"/>
        </w:rPr>
        <w:t>th</w:t>
      </w:r>
      <w:r w:rsidR="00235174" w:rsidRPr="008504A1">
        <w:rPr>
          <w:rFonts w:ascii="Times New Roman" w:hAnsi="Times New Roman" w:cs="Times New Roman"/>
          <w:sz w:val="28"/>
          <w:szCs w:val="28"/>
        </w:rPr>
        <w:t xml:space="preserve"> May 2022, as he had just knocked off at work. He stated further that on the 25</w:t>
      </w:r>
      <w:r w:rsidR="00235174" w:rsidRPr="008504A1">
        <w:rPr>
          <w:rFonts w:ascii="Times New Roman" w:hAnsi="Times New Roman" w:cs="Times New Roman"/>
          <w:sz w:val="28"/>
          <w:szCs w:val="28"/>
          <w:vertAlign w:val="superscript"/>
        </w:rPr>
        <w:t>th</w:t>
      </w:r>
      <w:r w:rsidR="00235174" w:rsidRPr="008504A1">
        <w:rPr>
          <w:rFonts w:ascii="Times New Roman" w:hAnsi="Times New Roman" w:cs="Times New Roman"/>
          <w:sz w:val="28"/>
          <w:szCs w:val="28"/>
        </w:rPr>
        <w:t xml:space="preserve"> May 2022, she explained to </w:t>
      </w:r>
      <w:r w:rsidRPr="008504A1">
        <w:rPr>
          <w:rFonts w:ascii="Times New Roman" w:hAnsi="Times New Roman" w:cs="Times New Roman"/>
          <w:sz w:val="28"/>
          <w:szCs w:val="28"/>
        </w:rPr>
        <w:t>Mr. Maiseng the nature of the Interim Court Order, but he told her that he was away from Maseru. The deputy sheriff and Mr. Maiseng then agreed to meet later</w:t>
      </w:r>
      <w:r w:rsidR="008736A0" w:rsidRPr="008504A1">
        <w:rPr>
          <w:rFonts w:ascii="Times New Roman" w:hAnsi="Times New Roman" w:cs="Times New Roman"/>
          <w:sz w:val="28"/>
          <w:szCs w:val="28"/>
        </w:rPr>
        <w:t xml:space="preserve"> that afternoon. When the deputy</w:t>
      </w:r>
      <w:r w:rsidRPr="008504A1">
        <w:rPr>
          <w:rFonts w:ascii="Times New Roman" w:hAnsi="Times New Roman" w:cs="Times New Roman"/>
          <w:sz w:val="28"/>
          <w:szCs w:val="28"/>
        </w:rPr>
        <w:t xml:space="preserve"> sheriff called him, he did not pick up her</w:t>
      </w:r>
      <w:r w:rsidR="00C5562F" w:rsidRPr="008504A1">
        <w:rPr>
          <w:rFonts w:ascii="Times New Roman" w:hAnsi="Times New Roman" w:cs="Times New Roman"/>
          <w:sz w:val="28"/>
          <w:szCs w:val="28"/>
        </w:rPr>
        <w:t xml:space="preserve"> calls. Then the sheriff said sh</w:t>
      </w:r>
      <w:r w:rsidRPr="008504A1">
        <w:rPr>
          <w:rFonts w:ascii="Times New Roman" w:hAnsi="Times New Roman" w:cs="Times New Roman"/>
          <w:sz w:val="28"/>
          <w:szCs w:val="28"/>
        </w:rPr>
        <w:t>e served the process on legal office on the 27</w:t>
      </w:r>
      <w:r w:rsidRPr="008504A1">
        <w:rPr>
          <w:rFonts w:ascii="Times New Roman" w:hAnsi="Times New Roman" w:cs="Times New Roman"/>
          <w:sz w:val="28"/>
          <w:szCs w:val="28"/>
          <w:vertAlign w:val="superscript"/>
        </w:rPr>
        <w:t>th</w:t>
      </w:r>
      <w:r w:rsidRPr="008504A1">
        <w:rPr>
          <w:rFonts w:ascii="Times New Roman" w:hAnsi="Times New Roman" w:cs="Times New Roman"/>
          <w:sz w:val="28"/>
          <w:szCs w:val="28"/>
        </w:rPr>
        <w:t xml:space="preserve"> May 2022.</w:t>
      </w:r>
    </w:p>
    <w:p w14:paraId="00293293" w14:textId="77777777" w:rsidR="00B16D20" w:rsidRPr="00B16D20" w:rsidRDefault="00B16D20" w:rsidP="008504A1">
      <w:pPr>
        <w:spacing w:before="240" w:line="360" w:lineRule="auto"/>
        <w:contextualSpacing/>
        <w:jc w:val="both"/>
        <w:rPr>
          <w:rFonts w:ascii="Times New Roman" w:hAnsi="Times New Roman" w:cs="Times New Roman"/>
          <w:sz w:val="24"/>
          <w:szCs w:val="24"/>
        </w:rPr>
      </w:pPr>
    </w:p>
    <w:p w14:paraId="449C07C1" w14:textId="6FF44DC8" w:rsidR="00BA303D" w:rsidRDefault="00BA303D" w:rsidP="008504A1">
      <w:pPr>
        <w:spacing w:before="240" w:line="360" w:lineRule="auto"/>
        <w:contextualSpacing/>
        <w:jc w:val="both"/>
        <w:rPr>
          <w:rFonts w:ascii="Times New Roman" w:hAnsi="Times New Roman" w:cs="Times New Roman"/>
          <w:sz w:val="28"/>
          <w:szCs w:val="28"/>
        </w:rPr>
      </w:pPr>
      <w:r w:rsidRPr="008504A1">
        <w:rPr>
          <w:rFonts w:ascii="Times New Roman" w:hAnsi="Times New Roman" w:cs="Times New Roman"/>
          <w:sz w:val="28"/>
          <w:szCs w:val="28"/>
        </w:rPr>
        <w:t>[2</w:t>
      </w:r>
      <w:r w:rsidR="003537B1">
        <w:rPr>
          <w:rFonts w:ascii="Times New Roman" w:hAnsi="Times New Roman" w:cs="Times New Roman"/>
          <w:sz w:val="28"/>
          <w:szCs w:val="28"/>
        </w:rPr>
        <w:t>2</w:t>
      </w:r>
      <w:r w:rsidRPr="008504A1">
        <w:rPr>
          <w:rFonts w:ascii="Times New Roman" w:hAnsi="Times New Roman" w:cs="Times New Roman"/>
          <w:sz w:val="28"/>
          <w:szCs w:val="28"/>
        </w:rPr>
        <w:t>] This court holds a strong view that the office of Commissioner of Police- Legal became aware of the Interim Court Order that the deputy Sheriff was armed with to serve on the office of the Commissioner of Police. This court is further cognisant of the fact that</w:t>
      </w:r>
      <w:r w:rsidR="00CA615E" w:rsidRPr="008504A1">
        <w:rPr>
          <w:rFonts w:ascii="Times New Roman" w:hAnsi="Times New Roman" w:cs="Times New Roman"/>
          <w:sz w:val="28"/>
          <w:szCs w:val="28"/>
        </w:rPr>
        <w:t xml:space="preserve"> Police Nkuatsana did draw the attention of Mr. Maiseng to the court order, because Mr. Nkuatsana later conveyed the message to the deputy sheriff that Mr. Maiseng said he would receive the process on the 27</w:t>
      </w:r>
      <w:r w:rsidR="00CA615E" w:rsidRPr="008504A1">
        <w:rPr>
          <w:rFonts w:ascii="Times New Roman" w:hAnsi="Times New Roman" w:cs="Times New Roman"/>
          <w:sz w:val="28"/>
          <w:szCs w:val="28"/>
          <w:vertAlign w:val="superscript"/>
        </w:rPr>
        <w:t>th</w:t>
      </w:r>
      <w:r w:rsidR="00CA615E" w:rsidRPr="008504A1">
        <w:rPr>
          <w:rFonts w:ascii="Times New Roman" w:hAnsi="Times New Roman" w:cs="Times New Roman"/>
          <w:sz w:val="28"/>
          <w:szCs w:val="28"/>
        </w:rPr>
        <w:t xml:space="preserve"> May 2022. Coupled with the fact that the deputy sheriff said that she explained the nature of the Interim Court order to Mr. Maiseng, leaves this court with no doubt that Mr. Maiseng ‘s attention was brought to the court order. This court strongly holds that since the office of legal is the one that the deputy sheriff was advised, is the office responsible for receiving the court process for Commissioner of Police office, the office of the Commissioner of police, was aware of the court order in </w:t>
      </w:r>
      <w:r w:rsidR="00CA615E" w:rsidRPr="000A1349">
        <w:rPr>
          <w:rFonts w:ascii="Times New Roman" w:hAnsi="Times New Roman" w:cs="Times New Roman"/>
          <w:b/>
          <w:bCs/>
          <w:i/>
          <w:iCs/>
          <w:sz w:val="28"/>
          <w:szCs w:val="28"/>
        </w:rPr>
        <w:t>CIV/APN/0169/2022</w:t>
      </w:r>
      <w:r w:rsidR="00CA615E" w:rsidRPr="008504A1">
        <w:rPr>
          <w:rFonts w:ascii="Times New Roman" w:hAnsi="Times New Roman" w:cs="Times New Roman"/>
          <w:sz w:val="28"/>
          <w:szCs w:val="28"/>
        </w:rPr>
        <w:t xml:space="preserve">, </w:t>
      </w:r>
      <w:r w:rsidR="00542D4E" w:rsidRPr="008504A1">
        <w:rPr>
          <w:rFonts w:ascii="Times New Roman" w:hAnsi="Times New Roman" w:cs="Times New Roman"/>
          <w:sz w:val="28"/>
          <w:szCs w:val="28"/>
        </w:rPr>
        <w:t>on the 25</w:t>
      </w:r>
      <w:r w:rsidR="00542D4E" w:rsidRPr="008504A1">
        <w:rPr>
          <w:rFonts w:ascii="Times New Roman" w:hAnsi="Times New Roman" w:cs="Times New Roman"/>
          <w:sz w:val="28"/>
          <w:szCs w:val="28"/>
          <w:vertAlign w:val="superscript"/>
        </w:rPr>
        <w:t>th</w:t>
      </w:r>
      <w:r w:rsidR="00542D4E" w:rsidRPr="008504A1">
        <w:rPr>
          <w:rFonts w:ascii="Times New Roman" w:hAnsi="Times New Roman" w:cs="Times New Roman"/>
          <w:sz w:val="28"/>
          <w:szCs w:val="28"/>
        </w:rPr>
        <w:t xml:space="preserve"> May 2022, when the first respondent terminated the applicants’ appointment as Police recruits.</w:t>
      </w:r>
    </w:p>
    <w:p w14:paraId="30E2505B" w14:textId="77777777" w:rsidR="00186C70" w:rsidRPr="00EB3375" w:rsidRDefault="00186C70" w:rsidP="008504A1">
      <w:pPr>
        <w:spacing w:before="240" w:line="360" w:lineRule="auto"/>
        <w:contextualSpacing/>
        <w:jc w:val="both"/>
        <w:rPr>
          <w:rFonts w:ascii="Times New Roman" w:hAnsi="Times New Roman" w:cs="Times New Roman"/>
          <w:sz w:val="24"/>
          <w:szCs w:val="24"/>
        </w:rPr>
      </w:pPr>
    </w:p>
    <w:p w14:paraId="0522F155" w14:textId="0F776B5D" w:rsidR="00186C70" w:rsidRPr="006920E1" w:rsidRDefault="00542D4E" w:rsidP="008504A1">
      <w:pPr>
        <w:spacing w:before="240" w:line="360" w:lineRule="auto"/>
        <w:contextualSpacing/>
        <w:jc w:val="both"/>
        <w:rPr>
          <w:rFonts w:ascii="Times New Roman" w:hAnsi="Times New Roman" w:cs="Times New Roman"/>
          <w:sz w:val="28"/>
          <w:szCs w:val="28"/>
        </w:rPr>
      </w:pPr>
      <w:r w:rsidRPr="008504A1">
        <w:rPr>
          <w:rFonts w:ascii="Times New Roman" w:hAnsi="Times New Roman" w:cs="Times New Roman"/>
          <w:sz w:val="28"/>
          <w:szCs w:val="28"/>
        </w:rPr>
        <w:t>[2</w:t>
      </w:r>
      <w:r w:rsidR="003537B1">
        <w:rPr>
          <w:rFonts w:ascii="Times New Roman" w:hAnsi="Times New Roman" w:cs="Times New Roman"/>
          <w:sz w:val="28"/>
          <w:szCs w:val="28"/>
        </w:rPr>
        <w:t>3</w:t>
      </w:r>
      <w:r w:rsidRPr="008504A1">
        <w:rPr>
          <w:rFonts w:ascii="Times New Roman" w:hAnsi="Times New Roman" w:cs="Times New Roman"/>
          <w:sz w:val="28"/>
          <w:szCs w:val="28"/>
        </w:rPr>
        <w:t>] Applicants have stated that they informed one instructor by the name of Chitja that they did not submit their representations because there was a court order, which</w:t>
      </w:r>
      <w:r w:rsidR="00506B9E" w:rsidRPr="008504A1">
        <w:rPr>
          <w:rFonts w:ascii="Times New Roman" w:hAnsi="Times New Roman" w:cs="Times New Roman"/>
          <w:sz w:val="28"/>
          <w:szCs w:val="28"/>
        </w:rPr>
        <w:t xml:space="preserve"> directed the first </w:t>
      </w:r>
      <w:r w:rsidR="000E56FC" w:rsidRPr="008504A1">
        <w:rPr>
          <w:rFonts w:ascii="Times New Roman" w:hAnsi="Times New Roman" w:cs="Times New Roman"/>
          <w:sz w:val="28"/>
          <w:szCs w:val="28"/>
        </w:rPr>
        <w:t xml:space="preserve">respondent to hold in abeyance submission of </w:t>
      </w:r>
      <w:r w:rsidR="00506B9E" w:rsidRPr="008504A1">
        <w:rPr>
          <w:rFonts w:ascii="Times New Roman" w:hAnsi="Times New Roman" w:cs="Times New Roman"/>
          <w:sz w:val="28"/>
          <w:szCs w:val="28"/>
        </w:rPr>
        <w:t>the letters of representations from the applicants. Applicants state</w:t>
      </w:r>
      <w:r w:rsidR="000E56FC" w:rsidRPr="008504A1">
        <w:rPr>
          <w:rFonts w:ascii="Times New Roman" w:hAnsi="Times New Roman" w:cs="Times New Roman"/>
          <w:sz w:val="28"/>
          <w:szCs w:val="28"/>
        </w:rPr>
        <w:t>d that they showed the court orders</w:t>
      </w:r>
      <w:r w:rsidR="00506B9E" w:rsidRPr="008504A1">
        <w:rPr>
          <w:rFonts w:ascii="Times New Roman" w:hAnsi="Times New Roman" w:cs="Times New Roman"/>
          <w:sz w:val="28"/>
          <w:szCs w:val="28"/>
        </w:rPr>
        <w:t xml:space="preserve"> to Mr. Chitja, who then made a call to someone unknown to the applicants. This court should mention that Mr.</w:t>
      </w:r>
      <w:r w:rsidR="00186C70">
        <w:rPr>
          <w:rFonts w:ascii="Times New Roman" w:hAnsi="Times New Roman" w:cs="Times New Roman"/>
          <w:sz w:val="28"/>
          <w:szCs w:val="28"/>
        </w:rPr>
        <w:t xml:space="preserve"> </w:t>
      </w:r>
      <w:r w:rsidR="00506B9E" w:rsidRPr="008504A1">
        <w:rPr>
          <w:rFonts w:ascii="Times New Roman" w:hAnsi="Times New Roman" w:cs="Times New Roman"/>
          <w:sz w:val="28"/>
          <w:szCs w:val="28"/>
        </w:rPr>
        <w:t>Chitja does not deny that the court orders were brought to his attention as one of the instructors.</w:t>
      </w:r>
      <w:r w:rsidRPr="008504A1">
        <w:rPr>
          <w:rFonts w:ascii="Times New Roman" w:hAnsi="Times New Roman" w:cs="Times New Roman"/>
          <w:sz w:val="28"/>
          <w:szCs w:val="28"/>
        </w:rPr>
        <w:t xml:space="preserve"> </w:t>
      </w:r>
    </w:p>
    <w:p w14:paraId="2890EED2" w14:textId="0DC61E59" w:rsidR="002B2A98" w:rsidRDefault="002B2A98" w:rsidP="008504A1">
      <w:pPr>
        <w:spacing w:before="240" w:line="360" w:lineRule="auto"/>
        <w:contextualSpacing/>
        <w:jc w:val="both"/>
        <w:rPr>
          <w:rFonts w:ascii="Times New Roman" w:hAnsi="Times New Roman" w:cs="Times New Roman"/>
          <w:sz w:val="28"/>
          <w:szCs w:val="28"/>
        </w:rPr>
      </w:pPr>
      <w:r w:rsidRPr="008504A1">
        <w:rPr>
          <w:rFonts w:ascii="Times New Roman" w:hAnsi="Times New Roman" w:cs="Times New Roman"/>
          <w:sz w:val="28"/>
          <w:szCs w:val="28"/>
        </w:rPr>
        <w:lastRenderedPageBreak/>
        <w:t>[2</w:t>
      </w:r>
      <w:r w:rsidR="003537B1">
        <w:rPr>
          <w:rFonts w:ascii="Times New Roman" w:hAnsi="Times New Roman" w:cs="Times New Roman"/>
          <w:sz w:val="28"/>
          <w:szCs w:val="28"/>
        </w:rPr>
        <w:t>4</w:t>
      </w:r>
      <w:r w:rsidRPr="008504A1">
        <w:rPr>
          <w:rFonts w:ascii="Times New Roman" w:hAnsi="Times New Roman" w:cs="Times New Roman"/>
          <w:sz w:val="28"/>
          <w:szCs w:val="28"/>
        </w:rPr>
        <w:t xml:space="preserve">] This court is troubled by the conduct of Senior </w:t>
      </w:r>
      <w:r w:rsidR="00817D90" w:rsidRPr="008504A1">
        <w:rPr>
          <w:rFonts w:ascii="Times New Roman" w:hAnsi="Times New Roman" w:cs="Times New Roman"/>
          <w:sz w:val="28"/>
          <w:szCs w:val="28"/>
        </w:rPr>
        <w:t>Superintendent</w:t>
      </w:r>
      <w:r w:rsidRPr="008504A1">
        <w:rPr>
          <w:rFonts w:ascii="Times New Roman" w:hAnsi="Times New Roman" w:cs="Times New Roman"/>
          <w:sz w:val="28"/>
          <w:szCs w:val="28"/>
        </w:rPr>
        <w:t xml:space="preserve"> Maiseng. The court should mention that</w:t>
      </w:r>
      <w:r w:rsidR="00817D90" w:rsidRPr="008504A1">
        <w:rPr>
          <w:rFonts w:ascii="Times New Roman" w:hAnsi="Times New Roman" w:cs="Times New Roman"/>
          <w:sz w:val="28"/>
          <w:szCs w:val="28"/>
        </w:rPr>
        <w:t xml:space="preserve"> the</w:t>
      </w:r>
      <w:r w:rsidRPr="008504A1">
        <w:rPr>
          <w:rFonts w:ascii="Times New Roman" w:hAnsi="Times New Roman" w:cs="Times New Roman"/>
          <w:sz w:val="28"/>
          <w:szCs w:val="28"/>
        </w:rPr>
        <w:t xml:space="preserve"> rank of Senior </w:t>
      </w:r>
      <w:r w:rsidR="00817D90" w:rsidRPr="008504A1">
        <w:rPr>
          <w:rFonts w:ascii="Times New Roman" w:hAnsi="Times New Roman" w:cs="Times New Roman"/>
          <w:sz w:val="28"/>
          <w:szCs w:val="28"/>
        </w:rPr>
        <w:t>Superintendent</w:t>
      </w:r>
      <w:r w:rsidRPr="008504A1">
        <w:rPr>
          <w:rFonts w:ascii="Times New Roman" w:hAnsi="Times New Roman" w:cs="Times New Roman"/>
          <w:sz w:val="28"/>
          <w:szCs w:val="28"/>
        </w:rPr>
        <w:t xml:space="preserve"> is a very senior rank within the Police Service. This court is further troubled by the fact that after being advised by the deputy Sheriff about the nature of court process that, she was going to serve on the office of the first respondent, Mr. Maiseng simply said that he would receive the court process on 27</w:t>
      </w:r>
      <w:r w:rsidRPr="008504A1">
        <w:rPr>
          <w:rFonts w:ascii="Times New Roman" w:hAnsi="Times New Roman" w:cs="Times New Roman"/>
          <w:sz w:val="28"/>
          <w:szCs w:val="28"/>
          <w:vertAlign w:val="superscript"/>
        </w:rPr>
        <w:t>th</w:t>
      </w:r>
      <w:r w:rsidRPr="008504A1">
        <w:rPr>
          <w:rFonts w:ascii="Times New Roman" w:hAnsi="Times New Roman" w:cs="Times New Roman"/>
          <w:sz w:val="28"/>
          <w:szCs w:val="28"/>
        </w:rPr>
        <w:t xml:space="preserve"> May 2022. What his attitude says to this court is that he did not care at all about the court process of this court. He made it very clear to Mr. Nkuatsana and the deputy sheriff, that he would receive the court process on the 27</w:t>
      </w:r>
      <w:r w:rsidRPr="008504A1">
        <w:rPr>
          <w:rFonts w:ascii="Times New Roman" w:hAnsi="Times New Roman" w:cs="Times New Roman"/>
          <w:sz w:val="28"/>
          <w:szCs w:val="28"/>
          <w:vertAlign w:val="superscript"/>
        </w:rPr>
        <w:t>th</w:t>
      </w:r>
      <w:r w:rsidRPr="008504A1">
        <w:rPr>
          <w:rFonts w:ascii="Times New Roman" w:hAnsi="Times New Roman" w:cs="Times New Roman"/>
          <w:sz w:val="28"/>
          <w:szCs w:val="28"/>
        </w:rPr>
        <w:t xml:space="preserve"> May 2027. His entire attitu</w:t>
      </w:r>
      <w:r w:rsidR="00C9293E" w:rsidRPr="008504A1">
        <w:rPr>
          <w:rFonts w:ascii="Times New Roman" w:hAnsi="Times New Roman" w:cs="Times New Roman"/>
          <w:sz w:val="28"/>
          <w:szCs w:val="28"/>
        </w:rPr>
        <w:t>de towards the court process</w:t>
      </w:r>
      <w:r w:rsidR="00817D90" w:rsidRPr="008504A1">
        <w:rPr>
          <w:rFonts w:ascii="Times New Roman" w:hAnsi="Times New Roman" w:cs="Times New Roman"/>
          <w:sz w:val="28"/>
          <w:szCs w:val="28"/>
        </w:rPr>
        <w:t>, translates into the conclusion</w:t>
      </w:r>
      <w:r w:rsidR="00C9293E" w:rsidRPr="008504A1">
        <w:rPr>
          <w:rFonts w:ascii="Times New Roman" w:hAnsi="Times New Roman" w:cs="Times New Roman"/>
          <w:sz w:val="28"/>
          <w:szCs w:val="28"/>
        </w:rPr>
        <w:t xml:space="preserve"> that he had no respect for the court process at all. It further says that he put his own perso</w:t>
      </w:r>
      <w:r w:rsidR="00817D90" w:rsidRPr="008504A1">
        <w:rPr>
          <w:rFonts w:ascii="Times New Roman" w:hAnsi="Times New Roman" w:cs="Times New Roman"/>
          <w:sz w:val="28"/>
          <w:szCs w:val="28"/>
        </w:rPr>
        <w:t>nal convenience ahead of the court processes</w:t>
      </w:r>
      <w:r w:rsidR="00C9293E" w:rsidRPr="008504A1">
        <w:rPr>
          <w:rFonts w:ascii="Times New Roman" w:hAnsi="Times New Roman" w:cs="Times New Roman"/>
          <w:sz w:val="28"/>
          <w:szCs w:val="28"/>
        </w:rPr>
        <w:t xml:space="preserve"> of this C</w:t>
      </w:r>
      <w:r w:rsidR="00817D90" w:rsidRPr="008504A1">
        <w:rPr>
          <w:rFonts w:ascii="Times New Roman" w:hAnsi="Times New Roman" w:cs="Times New Roman"/>
          <w:sz w:val="28"/>
          <w:szCs w:val="28"/>
        </w:rPr>
        <w:t>ourt. This court does not</w:t>
      </w:r>
      <w:r w:rsidR="00C9293E" w:rsidRPr="008504A1">
        <w:rPr>
          <w:rFonts w:ascii="Times New Roman" w:hAnsi="Times New Roman" w:cs="Times New Roman"/>
          <w:sz w:val="28"/>
          <w:szCs w:val="28"/>
        </w:rPr>
        <w:t xml:space="preserve"> doubt the deputy sheriff’s averment that, they agreed to meet the next day, the 25</w:t>
      </w:r>
      <w:r w:rsidR="00C9293E" w:rsidRPr="008504A1">
        <w:rPr>
          <w:rFonts w:ascii="Times New Roman" w:hAnsi="Times New Roman" w:cs="Times New Roman"/>
          <w:sz w:val="28"/>
          <w:szCs w:val="28"/>
          <w:vertAlign w:val="superscript"/>
        </w:rPr>
        <w:t>th</w:t>
      </w:r>
      <w:r w:rsidR="00C9293E" w:rsidRPr="008504A1">
        <w:rPr>
          <w:rFonts w:ascii="Times New Roman" w:hAnsi="Times New Roman" w:cs="Times New Roman"/>
          <w:sz w:val="28"/>
          <w:szCs w:val="28"/>
        </w:rPr>
        <w:t xml:space="preserve"> May 2022, to effect service on him. But that wasn’t to be, as he never picked the deputy sheriff’s telephone calls as he had undertaken. This attitude further indicates clear disrespect of this court process by this officer, who is supposed to protect and respect the orders of this Court. The conclusion that the office of the first respondent deliberately failed to comply with the Orders of this court cannot be avoided.</w:t>
      </w:r>
    </w:p>
    <w:p w14:paraId="5B26B6D1" w14:textId="77777777" w:rsidR="000816B7" w:rsidRPr="00EB3375" w:rsidRDefault="000816B7" w:rsidP="008504A1">
      <w:pPr>
        <w:spacing w:before="240" w:line="360" w:lineRule="auto"/>
        <w:contextualSpacing/>
        <w:jc w:val="both"/>
        <w:rPr>
          <w:rFonts w:ascii="Times New Roman" w:hAnsi="Times New Roman" w:cs="Times New Roman"/>
          <w:sz w:val="24"/>
          <w:szCs w:val="24"/>
        </w:rPr>
      </w:pPr>
    </w:p>
    <w:p w14:paraId="77406988" w14:textId="499353E3" w:rsidR="00C9293E" w:rsidRDefault="00C9293E" w:rsidP="008504A1">
      <w:pPr>
        <w:spacing w:before="240" w:line="360" w:lineRule="auto"/>
        <w:contextualSpacing/>
        <w:jc w:val="both"/>
        <w:rPr>
          <w:rFonts w:ascii="Times New Roman" w:hAnsi="Times New Roman" w:cs="Times New Roman"/>
          <w:sz w:val="28"/>
          <w:szCs w:val="28"/>
        </w:rPr>
      </w:pPr>
      <w:r w:rsidRPr="008504A1">
        <w:rPr>
          <w:rFonts w:ascii="Times New Roman" w:hAnsi="Times New Roman" w:cs="Times New Roman"/>
          <w:sz w:val="28"/>
          <w:szCs w:val="28"/>
        </w:rPr>
        <w:t>[2</w:t>
      </w:r>
      <w:r w:rsidR="003537B1">
        <w:rPr>
          <w:rFonts w:ascii="Times New Roman" w:hAnsi="Times New Roman" w:cs="Times New Roman"/>
          <w:sz w:val="28"/>
          <w:szCs w:val="28"/>
        </w:rPr>
        <w:t>5</w:t>
      </w:r>
      <w:r w:rsidRPr="008504A1">
        <w:rPr>
          <w:rFonts w:ascii="Times New Roman" w:hAnsi="Times New Roman" w:cs="Times New Roman"/>
          <w:sz w:val="28"/>
          <w:szCs w:val="28"/>
        </w:rPr>
        <w:t>] This court is further troubled by the fact that the applicants clearly stated that on the 25</w:t>
      </w:r>
      <w:r w:rsidRPr="008504A1">
        <w:rPr>
          <w:rFonts w:ascii="Times New Roman" w:hAnsi="Times New Roman" w:cs="Times New Roman"/>
          <w:sz w:val="28"/>
          <w:szCs w:val="28"/>
          <w:vertAlign w:val="superscript"/>
        </w:rPr>
        <w:t>th</w:t>
      </w:r>
      <w:r w:rsidRPr="008504A1">
        <w:rPr>
          <w:rFonts w:ascii="Times New Roman" w:hAnsi="Times New Roman" w:cs="Times New Roman"/>
          <w:sz w:val="28"/>
          <w:szCs w:val="28"/>
        </w:rPr>
        <w:t xml:space="preserve"> May 2022, they brought the Court order </w:t>
      </w:r>
      <w:r w:rsidR="0003048B" w:rsidRPr="008504A1">
        <w:rPr>
          <w:rFonts w:ascii="Times New Roman" w:hAnsi="Times New Roman" w:cs="Times New Roman"/>
          <w:sz w:val="28"/>
          <w:szCs w:val="28"/>
        </w:rPr>
        <w:t>to the attention of one officer</w:t>
      </w:r>
      <w:r w:rsidRPr="008504A1">
        <w:rPr>
          <w:rFonts w:ascii="Times New Roman" w:hAnsi="Times New Roman" w:cs="Times New Roman"/>
          <w:sz w:val="28"/>
          <w:szCs w:val="28"/>
        </w:rPr>
        <w:t xml:space="preserve">, they described as Sir Chitja. This court has no doubt in its mind that the </w:t>
      </w:r>
      <w:r w:rsidR="00817D90" w:rsidRPr="008504A1">
        <w:rPr>
          <w:rFonts w:ascii="Times New Roman" w:hAnsi="Times New Roman" w:cs="Times New Roman"/>
          <w:sz w:val="28"/>
          <w:szCs w:val="28"/>
        </w:rPr>
        <w:t>officer</w:t>
      </w:r>
      <w:r w:rsidR="000816B7">
        <w:rPr>
          <w:rFonts w:ascii="Times New Roman" w:hAnsi="Times New Roman" w:cs="Times New Roman"/>
          <w:sz w:val="28"/>
          <w:szCs w:val="28"/>
        </w:rPr>
        <w:t xml:space="preserve"> </w:t>
      </w:r>
      <w:r w:rsidR="00817D90" w:rsidRPr="008504A1">
        <w:rPr>
          <w:rFonts w:ascii="Times New Roman" w:hAnsi="Times New Roman" w:cs="Times New Roman"/>
          <w:sz w:val="28"/>
          <w:szCs w:val="28"/>
        </w:rPr>
        <w:t>(Chitja)</w:t>
      </w:r>
      <w:r w:rsidRPr="008504A1">
        <w:rPr>
          <w:rFonts w:ascii="Times New Roman" w:hAnsi="Times New Roman" w:cs="Times New Roman"/>
          <w:sz w:val="28"/>
          <w:szCs w:val="28"/>
        </w:rPr>
        <w:t xml:space="preserve"> of the first respondent came to know of the order of this court. Chitja was described as one of the instructors at PTC. </w:t>
      </w:r>
      <w:r w:rsidR="0003048B" w:rsidRPr="008504A1">
        <w:rPr>
          <w:rFonts w:ascii="Times New Roman" w:hAnsi="Times New Roman" w:cs="Times New Roman"/>
          <w:sz w:val="28"/>
          <w:szCs w:val="28"/>
        </w:rPr>
        <w:t xml:space="preserve">This officer knew that the applicants were supposed to submit their letters of representations on that day, that is why he asked them where their letters were. This court holds a view that, Chitja upon realisation of the court orders, picked a phone and made calls. This court strongly believes that he was reporting to his superiors about that state of affairs. It is for </w:t>
      </w:r>
      <w:r w:rsidR="0003048B" w:rsidRPr="008504A1">
        <w:rPr>
          <w:rFonts w:ascii="Times New Roman" w:hAnsi="Times New Roman" w:cs="Times New Roman"/>
          <w:sz w:val="28"/>
          <w:szCs w:val="28"/>
        </w:rPr>
        <w:lastRenderedPageBreak/>
        <w:t>this reason that this court holds that the Court order of this court was not complied with by the first respondent deliberately.</w:t>
      </w:r>
    </w:p>
    <w:p w14:paraId="7D1D7F0A" w14:textId="77777777" w:rsidR="000816B7" w:rsidRPr="00EB3375" w:rsidRDefault="000816B7" w:rsidP="008504A1">
      <w:pPr>
        <w:spacing w:before="240" w:line="360" w:lineRule="auto"/>
        <w:contextualSpacing/>
        <w:jc w:val="both"/>
        <w:rPr>
          <w:rFonts w:ascii="Times New Roman" w:hAnsi="Times New Roman" w:cs="Times New Roman"/>
          <w:sz w:val="24"/>
          <w:szCs w:val="24"/>
        </w:rPr>
      </w:pPr>
    </w:p>
    <w:p w14:paraId="4E564A9C" w14:textId="6473E51D" w:rsidR="00330380" w:rsidRDefault="0003048B" w:rsidP="008504A1">
      <w:pPr>
        <w:spacing w:before="240" w:line="360" w:lineRule="auto"/>
        <w:contextualSpacing/>
        <w:jc w:val="both"/>
        <w:rPr>
          <w:rFonts w:ascii="Times New Roman" w:hAnsi="Times New Roman" w:cs="Times New Roman"/>
          <w:sz w:val="28"/>
          <w:szCs w:val="28"/>
        </w:rPr>
      </w:pPr>
      <w:r w:rsidRPr="008504A1">
        <w:rPr>
          <w:rFonts w:ascii="Times New Roman" w:hAnsi="Times New Roman" w:cs="Times New Roman"/>
          <w:sz w:val="28"/>
          <w:szCs w:val="28"/>
        </w:rPr>
        <w:t>[2</w:t>
      </w:r>
      <w:r w:rsidR="003537B1">
        <w:rPr>
          <w:rFonts w:ascii="Times New Roman" w:hAnsi="Times New Roman" w:cs="Times New Roman"/>
          <w:sz w:val="28"/>
          <w:szCs w:val="28"/>
        </w:rPr>
        <w:t>6</w:t>
      </w:r>
      <w:r w:rsidRPr="008504A1">
        <w:rPr>
          <w:rFonts w:ascii="Times New Roman" w:hAnsi="Times New Roman" w:cs="Times New Roman"/>
          <w:sz w:val="28"/>
          <w:szCs w:val="28"/>
        </w:rPr>
        <w:t>] The other issue that is of great concern to this court, is that assuming for a minute that on the 25</w:t>
      </w:r>
      <w:r w:rsidRPr="008504A1">
        <w:rPr>
          <w:rFonts w:ascii="Times New Roman" w:hAnsi="Times New Roman" w:cs="Times New Roman"/>
          <w:sz w:val="28"/>
          <w:szCs w:val="28"/>
          <w:vertAlign w:val="superscript"/>
        </w:rPr>
        <w:t>th</w:t>
      </w:r>
      <w:r w:rsidRPr="008504A1">
        <w:rPr>
          <w:rFonts w:ascii="Times New Roman" w:hAnsi="Times New Roman" w:cs="Times New Roman"/>
          <w:sz w:val="28"/>
          <w:szCs w:val="28"/>
        </w:rPr>
        <w:t xml:space="preserve"> May 2022, the first respondent was not aware of </w:t>
      </w:r>
      <w:r w:rsidR="00817D90" w:rsidRPr="008504A1">
        <w:rPr>
          <w:rFonts w:ascii="Times New Roman" w:hAnsi="Times New Roman" w:cs="Times New Roman"/>
          <w:sz w:val="28"/>
          <w:szCs w:val="28"/>
        </w:rPr>
        <w:t>the court order, granted on the 24</w:t>
      </w:r>
      <w:r w:rsidR="00817D90" w:rsidRPr="008504A1">
        <w:rPr>
          <w:rFonts w:ascii="Times New Roman" w:hAnsi="Times New Roman" w:cs="Times New Roman"/>
          <w:sz w:val="28"/>
          <w:szCs w:val="28"/>
          <w:vertAlign w:val="superscript"/>
        </w:rPr>
        <w:t>th</w:t>
      </w:r>
      <w:r w:rsidR="00817D90" w:rsidRPr="008504A1">
        <w:rPr>
          <w:rFonts w:ascii="Times New Roman" w:hAnsi="Times New Roman" w:cs="Times New Roman"/>
          <w:sz w:val="28"/>
          <w:szCs w:val="28"/>
        </w:rPr>
        <w:t xml:space="preserve"> May 2022. </w:t>
      </w:r>
      <w:r w:rsidR="00C21131" w:rsidRPr="008504A1">
        <w:rPr>
          <w:rFonts w:ascii="Times New Roman" w:hAnsi="Times New Roman" w:cs="Times New Roman"/>
          <w:sz w:val="28"/>
          <w:szCs w:val="28"/>
        </w:rPr>
        <w:t>The first respondent</w:t>
      </w:r>
      <w:r w:rsidRPr="008504A1">
        <w:rPr>
          <w:rFonts w:ascii="Times New Roman" w:hAnsi="Times New Roman" w:cs="Times New Roman"/>
          <w:sz w:val="28"/>
          <w:szCs w:val="28"/>
        </w:rPr>
        <w:t xml:space="preserve"> says he became aware of the Court Order on the 27</w:t>
      </w:r>
      <w:r w:rsidRPr="008504A1">
        <w:rPr>
          <w:rFonts w:ascii="Times New Roman" w:hAnsi="Times New Roman" w:cs="Times New Roman"/>
          <w:sz w:val="28"/>
          <w:szCs w:val="28"/>
          <w:vertAlign w:val="superscript"/>
        </w:rPr>
        <w:t>th</w:t>
      </w:r>
      <w:r w:rsidRPr="008504A1">
        <w:rPr>
          <w:rFonts w:ascii="Times New Roman" w:hAnsi="Times New Roman" w:cs="Times New Roman"/>
          <w:sz w:val="28"/>
          <w:szCs w:val="28"/>
        </w:rPr>
        <w:t xml:space="preserve"> May 2022, when it was officially served. The question that comes to this court’s mind, is what has the first respondent done about that court order to date.</w:t>
      </w:r>
      <w:r w:rsidR="003B3277" w:rsidRPr="008504A1">
        <w:rPr>
          <w:rFonts w:ascii="Times New Roman" w:hAnsi="Times New Roman" w:cs="Times New Roman"/>
          <w:sz w:val="28"/>
          <w:szCs w:val="28"/>
        </w:rPr>
        <w:t xml:space="preserve"> Has the first respondent complied with the said court order, having come to know of its </w:t>
      </w:r>
      <w:r w:rsidR="000816B7" w:rsidRPr="008504A1">
        <w:rPr>
          <w:rFonts w:ascii="Times New Roman" w:hAnsi="Times New Roman" w:cs="Times New Roman"/>
          <w:sz w:val="28"/>
          <w:szCs w:val="28"/>
        </w:rPr>
        <w:t>existence?</w:t>
      </w:r>
      <w:r w:rsidR="00C354D2">
        <w:rPr>
          <w:rFonts w:ascii="Times New Roman" w:hAnsi="Times New Roman" w:cs="Times New Roman"/>
          <w:sz w:val="28"/>
          <w:szCs w:val="28"/>
        </w:rPr>
        <w:t xml:space="preserve"> </w:t>
      </w:r>
      <w:r w:rsidR="003B3277" w:rsidRPr="008504A1">
        <w:rPr>
          <w:rFonts w:ascii="Times New Roman" w:hAnsi="Times New Roman" w:cs="Times New Roman"/>
          <w:sz w:val="28"/>
          <w:szCs w:val="28"/>
        </w:rPr>
        <w:t xml:space="preserve"> Having been aware, assuming that on the 25</w:t>
      </w:r>
      <w:r w:rsidR="003B3277" w:rsidRPr="008504A1">
        <w:rPr>
          <w:rFonts w:ascii="Times New Roman" w:hAnsi="Times New Roman" w:cs="Times New Roman"/>
          <w:sz w:val="28"/>
          <w:szCs w:val="28"/>
          <w:vertAlign w:val="superscript"/>
        </w:rPr>
        <w:t>th</w:t>
      </w:r>
      <w:r w:rsidR="003B3277" w:rsidRPr="008504A1">
        <w:rPr>
          <w:rFonts w:ascii="Times New Roman" w:hAnsi="Times New Roman" w:cs="Times New Roman"/>
          <w:sz w:val="28"/>
          <w:szCs w:val="28"/>
        </w:rPr>
        <w:t xml:space="preserve"> May 2022, he was not aware of the Court Order, has the first respondent cancelled his decision to discharge the applicants, in compliance with the court ord</w:t>
      </w:r>
      <w:r w:rsidR="004C110F" w:rsidRPr="008504A1">
        <w:rPr>
          <w:rFonts w:ascii="Times New Roman" w:hAnsi="Times New Roman" w:cs="Times New Roman"/>
          <w:sz w:val="28"/>
          <w:szCs w:val="28"/>
        </w:rPr>
        <w:t>er. The answer is unfortunately in the negative.</w:t>
      </w:r>
    </w:p>
    <w:p w14:paraId="58722A13" w14:textId="77777777" w:rsidR="00EC6213" w:rsidRPr="00EB3375" w:rsidRDefault="00EC6213" w:rsidP="008504A1">
      <w:pPr>
        <w:spacing w:before="240" w:line="360" w:lineRule="auto"/>
        <w:contextualSpacing/>
        <w:jc w:val="both"/>
        <w:rPr>
          <w:rFonts w:ascii="Times New Roman" w:hAnsi="Times New Roman" w:cs="Times New Roman"/>
          <w:sz w:val="24"/>
          <w:szCs w:val="24"/>
        </w:rPr>
      </w:pPr>
    </w:p>
    <w:p w14:paraId="2AF2CBE5" w14:textId="232B472D" w:rsidR="00B577FA" w:rsidRPr="00D53E21" w:rsidRDefault="00D53E21" w:rsidP="008504A1">
      <w:pPr>
        <w:spacing w:before="240" w:line="360" w:lineRule="auto"/>
        <w:contextualSpacing/>
        <w:jc w:val="both"/>
        <w:rPr>
          <w:rFonts w:ascii="Times New Roman" w:hAnsi="Times New Roman" w:cs="Times New Roman"/>
          <w:sz w:val="28"/>
          <w:szCs w:val="28"/>
        </w:rPr>
      </w:pPr>
      <w:r w:rsidRPr="00D53E21">
        <w:rPr>
          <w:rFonts w:ascii="Times New Roman" w:hAnsi="Times New Roman" w:cs="Times New Roman"/>
          <w:b/>
          <w:sz w:val="28"/>
          <w:szCs w:val="28"/>
        </w:rPr>
        <w:t>COMPLIANCE WITH COURT ORDERS</w:t>
      </w:r>
      <w:r w:rsidRPr="00D53E21">
        <w:rPr>
          <w:rFonts w:ascii="Times New Roman" w:hAnsi="Times New Roman" w:cs="Times New Roman"/>
          <w:sz w:val="28"/>
          <w:szCs w:val="28"/>
        </w:rPr>
        <w:t>:</w:t>
      </w:r>
    </w:p>
    <w:p w14:paraId="3F84E9F5" w14:textId="47FE69BC" w:rsidR="00B577FA" w:rsidRDefault="00B577FA" w:rsidP="008504A1">
      <w:pPr>
        <w:spacing w:before="240" w:line="360" w:lineRule="auto"/>
        <w:contextualSpacing/>
        <w:jc w:val="both"/>
        <w:rPr>
          <w:rFonts w:ascii="Times New Roman" w:hAnsi="Times New Roman" w:cs="Times New Roman"/>
          <w:sz w:val="28"/>
          <w:szCs w:val="28"/>
        </w:rPr>
      </w:pPr>
      <w:r w:rsidRPr="008504A1">
        <w:rPr>
          <w:rFonts w:ascii="Times New Roman" w:hAnsi="Times New Roman" w:cs="Times New Roman"/>
          <w:sz w:val="28"/>
          <w:szCs w:val="28"/>
        </w:rPr>
        <w:t>[2</w:t>
      </w:r>
      <w:r w:rsidR="003537B1">
        <w:rPr>
          <w:rFonts w:ascii="Times New Roman" w:hAnsi="Times New Roman" w:cs="Times New Roman"/>
          <w:sz w:val="28"/>
          <w:szCs w:val="28"/>
        </w:rPr>
        <w:t>7</w:t>
      </w:r>
      <w:r w:rsidRPr="008504A1">
        <w:rPr>
          <w:rFonts w:ascii="Times New Roman" w:hAnsi="Times New Roman" w:cs="Times New Roman"/>
          <w:sz w:val="28"/>
          <w:szCs w:val="28"/>
        </w:rPr>
        <w:t>] It is trite that compliance with Court Order is an issue of fundamental concern for society that seeks to base itself on the rule of law.</w:t>
      </w:r>
    </w:p>
    <w:p w14:paraId="47C0951F" w14:textId="77777777" w:rsidR="00FB0556" w:rsidRPr="00FB0556" w:rsidRDefault="00FB0556" w:rsidP="008504A1">
      <w:pPr>
        <w:spacing w:before="240" w:line="360" w:lineRule="auto"/>
        <w:contextualSpacing/>
        <w:jc w:val="both"/>
        <w:rPr>
          <w:rFonts w:ascii="Times New Roman" w:hAnsi="Times New Roman" w:cs="Times New Roman"/>
          <w:sz w:val="24"/>
          <w:szCs w:val="24"/>
        </w:rPr>
      </w:pPr>
    </w:p>
    <w:p w14:paraId="691026B5" w14:textId="43EB8F50" w:rsidR="003B3277" w:rsidRDefault="00B577FA" w:rsidP="008504A1">
      <w:pPr>
        <w:spacing w:before="240" w:line="360" w:lineRule="auto"/>
        <w:contextualSpacing/>
        <w:jc w:val="both"/>
        <w:rPr>
          <w:rFonts w:ascii="Times New Roman" w:hAnsi="Times New Roman" w:cs="Times New Roman"/>
          <w:sz w:val="28"/>
          <w:szCs w:val="28"/>
        </w:rPr>
      </w:pPr>
      <w:r w:rsidRPr="008504A1">
        <w:rPr>
          <w:rFonts w:ascii="Times New Roman" w:hAnsi="Times New Roman" w:cs="Times New Roman"/>
          <w:sz w:val="28"/>
          <w:szCs w:val="28"/>
        </w:rPr>
        <w:t>[2</w:t>
      </w:r>
      <w:r w:rsidR="003537B1">
        <w:rPr>
          <w:rFonts w:ascii="Times New Roman" w:hAnsi="Times New Roman" w:cs="Times New Roman"/>
          <w:sz w:val="28"/>
          <w:szCs w:val="28"/>
        </w:rPr>
        <w:t>8</w:t>
      </w:r>
      <w:r w:rsidR="003B3277" w:rsidRPr="008504A1">
        <w:rPr>
          <w:rFonts w:ascii="Times New Roman" w:hAnsi="Times New Roman" w:cs="Times New Roman"/>
          <w:sz w:val="28"/>
          <w:szCs w:val="28"/>
        </w:rPr>
        <w:t xml:space="preserve">] In the case of </w:t>
      </w:r>
      <w:bookmarkStart w:id="8" w:name="_Hlk110849031"/>
      <w:r w:rsidR="003B3277" w:rsidRPr="000A1349">
        <w:rPr>
          <w:rFonts w:ascii="Times New Roman" w:hAnsi="Times New Roman" w:cs="Times New Roman"/>
          <w:b/>
          <w:bCs/>
          <w:i/>
          <w:iCs/>
          <w:sz w:val="28"/>
          <w:szCs w:val="28"/>
        </w:rPr>
        <w:t xml:space="preserve">Marabe v Maseru Magistrates’ Court and </w:t>
      </w:r>
      <w:r w:rsidR="00D2090D">
        <w:rPr>
          <w:rFonts w:ascii="Times New Roman" w:hAnsi="Times New Roman" w:cs="Times New Roman"/>
          <w:b/>
          <w:bCs/>
          <w:i/>
          <w:iCs/>
          <w:sz w:val="28"/>
          <w:szCs w:val="28"/>
        </w:rPr>
        <w:t>O</w:t>
      </w:r>
      <w:r w:rsidR="003B3277" w:rsidRPr="000A1349">
        <w:rPr>
          <w:rFonts w:ascii="Times New Roman" w:hAnsi="Times New Roman" w:cs="Times New Roman"/>
          <w:b/>
          <w:bCs/>
          <w:i/>
          <w:iCs/>
          <w:sz w:val="28"/>
          <w:szCs w:val="28"/>
        </w:rPr>
        <w:t>thers</w:t>
      </w:r>
      <w:r w:rsidR="000207BB">
        <w:rPr>
          <w:rStyle w:val="FootnoteReference"/>
          <w:rFonts w:ascii="Times New Roman" w:hAnsi="Times New Roman" w:cs="Times New Roman"/>
          <w:b/>
          <w:bCs/>
          <w:sz w:val="28"/>
          <w:szCs w:val="28"/>
        </w:rPr>
        <w:footnoteReference w:id="16"/>
      </w:r>
      <w:r w:rsidR="003B3277" w:rsidRPr="00F0511F">
        <w:rPr>
          <w:rFonts w:ascii="Times New Roman" w:hAnsi="Times New Roman" w:cs="Times New Roman"/>
          <w:b/>
          <w:bCs/>
          <w:sz w:val="28"/>
          <w:szCs w:val="28"/>
        </w:rPr>
        <w:t xml:space="preserve"> </w:t>
      </w:r>
      <w:bookmarkEnd w:id="8"/>
      <w:r w:rsidR="00C168BA" w:rsidRPr="008504A1">
        <w:rPr>
          <w:rFonts w:ascii="Times New Roman" w:hAnsi="Times New Roman" w:cs="Times New Roman"/>
          <w:sz w:val="28"/>
          <w:szCs w:val="28"/>
        </w:rPr>
        <w:t xml:space="preserve"> </w:t>
      </w:r>
      <w:r w:rsidR="00C168BA" w:rsidRPr="00F0511F">
        <w:rPr>
          <w:rFonts w:ascii="Times New Roman" w:hAnsi="Times New Roman" w:cs="Times New Roman"/>
          <w:b/>
          <w:bCs/>
          <w:sz w:val="28"/>
          <w:szCs w:val="28"/>
        </w:rPr>
        <w:t>S.P Sakoane CJ</w:t>
      </w:r>
      <w:r w:rsidR="00C168BA" w:rsidRPr="008504A1">
        <w:rPr>
          <w:rFonts w:ascii="Times New Roman" w:hAnsi="Times New Roman" w:cs="Times New Roman"/>
          <w:sz w:val="28"/>
          <w:szCs w:val="28"/>
        </w:rPr>
        <w:t xml:space="preserve"> had this to say:</w:t>
      </w:r>
    </w:p>
    <w:p w14:paraId="2BA9CB44" w14:textId="77777777" w:rsidR="00C354D2" w:rsidRPr="00C354D2" w:rsidRDefault="00C354D2" w:rsidP="008504A1">
      <w:pPr>
        <w:spacing w:before="240" w:line="360" w:lineRule="auto"/>
        <w:contextualSpacing/>
        <w:jc w:val="both"/>
        <w:rPr>
          <w:rFonts w:ascii="Times New Roman" w:hAnsi="Times New Roman" w:cs="Times New Roman"/>
          <w:sz w:val="16"/>
          <w:szCs w:val="16"/>
        </w:rPr>
      </w:pPr>
    </w:p>
    <w:p w14:paraId="2BE7BD8E" w14:textId="77777777" w:rsidR="00C168BA" w:rsidRDefault="00C168BA" w:rsidP="00C354D2">
      <w:pPr>
        <w:spacing w:before="240" w:line="360" w:lineRule="auto"/>
        <w:ind w:left="720"/>
        <w:contextualSpacing/>
        <w:jc w:val="both"/>
        <w:rPr>
          <w:rFonts w:ascii="Times New Roman" w:hAnsi="Times New Roman" w:cs="Times New Roman"/>
          <w:sz w:val="28"/>
          <w:szCs w:val="28"/>
        </w:rPr>
      </w:pPr>
      <w:r w:rsidRPr="008504A1">
        <w:rPr>
          <w:rFonts w:ascii="Times New Roman" w:hAnsi="Times New Roman" w:cs="Times New Roman"/>
          <w:sz w:val="28"/>
          <w:szCs w:val="28"/>
        </w:rPr>
        <w:t>“…Disobedience of orders of the courts strike at the very heart of the rule of law and engenders self-help and lawlessness. Hence the Constitution grants power to the courts to punish any private actor or state- actor adjudged guilty of disobeying a court order and so secure compliance with legal obligations.”</w:t>
      </w:r>
    </w:p>
    <w:p w14:paraId="745FBFDB" w14:textId="77777777" w:rsidR="00C354D2" w:rsidRPr="00EB3375" w:rsidRDefault="00C354D2" w:rsidP="00C354D2">
      <w:pPr>
        <w:spacing w:before="240" w:line="360" w:lineRule="auto"/>
        <w:ind w:left="720"/>
        <w:contextualSpacing/>
        <w:jc w:val="both"/>
        <w:rPr>
          <w:rFonts w:ascii="Times New Roman" w:hAnsi="Times New Roman" w:cs="Times New Roman"/>
          <w:sz w:val="24"/>
          <w:szCs w:val="24"/>
        </w:rPr>
      </w:pPr>
    </w:p>
    <w:p w14:paraId="5907A2F2" w14:textId="127F1D93" w:rsidR="00C354D2" w:rsidRDefault="00B577FA" w:rsidP="008504A1">
      <w:pPr>
        <w:spacing w:before="240" w:line="360" w:lineRule="auto"/>
        <w:contextualSpacing/>
        <w:jc w:val="both"/>
        <w:rPr>
          <w:rFonts w:ascii="Times New Roman" w:hAnsi="Times New Roman" w:cs="Times New Roman"/>
          <w:sz w:val="28"/>
          <w:szCs w:val="28"/>
        </w:rPr>
      </w:pPr>
      <w:r w:rsidRPr="008504A1">
        <w:rPr>
          <w:rFonts w:ascii="Times New Roman" w:hAnsi="Times New Roman" w:cs="Times New Roman"/>
          <w:sz w:val="28"/>
          <w:szCs w:val="28"/>
        </w:rPr>
        <w:lastRenderedPageBreak/>
        <w:t>[2</w:t>
      </w:r>
      <w:r w:rsidR="003537B1">
        <w:rPr>
          <w:rFonts w:ascii="Times New Roman" w:hAnsi="Times New Roman" w:cs="Times New Roman"/>
          <w:sz w:val="28"/>
          <w:szCs w:val="28"/>
        </w:rPr>
        <w:t>9</w:t>
      </w:r>
      <w:r w:rsidRPr="008504A1">
        <w:rPr>
          <w:rFonts w:ascii="Times New Roman" w:hAnsi="Times New Roman" w:cs="Times New Roman"/>
          <w:sz w:val="28"/>
          <w:szCs w:val="28"/>
        </w:rPr>
        <w:t>] In the</w:t>
      </w:r>
      <w:r w:rsidR="003D0F9A" w:rsidRPr="008504A1">
        <w:rPr>
          <w:rFonts w:ascii="Times New Roman" w:hAnsi="Times New Roman" w:cs="Times New Roman"/>
          <w:sz w:val="28"/>
          <w:szCs w:val="28"/>
        </w:rPr>
        <w:t xml:space="preserve"> case of</w:t>
      </w:r>
      <w:r w:rsidRPr="008504A1">
        <w:rPr>
          <w:rFonts w:ascii="Times New Roman" w:hAnsi="Times New Roman" w:cs="Times New Roman"/>
          <w:sz w:val="28"/>
          <w:szCs w:val="28"/>
        </w:rPr>
        <w:t xml:space="preserve"> </w:t>
      </w:r>
      <w:bookmarkStart w:id="9" w:name="_Hlk110849162"/>
      <w:r w:rsidRPr="000A1349">
        <w:rPr>
          <w:rFonts w:ascii="Times New Roman" w:hAnsi="Times New Roman" w:cs="Times New Roman"/>
          <w:b/>
          <w:bCs/>
          <w:i/>
          <w:iCs/>
          <w:sz w:val="28"/>
          <w:szCs w:val="28"/>
        </w:rPr>
        <w:t>Dep</w:t>
      </w:r>
      <w:r w:rsidR="003D0F9A" w:rsidRPr="000A1349">
        <w:rPr>
          <w:rFonts w:ascii="Times New Roman" w:hAnsi="Times New Roman" w:cs="Times New Roman"/>
          <w:b/>
          <w:bCs/>
          <w:i/>
          <w:iCs/>
          <w:sz w:val="28"/>
          <w:szCs w:val="28"/>
        </w:rPr>
        <w:t>artment of Transport v Tasima (</w:t>
      </w:r>
      <w:r w:rsidR="00D272AC" w:rsidRPr="000A1349">
        <w:rPr>
          <w:rFonts w:ascii="Times New Roman" w:hAnsi="Times New Roman" w:cs="Times New Roman"/>
          <w:b/>
          <w:bCs/>
          <w:i/>
          <w:iCs/>
          <w:sz w:val="28"/>
          <w:szCs w:val="28"/>
        </w:rPr>
        <w:t>PTY) Limited</w:t>
      </w:r>
      <w:r w:rsidR="000207BB">
        <w:rPr>
          <w:rStyle w:val="FootnoteReference"/>
          <w:rFonts w:ascii="Times New Roman" w:hAnsi="Times New Roman" w:cs="Times New Roman"/>
          <w:b/>
          <w:bCs/>
          <w:sz w:val="28"/>
          <w:szCs w:val="28"/>
        </w:rPr>
        <w:footnoteReference w:id="17"/>
      </w:r>
      <w:r w:rsidRPr="001E2971">
        <w:rPr>
          <w:rFonts w:ascii="Times New Roman" w:hAnsi="Times New Roman" w:cs="Times New Roman"/>
          <w:sz w:val="28"/>
          <w:szCs w:val="28"/>
        </w:rPr>
        <w:t xml:space="preserve">, </w:t>
      </w:r>
      <w:bookmarkEnd w:id="9"/>
      <w:r w:rsidRPr="001E2971">
        <w:rPr>
          <w:rFonts w:ascii="Times New Roman" w:hAnsi="Times New Roman" w:cs="Times New Roman"/>
          <w:b/>
          <w:bCs/>
          <w:sz w:val="28"/>
          <w:szCs w:val="28"/>
        </w:rPr>
        <w:t>Khampepe J</w:t>
      </w:r>
      <w:r w:rsidR="003D0F9A" w:rsidRPr="001E2971">
        <w:rPr>
          <w:rFonts w:ascii="Times New Roman" w:hAnsi="Times New Roman" w:cs="Times New Roman"/>
          <w:b/>
          <w:bCs/>
          <w:sz w:val="28"/>
          <w:szCs w:val="28"/>
        </w:rPr>
        <w:t>.</w:t>
      </w:r>
      <w:r w:rsidRPr="008504A1">
        <w:rPr>
          <w:rFonts w:ascii="Times New Roman" w:hAnsi="Times New Roman" w:cs="Times New Roman"/>
          <w:sz w:val="28"/>
          <w:szCs w:val="28"/>
        </w:rPr>
        <w:t xml:space="preserve"> said:</w:t>
      </w:r>
    </w:p>
    <w:p w14:paraId="736EC154" w14:textId="77777777" w:rsidR="00E475D8" w:rsidRPr="00E475D8" w:rsidRDefault="00E475D8" w:rsidP="008504A1">
      <w:pPr>
        <w:spacing w:before="240" w:line="360" w:lineRule="auto"/>
        <w:contextualSpacing/>
        <w:jc w:val="both"/>
        <w:rPr>
          <w:rFonts w:ascii="Times New Roman" w:hAnsi="Times New Roman" w:cs="Times New Roman"/>
          <w:sz w:val="16"/>
          <w:szCs w:val="16"/>
        </w:rPr>
      </w:pPr>
    </w:p>
    <w:p w14:paraId="15030B03" w14:textId="77777777" w:rsidR="00C357E9" w:rsidRDefault="00B577FA" w:rsidP="00C354D2">
      <w:pPr>
        <w:spacing w:before="240" w:line="360" w:lineRule="auto"/>
        <w:ind w:left="720"/>
        <w:contextualSpacing/>
        <w:jc w:val="both"/>
        <w:rPr>
          <w:rFonts w:ascii="Times New Roman" w:hAnsi="Times New Roman" w:cs="Times New Roman"/>
          <w:sz w:val="28"/>
          <w:szCs w:val="28"/>
        </w:rPr>
      </w:pPr>
      <w:r w:rsidRPr="008504A1">
        <w:rPr>
          <w:rFonts w:ascii="Times New Roman" w:hAnsi="Times New Roman" w:cs="Times New Roman"/>
          <w:sz w:val="28"/>
          <w:szCs w:val="28"/>
        </w:rPr>
        <w:t>“</w:t>
      </w:r>
      <w:r w:rsidR="00C357E9" w:rsidRPr="008504A1">
        <w:rPr>
          <w:rFonts w:ascii="Times New Roman" w:hAnsi="Times New Roman" w:cs="Times New Roman"/>
          <w:sz w:val="28"/>
          <w:szCs w:val="28"/>
        </w:rPr>
        <w:t>…</w:t>
      </w:r>
      <w:r w:rsidR="00C360C2" w:rsidRPr="008504A1">
        <w:rPr>
          <w:rFonts w:ascii="Times New Roman" w:hAnsi="Times New Roman" w:cs="Times New Roman"/>
          <w:sz w:val="28"/>
          <w:szCs w:val="28"/>
        </w:rPr>
        <w:t xml:space="preserve">Allowing parties to ignore court orders would shake the foundations of the </w:t>
      </w:r>
      <w:r w:rsidR="00C354D2" w:rsidRPr="008504A1">
        <w:rPr>
          <w:rFonts w:ascii="Times New Roman" w:hAnsi="Times New Roman" w:cs="Times New Roman"/>
          <w:sz w:val="28"/>
          <w:szCs w:val="28"/>
        </w:rPr>
        <w:t>law and</w:t>
      </w:r>
      <w:r w:rsidR="00C360C2" w:rsidRPr="008504A1">
        <w:rPr>
          <w:rFonts w:ascii="Times New Roman" w:hAnsi="Times New Roman" w:cs="Times New Roman"/>
          <w:sz w:val="28"/>
          <w:szCs w:val="28"/>
        </w:rPr>
        <w:t xml:space="preserve"> compromise the status and constitutional mandate of the courts. The duty to obey court orders is the stanchion around which a state </w:t>
      </w:r>
      <w:r w:rsidR="00C357E9" w:rsidRPr="008504A1">
        <w:rPr>
          <w:rFonts w:ascii="Times New Roman" w:hAnsi="Times New Roman" w:cs="Times New Roman"/>
          <w:sz w:val="28"/>
          <w:szCs w:val="28"/>
        </w:rPr>
        <w:t>founded on the supremacy of the Constitution and the rule of law is built.”</w:t>
      </w:r>
    </w:p>
    <w:p w14:paraId="30CA378D" w14:textId="77777777" w:rsidR="00C354D2" w:rsidRPr="00EB3375" w:rsidRDefault="00C354D2" w:rsidP="00C354D2">
      <w:pPr>
        <w:spacing w:before="240" w:line="360" w:lineRule="auto"/>
        <w:ind w:left="720"/>
        <w:contextualSpacing/>
        <w:jc w:val="both"/>
        <w:rPr>
          <w:rFonts w:ascii="Times New Roman" w:hAnsi="Times New Roman" w:cs="Times New Roman"/>
          <w:sz w:val="24"/>
          <w:szCs w:val="24"/>
        </w:rPr>
      </w:pPr>
    </w:p>
    <w:p w14:paraId="58C1DE4F" w14:textId="117A0936" w:rsidR="00C357E9" w:rsidRDefault="00C357E9" w:rsidP="008504A1">
      <w:pPr>
        <w:spacing w:before="240" w:line="360" w:lineRule="auto"/>
        <w:contextualSpacing/>
        <w:jc w:val="both"/>
        <w:rPr>
          <w:rFonts w:ascii="Times New Roman" w:hAnsi="Times New Roman" w:cs="Times New Roman"/>
          <w:sz w:val="28"/>
          <w:szCs w:val="28"/>
        </w:rPr>
      </w:pPr>
      <w:r w:rsidRPr="008504A1">
        <w:rPr>
          <w:rFonts w:ascii="Times New Roman" w:hAnsi="Times New Roman" w:cs="Times New Roman"/>
          <w:sz w:val="28"/>
          <w:szCs w:val="28"/>
        </w:rPr>
        <w:t>[</w:t>
      </w:r>
      <w:r w:rsidR="003537B1">
        <w:rPr>
          <w:rFonts w:ascii="Times New Roman" w:hAnsi="Times New Roman" w:cs="Times New Roman"/>
          <w:sz w:val="28"/>
          <w:szCs w:val="28"/>
        </w:rPr>
        <w:t>30</w:t>
      </w:r>
      <w:r w:rsidRPr="008504A1">
        <w:rPr>
          <w:rFonts w:ascii="Times New Roman" w:hAnsi="Times New Roman" w:cs="Times New Roman"/>
          <w:sz w:val="28"/>
          <w:szCs w:val="28"/>
        </w:rPr>
        <w:t xml:space="preserve">] </w:t>
      </w:r>
      <w:r w:rsidRPr="00C354D2">
        <w:rPr>
          <w:rFonts w:ascii="Times New Roman" w:hAnsi="Times New Roman" w:cs="Times New Roman"/>
          <w:b/>
          <w:bCs/>
          <w:sz w:val="28"/>
          <w:szCs w:val="28"/>
        </w:rPr>
        <w:t xml:space="preserve">At paragraph 186 </w:t>
      </w:r>
      <w:r w:rsidR="00D2090D">
        <w:rPr>
          <w:rFonts w:ascii="Times New Roman" w:hAnsi="Times New Roman" w:cs="Times New Roman"/>
          <w:b/>
          <w:bCs/>
          <w:sz w:val="28"/>
          <w:szCs w:val="28"/>
        </w:rPr>
        <w:t>S</w:t>
      </w:r>
      <w:r w:rsidRPr="00C354D2">
        <w:rPr>
          <w:rFonts w:ascii="Times New Roman" w:hAnsi="Times New Roman" w:cs="Times New Roman"/>
          <w:b/>
          <w:bCs/>
          <w:sz w:val="28"/>
          <w:szCs w:val="28"/>
        </w:rPr>
        <w:t>he said</w:t>
      </w:r>
      <w:r w:rsidRPr="008504A1">
        <w:rPr>
          <w:rFonts w:ascii="Times New Roman" w:hAnsi="Times New Roman" w:cs="Times New Roman"/>
          <w:sz w:val="28"/>
          <w:szCs w:val="28"/>
        </w:rPr>
        <w:t>:</w:t>
      </w:r>
    </w:p>
    <w:p w14:paraId="207A5E7C" w14:textId="77777777" w:rsidR="00C354D2" w:rsidRPr="00C354D2" w:rsidRDefault="00C354D2" w:rsidP="008504A1">
      <w:pPr>
        <w:spacing w:before="240" w:line="360" w:lineRule="auto"/>
        <w:contextualSpacing/>
        <w:jc w:val="both"/>
        <w:rPr>
          <w:rFonts w:ascii="Times New Roman" w:hAnsi="Times New Roman" w:cs="Times New Roman"/>
          <w:sz w:val="16"/>
          <w:szCs w:val="16"/>
        </w:rPr>
      </w:pPr>
    </w:p>
    <w:p w14:paraId="11877019" w14:textId="77777777" w:rsidR="00C357E9" w:rsidRDefault="00C357E9" w:rsidP="00C354D2">
      <w:pPr>
        <w:spacing w:before="240" w:line="360" w:lineRule="auto"/>
        <w:ind w:left="720"/>
        <w:contextualSpacing/>
        <w:jc w:val="both"/>
        <w:rPr>
          <w:rFonts w:ascii="Times New Roman" w:hAnsi="Times New Roman" w:cs="Times New Roman"/>
          <w:sz w:val="28"/>
          <w:szCs w:val="28"/>
        </w:rPr>
      </w:pPr>
      <w:r w:rsidRPr="008504A1">
        <w:rPr>
          <w:rFonts w:ascii="Times New Roman" w:hAnsi="Times New Roman" w:cs="Times New Roman"/>
          <w:sz w:val="28"/>
          <w:szCs w:val="28"/>
        </w:rPr>
        <w:t xml:space="preserve">“…the legal consequences that flows from non-compliance </w:t>
      </w:r>
      <w:r w:rsidR="00CB24F1" w:rsidRPr="008504A1">
        <w:rPr>
          <w:rFonts w:ascii="Times New Roman" w:hAnsi="Times New Roman" w:cs="Times New Roman"/>
          <w:sz w:val="28"/>
          <w:szCs w:val="28"/>
        </w:rPr>
        <w:t>with a court order is contempt. The essence of contempt lies in violating the dignity, repute or authority of the court. By disobeying multiple orders issued by the High Court, the department and the corporation repeatedly, violated the court’s dignity, repute and authority and the dignity, repute and authority of the judiciary in general.</w:t>
      </w:r>
      <w:r w:rsidR="004C110F" w:rsidRPr="008504A1">
        <w:rPr>
          <w:rFonts w:ascii="Times New Roman" w:hAnsi="Times New Roman" w:cs="Times New Roman"/>
          <w:sz w:val="28"/>
          <w:szCs w:val="28"/>
        </w:rPr>
        <w:t>”</w:t>
      </w:r>
    </w:p>
    <w:p w14:paraId="13E439A4" w14:textId="77777777" w:rsidR="00C354D2" w:rsidRPr="00EB3375" w:rsidRDefault="00C354D2" w:rsidP="00C354D2">
      <w:pPr>
        <w:spacing w:before="240" w:line="360" w:lineRule="auto"/>
        <w:ind w:left="720"/>
        <w:contextualSpacing/>
        <w:jc w:val="both"/>
        <w:rPr>
          <w:rFonts w:ascii="Times New Roman" w:hAnsi="Times New Roman" w:cs="Times New Roman"/>
          <w:sz w:val="24"/>
          <w:szCs w:val="24"/>
        </w:rPr>
      </w:pPr>
    </w:p>
    <w:p w14:paraId="3583F1CA" w14:textId="0F7E42AC" w:rsidR="00CB24F1" w:rsidRDefault="00CB24F1" w:rsidP="008504A1">
      <w:pPr>
        <w:spacing w:before="240" w:line="360" w:lineRule="auto"/>
        <w:contextualSpacing/>
        <w:jc w:val="both"/>
        <w:rPr>
          <w:rFonts w:ascii="Times New Roman" w:hAnsi="Times New Roman" w:cs="Times New Roman"/>
          <w:sz w:val="28"/>
          <w:szCs w:val="28"/>
        </w:rPr>
      </w:pPr>
      <w:r w:rsidRPr="008504A1">
        <w:rPr>
          <w:rFonts w:ascii="Times New Roman" w:hAnsi="Times New Roman" w:cs="Times New Roman"/>
          <w:sz w:val="28"/>
          <w:szCs w:val="28"/>
        </w:rPr>
        <w:t>[</w:t>
      </w:r>
      <w:r w:rsidR="00644F6A">
        <w:rPr>
          <w:rFonts w:ascii="Times New Roman" w:hAnsi="Times New Roman" w:cs="Times New Roman"/>
          <w:sz w:val="28"/>
          <w:szCs w:val="28"/>
        </w:rPr>
        <w:t>3</w:t>
      </w:r>
      <w:r w:rsidR="003537B1">
        <w:rPr>
          <w:rFonts w:ascii="Times New Roman" w:hAnsi="Times New Roman" w:cs="Times New Roman"/>
          <w:sz w:val="28"/>
          <w:szCs w:val="28"/>
        </w:rPr>
        <w:t>1</w:t>
      </w:r>
      <w:r w:rsidRPr="008504A1">
        <w:rPr>
          <w:rFonts w:ascii="Times New Roman" w:hAnsi="Times New Roman" w:cs="Times New Roman"/>
          <w:sz w:val="28"/>
          <w:szCs w:val="28"/>
        </w:rPr>
        <w:t xml:space="preserve">] There is an existing order in </w:t>
      </w:r>
      <w:r w:rsidRPr="000A1349">
        <w:rPr>
          <w:rFonts w:ascii="Times New Roman" w:hAnsi="Times New Roman" w:cs="Times New Roman"/>
          <w:b/>
          <w:bCs/>
          <w:i/>
          <w:iCs/>
          <w:sz w:val="28"/>
          <w:szCs w:val="28"/>
        </w:rPr>
        <w:t>CIV/APN/0169/2022</w:t>
      </w:r>
      <w:r w:rsidRPr="008504A1">
        <w:rPr>
          <w:rFonts w:ascii="Times New Roman" w:hAnsi="Times New Roman" w:cs="Times New Roman"/>
          <w:sz w:val="28"/>
          <w:szCs w:val="28"/>
        </w:rPr>
        <w:t>, which was served on the first respondent</w:t>
      </w:r>
      <w:r w:rsidR="004C110F" w:rsidRPr="008504A1">
        <w:rPr>
          <w:rFonts w:ascii="Times New Roman" w:hAnsi="Times New Roman" w:cs="Times New Roman"/>
          <w:sz w:val="28"/>
          <w:szCs w:val="28"/>
        </w:rPr>
        <w:t>’s</w:t>
      </w:r>
      <w:r w:rsidRPr="008504A1">
        <w:rPr>
          <w:rFonts w:ascii="Times New Roman" w:hAnsi="Times New Roman" w:cs="Times New Roman"/>
          <w:sz w:val="28"/>
          <w:szCs w:val="28"/>
        </w:rPr>
        <w:t xml:space="preserve"> office on the 27</w:t>
      </w:r>
      <w:r w:rsidRPr="008504A1">
        <w:rPr>
          <w:rFonts w:ascii="Times New Roman" w:hAnsi="Times New Roman" w:cs="Times New Roman"/>
          <w:sz w:val="28"/>
          <w:szCs w:val="28"/>
          <w:vertAlign w:val="superscript"/>
        </w:rPr>
        <w:t>th</w:t>
      </w:r>
      <w:r w:rsidRPr="008504A1">
        <w:rPr>
          <w:rFonts w:ascii="Times New Roman" w:hAnsi="Times New Roman" w:cs="Times New Roman"/>
          <w:sz w:val="28"/>
          <w:szCs w:val="28"/>
        </w:rPr>
        <w:t xml:space="preserve"> </w:t>
      </w:r>
      <w:r w:rsidR="00C354D2" w:rsidRPr="008504A1">
        <w:rPr>
          <w:rFonts w:ascii="Times New Roman" w:hAnsi="Times New Roman" w:cs="Times New Roman"/>
          <w:sz w:val="28"/>
          <w:szCs w:val="28"/>
        </w:rPr>
        <w:t>May</w:t>
      </w:r>
      <w:r w:rsidRPr="008504A1">
        <w:rPr>
          <w:rFonts w:ascii="Times New Roman" w:hAnsi="Times New Roman" w:cs="Times New Roman"/>
          <w:sz w:val="28"/>
          <w:szCs w:val="28"/>
        </w:rPr>
        <w:t xml:space="preserve"> 2022, and to date the first respondent is in non-compliance.</w:t>
      </w:r>
    </w:p>
    <w:p w14:paraId="21DFA87A" w14:textId="77777777" w:rsidR="00B6278E" w:rsidRPr="00EB3375" w:rsidRDefault="00B6278E" w:rsidP="008504A1">
      <w:pPr>
        <w:spacing w:before="240" w:line="360" w:lineRule="auto"/>
        <w:contextualSpacing/>
        <w:jc w:val="both"/>
        <w:rPr>
          <w:rFonts w:ascii="Times New Roman" w:hAnsi="Times New Roman" w:cs="Times New Roman"/>
          <w:sz w:val="24"/>
          <w:szCs w:val="24"/>
        </w:rPr>
      </w:pPr>
    </w:p>
    <w:p w14:paraId="1C4F1ED9" w14:textId="0F072ED5" w:rsidR="00CB24F1" w:rsidRPr="00FE2721" w:rsidRDefault="00FE2721" w:rsidP="008504A1">
      <w:pPr>
        <w:spacing w:before="240" w:line="360" w:lineRule="auto"/>
        <w:contextualSpacing/>
        <w:jc w:val="both"/>
        <w:rPr>
          <w:rFonts w:ascii="Times New Roman" w:hAnsi="Times New Roman" w:cs="Times New Roman"/>
          <w:sz w:val="28"/>
          <w:szCs w:val="28"/>
        </w:rPr>
      </w:pPr>
      <w:r w:rsidRPr="00FE2721">
        <w:rPr>
          <w:rFonts w:ascii="Times New Roman" w:hAnsi="Times New Roman" w:cs="Times New Roman"/>
          <w:b/>
          <w:sz w:val="28"/>
          <w:szCs w:val="28"/>
        </w:rPr>
        <w:t>LETTER OF TERMINATION OF SERVICE DATED 25</w:t>
      </w:r>
      <w:r w:rsidRPr="00FE2721">
        <w:rPr>
          <w:rFonts w:ascii="Times New Roman" w:hAnsi="Times New Roman" w:cs="Times New Roman"/>
          <w:b/>
          <w:sz w:val="28"/>
          <w:szCs w:val="28"/>
          <w:vertAlign w:val="superscript"/>
        </w:rPr>
        <w:t>TH</w:t>
      </w:r>
      <w:r w:rsidRPr="00FE2721">
        <w:rPr>
          <w:rFonts w:ascii="Times New Roman" w:hAnsi="Times New Roman" w:cs="Times New Roman"/>
          <w:b/>
          <w:sz w:val="28"/>
          <w:szCs w:val="28"/>
        </w:rPr>
        <w:t xml:space="preserve"> MAY 2022</w:t>
      </w:r>
      <w:r w:rsidRPr="00FE2721">
        <w:rPr>
          <w:rFonts w:ascii="Times New Roman" w:hAnsi="Times New Roman" w:cs="Times New Roman"/>
          <w:sz w:val="28"/>
          <w:szCs w:val="28"/>
        </w:rPr>
        <w:t>.</w:t>
      </w:r>
    </w:p>
    <w:p w14:paraId="225F2C19" w14:textId="4C343F17" w:rsidR="00B355C1" w:rsidRDefault="00842039" w:rsidP="008504A1">
      <w:pPr>
        <w:spacing w:before="240" w:line="360" w:lineRule="auto"/>
        <w:contextualSpacing/>
        <w:jc w:val="both"/>
        <w:rPr>
          <w:rFonts w:ascii="Times New Roman" w:hAnsi="Times New Roman" w:cs="Times New Roman"/>
          <w:sz w:val="28"/>
          <w:szCs w:val="28"/>
        </w:rPr>
      </w:pPr>
      <w:r w:rsidRPr="008504A1">
        <w:rPr>
          <w:rFonts w:ascii="Times New Roman" w:hAnsi="Times New Roman" w:cs="Times New Roman"/>
          <w:sz w:val="28"/>
          <w:szCs w:val="28"/>
        </w:rPr>
        <w:t>[</w:t>
      </w:r>
      <w:r w:rsidR="009E63F2">
        <w:rPr>
          <w:rFonts w:ascii="Times New Roman" w:hAnsi="Times New Roman" w:cs="Times New Roman"/>
          <w:sz w:val="28"/>
          <w:szCs w:val="28"/>
        </w:rPr>
        <w:t>3</w:t>
      </w:r>
      <w:r w:rsidR="003537B1">
        <w:rPr>
          <w:rFonts w:ascii="Times New Roman" w:hAnsi="Times New Roman" w:cs="Times New Roman"/>
          <w:sz w:val="28"/>
          <w:szCs w:val="28"/>
        </w:rPr>
        <w:t>2</w:t>
      </w:r>
      <w:r w:rsidRPr="008504A1">
        <w:rPr>
          <w:rFonts w:ascii="Times New Roman" w:hAnsi="Times New Roman" w:cs="Times New Roman"/>
          <w:sz w:val="28"/>
          <w:szCs w:val="28"/>
        </w:rPr>
        <w:t>]</w:t>
      </w:r>
      <w:r w:rsidR="00B355C1" w:rsidRPr="008504A1">
        <w:rPr>
          <w:rFonts w:ascii="Times New Roman" w:hAnsi="Times New Roman" w:cs="Times New Roman"/>
          <w:sz w:val="28"/>
          <w:szCs w:val="28"/>
        </w:rPr>
        <w:t xml:space="preserve"> In the letter of termination of service, dated the 25</w:t>
      </w:r>
      <w:r w:rsidR="00B355C1" w:rsidRPr="008504A1">
        <w:rPr>
          <w:rFonts w:ascii="Times New Roman" w:hAnsi="Times New Roman" w:cs="Times New Roman"/>
          <w:sz w:val="28"/>
          <w:szCs w:val="28"/>
          <w:vertAlign w:val="superscript"/>
        </w:rPr>
        <w:t>th</w:t>
      </w:r>
      <w:r w:rsidR="00B355C1" w:rsidRPr="008504A1">
        <w:rPr>
          <w:rFonts w:ascii="Times New Roman" w:hAnsi="Times New Roman" w:cs="Times New Roman"/>
          <w:sz w:val="28"/>
          <w:szCs w:val="28"/>
        </w:rPr>
        <w:t xml:space="preserve"> May 2022, addressed to all the applicants Sup. S. Marou says the following:</w:t>
      </w:r>
    </w:p>
    <w:p w14:paraId="382B7693" w14:textId="77777777" w:rsidR="00B6278E" w:rsidRPr="00EB3375" w:rsidRDefault="00B6278E" w:rsidP="008504A1">
      <w:pPr>
        <w:spacing w:before="240" w:line="360" w:lineRule="auto"/>
        <w:contextualSpacing/>
        <w:jc w:val="both"/>
        <w:rPr>
          <w:rFonts w:ascii="Times New Roman" w:hAnsi="Times New Roman" w:cs="Times New Roman"/>
          <w:sz w:val="24"/>
          <w:szCs w:val="24"/>
        </w:rPr>
      </w:pPr>
    </w:p>
    <w:p w14:paraId="7670C7C8" w14:textId="77777777" w:rsidR="00607219" w:rsidRPr="008504A1" w:rsidRDefault="00B355C1" w:rsidP="00B6278E">
      <w:pPr>
        <w:spacing w:before="240" w:line="360" w:lineRule="auto"/>
        <w:ind w:left="720"/>
        <w:contextualSpacing/>
        <w:jc w:val="both"/>
        <w:rPr>
          <w:rFonts w:ascii="Times New Roman" w:hAnsi="Times New Roman" w:cs="Times New Roman"/>
          <w:b/>
          <w:sz w:val="28"/>
          <w:szCs w:val="28"/>
        </w:rPr>
      </w:pPr>
      <w:r w:rsidRPr="008504A1">
        <w:rPr>
          <w:rFonts w:ascii="Times New Roman" w:hAnsi="Times New Roman" w:cs="Times New Roman"/>
          <w:sz w:val="28"/>
          <w:szCs w:val="28"/>
        </w:rPr>
        <w:t xml:space="preserve">“The Office </w:t>
      </w:r>
      <w:r w:rsidR="00607219" w:rsidRPr="008504A1">
        <w:rPr>
          <w:rFonts w:ascii="Times New Roman" w:hAnsi="Times New Roman" w:cs="Times New Roman"/>
          <w:sz w:val="28"/>
          <w:szCs w:val="28"/>
        </w:rPr>
        <w:t>of the Commissioner of Police (</w:t>
      </w:r>
      <w:r w:rsidRPr="008504A1">
        <w:rPr>
          <w:rFonts w:ascii="Times New Roman" w:hAnsi="Times New Roman" w:cs="Times New Roman"/>
          <w:sz w:val="28"/>
          <w:szCs w:val="28"/>
        </w:rPr>
        <w:t>Compol) has requested you per the letter dated 19</w:t>
      </w:r>
      <w:r w:rsidRPr="008504A1">
        <w:rPr>
          <w:rFonts w:ascii="Times New Roman" w:hAnsi="Times New Roman" w:cs="Times New Roman"/>
          <w:sz w:val="28"/>
          <w:szCs w:val="28"/>
          <w:vertAlign w:val="superscript"/>
        </w:rPr>
        <w:t>th</w:t>
      </w:r>
      <w:r w:rsidRPr="008504A1">
        <w:rPr>
          <w:rFonts w:ascii="Times New Roman" w:hAnsi="Times New Roman" w:cs="Times New Roman"/>
          <w:sz w:val="28"/>
          <w:szCs w:val="28"/>
        </w:rPr>
        <w:t xml:space="preserve"> May 2022,</w:t>
      </w:r>
      <w:r w:rsidR="00607219" w:rsidRPr="008504A1">
        <w:rPr>
          <w:rFonts w:ascii="Times New Roman" w:hAnsi="Times New Roman" w:cs="Times New Roman"/>
          <w:sz w:val="28"/>
          <w:szCs w:val="28"/>
        </w:rPr>
        <w:t xml:space="preserve"> </w:t>
      </w:r>
      <w:r w:rsidRPr="008504A1">
        <w:rPr>
          <w:rFonts w:ascii="Times New Roman" w:hAnsi="Times New Roman" w:cs="Times New Roman"/>
          <w:sz w:val="28"/>
          <w:szCs w:val="28"/>
        </w:rPr>
        <w:t>to make representations through the help of your legal representatives if any, on the 25</w:t>
      </w:r>
      <w:r w:rsidRPr="008504A1">
        <w:rPr>
          <w:rFonts w:ascii="Times New Roman" w:hAnsi="Times New Roman" w:cs="Times New Roman"/>
          <w:sz w:val="28"/>
          <w:szCs w:val="28"/>
          <w:vertAlign w:val="superscript"/>
        </w:rPr>
        <w:t>th</w:t>
      </w:r>
      <w:r w:rsidRPr="008504A1">
        <w:rPr>
          <w:rFonts w:ascii="Times New Roman" w:hAnsi="Times New Roman" w:cs="Times New Roman"/>
          <w:sz w:val="28"/>
          <w:szCs w:val="28"/>
        </w:rPr>
        <w:t xml:space="preserve"> May 2022</w:t>
      </w:r>
      <w:r w:rsidR="00607219" w:rsidRPr="008504A1">
        <w:rPr>
          <w:rFonts w:ascii="Times New Roman" w:hAnsi="Times New Roman" w:cs="Times New Roman"/>
          <w:sz w:val="28"/>
          <w:szCs w:val="28"/>
        </w:rPr>
        <w:t xml:space="preserve"> at 08:00 hrs. It has come to the attention of Compol that, you failed to furnish the reasons </w:t>
      </w:r>
      <w:r w:rsidR="00607219" w:rsidRPr="008504A1">
        <w:rPr>
          <w:rFonts w:ascii="Times New Roman" w:hAnsi="Times New Roman" w:cs="Times New Roman"/>
          <w:sz w:val="28"/>
          <w:szCs w:val="28"/>
        </w:rPr>
        <w:lastRenderedPageBreak/>
        <w:t xml:space="preserve">that may persuade him not to effect his intention to terminate your appointment as Police Recruit. The office of the Commissioner of Police has perused and considered the correspondence that you initially made and took into account the fact that </w:t>
      </w:r>
      <w:r w:rsidR="00607219" w:rsidRPr="008504A1">
        <w:rPr>
          <w:rFonts w:ascii="Times New Roman" w:hAnsi="Times New Roman" w:cs="Times New Roman"/>
          <w:b/>
          <w:sz w:val="28"/>
          <w:szCs w:val="28"/>
        </w:rPr>
        <w:t>you failed to provide representation at 08:00 hrs on the 25</w:t>
      </w:r>
      <w:r w:rsidR="00607219" w:rsidRPr="008504A1">
        <w:rPr>
          <w:rFonts w:ascii="Times New Roman" w:hAnsi="Times New Roman" w:cs="Times New Roman"/>
          <w:b/>
          <w:sz w:val="28"/>
          <w:szCs w:val="28"/>
          <w:vertAlign w:val="superscript"/>
        </w:rPr>
        <w:t>th</w:t>
      </w:r>
      <w:r w:rsidR="00607219" w:rsidRPr="008504A1">
        <w:rPr>
          <w:rFonts w:ascii="Times New Roman" w:hAnsi="Times New Roman" w:cs="Times New Roman"/>
          <w:b/>
          <w:sz w:val="28"/>
          <w:szCs w:val="28"/>
        </w:rPr>
        <w:t xml:space="preserve"> day of May 2022 as requested.</w:t>
      </w:r>
      <w:r w:rsidR="00460047" w:rsidRPr="008504A1">
        <w:rPr>
          <w:rFonts w:ascii="Times New Roman" w:hAnsi="Times New Roman" w:cs="Times New Roman"/>
          <w:b/>
          <w:sz w:val="28"/>
          <w:szCs w:val="28"/>
        </w:rPr>
        <w:t xml:space="preserve"> The</w:t>
      </w:r>
      <w:r w:rsidR="00607219" w:rsidRPr="008504A1">
        <w:rPr>
          <w:rFonts w:ascii="Times New Roman" w:hAnsi="Times New Roman" w:cs="Times New Roman"/>
          <w:b/>
          <w:sz w:val="28"/>
          <w:szCs w:val="28"/>
        </w:rPr>
        <w:t xml:space="preserve"> </w:t>
      </w:r>
      <w:r w:rsidR="00460047" w:rsidRPr="008504A1">
        <w:rPr>
          <w:rFonts w:ascii="Times New Roman" w:hAnsi="Times New Roman" w:cs="Times New Roman"/>
          <w:b/>
          <w:sz w:val="28"/>
          <w:szCs w:val="28"/>
        </w:rPr>
        <w:t xml:space="preserve">Commissioner </w:t>
      </w:r>
      <w:r w:rsidR="00607219" w:rsidRPr="008504A1">
        <w:rPr>
          <w:rFonts w:ascii="Times New Roman" w:hAnsi="Times New Roman" w:cs="Times New Roman"/>
          <w:b/>
          <w:sz w:val="28"/>
          <w:szCs w:val="28"/>
        </w:rPr>
        <w:t>of Police has considered your failure to make a required response as an indication that you waived your right to make representation.</w:t>
      </w:r>
    </w:p>
    <w:p w14:paraId="5FAD3073" w14:textId="77777777" w:rsidR="00842039" w:rsidRDefault="00607219" w:rsidP="00B6278E">
      <w:pPr>
        <w:spacing w:before="240" w:line="360" w:lineRule="auto"/>
        <w:ind w:left="720"/>
        <w:contextualSpacing/>
        <w:jc w:val="both"/>
        <w:rPr>
          <w:rFonts w:ascii="Times New Roman" w:hAnsi="Times New Roman" w:cs="Times New Roman"/>
          <w:b/>
          <w:sz w:val="28"/>
          <w:szCs w:val="28"/>
        </w:rPr>
      </w:pPr>
      <w:r w:rsidRPr="008504A1">
        <w:rPr>
          <w:rFonts w:ascii="Times New Roman" w:hAnsi="Times New Roman" w:cs="Times New Roman"/>
          <w:sz w:val="28"/>
          <w:szCs w:val="28"/>
        </w:rPr>
        <w:t xml:space="preserve">It is on the basis of the foregoing background that the Commissioner of Police has directed me, as I hereby do, to inform you </w:t>
      </w:r>
      <w:r w:rsidRPr="008504A1">
        <w:rPr>
          <w:rFonts w:ascii="Times New Roman" w:hAnsi="Times New Roman" w:cs="Times New Roman"/>
          <w:b/>
          <w:sz w:val="28"/>
          <w:szCs w:val="28"/>
        </w:rPr>
        <w:t>that your appointment as a Police Recruit has been terminated with effect from the date of this letter.”</w:t>
      </w:r>
      <w:r w:rsidR="00842039" w:rsidRPr="008504A1">
        <w:rPr>
          <w:rFonts w:ascii="Times New Roman" w:hAnsi="Times New Roman" w:cs="Times New Roman"/>
          <w:b/>
          <w:sz w:val="28"/>
          <w:szCs w:val="28"/>
        </w:rPr>
        <w:t xml:space="preserve"> </w:t>
      </w:r>
    </w:p>
    <w:p w14:paraId="1228A218" w14:textId="77777777" w:rsidR="00B6278E" w:rsidRPr="00B6278E" w:rsidRDefault="00B6278E" w:rsidP="00B6278E">
      <w:pPr>
        <w:spacing w:before="240" w:line="360" w:lineRule="auto"/>
        <w:ind w:left="720"/>
        <w:contextualSpacing/>
        <w:jc w:val="both"/>
        <w:rPr>
          <w:rFonts w:ascii="Times New Roman" w:hAnsi="Times New Roman" w:cs="Times New Roman"/>
          <w:b/>
          <w:sz w:val="16"/>
          <w:szCs w:val="16"/>
        </w:rPr>
      </w:pPr>
    </w:p>
    <w:p w14:paraId="3BDF1EED" w14:textId="46BBC136" w:rsidR="00C357E9" w:rsidRDefault="00DD78D0" w:rsidP="008504A1">
      <w:pPr>
        <w:spacing w:before="240" w:line="360" w:lineRule="auto"/>
        <w:contextualSpacing/>
        <w:jc w:val="both"/>
        <w:rPr>
          <w:rFonts w:ascii="Times New Roman" w:hAnsi="Times New Roman" w:cs="Times New Roman"/>
          <w:sz w:val="28"/>
          <w:szCs w:val="28"/>
        </w:rPr>
      </w:pPr>
      <w:r w:rsidRPr="008504A1">
        <w:rPr>
          <w:rFonts w:ascii="Times New Roman" w:hAnsi="Times New Roman" w:cs="Times New Roman"/>
          <w:sz w:val="28"/>
          <w:szCs w:val="28"/>
        </w:rPr>
        <w:t>[3</w:t>
      </w:r>
      <w:r w:rsidR="003537B1">
        <w:rPr>
          <w:rFonts w:ascii="Times New Roman" w:hAnsi="Times New Roman" w:cs="Times New Roman"/>
          <w:sz w:val="28"/>
          <w:szCs w:val="28"/>
        </w:rPr>
        <w:t>3</w:t>
      </w:r>
      <w:r w:rsidRPr="008504A1">
        <w:rPr>
          <w:rFonts w:ascii="Times New Roman" w:hAnsi="Times New Roman" w:cs="Times New Roman"/>
          <w:sz w:val="28"/>
          <w:szCs w:val="28"/>
        </w:rPr>
        <w:t xml:space="preserve">] I have no doubt in my mind that according to the letter of termination, referred to above, the applicants’ appointment as Police Recruits was terminated, on the </w:t>
      </w:r>
      <w:r w:rsidR="00A22027" w:rsidRPr="008504A1">
        <w:rPr>
          <w:rFonts w:ascii="Times New Roman" w:hAnsi="Times New Roman" w:cs="Times New Roman"/>
          <w:sz w:val="28"/>
          <w:szCs w:val="28"/>
        </w:rPr>
        <w:t>fact that they failed</w:t>
      </w:r>
      <w:r w:rsidRPr="008504A1">
        <w:rPr>
          <w:rFonts w:ascii="Times New Roman" w:hAnsi="Times New Roman" w:cs="Times New Roman"/>
          <w:sz w:val="28"/>
          <w:szCs w:val="28"/>
        </w:rPr>
        <w:t xml:space="preserve"> to furnish the Office of the Commissioner of Police, with the letters of their respective representations on the 25</w:t>
      </w:r>
      <w:r w:rsidRPr="008504A1">
        <w:rPr>
          <w:rFonts w:ascii="Times New Roman" w:hAnsi="Times New Roman" w:cs="Times New Roman"/>
          <w:sz w:val="28"/>
          <w:szCs w:val="28"/>
          <w:vertAlign w:val="superscript"/>
        </w:rPr>
        <w:t>th</w:t>
      </w:r>
      <w:r w:rsidRPr="008504A1">
        <w:rPr>
          <w:rFonts w:ascii="Times New Roman" w:hAnsi="Times New Roman" w:cs="Times New Roman"/>
          <w:sz w:val="28"/>
          <w:szCs w:val="28"/>
        </w:rPr>
        <w:t xml:space="preserve"> May 2022 at 08</w:t>
      </w:r>
      <w:r w:rsidR="004C110F" w:rsidRPr="008504A1">
        <w:rPr>
          <w:rFonts w:ascii="Times New Roman" w:hAnsi="Times New Roman" w:cs="Times New Roman"/>
          <w:sz w:val="28"/>
          <w:szCs w:val="28"/>
        </w:rPr>
        <w:t>:00 hrs, as instructed to do so, by the first respondent.</w:t>
      </w:r>
    </w:p>
    <w:p w14:paraId="79B24A61" w14:textId="77777777" w:rsidR="00B6278E" w:rsidRPr="00EB3375" w:rsidRDefault="00B6278E" w:rsidP="008504A1">
      <w:pPr>
        <w:spacing w:before="240" w:line="360" w:lineRule="auto"/>
        <w:contextualSpacing/>
        <w:jc w:val="both"/>
        <w:rPr>
          <w:rFonts w:ascii="Times New Roman" w:hAnsi="Times New Roman" w:cs="Times New Roman"/>
          <w:sz w:val="24"/>
          <w:szCs w:val="24"/>
        </w:rPr>
      </w:pPr>
    </w:p>
    <w:p w14:paraId="47DC54BD" w14:textId="33BDAC4C" w:rsidR="00DD78D0" w:rsidRDefault="00DD78D0" w:rsidP="008504A1">
      <w:pPr>
        <w:spacing w:before="240" w:line="360" w:lineRule="auto"/>
        <w:contextualSpacing/>
        <w:jc w:val="both"/>
        <w:rPr>
          <w:rFonts w:ascii="Times New Roman" w:hAnsi="Times New Roman" w:cs="Times New Roman"/>
          <w:sz w:val="28"/>
          <w:szCs w:val="28"/>
        </w:rPr>
      </w:pPr>
      <w:r w:rsidRPr="008504A1">
        <w:rPr>
          <w:rFonts w:ascii="Times New Roman" w:hAnsi="Times New Roman" w:cs="Times New Roman"/>
          <w:sz w:val="28"/>
          <w:szCs w:val="28"/>
        </w:rPr>
        <w:t>[</w:t>
      </w:r>
      <w:r w:rsidR="007E3CE8">
        <w:rPr>
          <w:rFonts w:ascii="Times New Roman" w:hAnsi="Times New Roman" w:cs="Times New Roman"/>
          <w:sz w:val="28"/>
          <w:szCs w:val="28"/>
        </w:rPr>
        <w:t>3</w:t>
      </w:r>
      <w:r w:rsidR="003537B1">
        <w:rPr>
          <w:rFonts w:ascii="Times New Roman" w:hAnsi="Times New Roman" w:cs="Times New Roman"/>
          <w:sz w:val="28"/>
          <w:szCs w:val="28"/>
        </w:rPr>
        <w:t>4</w:t>
      </w:r>
      <w:r w:rsidRPr="008504A1">
        <w:rPr>
          <w:rFonts w:ascii="Times New Roman" w:hAnsi="Times New Roman" w:cs="Times New Roman"/>
          <w:sz w:val="28"/>
          <w:szCs w:val="28"/>
        </w:rPr>
        <w:t>] It is a matter of common cause</w:t>
      </w:r>
      <w:r w:rsidR="004C110F" w:rsidRPr="008504A1">
        <w:rPr>
          <w:rFonts w:ascii="Times New Roman" w:hAnsi="Times New Roman" w:cs="Times New Roman"/>
          <w:sz w:val="28"/>
          <w:szCs w:val="28"/>
        </w:rPr>
        <w:t xml:space="preserve"> that the applicants approached this </w:t>
      </w:r>
      <w:r w:rsidRPr="008504A1">
        <w:rPr>
          <w:rFonts w:ascii="Times New Roman" w:hAnsi="Times New Roman" w:cs="Times New Roman"/>
          <w:sz w:val="28"/>
          <w:szCs w:val="28"/>
        </w:rPr>
        <w:t>court on the 24</w:t>
      </w:r>
      <w:r w:rsidRPr="008504A1">
        <w:rPr>
          <w:rFonts w:ascii="Times New Roman" w:hAnsi="Times New Roman" w:cs="Times New Roman"/>
          <w:sz w:val="28"/>
          <w:szCs w:val="28"/>
          <w:vertAlign w:val="superscript"/>
        </w:rPr>
        <w:t>th</w:t>
      </w:r>
      <w:r w:rsidRPr="008504A1">
        <w:rPr>
          <w:rFonts w:ascii="Times New Roman" w:hAnsi="Times New Roman" w:cs="Times New Roman"/>
          <w:sz w:val="28"/>
          <w:szCs w:val="28"/>
        </w:rPr>
        <w:t xml:space="preserve"> May 2022, whereby the Court granted a rule nisi, in terms of which in pr</w:t>
      </w:r>
      <w:r w:rsidR="004C110F" w:rsidRPr="008504A1">
        <w:rPr>
          <w:rFonts w:ascii="Times New Roman" w:hAnsi="Times New Roman" w:cs="Times New Roman"/>
          <w:sz w:val="28"/>
          <w:szCs w:val="28"/>
        </w:rPr>
        <w:t>ayer (d) thereof amongst others;</w:t>
      </w:r>
      <w:r w:rsidRPr="008504A1">
        <w:rPr>
          <w:rFonts w:ascii="Times New Roman" w:hAnsi="Times New Roman" w:cs="Times New Roman"/>
          <w:sz w:val="28"/>
          <w:szCs w:val="28"/>
        </w:rPr>
        <w:t xml:space="preserve"> the first respondent was ordered and directed to hold in abeyance the letters in terms of which the applicants had been invited to make representations for discharge pending finalisation hereof.</w:t>
      </w:r>
      <w:r w:rsidR="004C110F" w:rsidRPr="008504A1">
        <w:rPr>
          <w:rFonts w:ascii="Times New Roman" w:hAnsi="Times New Roman" w:cs="Times New Roman"/>
          <w:sz w:val="28"/>
          <w:szCs w:val="28"/>
        </w:rPr>
        <w:t xml:space="preserve"> This court </w:t>
      </w:r>
      <w:r w:rsidR="00DE3702" w:rsidRPr="008504A1">
        <w:rPr>
          <w:rFonts w:ascii="Times New Roman" w:hAnsi="Times New Roman" w:cs="Times New Roman"/>
          <w:sz w:val="28"/>
          <w:szCs w:val="28"/>
        </w:rPr>
        <w:t>is cognisant</w:t>
      </w:r>
      <w:r w:rsidR="00137D71" w:rsidRPr="008504A1">
        <w:rPr>
          <w:rFonts w:ascii="Times New Roman" w:hAnsi="Times New Roman" w:cs="Times New Roman"/>
          <w:sz w:val="28"/>
          <w:szCs w:val="28"/>
        </w:rPr>
        <w:t xml:space="preserve"> of the fact </w:t>
      </w:r>
      <w:r w:rsidR="00DE3702" w:rsidRPr="008504A1">
        <w:rPr>
          <w:rFonts w:ascii="Times New Roman" w:hAnsi="Times New Roman" w:cs="Times New Roman"/>
          <w:sz w:val="28"/>
          <w:szCs w:val="28"/>
        </w:rPr>
        <w:t>that;</w:t>
      </w:r>
      <w:r w:rsidR="00137D71" w:rsidRPr="008504A1">
        <w:rPr>
          <w:rFonts w:ascii="Times New Roman" w:hAnsi="Times New Roman" w:cs="Times New Roman"/>
          <w:sz w:val="28"/>
          <w:szCs w:val="28"/>
        </w:rPr>
        <w:t xml:space="preserve"> applicants were aware of this court order as the</w:t>
      </w:r>
      <w:r w:rsidR="004C110F" w:rsidRPr="008504A1">
        <w:rPr>
          <w:rFonts w:ascii="Times New Roman" w:hAnsi="Times New Roman" w:cs="Times New Roman"/>
          <w:sz w:val="28"/>
          <w:szCs w:val="28"/>
        </w:rPr>
        <w:t>y were physical armed with</w:t>
      </w:r>
      <w:r w:rsidR="00137D71" w:rsidRPr="008504A1">
        <w:rPr>
          <w:rFonts w:ascii="Times New Roman" w:hAnsi="Times New Roman" w:cs="Times New Roman"/>
          <w:sz w:val="28"/>
          <w:szCs w:val="28"/>
        </w:rPr>
        <w:t xml:space="preserve"> the same. This is evidenced by the fact that on the 25</w:t>
      </w:r>
      <w:r w:rsidR="00137D71" w:rsidRPr="008504A1">
        <w:rPr>
          <w:rFonts w:ascii="Times New Roman" w:hAnsi="Times New Roman" w:cs="Times New Roman"/>
          <w:sz w:val="28"/>
          <w:szCs w:val="28"/>
          <w:vertAlign w:val="superscript"/>
        </w:rPr>
        <w:t>th</w:t>
      </w:r>
      <w:r w:rsidR="00137D71" w:rsidRPr="008504A1">
        <w:rPr>
          <w:rFonts w:ascii="Times New Roman" w:hAnsi="Times New Roman" w:cs="Times New Roman"/>
          <w:sz w:val="28"/>
          <w:szCs w:val="28"/>
        </w:rPr>
        <w:t xml:space="preserve"> May 2022, when instructor Chitja asked them about their letters of representations, they showed him the court order, which suspended submission of the said letters.</w:t>
      </w:r>
    </w:p>
    <w:p w14:paraId="6AABA6E8" w14:textId="77777777" w:rsidR="00B6278E" w:rsidRPr="00EB3375" w:rsidRDefault="00B6278E" w:rsidP="008504A1">
      <w:pPr>
        <w:spacing w:before="240" w:line="360" w:lineRule="auto"/>
        <w:contextualSpacing/>
        <w:jc w:val="both"/>
        <w:rPr>
          <w:rFonts w:ascii="Times New Roman" w:hAnsi="Times New Roman" w:cs="Times New Roman"/>
          <w:sz w:val="24"/>
          <w:szCs w:val="24"/>
        </w:rPr>
      </w:pPr>
    </w:p>
    <w:p w14:paraId="562F00B9" w14:textId="068951F9" w:rsidR="00C25702" w:rsidRDefault="00137D71" w:rsidP="008504A1">
      <w:pPr>
        <w:spacing w:before="240" w:line="360" w:lineRule="auto"/>
        <w:contextualSpacing/>
        <w:jc w:val="both"/>
        <w:rPr>
          <w:rFonts w:ascii="Times New Roman" w:hAnsi="Times New Roman" w:cs="Times New Roman"/>
          <w:sz w:val="28"/>
          <w:szCs w:val="28"/>
        </w:rPr>
      </w:pPr>
      <w:r w:rsidRPr="008504A1">
        <w:rPr>
          <w:rFonts w:ascii="Times New Roman" w:hAnsi="Times New Roman" w:cs="Times New Roman"/>
          <w:sz w:val="28"/>
          <w:szCs w:val="28"/>
        </w:rPr>
        <w:lastRenderedPageBreak/>
        <w:t>[</w:t>
      </w:r>
      <w:r w:rsidR="007E3CE8">
        <w:rPr>
          <w:rFonts w:ascii="Times New Roman" w:hAnsi="Times New Roman" w:cs="Times New Roman"/>
          <w:sz w:val="28"/>
          <w:szCs w:val="28"/>
        </w:rPr>
        <w:t>3</w:t>
      </w:r>
      <w:r w:rsidR="003537B1">
        <w:rPr>
          <w:rFonts w:ascii="Times New Roman" w:hAnsi="Times New Roman" w:cs="Times New Roman"/>
          <w:sz w:val="28"/>
          <w:szCs w:val="28"/>
        </w:rPr>
        <w:t>5</w:t>
      </w:r>
      <w:r w:rsidRPr="008504A1">
        <w:rPr>
          <w:rFonts w:ascii="Times New Roman" w:hAnsi="Times New Roman" w:cs="Times New Roman"/>
          <w:sz w:val="28"/>
          <w:szCs w:val="28"/>
        </w:rPr>
        <w:t>] The next issue that this court has to determine is whether it can be rightly said that the applicants failed to furnish their representations as requested.</w:t>
      </w:r>
      <w:r w:rsidR="008F7D17" w:rsidRPr="008504A1">
        <w:rPr>
          <w:rFonts w:ascii="Times New Roman" w:hAnsi="Times New Roman" w:cs="Times New Roman"/>
          <w:sz w:val="28"/>
          <w:szCs w:val="28"/>
        </w:rPr>
        <w:t xml:space="preserve"> </w:t>
      </w:r>
      <w:r w:rsidR="002B3BA7" w:rsidRPr="008504A1">
        <w:rPr>
          <w:rFonts w:ascii="Times New Roman" w:hAnsi="Times New Roman" w:cs="Times New Roman"/>
          <w:sz w:val="28"/>
          <w:szCs w:val="28"/>
        </w:rPr>
        <w:t>This court is of the view that the first inquiry is to ascertain the meaning of the word “</w:t>
      </w:r>
      <w:r w:rsidR="002B3BA7" w:rsidRPr="0052624A">
        <w:rPr>
          <w:rFonts w:ascii="Times New Roman" w:hAnsi="Times New Roman" w:cs="Times New Roman"/>
          <w:bCs/>
          <w:sz w:val="28"/>
          <w:szCs w:val="28"/>
        </w:rPr>
        <w:t>failure</w:t>
      </w:r>
      <w:r w:rsidR="002B3BA7" w:rsidRPr="008504A1">
        <w:rPr>
          <w:rFonts w:ascii="Times New Roman" w:hAnsi="Times New Roman" w:cs="Times New Roman"/>
          <w:sz w:val="28"/>
          <w:szCs w:val="28"/>
        </w:rPr>
        <w:t>”. Oxford dictionary defines the word “failure” as the neglect or omission of expected or required action. The word “failure” is similar to the words: negligence, non-observance, non-performance, dereliction.</w:t>
      </w:r>
    </w:p>
    <w:p w14:paraId="4FB477BA" w14:textId="77777777" w:rsidR="00690A41" w:rsidRPr="00EB3375" w:rsidRDefault="00690A41" w:rsidP="008504A1">
      <w:pPr>
        <w:spacing w:before="240" w:line="360" w:lineRule="auto"/>
        <w:contextualSpacing/>
        <w:jc w:val="both"/>
        <w:rPr>
          <w:rFonts w:ascii="Times New Roman" w:hAnsi="Times New Roman" w:cs="Times New Roman"/>
          <w:sz w:val="24"/>
          <w:szCs w:val="24"/>
        </w:rPr>
      </w:pPr>
    </w:p>
    <w:p w14:paraId="643BAF5E" w14:textId="59B91A83" w:rsidR="002B3BA7" w:rsidRDefault="002B3BA7" w:rsidP="008504A1">
      <w:pPr>
        <w:spacing w:before="240" w:line="360" w:lineRule="auto"/>
        <w:contextualSpacing/>
        <w:jc w:val="both"/>
        <w:rPr>
          <w:rFonts w:ascii="Times New Roman" w:hAnsi="Times New Roman" w:cs="Times New Roman"/>
          <w:sz w:val="28"/>
          <w:szCs w:val="28"/>
        </w:rPr>
      </w:pPr>
      <w:r w:rsidRPr="008504A1">
        <w:rPr>
          <w:rFonts w:ascii="Times New Roman" w:hAnsi="Times New Roman" w:cs="Times New Roman"/>
          <w:sz w:val="28"/>
          <w:szCs w:val="28"/>
        </w:rPr>
        <w:t>[3</w:t>
      </w:r>
      <w:r w:rsidR="003537B1">
        <w:rPr>
          <w:rFonts w:ascii="Times New Roman" w:hAnsi="Times New Roman" w:cs="Times New Roman"/>
          <w:sz w:val="28"/>
          <w:szCs w:val="28"/>
        </w:rPr>
        <w:t>6</w:t>
      </w:r>
      <w:r w:rsidRPr="008504A1">
        <w:rPr>
          <w:rFonts w:ascii="Times New Roman" w:hAnsi="Times New Roman" w:cs="Times New Roman"/>
          <w:sz w:val="28"/>
          <w:szCs w:val="28"/>
        </w:rPr>
        <w:t>] Having looked at the meaning of the word “failure”, and taking into account that the court had ordered the first respondent to hold in abeyance the letters in terms of which the applicants had been invited to make representations for their discharge,</w:t>
      </w:r>
      <w:r w:rsidR="00666EF5" w:rsidRPr="008504A1">
        <w:rPr>
          <w:rFonts w:ascii="Times New Roman" w:hAnsi="Times New Roman" w:cs="Times New Roman"/>
          <w:sz w:val="28"/>
          <w:szCs w:val="28"/>
        </w:rPr>
        <w:t xml:space="preserve"> can it be said that the applicants failed to furnish their representations as requested. The answer to this question is in the negative, because the applicants had a valid, reasonable and lawful excuse for not furnishing their representations, simply because there was an order of court</w:t>
      </w:r>
      <w:r w:rsidR="005C4251" w:rsidRPr="008504A1">
        <w:rPr>
          <w:rFonts w:ascii="Times New Roman" w:hAnsi="Times New Roman" w:cs="Times New Roman"/>
          <w:sz w:val="28"/>
          <w:szCs w:val="28"/>
        </w:rPr>
        <w:t xml:space="preserve"> </w:t>
      </w:r>
      <w:r w:rsidR="005C4251" w:rsidRPr="008504A1">
        <w:rPr>
          <w:rFonts w:ascii="Times New Roman" w:hAnsi="Times New Roman" w:cs="Times New Roman"/>
          <w:b/>
          <w:sz w:val="28"/>
          <w:szCs w:val="28"/>
        </w:rPr>
        <w:t>(CIV/APN/0169/2022</w:t>
      </w:r>
      <w:r w:rsidR="005C4251" w:rsidRPr="008504A1">
        <w:rPr>
          <w:rFonts w:ascii="Times New Roman" w:hAnsi="Times New Roman" w:cs="Times New Roman"/>
          <w:sz w:val="28"/>
          <w:szCs w:val="28"/>
        </w:rPr>
        <w:t>)</w:t>
      </w:r>
      <w:r w:rsidR="00666EF5" w:rsidRPr="008504A1">
        <w:rPr>
          <w:rFonts w:ascii="Times New Roman" w:hAnsi="Times New Roman" w:cs="Times New Roman"/>
          <w:sz w:val="28"/>
          <w:szCs w:val="28"/>
        </w:rPr>
        <w:t xml:space="preserve"> which directed that the furnishing of the requested representations had been suspended.</w:t>
      </w:r>
      <w:r w:rsidR="004C110F" w:rsidRPr="008504A1">
        <w:rPr>
          <w:rFonts w:ascii="Times New Roman" w:hAnsi="Times New Roman" w:cs="Times New Roman"/>
          <w:sz w:val="28"/>
          <w:szCs w:val="28"/>
        </w:rPr>
        <w:t xml:space="preserve"> Applicants had approached this court, asking for the suspension of </w:t>
      </w:r>
      <w:r w:rsidR="00E677C6" w:rsidRPr="008504A1">
        <w:rPr>
          <w:rFonts w:ascii="Times New Roman" w:hAnsi="Times New Roman" w:cs="Times New Roman"/>
          <w:sz w:val="28"/>
          <w:szCs w:val="28"/>
        </w:rPr>
        <w:t>the submission of the letters of their respective representations. Applicants being armed with copies of the court order to that effect, would not reasonably be expected to do, what was contrary to the order, they were aware of. To expect them to do otherwise, would be taken to have a</w:t>
      </w:r>
      <w:r w:rsidR="00594A31" w:rsidRPr="008504A1">
        <w:rPr>
          <w:rFonts w:ascii="Times New Roman" w:hAnsi="Times New Roman" w:cs="Times New Roman"/>
          <w:sz w:val="28"/>
          <w:szCs w:val="28"/>
        </w:rPr>
        <w:t>bandoned the said court order.</w:t>
      </w:r>
      <w:r w:rsidR="00E677C6" w:rsidRPr="008504A1">
        <w:rPr>
          <w:rFonts w:ascii="Times New Roman" w:hAnsi="Times New Roman" w:cs="Times New Roman"/>
          <w:sz w:val="28"/>
          <w:szCs w:val="28"/>
        </w:rPr>
        <w:t xml:space="preserve"> It is for this reason that this court finds that the applicants did not fail to submit their representations nor waived their right t</w:t>
      </w:r>
      <w:r w:rsidR="00C5562F" w:rsidRPr="008504A1">
        <w:rPr>
          <w:rFonts w:ascii="Times New Roman" w:hAnsi="Times New Roman" w:cs="Times New Roman"/>
          <w:sz w:val="28"/>
          <w:szCs w:val="28"/>
        </w:rPr>
        <w:t>o be heard, as they acted</w:t>
      </w:r>
      <w:r w:rsidR="00E677C6" w:rsidRPr="008504A1">
        <w:rPr>
          <w:rFonts w:ascii="Times New Roman" w:hAnsi="Times New Roman" w:cs="Times New Roman"/>
          <w:sz w:val="28"/>
          <w:szCs w:val="28"/>
        </w:rPr>
        <w:t xml:space="preserve"> in</w:t>
      </w:r>
      <w:r w:rsidR="00C5562F" w:rsidRPr="008504A1">
        <w:rPr>
          <w:rFonts w:ascii="Times New Roman" w:hAnsi="Times New Roman" w:cs="Times New Roman"/>
          <w:sz w:val="28"/>
          <w:szCs w:val="28"/>
        </w:rPr>
        <w:t xml:space="preserve"> total</w:t>
      </w:r>
      <w:r w:rsidR="00E677C6" w:rsidRPr="008504A1">
        <w:rPr>
          <w:rFonts w:ascii="Times New Roman" w:hAnsi="Times New Roman" w:cs="Times New Roman"/>
          <w:sz w:val="28"/>
          <w:szCs w:val="28"/>
        </w:rPr>
        <w:t xml:space="preserve"> compliance with the court order</w:t>
      </w:r>
      <w:r w:rsidR="009538EB" w:rsidRPr="008504A1">
        <w:rPr>
          <w:rFonts w:ascii="Times New Roman" w:hAnsi="Times New Roman" w:cs="Times New Roman"/>
          <w:sz w:val="28"/>
          <w:szCs w:val="28"/>
        </w:rPr>
        <w:t xml:space="preserve"> in </w:t>
      </w:r>
      <w:r w:rsidR="009538EB" w:rsidRPr="000A1349">
        <w:rPr>
          <w:rFonts w:ascii="Times New Roman" w:hAnsi="Times New Roman" w:cs="Times New Roman"/>
          <w:b/>
          <w:bCs/>
          <w:i/>
          <w:iCs/>
          <w:sz w:val="28"/>
          <w:szCs w:val="28"/>
        </w:rPr>
        <w:t>CIV/APN/0169/2022</w:t>
      </w:r>
      <w:r w:rsidR="009538EB" w:rsidRPr="008504A1">
        <w:rPr>
          <w:rFonts w:ascii="Times New Roman" w:hAnsi="Times New Roman" w:cs="Times New Roman"/>
          <w:sz w:val="28"/>
          <w:szCs w:val="28"/>
        </w:rPr>
        <w:t xml:space="preserve"> of </w:t>
      </w:r>
      <w:r w:rsidR="009538EB" w:rsidRPr="001E2971">
        <w:rPr>
          <w:rFonts w:ascii="Times New Roman" w:hAnsi="Times New Roman" w:cs="Times New Roman"/>
          <w:b/>
          <w:bCs/>
          <w:sz w:val="28"/>
          <w:szCs w:val="28"/>
        </w:rPr>
        <w:t>Makhetha J</w:t>
      </w:r>
      <w:r w:rsidR="00E677C6" w:rsidRPr="008504A1">
        <w:rPr>
          <w:rFonts w:ascii="Times New Roman" w:hAnsi="Times New Roman" w:cs="Times New Roman"/>
          <w:sz w:val="28"/>
          <w:szCs w:val="28"/>
        </w:rPr>
        <w:t xml:space="preserve">. </w:t>
      </w:r>
    </w:p>
    <w:p w14:paraId="4E3A3318" w14:textId="77777777" w:rsidR="00D53E21" w:rsidRPr="00EB3375" w:rsidRDefault="00D53E21" w:rsidP="008504A1">
      <w:pPr>
        <w:spacing w:before="240" w:line="360" w:lineRule="auto"/>
        <w:contextualSpacing/>
        <w:jc w:val="both"/>
        <w:rPr>
          <w:rFonts w:ascii="Times New Roman" w:hAnsi="Times New Roman" w:cs="Times New Roman"/>
          <w:sz w:val="24"/>
          <w:szCs w:val="24"/>
        </w:rPr>
      </w:pPr>
    </w:p>
    <w:p w14:paraId="60C39425" w14:textId="4C6DBBB2" w:rsidR="00C5562F" w:rsidRDefault="00C5562F" w:rsidP="008504A1">
      <w:pPr>
        <w:spacing w:before="240" w:line="360" w:lineRule="auto"/>
        <w:contextualSpacing/>
        <w:jc w:val="both"/>
        <w:rPr>
          <w:rFonts w:ascii="Times New Roman" w:hAnsi="Times New Roman" w:cs="Times New Roman"/>
          <w:sz w:val="28"/>
          <w:szCs w:val="28"/>
        </w:rPr>
      </w:pPr>
      <w:r w:rsidRPr="008504A1">
        <w:rPr>
          <w:rFonts w:ascii="Times New Roman" w:hAnsi="Times New Roman" w:cs="Times New Roman"/>
          <w:sz w:val="28"/>
          <w:szCs w:val="28"/>
        </w:rPr>
        <w:t>[3</w:t>
      </w:r>
      <w:r w:rsidR="003537B1">
        <w:rPr>
          <w:rFonts w:ascii="Times New Roman" w:hAnsi="Times New Roman" w:cs="Times New Roman"/>
          <w:sz w:val="28"/>
          <w:szCs w:val="28"/>
        </w:rPr>
        <w:t>7</w:t>
      </w:r>
      <w:r w:rsidRPr="008504A1">
        <w:rPr>
          <w:rFonts w:ascii="Times New Roman" w:hAnsi="Times New Roman" w:cs="Times New Roman"/>
          <w:sz w:val="28"/>
          <w:szCs w:val="28"/>
        </w:rPr>
        <w:t xml:space="preserve">] This court concludes that termination of the applicants’ appointment as Police Recruits was unlawful, because there was an order of court which had directed and ordered the suspension of the submission of the </w:t>
      </w:r>
      <w:r w:rsidR="00E723E2" w:rsidRPr="008504A1">
        <w:rPr>
          <w:rFonts w:ascii="Times New Roman" w:hAnsi="Times New Roman" w:cs="Times New Roman"/>
          <w:sz w:val="28"/>
          <w:szCs w:val="28"/>
        </w:rPr>
        <w:t xml:space="preserve">applicants’ letters of representations. The court finds that applicants complied with the court order in </w:t>
      </w:r>
      <w:r w:rsidR="00E723E2" w:rsidRPr="000A1349">
        <w:rPr>
          <w:rFonts w:ascii="Times New Roman" w:hAnsi="Times New Roman" w:cs="Times New Roman"/>
          <w:b/>
          <w:bCs/>
          <w:i/>
          <w:iCs/>
          <w:sz w:val="28"/>
          <w:szCs w:val="28"/>
        </w:rPr>
        <w:t>CIV/APN/0169/2022</w:t>
      </w:r>
      <w:r w:rsidR="00E723E2" w:rsidRPr="008504A1">
        <w:rPr>
          <w:rFonts w:ascii="Times New Roman" w:hAnsi="Times New Roman" w:cs="Times New Roman"/>
          <w:sz w:val="28"/>
          <w:szCs w:val="28"/>
        </w:rPr>
        <w:t xml:space="preserve">, therefore it could not rightly be said, they failed to furnish </w:t>
      </w:r>
      <w:r w:rsidR="00E723E2" w:rsidRPr="008504A1">
        <w:rPr>
          <w:rFonts w:ascii="Times New Roman" w:hAnsi="Times New Roman" w:cs="Times New Roman"/>
          <w:sz w:val="28"/>
          <w:szCs w:val="28"/>
        </w:rPr>
        <w:lastRenderedPageBreak/>
        <w:t>the required letters of their representations, therefore waived their right to be heard.</w:t>
      </w:r>
    </w:p>
    <w:p w14:paraId="05BD9ABC" w14:textId="77777777" w:rsidR="00022C62" w:rsidRPr="00EB3375" w:rsidRDefault="00022C62" w:rsidP="008504A1">
      <w:pPr>
        <w:spacing w:before="240" w:line="360" w:lineRule="auto"/>
        <w:contextualSpacing/>
        <w:jc w:val="both"/>
        <w:rPr>
          <w:rFonts w:ascii="Times New Roman" w:hAnsi="Times New Roman" w:cs="Times New Roman"/>
          <w:sz w:val="24"/>
          <w:szCs w:val="24"/>
        </w:rPr>
      </w:pPr>
    </w:p>
    <w:p w14:paraId="77CAE77A" w14:textId="0A6CE798" w:rsidR="009538EB" w:rsidRPr="00F55684" w:rsidRDefault="00F55684" w:rsidP="008504A1">
      <w:pPr>
        <w:spacing w:before="240" w:line="360" w:lineRule="auto"/>
        <w:contextualSpacing/>
        <w:jc w:val="both"/>
        <w:rPr>
          <w:rFonts w:ascii="Times New Roman" w:hAnsi="Times New Roman" w:cs="Times New Roman"/>
          <w:b/>
          <w:sz w:val="28"/>
          <w:szCs w:val="28"/>
        </w:rPr>
      </w:pPr>
      <w:r w:rsidRPr="00F55684">
        <w:rPr>
          <w:rFonts w:ascii="Times New Roman" w:hAnsi="Times New Roman" w:cs="Times New Roman"/>
          <w:b/>
          <w:sz w:val="28"/>
          <w:szCs w:val="28"/>
        </w:rPr>
        <w:t>COSTS.</w:t>
      </w:r>
    </w:p>
    <w:p w14:paraId="3E1F30FA" w14:textId="6273D211" w:rsidR="00594A31" w:rsidRDefault="009538EB" w:rsidP="008504A1">
      <w:pPr>
        <w:spacing w:before="240" w:line="360" w:lineRule="auto"/>
        <w:contextualSpacing/>
        <w:jc w:val="both"/>
        <w:rPr>
          <w:rFonts w:ascii="Times New Roman" w:hAnsi="Times New Roman" w:cs="Times New Roman"/>
          <w:sz w:val="28"/>
          <w:szCs w:val="28"/>
        </w:rPr>
      </w:pPr>
      <w:r w:rsidRPr="008504A1">
        <w:rPr>
          <w:rFonts w:ascii="Times New Roman" w:hAnsi="Times New Roman" w:cs="Times New Roman"/>
          <w:sz w:val="28"/>
          <w:szCs w:val="28"/>
        </w:rPr>
        <w:t>[3</w:t>
      </w:r>
      <w:r w:rsidR="003537B1">
        <w:rPr>
          <w:rFonts w:ascii="Times New Roman" w:hAnsi="Times New Roman" w:cs="Times New Roman"/>
          <w:sz w:val="28"/>
          <w:szCs w:val="28"/>
        </w:rPr>
        <w:t>8</w:t>
      </w:r>
      <w:r w:rsidRPr="008504A1">
        <w:rPr>
          <w:rFonts w:ascii="Times New Roman" w:hAnsi="Times New Roman" w:cs="Times New Roman"/>
          <w:sz w:val="28"/>
          <w:szCs w:val="28"/>
        </w:rPr>
        <w:t>] Applicants have praye</w:t>
      </w:r>
      <w:r w:rsidR="00C5562F" w:rsidRPr="008504A1">
        <w:rPr>
          <w:rFonts w:ascii="Times New Roman" w:hAnsi="Times New Roman" w:cs="Times New Roman"/>
          <w:sz w:val="28"/>
          <w:szCs w:val="28"/>
        </w:rPr>
        <w:t xml:space="preserve">d for costs on a higher </w:t>
      </w:r>
      <w:r w:rsidRPr="008504A1">
        <w:rPr>
          <w:rFonts w:ascii="Times New Roman" w:hAnsi="Times New Roman" w:cs="Times New Roman"/>
          <w:sz w:val="28"/>
          <w:szCs w:val="28"/>
        </w:rPr>
        <w:t>attorney client</w:t>
      </w:r>
      <w:r w:rsidR="00C5562F" w:rsidRPr="008504A1">
        <w:rPr>
          <w:rFonts w:ascii="Times New Roman" w:hAnsi="Times New Roman" w:cs="Times New Roman"/>
          <w:sz w:val="28"/>
          <w:szCs w:val="28"/>
        </w:rPr>
        <w:t xml:space="preserve"> scale</w:t>
      </w:r>
      <w:r w:rsidRPr="008504A1">
        <w:rPr>
          <w:rFonts w:ascii="Times New Roman" w:hAnsi="Times New Roman" w:cs="Times New Roman"/>
          <w:sz w:val="28"/>
          <w:szCs w:val="28"/>
        </w:rPr>
        <w:t>. The issue that this court has to determine is whether applicants are entitled to attorney and client scale. In order to make this determination, this court is duty bound to make an i</w:t>
      </w:r>
      <w:r w:rsidR="00594A31" w:rsidRPr="008504A1">
        <w:rPr>
          <w:rFonts w:ascii="Times New Roman" w:hAnsi="Times New Roman" w:cs="Times New Roman"/>
          <w:sz w:val="28"/>
          <w:szCs w:val="28"/>
        </w:rPr>
        <w:t>nquiry into the circumstances under</w:t>
      </w:r>
      <w:r w:rsidRPr="008504A1">
        <w:rPr>
          <w:rFonts w:ascii="Times New Roman" w:hAnsi="Times New Roman" w:cs="Times New Roman"/>
          <w:sz w:val="28"/>
          <w:szCs w:val="28"/>
        </w:rPr>
        <w:t xml:space="preserve"> which attorney and client scale may be ordered.</w:t>
      </w:r>
    </w:p>
    <w:p w14:paraId="4DA6B1D3" w14:textId="77777777" w:rsidR="00C25702" w:rsidRPr="00EB3375" w:rsidRDefault="00C25702" w:rsidP="008504A1">
      <w:pPr>
        <w:spacing w:before="240" w:line="360" w:lineRule="auto"/>
        <w:contextualSpacing/>
        <w:jc w:val="both"/>
        <w:rPr>
          <w:rFonts w:ascii="Times New Roman" w:hAnsi="Times New Roman" w:cs="Times New Roman"/>
          <w:sz w:val="24"/>
          <w:szCs w:val="24"/>
        </w:rPr>
      </w:pPr>
    </w:p>
    <w:p w14:paraId="0F00BEAD" w14:textId="36A950C8" w:rsidR="00C87FB9" w:rsidRDefault="00594A31" w:rsidP="008504A1">
      <w:pPr>
        <w:spacing w:before="240" w:line="360" w:lineRule="auto"/>
        <w:contextualSpacing/>
        <w:jc w:val="both"/>
        <w:rPr>
          <w:rFonts w:ascii="Times New Roman" w:hAnsi="Times New Roman" w:cs="Times New Roman"/>
          <w:sz w:val="28"/>
          <w:szCs w:val="28"/>
        </w:rPr>
      </w:pPr>
      <w:r w:rsidRPr="008504A1">
        <w:rPr>
          <w:rFonts w:ascii="Times New Roman" w:hAnsi="Times New Roman" w:cs="Times New Roman"/>
          <w:sz w:val="28"/>
          <w:szCs w:val="28"/>
        </w:rPr>
        <w:t>[3</w:t>
      </w:r>
      <w:r w:rsidR="003537B1">
        <w:rPr>
          <w:rFonts w:ascii="Times New Roman" w:hAnsi="Times New Roman" w:cs="Times New Roman"/>
          <w:sz w:val="28"/>
          <w:szCs w:val="28"/>
        </w:rPr>
        <w:t>9</w:t>
      </w:r>
      <w:r w:rsidRPr="008504A1">
        <w:rPr>
          <w:rFonts w:ascii="Times New Roman" w:hAnsi="Times New Roman" w:cs="Times New Roman"/>
          <w:sz w:val="28"/>
          <w:szCs w:val="28"/>
        </w:rPr>
        <w:t xml:space="preserve">] </w:t>
      </w:r>
      <w:r w:rsidR="00C87FB9" w:rsidRPr="008504A1">
        <w:rPr>
          <w:rFonts w:ascii="Times New Roman" w:hAnsi="Times New Roman" w:cs="Times New Roman"/>
          <w:sz w:val="28"/>
          <w:szCs w:val="28"/>
        </w:rPr>
        <w:t xml:space="preserve">In the case of </w:t>
      </w:r>
      <w:bookmarkStart w:id="10" w:name="_Hlk110849229"/>
      <w:r w:rsidR="00C87FB9" w:rsidRPr="000A1349">
        <w:rPr>
          <w:rFonts w:ascii="Times New Roman" w:hAnsi="Times New Roman" w:cs="Times New Roman"/>
          <w:b/>
          <w:bCs/>
          <w:i/>
          <w:iCs/>
          <w:sz w:val="28"/>
          <w:szCs w:val="28"/>
        </w:rPr>
        <w:t>Crieff Investment (PVT) Ltd and</w:t>
      </w:r>
      <w:r w:rsidR="00044C65" w:rsidRPr="000A1349">
        <w:rPr>
          <w:rFonts w:ascii="Times New Roman" w:hAnsi="Times New Roman" w:cs="Times New Roman"/>
          <w:b/>
          <w:bCs/>
          <w:i/>
          <w:iCs/>
          <w:sz w:val="28"/>
          <w:szCs w:val="28"/>
        </w:rPr>
        <w:t xml:space="preserve"> another vs Grand Home Centre (</w:t>
      </w:r>
      <w:r w:rsidR="00C87FB9" w:rsidRPr="000A1349">
        <w:rPr>
          <w:rFonts w:ascii="Times New Roman" w:hAnsi="Times New Roman" w:cs="Times New Roman"/>
          <w:b/>
          <w:bCs/>
          <w:i/>
          <w:iCs/>
          <w:sz w:val="28"/>
          <w:szCs w:val="28"/>
        </w:rPr>
        <w:t xml:space="preserve">PVT) Ltd and </w:t>
      </w:r>
      <w:r w:rsidR="000A1349">
        <w:rPr>
          <w:rFonts w:ascii="Times New Roman" w:hAnsi="Times New Roman" w:cs="Times New Roman"/>
          <w:b/>
          <w:bCs/>
          <w:i/>
          <w:iCs/>
          <w:sz w:val="28"/>
          <w:szCs w:val="28"/>
        </w:rPr>
        <w:t>O</w:t>
      </w:r>
      <w:r w:rsidR="00C87FB9" w:rsidRPr="000A1349">
        <w:rPr>
          <w:rFonts w:ascii="Times New Roman" w:hAnsi="Times New Roman" w:cs="Times New Roman"/>
          <w:b/>
          <w:bCs/>
          <w:i/>
          <w:iCs/>
          <w:sz w:val="28"/>
          <w:szCs w:val="28"/>
        </w:rPr>
        <w:t>thers</w:t>
      </w:r>
      <w:bookmarkEnd w:id="10"/>
      <w:r w:rsidR="000207BB">
        <w:rPr>
          <w:rStyle w:val="FootnoteReference"/>
          <w:rFonts w:ascii="Times New Roman" w:hAnsi="Times New Roman" w:cs="Times New Roman"/>
          <w:b/>
          <w:bCs/>
          <w:sz w:val="28"/>
          <w:szCs w:val="28"/>
        </w:rPr>
        <w:footnoteReference w:id="18"/>
      </w:r>
      <w:r w:rsidR="00C87FB9" w:rsidRPr="008504A1">
        <w:rPr>
          <w:rFonts w:ascii="Times New Roman" w:hAnsi="Times New Roman" w:cs="Times New Roman"/>
          <w:sz w:val="28"/>
          <w:szCs w:val="28"/>
        </w:rPr>
        <w:t xml:space="preserve">, where </w:t>
      </w:r>
      <w:r w:rsidR="00C87FB9" w:rsidRPr="001E2971">
        <w:rPr>
          <w:rFonts w:ascii="Times New Roman" w:hAnsi="Times New Roman" w:cs="Times New Roman"/>
          <w:b/>
          <w:bCs/>
          <w:sz w:val="28"/>
          <w:szCs w:val="28"/>
        </w:rPr>
        <w:t>Mushore J</w:t>
      </w:r>
      <w:r w:rsidR="00C87FB9" w:rsidRPr="008504A1">
        <w:rPr>
          <w:rFonts w:ascii="Times New Roman" w:hAnsi="Times New Roman" w:cs="Times New Roman"/>
          <w:sz w:val="28"/>
          <w:szCs w:val="28"/>
        </w:rPr>
        <w:t xml:space="preserve"> had this to say:</w:t>
      </w:r>
    </w:p>
    <w:p w14:paraId="2A9FB037" w14:textId="77777777" w:rsidR="00C25702" w:rsidRPr="00C25702" w:rsidRDefault="00C25702" w:rsidP="008504A1">
      <w:pPr>
        <w:spacing w:before="240" w:line="360" w:lineRule="auto"/>
        <w:contextualSpacing/>
        <w:jc w:val="both"/>
        <w:rPr>
          <w:rFonts w:ascii="Times New Roman" w:hAnsi="Times New Roman" w:cs="Times New Roman"/>
          <w:sz w:val="16"/>
          <w:szCs w:val="16"/>
        </w:rPr>
      </w:pPr>
    </w:p>
    <w:p w14:paraId="4B37FEC1" w14:textId="77777777" w:rsidR="00585134" w:rsidRDefault="00C87FB9" w:rsidP="004C1866">
      <w:pPr>
        <w:spacing w:before="240" w:line="360" w:lineRule="auto"/>
        <w:ind w:left="720"/>
        <w:contextualSpacing/>
        <w:jc w:val="both"/>
        <w:rPr>
          <w:rFonts w:ascii="Times New Roman" w:hAnsi="Times New Roman" w:cs="Times New Roman"/>
          <w:sz w:val="28"/>
          <w:szCs w:val="28"/>
        </w:rPr>
      </w:pPr>
      <w:r w:rsidRPr="008504A1">
        <w:rPr>
          <w:rFonts w:ascii="Times New Roman" w:hAnsi="Times New Roman" w:cs="Times New Roman"/>
          <w:sz w:val="28"/>
          <w:szCs w:val="28"/>
        </w:rPr>
        <w:t xml:space="preserve">“The awarding of costs at a higher scale is within the discretion of the court. Our courts will not resort to this drastic award lightly, due to the fact that a person has a right to obtain a favourable decision against a genuine complaint. The learned authors </w:t>
      </w:r>
      <w:r w:rsidRPr="001E2971">
        <w:rPr>
          <w:rFonts w:ascii="Times New Roman" w:hAnsi="Times New Roman" w:cs="Times New Roman"/>
          <w:b/>
          <w:bCs/>
          <w:sz w:val="28"/>
          <w:szCs w:val="28"/>
        </w:rPr>
        <w:t xml:space="preserve">Herbstein and Van Winsen </w:t>
      </w:r>
      <w:r w:rsidRPr="000A1349">
        <w:rPr>
          <w:rFonts w:ascii="Times New Roman" w:hAnsi="Times New Roman" w:cs="Times New Roman"/>
          <w:sz w:val="28"/>
          <w:szCs w:val="28"/>
        </w:rPr>
        <w:t>in</w:t>
      </w:r>
      <w:r w:rsidRPr="001E2971">
        <w:rPr>
          <w:rFonts w:ascii="Times New Roman" w:hAnsi="Times New Roman" w:cs="Times New Roman"/>
          <w:b/>
          <w:bCs/>
          <w:sz w:val="28"/>
          <w:szCs w:val="28"/>
        </w:rPr>
        <w:t xml:space="preserve"> </w:t>
      </w:r>
      <w:r w:rsidRPr="001F14A5">
        <w:rPr>
          <w:rFonts w:ascii="Times New Roman" w:hAnsi="Times New Roman" w:cs="Times New Roman"/>
          <w:b/>
          <w:bCs/>
          <w:i/>
          <w:iCs/>
          <w:sz w:val="28"/>
          <w:szCs w:val="28"/>
        </w:rPr>
        <w:t>The Civil Practice of the High Court and Supreme Court of Appeal of South Africa</w:t>
      </w:r>
      <w:r w:rsidR="000207BB" w:rsidRPr="000A1349">
        <w:rPr>
          <w:rStyle w:val="FootnoteReference"/>
          <w:rFonts w:ascii="Times New Roman" w:hAnsi="Times New Roman" w:cs="Times New Roman"/>
          <w:b/>
          <w:bCs/>
          <w:i/>
          <w:iCs/>
          <w:sz w:val="28"/>
          <w:szCs w:val="28"/>
        </w:rPr>
        <w:footnoteReference w:id="19"/>
      </w:r>
      <w:r w:rsidR="00585134" w:rsidRPr="008504A1">
        <w:rPr>
          <w:rFonts w:ascii="Times New Roman" w:hAnsi="Times New Roman" w:cs="Times New Roman"/>
          <w:sz w:val="28"/>
          <w:szCs w:val="28"/>
        </w:rPr>
        <w:t>, stated the following:</w:t>
      </w:r>
    </w:p>
    <w:p w14:paraId="3E35049C" w14:textId="77777777" w:rsidR="004C1866" w:rsidRPr="004C1866" w:rsidRDefault="004C1866" w:rsidP="004C1866">
      <w:pPr>
        <w:spacing w:before="240" w:line="360" w:lineRule="auto"/>
        <w:ind w:left="720"/>
        <w:contextualSpacing/>
        <w:jc w:val="both"/>
        <w:rPr>
          <w:rFonts w:ascii="Times New Roman" w:hAnsi="Times New Roman" w:cs="Times New Roman"/>
          <w:sz w:val="16"/>
          <w:szCs w:val="16"/>
        </w:rPr>
      </w:pPr>
    </w:p>
    <w:p w14:paraId="4F658A2B" w14:textId="690F1DC9" w:rsidR="00CE35AE" w:rsidRPr="00AB7FCC" w:rsidRDefault="00585134" w:rsidP="00AB7FCC">
      <w:pPr>
        <w:spacing w:before="240" w:line="360" w:lineRule="auto"/>
        <w:ind w:left="720"/>
        <w:contextualSpacing/>
        <w:jc w:val="both"/>
        <w:rPr>
          <w:rFonts w:ascii="Times New Roman" w:hAnsi="Times New Roman" w:cs="Times New Roman"/>
          <w:sz w:val="28"/>
          <w:szCs w:val="28"/>
        </w:rPr>
      </w:pPr>
      <w:r w:rsidRPr="008504A1">
        <w:rPr>
          <w:rFonts w:ascii="Times New Roman" w:hAnsi="Times New Roman" w:cs="Times New Roman"/>
          <w:sz w:val="28"/>
          <w:szCs w:val="28"/>
        </w:rPr>
        <w:t>“The award of costs in a matter is wholly within the discretion and must be exercised on the grounds upon which a reasonable person could have come to the conclusion arrived at. The law contemplated that he should take into consideration the circumstances of each case, carefully weighing the various issues in the case, the conduct of the parties and any other circumstances which may have a bearing upon the question of costs and then make such order as to costs as would be fair and just between the parties…”</w:t>
      </w:r>
      <w:r w:rsidR="004345FE">
        <w:rPr>
          <w:rFonts w:ascii="Times New Roman" w:hAnsi="Times New Roman" w:cs="Times New Roman"/>
          <w:sz w:val="28"/>
          <w:szCs w:val="28"/>
        </w:rPr>
        <w:t>.</w:t>
      </w:r>
      <w:bookmarkStart w:id="11" w:name="_GoBack"/>
      <w:bookmarkEnd w:id="11"/>
    </w:p>
    <w:p w14:paraId="05726380" w14:textId="0624C14D" w:rsidR="00CE35AE" w:rsidRDefault="00CE35AE" w:rsidP="008504A1">
      <w:pPr>
        <w:spacing w:before="240" w:line="360" w:lineRule="auto"/>
        <w:contextualSpacing/>
        <w:jc w:val="both"/>
        <w:rPr>
          <w:rFonts w:ascii="Times New Roman" w:hAnsi="Times New Roman" w:cs="Times New Roman"/>
          <w:sz w:val="28"/>
          <w:szCs w:val="28"/>
        </w:rPr>
      </w:pPr>
      <w:r w:rsidRPr="008504A1">
        <w:rPr>
          <w:rFonts w:ascii="Times New Roman" w:hAnsi="Times New Roman" w:cs="Times New Roman"/>
          <w:sz w:val="28"/>
          <w:szCs w:val="28"/>
        </w:rPr>
        <w:lastRenderedPageBreak/>
        <w:t>[</w:t>
      </w:r>
      <w:r w:rsidR="003537B1">
        <w:rPr>
          <w:rFonts w:ascii="Times New Roman" w:hAnsi="Times New Roman" w:cs="Times New Roman"/>
          <w:sz w:val="28"/>
          <w:szCs w:val="28"/>
        </w:rPr>
        <w:t>40</w:t>
      </w:r>
      <w:r w:rsidRPr="008504A1">
        <w:rPr>
          <w:rFonts w:ascii="Times New Roman" w:hAnsi="Times New Roman" w:cs="Times New Roman"/>
          <w:sz w:val="28"/>
          <w:szCs w:val="28"/>
        </w:rPr>
        <w:t xml:space="preserve">] </w:t>
      </w:r>
      <w:bookmarkStart w:id="12" w:name="_Hlk110849339"/>
      <w:r w:rsidRPr="005B5E8F">
        <w:rPr>
          <w:rFonts w:ascii="Times New Roman" w:hAnsi="Times New Roman" w:cs="Times New Roman"/>
          <w:b/>
          <w:bCs/>
          <w:sz w:val="28"/>
          <w:szCs w:val="28"/>
        </w:rPr>
        <w:t>AC Cilliers in the Law of Costs</w:t>
      </w:r>
      <w:bookmarkEnd w:id="12"/>
      <w:r w:rsidR="000207BB">
        <w:rPr>
          <w:rStyle w:val="FootnoteReference"/>
          <w:rFonts w:ascii="Times New Roman" w:hAnsi="Times New Roman" w:cs="Times New Roman"/>
          <w:b/>
          <w:bCs/>
          <w:sz w:val="28"/>
          <w:szCs w:val="28"/>
        </w:rPr>
        <w:footnoteReference w:id="20"/>
      </w:r>
      <w:r w:rsidRPr="008504A1">
        <w:rPr>
          <w:rFonts w:ascii="Times New Roman" w:hAnsi="Times New Roman" w:cs="Times New Roman"/>
          <w:sz w:val="28"/>
          <w:szCs w:val="28"/>
        </w:rPr>
        <w:t xml:space="preserve">, </w:t>
      </w:r>
      <w:r w:rsidR="00B25114" w:rsidRPr="008504A1">
        <w:rPr>
          <w:rFonts w:ascii="Times New Roman" w:hAnsi="Times New Roman" w:cs="Times New Roman"/>
          <w:sz w:val="28"/>
          <w:szCs w:val="28"/>
        </w:rPr>
        <w:t>classifi</w:t>
      </w:r>
      <w:r w:rsidRPr="008504A1">
        <w:rPr>
          <w:rFonts w:ascii="Times New Roman" w:hAnsi="Times New Roman" w:cs="Times New Roman"/>
          <w:sz w:val="28"/>
          <w:szCs w:val="28"/>
        </w:rPr>
        <w:t>ed the grounds upon which would the court be justified in awarding the costs as between attorney and client:</w:t>
      </w:r>
    </w:p>
    <w:p w14:paraId="105FCABE" w14:textId="77777777" w:rsidR="004D590B" w:rsidRPr="004D590B" w:rsidRDefault="004D590B" w:rsidP="008504A1">
      <w:pPr>
        <w:spacing w:before="240" w:line="360" w:lineRule="auto"/>
        <w:contextualSpacing/>
        <w:jc w:val="both"/>
        <w:rPr>
          <w:rFonts w:ascii="Times New Roman" w:hAnsi="Times New Roman" w:cs="Times New Roman"/>
          <w:sz w:val="16"/>
          <w:szCs w:val="16"/>
        </w:rPr>
      </w:pPr>
    </w:p>
    <w:p w14:paraId="45F19910" w14:textId="77777777" w:rsidR="00CE35AE" w:rsidRPr="008504A1" w:rsidRDefault="00B25114" w:rsidP="004D590B">
      <w:pPr>
        <w:spacing w:before="240" w:line="360" w:lineRule="auto"/>
        <w:ind w:firstLine="720"/>
        <w:contextualSpacing/>
        <w:jc w:val="both"/>
        <w:rPr>
          <w:rFonts w:ascii="Times New Roman" w:hAnsi="Times New Roman" w:cs="Times New Roman"/>
          <w:sz w:val="28"/>
          <w:szCs w:val="28"/>
        </w:rPr>
      </w:pPr>
      <w:r w:rsidRPr="008504A1">
        <w:rPr>
          <w:rFonts w:ascii="Times New Roman" w:hAnsi="Times New Roman" w:cs="Times New Roman"/>
          <w:sz w:val="28"/>
          <w:szCs w:val="28"/>
        </w:rPr>
        <w:t xml:space="preserve">(1) </w:t>
      </w:r>
      <w:r w:rsidR="00CE35AE" w:rsidRPr="008504A1">
        <w:rPr>
          <w:rFonts w:ascii="Times New Roman" w:hAnsi="Times New Roman" w:cs="Times New Roman"/>
          <w:sz w:val="28"/>
          <w:szCs w:val="28"/>
        </w:rPr>
        <w:t>Vexatious and Frivolous proceedings</w:t>
      </w:r>
      <w:r w:rsidR="00BE4E89" w:rsidRPr="008504A1">
        <w:rPr>
          <w:rFonts w:ascii="Times New Roman" w:hAnsi="Times New Roman" w:cs="Times New Roman"/>
          <w:sz w:val="28"/>
          <w:szCs w:val="28"/>
        </w:rPr>
        <w:t>.</w:t>
      </w:r>
    </w:p>
    <w:p w14:paraId="6089E3EF" w14:textId="77777777" w:rsidR="00B25114" w:rsidRPr="008504A1" w:rsidRDefault="00B25114" w:rsidP="004D590B">
      <w:pPr>
        <w:spacing w:before="240" w:line="360" w:lineRule="auto"/>
        <w:ind w:firstLine="720"/>
        <w:contextualSpacing/>
        <w:jc w:val="both"/>
        <w:rPr>
          <w:rFonts w:ascii="Times New Roman" w:hAnsi="Times New Roman" w:cs="Times New Roman"/>
          <w:sz w:val="28"/>
          <w:szCs w:val="28"/>
        </w:rPr>
      </w:pPr>
      <w:r w:rsidRPr="008504A1">
        <w:rPr>
          <w:rFonts w:ascii="Times New Roman" w:hAnsi="Times New Roman" w:cs="Times New Roman"/>
          <w:sz w:val="28"/>
          <w:szCs w:val="28"/>
        </w:rPr>
        <w:t>(2) Dishonesty or fraud of litigant.</w:t>
      </w:r>
    </w:p>
    <w:p w14:paraId="24FA41F6" w14:textId="77777777" w:rsidR="00B25114" w:rsidRPr="008504A1" w:rsidRDefault="00B25114" w:rsidP="004D590B">
      <w:pPr>
        <w:spacing w:before="240" w:line="360" w:lineRule="auto"/>
        <w:ind w:firstLine="720"/>
        <w:contextualSpacing/>
        <w:jc w:val="both"/>
        <w:rPr>
          <w:rFonts w:ascii="Times New Roman" w:hAnsi="Times New Roman" w:cs="Times New Roman"/>
          <w:sz w:val="28"/>
          <w:szCs w:val="28"/>
        </w:rPr>
      </w:pPr>
      <w:r w:rsidRPr="008504A1">
        <w:rPr>
          <w:rFonts w:ascii="Times New Roman" w:hAnsi="Times New Roman" w:cs="Times New Roman"/>
          <w:sz w:val="28"/>
          <w:szCs w:val="28"/>
        </w:rPr>
        <w:t>(3) Reckless or malicious proceedings.</w:t>
      </w:r>
    </w:p>
    <w:p w14:paraId="2FC130B1" w14:textId="77777777" w:rsidR="00B25114" w:rsidRPr="008504A1" w:rsidRDefault="00B25114" w:rsidP="004D590B">
      <w:pPr>
        <w:spacing w:before="240" w:line="360" w:lineRule="auto"/>
        <w:ind w:firstLine="720"/>
        <w:contextualSpacing/>
        <w:jc w:val="both"/>
        <w:rPr>
          <w:rFonts w:ascii="Times New Roman" w:hAnsi="Times New Roman" w:cs="Times New Roman"/>
          <w:sz w:val="28"/>
          <w:szCs w:val="28"/>
        </w:rPr>
      </w:pPr>
      <w:r w:rsidRPr="008504A1">
        <w:rPr>
          <w:rFonts w:ascii="Times New Roman" w:hAnsi="Times New Roman" w:cs="Times New Roman"/>
          <w:sz w:val="28"/>
          <w:szCs w:val="28"/>
        </w:rPr>
        <w:t>(4) Litigant’s deplorable attitude towards the court.</w:t>
      </w:r>
    </w:p>
    <w:p w14:paraId="2175C43A" w14:textId="77777777" w:rsidR="00B25114" w:rsidRDefault="00B25114" w:rsidP="004D590B">
      <w:pPr>
        <w:spacing w:before="240" w:line="360" w:lineRule="auto"/>
        <w:ind w:firstLine="720"/>
        <w:contextualSpacing/>
        <w:jc w:val="both"/>
        <w:rPr>
          <w:rFonts w:ascii="Times New Roman" w:hAnsi="Times New Roman" w:cs="Times New Roman"/>
          <w:sz w:val="28"/>
          <w:szCs w:val="28"/>
        </w:rPr>
      </w:pPr>
      <w:r w:rsidRPr="008504A1">
        <w:rPr>
          <w:rFonts w:ascii="Times New Roman" w:hAnsi="Times New Roman" w:cs="Times New Roman"/>
          <w:sz w:val="28"/>
          <w:szCs w:val="28"/>
        </w:rPr>
        <w:t>(5) Other circumstances.</w:t>
      </w:r>
    </w:p>
    <w:p w14:paraId="3DF5BB50" w14:textId="77777777" w:rsidR="004D590B" w:rsidRPr="00EB3375" w:rsidRDefault="004D590B" w:rsidP="004D590B">
      <w:pPr>
        <w:spacing w:before="240" w:line="360" w:lineRule="auto"/>
        <w:ind w:firstLine="720"/>
        <w:contextualSpacing/>
        <w:jc w:val="both"/>
        <w:rPr>
          <w:rFonts w:ascii="Times New Roman" w:hAnsi="Times New Roman" w:cs="Times New Roman"/>
          <w:sz w:val="24"/>
          <w:szCs w:val="24"/>
        </w:rPr>
      </w:pPr>
    </w:p>
    <w:p w14:paraId="171FC887" w14:textId="01E24D7A" w:rsidR="00B25114" w:rsidRPr="008504A1" w:rsidRDefault="00B25114" w:rsidP="008504A1">
      <w:pPr>
        <w:spacing w:before="240" w:line="360" w:lineRule="auto"/>
        <w:contextualSpacing/>
        <w:jc w:val="both"/>
        <w:rPr>
          <w:rFonts w:ascii="Times New Roman" w:hAnsi="Times New Roman" w:cs="Times New Roman"/>
          <w:sz w:val="28"/>
          <w:szCs w:val="28"/>
        </w:rPr>
      </w:pPr>
      <w:r w:rsidRPr="008504A1">
        <w:rPr>
          <w:rFonts w:ascii="Times New Roman" w:hAnsi="Times New Roman" w:cs="Times New Roman"/>
          <w:sz w:val="28"/>
          <w:szCs w:val="28"/>
        </w:rPr>
        <w:t>[</w:t>
      </w:r>
      <w:r w:rsidR="00644F6A">
        <w:rPr>
          <w:rFonts w:ascii="Times New Roman" w:hAnsi="Times New Roman" w:cs="Times New Roman"/>
          <w:sz w:val="28"/>
          <w:szCs w:val="28"/>
        </w:rPr>
        <w:t>4</w:t>
      </w:r>
      <w:r w:rsidR="003537B1">
        <w:rPr>
          <w:rFonts w:ascii="Times New Roman" w:hAnsi="Times New Roman" w:cs="Times New Roman"/>
          <w:sz w:val="28"/>
          <w:szCs w:val="28"/>
        </w:rPr>
        <w:t>1</w:t>
      </w:r>
      <w:r w:rsidRPr="008504A1">
        <w:rPr>
          <w:rFonts w:ascii="Times New Roman" w:hAnsi="Times New Roman" w:cs="Times New Roman"/>
          <w:sz w:val="28"/>
          <w:szCs w:val="28"/>
        </w:rPr>
        <w:t xml:space="preserve">] </w:t>
      </w:r>
      <w:r w:rsidRPr="001E2971">
        <w:rPr>
          <w:rFonts w:ascii="Times New Roman" w:hAnsi="Times New Roman" w:cs="Times New Roman"/>
          <w:b/>
          <w:bCs/>
          <w:sz w:val="28"/>
          <w:szCs w:val="28"/>
        </w:rPr>
        <w:t>Mushore J</w:t>
      </w:r>
      <w:r w:rsidRPr="008504A1">
        <w:rPr>
          <w:rFonts w:ascii="Times New Roman" w:hAnsi="Times New Roman" w:cs="Times New Roman"/>
          <w:sz w:val="28"/>
          <w:szCs w:val="28"/>
        </w:rPr>
        <w:t xml:space="preserve">. in the </w:t>
      </w:r>
      <w:r w:rsidRPr="000A1349">
        <w:rPr>
          <w:rFonts w:ascii="Times New Roman" w:hAnsi="Times New Roman" w:cs="Times New Roman"/>
          <w:b/>
          <w:bCs/>
          <w:i/>
          <w:iCs/>
          <w:sz w:val="28"/>
          <w:szCs w:val="28"/>
        </w:rPr>
        <w:t xml:space="preserve">Crieff Investments </w:t>
      </w:r>
      <w:r w:rsidR="000A1349">
        <w:rPr>
          <w:rFonts w:ascii="Times New Roman" w:hAnsi="Times New Roman" w:cs="Times New Roman"/>
          <w:b/>
          <w:bCs/>
          <w:i/>
          <w:iCs/>
          <w:sz w:val="28"/>
          <w:szCs w:val="28"/>
        </w:rPr>
        <w:t>C</w:t>
      </w:r>
      <w:r w:rsidRPr="000A1349">
        <w:rPr>
          <w:rFonts w:ascii="Times New Roman" w:hAnsi="Times New Roman" w:cs="Times New Roman"/>
          <w:b/>
          <w:bCs/>
          <w:i/>
          <w:iCs/>
          <w:sz w:val="28"/>
          <w:szCs w:val="28"/>
        </w:rPr>
        <w:t>ase</w:t>
      </w:r>
      <w:r w:rsidR="00F55684">
        <w:rPr>
          <w:rStyle w:val="FootnoteReference"/>
          <w:rFonts w:ascii="Times New Roman" w:hAnsi="Times New Roman" w:cs="Times New Roman"/>
          <w:b/>
          <w:bCs/>
          <w:i/>
          <w:iCs/>
          <w:sz w:val="28"/>
          <w:szCs w:val="28"/>
        </w:rPr>
        <w:footnoteReference w:id="21"/>
      </w:r>
      <w:r w:rsidRPr="008504A1">
        <w:rPr>
          <w:rFonts w:ascii="Times New Roman" w:hAnsi="Times New Roman" w:cs="Times New Roman"/>
          <w:sz w:val="28"/>
          <w:szCs w:val="28"/>
        </w:rPr>
        <w:t xml:space="preserve"> continued to say:</w:t>
      </w:r>
    </w:p>
    <w:p w14:paraId="395C9C10" w14:textId="5FA55786" w:rsidR="00A611EC" w:rsidRDefault="00B25114" w:rsidP="008504A1">
      <w:pPr>
        <w:spacing w:before="240" w:line="360" w:lineRule="auto"/>
        <w:contextualSpacing/>
        <w:jc w:val="both"/>
        <w:rPr>
          <w:rFonts w:ascii="Times New Roman" w:hAnsi="Times New Roman" w:cs="Times New Roman"/>
          <w:sz w:val="28"/>
          <w:szCs w:val="28"/>
        </w:rPr>
      </w:pPr>
      <w:r w:rsidRPr="008504A1">
        <w:rPr>
          <w:rFonts w:ascii="Times New Roman" w:hAnsi="Times New Roman" w:cs="Times New Roman"/>
          <w:sz w:val="28"/>
          <w:szCs w:val="28"/>
        </w:rPr>
        <w:t>“In essence, the cases establish a position that Courts should award costs at a higher scale in exceptional cases where the degree of irregulari</w:t>
      </w:r>
      <w:r w:rsidR="000A1349">
        <w:rPr>
          <w:rFonts w:ascii="Times New Roman" w:hAnsi="Times New Roman" w:cs="Times New Roman"/>
          <w:sz w:val="28"/>
          <w:szCs w:val="28"/>
        </w:rPr>
        <w:t>ti</w:t>
      </w:r>
      <w:r w:rsidRPr="008504A1">
        <w:rPr>
          <w:rFonts w:ascii="Times New Roman" w:hAnsi="Times New Roman" w:cs="Times New Roman"/>
          <w:sz w:val="28"/>
          <w:szCs w:val="28"/>
        </w:rPr>
        <w:t>es, bad behaviour and vexatious proceedings necessitates the granting of such costs, and not merely because the winning party requested for them. Costs should not be a deterrent factor to access to justice where future litigants with genuine matters which deserve judicial alternation. In awarding costs at a higher scale, the Courts should therefore exercise greater vigilance.</w:t>
      </w:r>
    </w:p>
    <w:p w14:paraId="30DBF46B" w14:textId="77777777" w:rsidR="004D590B" w:rsidRPr="00EB3375" w:rsidRDefault="004D590B" w:rsidP="008504A1">
      <w:pPr>
        <w:spacing w:before="240" w:line="360" w:lineRule="auto"/>
        <w:contextualSpacing/>
        <w:jc w:val="both"/>
        <w:rPr>
          <w:rFonts w:ascii="Times New Roman" w:hAnsi="Times New Roman" w:cs="Times New Roman"/>
          <w:sz w:val="24"/>
          <w:szCs w:val="24"/>
        </w:rPr>
      </w:pPr>
    </w:p>
    <w:p w14:paraId="0A424335" w14:textId="0F896409" w:rsidR="004D590B" w:rsidRDefault="00A611EC" w:rsidP="008504A1">
      <w:pPr>
        <w:spacing w:before="240" w:line="360" w:lineRule="auto"/>
        <w:contextualSpacing/>
        <w:jc w:val="both"/>
        <w:rPr>
          <w:rFonts w:ascii="Times New Roman" w:hAnsi="Times New Roman" w:cs="Times New Roman"/>
          <w:sz w:val="28"/>
          <w:szCs w:val="28"/>
        </w:rPr>
      </w:pPr>
      <w:r w:rsidRPr="008504A1">
        <w:rPr>
          <w:rFonts w:ascii="Times New Roman" w:hAnsi="Times New Roman" w:cs="Times New Roman"/>
          <w:sz w:val="28"/>
          <w:szCs w:val="28"/>
        </w:rPr>
        <w:t>[</w:t>
      </w:r>
      <w:r w:rsidR="00644F6A">
        <w:rPr>
          <w:rFonts w:ascii="Times New Roman" w:hAnsi="Times New Roman" w:cs="Times New Roman"/>
          <w:sz w:val="28"/>
          <w:szCs w:val="28"/>
        </w:rPr>
        <w:t>4</w:t>
      </w:r>
      <w:r w:rsidR="003537B1">
        <w:rPr>
          <w:rFonts w:ascii="Times New Roman" w:hAnsi="Times New Roman" w:cs="Times New Roman"/>
          <w:sz w:val="28"/>
          <w:szCs w:val="28"/>
        </w:rPr>
        <w:t>2</w:t>
      </w:r>
      <w:r w:rsidRPr="008504A1">
        <w:rPr>
          <w:rFonts w:ascii="Times New Roman" w:hAnsi="Times New Roman" w:cs="Times New Roman"/>
          <w:sz w:val="28"/>
          <w:szCs w:val="28"/>
        </w:rPr>
        <w:t>]</w:t>
      </w:r>
      <w:r w:rsidR="00317C3E" w:rsidRPr="008504A1">
        <w:rPr>
          <w:rFonts w:ascii="Times New Roman" w:hAnsi="Times New Roman" w:cs="Times New Roman"/>
          <w:sz w:val="28"/>
          <w:szCs w:val="28"/>
        </w:rPr>
        <w:t xml:space="preserve"> </w:t>
      </w:r>
      <w:r w:rsidR="00316E65" w:rsidRPr="008504A1">
        <w:rPr>
          <w:rFonts w:ascii="Times New Roman" w:hAnsi="Times New Roman" w:cs="Times New Roman"/>
          <w:sz w:val="28"/>
          <w:szCs w:val="28"/>
        </w:rPr>
        <w:t xml:space="preserve">In the Constitutional Court of South Africa, in the case of the </w:t>
      </w:r>
      <w:bookmarkStart w:id="13" w:name="_Hlk110849450"/>
      <w:r w:rsidR="00316E65" w:rsidRPr="000A1349">
        <w:rPr>
          <w:rFonts w:ascii="Times New Roman" w:hAnsi="Times New Roman" w:cs="Times New Roman"/>
          <w:b/>
          <w:bCs/>
          <w:i/>
          <w:iCs/>
          <w:sz w:val="28"/>
          <w:szCs w:val="28"/>
        </w:rPr>
        <w:t>Public Protector vs South African Reserve Bank</w:t>
      </w:r>
      <w:bookmarkEnd w:id="13"/>
      <w:r w:rsidR="000207BB">
        <w:rPr>
          <w:rStyle w:val="FootnoteReference"/>
          <w:rFonts w:ascii="Times New Roman" w:hAnsi="Times New Roman" w:cs="Times New Roman"/>
          <w:b/>
          <w:bCs/>
          <w:sz w:val="28"/>
          <w:szCs w:val="28"/>
        </w:rPr>
        <w:footnoteReference w:id="22"/>
      </w:r>
      <w:r w:rsidR="00316E65" w:rsidRPr="008504A1">
        <w:rPr>
          <w:rFonts w:ascii="Times New Roman" w:hAnsi="Times New Roman" w:cs="Times New Roman"/>
          <w:sz w:val="28"/>
          <w:szCs w:val="28"/>
        </w:rPr>
        <w:t xml:space="preserve">, </w:t>
      </w:r>
      <w:r w:rsidR="00316E65" w:rsidRPr="00F33C18">
        <w:rPr>
          <w:rFonts w:ascii="Times New Roman" w:hAnsi="Times New Roman" w:cs="Times New Roman"/>
          <w:b/>
          <w:bCs/>
          <w:sz w:val="28"/>
          <w:szCs w:val="28"/>
        </w:rPr>
        <w:t>Mogoeng CJ</w:t>
      </w:r>
      <w:r w:rsidR="00316E65" w:rsidRPr="008504A1">
        <w:rPr>
          <w:rFonts w:ascii="Times New Roman" w:hAnsi="Times New Roman" w:cs="Times New Roman"/>
          <w:sz w:val="28"/>
          <w:szCs w:val="28"/>
        </w:rPr>
        <w:t xml:space="preserve"> had this to say:</w:t>
      </w:r>
    </w:p>
    <w:p w14:paraId="31B95C10" w14:textId="77777777" w:rsidR="005B1AD6" w:rsidRPr="005B1AD6" w:rsidRDefault="005B1AD6" w:rsidP="008504A1">
      <w:pPr>
        <w:spacing w:before="240" w:line="360" w:lineRule="auto"/>
        <w:contextualSpacing/>
        <w:jc w:val="both"/>
        <w:rPr>
          <w:rFonts w:ascii="Times New Roman" w:hAnsi="Times New Roman" w:cs="Times New Roman"/>
          <w:sz w:val="16"/>
          <w:szCs w:val="16"/>
        </w:rPr>
      </w:pPr>
    </w:p>
    <w:p w14:paraId="2B18F597" w14:textId="77777777" w:rsidR="00316E65" w:rsidRPr="008504A1" w:rsidRDefault="00316E65" w:rsidP="004D590B">
      <w:pPr>
        <w:spacing w:before="240" w:line="360" w:lineRule="auto"/>
        <w:ind w:left="720"/>
        <w:contextualSpacing/>
        <w:jc w:val="both"/>
        <w:rPr>
          <w:rFonts w:ascii="Times New Roman" w:hAnsi="Times New Roman" w:cs="Times New Roman"/>
          <w:sz w:val="28"/>
          <w:szCs w:val="28"/>
        </w:rPr>
      </w:pPr>
      <w:r w:rsidRPr="008504A1">
        <w:rPr>
          <w:rFonts w:ascii="Times New Roman" w:hAnsi="Times New Roman" w:cs="Times New Roman"/>
          <w:sz w:val="28"/>
          <w:szCs w:val="28"/>
        </w:rPr>
        <w:t>“[8] Costs on an attorney and client scale are to be awarded where there is fraudulent, dishonest, vexatious conduct and conduct that amounts to an abuse of court process. As correctly stated by the Labour Appeal Court-</w:t>
      </w:r>
    </w:p>
    <w:p w14:paraId="77925CB5" w14:textId="77777777" w:rsidR="00317C3E" w:rsidRDefault="00316E65" w:rsidP="004D590B">
      <w:pPr>
        <w:spacing w:before="240" w:line="360" w:lineRule="auto"/>
        <w:ind w:left="720"/>
        <w:contextualSpacing/>
        <w:jc w:val="both"/>
        <w:rPr>
          <w:rFonts w:ascii="Times New Roman" w:hAnsi="Times New Roman" w:cs="Times New Roman"/>
          <w:sz w:val="28"/>
          <w:szCs w:val="28"/>
        </w:rPr>
      </w:pPr>
      <w:r w:rsidRPr="008504A1">
        <w:rPr>
          <w:rFonts w:ascii="Times New Roman" w:hAnsi="Times New Roman" w:cs="Times New Roman"/>
          <w:sz w:val="28"/>
          <w:szCs w:val="28"/>
        </w:rPr>
        <w:t xml:space="preserve">“[t]he scale of attorney and client is an extraordinary one which should be reserved for cases where it can be found that a litigant conducted itself in a clear and indubitably vexatious and reprehensible [manner]. Such an </w:t>
      </w:r>
      <w:r w:rsidRPr="008504A1">
        <w:rPr>
          <w:rFonts w:ascii="Times New Roman" w:hAnsi="Times New Roman" w:cs="Times New Roman"/>
          <w:sz w:val="28"/>
          <w:szCs w:val="28"/>
        </w:rPr>
        <w:lastRenderedPageBreak/>
        <w:t xml:space="preserve">award is exceptional and is intended to be very punitive and indicative of extreme </w:t>
      </w:r>
      <w:r w:rsidR="00E51723" w:rsidRPr="008504A1">
        <w:rPr>
          <w:rFonts w:ascii="Times New Roman" w:hAnsi="Times New Roman" w:cs="Times New Roman"/>
          <w:sz w:val="28"/>
          <w:szCs w:val="28"/>
        </w:rPr>
        <w:t>opprobrium</w:t>
      </w:r>
      <w:r w:rsidRPr="008504A1">
        <w:rPr>
          <w:rFonts w:ascii="Times New Roman" w:hAnsi="Times New Roman" w:cs="Times New Roman"/>
          <w:sz w:val="28"/>
          <w:szCs w:val="28"/>
        </w:rPr>
        <w:t>”</w:t>
      </w:r>
      <w:r w:rsidR="00B25114" w:rsidRPr="008504A1">
        <w:rPr>
          <w:rFonts w:ascii="Times New Roman" w:hAnsi="Times New Roman" w:cs="Times New Roman"/>
          <w:sz w:val="28"/>
          <w:szCs w:val="28"/>
        </w:rPr>
        <w:t xml:space="preserve"> </w:t>
      </w:r>
    </w:p>
    <w:p w14:paraId="44FB92D0" w14:textId="77777777" w:rsidR="004D590B" w:rsidRPr="00EB3375" w:rsidRDefault="004D590B" w:rsidP="004D590B">
      <w:pPr>
        <w:spacing w:before="240" w:line="360" w:lineRule="auto"/>
        <w:ind w:left="720"/>
        <w:contextualSpacing/>
        <w:jc w:val="both"/>
        <w:rPr>
          <w:rFonts w:ascii="Times New Roman" w:hAnsi="Times New Roman" w:cs="Times New Roman"/>
          <w:sz w:val="24"/>
          <w:szCs w:val="24"/>
        </w:rPr>
      </w:pPr>
    </w:p>
    <w:p w14:paraId="023C0BF5" w14:textId="4576F1C3" w:rsidR="00317C3E" w:rsidRDefault="00317C3E" w:rsidP="008504A1">
      <w:pPr>
        <w:spacing w:before="240" w:line="360" w:lineRule="auto"/>
        <w:contextualSpacing/>
        <w:jc w:val="both"/>
        <w:rPr>
          <w:rFonts w:ascii="Times New Roman" w:hAnsi="Times New Roman" w:cs="Times New Roman"/>
          <w:sz w:val="28"/>
          <w:szCs w:val="28"/>
        </w:rPr>
      </w:pPr>
      <w:r w:rsidRPr="008504A1">
        <w:rPr>
          <w:rFonts w:ascii="Times New Roman" w:hAnsi="Times New Roman" w:cs="Times New Roman"/>
          <w:sz w:val="28"/>
          <w:szCs w:val="28"/>
        </w:rPr>
        <w:t>[</w:t>
      </w:r>
      <w:r w:rsidR="007E3CE8">
        <w:rPr>
          <w:rFonts w:ascii="Times New Roman" w:hAnsi="Times New Roman" w:cs="Times New Roman"/>
          <w:sz w:val="28"/>
          <w:szCs w:val="28"/>
        </w:rPr>
        <w:t>4</w:t>
      </w:r>
      <w:r w:rsidR="003537B1">
        <w:rPr>
          <w:rFonts w:ascii="Times New Roman" w:hAnsi="Times New Roman" w:cs="Times New Roman"/>
          <w:sz w:val="28"/>
          <w:szCs w:val="28"/>
        </w:rPr>
        <w:t>3</w:t>
      </w:r>
      <w:r w:rsidRPr="008504A1">
        <w:rPr>
          <w:rFonts w:ascii="Times New Roman" w:hAnsi="Times New Roman" w:cs="Times New Roman"/>
          <w:sz w:val="28"/>
          <w:szCs w:val="28"/>
        </w:rPr>
        <w:t xml:space="preserve">] At page 14, the Constitutional Court quoted with approval the principles laid down in the case of </w:t>
      </w:r>
      <w:bookmarkStart w:id="14" w:name="_Hlk110849537"/>
      <w:r w:rsidRPr="000A1349">
        <w:rPr>
          <w:rFonts w:ascii="Times New Roman" w:hAnsi="Times New Roman" w:cs="Times New Roman"/>
          <w:b/>
          <w:bCs/>
          <w:i/>
          <w:iCs/>
          <w:sz w:val="28"/>
          <w:szCs w:val="28"/>
        </w:rPr>
        <w:t xml:space="preserve">Madyibi vs Minister of Safety and </w:t>
      </w:r>
      <w:r w:rsidR="00E51723" w:rsidRPr="000A1349">
        <w:rPr>
          <w:rFonts w:ascii="Times New Roman" w:hAnsi="Times New Roman" w:cs="Times New Roman"/>
          <w:b/>
          <w:bCs/>
          <w:i/>
          <w:iCs/>
          <w:sz w:val="28"/>
          <w:szCs w:val="28"/>
        </w:rPr>
        <w:t>Security</w:t>
      </w:r>
      <w:r w:rsidR="000207BB">
        <w:rPr>
          <w:rStyle w:val="FootnoteReference"/>
          <w:rFonts w:ascii="Times New Roman" w:hAnsi="Times New Roman" w:cs="Times New Roman"/>
          <w:b/>
          <w:bCs/>
          <w:sz w:val="28"/>
          <w:szCs w:val="28"/>
        </w:rPr>
        <w:footnoteReference w:id="23"/>
      </w:r>
      <w:r w:rsidRPr="00692AFE">
        <w:rPr>
          <w:rFonts w:ascii="Times New Roman" w:hAnsi="Times New Roman" w:cs="Times New Roman"/>
          <w:b/>
          <w:bCs/>
          <w:sz w:val="28"/>
          <w:szCs w:val="28"/>
        </w:rPr>
        <w:t xml:space="preserve"> </w:t>
      </w:r>
      <w:bookmarkEnd w:id="14"/>
      <w:r w:rsidRPr="008504A1">
        <w:rPr>
          <w:rFonts w:ascii="Times New Roman" w:hAnsi="Times New Roman" w:cs="Times New Roman"/>
          <w:sz w:val="28"/>
          <w:szCs w:val="28"/>
        </w:rPr>
        <w:t xml:space="preserve">in which </w:t>
      </w:r>
      <w:r w:rsidRPr="00692AFE">
        <w:rPr>
          <w:rFonts w:ascii="Times New Roman" w:hAnsi="Times New Roman" w:cs="Times New Roman"/>
          <w:b/>
          <w:bCs/>
          <w:sz w:val="28"/>
          <w:szCs w:val="28"/>
        </w:rPr>
        <w:t>Petse ADJP</w:t>
      </w:r>
      <w:r w:rsidRPr="008504A1">
        <w:rPr>
          <w:rFonts w:ascii="Times New Roman" w:hAnsi="Times New Roman" w:cs="Times New Roman"/>
          <w:sz w:val="28"/>
          <w:szCs w:val="28"/>
        </w:rPr>
        <w:t xml:space="preserve"> states that-</w:t>
      </w:r>
    </w:p>
    <w:p w14:paraId="54A37A0A" w14:textId="77777777" w:rsidR="004D590B" w:rsidRPr="00C568F0" w:rsidRDefault="004D590B" w:rsidP="008504A1">
      <w:pPr>
        <w:spacing w:before="240" w:line="360" w:lineRule="auto"/>
        <w:contextualSpacing/>
        <w:jc w:val="both"/>
        <w:rPr>
          <w:rFonts w:ascii="Times New Roman" w:hAnsi="Times New Roman" w:cs="Times New Roman"/>
          <w:sz w:val="16"/>
          <w:szCs w:val="16"/>
        </w:rPr>
      </w:pPr>
    </w:p>
    <w:p w14:paraId="3B90AE4A" w14:textId="529D062D" w:rsidR="004D590B" w:rsidRDefault="00317C3E" w:rsidP="005E5CB8">
      <w:pPr>
        <w:spacing w:before="240" w:line="360" w:lineRule="auto"/>
        <w:ind w:left="720"/>
        <w:contextualSpacing/>
        <w:jc w:val="both"/>
        <w:rPr>
          <w:rFonts w:ascii="Times New Roman" w:hAnsi="Times New Roman" w:cs="Times New Roman"/>
          <w:sz w:val="28"/>
          <w:szCs w:val="28"/>
        </w:rPr>
      </w:pPr>
      <w:r w:rsidRPr="008504A1">
        <w:rPr>
          <w:rFonts w:ascii="Times New Roman" w:hAnsi="Times New Roman" w:cs="Times New Roman"/>
          <w:sz w:val="28"/>
          <w:szCs w:val="28"/>
        </w:rPr>
        <w:t>“[t]he principle that I have been able to extract from other decisions of our Courts that I have had recourse to… is that our courts have awarded costs on the punitive scale in order to penalise dishonest, improper, fraudulent</w:t>
      </w:r>
      <w:r w:rsidR="00A47332" w:rsidRPr="008504A1">
        <w:rPr>
          <w:rFonts w:ascii="Times New Roman" w:hAnsi="Times New Roman" w:cs="Times New Roman"/>
          <w:sz w:val="28"/>
          <w:szCs w:val="28"/>
        </w:rPr>
        <w:t>, reprehensible, or blameworthy conduct or where the party sought to be mulcted with punitive costs was actuated by malice or is otherwise guilty of grave misconduct so as to raise the ire of the court in which event a punitive costs order would be imperatively called for”</w:t>
      </w:r>
      <w:r w:rsidR="005E5CB8">
        <w:rPr>
          <w:rFonts w:ascii="Times New Roman" w:hAnsi="Times New Roman" w:cs="Times New Roman"/>
          <w:sz w:val="28"/>
          <w:szCs w:val="28"/>
        </w:rPr>
        <w:t>.</w:t>
      </w:r>
    </w:p>
    <w:p w14:paraId="6D02D95E" w14:textId="77777777" w:rsidR="00C568F0" w:rsidRPr="00C568F0" w:rsidRDefault="00C568F0" w:rsidP="005E5CB8">
      <w:pPr>
        <w:spacing w:before="240" w:line="360" w:lineRule="auto"/>
        <w:ind w:left="720"/>
        <w:contextualSpacing/>
        <w:jc w:val="both"/>
        <w:rPr>
          <w:rFonts w:ascii="Times New Roman" w:hAnsi="Times New Roman" w:cs="Times New Roman"/>
          <w:sz w:val="24"/>
          <w:szCs w:val="24"/>
        </w:rPr>
      </w:pPr>
    </w:p>
    <w:p w14:paraId="1FF0AFD1" w14:textId="61602866" w:rsidR="00A37AC4" w:rsidRDefault="00E51723" w:rsidP="008504A1">
      <w:pPr>
        <w:spacing w:before="240" w:line="360" w:lineRule="auto"/>
        <w:contextualSpacing/>
        <w:jc w:val="both"/>
        <w:rPr>
          <w:rFonts w:ascii="Times New Roman" w:hAnsi="Times New Roman" w:cs="Times New Roman"/>
          <w:sz w:val="28"/>
          <w:szCs w:val="28"/>
        </w:rPr>
      </w:pPr>
      <w:r w:rsidRPr="00D53E21">
        <w:rPr>
          <w:rFonts w:ascii="Times New Roman" w:hAnsi="Times New Roman" w:cs="Times New Roman"/>
          <w:sz w:val="28"/>
          <w:szCs w:val="28"/>
        </w:rPr>
        <w:t>[</w:t>
      </w:r>
      <w:r w:rsidR="007E3CE8">
        <w:rPr>
          <w:rFonts w:ascii="Times New Roman" w:hAnsi="Times New Roman" w:cs="Times New Roman"/>
          <w:sz w:val="28"/>
          <w:szCs w:val="28"/>
        </w:rPr>
        <w:t>4</w:t>
      </w:r>
      <w:r w:rsidR="003537B1">
        <w:rPr>
          <w:rFonts w:ascii="Times New Roman" w:hAnsi="Times New Roman" w:cs="Times New Roman"/>
          <w:sz w:val="28"/>
          <w:szCs w:val="28"/>
        </w:rPr>
        <w:t>4</w:t>
      </w:r>
      <w:r w:rsidRPr="00D53E21">
        <w:rPr>
          <w:rFonts w:ascii="Times New Roman" w:hAnsi="Times New Roman" w:cs="Times New Roman"/>
          <w:sz w:val="28"/>
          <w:szCs w:val="28"/>
        </w:rPr>
        <w:t xml:space="preserve">] </w:t>
      </w:r>
      <w:r w:rsidR="008C0F22" w:rsidRPr="00D53E21">
        <w:rPr>
          <w:rFonts w:ascii="Times New Roman" w:hAnsi="Times New Roman" w:cs="Times New Roman"/>
          <w:sz w:val="28"/>
          <w:szCs w:val="28"/>
        </w:rPr>
        <w:t>In considering</w:t>
      </w:r>
      <w:r w:rsidRPr="00D53E21">
        <w:rPr>
          <w:rFonts w:ascii="Times New Roman" w:hAnsi="Times New Roman" w:cs="Times New Roman"/>
          <w:sz w:val="28"/>
          <w:szCs w:val="28"/>
        </w:rPr>
        <w:t xml:space="preserve"> all the </w:t>
      </w:r>
      <w:r w:rsidR="00994039" w:rsidRPr="00D53E21">
        <w:rPr>
          <w:rFonts w:ascii="Times New Roman" w:hAnsi="Times New Roman" w:cs="Times New Roman"/>
          <w:sz w:val="28"/>
          <w:szCs w:val="28"/>
        </w:rPr>
        <w:t>circumstances that should be taken into by the court in deciding whether or not to award costs on a higher attorney client scale</w:t>
      </w:r>
      <w:r w:rsidR="00CE0BE7">
        <w:rPr>
          <w:rFonts w:ascii="Times New Roman" w:hAnsi="Times New Roman" w:cs="Times New Roman"/>
          <w:sz w:val="28"/>
          <w:szCs w:val="28"/>
        </w:rPr>
        <w:t>,</w:t>
      </w:r>
      <w:r w:rsidR="00994039" w:rsidRPr="00D53E21">
        <w:rPr>
          <w:rFonts w:ascii="Times New Roman" w:hAnsi="Times New Roman" w:cs="Times New Roman"/>
          <w:sz w:val="28"/>
          <w:szCs w:val="28"/>
        </w:rPr>
        <w:t xml:space="preserve"> </w:t>
      </w:r>
      <w:r w:rsidR="00CE0BE7">
        <w:rPr>
          <w:rFonts w:ascii="Times New Roman" w:hAnsi="Times New Roman" w:cs="Times New Roman"/>
          <w:sz w:val="28"/>
          <w:szCs w:val="28"/>
        </w:rPr>
        <w:t>t</w:t>
      </w:r>
      <w:r w:rsidR="00994039" w:rsidRPr="00D53E21">
        <w:rPr>
          <w:rFonts w:ascii="Times New Roman" w:hAnsi="Times New Roman" w:cs="Times New Roman"/>
          <w:sz w:val="28"/>
          <w:szCs w:val="28"/>
        </w:rPr>
        <w:t>his court holds a view that it is only in extraordinary circumstances that the court should justifiably award costs on the punitive scale</w:t>
      </w:r>
      <w:r w:rsidR="00C40A7A">
        <w:rPr>
          <w:rFonts w:ascii="Times New Roman" w:hAnsi="Times New Roman" w:cs="Times New Roman"/>
          <w:sz w:val="28"/>
          <w:szCs w:val="28"/>
        </w:rPr>
        <w:t>,</w:t>
      </w:r>
      <w:r w:rsidR="00994039" w:rsidRPr="00D53E21">
        <w:rPr>
          <w:rFonts w:ascii="Times New Roman" w:hAnsi="Times New Roman" w:cs="Times New Roman"/>
          <w:sz w:val="28"/>
          <w:szCs w:val="28"/>
        </w:rPr>
        <w:t xml:space="preserve"> </w:t>
      </w:r>
      <w:r w:rsidR="00C40A7A">
        <w:rPr>
          <w:rFonts w:ascii="Times New Roman" w:hAnsi="Times New Roman" w:cs="Times New Roman"/>
          <w:sz w:val="28"/>
          <w:szCs w:val="28"/>
        </w:rPr>
        <w:t>t</w:t>
      </w:r>
      <w:r w:rsidR="00994039" w:rsidRPr="00D53E21">
        <w:rPr>
          <w:rFonts w:ascii="Times New Roman" w:hAnsi="Times New Roman" w:cs="Times New Roman"/>
          <w:sz w:val="28"/>
          <w:szCs w:val="28"/>
        </w:rPr>
        <w:t>hat decision requires a deeper reflection on the part of the court, guided by an unmistakably strong sense of justice. And</w:t>
      </w:r>
      <w:r w:rsidR="00E21E5B" w:rsidRPr="00D53E21">
        <w:rPr>
          <w:rFonts w:ascii="Times New Roman" w:hAnsi="Times New Roman" w:cs="Times New Roman"/>
          <w:sz w:val="28"/>
          <w:szCs w:val="28"/>
        </w:rPr>
        <w:t xml:space="preserve"> I</w:t>
      </w:r>
      <w:r w:rsidR="00994039" w:rsidRPr="00D53E21">
        <w:rPr>
          <w:rFonts w:ascii="Times New Roman" w:hAnsi="Times New Roman" w:cs="Times New Roman"/>
          <w:sz w:val="28"/>
          <w:szCs w:val="28"/>
        </w:rPr>
        <w:t xml:space="preserve"> wish to borrow the words of </w:t>
      </w:r>
      <w:r w:rsidR="00994039" w:rsidRPr="00D53E21">
        <w:rPr>
          <w:rFonts w:ascii="Times New Roman" w:hAnsi="Times New Roman" w:cs="Times New Roman"/>
          <w:b/>
          <w:bCs/>
          <w:sz w:val="28"/>
          <w:szCs w:val="28"/>
        </w:rPr>
        <w:t>Mogoeng CJ</w:t>
      </w:r>
      <w:r w:rsidR="00994039" w:rsidRPr="00D53E21">
        <w:rPr>
          <w:rFonts w:ascii="Times New Roman" w:hAnsi="Times New Roman" w:cs="Times New Roman"/>
          <w:sz w:val="28"/>
          <w:szCs w:val="28"/>
        </w:rPr>
        <w:t xml:space="preserve"> in the case of the </w:t>
      </w:r>
      <w:r w:rsidR="00994039" w:rsidRPr="00D53E21">
        <w:rPr>
          <w:rFonts w:ascii="Times New Roman" w:hAnsi="Times New Roman" w:cs="Times New Roman"/>
          <w:b/>
          <w:bCs/>
          <w:i/>
          <w:iCs/>
          <w:sz w:val="28"/>
          <w:szCs w:val="28"/>
        </w:rPr>
        <w:t>Public Protector</w:t>
      </w:r>
      <w:r w:rsidR="00715EFC" w:rsidRPr="00D53E21">
        <w:rPr>
          <w:rStyle w:val="FootnoteReference"/>
          <w:rFonts w:ascii="Times New Roman" w:hAnsi="Times New Roman" w:cs="Times New Roman"/>
          <w:b/>
          <w:bCs/>
          <w:i/>
          <w:iCs/>
          <w:sz w:val="28"/>
          <w:szCs w:val="28"/>
        </w:rPr>
        <w:footnoteReference w:id="24"/>
      </w:r>
      <w:r w:rsidR="00715EFC" w:rsidRPr="00D53E21">
        <w:rPr>
          <w:rFonts w:ascii="Times New Roman" w:hAnsi="Times New Roman" w:cs="Times New Roman"/>
          <w:b/>
          <w:bCs/>
          <w:i/>
          <w:iCs/>
          <w:sz w:val="28"/>
          <w:szCs w:val="28"/>
        </w:rPr>
        <w:t>,</w:t>
      </w:r>
      <w:r w:rsidR="00994039" w:rsidRPr="00D53E21">
        <w:rPr>
          <w:rFonts w:ascii="Times New Roman" w:hAnsi="Times New Roman" w:cs="Times New Roman"/>
          <w:sz w:val="28"/>
          <w:szCs w:val="28"/>
        </w:rPr>
        <w:t xml:space="preserve"> where he said after all courts exist not to crush or destroy, but to teach or guide, caution or deter, build and punish constructively. And that ought to be the purpose of the law in the constitutional dispensation. </w:t>
      </w:r>
      <w:r w:rsidR="00CE0BE7" w:rsidRPr="00D53E21">
        <w:rPr>
          <w:rFonts w:ascii="Times New Roman" w:hAnsi="Times New Roman" w:cs="Times New Roman"/>
          <w:sz w:val="28"/>
          <w:szCs w:val="28"/>
        </w:rPr>
        <w:t>Therefore,</w:t>
      </w:r>
      <w:r w:rsidR="008C0F22" w:rsidRPr="00D53E21">
        <w:rPr>
          <w:rFonts w:ascii="Times New Roman" w:hAnsi="Times New Roman" w:cs="Times New Roman"/>
          <w:sz w:val="28"/>
          <w:szCs w:val="28"/>
        </w:rPr>
        <w:t xml:space="preserve"> th</w:t>
      </w:r>
      <w:r w:rsidR="004B181B">
        <w:rPr>
          <w:rFonts w:ascii="Times New Roman" w:hAnsi="Times New Roman" w:cs="Times New Roman"/>
          <w:sz w:val="28"/>
          <w:szCs w:val="28"/>
        </w:rPr>
        <w:t>is</w:t>
      </w:r>
      <w:r w:rsidR="008C0F22" w:rsidRPr="00D53E21">
        <w:rPr>
          <w:rFonts w:ascii="Times New Roman" w:hAnsi="Times New Roman" w:cs="Times New Roman"/>
          <w:sz w:val="28"/>
          <w:szCs w:val="28"/>
        </w:rPr>
        <w:t xml:space="preserve"> court</w:t>
      </w:r>
      <w:r w:rsidR="00994039" w:rsidRPr="00D53E21">
        <w:rPr>
          <w:rFonts w:ascii="Times New Roman" w:hAnsi="Times New Roman" w:cs="Times New Roman"/>
          <w:sz w:val="28"/>
          <w:szCs w:val="28"/>
        </w:rPr>
        <w:t xml:space="preserve"> is of the view that</w:t>
      </w:r>
      <w:r w:rsidR="00541459" w:rsidRPr="00D53E21">
        <w:rPr>
          <w:rFonts w:ascii="Times New Roman" w:hAnsi="Times New Roman" w:cs="Times New Roman"/>
          <w:sz w:val="28"/>
          <w:szCs w:val="28"/>
        </w:rPr>
        <w:t xml:space="preserve"> an award on the punitive scale, can rarely be resorted to, to penalise dishonest, improper, fraudulent or vexatious behaviour, or any other reprehensible conduct, or where there is a grave misconduct on the part of such a party. </w:t>
      </w:r>
      <w:r w:rsidR="00FD75C2" w:rsidRPr="00D53E21">
        <w:rPr>
          <w:rFonts w:ascii="Times New Roman" w:hAnsi="Times New Roman" w:cs="Times New Roman"/>
          <w:sz w:val="28"/>
          <w:szCs w:val="28"/>
        </w:rPr>
        <w:t>I consequently</w:t>
      </w:r>
      <w:r w:rsidR="002D2F42" w:rsidRPr="00D53E21">
        <w:rPr>
          <w:rFonts w:ascii="Times New Roman" w:hAnsi="Times New Roman" w:cs="Times New Roman"/>
          <w:sz w:val="28"/>
          <w:szCs w:val="28"/>
        </w:rPr>
        <w:t xml:space="preserve"> hold</w:t>
      </w:r>
      <w:r w:rsidR="00541459" w:rsidRPr="00D53E21">
        <w:rPr>
          <w:rFonts w:ascii="Times New Roman" w:hAnsi="Times New Roman" w:cs="Times New Roman"/>
          <w:sz w:val="28"/>
          <w:szCs w:val="28"/>
        </w:rPr>
        <w:t xml:space="preserve"> a strong view that, </w:t>
      </w:r>
      <w:r w:rsidR="00541459" w:rsidRPr="008504A1">
        <w:rPr>
          <w:rFonts w:ascii="Times New Roman" w:hAnsi="Times New Roman" w:cs="Times New Roman"/>
          <w:sz w:val="28"/>
          <w:szCs w:val="28"/>
        </w:rPr>
        <w:t xml:space="preserve">no proof has been placed before this </w:t>
      </w:r>
      <w:r w:rsidR="00541459" w:rsidRPr="008504A1">
        <w:rPr>
          <w:rFonts w:ascii="Times New Roman" w:hAnsi="Times New Roman" w:cs="Times New Roman"/>
          <w:sz w:val="28"/>
          <w:szCs w:val="28"/>
        </w:rPr>
        <w:lastRenderedPageBreak/>
        <w:t xml:space="preserve">court, to indicate that the conduct of the respondents was clearly and extremely scandalous, vexatious or objectionable so as to justify an award on a punitive scale. This court therefore hastens to say </w:t>
      </w:r>
      <w:r w:rsidR="006111EA" w:rsidRPr="008504A1">
        <w:rPr>
          <w:rFonts w:ascii="Times New Roman" w:hAnsi="Times New Roman" w:cs="Times New Roman"/>
          <w:sz w:val="28"/>
          <w:szCs w:val="28"/>
        </w:rPr>
        <w:t>that;</w:t>
      </w:r>
      <w:r w:rsidR="00541459" w:rsidRPr="008504A1">
        <w:rPr>
          <w:rFonts w:ascii="Times New Roman" w:hAnsi="Times New Roman" w:cs="Times New Roman"/>
          <w:sz w:val="28"/>
          <w:szCs w:val="28"/>
        </w:rPr>
        <w:t xml:space="preserve"> no exceptional circumstances were put before this court to justify exceptional award of costs on a higher scale.</w:t>
      </w:r>
      <w:r w:rsidR="00B25114" w:rsidRPr="008504A1">
        <w:rPr>
          <w:rFonts w:ascii="Times New Roman" w:hAnsi="Times New Roman" w:cs="Times New Roman"/>
          <w:sz w:val="28"/>
          <w:szCs w:val="28"/>
        </w:rPr>
        <w:t xml:space="preserve"> </w:t>
      </w:r>
    </w:p>
    <w:p w14:paraId="16438B9A" w14:textId="77777777" w:rsidR="00EB3375" w:rsidRPr="003F05FD" w:rsidRDefault="00EB3375" w:rsidP="008504A1">
      <w:pPr>
        <w:spacing w:before="240" w:line="360" w:lineRule="auto"/>
        <w:contextualSpacing/>
        <w:jc w:val="both"/>
        <w:rPr>
          <w:rFonts w:ascii="Times New Roman" w:hAnsi="Times New Roman" w:cs="Times New Roman"/>
          <w:sz w:val="24"/>
          <w:szCs w:val="24"/>
        </w:rPr>
      </w:pPr>
    </w:p>
    <w:p w14:paraId="1B80E073" w14:textId="7560E2BF" w:rsidR="00AC6507" w:rsidRPr="00523879" w:rsidRDefault="00523879" w:rsidP="008504A1">
      <w:pPr>
        <w:spacing w:before="240" w:line="360" w:lineRule="auto"/>
        <w:contextualSpacing/>
        <w:jc w:val="both"/>
        <w:rPr>
          <w:rFonts w:ascii="Times New Roman" w:hAnsi="Times New Roman" w:cs="Times New Roman"/>
          <w:b/>
          <w:sz w:val="28"/>
          <w:szCs w:val="28"/>
        </w:rPr>
      </w:pPr>
      <w:r w:rsidRPr="00523879">
        <w:rPr>
          <w:rFonts w:ascii="Times New Roman" w:hAnsi="Times New Roman" w:cs="Times New Roman"/>
          <w:b/>
          <w:sz w:val="28"/>
          <w:szCs w:val="28"/>
        </w:rPr>
        <w:t>ORDER</w:t>
      </w:r>
    </w:p>
    <w:p w14:paraId="3A2F6DAD" w14:textId="6DE7C8ED" w:rsidR="004D590B" w:rsidRPr="00F33C18" w:rsidRDefault="00AC6507" w:rsidP="008504A1">
      <w:pPr>
        <w:spacing w:before="240" w:line="360" w:lineRule="auto"/>
        <w:contextualSpacing/>
        <w:jc w:val="both"/>
        <w:rPr>
          <w:rFonts w:ascii="Times New Roman" w:hAnsi="Times New Roman" w:cs="Times New Roman"/>
          <w:sz w:val="28"/>
          <w:szCs w:val="28"/>
        </w:rPr>
      </w:pPr>
      <w:r w:rsidRPr="008504A1">
        <w:rPr>
          <w:rFonts w:ascii="Times New Roman" w:hAnsi="Times New Roman" w:cs="Times New Roman"/>
          <w:sz w:val="28"/>
          <w:szCs w:val="28"/>
        </w:rPr>
        <w:t>[</w:t>
      </w:r>
      <w:r w:rsidR="007E3CE8">
        <w:rPr>
          <w:rFonts w:ascii="Times New Roman" w:hAnsi="Times New Roman" w:cs="Times New Roman"/>
          <w:sz w:val="28"/>
          <w:szCs w:val="28"/>
        </w:rPr>
        <w:t>4</w:t>
      </w:r>
      <w:r w:rsidR="003537B1">
        <w:rPr>
          <w:rFonts w:ascii="Times New Roman" w:hAnsi="Times New Roman" w:cs="Times New Roman"/>
          <w:sz w:val="28"/>
          <w:szCs w:val="28"/>
        </w:rPr>
        <w:t>5</w:t>
      </w:r>
      <w:r w:rsidRPr="008504A1">
        <w:rPr>
          <w:rFonts w:ascii="Times New Roman" w:hAnsi="Times New Roman" w:cs="Times New Roman"/>
          <w:sz w:val="28"/>
          <w:szCs w:val="28"/>
        </w:rPr>
        <w:t>] The court makes the following order.</w:t>
      </w:r>
    </w:p>
    <w:p w14:paraId="488F4DC7" w14:textId="77777777" w:rsidR="004D590B" w:rsidRDefault="002661B2" w:rsidP="004D590B">
      <w:pPr>
        <w:pStyle w:val="ListParagraph"/>
        <w:numPr>
          <w:ilvl w:val="0"/>
          <w:numId w:val="4"/>
        </w:numPr>
        <w:spacing w:before="240" w:line="360" w:lineRule="auto"/>
        <w:jc w:val="both"/>
        <w:rPr>
          <w:rFonts w:ascii="Times New Roman" w:hAnsi="Times New Roman" w:cs="Times New Roman"/>
          <w:sz w:val="28"/>
          <w:szCs w:val="28"/>
        </w:rPr>
      </w:pPr>
      <w:r w:rsidRPr="004D590B">
        <w:rPr>
          <w:rFonts w:ascii="Times New Roman" w:hAnsi="Times New Roman" w:cs="Times New Roman"/>
          <w:sz w:val="28"/>
          <w:szCs w:val="28"/>
        </w:rPr>
        <w:t xml:space="preserve">Termination of the applicants’ appointment by the first respondent, as Police Recruits at Police Training College is </w:t>
      </w:r>
      <w:r w:rsidR="005C63D6" w:rsidRPr="004D590B">
        <w:rPr>
          <w:rFonts w:ascii="Times New Roman" w:hAnsi="Times New Roman" w:cs="Times New Roman"/>
          <w:sz w:val="28"/>
          <w:szCs w:val="28"/>
        </w:rPr>
        <w:t>reviewed and set aside as</w:t>
      </w:r>
      <w:r w:rsidRPr="004D590B">
        <w:rPr>
          <w:rFonts w:ascii="Times New Roman" w:hAnsi="Times New Roman" w:cs="Times New Roman"/>
          <w:sz w:val="28"/>
          <w:szCs w:val="28"/>
        </w:rPr>
        <w:t xml:space="preserve"> unlawful.</w:t>
      </w:r>
    </w:p>
    <w:p w14:paraId="3CA7B385" w14:textId="77777777" w:rsidR="004D590B" w:rsidRPr="004D590B" w:rsidRDefault="004D590B" w:rsidP="004D590B">
      <w:pPr>
        <w:pStyle w:val="ListParagraph"/>
        <w:spacing w:before="240" w:line="360" w:lineRule="auto"/>
        <w:jc w:val="both"/>
        <w:rPr>
          <w:rFonts w:ascii="Times New Roman" w:hAnsi="Times New Roman" w:cs="Times New Roman"/>
          <w:sz w:val="16"/>
          <w:szCs w:val="16"/>
        </w:rPr>
      </w:pPr>
    </w:p>
    <w:p w14:paraId="089EC232" w14:textId="77777777" w:rsidR="004D590B" w:rsidRPr="004D590B" w:rsidRDefault="002661B2" w:rsidP="004D590B">
      <w:pPr>
        <w:pStyle w:val="ListParagraph"/>
        <w:numPr>
          <w:ilvl w:val="0"/>
          <w:numId w:val="4"/>
        </w:numPr>
        <w:spacing w:before="240" w:line="360" w:lineRule="auto"/>
        <w:jc w:val="both"/>
        <w:rPr>
          <w:rFonts w:ascii="Times New Roman" w:hAnsi="Times New Roman" w:cs="Times New Roman"/>
          <w:sz w:val="28"/>
          <w:szCs w:val="28"/>
        </w:rPr>
      </w:pPr>
      <w:r w:rsidRPr="004D590B">
        <w:rPr>
          <w:rFonts w:ascii="Times New Roman" w:hAnsi="Times New Roman" w:cs="Times New Roman"/>
          <w:sz w:val="28"/>
          <w:szCs w:val="28"/>
        </w:rPr>
        <w:t xml:space="preserve">The first respondent is ordered to reinstate the applicants as Police Recruits into the </w:t>
      </w:r>
      <w:r w:rsidR="005C63D6" w:rsidRPr="004D590B">
        <w:rPr>
          <w:rFonts w:ascii="Times New Roman" w:hAnsi="Times New Roman" w:cs="Times New Roman"/>
          <w:sz w:val="28"/>
          <w:szCs w:val="28"/>
        </w:rPr>
        <w:t>Police Training College Recruitment Programm</w:t>
      </w:r>
      <w:r w:rsidR="006111EA" w:rsidRPr="004D590B">
        <w:rPr>
          <w:rFonts w:ascii="Times New Roman" w:hAnsi="Times New Roman" w:cs="Times New Roman"/>
          <w:sz w:val="28"/>
          <w:szCs w:val="28"/>
        </w:rPr>
        <w:t>e, without any loss</w:t>
      </w:r>
      <w:r w:rsidR="00E37DF0" w:rsidRPr="004D590B">
        <w:rPr>
          <w:rFonts w:ascii="Times New Roman" w:hAnsi="Times New Roman" w:cs="Times New Roman"/>
          <w:sz w:val="28"/>
          <w:szCs w:val="28"/>
        </w:rPr>
        <w:t xml:space="preserve"> of benefits.</w:t>
      </w:r>
    </w:p>
    <w:p w14:paraId="4D8CB993" w14:textId="77777777" w:rsidR="00E37DF0" w:rsidRPr="008504A1" w:rsidRDefault="00E37DF0" w:rsidP="004D590B">
      <w:pPr>
        <w:spacing w:before="240" w:line="360" w:lineRule="auto"/>
        <w:ind w:left="720" w:hanging="360"/>
        <w:contextualSpacing/>
        <w:jc w:val="both"/>
        <w:rPr>
          <w:rFonts w:ascii="Times New Roman" w:hAnsi="Times New Roman" w:cs="Times New Roman"/>
          <w:sz w:val="28"/>
          <w:szCs w:val="28"/>
        </w:rPr>
      </w:pPr>
      <w:r w:rsidRPr="008504A1">
        <w:rPr>
          <w:rFonts w:ascii="Times New Roman" w:hAnsi="Times New Roman" w:cs="Times New Roman"/>
          <w:sz w:val="28"/>
          <w:szCs w:val="28"/>
        </w:rPr>
        <w:t xml:space="preserve">3. </w:t>
      </w:r>
      <w:r w:rsidR="004D590B">
        <w:rPr>
          <w:rFonts w:ascii="Times New Roman" w:hAnsi="Times New Roman" w:cs="Times New Roman"/>
          <w:sz w:val="28"/>
          <w:szCs w:val="28"/>
        </w:rPr>
        <w:t xml:space="preserve"> </w:t>
      </w:r>
      <w:r w:rsidRPr="008504A1">
        <w:rPr>
          <w:rFonts w:ascii="Times New Roman" w:hAnsi="Times New Roman" w:cs="Times New Roman"/>
          <w:sz w:val="28"/>
          <w:szCs w:val="28"/>
        </w:rPr>
        <w:t>Costs granted to applicants on an ordinary scale.</w:t>
      </w:r>
    </w:p>
    <w:p w14:paraId="7684544D" w14:textId="77777777" w:rsidR="00922C39" w:rsidRPr="008504A1" w:rsidRDefault="00922C39" w:rsidP="008504A1">
      <w:pPr>
        <w:spacing w:before="240" w:line="360" w:lineRule="auto"/>
        <w:contextualSpacing/>
        <w:jc w:val="both"/>
        <w:rPr>
          <w:rFonts w:ascii="Times New Roman" w:hAnsi="Times New Roman" w:cs="Times New Roman"/>
          <w:sz w:val="28"/>
          <w:szCs w:val="28"/>
        </w:rPr>
      </w:pPr>
    </w:p>
    <w:p w14:paraId="4DA2FB84" w14:textId="77777777" w:rsidR="00931B3A" w:rsidRDefault="00931B3A" w:rsidP="00931B3A">
      <w:pPr>
        <w:spacing w:before="240" w:line="36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___________________</w:t>
      </w:r>
    </w:p>
    <w:p w14:paraId="0097E660" w14:textId="77777777" w:rsidR="00931B3A" w:rsidRDefault="00931B3A" w:rsidP="00931B3A">
      <w:pPr>
        <w:spacing w:before="240" w:line="36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T.J. MOKOKO</w:t>
      </w:r>
    </w:p>
    <w:p w14:paraId="456E2D6D" w14:textId="6AC756A8" w:rsidR="00931B3A" w:rsidRDefault="00931B3A" w:rsidP="00E44729">
      <w:pPr>
        <w:spacing w:before="240" w:line="36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JUDGE</w:t>
      </w:r>
    </w:p>
    <w:p w14:paraId="7C544ADC" w14:textId="77777777" w:rsidR="007837E1" w:rsidRDefault="007837E1" w:rsidP="00E44729">
      <w:pPr>
        <w:spacing w:before="240" w:line="360" w:lineRule="auto"/>
        <w:contextualSpacing/>
        <w:jc w:val="center"/>
        <w:rPr>
          <w:rFonts w:ascii="Times New Roman" w:hAnsi="Times New Roman" w:cs="Times New Roman"/>
          <w:b/>
          <w:bCs/>
          <w:sz w:val="28"/>
          <w:szCs w:val="28"/>
        </w:rPr>
      </w:pPr>
    </w:p>
    <w:p w14:paraId="2ED187EA" w14:textId="2CB8D977" w:rsidR="00E37DF0" w:rsidRPr="008504A1" w:rsidRDefault="00922C39" w:rsidP="008504A1">
      <w:pPr>
        <w:spacing w:before="240" w:line="360" w:lineRule="auto"/>
        <w:contextualSpacing/>
        <w:jc w:val="both"/>
        <w:rPr>
          <w:rFonts w:ascii="Times New Roman" w:hAnsi="Times New Roman" w:cs="Times New Roman"/>
          <w:sz w:val="28"/>
          <w:szCs w:val="28"/>
        </w:rPr>
      </w:pPr>
      <w:r w:rsidRPr="00922C39">
        <w:rPr>
          <w:rFonts w:ascii="Times New Roman" w:hAnsi="Times New Roman" w:cs="Times New Roman"/>
          <w:b/>
          <w:bCs/>
          <w:sz w:val="28"/>
          <w:szCs w:val="28"/>
        </w:rPr>
        <w:t>FOR APPLICANTS:</w:t>
      </w:r>
      <w:r w:rsidRPr="008504A1">
        <w:rPr>
          <w:rFonts w:ascii="Times New Roman" w:hAnsi="Times New Roman" w:cs="Times New Roman"/>
          <w:sz w:val="28"/>
          <w:szCs w:val="28"/>
        </w:rPr>
        <w:t xml:space="preserve">              ADV. R. SETLOJOANE</w:t>
      </w:r>
    </w:p>
    <w:p w14:paraId="3757E344" w14:textId="7BA6C4D3" w:rsidR="00B577FA" w:rsidRPr="008504A1" w:rsidRDefault="00922C39" w:rsidP="008504A1">
      <w:pPr>
        <w:spacing w:before="240" w:line="360" w:lineRule="auto"/>
        <w:contextualSpacing/>
        <w:jc w:val="both"/>
        <w:rPr>
          <w:rFonts w:ascii="Times New Roman" w:hAnsi="Times New Roman" w:cs="Times New Roman"/>
          <w:sz w:val="28"/>
          <w:szCs w:val="28"/>
        </w:rPr>
      </w:pPr>
      <w:r w:rsidRPr="00922C39">
        <w:rPr>
          <w:rFonts w:ascii="Times New Roman" w:hAnsi="Times New Roman" w:cs="Times New Roman"/>
          <w:b/>
          <w:bCs/>
          <w:sz w:val="28"/>
          <w:szCs w:val="28"/>
        </w:rPr>
        <w:t>FOR RESPONDENTS:</w:t>
      </w:r>
      <w:r w:rsidRPr="008504A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504A1">
        <w:rPr>
          <w:rFonts w:ascii="Times New Roman" w:hAnsi="Times New Roman" w:cs="Times New Roman"/>
          <w:sz w:val="28"/>
          <w:szCs w:val="28"/>
        </w:rPr>
        <w:t xml:space="preserve"> ADV. N.C SEHLOHO  </w:t>
      </w:r>
    </w:p>
    <w:p w14:paraId="41B67794" w14:textId="77777777" w:rsidR="000342B0" w:rsidRPr="008504A1" w:rsidRDefault="000342B0" w:rsidP="008504A1">
      <w:pPr>
        <w:spacing w:before="240" w:line="360" w:lineRule="auto"/>
        <w:contextualSpacing/>
        <w:jc w:val="both"/>
        <w:rPr>
          <w:rFonts w:ascii="Times New Roman" w:hAnsi="Times New Roman" w:cs="Times New Roman"/>
          <w:sz w:val="28"/>
          <w:szCs w:val="28"/>
        </w:rPr>
      </w:pPr>
    </w:p>
    <w:sectPr w:rsidR="000342B0" w:rsidRPr="008504A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889E9" w14:textId="77777777" w:rsidR="0095448F" w:rsidRDefault="0095448F" w:rsidP="00A22027">
      <w:pPr>
        <w:spacing w:after="0" w:line="240" w:lineRule="auto"/>
      </w:pPr>
      <w:r>
        <w:separator/>
      </w:r>
    </w:p>
  </w:endnote>
  <w:endnote w:type="continuationSeparator" w:id="0">
    <w:p w14:paraId="04D50DB8" w14:textId="77777777" w:rsidR="0095448F" w:rsidRDefault="0095448F" w:rsidP="00A22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181811"/>
      <w:docPartObj>
        <w:docPartGallery w:val="Page Numbers (Bottom of Page)"/>
        <w:docPartUnique/>
      </w:docPartObj>
    </w:sdtPr>
    <w:sdtEndPr>
      <w:rPr>
        <w:noProof/>
      </w:rPr>
    </w:sdtEndPr>
    <w:sdtContent>
      <w:p w14:paraId="2C30C231" w14:textId="77777777" w:rsidR="00FF04FF" w:rsidRDefault="00FF04FF">
        <w:pPr>
          <w:pStyle w:val="Footer"/>
          <w:jc w:val="right"/>
        </w:pPr>
        <w:r>
          <w:fldChar w:fldCharType="begin"/>
        </w:r>
        <w:r>
          <w:instrText xml:space="preserve"> PAGE   \* MERGEFORMAT </w:instrText>
        </w:r>
        <w:r>
          <w:fldChar w:fldCharType="separate"/>
        </w:r>
        <w:r w:rsidR="001F14A5">
          <w:rPr>
            <w:noProof/>
          </w:rPr>
          <w:t>23</w:t>
        </w:r>
        <w:r>
          <w:rPr>
            <w:noProof/>
          </w:rPr>
          <w:fldChar w:fldCharType="end"/>
        </w:r>
      </w:p>
    </w:sdtContent>
  </w:sdt>
  <w:p w14:paraId="65968A12" w14:textId="77777777" w:rsidR="00FF04FF" w:rsidRDefault="00FF0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9548A" w14:textId="77777777" w:rsidR="0095448F" w:rsidRDefault="0095448F" w:rsidP="00A22027">
      <w:pPr>
        <w:spacing w:after="0" w:line="240" w:lineRule="auto"/>
      </w:pPr>
      <w:r>
        <w:separator/>
      </w:r>
    </w:p>
  </w:footnote>
  <w:footnote w:type="continuationSeparator" w:id="0">
    <w:p w14:paraId="11294EC5" w14:textId="77777777" w:rsidR="0095448F" w:rsidRDefault="0095448F" w:rsidP="00A22027">
      <w:pPr>
        <w:spacing w:after="0" w:line="240" w:lineRule="auto"/>
      </w:pPr>
      <w:r>
        <w:continuationSeparator/>
      </w:r>
    </w:p>
  </w:footnote>
  <w:footnote w:id="1">
    <w:p w14:paraId="6AD65AF6" w14:textId="77777777" w:rsidR="00E361C2" w:rsidRPr="00E361C2" w:rsidRDefault="00E361C2">
      <w:pPr>
        <w:pStyle w:val="FootnoteText"/>
        <w:rPr>
          <w:lang w:val="en-US"/>
        </w:rPr>
      </w:pPr>
      <w:r>
        <w:rPr>
          <w:rStyle w:val="FootnoteReference"/>
        </w:rPr>
        <w:footnoteRef/>
      </w:r>
      <w:r>
        <w:t xml:space="preserve"> </w:t>
      </w:r>
      <w:r w:rsidRPr="0058353E">
        <w:rPr>
          <w:rFonts w:cstheme="minorHAnsi"/>
        </w:rPr>
        <w:t>CIV/APN/0170/2022</w:t>
      </w:r>
    </w:p>
  </w:footnote>
  <w:footnote w:id="2">
    <w:p w14:paraId="3C6C8647" w14:textId="7C3E2167" w:rsidR="00E361C2" w:rsidRPr="0058353E" w:rsidRDefault="00E361C2">
      <w:pPr>
        <w:pStyle w:val="FootnoteText"/>
        <w:rPr>
          <w:rFonts w:cstheme="minorHAnsi"/>
          <w:lang w:val="en-US"/>
        </w:rPr>
      </w:pPr>
      <w:r>
        <w:rPr>
          <w:rStyle w:val="FootnoteReference"/>
        </w:rPr>
        <w:footnoteRef/>
      </w:r>
      <w:r>
        <w:t xml:space="preserve"> </w:t>
      </w:r>
      <w:r w:rsidRPr="0058353E">
        <w:rPr>
          <w:rFonts w:cstheme="minorHAnsi"/>
        </w:rPr>
        <w:t xml:space="preserve">(C OF A CIV) NO. 3 OF 2015 [2015] LSCA </w:t>
      </w:r>
      <w:r w:rsidR="00E74AC5" w:rsidRPr="00E74AC5">
        <w:rPr>
          <w:rFonts w:cstheme="minorHAnsi"/>
        </w:rPr>
        <w:t>4 07 August 2015</w:t>
      </w:r>
    </w:p>
  </w:footnote>
  <w:footnote w:id="3">
    <w:p w14:paraId="2A6835D3" w14:textId="2E10B4AC" w:rsidR="006F7124" w:rsidRPr="006F7124" w:rsidRDefault="006F7124">
      <w:pPr>
        <w:pStyle w:val="FootnoteText"/>
        <w:rPr>
          <w:lang w:val="en-US"/>
        </w:rPr>
      </w:pPr>
      <w:r w:rsidRPr="0058353E">
        <w:rPr>
          <w:rStyle w:val="FootnoteReference"/>
          <w:rFonts w:cstheme="minorHAnsi"/>
        </w:rPr>
        <w:footnoteRef/>
      </w:r>
      <w:r w:rsidRPr="0058353E">
        <w:rPr>
          <w:rFonts w:cstheme="minorHAnsi"/>
        </w:rPr>
        <w:t xml:space="preserve"> 2001 (4) SA 542 (SCA</w:t>
      </w:r>
      <w:r w:rsidRPr="00E74AC5">
        <w:rPr>
          <w:rFonts w:cstheme="minorHAnsi"/>
          <w:color w:val="000000" w:themeColor="text1"/>
        </w:rPr>
        <w:t>)</w:t>
      </w:r>
      <w:r w:rsidR="00E74AC5" w:rsidRPr="00E74AC5">
        <w:rPr>
          <w:rFonts w:cstheme="minorHAnsi"/>
          <w:color w:val="000000" w:themeColor="text1"/>
        </w:rPr>
        <w:t xml:space="preserve"> Para 16</w:t>
      </w:r>
    </w:p>
  </w:footnote>
  <w:footnote w:id="4">
    <w:p w14:paraId="7AE5A5EF" w14:textId="446AE1A3" w:rsidR="006F7124" w:rsidRPr="00FD7858" w:rsidRDefault="006F7124">
      <w:pPr>
        <w:pStyle w:val="FootnoteText"/>
        <w:rPr>
          <w:rFonts w:cstheme="minorHAnsi"/>
          <w:lang w:val="en-US"/>
        </w:rPr>
      </w:pPr>
      <w:r>
        <w:rPr>
          <w:rStyle w:val="FootnoteReference"/>
        </w:rPr>
        <w:footnoteRef/>
      </w:r>
      <w:r>
        <w:t xml:space="preserve"> </w:t>
      </w:r>
      <w:r w:rsidRPr="00FD7858">
        <w:rPr>
          <w:rFonts w:cstheme="minorHAnsi"/>
        </w:rPr>
        <w:t>LAC/CIV/A/13/2013 [2014] LSLAC 3</w:t>
      </w:r>
      <w:r w:rsidR="00C341DF">
        <w:rPr>
          <w:rFonts w:ascii="Times New Roman" w:hAnsi="Times New Roman" w:cs="Times New Roman"/>
          <w:color w:val="FF0000"/>
          <w:sz w:val="28"/>
          <w:szCs w:val="28"/>
        </w:rPr>
        <w:t xml:space="preserve"> </w:t>
      </w:r>
      <w:r w:rsidR="00C341DF" w:rsidRPr="00C341DF">
        <w:rPr>
          <w:rFonts w:cstheme="minorHAnsi"/>
          <w:color w:val="000000" w:themeColor="text1"/>
        </w:rPr>
        <w:t>27 January 2014</w:t>
      </w:r>
    </w:p>
  </w:footnote>
  <w:footnote w:id="5">
    <w:p w14:paraId="571BAA33" w14:textId="77777777" w:rsidR="006F7124" w:rsidRPr="006F7124" w:rsidRDefault="006F7124">
      <w:pPr>
        <w:pStyle w:val="FootnoteText"/>
        <w:rPr>
          <w:lang w:val="en-US"/>
        </w:rPr>
      </w:pPr>
      <w:r w:rsidRPr="00FD7858">
        <w:rPr>
          <w:rStyle w:val="FootnoteReference"/>
          <w:rFonts w:cstheme="minorHAnsi"/>
        </w:rPr>
        <w:footnoteRef/>
      </w:r>
      <w:r w:rsidRPr="00FD7858">
        <w:rPr>
          <w:rFonts w:cstheme="minorHAnsi"/>
        </w:rPr>
        <w:t xml:space="preserve"> 4</w:t>
      </w:r>
      <w:r w:rsidRPr="00FD7858">
        <w:rPr>
          <w:rFonts w:cstheme="minorHAnsi"/>
          <w:vertAlign w:val="superscript"/>
        </w:rPr>
        <w:t>th</w:t>
      </w:r>
      <w:r w:rsidRPr="00FD7858">
        <w:rPr>
          <w:rFonts w:cstheme="minorHAnsi"/>
        </w:rPr>
        <w:t xml:space="preserve"> Edition, Page 249</w:t>
      </w:r>
    </w:p>
  </w:footnote>
  <w:footnote w:id="6">
    <w:p w14:paraId="5B5D416A" w14:textId="77777777" w:rsidR="006F7124" w:rsidRPr="00FD7858" w:rsidRDefault="006F7124">
      <w:pPr>
        <w:pStyle w:val="FootnoteText"/>
        <w:rPr>
          <w:rFonts w:cstheme="minorHAnsi"/>
          <w:lang w:val="en-US"/>
        </w:rPr>
      </w:pPr>
      <w:r w:rsidRPr="00FD7858">
        <w:rPr>
          <w:rStyle w:val="FootnoteReference"/>
          <w:rFonts w:cstheme="minorHAnsi"/>
        </w:rPr>
        <w:footnoteRef/>
      </w:r>
      <w:r w:rsidRPr="00FD7858">
        <w:rPr>
          <w:rFonts w:cstheme="minorHAnsi"/>
        </w:rPr>
        <w:t xml:space="preserve"> C OF A (CIV) NO. 23/2020</w:t>
      </w:r>
    </w:p>
  </w:footnote>
  <w:footnote w:id="7">
    <w:p w14:paraId="23A36603" w14:textId="77777777" w:rsidR="006F7124" w:rsidRPr="006F7124" w:rsidRDefault="006F7124">
      <w:pPr>
        <w:pStyle w:val="FootnoteText"/>
        <w:rPr>
          <w:lang w:val="en-US"/>
        </w:rPr>
      </w:pPr>
      <w:r w:rsidRPr="00FD7858">
        <w:rPr>
          <w:rStyle w:val="FootnoteReference"/>
          <w:rFonts w:cstheme="minorHAnsi"/>
        </w:rPr>
        <w:footnoteRef/>
      </w:r>
      <w:r w:rsidRPr="00FD7858">
        <w:rPr>
          <w:rFonts w:cstheme="minorHAnsi"/>
        </w:rPr>
        <w:t xml:space="preserve"> 4</w:t>
      </w:r>
      <w:r w:rsidRPr="00FD7858">
        <w:rPr>
          <w:rFonts w:cstheme="minorHAnsi"/>
          <w:vertAlign w:val="superscript"/>
        </w:rPr>
        <w:t>th</w:t>
      </w:r>
      <w:r w:rsidRPr="00FD7858">
        <w:rPr>
          <w:rFonts w:cstheme="minorHAnsi"/>
        </w:rPr>
        <w:t xml:space="preserve"> Edition at Page 249</w:t>
      </w:r>
    </w:p>
  </w:footnote>
  <w:footnote w:id="8">
    <w:p w14:paraId="4E8D4726" w14:textId="3327A4D3" w:rsidR="00866B13" w:rsidRPr="00FD7858" w:rsidRDefault="00866B13">
      <w:pPr>
        <w:pStyle w:val="FootnoteText"/>
        <w:rPr>
          <w:rFonts w:cstheme="minorHAnsi"/>
          <w:lang w:val="en-US"/>
        </w:rPr>
      </w:pPr>
      <w:r w:rsidRPr="00FD7858">
        <w:rPr>
          <w:rStyle w:val="FootnoteReference"/>
          <w:rFonts w:cstheme="minorHAnsi"/>
        </w:rPr>
        <w:footnoteRef/>
      </w:r>
      <w:r w:rsidRPr="00FD7858">
        <w:rPr>
          <w:rFonts w:cstheme="minorHAnsi"/>
        </w:rPr>
        <w:t xml:space="preserve"> No. 5007/2018</w:t>
      </w:r>
      <w:r w:rsidR="00055F42">
        <w:rPr>
          <w:rFonts w:ascii="Times New Roman" w:hAnsi="Times New Roman" w:cs="Times New Roman"/>
          <w:color w:val="FF0000"/>
          <w:sz w:val="28"/>
          <w:szCs w:val="28"/>
        </w:rPr>
        <w:t xml:space="preserve"> </w:t>
      </w:r>
      <w:r w:rsidR="00055F42" w:rsidRPr="00055F42">
        <w:rPr>
          <w:rFonts w:cstheme="minorHAnsi"/>
          <w:color w:val="000000" w:themeColor="text1"/>
        </w:rPr>
        <w:t>Free State Provincial Division</w:t>
      </w:r>
      <w:r w:rsidR="00A90C45" w:rsidRPr="00A90C45">
        <w:rPr>
          <w:rFonts w:cstheme="minorHAnsi"/>
          <w:color w:val="000000" w:themeColor="text1"/>
        </w:rPr>
        <w:t xml:space="preserve"> page 16</w:t>
      </w:r>
    </w:p>
  </w:footnote>
  <w:footnote w:id="9">
    <w:p w14:paraId="1CEF5047" w14:textId="77777777" w:rsidR="00866B13" w:rsidRPr="00FD7858" w:rsidRDefault="00866B13">
      <w:pPr>
        <w:pStyle w:val="FootnoteText"/>
        <w:rPr>
          <w:rFonts w:cstheme="minorHAnsi"/>
          <w:lang w:val="en-US"/>
        </w:rPr>
      </w:pPr>
      <w:r w:rsidRPr="00FD7858">
        <w:rPr>
          <w:rStyle w:val="FootnoteReference"/>
          <w:rFonts w:cstheme="minorHAnsi"/>
        </w:rPr>
        <w:footnoteRef/>
      </w:r>
      <w:r w:rsidRPr="00FD7858">
        <w:rPr>
          <w:rFonts w:cstheme="minorHAnsi"/>
        </w:rPr>
        <w:t xml:space="preserve"> 22 QBD 131</w:t>
      </w:r>
    </w:p>
  </w:footnote>
  <w:footnote w:id="10">
    <w:p w14:paraId="23E7749C" w14:textId="33515D3F" w:rsidR="00866B13" w:rsidRPr="00FD7858" w:rsidRDefault="00866B13">
      <w:pPr>
        <w:pStyle w:val="FootnoteText"/>
        <w:rPr>
          <w:rFonts w:cstheme="minorHAnsi"/>
          <w:lang w:val="en-US"/>
        </w:rPr>
      </w:pPr>
      <w:r w:rsidRPr="00FD7858">
        <w:rPr>
          <w:rStyle w:val="FootnoteReference"/>
          <w:rFonts w:cstheme="minorHAnsi"/>
        </w:rPr>
        <w:footnoteRef/>
      </w:r>
      <w:r w:rsidRPr="00FD7858">
        <w:rPr>
          <w:rFonts w:cstheme="minorHAnsi"/>
        </w:rPr>
        <w:t xml:space="preserve"> 8 CP 116</w:t>
      </w:r>
      <w:r w:rsidR="00CE4235">
        <w:rPr>
          <w:rFonts w:cstheme="minorHAnsi"/>
        </w:rPr>
        <w:t xml:space="preserve"> </w:t>
      </w:r>
    </w:p>
  </w:footnote>
  <w:footnote w:id="11">
    <w:p w14:paraId="7DA3BC73" w14:textId="2E533A5E" w:rsidR="004C264C" w:rsidRPr="004C264C" w:rsidRDefault="004C264C">
      <w:pPr>
        <w:pStyle w:val="FootnoteText"/>
        <w:rPr>
          <w:lang w:val="en-US"/>
        </w:rPr>
      </w:pPr>
      <w:r>
        <w:rPr>
          <w:rStyle w:val="FootnoteReference"/>
        </w:rPr>
        <w:footnoteRef/>
      </w:r>
      <w:r>
        <w:t xml:space="preserve"> </w:t>
      </w:r>
      <w:r w:rsidRPr="00CE4235">
        <w:rPr>
          <w:rFonts w:cstheme="minorHAnsi"/>
        </w:rPr>
        <w:t>section 64 (1)</w:t>
      </w:r>
    </w:p>
  </w:footnote>
  <w:footnote w:id="12">
    <w:p w14:paraId="01713CB9" w14:textId="77777777" w:rsidR="00866B13" w:rsidRPr="00FD7858" w:rsidRDefault="00866B13">
      <w:pPr>
        <w:pStyle w:val="FootnoteText"/>
        <w:rPr>
          <w:rFonts w:cstheme="minorHAnsi"/>
          <w:lang w:val="en-US"/>
        </w:rPr>
      </w:pPr>
      <w:r w:rsidRPr="00FD7858">
        <w:rPr>
          <w:rStyle w:val="FootnoteReference"/>
          <w:rFonts w:cstheme="minorHAnsi"/>
        </w:rPr>
        <w:footnoteRef/>
      </w:r>
      <w:r w:rsidRPr="00FD7858">
        <w:rPr>
          <w:rFonts w:cstheme="minorHAnsi"/>
        </w:rPr>
        <w:t xml:space="preserve"> 1930 CPD 276</w:t>
      </w:r>
    </w:p>
  </w:footnote>
  <w:footnote w:id="13">
    <w:p w14:paraId="70333396" w14:textId="77777777" w:rsidR="00866B13" w:rsidRPr="00FD7858" w:rsidRDefault="00866B13">
      <w:pPr>
        <w:pStyle w:val="FootnoteText"/>
        <w:rPr>
          <w:rFonts w:cstheme="minorHAnsi"/>
          <w:lang w:val="en-US"/>
        </w:rPr>
      </w:pPr>
      <w:r w:rsidRPr="00FD7858">
        <w:rPr>
          <w:rStyle w:val="FootnoteReference"/>
          <w:rFonts w:cstheme="minorHAnsi"/>
        </w:rPr>
        <w:footnoteRef/>
      </w:r>
      <w:r w:rsidRPr="00FD7858">
        <w:rPr>
          <w:rFonts w:cstheme="minorHAnsi"/>
        </w:rPr>
        <w:t xml:space="preserve"> 1941 NPD 74</w:t>
      </w:r>
    </w:p>
  </w:footnote>
  <w:footnote w:id="14">
    <w:p w14:paraId="774EEC0A" w14:textId="77777777" w:rsidR="00866B13" w:rsidRPr="00866B13" w:rsidRDefault="00866B13">
      <w:pPr>
        <w:pStyle w:val="FootnoteText"/>
        <w:rPr>
          <w:lang w:val="en-US"/>
        </w:rPr>
      </w:pPr>
      <w:r w:rsidRPr="00FD7858">
        <w:rPr>
          <w:rStyle w:val="FootnoteReference"/>
          <w:rFonts w:cstheme="minorHAnsi"/>
        </w:rPr>
        <w:footnoteRef/>
      </w:r>
      <w:r w:rsidRPr="00FD7858">
        <w:rPr>
          <w:rFonts w:cstheme="minorHAnsi"/>
        </w:rPr>
        <w:t xml:space="preserve"> 1939 CPD 323</w:t>
      </w:r>
    </w:p>
  </w:footnote>
  <w:footnote w:id="15">
    <w:p w14:paraId="44294E41" w14:textId="5DCC00D1" w:rsidR="00E75403" w:rsidRPr="00E75403" w:rsidRDefault="00E75403">
      <w:pPr>
        <w:pStyle w:val="FootnoteText"/>
        <w:rPr>
          <w:lang w:val="en-US"/>
        </w:rPr>
      </w:pPr>
      <w:r>
        <w:rPr>
          <w:rStyle w:val="FootnoteReference"/>
        </w:rPr>
        <w:footnoteRef/>
      </w:r>
      <w:r>
        <w:t xml:space="preserve"> </w:t>
      </w:r>
      <w:r w:rsidRPr="00E75403">
        <w:rPr>
          <w:rFonts w:cstheme="minorHAnsi"/>
          <w:color w:val="000000" w:themeColor="text1"/>
        </w:rPr>
        <w:t>Willem Daniel Knoesen (</w:t>
      </w:r>
      <w:r w:rsidRPr="00E75403">
        <w:rPr>
          <w:rFonts w:cstheme="minorHAnsi"/>
          <w:i/>
          <w:iCs/>
          <w:color w:val="000000" w:themeColor="text1"/>
        </w:rPr>
        <w:t>supra</w:t>
      </w:r>
      <w:r w:rsidRPr="00E75403">
        <w:rPr>
          <w:rFonts w:cstheme="minorHAnsi"/>
          <w:color w:val="000000" w:themeColor="text1"/>
        </w:rPr>
        <w:t>) page 16</w:t>
      </w:r>
    </w:p>
  </w:footnote>
  <w:footnote w:id="16">
    <w:p w14:paraId="29C22C40" w14:textId="2AABD469" w:rsidR="000207BB" w:rsidRPr="00FD7858" w:rsidRDefault="000207BB">
      <w:pPr>
        <w:pStyle w:val="FootnoteText"/>
        <w:rPr>
          <w:rFonts w:cstheme="minorHAnsi"/>
          <w:lang w:val="en-US"/>
        </w:rPr>
      </w:pPr>
      <w:r w:rsidRPr="00FD7858">
        <w:rPr>
          <w:rStyle w:val="FootnoteReference"/>
          <w:rFonts w:cstheme="minorHAnsi"/>
        </w:rPr>
        <w:footnoteRef/>
      </w:r>
      <w:r w:rsidRPr="00FD7858">
        <w:rPr>
          <w:rFonts w:cstheme="minorHAnsi"/>
        </w:rPr>
        <w:t xml:space="preserve"> CC No.</w:t>
      </w:r>
      <w:r w:rsidRPr="00BA725F">
        <w:rPr>
          <w:rFonts w:cstheme="minorHAnsi"/>
          <w:color w:val="000000" w:themeColor="text1"/>
        </w:rPr>
        <w:t>18/2020 [2021] LSHCONST 51</w:t>
      </w:r>
      <w:r w:rsidR="00BA725F" w:rsidRPr="00BA725F">
        <w:rPr>
          <w:rFonts w:cstheme="minorHAnsi"/>
          <w:color w:val="000000" w:themeColor="text1"/>
        </w:rPr>
        <w:t xml:space="preserve"> 07 June </w:t>
      </w:r>
      <w:r w:rsidR="0065473B" w:rsidRPr="00BA725F">
        <w:rPr>
          <w:rFonts w:cstheme="minorHAnsi"/>
          <w:color w:val="000000" w:themeColor="text1"/>
        </w:rPr>
        <w:t xml:space="preserve">2021 </w:t>
      </w:r>
      <w:r w:rsidR="0065473B">
        <w:rPr>
          <w:rFonts w:cstheme="minorHAnsi"/>
          <w:color w:val="000000" w:themeColor="text1"/>
        </w:rPr>
        <w:t>p</w:t>
      </w:r>
      <w:r w:rsidR="0065473B" w:rsidRPr="00BA725F">
        <w:rPr>
          <w:rFonts w:cstheme="minorHAnsi"/>
          <w:color w:val="000000" w:themeColor="text1"/>
        </w:rPr>
        <w:t>age</w:t>
      </w:r>
      <w:r w:rsidR="00BA725F" w:rsidRPr="00BA725F">
        <w:rPr>
          <w:rFonts w:cstheme="minorHAnsi"/>
          <w:color w:val="000000" w:themeColor="text1"/>
        </w:rPr>
        <w:t xml:space="preserve"> 10</w:t>
      </w:r>
      <w:r w:rsidR="00BA725F" w:rsidRPr="00BA725F">
        <w:rPr>
          <w:rFonts w:ascii="Times New Roman" w:hAnsi="Times New Roman" w:cs="Times New Roman"/>
          <w:color w:val="000000" w:themeColor="text1"/>
          <w:sz w:val="28"/>
          <w:szCs w:val="28"/>
        </w:rPr>
        <w:t xml:space="preserve"> </w:t>
      </w:r>
    </w:p>
  </w:footnote>
  <w:footnote w:id="17">
    <w:p w14:paraId="19286D64" w14:textId="3114BDEE" w:rsidR="000207BB" w:rsidRPr="000207BB" w:rsidRDefault="000207BB">
      <w:pPr>
        <w:pStyle w:val="FootnoteText"/>
        <w:rPr>
          <w:lang w:val="en-US"/>
        </w:rPr>
      </w:pPr>
      <w:r w:rsidRPr="00FD7858">
        <w:rPr>
          <w:rStyle w:val="FootnoteReference"/>
          <w:rFonts w:cstheme="minorHAnsi"/>
        </w:rPr>
        <w:footnoteRef/>
      </w:r>
      <w:r w:rsidRPr="00FD7858">
        <w:rPr>
          <w:rFonts w:cstheme="minorHAnsi"/>
        </w:rPr>
        <w:t xml:space="preserve"> 2017 (2) S.A 622 (CC)</w:t>
      </w:r>
      <w:r w:rsidR="0065473B" w:rsidRPr="0065473B">
        <w:rPr>
          <w:rFonts w:ascii="Times New Roman" w:hAnsi="Times New Roman" w:cs="Times New Roman"/>
          <w:sz w:val="28"/>
          <w:szCs w:val="28"/>
        </w:rPr>
        <w:t xml:space="preserve"> </w:t>
      </w:r>
      <w:r w:rsidR="0065473B" w:rsidRPr="0065473B">
        <w:rPr>
          <w:rFonts w:cstheme="minorHAnsi"/>
        </w:rPr>
        <w:t>at paragraph 183</w:t>
      </w:r>
    </w:p>
  </w:footnote>
  <w:footnote w:id="18">
    <w:p w14:paraId="3EF95C83" w14:textId="77777777" w:rsidR="000207BB" w:rsidRPr="000207BB" w:rsidRDefault="000207BB">
      <w:pPr>
        <w:pStyle w:val="FootnoteText"/>
        <w:rPr>
          <w:lang w:val="en-US"/>
        </w:rPr>
      </w:pPr>
      <w:r>
        <w:rPr>
          <w:rStyle w:val="FootnoteReference"/>
        </w:rPr>
        <w:footnoteRef/>
      </w:r>
      <w:r w:rsidRPr="00FD7858">
        <w:rPr>
          <w:rFonts w:cstheme="minorHAnsi"/>
        </w:rPr>
        <w:t xml:space="preserve"> HH 12 of 2018, HC6113 OF 2016 Ref 8895 of 2012 [2018] ZWHHC12</w:t>
      </w:r>
    </w:p>
  </w:footnote>
  <w:footnote w:id="19">
    <w:p w14:paraId="7F5ED67E" w14:textId="77777777" w:rsidR="000207BB" w:rsidRPr="00FD7858" w:rsidRDefault="000207BB">
      <w:pPr>
        <w:pStyle w:val="FootnoteText"/>
        <w:rPr>
          <w:rFonts w:cstheme="minorHAnsi"/>
          <w:lang w:val="en-US"/>
        </w:rPr>
      </w:pPr>
      <w:r w:rsidRPr="00FD7858">
        <w:rPr>
          <w:rStyle w:val="FootnoteReference"/>
          <w:rFonts w:cstheme="minorHAnsi"/>
        </w:rPr>
        <w:footnoteRef/>
      </w:r>
      <w:r w:rsidRPr="00FD7858">
        <w:rPr>
          <w:rFonts w:cstheme="minorHAnsi"/>
        </w:rPr>
        <w:t xml:space="preserve"> 5</w:t>
      </w:r>
      <w:r w:rsidRPr="00FD7858">
        <w:rPr>
          <w:rFonts w:cstheme="minorHAnsi"/>
          <w:vertAlign w:val="superscript"/>
        </w:rPr>
        <w:t>th</w:t>
      </w:r>
      <w:r w:rsidRPr="00FD7858">
        <w:rPr>
          <w:rFonts w:cstheme="minorHAnsi"/>
        </w:rPr>
        <w:t xml:space="preserve"> Edition: Vol 2 page 954</w:t>
      </w:r>
    </w:p>
  </w:footnote>
  <w:footnote w:id="20">
    <w:p w14:paraId="745795DC" w14:textId="77777777" w:rsidR="000207BB" w:rsidRPr="000207BB" w:rsidRDefault="000207BB">
      <w:pPr>
        <w:pStyle w:val="FootnoteText"/>
        <w:rPr>
          <w:lang w:val="en-US"/>
        </w:rPr>
      </w:pPr>
      <w:r w:rsidRPr="00FD7858">
        <w:rPr>
          <w:rStyle w:val="FootnoteReference"/>
          <w:rFonts w:cstheme="minorHAnsi"/>
        </w:rPr>
        <w:footnoteRef/>
      </w:r>
      <w:r w:rsidRPr="00FD7858">
        <w:rPr>
          <w:rFonts w:cstheme="minorHAnsi"/>
        </w:rPr>
        <w:t xml:space="preserve"> 2</w:t>
      </w:r>
      <w:r w:rsidRPr="00FD7858">
        <w:rPr>
          <w:rFonts w:cstheme="minorHAnsi"/>
          <w:vertAlign w:val="superscript"/>
        </w:rPr>
        <w:t>nd</w:t>
      </w:r>
      <w:r w:rsidRPr="00FD7858">
        <w:rPr>
          <w:rFonts w:cstheme="minorHAnsi"/>
        </w:rPr>
        <w:t xml:space="preserve"> Edition page 66</w:t>
      </w:r>
    </w:p>
  </w:footnote>
  <w:footnote w:id="21">
    <w:p w14:paraId="10A55C60" w14:textId="7CE5EF1C" w:rsidR="00F55684" w:rsidRPr="00F55684" w:rsidRDefault="00F55684">
      <w:pPr>
        <w:pStyle w:val="FootnoteText"/>
        <w:rPr>
          <w:lang w:val="en-US"/>
        </w:rPr>
      </w:pPr>
      <w:r>
        <w:rPr>
          <w:rStyle w:val="FootnoteReference"/>
        </w:rPr>
        <w:footnoteRef/>
      </w:r>
      <w:r>
        <w:t xml:space="preserve"> </w:t>
      </w:r>
      <w:r w:rsidRPr="00F55684">
        <w:rPr>
          <w:rFonts w:cstheme="minorHAnsi"/>
          <w:i/>
          <w:iCs/>
        </w:rPr>
        <w:t>Crieff Investments Case</w:t>
      </w:r>
      <w:r w:rsidRPr="00F55684">
        <w:rPr>
          <w:rFonts w:cstheme="minorHAnsi"/>
        </w:rPr>
        <w:t xml:space="preserve"> (supra)</w:t>
      </w:r>
    </w:p>
  </w:footnote>
  <w:footnote w:id="22">
    <w:p w14:paraId="5F1CFCF3" w14:textId="08DCC2CA" w:rsidR="000207BB" w:rsidRPr="00FD7858" w:rsidRDefault="000207BB">
      <w:pPr>
        <w:pStyle w:val="FootnoteText"/>
        <w:rPr>
          <w:rFonts w:cstheme="minorHAnsi"/>
          <w:lang w:val="en-US"/>
        </w:rPr>
      </w:pPr>
      <w:r w:rsidRPr="00FD7858">
        <w:rPr>
          <w:rStyle w:val="FootnoteReference"/>
          <w:rFonts w:cstheme="minorHAnsi"/>
        </w:rPr>
        <w:footnoteRef/>
      </w:r>
      <w:r w:rsidRPr="00FD7858">
        <w:rPr>
          <w:rFonts w:cstheme="minorHAnsi"/>
        </w:rPr>
        <w:t xml:space="preserve"> CCT/107/18 [2019] ZACC 29 page 4</w:t>
      </w:r>
    </w:p>
  </w:footnote>
  <w:footnote w:id="23">
    <w:p w14:paraId="7620E2FF" w14:textId="77777777" w:rsidR="000207BB" w:rsidRPr="000207BB" w:rsidRDefault="000207BB">
      <w:pPr>
        <w:pStyle w:val="FootnoteText"/>
        <w:rPr>
          <w:lang w:val="en-US"/>
        </w:rPr>
      </w:pPr>
      <w:r w:rsidRPr="00FD7858">
        <w:rPr>
          <w:rStyle w:val="FootnoteReference"/>
          <w:rFonts w:cstheme="minorHAnsi"/>
        </w:rPr>
        <w:footnoteRef/>
      </w:r>
      <w:r w:rsidRPr="00FD7858">
        <w:rPr>
          <w:rFonts w:cstheme="minorHAnsi"/>
        </w:rPr>
        <w:t xml:space="preserve"> 2008 JDR 0505 (TK) at para 31</w:t>
      </w:r>
    </w:p>
  </w:footnote>
  <w:footnote w:id="24">
    <w:p w14:paraId="070C48B8" w14:textId="38B40F78" w:rsidR="00715EFC" w:rsidRPr="00715EFC" w:rsidRDefault="00715EFC">
      <w:pPr>
        <w:pStyle w:val="FootnoteText"/>
        <w:rPr>
          <w:lang w:val="en-US"/>
        </w:rPr>
      </w:pPr>
      <w:r>
        <w:rPr>
          <w:rStyle w:val="FootnoteReference"/>
        </w:rPr>
        <w:footnoteRef/>
      </w:r>
      <w:r>
        <w:t xml:space="preserve"> </w:t>
      </w:r>
      <w:r w:rsidRPr="00715EFC">
        <w:rPr>
          <w:rFonts w:cstheme="minorHAnsi"/>
          <w:i/>
          <w:iCs/>
          <w:color w:val="000000" w:themeColor="text1"/>
        </w:rPr>
        <w:t>Public Protector</w:t>
      </w:r>
      <w:r w:rsidRPr="00715EFC">
        <w:rPr>
          <w:rFonts w:cstheme="minorHAnsi"/>
          <w:color w:val="000000" w:themeColor="text1"/>
        </w:rPr>
        <w:t>(supra) at page 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678CF"/>
    <w:multiLevelType w:val="hybridMultilevel"/>
    <w:tmpl w:val="96222E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41FA1"/>
    <w:multiLevelType w:val="hybridMultilevel"/>
    <w:tmpl w:val="B8E22AE0"/>
    <w:lvl w:ilvl="0" w:tplc="ED789F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91B298D"/>
    <w:multiLevelType w:val="hybridMultilevel"/>
    <w:tmpl w:val="24C0578C"/>
    <w:lvl w:ilvl="0" w:tplc="214CDF8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01D1C"/>
    <w:multiLevelType w:val="hybridMultilevel"/>
    <w:tmpl w:val="120CB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9406E7"/>
    <w:multiLevelType w:val="hybridMultilevel"/>
    <w:tmpl w:val="62E41EDA"/>
    <w:lvl w:ilvl="0" w:tplc="A6884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C24E99"/>
    <w:multiLevelType w:val="hybridMultilevel"/>
    <w:tmpl w:val="42449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E506FA"/>
    <w:multiLevelType w:val="hybridMultilevel"/>
    <w:tmpl w:val="CC289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1A10BB"/>
    <w:multiLevelType w:val="hybridMultilevel"/>
    <w:tmpl w:val="14ECEE2C"/>
    <w:lvl w:ilvl="0" w:tplc="BC74339A">
      <w:start w:val="1"/>
      <w:numFmt w:val="decimal"/>
      <w:lvlText w:val="%1."/>
      <w:lvlJc w:val="left"/>
      <w:pPr>
        <w:ind w:left="720" w:hanging="360"/>
      </w:pPr>
      <w:rPr>
        <w:rFonts w:hint="default"/>
        <w:b w:val="0"/>
        <w:bCs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F9580A"/>
    <w:multiLevelType w:val="hybridMultilevel"/>
    <w:tmpl w:val="8CD4313C"/>
    <w:lvl w:ilvl="0" w:tplc="1FC0565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869"/>
    <w:rsid w:val="000207BB"/>
    <w:rsid w:val="00022C62"/>
    <w:rsid w:val="0003048B"/>
    <w:rsid w:val="000342B0"/>
    <w:rsid w:val="0003482D"/>
    <w:rsid w:val="00043B51"/>
    <w:rsid w:val="00044C65"/>
    <w:rsid w:val="00055F42"/>
    <w:rsid w:val="00072232"/>
    <w:rsid w:val="000816B7"/>
    <w:rsid w:val="000A1349"/>
    <w:rsid w:val="000A3465"/>
    <w:rsid w:val="000A3AAC"/>
    <w:rsid w:val="000A5DFF"/>
    <w:rsid w:val="000A6D5C"/>
    <w:rsid w:val="000B22EB"/>
    <w:rsid w:val="000E1A41"/>
    <w:rsid w:val="000E56FC"/>
    <w:rsid w:val="00101B28"/>
    <w:rsid w:val="00137D71"/>
    <w:rsid w:val="00155B76"/>
    <w:rsid w:val="00170BCC"/>
    <w:rsid w:val="0018071B"/>
    <w:rsid w:val="00186C70"/>
    <w:rsid w:val="00194E3E"/>
    <w:rsid w:val="001A058B"/>
    <w:rsid w:val="001E2971"/>
    <w:rsid w:val="001F14A5"/>
    <w:rsid w:val="00205821"/>
    <w:rsid w:val="00210300"/>
    <w:rsid w:val="00216B89"/>
    <w:rsid w:val="00223A8B"/>
    <w:rsid w:val="00235174"/>
    <w:rsid w:val="0025208C"/>
    <w:rsid w:val="002566F6"/>
    <w:rsid w:val="00260C2F"/>
    <w:rsid w:val="002634FE"/>
    <w:rsid w:val="002661B2"/>
    <w:rsid w:val="0028315E"/>
    <w:rsid w:val="002A2832"/>
    <w:rsid w:val="002B2A98"/>
    <w:rsid w:val="002B3BA7"/>
    <w:rsid w:val="002C5C78"/>
    <w:rsid w:val="002C74AE"/>
    <w:rsid w:val="002C7D62"/>
    <w:rsid w:val="002D1227"/>
    <w:rsid w:val="002D2F42"/>
    <w:rsid w:val="002D5216"/>
    <w:rsid w:val="002D7B59"/>
    <w:rsid w:val="002F2A1B"/>
    <w:rsid w:val="0030146E"/>
    <w:rsid w:val="00316E65"/>
    <w:rsid w:val="00317C3E"/>
    <w:rsid w:val="00330380"/>
    <w:rsid w:val="003317E1"/>
    <w:rsid w:val="003537B1"/>
    <w:rsid w:val="00370DA1"/>
    <w:rsid w:val="00377168"/>
    <w:rsid w:val="00386AFA"/>
    <w:rsid w:val="00391562"/>
    <w:rsid w:val="0039493C"/>
    <w:rsid w:val="003B2A1F"/>
    <w:rsid w:val="003B3277"/>
    <w:rsid w:val="003B47BC"/>
    <w:rsid w:val="003B4D5A"/>
    <w:rsid w:val="003C2321"/>
    <w:rsid w:val="003D0F9A"/>
    <w:rsid w:val="003D1A2D"/>
    <w:rsid w:val="003F05FD"/>
    <w:rsid w:val="003F483B"/>
    <w:rsid w:val="003F559F"/>
    <w:rsid w:val="00402955"/>
    <w:rsid w:val="004041D6"/>
    <w:rsid w:val="00411A64"/>
    <w:rsid w:val="004123DA"/>
    <w:rsid w:val="00417079"/>
    <w:rsid w:val="00427055"/>
    <w:rsid w:val="004345FE"/>
    <w:rsid w:val="00444729"/>
    <w:rsid w:val="00445FB3"/>
    <w:rsid w:val="00446BCC"/>
    <w:rsid w:val="00455A41"/>
    <w:rsid w:val="00460047"/>
    <w:rsid w:val="00461951"/>
    <w:rsid w:val="004678CD"/>
    <w:rsid w:val="00474EDA"/>
    <w:rsid w:val="00482869"/>
    <w:rsid w:val="00484CAB"/>
    <w:rsid w:val="0048670B"/>
    <w:rsid w:val="004B140E"/>
    <w:rsid w:val="004B181B"/>
    <w:rsid w:val="004B346E"/>
    <w:rsid w:val="004C110F"/>
    <w:rsid w:val="004C1866"/>
    <w:rsid w:val="004C264C"/>
    <w:rsid w:val="004C384B"/>
    <w:rsid w:val="004C59F1"/>
    <w:rsid w:val="004D3222"/>
    <w:rsid w:val="004D590B"/>
    <w:rsid w:val="004E0B31"/>
    <w:rsid w:val="004F6E31"/>
    <w:rsid w:val="00500B28"/>
    <w:rsid w:val="00506B9E"/>
    <w:rsid w:val="00513C20"/>
    <w:rsid w:val="00523879"/>
    <w:rsid w:val="00524CCC"/>
    <w:rsid w:val="0052624A"/>
    <w:rsid w:val="005344FD"/>
    <w:rsid w:val="00534DC7"/>
    <w:rsid w:val="00541459"/>
    <w:rsid w:val="00542D4E"/>
    <w:rsid w:val="005552B0"/>
    <w:rsid w:val="005706B3"/>
    <w:rsid w:val="00576A31"/>
    <w:rsid w:val="005807D1"/>
    <w:rsid w:val="0058353E"/>
    <w:rsid w:val="00585134"/>
    <w:rsid w:val="005901C9"/>
    <w:rsid w:val="00594A31"/>
    <w:rsid w:val="005A1981"/>
    <w:rsid w:val="005B1479"/>
    <w:rsid w:val="005B1AD6"/>
    <w:rsid w:val="005B5E8F"/>
    <w:rsid w:val="005C4251"/>
    <w:rsid w:val="005C63D6"/>
    <w:rsid w:val="005C6929"/>
    <w:rsid w:val="005D08D9"/>
    <w:rsid w:val="005E5CB8"/>
    <w:rsid w:val="005F0C16"/>
    <w:rsid w:val="005F5C4B"/>
    <w:rsid w:val="00602BEE"/>
    <w:rsid w:val="00602E68"/>
    <w:rsid w:val="00602F95"/>
    <w:rsid w:val="00604164"/>
    <w:rsid w:val="00606E3A"/>
    <w:rsid w:val="00607219"/>
    <w:rsid w:val="006111EA"/>
    <w:rsid w:val="00613615"/>
    <w:rsid w:val="0062706B"/>
    <w:rsid w:val="006339B3"/>
    <w:rsid w:val="00644F6A"/>
    <w:rsid w:val="00645621"/>
    <w:rsid w:val="0065473B"/>
    <w:rsid w:val="006606BB"/>
    <w:rsid w:val="00666EF5"/>
    <w:rsid w:val="00670744"/>
    <w:rsid w:val="006737F4"/>
    <w:rsid w:val="00685020"/>
    <w:rsid w:val="00690A41"/>
    <w:rsid w:val="006920E1"/>
    <w:rsid w:val="006925FC"/>
    <w:rsid w:val="00692AFE"/>
    <w:rsid w:val="00693036"/>
    <w:rsid w:val="006A3DFB"/>
    <w:rsid w:val="006A4E69"/>
    <w:rsid w:val="006A7B06"/>
    <w:rsid w:val="006B077A"/>
    <w:rsid w:val="006B54C5"/>
    <w:rsid w:val="006C0360"/>
    <w:rsid w:val="006C0D5D"/>
    <w:rsid w:val="006C23BD"/>
    <w:rsid w:val="006E1A73"/>
    <w:rsid w:val="006E37F6"/>
    <w:rsid w:val="006F2B54"/>
    <w:rsid w:val="006F4CCD"/>
    <w:rsid w:val="006F7124"/>
    <w:rsid w:val="00715EFC"/>
    <w:rsid w:val="00747413"/>
    <w:rsid w:val="00753DA1"/>
    <w:rsid w:val="007820DF"/>
    <w:rsid w:val="007837E1"/>
    <w:rsid w:val="00784171"/>
    <w:rsid w:val="00796754"/>
    <w:rsid w:val="007A194D"/>
    <w:rsid w:val="007A3552"/>
    <w:rsid w:val="007A5C61"/>
    <w:rsid w:val="007D056B"/>
    <w:rsid w:val="007D6C65"/>
    <w:rsid w:val="007E3CE8"/>
    <w:rsid w:val="007E63CC"/>
    <w:rsid w:val="007E720B"/>
    <w:rsid w:val="008051BF"/>
    <w:rsid w:val="00816758"/>
    <w:rsid w:val="00817D90"/>
    <w:rsid w:val="008201C5"/>
    <w:rsid w:val="00831FB5"/>
    <w:rsid w:val="00842039"/>
    <w:rsid w:val="00847772"/>
    <w:rsid w:val="00847B57"/>
    <w:rsid w:val="008504A1"/>
    <w:rsid w:val="00866AEE"/>
    <w:rsid w:val="00866B13"/>
    <w:rsid w:val="00873173"/>
    <w:rsid w:val="008736A0"/>
    <w:rsid w:val="00880049"/>
    <w:rsid w:val="0088006B"/>
    <w:rsid w:val="00884209"/>
    <w:rsid w:val="008A595E"/>
    <w:rsid w:val="008C0F22"/>
    <w:rsid w:val="008E4D1F"/>
    <w:rsid w:val="008E6308"/>
    <w:rsid w:val="008F4789"/>
    <w:rsid w:val="008F7B34"/>
    <w:rsid w:val="008F7D17"/>
    <w:rsid w:val="0090149D"/>
    <w:rsid w:val="00922C39"/>
    <w:rsid w:val="00931B3A"/>
    <w:rsid w:val="00932E77"/>
    <w:rsid w:val="00943C53"/>
    <w:rsid w:val="009538EB"/>
    <w:rsid w:val="0095448F"/>
    <w:rsid w:val="00962366"/>
    <w:rsid w:val="00967117"/>
    <w:rsid w:val="009747C1"/>
    <w:rsid w:val="00974C90"/>
    <w:rsid w:val="00974F6F"/>
    <w:rsid w:val="00976FCC"/>
    <w:rsid w:val="00994039"/>
    <w:rsid w:val="009A39D9"/>
    <w:rsid w:val="009B267D"/>
    <w:rsid w:val="009B79DB"/>
    <w:rsid w:val="009C4518"/>
    <w:rsid w:val="009E63F2"/>
    <w:rsid w:val="009F140B"/>
    <w:rsid w:val="00A22027"/>
    <w:rsid w:val="00A22856"/>
    <w:rsid w:val="00A27462"/>
    <w:rsid w:val="00A32A12"/>
    <w:rsid w:val="00A37AC4"/>
    <w:rsid w:val="00A401AF"/>
    <w:rsid w:val="00A42919"/>
    <w:rsid w:val="00A443A5"/>
    <w:rsid w:val="00A47332"/>
    <w:rsid w:val="00A5249C"/>
    <w:rsid w:val="00A556C4"/>
    <w:rsid w:val="00A611EC"/>
    <w:rsid w:val="00A67085"/>
    <w:rsid w:val="00A90C45"/>
    <w:rsid w:val="00A920FD"/>
    <w:rsid w:val="00A924C6"/>
    <w:rsid w:val="00AA04D5"/>
    <w:rsid w:val="00AB137E"/>
    <w:rsid w:val="00AB7FCC"/>
    <w:rsid w:val="00AC6507"/>
    <w:rsid w:val="00AD362D"/>
    <w:rsid w:val="00B01B5C"/>
    <w:rsid w:val="00B025AD"/>
    <w:rsid w:val="00B16D20"/>
    <w:rsid w:val="00B2042C"/>
    <w:rsid w:val="00B25114"/>
    <w:rsid w:val="00B355C1"/>
    <w:rsid w:val="00B564E9"/>
    <w:rsid w:val="00B577FA"/>
    <w:rsid w:val="00B6278E"/>
    <w:rsid w:val="00B65260"/>
    <w:rsid w:val="00B80FD2"/>
    <w:rsid w:val="00B830BF"/>
    <w:rsid w:val="00BA303D"/>
    <w:rsid w:val="00BA725F"/>
    <w:rsid w:val="00BE4E89"/>
    <w:rsid w:val="00BF6B41"/>
    <w:rsid w:val="00C168BA"/>
    <w:rsid w:val="00C21131"/>
    <w:rsid w:val="00C215C8"/>
    <w:rsid w:val="00C2270A"/>
    <w:rsid w:val="00C25702"/>
    <w:rsid w:val="00C341DF"/>
    <w:rsid w:val="00C354D2"/>
    <w:rsid w:val="00C357E9"/>
    <w:rsid w:val="00C360C2"/>
    <w:rsid w:val="00C40A7A"/>
    <w:rsid w:val="00C42A9C"/>
    <w:rsid w:val="00C5562F"/>
    <w:rsid w:val="00C55FA9"/>
    <w:rsid w:val="00C568F0"/>
    <w:rsid w:val="00C611ED"/>
    <w:rsid w:val="00C647F7"/>
    <w:rsid w:val="00C746F4"/>
    <w:rsid w:val="00C76D16"/>
    <w:rsid w:val="00C87FB9"/>
    <w:rsid w:val="00C922CC"/>
    <w:rsid w:val="00C9293E"/>
    <w:rsid w:val="00C93391"/>
    <w:rsid w:val="00CA1CFA"/>
    <w:rsid w:val="00CA615E"/>
    <w:rsid w:val="00CB063E"/>
    <w:rsid w:val="00CB24F1"/>
    <w:rsid w:val="00CD1222"/>
    <w:rsid w:val="00CE0BE7"/>
    <w:rsid w:val="00CE0CE0"/>
    <w:rsid w:val="00CE35AE"/>
    <w:rsid w:val="00CE4235"/>
    <w:rsid w:val="00CF506B"/>
    <w:rsid w:val="00D01D06"/>
    <w:rsid w:val="00D05AFE"/>
    <w:rsid w:val="00D07859"/>
    <w:rsid w:val="00D12CFF"/>
    <w:rsid w:val="00D12E6E"/>
    <w:rsid w:val="00D2090D"/>
    <w:rsid w:val="00D272AC"/>
    <w:rsid w:val="00D27C7A"/>
    <w:rsid w:val="00D27EA1"/>
    <w:rsid w:val="00D3463D"/>
    <w:rsid w:val="00D37E38"/>
    <w:rsid w:val="00D53E21"/>
    <w:rsid w:val="00D55EB9"/>
    <w:rsid w:val="00DA1E24"/>
    <w:rsid w:val="00DB714B"/>
    <w:rsid w:val="00DC1618"/>
    <w:rsid w:val="00DC6566"/>
    <w:rsid w:val="00DD2033"/>
    <w:rsid w:val="00DD3DEB"/>
    <w:rsid w:val="00DD4FA4"/>
    <w:rsid w:val="00DD78D0"/>
    <w:rsid w:val="00DE149B"/>
    <w:rsid w:val="00DE3702"/>
    <w:rsid w:val="00DE55DD"/>
    <w:rsid w:val="00DF0A30"/>
    <w:rsid w:val="00E137A7"/>
    <w:rsid w:val="00E15F06"/>
    <w:rsid w:val="00E21E5B"/>
    <w:rsid w:val="00E361C2"/>
    <w:rsid w:val="00E37DF0"/>
    <w:rsid w:val="00E44729"/>
    <w:rsid w:val="00E475D8"/>
    <w:rsid w:val="00E51723"/>
    <w:rsid w:val="00E57073"/>
    <w:rsid w:val="00E64DCE"/>
    <w:rsid w:val="00E668FA"/>
    <w:rsid w:val="00E677C6"/>
    <w:rsid w:val="00E723E2"/>
    <w:rsid w:val="00E74AC5"/>
    <w:rsid w:val="00E75403"/>
    <w:rsid w:val="00E91DC8"/>
    <w:rsid w:val="00EA581A"/>
    <w:rsid w:val="00EB0A19"/>
    <w:rsid w:val="00EB3375"/>
    <w:rsid w:val="00EC6213"/>
    <w:rsid w:val="00ED1F30"/>
    <w:rsid w:val="00ED25E1"/>
    <w:rsid w:val="00ED368D"/>
    <w:rsid w:val="00ED5AF9"/>
    <w:rsid w:val="00EE1FCB"/>
    <w:rsid w:val="00EE71E6"/>
    <w:rsid w:val="00F0308C"/>
    <w:rsid w:val="00F0511F"/>
    <w:rsid w:val="00F057FA"/>
    <w:rsid w:val="00F10896"/>
    <w:rsid w:val="00F3394A"/>
    <w:rsid w:val="00F33C18"/>
    <w:rsid w:val="00F46FA8"/>
    <w:rsid w:val="00F53BE9"/>
    <w:rsid w:val="00F55684"/>
    <w:rsid w:val="00F64BB2"/>
    <w:rsid w:val="00F776A5"/>
    <w:rsid w:val="00F84096"/>
    <w:rsid w:val="00F91A7A"/>
    <w:rsid w:val="00FA4E60"/>
    <w:rsid w:val="00FB0556"/>
    <w:rsid w:val="00FB3D44"/>
    <w:rsid w:val="00FB53F6"/>
    <w:rsid w:val="00FB5DC0"/>
    <w:rsid w:val="00FB62A4"/>
    <w:rsid w:val="00FB7CBF"/>
    <w:rsid w:val="00FC0ED8"/>
    <w:rsid w:val="00FC5225"/>
    <w:rsid w:val="00FD14CD"/>
    <w:rsid w:val="00FD378E"/>
    <w:rsid w:val="00FD4E7E"/>
    <w:rsid w:val="00FD75C2"/>
    <w:rsid w:val="00FD7858"/>
    <w:rsid w:val="00FE2721"/>
    <w:rsid w:val="00FE2953"/>
    <w:rsid w:val="00FE2B03"/>
    <w:rsid w:val="00FF0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76F06"/>
  <w15:docId w15:val="{A460A7A2-6DF1-4F09-88D5-1F6E31246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869"/>
    <w:pPr>
      <w:ind w:left="720"/>
      <w:contextualSpacing/>
    </w:pPr>
  </w:style>
  <w:style w:type="paragraph" w:styleId="FootnoteText">
    <w:name w:val="footnote text"/>
    <w:basedOn w:val="Normal"/>
    <w:link w:val="FootnoteTextChar"/>
    <w:uiPriority w:val="99"/>
    <w:semiHidden/>
    <w:unhideWhenUsed/>
    <w:rsid w:val="00A220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2027"/>
    <w:rPr>
      <w:sz w:val="20"/>
      <w:szCs w:val="20"/>
    </w:rPr>
  </w:style>
  <w:style w:type="character" w:styleId="FootnoteReference">
    <w:name w:val="footnote reference"/>
    <w:basedOn w:val="DefaultParagraphFont"/>
    <w:uiPriority w:val="99"/>
    <w:semiHidden/>
    <w:unhideWhenUsed/>
    <w:rsid w:val="00A22027"/>
    <w:rPr>
      <w:vertAlign w:val="superscript"/>
    </w:rPr>
  </w:style>
  <w:style w:type="paragraph" w:styleId="Header">
    <w:name w:val="header"/>
    <w:basedOn w:val="Normal"/>
    <w:link w:val="HeaderChar"/>
    <w:uiPriority w:val="99"/>
    <w:unhideWhenUsed/>
    <w:rsid w:val="00FF0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4FF"/>
  </w:style>
  <w:style w:type="paragraph" w:styleId="Footer">
    <w:name w:val="footer"/>
    <w:basedOn w:val="Normal"/>
    <w:link w:val="FooterChar"/>
    <w:uiPriority w:val="99"/>
    <w:unhideWhenUsed/>
    <w:rsid w:val="00FF0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4FF"/>
  </w:style>
  <w:style w:type="paragraph" w:styleId="BalloonText">
    <w:name w:val="Balloon Text"/>
    <w:basedOn w:val="Normal"/>
    <w:link w:val="BalloonTextChar"/>
    <w:uiPriority w:val="99"/>
    <w:semiHidden/>
    <w:unhideWhenUsed/>
    <w:rsid w:val="00ED3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6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C0EAC-FA01-4040-BA15-3AF1BE4B3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26</Pages>
  <Words>6212</Words>
  <Characters>35415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Makopano Motemekoane</cp:lastModifiedBy>
  <cp:revision>59</cp:revision>
  <cp:lastPrinted>2022-08-12T07:41:00Z</cp:lastPrinted>
  <dcterms:created xsi:type="dcterms:W3CDTF">2022-08-09T07:17:00Z</dcterms:created>
  <dcterms:modified xsi:type="dcterms:W3CDTF">2022-08-12T07:53:00Z</dcterms:modified>
</cp:coreProperties>
</file>