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5EDD" w:rsidRDefault="00D85EDD" w:rsidP="00D85EDD">
      <w:pPr>
        <w:spacing w:line="360" w:lineRule="auto"/>
        <w:rPr>
          <w:rFonts w:ascii="Times New Roman" w:hAnsi="Times New Roman" w:cs="Times New Roman"/>
          <w:b/>
          <w:bCs/>
          <w:sz w:val="28"/>
          <w:szCs w:val="28"/>
        </w:rPr>
      </w:pPr>
    </w:p>
    <w:p w:rsidR="00D85EDD" w:rsidRDefault="00D85EDD" w:rsidP="00D85EDD">
      <w:pPr>
        <w:spacing w:line="360" w:lineRule="auto"/>
        <w:rPr>
          <w:rFonts w:ascii="Times New Roman" w:hAnsi="Times New Roman" w:cs="Times New Roman"/>
          <w:b/>
          <w:bCs/>
          <w:sz w:val="28"/>
          <w:szCs w:val="28"/>
        </w:rPr>
      </w:pPr>
    </w:p>
    <w:p w:rsidR="00D85EDD" w:rsidRDefault="00D85EDD" w:rsidP="00D85EDD">
      <w:pPr>
        <w:spacing w:line="360" w:lineRule="auto"/>
        <w:rPr>
          <w:rFonts w:ascii="Times New Roman" w:hAnsi="Times New Roman" w:cs="Times New Roman"/>
          <w:b/>
          <w:bCs/>
          <w:sz w:val="28"/>
          <w:szCs w:val="28"/>
        </w:rPr>
      </w:pPr>
    </w:p>
    <w:p w:rsidR="00D85EDD" w:rsidRDefault="00D85EDD" w:rsidP="00D85EDD">
      <w:pPr>
        <w:spacing w:line="360" w:lineRule="auto"/>
        <w:rPr>
          <w:rFonts w:ascii="Times New Roman" w:hAnsi="Times New Roman" w:cs="Times New Roman"/>
          <w:b/>
          <w:bCs/>
          <w:sz w:val="28"/>
          <w:szCs w:val="28"/>
        </w:rPr>
      </w:pPr>
    </w:p>
    <w:p w:rsidR="00112C34" w:rsidRPr="00BB2C29" w:rsidRDefault="00112C34" w:rsidP="00D85EDD">
      <w:pPr>
        <w:spacing w:line="360" w:lineRule="auto"/>
        <w:jc w:val="center"/>
        <w:rPr>
          <w:rFonts w:ascii="Times New Roman" w:hAnsi="Times New Roman" w:cs="Times New Roman"/>
          <w:b/>
          <w:bCs/>
          <w:sz w:val="28"/>
          <w:szCs w:val="28"/>
        </w:rPr>
      </w:pPr>
      <w:r w:rsidRPr="00BB2C29">
        <w:rPr>
          <w:rFonts w:ascii="Times New Roman" w:hAnsi="Times New Roman" w:cs="Times New Roman"/>
          <w:b/>
          <w:bCs/>
          <w:sz w:val="28"/>
          <w:szCs w:val="28"/>
        </w:rPr>
        <w:t>IN THE HIGH COURT OF LESOTHO</w:t>
      </w:r>
    </w:p>
    <w:p w:rsidR="00112C34" w:rsidRPr="00BB2C29" w:rsidRDefault="00112C34" w:rsidP="00112C34">
      <w:pPr>
        <w:spacing w:line="360" w:lineRule="auto"/>
        <w:jc w:val="both"/>
        <w:rPr>
          <w:rFonts w:ascii="Times New Roman" w:hAnsi="Times New Roman" w:cs="Times New Roman"/>
          <w:b/>
          <w:bCs/>
          <w:sz w:val="28"/>
          <w:szCs w:val="28"/>
        </w:rPr>
      </w:pPr>
      <w:r w:rsidRPr="00BB2C29">
        <w:rPr>
          <w:rFonts w:ascii="Times New Roman" w:hAnsi="Times New Roman" w:cs="Times New Roman"/>
          <w:b/>
          <w:bCs/>
          <w:sz w:val="28"/>
          <w:szCs w:val="28"/>
        </w:rPr>
        <w:t>Held at Maseru</w:t>
      </w:r>
    </w:p>
    <w:p w:rsidR="00112C34" w:rsidRPr="00BB2C29" w:rsidRDefault="00112C34" w:rsidP="00112C34">
      <w:pPr>
        <w:spacing w:line="360" w:lineRule="auto"/>
        <w:contextualSpacing/>
        <w:jc w:val="right"/>
        <w:rPr>
          <w:rFonts w:ascii="Times New Roman" w:hAnsi="Times New Roman" w:cs="Times New Roman"/>
          <w:b/>
          <w:bCs/>
          <w:sz w:val="28"/>
          <w:szCs w:val="28"/>
        </w:rPr>
      </w:pPr>
      <w:r w:rsidRPr="00BB2C29">
        <w:rPr>
          <w:rFonts w:ascii="Times New Roman" w:hAnsi="Times New Roman" w:cs="Times New Roman"/>
          <w:b/>
          <w:bCs/>
          <w:sz w:val="28"/>
          <w:szCs w:val="28"/>
        </w:rPr>
        <w:t>C</w:t>
      </w:r>
      <w:r>
        <w:rPr>
          <w:rFonts w:ascii="Times New Roman" w:hAnsi="Times New Roman" w:cs="Times New Roman"/>
          <w:b/>
          <w:bCs/>
          <w:sz w:val="28"/>
          <w:szCs w:val="28"/>
        </w:rPr>
        <w:t>IV</w:t>
      </w:r>
      <w:r w:rsidRPr="00BB2C29">
        <w:rPr>
          <w:rFonts w:ascii="Times New Roman" w:hAnsi="Times New Roman" w:cs="Times New Roman"/>
          <w:b/>
          <w:bCs/>
          <w:sz w:val="28"/>
          <w:szCs w:val="28"/>
        </w:rPr>
        <w:t>/</w:t>
      </w:r>
      <w:r>
        <w:rPr>
          <w:rFonts w:ascii="Times New Roman" w:hAnsi="Times New Roman" w:cs="Times New Roman"/>
          <w:b/>
          <w:bCs/>
          <w:sz w:val="28"/>
          <w:szCs w:val="28"/>
        </w:rPr>
        <w:t>APN</w:t>
      </w:r>
      <w:r w:rsidRPr="00BB2C29">
        <w:rPr>
          <w:rFonts w:ascii="Times New Roman" w:hAnsi="Times New Roman" w:cs="Times New Roman"/>
          <w:b/>
          <w:bCs/>
          <w:sz w:val="28"/>
          <w:szCs w:val="28"/>
        </w:rPr>
        <w:t>/</w:t>
      </w:r>
      <w:r>
        <w:rPr>
          <w:rFonts w:ascii="Times New Roman" w:hAnsi="Times New Roman" w:cs="Times New Roman"/>
          <w:b/>
          <w:bCs/>
          <w:sz w:val="28"/>
          <w:szCs w:val="28"/>
        </w:rPr>
        <w:t>322/2021</w:t>
      </w:r>
    </w:p>
    <w:p w:rsidR="00112C34" w:rsidRPr="00284644" w:rsidRDefault="00112C34" w:rsidP="00112C34">
      <w:pPr>
        <w:spacing w:line="360" w:lineRule="auto"/>
        <w:contextualSpacing/>
        <w:jc w:val="right"/>
        <w:rPr>
          <w:rFonts w:ascii="Times New Roman" w:hAnsi="Times New Roman" w:cs="Times New Roman"/>
          <w:b/>
          <w:bCs/>
          <w:sz w:val="16"/>
          <w:szCs w:val="16"/>
        </w:rPr>
      </w:pPr>
    </w:p>
    <w:p w:rsidR="00112C34" w:rsidRDefault="00112C34" w:rsidP="00112C34">
      <w:pPr>
        <w:spacing w:line="360" w:lineRule="auto"/>
        <w:contextualSpacing/>
        <w:jc w:val="both"/>
        <w:rPr>
          <w:rFonts w:ascii="Times New Roman" w:hAnsi="Times New Roman" w:cs="Times New Roman"/>
          <w:sz w:val="28"/>
          <w:szCs w:val="28"/>
        </w:rPr>
      </w:pPr>
      <w:r w:rsidRPr="00BB2C29">
        <w:rPr>
          <w:rFonts w:ascii="Times New Roman" w:hAnsi="Times New Roman" w:cs="Times New Roman"/>
          <w:sz w:val="28"/>
          <w:szCs w:val="28"/>
        </w:rPr>
        <w:t>In the matter between:</w:t>
      </w:r>
    </w:p>
    <w:p w:rsidR="00896205" w:rsidRPr="0051493D" w:rsidRDefault="00896205" w:rsidP="00112C34">
      <w:pPr>
        <w:spacing w:line="360" w:lineRule="auto"/>
        <w:contextualSpacing/>
        <w:jc w:val="both"/>
        <w:rPr>
          <w:rFonts w:ascii="Times New Roman" w:hAnsi="Times New Roman" w:cs="Times New Roman"/>
          <w:sz w:val="16"/>
          <w:szCs w:val="16"/>
        </w:rPr>
      </w:pPr>
    </w:p>
    <w:p w:rsidR="00112C34" w:rsidRDefault="00F3665A" w:rsidP="00112C34">
      <w:pPr>
        <w:spacing w:line="360" w:lineRule="auto"/>
        <w:contextualSpacing/>
        <w:jc w:val="both"/>
        <w:rPr>
          <w:rFonts w:ascii="Times New Roman" w:hAnsi="Times New Roman" w:cs="Times New Roman"/>
          <w:b/>
          <w:bCs/>
          <w:sz w:val="28"/>
          <w:szCs w:val="28"/>
        </w:rPr>
      </w:pPr>
      <w:r>
        <w:rPr>
          <w:rFonts w:ascii="Times New Roman" w:hAnsi="Times New Roman" w:cs="Times New Roman"/>
          <w:b/>
          <w:bCs/>
          <w:sz w:val="28"/>
          <w:szCs w:val="28"/>
        </w:rPr>
        <w:t>‘</w:t>
      </w:r>
      <w:r w:rsidR="00112C34">
        <w:rPr>
          <w:rFonts w:ascii="Times New Roman" w:hAnsi="Times New Roman" w:cs="Times New Roman"/>
          <w:b/>
          <w:bCs/>
          <w:sz w:val="28"/>
          <w:szCs w:val="28"/>
        </w:rPr>
        <w:t xml:space="preserve">MASECHABA MOHAPI (nee LEKHANYA) </w:t>
      </w:r>
      <w:r w:rsidR="00112C34">
        <w:rPr>
          <w:rFonts w:ascii="Times New Roman" w:hAnsi="Times New Roman" w:cs="Times New Roman"/>
          <w:b/>
          <w:bCs/>
          <w:sz w:val="28"/>
          <w:szCs w:val="28"/>
        </w:rPr>
        <w:tab/>
      </w:r>
      <w:r w:rsidR="00112C34">
        <w:rPr>
          <w:rFonts w:ascii="Times New Roman" w:hAnsi="Times New Roman" w:cs="Times New Roman"/>
          <w:b/>
          <w:bCs/>
          <w:sz w:val="28"/>
          <w:szCs w:val="28"/>
        </w:rPr>
        <w:tab/>
        <w:t xml:space="preserve">     </w:t>
      </w:r>
      <w:r w:rsidR="00E93593">
        <w:rPr>
          <w:rFonts w:ascii="Times New Roman" w:hAnsi="Times New Roman" w:cs="Times New Roman"/>
          <w:b/>
          <w:bCs/>
          <w:sz w:val="28"/>
          <w:szCs w:val="28"/>
        </w:rPr>
        <w:t xml:space="preserve">  </w:t>
      </w:r>
      <w:r w:rsidR="00112C34">
        <w:rPr>
          <w:rFonts w:ascii="Times New Roman" w:hAnsi="Times New Roman" w:cs="Times New Roman"/>
          <w:b/>
          <w:bCs/>
          <w:sz w:val="28"/>
          <w:szCs w:val="28"/>
        </w:rPr>
        <w:t>1</w:t>
      </w:r>
      <w:r w:rsidR="00112C34" w:rsidRPr="00B8783A">
        <w:rPr>
          <w:rFonts w:ascii="Times New Roman" w:hAnsi="Times New Roman" w:cs="Times New Roman"/>
          <w:b/>
          <w:bCs/>
          <w:sz w:val="28"/>
          <w:szCs w:val="28"/>
          <w:vertAlign w:val="superscript"/>
        </w:rPr>
        <w:t>ST</w:t>
      </w:r>
      <w:r w:rsidR="00112C34">
        <w:rPr>
          <w:rFonts w:ascii="Times New Roman" w:hAnsi="Times New Roman" w:cs="Times New Roman"/>
          <w:b/>
          <w:bCs/>
          <w:sz w:val="28"/>
          <w:szCs w:val="28"/>
        </w:rPr>
        <w:t>APPLICANT</w:t>
      </w:r>
    </w:p>
    <w:p w:rsidR="00112C34" w:rsidRDefault="0049459C" w:rsidP="00112C34">
      <w:pPr>
        <w:spacing w:line="360" w:lineRule="auto"/>
        <w:contextualSpacing/>
        <w:jc w:val="both"/>
        <w:rPr>
          <w:rFonts w:ascii="Times New Roman" w:hAnsi="Times New Roman" w:cs="Times New Roman"/>
          <w:b/>
          <w:bCs/>
          <w:sz w:val="28"/>
          <w:szCs w:val="28"/>
        </w:rPr>
      </w:pPr>
      <w:r>
        <w:rPr>
          <w:rFonts w:ascii="Times New Roman" w:hAnsi="Times New Roman" w:cs="Times New Roman"/>
          <w:b/>
          <w:bCs/>
          <w:sz w:val="28"/>
          <w:szCs w:val="28"/>
        </w:rPr>
        <w:t xml:space="preserve">PALESA MOFUBETSOANA (nee </w:t>
      </w:r>
      <w:r w:rsidR="00E93593">
        <w:rPr>
          <w:rFonts w:ascii="Times New Roman" w:hAnsi="Times New Roman" w:cs="Times New Roman"/>
          <w:b/>
          <w:bCs/>
          <w:sz w:val="28"/>
          <w:szCs w:val="28"/>
        </w:rPr>
        <w:t>LEKHANYA)</w:t>
      </w:r>
      <w:r w:rsidR="00E93593">
        <w:rPr>
          <w:rFonts w:ascii="Times New Roman" w:hAnsi="Times New Roman" w:cs="Times New Roman"/>
          <w:b/>
          <w:bCs/>
          <w:sz w:val="28"/>
          <w:szCs w:val="28"/>
        </w:rPr>
        <w:tab/>
        <w:t xml:space="preserve">      2</w:t>
      </w:r>
      <w:r w:rsidR="00E93593" w:rsidRPr="00E93593">
        <w:rPr>
          <w:rFonts w:ascii="Times New Roman" w:hAnsi="Times New Roman" w:cs="Times New Roman"/>
          <w:b/>
          <w:bCs/>
          <w:sz w:val="28"/>
          <w:szCs w:val="28"/>
          <w:vertAlign w:val="superscript"/>
        </w:rPr>
        <w:t>ND</w:t>
      </w:r>
      <w:r w:rsidR="00E93593">
        <w:rPr>
          <w:rFonts w:ascii="Times New Roman" w:hAnsi="Times New Roman" w:cs="Times New Roman"/>
          <w:b/>
          <w:bCs/>
          <w:sz w:val="28"/>
          <w:szCs w:val="28"/>
        </w:rPr>
        <w:t xml:space="preserve"> APPLICANT</w:t>
      </w:r>
    </w:p>
    <w:p w:rsidR="00E93593" w:rsidRDefault="00E93593" w:rsidP="00112C34">
      <w:pPr>
        <w:spacing w:line="360" w:lineRule="auto"/>
        <w:contextualSpacing/>
        <w:jc w:val="both"/>
        <w:rPr>
          <w:rFonts w:ascii="Times New Roman" w:hAnsi="Times New Roman" w:cs="Times New Roman"/>
          <w:b/>
          <w:bCs/>
          <w:sz w:val="28"/>
          <w:szCs w:val="28"/>
        </w:rPr>
      </w:pPr>
      <w:r>
        <w:rPr>
          <w:rFonts w:ascii="Times New Roman" w:hAnsi="Times New Roman" w:cs="Times New Roman"/>
          <w:b/>
          <w:bCs/>
          <w:sz w:val="28"/>
          <w:szCs w:val="28"/>
        </w:rPr>
        <w:t>MARETHABILE KHATIBE (nee LEKHANYA)</w:t>
      </w:r>
      <w:r>
        <w:rPr>
          <w:rFonts w:ascii="Times New Roman" w:hAnsi="Times New Roman" w:cs="Times New Roman"/>
          <w:b/>
          <w:bCs/>
          <w:sz w:val="28"/>
          <w:szCs w:val="28"/>
        </w:rPr>
        <w:tab/>
        <w:t xml:space="preserve">      3</w:t>
      </w:r>
      <w:r w:rsidRPr="00E93593">
        <w:rPr>
          <w:rFonts w:ascii="Times New Roman" w:hAnsi="Times New Roman" w:cs="Times New Roman"/>
          <w:b/>
          <w:bCs/>
          <w:sz w:val="28"/>
          <w:szCs w:val="28"/>
          <w:vertAlign w:val="superscript"/>
        </w:rPr>
        <w:t>RD</w:t>
      </w:r>
      <w:r>
        <w:rPr>
          <w:rFonts w:ascii="Times New Roman" w:hAnsi="Times New Roman" w:cs="Times New Roman"/>
          <w:b/>
          <w:bCs/>
          <w:sz w:val="28"/>
          <w:szCs w:val="28"/>
        </w:rPr>
        <w:t xml:space="preserve"> APPLICANT</w:t>
      </w:r>
    </w:p>
    <w:p w:rsidR="00112C34" w:rsidRPr="000B22EB" w:rsidRDefault="00112C34" w:rsidP="00112C34">
      <w:pPr>
        <w:spacing w:line="360" w:lineRule="auto"/>
        <w:contextualSpacing/>
        <w:jc w:val="both"/>
        <w:rPr>
          <w:rFonts w:ascii="Times New Roman" w:hAnsi="Times New Roman" w:cs="Times New Roman"/>
          <w:b/>
          <w:bCs/>
          <w:sz w:val="16"/>
          <w:szCs w:val="16"/>
        </w:rPr>
      </w:pPr>
    </w:p>
    <w:p w:rsidR="00112C34" w:rsidRDefault="00112C34" w:rsidP="00112C34">
      <w:pPr>
        <w:spacing w:line="360" w:lineRule="auto"/>
        <w:contextualSpacing/>
        <w:jc w:val="both"/>
        <w:rPr>
          <w:rFonts w:ascii="Times New Roman" w:hAnsi="Times New Roman" w:cs="Times New Roman"/>
          <w:sz w:val="28"/>
          <w:szCs w:val="28"/>
        </w:rPr>
      </w:pPr>
      <w:r w:rsidRPr="00AB137E">
        <w:rPr>
          <w:rFonts w:ascii="Times New Roman" w:hAnsi="Times New Roman" w:cs="Times New Roman"/>
          <w:sz w:val="28"/>
          <w:szCs w:val="28"/>
        </w:rPr>
        <w:t xml:space="preserve">And </w:t>
      </w:r>
    </w:p>
    <w:p w:rsidR="00112C34" w:rsidRPr="000B22EB" w:rsidRDefault="00112C34" w:rsidP="00112C34">
      <w:pPr>
        <w:spacing w:line="360" w:lineRule="auto"/>
        <w:contextualSpacing/>
        <w:jc w:val="both"/>
        <w:rPr>
          <w:rFonts w:ascii="Times New Roman" w:hAnsi="Times New Roman" w:cs="Times New Roman"/>
          <w:sz w:val="16"/>
          <w:szCs w:val="16"/>
        </w:rPr>
      </w:pPr>
    </w:p>
    <w:p w:rsidR="00112C34" w:rsidRDefault="00E93593" w:rsidP="00112C34">
      <w:pPr>
        <w:spacing w:line="360" w:lineRule="auto"/>
        <w:contextualSpacing/>
        <w:jc w:val="both"/>
        <w:rPr>
          <w:rFonts w:ascii="Times New Roman" w:hAnsi="Times New Roman" w:cs="Times New Roman"/>
          <w:b/>
          <w:bCs/>
          <w:sz w:val="28"/>
          <w:szCs w:val="28"/>
        </w:rPr>
      </w:pPr>
      <w:r>
        <w:rPr>
          <w:rFonts w:ascii="Times New Roman" w:hAnsi="Times New Roman" w:cs="Times New Roman"/>
          <w:b/>
          <w:bCs/>
          <w:sz w:val="28"/>
          <w:szCs w:val="28"/>
        </w:rPr>
        <w:t>CHRISTOPHER LEKHANYA</w:t>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t xml:space="preserve">   </w:t>
      </w:r>
      <w:r>
        <w:rPr>
          <w:rFonts w:ascii="Times New Roman" w:hAnsi="Times New Roman" w:cs="Times New Roman"/>
          <w:b/>
          <w:bCs/>
          <w:sz w:val="28"/>
          <w:szCs w:val="28"/>
        </w:rPr>
        <w:tab/>
        <w:t xml:space="preserve"> </w:t>
      </w:r>
      <w:r w:rsidR="00D348DB">
        <w:rPr>
          <w:rFonts w:ascii="Times New Roman" w:hAnsi="Times New Roman" w:cs="Times New Roman"/>
          <w:b/>
          <w:bCs/>
          <w:sz w:val="28"/>
          <w:szCs w:val="28"/>
        </w:rPr>
        <w:t xml:space="preserve"> </w:t>
      </w:r>
      <w:r w:rsidR="00D85EDD">
        <w:rPr>
          <w:rFonts w:ascii="Times New Roman" w:hAnsi="Times New Roman" w:cs="Times New Roman"/>
          <w:b/>
          <w:bCs/>
          <w:sz w:val="28"/>
          <w:szCs w:val="28"/>
        </w:rPr>
        <w:t xml:space="preserve"> </w:t>
      </w:r>
      <w:r>
        <w:rPr>
          <w:rFonts w:ascii="Times New Roman" w:hAnsi="Times New Roman" w:cs="Times New Roman"/>
          <w:b/>
          <w:bCs/>
          <w:sz w:val="28"/>
          <w:szCs w:val="28"/>
        </w:rPr>
        <w:t>1</w:t>
      </w:r>
      <w:r w:rsidRPr="00E70E86">
        <w:rPr>
          <w:rFonts w:ascii="Times New Roman" w:hAnsi="Times New Roman" w:cs="Times New Roman"/>
          <w:b/>
          <w:bCs/>
          <w:sz w:val="28"/>
          <w:szCs w:val="28"/>
          <w:vertAlign w:val="superscript"/>
        </w:rPr>
        <w:t>ST</w:t>
      </w:r>
      <w:r>
        <w:rPr>
          <w:rFonts w:ascii="Times New Roman" w:hAnsi="Times New Roman" w:cs="Times New Roman"/>
          <w:b/>
          <w:bCs/>
          <w:sz w:val="28"/>
          <w:szCs w:val="28"/>
          <w:vertAlign w:val="superscript"/>
        </w:rPr>
        <w:t xml:space="preserve"> </w:t>
      </w:r>
      <w:r>
        <w:rPr>
          <w:rFonts w:ascii="Times New Roman" w:hAnsi="Times New Roman" w:cs="Times New Roman"/>
          <w:b/>
          <w:bCs/>
          <w:sz w:val="28"/>
          <w:szCs w:val="28"/>
        </w:rPr>
        <w:t xml:space="preserve">RESPONDENT </w:t>
      </w:r>
    </w:p>
    <w:p w:rsidR="00112C34" w:rsidRDefault="00E93593" w:rsidP="00112C34">
      <w:pPr>
        <w:spacing w:line="360" w:lineRule="auto"/>
        <w:contextualSpacing/>
        <w:jc w:val="both"/>
        <w:rPr>
          <w:rFonts w:ascii="Times New Roman" w:hAnsi="Times New Roman" w:cs="Times New Roman"/>
          <w:b/>
          <w:bCs/>
          <w:sz w:val="28"/>
          <w:szCs w:val="28"/>
        </w:rPr>
      </w:pPr>
      <w:r>
        <w:rPr>
          <w:rFonts w:ascii="Times New Roman" w:hAnsi="Times New Roman" w:cs="Times New Roman"/>
          <w:b/>
          <w:bCs/>
          <w:sz w:val="28"/>
          <w:szCs w:val="28"/>
        </w:rPr>
        <w:t>MASTER OF THE HIGH COURT</w:t>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proofErr w:type="gramStart"/>
      <w:r>
        <w:rPr>
          <w:rFonts w:ascii="Times New Roman" w:hAnsi="Times New Roman" w:cs="Times New Roman"/>
          <w:b/>
          <w:bCs/>
          <w:sz w:val="28"/>
          <w:szCs w:val="28"/>
        </w:rPr>
        <w:tab/>
      </w:r>
      <w:r w:rsidR="00D348DB">
        <w:rPr>
          <w:rFonts w:ascii="Times New Roman" w:hAnsi="Times New Roman" w:cs="Times New Roman"/>
          <w:b/>
          <w:bCs/>
          <w:sz w:val="28"/>
          <w:szCs w:val="28"/>
        </w:rPr>
        <w:t xml:space="preserve"> </w:t>
      </w:r>
      <w:r>
        <w:rPr>
          <w:rFonts w:ascii="Times New Roman" w:hAnsi="Times New Roman" w:cs="Times New Roman"/>
          <w:b/>
          <w:bCs/>
          <w:sz w:val="28"/>
          <w:szCs w:val="28"/>
        </w:rPr>
        <w:t xml:space="preserve"> 2</w:t>
      </w:r>
      <w:proofErr w:type="gramEnd"/>
      <w:r w:rsidRPr="00E70E86">
        <w:rPr>
          <w:rFonts w:ascii="Times New Roman" w:hAnsi="Times New Roman" w:cs="Times New Roman"/>
          <w:b/>
          <w:bCs/>
          <w:sz w:val="28"/>
          <w:szCs w:val="28"/>
          <w:vertAlign w:val="superscript"/>
        </w:rPr>
        <w:t>ND</w:t>
      </w:r>
      <w:r>
        <w:rPr>
          <w:rFonts w:ascii="Times New Roman" w:hAnsi="Times New Roman" w:cs="Times New Roman"/>
          <w:b/>
          <w:bCs/>
          <w:sz w:val="28"/>
          <w:szCs w:val="28"/>
          <w:vertAlign w:val="superscript"/>
        </w:rPr>
        <w:t xml:space="preserve"> </w:t>
      </w:r>
      <w:r>
        <w:rPr>
          <w:rFonts w:ascii="Times New Roman" w:hAnsi="Times New Roman" w:cs="Times New Roman"/>
          <w:b/>
          <w:bCs/>
          <w:sz w:val="28"/>
          <w:szCs w:val="28"/>
        </w:rPr>
        <w:t xml:space="preserve">RESPONDENT </w:t>
      </w:r>
    </w:p>
    <w:p w:rsidR="00E93593" w:rsidRPr="00260C2F" w:rsidRDefault="00E93593" w:rsidP="00112C34">
      <w:pPr>
        <w:spacing w:line="360" w:lineRule="auto"/>
        <w:contextualSpacing/>
        <w:jc w:val="both"/>
        <w:rPr>
          <w:rFonts w:ascii="Times New Roman" w:hAnsi="Times New Roman" w:cs="Times New Roman"/>
          <w:b/>
          <w:bCs/>
          <w:sz w:val="28"/>
          <w:szCs w:val="28"/>
        </w:rPr>
      </w:pPr>
      <w:r>
        <w:rPr>
          <w:rFonts w:ascii="Times New Roman" w:hAnsi="Times New Roman" w:cs="Times New Roman"/>
          <w:b/>
          <w:bCs/>
          <w:sz w:val="28"/>
          <w:szCs w:val="28"/>
        </w:rPr>
        <w:t>ATTORNEY GENERAL</w:t>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proofErr w:type="gramStart"/>
      <w:r>
        <w:rPr>
          <w:rFonts w:ascii="Times New Roman" w:hAnsi="Times New Roman" w:cs="Times New Roman"/>
          <w:b/>
          <w:bCs/>
          <w:sz w:val="28"/>
          <w:szCs w:val="28"/>
        </w:rPr>
        <w:tab/>
        <w:t xml:space="preserve"> </w:t>
      </w:r>
      <w:r w:rsidR="00D348DB">
        <w:rPr>
          <w:rFonts w:ascii="Times New Roman" w:hAnsi="Times New Roman" w:cs="Times New Roman"/>
          <w:b/>
          <w:bCs/>
          <w:sz w:val="28"/>
          <w:szCs w:val="28"/>
        </w:rPr>
        <w:t xml:space="preserve"> </w:t>
      </w:r>
      <w:r>
        <w:rPr>
          <w:rFonts w:ascii="Times New Roman" w:hAnsi="Times New Roman" w:cs="Times New Roman"/>
          <w:b/>
          <w:bCs/>
          <w:sz w:val="28"/>
          <w:szCs w:val="28"/>
        </w:rPr>
        <w:t>3</w:t>
      </w:r>
      <w:proofErr w:type="gramEnd"/>
      <w:r w:rsidRPr="00E93593">
        <w:rPr>
          <w:rFonts w:ascii="Times New Roman" w:hAnsi="Times New Roman" w:cs="Times New Roman"/>
          <w:b/>
          <w:bCs/>
          <w:sz w:val="28"/>
          <w:szCs w:val="28"/>
          <w:vertAlign w:val="superscript"/>
        </w:rPr>
        <w:t>RD</w:t>
      </w:r>
      <w:r>
        <w:rPr>
          <w:rFonts w:ascii="Times New Roman" w:hAnsi="Times New Roman" w:cs="Times New Roman"/>
          <w:b/>
          <w:bCs/>
          <w:sz w:val="28"/>
          <w:szCs w:val="28"/>
        </w:rPr>
        <w:t xml:space="preserve"> RESPONDENT</w:t>
      </w:r>
    </w:p>
    <w:p w:rsidR="00112C34" w:rsidRPr="0051493D" w:rsidRDefault="00112C34" w:rsidP="00112C34">
      <w:pPr>
        <w:spacing w:line="360" w:lineRule="auto"/>
        <w:contextualSpacing/>
        <w:rPr>
          <w:rFonts w:ascii="Times New Roman" w:hAnsi="Times New Roman" w:cs="Times New Roman"/>
          <w:b/>
          <w:bCs/>
          <w:sz w:val="16"/>
          <w:szCs w:val="16"/>
          <w:u w:val="single"/>
        </w:rPr>
      </w:pPr>
    </w:p>
    <w:p w:rsidR="00112C34" w:rsidRDefault="00112C34" w:rsidP="00112C34">
      <w:pPr>
        <w:spacing w:line="360" w:lineRule="auto"/>
        <w:contextualSpacing/>
        <w:jc w:val="center"/>
        <w:rPr>
          <w:rFonts w:ascii="Times New Roman" w:hAnsi="Times New Roman" w:cs="Times New Roman"/>
          <w:b/>
          <w:bCs/>
          <w:sz w:val="28"/>
          <w:szCs w:val="28"/>
          <w:u w:val="single"/>
        </w:rPr>
      </w:pPr>
      <w:r>
        <w:rPr>
          <w:rFonts w:ascii="Times New Roman" w:hAnsi="Times New Roman" w:cs="Times New Roman"/>
          <w:b/>
          <w:bCs/>
          <w:sz w:val="28"/>
          <w:szCs w:val="28"/>
          <w:u w:val="single"/>
        </w:rPr>
        <w:t>JUDGMENT</w:t>
      </w:r>
    </w:p>
    <w:p w:rsidR="00112C34" w:rsidRPr="00B11465" w:rsidRDefault="00112C34" w:rsidP="00112C34">
      <w:pPr>
        <w:spacing w:line="360" w:lineRule="auto"/>
        <w:contextualSpacing/>
        <w:jc w:val="center"/>
        <w:rPr>
          <w:rFonts w:ascii="Times New Roman" w:hAnsi="Times New Roman" w:cs="Times New Roman"/>
          <w:b/>
          <w:bCs/>
          <w:sz w:val="16"/>
          <w:szCs w:val="16"/>
          <w:u w:val="single"/>
        </w:rPr>
      </w:pPr>
    </w:p>
    <w:p w:rsidR="00112C34" w:rsidRDefault="00112C34" w:rsidP="00112C34">
      <w:pPr>
        <w:spacing w:line="360" w:lineRule="auto"/>
        <w:contextualSpacing/>
        <w:rPr>
          <w:rFonts w:ascii="Times New Roman" w:hAnsi="Times New Roman" w:cs="Times New Roman"/>
          <w:sz w:val="28"/>
          <w:szCs w:val="28"/>
        </w:rPr>
      </w:pPr>
      <w:r w:rsidRPr="00C35056">
        <w:rPr>
          <w:rFonts w:ascii="Times New Roman" w:hAnsi="Times New Roman" w:cs="Times New Roman"/>
          <w:sz w:val="28"/>
          <w:szCs w:val="28"/>
          <w:u w:val="single"/>
        </w:rPr>
        <w:t>Neutral citation:</w:t>
      </w:r>
      <w:r w:rsidRPr="00C35056">
        <w:rPr>
          <w:rFonts w:ascii="Times New Roman" w:hAnsi="Times New Roman" w:cs="Times New Roman"/>
          <w:sz w:val="28"/>
          <w:szCs w:val="28"/>
        </w:rPr>
        <w:t xml:space="preserve"> </w:t>
      </w:r>
      <w:r w:rsidR="00205519">
        <w:rPr>
          <w:rFonts w:ascii="Times New Roman" w:hAnsi="Times New Roman" w:cs="Times New Roman"/>
          <w:sz w:val="28"/>
          <w:szCs w:val="28"/>
        </w:rPr>
        <w:t>‘</w:t>
      </w:r>
      <w:proofErr w:type="spellStart"/>
      <w:r w:rsidR="00205519">
        <w:rPr>
          <w:rFonts w:ascii="Times New Roman" w:hAnsi="Times New Roman" w:cs="Times New Roman"/>
          <w:sz w:val="28"/>
          <w:szCs w:val="28"/>
        </w:rPr>
        <w:t>Masechaba</w:t>
      </w:r>
      <w:proofErr w:type="spellEnd"/>
      <w:r w:rsidR="00205519">
        <w:rPr>
          <w:rFonts w:ascii="Times New Roman" w:hAnsi="Times New Roman" w:cs="Times New Roman"/>
          <w:sz w:val="28"/>
          <w:szCs w:val="28"/>
        </w:rPr>
        <w:t xml:space="preserve"> </w:t>
      </w:r>
      <w:proofErr w:type="spellStart"/>
      <w:r w:rsidR="00205519">
        <w:rPr>
          <w:rFonts w:ascii="Times New Roman" w:hAnsi="Times New Roman" w:cs="Times New Roman"/>
          <w:sz w:val="28"/>
          <w:szCs w:val="28"/>
        </w:rPr>
        <w:t>Mohapi</w:t>
      </w:r>
      <w:proofErr w:type="spellEnd"/>
      <w:r w:rsidR="00205519">
        <w:rPr>
          <w:rFonts w:ascii="Times New Roman" w:hAnsi="Times New Roman" w:cs="Times New Roman"/>
          <w:sz w:val="28"/>
          <w:szCs w:val="28"/>
        </w:rPr>
        <w:t xml:space="preserve"> (nee </w:t>
      </w:r>
      <w:proofErr w:type="spellStart"/>
      <w:r w:rsidR="00205519">
        <w:rPr>
          <w:rFonts w:ascii="Times New Roman" w:hAnsi="Times New Roman" w:cs="Times New Roman"/>
          <w:sz w:val="28"/>
          <w:szCs w:val="28"/>
        </w:rPr>
        <w:t>Lekhanya</w:t>
      </w:r>
      <w:proofErr w:type="spellEnd"/>
      <w:r w:rsidR="00205519">
        <w:rPr>
          <w:rFonts w:ascii="Times New Roman" w:hAnsi="Times New Roman" w:cs="Times New Roman"/>
          <w:sz w:val="28"/>
          <w:szCs w:val="28"/>
        </w:rPr>
        <w:t xml:space="preserve">) &amp; 2 </w:t>
      </w:r>
      <w:proofErr w:type="spellStart"/>
      <w:r w:rsidR="00205519">
        <w:rPr>
          <w:rFonts w:ascii="Times New Roman" w:hAnsi="Times New Roman" w:cs="Times New Roman"/>
          <w:sz w:val="28"/>
          <w:szCs w:val="28"/>
        </w:rPr>
        <w:t>Ors</w:t>
      </w:r>
      <w:proofErr w:type="spellEnd"/>
      <w:r w:rsidR="00205519">
        <w:rPr>
          <w:rFonts w:ascii="Times New Roman" w:hAnsi="Times New Roman" w:cs="Times New Roman"/>
          <w:sz w:val="28"/>
          <w:szCs w:val="28"/>
        </w:rPr>
        <w:t xml:space="preserve"> v Christopher </w:t>
      </w:r>
      <w:proofErr w:type="spellStart"/>
      <w:r w:rsidR="00205519">
        <w:rPr>
          <w:rFonts w:ascii="Times New Roman" w:hAnsi="Times New Roman" w:cs="Times New Roman"/>
          <w:sz w:val="28"/>
          <w:szCs w:val="28"/>
        </w:rPr>
        <w:t>Lekhanya</w:t>
      </w:r>
      <w:proofErr w:type="spellEnd"/>
      <w:r>
        <w:rPr>
          <w:rFonts w:ascii="Times New Roman" w:hAnsi="Times New Roman" w:cs="Times New Roman"/>
          <w:sz w:val="28"/>
          <w:szCs w:val="28"/>
        </w:rPr>
        <w:t xml:space="preserve"> </w:t>
      </w:r>
      <w:r w:rsidR="00205519">
        <w:rPr>
          <w:rFonts w:ascii="Times New Roman" w:hAnsi="Times New Roman" w:cs="Times New Roman"/>
          <w:sz w:val="28"/>
          <w:szCs w:val="28"/>
        </w:rPr>
        <w:t xml:space="preserve">&amp; 2 </w:t>
      </w:r>
      <w:proofErr w:type="spellStart"/>
      <w:r w:rsidR="00205519">
        <w:rPr>
          <w:rFonts w:ascii="Times New Roman" w:hAnsi="Times New Roman" w:cs="Times New Roman"/>
          <w:sz w:val="28"/>
          <w:szCs w:val="28"/>
        </w:rPr>
        <w:t>Ors</w:t>
      </w:r>
      <w:proofErr w:type="spellEnd"/>
      <w:r w:rsidR="00205519">
        <w:rPr>
          <w:rFonts w:ascii="Times New Roman" w:hAnsi="Times New Roman" w:cs="Times New Roman"/>
          <w:sz w:val="28"/>
          <w:szCs w:val="28"/>
        </w:rPr>
        <w:t xml:space="preserve"> </w:t>
      </w:r>
      <w:r>
        <w:rPr>
          <w:rFonts w:ascii="Times New Roman" w:hAnsi="Times New Roman" w:cs="Times New Roman"/>
          <w:sz w:val="28"/>
          <w:szCs w:val="28"/>
        </w:rPr>
        <w:t xml:space="preserve">LSHC </w:t>
      </w:r>
      <w:r w:rsidR="00A57D6E">
        <w:rPr>
          <w:rFonts w:ascii="Times New Roman" w:hAnsi="Times New Roman" w:cs="Times New Roman"/>
          <w:sz w:val="28"/>
          <w:szCs w:val="28"/>
        </w:rPr>
        <w:t>226</w:t>
      </w:r>
      <w:r>
        <w:rPr>
          <w:rFonts w:ascii="Times New Roman" w:hAnsi="Times New Roman" w:cs="Times New Roman"/>
          <w:sz w:val="28"/>
          <w:szCs w:val="28"/>
        </w:rPr>
        <w:t xml:space="preserve"> CIV (</w:t>
      </w:r>
      <w:r w:rsidR="009E0786">
        <w:rPr>
          <w:rFonts w:ascii="Times New Roman" w:hAnsi="Times New Roman" w:cs="Times New Roman"/>
          <w:sz w:val="28"/>
          <w:szCs w:val="28"/>
        </w:rPr>
        <w:t>23</w:t>
      </w:r>
      <w:r w:rsidR="009E0786" w:rsidRPr="009E0786">
        <w:rPr>
          <w:rFonts w:ascii="Times New Roman" w:hAnsi="Times New Roman" w:cs="Times New Roman"/>
          <w:sz w:val="28"/>
          <w:szCs w:val="28"/>
          <w:vertAlign w:val="superscript"/>
        </w:rPr>
        <w:t>rd</w:t>
      </w:r>
      <w:r w:rsidR="009E0786">
        <w:rPr>
          <w:rFonts w:ascii="Times New Roman" w:hAnsi="Times New Roman" w:cs="Times New Roman"/>
          <w:sz w:val="28"/>
          <w:szCs w:val="28"/>
        </w:rPr>
        <w:t xml:space="preserve"> September 2022</w:t>
      </w:r>
      <w:r>
        <w:rPr>
          <w:rFonts w:ascii="Times New Roman" w:hAnsi="Times New Roman" w:cs="Times New Roman"/>
          <w:sz w:val="28"/>
          <w:szCs w:val="28"/>
        </w:rPr>
        <w:t>).</w:t>
      </w:r>
    </w:p>
    <w:p w:rsidR="00112C34" w:rsidRPr="003228B5" w:rsidRDefault="00112C34" w:rsidP="00112C34">
      <w:pPr>
        <w:spacing w:line="360" w:lineRule="auto"/>
        <w:contextualSpacing/>
        <w:rPr>
          <w:rFonts w:ascii="Times New Roman" w:hAnsi="Times New Roman" w:cs="Times New Roman"/>
          <w:sz w:val="16"/>
          <w:szCs w:val="16"/>
          <w:u w:val="single"/>
        </w:rPr>
      </w:pPr>
    </w:p>
    <w:p w:rsidR="00112C34" w:rsidRPr="00BB2C29" w:rsidRDefault="00112C34" w:rsidP="00112C34">
      <w:pPr>
        <w:spacing w:line="360" w:lineRule="auto"/>
        <w:contextualSpacing/>
        <w:jc w:val="both"/>
        <w:rPr>
          <w:rFonts w:ascii="Times New Roman" w:hAnsi="Times New Roman" w:cs="Times New Roman"/>
          <w:b/>
          <w:bCs/>
          <w:sz w:val="28"/>
          <w:szCs w:val="28"/>
        </w:rPr>
      </w:pPr>
      <w:r w:rsidRPr="00BB2C29">
        <w:rPr>
          <w:rFonts w:ascii="Times New Roman" w:hAnsi="Times New Roman" w:cs="Times New Roman"/>
          <w:b/>
          <w:bCs/>
          <w:sz w:val="28"/>
          <w:szCs w:val="28"/>
        </w:rPr>
        <w:t xml:space="preserve">CORAM: </w:t>
      </w:r>
      <w:r w:rsidRPr="00BB2C29">
        <w:rPr>
          <w:rFonts w:ascii="Times New Roman" w:hAnsi="Times New Roman" w:cs="Times New Roman"/>
          <w:b/>
          <w:bCs/>
          <w:sz w:val="28"/>
          <w:szCs w:val="28"/>
        </w:rPr>
        <w:tab/>
      </w:r>
      <w:r w:rsidRPr="00BB2C29">
        <w:rPr>
          <w:rFonts w:ascii="Times New Roman" w:hAnsi="Times New Roman" w:cs="Times New Roman"/>
          <w:b/>
          <w:bCs/>
          <w:sz w:val="28"/>
          <w:szCs w:val="28"/>
        </w:rPr>
        <w:tab/>
      </w:r>
      <w:r w:rsidRPr="00BB2C29">
        <w:rPr>
          <w:rFonts w:ascii="Times New Roman" w:hAnsi="Times New Roman" w:cs="Times New Roman"/>
          <w:b/>
          <w:bCs/>
          <w:sz w:val="28"/>
          <w:szCs w:val="28"/>
        </w:rPr>
        <w:tab/>
      </w:r>
      <w:r w:rsidRPr="00BB2C29">
        <w:rPr>
          <w:rFonts w:ascii="Times New Roman" w:hAnsi="Times New Roman" w:cs="Times New Roman"/>
          <w:b/>
          <w:bCs/>
          <w:sz w:val="28"/>
          <w:szCs w:val="28"/>
        </w:rPr>
        <w:tab/>
      </w:r>
      <w:r w:rsidRPr="00BB2C29">
        <w:rPr>
          <w:rFonts w:ascii="Times New Roman" w:hAnsi="Times New Roman" w:cs="Times New Roman"/>
          <w:sz w:val="28"/>
          <w:szCs w:val="28"/>
        </w:rPr>
        <w:t>T.J. MOKOKO J</w:t>
      </w:r>
    </w:p>
    <w:p w:rsidR="00112C34" w:rsidRPr="00BB2C29" w:rsidRDefault="00112C34" w:rsidP="00112C34">
      <w:pPr>
        <w:spacing w:line="360" w:lineRule="auto"/>
        <w:contextualSpacing/>
        <w:jc w:val="both"/>
        <w:rPr>
          <w:rFonts w:ascii="Times New Roman" w:hAnsi="Times New Roman" w:cs="Times New Roman"/>
          <w:b/>
          <w:bCs/>
          <w:sz w:val="28"/>
          <w:szCs w:val="28"/>
        </w:rPr>
      </w:pPr>
      <w:r>
        <w:rPr>
          <w:rFonts w:ascii="Times New Roman" w:hAnsi="Times New Roman" w:cs="Times New Roman"/>
          <w:b/>
          <w:bCs/>
          <w:sz w:val="28"/>
          <w:szCs w:val="28"/>
        </w:rPr>
        <w:t>HEARD</w:t>
      </w:r>
      <w:r w:rsidRPr="00BB2C29">
        <w:rPr>
          <w:rFonts w:ascii="Times New Roman" w:hAnsi="Times New Roman" w:cs="Times New Roman"/>
          <w:b/>
          <w:bCs/>
          <w:sz w:val="28"/>
          <w:szCs w:val="28"/>
        </w:rPr>
        <w:t xml:space="preserve">: </w:t>
      </w:r>
      <w:r w:rsidRPr="00BB2C29">
        <w:rPr>
          <w:rFonts w:ascii="Times New Roman" w:hAnsi="Times New Roman" w:cs="Times New Roman"/>
          <w:b/>
          <w:bCs/>
          <w:sz w:val="28"/>
          <w:szCs w:val="28"/>
        </w:rPr>
        <w:tab/>
      </w:r>
      <w:r w:rsidR="00A57D6E">
        <w:rPr>
          <w:rFonts w:ascii="Times New Roman" w:hAnsi="Times New Roman" w:cs="Times New Roman"/>
          <w:b/>
          <w:bCs/>
          <w:sz w:val="28"/>
          <w:szCs w:val="28"/>
        </w:rPr>
        <w:tab/>
      </w:r>
      <w:r w:rsidR="00A57D6E">
        <w:rPr>
          <w:rFonts w:ascii="Times New Roman" w:hAnsi="Times New Roman" w:cs="Times New Roman"/>
          <w:b/>
          <w:bCs/>
          <w:sz w:val="28"/>
          <w:szCs w:val="28"/>
        </w:rPr>
        <w:tab/>
      </w:r>
      <w:r w:rsidR="006B7025">
        <w:rPr>
          <w:rFonts w:ascii="Times New Roman" w:hAnsi="Times New Roman" w:cs="Times New Roman"/>
          <w:b/>
          <w:bCs/>
          <w:sz w:val="28"/>
          <w:szCs w:val="28"/>
        </w:rPr>
        <w:tab/>
      </w:r>
      <w:r w:rsidR="006B7025" w:rsidRPr="006B7025">
        <w:rPr>
          <w:rFonts w:ascii="Times New Roman" w:hAnsi="Times New Roman" w:cs="Times New Roman"/>
          <w:sz w:val="28"/>
          <w:szCs w:val="28"/>
        </w:rPr>
        <w:t>08 AUGUST 2022</w:t>
      </w:r>
      <w:r w:rsidR="006B7025" w:rsidRPr="006B7025">
        <w:rPr>
          <w:rFonts w:ascii="Times New Roman" w:hAnsi="Times New Roman" w:cs="Times New Roman"/>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p>
    <w:p w:rsidR="00112C34" w:rsidRDefault="00112C34" w:rsidP="0051493D">
      <w:pPr>
        <w:spacing w:line="360" w:lineRule="auto"/>
        <w:contextualSpacing/>
        <w:jc w:val="both"/>
        <w:rPr>
          <w:rFonts w:ascii="Times New Roman" w:hAnsi="Times New Roman" w:cs="Times New Roman"/>
          <w:sz w:val="28"/>
          <w:szCs w:val="28"/>
        </w:rPr>
      </w:pPr>
      <w:r w:rsidRPr="00BB2C29">
        <w:rPr>
          <w:rFonts w:ascii="Times New Roman" w:hAnsi="Times New Roman" w:cs="Times New Roman"/>
          <w:b/>
          <w:bCs/>
          <w:sz w:val="28"/>
          <w:szCs w:val="28"/>
        </w:rPr>
        <w:t>D</w:t>
      </w:r>
      <w:r>
        <w:rPr>
          <w:rFonts w:ascii="Times New Roman" w:hAnsi="Times New Roman" w:cs="Times New Roman"/>
          <w:b/>
          <w:bCs/>
          <w:sz w:val="28"/>
          <w:szCs w:val="28"/>
        </w:rPr>
        <w:t>ELIVERED</w:t>
      </w:r>
      <w:r w:rsidRPr="00BB2C29">
        <w:rPr>
          <w:rFonts w:ascii="Times New Roman" w:hAnsi="Times New Roman" w:cs="Times New Roman"/>
          <w:b/>
          <w:bCs/>
          <w:sz w:val="28"/>
          <w:szCs w:val="28"/>
        </w:rPr>
        <w:t xml:space="preserve">: </w:t>
      </w:r>
      <w:r>
        <w:rPr>
          <w:rFonts w:ascii="Times New Roman" w:hAnsi="Times New Roman" w:cs="Times New Roman"/>
          <w:b/>
          <w:bCs/>
          <w:sz w:val="28"/>
          <w:szCs w:val="28"/>
        </w:rPr>
        <w:tab/>
      </w:r>
      <w:r w:rsidR="006B7025">
        <w:rPr>
          <w:rFonts w:ascii="Times New Roman" w:hAnsi="Times New Roman" w:cs="Times New Roman"/>
          <w:b/>
          <w:bCs/>
          <w:sz w:val="28"/>
          <w:szCs w:val="28"/>
        </w:rPr>
        <w:tab/>
      </w:r>
      <w:r w:rsidR="006B7025">
        <w:rPr>
          <w:rFonts w:ascii="Times New Roman" w:hAnsi="Times New Roman" w:cs="Times New Roman"/>
          <w:b/>
          <w:bCs/>
          <w:sz w:val="28"/>
          <w:szCs w:val="28"/>
        </w:rPr>
        <w:tab/>
      </w:r>
      <w:r w:rsidR="006B7025" w:rsidRPr="006B7025">
        <w:rPr>
          <w:rFonts w:ascii="Times New Roman" w:hAnsi="Times New Roman" w:cs="Times New Roman"/>
          <w:sz w:val="28"/>
          <w:szCs w:val="28"/>
        </w:rPr>
        <w:t>23 SEPTEMBER 2022</w:t>
      </w:r>
      <w:r>
        <w:rPr>
          <w:rFonts w:ascii="Times New Roman" w:hAnsi="Times New Roman" w:cs="Times New Roman"/>
          <w:b/>
          <w:bCs/>
          <w:sz w:val="28"/>
          <w:szCs w:val="28"/>
        </w:rPr>
        <w:tab/>
      </w:r>
      <w:r>
        <w:rPr>
          <w:rFonts w:ascii="Times New Roman" w:hAnsi="Times New Roman" w:cs="Times New Roman"/>
          <w:b/>
          <w:bCs/>
          <w:sz w:val="28"/>
          <w:szCs w:val="28"/>
        </w:rPr>
        <w:tab/>
      </w:r>
    </w:p>
    <w:p w:rsidR="0051493D" w:rsidRDefault="0051493D" w:rsidP="0051493D">
      <w:pPr>
        <w:spacing w:line="360" w:lineRule="auto"/>
        <w:contextualSpacing/>
        <w:jc w:val="both"/>
        <w:rPr>
          <w:rFonts w:ascii="Times New Roman" w:hAnsi="Times New Roman" w:cs="Times New Roman"/>
          <w:sz w:val="28"/>
          <w:szCs w:val="28"/>
        </w:rPr>
      </w:pPr>
    </w:p>
    <w:p w:rsidR="0051493D" w:rsidRPr="0051493D" w:rsidRDefault="0051493D" w:rsidP="0051493D">
      <w:pPr>
        <w:spacing w:line="360" w:lineRule="auto"/>
        <w:contextualSpacing/>
        <w:jc w:val="both"/>
        <w:rPr>
          <w:rFonts w:ascii="Times New Roman" w:hAnsi="Times New Roman" w:cs="Times New Roman"/>
          <w:sz w:val="28"/>
          <w:szCs w:val="28"/>
        </w:rPr>
      </w:pPr>
    </w:p>
    <w:p w:rsidR="00112C34" w:rsidRDefault="00112C34" w:rsidP="00112C34">
      <w:pPr>
        <w:tabs>
          <w:tab w:val="left" w:pos="5077"/>
          <w:tab w:val="left" w:pos="7252"/>
        </w:tabs>
        <w:spacing w:line="360" w:lineRule="auto"/>
        <w:contextualSpacing/>
        <w:jc w:val="center"/>
        <w:rPr>
          <w:rFonts w:ascii="Times New Roman" w:hAnsi="Times New Roman" w:cs="Times New Roman"/>
          <w:i/>
          <w:iCs/>
          <w:sz w:val="28"/>
          <w:szCs w:val="28"/>
        </w:rPr>
      </w:pPr>
      <w:r w:rsidRPr="008C0993">
        <w:rPr>
          <w:rFonts w:ascii="Times New Roman" w:hAnsi="Times New Roman" w:cs="Times New Roman"/>
          <w:b/>
          <w:bCs/>
          <w:i/>
          <w:iCs/>
          <w:sz w:val="28"/>
          <w:szCs w:val="28"/>
        </w:rPr>
        <w:lastRenderedPageBreak/>
        <w:t>SUMMARY</w:t>
      </w:r>
    </w:p>
    <w:p w:rsidR="00BE4F02" w:rsidRDefault="003229AE" w:rsidP="00FD15AA">
      <w:pPr>
        <w:tabs>
          <w:tab w:val="left" w:pos="5077"/>
          <w:tab w:val="left" w:pos="7252"/>
        </w:tabs>
        <w:spacing w:line="360" w:lineRule="auto"/>
        <w:contextualSpacing/>
        <w:jc w:val="both"/>
        <w:rPr>
          <w:rFonts w:ascii="Times New Roman" w:hAnsi="Times New Roman" w:cs="Times New Roman"/>
          <w:sz w:val="28"/>
          <w:szCs w:val="28"/>
        </w:rPr>
      </w:pPr>
      <w:r w:rsidRPr="008C0993">
        <w:rPr>
          <w:rFonts w:ascii="Times New Roman" w:hAnsi="Times New Roman" w:cs="Times New Roman"/>
          <w:i/>
          <w:iCs/>
          <w:sz w:val="28"/>
          <w:szCs w:val="28"/>
        </w:rPr>
        <w:t xml:space="preserve"> </w:t>
      </w:r>
      <w:r w:rsidR="00BC3FFD" w:rsidRPr="008C0993">
        <w:rPr>
          <w:rFonts w:ascii="Times New Roman" w:hAnsi="Times New Roman" w:cs="Times New Roman"/>
          <w:i/>
          <w:iCs/>
          <w:sz w:val="28"/>
          <w:szCs w:val="28"/>
        </w:rPr>
        <w:t>Whether the</w:t>
      </w:r>
      <w:r w:rsidR="00A22D12" w:rsidRPr="008C0993">
        <w:rPr>
          <w:rFonts w:ascii="Times New Roman" w:hAnsi="Times New Roman" w:cs="Times New Roman"/>
          <w:i/>
          <w:iCs/>
          <w:sz w:val="28"/>
          <w:szCs w:val="28"/>
        </w:rPr>
        <w:t xml:space="preserve"> deceased abandoned customary way of life in favour of European way of life- principles applicable. While matter proceeding, the Administr</w:t>
      </w:r>
      <w:r w:rsidR="002A020D" w:rsidRPr="008C0993">
        <w:rPr>
          <w:rFonts w:ascii="Times New Roman" w:hAnsi="Times New Roman" w:cs="Times New Roman"/>
          <w:i/>
          <w:iCs/>
          <w:sz w:val="28"/>
          <w:szCs w:val="28"/>
        </w:rPr>
        <w:t>ation of Estates Proclamation (</w:t>
      </w:r>
      <w:r w:rsidR="00A22D12" w:rsidRPr="008C0993">
        <w:rPr>
          <w:rFonts w:ascii="Times New Roman" w:hAnsi="Times New Roman" w:cs="Times New Roman"/>
          <w:i/>
          <w:iCs/>
          <w:sz w:val="28"/>
          <w:szCs w:val="28"/>
        </w:rPr>
        <w:t>Amendment) Act,2022 promulgated- whether i</w:t>
      </w:r>
      <w:r w:rsidR="002A020D" w:rsidRPr="008C0993">
        <w:rPr>
          <w:rFonts w:ascii="Times New Roman" w:hAnsi="Times New Roman" w:cs="Times New Roman"/>
          <w:i/>
          <w:iCs/>
          <w:sz w:val="28"/>
          <w:szCs w:val="28"/>
        </w:rPr>
        <w:t>t has retrospective application- statutory interpretation discussed</w:t>
      </w:r>
      <w:r w:rsidR="002A020D" w:rsidRPr="008C0993">
        <w:rPr>
          <w:rFonts w:ascii="Times New Roman" w:hAnsi="Times New Roman" w:cs="Times New Roman"/>
          <w:sz w:val="28"/>
          <w:szCs w:val="28"/>
        </w:rPr>
        <w:t>.</w:t>
      </w:r>
      <w:r w:rsidR="00DF3D89" w:rsidRPr="008C0993">
        <w:rPr>
          <w:rFonts w:ascii="Times New Roman" w:hAnsi="Times New Roman" w:cs="Times New Roman"/>
          <w:sz w:val="28"/>
          <w:szCs w:val="28"/>
        </w:rPr>
        <w:tab/>
      </w:r>
    </w:p>
    <w:p w:rsidR="00D230EA" w:rsidRDefault="00D230EA" w:rsidP="00FD15AA">
      <w:pPr>
        <w:tabs>
          <w:tab w:val="left" w:pos="5077"/>
          <w:tab w:val="left" w:pos="7252"/>
        </w:tabs>
        <w:spacing w:line="360" w:lineRule="auto"/>
        <w:contextualSpacing/>
        <w:jc w:val="both"/>
        <w:rPr>
          <w:rFonts w:ascii="Times New Roman" w:hAnsi="Times New Roman" w:cs="Times New Roman"/>
          <w:sz w:val="28"/>
          <w:szCs w:val="28"/>
        </w:rPr>
      </w:pPr>
    </w:p>
    <w:p w:rsidR="00210C97" w:rsidRPr="00D230EA" w:rsidRDefault="00A57D6E" w:rsidP="00BE4F02">
      <w:pPr>
        <w:tabs>
          <w:tab w:val="left" w:pos="5077"/>
          <w:tab w:val="left" w:pos="7252"/>
        </w:tabs>
        <w:spacing w:line="360" w:lineRule="auto"/>
        <w:contextualSpacing/>
        <w:jc w:val="center"/>
        <w:rPr>
          <w:rFonts w:ascii="Times New Roman" w:hAnsi="Times New Roman" w:cs="Times New Roman"/>
          <w:b/>
          <w:bCs/>
          <w:i/>
          <w:iCs/>
          <w:sz w:val="28"/>
          <w:szCs w:val="28"/>
        </w:rPr>
      </w:pPr>
      <w:r w:rsidRPr="00D230EA">
        <w:rPr>
          <w:rFonts w:ascii="Times New Roman" w:hAnsi="Times New Roman" w:cs="Times New Roman"/>
          <w:b/>
          <w:bCs/>
          <w:i/>
          <w:iCs/>
          <w:sz w:val="28"/>
          <w:szCs w:val="28"/>
        </w:rPr>
        <w:t>ANNOTATIONS</w:t>
      </w:r>
    </w:p>
    <w:p w:rsidR="00D230EA" w:rsidRPr="00D230EA" w:rsidRDefault="00D230EA" w:rsidP="00BE4F02">
      <w:pPr>
        <w:tabs>
          <w:tab w:val="left" w:pos="5077"/>
          <w:tab w:val="left" w:pos="7252"/>
        </w:tabs>
        <w:spacing w:line="360" w:lineRule="auto"/>
        <w:contextualSpacing/>
        <w:jc w:val="center"/>
        <w:rPr>
          <w:rFonts w:ascii="Times New Roman" w:hAnsi="Times New Roman" w:cs="Times New Roman"/>
          <w:b/>
          <w:bCs/>
          <w:i/>
          <w:iCs/>
          <w:sz w:val="28"/>
          <w:szCs w:val="28"/>
        </w:rPr>
      </w:pPr>
    </w:p>
    <w:p w:rsidR="00D230EA" w:rsidRPr="00D230EA" w:rsidRDefault="00D230EA" w:rsidP="00D230EA">
      <w:pPr>
        <w:tabs>
          <w:tab w:val="left" w:pos="5077"/>
          <w:tab w:val="left" w:pos="7252"/>
        </w:tabs>
        <w:spacing w:line="360" w:lineRule="auto"/>
        <w:contextualSpacing/>
        <w:jc w:val="both"/>
        <w:rPr>
          <w:rFonts w:ascii="Times New Roman" w:hAnsi="Times New Roman" w:cs="Times New Roman"/>
          <w:b/>
          <w:bCs/>
          <w:i/>
          <w:iCs/>
          <w:sz w:val="28"/>
          <w:szCs w:val="28"/>
        </w:rPr>
      </w:pPr>
      <w:r w:rsidRPr="00D230EA">
        <w:rPr>
          <w:rFonts w:ascii="Times New Roman" w:hAnsi="Times New Roman" w:cs="Times New Roman"/>
          <w:b/>
          <w:bCs/>
          <w:i/>
          <w:iCs/>
          <w:sz w:val="28"/>
          <w:szCs w:val="28"/>
        </w:rPr>
        <w:t>Cases</w:t>
      </w:r>
    </w:p>
    <w:p w:rsidR="00D673FF" w:rsidRDefault="00D673FF" w:rsidP="00D673FF">
      <w:pPr>
        <w:pStyle w:val="ListParagraph"/>
        <w:numPr>
          <w:ilvl w:val="0"/>
          <w:numId w:val="8"/>
        </w:numPr>
        <w:tabs>
          <w:tab w:val="left" w:pos="5077"/>
          <w:tab w:val="left" w:pos="7252"/>
        </w:tabs>
        <w:spacing w:line="360" w:lineRule="auto"/>
        <w:jc w:val="both"/>
        <w:rPr>
          <w:rFonts w:ascii="Times New Roman" w:hAnsi="Times New Roman" w:cs="Times New Roman"/>
          <w:i/>
          <w:iCs/>
          <w:sz w:val="28"/>
          <w:szCs w:val="28"/>
        </w:rPr>
      </w:pPr>
      <w:r w:rsidRPr="00112C34">
        <w:rPr>
          <w:rFonts w:ascii="Times New Roman" w:hAnsi="Times New Roman" w:cs="Times New Roman"/>
          <w:i/>
          <w:iCs/>
          <w:sz w:val="28"/>
          <w:szCs w:val="28"/>
        </w:rPr>
        <w:t>Du Toit v Minister of Safety and Security [ 2008] ZASCA 125 2009 (1) SA 176 SCA</w:t>
      </w:r>
    </w:p>
    <w:p w:rsidR="00201E14" w:rsidRPr="00201E14" w:rsidRDefault="00201E14" w:rsidP="00201E14">
      <w:pPr>
        <w:pStyle w:val="ListParagraph"/>
        <w:numPr>
          <w:ilvl w:val="0"/>
          <w:numId w:val="8"/>
        </w:numPr>
        <w:tabs>
          <w:tab w:val="left" w:pos="5077"/>
          <w:tab w:val="left" w:pos="7252"/>
        </w:tabs>
        <w:spacing w:line="360" w:lineRule="auto"/>
        <w:jc w:val="both"/>
        <w:rPr>
          <w:rFonts w:ascii="Times New Roman" w:hAnsi="Times New Roman" w:cs="Times New Roman"/>
          <w:i/>
          <w:iCs/>
          <w:sz w:val="28"/>
          <w:szCs w:val="28"/>
        </w:rPr>
      </w:pPr>
      <w:proofErr w:type="spellStart"/>
      <w:r w:rsidRPr="00112C34">
        <w:rPr>
          <w:rFonts w:ascii="Times New Roman" w:hAnsi="Times New Roman" w:cs="Times New Roman"/>
          <w:i/>
          <w:iCs/>
          <w:sz w:val="28"/>
          <w:szCs w:val="28"/>
        </w:rPr>
        <w:t>Garikapati</w:t>
      </w:r>
      <w:proofErr w:type="spellEnd"/>
      <w:r w:rsidRPr="00112C34">
        <w:rPr>
          <w:rFonts w:ascii="Times New Roman" w:hAnsi="Times New Roman" w:cs="Times New Roman"/>
          <w:i/>
          <w:iCs/>
          <w:sz w:val="28"/>
          <w:szCs w:val="28"/>
        </w:rPr>
        <w:t xml:space="preserve"> </w:t>
      </w:r>
      <w:proofErr w:type="spellStart"/>
      <w:r w:rsidRPr="00112C34">
        <w:rPr>
          <w:rFonts w:ascii="Times New Roman" w:hAnsi="Times New Roman" w:cs="Times New Roman"/>
          <w:i/>
          <w:iCs/>
          <w:sz w:val="28"/>
          <w:szCs w:val="28"/>
        </w:rPr>
        <w:t>Veeraya</w:t>
      </w:r>
      <w:proofErr w:type="spellEnd"/>
      <w:r w:rsidRPr="00112C34">
        <w:rPr>
          <w:rFonts w:ascii="Times New Roman" w:hAnsi="Times New Roman" w:cs="Times New Roman"/>
          <w:i/>
          <w:iCs/>
          <w:sz w:val="28"/>
          <w:szCs w:val="28"/>
        </w:rPr>
        <w:t xml:space="preserve"> v N. Subbiah Choudhry, AIR 1957 SC 540 the SC</w:t>
      </w:r>
    </w:p>
    <w:p w:rsidR="00D673FF" w:rsidRPr="00112C34" w:rsidRDefault="00D673FF" w:rsidP="00D673FF">
      <w:pPr>
        <w:pStyle w:val="ListParagraph"/>
        <w:numPr>
          <w:ilvl w:val="0"/>
          <w:numId w:val="8"/>
        </w:numPr>
        <w:tabs>
          <w:tab w:val="left" w:pos="5077"/>
          <w:tab w:val="left" w:pos="7252"/>
        </w:tabs>
        <w:spacing w:line="360" w:lineRule="auto"/>
        <w:jc w:val="both"/>
        <w:rPr>
          <w:rFonts w:ascii="Times New Roman" w:hAnsi="Times New Roman" w:cs="Times New Roman"/>
          <w:i/>
          <w:iCs/>
          <w:sz w:val="28"/>
          <w:szCs w:val="28"/>
        </w:rPr>
      </w:pPr>
      <w:proofErr w:type="spellStart"/>
      <w:r w:rsidRPr="00112C34">
        <w:rPr>
          <w:rFonts w:ascii="Times New Roman" w:hAnsi="Times New Roman" w:cs="Times New Roman"/>
          <w:i/>
          <w:iCs/>
          <w:color w:val="000000" w:themeColor="text1"/>
          <w:sz w:val="28"/>
          <w:szCs w:val="28"/>
        </w:rPr>
        <w:t>Hoohlo</w:t>
      </w:r>
      <w:proofErr w:type="spellEnd"/>
      <w:r w:rsidRPr="00112C34">
        <w:rPr>
          <w:rFonts w:ascii="Times New Roman" w:hAnsi="Times New Roman" w:cs="Times New Roman"/>
          <w:i/>
          <w:iCs/>
          <w:color w:val="000000" w:themeColor="text1"/>
          <w:sz w:val="28"/>
          <w:szCs w:val="28"/>
        </w:rPr>
        <w:t xml:space="preserve"> V </w:t>
      </w:r>
      <w:proofErr w:type="spellStart"/>
      <w:r w:rsidRPr="00112C34">
        <w:rPr>
          <w:rFonts w:ascii="Times New Roman" w:hAnsi="Times New Roman" w:cs="Times New Roman"/>
          <w:i/>
          <w:iCs/>
          <w:color w:val="000000" w:themeColor="text1"/>
          <w:sz w:val="28"/>
          <w:szCs w:val="28"/>
        </w:rPr>
        <w:t>Hoohlo</w:t>
      </w:r>
      <w:proofErr w:type="spellEnd"/>
      <w:r w:rsidRPr="00112C34">
        <w:rPr>
          <w:rFonts w:ascii="Times New Roman" w:hAnsi="Times New Roman" w:cs="Times New Roman"/>
          <w:i/>
          <w:iCs/>
          <w:color w:val="000000" w:themeColor="text1"/>
          <w:sz w:val="28"/>
          <w:szCs w:val="28"/>
        </w:rPr>
        <w:t xml:space="preserve"> 1967- 70 HCTLR 318</w:t>
      </w:r>
    </w:p>
    <w:p w:rsidR="00201E14" w:rsidRDefault="00201E14" w:rsidP="00201E14">
      <w:pPr>
        <w:pStyle w:val="ListParagraph"/>
        <w:numPr>
          <w:ilvl w:val="0"/>
          <w:numId w:val="8"/>
        </w:numPr>
        <w:tabs>
          <w:tab w:val="left" w:pos="5077"/>
          <w:tab w:val="left" w:pos="7252"/>
        </w:tabs>
        <w:spacing w:line="360" w:lineRule="auto"/>
        <w:jc w:val="both"/>
        <w:rPr>
          <w:rFonts w:ascii="Times New Roman" w:hAnsi="Times New Roman" w:cs="Times New Roman"/>
          <w:i/>
          <w:iCs/>
          <w:sz w:val="28"/>
          <w:szCs w:val="28"/>
        </w:rPr>
      </w:pPr>
      <w:r w:rsidRPr="00112C34">
        <w:rPr>
          <w:rFonts w:ascii="Times New Roman" w:hAnsi="Times New Roman" w:cs="Times New Roman"/>
          <w:i/>
          <w:iCs/>
          <w:sz w:val="28"/>
          <w:szCs w:val="28"/>
        </w:rPr>
        <w:t>Innes CJ in Curtis V Johannesburg Municipality 1906 TS 308</w:t>
      </w:r>
    </w:p>
    <w:p w:rsidR="00201E14" w:rsidRPr="00201E14" w:rsidRDefault="00201E14" w:rsidP="00201E14">
      <w:pPr>
        <w:pStyle w:val="ListParagraph"/>
        <w:numPr>
          <w:ilvl w:val="0"/>
          <w:numId w:val="8"/>
        </w:numPr>
        <w:tabs>
          <w:tab w:val="left" w:pos="5077"/>
          <w:tab w:val="left" w:pos="7252"/>
        </w:tabs>
        <w:spacing w:line="360" w:lineRule="auto"/>
        <w:jc w:val="both"/>
        <w:rPr>
          <w:rFonts w:ascii="Times New Roman" w:hAnsi="Times New Roman" w:cs="Times New Roman"/>
          <w:i/>
          <w:iCs/>
          <w:sz w:val="28"/>
          <w:szCs w:val="28"/>
        </w:rPr>
      </w:pPr>
      <w:proofErr w:type="spellStart"/>
      <w:r w:rsidRPr="00112C34">
        <w:rPr>
          <w:rFonts w:ascii="Times New Roman" w:hAnsi="Times New Roman" w:cs="Times New Roman"/>
          <w:i/>
          <w:iCs/>
          <w:sz w:val="28"/>
          <w:szCs w:val="28"/>
        </w:rPr>
        <w:t>Khakale</w:t>
      </w:r>
      <w:proofErr w:type="spellEnd"/>
      <w:r w:rsidRPr="00112C34">
        <w:rPr>
          <w:rFonts w:ascii="Times New Roman" w:hAnsi="Times New Roman" w:cs="Times New Roman"/>
          <w:i/>
          <w:iCs/>
          <w:sz w:val="28"/>
          <w:szCs w:val="28"/>
        </w:rPr>
        <w:t xml:space="preserve"> v </w:t>
      </w:r>
      <w:proofErr w:type="spellStart"/>
      <w:r w:rsidRPr="00112C34">
        <w:rPr>
          <w:rFonts w:ascii="Times New Roman" w:hAnsi="Times New Roman" w:cs="Times New Roman"/>
          <w:i/>
          <w:iCs/>
          <w:sz w:val="28"/>
          <w:szCs w:val="28"/>
        </w:rPr>
        <w:t>Khakale</w:t>
      </w:r>
      <w:proofErr w:type="spellEnd"/>
      <w:r w:rsidRPr="00112C34">
        <w:rPr>
          <w:rFonts w:ascii="Times New Roman" w:hAnsi="Times New Roman" w:cs="Times New Roman"/>
          <w:i/>
          <w:iCs/>
          <w:sz w:val="28"/>
          <w:szCs w:val="28"/>
        </w:rPr>
        <w:t xml:space="preserve"> and Others LAC (2007-2008) 193 at 200 F-H</w:t>
      </w:r>
    </w:p>
    <w:p w:rsidR="00201E14" w:rsidRPr="00112C34" w:rsidRDefault="00201E14" w:rsidP="00201E14">
      <w:pPr>
        <w:pStyle w:val="ListParagraph"/>
        <w:numPr>
          <w:ilvl w:val="0"/>
          <w:numId w:val="8"/>
        </w:numPr>
        <w:tabs>
          <w:tab w:val="left" w:pos="5077"/>
          <w:tab w:val="left" w:pos="7252"/>
        </w:tabs>
        <w:spacing w:line="360" w:lineRule="auto"/>
        <w:jc w:val="both"/>
        <w:rPr>
          <w:rFonts w:ascii="Times New Roman" w:hAnsi="Times New Roman" w:cs="Times New Roman"/>
          <w:i/>
          <w:iCs/>
          <w:sz w:val="28"/>
          <w:szCs w:val="28"/>
        </w:rPr>
      </w:pPr>
      <w:proofErr w:type="spellStart"/>
      <w:r w:rsidRPr="00112C34">
        <w:rPr>
          <w:rFonts w:ascii="Times New Roman" w:hAnsi="Times New Roman" w:cs="Times New Roman"/>
          <w:i/>
          <w:iCs/>
          <w:color w:val="000000" w:themeColor="text1"/>
          <w:sz w:val="28"/>
          <w:szCs w:val="28"/>
        </w:rPr>
        <w:t>Khatala</w:t>
      </w:r>
      <w:proofErr w:type="spellEnd"/>
      <w:r w:rsidRPr="00112C34">
        <w:rPr>
          <w:rFonts w:ascii="Times New Roman" w:hAnsi="Times New Roman" w:cs="Times New Roman"/>
          <w:i/>
          <w:iCs/>
          <w:color w:val="000000" w:themeColor="text1"/>
          <w:sz w:val="28"/>
          <w:szCs w:val="28"/>
        </w:rPr>
        <w:t xml:space="preserve"> v </w:t>
      </w:r>
      <w:proofErr w:type="spellStart"/>
      <w:r w:rsidRPr="00112C34">
        <w:rPr>
          <w:rFonts w:ascii="Times New Roman" w:hAnsi="Times New Roman" w:cs="Times New Roman"/>
          <w:i/>
          <w:iCs/>
          <w:color w:val="000000" w:themeColor="text1"/>
          <w:sz w:val="28"/>
          <w:szCs w:val="28"/>
        </w:rPr>
        <w:t>Khatala</w:t>
      </w:r>
      <w:proofErr w:type="spellEnd"/>
      <w:r w:rsidRPr="00112C34">
        <w:rPr>
          <w:rFonts w:ascii="Times New Roman" w:hAnsi="Times New Roman" w:cs="Times New Roman"/>
          <w:i/>
          <w:iCs/>
          <w:color w:val="000000" w:themeColor="text1"/>
          <w:sz w:val="28"/>
          <w:szCs w:val="28"/>
        </w:rPr>
        <w:t xml:space="preserve"> 1963 HCTLR 92</w:t>
      </w:r>
    </w:p>
    <w:p w:rsidR="00D673FF" w:rsidRPr="00201E14" w:rsidRDefault="00201E14" w:rsidP="00201E14">
      <w:pPr>
        <w:pStyle w:val="ListParagraph"/>
        <w:numPr>
          <w:ilvl w:val="0"/>
          <w:numId w:val="8"/>
        </w:numPr>
        <w:tabs>
          <w:tab w:val="left" w:pos="5077"/>
          <w:tab w:val="left" w:pos="7252"/>
        </w:tabs>
        <w:spacing w:line="360" w:lineRule="auto"/>
        <w:jc w:val="both"/>
        <w:rPr>
          <w:rFonts w:ascii="Times New Roman" w:hAnsi="Times New Roman" w:cs="Times New Roman"/>
          <w:i/>
          <w:iCs/>
          <w:sz w:val="28"/>
          <w:szCs w:val="28"/>
        </w:rPr>
      </w:pPr>
      <w:proofErr w:type="spellStart"/>
      <w:r w:rsidRPr="00112C34">
        <w:rPr>
          <w:rFonts w:ascii="Times New Roman" w:hAnsi="Times New Roman" w:cs="Times New Roman"/>
          <w:i/>
          <w:iCs/>
          <w:sz w:val="28"/>
          <w:szCs w:val="28"/>
        </w:rPr>
        <w:t>Khatala</w:t>
      </w:r>
      <w:proofErr w:type="spellEnd"/>
      <w:r w:rsidRPr="00112C34">
        <w:rPr>
          <w:rFonts w:ascii="Times New Roman" w:hAnsi="Times New Roman" w:cs="Times New Roman"/>
          <w:i/>
          <w:iCs/>
          <w:sz w:val="28"/>
          <w:szCs w:val="28"/>
        </w:rPr>
        <w:t xml:space="preserve"> v </w:t>
      </w:r>
      <w:proofErr w:type="spellStart"/>
      <w:r w:rsidRPr="00112C34">
        <w:rPr>
          <w:rFonts w:ascii="Times New Roman" w:hAnsi="Times New Roman" w:cs="Times New Roman"/>
          <w:i/>
          <w:iCs/>
          <w:sz w:val="28"/>
          <w:szCs w:val="28"/>
        </w:rPr>
        <w:t>Khatala</w:t>
      </w:r>
      <w:proofErr w:type="spellEnd"/>
      <w:r w:rsidRPr="00112C34">
        <w:rPr>
          <w:rFonts w:ascii="Times New Roman" w:hAnsi="Times New Roman" w:cs="Times New Roman"/>
          <w:i/>
          <w:iCs/>
          <w:sz w:val="28"/>
          <w:szCs w:val="28"/>
        </w:rPr>
        <w:t xml:space="preserve"> 1963 – 1966 HCTLR 97</w:t>
      </w:r>
    </w:p>
    <w:p w:rsidR="00D230EA" w:rsidRDefault="00033180" w:rsidP="00D230EA">
      <w:pPr>
        <w:pStyle w:val="ListParagraph"/>
        <w:numPr>
          <w:ilvl w:val="0"/>
          <w:numId w:val="8"/>
        </w:numPr>
        <w:tabs>
          <w:tab w:val="left" w:pos="5077"/>
          <w:tab w:val="left" w:pos="7252"/>
        </w:tabs>
        <w:spacing w:line="360" w:lineRule="auto"/>
        <w:jc w:val="both"/>
        <w:rPr>
          <w:rFonts w:ascii="Times New Roman" w:hAnsi="Times New Roman" w:cs="Times New Roman"/>
          <w:i/>
          <w:iCs/>
          <w:sz w:val="28"/>
          <w:szCs w:val="28"/>
        </w:rPr>
      </w:pPr>
      <w:r w:rsidRPr="00112C34">
        <w:rPr>
          <w:rFonts w:ascii="Times New Roman" w:hAnsi="Times New Roman" w:cs="Times New Roman"/>
          <w:i/>
          <w:iCs/>
          <w:sz w:val="28"/>
          <w:szCs w:val="28"/>
        </w:rPr>
        <w:t>Minister of Home Affairs and Others v Mofolo (C of A) 2/05 CIV/APN/418/04 [2005] LSHC83</w:t>
      </w:r>
    </w:p>
    <w:p w:rsidR="00201E14" w:rsidRPr="00112C34" w:rsidRDefault="00201E14" w:rsidP="00201E14">
      <w:pPr>
        <w:pStyle w:val="ListParagraph"/>
        <w:numPr>
          <w:ilvl w:val="0"/>
          <w:numId w:val="8"/>
        </w:numPr>
        <w:tabs>
          <w:tab w:val="left" w:pos="5077"/>
          <w:tab w:val="left" w:pos="7252"/>
        </w:tabs>
        <w:spacing w:line="360" w:lineRule="auto"/>
        <w:jc w:val="both"/>
        <w:rPr>
          <w:rFonts w:ascii="Times New Roman" w:hAnsi="Times New Roman" w:cs="Times New Roman"/>
          <w:i/>
          <w:iCs/>
          <w:sz w:val="28"/>
          <w:szCs w:val="28"/>
        </w:rPr>
      </w:pPr>
      <w:proofErr w:type="spellStart"/>
      <w:r w:rsidRPr="00112C34">
        <w:rPr>
          <w:rFonts w:ascii="Times New Roman" w:hAnsi="Times New Roman" w:cs="Times New Roman"/>
          <w:i/>
          <w:iCs/>
          <w:sz w:val="28"/>
          <w:szCs w:val="28"/>
        </w:rPr>
        <w:t>Mokete</w:t>
      </w:r>
      <w:proofErr w:type="spellEnd"/>
      <w:r w:rsidRPr="00112C34">
        <w:rPr>
          <w:rFonts w:ascii="Times New Roman" w:hAnsi="Times New Roman" w:cs="Times New Roman"/>
          <w:i/>
          <w:iCs/>
          <w:sz w:val="28"/>
          <w:szCs w:val="28"/>
        </w:rPr>
        <w:t xml:space="preserve"> &amp; Others v </w:t>
      </w:r>
      <w:proofErr w:type="spellStart"/>
      <w:r w:rsidRPr="00112C34">
        <w:rPr>
          <w:rFonts w:ascii="Times New Roman" w:hAnsi="Times New Roman" w:cs="Times New Roman"/>
          <w:i/>
          <w:iCs/>
          <w:sz w:val="28"/>
          <w:szCs w:val="28"/>
        </w:rPr>
        <w:t>Mokete</w:t>
      </w:r>
      <w:proofErr w:type="spellEnd"/>
      <w:r w:rsidRPr="00112C34">
        <w:rPr>
          <w:rFonts w:ascii="Times New Roman" w:hAnsi="Times New Roman" w:cs="Times New Roman"/>
          <w:i/>
          <w:iCs/>
          <w:sz w:val="28"/>
          <w:szCs w:val="28"/>
        </w:rPr>
        <w:t xml:space="preserve"> &amp; Others (C of A civ) No. 19/2007 [2008] LSCA </w:t>
      </w:r>
    </w:p>
    <w:p w:rsidR="00201E14" w:rsidRPr="00112C34" w:rsidRDefault="00201E14" w:rsidP="00201E14">
      <w:pPr>
        <w:pStyle w:val="ListParagraph"/>
        <w:numPr>
          <w:ilvl w:val="0"/>
          <w:numId w:val="8"/>
        </w:numPr>
        <w:tabs>
          <w:tab w:val="left" w:pos="5077"/>
          <w:tab w:val="left" w:pos="7252"/>
        </w:tabs>
        <w:spacing w:line="360" w:lineRule="auto"/>
        <w:jc w:val="both"/>
        <w:rPr>
          <w:rFonts w:ascii="Times New Roman" w:hAnsi="Times New Roman" w:cs="Times New Roman"/>
          <w:i/>
          <w:iCs/>
          <w:sz w:val="28"/>
          <w:szCs w:val="28"/>
        </w:rPr>
      </w:pPr>
      <w:proofErr w:type="spellStart"/>
      <w:r w:rsidRPr="00112C34">
        <w:rPr>
          <w:rFonts w:ascii="Times New Roman" w:hAnsi="Times New Roman" w:cs="Times New Roman"/>
          <w:i/>
          <w:iCs/>
          <w:color w:val="000000" w:themeColor="text1"/>
          <w:sz w:val="28"/>
          <w:szCs w:val="28"/>
        </w:rPr>
        <w:t>Mokorosi</w:t>
      </w:r>
      <w:proofErr w:type="spellEnd"/>
      <w:r w:rsidRPr="00112C34">
        <w:rPr>
          <w:rFonts w:ascii="Times New Roman" w:hAnsi="Times New Roman" w:cs="Times New Roman"/>
          <w:i/>
          <w:iCs/>
          <w:color w:val="000000" w:themeColor="text1"/>
          <w:sz w:val="28"/>
          <w:szCs w:val="28"/>
        </w:rPr>
        <w:t xml:space="preserve"> v </w:t>
      </w:r>
      <w:proofErr w:type="spellStart"/>
      <w:r w:rsidRPr="00112C34">
        <w:rPr>
          <w:rFonts w:ascii="Times New Roman" w:hAnsi="Times New Roman" w:cs="Times New Roman"/>
          <w:i/>
          <w:iCs/>
          <w:color w:val="000000" w:themeColor="text1"/>
          <w:sz w:val="28"/>
          <w:szCs w:val="28"/>
        </w:rPr>
        <w:t>Mokorosi</w:t>
      </w:r>
      <w:proofErr w:type="spellEnd"/>
      <w:r w:rsidRPr="00112C34">
        <w:rPr>
          <w:rFonts w:ascii="Times New Roman" w:hAnsi="Times New Roman" w:cs="Times New Roman"/>
          <w:i/>
          <w:iCs/>
          <w:color w:val="000000" w:themeColor="text1"/>
          <w:sz w:val="28"/>
          <w:szCs w:val="28"/>
        </w:rPr>
        <w:t xml:space="preserve"> 1967-70 HCTLR 1</w:t>
      </w:r>
    </w:p>
    <w:p w:rsidR="00201E14" w:rsidRDefault="00201E14" w:rsidP="00201E14">
      <w:pPr>
        <w:pStyle w:val="ListParagraph"/>
        <w:numPr>
          <w:ilvl w:val="0"/>
          <w:numId w:val="8"/>
        </w:numPr>
        <w:tabs>
          <w:tab w:val="left" w:pos="5077"/>
          <w:tab w:val="left" w:pos="7252"/>
        </w:tabs>
        <w:spacing w:line="360" w:lineRule="auto"/>
        <w:jc w:val="both"/>
        <w:rPr>
          <w:rFonts w:ascii="Times New Roman" w:hAnsi="Times New Roman" w:cs="Times New Roman"/>
          <w:i/>
          <w:iCs/>
          <w:sz w:val="28"/>
          <w:szCs w:val="28"/>
        </w:rPr>
      </w:pPr>
      <w:proofErr w:type="spellStart"/>
      <w:r w:rsidRPr="00112C34">
        <w:rPr>
          <w:rFonts w:ascii="Times New Roman" w:hAnsi="Times New Roman" w:cs="Times New Roman"/>
          <w:i/>
          <w:iCs/>
          <w:sz w:val="28"/>
          <w:szCs w:val="28"/>
        </w:rPr>
        <w:t>Montateli</w:t>
      </w:r>
      <w:proofErr w:type="spellEnd"/>
      <w:r w:rsidRPr="00112C34">
        <w:rPr>
          <w:rFonts w:ascii="Times New Roman" w:hAnsi="Times New Roman" w:cs="Times New Roman"/>
          <w:i/>
          <w:iCs/>
          <w:sz w:val="28"/>
          <w:szCs w:val="28"/>
        </w:rPr>
        <w:t xml:space="preserve"> v </w:t>
      </w:r>
      <w:proofErr w:type="spellStart"/>
      <w:r w:rsidRPr="00112C34">
        <w:rPr>
          <w:rFonts w:ascii="Times New Roman" w:hAnsi="Times New Roman" w:cs="Times New Roman"/>
          <w:i/>
          <w:iCs/>
          <w:sz w:val="28"/>
          <w:szCs w:val="28"/>
        </w:rPr>
        <w:t>Tekane</w:t>
      </w:r>
      <w:proofErr w:type="spellEnd"/>
      <w:r w:rsidRPr="00112C34">
        <w:rPr>
          <w:rFonts w:ascii="Times New Roman" w:hAnsi="Times New Roman" w:cs="Times New Roman"/>
          <w:i/>
          <w:iCs/>
          <w:sz w:val="28"/>
          <w:szCs w:val="28"/>
        </w:rPr>
        <w:t xml:space="preserve"> (C of A civ) No. 17/09 [2010] LSCA 7</w:t>
      </w:r>
    </w:p>
    <w:p w:rsidR="00201E14" w:rsidRPr="00112C34" w:rsidRDefault="00201E14" w:rsidP="00201E14">
      <w:pPr>
        <w:pStyle w:val="ListParagraph"/>
        <w:numPr>
          <w:ilvl w:val="0"/>
          <w:numId w:val="8"/>
        </w:numPr>
        <w:tabs>
          <w:tab w:val="left" w:pos="5077"/>
          <w:tab w:val="left" w:pos="7252"/>
        </w:tabs>
        <w:spacing w:line="360" w:lineRule="auto"/>
        <w:jc w:val="both"/>
        <w:rPr>
          <w:rFonts w:ascii="Times New Roman" w:hAnsi="Times New Roman" w:cs="Times New Roman"/>
          <w:i/>
          <w:iCs/>
          <w:sz w:val="28"/>
          <w:szCs w:val="28"/>
        </w:rPr>
      </w:pPr>
      <w:r w:rsidRPr="00112C34">
        <w:rPr>
          <w:rFonts w:ascii="Times New Roman" w:hAnsi="Times New Roman" w:cs="Times New Roman"/>
          <w:i/>
          <w:iCs/>
          <w:sz w:val="28"/>
          <w:szCs w:val="28"/>
        </w:rPr>
        <w:t>National Director of Public Prosecutions v Carolus and Others 2000 (1) SA 1127 at 1138-1139</w:t>
      </w:r>
    </w:p>
    <w:p w:rsidR="00201E14" w:rsidRPr="00112C34" w:rsidRDefault="00201E14" w:rsidP="00201E14">
      <w:pPr>
        <w:pStyle w:val="ListParagraph"/>
        <w:numPr>
          <w:ilvl w:val="0"/>
          <w:numId w:val="8"/>
        </w:numPr>
        <w:tabs>
          <w:tab w:val="left" w:pos="5077"/>
          <w:tab w:val="left" w:pos="7252"/>
        </w:tabs>
        <w:spacing w:line="360" w:lineRule="auto"/>
        <w:jc w:val="both"/>
        <w:rPr>
          <w:rFonts w:ascii="Times New Roman" w:hAnsi="Times New Roman" w:cs="Times New Roman"/>
          <w:i/>
          <w:iCs/>
          <w:sz w:val="28"/>
          <w:szCs w:val="28"/>
        </w:rPr>
      </w:pPr>
      <w:r w:rsidRPr="00112C34">
        <w:rPr>
          <w:rFonts w:ascii="Times New Roman" w:hAnsi="Times New Roman" w:cs="Times New Roman"/>
          <w:i/>
          <w:iCs/>
          <w:sz w:val="28"/>
          <w:szCs w:val="28"/>
        </w:rPr>
        <w:t>Peterson v Cuthbert and company Ltd 1945 AD 420 at 430</w:t>
      </w:r>
    </w:p>
    <w:p w:rsidR="00201E14" w:rsidRPr="00112C34" w:rsidRDefault="00201E14" w:rsidP="00201E14">
      <w:pPr>
        <w:pStyle w:val="ListParagraph"/>
        <w:numPr>
          <w:ilvl w:val="0"/>
          <w:numId w:val="8"/>
        </w:numPr>
        <w:tabs>
          <w:tab w:val="left" w:pos="5077"/>
          <w:tab w:val="left" w:pos="7252"/>
        </w:tabs>
        <w:spacing w:line="360" w:lineRule="auto"/>
        <w:jc w:val="both"/>
        <w:rPr>
          <w:rFonts w:ascii="Times New Roman" w:hAnsi="Times New Roman" w:cs="Times New Roman"/>
          <w:i/>
          <w:iCs/>
          <w:sz w:val="28"/>
          <w:szCs w:val="28"/>
        </w:rPr>
      </w:pPr>
      <w:proofErr w:type="spellStart"/>
      <w:r w:rsidRPr="00112C34">
        <w:rPr>
          <w:rFonts w:ascii="Times New Roman" w:hAnsi="Times New Roman" w:cs="Times New Roman"/>
          <w:i/>
          <w:iCs/>
          <w:sz w:val="28"/>
          <w:szCs w:val="28"/>
        </w:rPr>
        <w:t>Rakhetla</w:t>
      </w:r>
      <w:proofErr w:type="spellEnd"/>
      <w:r w:rsidRPr="00112C34">
        <w:rPr>
          <w:rFonts w:ascii="Times New Roman" w:hAnsi="Times New Roman" w:cs="Times New Roman"/>
          <w:i/>
          <w:iCs/>
          <w:sz w:val="28"/>
          <w:szCs w:val="28"/>
        </w:rPr>
        <w:t xml:space="preserve"> v </w:t>
      </w:r>
      <w:proofErr w:type="spellStart"/>
      <w:r w:rsidRPr="00112C34">
        <w:rPr>
          <w:rFonts w:ascii="Times New Roman" w:hAnsi="Times New Roman" w:cs="Times New Roman"/>
          <w:i/>
          <w:iCs/>
          <w:sz w:val="28"/>
          <w:szCs w:val="28"/>
        </w:rPr>
        <w:t>Aldiea</w:t>
      </w:r>
      <w:proofErr w:type="spellEnd"/>
      <w:r w:rsidRPr="00112C34">
        <w:rPr>
          <w:rFonts w:ascii="Times New Roman" w:hAnsi="Times New Roman" w:cs="Times New Roman"/>
          <w:i/>
          <w:iCs/>
          <w:sz w:val="28"/>
          <w:szCs w:val="28"/>
        </w:rPr>
        <w:t xml:space="preserve"> C of A civ No. 20/2009</w:t>
      </w:r>
    </w:p>
    <w:p w:rsidR="00201E14" w:rsidRPr="00112C34" w:rsidRDefault="00201E14" w:rsidP="00201E14">
      <w:pPr>
        <w:pStyle w:val="ListParagraph"/>
        <w:numPr>
          <w:ilvl w:val="0"/>
          <w:numId w:val="8"/>
        </w:numPr>
        <w:tabs>
          <w:tab w:val="left" w:pos="5077"/>
          <w:tab w:val="left" w:pos="7252"/>
        </w:tabs>
        <w:spacing w:line="360" w:lineRule="auto"/>
        <w:jc w:val="both"/>
        <w:rPr>
          <w:rFonts w:ascii="Times New Roman" w:hAnsi="Times New Roman" w:cs="Times New Roman"/>
          <w:i/>
          <w:iCs/>
          <w:sz w:val="28"/>
          <w:szCs w:val="28"/>
        </w:rPr>
      </w:pPr>
      <w:r w:rsidRPr="00112C34">
        <w:rPr>
          <w:rFonts w:ascii="Times New Roman" w:hAnsi="Times New Roman" w:cs="Times New Roman"/>
          <w:i/>
          <w:iCs/>
          <w:sz w:val="28"/>
          <w:szCs w:val="28"/>
        </w:rPr>
        <w:t xml:space="preserve">Smt. </w:t>
      </w:r>
      <w:proofErr w:type="spellStart"/>
      <w:r w:rsidRPr="00112C34">
        <w:rPr>
          <w:rFonts w:ascii="Times New Roman" w:hAnsi="Times New Roman" w:cs="Times New Roman"/>
          <w:i/>
          <w:iCs/>
          <w:sz w:val="28"/>
          <w:szCs w:val="28"/>
        </w:rPr>
        <w:t>Dayawati</w:t>
      </w:r>
      <w:proofErr w:type="spellEnd"/>
      <w:r w:rsidRPr="00112C34">
        <w:rPr>
          <w:rFonts w:ascii="Times New Roman" w:hAnsi="Times New Roman" w:cs="Times New Roman"/>
          <w:i/>
          <w:iCs/>
          <w:sz w:val="28"/>
          <w:szCs w:val="28"/>
        </w:rPr>
        <w:t xml:space="preserve"> v </w:t>
      </w:r>
      <w:proofErr w:type="spellStart"/>
      <w:r w:rsidRPr="00112C34">
        <w:rPr>
          <w:rFonts w:ascii="Times New Roman" w:hAnsi="Times New Roman" w:cs="Times New Roman"/>
          <w:i/>
          <w:iCs/>
          <w:sz w:val="28"/>
          <w:szCs w:val="28"/>
        </w:rPr>
        <w:t>Inderjit</w:t>
      </w:r>
      <w:proofErr w:type="spellEnd"/>
      <w:r w:rsidRPr="00112C34">
        <w:rPr>
          <w:rFonts w:ascii="Times New Roman" w:hAnsi="Times New Roman" w:cs="Times New Roman"/>
          <w:i/>
          <w:iCs/>
          <w:sz w:val="28"/>
          <w:szCs w:val="28"/>
        </w:rPr>
        <w:t xml:space="preserve"> (AIR 1966 SC 1423)</w:t>
      </w:r>
    </w:p>
    <w:p w:rsidR="00112C34" w:rsidRPr="00B400F8" w:rsidRDefault="00201E14" w:rsidP="00344AE1">
      <w:pPr>
        <w:pStyle w:val="ListParagraph"/>
        <w:numPr>
          <w:ilvl w:val="0"/>
          <w:numId w:val="8"/>
        </w:numPr>
        <w:tabs>
          <w:tab w:val="left" w:pos="5077"/>
          <w:tab w:val="left" w:pos="7252"/>
        </w:tabs>
        <w:spacing w:line="360" w:lineRule="auto"/>
        <w:jc w:val="both"/>
        <w:rPr>
          <w:rFonts w:ascii="Times New Roman" w:hAnsi="Times New Roman" w:cs="Times New Roman"/>
          <w:i/>
          <w:iCs/>
          <w:sz w:val="28"/>
          <w:szCs w:val="28"/>
        </w:rPr>
      </w:pPr>
      <w:proofErr w:type="spellStart"/>
      <w:r w:rsidRPr="00112C34">
        <w:rPr>
          <w:rFonts w:ascii="Times New Roman" w:hAnsi="Times New Roman" w:cs="Times New Roman"/>
          <w:i/>
          <w:iCs/>
          <w:sz w:val="28"/>
          <w:szCs w:val="28"/>
        </w:rPr>
        <w:t>Veldman</w:t>
      </w:r>
      <w:proofErr w:type="spellEnd"/>
      <w:r w:rsidRPr="00112C34">
        <w:rPr>
          <w:rFonts w:ascii="Times New Roman" w:hAnsi="Times New Roman" w:cs="Times New Roman"/>
          <w:i/>
          <w:iCs/>
          <w:sz w:val="28"/>
          <w:szCs w:val="28"/>
        </w:rPr>
        <w:t xml:space="preserve"> v TPP, Witwatersrand Local Division 2007 (3) SA 210 (CC)</w:t>
      </w:r>
    </w:p>
    <w:p w:rsidR="00BE4F02" w:rsidRPr="00D230EA" w:rsidRDefault="00BE4F02" w:rsidP="00BE4F02">
      <w:pPr>
        <w:tabs>
          <w:tab w:val="left" w:pos="5077"/>
          <w:tab w:val="left" w:pos="7252"/>
        </w:tabs>
        <w:spacing w:line="360" w:lineRule="auto"/>
        <w:contextualSpacing/>
        <w:jc w:val="both"/>
        <w:rPr>
          <w:rFonts w:ascii="Times New Roman" w:hAnsi="Times New Roman" w:cs="Times New Roman"/>
          <w:i/>
          <w:iCs/>
          <w:sz w:val="28"/>
          <w:szCs w:val="28"/>
        </w:rPr>
      </w:pPr>
      <w:r w:rsidRPr="00D230EA">
        <w:rPr>
          <w:rFonts w:ascii="Times New Roman" w:hAnsi="Times New Roman" w:cs="Times New Roman"/>
          <w:b/>
          <w:bCs/>
          <w:i/>
          <w:iCs/>
          <w:sz w:val="28"/>
          <w:szCs w:val="28"/>
        </w:rPr>
        <w:lastRenderedPageBreak/>
        <w:t>statutes</w:t>
      </w:r>
    </w:p>
    <w:p w:rsidR="00FD15AA" w:rsidRPr="00033180" w:rsidRDefault="00D230EA" w:rsidP="00D230EA">
      <w:pPr>
        <w:pStyle w:val="ListParagraph"/>
        <w:numPr>
          <w:ilvl w:val="0"/>
          <w:numId w:val="9"/>
        </w:numPr>
        <w:spacing w:line="360" w:lineRule="auto"/>
        <w:jc w:val="both"/>
        <w:rPr>
          <w:rFonts w:ascii="Times New Roman" w:hAnsi="Times New Roman" w:cs="Times New Roman"/>
          <w:i/>
          <w:iCs/>
          <w:sz w:val="28"/>
          <w:szCs w:val="28"/>
        </w:rPr>
      </w:pPr>
      <w:r w:rsidRPr="00033180">
        <w:rPr>
          <w:rFonts w:ascii="Times New Roman" w:hAnsi="Times New Roman" w:cs="Times New Roman"/>
          <w:i/>
          <w:iCs/>
          <w:sz w:val="28"/>
          <w:szCs w:val="28"/>
        </w:rPr>
        <w:t>Administration of Estates Proclamation of 1935</w:t>
      </w:r>
    </w:p>
    <w:p w:rsidR="00033180" w:rsidRDefault="00033180" w:rsidP="00D230EA">
      <w:pPr>
        <w:pStyle w:val="ListParagraph"/>
        <w:numPr>
          <w:ilvl w:val="0"/>
          <w:numId w:val="9"/>
        </w:numPr>
        <w:spacing w:line="360" w:lineRule="auto"/>
        <w:jc w:val="both"/>
        <w:rPr>
          <w:rFonts w:ascii="Times New Roman" w:hAnsi="Times New Roman" w:cs="Times New Roman"/>
          <w:i/>
          <w:iCs/>
          <w:sz w:val="28"/>
          <w:szCs w:val="28"/>
        </w:rPr>
      </w:pPr>
      <w:r w:rsidRPr="00033180">
        <w:rPr>
          <w:rFonts w:ascii="Times New Roman" w:hAnsi="Times New Roman" w:cs="Times New Roman"/>
          <w:i/>
          <w:iCs/>
          <w:sz w:val="28"/>
          <w:szCs w:val="28"/>
        </w:rPr>
        <w:t>Administration of Estates Proclamation (Amendment) Act, 2022</w:t>
      </w:r>
    </w:p>
    <w:p w:rsidR="00FF1317" w:rsidRPr="00112C34" w:rsidRDefault="00FF1317" w:rsidP="00D230EA">
      <w:pPr>
        <w:pStyle w:val="ListParagraph"/>
        <w:numPr>
          <w:ilvl w:val="0"/>
          <w:numId w:val="9"/>
        </w:numPr>
        <w:spacing w:line="360" w:lineRule="auto"/>
        <w:jc w:val="both"/>
        <w:rPr>
          <w:rFonts w:ascii="Times New Roman" w:hAnsi="Times New Roman" w:cs="Times New Roman"/>
          <w:i/>
          <w:iCs/>
          <w:sz w:val="28"/>
          <w:szCs w:val="28"/>
        </w:rPr>
      </w:pPr>
      <w:r w:rsidRPr="00112C34">
        <w:rPr>
          <w:rFonts w:ascii="Times New Roman" w:hAnsi="Times New Roman" w:cs="Times New Roman"/>
          <w:i/>
          <w:iCs/>
          <w:sz w:val="28"/>
          <w:szCs w:val="28"/>
        </w:rPr>
        <w:t>Interpretation (Amendment) Act, 1993</w:t>
      </w:r>
    </w:p>
    <w:p w:rsidR="00FD15AA" w:rsidRDefault="00FD15AA" w:rsidP="008C0993">
      <w:pPr>
        <w:spacing w:line="360" w:lineRule="auto"/>
        <w:contextualSpacing/>
        <w:jc w:val="both"/>
        <w:rPr>
          <w:rFonts w:ascii="Times New Roman" w:hAnsi="Times New Roman" w:cs="Times New Roman"/>
          <w:b/>
          <w:bCs/>
          <w:sz w:val="28"/>
          <w:szCs w:val="28"/>
        </w:rPr>
      </w:pPr>
    </w:p>
    <w:p w:rsidR="00FD15AA" w:rsidRDefault="00FD15AA" w:rsidP="008C0993">
      <w:pPr>
        <w:spacing w:line="360" w:lineRule="auto"/>
        <w:contextualSpacing/>
        <w:jc w:val="both"/>
        <w:rPr>
          <w:rFonts w:ascii="Times New Roman" w:hAnsi="Times New Roman" w:cs="Times New Roman"/>
          <w:b/>
          <w:bCs/>
          <w:sz w:val="28"/>
          <w:szCs w:val="28"/>
        </w:rPr>
      </w:pPr>
    </w:p>
    <w:p w:rsidR="00FD15AA" w:rsidRDefault="00FD15AA" w:rsidP="008C0993">
      <w:pPr>
        <w:spacing w:line="360" w:lineRule="auto"/>
        <w:contextualSpacing/>
        <w:jc w:val="both"/>
        <w:rPr>
          <w:rFonts w:ascii="Times New Roman" w:hAnsi="Times New Roman" w:cs="Times New Roman"/>
          <w:b/>
          <w:bCs/>
          <w:sz w:val="28"/>
          <w:szCs w:val="28"/>
        </w:rPr>
      </w:pPr>
    </w:p>
    <w:p w:rsidR="00FD15AA" w:rsidRDefault="00FD15AA" w:rsidP="008C0993">
      <w:pPr>
        <w:spacing w:line="360" w:lineRule="auto"/>
        <w:contextualSpacing/>
        <w:jc w:val="both"/>
        <w:rPr>
          <w:rFonts w:ascii="Times New Roman" w:hAnsi="Times New Roman" w:cs="Times New Roman"/>
          <w:b/>
          <w:bCs/>
          <w:sz w:val="28"/>
          <w:szCs w:val="28"/>
        </w:rPr>
      </w:pPr>
    </w:p>
    <w:p w:rsidR="00FD15AA" w:rsidRDefault="00FD15AA" w:rsidP="008C0993">
      <w:pPr>
        <w:spacing w:line="360" w:lineRule="auto"/>
        <w:contextualSpacing/>
        <w:jc w:val="both"/>
        <w:rPr>
          <w:rFonts w:ascii="Times New Roman" w:hAnsi="Times New Roman" w:cs="Times New Roman"/>
          <w:b/>
          <w:bCs/>
          <w:sz w:val="28"/>
          <w:szCs w:val="28"/>
        </w:rPr>
      </w:pPr>
    </w:p>
    <w:p w:rsidR="00FD15AA" w:rsidRDefault="00FD15AA" w:rsidP="008C0993">
      <w:pPr>
        <w:spacing w:line="360" w:lineRule="auto"/>
        <w:contextualSpacing/>
        <w:jc w:val="both"/>
        <w:rPr>
          <w:rFonts w:ascii="Times New Roman" w:hAnsi="Times New Roman" w:cs="Times New Roman"/>
          <w:b/>
          <w:bCs/>
          <w:sz w:val="28"/>
          <w:szCs w:val="28"/>
        </w:rPr>
      </w:pPr>
    </w:p>
    <w:p w:rsidR="00FD15AA" w:rsidRDefault="00FD15AA" w:rsidP="008C0993">
      <w:pPr>
        <w:spacing w:line="360" w:lineRule="auto"/>
        <w:contextualSpacing/>
        <w:jc w:val="both"/>
        <w:rPr>
          <w:rFonts w:ascii="Times New Roman" w:hAnsi="Times New Roman" w:cs="Times New Roman"/>
          <w:b/>
          <w:bCs/>
          <w:sz w:val="28"/>
          <w:szCs w:val="28"/>
        </w:rPr>
      </w:pPr>
    </w:p>
    <w:p w:rsidR="00FD15AA" w:rsidRDefault="00FD15AA" w:rsidP="008C0993">
      <w:pPr>
        <w:spacing w:line="360" w:lineRule="auto"/>
        <w:contextualSpacing/>
        <w:jc w:val="both"/>
        <w:rPr>
          <w:rFonts w:ascii="Times New Roman" w:hAnsi="Times New Roman" w:cs="Times New Roman"/>
          <w:b/>
          <w:bCs/>
          <w:sz w:val="28"/>
          <w:szCs w:val="28"/>
        </w:rPr>
      </w:pPr>
    </w:p>
    <w:p w:rsidR="00FD15AA" w:rsidRDefault="00FD15AA" w:rsidP="008C0993">
      <w:pPr>
        <w:spacing w:line="360" w:lineRule="auto"/>
        <w:contextualSpacing/>
        <w:jc w:val="both"/>
        <w:rPr>
          <w:rFonts w:ascii="Times New Roman" w:hAnsi="Times New Roman" w:cs="Times New Roman"/>
          <w:b/>
          <w:bCs/>
          <w:sz w:val="28"/>
          <w:szCs w:val="28"/>
        </w:rPr>
      </w:pPr>
    </w:p>
    <w:p w:rsidR="00FD15AA" w:rsidRDefault="00FD15AA" w:rsidP="008C0993">
      <w:pPr>
        <w:spacing w:line="360" w:lineRule="auto"/>
        <w:contextualSpacing/>
        <w:jc w:val="both"/>
        <w:rPr>
          <w:rFonts w:ascii="Times New Roman" w:hAnsi="Times New Roman" w:cs="Times New Roman"/>
          <w:b/>
          <w:bCs/>
          <w:sz w:val="28"/>
          <w:szCs w:val="28"/>
        </w:rPr>
      </w:pPr>
    </w:p>
    <w:p w:rsidR="00FD15AA" w:rsidRDefault="00FD15AA" w:rsidP="008C0993">
      <w:pPr>
        <w:spacing w:line="360" w:lineRule="auto"/>
        <w:contextualSpacing/>
        <w:jc w:val="both"/>
        <w:rPr>
          <w:rFonts w:ascii="Times New Roman" w:hAnsi="Times New Roman" w:cs="Times New Roman"/>
          <w:b/>
          <w:bCs/>
          <w:sz w:val="28"/>
          <w:szCs w:val="28"/>
        </w:rPr>
      </w:pPr>
    </w:p>
    <w:p w:rsidR="00FD15AA" w:rsidRDefault="00FD15AA" w:rsidP="008C0993">
      <w:pPr>
        <w:spacing w:line="360" w:lineRule="auto"/>
        <w:contextualSpacing/>
        <w:jc w:val="both"/>
        <w:rPr>
          <w:rFonts w:ascii="Times New Roman" w:hAnsi="Times New Roman" w:cs="Times New Roman"/>
          <w:b/>
          <w:bCs/>
          <w:sz w:val="28"/>
          <w:szCs w:val="28"/>
        </w:rPr>
      </w:pPr>
    </w:p>
    <w:p w:rsidR="00FD15AA" w:rsidRDefault="00FD15AA" w:rsidP="008C0993">
      <w:pPr>
        <w:spacing w:line="360" w:lineRule="auto"/>
        <w:contextualSpacing/>
        <w:jc w:val="both"/>
        <w:rPr>
          <w:rFonts w:ascii="Times New Roman" w:hAnsi="Times New Roman" w:cs="Times New Roman"/>
          <w:b/>
          <w:bCs/>
          <w:sz w:val="28"/>
          <w:szCs w:val="28"/>
        </w:rPr>
      </w:pPr>
    </w:p>
    <w:p w:rsidR="00FD15AA" w:rsidRDefault="00FD15AA" w:rsidP="008C0993">
      <w:pPr>
        <w:spacing w:line="360" w:lineRule="auto"/>
        <w:contextualSpacing/>
        <w:jc w:val="both"/>
        <w:rPr>
          <w:rFonts w:ascii="Times New Roman" w:hAnsi="Times New Roman" w:cs="Times New Roman"/>
          <w:b/>
          <w:bCs/>
          <w:sz w:val="28"/>
          <w:szCs w:val="28"/>
        </w:rPr>
      </w:pPr>
    </w:p>
    <w:p w:rsidR="00FD15AA" w:rsidRDefault="00FD15AA" w:rsidP="008C0993">
      <w:pPr>
        <w:spacing w:line="360" w:lineRule="auto"/>
        <w:contextualSpacing/>
        <w:jc w:val="both"/>
        <w:rPr>
          <w:rFonts w:ascii="Times New Roman" w:hAnsi="Times New Roman" w:cs="Times New Roman"/>
          <w:b/>
          <w:bCs/>
          <w:sz w:val="28"/>
          <w:szCs w:val="28"/>
        </w:rPr>
      </w:pPr>
    </w:p>
    <w:p w:rsidR="00FD15AA" w:rsidRDefault="00FD15AA" w:rsidP="008C0993">
      <w:pPr>
        <w:spacing w:line="360" w:lineRule="auto"/>
        <w:contextualSpacing/>
        <w:jc w:val="both"/>
        <w:rPr>
          <w:rFonts w:ascii="Times New Roman" w:hAnsi="Times New Roman" w:cs="Times New Roman"/>
          <w:b/>
          <w:bCs/>
          <w:sz w:val="28"/>
          <w:szCs w:val="28"/>
        </w:rPr>
      </w:pPr>
    </w:p>
    <w:p w:rsidR="00FD15AA" w:rsidRDefault="00FD15AA" w:rsidP="008C0993">
      <w:pPr>
        <w:spacing w:line="360" w:lineRule="auto"/>
        <w:contextualSpacing/>
        <w:jc w:val="both"/>
        <w:rPr>
          <w:rFonts w:ascii="Times New Roman" w:hAnsi="Times New Roman" w:cs="Times New Roman"/>
          <w:b/>
          <w:bCs/>
          <w:sz w:val="28"/>
          <w:szCs w:val="28"/>
        </w:rPr>
      </w:pPr>
    </w:p>
    <w:p w:rsidR="00FD15AA" w:rsidRDefault="00FD15AA" w:rsidP="008C0993">
      <w:pPr>
        <w:spacing w:line="360" w:lineRule="auto"/>
        <w:contextualSpacing/>
        <w:jc w:val="both"/>
        <w:rPr>
          <w:rFonts w:ascii="Times New Roman" w:hAnsi="Times New Roman" w:cs="Times New Roman"/>
          <w:b/>
          <w:bCs/>
          <w:sz w:val="28"/>
          <w:szCs w:val="28"/>
        </w:rPr>
      </w:pPr>
    </w:p>
    <w:p w:rsidR="00D230EA" w:rsidRDefault="00D230EA" w:rsidP="008C0993">
      <w:pPr>
        <w:spacing w:line="360" w:lineRule="auto"/>
        <w:contextualSpacing/>
        <w:jc w:val="both"/>
        <w:rPr>
          <w:rFonts w:ascii="Times New Roman" w:hAnsi="Times New Roman" w:cs="Times New Roman"/>
          <w:b/>
          <w:bCs/>
          <w:sz w:val="28"/>
          <w:szCs w:val="28"/>
        </w:rPr>
      </w:pPr>
    </w:p>
    <w:p w:rsidR="00112C34" w:rsidRDefault="00112C34" w:rsidP="008C0993">
      <w:pPr>
        <w:spacing w:line="360" w:lineRule="auto"/>
        <w:contextualSpacing/>
        <w:jc w:val="both"/>
        <w:rPr>
          <w:rFonts w:ascii="Times New Roman" w:hAnsi="Times New Roman" w:cs="Times New Roman"/>
          <w:b/>
          <w:bCs/>
          <w:sz w:val="28"/>
          <w:szCs w:val="28"/>
        </w:rPr>
      </w:pPr>
    </w:p>
    <w:p w:rsidR="006F5D14" w:rsidRDefault="006F5D14" w:rsidP="008C0993">
      <w:pPr>
        <w:spacing w:line="360" w:lineRule="auto"/>
        <w:contextualSpacing/>
        <w:jc w:val="both"/>
        <w:rPr>
          <w:rFonts w:ascii="Times New Roman" w:hAnsi="Times New Roman" w:cs="Times New Roman"/>
          <w:b/>
          <w:bCs/>
          <w:sz w:val="28"/>
          <w:szCs w:val="28"/>
        </w:rPr>
      </w:pPr>
    </w:p>
    <w:p w:rsidR="006F5D14" w:rsidRDefault="006F5D14" w:rsidP="008C0993">
      <w:pPr>
        <w:spacing w:line="360" w:lineRule="auto"/>
        <w:contextualSpacing/>
        <w:jc w:val="both"/>
        <w:rPr>
          <w:rFonts w:ascii="Times New Roman" w:hAnsi="Times New Roman" w:cs="Times New Roman"/>
          <w:b/>
          <w:bCs/>
          <w:sz w:val="28"/>
          <w:szCs w:val="28"/>
        </w:rPr>
      </w:pPr>
    </w:p>
    <w:p w:rsidR="006F5D14" w:rsidRDefault="006F5D14" w:rsidP="008C0993">
      <w:pPr>
        <w:spacing w:line="360" w:lineRule="auto"/>
        <w:contextualSpacing/>
        <w:jc w:val="both"/>
        <w:rPr>
          <w:rFonts w:ascii="Times New Roman" w:hAnsi="Times New Roman" w:cs="Times New Roman"/>
          <w:b/>
          <w:bCs/>
          <w:sz w:val="28"/>
          <w:szCs w:val="28"/>
        </w:rPr>
      </w:pPr>
    </w:p>
    <w:p w:rsidR="00344AE1" w:rsidRDefault="00344AE1" w:rsidP="008C0993">
      <w:pPr>
        <w:spacing w:line="360" w:lineRule="auto"/>
        <w:contextualSpacing/>
        <w:jc w:val="both"/>
        <w:rPr>
          <w:rFonts w:ascii="Times New Roman" w:hAnsi="Times New Roman" w:cs="Times New Roman"/>
          <w:b/>
          <w:bCs/>
          <w:sz w:val="28"/>
          <w:szCs w:val="28"/>
        </w:rPr>
      </w:pPr>
    </w:p>
    <w:p w:rsidR="00210C97" w:rsidRPr="008C0993" w:rsidRDefault="00210C97" w:rsidP="008C0993">
      <w:pPr>
        <w:spacing w:line="360" w:lineRule="auto"/>
        <w:contextualSpacing/>
        <w:jc w:val="both"/>
        <w:rPr>
          <w:rFonts w:ascii="Times New Roman" w:hAnsi="Times New Roman" w:cs="Times New Roman"/>
          <w:b/>
          <w:bCs/>
          <w:sz w:val="28"/>
          <w:szCs w:val="28"/>
        </w:rPr>
      </w:pPr>
      <w:r w:rsidRPr="008C0993">
        <w:rPr>
          <w:rFonts w:ascii="Times New Roman" w:hAnsi="Times New Roman" w:cs="Times New Roman"/>
          <w:b/>
          <w:bCs/>
          <w:sz w:val="28"/>
          <w:szCs w:val="28"/>
        </w:rPr>
        <w:lastRenderedPageBreak/>
        <w:t>Introduction</w:t>
      </w:r>
    </w:p>
    <w:p w:rsidR="00210C97" w:rsidRDefault="00210C97" w:rsidP="008C0993">
      <w:pPr>
        <w:spacing w:line="360" w:lineRule="auto"/>
        <w:contextualSpacing/>
        <w:jc w:val="both"/>
        <w:rPr>
          <w:rFonts w:ascii="Times New Roman" w:hAnsi="Times New Roman" w:cs="Times New Roman"/>
          <w:sz w:val="28"/>
          <w:szCs w:val="28"/>
        </w:rPr>
      </w:pPr>
      <w:r w:rsidRPr="008C0993">
        <w:rPr>
          <w:rFonts w:ascii="Times New Roman" w:hAnsi="Times New Roman" w:cs="Times New Roman"/>
          <w:sz w:val="28"/>
          <w:szCs w:val="28"/>
        </w:rPr>
        <w:t>App</w:t>
      </w:r>
      <w:r w:rsidR="00017F26" w:rsidRPr="008C0993">
        <w:rPr>
          <w:rFonts w:ascii="Times New Roman" w:hAnsi="Times New Roman" w:cs="Times New Roman"/>
          <w:sz w:val="28"/>
          <w:szCs w:val="28"/>
        </w:rPr>
        <w:t>licants approached this Court on</w:t>
      </w:r>
      <w:r w:rsidRPr="008C0993">
        <w:rPr>
          <w:rFonts w:ascii="Times New Roman" w:hAnsi="Times New Roman" w:cs="Times New Roman"/>
          <w:sz w:val="28"/>
          <w:szCs w:val="28"/>
        </w:rPr>
        <w:t xml:space="preserve"> urgent basis on the 14</w:t>
      </w:r>
      <w:r w:rsidRPr="008C0993">
        <w:rPr>
          <w:rFonts w:ascii="Times New Roman" w:hAnsi="Times New Roman" w:cs="Times New Roman"/>
          <w:sz w:val="28"/>
          <w:szCs w:val="28"/>
          <w:vertAlign w:val="superscript"/>
        </w:rPr>
        <w:t>th</w:t>
      </w:r>
      <w:r w:rsidRPr="008C0993">
        <w:rPr>
          <w:rFonts w:ascii="Times New Roman" w:hAnsi="Times New Roman" w:cs="Times New Roman"/>
          <w:sz w:val="28"/>
          <w:szCs w:val="28"/>
        </w:rPr>
        <w:t xml:space="preserve"> September 2021. A </w:t>
      </w:r>
      <w:r w:rsidRPr="00D230EA">
        <w:rPr>
          <w:rFonts w:ascii="Times New Roman" w:hAnsi="Times New Roman" w:cs="Times New Roman"/>
          <w:i/>
          <w:iCs/>
          <w:sz w:val="28"/>
          <w:szCs w:val="28"/>
        </w:rPr>
        <w:t>rule nisi</w:t>
      </w:r>
      <w:r w:rsidRPr="008C0993">
        <w:rPr>
          <w:rFonts w:ascii="Times New Roman" w:hAnsi="Times New Roman" w:cs="Times New Roman"/>
          <w:sz w:val="28"/>
          <w:szCs w:val="28"/>
        </w:rPr>
        <w:t xml:space="preserve"> was issued calling upon the respondents to show cause if any; why;</w:t>
      </w:r>
    </w:p>
    <w:p w:rsidR="008C0993" w:rsidRPr="008C0993" w:rsidRDefault="008C0993" w:rsidP="008C0993">
      <w:pPr>
        <w:spacing w:line="360" w:lineRule="auto"/>
        <w:contextualSpacing/>
        <w:jc w:val="both"/>
        <w:rPr>
          <w:rFonts w:ascii="Times New Roman" w:hAnsi="Times New Roman" w:cs="Times New Roman"/>
          <w:sz w:val="28"/>
          <w:szCs w:val="28"/>
        </w:rPr>
      </w:pPr>
    </w:p>
    <w:p w:rsidR="00210C97" w:rsidRDefault="00210C97" w:rsidP="00D47B89">
      <w:pPr>
        <w:pStyle w:val="ListParagraph"/>
        <w:numPr>
          <w:ilvl w:val="0"/>
          <w:numId w:val="1"/>
        </w:numPr>
        <w:spacing w:line="360" w:lineRule="auto"/>
        <w:jc w:val="both"/>
        <w:rPr>
          <w:rFonts w:ascii="Times New Roman" w:hAnsi="Times New Roman" w:cs="Times New Roman"/>
          <w:sz w:val="28"/>
          <w:szCs w:val="28"/>
        </w:rPr>
      </w:pPr>
      <w:r w:rsidRPr="008C0993">
        <w:rPr>
          <w:rFonts w:ascii="Times New Roman" w:hAnsi="Times New Roman" w:cs="Times New Roman"/>
          <w:sz w:val="28"/>
          <w:szCs w:val="28"/>
        </w:rPr>
        <w:t>Normal rules pertaining to the modes of service and process shall not be dispensed with on account of urgency of this matter.</w:t>
      </w:r>
    </w:p>
    <w:p w:rsidR="008C0993" w:rsidRPr="008C0993" w:rsidRDefault="008C0993" w:rsidP="00D47B89">
      <w:pPr>
        <w:pStyle w:val="ListParagraph"/>
        <w:spacing w:line="360" w:lineRule="auto"/>
        <w:ind w:hanging="360"/>
        <w:jc w:val="both"/>
        <w:rPr>
          <w:rFonts w:ascii="Times New Roman" w:hAnsi="Times New Roman" w:cs="Times New Roman"/>
          <w:sz w:val="28"/>
          <w:szCs w:val="28"/>
        </w:rPr>
      </w:pPr>
    </w:p>
    <w:p w:rsidR="008C0993" w:rsidRPr="008C0993" w:rsidRDefault="00FB5F99" w:rsidP="00D47B89">
      <w:pPr>
        <w:pStyle w:val="ListParagraph"/>
        <w:numPr>
          <w:ilvl w:val="0"/>
          <w:numId w:val="1"/>
        </w:numPr>
        <w:spacing w:line="360" w:lineRule="auto"/>
        <w:jc w:val="both"/>
        <w:rPr>
          <w:rFonts w:ascii="Times New Roman" w:hAnsi="Times New Roman" w:cs="Times New Roman"/>
          <w:sz w:val="28"/>
          <w:szCs w:val="28"/>
        </w:rPr>
      </w:pPr>
      <w:r w:rsidRPr="008C0993">
        <w:rPr>
          <w:rFonts w:ascii="Times New Roman" w:hAnsi="Times New Roman" w:cs="Times New Roman"/>
          <w:sz w:val="28"/>
          <w:szCs w:val="28"/>
        </w:rPr>
        <w:t xml:space="preserve">(a) </w:t>
      </w:r>
      <w:r w:rsidR="00210C97" w:rsidRPr="008C0993">
        <w:rPr>
          <w:rFonts w:ascii="Times New Roman" w:hAnsi="Times New Roman" w:cs="Times New Roman"/>
          <w:sz w:val="28"/>
          <w:szCs w:val="28"/>
        </w:rPr>
        <w:t xml:space="preserve">The first respondent shall not be interdicted from accessing and or disposing the joint estate of the late </w:t>
      </w:r>
      <w:proofErr w:type="spellStart"/>
      <w:r w:rsidR="00210C97" w:rsidRPr="008C0993">
        <w:rPr>
          <w:rFonts w:ascii="Times New Roman" w:hAnsi="Times New Roman" w:cs="Times New Roman"/>
          <w:sz w:val="28"/>
          <w:szCs w:val="28"/>
        </w:rPr>
        <w:t>Metsing</w:t>
      </w:r>
      <w:proofErr w:type="spellEnd"/>
      <w:r w:rsidR="00210C97" w:rsidRPr="008C0993">
        <w:rPr>
          <w:rFonts w:ascii="Times New Roman" w:hAnsi="Times New Roman" w:cs="Times New Roman"/>
          <w:sz w:val="28"/>
          <w:szCs w:val="28"/>
        </w:rPr>
        <w:t xml:space="preserve"> </w:t>
      </w:r>
      <w:proofErr w:type="spellStart"/>
      <w:r w:rsidR="00210C97" w:rsidRPr="008C0993">
        <w:rPr>
          <w:rFonts w:ascii="Times New Roman" w:hAnsi="Times New Roman" w:cs="Times New Roman"/>
          <w:sz w:val="28"/>
          <w:szCs w:val="28"/>
        </w:rPr>
        <w:t>Lekhanya</w:t>
      </w:r>
      <w:proofErr w:type="spellEnd"/>
      <w:r w:rsidR="00210C97" w:rsidRPr="008C0993">
        <w:rPr>
          <w:rFonts w:ascii="Times New Roman" w:hAnsi="Times New Roman" w:cs="Times New Roman"/>
          <w:sz w:val="28"/>
          <w:szCs w:val="28"/>
        </w:rPr>
        <w:t xml:space="preserve"> and Sofia </w:t>
      </w:r>
      <w:proofErr w:type="spellStart"/>
      <w:r w:rsidR="00210C97" w:rsidRPr="008C0993">
        <w:rPr>
          <w:rFonts w:ascii="Times New Roman" w:hAnsi="Times New Roman" w:cs="Times New Roman"/>
          <w:sz w:val="28"/>
          <w:szCs w:val="28"/>
        </w:rPr>
        <w:t>Lekha</w:t>
      </w:r>
      <w:r w:rsidR="00F725CB" w:rsidRPr="008C0993">
        <w:rPr>
          <w:rFonts w:ascii="Times New Roman" w:hAnsi="Times New Roman" w:cs="Times New Roman"/>
          <w:sz w:val="28"/>
          <w:szCs w:val="28"/>
        </w:rPr>
        <w:t>nya</w:t>
      </w:r>
      <w:proofErr w:type="spellEnd"/>
      <w:r w:rsidR="00F725CB" w:rsidRPr="008C0993">
        <w:rPr>
          <w:rFonts w:ascii="Times New Roman" w:hAnsi="Times New Roman" w:cs="Times New Roman"/>
          <w:sz w:val="28"/>
          <w:szCs w:val="28"/>
        </w:rPr>
        <w:t xml:space="preserve"> without the full contingent</w:t>
      </w:r>
      <w:r w:rsidR="00210C97" w:rsidRPr="008C0993">
        <w:rPr>
          <w:rFonts w:ascii="Times New Roman" w:hAnsi="Times New Roman" w:cs="Times New Roman"/>
          <w:sz w:val="28"/>
          <w:szCs w:val="28"/>
        </w:rPr>
        <w:t xml:space="preserve"> of the</w:t>
      </w:r>
      <w:r w:rsidR="00F725CB" w:rsidRPr="008C0993">
        <w:rPr>
          <w:rFonts w:ascii="Times New Roman" w:hAnsi="Times New Roman" w:cs="Times New Roman"/>
          <w:sz w:val="28"/>
          <w:szCs w:val="28"/>
        </w:rPr>
        <w:t xml:space="preserve"> other beneficiaries to the estate of the late </w:t>
      </w:r>
      <w:proofErr w:type="spellStart"/>
      <w:r w:rsidR="00F725CB" w:rsidRPr="008C0993">
        <w:rPr>
          <w:rFonts w:ascii="Times New Roman" w:hAnsi="Times New Roman" w:cs="Times New Roman"/>
          <w:sz w:val="28"/>
          <w:szCs w:val="28"/>
        </w:rPr>
        <w:t>Metsing</w:t>
      </w:r>
      <w:proofErr w:type="spellEnd"/>
      <w:r w:rsidR="00F725CB" w:rsidRPr="008C0993">
        <w:rPr>
          <w:rFonts w:ascii="Times New Roman" w:hAnsi="Times New Roman" w:cs="Times New Roman"/>
          <w:sz w:val="28"/>
          <w:szCs w:val="28"/>
        </w:rPr>
        <w:t xml:space="preserve"> and Sofia </w:t>
      </w:r>
      <w:proofErr w:type="spellStart"/>
      <w:r w:rsidR="00F725CB" w:rsidRPr="008C0993">
        <w:rPr>
          <w:rFonts w:ascii="Times New Roman" w:hAnsi="Times New Roman" w:cs="Times New Roman"/>
          <w:sz w:val="28"/>
          <w:szCs w:val="28"/>
        </w:rPr>
        <w:t>Lekhanya</w:t>
      </w:r>
      <w:proofErr w:type="spellEnd"/>
      <w:r w:rsidR="00F725CB" w:rsidRPr="008C0993">
        <w:rPr>
          <w:rFonts w:ascii="Times New Roman" w:hAnsi="Times New Roman" w:cs="Times New Roman"/>
          <w:sz w:val="28"/>
          <w:szCs w:val="28"/>
        </w:rPr>
        <w:t>.</w:t>
      </w:r>
    </w:p>
    <w:p w:rsidR="008C0993" w:rsidRPr="008C0993" w:rsidRDefault="008C0993" w:rsidP="008C0993">
      <w:pPr>
        <w:pStyle w:val="ListParagraph"/>
        <w:spacing w:line="360" w:lineRule="auto"/>
        <w:jc w:val="both"/>
        <w:rPr>
          <w:rFonts w:ascii="Times New Roman" w:hAnsi="Times New Roman" w:cs="Times New Roman"/>
          <w:sz w:val="28"/>
          <w:szCs w:val="28"/>
        </w:rPr>
      </w:pPr>
    </w:p>
    <w:p w:rsidR="004F5115" w:rsidRDefault="004F5115" w:rsidP="00D47B89">
      <w:pPr>
        <w:pStyle w:val="ListParagraph"/>
        <w:numPr>
          <w:ilvl w:val="0"/>
          <w:numId w:val="2"/>
        </w:numPr>
        <w:spacing w:line="360" w:lineRule="auto"/>
        <w:ind w:left="1170" w:hanging="450"/>
        <w:jc w:val="both"/>
        <w:rPr>
          <w:rFonts w:ascii="Times New Roman" w:hAnsi="Times New Roman" w:cs="Times New Roman"/>
          <w:sz w:val="28"/>
          <w:szCs w:val="28"/>
        </w:rPr>
      </w:pPr>
      <w:r w:rsidRPr="008C0993">
        <w:rPr>
          <w:rFonts w:ascii="Times New Roman" w:hAnsi="Times New Roman" w:cs="Times New Roman"/>
          <w:sz w:val="28"/>
          <w:szCs w:val="28"/>
        </w:rPr>
        <w:t>The first respondent shall not be interdicted from receiving rentals from the tenants of the properties locat</w:t>
      </w:r>
      <w:r w:rsidR="00581AD7" w:rsidRPr="008C0993">
        <w:rPr>
          <w:rFonts w:ascii="Times New Roman" w:hAnsi="Times New Roman" w:cs="Times New Roman"/>
          <w:sz w:val="28"/>
          <w:szCs w:val="28"/>
        </w:rPr>
        <w:t xml:space="preserve">ed at a filling station in </w:t>
      </w:r>
      <w:proofErr w:type="spellStart"/>
      <w:r w:rsidR="00581AD7" w:rsidRPr="008C0993">
        <w:rPr>
          <w:rFonts w:ascii="Times New Roman" w:hAnsi="Times New Roman" w:cs="Times New Roman"/>
          <w:sz w:val="28"/>
          <w:szCs w:val="28"/>
        </w:rPr>
        <w:t>Thaba</w:t>
      </w:r>
      <w:r w:rsidRPr="008C0993">
        <w:rPr>
          <w:rFonts w:ascii="Times New Roman" w:hAnsi="Times New Roman" w:cs="Times New Roman"/>
          <w:sz w:val="28"/>
          <w:szCs w:val="28"/>
        </w:rPr>
        <w:t>-Tseka</w:t>
      </w:r>
      <w:proofErr w:type="spellEnd"/>
      <w:r w:rsidRPr="008C0993">
        <w:rPr>
          <w:rFonts w:ascii="Times New Roman" w:hAnsi="Times New Roman" w:cs="Times New Roman"/>
          <w:sz w:val="28"/>
          <w:szCs w:val="28"/>
        </w:rPr>
        <w:t>, and all other rented properties of the deceased parents.</w:t>
      </w:r>
    </w:p>
    <w:p w:rsidR="008C0993" w:rsidRPr="008C0993" w:rsidRDefault="008C0993" w:rsidP="00D47B89">
      <w:pPr>
        <w:pStyle w:val="ListParagraph"/>
        <w:spacing w:line="360" w:lineRule="auto"/>
        <w:ind w:left="1170" w:hanging="450"/>
        <w:jc w:val="both"/>
        <w:rPr>
          <w:rFonts w:ascii="Times New Roman" w:hAnsi="Times New Roman" w:cs="Times New Roman"/>
          <w:sz w:val="28"/>
          <w:szCs w:val="28"/>
        </w:rPr>
      </w:pPr>
    </w:p>
    <w:p w:rsidR="008C0993" w:rsidRPr="008C0993" w:rsidRDefault="00FB5F99" w:rsidP="00D47B89">
      <w:pPr>
        <w:pStyle w:val="ListParagraph"/>
        <w:numPr>
          <w:ilvl w:val="0"/>
          <w:numId w:val="2"/>
        </w:numPr>
        <w:spacing w:line="360" w:lineRule="auto"/>
        <w:ind w:left="1170" w:hanging="450"/>
        <w:jc w:val="both"/>
        <w:rPr>
          <w:rFonts w:ascii="Times New Roman" w:hAnsi="Times New Roman" w:cs="Times New Roman"/>
          <w:sz w:val="28"/>
          <w:szCs w:val="28"/>
        </w:rPr>
      </w:pPr>
      <w:r w:rsidRPr="008C0993">
        <w:rPr>
          <w:rFonts w:ascii="Times New Roman" w:hAnsi="Times New Roman" w:cs="Times New Roman"/>
          <w:sz w:val="28"/>
          <w:szCs w:val="28"/>
        </w:rPr>
        <w:t xml:space="preserve">That all rentals shall not be deposited into the trust account of Attorney </w:t>
      </w:r>
      <w:proofErr w:type="spellStart"/>
      <w:r w:rsidRPr="008C0993">
        <w:rPr>
          <w:rFonts w:ascii="Times New Roman" w:hAnsi="Times New Roman" w:cs="Times New Roman"/>
          <w:sz w:val="28"/>
          <w:szCs w:val="28"/>
        </w:rPr>
        <w:t>Monaheng</w:t>
      </w:r>
      <w:proofErr w:type="spellEnd"/>
      <w:r w:rsidRPr="008C0993">
        <w:rPr>
          <w:rFonts w:ascii="Times New Roman" w:hAnsi="Times New Roman" w:cs="Times New Roman"/>
          <w:sz w:val="28"/>
          <w:szCs w:val="28"/>
        </w:rPr>
        <w:t xml:space="preserve"> </w:t>
      </w:r>
      <w:proofErr w:type="spellStart"/>
      <w:r w:rsidRPr="008C0993">
        <w:rPr>
          <w:rFonts w:ascii="Times New Roman" w:hAnsi="Times New Roman" w:cs="Times New Roman"/>
          <w:sz w:val="28"/>
          <w:szCs w:val="28"/>
        </w:rPr>
        <w:t>Rasekoai</w:t>
      </w:r>
      <w:proofErr w:type="spellEnd"/>
      <w:r w:rsidRPr="008C0993">
        <w:rPr>
          <w:rFonts w:ascii="Times New Roman" w:hAnsi="Times New Roman" w:cs="Times New Roman"/>
          <w:sz w:val="28"/>
          <w:szCs w:val="28"/>
        </w:rPr>
        <w:t>, who shall hold them in trust for the estate, pending finalisation hereof.</w:t>
      </w:r>
    </w:p>
    <w:p w:rsidR="008C0993" w:rsidRPr="008C0993" w:rsidRDefault="008C0993" w:rsidP="00D47B89">
      <w:pPr>
        <w:pStyle w:val="ListParagraph"/>
        <w:spacing w:line="360" w:lineRule="auto"/>
        <w:ind w:left="1170" w:hanging="450"/>
        <w:jc w:val="both"/>
        <w:rPr>
          <w:rFonts w:ascii="Times New Roman" w:hAnsi="Times New Roman" w:cs="Times New Roman"/>
          <w:sz w:val="28"/>
          <w:szCs w:val="28"/>
        </w:rPr>
      </w:pPr>
    </w:p>
    <w:p w:rsidR="008C0993" w:rsidRPr="008C0993" w:rsidRDefault="00FB5F99" w:rsidP="00D47B89">
      <w:pPr>
        <w:pStyle w:val="ListParagraph"/>
        <w:numPr>
          <w:ilvl w:val="0"/>
          <w:numId w:val="2"/>
        </w:numPr>
        <w:spacing w:line="360" w:lineRule="auto"/>
        <w:ind w:left="1170" w:hanging="450"/>
        <w:jc w:val="both"/>
        <w:rPr>
          <w:rFonts w:ascii="Times New Roman" w:hAnsi="Times New Roman" w:cs="Times New Roman"/>
          <w:sz w:val="28"/>
          <w:szCs w:val="28"/>
        </w:rPr>
      </w:pPr>
      <w:r w:rsidRPr="008C0993">
        <w:rPr>
          <w:rFonts w:ascii="Times New Roman" w:hAnsi="Times New Roman" w:cs="Times New Roman"/>
          <w:sz w:val="28"/>
          <w:szCs w:val="28"/>
        </w:rPr>
        <w:t xml:space="preserve">That all expenses borne form the farms at </w:t>
      </w:r>
      <w:proofErr w:type="spellStart"/>
      <w:r w:rsidRPr="008C0993">
        <w:rPr>
          <w:rFonts w:ascii="Times New Roman" w:hAnsi="Times New Roman" w:cs="Times New Roman"/>
          <w:sz w:val="28"/>
          <w:szCs w:val="28"/>
        </w:rPr>
        <w:t>Mants</w:t>
      </w:r>
      <w:r w:rsidR="008C0993">
        <w:rPr>
          <w:rFonts w:ascii="Times New Roman" w:hAnsi="Times New Roman" w:cs="Times New Roman"/>
          <w:sz w:val="28"/>
          <w:szCs w:val="28"/>
        </w:rPr>
        <w:t>’</w:t>
      </w:r>
      <w:r w:rsidRPr="008C0993">
        <w:rPr>
          <w:rFonts w:ascii="Times New Roman" w:hAnsi="Times New Roman" w:cs="Times New Roman"/>
          <w:sz w:val="28"/>
          <w:szCs w:val="28"/>
        </w:rPr>
        <w:t>onyane</w:t>
      </w:r>
      <w:proofErr w:type="spellEnd"/>
      <w:r w:rsidRPr="008C0993">
        <w:rPr>
          <w:rFonts w:ascii="Times New Roman" w:hAnsi="Times New Roman" w:cs="Times New Roman"/>
          <w:sz w:val="28"/>
          <w:szCs w:val="28"/>
        </w:rPr>
        <w:t xml:space="preserve"> and </w:t>
      </w:r>
      <w:proofErr w:type="spellStart"/>
      <w:r w:rsidRPr="008C0993">
        <w:rPr>
          <w:rFonts w:ascii="Times New Roman" w:hAnsi="Times New Roman" w:cs="Times New Roman"/>
          <w:sz w:val="28"/>
          <w:szCs w:val="28"/>
        </w:rPr>
        <w:t>Sehlabeng</w:t>
      </w:r>
      <w:proofErr w:type="spellEnd"/>
      <w:r w:rsidRPr="008C0993">
        <w:rPr>
          <w:rFonts w:ascii="Times New Roman" w:hAnsi="Times New Roman" w:cs="Times New Roman"/>
          <w:sz w:val="28"/>
          <w:szCs w:val="28"/>
        </w:rPr>
        <w:t xml:space="preserve"> shall not be paid from th</w:t>
      </w:r>
      <w:r w:rsidR="00B86767" w:rsidRPr="008C0993">
        <w:rPr>
          <w:rFonts w:ascii="Times New Roman" w:hAnsi="Times New Roman" w:cs="Times New Roman"/>
          <w:sz w:val="28"/>
          <w:szCs w:val="28"/>
        </w:rPr>
        <w:t>e moneys collected in the trust.</w:t>
      </w:r>
    </w:p>
    <w:p w:rsidR="008C0993" w:rsidRPr="008C0993" w:rsidRDefault="008C0993" w:rsidP="00D47B89">
      <w:pPr>
        <w:pStyle w:val="ListParagraph"/>
        <w:spacing w:line="360" w:lineRule="auto"/>
        <w:ind w:left="1170" w:hanging="450"/>
        <w:jc w:val="both"/>
        <w:rPr>
          <w:rFonts w:ascii="Times New Roman" w:hAnsi="Times New Roman" w:cs="Times New Roman"/>
          <w:sz w:val="28"/>
          <w:szCs w:val="28"/>
        </w:rPr>
      </w:pPr>
    </w:p>
    <w:p w:rsidR="008C0993" w:rsidRPr="008C0993" w:rsidRDefault="004F5115" w:rsidP="00D47B89">
      <w:pPr>
        <w:pStyle w:val="ListParagraph"/>
        <w:numPr>
          <w:ilvl w:val="0"/>
          <w:numId w:val="2"/>
        </w:numPr>
        <w:spacing w:line="360" w:lineRule="auto"/>
        <w:ind w:left="1170" w:hanging="450"/>
        <w:jc w:val="both"/>
        <w:rPr>
          <w:rFonts w:ascii="Times New Roman" w:hAnsi="Times New Roman" w:cs="Times New Roman"/>
          <w:sz w:val="28"/>
          <w:szCs w:val="28"/>
        </w:rPr>
      </w:pPr>
      <w:r w:rsidRPr="008C0993">
        <w:rPr>
          <w:rFonts w:ascii="Times New Roman" w:hAnsi="Times New Roman" w:cs="Times New Roman"/>
          <w:sz w:val="28"/>
          <w:szCs w:val="28"/>
        </w:rPr>
        <w:t>That all the children of the deceased shall not be declared as the joint heirs and beneficiaries of the deceased estate.</w:t>
      </w:r>
    </w:p>
    <w:p w:rsidR="008C0993" w:rsidRPr="008C0993" w:rsidRDefault="008C0993" w:rsidP="00D47B89">
      <w:pPr>
        <w:pStyle w:val="ListParagraph"/>
        <w:spacing w:line="360" w:lineRule="auto"/>
        <w:ind w:left="1170" w:hanging="450"/>
        <w:jc w:val="both"/>
        <w:rPr>
          <w:rFonts w:ascii="Times New Roman" w:hAnsi="Times New Roman" w:cs="Times New Roman"/>
          <w:sz w:val="28"/>
          <w:szCs w:val="28"/>
        </w:rPr>
      </w:pPr>
    </w:p>
    <w:p w:rsidR="008C0993" w:rsidRPr="00883A75" w:rsidRDefault="00FB5F99" w:rsidP="00D47B89">
      <w:pPr>
        <w:pStyle w:val="ListParagraph"/>
        <w:numPr>
          <w:ilvl w:val="0"/>
          <w:numId w:val="2"/>
        </w:numPr>
        <w:spacing w:line="360" w:lineRule="auto"/>
        <w:ind w:left="1170" w:hanging="450"/>
        <w:jc w:val="both"/>
        <w:rPr>
          <w:rFonts w:ascii="Times New Roman" w:hAnsi="Times New Roman" w:cs="Times New Roman"/>
          <w:sz w:val="28"/>
          <w:szCs w:val="28"/>
        </w:rPr>
      </w:pPr>
      <w:r w:rsidRPr="008C0993">
        <w:rPr>
          <w:rFonts w:ascii="Times New Roman" w:hAnsi="Times New Roman" w:cs="Times New Roman"/>
          <w:sz w:val="28"/>
          <w:szCs w:val="28"/>
        </w:rPr>
        <w:t>The estate shall not be reported at the office of the Master for administration.</w:t>
      </w:r>
    </w:p>
    <w:p w:rsidR="008C0993" w:rsidRPr="008C0993" w:rsidRDefault="00FB5F99" w:rsidP="00D47B89">
      <w:pPr>
        <w:pStyle w:val="ListParagraph"/>
        <w:numPr>
          <w:ilvl w:val="0"/>
          <w:numId w:val="2"/>
        </w:numPr>
        <w:spacing w:line="360" w:lineRule="auto"/>
        <w:ind w:left="1170" w:hanging="450"/>
        <w:jc w:val="both"/>
        <w:rPr>
          <w:rFonts w:ascii="Times New Roman" w:hAnsi="Times New Roman" w:cs="Times New Roman"/>
          <w:sz w:val="28"/>
          <w:szCs w:val="28"/>
        </w:rPr>
      </w:pPr>
      <w:r w:rsidRPr="008C0993">
        <w:rPr>
          <w:rFonts w:ascii="Times New Roman" w:hAnsi="Times New Roman" w:cs="Times New Roman"/>
          <w:sz w:val="28"/>
          <w:szCs w:val="28"/>
        </w:rPr>
        <w:lastRenderedPageBreak/>
        <w:t xml:space="preserve">That the estate shall not devolve in terms of the </w:t>
      </w:r>
      <w:bookmarkStart w:id="0" w:name="_Hlk113962368"/>
      <w:r w:rsidRPr="00344AE1">
        <w:rPr>
          <w:rFonts w:ascii="Times New Roman" w:hAnsi="Times New Roman" w:cs="Times New Roman"/>
          <w:b/>
          <w:bCs/>
          <w:i/>
          <w:iCs/>
          <w:sz w:val="28"/>
          <w:szCs w:val="28"/>
        </w:rPr>
        <w:t>Administration of Estates Proclamation of 1935</w:t>
      </w:r>
      <w:bookmarkEnd w:id="0"/>
      <w:r w:rsidRPr="008C0993">
        <w:rPr>
          <w:rFonts w:ascii="Times New Roman" w:hAnsi="Times New Roman" w:cs="Times New Roman"/>
          <w:sz w:val="28"/>
          <w:szCs w:val="28"/>
        </w:rPr>
        <w:t>.</w:t>
      </w:r>
    </w:p>
    <w:p w:rsidR="008C0993" w:rsidRPr="008C0993" w:rsidRDefault="008C0993" w:rsidP="00D47B89">
      <w:pPr>
        <w:pStyle w:val="ListParagraph"/>
        <w:spacing w:line="360" w:lineRule="auto"/>
        <w:ind w:left="1170" w:hanging="450"/>
        <w:jc w:val="both"/>
        <w:rPr>
          <w:rFonts w:ascii="Times New Roman" w:hAnsi="Times New Roman" w:cs="Times New Roman"/>
          <w:sz w:val="28"/>
          <w:szCs w:val="28"/>
        </w:rPr>
      </w:pPr>
    </w:p>
    <w:p w:rsidR="006F5D14" w:rsidRPr="006F5D14" w:rsidRDefault="00FB5F99" w:rsidP="006F5D14">
      <w:pPr>
        <w:pStyle w:val="ListParagraph"/>
        <w:numPr>
          <w:ilvl w:val="0"/>
          <w:numId w:val="2"/>
        </w:numPr>
        <w:spacing w:line="360" w:lineRule="auto"/>
        <w:ind w:left="1170" w:hanging="450"/>
        <w:jc w:val="both"/>
        <w:rPr>
          <w:rFonts w:ascii="Times New Roman" w:hAnsi="Times New Roman" w:cs="Times New Roman"/>
          <w:sz w:val="28"/>
          <w:szCs w:val="28"/>
        </w:rPr>
      </w:pPr>
      <w:r w:rsidRPr="008C0993">
        <w:rPr>
          <w:rFonts w:ascii="Times New Roman" w:hAnsi="Times New Roman" w:cs="Times New Roman"/>
          <w:sz w:val="28"/>
          <w:szCs w:val="28"/>
        </w:rPr>
        <w:t>That the late reporting of the estate shall not be condoned.</w:t>
      </w:r>
    </w:p>
    <w:p w:rsidR="006F5D14" w:rsidRPr="006F5D14" w:rsidRDefault="006F5D14" w:rsidP="006F5D14">
      <w:pPr>
        <w:pStyle w:val="ListParagraph"/>
        <w:spacing w:line="360" w:lineRule="auto"/>
        <w:ind w:left="1170"/>
        <w:jc w:val="both"/>
        <w:rPr>
          <w:rFonts w:ascii="Times New Roman" w:hAnsi="Times New Roman" w:cs="Times New Roman"/>
          <w:sz w:val="28"/>
          <w:szCs w:val="28"/>
        </w:rPr>
      </w:pPr>
    </w:p>
    <w:p w:rsidR="006604DF" w:rsidRPr="008C0993" w:rsidRDefault="006604DF" w:rsidP="009B0445">
      <w:pPr>
        <w:spacing w:line="360" w:lineRule="auto"/>
        <w:contextualSpacing/>
        <w:jc w:val="both"/>
        <w:rPr>
          <w:rFonts w:ascii="Times New Roman" w:hAnsi="Times New Roman" w:cs="Times New Roman"/>
          <w:b/>
          <w:bCs/>
          <w:sz w:val="28"/>
          <w:szCs w:val="28"/>
        </w:rPr>
      </w:pPr>
      <w:r w:rsidRPr="008C0993">
        <w:rPr>
          <w:rFonts w:ascii="Times New Roman" w:hAnsi="Times New Roman" w:cs="Times New Roman"/>
          <w:b/>
          <w:bCs/>
          <w:sz w:val="28"/>
          <w:szCs w:val="28"/>
        </w:rPr>
        <w:t>Background</w:t>
      </w:r>
    </w:p>
    <w:p w:rsidR="00210C97" w:rsidRDefault="006604DF" w:rsidP="009B0445">
      <w:pPr>
        <w:spacing w:line="360" w:lineRule="auto"/>
        <w:contextualSpacing/>
        <w:jc w:val="both"/>
        <w:rPr>
          <w:rFonts w:ascii="Times New Roman" w:hAnsi="Times New Roman" w:cs="Times New Roman"/>
          <w:sz w:val="28"/>
          <w:szCs w:val="28"/>
        </w:rPr>
      </w:pPr>
      <w:r w:rsidRPr="008C0993">
        <w:rPr>
          <w:rFonts w:ascii="Times New Roman" w:hAnsi="Times New Roman" w:cs="Times New Roman"/>
          <w:sz w:val="28"/>
          <w:szCs w:val="28"/>
        </w:rPr>
        <w:t xml:space="preserve">[1] It is worth mentioning from the onset that the three applicants and the first respondent are siblings. The first respondent is the youngest child of the late </w:t>
      </w:r>
      <w:proofErr w:type="spellStart"/>
      <w:r w:rsidR="008C0993" w:rsidRPr="008C0993">
        <w:rPr>
          <w:rFonts w:ascii="Times New Roman" w:hAnsi="Times New Roman" w:cs="Times New Roman"/>
          <w:sz w:val="28"/>
          <w:szCs w:val="28"/>
        </w:rPr>
        <w:t>Metsing</w:t>
      </w:r>
      <w:proofErr w:type="spellEnd"/>
      <w:r w:rsidR="008C0993" w:rsidRPr="008C0993">
        <w:rPr>
          <w:rFonts w:ascii="Times New Roman" w:hAnsi="Times New Roman" w:cs="Times New Roman"/>
          <w:sz w:val="28"/>
          <w:szCs w:val="28"/>
        </w:rPr>
        <w:t xml:space="preserve"> </w:t>
      </w:r>
      <w:proofErr w:type="spellStart"/>
      <w:r w:rsidR="008C0993" w:rsidRPr="008C0993">
        <w:rPr>
          <w:rFonts w:ascii="Times New Roman" w:hAnsi="Times New Roman" w:cs="Times New Roman"/>
          <w:sz w:val="28"/>
          <w:szCs w:val="28"/>
        </w:rPr>
        <w:t>Lekhanya</w:t>
      </w:r>
      <w:proofErr w:type="spellEnd"/>
      <w:r w:rsidRPr="008C0993">
        <w:rPr>
          <w:rFonts w:ascii="Times New Roman" w:hAnsi="Times New Roman" w:cs="Times New Roman"/>
          <w:sz w:val="28"/>
          <w:szCs w:val="28"/>
        </w:rPr>
        <w:t xml:space="preserve"> and </w:t>
      </w:r>
      <w:r w:rsidR="00036037" w:rsidRPr="008C0993">
        <w:rPr>
          <w:rFonts w:ascii="Times New Roman" w:hAnsi="Times New Roman" w:cs="Times New Roman"/>
          <w:sz w:val="28"/>
          <w:szCs w:val="28"/>
        </w:rPr>
        <w:t xml:space="preserve">Sofia </w:t>
      </w:r>
      <w:proofErr w:type="spellStart"/>
      <w:r w:rsidR="00036037" w:rsidRPr="008C0993">
        <w:rPr>
          <w:rFonts w:ascii="Times New Roman" w:hAnsi="Times New Roman" w:cs="Times New Roman"/>
          <w:sz w:val="28"/>
          <w:szCs w:val="28"/>
        </w:rPr>
        <w:t>Lekhanya</w:t>
      </w:r>
      <w:proofErr w:type="spellEnd"/>
      <w:r w:rsidR="00036037" w:rsidRPr="008C0993">
        <w:rPr>
          <w:rFonts w:ascii="Times New Roman" w:hAnsi="Times New Roman" w:cs="Times New Roman"/>
          <w:sz w:val="28"/>
          <w:szCs w:val="28"/>
        </w:rPr>
        <w:t xml:space="preserve"> and</w:t>
      </w:r>
      <w:r w:rsidRPr="008C0993">
        <w:rPr>
          <w:rFonts w:ascii="Times New Roman" w:hAnsi="Times New Roman" w:cs="Times New Roman"/>
          <w:sz w:val="28"/>
          <w:szCs w:val="28"/>
        </w:rPr>
        <w:t xml:space="preserve"> is the only male child of the deceased parents. </w:t>
      </w:r>
      <w:r w:rsidR="00D46CD2" w:rsidRPr="008C0993">
        <w:rPr>
          <w:rFonts w:ascii="Times New Roman" w:hAnsi="Times New Roman" w:cs="Times New Roman"/>
          <w:sz w:val="28"/>
          <w:szCs w:val="28"/>
        </w:rPr>
        <w:t xml:space="preserve">It is a matter of common cause that the late </w:t>
      </w:r>
      <w:proofErr w:type="spellStart"/>
      <w:r w:rsidR="00D46CD2" w:rsidRPr="008C0993">
        <w:rPr>
          <w:rFonts w:ascii="Times New Roman" w:hAnsi="Times New Roman" w:cs="Times New Roman"/>
          <w:sz w:val="28"/>
          <w:szCs w:val="28"/>
        </w:rPr>
        <w:t>Metsing</w:t>
      </w:r>
      <w:proofErr w:type="spellEnd"/>
      <w:r w:rsidR="00D46CD2" w:rsidRPr="008C0993">
        <w:rPr>
          <w:rFonts w:ascii="Times New Roman" w:hAnsi="Times New Roman" w:cs="Times New Roman"/>
          <w:sz w:val="28"/>
          <w:szCs w:val="28"/>
        </w:rPr>
        <w:t xml:space="preserve"> </w:t>
      </w:r>
      <w:proofErr w:type="spellStart"/>
      <w:r w:rsidR="00D46CD2" w:rsidRPr="008C0993">
        <w:rPr>
          <w:rFonts w:ascii="Times New Roman" w:hAnsi="Times New Roman" w:cs="Times New Roman"/>
          <w:sz w:val="28"/>
          <w:szCs w:val="28"/>
        </w:rPr>
        <w:t>Lekhanya</w:t>
      </w:r>
      <w:proofErr w:type="spellEnd"/>
      <w:r w:rsidR="00D46CD2" w:rsidRPr="008C0993">
        <w:rPr>
          <w:rFonts w:ascii="Times New Roman" w:hAnsi="Times New Roman" w:cs="Times New Roman"/>
          <w:sz w:val="28"/>
          <w:szCs w:val="28"/>
        </w:rPr>
        <w:t xml:space="preserve"> and Sofia </w:t>
      </w:r>
      <w:proofErr w:type="spellStart"/>
      <w:r w:rsidR="00D46CD2" w:rsidRPr="008C0993">
        <w:rPr>
          <w:rFonts w:ascii="Times New Roman" w:hAnsi="Times New Roman" w:cs="Times New Roman"/>
          <w:sz w:val="28"/>
          <w:szCs w:val="28"/>
        </w:rPr>
        <w:t>Lekhanya</w:t>
      </w:r>
      <w:proofErr w:type="spellEnd"/>
      <w:r w:rsidR="00D46CD2" w:rsidRPr="008C0993">
        <w:rPr>
          <w:rFonts w:ascii="Times New Roman" w:hAnsi="Times New Roman" w:cs="Times New Roman"/>
          <w:sz w:val="28"/>
          <w:szCs w:val="28"/>
        </w:rPr>
        <w:t xml:space="preserve"> died on the 20</w:t>
      </w:r>
      <w:r w:rsidR="00D46CD2" w:rsidRPr="008C0993">
        <w:rPr>
          <w:rFonts w:ascii="Times New Roman" w:hAnsi="Times New Roman" w:cs="Times New Roman"/>
          <w:sz w:val="28"/>
          <w:szCs w:val="28"/>
          <w:vertAlign w:val="superscript"/>
        </w:rPr>
        <w:t>th</w:t>
      </w:r>
      <w:r w:rsidR="00D46CD2" w:rsidRPr="008C0993">
        <w:rPr>
          <w:rFonts w:ascii="Times New Roman" w:hAnsi="Times New Roman" w:cs="Times New Roman"/>
          <w:sz w:val="28"/>
          <w:szCs w:val="28"/>
        </w:rPr>
        <w:t xml:space="preserve"> January 2021 and 23</w:t>
      </w:r>
      <w:r w:rsidR="00D46CD2" w:rsidRPr="008C0993">
        <w:rPr>
          <w:rFonts w:ascii="Times New Roman" w:hAnsi="Times New Roman" w:cs="Times New Roman"/>
          <w:sz w:val="28"/>
          <w:szCs w:val="28"/>
          <w:vertAlign w:val="superscript"/>
        </w:rPr>
        <w:t>rd</w:t>
      </w:r>
      <w:r w:rsidR="00D46CD2" w:rsidRPr="008C0993">
        <w:rPr>
          <w:rFonts w:ascii="Times New Roman" w:hAnsi="Times New Roman" w:cs="Times New Roman"/>
          <w:sz w:val="28"/>
          <w:szCs w:val="28"/>
        </w:rPr>
        <w:t xml:space="preserve"> January 2021, respectively. </w:t>
      </w:r>
      <w:proofErr w:type="gramStart"/>
      <w:r w:rsidR="00D46CD2" w:rsidRPr="008C0993">
        <w:rPr>
          <w:rFonts w:ascii="Times New Roman" w:hAnsi="Times New Roman" w:cs="Times New Roman"/>
          <w:sz w:val="28"/>
          <w:szCs w:val="28"/>
        </w:rPr>
        <w:t>It would seem that problems</w:t>
      </w:r>
      <w:proofErr w:type="gramEnd"/>
      <w:r w:rsidR="00D46CD2" w:rsidRPr="008C0993">
        <w:rPr>
          <w:rFonts w:ascii="Times New Roman" w:hAnsi="Times New Roman" w:cs="Times New Roman"/>
          <w:sz w:val="28"/>
          <w:szCs w:val="28"/>
        </w:rPr>
        <w:t xml:space="preserve"> emerged when the first respondent was appointed as the sole heir by the family</w:t>
      </w:r>
      <w:r w:rsidR="003229AE" w:rsidRPr="008C0993">
        <w:rPr>
          <w:rFonts w:ascii="Times New Roman" w:hAnsi="Times New Roman" w:cs="Times New Roman"/>
          <w:sz w:val="28"/>
          <w:szCs w:val="28"/>
        </w:rPr>
        <w:t xml:space="preserve"> members. As a result of </w:t>
      </w:r>
      <w:r w:rsidR="00D46CD2" w:rsidRPr="008C0993">
        <w:rPr>
          <w:rFonts w:ascii="Times New Roman" w:hAnsi="Times New Roman" w:cs="Times New Roman"/>
          <w:sz w:val="28"/>
          <w:szCs w:val="28"/>
        </w:rPr>
        <w:t>this appointment</w:t>
      </w:r>
      <w:r w:rsidR="00BB5074" w:rsidRPr="008C0993">
        <w:rPr>
          <w:rFonts w:ascii="Times New Roman" w:hAnsi="Times New Roman" w:cs="Times New Roman"/>
          <w:sz w:val="28"/>
          <w:szCs w:val="28"/>
        </w:rPr>
        <w:t>,</w:t>
      </w:r>
      <w:r w:rsidR="00D46CD2" w:rsidRPr="008C0993">
        <w:rPr>
          <w:rFonts w:ascii="Times New Roman" w:hAnsi="Times New Roman" w:cs="Times New Roman"/>
          <w:sz w:val="28"/>
          <w:szCs w:val="28"/>
        </w:rPr>
        <w:t xml:space="preserve"> the first respondent then started dealing with the estate in the manner he so wished. It is further worth mentioning that, a</w:t>
      </w:r>
      <w:r w:rsidR="004753E2" w:rsidRPr="008C0993">
        <w:rPr>
          <w:rFonts w:ascii="Times New Roman" w:hAnsi="Times New Roman" w:cs="Times New Roman"/>
          <w:sz w:val="28"/>
          <w:szCs w:val="28"/>
        </w:rPr>
        <w:t>fter the demise of the deceased</w:t>
      </w:r>
      <w:r w:rsidR="00D46CD2" w:rsidRPr="008C0993">
        <w:rPr>
          <w:rFonts w:ascii="Times New Roman" w:hAnsi="Times New Roman" w:cs="Times New Roman"/>
          <w:sz w:val="28"/>
          <w:szCs w:val="28"/>
        </w:rPr>
        <w:t xml:space="preserve"> parents, their death was not reported to the office</w:t>
      </w:r>
      <w:r w:rsidR="002A1951" w:rsidRPr="008C0993">
        <w:rPr>
          <w:rFonts w:ascii="Times New Roman" w:hAnsi="Times New Roman" w:cs="Times New Roman"/>
          <w:sz w:val="28"/>
          <w:szCs w:val="28"/>
        </w:rPr>
        <w:t xml:space="preserve"> of the Master of High Court within fourteen days as required by the law.</w:t>
      </w:r>
    </w:p>
    <w:p w:rsidR="008C0993" w:rsidRPr="008C0993" w:rsidRDefault="008C0993" w:rsidP="009B0445">
      <w:pPr>
        <w:spacing w:line="360" w:lineRule="auto"/>
        <w:contextualSpacing/>
        <w:jc w:val="both"/>
        <w:rPr>
          <w:rFonts w:ascii="Times New Roman" w:hAnsi="Times New Roman" w:cs="Times New Roman"/>
          <w:sz w:val="28"/>
          <w:szCs w:val="28"/>
        </w:rPr>
      </w:pPr>
    </w:p>
    <w:p w:rsidR="002A1951" w:rsidRPr="008C0993" w:rsidRDefault="002A1951" w:rsidP="009B0445">
      <w:pPr>
        <w:spacing w:line="360" w:lineRule="auto"/>
        <w:contextualSpacing/>
        <w:jc w:val="both"/>
        <w:rPr>
          <w:rFonts w:ascii="Times New Roman" w:hAnsi="Times New Roman" w:cs="Times New Roman"/>
          <w:sz w:val="28"/>
          <w:szCs w:val="28"/>
        </w:rPr>
      </w:pPr>
      <w:r w:rsidRPr="008C0993">
        <w:rPr>
          <w:rFonts w:ascii="Times New Roman" w:hAnsi="Times New Roman" w:cs="Times New Roman"/>
          <w:b/>
          <w:bCs/>
          <w:sz w:val="28"/>
          <w:szCs w:val="28"/>
        </w:rPr>
        <w:t>Applicants’ Case</w:t>
      </w:r>
    </w:p>
    <w:p w:rsidR="002A1951" w:rsidRDefault="002A1951" w:rsidP="009B0445">
      <w:pPr>
        <w:spacing w:line="360" w:lineRule="auto"/>
        <w:contextualSpacing/>
        <w:jc w:val="both"/>
        <w:rPr>
          <w:rFonts w:ascii="Times New Roman" w:hAnsi="Times New Roman" w:cs="Times New Roman"/>
          <w:sz w:val="28"/>
          <w:szCs w:val="28"/>
        </w:rPr>
      </w:pPr>
      <w:r w:rsidRPr="008C0993">
        <w:rPr>
          <w:rFonts w:ascii="Times New Roman" w:hAnsi="Times New Roman" w:cs="Times New Roman"/>
          <w:sz w:val="28"/>
          <w:szCs w:val="28"/>
        </w:rPr>
        <w:t xml:space="preserve">[2] It is applicants’ case that after the death of their parents, three applicants and the first respondent were appointed by the </w:t>
      </w:r>
      <w:proofErr w:type="spellStart"/>
      <w:r w:rsidRPr="008C0993">
        <w:rPr>
          <w:rFonts w:ascii="Times New Roman" w:hAnsi="Times New Roman" w:cs="Times New Roman"/>
          <w:sz w:val="28"/>
          <w:szCs w:val="28"/>
        </w:rPr>
        <w:t>Lekhanya</w:t>
      </w:r>
      <w:proofErr w:type="spellEnd"/>
      <w:r w:rsidRPr="008C0993">
        <w:rPr>
          <w:rFonts w:ascii="Times New Roman" w:hAnsi="Times New Roman" w:cs="Times New Roman"/>
          <w:sz w:val="28"/>
          <w:szCs w:val="28"/>
        </w:rPr>
        <w:t xml:space="preserve"> family as the heirs to the estate of their late parents. To prove this fact, they attached a document </w:t>
      </w:r>
      <w:r w:rsidRPr="008C0993">
        <w:rPr>
          <w:rFonts w:ascii="Times New Roman" w:hAnsi="Times New Roman" w:cs="Times New Roman"/>
          <w:b/>
          <w:bCs/>
          <w:sz w:val="28"/>
          <w:szCs w:val="28"/>
        </w:rPr>
        <w:t>Annexure “L2”</w:t>
      </w:r>
      <w:r w:rsidRPr="008C0993">
        <w:rPr>
          <w:rFonts w:ascii="Times New Roman" w:hAnsi="Times New Roman" w:cs="Times New Roman"/>
          <w:sz w:val="28"/>
          <w:szCs w:val="28"/>
        </w:rPr>
        <w:t xml:space="preserve">. </w:t>
      </w:r>
      <w:r w:rsidR="008C0993">
        <w:rPr>
          <w:rFonts w:ascii="Times New Roman" w:hAnsi="Times New Roman" w:cs="Times New Roman"/>
          <w:sz w:val="28"/>
          <w:szCs w:val="28"/>
        </w:rPr>
        <w:t xml:space="preserve"> </w:t>
      </w:r>
      <w:r w:rsidRPr="008C0993">
        <w:rPr>
          <w:rFonts w:ascii="Times New Roman" w:hAnsi="Times New Roman" w:cs="Times New Roman"/>
          <w:sz w:val="28"/>
          <w:szCs w:val="28"/>
        </w:rPr>
        <w:t xml:space="preserve">Applicants stated that, contrary to the family wishes, the first respondent abused his position, as their little brother to fraudulently acquire a family letter, appointing him as the sole heir to the estate of their late parents. </w:t>
      </w:r>
      <w:r w:rsidR="0085692B" w:rsidRPr="008C0993">
        <w:rPr>
          <w:rFonts w:ascii="Times New Roman" w:hAnsi="Times New Roman" w:cs="Times New Roman"/>
          <w:sz w:val="28"/>
          <w:szCs w:val="28"/>
        </w:rPr>
        <w:t xml:space="preserve">They attached the said letter and was marked </w:t>
      </w:r>
      <w:r w:rsidR="008C0993" w:rsidRPr="008C0993">
        <w:rPr>
          <w:rFonts w:ascii="Times New Roman" w:hAnsi="Times New Roman" w:cs="Times New Roman"/>
          <w:b/>
          <w:bCs/>
          <w:sz w:val="28"/>
          <w:szCs w:val="28"/>
        </w:rPr>
        <w:t>A</w:t>
      </w:r>
      <w:r w:rsidR="0085692B" w:rsidRPr="008C0993">
        <w:rPr>
          <w:rFonts w:ascii="Times New Roman" w:hAnsi="Times New Roman" w:cs="Times New Roman"/>
          <w:b/>
          <w:bCs/>
          <w:sz w:val="28"/>
          <w:szCs w:val="28"/>
        </w:rPr>
        <w:t>nnexure “L3”</w:t>
      </w:r>
      <w:r w:rsidR="0085692B" w:rsidRPr="008C0993">
        <w:rPr>
          <w:rFonts w:ascii="Times New Roman" w:hAnsi="Times New Roman" w:cs="Times New Roman"/>
          <w:sz w:val="28"/>
          <w:szCs w:val="28"/>
        </w:rPr>
        <w:t>.</w:t>
      </w:r>
    </w:p>
    <w:p w:rsidR="008C0993" w:rsidRPr="008C0993" w:rsidRDefault="008C0993" w:rsidP="009B0445">
      <w:pPr>
        <w:spacing w:line="360" w:lineRule="auto"/>
        <w:contextualSpacing/>
        <w:jc w:val="both"/>
        <w:rPr>
          <w:rFonts w:ascii="Times New Roman" w:hAnsi="Times New Roman" w:cs="Times New Roman"/>
          <w:sz w:val="28"/>
          <w:szCs w:val="28"/>
        </w:rPr>
      </w:pPr>
    </w:p>
    <w:p w:rsidR="0085692B" w:rsidRDefault="0085692B" w:rsidP="009B0445">
      <w:pPr>
        <w:spacing w:line="360" w:lineRule="auto"/>
        <w:contextualSpacing/>
        <w:jc w:val="both"/>
        <w:rPr>
          <w:rFonts w:ascii="Times New Roman" w:hAnsi="Times New Roman" w:cs="Times New Roman"/>
          <w:sz w:val="28"/>
          <w:szCs w:val="28"/>
        </w:rPr>
      </w:pPr>
      <w:r w:rsidRPr="008C0993">
        <w:rPr>
          <w:rFonts w:ascii="Times New Roman" w:hAnsi="Times New Roman" w:cs="Times New Roman"/>
          <w:sz w:val="28"/>
          <w:szCs w:val="28"/>
        </w:rPr>
        <w:lastRenderedPageBreak/>
        <w:t xml:space="preserve">[3] It was applicants’ case further that, after the funeral of their parents, their uncle </w:t>
      </w:r>
      <w:proofErr w:type="spellStart"/>
      <w:r w:rsidRPr="008C0993">
        <w:rPr>
          <w:rFonts w:ascii="Times New Roman" w:hAnsi="Times New Roman" w:cs="Times New Roman"/>
          <w:sz w:val="28"/>
          <w:szCs w:val="28"/>
        </w:rPr>
        <w:t>Lekhanya</w:t>
      </w:r>
      <w:proofErr w:type="spellEnd"/>
      <w:r w:rsidRPr="008C0993">
        <w:rPr>
          <w:rFonts w:ascii="Times New Roman" w:hAnsi="Times New Roman" w:cs="Times New Roman"/>
          <w:sz w:val="28"/>
          <w:szCs w:val="28"/>
        </w:rPr>
        <w:t xml:space="preserve"> </w:t>
      </w:r>
      <w:proofErr w:type="spellStart"/>
      <w:r w:rsidRPr="008C0993">
        <w:rPr>
          <w:rFonts w:ascii="Times New Roman" w:hAnsi="Times New Roman" w:cs="Times New Roman"/>
          <w:sz w:val="28"/>
          <w:szCs w:val="28"/>
        </w:rPr>
        <w:t>Lekhanya</w:t>
      </w:r>
      <w:proofErr w:type="spellEnd"/>
      <w:r w:rsidRPr="008C0993">
        <w:rPr>
          <w:rFonts w:ascii="Times New Roman" w:hAnsi="Times New Roman" w:cs="Times New Roman"/>
          <w:sz w:val="28"/>
          <w:szCs w:val="28"/>
        </w:rPr>
        <w:t xml:space="preserve"> confirmed that no one was going to be appointed as the sole heir, because the wish of the deceased- </w:t>
      </w:r>
      <w:proofErr w:type="spellStart"/>
      <w:r w:rsidRPr="008C0993">
        <w:rPr>
          <w:rFonts w:ascii="Times New Roman" w:hAnsi="Times New Roman" w:cs="Times New Roman"/>
          <w:sz w:val="28"/>
          <w:szCs w:val="28"/>
        </w:rPr>
        <w:t>Metsing</w:t>
      </w:r>
      <w:proofErr w:type="spellEnd"/>
      <w:r w:rsidRPr="008C0993">
        <w:rPr>
          <w:rFonts w:ascii="Times New Roman" w:hAnsi="Times New Roman" w:cs="Times New Roman"/>
          <w:sz w:val="28"/>
          <w:szCs w:val="28"/>
        </w:rPr>
        <w:t xml:space="preserve"> </w:t>
      </w:r>
      <w:proofErr w:type="spellStart"/>
      <w:r w:rsidRPr="008C0993">
        <w:rPr>
          <w:rFonts w:ascii="Times New Roman" w:hAnsi="Times New Roman" w:cs="Times New Roman"/>
          <w:sz w:val="28"/>
          <w:szCs w:val="28"/>
        </w:rPr>
        <w:t>Lekhanya</w:t>
      </w:r>
      <w:proofErr w:type="spellEnd"/>
      <w:r w:rsidRPr="008C0993">
        <w:rPr>
          <w:rFonts w:ascii="Times New Roman" w:hAnsi="Times New Roman" w:cs="Times New Roman"/>
          <w:sz w:val="28"/>
          <w:szCs w:val="28"/>
        </w:rPr>
        <w:t xml:space="preserve"> was that his estate should be shared by all his children, irrespective of their marital status.</w:t>
      </w:r>
    </w:p>
    <w:p w:rsidR="008C0993" w:rsidRPr="008C0993" w:rsidRDefault="008C0993" w:rsidP="009B0445">
      <w:pPr>
        <w:spacing w:line="360" w:lineRule="auto"/>
        <w:contextualSpacing/>
        <w:jc w:val="both"/>
        <w:rPr>
          <w:rFonts w:ascii="Times New Roman" w:hAnsi="Times New Roman" w:cs="Times New Roman"/>
          <w:sz w:val="28"/>
          <w:szCs w:val="28"/>
        </w:rPr>
      </w:pPr>
    </w:p>
    <w:p w:rsidR="0085692B" w:rsidRDefault="00581AD7" w:rsidP="009B0445">
      <w:pPr>
        <w:spacing w:line="360" w:lineRule="auto"/>
        <w:contextualSpacing/>
        <w:jc w:val="both"/>
        <w:rPr>
          <w:rFonts w:ascii="Times New Roman" w:hAnsi="Times New Roman" w:cs="Times New Roman"/>
          <w:sz w:val="28"/>
          <w:szCs w:val="28"/>
        </w:rPr>
      </w:pPr>
      <w:r w:rsidRPr="008C0993">
        <w:rPr>
          <w:rFonts w:ascii="Times New Roman" w:hAnsi="Times New Roman" w:cs="Times New Roman"/>
          <w:sz w:val="28"/>
          <w:szCs w:val="28"/>
        </w:rPr>
        <w:t>[4] While applicants</w:t>
      </w:r>
      <w:r w:rsidR="0085692B" w:rsidRPr="008C0993">
        <w:rPr>
          <w:rFonts w:ascii="Times New Roman" w:hAnsi="Times New Roman" w:cs="Times New Roman"/>
          <w:sz w:val="28"/>
          <w:szCs w:val="28"/>
        </w:rPr>
        <w:t xml:space="preserve"> were still contemplating reporting the estate to the offices of the Master, their brother-the first respondent had started exhausting the estate. The first respondent through his lawyers had instructed tenants at </w:t>
      </w:r>
      <w:proofErr w:type="spellStart"/>
      <w:r w:rsidR="0085692B" w:rsidRPr="008C0993">
        <w:rPr>
          <w:rFonts w:ascii="Times New Roman" w:hAnsi="Times New Roman" w:cs="Times New Roman"/>
          <w:sz w:val="28"/>
          <w:szCs w:val="28"/>
        </w:rPr>
        <w:t>Thaba-Tseka</w:t>
      </w:r>
      <w:proofErr w:type="spellEnd"/>
      <w:r w:rsidR="0085692B" w:rsidRPr="008C0993">
        <w:rPr>
          <w:rFonts w:ascii="Times New Roman" w:hAnsi="Times New Roman" w:cs="Times New Roman"/>
          <w:sz w:val="28"/>
          <w:szCs w:val="28"/>
        </w:rPr>
        <w:t xml:space="preserve"> filling station premises to deposit the monthly rentals into his personal bank account</w:t>
      </w:r>
      <w:r w:rsidR="002C6125" w:rsidRPr="008C0993">
        <w:rPr>
          <w:rFonts w:ascii="Times New Roman" w:hAnsi="Times New Roman" w:cs="Times New Roman"/>
          <w:sz w:val="28"/>
          <w:szCs w:val="28"/>
        </w:rPr>
        <w:t>. Be</w:t>
      </w:r>
      <w:r w:rsidRPr="008C0993">
        <w:rPr>
          <w:rFonts w:ascii="Times New Roman" w:hAnsi="Times New Roman" w:cs="Times New Roman"/>
          <w:sz w:val="28"/>
          <w:szCs w:val="28"/>
        </w:rPr>
        <w:t xml:space="preserve">fore this incident, </w:t>
      </w:r>
      <w:r w:rsidR="002C6125" w:rsidRPr="008C0993">
        <w:rPr>
          <w:rFonts w:ascii="Times New Roman" w:hAnsi="Times New Roman" w:cs="Times New Roman"/>
          <w:sz w:val="28"/>
          <w:szCs w:val="28"/>
        </w:rPr>
        <w:t>applicants and the first respondents were amicably sharing proceeds from their late parents’ estate, without any objections from the</w:t>
      </w:r>
      <w:r w:rsidR="009E48CA" w:rsidRPr="008C0993">
        <w:rPr>
          <w:rFonts w:ascii="Times New Roman" w:hAnsi="Times New Roman" w:cs="Times New Roman"/>
          <w:sz w:val="28"/>
          <w:szCs w:val="28"/>
        </w:rPr>
        <w:t xml:space="preserve"> first</w:t>
      </w:r>
      <w:r w:rsidR="002C6125" w:rsidRPr="008C0993">
        <w:rPr>
          <w:rFonts w:ascii="Times New Roman" w:hAnsi="Times New Roman" w:cs="Times New Roman"/>
          <w:sz w:val="28"/>
          <w:szCs w:val="28"/>
        </w:rPr>
        <w:t xml:space="preserve"> respondent.</w:t>
      </w:r>
    </w:p>
    <w:p w:rsidR="008C0993" w:rsidRPr="008C0993" w:rsidRDefault="008C0993" w:rsidP="009B0445">
      <w:pPr>
        <w:spacing w:line="360" w:lineRule="auto"/>
        <w:contextualSpacing/>
        <w:jc w:val="both"/>
        <w:rPr>
          <w:rFonts w:ascii="Times New Roman" w:hAnsi="Times New Roman" w:cs="Times New Roman"/>
          <w:sz w:val="28"/>
          <w:szCs w:val="28"/>
        </w:rPr>
      </w:pPr>
    </w:p>
    <w:p w:rsidR="00467684" w:rsidRDefault="002C6125" w:rsidP="009B0445">
      <w:pPr>
        <w:spacing w:line="360" w:lineRule="auto"/>
        <w:contextualSpacing/>
        <w:jc w:val="both"/>
        <w:rPr>
          <w:rFonts w:ascii="Times New Roman" w:hAnsi="Times New Roman" w:cs="Times New Roman"/>
          <w:sz w:val="28"/>
          <w:szCs w:val="28"/>
        </w:rPr>
      </w:pPr>
      <w:r w:rsidRPr="008C0993">
        <w:rPr>
          <w:rFonts w:ascii="Times New Roman" w:hAnsi="Times New Roman" w:cs="Times New Roman"/>
          <w:sz w:val="28"/>
          <w:szCs w:val="28"/>
        </w:rPr>
        <w:t>[5]</w:t>
      </w:r>
      <w:r w:rsidR="008B7F07" w:rsidRPr="008C0993">
        <w:rPr>
          <w:rFonts w:ascii="Times New Roman" w:hAnsi="Times New Roman" w:cs="Times New Roman"/>
          <w:sz w:val="28"/>
          <w:szCs w:val="28"/>
        </w:rPr>
        <w:t xml:space="preserve"> That the first respondent’s appointment as the sole heir is void in law, in that the meeting that appointed him did not include the other children of the deceased, whereas in the initial meeting in respect of </w:t>
      </w:r>
      <w:r w:rsidR="008B7F07" w:rsidRPr="008C0993">
        <w:rPr>
          <w:rFonts w:ascii="Times New Roman" w:hAnsi="Times New Roman" w:cs="Times New Roman"/>
          <w:b/>
          <w:bCs/>
          <w:sz w:val="28"/>
          <w:szCs w:val="28"/>
        </w:rPr>
        <w:t>“L2”</w:t>
      </w:r>
      <w:r w:rsidR="008B7F07" w:rsidRPr="008C0993">
        <w:rPr>
          <w:rFonts w:ascii="Times New Roman" w:hAnsi="Times New Roman" w:cs="Times New Roman"/>
          <w:sz w:val="28"/>
          <w:szCs w:val="28"/>
        </w:rPr>
        <w:t xml:space="preserve"> all the children of the deceased were consulted. That the deceased parents led European mode of life, as they even married according to civil </w:t>
      </w:r>
      <w:proofErr w:type="spellStart"/>
      <w:r w:rsidR="008B7F07" w:rsidRPr="008C0993">
        <w:rPr>
          <w:rFonts w:ascii="Times New Roman" w:hAnsi="Times New Roman" w:cs="Times New Roman"/>
          <w:sz w:val="28"/>
          <w:szCs w:val="28"/>
        </w:rPr>
        <w:t>rites</w:t>
      </w:r>
      <w:proofErr w:type="spellEnd"/>
      <w:r w:rsidR="008B7F07" w:rsidRPr="008C0993">
        <w:rPr>
          <w:rFonts w:ascii="Times New Roman" w:hAnsi="Times New Roman" w:cs="Times New Roman"/>
          <w:sz w:val="28"/>
          <w:szCs w:val="28"/>
        </w:rPr>
        <w:t>. Their mode of farming was progressive, as such their estate should devolve in terms of the Proclamation.</w:t>
      </w:r>
    </w:p>
    <w:p w:rsidR="008C0993" w:rsidRPr="008C0993" w:rsidRDefault="008C0993" w:rsidP="009B0445">
      <w:pPr>
        <w:spacing w:line="360" w:lineRule="auto"/>
        <w:contextualSpacing/>
        <w:jc w:val="both"/>
        <w:rPr>
          <w:rFonts w:ascii="Times New Roman" w:hAnsi="Times New Roman" w:cs="Times New Roman"/>
          <w:sz w:val="28"/>
          <w:szCs w:val="28"/>
        </w:rPr>
      </w:pPr>
    </w:p>
    <w:p w:rsidR="00467684" w:rsidRPr="008C0993" w:rsidRDefault="00467684" w:rsidP="009B0445">
      <w:pPr>
        <w:spacing w:line="360" w:lineRule="auto"/>
        <w:contextualSpacing/>
        <w:jc w:val="both"/>
        <w:rPr>
          <w:rFonts w:ascii="Times New Roman" w:hAnsi="Times New Roman" w:cs="Times New Roman"/>
          <w:b/>
          <w:bCs/>
          <w:sz w:val="28"/>
          <w:szCs w:val="28"/>
        </w:rPr>
      </w:pPr>
      <w:r w:rsidRPr="008C0993">
        <w:rPr>
          <w:rFonts w:ascii="Times New Roman" w:hAnsi="Times New Roman" w:cs="Times New Roman"/>
          <w:b/>
          <w:bCs/>
          <w:sz w:val="28"/>
          <w:szCs w:val="28"/>
        </w:rPr>
        <w:t>First Respondent’s Case</w:t>
      </w:r>
    </w:p>
    <w:p w:rsidR="00467684" w:rsidRDefault="00467684" w:rsidP="009B0445">
      <w:pPr>
        <w:spacing w:line="360" w:lineRule="auto"/>
        <w:contextualSpacing/>
        <w:jc w:val="both"/>
        <w:rPr>
          <w:rFonts w:ascii="Times New Roman" w:hAnsi="Times New Roman" w:cs="Times New Roman"/>
          <w:sz w:val="28"/>
          <w:szCs w:val="28"/>
        </w:rPr>
      </w:pPr>
      <w:r w:rsidRPr="008C0993">
        <w:rPr>
          <w:rFonts w:ascii="Times New Roman" w:hAnsi="Times New Roman" w:cs="Times New Roman"/>
          <w:sz w:val="28"/>
          <w:szCs w:val="28"/>
        </w:rPr>
        <w:t>[6] On the other h</w:t>
      </w:r>
      <w:r w:rsidR="00BB5074" w:rsidRPr="008C0993">
        <w:rPr>
          <w:rFonts w:ascii="Times New Roman" w:hAnsi="Times New Roman" w:cs="Times New Roman"/>
          <w:sz w:val="28"/>
          <w:szCs w:val="28"/>
        </w:rPr>
        <w:t>and the first respondent pleaded</w:t>
      </w:r>
      <w:r w:rsidRPr="008C0993">
        <w:rPr>
          <w:rFonts w:ascii="Times New Roman" w:hAnsi="Times New Roman" w:cs="Times New Roman"/>
          <w:sz w:val="28"/>
          <w:szCs w:val="28"/>
        </w:rPr>
        <w:t xml:space="preserve"> that</w:t>
      </w:r>
      <w:r w:rsidR="00BB5074" w:rsidRPr="008C0993">
        <w:rPr>
          <w:rFonts w:ascii="Times New Roman" w:hAnsi="Times New Roman" w:cs="Times New Roman"/>
          <w:sz w:val="28"/>
          <w:szCs w:val="28"/>
        </w:rPr>
        <w:t xml:space="preserve"> he instructed tenants</w:t>
      </w:r>
      <w:r w:rsidR="00AA3D5A" w:rsidRPr="008C0993">
        <w:rPr>
          <w:rFonts w:ascii="Times New Roman" w:hAnsi="Times New Roman" w:cs="Times New Roman"/>
          <w:sz w:val="28"/>
          <w:szCs w:val="28"/>
        </w:rPr>
        <w:t xml:space="preserve"> to pay the rentals into his personal account, upon realisation that the applicants were already taking and using r</w:t>
      </w:r>
      <w:r w:rsidR="009D6086" w:rsidRPr="008C0993">
        <w:rPr>
          <w:rFonts w:ascii="Times New Roman" w:hAnsi="Times New Roman" w:cs="Times New Roman"/>
          <w:sz w:val="28"/>
          <w:szCs w:val="28"/>
        </w:rPr>
        <w:t>entals for their own benefit. First respondent</w:t>
      </w:r>
      <w:r w:rsidR="00AA3D5A" w:rsidRPr="008C0993">
        <w:rPr>
          <w:rFonts w:ascii="Times New Roman" w:hAnsi="Times New Roman" w:cs="Times New Roman"/>
          <w:sz w:val="28"/>
          <w:szCs w:val="28"/>
        </w:rPr>
        <w:t xml:space="preserve"> disputed that </w:t>
      </w:r>
      <w:r w:rsidR="00AA3D5A" w:rsidRPr="00FD15AA">
        <w:rPr>
          <w:rFonts w:ascii="Times New Roman" w:hAnsi="Times New Roman" w:cs="Times New Roman"/>
          <w:b/>
          <w:bCs/>
          <w:sz w:val="28"/>
          <w:szCs w:val="28"/>
        </w:rPr>
        <w:t xml:space="preserve">“L2” </w:t>
      </w:r>
      <w:r w:rsidR="00AA3D5A" w:rsidRPr="008C0993">
        <w:rPr>
          <w:rFonts w:ascii="Times New Roman" w:hAnsi="Times New Roman" w:cs="Times New Roman"/>
          <w:sz w:val="28"/>
          <w:szCs w:val="28"/>
        </w:rPr>
        <w:t xml:space="preserve">is a valid family letter of appointment, because it was done in </w:t>
      </w:r>
      <w:r w:rsidR="009D6086" w:rsidRPr="008C0993">
        <w:rPr>
          <w:rFonts w:ascii="Times New Roman" w:hAnsi="Times New Roman" w:cs="Times New Roman"/>
          <w:sz w:val="28"/>
          <w:szCs w:val="28"/>
        </w:rPr>
        <w:t>the absence of other siblings. Their p</w:t>
      </w:r>
      <w:r w:rsidR="00AA3D5A" w:rsidRPr="008C0993">
        <w:rPr>
          <w:rFonts w:ascii="Times New Roman" w:hAnsi="Times New Roman" w:cs="Times New Roman"/>
          <w:sz w:val="28"/>
          <w:szCs w:val="28"/>
        </w:rPr>
        <w:t>arents died intestate and he is the only surviving male child, while the applicants a</w:t>
      </w:r>
      <w:r w:rsidR="000D0F09">
        <w:rPr>
          <w:rFonts w:ascii="Times New Roman" w:hAnsi="Times New Roman" w:cs="Times New Roman"/>
          <w:sz w:val="28"/>
          <w:szCs w:val="28"/>
        </w:rPr>
        <w:t>re all</w:t>
      </w:r>
      <w:r w:rsidR="00AA3D5A" w:rsidRPr="008C0993">
        <w:rPr>
          <w:rFonts w:ascii="Times New Roman" w:hAnsi="Times New Roman" w:cs="Times New Roman"/>
          <w:sz w:val="28"/>
          <w:szCs w:val="28"/>
        </w:rPr>
        <w:t xml:space="preserve"> females </w:t>
      </w:r>
      <w:r w:rsidR="000D0F09">
        <w:rPr>
          <w:rFonts w:ascii="Times New Roman" w:hAnsi="Times New Roman" w:cs="Times New Roman"/>
          <w:sz w:val="28"/>
          <w:szCs w:val="28"/>
        </w:rPr>
        <w:t xml:space="preserve">and </w:t>
      </w:r>
      <w:r w:rsidR="00AA3D5A" w:rsidRPr="008C0993">
        <w:rPr>
          <w:rFonts w:ascii="Times New Roman" w:hAnsi="Times New Roman" w:cs="Times New Roman"/>
          <w:sz w:val="28"/>
          <w:szCs w:val="28"/>
        </w:rPr>
        <w:t>are all married.</w:t>
      </w:r>
    </w:p>
    <w:p w:rsidR="008C0993" w:rsidRPr="008C0993" w:rsidRDefault="008C0993" w:rsidP="008C0993">
      <w:pPr>
        <w:spacing w:line="360" w:lineRule="auto"/>
        <w:ind w:left="360"/>
        <w:contextualSpacing/>
        <w:jc w:val="both"/>
        <w:rPr>
          <w:rFonts w:ascii="Times New Roman" w:hAnsi="Times New Roman" w:cs="Times New Roman"/>
          <w:sz w:val="28"/>
          <w:szCs w:val="28"/>
        </w:rPr>
      </w:pPr>
    </w:p>
    <w:p w:rsidR="007723C7" w:rsidRDefault="004B61EE" w:rsidP="009B0445">
      <w:pPr>
        <w:spacing w:line="360" w:lineRule="auto"/>
        <w:contextualSpacing/>
        <w:jc w:val="both"/>
        <w:rPr>
          <w:rFonts w:ascii="Times New Roman" w:hAnsi="Times New Roman" w:cs="Times New Roman"/>
          <w:sz w:val="28"/>
          <w:szCs w:val="28"/>
        </w:rPr>
      </w:pPr>
      <w:r w:rsidRPr="008C0993">
        <w:rPr>
          <w:rFonts w:ascii="Times New Roman" w:hAnsi="Times New Roman" w:cs="Times New Roman"/>
          <w:sz w:val="28"/>
          <w:szCs w:val="28"/>
        </w:rPr>
        <w:lastRenderedPageBreak/>
        <w:t xml:space="preserve">[7] </w:t>
      </w:r>
      <w:r w:rsidR="003E5B04" w:rsidRPr="008C0993">
        <w:rPr>
          <w:rFonts w:ascii="Times New Roman" w:hAnsi="Times New Roman" w:cs="Times New Roman"/>
          <w:sz w:val="28"/>
          <w:szCs w:val="28"/>
        </w:rPr>
        <w:t xml:space="preserve">The first respondent sold the truck after his appointment by the family as the </w:t>
      </w:r>
      <w:r w:rsidR="008C0993" w:rsidRPr="008C0993">
        <w:rPr>
          <w:rFonts w:ascii="Times New Roman" w:hAnsi="Times New Roman" w:cs="Times New Roman"/>
          <w:sz w:val="28"/>
          <w:szCs w:val="28"/>
        </w:rPr>
        <w:t>heir and</w:t>
      </w:r>
      <w:r w:rsidR="003E5B04" w:rsidRPr="008C0993">
        <w:rPr>
          <w:rFonts w:ascii="Times New Roman" w:hAnsi="Times New Roman" w:cs="Times New Roman"/>
          <w:sz w:val="28"/>
          <w:szCs w:val="28"/>
        </w:rPr>
        <w:t xml:space="preserve"> had obtained</w:t>
      </w:r>
      <w:r w:rsidR="009D6086" w:rsidRPr="008C0993">
        <w:rPr>
          <w:rFonts w:ascii="Times New Roman" w:hAnsi="Times New Roman" w:cs="Times New Roman"/>
          <w:sz w:val="28"/>
          <w:szCs w:val="28"/>
        </w:rPr>
        <w:t xml:space="preserve"> its</w:t>
      </w:r>
      <w:r w:rsidR="003E5B04" w:rsidRPr="008C0993">
        <w:rPr>
          <w:rFonts w:ascii="Times New Roman" w:hAnsi="Times New Roman" w:cs="Times New Roman"/>
          <w:sz w:val="28"/>
          <w:szCs w:val="28"/>
        </w:rPr>
        <w:t xml:space="preserve"> ownership as </w:t>
      </w:r>
      <w:r w:rsidR="009D6086" w:rsidRPr="008C0993">
        <w:rPr>
          <w:rFonts w:ascii="Times New Roman" w:hAnsi="Times New Roman" w:cs="Times New Roman"/>
          <w:sz w:val="28"/>
          <w:szCs w:val="28"/>
        </w:rPr>
        <w:t xml:space="preserve">the </w:t>
      </w:r>
      <w:r w:rsidR="003E5B04" w:rsidRPr="008C0993">
        <w:rPr>
          <w:rFonts w:ascii="Times New Roman" w:hAnsi="Times New Roman" w:cs="Times New Roman"/>
          <w:sz w:val="28"/>
          <w:szCs w:val="28"/>
        </w:rPr>
        <w:t>h</w:t>
      </w:r>
      <w:r w:rsidR="009D6086" w:rsidRPr="008C0993">
        <w:rPr>
          <w:rFonts w:ascii="Times New Roman" w:hAnsi="Times New Roman" w:cs="Times New Roman"/>
          <w:sz w:val="28"/>
          <w:szCs w:val="28"/>
        </w:rPr>
        <w:t xml:space="preserve">eir according to Basotho custom, </w:t>
      </w:r>
      <w:r w:rsidR="003E5B04" w:rsidRPr="008C0993">
        <w:rPr>
          <w:rFonts w:ascii="Times New Roman" w:hAnsi="Times New Roman" w:cs="Times New Roman"/>
          <w:sz w:val="28"/>
          <w:szCs w:val="28"/>
        </w:rPr>
        <w:t xml:space="preserve">and that it was well within his rights to dispose of it. The first respondent pleaded further that the third applicant failed to disclose to this court that she sold a water generator from </w:t>
      </w:r>
      <w:proofErr w:type="spellStart"/>
      <w:r w:rsidR="003E5B04" w:rsidRPr="008C0993">
        <w:rPr>
          <w:rFonts w:ascii="Times New Roman" w:hAnsi="Times New Roman" w:cs="Times New Roman"/>
          <w:sz w:val="28"/>
          <w:szCs w:val="28"/>
        </w:rPr>
        <w:t>Sehlabeng</w:t>
      </w:r>
      <w:proofErr w:type="spellEnd"/>
      <w:r w:rsidR="003E5B04" w:rsidRPr="008C0993">
        <w:rPr>
          <w:rFonts w:ascii="Times New Roman" w:hAnsi="Times New Roman" w:cs="Times New Roman"/>
          <w:sz w:val="28"/>
          <w:szCs w:val="28"/>
        </w:rPr>
        <w:t xml:space="preserve"> farm. The first respondent said that his appointment as the sole customary heir</w:t>
      </w:r>
      <w:r w:rsidR="009D6086" w:rsidRPr="008C0993">
        <w:rPr>
          <w:rFonts w:ascii="Times New Roman" w:hAnsi="Times New Roman" w:cs="Times New Roman"/>
          <w:sz w:val="28"/>
          <w:szCs w:val="28"/>
        </w:rPr>
        <w:t>,</w:t>
      </w:r>
      <w:r w:rsidR="003E5B04" w:rsidRPr="008C0993">
        <w:rPr>
          <w:rFonts w:ascii="Times New Roman" w:hAnsi="Times New Roman" w:cs="Times New Roman"/>
          <w:sz w:val="28"/>
          <w:szCs w:val="28"/>
        </w:rPr>
        <w:t xml:space="preserve"> was done by the family council in terms of customary law principles, as the family council meeting was well constituted. That his late parents had not adopted the European mode of life, but were farmers leading customary way of life, as it was found by the Master of High Court, when the applicants attempted to report the estate.</w:t>
      </w:r>
    </w:p>
    <w:p w:rsidR="008C0993" w:rsidRPr="008C0993" w:rsidRDefault="008C0993" w:rsidP="009B0445">
      <w:pPr>
        <w:spacing w:line="360" w:lineRule="auto"/>
        <w:contextualSpacing/>
        <w:jc w:val="both"/>
        <w:rPr>
          <w:rFonts w:ascii="Times New Roman" w:hAnsi="Times New Roman" w:cs="Times New Roman"/>
          <w:sz w:val="28"/>
          <w:szCs w:val="28"/>
        </w:rPr>
      </w:pPr>
    </w:p>
    <w:p w:rsidR="003C59F1" w:rsidRDefault="003E5B04" w:rsidP="009B0445">
      <w:pPr>
        <w:spacing w:line="360" w:lineRule="auto"/>
        <w:contextualSpacing/>
        <w:jc w:val="both"/>
        <w:rPr>
          <w:rFonts w:ascii="Times New Roman" w:hAnsi="Times New Roman" w:cs="Times New Roman"/>
          <w:sz w:val="28"/>
          <w:szCs w:val="28"/>
        </w:rPr>
      </w:pPr>
      <w:r w:rsidRPr="008C0993">
        <w:rPr>
          <w:rFonts w:ascii="Times New Roman" w:hAnsi="Times New Roman" w:cs="Times New Roman"/>
          <w:sz w:val="28"/>
          <w:szCs w:val="28"/>
        </w:rPr>
        <w:t>[8] That applicants are all married women, whose rights are recognizable</w:t>
      </w:r>
      <w:r w:rsidR="003E6FAC" w:rsidRPr="008C0993">
        <w:rPr>
          <w:rFonts w:ascii="Times New Roman" w:hAnsi="Times New Roman" w:cs="Times New Roman"/>
          <w:sz w:val="28"/>
          <w:szCs w:val="28"/>
        </w:rPr>
        <w:t xml:space="preserve"> at their matrimonial homes. The firs</w:t>
      </w:r>
      <w:r w:rsidR="006443B6" w:rsidRPr="008C0993">
        <w:rPr>
          <w:rFonts w:ascii="Times New Roman" w:hAnsi="Times New Roman" w:cs="Times New Roman"/>
          <w:sz w:val="28"/>
          <w:szCs w:val="28"/>
        </w:rPr>
        <w:t>t respondent buttressed the point</w:t>
      </w:r>
      <w:r w:rsidR="003E6FAC" w:rsidRPr="008C0993">
        <w:rPr>
          <w:rFonts w:ascii="Times New Roman" w:hAnsi="Times New Roman" w:cs="Times New Roman"/>
          <w:sz w:val="28"/>
          <w:szCs w:val="28"/>
        </w:rPr>
        <w:t xml:space="preserve"> that as the </w:t>
      </w:r>
      <w:r w:rsidR="009D6086" w:rsidRPr="008C0993">
        <w:rPr>
          <w:rFonts w:ascii="Times New Roman" w:hAnsi="Times New Roman" w:cs="Times New Roman"/>
          <w:sz w:val="28"/>
          <w:szCs w:val="28"/>
        </w:rPr>
        <w:t xml:space="preserve">only male child of his parents, he </w:t>
      </w:r>
      <w:r w:rsidR="003E6FAC" w:rsidRPr="008C0993">
        <w:rPr>
          <w:rFonts w:ascii="Times New Roman" w:hAnsi="Times New Roman" w:cs="Times New Roman"/>
          <w:sz w:val="28"/>
          <w:szCs w:val="28"/>
        </w:rPr>
        <w:t xml:space="preserve">is the sole heir. </w:t>
      </w:r>
    </w:p>
    <w:p w:rsidR="008C0993" w:rsidRPr="008C0993" w:rsidRDefault="008C0993" w:rsidP="009B0445">
      <w:pPr>
        <w:spacing w:line="360" w:lineRule="auto"/>
        <w:contextualSpacing/>
        <w:jc w:val="both"/>
        <w:rPr>
          <w:rFonts w:ascii="Times New Roman" w:hAnsi="Times New Roman" w:cs="Times New Roman"/>
          <w:sz w:val="28"/>
          <w:szCs w:val="28"/>
        </w:rPr>
      </w:pPr>
    </w:p>
    <w:p w:rsidR="00A04C6C" w:rsidRDefault="003C59F1" w:rsidP="009B0445">
      <w:pPr>
        <w:spacing w:line="360" w:lineRule="auto"/>
        <w:contextualSpacing/>
        <w:jc w:val="both"/>
        <w:rPr>
          <w:rFonts w:ascii="Times New Roman" w:hAnsi="Times New Roman" w:cs="Times New Roman"/>
          <w:sz w:val="28"/>
          <w:szCs w:val="28"/>
        </w:rPr>
      </w:pPr>
      <w:r w:rsidRPr="008C0993">
        <w:rPr>
          <w:rFonts w:ascii="Times New Roman" w:hAnsi="Times New Roman" w:cs="Times New Roman"/>
          <w:sz w:val="28"/>
          <w:szCs w:val="28"/>
        </w:rPr>
        <w:t>[9] The court</w:t>
      </w:r>
      <w:r w:rsidR="009D6086" w:rsidRPr="008C0993">
        <w:rPr>
          <w:rFonts w:ascii="Times New Roman" w:hAnsi="Times New Roman" w:cs="Times New Roman"/>
          <w:sz w:val="28"/>
          <w:szCs w:val="28"/>
        </w:rPr>
        <w:t xml:space="preserve"> having</w:t>
      </w:r>
      <w:r w:rsidRPr="008C0993">
        <w:rPr>
          <w:rFonts w:ascii="Times New Roman" w:hAnsi="Times New Roman" w:cs="Times New Roman"/>
          <w:sz w:val="28"/>
          <w:szCs w:val="28"/>
        </w:rPr>
        <w:t xml:space="preserve"> heard oral arguments</w:t>
      </w:r>
      <w:r w:rsidR="009D6086" w:rsidRPr="008C0993">
        <w:rPr>
          <w:rFonts w:ascii="Times New Roman" w:hAnsi="Times New Roman" w:cs="Times New Roman"/>
          <w:sz w:val="28"/>
          <w:szCs w:val="28"/>
        </w:rPr>
        <w:t xml:space="preserve"> from both counsel and having </w:t>
      </w:r>
      <w:r w:rsidR="006443B6" w:rsidRPr="008C0993">
        <w:rPr>
          <w:rFonts w:ascii="Times New Roman" w:hAnsi="Times New Roman" w:cs="Times New Roman"/>
          <w:sz w:val="28"/>
          <w:szCs w:val="28"/>
        </w:rPr>
        <w:t>read pleadings</w:t>
      </w:r>
      <w:r w:rsidR="009D6086" w:rsidRPr="008C0993">
        <w:rPr>
          <w:rFonts w:ascii="Times New Roman" w:hAnsi="Times New Roman" w:cs="Times New Roman"/>
          <w:sz w:val="28"/>
          <w:szCs w:val="28"/>
        </w:rPr>
        <w:t>,</w:t>
      </w:r>
      <w:r w:rsidR="006443B6" w:rsidRPr="008C0993">
        <w:rPr>
          <w:rFonts w:ascii="Times New Roman" w:hAnsi="Times New Roman" w:cs="Times New Roman"/>
          <w:sz w:val="28"/>
          <w:szCs w:val="28"/>
        </w:rPr>
        <w:t xml:space="preserve"> </w:t>
      </w:r>
      <w:r w:rsidRPr="008C0993">
        <w:rPr>
          <w:rFonts w:ascii="Times New Roman" w:hAnsi="Times New Roman" w:cs="Times New Roman"/>
          <w:sz w:val="28"/>
          <w:szCs w:val="28"/>
        </w:rPr>
        <w:t xml:space="preserve">felt that the issue regarding the mode of life of the deceased parents </w:t>
      </w:r>
      <w:r w:rsidR="00A04C6C" w:rsidRPr="008C0993">
        <w:rPr>
          <w:rFonts w:ascii="Times New Roman" w:hAnsi="Times New Roman" w:cs="Times New Roman"/>
          <w:sz w:val="28"/>
          <w:szCs w:val="28"/>
        </w:rPr>
        <w:t>was not well canvassed in the pleadings, as a result of which the court ordered that viva voce evidence should be led by the parties, on the mode of life led by the deceased parents during their</w:t>
      </w:r>
      <w:r w:rsidR="00BE25FE" w:rsidRPr="008C0993">
        <w:rPr>
          <w:rFonts w:ascii="Times New Roman" w:hAnsi="Times New Roman" w:cs="Times New Roman"/>
          <w:sz w:val="28"/>
          <w:szCs w:val="28"/>
        </w:rPr>
        <w:t xml:space="preserve"> life-time. The first applicant,</w:t>
      </w:r>
      <w:r w:rsidR="00A04C6C" w:rsidRPr="008C0993">
        <w:rPr>
          <w:rFonts w:ascii="Times New Roman" w:hAnsi="Times New Roman" w:cs="Times New Roman"/>
          <w:sz w:val="28"/>
          <w:szCs w:val="28"/>
        </w:rPr>
        <w:t xml:space="preserve"> second applicant and the first respondent led viva voce evidence</w:t>
      </w:r>
      <w:r w:rsidR="006443B6" w:rsidRPr="008C0993">
        <w:rPr>
          <w:rFonts w:ascii="Times New Roman" w:hAnsi="Times New Roman" w:cs="Times New Roman"/>
          <w:sz w:val="28"/>
          <w:szCs w:val="28"/>
        </w:rPr>
        <w:t xml:space="preserve"> in this regard</w:t>
      </w:r>
      <w:r w:rsidR="00A04C6C" w:rsidRPr="008C0993">
        <w:rPr>
          <w:rFonts w:ascii="Times New Roman" w:hAnsi="Times New Roman" w:cs="Times New Roman"/>
          <w:sz w:val="28"/>
          <w:szCs w:val="28"/>
        </w:rPr>
        <w:t xml:space="preserve"> and were cross-examined, respectively.</w:t>
      </w:r>
    </w:p>
    <w:p w:rsidR="008C0993" w:rsidRPr="008C0993" w:rsidRDefault="008C0993" w:rsidP="009B0445">
      <w:pPr>
        <w:spacing w:line="360" w:lineRule="auto"/>
        <w:contextualSpacing/>
        <w:jc w:val="both"/>
        <w:rPr>
          <w:rFonts w:ascii="Times New Roman" w:hAnsi="Times New Roman" w:cs="Times New Roman"/>
          <w:sz w:val="28"/>
          <w:szCs w:val="28"/>
        </w:rPr>
      </w:pPr>
    </w:p>
    <w:p w:rsidR="003E5B04" w:rsidRDefault="00A04C6C" w:rsidP="009B0445">
      <w:pPr>
        <w:spacing w:line="360" w:lineRule="auto"/>
        <w:contextualSpacing/>
        <w:jc w:val="both"/>
        <w:rPr>
          <w:rFonts w:ascii="Times New Roman" w:hAnsi="Times New Roman" w:cs="Times New Roman"/>
          <w:sz w:val="28"/>
          <w:szCs w:val="28"/>
        </w:rPr>
      </w:pPr>
      <w:r w:rsidRPr="008C0993">
        <w:rPr>
          <w:rFonts w:ascii="Times New Roman" w:hAnsi="Times New Roman" w:cs="Times New Roman"/>
          <w:sz w:val="28"/>
          <w:szCs w:val="28"/>
        </w:rPr>
        <w:t>[10]</w:t>
      </w:r>
      <w:r w:rsidR="006443B6" w:rsidRPr="008C0993">
        <w:rPr>
          <w:rFonts w:ascii="Times New Roman" w:hAnsi="Times New Roman" w:cs="Times New Roman"/>
          <w:sz w:val="28"/>
          <w:szCs w:val="28"/>
        </w:rPr>
        <w:t xml:space="preserve"> Be that as it may, it is worth mentioning</w:t>
      </w:r>
      <w:r w:rsidRPr="008C0993">
        <w:rPr>
          <w:rFonts w:ascii="Times New Roman" w:hAnsi="Times New Roman" w:cs="Times New Roman"/>
          <w:sz w:val="28"/>
          <w:szCs w:val="28"/>
        </w:rPr>
        <w:t xml:space="preserve"> that while this matter was pending before this court,</w:t>
      </w:r>
      <w:r w:rsidR="00BE25FE" w:rsidRPr="008C0993">
        <w:rPr>
          <w:rFonts w:ascii="Times New Roman" w:hAnsi="Times New Roman" w:cs="Times New Roman"/>
          <w:sz w:val="28"/>
          <w:szCs w:val="28"/>
        </w:rPr>
        <w:t xml:space="preserve"> the</w:t>
      </w:r>
      <w:r w:rsidRPr="008C0993">
        <w:rPr>
          <w:rFonts w:ascii="Times New Roman" w:hAnsi="Times New Roman" w:cs="Times New Roman"/>
          <w:sz w:val="28"/>
          <w:szCs w:val="28"/>
        </w:rPr>
        <w:t xml:space="preserve"> </w:t>
      </w:r>
      <w:r w:rsidRPr="007A5033">
        <w:rPr>
          <w:rFonts w:ascii="Times New Roman" w:hAnsi="Times New Roman" w:cs="Times New Roman"/>
          <w:b/>
          <w:bCs/>
          <w:i/>
          <w:iCs/>
          <w:sz w:val="28"/>
          <w:szCs w:val="28"/>
        </w:rPr>
        <w:t>Administration of Estates Proclamation (</w:t>
      </w:r>
      <w:r w:rsidR="003715DA" w:rsidRPr="007A5033">
        <w:rPr>
          <w:rFonts w:ascii="Times New Roman" w:hAnsi="Times New Roman" w:cs="Times New Roman"/>
          <w:b/>
          <w:bCs/>
          <w:i/>
          <w:iCs/>
          <w:sz w:val="28"/>
          <w:szCs w:val="28"/>
        </w:rPr>
        <w:t>Amendment</w:t>
      </w:r>
      <w:r w:rsidRPr="007A5033">
        <w:rPr>
          <w:rFonts w:ascii="Times New Roman" w:hAnsi="Times New Roman" w:cs="Times New Roman"/>
          <w:b/>
          <w:bCs/>
          <w:i/>
          <w:iCs/>
          <w:sz w:val="28"/>
          <w:szCs w:val="28"/>
        </w:rPr>
        <w:t>) Act, 2022</w:t>
      </w:r>
      <w:r w:rsidRPr="008C0993">
        <w:rPr>
          <w:rFonts w:ascii="Times New Roman" w:hAnsi="Times New Roman" w:cs="Times New Roman"/>
          <w:b/>
          <w:bCs/>
          <w:sz w:val="28"/>
          <w:szCs w:val="28"/>
        </w:rPr>
        <w:t xml:space="preserve"> </w:t>
      </w:r>
      <w:r w:rsidRPr="008C0993">
        <w:rPr>
          <w:rFonts w:ascii="Times New Roman" w:hAnsi="Times New Roman" w:cs="Times New Roman"/>
          <w:sz w:val="28"/>
          <w:szCs w:val="28"/>
        </w:rPr>
        <w:t>was promulgated and came into operation on the 12</w:t>
      </w:r>
      <w:r w:rsidRPr="008C0993">
        <w:rPr>
          <w:rFonts w:ascii="Times New Roman" w:hAnsi="Times New Roman" w:cs="Times New Roman"/>
          <w:sz w:val="28"/>
          <w:szCs w:val="28"/>
          <w:vertAlign w:val="superscript"/>
        </w:rPr>
        <w:t>th</w:t>
      </w:r>
      <w:r w:rsidRPr="008C0993">
        <w:rPr>
          <w:rFonts w:ascii="Times New Roman" w:hAnsi="Times New Roman" w:cs="Times New Roman"/>
          <w:sz w:val="28"/>
          <w:szCs w:val="28"/>
        </w:rPr>
        <w:t xml:space="preserve"> July, 2022, as the date of its publication in the Gazette.</w:t>
      </w:r>
      <w:r w:rsidR="003E5B04" w:rsidRPr="008C0993">
        <w:rPr>
          <w:rFonts w:ascii="Times New Roman" w:hAnsi="Times New Roman" w:cs="Times New Roman"/>
          <w:sz w:val="28"/>
          <w:szCs w:val="28"/>
        </w:rPr>
        <w:t xml:space="preserve"> </w:t>
      </w:r>
      <w:r w:rsidR="003715DA" w:rsidRPr="008C0993">
        <w:rPr>
          <w:rFonts w:ascii="Times New Roman" w:hAnsi="Times New Roman" w:cs="Times New Roman"/>
          <w:sz w:val="28"/>
          <w:szCs w:val="28"/>
        </w:rPr>
        <w:t xml:space="preserve">It is critical to mention that the Principal Law was amended by deleting </w:t>
      </w:r>
      <w:r w:rsidR="003715DA" w:rsidRPr="008C0993">
        <w:rPr>
          <w:rFonts w:ascii="Times New Roman" w:hAnsi="Times New Roman" w:cs="Times New Roman"/>
          <w:i/>
          <w:iCs/>
          <w:sz w:val="28"/>
          <w:szCs w:val="28"/>
        </w:rPr>
        <w:t>section 3</w:t>
      </w:r>
      <w:r w:rsidR="003715DA" w:rsidRPr="008C0993">
        <w:rPr>
          <w:rFonts w:ascii="Times New Roman" w:hAnsi="Times New Roman" w:cs="Times New Roman"/>
          <w:sz w:val="28"/>
          <w:szCs w:val="28"/>
        </w:rPr>
        <w:t xml:space="preserve"> and substituting the following:</w:t>
      </w:r>
    </w:p>
    <w:p w:rsidR="008C0993" w:rsidRPr="008C0993" w:rsidRDefault="008C0993" w:rsidP="008C0993">
      <w:pPr>
        <w:spacing w:line="360" w:lineRule="auto"/>
        <w:ind w:left="360"/>
        <w:contextualSpacing/>
        <w:jc w:val="both"/>
        <w:rPr>
          <w:rFonts w:ascii="Times New Roman" w:hAnsi="Times New Roman" w:cs="Times New Roman"/>
          <w:sz w:val="28"/>
          <w:szCs w:val="28"/>
        </w:rPr>
      </w:pPr>
    </w:p>
    <w:p w:rsidR="008C0993" w:rsidRDefault="003715DA" w:rsidP="00344AE1">
      <w:pPr>
        <w:spacing w:line="360" w:lineRule="auto"/>
        <w:ind w:left="360" w:firstLine="284"/>
        <w:contextualSpacing/>
        <w:jc w:val="both"/>
        <w:rPr>
          <w:rFonts w:ascii="Times New Roman" w:hAnsi="Times New Roman" w:cs="Times New Roman"/>
          <w:sz w:val="28"/>
          <w:szCs w:val="28"/>
        </w:rPr>
      </w:pPr>
      <w:r w:rsidRPr="008C0993">
        <w:rPr>
          <w:rFonts w:ascii="Times New Roman" w:hAnsi="Times New Roman" w:cs="Times New Roman"/>
          <w:sz w:val="28"/>
          <w:szCs w:val="28"/>
        </w:rPr>
        <w:lastRenderedPageBreak/>
        <w:t>“This Act shall apply to-</w:t>
      </w:r>
    </w:p>
    <w:p w:rsidR="00036037" w:rsidRPr="00036037" w:rsidRDefault="00036037" w:rsidP="00036037">
      <w:pPr>
        <w:spacing w:line="360" w:lineRule="auto"/>
        <w:ind w:left="360"/>
        <w:contextualSpacing/>
        <w:jc w:val="both"/>
        <w:rPr>
          <w:rFonts w:ascii="Times New Roman" w:hAnsi="Times New Roman" w:cs="Times New Roman"/>
          <w:sz w:val="16"/>
          <w:szCs w:val="16"/>
        </w:rPr>
      </w:pPr>
    </w:p>
    <w:p w:rsidR="003715DA" w:rsidRDefault="003715DA" w:rsidP="008C0993">
      <w:pPr>
        <w:pStyle w:val="ListParagraph"/>
        <w:numPr>
          <w:ilvl w:val="0"/>
          <w:numId w:val="3"/>
        </w:numPr>
        <w:spacing w:line="360" w:lineRule="auto"/>
        <w:jc w:val="both"/>
        <w:rPr>
          <w:rFonts w:ascii="Times New Roman" w:hAnsi="Times New Roman" w:cs="Times New Roman"/>
          <w:sz w:val="28"/>
          <w:szCs w:val="28"/>
        </w:rPr>
      </w:pPr>
      <w:r w:rsidRPr="008C0993">
        <w:rPr>
          <w:rFonts w:ascii="Times New Roman" w:hAnsi="Times New Roman" w:cs="Times New Roman"/>
          <w:sz w:val="28"/>
          <w:szCs w:val="28"/>
        </w:rPr>
        <w:t>all estates whether customary or civil; and</w:t>
      </w:r>
    </w:p>
    <w:p w:rsidR="008C0993" w:rsidRPr="00036037" w:rsidRDefault="008C0993" w:rsidP="008C0993">
      <w:pPr>
        <w:pStyle w:val="ListParagraph"/>
        <w:spacing w:line="360" w:lineRule="auto"/>
        <w:ind w:left="644"/>
        <w:jc w:val="both"/>
        <w:rPr>
          <w:rFonts w:ascii="Times New Roman" w:hAnsi="Times New Roman" w:cs="Times New Roman"/>
          <w:sz w:val="16"/>
          <w:szCs w:val="16"/>
        </w:rPr>
      </w:pPr>
    </w:p>
    <w:p w:rsidR="008C0993" w:rsidRPr="008C0993" w:rsidRDefault="003715DA" w:rsidP="008C0993">
      <w:pPr>
        <w:pStyle w:val="ListParagraph"/>
        <w:numPr>
          <w:ilvl w:val="0"/>
          <w:numId w:val="3"/>
        </w:numPr>
        <w:spacing w:line="360" w:lineRule="auto"/>
        <w:jc w:val="both"/>
        <w:rPr>
          <w:rFonts w:ascii="Times New Roman" w:hAnsi="Times New Roman" w:cs="Times New Roman"/>
          <w:sz w:val="28"/>
          <w:szCs w:val="28"/>
        </w:rPr>
      </w:pPr>
      <w:r w:rsidRPr="008C0993">
        <w:rPr>
          <w:rFonts w:ascii="Times New Roman" w:hAnsi="Times New Roman" w:cs="Times New Roman"/>
          <w:sz w:val="28"/>
          <w:szCs w:val="28"/>
        </w:rPr>
        <w:t>all wills written before commencement of this Act”</w:t>
      </w:r>
    </w:p>
    <w:p w:rsidR="008C0993" w:rsidRPr="00036037" w:rsidRDefault="008C0993" w:rsidP="008C0993">
      <w:pPr>
        <w:pStyle w:val="ListParagraph"/>
        <w:spacing w:line="360" w:lineRule="auto"/>
        <w:ind w:left="644"/>
        <w:jc w:val="both"/>
        <w:rPr>
          <w:rFonts w:ascii="Times New Roman" w:hAnsi="Times New Roman" w:cs="Times New Roman"/>
          <w:sz w:val="16"/>
          <w:szCs w:val="16"/>
        </w:rPr>
      </w:pPr>
    </w:p>
    <w:p w:rsidR="003715DA" w:rsidRDefault="003715DA" w:rsidP="008C0993">
      <w:pPr>
        <w:spacing w:line="360" w:lineRule="auto"/>
        <w:ind w:left="360"/>
        <w:contextualSpacing/>
        <w:jc w:val="both"/>
        <w:rPr>
          <w:rFonts w:ascii="Times New Roman" w:hAnsi="Times New Roman" w:cs="Times New Roman"/>
          <w:b/>
          <w:sz w:val="28"/>
          <w:szCs w:val="28"/>
        </w:rPr>
      </w:pPr>
      <w:r w:rsidRPr="008C0993">
        <w:rPr>
          <w:rFonts w:ascii="Times New Roman" w:hAnsi="Times New Roman" w:cs="Times New Roman"/>
          <w:b/>
          <w:sz w:val="28"/>
          <w:szCs w:val="28"/>
        </w:rPr>
        <w:t xml:space="preserve">Powers, </w:t>
      </w:r>
      <w:r w:rsidR="007113D7">
        <w:rPr>
          <w:rFonts w:ascii="Times New Roman" w:hAnsi="Times New Roman" w:cs="Times New Roman"/>
          <w:b/>
          <w:sz w:val="28"/>
          <w:szCs w:val="28"/>
        </w:rPr>
        <w:t>D</w:t>
      </w:r>
      <w:r w:rsidRPr="008C0993">
        <w:rPr>
          <w:rFonts w:ascii="Times New Roman" w:hAnsi="Times New Roman" w:cs="Times New Roman"/>
          <w:b/>
          <w:sz w:val="28"/>
          <w:szCs w:val="28"/>
        </w:rPr>
        <w:t xml:space="preserve">uties and </w:t>
      </w:r>
      <w:r w:rsidR="005E421B">
        <w:rPr>
          <w:rFonts w:ascii="Times New Roman" w:hAnsi="Times New Roman" w:cs="Times New Roman"/>
          <w:b/>
          <w:sz w:val="28"/>
          <w:szCs w:val="28"/>
        </w:rPr>
        <w:t>J</w:t>
      </w:r>
      <w:r w:rsidRPr="008C0993">
        <w:rPr>
          <w:rFonts w:ascii="Times New Roman" w:hAnsi="Times New Roman" w:cs="Times New Roman"/>
          <w:b/>
          <w:sz w:val="28"/>
          <w:szCs w:val="28"/>
        </w:rPr>
        <w:t>urisdiction</w:t>
      </w:r>
      <w:r w:rsidR="0046393D">
        <w:rPr>
          <w:rFonts w:ascii="Times New Roman" w:hAnsi="Times New Roman" w:cs="Times New Roman"/>
          <w:b/>
          <w:sz w:val="28"/>
          <w:szCs w:val="28"/>
        </w:rPr>
        <w:t xml:space="preserve"> of</w:t>
      </w:r>
      <w:r w:rsidRPr="008C0993">
        <w:rPr>
          <w:rFonts w:ascii="Times New Roman" w:hAnsi="Times New Roman" w:cs="Times New Roman"/>
          <w:b/>
          <w:sz w:val="28"/>
          <w:szCs w:val="28"/>
        </w:rPr>
        <w:t xml:space="preserve"> Master</w:t>
      </w:r>
      <w:bookmarkStart w:id="1" w:name="_GoBack"/>
      <w:bookmarkEnd w:id="1"/>
    </w:p>
    <w:p w:rsidR="008C0993" w:rsidRPr="00036037" w:rsidRDefault="008C0993" w:rsidP="008C0993">
      <w:pPr>
        <w:spacing w:line="360" w:lineRule="auto"/>
        <w:ind w:left="360"/>
        <w:contextualSpacing/>
        <w:jc w:val="both"/>
        <w:rPr>
          <w:rFonts w:ascii="Times New Roman" w:hAnsi="Times New Roman" w:cs="Times New Roman"/>
          <w:b/>
          <w:sz w:val="16"/>
          <w:szCs w:val="16"/>
        </w:rPr>
      </w:pPr>
    </w:p>
    <w:p w:rsidR="00192A37" w:rsidRDefault="00192A37" w:rsidP="008C0993">
      <w:pPr>
        <w:pStyle w:val="ListParagraph"/>
        <w:numPr>
          <w:ilvl w:val="0"/>
          <w:numId w:val="4"/>
        </w:numPr>
        <w:spacing w:line="360" w:lineRule="auto"/>
        <w:jc w:val="both"/>
        <w:rPr>
          <w:rFonts w:ascii="Times New Roman" w:hAnsi="Times New Roman" w:cs="Times New Roman"/>
          <w:sz w:val="28"/>
          <w:szCs w:val="28"/>
        </w:rPr>
      </w:pPr>
      <w:r w:rsidRPr="008C0993">
        <w:rPr>
          <w:rFonts w:ascii="Times New Roman" w:hAnsi="Times New Roman" w:cs="Times New Roman"/>
          <w:sz w:val="28"/>
          <w:szCs w:val="28"/>
        </w:rPr>
        <w:t xml:space="preserve">The Principal Law is amended by deleting </w:t>
      </w:r>
      <w:r w:rsidRPr="008C0993">
        <w:rPr>
          <w:rFonts w:ascii="Times New Roman" w:hAnsi="Times New Roman" w:cs="Times New Roman"/>
          <w:i/>
          <w:iCs/>
          <w:sz w:val="28"/>
          <w:szCs w:val="28"/>
        </w:rPr>
        <w:t>section 6 (2)</w:t>
      </w:r>
      <w:r w:rsidRPr="008C0993">
        <w:rPr>
          <w:rFonts w:ascii="Times New Roman" w:hAnsi="Times New Roman" w:cs="Times New Roman"/>
          <w:sz w:val="28"/>
          <w:szCs w:val="28"/>
        </w:rPr>
        <w:t xml:space="preserve"> by and substituting the following:</w:t>
      </w:r>
    </w:p>
    <w:p w:rsidR="008C0993" w:rsidRPr="008C0993" w:rsidRDefault="008C0993" w:rsidP="008C0993">
      <w:pPr>
        <w:pStyle w:val="ListParagraph"/>
        <w:spacing w:line="360" w:lineRule="auto"/>
        <w:jc w:val="both"/>
        <w:rPr>
          <w:rFonts w:ascii="Times New Roman" w:hAnsi="Times New Roman" w:cs="Times New Roman"/>
          <w:sz w:val="28"/>
          <w:szCs w:val="28"/>
        </w:rPr>
      </w:pPr>
    </w:p>
    <w:p w:rsidR="00192A37" w:rsidRPr="00112C34" w:rsidRDefault="00192A37" w:rsidP="008C0993">
      <w:pPr>
        <w:pStyle w:val="ListParagraph"/>
        <w:spacing w:line="360" w:lineRule="auto"/>
        <w:ind w:left="1440"/>
        <w:jc w:val="both"/>
        <w:rPr>
          <w:rFonts w:ascii="Times New Roman" w:hAnsi="Times New Roman" w:cs="Times New Roman"/>
          <w:sz w:val="28"/>
          <w:szCs w:val="28"/>
        </w:rPr>
      </w:pPr>
      <w:r w:rsidRPr="00112C34">
        <w:rPr>
          <w:rFonts w:ascii="Times New Roman" w:hAnsi="Times New Roman" w:cs="Times New Roman"/>
          <w:sz w:val="28"/>
          <w:szCs w:val="28"/>
        </w:rPr>
        <w:t>“6(2) From the date of coming into operation of the Act, all the property and estate of every deceased person, minor, lunatic, person permanently absent from the Territory without a lawful representative and whose whereabouts is unknown, or person under curatorship, and persons certified ill and incapable of managing their own affairs, shall be administered under the supervision of the Master.”</w:t>
      </w:r>
    </w:p>
    <w:p w:rsidR="008C0993" w:rsidRPr="008C0993" w:rsidRDefault="008C0993" w:rsidP="008C0993">
      <w:pPr>
        <w:pStyle w:val="ListParagraph"/>
        <w:spacing w:line="360" w:lineRule="auto"/>
        <w:ind w:left="1440"/>
        <w:jc w:val="both"/>
        <w:rPr>
          <w:rFonts w:ascii="Times New Roman" w:hAnsi="Times New Roman" w:cs="Times New Roman"/>
          <w:sz w:val="28"/>
          <w:szCs w:val="28"/>
        </w:rPr>
      </w:pPr>
    </w:p>
    <w:p w:rsidR="00192A37" w:rsidRDefault="00192A37" w:rsidP="008C0993">
      <w:pPr>
        <w:spacing w:line="360" w:lineRule="auto"/>
        <w:contextualSpacing/>
        <w:jc w:val="both"/>
        <w:rPr>
          <w:rFonts w:ascii="Times New Roman" w:hAnsi="Times New Roman" w:cs="Times New Roman"/>
          <w:sz w:val="28"/>
          <w:szCs w:val="28"/>
        </w:rPr>
      </w:pPr>
      <w:r w:rsidRPr="008C0993">
        <w:rPr>
          <w:rFonts w:ascii="Times New Roman" w:hAnsi="Times New Roman" w:cs="Times New Roman"/>
          <w:sz w:val="28"/>
          <w:szCs w:val="28"/>
        </w:rPr>
        <w:t xml:space="preserve">[11] It is a matter of common cause that the deceased, namely; </w:t>
      </w:r>
      <w:proofErr w:type="spellStart"/>
      <w:r w:rsidRPr="008C0993">
        <w:rPr>
          <w:rFonts w:ascii="Times New Roman" w:hAnsi="Times New Roman" w:cs="Times New Roman"/>
          <w:sz w:val="28"/>
          <w:szCs w:val="28"/>
        </w:rPr>
        <w:t>Metsing</w:t>
      </w:r>
      <w:proofErr w:type="spellEnd"/>
      <w:r w:rsidRPr="008C0993">
        <w:rPr>
          <w:rFonts w:ascii="Times New Roman" w:hAnsi="Times New Roman" w:cs="Times New Roman"/>
          <w:sz w:val="28"/>
          <w:szCs w:val="28"/>
        </w:rPr>
        <w:t xml:space="preserve"> </w:t>
      </w:r>
      <w:proofErr w:type="spellStart"/>
      <w:r w:rsidRPr="008C0993">
        <w:rPr>
          <w:rFonts w:ascii="Times New Roman" w:hAnsi="Times New Roman" w:cs="Times New Roman"/>
          <w:sz w:val="28"/>
          <w:szCs w:val="28"/>
        </w:rPr>
        <w:t>Lekhanya</w:t>
      </w:r>
      <w:proofErr w:type="spellEnd"/>
      <w:r w:rsidRPr="008C0993">
        <w:rPr>
          <w:rFonts w:ascii="Times New Roman" w:hAnsi="Times New Roman" w:cs="Times New Roman"/>
          <w:sz w:val="28"/>
          <w:szCs w:val="28"/>
        </w:rPr>
        <w:t xml:space="preserve"> and Sofia </w:t>
      </w:r>
      <w:proofErr w:type="spellStart"/>
      <w:r w:rsidRPr="008C0993">
        <w:rPr>
          <w:rFonts w:ascii="Times New Roman" w:hAnsi="Times New Roman" w:cs="Times New Roman"/>
          <w:sz w:val="28"/>
          <w:szCs w:val="28"/>
        </w:rPr>
        <w:t>Lekhanya</w:t>
      </w:r>
      <w:proofErr w:type="spellEnd"/>
      <w:r w:rsidRPr="008C0993">
        <w:rPr>
          <w:rFonts w:ascii="Times New Roman" w:hAnsi="Times New Roman" w:cs="Times New Roman"/>
          <w:sz w:val="28"/>
          <w:szCs w:val="28"/>
        </w:rPr>
        <w:t xml:space="preserve"> died around J</w:t>
      </w:r>
      <w:r w:rsidR="006443B6" w:rsidRPr="008C0993">
        <w:rPr>
          <w:rFonts w:ascii="Times New Roman" w:hAnsi="Times New Roman" w:cs="Times New Roman"/>
          <w:sz w:val="28"/>
          <w:szCs w:val="28"/>
        </w:rPr>
        <w:t>anuary 2021, respectively</w:t>
      </w:r>
      <w:r w:rsidR="00BE25FE" w:rsidRPr="008C0993">
        <w:rPr>
          <w:rFonts w:ascii="Times New Roman" w:hAnsi="Times New Roman" w:cs="Times New Roman"/>
          <w:sz w:val="28"/>
          <w:szCs w:val="28"/>
        </w:rPr>
        <w:t>.</w:t>
      </w:r>
      <w:r w:rsidRPr="008C0993">
        <w:rPr>
          <w:rFonts w:ascii="Times New Roman" w:hAnsi="Times New Roman" w:cs="Times New Roman"/>
          <w:sz w:val="28"/>
          <w:szCs w:val="28"/>
        </w:rPr>
        <w:t xml:space="preserve"> </w:t>
      </w:r>
      <w:r w:rsidR="00E872FB" w:rsidRPr="008C0993">
        <w:rPr>
          <w:rFonts w:ascii="Times New Roman" w:hAnsi="Times New Roman" w:cs="Times New Roman"/>
          <w:sz w:val="28"/>
          <w:szCs w:val="28"/>
        </w:rPr>
        <w:t xml:space="preserve">This court upon realisation of the promulgation of the </w:t>
      </w:r>
      <w:r w:rsidR="00E872FB" w:rsidRPr="007A5033">
        <w:rPr>
          <w:rFonts w:ascii="Times New Roman" w:hAnsi="Times New Roman" w:cs="Times New Roman"/>
          <w:b/>
          <w:bCs/>
          <w:i/>
          <w:iCs/>
          <w:sz w:val="28"/>
          <w:szCs w:val="28"/>
        </w:rPr>
        <w:t>Administration of Estates Proclamation (Amendment) Act, 202</w:t>
      </w:r>
      <w:r w:rsidR="00E9247B" w:rsidRPr="007A5033">
        <w:rPr>
          <w:rFonts w:ascii="Times New Roman" w:hAnsi="Times New Roman" w:cs="Times New Roman"/>
          <w:b/>
          <w:bCs/>
          <w:i/>
          <w:iCs/>
          <w:sz w:val="28"/>
          <w:szCs w:val="28"/>
        </w:rPr>
        <w:t>2</w:t>
      </w:r>
      <w:r w:rsidR="00E9247B" w:rsidRPr="008C0993">
        <w:rPr>
          <w:rFonts w:ascii="Times New Roman" w:hAnsi="Times New Roman" w:cs="Times New Roman"/>
          <w:sz w:val="28"/>
          <w:szCs w:val="28"/>
        </w:rPr>
        <w:t>, directed both counsel in the</w:t>
      </w:r>
      <w:r w:rsidR="00E872FB" w:rsidRPr="008C0993">
        <w:rPr>
          <w:rFonts w:ascii="Times New Roman" w:hAnsi="Times New Roman" w:cs="Times New Roman"/>
          <w:sz w:val="28"/>
          <w:szCs w:val="28"/>
        </w:rPr>
        <w:t xml:space="preserve"> matter, to file s</w:t>
      </w:r>
      <w:r w:rsidR="006443B6" w:rsidRPr="008C0993">
        <w:rPr>
          <w:rFonts w:ascii="Times New Roman" w:hAnsi="Times New Roman" w:cs="Times New Roman"/>
          <w:sz w:val="28"/>
          <w:szCs w:val="28"/>
        </w:rPr>
        <w:t>upplementary heads of arguments, and address the court</w:t>
      </w:r>
      <w:r w:rsidR="00E872FB" w:rsidRPr="008C0993">
        <w:rPr>
          <w:rFonts w:ascii="Times New Roman" w:hAnsi="Times New Roman" w:cs="Times New Roman"/>
          <w:sz w:val="28"/>
          <w:szCs w:val="28"/>
        </w:rPr>
        <w:t xml:space="preserve"> on </w:t>
      </w:r>
      <w:r w:rsidR="006B1BE9" w:rsidRPr="008C0993">
        <w:rPr>
          <w:rFonts w:ascii="Times New Roman" w:hAnsi="Times New Roman" w:cs="Times New Roman"/>
          <w:sz w:val="28"/>
          <w:szCs w:val="28"/>
        </w:rPr>
        <w:t xml:space="preserve">whether to apply the Principal Law or the </w:t>
      </w:r>
      <w:r w:rsidR="006B1BE9" w:rsidRPr="007A5033">
        <w:rPr>
          <w:rFonts w:ascii="Times New Roman" w:hAnsi="Times New Roman" w:cs="Times New Roman"/>
          <w:b/>
          <w:bCs/>
          <w:i/>
          <w:iCs/>
          <w:sz w:val="28"/>
          <w:szCs w:val="28"/>
        </w:rPr>
        <w:t>Amendment Act of 2022</w:t>
      </w:r>
      <w:r w:rsidR="006B1BE9" w:rsidRPr="008C0993">
        <w:rPr>
          <w:rFonts w:ascii="Times New Roman" w:hAnsi="Times New Roman" w:cs="Times New Roman"/>
          <w:sz w:val="28"/>
          <w:szCs w:val="28"/>
        </w:rPr>
        <w:t>.</w:t>
      </w:r>
    </w:p>
    <w:p w:rsidR="008C0993" w:rsidRPr="008C0993" w:rsidRDefault="008C0993" w:rsidP="008C0993">
      <w:pPr>
        <w:spacing w:line="360" w:lineRule="auto"/>
        <w:contextualSpacing/>
        <w:jc w:val="both"/>
        <w:rPr>
          <w:rFonts w:ascii="Times New Roman" w:hAnsi="Times New Roman" w:cs="Times New Roman"/>
          <w:sz w:val="28"/>
          <w:szCs w:val="28"/>
        </w:rPr>
      </w:pPr>
    </w:p>
    <w:p w:rsidR="008B21EA" w:rsidRPr="008C0993" w:rsidRDefault="008B21EA" w:rsidP="008C0993">
      <w:pPr>
        <w:spacing w:line="360" w:lineRule="auto"/>
        <w:contextualSpacing/>
        <w:jc w:val="both"/>
        <w:rPr>
          <w:rFonts w:ascii="Times New Roman" w:hAnsi="Times New Roman" w:cs="Times New Roman"/>
          <w:sz w:val="28"/>
          <w:szCs w:val="28"/>
        </w:rPr>
      </w:pPr>
      <w:r w:rsidRPr="008C0993">
        <w:rPr>
          <w:rFonts w:ascii="Times New Roman" w:hAnsi="Times New Roman" w:cs="Times New Roman"/>
          <w:sz w:val="28"/>
          <w:szCs w:val="28"/>
        </w:rPr>
        <w:t xml:space="preserve">[12] </w:t>
      </w:r>
      <w:r w:rsidR="00C377FB" w:rsidRPr="008C0993">
        <w:rPr>
          <w:rFonts w:ascii="Times New Roman" w:hAnsi="Times New Roman" w:cs="Times New Roman"/>
          <w:sz w:val="28"/>
          <w:szCs w:val="28"/>
        </w:rPr>
        <w:t xml:space="preserve">Adv. </w:t>
      </w:r>
      <w:proofErr w:type="spellStart"/>
      <w:r w:rsidR="00C377FB" w:rsidRPr="008C0993">
        <w:rPr>
          <w:rFonts w:ascii="Times New Roman" w:hAnsi="Times New Roman" w:cs="Times New Roman"/>
          <w:sz w:val="28"/>
          <w:szCs w:val="28"/>
        </w:rPr>
        <w:t>Mpo</w:t>
      </w:r>
      <w:proofErr w:type="spellEnd"/>
      <w:r w:rsidR="00C377FB" w:rsidRPr="008C0993">
        <w:rPr>
          <w:rFonts w:ascii="Times New Roman" w:hAnsi="Times New Roman" w:cs="Times New Roman"/>
          <w:sz w:val="28"/>
          <w:szCs w:val="28"/>
        </w:rPr>
        <w:t xml:space="preserve"> counsel for the applicant submitted that the </w:t>
      </w:r>
      <w:r w:rsidR="00C377FB" w:rsidRPr="007A5033">
        <w:rPr>
          <w:rFonts w:ascii="Times New Roman" w:hAnsi="Times New Roman" w:cs="Times New Roman"/>
          <w:b/>
          <w:bCs/>
          <w:i/>
          <w:iCs/>
          <w:sz w:val="28"/>
          <w:szCs w:val="28"/>
        </w:rPr>
        <w:t>Amendment Act</w:t>
      </w:r>
      <w:r w:rsidR="00C377FB" w:rsidRPr="008C0993">
        <w:rPr>
          <w:rFonts w:ascii="Times New Roman" w:hAnsi="Times New Roman" w:cs="Times New Roman"/>
          <w:sz w:val="28"/>
          <w:szCs w:val="28"/>
        </w:rPr>
        <w:t xml:space="preserve"> is applicable, in so far as it is no longer a requirement to satisfy to the Master that the deceased led a fully European mode of life. However, counsel did not support </w:t>
      </w:r>
      <w:r w:rsidR="00C377FB" w:rsidRPr="008C0993">
        <w:rPr>
          <w:rFonts w:ascii="Times New Roman" w:hAnsi="Times New Roman" w:cs="Times New Roman"/>
          <w:sz w:val="28"/>
          <w:szCs w:val="28"/>
        </w:rPr>
        <w:lastRenderedPageBreak/>
        <w:t xml:space="preserve">this view with any authorities. On the other hand, Adv. </w:t>
      </w:r>
      <w:proofErr w:type="spellStart"/>
      <w:r w:rsidR="00C377FB" w:rsidRPr="008C0993">
        <w:rPr>
          <w:rFonts w:ascii="Times New Roman" w:hAnsi="Times New Roman" w:cs="Times New Roman"/>
          <w:sz w:val="28"/>
          <w:szCs w:val="28"/>
        </w:rPr>
        <w:t>Shakhane</w:t>
      </w:r>
      <w:proofErr w:type="spellEnd"/>
      <w:r w:rsidR="00C377FB" w:rsidRPr="008C0993">
        <w:rPr>
          <w:rFonts w:ascii="Times New Roman" w:hAnsi="Times New Roman" w:cs="Times New Roman"/>
          <w:sz w:val="28"/>
          <w:szCs w:val="28"/>
        </w:rPr>
        <w:t xml:space="preserve">, counsel for the first respondent submitted that the Amendment Act is retrospective in its nature and applicability. He referred to the provisions of </w:t>
      </w:r>
      <w:r w:rsidR="00C377FB" w:rsidRPr="008C0993">
        <w:rPr>
          <w:rFonts w:ascii="Times New Roman" w:hAnsi="Times New Roman" w:cs="Times New Roman"/>
          <w:i/>
          <w:iCs/>
          <w:sz w:val="28"/>
          <w:szCs w:val="28"/>
        </w:rPr>
        <w:t>section 2</w:t>
      </w:r>
      <w:r w:rsidR="00C377FB" w:rsidRPr="008C0993">
        <w:rPr>
          <w:rFonts w:ascii="Times New Roman" w:hAnsi="Times New Roman" w:cs="Times New Roman"/>
          <w:sz w:val="28"/>
          <w:szCs w:val="28"/>
        </w:rPr>
        <w:t xml:space="preserve"> </w:t>
      </w:r>
      <w:r w:rsidR="00C377FB" w:rsidRPr="008C0993">
        <w:rPr>
          <w:rFonts w:ascii="Times New Roman" w:hAnsi="Times New Roman" w:cs="Times New Roman"/>
          <w:i/>
          <w:iCs/>
          <w:sz w:val="28"/>
          <w:szCs w:val="28"/>
        </w:rPr>
        <w:t>of the Act</w:t>
      </w:r>
      <w:r w:rsidR="00C377FB" w:rsidRPr="008C0993">
        <w:rPr>
          <w:rFonts w:ascii="Times New Roman" w:hAnsi="Times New Roman" w:cs="Times New Roman"/>
          <w:sz w:val="28"/>
          <w:szCs w:val="28"/>
        </w:rPr>
        <w:t xml:space="preserve">. He submitted further that the retrospectivity of the provisions of the Act are made explicitly clear in terms of provisions of </w:t>
      </w:r>
      <w:r w:rsidR="00C377FB" w:rsidRPr="008C0993">
        <w:rPr>
          <w:rFonts w:ascii="Times New Roman" w:hAnsi="Times New Roman" w:cs="Times New Roman"/>
          <w:i/>
          <w:iCs/>
          <w:sz w:val="28"/>
          <w:szCs w:val="28"/>
        </w:rPr>
        <w:t>section 3 (b) of the Act</w:t>
      </w:r>
      <w:r w:rsidR="00C377FB" w:rsidRPr="008C0993">
        <w:rPr>
          <w:rFonts w:ascii="Times New Roman" w:hAnsi="Times New Roman" w:cs="Times New Roman"/>
          <w:sz w:val="28"/>
          <w:szCs w:val="28"/>
        </w:rPr>
        <w:t xml:space="preserve"> and the wording used thereof.</w:t>
      </w:r>
      <w:r w:rsidR="008A7C55" w:rsidRPr="008C0993">
        <w:rPr>
          <w:rFonts w:ascii="Times New Roman" w:hAnsi="Times New Roman" w:cs="Times New Roman"/>
          <w:sz w:val="28"/>
          <w:szCs w:val="28"/>
        </w:rPr>
        <w:t xml:space="preserve"> He referred this court to the case of </w:t>
      </w:r>
      <w:r w:rsidR="008A7C55" w:rsidRPr="00037959">
        <w:rPr>
          <w:rFonts w:ascii="Times New Roman" w:hAnsi="Times New Roman" w:cs="Times New Roman"/>
          <w:b/>
          <w:bCs/>
          <w:i/>
          <w:iCs/>
          <w:sz w:val="28"/>
          <w:szCs w:val="28"/>
        </w:rPr>
        <w:t>Minister of Hom</w:t>
      </w:r>
      <w:r w:rsidR="00017F26" w:rsidRPr="00037959">
        <w:rPr>
          <w:rFonts w:ascii="Times New Roman" w:hAnsi="Times New Roman" w:cs="Times New Roman"/>
          <w:b/>
          <w:bCs/>
          <w:i/>
          <w:iCs/>
          <w:sz w:val="28"/>
          <w:szCs w:val="28"/>
        </w:rPr>
        <w:t xml:space="preserve">e Affairs and </w:t>
      </w:r>
      <w:r w:rsidR="00037959" w:rsidRPr="00037959">
        <w:rPr>
          <w:rFonts w:ascii="Times New Roman" w:hAnsi="Times New Roman" w:cs="Times New Roman"/>
          <w:b/>
          <w:bCs/>
          <w:i/>
          <w:iCs/>
          <w:sz w:val="28"/>
          <w:szCs w:val="28"/>
        </w:rPr>
        <w:t>O</w:t>
      </w:r>
      <w:r w:rsidR="00017F26" w:rsidRPr="00037959">
        <w:rPr>
          <w:rFonts w:ascii="Times New Roman" w:hAnsi="Times New Roman" w:cs="Times New Roman"/>
          <w:b/>
          <w:bCs/>
          <w:i/>
          <w:iCs/>
          <w:sz w:val="28"/>
          <w:szCs w:val="28"/>
        </w:rPr>
        <w:t>thers v Mofolo</w:t>
      </w:r>
      <w:r w:rsidR="00033180">
        <w:rPr>
          <w:rStyle w:val="FootnoteReference"/>
          <w:rFonts w:ascii="Times New Roman" w:hAnsi="Times New Roman" w:cs="Times New Roman"/>
          <w:b/>
          <w:bCs/>
          <w:i/>
          <w:iCs/>
          <w:sz w:val="28"/>
          <w:szCs w:val="28"/>
        </w:rPr>
        <w:footnoteReference w:id="1"/>
      </w:r>
      <w:r w:rsidR="00017F26" w:rsidRPr="008C0993">
        <w:rPr>
          <w:rFonts w:ascii="Times New Roman" w:hAnsi="Times New Roman" w:cs="Times New Roman"/>
          <w:sz w:val="28"/>
          <w:szCs w:val="28"/>
        </w:rPr>
        <w:t>.</w:t>
      </w:r>
    </w:p>
    <w:p w:rsidR="00017F26" w:rsidRPr="008C0993" w:rsidRDefault="00017F26" w:rsidP="008C0993">
      <w:pPr>
        <w:spacing w:line="360" w:lineRule="auto"/>
        <w:contextualSpacing/>
        <w:jc w:val="both"/>
        <w:rPr>
          <w:rFonts w:ascii="Times New Roman" w:hAnsi="Times New Roman" w:cs="Times New Roman"/>
          <w:sz w:val="28"/>
          <w:szCs w:val="28"/>
        </w:rPr>
      </w:pPr>
    </w:p>
    <w:p w:rsidR="00017F26" w:rsidRPr="00037959" w:rsidRDefault="0091183C" w:rsidP="008C0993">
      <w:pPr>
        <w:spacing w:line="360" w:lineRule="auto"/>
        <w:contextualSpacing/>
        <w:jc w:val="both"/>
        <w:rPr>
          <w:rFonts w:ascii="Times New Roman" w:hAnsi="Times New Roman" w:cs="Times New Roman"/>
          <w:b/>
          <w:bCs/>
          <w:sz w:val="28"/>
          <w:szCs w:val="28"/>
        </w:rPr>
      </w:pPr>
      <w:r w:rsidRPr="00037959">
        <w:rPr>
          <w:rFonts w:ascii="Times New Roman" w:hAnsi="Times New Roman" w:cs="Times New Roman"/>
          <w:b/>
          <w:bCs/>
          <w:sz w:val="28"/>
          <w:szCs w:val="28"/>
        </w:rPr>
        <w:t>The Law- Retrospective Operation of Statutes</w:t>
      </w:r>
    </w:p>
    <w:p w:rsidR="0091183C" w:rsidRDefault="0091183C" w:rsidP="008C0993">
      <w:pPr>
        <w:spacing w:line="360" w:lineRule="auto"/>
        <w:contextualSpacing/>
        <w:jc w:val="both"/>
        <w:rPr>
          <w:rFonts w:ascii="Times New Roman" w:hAnsi="Times New Roman" w:cs="Times New Roman"/>
          <w:sz w:val="28"/>
          <w:szCs w:val="28"/>
        </w:rPr>
      </w:pPr>
      <w:r w:rsidRPr="008C0993">
        <w:rPr>
          <w:rFonts w:ascii="Times New Roman" w:hAnsi="Times New Roman" w:cs="Times New Roman"/>
          <w:sz w:val="28"/>
          <w:szCs w:val="28"/>
        </w:rPr>
        <w:t xml:space="preserve">[13] In </w:t>
      </w:r>
      <w:bookmarkStart w:id="2" w:name="_Hlk113962607"/>
      <w:proofErr w:type="spellStart"/>
      <w:r w:rsidRPr="00037959">
        <w:rPr>
          <w:rFonts w:ascii="Times New Roman" w:hAnsi="Times New Roman" w:cs="Times New Roman"/>
          <w:b/>
          <w:bCs/>
          <w:i/>
          <w:iCs/>
          <w:sz w:val="28"/>
          <w:szCs w:val="28"/>
        </w:rPr>
        <w:t>Garikapati</w:t>
      </w:r>
      <w:proofErr w:type="spellEnd"/>
      <w:r w:rsidRPr="00037959">
        <w:rPr>
          <w:rFonts w:ascii="Times New Roman" w:hAnsi="Times New Roman" w:cs="Times New Roman"/>
          <w:b/>
          <w:bCs/>
          <w:i/>
          <w:iCs/>
          <w:sz w:val="28"/>
          <w:szCs w:val="28"/>
        </w:rPr>
        <w:t xml:space="preserve"> </w:t>
      </w:r>
      <w:proofErr w:type="spellStart"/>
      <w:r w:rsidRPr="00037959">
        <w:rPr>
          <w:rFonts w:ascii="Times New Roman" w:hAnsi="Times New Roman" w:cs="Times New Roman"/>
          <w:b/>
          <w:bCs/>
          <w:i/>
          <w:iCs/>
          <w:sz w:val="28"/>
          <w:szCs w:val="28"/>
        </w:rPr>
        <w:t>Veeraya</w:t>
      </w:r>
      <w:proofErr w:type="spellEnd"/>
      <w:r w:rsidRPr="00037959">
        <w:rPr>
          <w:rFonts w:ascii="Times New Roman" w:hAnsi="Times New Roman" w:cs="Times New Roman"/>
          <w:b/>
          <w:bCs/>
          <w:i/>
          <w:iCs/>
          <w:sz w:val="28"/>
          <w:szCs w:val="28"/>
        </w:rPr>
        <w:t xml:space="preserve"> v N. Subbiah Choudhry</w:t>
      </w:r>
      <w:bookmarkEnd w:id="2"/>
      <w:r w:rsidR="007A5033">
        <w:rPr>
          <w:rStyle w:val="FootnoteReference"/>
          <w:rFonts w:ascii="Times New Roman" w:hAnsi="Times New Roman" w:cs="Times New Roman"/>
          <w:b/>
          <w:bCs/>
          <w:i/>
          <w:iCs/>
          <w:sz w:val="28"/>
          <w:szCs w:val="28"/>
        </w:rPr>
        <w:footnoteReference w:id="2"/>
      </w:r>
      <w:r w:rsidR="007A5033">
        <w:rPr>
          <w:rFonts w:ascii="Times New Roman" w:hAnsi="Times New Roman" w:cs="Times New Roman"/>
          <w:b/>
          <w:bCs/>
          <w:i/>
          <w:iCs/>
          <w:sz w:val="28"/>
          <w:szCs w:val="28"/>
        </w:rPr>
        <w:t xml:space="preserve"> </w:t>
      </w:r>
      <w:r w:rsidRPr="008C0993">
        <w:rPr>
          <w:rFonts w:ascii="Times New Roman" w:hAnsi="Times New Roman" w:cs="Times New Roman"/>
          <w:sz w:val="28"/>
          <w:szCs w:val="28"/>
        </w:rPr>
        <w:t>obse</w:t>
      </w:r>
      <w:r w:rsidR="003C2B61" w:rsidRPr="008C0993">
        <w:rPr>
          <w:rFonts w:ascii="Times New Roman" w:hAnsi="Times New Roman" w:cs="Times New Roman"/>
          <w:sz w:val="28"/>
          <w:szCs w:val="28"/>
        </w:rPr>
        <w:t>rved as thus (</w:t>
      </w:r>
      <w:r w:rsidRPr="00037959">
        <w:rPr>
          <w:rFonts w:ascii="Times New Roman" w:hAnsi="Times New Roman" w:cs="Times New Roman"/>
          <w:i/>
          <w:iCs/>
          <w:sz w:val="28"/>
          <w:szCs w:val="28"/>
        </w:rPr>
        <w:t>Para 25 of AIR</w:t>
      </w:r>
      <w:r w:rsidRPr="008C0993">
        <w:rPr>
          <w:rFonts w:ascii="Times New Roman" w:hAnsi="Times New Roman" w:cs="Times New Roman"/>
          <w:sz w:val="28"/>
          <w:szCs w:val="28"/>
        </w:rPr>
        <w:t>)</w:t>
      </w:r>
    </w:p>
    <w:p w:rsidR="007A5033" w:rsidRPr="008C0993" w:rsidRDefault="007A5033" w:rsidP="008C0993">
      <w:pPr>
        <w:spacing w:line="360" w:lineRule="auto"/>
        <w:contextualSpacing/>
        <w:jc w:val="both"/>
        <w:rPr>
          <w:rFonts w:ascii="Times New Roman" w:hAnsi="Times New Roman" w:cs="Times New Roman"/>
          <w:sz w:val="28"/>
          <w:szCs w:val="28"/>
        </w:rPr>
      </w:pPr>
    </w:p>
    <w:p w:rsidR="0091183C" w:rsidRPr="00112C34" w:rsidRDefault="003C2B61" w:rsidP="007A5033">
      <w:pPr>
        <w:spacing w:line="360" w:lineRule="auto"/>
        <w:ind w:left="720"/>
        <w:contextualSpacing/>
        <w:jc w:val="both"/>
        <w:rPr>
          <w:rFonts w:ascii="Times New Roman" w:hAnsi="Times New Roman" w:cs="Times New Roman"/>
          <w:sz w:val="28"/>
          <w:szCs w:val="28"/>
        </w:rPr>
      </w:pPr>
      <w:r w:rsidRPr="00112C34">
        <w:rPr>
          <w:rFonts w:ascii="Times New Roman" w:hAnsi="Times New Roman" w:cs="Times New Roman"/>
          <w:sz w:val="28"/>
          <w:szCs w:val="28"/>
        </w:rPr>
        <w:t>“</w:t>
      </w:r>
      <w:r w:rsidR="0091183C" w:rsidRPr="00112C34">
        <w:rPr>
          <w:rFonts w:ascii="Times New Roman" w:hAnsi="Times New Roman" w:cs="Times New Roman"/>
          <w:sz w:val="28"/>
          <w:szCs w:val="28"/>
        </w:rPr>
        <w:t>The golden rule of construction is that, in the absence of anything in the enactment to show that it is to have retrospective operation, it cannot be so construed as to have the effect of altering the law applicable to a claim in litigation at the time when the Act was passed.”</w:t>
      </w:r>
    </w:p>
    <w:p w:rsidR="00037959" w:rsidRPr="008C0993" w:rsidRDefault="00037959" w:rsidP="008C0993">
      <w:pPr>
        <w:spacing w:line="360" w:lineRule="auto"/>
        <w:contextualSpacing/>
        <w:jc w:val="both"/>
        <w:rPr>
          <w:rFonts w:ascii="Times New Roman" w:hAnsi="Times New Roman" w:cs="Times New Roman"/>
          <w:sz w:val="28"/>
          <w:szCs w:val="28"/>
        </w:rPr>
      </w:pPr>
    </w:p>
    <w:p w:rsidR="0091183C" w:rsidRDefault="0091183C" w:rsidP="008C0993">
      <w:pPr>
        <w:spacing w:line="360" w:lineRule="auto"/>
        <w:contextualSpacing/>
        <w:jc w:val="both"/>
        <w:rPr>
          <w:rFonts w:ascii="Times New Roman" w:hAnsi="Times New Roman" w:cs="Times New Roman"/>
          <w:sz w:val="28"/>
          <w:szCs w:val="28"/>
        </w:rPr>
      </w:pPr>
      <w:r w:rsidRPr="008C0993">
        <w:rPr>
          <w:rFonts w:ascii="Times New Roman" w:hAnsi="Times New Roman" w:cs="Times New Roman"/>
          <w:sz w:val="28"/>
          <w:szCs w:val="28"/>
        </w:rPr>
        <w:t>[14</w:t>
      </w:r>
      <w:r w:rsidR="003C2B61" w:rsidRPr="008C0993">
        <w:rPr>
          <w:rFonts w:ascii="Times New Roman" w:hAnsi="Times New Roman" w:cs="Times New Roman"/>
          <w:sz w:val="28"/>
          <w:szCs w:val="28"/>
        </w:rPr>
        <w:t xml:space="preserve">] In </w:t>
      </w:r>
      <w:r w:rsidR="003C2B61" w:rsidRPr="00037959">
        <w:rPr>
          <w:rFonts w:ascii="Times New Roman" w:hAnsi="Times New Roman" w:cs="Times New Roman"/>
          <w:b/>
          <w:bCs/>
          <w:i/>
          <w:iCs/>
          <w:sz w:val="28"/>
          <w:szCs w:val="28"/>
        </w:rPr>
        <w:t xml:space="preserve">Smt. </w:t>
      </w:r>
      <w:proofErr w:type="spellStart"/>
      <w:r w:rsidR="003C2B61" w:rsidRPr="00037959">
        <w:rPr>
          <w:rFonts w:ascii="Times New Roman" w:hAnsi="Times New Roman" w:cs="Times New Roman"/>
          <w:b/>
          <w:bCs/>
          <w:i/>
          <w:iCs/>
          <w:sz w:val="28"/>
          <w:szCs w:val="28"/>
        </w:rPr>
        <w:t>Dayawati</w:t>
      </w:r>
      <w:proofErr w:type="spellEnd"/>
      <w:r w:rsidR="003C2B61" w:rsidRPr="00037959">
        <w:rPr>
          <w:rFonts w:ascii="Times New Roman" w:hAnsi="Times New Roman" w:cs="Times New Roman"/>
          <w:b/>
          <w:bCs/>
          <w:i/>
          <w:iCs/>
          <w:sz w:val="28"/>
          <w:szCs w:val="28"/>
        </w:rPr>
        <w:t xml:space="preserve"> v </w:t>
      </w:r>
      <w:proofErr w:type="spellStart"/>
      <w:r w:rsidR="003C2B61" w:rsidRPr="00037959">
        <w:rPr>
          <w:rFonts w:ascii="Times New Roman" w:hAnsi="Times New Roman" w:cs="Times New Roman"/>
          <w:b/>
          <w:bCs/>
          <w:i/>
          <w:iCs/>
          <w:sz w:val="28"/>
          <w:szCs w:val="28"/>
        </w:rPr>
        <w:t>Inderjit</w:t>
      </w:r>
      <w:proofErr w:type="spellEnd"/>
      <w:r w:rsidR="004D671B">
        <w:rPr>
          <w:rStyle w:val="FootnoteReference"/>
          <w:rFonts w:ascii="Times New Roman" w:hAnsi="Times New Roman" w:cs="Times New Roman"/>
          <w:b/>
          <w:bCs/>
          <w:i/>
          <w:iCs/>
          <w:sz w:val="28"/>
          <w:szCs w:val="28"/>
        </w:rPr>
        <w:footnoteReference w:id="3"/>
      </w:r>
      <w:r w:rsidR="003C2B61" w:rsidRPr="00037959">
        <w:rPr>
          <w:rFonts w:ascii="Times New Roman" w:hAnsi="Times New Roman" w:cs="Times New Roman"/>
          <w:b/>
          <w:bCs/>
          <w:i/>
          <w:iCs/>
          <w:sz w:val="28"/>
          <w:szCs w:val="28"/>
        </w:rPr>
        <w:t xml:space="preserve"> </w:t>
      </w:r>
      <w:r w:rsidRPr="008C0993">
        <w:rPr>
          <w:rFonts w:ascii="Times New Roman" w:hAnsi="Times New Roman" w:cs="Times New Roman"/>
          <w:sz w:val="28"/>
          <w:szCs w:val="28"/>
        </w:rPr>
        <w:t>it is held thus:</w:t>
      </w:r>
    </w:p>
    <w:p w:rsidR="004D671B" w:rsidRPr="008C0993" w:rsidRDefault="004D671B" w:rsidP="008C0993">
      <w:pPr>
        <w:spacing w:line="360" w:lineRule="auto"/>
        <w:contextualSpacing/>
        <w:jc w:val="both"/>
        <w:rPr>
          <w:rFonts w:ascii="Times New Roman" w:hAnsi="Times New Roman" w:cs="Times New Roman"/>
          <w:sz w:val="28"/>
          <w:szCs w:val="28"/>
        </w:rPr>
      </w:pPr>
    </w:p>
    <w:p w:rsidR="0091183C" w:rsidRPr="00112C34" w:rsidRDefault="0091183C" w:rsidP="004D671B">
      <w:pPr>
        <w:spacing w:line="360" w:lineRule="auto"/>
        <w:ind w:left="720"/>
        <w:contextualSpacing/>
        <w:jc w:val="both"/>
        <w:rPr>
          <w:rFonts w:ascii="Times New Roman" w:hAnsi="Times New Roman" w:cs="Times New Roman"/>
          <w:sz w:val="28"/>
          <w:szCs w:val="28"/>
        </w:rPr>
      </w:pPr>
      <w:r w:rsidRPr="00112C34">
        <w:rPr>
          <w:rFonts w:ascii="Times New Roman" w:hAnsi="Times New Roman" w:cs="Times New Roman"/>
          <w:sz w:val="28"/>
          <w:szCs w:val="28"/>
        </w:rPr>
        <w:t>“Now as a general proposition, it, may be admitted that ordinarily a court of appeal ca</w:t>
      </w:r>
      <w:r w:rsidR="003C2B61" w:rsidRPr="00112C34">
        <w:rPr>
          <w:rFonts w:ascii="Times New Roman" w:hAnsi="Times New Roman" w:cs="Times New Roman"/>
          <w:sz w:val="28"/>
          <w:szCs w:val="28"/>
        </w:rPr>
        <w:t>nnot take into account a new law</w:t>
      </w:r>
      <w:r w:rsidRPr="00112C34">
        <w:rPr>
          <w:rFonts w:ascii="Times New Roman" w:hAnsi="Times New Roman" w:cs="Times New Roman"/>
          <w:sz w:val="28"/>
          <w:szCs w:val="28"/>
        </w:rPr>
        <w:t xml:space="preserve">, brought into existence after the judgment appealed from has been rendered, because the rights of </w:t>
      </w:r>
      <w:r w:rsidR="00E2742E" w:rsidRPr="00112C34">
        <w:rPr>
          <w:rFonts w:ascii="Times New Roman" w:hAnsi="Times New Roman" w:cs="Times New Roman"/>
          <w:sz w:val="28"/>
          <w:szCs w:val="28"/>
        </w:rPr>
        <w:t xml:space="preserve">the litigants in an appeal are determined under the law in force at the date of suit. Even before the days of Coke whose maxim- a new law ought to be prospective, not retrospective in its operation-is off-quoted. Courts have looked with disfavour upon laws which take away vested rights or affect </w:t>
      </w:r>
      <w:r w:rsidR="00E2742E" w:rsidRPr="00112C34">
        <w:rPr>
          <w:rFonts w:ascii="Times New Roman" w:hAnsi="Times New Roman" w:cs="Times New Roman"/>
          <w:sz w:val="28"/>
          <w:szCs w:val="28"/>
        </w:rPr>
        <w:lastRenderedPageBreak/>
        <w:t>pending cases. Matters of procedure are, however, different and the law affecting procedure is always retrospective. But it does not mean that there is an absolute rule of inviolability of substantive rights. If the new law speaks in language, which expressly or by clear intendment takes in even pending matters, the court of trial as well as the court of appeal must have regard to an intention so expressed, and the court of appeal may give effect to such a law even after the judgment of the court of first instance.</w:t>
      </w:r>
      <w:r w:rsidR="00F53233" w:rsidRPr="00112C34">
        <w:rPr>
          <w:rFonts w:ascii="Times New Roman" w:hAnsi="Times New Roman" w:cs="Times New Roman"/>
          <w:sz w:val="28"/>
          <w:szCs w:val="28"/>
        </w:rPr>
        <w:t>”</w:t>
      </w:r>
    </w:p>
    <w:p w:rsidR="00037959" w:rsidRPr="008C0993" w:rsidRDefault="00037959" w:rsidP="008C0993">
      <w:pPr>
        <w:spacing w:line="360" w:lineRule="auto"/>
        <w:contextualSpacing/>
        <w:jc w:val="both"/>
        <w:rPr>
          <w:rFonts w:ascii="Times New Roman" w:hAnsi="Times New Roman" w:cs="Times New Roman"/>
          <w:sz w:val="28"/>
          <w:szCs w:val="28"/>
        </w:rPr>
      </w:pPr>
    </w:p>
    <w:p w:rsidR="00F53233" w:rsidRDefault="00F53233" w:rsidP="008C0993">
      <w:pPr>
        <w:spacing w:line="360" w:lineRule="auto"/>
        <w:contextualSpacing/>
        <w:jc w:val="both"/>
        <w:rPr>
          <w:rFonts w:ascii="Times New Roman" w:hAnsi="Times New Roman" w:cs="Times New Roman"/>
          <w:sz w:val="28"/>
          <w:szCs w:val="28"/>
        </w:rPr>
      </w:pPr>
      <w:r w:rsidRPr="008C0993">
        <w:rPr>
          <w:rFonts w:ascii="Times New Roman" w:hAnsi="Times New Roman" w:cs="Times New Roman"/>
          <w:sz w:val="28"/>
          <w:szCs w:val="28"/>
        </w:rPr>
        <w:t xml:space="preserve">[15] In the case of </w:t>
      </w:r>
      <w:bookmarkStart w:id="3" w:name="_Hlk113962846"/>
      <w:r w:rsidRPr="00037959">
        <w:rPr>
          <w:rFonts w:ascii="Times New Roman" w:hAnsi="Times New Roman" w:cs="Times New Roman"/>
          <w:b/>
          <w:bCs/>
          <w:i/>
          <w:iCs/>
          <w:sz w:val="28"/>
          <w:szCs w:val="28"/>
        </w:rPr>
        <w:t xml:space="preserve">National Director of Public Prosecutions v Carolus and </w:t>
      </w:r>
      <w:r w:rsidR="00037959">
        <w:rPr>
          <w:rFonts w:ascii="Times New Roman" w:hAnsi="Times New Roman" w:cs="Times New Roman"/>
          <w:b/>
          <w:bCs/>
          <w:i/>
          <w:iCs/>
          <w:sz w:val="28"/>
          <w:szCs w:val="28"/>
        </w:rPr>
        <w:t>O</w:t>
      </w:r>
      <w:r w:rsidRPr="00037959">
        <w:rPr>
          <w:rFonts w:ascii="Times New Roman" w:hAnsi="Times New Roman" w:cs="Times New Roman"/>
          <w:b/>
          <w:bCs/>
          <w:i/>
          <w:iCs/>
          <w:sz w:val="28"/>
          <w:szCs w:val="28"/>
        </w:rPr>
        <w:t>thers</w:t>
      </w:r>
      <w:r w:rsidR="00531D8E">
        <w:rPr>
          <w:rStyle w:val="FootnoteReference"/>
          <w:rFonts w:ascii="Times New Roman" w:hAnsi="Times New Roman" w:cs="Times New Roman"/>
          <w:b/>
          <w:bCs/>
          <w:i/>
          <w:iCs/>
          <w:sz w:val="28"/>
          <w:szCs w:val="28"/>
        </w:rPr>
        <w:footnoteReference w:id="4"/>
      </w:r>
      <w:r w:rsidRPr="00037959">
        <w:rPr>
          <w:rFonts w:ascii="Times New Roman" w:hAnsi="Times New Roman" w:cs="Times New Roman"/>
          <w:b/>
          <w:bCs/>
          <w:i/>
          <w:iCs/>
          <w:sz w:val="28"/>
          <w:szCs w:val="28"/>
        </w:rPr>
        <w:t xml:space="preserve"> </w:t>
      </w:r>
      <w:bookmarkEnd w:id="3"/>
      <w:r w:rsidRPr="008C0993">
        <w:rPr>
          <w:rFonts w:ascii="Times New Roman" w:hAnsi="Times New Roman" w:cs="Times New Roman"/>
          <w:sz w:val="28"/>
          <w:szCs w:val="28"/>
        </w:rPr>
        <w:t>the following was said:</w:t>
      </w:r>
    </w:p>
    <w:p w:rsidR="00531D8E" w:rsidRPr="008C0993" w:rsidRDefault="00531D8E" w:rsidP="008C0993">
      <w:pPr>
        <w:spacing w:line="360" w:lineRule="auto"/>
        <w:contextualSpacing/>
        <w:jc w:val="both"/>
        <w:rPr>
          <w:rFonts w:ascii="Times New Roman" w:hAnsi="Times New Roman" w:cs="Times New Roman"/>
          <w:sz w:val="28"/>
          <w:szCs w:val="28"/>
        </w:rPr>
      </w:pPr>
    </w:p>
    <w:p w:rsidR="00F53233" w:rsidRPr="00112C34" w:rsidRDefault="003C2B61" w:rsidP="00531D8E">
      <w:pPr>
        <w:spacing w:line="360" w:lineRule="auto"/>
        <w:ind w:left="720"/>
        <w:contextualSpacing/>
        <w:jc w:val="both"/>
        <w:rPr>
          <w:rFonts w:ascii="Times New Roman" w:hAnsi="Times New Roman" w:cs="Times New Roman"/>
          <w:sz w:val="28"/>
          <w:szCs w:val="28"/>
        </w:rPr>
      </w:pPr>
      <w:r w:rsidRPr="00112C34">
        <w:rPr>
          <w:rFonts w:ascii="Times New Roman" w:hAnsi="Times New Roman" w:cs="Times New Roman"/>
          <w:sz w:val="28"/>
          <w:szCs w:val="28"/>
        </w:rPr>
        <w:t>“</w:t>
      </w:r>
      <w:r w:rsidR="00F53233" w:rsidRPr="00112C34">
        <w:rPr>
          <w:rFonts w:ascii="Times New Roman" w:hAnsi="Times New Roman" w:cs="Times New Roman"/>
          <w:sz w:val="28"/>
          <w:szCs w:val="28"/>
        </w:rPr>
        <w:t>An important legal rule forming part of what may be described as our legal culture provides that no statute is to be construed as h</w:t>
      </w:r>
      <w:r w:rsidR="008E6629" w:rsidRPr="00112C34">
        <w:rPr>
          <w:rFonts w:ascii="Times New Roman" w:hAnsi="Times New Roman" w:cs="Times New Roman"/>
          <w:sz w:val="28"/>
          <w:szCs w:val="28"/>
        </w:rPr>
        <w:t>aving retrospective operation (</w:t>
      </w:r>
      <w:r w:rsidR="00F53233" w:rsidRPr="00112C34">
        <w:rPr>
          <w:rFonts w:ascii="Times New Roman" w:hAnsi="Times New Roman" w:cs="Times New Roman"/>
          <w:sz w:val="28"/>
          <w:szCs w:val="28"/>
        </w:rPr>
        <w:t xml:space="preserve">in the sense of taking away or impairing a vested right acquired under the existing laws), unless the legislature clearly intended the statute to have effect. See </w:t>
      </w:r>
      <w:bookmarkStart w:id="4" w:name="_Hlk113962979"/>
      <w:r w:rsidR="00F53233" w:rsidRPr="00112C34">
        <w:rPr>
          <w:rFonts w:ascii="Times New Roman" w:hAnsi="Times New Roman" w:cs="Times New Roman"/>
          <w:b/>
          <w:bCs/>
          <w:i/>
          <w:iCs/>
          <w:sz w:val="28"/>
          <w:szCs w:val="28"/>
        </w:rPr>
        <w:t>Peterson v Cuthbert and company Ltd</w:t>
      </w:r>
      <w:bookmarkEnd w:id="4"/>
      <w:r w:rsidR="00531D8E" w:rsidRPr="00112C34">
        <w:rPr>
          <w:rStyle w:val="FootnoteReference"/>
          <w:rFonts w:ascii="Times New Roman" w:hAnsi="Times New Roman" w:cs="Times New Roman"/>
          <w:b/>
          <w:bCs/>
          <w:i/>
          <w:iCs/>
          <w:sz w:val="28"/>
          <w:szCs w:val="28"/>
        </w:rPr>
        <w:footnoteReference w:id="5"/>
      </w:r>
      <w:r w:rsidR="00F53233" w:rsidRPr="00112C34">
        <w:rPr>
          <w:rFonts w:ascii="Times New Roman" w:hAnsi="Times New Roman" w:cs="Times New Roman"/>
          <w:i/>
          <w:iCs/>
          <w:sz w:val="28"/>
          <w:szCs w:val="28"/>
        </w:rPr>
        <w:t>.</w:t>
      </w:r>
      <w:r w:rsidR="00F53233" w:rsidRPr="00112C34">
        <w:rPr>
          <w:rFonts w:ascii="Times New Roman" w:hAnsi="Times New Roman" w:cs="Times New Roman"/>
          <w:sz w:val="28"/>
          <w:szCs w:val="28"/>
        </w:rPr>
        <w:t>”</w:t>
      </w:r>
    </w:p>
    <w:p w:rsidR="00531D8E" w:rsidRPr="008C0993" w:rsidRDefault="00531D8E" w:rsidP="00531D8E">
      <w:pPr>
        <w:spacing w:line="360" w:lineRule="auto"/>
        <w:ind w:left="720"/>
        <w:contextualSpacing/>
        <w:jc w:val="both"/>
        <w:rPr>
          <w:rFonts w:ascii="Times New Roman" w:hAnsi="Times New Roman" w:cs="Times New Roman"/>
          <w:sz w:val="28"/>
          <w:szCs w:val="28"/>
        </w:rPr>
      </w:pPr>
    </w:p>
    <w:p w:rsidR="00F53233" w:rsidRDefault="00F53233" w:rsidP="008C0993">
      <w:pPr>
        <w:spacing w:line="360" w:lineRule="auto"/>
        <w:contextualSpacing/>
        <w:jc w:val="both"/>
        <w:rPr>
          <w:rFonts w:ascii="Times New Roman" w:hAnsi="Times New Roman" w:cs="Times New Roman"/>
          <w:sz w:val="28"/>
          <w:szCs w:val="28"/>
        </w:rPr>
      </w:pPr>
      <w:r w:rsidRPr="008C0993">
        <w:rPr>
          <w:rFonts w:ascii="Times New Roman" w:hAnsi="Times New Roman" w:cs="Times New Roman"/>
          <w:sz w:val="28"/>
          <w:szCs w:val="28"/>
        </w:rPr>
        <w:t xml:space="preserve">[16] This court would like to make a further reference to </w:t>
      </w:r>
      <w:bookmarkStart w:id="5" w:name="_Hlk113963063"/>
      <w:r w:rsidRPr="00B41BA2">
        <w:rPr>
          <w:rFonts w:ascii="Times New Roman" w:hAnsi="Times New Roman" w:cs="Times New Roman"/>
          <w:b/>
          <w:bCs/>
          <w:i/>
          <w:iCs/>
          <w:sz w:val="28"/>
          <w:szCs w:val="28"/>
        </w:rPr>
        <w:t>Du Toit v Minister of Safety and Security</w:t>
      </w:r>
      <w:bookmarkEnd w:id="5"/>
      <w:r w:rsidR="00531D8E">
        <w:rPr>
          <w:rStyle w:val="FootnoteReference"/>
          <w:rFonts w:ascii="Times New Roman" w:hAnsi="Times New Roman" w:cs="Times New Roman"/>
          <w:b/>
          <w:bCs/>
          <w:i/>
          <w:iCs/>
          <w:sz w:val="28"/>
          <w:szCs w:val="28"/>
        </w:rPr>
        <w:footnoteReference w:id="6"/>
      </w:r>
      <w:r w:rsidR="007A7DDE" w:rsidRPr="008C0993">
        <w:rPr>
          <w:rFonts w:ascii="Times New Roman" w:hAnsi="Times New Roman" w:cs="Times New Roman"/>
          <w:sz w:val="28"/>
          <w:szCs w:val="28"/>
        </w:rPr>
        <w:t xml:space="preserve">, with reference to an English decision that generally there is a strong presumption that a legislature does not intend to impose a new liability in respect of something that has already happened, because generally it would not be reasonable for a legislature to do that. On the presumption against the retrospective operation of legislation, the Constitutional Court in the case of </w:t>
      </w:r>
      <w:bookmarkStart w:id="6" w:name="_Hlk113963140"/>
      <w:proofErr w:type="spellStart"/>
      <w:r w:rsidR="007A7DDE" w:rsidRPr="00B41BA2">
        <w:rPr>
          <w:rFonts w:ascii="Times New Roman" w:hAnsi="Times New Roman" w:cs="Times New Roman"/>
          <w:b/>
          <w:bCs/>
          <w:i/>
          <w:iCs/>
          <w:sz w:val="28"/>
          <w:szCs w:val="28"/>
        </w:rPr>
        <w:lastRenderedPageBreak/>
        <w:t>Veldman</w:t>
      </w:r>
      <w:proofErr w:type="spellEnd"/>
      <w:r w:rsidR="007A7DDE" w:rsidRPr="00B41BA2">
        <w:rPr>
          <w:rFonts w:ascii="Times New Roman" w:hAnsi="Times New Roman" w:cs="Times New Roman"/>
          <w:b/>
          <w:bCs/>
          <w:i/>
          <w:iCs/>
          <w:sz w:val="28"/>
          <w:szCs w:val="28"/>
        </w:rPr>
        <w:t xml:space="preserve"> v TPP, Witwatersrand Lo</w:t>
      </w:r>
      <w:r w:rsidR="00AA2268" w:rsidRPr="00B41BA2">
        <w:rPr>
          <w:rFonts w:ascii="Times New Roman" w:hAnsi="Times New Roman" w:cs="Times New Roman"/>
          <w:b/>
          <w:bCs/>
          <w:i/>
          <w:iCs/>
          <w:sz w:val="28"/>
          <w:szCs w:val="28"/>
        </w:rPr>
        <w:t>cal Division</w:t>
      </w:r>
      <w:bookmarkEnd w:id="6"/>
      <w:r w:rsidR="00531D8E">
        <w:rPr>
          <w:rStyle w:val="FootnoteReference"/>
          <w:rFonts w:ascii="Times New Roman" w:hAnsi="Times New Roman" w:cs="Times New Roman"/>
          <w:b/>
          <w:bCs/>
          <w:i/>
          <w:iCs/>
          <w:sz w:val="28"/>
          <w:szCs w:val="28"/>
        </w:rPr>
        <w:footnoteReference w:id="7"/>
      </w:r>
      <w:r w:rsidR="007A7DDE" w:rsidRPr="008C0993">
        <w:rPr>
          <w:rFonts w:ascii="Times New Roman" w:hAnsi="Times New Roman" w:cs="Times New Roman"/>
          <w:sz w:val="28"/>
          <w:szCs w:val="28"/>
        </w:rPr>
        <w:t xml:space="preserve">, endorsed the position on </w:t>
      </w:r>
      <w:bookmarkStart w:id="7" w:name="_Hlk113963209"/>
      <w:r w:rsidR="007A7DDE" w:rsidRPr="00B41BA2">
        <w:rPr>
          <w:rFonts w:ascii="Times New Roman" w:hAnsi="Times New Roman" w:cs="Times New Roman"/>
          <w:b/>
          <w:bCs/>
          <w:i/>
          <w:iCs/>
          <w:sz w:val="28"/>
          <w:szCs w:val="28"/>
        </w:rPr>
        <w:t>Innes CJ in Curtis V Johannesburg Municipality</w:t>
      </w:r>
      <w:r w:rsidR="00531D8E">
        <w:rPr>
          <w:rStyle w:val="FootnoteReference"/>
          <w:rFonts w:ascii="Times New Roman" w:hAnsi="Times New Roman" w:cs="Times New Roman"/>
          <w:b/>
          <w:bCs/>
          <w:i/>
          <w:iCs/>
          <w:sz w:val="28"/>
          <w:szCs w:val="28"/>
        </w:rPr>
        <w:footnoteReference w:id="8"/>
      </w:r>
      <w:r w:rsidR="007A7DDE" w:rsidRPr="00B41BA2">
        <w:rPr>
          <w:rFonts w:ascii="Times New Roman" w:hAnsi="Times New Roman" w:cs="Times New Roman"/>
          <w:b/>
          <w:bCs/>
          <w:i/>
          <w:iCs/>
          <w:sz w:val="28"/>
          <w:szCs w:val="28"/>
        </w:rPr>
        <w:t xml:space="preserve"> </w:t>
      </w:r>
      <w:bookmarkEnd w:id="7"/>
      <w:r w:rsidR="007A7DDE" w:rsidRPr="008C0993">
        <w:rPr>
          <w:rFonts w:ascii="Times New Roman" w:hAnsi="Times New Roman" w:cs="Times New Roman"/>
          <w:sz w:val="28"/>
          <w:szCs w:val="28"/>
        </w:rPr>
        <w:t>where the following was said:</w:t>
      </w:r>
    </w:p>
    <w:p w:rsidR="00B41BA2" w:rsidRPr="008C0993" w:rsidRDefault="00B41BA2" w:rsidP="008C0993">
      <w:pPr>
        <w:spacing w:line="360" w:lineRule="auto"/>
        <w:contextualSpacing/>
        <w:jc w:val="both"/>
        <w:rPr>
          <w:rFonts w:ascii="Times New Roman" w:hAnsi="Times New Roman" w:cs="Times New Roman"/>
          <w:sz w:val="28"/>
          <w:szCs w:val="28"/>
        </w:rPr>
      </w:pPr>
    </w:p>
    <w:p w:rsidR="007A7DDE" w:rsidRPr="00112C34" w:rsidRDefault="007A7DDE" w:rsidP="00B41BA2">
      <w:pPr>
        <w:spacing w:line="360" w:lineRule="auto"/>
        <w:ind w:left="720"/>
        <w:contextualSpacing/>
        <w:jc w:val="both"/>
        <w:rPr>
          <w:rFonts w:ascii="Times New Roman" w:hAnsi="Times New Roman" w:cs="Times New Roman"/>
          <w:sz w:val="28"/>
          <w:szCs w:val="28"/>
        </w:rPr>
      </w:pPr>
      <w:r w:rsidRPr="00112C34">
        <w:rPr>
          <w:rFonts w:ascii="Times New Roman" w:hAnsi="Times New Roman" w:cs="Times New Roman"/>
          <w:sz w:val="28"/>
          <w:szCs w:val="28"/>
        </w:rPr>
        <w:t>“The general rule is that, in the absence of express provision to the contrary, statutes should be considered as affecting future matters only;</w:t>
      </w:r>
      <w:r w:rsidR="005962E9" w:rsidRPr="00112C34">
        <w:rPr>
          <w:rFonts w:ascii="Times New Roman" w:hAnsi="Times New Roman" w:cs="Times New Roman"/>
          <w:sz w:val="28"/>
          <w:szCs w:val="28"/>
        </w:rPr>
        <w:t xml:space="preserve"> and more especially that there should if possible be so interpreted as not to take away rights actually vested at the time of their promulgation. The legislature is virtually </w:t>
      </w:r>
      <w:r w:rsidR="00B41BA2" w:rsidRPr="00112C34">
        <w:rPr>
          <w:rFonts w:ascii="Times New Roman" w:hAnsi="Times New Roman" w:cs="Times New Roman"/>
          <w:sz w:val="28"/>
          <w:szCs w:val="28"/>
        </w:rPr>
        <w:t>omnipotent,</w:t>
      </w:r>
      <w:r w:rsidR="005962E9" w:rsidRPr="00112C34">
        <w:rPr>
          <w:rFonts w:ascii="Times New Roman" w:hAnsi="Times New Roman" w:cs="Times New Roman"/>
          <w:sz w:val="28"/>
          <w:szCs w:val="28"/>
        </w:rPr>
        <w:t xml:space="preserve"> but the courts will not find that it intended so inequitable a result as to the destruction of existing rights unless forced to do so by language so clear as to admit of no other conclusion</w:t>
      </w:r>
      <w:r w:rsidR="002711C4" w:rsidRPr="00112C34">
        <w:rPr>
          <w:rFonts w:ascii="Times New Roman" w:hAnsi="Times New Roman" w:cs="Times New Roman"/>
          <w:sz w:val="28"/>
          <w:szCs w:val="28"/>
        </w:rPr>
        <w:t>.”</w:t>
      </w:r>
    </w:p>
    <w:p w:rsidR="00B41BA2" w:rsidRPr="008C0993" w:rsidRDefault="00B41BA2" w:rsidP="00B41BA2">
      <w:pPr>
        <w:spacing w:line="360" w:lineRule="auto"/>
        <w:ind w:left="720"/>
        <w:contextualSpacing/>
        <w:jc w:val="both"/>
        <w:rPr>
          <w:rFonts w:ascii="Times New Roman" w:hAnsi="Times New Roman" w:cs="Times New Roman"/>
          <w:sz w:val="28"/>
          <w:szCs w:val="28"/>
        </w:rPr>
      </w:pPr>
    </w:p>
    <w:p w:rsidR="004E0C00" w:rsidRDefault="0078788D" w:rsidP="008C0993">
      <w:pPr>
        <w:spacing w:line="360" w:lineRule="auto"/>
        <w:contextualSpacing/>
        <w:jc w:val="both"/>
        <w:rPr>
          <w:rFonts w:ascii="Times New Roman" w:hAnsi="Times New Roman" w:cs="Times New Roman"/>
          <w:sz w:val="28"/>
          <w:szCs w:val="28"/>
        </w:rPr>
      </w:pPr>
      <w:r w:rsidRPr="008C0993">
        <w:rPr>
          <w:rFonts w:ascii="Times New Roman" w:hAnsi="Times New Roman" w:cs="Times New Roman"/>
          <w:sz w:val="28"/>
          <w:szCs w:val="28"/>
        </w:rPr>
        <w:t xml:space="preserve">[17] In the case of </w:t>
      </w:r>
      <w:bookmarkStart w:id="8" w:name="_Hlk113963382"/>
      <w:r w:rsidRPr="00B41BA2">
        <w:rPr>
          <w:rFonts w:ascii="Times New Roman" w:hAnsi="Times New Roman" w:cs="Times New Roman"/>
          <w:b/>
          <w:bCs/>
          <w:i/>
          <w:iCs/>
          <w:sz w:val="28"/>
          <w:szCs w:val="28"/>
        </w:rPr>
        <w:t>Minister of Home A</w:t>
      </w:r>
      <w:r w:rsidR="002A30DD" w:rsidRPr="00B41BA2">
        <w:rPr>
          <w:rFonts w:ascii="Times New Roman" w:hAnsi="Times New Roman" w:cs="Times New Roman"/>
          <w:b/>
          <w:bCs/>
          <w:i/>
          <w:iCs/>
          <w:sz w:val="28"/>
          <w:szCs w:val="28"/>
        </w:rPr>
        <w:t xml:space="preserve">ffairs v </w:t>
      </w:r>
      <w:proofErr w:type="spellStart"/>
      <w:r w:rsidR="002A30DD" w:rsidRPr="00B41BA2">
        <w:rPr>
          <w:rFonts w:ascii="Times New Roman" w:hAnsi="Times New Roman" w:cs="Times New Roman"/>
          <w:b/>
          <w:bCs/>
          <w:i/>
          <w:iCs/>
          <w:sz w:val="28"/>
          <w:szCs w:val="28"/>
        </w:rPr>
        <w:t>Mampho</w:t>
      </w:r>
      <w:bookmarkEnd w:id="8"/>
      <w:proofErr w:type="spellEnd"/>
      <w:r w:rsidR="000B00C6">
        <w:rPr>
          <w:rFonts w:ascii="Times New Roman" w:hAnsi="Times New Roman" w:cs="Times New Roman"/>
          <w:b/>
          <w:bCs/>
          <w:i/>
          <w:iCs/>
          <w:sz w:val="28"/>
          <w:szCs w:val="28"/>
        </w:rPr>
        <w:t xml:space="preserve"> Mofolo</w:t>
      </w:r>
      <w:r w:rsidR="00F43876">
        <w:rPr>
          <w:rStyle w:val="FootnoteReference"/>
          <w:rFonts w:ascii="Times New Roman" w:hAnsi="Times New Roman" w:cs="Times New Roman"/>
          <w:b/>
          <w:bCs/>
          <w:i/>
          <w:iCs/>
          <w:sz w:val="28"/>
          <w:szCs w:val="28"/>
        </w:rPr>
        <w:footnoteReference w:id="9"/>
      </w:r>
      <w:r w:rsidR="008E6629" w:rsidRPr="008C0993">
        <w:rPr>
          <w:rFonts w:ascii="Times New Roman" w:hAnsi="Times New Roman" w:cs="Times New Roman"/>
          <w:sz w:val="28"/>
          <w:szCs w:val="28"/>
        </w:rPr>
        <w:t>, the</w:t>
      </w:r>
      <w:r w:rsidRPr="008C0993">
        <w:rPr>
          <w:rFonts w:ascii="Times New Roman" w:hAnsi="Times New Roman" w:cs="Times New Roman"/>
          <w:sz w:val="28"/>
          <w:szCs w:val="28"/>
        </w:rPr>
        <w:t xml:space="preserve"> Court of Appeal amongst others discussed the presumption against retrospective operation of the statutes. The court at </w:t>
      </w:r>
      <w:r w:rsidRPr="0083700D">
        <w:rPr>
          <w:rFonts w:ascii="Times New Roman" w:hAnsi="Times New Roman" w:cs="Times New Roman"/>
          <w:i/>
          <w:iCs/>
          <w:sz w:val="28"/>
          <w:szCs w:val="28"/>
        </w:rPr>
        <w:t>p</w:t>
      </w:r>
      <w:r w:rsidR="002A30DD" w:rsidRPr="0083700D">
        <w:rPr>
          <w:rFonts w:ascii="Times New Roman" w:hAnsi="Times New Roman" w:cs="Times New Roman"/>
          <w:i/>
          <w:iCs/>
          <w:sz w:val="28"/>
          <w:szCs w:val="28"/>
        </w:rPr>
        <w:t>age 16</w:t>
      </w:r>
      <w:r w:rsidR="002A30DD" w:rsidRPr="008C0993">
        <w:rPr>
          <w:rFonts w:ascii="Times New Roman" w:hAnsi="Times New Roman" w:cs="Times New Roman"/>
          <w:sz w:val="28"/>
          <w:szCs w:val="28"/>
        </w:rPr>
        <w:t xml:space="preserve"> stated that the presumption may be applied in two different </w:t>
      </w:r>
      <w:r w:rsidR="003C2B61" w:rsidRPr="008C0993">
        <w:rPr>
          <w:rFonts w:ascii="Times New Roman" w:hAnsi="Times New Roman" w:cs="Times New Roman"/>
          <w:sz w:val="28"/>
          <w:szCs w:val="28"/>
        </w:rPr>
        <w:t>contexts</w:t>
      </w:r>
      <w:r w:rsidR="002A30DD" w:rsidRPr="008C0993">
        <w:rPr>
          <w:rFonts w:ascii="Times New Roman" w:hAnsi="Times New Roman" w:cs="Times New Roman"/>
          <w:sz w:val="28"/>
          <w:szCs w:val="28"/>
        </w:rPr>
        <w:t xml:space="preserve">; first, where a statute operates backwards, </w:t>
      </w:r>
      <w:r w:rsidR="008E6629" w:rsidRPr="008C0993">
        <w:rPr>
          <w:rFonts w:ascii="Times New Roman" w:hAnsi="Times New Roman" w:cs="Times New Roman"/>
          <w:sz w:val="28"/>
          <w:szCs w:val="28"/>
        </w:rPr>
        <w:t>i.e.</w:t>
      </w:r>
      <w:r w:rsidR="002A30DD" w:rsidRPr="008C0993">
        <w:rPr>
          <w:rFonts w:ascii="Times New Roman" w:hAnsi="Times New Roman" w:cs="Times New Roman"/>
          <w:sz w:val="28"/>
          <w:szCs w:val="28"/>
        </w:rPr>
        <w:t xml:space="preserve"> if an Act provides that at a past date the law shall be taken to be that which is not, sometimes referred to as retroactive operation, and, second, when a statute interferes with the existing rights and obligations.</w:t>
      </w:r>
    </w:p>
    <w:p w:rsidR="0083700D" w:rsidRPr="008C0993" w:rsidRDefault="0083700D" w:rsidP="008C0993">
      <w:pPr>
        <w:spacing w:line="360" w:lineRule="auto"/>
        <w:contextualSpacing/>
        <w:jc w:val="both"/>
        <w:rPr>
          <w:rFonts w:ascii="Times New Roman" w:hAnsi="Times New Roman" w:cs="Times New Roman"/>
          <w:sz w:val="28"/>
          <w:szCs w:val="28"/>
        </w:rPr>
      </w:pPr>
    </w:p>
    <w:p w:rsidR="002A30DD" w:rsidRDefault="007B086F" w:rsidP="008C0993">
      <w:pPr>
        <w:spacing w:line="360" w:lineRule="auto"/>
        <w:contextualSpacing/>
        <w:jc w:val="both"/>
        <w:rPr>
          <w:rFonts w:ascii="Times New Roman" w:hAnsi="Times New Roman" w:cs="Times New Roman"/>
          <w:sz w:val="28"/>
          <w:szCs w:val="28"/>
        </w:rPr>
      </w:pPr>
      <w:r w:rsidRPr="008C0993">
        <w:rPr>
          <w:rFonts w:ascii="Times New Roman" w:hAnsi="Times New Roman" w:cs="Times New Roman"/>
          <w:sz w:val="28"/>
          <w:szCs w:val="28"/>
        </w:rPr>
        <w:t xml:space="preserve">[18] </w:t>
      </w:r>
      <w:bookmarkStart w:id="9" w:name="_Hlk113963491"/>
      <w:r w:rsidRPr="0083700D">
        <w:rPr>
          <w:rFonts w:ascii="Times New Roman" w:hAnsi="Times New Roman" w:cs="Times New Roman"/>
          <w:b/>
          <w:bCs/>
          <w:i/>
          <w:iCs/>
          <w:sz w:val="28"/>
          <w:szCs w:val="28"/>
        </w:rPr>
        <w:t>Interpretation (Amendment) Act, 1993</w:t>
      </w:r>
      <w:r w:rsidRPr="008C0993">
        <w:rPr>
          <w:rFonts w:ascii="Times New Roman" w:hAnsi="Times New Roman" w:cs="Times New Roman"/>
          <w:sz w:val="28"/>
          <w:szCs w:val="28"/>
        </w:rPr>
        <w:t xml:space="preserve"> </w:t>
      </w:r>
      <w:bookmarkEnd w:id="9"/>
      <w:r w:rsidRPr="008C0993">
        <w:rPr>
          <w:rFonts w:ascii="Times New Roman" w:hAnsi="Times New Roman" w:cs="Times New Roman"/>
          <w:sz w:val="28"/>
          <w:szCs w:val="28"/>
        </w:rPr>
        <w:t xml:space="preserve">provides for retrospectivity. </w:t>
      </w:r>
      <w:r w:rsidRPr="0083700D">
        <w:rPr>
          <w:rFonts w:ascii="Times New Roman" w:hAnsi="Times New Roman" w:cs="Times New Roman"/>
          <w:i/>
          <w:iCs/>
          <w:sz w:val="28"/>
          <w:szCs w:val="28"/>
        </w:rPr>
        <w:t>Section 27C</w:t>
      </w:r>
      <w:r w:rsidRPr="008C0993">
        <w:rPr>
          <w:rFonts w:ascii="Times New Roman" w:hAnsi="Times New Roman" w:cs="Times New Roman"/>
          <w:sz w:val="28"/>
          <w:szCs w:val="28"/>
        </w:rPr>
        <w:t xml:space="preserve"> reads:</w:t>
      </w:r>
    </w:p>
    <w:p w:rsidR="0083700D" w:rsidRPr="008C0993" w:rsidRDefault="0083700D" w:rsidP="008C0993">
      <w:pPr>
        <w:spacing w:line="360" w:lineRule="auto"/>
        <w:contextualSpacing/>
        <w:jc w:val="both"/>
        <w:rPr>
          <w:rFonts w:ascii="Times New Roman" w:hAnsi="Times New Roman" w:cs="Times New Roman"/>
          <w:sz w:val="28"/>
          <w:szCs w:val="28"/>
        </w:rPr>
      </w:pPr>
    </w:p>
    <w:p w:rsidR="007B086F" w:rsidRPr="00112C34" w:rsidRDefault="007B086F" w:rsidP="0083700D">
      <w:pPr>
        <w:spacing w:line="360" w:lineRule="auto"/>
        <w:ind w:left="360"/>
        <w:contextualSpacing/>
        <w:jc w:val="both"/>
        <w:rPr>
          <w:rFonts w:ascii="Times New Roman" w:hAnsi="Times New Roman" w:cs="Times New Roman"/>
          <w:sz w:val="28"/>
          <w:szCs w:val="28"/>
        </w:rPr>
      </w:pPr>
      <w:r w:rsidRPr="00112C34">
        <w:rPr>
          <w:rFonts w:ascii="Times New Roman" w:hAnsi="Times New Roman" w:cs="Times New Roman"/>
          <w:sz w:val="28"/>
          <w:szCs w:val="28"/>
        </w:rPr>
        <w:t>“Subsidiary legislation shall not be expressed to take effect from a date before the date of its publication in the Gazette where, if the legislation so took effect-</w:t>
      </w:r>
    </w:p>
    <w:p w:rsidR="0083700D" w:rsidRDefault="007B086F" w:rsidP="00F43876">
      <w:pPr>
        <w:pStyle w:val="ListParagraph"/>
        <w:numPr>
          <w:ilvl w:val="0"/>
          <w:numId w:val="5"/>
        </w:numPr>
        <w:spacing w:line="360" w:lineRule="auto"/>
        <w:jc w:val="both"/>
        <w:rPr>
          <w:rFonts w:ascii="Times New Roman" w:hAnsi="Times New Roman" w:cs="Times New Roman"/>
          <w:sz w:val="28"/>
          <w:szCs w:val="28"/>
        </w:rPr>
      </w:pPr>
      <w:r w:rsidRPr="00112C34">
        <w:rPr>
          <w:rFonts w:ascii="Times New Roman" w:hAnsi="Times New Roman" w:cs="Times New Roman"/>
          <w:sz w:val="28"/>
          <w:szCs w:val="28"/>
        </w:rPr>
        <w:lastRenderedPageBreak/>
        <w:t xml:space="preserve">The </w:t>
      </w:r>
      <w:r w:rsidR="00072AA0" w:rsidRPr="00112C34">
        <w:rPr>
          <w:rFonts w:ascii="Times New Roman" w:hAnsi="Times New Roman" w:cs="Times New Roman"/>
          <w:sz w:val="28"/>
          <w:szCs w:val="28"/>
        </w:rPr>
        <w:t>rights of a person (</w:t>
      </w:r>
      <w:r w:rsidRPr="00112C34">
        <w:rPr>
          <w:rFonts w:ascii="Times New Roman" w:hAnsi="Times New Roman" w:cs="Times New Roman"/>
          <w:sz w:val="28"/>
          <w:szCs w:val="28"/>
        </w:rPr>
        <w:t xml:space="preserve">other than the Government of Lesotho or a statutory corporation) existing at the date </w:t>
      </w:r>
      <w:r w:rsidR="00072AA0" w:rsidRPr="00112C34">
        <w:rPr>
          <w:rFonts w:ascii="Times New Roman" w:hAnsi="Times New Roman" w:cs="Times New Roman"/>
          <w:sz w:val="28"/>
          <w:szCs w:val="28"/>
        </w:rPr>
        <w:t>of publication would be affected</w:t>
      </w:r>
      <w:r w:rsidRPr="00112C34">
        <w:rPr>
          <w:rFonts w:ascii="Times New Roman" w:hAnsi="Times New Roman" w:cs="Times New Roman"/>
          <w:sz w:val="28"/>
          <w:szCs w:val="28"/>
        </w:rPr>
        <w:t xml:space="preserve"> in a manner prejudicial to that person; or</w:t>
      </w:r>
    </w:p>
    <w:p w:rsidR="00112C34" w:rsidRPr="00112C34" w:rsidRDefault="00112C34" w:rsidP="00112C34">
      <w:pPr>
        <w:pStyle w:val="ListParagraph"/>
        <w:spacing w:line="360" w:lineRule="auto"/>
        <w:jc w:val="both"/>
        <w:rPr>
          <w:rFonts w:ascii="Times New Roman" w:hAnsi="Times New Roman" w:cs="Times New Roman"/>
          <w:sz w:val="16"/>
          <w:szCs w:val="16"/>
        </w:rPr>
      </w:pPr>
    </w:p>
    <w:p w:rsidR="00112C34" w:rsidRPr="00112C34" w:rsidRDefault="007B086F" w:rsidP="00112C34">
      <w:pPr>
        <w:pStyle w:val="ListParagraph"/>
        <w:numPr>
          <w:ilvl w:val="0"/>
          <w:numId w:val="5"/>
        </w:numPr>
        <w:spacing w:line="360" w:lineRule="auto"/>
        <w:jc w:val="both"/>
        <w:rPr>
          <w:rFonts w:ascii="Times New Roman" w:hAnsi="Times New Roman" w:cs="Times New Roman"/>
          <w:sz w:val="28"/>
          <w:szCs w:val="28"/>
        </w:rPr>
      </w:pPr>
      <w:r w:rsidRPr="00112C34">
        <w:rPr>
          <w:rFonts w:ascii="Times New Roman" w:hAnsi="Times New Roman" w:cs="Times New Roman"/>
          <w:sz w:val="28"/>
          <w:szCs w:val="28"/>
        </w:rPr>
        <w:t xml:space="preserve">Liabilities would be imposed on a person </w:t>
      </w:r>
      <w:r w:rsidR="00072AA0" w:rsidRPr="00112C34">
        <w:rPr>
          <w:rFonts w:ascii="Times New Roman" w:hAnsi="Times New Roman" w:cs="Times New Roman"/>
          <w:sz w:val="28"/>
          <w:szCs w:val="28"/>
        </w:rPr>
        <w:t>(other than the Government of Lesotho or a statutory corporation) in respect of any act or omission before the date of publication,</w:t>
      </w:r>
    </w:p>
    <w:p w:rsidR="00112C34" w:rsidRPr="00112C34" w:rsidRDefault="00112C34" w:rsidP="00112C34">
      <w:pPr>
        <w:pStyle w:val="ListParagraph"/>
        <w:spacing w:line="360" w:lineRule="auto"/>
        <w:jc w:val="both"/>
        <w:rPr>
          <w:rFonts w:ascii="Times New Roman" w:hAnsi="Times New Roman" w:cs="Times New Roman"/>
          <w:sz w:val="16"/>
          <w:szCs w:val="16"/>
        </w:rPr>
      </w:pPr>
    </w:p>
    <w:p w:rsidR="00072AA0" w:rsidRPr="00112C34" w:rsidRDefault="00072AA0" w:rsidP="00223E8E">
      <w:pPr>
        <w:spacing w:line="360" w:lineRule="auto"/>
        <w:contextualSpacing/>
        <w:jc w:val="both"/>
        <w:rPr>
          <w:rFonts w:ascii="Times New Roman" w:hAnsi="Times New Roman" w:cs="Times New Roman"/>
          <w:sz w:val="28"/>
          <w:szCs w:val="28"/>
        </w:rPr>
      </w:pPr>
      <w:r w:rsidRPr="00112C34">
        <w:rPr>
          <w:rFonts w:ascii="Times New Roman" w:hAnsi="Times New Roman" w:cs="Times New Roman"/>
          <w:sz w:val="28"/>
          <w:szCs w:val="28"/>
        </w:rPr>
        <w:t>And where any subsidiary legislation contains a provision in contravention of this section that provision is void and of no effect.”</w:t>
      </w:r>
    </w:p>
    <w:p w:rsidR="0083700D" w:rsidRPr="008C0993" w:rsidRDefault="0083700D" w:rsidP="00223E8E">
      <w:pPr>
        <w:spacing w:line="360" w:lineRule="auto"/>
        <w:contextualSpacing/>
        <w:jc w:val="both"/>
        <w:rPr>
          <w:rFonts w:ascii="Times New Roman" w:hAnsi="Times New Roman" w:cs="Times New Roman"/>
          <w:sz w:val="28"/>
          <w:szCs w:val="28"/>
        </w:rPr>
      </w:pPr>
    </w:p>
    <w:p w:rsidR="00971757" w:rsidRDefault="00971757" w:rsidP="00223E8E">
      <w:pPr>
        <w:spacing w:line="360" w:lineRule="auto"/>
        <w:contextualSpacing/>
        <w:jc w:val="both"/>
        <w:rPr>
          <w:rFonts w:ascii="Times New Roman" w:hAnsi="Times New Roman" w:cs="Times New Roman"/>
          <w:sz w:val="28"/>
          <w:szCs w:val="28"/>
        </w:rPr>
      </w:pPr>
      <w:r w:rsidRPr="008C0993">
        <w:rPr>
          <w:rFonts w:ascii="Times New Roman" w:hAnsi="Times New Roman" w:cs="Times New Roman"/>
          <w:sz w:val="28"/>
          <w:szCs w:val="28"/>
        </w:rPr>
        <w:t xml:space="preserve">[19] </w:t>
      </w:r>
      <w:r w:rsidR="00A92CEB" w:rsidRPr="008C0993">
        <w:rPr>
          <w:rFonts w:ascii="Times New Roman" w:hAnsi="Times New Roman" w:cs="Times New Roman"/>
          <w:sz w:val="28"/>
          <w:szCs w:val="28"/>
        </w:rPr>
        <w:t xml:space="preserve">The </w:t>
      </w:r>
      <w:r w:rsidR="00A92CEB" w:rsidRPr="0083700D">
        <w:rPr>
          <w:rFonts w:ascii="Times New Roman" w:hAnsi="Times New Roman" w:cs="Times New Roman"/>
          <w:b/>
          <w:bCs/>
          <w:i/>
          <w:iCs/>
          <w:sz w:val="28"/>
          <w:szCs w:val="28"/>
        </w:rPr>
        <w:t>Administr</w:t>
      </w:r>
      <w:r w:rsidR="003C2B61" w:rsidRPr="0083700D">
        <w:rPr>
          <w:rFonts w:ascii="Times New Roman" w:hAnsi="Times New Roman" w:cs="Times New Roman"/>
          <w:b/>
          <w:bCs/>
          <w:i/>
          <w:iCs/>
          <w:sz w:val="28"/>
          <w:szCs w:val="28"/>
        </w:rPr>
        <w:t>ation of Estates Proclamation (</w:t>
      </w:r>
      <w:r w:rsidR="00A92CEB" w:rsidRPr="0083700D">
        <w:rPr>
          <w:rFonts w:ascii="Times New Roman" w:hAnsi="Times New Roman" w:cs="Times New Roman"/>
          <w:b/>
          <w:bCs/>
          <w:i/>
          <w:iCs/>
          <w:sz w:val="28"/>
          <w:szCs w:val="28"/>
        </w:rPr>
        <w:t>Amendment) Act, 2022</w:t>
      </w:r>
      <w:r w:rsidR="00A92CEB" w:rsidRPr="008C0993">
        <w:rPr>
          <w:rFonts w:ascii="Times New Roman" w:hAnsi="Times New Roman" w:cs="Times New Roman"/>
          <w:sz w:val="28"/>
          <w:szCs w:val="28"/>
        </w:rPr>
        <w:t xml:space="preserve"> at </w:t>
      </w:r>
      <w:r w:rsidR="00A92CEB" w:rsidRPr="0083700D">
        <w:rPr>
          <w:rFonts w:ascii="Times New Roman" w:hAnsi="Times New Roman" w:cs="Times New Roman"/>
          <w:i/>
          <w:iCs/>
          <w:sz w:val="28"/>
          <w:szCs w:val="28"/>
        </w:rPr>
        <w:t>section 1</w:t>
      </w:r>
      <w:r w:rsidR="00A92CEB" w:rsidRPr="008C0993">
        <w:rPr>
          <w:rFonts w:ascii="Times New Roman" w:hAnsi="Times New Roman" w:cs="Times New Roman"/>
          <w:sz w:val="28"/>
          <w:szCs w:val="28"/>
        </w:rPr>
        <w:t xml:space="preserve"> provides that the Act shall come into operation on the date of publication in the Gazette. The date of the publication appearing on the Gazette is the 12</w:t>
      </w:r>
      <w:r w:rsidR="00A92CEB" w:rsidRPr="008C0993">
        <w:rPr>
          <w:rFonts w:ascii="Times New Roman" w:hAnsi="Times New Roman" w:cs="Times New Roman"/>
          <w:sz w:val="28"/>
          <w:szCs w:val="28"/>
          <w:vertAlign w:val="superscript"/>
        </w:rPr>
        <w:t>th</w:t>
      </w:r>
      <w:r w:rsidR="00A92CEB" w:rsidRPr="008C0993">
        <w:rPr>
          <w:rFonts w:ascii="Times New Roman" w:hAnsi="Times New Roman" w:cs="Times New Roman"/>
          <w:sz w:val="28"/>
          <w:szCs w:val="28"/>
        </w:rPr>
        <w:t xml:space="preserve"> </w:t>
      </w:r>
      <w:r w:rsidR="0083700D" w:rsidRPr="008C0993">
        <w:rPr>
          <w:rFonts w:ascii="Times New Roman" w:hAnsi="Times New Roman" w:cs="Times New Roman"/>
          <w:sz w:val="28"/>
          <w:szCs w:val="28"/>
        </w:rPr>
        <w:t>July</w:t>
      </w:r>
      <w:r w:rsidR="00A92CEB" w:rsidRPr="008C0993">
        <w:rPr>
          <w:rFonts w:ascii="Times New Roman" w:hAnsi="Times New Roman" w:cs="Times New Roman"/>
          <w:sz w:val="28"/>
          <w:szCs w:val="28"/>
        </w:rPr>
        <w:t xml:space="preserve"> 2022. The Act at </w:t>
      </w:r>
      <w:r w:rsidR="00A92CEB" w:rsidRPr="0083700D">
        <w:rPr>
          <w:rFonts w:ascii="Times New Roman" w:hAnsi="Times New Roman" w:cs="Times New Roman"/>
          <w:i/>
          <w:iCs/>
          <w:sz w:val="28"/>
          <w:szCs w:val="28"/>
        </w:rPr>
        <w:t>section 2</w:t>
      </w:r>
      <w:r w:rsidR="00A92CEB" w:rsidRPr="008C0993">
        <w:rPr>
          <w:rFonts w:ascii="Times New Roman" w:hAnsi="Times New Roman" w:cs="Times New Roman"/>
          <w:sz w:val="28"/>
          <w:szCs w:val="28"/>
        </w:rPr>
        <w:t xml:space="preserve"> provides that the Act shall apply to all estates whether customary or civil and all wills written before commencement of this Act.</w:t>
      </w:r>
    </w:p>
    <w:p w:rsidR="0083700D" w:rsidRPr="008C0993" w:rsidRDefault="0083700D" w:rsidP="00223E8E">
      <w:pPr>
        <w:spacing w:line="360" w:lineRule="auto"/>
        <w:contextualSpacing/>
        <w:jc w:val="both"/>
        <w:rPr>
          <w:rFonts w:ascii="Times New Roman" w:hAnsi="Times New Roman" w:cs="Times New Roman"/>
          <w:sz w:val="28"/>
          <w:szCs w:val="28"/>
        </w:rPr>
      </w:pPr>
    </w:p>
    <w:p w:rsidR="00A92CEB" w:rsidRDefault="00A92CEB" w:rsidP="00223E8E">
      <w:pPr>
        <w:spacing w:line="360" w:lineRule="auto"/>
        <w:contextualSpacing/>
        <w:jc w:val="both"/>
        <w:rPr>
          <w:rFonts w:ascii="Times New Roman" w:hAnsi="Times New Roman" w:cs="Times New Roman"/>
          <w:sz w:val="28"/>
          <w:szCs w:val="28"/>
        </w:rPr>
      </w:pPr>
      <w:r w:rsidRPr="008C0993">
        <w:rPr>
          <w:rFonts w:ascii="Times New Roman" w:hAnsi="Times New Roman" w:cs="Times New Roman"/>
          <w:sz w:val="28"/>
          <w:szCs w:val="28"/>
        </w:rPr>
        <w:t>[20] It is a matter of common cause that the deceased in this matter died intestate, therefore a will is not subject for determination.</w:t>
      </w:r>
    </w:p>
    <w:p w:rsidR="0083700D" w:rsidRPr="008C0993" w:rsidRDefault="0083700D" w:rsidP="00223E8E">
      <w:pPr>
        <w:spacing w:line="360" w:lineRule="auto"/>
        <w:contextualSpacing/>
        <w:jc w:val="both"/>
        <w:rPr>
          <w:rFonts w:ascii="Times New Roman" w:hAnsi="Times New Roman" w:cs="Times New Roman"/>
          <w:sz w:val="28"/>
          <w:szCs w:val="28"/>
        </w:rPr>
      </w:pPr>
    </w:p>
    <w:p w:rsidR="00A92CEB" w:rsidRDefault="00A92CEB" w:rsidP="00223E8E">
      <w:pPr>
        <w:spacing w:line="360" w:lineRule="auto"/>
        <w:contextualSpacing/>
        <w:jc w:val="both"/>
        <w:rPr>
          <w:rFonts w:ascii="Times New Roman" w:hAnsi="Times New Roman" w:cs="Times New Roman"/>
          <w:sz w:val="28"/>
          <w:szCs w:val="28"/>
        </w:rPr>
      </w:pPr>
      <w:r w:rsidRPr="008C0993">
        <w:rPr>
          <w:rFonts w:ascii="Times New Roman" w:hAnsi="Times New Roman" w:cs="Times New Roman"/>
          <w:sz w:val="28"/>
          <w:szCs w:val="28"/>
        </w:rPr>
        <w:t xml:space="preserve">[21] This court has a considered view that </w:t>
      </w:r>
      <w:r w:rsidRPr="0083700D">
        <w:rPr>
          <w:rFonts w:ascii="Times New Roman" w:hAnsi="Times New Roman" w:cs="Times New Roman"/>
          <w:b/>
          <w:bCs/>
          <w:i/>
          <w:iCs/>
          <w:sz w:val="28"/>
          <w:szCs w:val="28"/>
        </w:rPr>
        <w:t>the Administration of Estates Proclamation (</w:t>
      </w:r>
      <w:r w:rsidR="00D26F05" w:rsidRPr="0083700D">
        <w:rPr>
          <w:rFonts w:ascii="Times New Roman" w:hAnsi="Times New Roman" w:cs="Times New Roman"/>
          <w:b/>
          <w:bCs/>
          <w:i/>
          <w:iCs/>
          <w:sz w:val="28"/>
          <w:szCs w:val="28"/>
        </w:rPr>
        <w:t>Amendment</w:t>
      </w:r>
      <w:r w:rsidRPr="0083700D">
        <w:rPr>
          <w:rFonts w:ascii="Times New Roman" w:hAnsi="Times New Roman" w:cs="Times New Roman"/>
          <w:b/>
          <w:bCs/>
          <w:i/>
          <w:iCs/>
          <w:sz w:val="28"/>
          <w:szCs w:val="28"/>
        </w:rPr>
        <w:t>) Act, 2022</w:t>
      </w:r>
      <w:r w:rsidR="00D26F05" w:rsidRPr="008C0993">
        <w:rPr>
          <w:rFonts w:ascii="Times New Roman" w:hAnsi="Times New Roman" w:cs="Times New Roman"/>
          <w:sz w:val="28"/>
          <w:szCs w:val="28"/>
        </w:rPr>
        <w:t xml:space="preserve"> does not have retrospective operatio</w:t>
      </w:r>
      <w:r w:rsidR="00DF3D89" w:rsidRPr="008C0993">
        <w:rPr>
          <w:rFonts w:ascii="Times New Roman" w:hAnsi="Times New Roman" w:cs="Times New Roman"/>
          <w:sz w:val="28"/>
          <w:szCs w:val="28"/>
        </w:rPr>
        <w:t>n, because</w:t>
      </w:r>
      <w:r w:rsidR="00D26F05" w:rsidRPr="008C0993">
        <w:rPr>
          <w:rFonts w:ascii="Times New Roman" w:hAnsi="Times New Roman" w:cs="Times New Roman"/>
          <w:sz w:val="28"/>
          <w:szCs w:val="28"/>
        </w:rPr>
        <w:t xml:space="preserve"> there is nothing in the enactment to show that it has retrospective effect. The </w:t>
      </w:r>
      <w:r w:rsidR="00D26F05" w:rsidRPr="00531D8E">
        <w:rPr>
          <w:rFonts w:ascii="Times New Roman" w:hAnsi="Times New Roman" w:cs="Times New Roman"/>
          <w:b/>
          <w:bCs/>
          <w:i/>
          <w:iCs/>
          <w:sz w:val="28"/>
          <w:szCs w:val="28"/>
        </w:rPr>
        <w:t>Amendment Act</w:t>
      </w:r>
      <w:r w:rsidR="00D26F05" w:rsidRPr="008C0993">
        <w:rPr>
          <w:rFonts w:ascii="Times New Roman" w:hAnsi="Times New Roman" w:cs="Times New Roman"/>
          <w:sz w:val="28"/>
          <w:szCs w:val="28"/>
        </w:rPr>
        <w:t xml:space="preserve"> clearly states that it shall come into operation on the date of its publication in the Gazette, which date was the 12</w:t>
      </w:r>
      <w:r w:rsidR="00D26F05" w:rsidRPr="008C0993">
        <w:rPr>
          <w:rFonts w:ascii="Times New Roman" w:hAnsi="Times New Roman" w:cs="Times New Roman"/>
          <w:sz w:val="28"/>
          <w:szCs w:val="28"/>
          <w:vertAlign w:val="superscript"/>
        </w:rPr>
        <w:t>th</w:t>
      </w:r>
      <w:r w:rsidR="00D26F05" w:rsidRPr="008C0993">
        <w:rPr>
          <w:rFonts w:ascii="Times New Roman" w:hAnsi="Times New Roman" w:cs="Times New Roman"/>
          <w:sz w:val="28"/>
          <w:szCs w:val="28"/>
        </w:rPr>
        <w:t xml:space="preserve"> </w:t>
      </w:r>
      <w:r w:rsidR="0083700D" w:rsidRPr="008C0993">
        <w:rPr>
          <w:rFonts w:ascii="Times New Roman" w:hAnsi="Times New Roman" w:cs="Times New Roman"/>
          <w:sz w:val="28"/>
          <w:szCs w:val="28"/>
        </w:rPr>
        <w:t>July</w:t>
      </w:r>
      <w:r w:rsidR="00D26F05" w:rsidRPr="008C0993">
        <w:rPr>
          <w:rFonts w:ascii="Times New Roman" w:hAnsi="Times New Roman" w:cs="Times New Roman"/>
          <w:sz w:val="28"/>
          <w:szCs w:val="28"/>
        </w:rPr>
        <w:t xml:space="preserve"> 2022. This court finds further that there is nothing in the </w:t>
      </w:r>
      <w:r w:rsidR="00D26F05" w:rsidRPr="00531D8E">
        <w:rPr>
          <w:rFonts w:ascii="Times New Roman" w:hAnsi="Times New Roman" w:cs="Times New Roman"/>
          <w:b/>
          <w:bCs/>
          <w:i/>
          <w:iCs/>
          <w:sz w:val="28"/>
          <w:szCs w:val="28"/>
        </w:rPr>
        <w:t>Amendment Act, 2022</w:t>
      </w:r>
      <w:r w:rsidR="00D26F05" w:rsidRPr="008C0993">
        <w:rPr>
          <w:rFonts w:ascii="Times New Roman" w:hAnsi="Times New Roman" w:cs="Times New Roman"/>
          <w:sz w:val="28"/>
          <w:szCs w:val="28"/>
        </w:rPr>
        <w:t xml:space="preserve"> that can be construed to have the effect of altering the law applicable to the relief sought in this matter, at </w:t>
      </w:r>
      <w:r w:rsidR="00D26F05" w:rsidRPr="008C0993">
        <w:rPr>
          <w:rFonts w:ascii="Times New Roman" w:hAnsi="Times New Roman" w:cs="Times New Roman"/>
          <w:sz w:val="28"/>
          <w:szCs w:val="28"/>
        </w:rPr>
        <w:lastRenderedPageBreak/>
        <w:t>the time when the Act was promulgated. This court would like to align itself with the maxim- a new law ought to be prospective not retrospective in its operation</w:t>
      </w:r>
      <w:r w:rsidR="006362F9" w:rsidRPr="008C0993">
        <w:rPr>
          <w:rFonts w:ascii="Times New Roman" w:hAnsi="Times New Roman" w:cs="Times New Roman"/>
          <w:sz w:val="28"/>
          <w:szCs w:val="28"/>
        </w:rPr>
        <w:t xml:space="preserve">. </w:t>
      </w:r>
    </w:p>
    <w:p w:rsidR="0083700D" w:rsidRPr="008C0993" w:rsidRDefault="0083700D" w:rsidP="00223E8E">
      <w:pPr>
        <w:spacing w:line="360" w:lineRule="auto"/>
        <w:contextualSpacing/>
        <w:jc w:val="both"/>
        <w:rPr>
          <w:rFonts w:ascii="Times New Roman" w:hAnsi="Times New Roman" w:cs="Times New Roman"/>
          <w:sz w:val="28"/>
          <w:szCs w:val="28"/>
        </w:rPr>
      </w:pPr>
    </w:p>
    <w:p w:rsidR="006362F9" w:rsidRDefault="006362F9" w:rsidP="00223E8E">
      <w:pPr>
        <w:spacing w:line="360" w:lineRule="auto"/>
        <w:contextualSpacing/>
        <w:jc w:val="both"/>
        <w:rPr>
          <w:rFonts w:ascii="Times New Roman" w:hAnsi="Times New Roman" w:cs="Times New Roman"/>
          <w:sz w:val="28"/>
          <w:szCs w:val="28"/>
        </w:rPr>
      </w:pPr>
      <w:r w:rsidRPr="008C0993">
        <w:rPr>
          <w:rFonts w:ascii="Times New Roman" w:hAnsi="Times New Roman" w:cs="Times New Roman"/>
          <w:sz w:val="28"/>
          <w:szCs w:val="28"/>
        </w:rPr>
        <w:t xml:space="preserve">[22] This court finds that the </w:t>
      </w:r>
      <w:r w:rsidRPr="0083700D">
        <w:rPr>
          <w:rFonts w:ascii="Times New Roman" w:hAnsi="Times New Roman" w:cs="Times New Roman"/>
          <w:b/>
          <w:bCs/>
          <w:i/>
          <w:iCs/>
          <w:sz w:val="28"/>
          <w:szCs w:val="28"/>
        </w:rPr>
        <w:t>Amendment Act, 2022</w:t>
      </w:r>
      <w:r w:rsidRPr="008C0993">
        <w:rPr>
          <w:rFonts w:ascii="Times New Roman" w:hAnsi="Times New Roman" w:cs="Times New Roman"/>
          <w:sz w:val="28"/>
          <w:szCs w:val="28"/>
        </w:rPr>
        <w:t xml:space="preserve"> in terms of </w:t>
      </w:r>
      <w:r w:rsidRPr="0083700D">
        <w:rPr>
          <w:rFonts w:ascii="Times New Roman" w:hAnsi="Times New Roman" w:cs="Times New Roman"/>
          <w:i/>
          <w:iCs/>
          <w:sz w:val="28"/>
          <w:szCs w:val="28"/>
        </w:rPr>
        <w:t>section 2</w:t>
      </w:r>
      <w:r w:rsidRPr="008C0993">
        <w:rPr>
          <w:rFonts w:ascii="Times New Roman" w:hAnsi="Times New Roman" w:cs="Times New Roman"/>
          <w:sz w:val="28"/>
          <w:szCs w:val="28"/>
        </w:rPr>
        <w:t xml:space="preserve"> </w:t>
      </w:r>
      <w:r w:rsidR="007B6473" w:rsidRPr="008C0993">
        <w:rPr>
          <w:rFonts w:ascii="Times New Roman" w:hAnsi="Times New Roman" w:cs="Times New Roman"/>
          <w:sz w:val="28"/>
          <w:szCs w:val="28"/>
        </w:rPr>
        <w:t>cannot be interpreted so as to operate retrospectively, because the general rule as enunciated by the cases referred to above, is that statutes should be considered as affecting future matters only, unless there is an express provision to the contrary.</w:t>
      </w:r>
      <w:r w:rsidR="00E22013" w:rsidRPr="008C0993">
        <w:rPr>
          <w:rFonts w:ascii="Times New Roman" w:hAnsi="Times New Roman" w:cs="Times New Roman"/>
          <w:sz w:val="28"/>
          <w:szCs w:val="28"/>
        </w:rPr>
        <w:t xml:space="preserve"> </w:t>
      </w:r>
    </w:p>
    <w:p w:rsidR="0083700D" w:rsidRPr="008C0993" w:rsidRDefault="0083700D" w:rsidP="00223E8E">
      <w:pPr>
        <w:spacing w:line="360" w:lineRule="auto"/>
        <w:contextualSpacing/>
        <w:jc w:val="both"/>
        <w:rPr>
          <w:rFonts w:ascii="Times New Roman" w:hAnsi="Times New Roman" w:cs="Times New Roman"/>
          <w:sz w:val="28"/>
          <w:szCs w:val="28"/>
        </w:rPr>
      </w:pPr>
    </w:p>
    <w:p w:rsidR="0003716F" w:rsidRPr="0003716F" w:rsidRDefault="0003716F" w:rsidP="00223E8E">
      <w:pPr>
        <w:spacing w:line="360" w:lineRule="auto"/>
        <w:contextualSpacing/>
        <w:jc w:val="both"/>
        <w:rPr>
          <w:rFonts w:ascii="Times New Roman" w:hAnsi="Times New Roman" w:cs="Times New Roman"/>
          <w:b/>
          <w:bCs/>
          <w:sz w:val="28"/>
          <w:szCs w:val="28"/>
        </w:rPr>
      </w:pPr>
      <w:r w:rsidRPr="0003716F">
        <w:rPr>
          <w:rFonts w:ascii="Times New Roman" w:hAnsi="Times New Roman" w:cs="Times New Roman"/>
          <w:b/>
          <w:bCs/>
          <w:sz w:val="28"/>
          <w:szCs w:val="28"/>
        </w:rPr>
        <w:t>The Mode of Life Test and Applicable Principles/Law</w:t>
      </w:r>
    </w:p>
    <w:p w:rsidR="00883A75" w:rsidRDefault="00CF55A2" w:rsidP="00223E8E">
      <w:pPr>
        <w:spacing w:line="360" w:lineRule="auto"/>
        <w:contextualSpacing/>
        <w:jc w:val="both"/>
        <w:rPr>
          <w:rFonts w:ascii="Times New Roman" w:hAnsi="Times New Roman" w:cs="Times New Roman"/>
          <w:sz w:val="28"/>
          <w:szCs w:val="28"/>
        </w:rPr>
      </w:pPr>
      <w:r w:rsidRPr="008C0993">
        <w:rPr>
          <w:rFonts w:ascii="Times New Roman" w:hAnsi="Times New Roman" w:cs="Times New Roman"/>
          <w:sz w:val="28"/>
          <w:szCs w:val="28"/>
        </w:rPr>
        <w:t>[2</w:t>
      </w:r>
      <w:r w:rsidR="00D47B89">
        <w:rPr>
          <w:rFonts w:ascii="Times New Roman" w:hAnsi="Times New Roman" w:cs="Times New Roman"/>
          <w:sz w:val="28"/>
          <w:szCs w:val="28"/>
        </w:rPr>
        <w:t>3</w:t>
      </w:r>
      <w:r w:rsidRPr="008C0993">
        <w:rPr>
          <w:rFonts w:ascii="Times New Roman" w:hAnsi="Times New Roman" w:cs="Times New Roman"/>
          <w:sz w:val="28"/>
          <w:szCs w:val="28"/>
        </w:rPr>
        <w:t>] This court having heard viva voce evidence on the mo</w:t>
      </w:r>
      <w:r w:rsidR="00C76326" w:rsidRPr="008C0993">
        <w:rPr>
          <w:rFonts w:ascii="Times New Roman" w:hAnsi="Times New Roman" w:cs="Times New Roman"/>
          <w:sz w:val="28"/>
          <w:szCs w:val="28"/>
        </w:rPr>
        <w:t>de of life of the deceased,</w:t>
      </w:r>
      <w:r w:rsidR="00F21BF0" w:rsidRPr="008C0993">
        <w:rPr>
          <w:rFonts w:ascii="Times New Roman" w:hAnsi="Times New Roman" w:cs="Times New Roman"/>
          <w:sz w:val="28"/>
          <w:szCs w:val="28"/>
        </w:rPr>
        <w:t xml:space="preserve"> </w:t>
      </w:r>
      <w:proofErr w:type="gramStart"/>
      <w:r w:rsidRPr="008C0993">
        <w:rPr>
          <w:rFonts w:ascii="Times New Roman" w:hAnsi="Times New Roman" w:cs="Times New Roman"/>
          <w:sz w:val="28"/>
          <w:szCs w:val="28"/>
        </w:rPr>
        <w:t>has to</w:t>
      </w:r>
      <w:proofErr w:type="gramEnd"/>
      <w:r w:rsidRPr="008C0993">
        <w:rPr>
          <w:rFonts w:ascii="Times New Roman" w:hAnsi="Times New Roman" w:cs="Times New Roman"/>
          <w:sz w:val="28"/>
          <w:szCs w:val="28"/>
        </w:rPr>
        <w:t xml:space="preserve"> make a determination as to the mode of life of the deceased, as required by </w:t>
      </w:r>
      <w:r w:rsidRPr="0083700D">
        <w:rPr>
          <w:rFonts w:ascii="Times New Roman" w:hAnsi="Times New Roman" w:cs="Times New Roman"/>
          <w:i/>
          <w:iCs/>
          <w:sz w:val="28"/>
          <w:szCs w:val="28"/>
        </w:rPr>
        <w:t>section 3(b)</w:t>
      </w:r>
      <w:r w:rsidRPr="008C0993">
        <w:rPr>
          <w:rFonts w:ascii="Times New Roman" w:hAnsi="Times New Roman" w:cs="Times New Roman"/>
          <w:sz w:val="28"/>
          <w:szCs w:val="28"/>
        </w:rPr>
        <w:t xml:space="preserve"> of the Proclamation.</w:t>
      </w:r>
      <w:r w:rsidR="0053691F" w:rsidRPr="008C0993">
        <w:rPr>
          <w:rFonts w:ascii="Times New Roman" w:hAnsi="Times New Roman" w:cs="Times New Roman"/>
          <w:sz w:val="28"/>
          <w:szCs w:val="28"/>
        </w:rPr>
        <w:t xml:space="preserve"> The question is which law is applicable between the European Law or the customary Law. The factors that can help the court in determining which law to apply are inter alia, whether the deceased </w:t>
      </w:r>
      <w:proofErr w:type="spellStart"/>
      <w:r w:rsidR="0053691F" w:rsidRPr="008C0993">
        <w:rPr>
          <w:rFonts w:ascii="Times New Roman" w:hAnsi="Times New Roman" w:cs="Times New Roman"/>
          <w:sz w:val="28"/>
          <w:szCs w:val="28"/>
        </w:rPr>
        <w:t>Metsing</w:t>
      </w:r>
      <w:proofErr w:type="spellEnd"/>
      <w:r w:rsidR="0053691F" w:rsidRPr="008C0993">
        <w:rPr>
          <w:rFonts w:ascii="Times New Roman" w:hAnsi="Times New Roman" w:cs="Times New Roman"/>
          <w:sz w:val="28"/>
          <w:szCs w:val="28"/>
        </w:rPr>
        <w:t xml:space="preserve"> </w:t>
      </w:r>
      <w:proofErr w:type="spellStart"/>
      <w:r w:rsidR="0053691F" w:rsidRPr="008C0993">
        <w:rPr>
          <w:rFonts w:ascii="Times New Roman" w:hAnsi="Times New Roman" w:cs="Times New Roman"/>
          <w:sz w:val="28"/>
          <w:szCs w:val="28"/>
        </w:rPr>
        <w:t>Lekhanya</w:t>
      </w:r>
      <w:proofErr w:type="spellEnd"/>
      <w:r w:rsidR="0053691F" w:rsidRPr="008C0993">
        <w:rPr>
          <w:rFonts w:ascii="Times New Roman" w:hAnsi="Times New Roman" w:cs="Times New Roman"/>
          <w:sz w:val="28"/>
          <w:szCs w:val="28"/>
        </w:rPr>
        <w:t xml:space="preserve"> and Sophia </w:t>
      </w:r>
      <w:proofErr w:type="spellStart"/>
      <w:r w:rsidR="0053691F" w:rsidRPr="008C0993">
        <w:rPr>
          <w:rFonts w:ascii="Times New Roman" w:hAnsi="Times New Roman" w:cs="Times New Roman"/>
          <w:sz w:val="28"/>
          <w:szCs w:val="28"/>
        </w:rPr>
        <w:t>Lekhanya</w:t>
      </w:r>
      <w:proofErr w:type="spellEnd"/>
      <w:r w:rsidR="0053691F" w:rsidRPr="008C0993">
        <w:rPr>
          <w:rFonts w:ascii="Times New Roman" w:hAnsi="Times New Roman" w:cs="Times New Roman"/>
          <w:sz w:val="28"/>
          <w:szCs w:val="28"/>
        </w:rPr>
        <w:t>, have abandoned the customary mode of life in favour of the European mode of life</w:t>
      </w:r>
      <w:r w:rsidR="00112740" w:rsidRPr="008C0993">
        <w:rPr>
          <w:rFonts w:ascii="Times New Roman" w:hAnsi="Times New Roman" w:cs="Times New Roman"/>
          <w:sz w:val="28"/>
          <w:szCs w:val="28"/>
        </w:rPr>
        <w:t>. There is a plethora of authorities to assist the court in this regard.</w:t>
      </w:r>
    </w:p>
    <w:p w:rsidR="00883A75" w:rsidRDefault="00883A75" w:rsidP="00223E8E">
      <w:pPr>
        <w:spacing w:line="360" w:lineRule="auto"/>
        <w:contextualSpacing/>
        <w:jc w:val="both"/>
        <w:rPr>
          <w:rFonts w:ascii="Times New Roman" w:hAnsi="Times New Roman" w:cs="Times New Roman"/>
          <w:b/>
          <w:bCs/>
          <w:sz w:val="28"/>
          <w:szCs w:val="28"/>
        </w:rPr>
      </w:pPr>
    </w:p>
    <w:p w:rsidR="00FD15AA" w:rsidRDefault="0053691F" w:rsidP="00223E8E">
      <w:pPr>
        <w:spacing w:line="360" w:lineRule="auto"/>
        <w:contextualSpacing/>
        <w:jc w:val="both"/>
        <w:rPr>
          <w:rFonts w:ascii="Times New Roman" w:hAnsi="Times New Roman" w:cs="Times New Roman"/>
          <w:sz w:val="28"/>
          <w:szCs w:val="28"/>
        </w:rPr>
      </w:pPr>
      <w:r w:rsidRPr="008C0993">
        <w:rPr>
          <w:rFonts w:ascii="Times New Roman" w:hAnsi="Times New Roman" w:cs="Times New Roman"/>
          <w:sz w:val="28"/>
          <w:szCs w:val="28"/>
        </w:rPr>
        <w:t>[</w:t>
      </w:r>
      <w:r w:rsidR="00D47B89">
        <w:rPr>
          <w:rFonts w:ascii="Times New Roman" w:hAnsi="Times New Roman" w:cs="Times New Roman"/>
          <w:sz w:val="28"/>
          <w:szCs w:val="28"/>
        </w:rPr>
        <w:t>24</w:t>
      </w:r>
      <w:r w:rsidRPr="008C0993">
        <w:rPr>
          <w:rFonts w:ascii="Times New Roman" w:hAnsi="Times New Roman" w:cs="Times New Roman"/>
          <w:sz w:val="28"/>
          <w:szCs w:val="28"/>
        </w:rPr>
        <w:t xml:space="preserve">] </w:t>
      </w:r>
      <w:r w:rsidR="00F21BF0" w:rsidRPr="008C0993">
        <w:rPr>
          <w:rFonts w:ascii="Times New Roman" w:hAnsi="Times New Roman" w:cs="Times New Roman"/>
          <w:sz w:val="28"/>
          <w:szCs w:val="28"/>
        </w:rPr>
        <w:t>See:</w:t>
      </w:r>
      <w:r w:rsidR="00112740" w:rsidRPr="008C0993">
        <w:rPr>
          <w:rFonts w:ascii="Times New Roman" w:hAnsi="Times New Roman" w:cs="Times New Roman"/>
          <w:sz w:val="28"/>
          <w:szCs w:val="28"/>
        </w:rPr>
        <w:t xml:space="preserve"> </w:t>
      </w:r>
      <w:proofErr w:type="spellStart"/>
      <w:r w:rsidR="00F21BF0" w:rsidRPr="0083700D">
        <w:rPr>
          <w:rFonts w:ascii="Times New Roman" w:hAnsi="Times New Roman" w:cs="Times New Roman"/>
          <w:b/>
          <w:bCs/>
          <w:i/>
          <w:iCs/>
          <w:color w:val="000000" w:themeColor="text1"/>
          <w:sz w:val="28"/>
          <w:szCs w:val="28"/>
        </w:rPr>
        <w:t>Khatala</w:t>
      </w:r>
      <w:proofErr w:type="spellEnd"/>
      <w:r w:rsidR="00F21BF0" w:rsidRPr="0083700D">
        <w:rPr>
          <w:rFonts w:ascii="Times New Roman" w:hAnsi="Times New Roman" w:cs="Times New Roman"/>
          <w:b/>
          <w:bCs/>
          <w:i/>
          <w:iCs/>
          <w:color w:val="000000" w:themeColor="text1"/>
          <w:sz w:val="28"/>
          <w:szCs w:val="28"/>
        </w:rPr>
        <w:t xml:space="preserve"> v </w:t>
      </w:r>
      <w:proofErr w:type="spellStart"/>
      <w:r w:rsidR="00F21BF0" w:rsidRPr="0083700D">
        <w:rPr>
          <w:rFonts w:ascii="Times New Roman" w:hAnsi="Times New Roman" w:cs="Times New Roman"/>
          <w:b/>
          <w:bCs/>
          <w:i/>
          <w:iCs/>
          <w:color w:val="000000" w:themeColor="text1"/>
          <w:sz w:val="28"/>
          <w:szCs w:val="28"/>
        </w:rPr>
        <w:t>Khatala</w:t>
      </w:r>
      <w:proofErr w:type="spellEnd"/>
      <w:r w:rsidR="00D71F75">
        <w:rPr>
          <w:rStyle w:val="FootnoteReference"/>
          <w:rFonts w:ascii="Times New Roman" w:hAnsi="Times New Roman" w:cs="Times New Roman"/>
          <w:b/>
          <w:bCs/>
          <w:i/>
          <w:iCs/>
          <w:color w:val="000000" w:themeColor="text1"/>
          <w:sz w:val="28"/>
          <w:szCs w:val="28"/>
        </w:rPr>
        <w:footnoteReference w:id="10"/>
      </w:r>
      <w:r w:rsidR="00F21BF0" w:rsidRPr="008C0993">
        <w:rPr>
          <w:rFonts w:ascii="Times New Roman" w:hAnsi="Times New Roman" w:cs="Times New Roman"/>
          <w:color w:val="000000" w:themeColor="text1"/>
          <w:sz w:val="28"/>
          <w:szCs w:val="28"/>
        </w:rPr>
        <w:t xml:space="preserve">, </w:t>
      </w:r>
      <w:proofErr w:type="spellStart"/>
      <w:r w:rsidR="00F21BF0" w:rsidRPr="0083700D">
        <w:rPr>
          <w:rFonts w:ascii="Times New Roman" w:hAnsi="Times New Roman" w:cs="Times New Roman"/>
          <w:b/>
          <w:bCs/>
          <w:i/>
          <w:iCs/>
          <w:color w:val="000000" w:themeColor="text1"/>
          <w:sz w:val="28"/>
          <w:szCs w:val="28"/>
        </w:rPr>
        <w:t>Mokorosi</w:t>
      </w:r>
      <w:proofErr w:type="spellEnd"/>
      <w:r w:rsidR="00F21BF0" w:rsidRPr="0083700D">
        <w:rPr>
          <w:rFonts w:ascii="Times New Roman" w:hAnsi="Times New Roman" w:cs="Times New Roman"/>
          <w:b/>
          <w:bCs/>
          <w:i/>
          <w:iCs/>
          <w:color w:val="000000" w:themeColor="text1"/>
          <w:sz w:val="28"/>
          <w:szCs w:val="28"/>
        </w:rPr>
        <w:t xml:space="preserve"> v </w:t>
      </w:r>
      <w:proofErr w:type="spellStart"/>
      <w:r w:rsidR="00F21BF0" w:rsidRPr="0083700D">
        <w:rPr>
          <w:rFonts w:ascii="Times New Roman" w:hAnsi="Times New Roman" w:cs="Times New Roman"/>
          <w:b/>
          <w:bCs/>
          <w:i/>
          <w:iCs/>
          <w:color w:val="000000" w:themeColor="text1"/>
          <w:sz w:val="28"/>
          <w:szCs w:val="28"/>
        </w:rPr>
        <w:t>Mokorosi</w:t>
      </w:r>
      <w:proofErr w:type="spellEnd"/>
      <w:r w:rsidR="00D71F75">
        <w:rPr>
          <w:rStyle w:val="FootnoteReference"/>
          <w:rFonts w:ascii="Times New Roman" w:hAnsi="Times New Roman" w:cs="Times New Roman"/>
          <w:b/>
          <w:bCs/>
          <w:i/>
          <w:iCs/>
          <w:color w:val="000000" w:themeColor="text1"/>
          <w:sz w:val="28"/>
          <w:szCs w:val="28"/>
        </w:rPr>
        <w:footnoteReference w:id="11"/>
      </w:r>
      <w:r w:rsidR="00F21BF0" w:rsidRPr="008C0993">
        <w:rPr>
          <w:rFonts w:ascii="Times New Roman" w:hAnsi="Times New Roman" w:cs="Times New Roman"/>
          <w:color w:val="000000" w:themeColor="text1"/>
          <w:sz w:val="28"/>
          <w:szCs w:val="28"/>
        </w:rPr>
        <w:t xml:space="preserve">, </w:t>
      </w:r>
      <w:proofErr w:type="spellStart"/>
      <w:r w:rsidR="00F21BF0" w:rsidRPr="0083700D">
        <w:rPr>
          <w:rFonts w:ascii="Times New Roman" w:hAnsi="Times New Roman" w:cs="Times New Roman"/>
          <w:b/>
          <w:bCs/>
          <w:i/>
          <w:iCs/>
          <w:color w:val="000000" w:themeColor="text1"/>
          <w:sz w:val="28"/>
          <w:szCs w:val="28"/>
        </w:rPr>
        <w:t>Hoohlo</w:t>
      </w:r>
      <w:proofErr w:type="spellEnd"/>
      <w:r w:rsidR="00F21BF0" w:rsidRPr="0083700D">
        <w:rPr>
          <w:rFonts w:ascii="Times New Roman" w:hAnsi="Times New Roman" w:cs="Times New Roman"/>
          <w:b/>
          <w:bCs/>
          <w:i/>
          <w:iCs/>
          <w:color w:val="000000" w:themeColor="text1"/>
          <w:sz w:val="28"/>
          <w:szCs w:val="28"/>
        </w:rPr>
        <w:t xml:space="preserve"> V </w:t>
      </w:r>
      <w:proofErr w:type="spellStart"/>
      <w:r w:rsidR="00F21BF0" w:rsidRPr="0083700D">
        <w:rPr>
          <w:rFonts w:ascii="Times New Roman" w:hAnsi="Times New Roman" w:cs="Times New Roman"/>
          <w:b/>
          <w:bCs/>
          <w:i/>
          <w:iCs/>
          <w:color w:val="000000" w:themeColor="text1"/>
          <w:sz w:val="28"/>
          <w:szCs w:val="28"/>
        </w:rPr>
        <w:t>Hoohlo</w:t>
      </w:r>
      <w:proofErr w:type="spellEnd"/>
      <w:r w:rsidR="00D71F75">
        <w:rPr>
          <w:rStyle w:val="FootnoteReference"/>
          <w:rFonts w:ascii="Times New Roman" w:hAnsi="Times New Roman" w:cs="Times New Roman"/>
          <w:b/>
          <w:bCs/>
          <w:i/>
          <w:iCs/>
          <w:color w:val="000000" w:themeColor="text1"/>
          <w:sz w:val="28"/>
          <w:szCs w:val="28"/>
        </w:rPr>
        <w:footnoteReference w:id="12"/>
      </w:r>
      <w:r w:rsidR="00112740" w:rsidRPr="008C0993">
        <w:rPr>
          <w:rFonts w:ascii="Times New Roman" w:hAnsi="Times New Roman" w:cs="Times New Roman"/>
          <w:color w:val="000000" w:themeColor="text1"/>
          <w:sz w:val="28"/>
          <w:szCs w:val="28"/>
        </w:rPr>
        <w:t xml:space="preserve">. </w:t>
      </w:r>
      <w:r w:rsidR="00112740" w:rsidRPr="0083700D">
        <w:rPr>
          <w:rFonts w:ascii="Times New Roman" w:hAnsi="Times New Roman" w:cs="Times New Roman"/>
          <w:i/>
          <w:iCs/>
          <w:sz w:val="28"/>
          <w:szCs w:val="28"/>
        </w:rPr>
        <w:t>Section 3(b)</w:t>
      </w:r>
      <w:r w:rsidR="00112740" w:rsidRPr="008C0993">
        <w:rPr>
          <w:rFonts w:ascii="Times New Roman" w:hAnsi="Times New Roman" w:cs="Times New Roman"/>
          <w:sz w:val="28"/>
          <w:szCs w:val="28"/>
        </w:rPr>
        <w:t xml:space="preserve"> of the </w:t>
      </w:r>
      <w:r w:rsidR="00112740" w:rsidRPr="0083700D">
        <w:rPr>
          <w:rFonts w:ascii="Times New Roman" w:hAnsi="Times New Roman" w:cs="Times New Roman"/>
          <w:b/>
          <w:bCs/>
          <w:i/>
          <w:iCs/>
          <w:sz w:val="28"/>
          <w:szCs w:val="28"/>
        </w:rPr>
        <w:t>Administration of Estates Proclamation 1935</w:t>
      </w:r>
      <w:r w:rsidR="00112740" w:rsidRPr="008C0993">
        <w:rPr>
          <w:rFonts w:ascii="Times New Roman" w:hAnsi="Times New Roman" w:cs="Times New Roman"/>
          <w:sz w:val="28"/>
          <w:szCs w:val="28"/>
        </w:rPr>
        <w:t>; reads as follows:</w:t>
      </w:r>
    </w:p>
    <w:p w:rsidR="00223E8E" w:rsidRPr="00932013" w:rsidRDefault="00223E8E" w:rsidP="00223E8E">
      <w:pPr>
        <w:spacing w:line="360" w:lineRule="auto"/>
        <w:contextualSpacing/>
        <w:jc w:val="both"/>
        <w:rPr>
          <w:rFonts w:ascii="Times New Roman" w:hAnsi="Times New Roman" w:cs="Times New Roman"/>
          <w:b/>
          <w:bCs/>
          <w:sz w:val="28"/>
          <w:szCs w:val="28"/>
        </w:rPr>
      </w:pPr>
    </w:p>
    <w:p w:rsidR="00112740" w:rsidRPr="00112C34" w:rsidRDefault="00F21BF0" w:rsidP="0083700D">
      <w:pPr>
        <w:spacing w:line="360" w:lineRule="auto"/>
        <w:ind w:left="720"/>
        <w:contextualSpacing/>
        <w:jc w:val="both"/>
        <w:rPr>
          <w:rFonts w:ascii="Times New Roman" w:hAnsi="Times New Roman" w:cs="Times New Roman"/>
          <w:sz w:val="28"/>
          <w:szCs w:val="28"/>
        </w:rPr>
      </w:pPr>
      <w:r w:rsidRPr="00112C34">
        <w:rPr>
          <w:rFonts w:ascii="Times New Roman" w:hAnsi="Times New Roman" w:cs="Times New Roman"/>
          <w:sz w:val="28"/>
          <w:szCs w:val="28"/>
        </w:rPr>
        <w:t>“</w:t>
      </w:r>
      <w:r w:rsidR="00112740" w:rsidRPr="00112C34">
        <w:rPr>
          <w:rFonts w:ascii="Times New Roman" w:hAnsi="Times New Roman" w:cs="Times New Roman"/>
          <w:sz w:val="28"/>
          <w:szCs w:val="28"/>
        </w:rPr>
        <w:t>This Proclamation shall not apply to estates of Africans which shall continue to be administered in accordance with the prevailing African Law and custom of the territory provided that such</w:t>
      </w:r>
      <w:r w:rsidR="007332F0" w:rsidRPr="00112C34">
        <w:rPr>
          <w:rFonts w:ascii="Times New Roman" w:hAnsi="Times New Roman" w:cs="Times New Roman"/>
          <w:sz w:val="28"/>
          <w:szCs w:val="28"/>
        </w:rPr>
        <w:t xml:space="preserve"> law and custom, shall not apply to estates of Africans who have shown to the satisfaction of the </w:t>
      </w:r>
      <w:r w:rsidR="007332F0" w:rsidRPr="00112C34">
        <w:rPr>
          <w:rFonts w:ascii="Times New Roman" w:hAnsi="Times New Roman" w:cs="Times New Roman"/>
          <w:sz w:val="28"/>
          <w:szCs w:val="28"/>
        </w:rPr>
        <w:lastRenderedPageBreak/>
        <w:t>master to have abandoned their custom and adopted a European mode of life and who if married have married under the</w:t>
      </w:r>
      <w:r w:rsidRPr="00112C34">
        <w:rPr>
          <w:rFonts w:ascii="Times New Roman" w:hAnsi="Times New Roman" w:cs="Times New Roman"/>
          <w:sz w:val="28"/>
          <w:szCs w:val="28"/>
        </w:rPr>
        <w:t xml:space="preserve"> European law” (</w:t>
      </w:r>
      <w:r w:rsidR="007332F0" w:rsidRPr="00112C34">
        <w:rPr>
          <w:rFonts w:ascii="Times New Roman" w:hAnsi="Times New Roman" w:cs="Times New Roman"/>
          <w:sz w:val="28"/>
          <w:szCs w:val="28"/>
        </w:rPr>
        <w:t>my underlining).</w:t>
      </w:r>
    </w:p>
    <w:p w:rsidR="0083700D" w:rsidRPr="008C0993" w:rsidRDefault="0083700D" w:rsidP="0083700D">
      <w:pPr>
        <w:spacing w:line="360" w:lineRule="auto"/>
        <w:ind w:left="720"/>
        <w:contextualSpacing/>
        <w:jc w:val="both"/>
        <w:rPr>
          <w:rFonts w:ascii="Times New Roman" w:hAnsi="Times New Roman" w:cs="Times New Roman"/>
          <w:sz w:val="28"/>
          <w:szCs w:val="28"/>
        </w:rPr>
      </w:pPr>
    </w:p>
    <w:p w:rsidR="007332F0" w:rsidRDefault="007332F0" w:rsidP="00223E8E">
      <w:pPr>
        <w:spacing w:line="360" w:lineRule="auto"/>
        <w:contextualSpacing/>
        <w:jc w:val="both"/>
        <w:rPr>
          <w:rFonts w:ascii="Times New Roman" w:hAnsi="Times New Roman" w:cs="Times New Roman"/>
          <w:sz w:val="28"/>
          <w:szCs w:val="28"/>
        </w:rPr>
      </w:pPr>
      <w:r w:rsidRPr="008C0993">
        <w:rPr>
          <w:rFonts w:ascii="Times New Roman" w:hAnsi="Times New Roman" w:cs="Times New Roman"/>
          <w:sz w:val="28"/>
          <w:szCs w:val="28"/>
        </w:rPr>
        <w:t>[</w:t>
      </w:r>
      <w:r w:rsidR="00D47B89">
        <w:rPr>
          <w:rFonts w:ascii="Times New Roman" w:hAnsi="Times New Roman" w:cs="Times New Roman"/>
          <w:sz w:val="28"/>
          <w:szCs w:val="28"/>
        </w:rPr>
        <w:t>25</w:t>
      </w:r>
      <w:r w:rsidRPr="008C0993">
        <w:rPr>
          <w:rFonts w:ascii="Times New Roman" w:hAnsi="Times New Roman" w:cs="Times New Roman"/>
          <w:sz w:val="28"/>
          <w:szCs w:val="28"/>
        </w:rPr>
        <w:t xml:space="preserve">] </w:t>
      </w:r>
      <w:r w:rsidR="001605F6" w:rsidRPr="008C0993">
        <w:rPr>
          <w:rFonts w:ascii="Times New Roman" w:hAnsi="Times New Roman" w:cs="Times New Roman"/>
          <w:sz w:val="28"/>
          <w:szCs w:val="28"/>
        </w:rPr>
        <w:t>No</w:t>
      </w:r>
      <w:r w:rsidR="007D126D" w:rsidRPr="008C0993">
        <w:rPr>
          <w:rFonts w:ascii="Times New Roman" w:hAnsi="Times New Roman" w:cs="Times New Roman"/>
          <w:sz w:val="28"/>
          <w:szCs w:val="28"/>
        </w:rPr>
        <w:t>w the question whether a person has</w:t>
      </w:r>
      <w:r w:rsidR="001605F6" w:rsidRPr="008C0993">
        <w:rPr>
          <w:rFonts w:ascii="Times New Roman" w:hAnsi="Times New Roman" w:cs="Times New Roman"/>
          <w:sz w:val="28"/>
          <w:szCs w:val="28"/>
        </w:rPr>
        <w:t xml:space="preserve"> abandoned a customary mode of life and adopted a European way of living is obviously a question of fact, to be judged on the particular facts of each case. </w:t>
      </w:r>
    </w:p>
    <w:p w:rsidR="0083700D" w:rsidRPr="008C0993" w:rsidRDefault="0083700D" w:rsidP="00223E8E">
      <w:pPr>
        <w:spacing w:line="360" w:lineRule="auto"/>
        <w:contextualSpacing/>
        <w:jc w:val="both"/>
        <w:rPr>
          <w:rFonts w:ascii="Times New Roman" w:hAnsi="Times New Roman" w:cs="Times New Roman"/>
          <w:sz w:val="28"/>
          <w:szCs w:val="28"/>
        </w:rPr>
      </w:pPr>
    </w:p>
    <w:p w:rsidR="00172C24" w:rsidRDefault="00C52DBF" w:rsidP="00223E8E">
      <w:pPr>
        <w:spacing w:line="360" w:lineRule="auto"/>
        <w:contextualSpacing/>
        <w:jc w:val="both"/>
        <w:rPr>
          <w:rFonts w:ascii="Times New Roman" w:hAnsi="Times New Roman" w:cs="Times New Roman"/>
          <w:sz w:val="28"/>
          <w:szCs w:val="28"/>
        </w:rPr>
      </w:pPr>
      <w:r w:rsidRPr="008C0993">
        <w:rPr>
          <w:rFonts w:ascii="Times New Roman" w:hAnsi="Times New Roman" w:cs="Times New Roman"/>
          <w:sz w:val="28"/>
          <w:szCs w:val="28"/>
        </w:rPr>
        <w:t xml:space="preserve"> </w:t>
      </w:r>
      <w:r w:rsidR="00172C24" w:rsidRPr="008C0993">
        <w:rPr>
          <w:rFonts w:ascii="Times New Roman" w:hAnsi="Times New Roman" w:cs="Times New Roman"/>
          <w:sz w:val="28"/>
          <w:szCs w:val="28"/>
        </w:rPr>
        <w:t>[</w:t>
      </w:r>
      <w:r w:rsidR="00D47B89">
        <w:rPr>
          <w:rFonts w:ascii="Times New Roman" w:hAnsi="Times New Roman" w:cs="Times New Roman"/>
          <w:sz w:val="28"/>
          <w:szCs w:val="28"/>
        </w:rPr>
        <w:t>2</w:t>
      </w:r>
      <w:r w:rsidR="006A2EAC">
        <w:rPr>
          <w:rFonts w:ascii="Times New Roman" w:hAnsi="Times New Roman" w:cs="Times New Roman"/>
          <w:sz w:val="28"/>
          <w:szCs w:val="28"/>
        </w:rPr>
        <w:t>6</w:t>
      </w:r>
      <w:r w:rsidR="00172C24" w:rsidRPr="008C0993">
        <w:rPr>
          <w:rFonts w:ascii="Times New Roman" w:hAnsi="Times New Roman" w:cs="Times New Roman"/>
          <w:sz w:val="28"/>
          <w:szCs w:val="28"/>
        </w:rPr>
        <w:t xml:space="preserve">] In the case of </w:t>
      </w:r>
      <w:bookmarkStart w:id="10" w:name="_Hlk113963821"/>
      <w:proofErr w:type="spellStart"/>
      <w:r w:rsidR="00172C24" w:rsidRPr="0083700D">
        <w:rPr>
          <w:rFonts w:ascii="Times New Roman" w:hAnsi="Times New Roman" w:cs="Times New Roman"/>
          <w:b/>
          <w:bCs/>
          <w:i/>
          <w:iCs/>
          <w:sz w:val="28"/>
          <w:szCs w:val="28"/>
        </w:rPr>
        <w:t>Moke</w:t>
      </w:r>
      <w:r w:rsidR="00F21BF0" w:rsidRPr="0083700D">
        <w:rPr>
          <w:rFonts w:ascii="Times New Roman" w:hAnsi="Times New Roman" w:cs="Times New Roman"/>
          <w:b/>
          <w:bCs/>
          <w:i/>
          <w:iCs/>
          <w:sz w:val="28"/>
          <w:szCs w:val="28"/>
        </w:rPr>
        <w:t>te</w:t>
      </w:r>
      <w:proofErr w:type="spellEnd"/>
      <w:r w:rsidR="00F21BF0" w:rsidRPr="0083700D">
        <w:rPr>
          <w:rFonts w:ascii="Times New Roman" w:hAnsi="Times New Roman" w:cs="Times New Roman"/>
          <w:b/>
          <w:bCs/>
          <w:i/>
          <w:iCs/>
          <w:sz w:val="28"/>
          <w:szCs w:val="28"/>
        </w:rPr>
        <w:t xml:space="preserve"> &amp; </w:t>
      </w:r>
      <w:r w:rsidR="0083700D" w:rsidRPr="0083700D">
        <w:rPr>
          <w:rFonts w:ascii="Times New Roman" w:hAnsi="Times New Roman" w:cs="Times New Roman"/>
          <w:b/>
          <w:bCs/>
          <w:i/>
          <w:iCs/>
          <w:sz w:val="28"/>
          <w:szCs w:val="28"/>
        </w:rPr>
        <w:t>O</w:t>
      </w:r>
      <w:r w:rsidR="00F21BF0" w:rsidRPr="0083700D">
        <w:rPr>
          <w:rFonts w:ascii="Times New Roman" w:hAnsi="Times New Roman" w:cs="Times New Roman"/>
          <w:b/>
          <w:bCs/>
          <w:i/>
          <w:iCs/>
          <w:sz w:val="28"/>
          <w:szCs w:val="28"/>
        </w:rPr>
        <w:t xml:space="preserve">thers v </w:t>
      </w:r>
      <w:proofErr w:type="spellStart"/>
      <w:r w:rsidR="00F21BF0" w:rsidRPr="0083700D">
        <w:rPr>
          <w:rFonts w:ascii="Times New Roman" w:hAnsi="Times New Roman" w:cs="Times New Roman"/>
          <w:b/>
          <w:bCs/>
          <w:i/>
          <w:iCs/>
          <w:sz w:val="28"/>
          <w:szCs w:val="28"/>
        </w:rPr>
        <w:t>Mokete</w:t>
      </w:r>
      <w:proofErr w:type="spellEnd"/>
      <w:r w:rsidR="00F21BF0" w:rsidRPr="0083700D">
        <w:rPr>
          <w:rFonts w:ascii="Times New Roman" w:hAnsi="Times New Roman" w:cs="Times New Roman"/>
          <w:b/>
          <w:bCs/>
          <w:i/>
          <w:iCs/>
          <w:sz w:val="28"/>
          <w:szCs w:val="28"/>
        </w:rPr>
        <w:t xml:space="preserve"> &amp; </w:t>
      </w:r>
      <w:r w:rsidR="0083700D" w:rsidRPr="0083700D">
        <w:rPr>
          <w:rFonts w:ascii="Times New Roman" w:hAnsi="Times New Roman" w:cs="Times New Roman"/>
          <w:b/>
          <w:bCs/>
          <w:i/>
          <w:iCs/>
          <w:sz w:val="28"/>
          <w:szCs w:val="28"/>
        </w:rPr>
        <w:t>O</w:t>
      </w:r>
      <w:r w:rsidR="00F21BF0" w:rsidRPr="0083700D">
        <w:rPr>
          <w:rFonts w:ascii="Times New Roman" w:hAnsi="Times New Roman" w:cs="Times New Roman"/>
          <w:b/>
          <w:bCs/>
          <w:i/>
          <w:iCs/>
          <w:sz w:val="28"/>
          <w:szCs w:val="28"/>
        </w:rPr>
        <w:t>thers</w:t>
      </w:r>
      <w:bookmarkEnd w:id="10"/>
      <w:r w:rsidR="0085335C">
        <w:rPr>
          <w:rStyle w:val="FootnoteReference"/>
          <w:rFonts w:ascii="Times New Roman" w:hAnsi="Times New Roman" w:cs="Times New Roman"/>
          <w:b/>
          <w:bCs/>
          <w:i/>
          <w:iCs/>
          <w:sz w:val="28"/>
          <w:szCs w:val="28"/>
        </w:rPr>
        <w:footnoteReference w:id="13"/>
      </w:r>
      <w:r w:rsidR="009A4976" w:rsidRPr="008C0993">
        <w:rPr>
          <w:rFonts w:ascii="Times New Roman" w:hAnsi="Times New Roman" w:cs="Times New Roman"/>
          <w:sz w:val="28"/>
          <w:szCs w:val="28"/>
        </w:rPr>
        <w:t xml:space="preserve">, </w:t>
      </w:r>
      <w:proofErr w:type="spellStart"/>
      <w:r w:rsidR="009A4976" w:rsidRPr="0083700D">
        <w:rPr>
          <w:rFonts w:ascii="Times New Roman" w:hAnsi="Times New Roman" w:cs="Times New Roman"/>
          <w:b/>
          <w:bCs/>
          <w:sz w:val="28"/>
          <w:szCs w:val="28"/>
        </w:rPr>
        <w:t>Ramodibedi</w:t>
      </w:r>
      <w:proofErr w:type="spellEnd"/>
      <w:r w:rsidR="009A4976" w:rsidRPr="0083700D">
        <w:rPr>
          <w:rFonts w:ascii="Times New Roman" w:hAnsi="Times New Roman" w:cs="Times New Roman"/>
          <w:b/>
          <w:bCs/>
          <w:sz w:val="28"/>
          <w:szCs w:val="28"/>
        </w:rPr>
        <w:t xml:space="preserve"> JA</w:t>
      </w:r>
      <w:r w:rsidR="009A4976" w:rsidRPr="008C0993">
        <w:rPr>
          <w:rFonts w:ascii="Times New Roman" w:hAnsi="Times New Roman" w:cs="Times New Roman"/>
          <w:sz w:val="28"/>
          <w:szCs w:val="28"/>
        </w:rPr>
        <w:t xml:space="preserve">, as he then was had this to say at </w:t>
      </w:r>
      <w:r w:rsidR="009A4976" w:rsidRPr="0083700D">
        <w:rPr>
          <w:rFonts w:ascii="Times New Roman" w:hAnsi="Times New Roman" w:cs="Times New Roman"/>
          <w:i/>
          <w:iCs/>
          <w:sz w:val="28"/>
          <w:szCs w:val="28"/>
        </w:rPr>
        <w:t>Page 9</w:t>
      </w:r>
      <w:r w:rsidR="009A4976" w:rsidRPr="008C0993">
        <w:rPr>
          <w:rFonts w:ascii="Times New Roman" w:hAnsi="Times New Roman" w:cs="Times New Roman"/>
          <w:sz w:val="28"/>
          <w:szCs w:val="28"/>
        </w:rPr>
        <w:t>:</w:t>
      </w:r>
    </w:p>
    <w:p w:rsidR="0083700D" w:rsidRPr="008C0993" w:rsidRDefault="0083700D" w:rsidP="008C0993">
      <w:pPr>
        <w:spacing w:line="360" w:lineRule="auto"/>
        <w:ind w:left="360"/>
        <w:contextualSpacing/>
        <w:jc w:val="both"/>
        <w:rPr>
          <w:rFonts w:ascii="Times New Roman" w:hAnsi="Times New Roman" w:cs="Times New Roman"/>
          <w:sz w:val="28"/>
          <w:szCs w:val="28"/>
        </w:rPr>
      </w:pPr>
    </w:p>
    <w:p w:rsidR="009A4976" w:rsidRPr="00112C34" w:rsidRDefault="009A4976" w:rsidP="00023841">
      <w:pPr>
        <w:spacing w:line="360" w:lineRule="auto"/>
        <w:ind w:left="720"/>
        <w:contextualSpacing/>
        <w:jc w:val="both"/>
        <w:rPr>
          <w:rFonts w:ascii="Times New Roman" w:hAnsi="Times New Roman" w:cs="Times New Roman"/>
          <w:sz w:val="28"/>
          <w:szCs w:val="28"/>
        </w:rPr>
      </w:pPr>
      <w:r w:rsidRPr="00112C34">
        <w:rPr>
          <w:rFonts w:ascii="Times New Roman" w:hAnsi="Times New Roman" w:cs="Times New Roman"/>
          <w:sz w:val="28"/>
          <w:szCs w:val="28"/>
        </w:rPr>
        <w:t>“[12] In holding that the common law governed the estate of the deceased, the judge a quo appears to have been of the view that the proviso to section 3(b) of the Proclamation is satisfied where there has b</w:t>
      </w:r>
      <w:r w:rsidR="004C346A" w:rsidRPr="00112C34">
        <w:rPr>
          <w:rFonts w:ascii="Times New Roman" w:hAnsi="Times New Roman" w:cs="Times New Roman"/>
          <w:sz w:val="28"/>
          <w:szCs w:val="28"/>
        </w:rPr>
        <w:t xml:space="preserve">een a marriage by civil </w:t>
      </w:r>
      <w:proofErr w:type="spellStart"/>
      <w:r w:rsidR="004C346A" w:rsidRPr="00112C34">
        <w:rPr>
          <w:rFonts w:ascii="Times New Roman" w:hAnsi="Times New Roman" w:cs="Times New Roman"/>
          <w:sz w:val="28"/>
          <w:szCs w:val="28"/>
        </w:rPr>
        <w:t>rites</w:t>
      </w:r>
      <w:proofErr w:type="spellEnd"/>
      <w:r w:rsidR="004C346A" w:rsidRPr="00112C34">
        <w:rPr>
          <w:rFonts w:ascii="Times New Roman" w:hAnsi="Times New Roman" w:cs="Times New Roman"/>
          <w:sz w:val="28"/>
          <w:szCs w:val="28"/>
        </w:rPr>
        <w:t xml:space="preserve"> (</w:t>
      </w:r>
      <w:r w:rsidRPr="00112C34">
        <w:rPr>
          <w:rFonts w:ascii="Times New Roman" w:hAnsi="Times New Roman" w:cs="Times New Roman"/>
          <w:sz w:val="28"/>
          <w:szCs w:val="28"/>
        </w:rPr>
        <w:t>European</w:t>
      </w:r>
      <w:r w:rsidR="004C346A" w:rsidRPr="00112C34">
        <w:rPr>
          <w:rFonts w:ascii="Times New Roman" w:hAnsi="Times New Roman" w:cs="Times New Roman"/>
          <w:sz w:val="28"/>
          <w:szCs w:val="28"/>
        </w:rPr>
        <w:t xml:space="preserve"> Law). This is not the case. </w:t>
      </w:r>
      <w:bookmarkStart w:id="11" w:name="_Hlk113963911"/>
      <w:r w:rsidR="004C346A" w:rsidRPr="00112C34">
        <w:rPr>
          <w:rFonts w:ascii="Times New Roman" w:hAnsi="Times New Roman" w:cs="Times New Roman"/>
          <w:sz w:val="28"/>
          <w:szCs w:val="28"/>
        </w:rPr>
        <w:t>(</w:t>
      </w:r>
      <w:proofErr w:type="spellStart"/>
      <w:r w:rsidRPr="00112C34">
        <w:rPr>
          <w:rFonts w:ascii="Times New Roman" w:hAnsi="Times New Roman" w:cs="Times New Roman"/>
          <w:b/>
          <w:bCs/>
          <w:sz w:val="28"/>
          <w:szCs w:val="28"/>
        </w:rPr>
        <w:t>Khatala</w:t>
      </w:r>
      <w:proofErr w:type="spellEnd"/>
      <w:r w:rsidRPr="00112C34">
        <w:rPr>
          <w:rFonts w:ascii="Times New Roman" w:hAnsi="Times New Roman" w:cs="Times New Roman"/>
          <w:b/>
          <w:bCs/>
          <w:sz w:val="28"/>
          <w:szCs w:val="28"/>
        </w:rPr>
        <w:t xml:space="preserve"> v </w:t>
      </w:r>
      <w:proofErr w:type="spellStart"/>
      <w:r w:rsidRPr="00112C34">
        <w:rPr>
          <w:rFonts w:ascii="Times New Roman" w:hAnsi="Times New Roman" w:cs="Times New Roman"/>
          <w:b/>
          <w:bCs/>
          <w:sz w:val="28"/>
          <w:szCs w:val="28"/>
        </w:rPr>
        <w:t>Khatala</w:t>
      </w:r>
      <w:bookmarkEnd w:id="11"/>
      <w:proofErr w:type="spellEnd"/>
      <w:r w:rsidR="00E0227C" w:rsidRPr="00112C34">
        <w:rPr>
          <w:rStyle w:val="FootnoteReference"/>
          <w:rFonts w:ascii="Times New Roman" w:hAnsi="Times New Roman" w:cs="Times New Roman"/>
          <w:b/>
          <w:bCs/>
          <w:sz w:val="28"/>
          <w:szCs w:val="28"/>
        </w:rPr>
        <w:footnoteReference w:id="14"/>
      </w:r>
      <w:r w:rsidR="00E0227C" w:rsidRPr="00112C34">
        <w:rPr>
          <w:rFonts w:ascii="Times New Roman" w:hAnsi="Times New Roman" w:cs="Times New Roman"/>
          <w:b/>
          <w:bCs/>
          <w:sz w:val="28"/>
          <w:szCs w:val="28"/>
        </w:rPr>
        <w:t>)</w:t>
      </w:r>
      <w:r w:rsidRPr="00112C34">
        <w:rPr>
          <w:rFonts w:ascii="Times New Roman" w:hAnsi="Times New Roman" w:cs="Times New Roman"/>
          <w:sz w:val="28"/>
          <w:szCs w:val="28"/>
        </w:rPr>
        <w:t xml:space="preserve">. The proviso excludes from the operation of section 3(b) Basotho who have abandoned tribal custom and adopted a European mode of life, and who if married have married under European law. It therefore postulates two requirements both of which </w:t>
      </w:r>
      <w:proofErr w:type="gramStart"/>
      <w:r w:rsidRPr="00112C34">
        <w:rPr>
          <w:rFonts w:ascii="Times New Roman" w:hAnsi="Times New Roman" w:cs="Times New Roman"/>
          <w:sz w:val="28"/>
          <w:szCs w:val="28"/>
        </w:rPr>
        <w:t>have to</w:t>
      </w:r>
      <w:proofErr w:type="gramEnd"/>
      <w:r w:rsidRPr="00112C34">
        <w:rPr>
          <w:rFonts w:ascii="Times New Roman" w:hAnsi="Times New Roman" w:cs="Times New Roman"/>
          <w:sz w:val="28"/>
          <w:szCs w:val="28"/>
        </w:rPr>
        <w:t xml:space="preserve"> be present for the proviso to come in</w:t>
      </w:r>
      <w:r w:rsidR="001850AB" w:rsidRPr="00112C34">
        <w:rPr>
          <w:rFonts w:ascii="Times New Roman" w:hAnsi="Times New Roman" w:cs="Times New Roman"/>
          <w:sz w:val="28"/>
          <w:szCs w:val="28"/>
        </w:rPr>
        <w:t>to operation. Only the second (</w:t>
      </w:r>
      <w:r w:rsidRPr="00112C34">
        <w:rPr>
          <w:rFonts w:ascii="Times New Roman" w:hAnsi="Times New Roman" w:cs="Times New Roman"/>
          <w:sz w:val="28"/>
          <w:szCs w:val="28"/>
        </w:rPr>
        <w:t>marriage under European law) has been established.</w:t>
      </w:r>
      <w:r w:rsidR="001850AB" w:rsidRPr="00112C34">
        <w:rPr>
          <w:rFonts w:ascii="Times New Roman" w:hAnsi="Times New Roman" w:cs="Times New Roman"/>
          <w:sz w:val="28"/>
          <w:szCs w:val="28"/>
        </w:rPr>
        <w:t xml:space="preserve"> The first (abandonment of tribal custom and adoption of a European mode of life was not raised in the affidavit and has never received proper consideration in this matter.”</w:t>
      </w:r>
    </w:p>
    <w:p w:rsidR="00FD15AA" w:rsidRPr="008C0993" w:rsidRDefault="00FD15AA" w:rsidP="0083700D">
      <w:pPr>
        <w:spacing w:line="360" w:lineRule="auto"/>
        <w:ind w:left="720"/>
        <w:contextualSpacing/>
        <w:jc w:val="both"/>
        <w:rPr>
          <w:rFonts w:ascii="Times New Roman" w:hAnsi="Times New Roman" w:cs="Times New Roman"/>
          <w:sz w:val="28"/>
          <w:szCs w:val="28"/>
        </w:rPr>
      </w:pPr>
    </w:p>
    <w:p w:rsidR="0083700D" w:rsidRPr="008C0993" w:rsidRDefault="002E1201" w:rsidP="00223E8E">
      <w:pPr>
        <w:spacing w:line="360" w:lineRule="auto"/>
        <w:contextualSpacing/>
        <w:jc w:val="both"/>
        <w:rPr>
          <w:rFonts w:ascii="Times New Roman" w:hAnsi="Times New Roman" w:cs="Times New Roman"/>
          <w:sz w:val="28"/>
          <w:szCs w:val="28"/>
        </w:rPr>
      </w:pPr>
      <w:r w:rsidRPr="008C0993">
        <w:rPr>
          <w:rFonts w:ascii="Times New Roman" w:hAnsi="Times New Roman" w:cs="Times New Roman"/>
          <w:sz w:val="28"/>
          <w:szCs w:val="28"/>
        </w:rPr>
        <w:t>[</w:t>
      </w:r>
      <w:r w:rsidR="00D47B89">
        <w:rPr>
          <w:rFonts w:ascii="Times New Roman" w:hAnsi="Times New Roman" w:cs="Times New Roman"/>
          <w:sz w:val="28"/>
          <w:szCs w:val="28"/>
        </w:rPr>
        <w:t>27</w:t>
      </w:r>
      <w:r w:rsidRPr="008C0993">
        <w:rPr>
          <w:rFonts w:ascii="Times New Roman" w:hAnsi="Times New Roman" w:cs="Times New Roman"/>
          <w:sz w:val="28"/>
          <w:szCs w:val="28"/>
        </w:rPr>
        <w:t>] The matter for consideration by this court when dealing with the applicable legal principles, is the meaning of the phrase “to have abandoned tribal custom and adopted a European mode of life.”</w:t>
      </w:r>
    </w:p>
    <w:p w:rsidR="00641E92" w:rsidRDefault="000763D7" w:rsidP="00223E8E">
      <w:pPr>
        <w:spacing w:line="360" w:lineRule="auto"/>
        <w:contextualSpacing/>
        <w:jc w:val="both"/>
        <w:rPr>
          <w:rFonts w:ascii="Times New Roman" w:hAnsi="Times New Roman" w:cs="Times New Roman"/>
          <w:sz w:val="28"/>
          <w:szCs w:val="28"/>
        </w:rPr>
      </w:pPr>
      <w:r w:rsidRPr="008C0993">
        <w:rPr>
          <w:rFonts w:ascii="Times New Roman" w:hAnsi="Times New Roman" w:cs="Times New Roman"/>
          <w:sz w:val="28"/>
          <w:szCs w:val="28"/>
        </w:rPr>
        <w:lastRenderedPageBreak/>
        <w:t>[</w:t>
      </w:r>
      <w:r w:rsidR="00D47B89">
        <w:rPr>
          <w:rFonts w:ascii="Times New Roman" w:hAnsi="Times New Roman" w:cs="Times New Roman"/>
          <w:sz w:val="28"/>
          <w:szCs w:val="28"/>
        </w:rPr>
        <w:t>28</w:t>
      </w:r>
      <w:r w:rsidRPr="008C0993">
        <w:rPr>
          <w:rFonts w:ascii="Times New Roman" w:hAnsi="Times New Roman" w:cs="Times New Roman"/>
          <w:sz w:val="28"/>
          <w:szCs w:val="28"/>
        </w:rPr>
        <w:t>]</w:t>
      </w:r>
      <w:r w:rsidR="004C346A" w:rsidRPr="008C0993">
        <w:rPr>
          <w:rFonts w:ascii="Times New Roman" w:hAnsi="Times New Roman" w:cs="Times New Roman"/>
          <w:sz w:val="28"/>
          <w:szCs w:val="28"/>
        </w:rPr>
        <w:t xml:space="preserve"> In the case of </w:t>
      </w:r>
      <w:bookmarkStart w:id="12" w:name="_Hlk113964047"/>
      <w:proofErr w:type="spellStart"/>
      <w:r w:rsidR="004C346A" w:rsidRPr="0083700D">
        <w:rPr>
          <w:rFonts w:ascii="Times New Roman" w:hAnsi="Times New Roman" w:cs="Times New Roman"/>
          <w:b/>
          <w:bCs/>
          <w:i/>
          <w:iCs/>
          <w:sz w:val="28"/>
          <w:szCs w:val="28"/>
        </w:rPr>
        <w:t>Mokoro</w:t>
      </w:r>
      <w:r w:rsidR="00641E92" w:rsidRPr="0083700D">
        <w:rPr>
          <w:rFonts w:ascii="Times New Roman" w:hAnsi="Times New Roman" w:cs="Times New Roman"/>
          <w:b/>
          <w:bCs/>
          <w:i/>
          <w:iCs/>
          <w:sz w:val="28"/>
          <w:szCs w:val="28"/>
        </w:rPr>
        <w:t>si</w:t>
      </w:r>
      <w:proofErr w:type="spellEnd"/>
      <w:r w:rsidR="00641E92" w:rsidRPr="0083700D">
        <w:rPr>
          <w:rFonts w:ascii="Times New Roman" w:hAnsi="Times New Roman" w:cs="Times New Roman"/>
          <w:b/>
          <w:bCs/>
          <w:i/>
          <w:iCs/>
          <w:sz w:val="28"/>
          <w:szCs w:val="28"/>
        </w:rPr>
        <w:t xml:space="preserve"> v </w:t>
      </w:r>
      <w:proofErr w:type="spellStart"/>
      <w:r w:rsidR="00641E92" w:rsidRPr="0083700D">
        <w:rPr>
          <w:rFonts w:ascii="Times New Roman" w:hAnsi="Times New Roman" w:cs="Times New Roman"/>
          <w:b/>
          <w:bCs/>
          <w:i/>
          <w:iCs/>
          <w:sz w:val="28"/>
          <w:szCs w:val="28"/>
        </w:rPr>
        <w:t>Mokorosi</w:t>
      </w:r>
      <w:bookmarkEnd w:id="12"/>
      <w:proofErr w:type="spellEnd"/>
      <w:r w:rsidR="00E73252">
        <w:rPr>
          <w:rStyle w:val="FootnoteReference"/>
          <w:rFonts w:ascii="Times New Roman" w:hAnsi="Times New Roman" w:cs="Times New Roman"/>
          <w:b/>
          <w:bCs/>
          <w:i/>
          <w:iCs/>
          <w:sz w:val="28"/>
          <w:szCs w:val="28"/>
        </w:rPr>
        <w:footnoteReference w:id="15"/>
      </w:r>
      <w:r w:rsidR="00E73252">
        <w:rPr>
          <w:rFonts w:ascii="Times New Roman" w:hAnsi="Times New Roman" w:cs="Times New Roman"/>
          <w:b/>
          <w:bCs/>
          <w:i/>
          <w:iCs/>
          <w:sz w:val="28"/>
          <w:szCs w:val="28"/>
        </w:rPr>
        <w:t>(</w:t>
      </w:r>
      <w:r w:rsidR="00E73252" w:rsidRPr="00E73252">
        <w:rPr>
          <w:rFonts w:ascii="Times New Roman" w:hAnsi="Times New Roman" w:cs="Times New Roman"/>
          <w:i/>
          <w:iCs/>
          <w:sz w:val="28"/>
          <w:szCs w:val="28"/>
        </w:rPr>
        <w:t>supra</w:t>
      </w:r>
      <w:r w:rsidR="00E73252">
        <w:rPr>
          <w:rFonts w:ascii="Times New Roman" w:hAnsi="Times New Roman" w:cs="Times New Roman"/>
          <w:b/>
          <w:bCs/>
          <w:i/>
          <w:iCs/>
          <w:sz w:val="28"/>
          <w:szCs w:val="28"/>
        </w:rPr>
        <w:t>)</w:t>
      </w:r>
      <w:r w:rsidR="00641E92" w:rsidRPr="008C0993">
        <w:rPr>
          <w:rFonts w:ascii="Times New Roman" w:hAnsi="Times New Roman" w:cs="Times New Roman"/>
          <w:sz w:val="28"/>
          <w:szCs w:val="28"/>
        </w:rPr>
        <w:t xml:space="preserve">, </w:t>
      </w:r>
      <w:r w:rsidR="00641E92" w:rsidRPr="002D152F">
        <w:rPr>
          <w:rFonts w:ascii="Times New Roman" w:hAnsi="Times New Roman" w:cs="Times New Roman"/>
          <w:b/>
          <w:bCs/>
          <w:sz w:val="28"/>
          <w:szCs w:val="28"/>
        </w:rPr>
        <w:t>Roper J</w:t>
      </w:r>
      <w:r w:rsidR="00641E92" w:rsidRPr="008C0993">
        <w:rPr>
          <w:rFonts w:ascii="Times New Roman" w:hAnsi="Times New Roman" w:cs="Times New Roman"/>
          <w:sz w:val="28"/>
          <w:szCs w:val="28"/>
        </w:rPr>
        <w:t xml:space="preserve"> at </w:t>
      </w:r>
      <w:r w:rsidR="00641E92" w:rsidRPr="002D152F">
        <w:rPr>
          <w:rFonts w:ascii="Times New Roman" w:hAnsi="Times New Roman" w:cs="Times New Roman"/>
          <w:i/>
          <w:iCs/>
          <w:sz w:val="28"/>
          <w:szCs w:val="28"/>
        </w:rPr>
        <w:t>page 6</w:t>
      </w:r>
      <w:r w:rsidR="00641E92" w:rsidRPr="008C0993">
        <w:rPr>
          <w:rFonts w:ascii="Times New Roman" w:hAnsi="Times New Roman" w:cs="Times New Roman"/>
          <w:sz w:val="28"/>
          <w:szCs w:val="28"/>
        </w:rPr>
        <w:t xml:space="preserve"> in consideration</w:t>
      </w:r>
      <w:r w:rsidR="00F21BF0" w:rsidRPr="008C0993">
        <w:rPr>
          <w:rFonts w:ascii="Times New Roman" w:hAnsi="Times New Roman" w:cs="Times New Roman"/>
          <w:sz w:val="28"/>
          <w:szCs w:val="28"/>
        </w:rPr>
        <w:t xml:space="preserve"> of the meaning of the phrase “</w:t>
      </w:r>
      <w:r w:rsidR="00641E92" w:rsidRPr="008C0993">
        <w:rPr>
          <w:rFonts w:ascii="Times New Roman" w:hAnsi="Times New Roman" w:cs="Times New Roman"/>
          <w:sz w:val="28"/>
          <w:szCs w:val="28"/>
        </w:rPr>
        <w:t>to have abandoned tribal custom and adopted a European mode of life” had the following to say:</w:t>
      </w:r>
    </w:p>
    <w:p w:rsidR="002D152F" w:rsidRPr="008C0993" w:rsidRDefault="002D152F" w:rsidP="00223E8E">
      <w:pPr>
        <w:spacing w:line="360" w:lineRule="auto"/>
        <w:contextualSpacing/>
        <w:jc w:val="both"/>
        <w:rPr>
          <w:rFonts w:ascii="Times New Roman" w:hAnsi="Times New Roman" w:cs="Times New Roman"/>
          <w:sz w:val="28"/>
          <w:szCs w:val="28"/>
        </w:rPr>
      </w:pPr>
    </w:p>
    <w:p w:rsidR="00A9011F" w:rsidRPr="00112C34" w:rsidRDefault="00641E92" w:rsidP="002D152F">
      <w:pPr>
        <w:spacing w:line="360" w:lineRule="auto"/>
        <w:ind w:left="720"/>
        <w:contextualSpacing/>
        <w:jc w:val="both"/>
        <w:rPr>
          <w:rFonts w:ascii="Times New Roman" w:hAnsi="Times New Roman" w:cs="Times New Roman"/>
          <w:sz w:val="28"/>
          <w:szCs w:val="28"/>
        </w:rPr>
      </w:pPr>
      <w:r w:rsidRPr="00112C34">
        <w:rPr>
          <w:rFonts w:ascii="Times New Roman" w:hAnsi="Times New Roman" w:cs="Times New Roman"/>
          <w:sz w:val="28"/>
          <w:szCs w:val="28"/>
        </w:rPr>
        <w:t>“This does not seem to contemplate two separate and distinct acts or processes, namely one act or process of abandonment of tribal custom and another act or process of adoption of a European mode of life. The adoption of one mode of life and the abandonment of another is all one process. The ideas underlying the phrase is that the person concerned has forsaken one mode of life in favour of another.”</w:t>
      </w:r>
      <w:r w:rsidR="002D0CBD" w:rsidRPr="00112C34">
        <w:rPr>
          <w:rFonts w:ascii="Times New Roman" w:hAnsi="Times New Roman" w:cs="Times New Roman"/>
          <w:sz w:val="28"/>
          <w:szCs w:val="28"/>
        </w:rPr>
        <w:t xml:space="preserve"> </w:t>
      </w:r>
      <w:r w:rsidRPr="00112C34">
        <w:rPr>
          <w:rFonts w:ascii="Times New Roman" w:hAnsi="Times New Roman" w:cs="Times New Roman"/>
          <w:sz w:val="28"/>
          <w:szCs w:val="28"/>
        </w:rPr>
        <w:t xml:space="preserve"> </w:t>
      </w:r>
    </w:p>
    <w:p w:rsidR="002D152F" w:rsidRPr="008C0993" w:rsidRDefault="002D152F" w:rsidP="002D152F">
      <w:pPr>
        <w:spacing w:line="360" w:lineRule="auto"/>
        <w:ind w:left="720"/>
        <w:contextualSpacing/>
        <w:jc w:val="both"/>
        <w:rPr>
          <w:rFonts w:ascii="Times New Roman" w:hAnsi="Times New Roman" w:cs="Times New Roman"/>
          <w:sz w:val="28"/>
          <w:szCs w:val="28"/>
        </w:rPr>
      </w:pPr>
    </w:p>
    <w:p w:rsidR="002D152F" w:rsidRDefault="002E1201" w:rsidP="00223E8E">
      <w:pPr>
        <w:spacing w:line="360" w:lineRule="auto"/>
        <w:contextualSpacing/>
        <w:jc w:val="both"/>
        <w:rPr>
          <w:rFonts w:ascii="Times New Roman" w:hAnsi="Times New Roman" w:cs="Times New Roman"/>
          <w:sz w:val="28"/>
          <w:szCs w:val="28"/>
        </w:rPr>
      </w:pPr>
      <w:r w:rsidRPr="008C0993">
        <w:rPr>
          <w:rFonts w:ascii="Times New Roman" w:hAnsi="Times New Roman" w:cs="Times New Roman"/>
          <w:sz w:val="28"/>
          <w:szCs w:val="28"/>
        </w:rPr>
        <w:t>[</w:t>
      </w:r>
      <w:r w:rsidR="00D47B89">
        <w:rPr>
          <w:rFonts w:ascii="Times New Roman" w:hAnsi="Times New Roman" w:cs="Times New Roman"/>
          <w:sz w:val="28"/>
          <w:szCs w:val="28"/>
        </w:rPr>
        <w:t>29</w:t>
      </w:r>
      <w:r w:rsidR="001850AB" w:rsidRPr="008C0993">
        <w:rPr>
          <w:rFonts w:ascii="Times New Roman" w:hAnsi="Times New Roman" w:cs="Times New Roman"/>
          <w:sz w:val="28"/>
          <w:szCs w:val="28"/>
        </w:rPr>
        <w:t xml:space="preserve">] In </w:t>
      </w:r>
      <w:bookmarkStart w:id="13" w:name="_Hlk113964318"/>
      <w:proofErr w:type="spellStart"/>
      <w:r w:rsidR="001850AB" w:rsidRPr="002D152F">
        <w:rPr>
          <w:rFonts w:ascii="Times New Roman" w:hAnsi="Times New Roman" w:cs="Times New Roman"/>
          <w:b/>
          <w:bCs/>
          <w:i/>
          <w:iCs/>
          <w:sz w:val="28"/>
          <w:szCs w:val="28"/>
        </w:rPr>
        <w:t>Rakhetla</w:t>
      </w:r>
      <w:proofErr w:type="spellEnd"/>
      <w:r w:rsidR="001850AB" w:rsidRPr="002D152F">
        <w:rPr>
          <w:rFonts w:ascii="Times New Roman" w:hAnsi="Times New Roman" w:cs="Times New Roman"/>
          <w:b/>
          <w:bCs/>
          <w:i/>
          <w:iCs/>
          <w:sz w:val="28"/>
          <w:szCs w:val="28"/>
        </w:rPr>
        <w:t xml:space="preserve"> v </w:t>
      </w:r>
      <w:proofErr w:type="spellStart"/>
      <w:r w:rsidR="001850AB" w:rsidRPr="002D152F">
        <w:rPr>
          <w:rFonts w:ascii="Times New Roman" w:hAnsi="Times New Roman" w:cs="Times New Roman"/>
          <w:b/>
          <w:bCs/>
          <w:i/>
          <w:iCs/>
          <w:sz w:val="28"/>
          <w:szCs w:val="28"/>
        </w:rPr>
        <w:t>Aldiea</w:t>
      </w:r>
      <w:bookmarkEnd w:id="13"/>
      <w:proofErr w:type="spellEnd"/>
      <w:r w:rsidR="003217E4">
        <w:rPr>
          <w:rStyle w:val="FootnoteReference"/>
          <w:rFonts w:ascii="Times New Roman" w:hAnsi="Times New Roman" w:cs="Times New Roman"/>
          <w:b/>
          <w:bCs/>
          <w:i/>
          <w:iCs/>
          <w:sz w:val="28"/>
          <w:szCs w:val="28"/>
        </w:rPr>
        <w:footnoteReference w:id="16"/>
      </w:r>
      <w:r w:rsidR="001850AB" w:rsidRPr="008C0993">
        <w:rPr>
          <w:rFonts w:ascii="Times New Roman" w:hAnsi="Times New Roman" w:cs="Times New Roman"/>
          <w:sz w:val="28"/>
          <w:szCs w:val="28"/>
        </w:rPr>
        <w:t xml:space="preserve">, </w:t>
      </w:r>
      <w:proofErr w:type="spellStart"/>
      <w:r w:rsidR="001850AB" w:rsidRPr="002D152F">
        <w:rPr>
          <w:rFonts w:ascii="Times New Roman" w:hAnsi="Times New Roman" w:cs="Times New Roman"/>
          <w:b/>
          <w:bCs/>
          <w:sz w:val="28"/>
          <w:szCs w:val="28"/>
        </w:rPr>
        <w:t>Smallberger</w:t>
      </w:r>
      <w:proofErr w:type="spellEnd"/>
      <w:r w:rsidR="001850AB" w:rsidRPr="002D152F">
        <w:rPr>
          <w:rFonts w:ascii="Times New Roman" w:hAnsi="Times New Roman" w:cs="Times New Roman"/>
          <w:b/>
          <w:bCs/>
          <w:sz w:val="28"/>
          <w:szCs w:val="28"/>
        </w:rPr>
        <w:t xml:space="preserve"> JA</w:t>
      </w:r>
      <w:r w:rsidR="001850AB" w:rsidRPr="008C0993">
        <w:rPr>
          <w:rFonts w:ascii="Times New Roman" w:hAnsi="Times New Roman" w:cs="Times New Roman"/>
          <w:sz w:val="28"/>
          <w:szCs w:val="28"/>
        </w:rPr>
        <w:t xml:space="preserve"> at </w:t>
      </w:r>
      <w:r w:rsidR="001850AB" w:rsidRPr="002D152F">
        <w:rPr>
          <w:rFonts w:ascii="Times New Roman" w:hAnsi="Times New Roman" w:cs="Times New Roman"/>
          <w:i/>
          <w:iCs/>
          <w:sz w:val="28"/>
          <w:szCs w:val="28"/>
        </w:rPr>
        <w:t>page 6</w:t>
      </w:r>
      <w:r w:rsidR="001850AB" w:rsidRPr="008C0993">
        <w:rPr>
          <w:rFonts w:ascii="Times New Roman" w:hAnsi="Times New Roman" w:cs="Times New Roman"/>
          <w:sz w:val="28"/>
          <w:szCs w:val="28"/>
        </w:rPr>
        <w:t xml:space="preserve"> stated that Basotho have chosen to marry by civil </w:t>
      </w:r>
      <w:proofErr w:type="spellStart"/>
      <w:r w:rsidR="001850AB" w:rsidRPr="008C0993">
        <w:rPr>
          <w:rFonts w:ascii="Times New Roman" w:hAnsi="Times New Roman" w:cs="Times New Roman"/>
          <w:sz w:val="28"/>
          <w:szCs w:val="28"/>
        </w:rPr>
        <w:t>rites</w:t>
      </w:r>
      <w:proofErr w:type="spellEnd"/>
      <w:r w:rsidR="001850AB" w:rsidRPr="008C0993">
        <w:rPr>
          <w:rFonts w:ascii="Times New Roman" w:hAnsi="Times New Roman" w:cs="Times New Roman"/>
          <w:sz w:val="28"/>
          <w:szCs w:val="28"/>
        </w:rPr>
        <w:t xml:space="preserve"> may indicate their choice of a European way of </w:t>
      </w:r>
      <w:r w:rsidR="002D152F" w:rsidRPr="008C0993">
        <w:rPr>
          <w:rFonts w:ascii="Times New Roman" w:hAnsi="Times New Roman" w:cs="Times New Roman"/>
          <w:sz w:val="28"/>
          <w:szCs w:val="28"/>
        </w:rPr>
        <w:t>life but</w:t>
      </w:r>
      <w:r w:rsidR="001850AB" w:rsidRPr="008C0993">
        <w:rPr>
          <w:rFonts w:ascii="Times New Roman" w:hAnsi="Times New Roman" w:cs="Times New Roman"/>
          <w:sz w:val="28"/>
          <w:szCs w:val="28"/>
        </w:rPr>
        <w:t xml:space="preserve"> is by no means conclusive of that fact.</w:t>
      </w:r>
    </w:p>
    <w:p w:rsidR="00223E8E" w:rsidRPr="008C0993" w:rsidRDefault="00223E8E" w:rsidP="00223E8E">
      <w:pPr>
        <w:spacing w:line="360" w:lineRule="auto"/>
        <w:contextualSpacing/>
        <w:jc w:val="both"/>
        <w:rPr>
          <w:rFonts w:ascii="Times New Roman" w:hAnsi="Times New Roman" w:cs="Times New Roman"/>
          <w:sz w:val="28"/>
          <w:szCs w:val="28"/>
        </w:rPr>
      </w:pPr>
    </w:p>
    <w:p w:rsidR="00C76326" w:rsidRDefault="002E1201" w:rsidP="00223E8E">
      <w:pPr>
        <w:spacing w:line="360" w:lineRule="auto"/>
        <w:contextualSpacing/>
        <w:jc w:val="both"/>
        <w:rPr>
          <w:rFonts w:ascii="Times New Roman" w:hAnsi="Times New Roman" w:cs="Times New Roman"/>
          <w:sz w:val="28"/>
          <w:szCs w:val="28"/>
        </w:rPr>
      </w:pPr>
      <w:r w:rsidRPr="008C0993">
        <w:rPr>
          <w:rFonts w:ascii="Times New Roman" w:hAnsi="Times New Roman" w:cs="Times New Roman"/>
          <w:sz w:val="28"/>
          <w:szCs w:val="28"/>
        </w:rPr>
        <w:t>[3</w:t>
      </w:r>
      <w:r w:rsidR="00D47B89">
        <w:rPr>
          <w:rFonts w:ascii="Times New Roman" w:hAnsi="Times New Roman" w:cs="Times New Roman"/>
          <w:sz w:val="28"/>
          <w:szCs w:val="28"/>
        </w:rPr>
        <w:t>0</w:t>
      </w:r>
      <w:r w:rsidR="000C270C" w:rsidRPr="008C0993">
        <w:rPr>
          <w:rFonts w:ascii="Times New Roman" w:hAnsi="Times New Roman" w:cs="Times New Roman"/>
          <w:sz w:val="28"/>
          <w:szCs w:val="28"/>
        </w:rPr>
        <w:t>] In the ca</w:t>
      </w:r>
      <w:r w:rsidR="00A9011F" w:rsidRPr="008C0993">
        <w:rPr>
          <w:rFonts w:ascii="Times New Roman" w:hAnsi="Times New Roman" w:cs="Times New Roman"/>
          <w:sz w:val="28"/>
          <w:szCs w:val="28"/>
        </w:rPr>
        <w:t xml:space="preserve">se of </w:t>
      </w:r>
      <w:bookmarkStart w:id="14" w:name="_Hlk113964407"/>
      <w:proofErr w:type="spellStart"/>
      <w:r w:rsidR="00A9011F" w:rsidRPr="0057667E">
        <w:rPr>
          <w:rFonts w:ascii="Times New Roman" w:hAnsi="Times New Roman" w:cs="Times New Roman"/>
          <w:b/>
          <w:bCs/>
          <w:i/>
          <w:iCs/>
          <w:sz w:val="28"/>
          <w:szCs w:val="28"/>
        </w:rPr>
        <w:t>Montateli</w:t>
      </w:r>
      <w:proofErr w:type="spellEnd"/>
      <w:r w:rsidR="00A9011F" w:rsidRPr="0057667E">
        <w:rPr>
          <w:rFonts w:ascii="Times New Roman" w:hAnsi="Times New Roman" w:cs="Times New Roman"/>
          <w:b/>
          <w:bCs/>
          <w:i/>
          <w:iCs/>
          <w:sz w:val="28"/>
          <w:szCs w:val="28"/>
        </w:rPr>
        <w:t xml:space="preserve"> v </w:t>
      </w:r>
      <w:proofErr w:type="spellStart"/>
      <w:r w:rsidR="00A9011F" w:rsidRPr="0057667E">
        <w:rPr>
          <w:rFonts w:ascii="Times New Roman" w:hAnsi="Times New Roman" w:cs="Times New Roman"/>
          <w:b/>
          <w:bCs/>
          <w:i/>
          <w:iCs/>
          <w:sz w:val="28"/>
          <w:szCs w:val="28"/>
        </w:rPr>
        <w:t>Tekane</w:t>
      </w:r>
      <w:bookmarkEnd w:id="14"/>
      <w:proofErr w:type="spellEnd"/>
      <w:r w:rsidR="003217E4">
        <w:rPr>
          <w:rStyle w:val="FootnoteReference"/>
          <w:rFonts w:ascii="Times New Roman" w:hAnsi="Times New Roman" w:cs="Times New Roman"/>
          <w:b/>
          <w:bCs/>
          <w:i/>
          <w:iCs/>
          <w:sz w:val="28"/>
          <w:szCs w:val="28"/>
        </w:rPr>
        <w:footnoteReference w:id="17"/>
      </w:r>
      <w:r w:rsidR="004C346A" w:rsidRPr="008C0993">
        <w:rPr>
          <w:rFonts w:ascii="Times New Roman" w:hAnsi="Times New Roman" w:cs="Times New Roman"/>
          <w:sz w:val="28"/>
          <w:szCs w:val="28"/>
        </w:rPr>
        <w:t xml:space="preserve">, </w:t>
      </w:r>
      <w:proofErr w:type="spellStart"/>
      <w:r w:rsidR="004C346A" w:rsidRPr="0057667E">
        <w:rPr>
          <w:rFonts w:ascii="Times New Roman" w:hAnsi="Times New Roman" w:cs="Times New Roman"/>
          <w:b/>
          <w:bCs/>
          <w:sz w:val="28"/>
          <w:szCs w:val="28"/>
        </w:rPr>
        <w:t>Ramodibedi</w:t>
      </w:r>
      <w:proofErr w:type="spellEnd"/>
      <w:r w:rsidR="004C346A" w:rsidRPr="0057667E">
        <w:rPr>
          <w:rFonts w:ascii="Times New Roman" w:hAnsi="Times New Roman" w:cs="Times New Roman"/>
          <w:b/>
          <w:bCs/>
          <w:sz w:val="28"/>
          <w:szCs w:val="28"/>
        </w:rPr>
        <w:t xml:space="preserve"> J</w:t>
      </w:r>
      <w:r w:rsidR="004C346A" w:rsidRPr="008C0993">
        <w:rPr>
          <w:rFonts w:ascii="Times New Roman" w:hAnsi="Times New Roman" w:cs="Times New Roman"/>
          <w:sz w:val="28"/>
          <w:szCs w:val="28"/>
        </w:rPr>
        <w:t xml:space="preserve"> </w:t>
      </w:r>
      <w:r w:rsidR="00172C24" w:rsidRPr="008C0993">
        <w:rPr>
          <w:rFonts w:ascii="Times New Roman" w:hAnsi="Times New Roman" w:cs="Times New Roman"/>
          <w:sz w:val="28"/>
          <w:szCs w:val="28"/>
        </w:rPr>
        <w:t>as he then was had this to say:</w:t>
      </w:r>
    </w:p>
    <w:p w:rsidR="0057667E" w:rsidRPr="008C0993" w:rsidRDefault="0057667E" w:rsidP="00223E8E">
      <w:pPr>
        <w:spacing w:line="360" w:lineRule="auto"/>
        <w:contextualSpacing/>
        <w:jc w:val="both"/>
        <w:rPr>
          <w:rFonts w:ascii="Times New Roman" w:hAnsi="Times New Roman" w:cs="Times New Roman"/>
          <w:sz w:val="28"/>
          <w:szCs w:val="28"/>
        </w:rPr>
      </w:pPr>
    </w:p>
    <w:p w:rsidR="00172C24" w:rsidRDefault="00172C24" w:rsidP="00223E8E">
      <w:pPr>
        <w:spacing w:line="360" w:lineRule="auto"/>
        <w:ind w:left="720"/>
        <w:contextualSpacing/>
        <w:jc w:val="both"/>
        <w:rPr>
          <w:rFonts w:ascii="Times New Roman" w:hAnsi="Times New Roman" w:cs="Times New Roman"/>
          <w:sz w:val="28"/>
          <w:szCs w:val="28"/>
        </w:rPr>
      </w:pPr>
      <w:r w:rsidRPr="008C0993">
        <w:rPr>
          <w:rFonts w:ascii="Times New Roman" w:hAnsi="Times New Roman" w:cs="Times New Roman"/>
          <w:sz w:val="28"/>
          <w:szCs w:val="28"/>
        </w:rPr>
        <w:t xml:space="preserve">“[16] It is instructive to point out that in concluding that the deceased had not abandoned the customary mode of life the court a quo </w:t>
      </w:r>
      <w:proofErr w:type="gramStart"/>
      <w:r w:rsidRPr="008C0993">
        <w:rPr>
          <w:rFonts w:ascii="Times New Roman" w:hAnsi="Times New Roman" w:cs="Times New Roman"/>
          <w:sz w:val="28"/>
          <w:szCs w:val="28"/>
        </w:rPr>
        <w:t>took into account</w:t>
      </w:r>
      <w:proofErr w:type="gramEnd"/>
      <w:r w:rsidRPr="008C0993">
        <w:rPr>
          <w:rFonts w:ascii="Times New Roman" w:hAnsi="Times New Roman" w:cs="Times New Roman"/>
          <w:sz w:val="28"/>
          <w:szCs w:val="28"/>
        </w:rPr>
        <w:t xml:space="preserve"> the following factors, namely;</w:t>
      </w:r>
    </w:p>
    <w:p w:rsidR="00F73C23" w:rsidRPr="00F73C23" w:rsidRDefault="00F73C23" w:rsidP="0057667E">
      <w:pPr>
        <w:spacing w:line="360" w:lineRule="auto"/>
        <w:ind w:left="720"/>
        <w:contextualSpacing/>
        <w:jc w:val="both"/>
        <w:rPr>
          <w:rFonts w:ascii="Times New Roman" w:hAnsi="Times New Roman" w:cs="Times New Roman"/>
          <w:sz w:val="16"/>
          <w:szCs w:val="16"/>
        </w:rPr>
      </w:pPr>
    </w:p>
    <w:p w:rsidR="00172C24" w:rsidRDefault="00172C24" w:rsidP="008C0993">
      <w:pPr>
        <w:pStyle w:val="ListParagraph"/>
        <w:numPr>
          <w:ilvl w:val="0"/>
          <w:numId w:val="6"/>
        </w:numPr>
        <w:spacing w:line="360" w:lineRule="auto"/>
        <w:jc w:val="both"/>
        <w:rPr>
          <w:rFonts w:ascii="Times New Roman" w:hAnsi="Times New Roman" w:cs="Times New Roman"/>
          <w:sz w:val="28"/>
          <w:szCs w:val="28"/>
        </w:rPr>
      </w:pPr>
      <w:r w:rsidRPr="008C0993">
        <w:rPr>
          <w:rFonts w:ascii="Times New Roman" w:hAnsi="Times New Roman" w:cs="Times New Roman"/>
          <w:sz w:val="28"/>
          <w:szCs w:val="28"/>
        </w:rPr>
        <w:t xml:space="preserve">That the deceased was a subject of a </w:t>
      </w:r>
      <w:r w:rsidR="00372048" w:rsidRPr="008C0993">
        <w:rPr>
          <w:rFonts w:ascii="Times New Roman" w:hAnsi="Times New Roman" w:cs="Times New Roman"/>
          <w:sz w:val="28"/>
          <w:szCs w:val="28"/>
        </w:rPr>
        <w:t>chief</w:t>
      </w:r>
      <w:r w:rsidR="00F73C23">
        <w:rPr>
          <w:rFonts w:ascii="Times New Roman" w:hAnsi="Times New Roman" w:cs="Times New Roman"/>
          <w:sz w:val="28"/>
          <w:szCs w:val="28"/>
        </w:rPr>
        <w:t>.</w:t>
      </w:r>
    </w:p>
    <w:p w:rsidR="00F73C23" w:rsidRPr="00372048" w:rsidRDefault="00F73C23" w:rsidP="00F73C23">
      <w:pPr>
        <w:pStyle w:val="ListParagraph"/>
        <w:spacing w:line="360" w:lineRule="auto"/>
        <w:ind w:left="1080"/>
        <w:jc w:val="both"/>
        <w:rPr>
          <w:rFonts w:ascii="Times New Roman" w:hAnsi="Times New Roman" w:cs="Times New Roman"/>
          <w:sz w:val="16"/>
          <w:szCs w:val="16"/>
        </w:rPr>
      </w:pPr>
    </w:p>
    <w:p w:rsidR="00172C24" w:rsidRDefault="00172C24" w:rsidP="008C0993">
      <w:pPr>
        <w:pStyle w:val="ListParagraph"/>
        <w:numPr>
          <w:ilvl w:val="0"/>
          <w:numId w:val="6"/>
        </w:numPr>
        <w:spacing w:line="360" w:lineRule="auto"/>
        <w:jc w:val="both"/>
        <w:rPr>
          <w:rFonts w:ascii="Times New Roman" w:hAnsi="Times New Roman" w:cs="Times New Roman"/>
          <w:sz w:val="28"/>
          <w:szCs w:val="28"/>
        </w:rPr>
      </w:pPr>
      <w:r w:rsidRPr="008C0993">
        <w:rPr>
          <w:rFonts w:ascii="Times New Roman" w:hAnsi="Times New Roman" w:cs="Times New Roman"/>
          <w:sz w:val="28"/>
          <w:szCs w:val="28"/>
        </w:rPr>
        <w:t>That only one of her children had gone to University.</w:t>
      </w:r>
    </w:p>
    <w:p w:rsidR="00F73C23" w:rsidRPr="00F73C23" w:rsidRDefault="00F73C23" w:rsidP="00F73C23">
      <w:pPr>
        <w:pStyle w:val="ListParagraph"/>
        <w:spacing w:line="360" w:lineRule="auto"/>
        <w:ind w:left="1080"/>
        <w:jc w:val="both"/>
        <w:rPr>
          <w:rFonts w:ascii="Times New Roman" w:hAnsi="Times New Roman" w:cs="Times New Roman"/>
          <w:sz w:val="16"/>
          <w:szCs w:val="16"/>
        </w:rPr>
      </w:pPr>
    </w:p>
    <w:p w:rsidR="00F73C23" w:rsidRPr="00F73C23" w:rsidRDefault="00172C24" w:rsidP="00F73C23">
      <w:pPr>
        <w:pStyle w:val="ListParagraph"/>
        <w:numPr>
          <w:ilvl w:val="0"/>
          <w:numId w:val="6"/>
        </w:numPr>
        <w:spacing w:line="360" w:lineRule="auto"/>
        <w:jc w:val="both"/>
        <w:rPr>
          <w:rFonts w:ascii="Times New Roman" w:hAnsi="Times New Roman" w:cs="Times New Roman"/>
          <w:sz w:val="28"/>
          <w:szCs w:val="28"/>
        </w:rPr>
      </w:pPr>
      <w:r w:rsidRPr="008C0993">
        <w:rPr>
          <w:rFonts w:ascii="Times New Roman" w:hAnsi="Times New Roman" w:cs="Times New Roman"/>
          <w:sz w:val="28"/>
          <w:szCs w:val="28"/>
        </w:rPr>
        <w:t>That she earned her living by brewing Sesotho beer.</w:t>
      </w:r>
    </w:p>
    <w:p w:rsidR="00F73C23" w:rsidRPr="00F73C23" w:rsidRDefault="00F73C23" w:rsidP="00F73C23">
      <w:pPr>
        <w:pStyle w:val="ListParagraph"/>
        <w:spacing w:line="360" w:lineRule="auto"/>
        <w:ind w:left="1080"/>
        <w:jc w:val="both"/>
        <w:rPr>
          <w:rFonts w:ascii="Times New Roman" w:hAnsi="Times New Roman" w:cs="Times New Roman"/>
          <w:sz w:val="16"/>
          <w:szCs w:val="16"/>
        </w:rPr>
      </w:pPr>
    </w:p>
    <w:p w:rsidR="00F73C23" w:rsidRPr="00F73C23" w:rsidRDefault="00172C24" w:rsidP="00F73C23">
      <w:pPr>
        <w:pStyle w:val="ListParagraph"/>
        <w:numPr>
          <w:ilvl w:val="0"/>
          <w:numId w:val="6"/>
        </w:numPr>
        <w:spacing w:line="360" w:lineRule="auto"/>
        <w:jc w:val="both"/>
        <w:rPr>
          <w:rFonts w:ascii="Times New Roman" w:hAnsi="Times New Roman" w:cs="Times New Roman"/>
          <w:sz w:val="28"/>
          <w:szCs w:val="28"/>
        </w:rPr>
      </w:pPr>
      <w:r w:rsidRPr="008C0993">
        <w:rPr>
          <w:rFonts w:ascii="Times New Roman" w:hAnsi="Times New Roman" w:cs="Times New Roman"/>
          <w:sz w:val="28"/>
          <w:szCs w:val="28"/>
        </w:rPr>
        <w:lastRenderedPageBreak/>
        <w:t>That she wore traditional clothes.</w:t>
      </w:r>
    </w:p>
    <w:p w:rsidR="00F73C23" w:rsidRPr="00F73C23" w:rsidRDefault="00F73C23" w:rsidP="00F73C23">
      <w:pPr>
        <w:pStyle w:val="ListParagraph"/>
        <w:spacing w:line="360" w:lineRule="auto"/>
        <w:ind w:left="1080"/>
        <w:jc w:val="both"/>
        <w:rPr>
          <w:rFonts w:ascii="Times New Roman" w:hAnsi="Times New Roman" w:cs="Times New Roman"/>
          <w:sz w:val="16"/>
          <w:szCs w:val="16"/>
        </w:rPr>
      </w:pPr>
    </w:p>
    <w:p w:rsidR="006E62C3" w:rsidRDefault="004C346A" w:rsidP="00FD15AA">
      <w:pPr>
        <w:pStyle w:val="ListParagraph"/>
        <w:numPr>
          <w:ilvl w:val="0"/>
          <w:numId w:val="6"/>
        </w:numPr>
        <w:spacing w:line="360" w:lineRule="auto"/>
        <w:jc w:val="both"/>
        <w:rPr>
          <w:rFonts w:ascii="Times New Roman" w:hAnsi="Times New Roman" w:cs="Times New Roman"/>
          <w:sz w:val="28"/>
          <w:szCs w:val="28"/>
        </w:rPr>
      </w:pPr>
      <w:r w:rsidRPr="008C0993">
        <w:rPr>
          <w:rFonts w:ascii="Times New Roman" w:hAnsi="Times New Roman" w:cs="Times New Roman"/>
          <w:sz w:val="28"/>
          <w:szCs w:val="28"/>
        </w:rPr>
        <w:t>That she believed in spirits (</w:t>
      </w:r>
      <w:proofErr w:type="spellStart"/>
      <w:r w:rsidRPr="008C0993">
        <w:rPr>
          <w:rFonts w:ascii="Times New Roman" w:hAnsi="Times New Roman" w:cs="Times New Roman"/>
          <w:sz w:val="28"/>
          <w:szCs w:val="28"/>
        </w:rPr>
        <w:t>balimo</w:t>
      </w:r>
      <w:proofErr w:type="spellEnd"/>
      <w:r w:rsidR="00172C24" w:rsidRPr="008C0993">
        <w:rPr>
          <w:rFonts w:ascii="Times New Roman" w:hAnsi="Times New Roman" w:cs="Times New Roman"/>
          <w:sz w:val="28"/>
          <w:szCs w:val="28"/>
        </w:rPr>
        <w:t>), she also threw feasts to honour the ancestors.</w:t>
      </w:r>
    </w:p>
    <w:p w:rsidR="00FD15AA" w:rsidRPr="00FD15AA" w:rsidRDefault="00FD15AA" w:rsidP="00FD15AA">
      <w:pPr>
        <w:pStyle w:val="ListParagraph"/>
        <w:spacing w:line="360" w:lineRule="auto"/>
        <w:ind w:left="1080"/>
        <w:jc w:val="both"/>
        <w:rPr>
          <w:rFonts w:ascii="Times New Roman" w:hAnsi="Times New Roman" w:cs="Times New Roman"/>
          <w:sz w:val="28"/>
          <w:szCs w:val="28"/>
        </w:rPr>
      </w:pPr>
    </w:p>
    <w:p w:rsidR="00450821" w:rsidRDefault="00450821" w:rsidP="008C0993">
      <w:pPr>
        <w:spacing w:line="360" w:lineRule="auto"/>
        <w:contextualSpacing/>
        <w:jc w:val="both"/>
        <w:rPr>
          <w:rFonts w:ascii="Times New Roman" w:hAnsi="Times New Roman" w:cs="Times New Roman"/>
          <w:sz w:val="28"/>
          <w:szCs w:val="28"/>
        </w:rPr>
      </w:pPr>
      <w:r w:rsidRPr="008C0993">
        <w:rPr>
          <w:rFonts w:ascii="Times New Roman" w:hAnsi="Times New Roman" w:cs="Times New Roman"/>
          <w:sz w:val="28"/>
          <w:szCs w:val="28"/>
        </w:rPr>
        <w:t>[3</w:t>
      </w:r>
      <w:r w:rsidR="00D47B89">
        <w:rPr>
          <w:rFonts w:ascii="Times New Roman" w:hAnsi="Times New Roman" w:cs="Times New Roman"/>
          <w:sz w:val="28"/>
          <w:szCs w:val="28"/>
        </w:rPr>
        <w:t>1</w:t>
      </w:r>
      <w:r w:rsidRPr="008C0993">
        <w:rPr>
          <w:rFonts w:ascii="Times New Roman" w:hAnsi="Times New Roman" w:cs="Times New Roman"/>
          <w:sz w:val="28"/>
          <w:szCs w:val="28"/>
        </w:rPr>
        <w:t>] In th</w:t>
      </w:r>
      <w:r w:rsidR="00F21BF0" w:rsidRPr="008C0993">
        <w:rPr>
          <w:rFonts w:ascii="Times New Roman" w:hAnsi="Times New Roman" w:cs="Times New Roman"/>
          <w:sz w:val="28"/>
          <w:szCs w:val="28"/>
        </w:rPr>
        <w:t xml:space="preserve">e case of </w:t>
      </w:r>
      <w:proofErr w:type="spellStart"/>
      <w:r w:rsidR="00F21BF0" w:rsidRPr="006E62C3">
        <w:rPr>
          <w:rFonts w:ascii="Times New Roman" w:hAnsi="Times New Roman" w:cs="Times New Roman"/>
          <w:b/>
          <w:bCs/>
          <w:i/>
          <w:iCs/>
          <w:sz w:val="28"/>
          <w:szCs w:val="28"/>
        </w:rPr>
        <w:t>Mokorosi</w:t>
      </w:r>
      <w:proofErr w:type="spellEnd"/>
      <w:r w:rsidR="00F21BF0" w:rsidRPr="006E62C3">
        <w:rPr>
          <w:rFonts w:ascii="Times New Roman" w:hAnsi="Times New Roman" w:cs="Times New Roman"/>
          <w:b/>
          <w:bCs/>
          <w:i/>
          <w:iCs/>
          <w:sz w:val="28"/>
          <w:szCs w:val="28"/>
        </w:rPr>
        <w:t xml:space="preserve"> v </w:t>
      </w:r>
      <w:proofErr w:type="spellStart"/>
      <w:r w:rsidR="00F21BF0" w:rsidRPr="006E62C3">
        <w:rPr>
          <w:rFonts w:ascii="Times New Roman" w:hAnsi="Times New Roman" w:cs="Times New Roman"/>
          <w:b/>
          <w:bCs/>
          <w:i/>
          <w:iCs/>
          <w:sz w:val="28"/>
          <w:szCs w:val="28"/>
        </w:rPr>
        <w:t>Mokorosi</w:t>
      </w:r>
      <w:proofErr w:type="spellEnd"/>
      <w:r w:rsidR="00F21BF0" w:rsidRPr="008C0993">
        <w:rPr>
          <w:rFonts w:ascii="Times New Roman" w:hAnsi="Times New Roman" w:cs="Times New Roman"/>
          <w:sz w:val="28"/>
          <w:szCs w:val="28"/>
        </w:rPr>
        <w:t xml:space="preserve"> (</w:t>
      </w:r>
      <w:r w:rsidR="00F21BF0" w:rsidRPr="006E62C3">
        <w:rPr>
          <w:rFonts w:ascii="Times New Roman" w:hAnsi="Times New Roman" w:cs="Times New Roman"/>
          <w:i/>
          <w:iCs/>
          <w:sz w:val="28"/>
          <w:szCs w:val="28"/>
        </w:rPr>
        <w:t>supra</w:t>
      </w:r>
      <w:r w:rsidRPr="008C0993">
        <w:rPr>
          <w:rFonts w:ascii="Times New Roman" w:hAnsi="Times New Roman" w:cs="Times New Roman"/>
          <w:sz w:val="28"/>
          <w:szCs w:val="28"/>
        </w:rPr>
        <w:t xml:space="preserve">) the court </w:t>
      </w:r>
      <w:proofErr w:type="gramStart"/>
      <w:r w:rsidRPr="008C0993">
        <w:rPr>
          <w:rFonts w:ascii="Times New Roman" w:hAnsi="Times New Roman" w:cs="Times New Roman"/>
          <w:sz w:val="28"/>
          <w:szCs w:val="28"/>
        </w:rPr>
        <w:t>took into account</w:t>
      </w:r>
      <w:proofErr w:type="gramEnd"/>
      <w:r w:rsidRPr="008C0993">
        <w:rPr>
          <w:rFonts w:ascii="Times New Roman" w:hAnsi="Times New Roman" w:cs="Times New Roman"/>
          <w:sz w:val="28"/>
          <w:szCs w:val="28"/>
        </w:rPr>
        <w:t xml:space="preserve"> the following factors as to the personal mode of life of the deceased;</w:t>
      </w:r>
    </w:p>
    <w:p w:rsidR="006E62C3" w:rsidRPr="002F784E" w:rsidRDefault="006E62C3" w:rsidP="008C0993">
      <w:pPr>
        <w:spacing w:line="360" w:lineRule="auto"/>
        <w:contextualSpacing/>
        <w:jc w:val="both"/>
        <w:rPr>
          <w:rFonts w:ascii="Times New Roman" w:hAnsi="Times New Roman" w:cs="Times New Roman"/>
          <w:sz w:val="16"/>
          <w:szCs w:val="16"/>
        </w:rPr>
      </w:pPr>
    </w:p>
    <w:p w:rsidR="00450821" w:rsidRDefault="00450821" w:rsidP="00FA167B">
      <w:pPr>
        <w:pStyle w:val="ListParagraph"/>
        <w:numPr>
          <w:ilvl w:val="0"/>
          <w:numId w:val="10"/>
        </w:numPr>
        <w:spacing w:line="360" w:lineRule="auto"/>
        <w:jc w:val="both"/>
        <w:rPr>
          <w:rFonts w:ascii="Times New Roman" w:hAnsi="Times New Roman" w:cs="Times New Roman"/>
          <w:sz w:val="28"/>
          <w:szCs w:val="28"/>
        </w:rPr>
      </w:pPr>
      <w:r w:rsidRPr="00FA167B">
        <w:rPr>
          <w:rFonts w:ascii="Times New Roman" w:hAnsi="Times New Roman" w:cs="Times New Roman"/>
          <w:sz w:val="28"/>
          <w:szCs w:val="28"/>
        </w:rPr>
        <w:t>he wore European clothes</w:t>
      </w:r>
    </w:p>
    <w:p w:rsidR="00FA167B" w:rsidRPr="00FA167B" w:rsidRDefault="00FA167B" w:rsidP="00FA167B">
      <w:pPr>
        <w:pStyle w:val="ListParagraph"/>
        <w:spacing w:line="360" w:lineRule="auto"/>
        <w:jc w:val="both"/>
        <w:rPr>
          <w:rFonts w:ascii="Times New Roman" w:hAnsi="Times New Roman" w:cs="Times New Roman"/>
          <w:sz w:val="16"/>
          <w:szCs w:val="16"/>
        </w:rPr>
      </w:pPr>
    </w:p>
    <w:p w:rsidR="00FA167B" w:rsidRPr="00FA167B" w:rsidRDefault="00450821" w:rsidP="00FA167B">
      <w:pPr>
        <w:pStyle w:val="ListParagraph"/>
        <w:numPr>
          <w:ilvl w:val="0"/>
          <w:numId w:val="10"/>
        </w:numPr>
        <w:spacing w:line="360" w:lineRule="auto"/>
        <w:jc w:val="both"/>
        <w:rPr>
          <w:rFonts w:ascii="Times New Roman" w:hAnsi="Times New Roman" w:cs="Times New Roman"/>
          <w:sz w:val="28"/>
          <w:szCs w:val="28"/>
        </w:rPr>
      </w:pPr>
      <w:r w:rsidRPr="00FA167B">
        <w:rPr>
          <w:rFonts w:ascii="Times New Roman" w:hAnsi="Times New Roman" w:cs="Times New Roman"/>
          <w:sz w:val="28"/>
          <w:szCs w:val="28"/>
        </w:rPr>
        <w:t xml:space="preserve">ate and slept and lived with his family in the </w:t>
      </w:r>
      <w:r w:rsidR="00F21BF0" w:rsidRPr="00FA167B">
        <w:rPr>
          <w:rFonts w:ascii="Times New Roman" w:hAnsi="Times New Roman" w:cs="Times New Roman"/>
          <w:sz w:val="28"/>
          <w:szCs w:val="28"/>
        </w:rPr>
        <w:t>European</w:t>
      </w:r>
      <w:r w:rsidRPr="00FA167B">
        <w:rPr>
          <w:rFonts w:ascii="Times New Roman" w:hAnsi="Times New Roman" w:cs="Times New Roman"/>
          <w:sz w:val="28"/>
          <w:szCs w:val="28"/>
        </w:rPr>
        <w:t xml:space="preserve"> way</w:t>
      </w:r>
    </w:p>
    <w:p w:rsidR="00FA167B" w:rsidRPr="00FA167B" w:rsidRDefault="00FA167B" w:rsidP="00FA167B">
      <w:pPr>
        <w:pStyle w:val="ListParagraph"/>
        <w:spacing w:line="360" w:lineRule="auto"/>
        <w:jc w:val="both"/>
        <w:rPr>
          <w:rFonts w:ascii="Times New Roman" w:hAnsi="Times New Roman" w:cs="Times New Roman"/>
          <w:sz w:val="16"/>
          <w:szCs w:val="16"/>
        </w:rPr>
      </w:pPr>
    </w:p>
    <w:p w:rsidR="00FA167B" w:rsidRPr="00FA167B" w:rsidRDefault="00450821" w:rsidP="00FA167B">
      <w:pPr>
        <w:pStyle w:val="ListParagraph"/>
        <w:numPr>
          <w:ilvl w:val="0"/>
          <w:numId w:val="10"/>
        </w:numPr>
        <w:spacing w:line="360" w:lineRule="auto"/>
        <w:jc w:val="both"/>
        <w:rPr>
          <w:rFonts w:ascii="Times New Roman" w:hAnsi="Times New Roman" w:cs="Times New Roman"/>
          <w:sz w:val="28"/>
          <w:szCs w:val="28"/>
        </w:rPr>
      </w:pPr>
      <w:r w:rsidRPr="00FA167B">
        <w:rPr>
          <w:rFonts w:ascii="Times New Roman" w:hAnsi="Times New Roman" w:cs="Times New Roman"/>
          <w:sz w:val="28"/>
          <w:szCs w:val="28"/>
        </w:rPr>
        <w:t>he belonged to the Protestant Church</w:t>
      </w:r>
    </w:p>
    <w:p w:rsidR="00FA167B" w:rsidRPr="00FA167B" w:rsidRDefault="00FA167B" w:rsidP="00FA167B">
      <w:pPr>
        <w:pStyle w:val="ListParagraph"/>
        <w:spacing w:line="360" w:lineRule="auto"/>
        <w:jc w:val="both"/>
        <w:rPr>
          <w:rFonts w:ascii="Times New Roman" w:hAnsi="Times New Roman" w:cs="Times New Roman"/>
          <w:sz w:val="16"/>
          <w:szCs w:val="16"/>
        </w:rPr>
      </w:pPr>
    </w:p>
    <w:p w:rsidR="00FA167B" w:rsidRPr="00FA167B" w:rsidRDefault="00450821" w:rsidP="00FA167B">
      <w:pPr>
        <w:pStyle w:val="ListParagraph"/>
        <w:numPr>
          <w:ilvl w:val="0"/>
          <w:numId w:val="10"/>
        </w:numPr>
        <w:spacing w:line="360" w:lineRule="auto"/>
        <w:jc w:val="both"/>
        <w:rPr>
          <w:rFonts w:ascii="Times New Roman" w:hAnsi="Times New Roman" w:cs="Times New Roman"/>
          <w:sz w:val="28"/>
          <w:szCs w:val="28"/>
        </w:rPr>
      </w:pPr>
      <w:r w:rsidRPr="00FA167B">
        <w:rPr>
          <w:rFonts w:ascii="Times New Roman" w:hAnsi="Times New Roman" w:cs="Times New Roman"/>
          <w:sz w:val="28"/>
          <w:szCs w:val="28"/>
        </w:rPr>
        <w:t xml:space="preserve">none of his </w:t>
      </w:r>
      <w:r w:rsidR="00F21BF0" w:rsidRPr="00FA167B">
        <w:rPr>
          <w:rFonts w:ascii="Times New Roman" w:hAnsi="Times New Roman" w:cs="Times New Roman"/>
          <w:sz w:val="28"/>
          <w:szCs w:val="28"/>
        </w:rPr>
        <w:t>children had been circumcised (</w:t>
      </w:r>
      <w:r w:rsidRPr="00FA167B">
        <w:rPr>
          <w:rFonts w:ascii="Times New Roman" w:hAnsi="Times New Roman" w:cs="Times New Roman"/>
          <w:sz w:val="28"/>
          <w:szCs w:val="28"/>
        </w:rPr>
        <w:t xml:space="preserve">if boys) or </w:t>
      </w:r>
      <w:r w:rsidR="00F21BF0" w:rsidRPr="00FA167B">
        <w:rPr>
          <w:rFonts w:ascii="Times New Roman" w:hAnsi="Times New Roman" w:cs="Times New Roman"/>
          <w:sz w:val="28"/>
          <w:szCs w:val="28"/>
        </w:rPr>
        <w:t>put through initiation school (</w:t>
      </w:r>
      <w:r w:rsidRPr="00FA167B">
        <w:rPr>
          <w:rFonts w:ascii="Times New Roman" w:hAnsi="Times New Roman" w:cs="Times New Roman"/>
          <w:sz w:val="28"/>
          <w:szCs w:val="28"/>
        </w:rPr>
        <w:t xml:space="preserve">if girls) </w:t>
      </w:r>
    </w:p>
    <w:p w:rsidR="00450821" w:rsidRDefault="00450821" w:rsidP="00FA167B">
      <w:pPr>
        <w:pStyle w:val="ListParagraph"/>
        <w:numPr>
          <w:ilvl w:val="0"/>
          <w:numId w:val="11"/>
        </w:numPr>
        <w:spacing w:line="360" w:lineRule="auto"/>
        <w:jc w:val="both"/>
        <w:rPr>
          <w:rFonts w:ascii="Times New Roman" w:hAnsi="Times New Roman" w:cs="Times New Roman"/>
          <w:sz w:val="28"/>
          <w:szCs w:val="28"/>
        </w:rPr>
      </w:pPr>
      <w:r w:rsidRPr="00FA167B">
        <w:rPr>
          <w:rFonts w:ascii="Times New Roman" w:hAnsi="Times New Roman" w:cs="Times New Roman"/>
          <w:sz w:val="28"/>
          <w:szCs w:val="28"/>
        </w:rPr>
        <w:t xml:space="preserve">all his children who had been married had been married by Christian rites, and neither in the case of his own marriage nor of those of any of his children had </w:t>
      </w:r>
      <w:proofErr w:type="spellStart"/>
      <w:r w:rsidRPr="00FA167B">
        <w:rPr>
          <w:rFonts w:ascii="Times New Roman" w:hAnsi="Times New Roman" w:cs="Times New Roman"/>
          <w:sz w:val="28"/>
          <w:szCs w:val="28"/>
        </w:rPr>
        <w:t>Bohali</w:t>
      </w:r>
      <w:proofErr w:type="spellEnd"/>
      <w:r w:rsidRPr="00FA167B">
        <w:rPr>
          <w:rFonts w:ascii="Times New Roman" w:hAnsi="Times New Roman" w:cs="Times New Roman"/>
          <w:sz w:val="28"/>
          <w:szCs w:val="28"/>
        </w:rPr>
        <w:t xml:space="preserve"> been paid.</w:t>
      </w:r>
    </w:p>
    <w:p w:rsidR="00FA167B" w:rsidRPr="00FA167B" w:rsidRDefault="00FA167B" w:rsidP="00FA167B">
      <w:pPr>
        <w:pStyle w:val="ListParagraph"/>
        <w:spacing w:line="360" w:lineRule="auto"/>
        <w:jc w:val="both"/>
        <w:rPr>
          <w:rFonts w:ascii="Times New Roman" w:hAnsi="Times New Roman" w:cs="Times New Roman"/>
          <w:sz w:val="16"/>
          <w:szCs w:val="16"/>
        </w:rPr>
      </w:pPr>
    </w:p>
    <w:p w:rsidR="00450821" w:rsidRPr="00FA167B" w:rsidRDefault="00450821" w:rsidP="00FA167B">
      <w:pPr>
        <w:pStyle w:val="ListParagraph"/>
        <w:numPr>
          <w:ilvl w:val="0"/>
          <w:numId w:val="11"/>
        </w:numPr>
        <w:spacing w:line="360" w:lineRule="auto"/>
        <w:jc w:val="both"/>
        <w:rPr>
          <w:rFonts w:ascii="Times New Roman" w:hAnsi="Times New Roman" w:cs="Times New Roman"/>
          <w:sz w:val="28"/>
          <w:szCs w:val="28"/>
        </w:rPr>
      </w:pPr>
      <w:r w:rsidRPr="00FA167B">
        <w:rPr>
          <w:rFonts w:ascii="Times New Roman" w:hAnsi="Times New Roman" w:cs="Times New Roman"/>
          <w:sz w:val="28"/>
          <w:szCs w:val="28"/>
        </w:rPr>
        <w:t>in the Reserve the deceased had first worked in a shop, and thereafter had carried on his own business, which were a butchery, a café, and transport business, for which he owned a motor truck.</w:t>
      </w:r>
    </w:p>
    <w:p w:rsidR="006E62C3" w:rsidRPr="008C0993" w:rsidRDefault="006E62C3" w:rsidP="006E62C3">
      <w:pPr>
        <w:spacing w:line="360" w:lineRule="auto"/>
        <w:ind w:left="900" w:hanging="180"/>
        <w:contextualSpacing/>
        <w:jc w:val="both"/>
        <w:rPr>
          <w:rFonts w:ascii="Times New Roman" w:hAnsi="Times New Roman" w:cs="Times New Roman"/>
          <w:sz w:val="28"/>
          <w:szCs w:val="28"/>
        </w:rPr>
      </w:pPr>
    </w:p>
    <w:p w:rsidR="004F4C1A" w:rsidRDefault="004F4C1A" w:rsidP="008C0993">
      <w:pPr>
        <w:spacing w:line="360" w:lineRule="auto"/>
        <w:contextualSpacing/>
        <w:jc w:val="both"/>
        <w:rPr>
          <w:rFonts w:ascii="Times New Roman" w:hAnsi="Times New Roman" w:cs="Times New Roman"/>
          <w:sz w:val="28"/>
          <w:szCs w:val="28"/>
        </w:rPr>
      </w:pPr>
      <w:r w:rsidRPr="008C0993">
        <w:rPr>
          <w:rFonts w:ascii="Times New Roman" w:hAnsi="Times New Roman" w:cs="Times New Roman"/>
          <w:sz w:val="28"/>
          <w:szCs w:val="28"/>
        </w:rPr>
        <w:t>[3</w:t>
      </w:r>
      <w:r w:rsidR="00D47B89">
        <w:rPr>
          <w:rFonts w:ascii="Times New Roman" w:hAnsi="Times New Roman" w:cs="Times New Roman"/>
          <w:sz w:val="28"/>
          <w:szCs w:val="28"/>
        </w:rPr>
        <w:t>2</w:t>
      </w:r>
      <w:r w:rsidRPr="008C0993">
        <w:rPr>
          <w:rFonts w:ascii="Times New Roman" w:hAnsi="Times New Roman" w:cs="Times New Roman"/>
          <w:sz w:val="28"/>
          <w:szCs w:val="28"/>
        </w:rPr>
        <w:t xml:space="preserve">] This brings me to the </w:t>
      </w:r>
      <w:r w:rsidR="00190B43" w:rsidRPr="008C0993">
        <w:rPr>
          <w:rFonts w:ascii="Times New Roman" w:hAnsi="Times New Roman" w:cs="Times New Roman"/>
          <w:sz w:val="28"/>
          <w:szCs w:val="28"/>
        </w:rPr>
        <w:t>question whether the deceased (</w:t>
      </w:r>
      <w:proofErr w:type="spellStart"/>
      <w:r w:rsidRPr="008C0993">
        <w:rPr>
          <w:rFonts w:ascii="Times New Roman" w:hAnsi="Times New Roman" w:cs="Times New Roman"/>
          <w:sz w:val="28"/>
          <w:szCs w:val="28"/>
        </w:rPr>
        <w:t>Metsing</w:t>
      </w:r>
      <w:proofErr w:type="spellEnd"/>
      <w:r w:rsidRPr="008C0993">
        <w:rPr>
          <w:rFonts w:ascii="Times New Roman" w:hAnsi="Times New Roman" w:cs="Times New Roman"/>
          <w:sz w:val="28"/>
          <w:szCs w:val="28"/>
        </w:rPr>
        <w:t xml:space="preserve"> </w:t>
      </w:r>
      <w:proofErr w:type="spellStart"/>
      <w:r w:rsidRPr="008C0993">
        <w:rPr>
          <w:rFonts w:ascii="Times New Roman" w:hAnsi="Times New Roman" w:cs="Times New Roman"/>
          <w:sz w:val="28"/>
          <w:szCs w:val="28"/>
        </w:rPr>
        <w:t>Lekhanya</w:t>
      </w:r>
      <w:proofErr w:type="spellEnd"/>
      <w:r w:rsidRPr="008C0993">
        <w:rPr>
          <w:rFonts w:ascii="Times New Roman" w:hAnsi="Times New Roman" w:cs="Times New Roman"/>
          <w:sz w:val="28"/>
          <w:szCs w:val="28"/>
        </w:rPr>
        <w:t xml:space="preserve"> and Sophie </w:t>
      </w:r>
      <w:proofErr w:type="spellStart"/>
      <w:r w:rsidRPr="008C0993">
        <w:rPr>
          <w:rFonts w:ascii="Times New Roman" w:hAnsi="Times New Roman" w:cs="Times New Roman"/>
          <w:sz w:val="28"/>
          <w:szCs w:val="28"/>
        </w:rPr>
        <w:t>Lekhanya</w:t>
      </w:r>
      <w:proofErr w:type="spellEnd"/>
      <w:r w:rsidRPr="008C0993">
        <w:rPr>
          <w:rFonts w:ascii="Times New Roman" w:hAnsi="Times New Roman" w:cs="Times New Roman"/>
          <w:sz w:val="28"/>
          <w:szCs w:val="28"/>
        </w:rPr>
        <w:t>) in the present case, had abandoned customary mode of life and adopted a European mode of life. The applicable principles for consideration in determining this question, a</w:t>
      </w:r>
      <w:r w:rsidR="00787909" w:rsidRPr="008C0993">
        <w:rPr>
          <w:rFonts w:ascii="Times New Roman" w:hAnsi="Times New Roman" w:cs="Times New Roman"/>
          <w:sz w:val="28"/>
          <w:szCs w:val="28"/>
        </w:rPr>
        <w:t>re well articulated in the authorities</w:t>
      </w:r>
      <w:r w:rsidRPr="008C0993">
        <w:rPr>
          <w:rFonts w:ascii="Times New Roman" w:hAnsi="Times New Roman" w:cs="Times New Roman"/>
          <w:sz w:val="28"/>
          <w:szCs w:val="28"/>
        </w:rPr>
        <w:t xml:space="preserve"> referred to above.</w:t>
      </w:r>
    </w:p>
    <w:p w:rsidR="00036037" w:rsidRDefault="00036037" w:rsidP="008C0993">
      <w:pPr>
        <w:spacing w:line="360" w:lineRule="auto"/>
        <w:contextualSpacing/>
        <w:jc w:val="both"/>
        <w:rPr>
          <w:rFonts w:ascii="Times New Roman" w:hAnsi="Times New Roman" w:cs="Times New Roman"/>
          <w:sz w:val="28"/>
          <w:szCs w:val="28"/>
        </w:rPr>
      </w:pPr>
    </w:p>
    <w:p w:rsidR="004966FD" w:rsidRPr="008C0993" w:rsidRDefault="004966FD" w:rsidP="008C0993">
      <w:pPr>
        <w:spacing w:line="360" w:lineRule="auto"/>
        <w:contextualSpacing/>
        <w:jc w:val="both"/>
        <w:rPr>
          <w:rFonts w:ascii="Times New Roman" w:hAnsi="Times New Roman" w:cs="Times New Roman"/>
          <w:sz w:val="28"/>
          <w:szCs w:val="28"/>
        </w:rPr>
      </w:pPr>
    </w:p>
    <w:p w:rsidR="007B29B1" w:rsidRPr="007B29B1" w:rsidRDefault="007B29B1" w:rsidP="008C0993">
      <w:pPr>
        <w:spacing w:line="360" w:lineRule="auto"/>
        <w:contextualSpacing/>
        <w:jc w:val="both"/>
        <w:rPr>
          <w:rFonts w:ascii="Times New Roman" w:hAnsi="Times New Roman" w:cs="Times New Roman"/>
          <w:b/>
          <w:bCs/>
          <w:sz w:val="28"/>
          <w:szCs w:val="28"/>
        </w:rPr>
      </w:pPr>
      <w:r w:rsidRPr="007B29B1">
        <w:rPr>
          <w:rFonts w:ascii="Times New Roman" w:hAnsi="Times New Roman" w:cs="Times New Roman"/>
          <w:b/>
          <w:bCs/>
          <w:sz w:val="28"/>
          <w:szCs w:val="28"/>
        </w:rPr>
        <w:lastRenderedPageBreak/>
        <w:t>Discussion</w:t>
      </w:r>
    </w:p>
    <w:p w:rsidR="00036037" w:rsidRDefault="004F4C1A" w:rsidP="008C0993">
      <w:pPr>
        <w:spacing w:line="360" w:lineRule="auto"/>
        <w:contextualSpacing/>
        <w:jc w:val="both"/>
        <w:rPr>
          <w:rFonts w:ascii="Times New Roman" w:hAnsi="Times New Roman" w:cs="Times New Roman"/>
          <w:sz w:val="28"/>
          <w:szCs w:val="28"/>
        </w:rPr>
      </w:pPr>
      <w:r w:rsidRPr="008C0993">
        <w:rPr>
          <w:rFonts w:ascii="Times New Roman" w:hAnsi="Times New Roman" w:cs="Times New Roman"/>
          <w:sz w:val="28"/>
          <w:szCs w:val="28"/>
        </w:rPr>
        <w:t>[3</w:t>
      </w:r>
      <w:r w:rsidR="00D47B89">
        <w:rPr>
          <w:rFonts w:ascii="Times New Roman" w:hAnsi="Times New Roman" w:cs="Times New Roman"/>
          <w:sz w:val="28"/>
          <w:szCs w:val="28"/>
        </w:rPr>
        <w:t>3</w:t>
      </w:r>
      <w:r w:rsidRPr="008C0993">
        <w:rPr>
          <w:rFonts w:ascii="Times New Roman" w:hAnsi="Times New Roman" w:cs="Times New Roman"/>
          <w:sz w:val="28"/>
          <w:szCs w:val="28"/>
        </w:rPr>
        <w:t xml:space="preserve">] From the evidence led and the pleadings, the court has </w:t>
      </w:r>
      <w:r w:rsidR="00FE6C67" w:rsidRPr="008C0993">
        <w:rPr>
          <w:rFonts w:ascii="Times New Roman" w:hAnsi="Times New Roman" w:cs="Times New Roman"/>
          <w:sz w:val="28"/>
          <w:szCs w:val="28"/>
        </w:rPr>
        <w:t>established that the deceased</w:t>
      </w:r>
      <w:r w:rsidR="00DD72BF" w:rsidRPr="008C0993">
        <w:rPr>
          <w:rFonts w:ascii="Times New Roman" w:hAnsi="Times New Roman" w:cs="Times New Roman"/>
          <w:sz w:val="28"/>
          <w:szCs w:val="28"/>
        </w:rPr>
        <w:t xml:space="preserve">- </w:t>
      </w:r>
      <w:proofErr w:type="spellStart"/>
      <w:r w:rsidR="00DD72BF" w:rsidRPr="008C0993">
        <w:rPr>
          <w:rFonts w:ascii="Times New Roman" w:hAnsi="Times New Roman" w:cs="Times New Roman"/>
          <w:sz w:val="28"/>
          <w:szCs w:val="28"/>
        </w:rPr>
        <w:t>Metsing</w:t>
      </w:r>
      <w:proofErr w:type="spellEnd"/>
      <w:r w:rsidR="00DD72BF" w:rsidRPr="008C0993">
        <w:rPr>
          <w:rFonts w:ascii="Times New Roman" w:hAnsi="Times New Roman" w:cs="Times New Roman"/>
          <w:sz w:val="28"/>
          <w:szCs w:val="28"/>
        </w:rPr>
        <w:t xml:space="preserve"> </w:t>
      </w:r>
      <w:proofErr w:type="spellStart"/>
      <w:r w:rsidR="00DD72BF" w:rsidRPr="008C0993">
        <w:rPr>
          <w:rFonts w:ascii="Times New Roman" w:hAnsi="Times New Roman" w:cs="Times New Roman"/>
          <w:sz w:val="28"/>
          <w:szCs w:val="28"/>
        </w:rPr>
        <w:t>Lekhanya</w:t>
      </w:r>
      <w:proofErr w:type="spellEnd"/>
      <w:r w:rsidR="00DD72BF" w:rsidRPr="008C0993">
        <w:rPr>
          <w:rFonts w:ascii="Times New Roman" w:hAnsi="Times New Roman" w:cs="Times New Roman"/>
          <w:sz w:val="28"/>
          <w:szCs w:val="28"/>
        </w:rPr>
        <w:t xml:space="preserve"> was born at </w:t>
      </w:r>
      <w:proofErr w:type="spellStart"/>
      <w:r w:rsidR="00DD72BF" w:rsidRPr="008C0993">
        <w:rPr>
          <w:rFonts w:ascii="Times New Roman" w:hAnsi="Times New Roman" w:cs="Times New Roman"/>
          <w:sz w:val="28"/>
          <w:szCs w:val="28"/>
        </w:rPr>
        <w:t>Sehong-hong</w:t>
      </w:r>
      <w:proofErr w:type="spellEnd"/>
      <w:r w:rsidR="00DD72BF" w:rsidRPr="008C0993">
        <w:rPr>
          <w:rFonts w:ascii="Times New Roman" w:hAnsi="Times New Roman" w:cs="Times New Roman"/>
          <w:sz w:val="28"/>
          <w:szCs w:val="28"/>
        </w:rPr>
        <w:t xml:space="preserve"> in the </w:t>
      </w:r>
      <w:proofErr w:type="spellStart"/>
      <w:r w:rsidR="00DD72BF" w:rsidRPr="008C0993">
        <w:rPr>
          <w:rFonts w:ascii="Times New Roman" w:hAnsi="Times New Roman" w:cs="Times New Roman"/>
          <w:sz w:val="28"/>
          <w:szCs w:val="28"/>
        </w:rPr>
        <w:t>Thaba-Tseka</w:t>
      </w:r>
      <w:proofErr w:type="spellEnd"/>
      <w:r w:rsidR="00DD72BF" w:rsidRPr="008C0993">
        <w:rPr>
          <w:rFonts w:ascii="Times New Roman" w:hAnsi="Times New Roman" w:cs="Times New Roman"/>
          <w:sz w:val="28"/>
          <w:szCs w:val="28"/>
        </w:rPr>
        <w:t xml:space="preserve"> district, and </w:t>
      </w:r>
      <w:proofErr w:type="gramStart"/>
      <w:r w:rsidR="00DD72BF" w:rsidRPr="008C0993">
        <w:rPr>
          <w:rFonts w:ascii="Times New Roman" w:hAnsi="Times New Roman" w:cs="Times New Roman"/>
          <w:sz w:val="28"/>
          <w:szCs w:val="28"/>
        </w:rPr>
        <w:t>later on</w:t>
      </w:r>
      <w:proofErr w:type="gramEnd"/>
      <w:r w:rsidR="00DD72BF" w:rsidRPr="008C0993">
        <w:rPr>
          <w:rFonts w:ascii="Times New Roman" w:hAnsi="Times New Roman" w:cs="Times New Roman"/>
          <w:sz w:val="28"/>
          <w:szCs w:val="28"/>
        </w:rPr>
        <w:t xml:space="preserve"> relocated to </w:t>
      </w:r>
      <w:proofErr w:type="spellStart"/>
      <w:r w:rsidR="00DD72BF" w:rsidRPr="008C0993">
        <w:rPr>
          <w:rFonts w:ascii="Times New Roman" w:hAnsi="Times New Roman" w:cs="Times New Roman"/>
          <w:sz w:val="28"/>
          <w:szCs w:val="28"/>
        </w:rPr>
        <w:t>Mantsonyane</w:t>
      </w:r>
      <w:proofErr w:type="spellEnd"/>
      <w:r w:rsidR="00DD72BF" w:rsidRPr="008C0993">
        <w:rPr>
          <w:rFonts w:ascii="Times New Roman" w:hAnsi="Times New Roman" w:cs="Times New Roman"/>
          <w:sz w:val="28"/>
          <w:szCs w:val="28"/>
        </w:rPr>
        <w:t xml:space="preserve"> in the </w:t>
      </w:r>
      <w:proofErr w:type="spellStart"/>
      <w:r w:rsidR="00DD72BF" w:rsidRPr="008C0993">
        <w:rPr>
          <w:rFonts w:ascii="Times New Roman" w:hAnsi="Times New Roman" w:cs="Times New Roman"/>
          <w:sz w:val="28"/>
          <w:szCs w:val="28"/>
        </w:rPr>
        <w:t>Thaba-Tseka</w:t>
      </w:r>
      <w:proofErr w:type="spellEnd"/>
      <w:r w:rsidR="00DD72BF" w:rsidRPr="008C0993">
        <w:rPr>
          <w:rFonts w:ascii="Times New Roman" w:hAnsi="Times New Roman" w:cs="Times New Roman"/>
          <w:sz w:val="28"/>
          <w:szCs w:val="28"/>
        </w:rPr>
        <w:t xml:space="preserve"> district. The deceased (</w:t>
      </w:r>
      <w:proofErr w:type="spellStart"/>
      <w:r w:rsidR="00DD72BF" w:rsidRPr="008C0993">
        <w:rPr>
          <w:rFonts w:ascii="Times New Roman" w:hAnsi="Times New Roman" w:cs="Times New Roman"/>
          <w:sz w:val="28"/>
          <w:szCs w:val="28"/>
        </w:rPr>
        <w:t>Metsing</w:t>
      </w:r>
      <w:proofErr w:type="spellEnd"/>
      <w:r w:rsidR="00DD72BF" w:rsidRPr="008C0993">
        <w:rPr>
          <w:rFonts w:ascii="Times New Roman" w:hAnsi="Times New Roman" w:cs="Times New Roman"/>
          <w:sz w:val="28"/>
          <w:szCs w:val="28"/>
        </w:rPr>
        <w:t xml:space="preserve"> </w:t>
      </w:r>
      <w:proofErr w:type="spellStart"/>
      <w:r w:rsidR="00DD72BF" w:rsidRPr="008C0993">
        <w:rPr>
          <w:rFonts w:ascii="Times New Roman" w:hAnsi="Times New Roman" w:cs="Times New Roman"/>
          <w:sz w:val="28"/>
          <w:szCs w:val="28"/>
        </w:rPr>
        <w:t>Lekhanya</w:t>
      </w:r>
      <w:proofErr w:type="spellEnd"/>
      <w:r w:rsidR="00DD72BF" w:rsidRPr="008C0993">
        <w:rPr>
          <w:rFonts w:ascii="Times New Roman" w:hAnsi="Times New Roman" w:cs="Times New Roman"/>
          <w:sz w:val="28"/>
          <w:szCs w:val="28"/>
        </w:rPr>
        <w:t xml:space="preserve"> and Sophia </w:t>
      </w:r>
      <w:proofErr w:type="spellStart"/>
      <w:r w:rsidR="00DD72BF" w:rsidRPr="008C0993">
        <w:rPr>
          <w:rFonts w:ascii="Times New Roman" w:hAnsi="Times New Roman" w:cs="Times New Roman"/>
          <w:sz w:val="28"/>
          <w:szCs w:val="28"/>
        </w:rPr>
        <w:t>Lekhanya</w:t>
      </w:r>
      <w:proofErr w:type="spellEnd"/>
      <w:r w:rsidR="00DD72BF" w:rsidRPr="008C0993">
        <w:rPr>
          <w:rFonts w:ascii="Times New Roman" w:hAnsi="Times New Roman" w:cs="Times New Roman"/>
          <w:sz w:val="28"/>
          <w:szCs w:val="28"/>
        </w:rPr>
        <w:t>)</w:t>
      </w:r>
      <w:r w:rsidR="00FE6C67" w:rsidRPr="008C0993">
        <w:rPr>
          <w:rFonts w:ascii="Times New Roman" w:hAnsi="Times New Roman" w:cs="Times New Roman"/>
          <w:sz w:val="28"/>
          <w:szCs w:val="28"/>
        </w:rPr>
        <w:t xml:space="preserve"> </w:t>
      </w:r>
      <w:r w:rsidRPr="008C0993">
        <w:rPr>
          <w:rFonts w:ascii="Times New Roman" w:hAnsi="Times New Roman" w:cs="Times New Roman"/>
          <w:sz w:val="28"/>
          <w:szCs w:val="28"/>
        </w:rPr>
        <w:t xml:space="preserve">were married by civil </w:t>
      </w:r>
      <w:proofErr w:type="spellStart"/>
      <w:r w:rsidRPr="008C0993">
        <w:rPr>
          <w:rFonts w:ascii="Times New Roman" w:hAnsi="Times New Roman" w:cs="Times New Roman"/>
          <w:sz w:val="28"/>
          <w:szCs w:val="28"/>
        </w:rPr>
        <w:t>rites</w:t>
      </w:r>
      <w:proofErr w:type="spellEnd"/>
      <w:r w:rsidRPr="008C0993">
        <w:rPr>
          <w:rFonts w:ascii="Times New Roman" w:hAnsi="Times New Roman" w:cs="Times New Roman"/>
          <w:sz w:val="28"/>
          <w:szCs w:val="28"/>
        </w:rPr>
        <w:t xml:space="preserve"> and were members of the</w:t>
      </w:r>
      <w:r w:rsidR="00FE6C67" w:rsidRPr="008C0993">
        <w:rPr>
          <w:rFonts w:ascii="Times New Roman" w:hAnsi="Times New Roman" w:cs="Times New Roman"/>
          <w:sz w:val="28"/>
          <w:szCs w:val="28"/>
        </w:rPr>
        <w:t xml:space="preserve"> </w:t>
      </w:r>
      <w:r w:rsidR="00787909" w:rsidRPr="008C0993">
        <w:rPr>
          <w:rFonts w:ascii="Times New Roman" w:hAnsi="Times New Roman" w:cs="Times New Roman"/>
          <w:sz w:val="28"/>
          <w:szCs w:val="28"/>
        </w:rPr>
        <w:t xml:space="preserve">Roman Catholic Church. Within the church, </w:t>
      </w:r>
      <w:proofErr w:type="spellStart"/>
      <w:r w:rsidR="00787909" w:rsidRPr="008C0993">
        <w:rPr>
          <w:rFonts w:ascii="Times New Roman" w:hAnsi="Times New Roman" w:cs="Times New Roman"/>
          <w:sz w:val="28"/>
          <w:szCs w:val="28"/>
        </w:rPr>
        <w:t>Metsing</w:t>
      </w:r>
      <w:proofErr w:type="spellEnd"/>
      <w:r w:rsidR="00787909" w:rsidRPr="008C0993">
        <w:rPr>
          <w:rFonts w:ascii="Times New Roman" w:hAnsi="Times New Roman" w:cs="Times New Roman"/>
          <w:sz w:val="28"/>
          <w:szCs w:val="28"/>
        </w:rPr>
        <w:t xml:space="preserve"> </w:t>
      </w:r>
      <w:proofErr w:type="spellStart"/>
      <w:r w:rsidR="00787909" w:rsidRPr="008C0993">
        <w:rPr>
          <w:rFonts w:ascii="Times New Roman" w:hAnsi="Times New Roman" w:cs="Times New Roman"/>
          <w:sz w:val="28"/>
          <w:szCs w:val="28"/>
        </w:rPr>
        <w:t>Lekhanya</w:t>
      </w:r>
      <w:proofErr w:type="spellEnd"/>
      <w:r w:rsidR="00787909" w:rsidRPr="008C0993">
        <w:rPr>
          <w:rFonts w:ascii="Times New Roman" w:hAnsi="Times New Roman" w:cs="Times New Roman"/>
          <w:sz w:val="28"/>
          <w:szCs w:val="28"/>
        </w:rPr>
        <w:t xml:space="preserve"> was a member of the </w:t>
      </w:r>
      <w:r w:rsidR="00FE6C67" w:rsidRPr="008C0993">
        <w:rPr>
          <w:rFonts w:ascii="Times New Roman" w:hAnsi="Times New Roman" w:cs="Times New Roman"/>
          <w:sz w:val="28"/>
          <w:szCs w:val="28"/>
        </w:rPr>
        <w:t>soda</w:t>
      </w:r>
      <w:r w:rsidR="00775E45">
        <w:rPr>
          <w:rFonts w:ascii="Times New Roman" w:hAnsi="Times New Roman" w:cs="Times New Roman"/>
          <w:sz w:val="28"/>
          <w:szCs w:val="28"/>
        </w:rPr>
        <w:t>l</w:t>
      </w:r>
      <w:r w:rsidR="00FE6C67" w:rsidRPr="008C0993">
        <w:rPr>
          <w:rFonts w:ascii="Times New Roman" w:hAnsi="Times New Roman" w:cs="Times New Roman"/>
          <w:sz w:val="28"/>
          <w:szCs w:val="28"/>
        </w:rPr>
        <w:t>ity of the Sacred Heart of Jesus</w:t>
      </w:r>
      <w:r w:rsidR="00787909" w:rsidRPr="008C0993">
        <w:rPr>
          <w:rFonts w:ascii="Times New Roman" w:hAnsi="Times New Roman" w:cs="Times New Roman"/>
          <w:sz w:val="28"/>
          <w:szCs w:val="28"/>
        </w:rPr>
        <w:t xml:space="preserve">, while Sophia </w:t>
      </w:r>
      <w:proofErr w:type="spellStart"/>
      <w:r w:rsidR="00787909" w:rsidRPr="008C0993">
        <w:rPr>
          <w:rFonts w:ascii="Times New Roman" w:hAnsi="Times New Roman" w:cs="Times New Roman"/>
          <w:sz w:val="28"/>
          <w:szCs w:val="28"/>
        </w:rPr>
        <w:t>Lekhanya</w:t>
      </w:r>
      <w:proofErr w:type="spellEnd"/>
      <w:r w:rsidR="00787909" w:rsidRPr="008C0993">
        <w:rPr>
          <w:rFonts w:ascii="Times New Roman" w:hAnsi="Times New Roman" w:cs="Times New Roman"/>
          <w:sz w:val="28"/>
          <w:szCs w:val="28"/>
        </w:rPr>
        <w:t xml:space="preserve"> was a member of the soda</w:t>
      </w:r>
      <w:r w:rsidR="00775E45">
        <w:rPr>
          <w:rFonts w:ascii="Times New Roman" w:hAnsi="Times New Roman" w:cs="Times New Roman"/>
          <w:sz w:val="28"/>
          <w:szCs w:val="28"/>
        </w:rPr>
        <w:t>l</w:t>
      </w:r>
      <w:r w:rsidR="00787909" w:rsidRPr="008C0993">
        <w:rPr>
          <w:rFonts w:ascii="Times New Roman" w:hAnsi="Times New Roman" w:cs="Times New Roman"/>
          <w:sz w:val="28"/>
          <w:szCs w:val="28"/>
        </w:rPr>
        <w:t>ity of St. Anna.</w:t>
      </w:r>
      <w:r w:rsidR="000310D7" w:rsidRPr="008C0993">
        <w:rPr>
          <w:rFonts w:ascii="Times New Roman" w:hAnsi="Times New Roman" w:cs="Times New Roman"/>
          <w:sz w:val="28"/>
          <w:szCs w:val="28"/>
        </w:rPr>
        <w:t xml:space="preserve"> </w:t>
      </w:r>
      <w:proofErr w:type="gramStart"/>
      <w:r w:rsidR="000310D7" w:rsidRPr="008C0993">
        <w:rPr>
          <w:rFonts w:ascii="Times New Roman" w:hAnsi="Times New Roman" w:cs="Times New Roman"/>
          <w:sz w:val="28"/>
          <w:szCs w:val="28"/>
        </w:rPr>
        <w:t>It would seem that the</w:t>
      </w:r>
      <w:proofErr w:type="gramEnd"/>
      <w:r w:rsidR="000310D7" w:rsidRPr="008C0993">
        <w:rPr>
          <w:rFonts w:ascii="Times New Roman" w:hAnsi="Times New Roman" w:cs="Times New Roman"/>
          <w:sz w:val="28"/>
          <w:szCs w:val="28"/>
        </w:rPr>
        <w:t xml:space="preserve"> deceased were devout Christians.</w:t>
      </w:r>
      <w:r w:rsidR="00DD72BF" w:rsidRPr="008C0993">
        <w:rPr>
          <w:rFonts w:ascii="Times New Roman" w:hAnsi="Times New Roman" w:cs="Times New Roman"/>
          <w:sz w:val="28"/>
          <w:szCs w:val="28"/>
        </w:rPr>
        <w:t xml:space="preserve"> </w:t>
      </w:r>
      <w:r w:rsidR="00FE6C67" w:rsidRPr="008C0993">
        <w:rPr>
          <w:rFonts w:ascii="Times New Roman" w:hAnsi="Times New Roman" w:cs="Times New Roman"/>
          <w:sz w:val="28"/>
          <w:szCs w:val="28"/>
        </w:rPr>
        <w:t>The de</w:t>
      </w:r>
      <w:r w:rsidR="00DD72BF" w:rsidRPr="008C0993">
        <w:rPr>
          <w:rFonts w:ascii="Times New Roman" w:hAnsi="Times New Roman" w:cs="Times New Roman"/>
          <w:sz w:val="28"/>
          <w:szCs w:val="28"/>
        </w:rPr>
        <w:t xml:space="preserve">ceased- </w:t>
      </w:r>
      <w:proofErr w:type="spellStart"/>
      <w:r w:rsidR="00DD72BF" w:rsidRPr="008C0993">
        <w:rPr>
          <w:rFonts w:ascii="Times New Roman" w:hAnsi="Times New Roman" w:cs="Times New Roman"/>
          <w:sz w:val="28"/>
          <w:szCs w:val="28"/>
        </w:rPr>
        <w:t>Metsing</w:t>
      </w:r>
      <w:proofErr w:type="spellEnd"/>
      <w:r w:rsidR="00DD72BF" w:rsidRPr="008C0993">
        <w:rPr>
          <w:rFonts w:ascii="Times New Roman" w:hAnsi="Times New Roman" w:cs="Times New Roman"/>
          <w:sz w:val="28"/>
          <w:szCs w:val="28"/>
        </w:rPr>
        <w:t xml:space="preserve"> </w:t>
      </w:r>
      <w:proofErr w:type="spellStart"/>
      <w:r w:rsidR="00DD72BF" w:rsidRPr="008C0993">
        <w:rPr>
          <w:rFonts w:ascii="Times New Roman" w:hAnsi="Times New Roman" w:cs="Times New Roman"/>
          <w:sz w:val="28"/>
          <w:szCs w:val="28"/>
        </w:rPr>
        <w:t>Lekhanya</w:t>
      </w:r>
      <w:proofErr w:type="spellEnd"/>
      <w:r w:rsidR="00DD72BF" w:rsidRPr="008C0993">
        <w:rPr>
          <w:rFonts w:ascii="Times New Roman" w:hAnsi="Times New Roman" w:cs="Times New Roman"/>
          <w:sz w:val="28"/>
          <w:szCs w:val="28"/>
        </w:rPr>
        <w:t xml:space="preserve"> studied at the</w:t>
      </w:r>
      <w:r w:rsidR="00FE6C67" w:rsidRPr="008C0993">
        <w:rPr>
          <w:rFonts w:ascii="Times New Roman" w:hAnsi="Times New Roman" w:cs="Times New Roman"/>
          <w:sz w:val="28"/>
          <w:szCs w:val="28"/>
        </w:rPr>
        <w:t xml:space="preserve"> Roma College </w:t>
      </w:r>
      <w:r w:rsidR="00C22EBE" w:rsidRPr="008C0993">
        <w:rPr>
          <w:rFonts w:ascii="Times New Roman" w:hAnsi="Times New Roman" w:cs="Times New Roman"/>
          <w:sz w:val="28"/>
          <w:szCs w:val="28"/>
        </w:rPr>
        <w:t xml:space="preserve">and thereafter </w:t>
      </w:r>
      <w:r w:rsidR="00DD72BF" w:rsidRPr="008C0993">
        <w:rPr>
          <w:rFonts w:ascii="Times New Roman" w:hAnsi="Times New Roman" w:cs="Times New Roman"/>
          <w:sz w:val="28"/>
          <w:szCs w:val="28"/>
        </w:rPr>
        <w:t>pursued</w:t>
      </w:r>
      <w:r w:rsidR="00C22EBE" w:rsidRPr="008C0993">
        <w:rPr>
          <w:rFonts w:ascii="Times New Roman" w:hAnsi="Times New Roman" w:cs="Times New Roman"/>
          <w:sz w:val="28"/>
          <w:szCs w:val="28"/>
        </w:rPr>
        <w:t xml:space="preserve"> his Philosophy studies through </w:t>
      </w:r>
      <w:r w:rsidR="002F253B" w:rsidRPr="008C0993">
        <w:rPr>
          <w:rFonts w:ascii="Times New Roman" w:hAnsi="Times New Roman" w:cs="Times New Roman"/>
          <w:sz w:val="28"/>
          <w:szCs w:val="28"/>
        </w:rPr>
        <w:t>correspondence</w:t>
      </w:r>
      <w:r w:rsidR="00C22EBE" w:rsidRPr="008C0993">
        <w:rPr>
          <w:rFonts w:ascii="Times New Roman" w:hAnsi="Times New Roman" w:cs="Times New Roman"/>
          <w:sz w:val="28"/>
          <w:szCs w:val="28"/>
        </w:rPr>
        <w:t xml:space="preserve"> with </w:t>
      </w:r>
      <w:r w:rsidR="002F253B" w:rsidRPr="008C0993">
        <w:rPr>
          <w:rFonts w:ascii="Times New Roman" w:hAnsi="Times New Roman" w:cs="Times New Roman"/>
          <w:sz w:val="28"/>
          <w:szCs w:val="28"/>
        </w:rPr>
        <w:t>Lincoln</w:t>
      </w:r>
      <w:r w:rsidR="00C22EBE" w:rsidRPr="008C0993">
        <w:rPr>
          <w:rFonts w:ascii="Times New Roman" w:hAnsi="Times New Roman" w:cs="Times New Roman"/>
          <w:sz w:val="28"/>
          <w:szCs w:val="28"/>
        </w:rPr>
        <w:t xml:space="preserve"> University. During his lifetime he was employed as a member of the Lesotho Defence Force, and later became the Commander o</w:t>
      </w:r>
      <w:r w:rsidR="00DD72BF" w:rsidRPr="008C0993">
        <w:rPr>
          <w:rFonts w:ascii="Times New Roman" w:hAnsi="Times New Roman" w:cs="Times New Roman"/>
          <w:sz w:val="28"/>
          <w:szCs w:val="28"/>
        </w:rPr>
        <w:t xml:space="preserve">f the Lesotho Defence. </w:t>
      </w:r>
      <w:r w:rsidR="00C22EBE" w:rsidRPr="008C0993">
        <w:rPr>
          <w:rFonts w:ascii="Times New Roman" w:hAnsi="Times New Roman" w:cs="Times New Roman"/>
          <w:sz w:val="28"/>
          <w:szCs w:val="28"/>
        </w:rPr>
        <w:t xml:space="preserve"> </w:t>
      </w:r>
      <w:proofErr w:type="spellStart"/>
      <w:r w:rsidR="00C22EBE" w:rsidRPr="008C0993">
        <w:rPr>
          <w:rFonts w:ascii="Times New Roman" w:hAnsi="Times New Roman" w:cs="Times New Roman"/>
          <w:sz w:val="28"/>
          <w:szCs w:val="28"/>
        </w:rPr>
        <w:t>Metsing</w:t>
      </w:r>
      <w:proofErr w:type="spellEnd"/>
      <w:r w:rsidR="00C22EBE" w:rsidRPr="008C0993">
        <w:rPr>
          <w:rFonts w:ascii="Times New Roman" w:hAnsi="Times New Roman" w:cs="Times New Roman"/>
          <w:sz w:val="28"/>
          <w:szCs w:val="28"/>
        </w:rPr>
        <w:t xml:space="preserve"> </w:t>
      </w:r>
      <w:proofErr w:type="spellStart"/>
      <w:r w:rsidR="00C22EBE" w:rsidRPr="008C0993">
        <w:rPr>
          <w:rFonts w:ascii="Times New Roman" w:hAnsi="Times New Roman" w:cs="Times New Roman"/>
          <w:sz w:val="28"/>
          <w:szCs w:val="28"/>
        </w:rPr>
        <w:t>Lekhanya</w:t>
      </w:r>
      <w:proofErr w:type="spellEnd"/>
      <w:r w:rsidR="00C22EBE" w:rsidRPr="008C0993">
        <w:rPr>
          <w:rFonts w:ascii="Times New Roman" w:hAnsi="Times New Roman" w:cs="Times New Roman"/>
          <w:sz w:val="28"/>
          <w:szCs w:val="28"/>
        </w:rPr>
        <w:t xml:space="preserve"> and his wife- Sophie had farms, which could be classified </w:t>
      </w:r>
      <w:r w:rsidR="00DD72BF" w:rsidRPr="008C0993">
        <w:rPr>
          <w:rFonts w:ascii="Times New Roman" w:hAnsi="Times New Roman" w:cs="Times New Roman"/>
          <w:sz w:val="28"/>
          <w:szCs w:val="28"/>
        </w:rPr>
        <w:t>as commercial, because</w:t>
      </w:r>
      <w:r w:rsidR="00C22EBE" w:rsidRPr="008C0993">
        <w:rPr>
          <w:rFonts w:ascii="Times New Roman" w:hAnsi="Times New Roman" w:cs="Times New Roman"/>
          <w:sz w:val="28"/>
          <w:szCs w:val="28"/>
        </w:rPr>
        <w:t xml:space="preserve"> grains</w:t>
      </w:r>
      <w:r w:rsidR="00DD72BF" w:rsidRPr="008C0993">
        <w:rPr>
          <w:rFonts w:ascii="Times New Roman" w:hAnsi="Times New Roman" w:cs="Times New Roman"/>
          <w:sz w:val="28"/>
          <w:szCs w:val="28"/>
        </w:rPr>
        <w:t xml:space="preserve"> harvested from the farms were sold to </w:t>
      </w:r>
      <w:r w:rsidR="00C22EBE" w:rsidRPr="008C0993">
        <w:rPr>
          <w:rFonts w:ascii="Times New Roman" w:hAnsi="Times New Roman" w:cs="Times New Roman"/>
          <w:sz w:val="28"/>
          <w:szCs w:val="28"/>
        </w:rPr>
        <w:t>Lesotho Flour Mills in M</w:t>
      </w:r>
      <w:r w:rsidR="002F253B" w:rsidRPr="008C0993">
        <w:rPr>
          <w:rFonts w:ascii="Times New Roman" w:hAnsi="Times New Roman" w:cs="Times New Roman"/>
          <w:sz w:val="28"/>
          <w:szCs w:val="28"/>
        </w:rPr>
        <w:t>aseru. Milk from the dairy farm</w:t>
      </w:r>
      <w:r w:rsidR="00C22EBE" w:rsidRPr="008C0993">
        <w:rPr>
          <w:rFonts w:ascii="Times New Roman" w:hAnsi="Times New Roman" w:cs="Times New Roman"/>
          <w:sz w:val="28"/>
          <w:szCs w:val="28"/>
        </w:rPr>
        <w:t xml:space="preserve"> was sold to Dairy here in Maseru. </w:t>
      </w:r>
      <w:r w:rsidR="00FB5DF3" w:rsidRPr="008C0993">
        <w:rPr>
          <w:rFonts w:ascii="Times New Roman" w:hAnsi="Times New Roman" w:cs="Times New Roman"/>
          <w:sz w:val="28"/>
          <w:szCs w:val="28"/>
        </w:rPr>
        <w:t>The deceased further earned income from the sale of mohair and wool.</w:t>
      </w:r>
    </w:p>
    <w:p w:rsidR="00E64CF7" w:rsidRPr="008C0993" w:rsidRDefault="00E64CF7" w:rsidP="008C0993">
      <w:pPr>
        <w:spacing w:line="360" w:lineRule="auto"/>
        <w:contextualSpacing/>
        <w:jc w:val="both"/>
        <w:rPr>
          <w:rFonts w:ascii="Times New Roman" w:hAnsi="Times New Roman" w:cs="Times New Roman"/>
          <w:sz w:val="28"/>
          <w:szCs w:val="28"/>
        </w:rPr>
      </w:pPr>
    </w:p>
    <w:p w:rsidR="00C22EBE" w:rsidRDefault="00C22EBE" w:rsidP="008C0993">
      <w:pPr>
        <w:spacing w:line="360" w:lineRule="auto"/>
        <w:contextualSpacing/>
        <w:jc w:val="both"/>
        <w:rPr>
          <w:rFonts w:ascii="Times New Roman" w:hAnsi="Times New Roman" w:cs="Times New Roman"/>
          <w:sz w:val="28"/>
          <w:szCs w:val="28"/>
        </w:rPr>
      </w:pPr>
      <w:r w:rsidRPr="008C0993">
        <w:rPr>
          <w:rFonts w:ascii="Times New Roman" w:hAnsi="Times New Roman" w:cs="Times New Roman"/>
          <w:sz w:val="28"/>
          <w:szCs w:val="28"/>
        </w:rPr>
        <w:t>[3</w:t>
      </w:r>
      <w:r w:rsidR="00D47B89">
        <w:rPr>
          <w:rFonts w:ascii="Times New Roman" w:hAnsi="Times New Roman" w:cs="Times New Roman"/>
          <w:sz w:val="28"/>
          <w:szCs w:val="28"/>
        </w:rPr>
        <w:t>4</w:t>
      </w:r>
      <w:r w:rsidRPr="008C0993">
        <w:rPr>
          <w:rFonts w:ascii="Times New Roman" w:hAnsi="Times New Roman" w:cs="Times New Roman"/>
          <w:sz w:val="28"/>
          <w:szCs w:val="28"/>
        </w:rPr>
        <w:t>] The court has established furt</w:t>
      </w:r>
      <w:r w:rsidR="00FB5DF3" w:rsidRPr="008C0993">
        <w:rPr>
          <w:rFonts w:ascii="Times New Roman" w:hAnsi="Times New Roman" w:cs="Times New Roman"/>
          <w:sz w:val="28"/>
          <w:szCs w:val="28"/>
        </w:rPr>
        <w:t xml:space="preserve">her that the deceased- </w:t>
      </w:r>
      <w:proofErr w:type="spellStart"/>
      <w:r w:rsidR="00FB5DF3" w:rsidRPr="008C0993">
        <w:rPr>
          <w:rFonts w:ascii="Times New Roman" w:hAnsi="Times New Roman" w:cs="Times New Roman"/>
          <w:sz w:val="28"/>
          <w:szCs w:val="28"/>
        </w:rPr>
        <w:t>Metsing</w:t>
      </w:r>
      <w:proofErr w:type="spellEnd"/>
      <w:r w:rsidR="00FB5DF3" w:rsidRPr="008C0993">
        <w:rPr>
          <w:rFonts w:ascii="Times New Roman" w:hAnsi="Times New Roman" w:cs="Times New Roman"/>
          <w:sz w:val="28"/>
          <w:szCs w:val="28"/>
        </w:rPr>
        <w:t xml:space="preserve"> </w:t>
      </w:r>
      <w:proofErr w:type="spellStart"/>
      <w:r w:rsidR="00FB5DF3" w:rsidRPr="008C0993">
        <w:rPr>
          <w:rFonts w:ascii="Times New Roman" w:hAnsi="Times New Roman" w:cs="Times New Roman"/>
          <w:sz w:val="28"/>
          <w:szCs w:val="28"/>
        </w:rPr>
        <w:t>Lekhanya</w:t>
      </w:r>
      <w:proofErr w:type="spellEnd"/>
      <w:r w:rsidR="00DD72BF" w:rsidRPr="008C0993">
        <w:rPr>
          <w:rFonts w:ascii="Times New Roman" w:hAnsi="Times New Roman" w:cs="Times New Roman"/>
          <w:sz w:val="28"/>
          <w:szCs w:val="28"/>
        </w:rPr>
        <w:t xml:space="preserve"> and his wife- Sophie</w:t>
      </w:r>
      <w:r w:rsidR="00FB5DF3" w:rsidRPr="008C0993">
        <w:rPr>
          <w:rFonts w:ascii="Times New Roman" w:hAnsi="Times New Roman" w:cs="Times New Roman"/>
          <w:sz w:val="28"/>
          <w:szCs w:val="28"/>
        </w:rPr>
        <w:t>, wore European</w:t>
      </w:r>
      <w:r w:rsidR="002F253B" w:rsidRPr="008C0993">
        <w:rPr>
          <w:rFonts w:ascii="Times New Roman" w:hAnsi="Times New Roman" w:cs="Times New Roman"/>
          <w:sz w:val="28"/>
          <w:szCs w:val="28"/>
        </w:rPr>
        <w:t xml:space="preserve"> clothes, slept on a bed and ate</w:t>
      </w:r>
      <w:r w:rsidR="00DD72BF" w:rsidRPr="008C0993">
        <w:rPr>
          <w:rFonts w:ascii="Times New Roman" w:hAnsi="Times New Roman" w:cs="Times New Roman"/>
          <w:sz w:val="28"/>
          <w:szCs w:val="28"/>
        </w:rPr>
        <w:t xml:space="preserve"> their</w:t>
      </w:r>
      <w:r w:rsidR="00FB5DF3" w:rsidRPr="008C0993">
        <w:rPr>
          <w:rFonts w:ascii="Times New Roman" w:hAnsi="Times New Roman" w:cs="Times New Roman"/>
          <w:sz w:val="28"/>
          <w:szCs w:val="28"/>
        </w:rPr>
        <w:t xml:space="preserve"> three daily meals at the dining table.</w:t>
      </w:r>
      <w:r w:rsidR="00787909" w:rsidRPr="008C0993">
        <w:rPr>
          <w:rFonts w:ascii="Times New Roman" w:hAnsi="Times New Roman" w:cs="Times New Roman"/>
          <w:sz w:val="28"/>
          <w:szCs w:val="28"/>
        </w:rPr>
        <w:t xml:space="preserve"> The deceased- </w:t>
      </w:r>
      <w:proofErr w:type="spellStart"/>
      <w:r w:rsidR="00787909" w:rsidRPr="008C0993">
        <w:rPr>
          <w:rFonts w:ascii="Times New Roman" w:hAnsi="Times New Roman" w:cs="Times New Roman"/>
          <w:sz w:val="28"/>
          <w:szCs w:val="28"/>
        </w:rPr>
        <w:t>Metsing</w:t>
      </w:r>
      <w:proofErr w:type="spellEnd"/>
      <w:r w:rsidR="00787909" w:rsidRPr="008C0993">
        <w:rPr>
          <w:rFonts w:ascii="Times New Roman" w:hAnsi="Times New Roman" w:cs="Times New Roman"/>
          <w:sz w:val="28"/>
          <w:szCs w:val="28"/>
        </w:rPr>
        <w:t xml:space="preserve"> </w:t>
      </w:r>
      <w:proofErr w:type="spellStart"/>
      <w:r w:rsidR="00787909" w:rsidRPr="008C0993">
        <w:rPr>
          <w:rFonts w:ascii="Times New Roman" w:hAnsi="Times New Roman" w:cs="Times New Roman"/>
          <w:sz w:val="28"/>
          <w:szCs w:val="28"/>
        </w:rPr>
        <w:t>Lekhanya</w:t>
      </w:r>
      <w:proofErr w:type="spellEnd"/>
      <w:r w:rsidR="00787909" w:rsidRPr="008C0993">
        <w:rPr>
          <w:rFonts w:ascii="Times New Roman" w:hAnsi="Times New Roman" w:cs="Times New Roman"/>
          <w:sz w:val="28"/>
          <w:szCs w:val="28"/>
        </w:rPr>
        <w:t xml:space="preserve"> was fond of reading </w:t>
      </w:r>
      <w:r w:rsidR="00DD72BF" w:rsidRPr="008C0993">
        <w:rPr>
          <w:rFonts w:ascii="Times New Roman" w:hAnsi="Times New Roman" w:cs="Times New Roman"/>
          <w:sz w:val="28"/>
          <w:szCs w:val="28"/>
        </w:rPr>
        <w:t xml:space="preserve">newspapers, </w:t>
      </w:r>
      <w:r w:rsidR="00787909" w:rsidRPr="008C0993">
        <w:rPr>
          <w:rFonts w:ascii="Times New Roman" w:hAnsi="Times New Roman" w:cs="Times New Roman"/>
          <w:sz w:val="28"/>
          <w:szCs w:val="28"/>
        </w:rPr>
        <w:t xml:space="preserve">watching BBC News channel and spoke English with </w:t>
      </w:r>
      <w:r w:rsidR="000310D7" w:rsidRPr="008C0993">
        <w:rPr>
          <w:rFonts w:ascii="Times New Roman" w:hAnsi="Times New Roman" w:cs="Times New Roman"/>
          <w:sz w:val="28"/>
          <w:szCs w:val="28"/>
        </w:rPr>
        <w:t>his grandchildren. Evidence was led</w:t>
      </w:r>
      <w:r w:rsidR="00787909" w:rsidRPr="008C0993">
        <w:rPr>
          <w:rFonts w:ascii="Times New Roman" w:hAnsi="Times New Roman" w:cs="Times New Roman"/>
          <w:sz w:val="28"/>
          <w:szCs w:val="28"/>
        </w:rPr>
        <w:t xml:space="preserve"> further that he enjoyed watching cartoon channels on television.</w:t>
      </w:r>
      <w:r w:rsidR="00FB5DF3" w:rsidRPr="008C0993">
        <w:rPr>
          <w:rFonts w:ascii="Times New Roman" w:hAnsi="Times New Roman" w:cs="Times New Roman"/>
          <w:sz w:val="28"/>
          <w:szCs w:val="28"/>
        </w:rPr>
        <w:t xml:space="preserve"> </w:t>
      </w:r>
      <w:proofErr w:type="spellStart"/>
      <w:r w:rsidR="00FB5DF3" w:rsidRPr="008C0993">
        <w:rPr>
          <w:rFonts w:ascii="Times New Roman" w:hAnsi="Times New Roman" w:cs="Times New Roman"/>
          <w:sz w:val="28"/>
          <w:szCs w:val="28"/>
        </w:rPr>
        <w:t>Metsing</w:t>
      </w:r>
      <w:proofErr w:type="spellEnd"/>
      <w:r w:rsidR="00FB5DF3" w:rsidRPr="008C0993">
        <w:rPr>
          <w:rFonts w:ascii="Times New Roman" w:hAnsi="Times New Roman" w:cs="Times New Roman"/>
          <w:sz w:val="28"/>
          <w:szCs w:val="28"/>
        </w:rPr>
        <w:t xml:space="preserve"> </w:t>
      </w:r>
      <w:proofErr w:type="spellStart"/>
      <w:r w:rsidR="00FB5DF3" w:rsidRPr="008C0993">
        <w:rPr>
          <w:rFonts w:ascii="Times New Roman" w:hAnsi="Times New Roman" w:cs="Times New Roman"/>
          <w:sz w:val="28"/>
          <w:szCs w:val="28"/>
        </w:rPr>
        <w:t>Lekhanya</w:t>
      </w:r>
      <w:proofErr w:type="spellEnd"/>
      <w:r w:rsidR="00FB5DF3" w:rsidRPr="008C0993">
        <w:rPr>
          <w:rFonts w:ascii="Times New Roman" w:hAnsi="Times New Roman" w:cs="Times New Roman"/>
          <w:sz w:val="28"/>
          <w:szCs w:val="28"/>
        </w:rPr>
        <w:t xml:space="preserve"> jointly with his Wife-Sophie had both private cars for personal use, as we</w:t>
      </w:r>
      <w:r w:rsidR="00DD72BF" w:rsidRPr="008C0993">
        <w:rPr>
          <w:rFonts w:ascii="Times New Roman" w:hAnsi="Times New Roman" w:cs="Times New Roman"/>
          <w:sz w:val="28"/>
          <w:szCs w:val="28"/>
        </w:rPr>
        <w:t>ll as vehicles for their</w:t>
      </w:r>
      <w:r w:rsidR="00FB5DF3" w:rsidRPr="008C0993">
        <w:rPr>
          <w:rFonts w:ascii="Times New Roman" w:hAnsi="Times New Roman" w:cs="Times New Roman"/>
          <w:sz w:val="28"/>
          <w:szCs w:val="28"/>
        </w:rPr>
        <w:t xml:space="preserve"> businesses. Neither the deceased nor their children had gone to the initiati</w:t>
      </w:r>
      <w:r w:rsidR="000310D7" w:rsidRPr="008C0993">
        <w:rPr>
          <w:rFonts w:ascii="Times New Roman" w:hAnsi="Times New Roman" w:cs="Times New Roman"/>
          <w:sz w:val="28"/>
          <w:szCs w:val="28"/>
        </w:rPr>
        <w:t>on school</w:t>
      </w:r>
      <w:r w:rsidR="00FB5DF3" w:rsidRPr="008C0993">
        <w:rPr>
          <w:rFonts w:ascii="Times New Roman" w:hAnsi="Times New Roman" w:cs="Times New Roman"/>
          <w:sz w:val="28"/>
          <w:szCs w:val="28"/>
        </w:rPr>
        <w:t>. Their children have been to school</w:t>
      </w:r>
      <w:r w:rsidR="002F253B" w:rsidRPr="008C0993">
        <w:rPr>
          <w:rFonts w:ascii="Times New Roman" w:hAnsi="Times New Roman" w:cs="Times New Roman"/>
          <w:sz w:val="28"/>
          <w:szCs w:val="28"/>
        </w:rPr>
        <w:t>, but only one child</w:t>
      </w:r>
      <w:r w:rsidR="00FB5DF3" w:rsidRPr="008C0993">
        <w:rPr>
          <w:rFonts w:ascii="Times New Roman" w:hAnsi="Times New Roman" w:cs="Times New Roman"/>
          <w:sz w:val="28"/>
          <w:szCs w:val="28"/>
        </w:rPr>
        <w:t xml:space="preserve"> had gone to the level of University, though she did not complete her studies due to ill health. </w:t>
      </w:r>
      <w:r w:rsidR="00BD093A" w:rsidRPr="008C0993">
        <w:rPr>
          <w:rFonts w:ascii="Times New Roman" w:hAnsi="Times New Roman" w:cs="Times New Roman"/>
          <w:sz w:val="28"/>
          <w:szCs w:val="28"/>
        </w:rPr>
        <w:t xml:space="preserve">Sophie </w:t>
      </w:r>
      <w:proofErr w:type="spellStart"/>
      <w:r w:rsidR="00BD093A" w:rsidRPr="008C0993">
        <w:rPr>
          <w:rFonts w:ascii="Times New Roman" w:hAnsi="Times New Roman" w:cs="Times New Roman"/>
          <w:sz w:val="28"/>
          <w:szCs w:val="28"/>
        </w:rPr>
        <w:t>Lekhanya</w:t>
      </w:r>
      <w:proofErr w:type="spellEnd"/>
      <w:r w:rsidR="00BD093A" w:rsidRPr="008C0993">
        <w:rPr>
          <w:rFonts w:ascii="Times New Roman" w:hAnsi="Times New Roman" w:cs="Times New Roman"/>
          <w:sz w:val="28"/>
          <w:szCs w:val="28"/>
        </w:rPr>
        <w:t xml:space="preserve"> was a Nurse by </w:t>
      </w:r>
      <w:r w:rsidR="00036037" w:rsidRPr="008C0993">
        <w:rPr>
          <w:rFonts w:ascii="Times New Roman" w:hAnsi="Times New Roman" w:cs="Times New Roman"/>
          <w:sz w:val="28"/>
          <w:szCs w:val="28"/>
        </w:rPr>
        <w:t>profession and</w:t>
      </w:r>
      <w:r w:rsidR="00BD093A" w:rsidRPr="008C0993">
        <w:rPr>
          <w:rFonts w:ascii="Times New Roman" w:hAnsi="Times New Roman" w:cs="Times New Roman"/>
          <w:sz w:val="28"/>
          <w:szCs w:val="28"/>
        </w:rPr>
        <w:t xml:space="preserve"> w</w:t>
      </w:r>
      <w:r w:rsidR="00636958" w:rsidRPr="008C0993">
        <w:rPr>
          <w:rFonts w:ascii="Times New Roman" w:hAnsi="Times New Roman" w:cs="Times New Roman"/>
          <w:sz w:val="28"/>
          <w:szCs w:val="28"/>
        </w:rPr>
        <w:t>orked as a Manager for</w:t>
      </w:r>
      <w:r w:rsidR="00BD093A" w:rsidRPr="008C0993">
        <w:rPr>
          <w:rFonts w:ascii="Times New Roman" w:hAnsi="Times New Roman" w:cs="Times New Roman"/>
          <w:sz w:val="28"/>
          <w:szCs w:val="28"/>
        </w:rPr>
        <w:t xml:space="preserve"> the businesses. The deceased- </w:t>
      </w:r>
      <w:proofErr w:type="spellStart"/>
      <w:r w:rsidR="00BD093A" w:rsidRPr="008C0993">
        <w:rPr>
          <w:rFonts w:ascii="Times New Roman" w:hAnsi="Times New Roman" w:cs="Times New Roman"/>
          <w:sz w:val="28"/>
          <w:szCs w:val="28"/>
        </w:rPr>
        <w:t>Metsing</w:t>
      </w:r>
      <w:proofErr w:type="spellEnd"/>
      <w:r w:rsidR="00BD093A" w:rsidRPr="008C0993">
        <w:rPr>
          <w:rFonts w:ascii="Times New Roman" w:hAnsi="Times New Roman" w:cs="Times New Roman"/>
          <w:sz w:val="28"/>
          <w:szCs w:val="28"/>
        </w:rPr>
        <w:t xml:space="preserve"> </w:t>
      </w:r>
      <w:proofErr w:type="spellStart"/>
      <w:r w:rsidR="00BD093A" w:rsidRPr="008C0993">
        <w:rPr>
          <w:rFonts w:ascii="Times New Roman" w:hAnsi="Times New Roman" w:cs="Times New Roman"/>
          <w:sz w:val="28"/>
          <w:szCs w:val="28"/>
        </w:rPr>
        <w:lastRenderedPageBreak/>
        <w:t>Lekhanya</w:t>
      </w:r>
      <w:proofErr w:type="spellEnd"/>
      <w:r w:rsidR="00BD093A" w:rsidRPr="008C0993">
        <w:rPr>
          <w:rFonts w:ascii="Times New Roman" w:hAnsi="Times New Roman" w:cs="Times New Roman"/>
          <w:sz w:val="28"/>
          <w:szCs w:val="28"/>
        </w:rPr>
        <w:t xml:space="preserve"> and Sophie </w:t>
      </w:r>
      <w:proofErr w:type="spellStart"/>
      <w:r w:rsidR="00BD093A" w:rsidRPr="008C0993">
        <w:rPr>
          <w:rFonts w:ascii="Times New Roman" w:hAnsi="Times New Roman" w:cs="Times New Roman"/>
          <w:sz w:val="28"/>
          <w:szCs w:val="28"/>
        </w:rPr>
        <w:t>Lekhanya</w:t>
      </w:r>
      <w:proofErr w:type="spellEnd"/>
      <w:r w:rsidR="00BD093A" w:rsidRPr="008C0993">
        <w:rPr>
          <w:rFonts w:ascii="Times New Roman" w:hAnsi="Times New Roman" w:cs="Times New Roman"/>
          <w:sz w:val="28"/>
          <w:szCs w:val="28"/>
        </w:rPr>
        <w:t xml:space="preserve"> had </w:t>
      </w:r>
      <w:r w:rsidR="008F77C2" w:rsidRPr="008C0993">
        <w:rPr>
          <w:rFonts w:ascii="Times New Roman" w:hAnsi="Times New Roman" w:cs="Times New Roman"/>
          <w:sz w:val="28"/>
          <w:szCs w:val="28"/>
        </w:rPr>
        <w:t xml:space="preserve">abolished </w:t>
      </w:r>
      <w:r w:rsidR="00BD093A" w:rsidRPr="008C0993">
        <w:rPr>
          <w:rFonts w:ascii="Times New Roman" w:hAnsi="Times New Roman" w:cs="Times New Roman"/>
          <w:sz w:val="28"/>
          <w:szCs w:val="28"/>
        </w:rPr>
        <w:t>the wearing of the mourning cloth</w:t>
      </w:r>
      <w:r w:rsidR="00636958" w:rsidRPr="008C0993">
        <w:rPr>
          <w:rFonts w:ascii="Times New Roman" w:hAnsi="Times New Roman" w:cs="Times New Roman"/>
          <w:sz w:val="28"/>
          <w:szCs w:val="28"/>
        </w:rPr>
        <w:t xml:space="preserve"> within the </w:t>
      </w:r>
      <w:proofErr w:type="spellStart"/>
      <w:r w:rsidR="00636958" w:rsidRPr="008C0993">
        <w:rPr>
          <w:rFonts w:ascii="Times New Roman" w:hAnsi="Times New Roman" w:cs="Times New Roman"/>
          <w:sz w:val="28"/>
          <w:szCs w:val="28"/>
        </w:rPr>
        <w:t>Lekhanya</w:t>
      </w:r>
      <w:proofErr w:type="spellEnd"/>
      <w:r w:rsidR="00636958" w:rsidRPr="008C0993">
        <w:rPr>
          <w:rFonts w:ascii="Times New Roman" w:hAnsi="Times New Roman" w:cs="Times New Roman"/>
          <w:sz w:val="28"/>
          <w:szCs w:val="28"/>
        </w:rPr>
        <w:t xml:space="preserve"> family</w:t>
      </w:r>
      <w:r w:rsidR="00BD093A" w:rsidRPr="008C0993">
        <w:rPr>
          <w:rFonts w:ascii="Times New Roman" w:hAnsi="Times New Roman" w:cs="Times New Roman"/>
          <w:sz w:val="28"/>
          <w:szCs w:val="28"/>
        </w:rPr>
        <w:t>. It has been established that after the burial of the deceased, no wearing of the morning cloth was performed, but the children of the decease</w:t>
      </w:r>
      <w:r w:rsidR="000310D7" w:rsidRPr="008C0993">
        <w:rPr>
          <w:rFonts w:ascii="Times New Roman" w:hAnsi="Times New Roman" w:cs="Times New Roman"/>
          <w:sz w:val="28"/>
          <w:szCs w:val="28"/>
        </w:rPr>
        <w:t>d</w:t>
      </w:r>
      <w:r w:rsidR="00636958" w:rsidRPr="008C0993">
        <w:rPr>
          <w:rFonts w:ascii="Times New Roman" w:hAnsi="Times New Roman" w:cs="Times New Roman"/>
          <w:sz w:val="28"/>
          <w:szCs w:val="28"/>
        </w:rPr>
        <w:t xml:space="preserve"> performed ho “</w:t>
      </w:r>
      <w:proofErr w:type="spellStart"/>
      <w:r w:rsidR="00BD093A" w:rsidRPr="008C0993">
        <w:rPr>
          <w:rFonts w:ascii="Times New Roman" w:hAnsi="Times New Roman" w:cs="Times New Roman"/>
          <w:b/>
          <w:sz w:val="28"/>
          <w:szCs w:val="28"/>
        </w:rPr>
        <w:t>tlosa</w:t>
      </w:r>
      <w:proofErr w:type="spellEnd"/>
      <w:r w:rsidR="00BD093A" w:rsidRPr="008C0993">
        <w:rPr>
          <w:rFonts w:ascii="Times New Roman" w:hAnsi="Times New Roman" w:cs="Times New Roman"/>
          <w:b/>
          <w:sz w:val="28"/>
          <w:szCs w:val="28"/>
        </w:rPr>
        <w:t xml:space="preserve"> </w:t>
      </w:r>
      <w:proofErr w:type="spellStart"/>
      <w:r w:rsidR="00BD093A" w:rsidRPr="008C0993">
        <w:rPr>
          <w:rFonts w:ascii="Times New Roman" w:hAnsi="Times New Roman" w:cs="Times New Roman"/>
          <w:b/>
          <w:sz w:val="28"/>
          <w:szCs w:val="28"/>
        </w:rPr>
        <w:t>khutsana</w:t>
      </w:r>
      <w:proofErr w:type="spellEnd"/>
      <w:r w:rsidR="00BD093A" w:rsidRPr="008C0993">
        <w:rPr>
          <w:rFonts w:ascii="Times New Roman" w:hAnsi="Times New Roman" w:cs="Times New Roman"/>
          <w:sz w:val="28"/>
          <w:szCs w:val="28"/>
        </w:rPr>
        <w:t>” ceremony. It is worth stating that this ceremony was not performed by the deceased, rather it was performed by the family members.</w:t>
      </w:r>
      <w:r w:rsidR="004F188D" w:rsidRPr="008C0993">
        <w:rPr>
          <w:rFonts w:ascii="Times New Roman" w:hAnsi="Times New Roman" w:cs="Times New Roman"/>
          <w:color w:val="FF0000"/>
          <w:sz w:val="28"/>
          <w:szCs w:val="28"/>
        </w:rPr>
        <w:t xml:space="preserve"> </w:t>
      </w:r>
      <w:r w:rsidR="00501682" w:rsidRPr="008C0993">
        <w:rPr>
          <w:rFonts w:ascii="Times New Roman" w:hAnsi="Times New Roman" w:cs="Times New Roman"/>
          <w:sz w:val="28"/>
          <w:szCs w:val="28"/>
        </w:rPr>
        <w:t xml:space="preserve">See: The Executor of the </w:t>
      </w:r>
      <w:r w:rsidR="00501682" w:rsidRPr="003217E4">
        <w:rPr>
          <w:rFonts w:ascii="Times New Roman" w:hAnsi="Times New Roman" w:cs="Times New Roman"/>
          <w:sz w:val="28"/>
          <w:szCs w:val="28"/>
        </w:rPr>
        <w:t>Estate</w:t>
      </w:r>
      <w:r w:rsidR="00501682" w:rsidRPr="00036037">
        <w:rPr>
          <w:rFonts w:ascii="Times New Roman" w:hAnsi="Times New Roman" w:cs="Times New Roman"/>
          <w:b/>
          <w:bCs/>
          <w:i/>
          <w:iCs/>
          <w:sz w:val="28"/>
          <w:szCs w:val="28"/>
        </w:rPr>
        <w:t xml:space="preserve"> </w:t>
      </w:r>
      <w:proofErr w:type="spellStart"/>
      <w:r w:rsidR="00501682" w:rsidRPr="00036037">
        <w:rPr>
          <w:rFonts w:ascii="Times New Roman" w:hAnsi="Times New Roman" w:cs="Times New Roman"/>
          <w:b/>
          <w:bCs/>
          <w:i/>
          <w:iCs/>
          <w:sz w:val="28"/>
          <w:szCs w:val="28"/>
        </w:rPr>
        <w:t>Khakale</w:t>
      </w:r>
      <w:proofErr w:type="spellEnd"/>
      <w:r w:rsidR="00501682" w:rsidRPr="00036037">
        <w:rPr>
          <w:rFonts w:ascii="Times New Roman" w:hAnsi="Times New Roman" w:cs="Times New Roman"/>
          <w:b/>
          <w:bCs/>
          <w:i/>
          <w:iCs/>
          <w:sz w:val="28"/>
          <w:szCs w:val="28"/>
        </w:rPr>
        <w:t xml:space="preserve"> v </w:t>
      </w:r>
      <w:proofErr w:type="spellStart"/>
      <w:r w:rsidR="00501682" w:rsidRPr="00036037">
        <w:rPr>
          <w:rFonts w:ascii="Times New Roman" w:hAnsi="Times New Roman" w:cs="Times New Roman"/>
          <w:b/>
          <w:bCs/>
          <w:i/>
          <w:iCs/>
          <w:sz w:val="28"/>
          <w:szCs w:val="28"/>
        </w:rPr>
        <w:t>Khakale</w:t>
      </w:r>
      <w:proofErr w:type="spellEnd"/>
      <w:r w:rsidR="00501682" w:rsidRPr="00036037">
        <w:rPr>
          <w:rFonts w:ascii="Times New Roman" w:hAnsi="Times New Roman" w:cs="Times New Roman"/>
          <w:b/>
          <w:bCs/>
          <w:i/>
          <w:iCs/>
          <w:sz w:val="28"/>
          <w:szCs w:val="28"/>
        </w:rPr>
        <w:t xml:space="preserve"> and </w:t>
      </w:r>
      <w:r w:rsidR="00036037" w:rsidRPr="00036037">
        <w:rPr>
          <w:rFonts w:ascii="Times New Roman" w:hAnsi="Times New Roman" w:cs="Times New Roman"/>
          <w:b/>
          <w:bCs/>
          <w:i/>
          <w:iCs/>
          <w:sz w:val="28"/>
          <w:szCs w:val="28"/>
        </w:rPr>
        <w:t>O</w:t>
      </w:r>
      <w:r w:rsidR="00501682" w:rsidRPr="00036037">
        <w:rPr>
          <w:rFonts w:ascii="Times New Roman" w:hAnsi="Times New Roman" w:cs="Times New Roman"/>
          <w:b/>
          <w:bCs/>
          <w:i/>
          <w:iCs/>
          <w:sz w:val="28"/>
          <w:szCs w:val="28"/>
        </w:rPr>
        <w:t>thers</w:t>
      </w:r>
      <w:r w:rsidR="003217E4">
        <w:rPr>
          <w:rStyle w:val="FootnoteReference"/>
          <w:rFonts w:ascii="Times New Roman" w:hAnsi="Times New Roman" w:cs="Times New Roman"/>
          <w:b/>
          <w:bCs/>
          <w:i/>
          <w:iCs/>
          <w:sz w:val="28"/>
          <w:szCs w:val="28"/>
        </w:rPr>
        <w:footnoteReference w:id="18"/>
      </w:r>
      <w:r w:rsidR="00501682" w:rsidRPr="008C0993">
        <w:rPr>
          <w:rFonts w:ascii="Times New Roman" w:hAnsi="Times New Roman" w:cs="Times New Roman"/>
          <w:sz w:val="28"/>
          <w:szCs w:val="28"/>
        </w:rPr>
        <w:t xml:space="preserve">, where the Court stated that the concern should be about the mode of life of the deceased, but not that of the family. </w:t>
      </w:r>
      <w:r w:rsidR="008F77C2" w:rsidRPr="008C0993">
        <w:rPr>
          <w:rFonts w:ascii="Times New Roman" w:hAnsi="Times New Roman" w:cs="Times New Roman"/>
          <w:sz w:val="28"/>
          <w:szCs w:val="28"/>
        </w:rPr>
        <w:t xml:space="preserve">The court has </w:t>
      </w:r>
      <w:r w:rsidR="00F62061" w:rsidRPr="008C0993">
        <w:rPr>
          <w:rFonts w:ascii="Times New Roman" w:hAnsi="Times New Roman" w:cs="Times New Roman"/>
          <w:sz w:val="28"/>
          <w:szCs w:val="28"/>
        </w:rPr>
        <w:t>established that the deceased</w:t>
      </w:r>
      <w:r w:rsidR="008F77C2" w:rsidRPr="008C0993">
        <w:rPr>
          <w:rFonts w:ascii="Times New Roman" w:hAnsi="Times New Roman" w:cs="Times New Roman"/>
          <w:sz w:val="28"/>
          <w:szCs w:val="28"/>
        </w:rPr>
        <w:t xml:space="preserve"> (</w:t>
      </w:r>
      <w:proofErr w:type="spellStart"/>
      <w:r w:rsidR="008F77C2" w:rsidRPr="008C0993">
        <w:rPr>
          <w:rFonts w:ascii="Times New Roman" w:hAnsi="Times New Roman" w:cs="Times New Roman"/>
          <w:sz w:val="28"/>
          <w:szCs w:val="28"/>
        </w:rPr>
        <w:t>Metsing</w:t>
      </w:r>
      <w:proofErr w:type="spellEnd"/>
      <w:r w:rsidR="008F77C2" w:rsidRPr="008C0993">
        <w:rPr>
          <w:rFonts w:ascii="Times New Roman" w:hAnsi="Times New Roman" w:cs="Times New Roman"/>
          <w:sz w:val="28"/>
          <w:szCs w:val="28"/>
        </w:rPr>
        <w:t>)</w:t>
      </w:r>
      <w:r w:rsidR="00F62061" w:rsidRPr="008C0993">
        <w:rPr>
          <w:rFonts w:ascii="Times New Roman" w:hAnsi="Times New Roman" w:cs="Times New Roman"/>
          <w:sz w:val="28"/>
          <w:szCs w:val="28"/>
        </w:rPr>
        <w:t xml:space="preserve"> did not believe in the traditional medicines,</w:t>
      </w:r>
      <w:r w:rsidR="008F77C2" w:rsidRPr="008C0993">
        <w:rPr>
          <w:rFonts w:ascii="Times New Roman" w:hAnsi="Times New Roman" w:cs="Times New Roman"/>
          <w:sz w:val="28"/>
          <w:szCs w:val="28"/>
        </w:rPr>
        <w:t xml:space="preserve"> because he was concerned that the traditional medicine does not have a prescribed dosage, therefore </w:t>
      </w:r>
      <w:r w:rsidR="000310D7" w:rsidRPr="008C0993">
        <w:rPr>
          <w:rFonts w:ascii="Times New Roman" w:hAnsi="Times New Roman" w:cs="Times New Roman"/>
          <w:sz w:val="28"/>
          <w:szCs w:val="28"/>
        </w:rPr>
        <w:t xml:space="preserve">he </w:t>
      </w:r>
      <w:r w:rsidR="008F77C2" w:rsidRPr="008C0993">
        <w:rPr>
          <w:rFonts w:ascii="Times New Roman" w:hAnsi="Times New Roman" w:cs="Times New Roman"/>
          <w:sz w:val="28"/>
          <w:szCs w:val="28"/>
        </w:rPr>
        <w:t>regarded it as a health hazard.</w:t>
      </w:r>
    </w:p>
    <w:p w:rsidR="00036037" w:rsidRPr="008C0993" w:rsidRDefault="00036037" w:rsidP="008C0993">
      <w:pPr>
        <w:spacing w:line="360" w:lineRule="auto"/>
        <w:contextualSpacing/>
        <w:jc w:val="both"/>
        <w:rPr>
          <w:rFonts w:ascii="Times New Roman" w:hAnsi="Times New Roman" w:cs="Times New Roman"/>
          <w:sz w:val="28"/>
          <w:szCs w:val="28"/>
        </w:rPr>
      </w:pPr>
    </w:p>
    <w:p w:rsidR="00A116BB" w:rsidRDefault="00A116BB" w:rsidP="008C0993">
      <w:pPr>
        <w:spacing w:line="360" w:lineRule="auto"/>
        <w:contextualSpacing/>
        <w:jc w:val="both"/>
        <w:rPr>
          <w:rFonts w:ascii="Times New Roman" w:hAnsi="Times New Roman" w:cs="Times New Roman"/>
          <w:sz w:val="28"/>
          <w:szCs w:val="28"/>
        </w:rPr>
      </w:pPr>
      <w:r w:rsidRPr="008C0993">
        <w:rPr>
          <w:rFonts w:ascii="Times New Roman" w:hAnsi="Times New Roman" w:cs="Times New Roman"/>
          <w:sz w:val="28"/>
          <w:szCs w:val="28"/>
        </w:rPr>
        <w:t>[</w:t>
      </w:r>
      <w:r w:rsidR="00D47B89">
        <w:rPr>
          <w:rFonts w:ascii="Times New Roman" w:hAnsi="Times New Roman" w:cs="Times New Roman"/>
          <w:sz w:val="28"/>
          <w:szCs w:val="28"/>
        </w:rPr>
        <w:t>35</w:t>
      </w:r>
      <w:r w:rsidRPr="008C0993">
        <w:rPr>
          <w:rFonts w:ascii="Times New Roman" w:hAnsi="Times New Roman" w:cs="Times New Roman"/>
          <w:sz w:val="28"/>
          <w:szCs w:val="28"/>
        </w:rPr>
        <w:t xml:space="preserve">] On the other hand it was, it was suggested that the deceased- </w:t>
      </w:r>
      <w:proofErr w:type="spellStart"/>
      <w:r w:rsidRPr="008C0993">
        <w:rPr>
          <w:rFonts w:ascii="Times New Roman" w:hAnsi="Times New Roman" w:cs="Times New Roman"/>
          <w:sz w:val="28"/>
          <w:szCs w:val="28"/>
        </w:rPr>
        <w:t>Metsing</w:t>
      </w:r>
      <w:proofErr w:type="spellEnd"/>
      <w:r w:rsidRPr="008C0993">
        <w:rPr>
          <w:rFonts w:ascii="Times New Roman" w:hAnsi="Times New Roman" w:cs="Times New Roman"/>
          <w:sz w:val="28"/>
          <w:szCs w:val="28"/>
        </w:rPr>
        <w:t xml:space="preserve"> </w:t>
      </w:r>
      <w:proofErr w:type="spellStart"/>
      <w:r w:rsidRPr="008C0993">
        <w:rPr>
          <w:rFonts w:ascii="Times New Roman" w:hAnsi="Times New Roman" w:cs="Times New Roman"/>
          <w:sz w:val="28"/>
          <w:szCs w:val="28"/>
        </w:rPr>
        <w:t>Lekhanya</w:t>
      </w:r>
      <w:proofErr w:type="spellEnd"/>
      <w:r w:rsidRPr="008C0993">
        <w:rPr>
          <w:rFonts w:ascii="Times New Roman" w:hAnsi="Times New Roman" w:cs="Times New Roman"/>
          <w:sz w:val="28"/>
          <w:szCs w:val="28"/>
        </w:rPr>
        <w:t xml:space="preserve"> believed in ancestors/spirits and that annually around the month of August, he would slaughter an animal and a traditional doctor would come to his house to perform certain traditional rituals. Further that he would occasionally</w:t>
      </w:r>
      <w:r w:rsidR="002F253B" w:rsidRPr="008C0993">
        <w:rPr>
          <w:rFonts w:ascii="Times New Roman" w:hAnsi="Times New Roman" w:cs="Times New Roman"/>
          <w:sz w:val="28"/>
          <w:szCs w:val="28"/>
        </w:rPr>
        <w:t xml:space="preserve"> go</w:t>
      </w:r>
      <w:r w:rsidRPr="008C0993">
        <w:rPr>
          <w:rFonts w:ascii="Times New Roman" w:hAnsi="Times New Roman" w:cs="Times New Roman"/>
          <w:sz w:val="28"/>
          <w:szCs w:val="28"/>
        </w:rPr>
        <w:t xml:space="preserve"> to </w:t>
      </w:r>
      <w:proofErr w:type="spellStart"/>
      <w:r w:rsidRPr="008C0993">
        <w:rPr>
          <w:rFonts w:ascii="Times New Roman" w:hAnsi="Times New Roman" w:cs="Times New Roman"/>
          <w:sz w:val="28"/>
          <w:szCs w:val="28"/>
        </w:rPr>
        <w:t>Thaba</w:t>
      </w:r>
      <w:proofErr w:type="spellEnd"/>
      <w:r w:rsidRPr="008C0993">
        <w:rPr>
          <w:rFonts w:ascii="Times New Roman" w:hAnsi="Times New Roman" w:cs="Times New Roman"/>
          <w:sz w:val="28"/>
          <w:szCs w:val="28"/>
        </w:rPr>
        <w:t xml:space="preserve">- </w:t>
      </w:r>
      <w:proofErr w:type="spellStart"/>
      <w:r w:rsidRPr="008C0993">
        <w:rPr>
          <w:rFonts w:ascii="Times New Roman" w:hAnsi="Times New Roman" w:cs="Times New Roman"/>
          <w:sz w:val="28"/>
          <w:szCs w:val="28"/>
        </w:rPr>
        <w:t>Tseka</w:t>
      </w:r>
      <w:proofErr w:type="spellEnd"/>
      <w:r w:rsidRPr="008C0993">
        <w:rPr>
          <w:rFonts w:ascii="Times New Roman" w:hAnsi="Times New Roman" w:cs="Times New Roman"/>
          <w:sz w:val="28"/>
          <w:szCs w:val="28"/>
        </w:rPr>
        <w:t xml:space="preserve"> to consult with the traditional doctor, and that his skin and that of the first respondent were cut by the traditional doctor. Lastly that at </w:t>
      </w:r>
      <w:proofErr w:type="spellStart"/>
      <w:r w:rsidRPr="008C0993">
        <w:rPr>
          <w:rFonts w:ascii="Times New Roman" w:hAnsi="Times New Roman" w:cs="Times New Roman"/>
          <w:sz w:val="28"/>
          <w:szCs w:val="28"/>
        </w:rPr>
        <w:t>Lithakong</w:t>
      </w:r>
      <w:proofErr w:type="spellEnd"/>
      <w:r w:rsidRPr="008C0993">
        <w:rPr>
          <w:rFonts w:ascii="Times New Roman" w:hAnsi="Times New Roman" w:cs="Times New Roman"/>
          <w:sz w:val="28"/>
          <w:szCs w:val="28"/>
        </w:rPr>
        <w:t xml:space="preserve"> in the </w:t>
      </w:r>
      <w:proofErr w:type="spellStart"/>
      <w:r w:rsidRPr="008C0993">
        <w:rPr>
          <w:rFonts w:ascii="Times New Roman" w:hAnsi="Times New Roman" w:cs="Times New Roman"/>
          <w:sz w:val="28"/>
          <w:szCs w:val="28"/>
        </w:rPr>
        <w:t>Thaba-Tseka</w:t>
      </w:r>
      <w:proofErr w:type="spellEnd"/>
      <w:r w:rsidRPr="008C0993">
        <w:rPr>
          <w:rFonts w:ascii="Times New Roman" w:hAnsi="Times New Roman" w:cs="Times New Roman"/>
          <w:sz w:val="28"/>
          <w:szCs w:val="28"/>
        </w:rPr>
        <w:t xml:space="preserve"> district, there is a secluded </w:t>
      </w:r>
      <w:r w:rsidR="009E2FF6" w:rsidRPr="008C0993">
        <w:rPr>
          <w:rFonts w:ascii="Times New Roman" w:hAnsi="Times New Roman" w:cs="Times New Roman"/>
          <w:sz w:val="28"/>
          <w:szCs w:val="28"/>
        </w:rPr>
        <w:t>cemetery</w:t>
      </w:r>
      <w:r w:rsidRPr="008C0993">
        <w:rPr>
          <w:rFonts w:ascii="Times New Roman" w:hAnsi="Times New Roman" w:cs="Times New Roman"/>
          <w:sz w:val="28"/>
          <w:szCs w:val="28"/>
        </w:rPr>
        <w:t xml:space="preserve"> for the </w:t>
      </w:r>
      <w:proofErr w:type="spellStart"/>
      <w:r w:rsidRPr="008C0993">
        <w:rPr>
          <w:rFonts w:ascii="Times New Roman" w:hAnsi="Times New Roman" w:cs="Times New Roman"/>
          <w:sz w:val="28"/>
          <w:szCs w:val="28"/>
        </w:rPr>
        <w:t>Lekhanya</w:t>
      </w:r>
      <w:proofErr w:type="spellEnd"/>
      <w:r w:rsidRPr="008C0993">
        <w:rPr>
          <w:rFonts w:ascii="Times New Roman" w:hAnsi="Times New Roman" w:cs="Times New Roman"/>
          <w:sz w:val="28"/>
          <w:szCs w:val="28"/>
        </w:rPr>
        <w:t xml:space="preserve"> family members.</w:t>
      </w:r>
      <w:r w:rsidR="009E2FF6" w:rsidRPr="008C0993">
        <w:rPr>
          <w:rFonts w:ascii="Times New Roman" w:hAnsi="Times New Roman" w:cs="Times New Roman"/>
          <w:sz w:val="28"/>
          <w:szCs w:val="28"/>
        </w:rPr>
        <w:t xml:space="preserve"> </w:t>
      </w:r>
    </w:p>
    <w:p w:rsidR="00036037" w:rsidRPr="008C0993" w:rsidRDefault="00036037" w:rsidP="008C0993">
      <w:pPr>
        <w:spacing w:line="360" w:lineRule="auto"/>
        <w:contextualSpacing/>
        <w:jc w:val="both"/>
        <w:rPr>
          <w:rFonts w:ascii="Times New Roman" w:hAnsi="Times New Roman" w:cs="Times New Roman"/>
          <w:sz w:val="28"/>
          <w:szCs w:val="28"/>
        </w:rPr>
      </w:pPr>
    </w:p>
    <w:p w:rsidR="00CB7961" w:rsidRDefault="009E2FF6" w:rsidP="008C0993">
      <w:pPr>
        <w:spacing w:line="360" w:lineRule="auto"/>
        <w:contextualSpacing/>
        <w:jc w:val="both"/>
        <w:rPr>
          <w:rFonts w:ascii="Times New Roman" w:hAnsi="Times New Roman" w:cs="Times New Roman"/>
          <w:sz w:val="28"/>
          <w:szCs w:val="28"/>
        </w:rPr>
      </w:pPr>
      <w:r w:rsidRPr="008C0993">
        <w:rPr>
          <w:rFonts w:ascii="Times New Roman" w:hAnsi="Times New Roman" w:cs="Times New Roman"/>
          <w:sz w:val="28"/>
          <w:szCs w:val="28"/>
        </w:rPr>
        <w:t>[</w:t>
      </w:r>
      <w:r w:rsidR="00D47B89">
        <w:rPr>
          <w:rFonts w:ascii="Times New Roman" w:hAnsi="Times New Roman" w:cs="Times New Roman"/>
          <w:sz w:val="28"/>
          <w:szCs w:val="28"/>
        </w:rPr>
        <w:t>36</w:t>
      </w:r>
      <w:r w:rsidRPr="008C0993">
        <w:rPr>
          <w:rFonts w:ascii="Times New Roman" w:hAnsi="Times New Roman" w:cs="Times New Roman"/>
          <w:sz w:val="28"/>
          <w:szCs w:val="28"/>
        </w:rPr>
        <w:t>] The court does not believe the fact that</w:t>
      </w:r>
      <w:r w:rsidR="00636958" w:rsidRPr="008C0993">
        <w:rPr>
          <w:rFonts w:ascii="Times New Roman" w:hAnsi="Times New Roman" w:cs="Times New Roman"/>
          <w:sz w:val="28"/>
          <w:szCs w:val="28"/>
        </w:rPr>
        <w:t xml:space="preserve"> the deceased- </w:t>
      </w:r>
      <w:proofErr w:type="spellStart"/>
      <w:r w:rsidR="00636958" w:rsidRPr="008C0993">
        <w:rPr>
          <w:rFonts w:ascii="Times New Roman" w:hAnsi="Times New Roman" w:cs="Times New Roman"/>
          <w:sz w:val="28"/>
          <w:szCs w:val="28"/>
        </w:rPr>
        <w:t>Metsing</w:t>
      </w:r>
      <w:proofErr w:type="spellEnd"/>
      <w:r w:rsidR="00636958" w:rsidRPr="008C0993">
        <w:rPr>
          <w:rFonts w:ascii="Times New Roman" w:hAnsi="Times New Roman" w:cs="Times New Roman"/>
          <w:sz w:val="28"/>
          <w:szCs w:val="28"/>
        </w:rPr>
        <w:t xml:space="preserve"> </w:t>
      </w:r>
      <w:proofErr w:type="spellStart"/>
      <w:r w:rsidR="00636958" w:rsidRPr="008C0993">
        <w:rPr>
          <w:rFonts w:ascii="Times New Roman" w:hAnsi="Times New Roman" w:cs="Times New Roman"/>
          <w:sz w:val="28"/>
          <w:szCs w:val="28"/>
        </w:rPr>
        <w:t>Lekhanya</w:t>
      </w:r>
      <w:proofErr w:type="spellEnd"/>
      <w:r w:rsidRPr="008C0993">
        <w:rPr>
          <w:rFonts w:ascii="Times New Roman" w:hAnsi="Times New Roman" w:cs="Times New Roman"/>
          <w:sz w:val="28"/>
          <w:szCs w:val="28"/>
        </w:rPr>
        <w:t xml:space="preserve"> would cons</w:t>
      </w:r>
      <w:r w:rsidR="008F77C2" w:rsidRPr="008C0993">
        <w:rPr>
          <w:rFonts w:ascii="Times New Roman" w:hAnsi="Times New Roman" w:cs="Times New Roman"/>
          <w:sz w:val="28"/>
          <w:szCs w:val="28"/>
        </w:rPr>
        <w:t xml:space="preserve">ult with the traditional doctor. Evidence was led </w:t>
      </w:r>
      <w:r w:rsidR="00C028B8">
        <w:rPr>
          <w:rFonts w:ascii="Times New Roman" w:hAnsi="Times New Roman" w:cs="Times New Roman"/>
          <w:sz w:val="28"/>
          <w:szCs w:val="28"/>
        </w:rPr>
        <w:t xml:space="preserve">by the applicants </w:t>
      </w:r>
      <w:r w:rsidR="008F77C2" w:rsidRPr="008C0993">
        <w:rPr>
          <w:rFonts w:ascii="Times New Roman" w:hAnsi="Times New Roman" w:cs="Times New Roman"/>
          <w:sz w:val="28"/>
          <w:szCs w:val="28"/>
        </w:rPr>
        <w:t xml:space="preserve">that </w:t>
      </w:r>
      <w:proofErr w:type="spellStart"/>
      <w:r w:rsidR="008F77C2" w:rsidRPr="008C0993">
        <w:rPr>
          <w:rFonts w:ascii="Times New Roman" w:hAnsi="Times New Roman" w:cs="Times New Roman"/>
          <w:sz w:val="28"/>
          <w:szCs w:val="28"/>
        </w:rPr>
        <w:t>Metsing</w:t>
      </w:r>
      <w:proofErr w:type="spellEnd"/>
      <w:r w:rsidR="008F77C2" w:rsidRPr="008C0993">
        <w:rPr>
          <w:rFonts w:ascii="Times New Roman" w:hAnsi="Times New Roman" w:cs="Times New Roman"/>
          <w:sz w:val="28"/>
          <w:szCs w:val="28"/>
        </w:rPr>
        <w:t xml:space="preserve"> </w:t>
      </w:r>
      <w:proofErr w:type="spellStart"/>
      <w:r w:rsidR="008F77C2" w:rsidRPr="008C0993">
        <w:rPr>
          <w:rFonts w:ascii="Times New Roman" w:hAnsi="Times New Roman" w:cs="Times New Roman"/>
          <w:sz w:val="28"/>
          <w:szCs w:val="28"/>
        </w:rPr>
        <w:t>Lekhanya</w:t>
      </w:r>
      <w:proofErr w:type="spellEnd"/>
      <w:r w:rsidR="008F77C2" w:rsidRPr="008C0993">
        <w:rPr>
          <w:rFonts w:ascii="Times New Roman" w:hAnsi="Times New Roman" w:cs="Times New Roman"/>
          <w:sz w:val="28"/>
          <w:szCs w:val="28"/>
        </w:rPr>
        <w:t xml:space="preserve"> did not believe in traditional medicine, because of the danger that such medicine does not have a prescribed dosage. The court does not find</w:t>
      </w:r>
      <w:r w:rsidR="00636958" w:rsidRPr="008C0993">
        <w:rPr>
          <w:rFonts w:ascii="Times New Roman" w:hAnsi="Times New Roman" w:cs="Times New Roman"/>
          <w:sz w:val="28"/>
          <w:szCs w:val="28"/>
        </w:rPr>
        <w:t xml:space="preserve"> the</w:t>
      </w:r>
      <w:r w:rsidR="008F77C2" w:rsidRPr="008C0993">
        <w:rPr>
          <w:rFonts w:ascii="Times New Roman" w:hAnsi="Times New Roman" w:cs="Times New Roman"/>
          <w:sz w:val="28"/>
          <w:szCs w:val="28"/>
        </w:rPr>
        <w:t xml:space="preserve"> first respondent’s evidence credible in this regard, because if the deceased did not believe in the traditional healing, why would he consult a traditional doctor</w:t>
      </w:r>
      <w:r w:rsidR="00EA58A1" w:rsidRPr="008C0993">
        <w:rPr>
          <w:rFonts w:ascii="Times New Roman" w:hAnsi="Times New Roman" w:cs="Times New Roman"/>
          <w:sz w:val="28"/>
          <w:szCs w:val="28"/>
        </w:rPr>
        <w:t xml:space="preserve">, who </w:t>
      </w:r>
      <w:r w:rsidR="00EA58A1" w:rsidRPr="008C0993">
        <w:rPr>
          <w:rFonts w:ascii="Times New Roman" w:hAnsi="Times New Roman" w:cs="Times New Roman"/>
          <w:sz w:val="28"/>
          <w:szCs w:val="28"/>
        </w:rPr>
        <w:lastRenderedPageBreak/>
        <w:t xml:space="preserve">would ultimately </w:t>
      </w:r>
      <w:r w:rsidR="002136D1">
        <w:rPr>
          <w:rFonts w:ascii="Times New Roman" w:hAnsi="Times New Roman" w:cs="Times New Roman"/>
          <w:sz w:val="28"/>
          <w:szCs w:val="28"/>
        </w:rPr>
        <w:t xml:space="preserve">prescribe </w:t>
      </w:r>
      <w:r w:rsidR="00EA58A1" w:rsidRPr="008C0993">
        <w:rPr>
          <w:rFonts w:ascii="Times New Roman" w:hAnsi="Times New Roman" w:cs="Times New Roman"/>
          <w:sz w:val="28"/>
          <w:szCs w:val="28"/>
        </w:rPr>
        <w:t xml:space="preserve">a traditional cure. It was suggested to the two applicants that the traditional doctor would cut their skin to administer medicine, and this fact was denied by the applicants. However, first respondent stated that the deceased and himself used to go to the traditional doctor, and the doctor would cut their skin. Under cross examination of the two applicants, it was put to them that their skin was cut. However, while giving evidence in chief, the first respondent said that the two applicants did not have their skin cut, because only himself and </w:t>
      </w:r>
      <w:proofErr w:type="spellStart"/>
      <w:r w:rsidR="00EA58A1" w:rsidRPr="008C0993">
        <w:rPr>
          <w:rFonts w:ascii="Times New Roman" w:hAnsi="Times New Roman" w:cs="Times New Roman"/>
          <w:sz w:val="28"/>
          <w:szCs w:val="28"/>
        </w:rPr>
        <w:t>Metsing</w:t>
      </w:r>
      <w:proofErr w:type="spellEnd"/>
      <w:r w:rsidR="00EA58A1" w:rsidRPr="008C0993">
        <w:rPr>
          <w:rFonts w:ascii="Times New Roman" w:hAnsi="Times New Roman" w:cs="Times New Roman"/>
          <w:sz w:val="28"/>
          <w:szCs w:val="28"/>
        </w:rPr>
        <w:t xml:space="preserve"> </w:t>
      </w:r>
      <w:proofErr w:type="spellStart"/>
      <w:r w:rsidR="00EA58A1" w:rsidRPr="008C0993">
        <w:rPr>
          <w:rFonts w:ascii="Times New Roman" w:hAnsi="Times New Roman" w:cs="Times New Roman"/>
          <w:sz w:val="28"/>
          <w:szCs w:val="28"/>
        </w:rPr>
        <w:t>Lekhanya</w:t>
      </w:r>
      <w:proofErr w:type="spellEnd"/>
      <w:r w:rsidR="00EA58A1" w:rsidRPr="008C0993">
        <w:rPr>
          <w:rFonts w:ascii="Times New Roman" w:hAnsi="Times New Roman" w:cs="Times New Roman"/>
          <w:sz w:val="28"/>
          <w:szCs w:val="28"/>
        </w:rPr>
        <w:t xml:space="preserve"> would consult with the traditional doctor. </w:t>
      </w:r>
      <w:r w:rsidRPr="008C0993">
        <w:rPr>
          <w:rFonts w:ascii="Times New Roman" w:hAnsi="Times New Roman" w:cs="Times New Roman"/>
          <w:sz w:val="28"/>
          <w:szCs w:val="28"/>
        </w:rPr>
        <w:t xml:space="preserve">How would </w:t>
      </w:r>
      <w:proofErr w:type="spellStart"/>
      <w:r w:rsidR="008E3F90">
        <w:rPr>
          <w:rFonts w:ascii="Times New Roman" w:hAnsi="Times New Roman" w:cs="Times New Roman"/>
          <w:sz w:val="28"/>
          <w:szCs w:val="28"/>
        </w:rPr>
        <w:t>Metsing</w:t>
      </w:r>
      <w:proofErr w:type="spellEnd"/>
      <w:r w:rsidR="008E3F90">
        <w:rPr>
          <w:rFonts w:ascii="Times New Roman" w:hAnsi="Times New Roman" w:cs="Times New Roman"/>
          <w:sz w:val="28"/>
          <w:szCs w:val="28"/>
        </w:rPr>
        <w:t xml:space="preserve"> </w:t>
      </w:r>
      <w:proofErr w:type="spellStart"/>
      <w:r w:rsidR="008E3F90">
        <w:rPr>
          <w:rFonts w:ascii="Times New Roman" w:hAnsi="Times New Roman" w:cs="Times New Roman"/>
          <w:sz w:val="28"/>
          <w:szCs w:val="28"/>
        </w:rPr>
        <w:t>Lekhanya</w:t>
      </w:r>
      <w:proofErr w:type="spellEnd"/>
      <w:r w:rsidRPr="008C0993">
        <w:rPr>
          <w:rFonts w:ascii="Times New Roman" w:hAnsi="Times New Roman" w:cs="Times New Roman"/>
          <w:sz w:val="28"/>
          <w:szCs w:val="28"/>
        </w:rPr>
        <w:t xml:space="preserve"> then consult with the traditional doctor who would ultimately give out the traditional medicine</w:t>
      </w:r>
      <w:r w:rsidR="00EA58A1" w:rsidRPr="008C0993">
        <w:rPr>
          <w:rFonts w:ascii="Times New Roman" w:hAnsi="Times New Roman" w:cs="Times New Roman"/>
          <w:sz w:val="28"/>
          <w:szCs w:val="28"/>
        </w:rPr>
        <w:t xml:space="preserve">, while it has not been denied </w:t>
      </w:r>
      <w:r w:rsidR="00E2579C">
        <w:rPr>
          <w:rFonts w:ascii="Times New Roman" w:hAnsi="Times New Roman" w:cs="Times New Roman"/>
          <w:sz w:val="28"/>
          <w:szCs w:val="28"/>
        </w:rPr>
        <w:t xml:space="preserve">by first respondent </w:t>
      </w:r>
      <w:r w:rsidR="00EA58A1" w:rsidRPr="008C0993">
        <w:rPr>
          <w:rFonts w:ascii="Times New Roman" w:hAnsi="Times New Roman" w:cs="Times New Roman"/>
          <w:sz w:val="28"/>
          <w:szCs w:val="28"/>
        </w:rPr>
        <w:t xml:space="preserve">that </w:t>
      </w:r>
      <w:proofErr w:type="spellStart"/>
      <w:r w:rsidR="00EA58A1" w:rsidRPr="008C0993">
        <w:rPr>
          <w:rFonts w:ascii="Times New Roman" w:hAnsi="Times New Roman" w:cs="Times New Roman"/>
          <w:sz w:val="28"/>
          <w:szCs w:val="28"/>
        </w:rPr>
        <w:t>Metsing</w:t>
      </w:r>
      <w:proofErr w:type="spellEnd"/>
      <w:r w:rsidR="00EA58A1" w:rsidRPr="008C0993">
        <w:rPr>
          <w:rFonts w:ascii="Times New Roman" w:hAnsi="Times New Roman" w:cs="Times New Roman"/>
          <w:sz w:val="28"/>
          <w:szCs w:val="28"/>
        </w:rPr>
        <w:t xml:space="preserve"> </w:t>
      </w:r>
      <w:proofErr w:type="spellStart"/>
      <w:r w:rsidR="00EA58A1" w:rsidRPr="008C0993">
        <w:rPr>
          <w:rFonts w:ascii="Times New Roman" w:hAnsi="Times New Roman" w:cs="Times New Roman"/>
          <w:sz w:val="28"/>
          <w:szCs w:val="28"/>
        </w:rPr>
        <w:t>Lekhanya</w:t>
      </w:r>
      <w:proofErr w:type="spellEnd"/>
      <w:r w:rsidR="00EA58A1" w:rsidRPr="008C0993">
        <w:rPr>
          <w:rFonts w:ascii="Times New Roman" w:hAnsi="Times New Roman" w:cs="Times New Roman"/>
          <w:sz w:val="28"/>
          <w:szCs w:val="28"/>
        </w:rPr>
        <w:t xml:space="preserve"> did not believe in the traditional medicine. The court </w:t>
      </w:r>
      <w:proofErr w:type="gramStart"/>
      <w:r w:rsidR="00EA58A1" w:rsidRPr="008C0993">
        <w:rPr>
          <w:rFonts w:ascii="Times New Roman" w:hAnsi="Times New Roman" w:cs="Times New Roman"/>
          <w:sz w:val="28"/>
          <w:szCs w:val="28"/>
        </w:rPr>
        <w:t>on the basis of</w:t>
      </w:r>
      <w:proofErr w:type="gramEnd"/>
      <w:r w:rsidR="00EA58A1" w:rsidRPr="008C0993">
        <w:rPr>
          <w:rFonts w:ascii="Times New Roman" w:hAnsi="Times New Roman" w:cs="Times New Roman"/>
          <w:sz w:val="28"/>
          <w:szCs w:val="28"/>
        </w:rPr>
        <w:t xml:space="preserve"> this fact </w:t>
      </w:r>
      <w:r w:rsidR="00662542" w:rsidRPr="008C0993">
        <w:rPr>
          <w:rFonts w:ascii="Times New Roman" w:hAnsi="Times New Roman" w:cs="Times New Roman"/>
          <w:sz w:val="28"/>
          <w:szCs w:val="28"/>
        </w:rPr>
        <w:t>does not find the first respondent’s evidence credible in this regard.</w:t>
      </w:r>
      <w:r w:rsidRPr="008C0993">
        <w:rPr>
          <w:rFonts w:ascii="Times New Roman" w:hAnsi="Times New Roman" w:cs="Times New Roman"/>
          <w:sz w:val="28"/>
          <w:szCs w:val="28"/>
        </w:rPr>
        <w:t xml:space="preserve"> The court has </w:t>
      </w:r>
      <w:r w:rsidR="00662542" w:rsidRPr="008C0993">
        <w:rPr>
          <w:rFonts w:ascii="Times New Roman" w:hAnsi="Times New Roman" w:cs="Times New Roman"/>
          <w:sz w:val="28"/>
          <w:szCs w:val="28"/>
        </w:rPr>
        <w:t xml:space="preserve">also </w:t>
      </w:r>
      <w:r w:rsidRPr="008C0993">
        <w:rPr>
          <w:rFonts w:ascii="Times New Roman" w:hAnsi="Times New Roman" w:cs="Times New Roman"/>
          <w:sz w:val="28"/>
          <w:szCs w:val="28"/>
        </w:rPr>
        <w:t xml:space="preserve">taken into account that Mr. </w:t>
      </w:r>
      <w:proofErr w:type="spellStart"/>
      <w:r w:rsidRPr="008C0993">
        <w:rPr>
          <w:rFonts w:ascii="Times New Roman" w:hAnsi="Times New Roman" w:cs="Times New Roman"/>
          <w:sz w:val="28"/>
          <w:szCs w:val="28"/>
        </w:rPr>
        <w:t>Metsing</w:t>
      </w:r>
      <w:proofErr w:type="spellEnd"/>
      <w:r w:rsidRPr="008C0993">
        <w:rPr>
          <w:rFonts w:ascii="Times New Roman" w:hAnsi="Times New Roman" w:cs="Times New Roman"/>
          <w:sz w:val="28"/>
          <w:szCs w:val="28"/>
        </w:rPr>
        <w:t xml:space="preserve"> </w:t>
      </w:r>
      <w:proofErr w:type="spellStart"/>
      <w:r w:rsidRPr="008C0993">
        <w:rPr>
          <w:rFonts w:ascii="Times New Roman" w:hAnsi="Times New Roman" w:cs="Times New Roman"/>
          <w:sz w:val="28"/>
          <w:szCs w:val="28"/>
        </w:rPr>
        <w:t>Lekhanya</w:t>
      </w:r>
      <w:proofErr w:type="spellEnd"/>
      <w:r w:rsidRPr="008C0993">
        <w:rPr>
          <w:rFonts w:ascii="Times New Roman" w:hAnsi="Times New Roman" w:cs="Times New Roman"/>
          <w:sz w:val="28"/>
          <w:szCs w:val="28"/>
        </w:rPr>
        <w:t>, was not only a member of the Roman Catholic Church, but</w:t>
      </w:r>
      <w:r w:rsidR="00662542" w:rsidRPr="008C0993">
        <w:rPr>
          <w:rFonts w:ascii="Times New Roman" w:hAnsi="Times New Roman" w:cs="Times New Roman"/>
          <w:sz w:val="28"/>
          <w:szCs w:val="28"/>
        </w:rPr>
        <w:t xml:space="preserve"> was</w:t>
      </w:r>
      <w:r w:rsidRPr="008C0993">
        <w:rPr>
          <w:rFonts w:ascii="Times New Roman" w:hAnsi="Times New Roman" w:cs="Times New Roman"/>
          <w:sz w:val="28"/>
          <w:szCs w:val="28"/>
        </w:rPr>
        <w:t xml:space="preserve"> also a member of the Soda</w:t>
      </w:r>
      <w:r w:rsidR="009D6A77">
        <w:rPr>
          <w:rFonts w:ascii="Times New Roman" w:hAnsi="Times New Roman" w:cs="Times New Roman"/>
          <w:sz w:val="28"/>
          <w:szCs w:val="28"/>
        </w:rPr>
        <w:t>l</w:t>
      </w:r>
      <w:r w:rsidRPr="008C0993">
        <w:rPr>
          <w:rFonts w:ascii="Times New Roman" w:hAnsi="Times New Roman" w:cs="Times New Roman"/>
          <w:sz w:val="28"/>
          <w:szCs w:val="28"/>
        </w:rPr>
        <w:t>ity of the Sacred Heart of Jesus</w:t>
      </w:r>
      <w:r w:rsidR="00662542" w:rsidRPr="008C0993">
        <w:rPr>
          <w:rFonts w:ascii="Times New Roman" w:hAnsi="Times New Roman" w:cs="Times New Roman"/>
          <w:sz w:val="28"/>
          <w:szCs w:val="28"/>
        </w:rPr>
        <w:t>, therefore it</w:t>
      </w:r>
      <w:r w:rsidR="00C64403" w:rsidRPr="008C0993">
        <w:rPr>
          <w:rFonts w:ascii="Times New Roman" w:hAnsi="Times New Roman" w:cs="Times New Roman"/>
          <w:sz w:val="28"/>
          <w:szCs w:val="28"/>
        </w:rPr>
        <w:t xml:space="preserve"> is</w:t>
      </w:r>
      <w:r w:rsidR="00662542" w:rsidRPr="008C0993">
        <w:rPr>
          <w:rFonts w:ascii="Times New Roman" w:hAnsi="Times New Roman" w:cs="Times New Roman"/>
          <w:sz w:val="28"/>
          <w:szCs w:val="28"/>
        </w:rPr>
        <w:t xml:space="preserve"> highly improbable that he would cons</w:t>
      </w:r>
      <w:r w:rsidR="00E06772" w:rsidRPr="008C0993">
        <w:rPr>
          <w:rFonts w:ascii="Times New Roman" w:hAnsi="Times New Roman" w:cs="Times New Roman"/>
          <w:sz w:val="28"/>
          <w:szCs w:val="28"/>
        </w:rPr>
        <w:t>ult with the traditional doctor, in contravention of the Roman Catholic Church dogma.</w:t>
      </w:r>
    </w:p>
    <w:p w:rsidR="00036037" w:rsidRPr="008C0993" w:rsidRDefault="00036037" w:rsidP="008C0993">
      <w:pPr>
        <w:spacing w:line="360" w:lineRule="auto"/>
        <w:contextualSpacing/>
        <w:jc w:val="both"/>
        <w:rPr>
          <w:rFonts w:ascii="Times New Roman" w:hAnsi="Times New Roman" w:cs="Times New Roman"/>
          <w:sz w:val="28"/>
          <w:szCs w:val="28"/>
        </w:rPr>
      </w:pPr>
    </w:p>
    <w:p w:rsidR="00743CAF" w:rsidRPr="00743CAF" w:rsidRDefault="00743CAF" w:rsidP="008C0993">
      <w:pPr>
        <w:spacing w:line="360" w:lineRule="auto"/>
        <w:contextualSpacing/>
        <w:jc w:val="both"/>
        <w:rPr>
          <w:rFonts w:ascii="Times New Roman" w:hAnsi="Times New Roman" w:cs="Times New Roman"/>
          <w:b/>
          <w:bCs/>
          <w:sz w:val="28"/>
          <w:szCs w:val="28"/>
        </w:rPr>
      </w:pPr>
      <w:r w:rsidRPr="00743CAF">
        <w:rPr>
          <w:rFonts w:ascii="Times New Roman" w:hAnsi="Times New Roman" w:cs="Times New Roman"/>
          <w:b/>
          <w:bCs/>
          <w:sz w:val="28"/>
          <w:szCs w:val="28"/>
        </w:rPr>
        <w:t>Conclusion</w:t>
      </w:r>
    </w:p>
    <w:p w:rsidR="00CB7961" w:rsidRDefault="00CB7961" w:rsidP="008C0993">
      <w:pPr>
        <w:spacing w:line="360" w:lineRule="auto"/>
        <w:contextualSpacing/>
        <w:jc w:val="both"/>
        <w:rPr>
          <w:rFonts w:ascii="Times New Roman" w:hAnsi="Times New Roman" w:cs="Times New Roman"/>
          <w:sz w:val="28"/>
          <w:szCs w:val="28"/>
        </w:rPr>
      </w:pPr>
      <w:r w:rsidRPr="008C0993">
        <w:rPr>
          <w:rFonts w:ascii="Times New Roman" w:hAnsi="Times New Roman" w:cs="Times New Roman"/>
          <w:sz w:val="28"/>
          <w:szCs w:val="28"/>
        </w:rPr>
        <w:t>[</w:t>
      </w:r>
      <w:r w:rsidR="00D47B89">
        <w:rPr>
          <w:rFonts w:ascii="Times New Roman" w:hAnsi="Times New Roman" w:cs="Times New Roman"/>
          <w:sz w:val="28"/>
          <w:szCs w:val="28"/>
        </w:rPr>
        <w:t>37</w:t>
      </w:r>
      <w:r w:rsidRPr="008C0993">
        <w:rPr>
          <w:rFonts w:ascii="Times New Roman" w:hAnsi="Times New Roman" w:cs="Times New Roman"/>
          <w:sz w:val="28"/>
          <w:szCs w:val="28"/>
        </w:rPr>
        <w:t>] In the light of the above, it</w:t>
      </w:r>
      <w:r w:rsidR="000E57D4" w:rsidRPr="008C0993">
        <w:rPr>
          <w:rFonts w:ascii="Times New Roman" w:hAnsi="Times New Roman" w:cs="Times New Roman"/>
          <w:sz w:val="28"/>
          <w:szCs w:val="28"/>
        </w:rPr>
        <w:t xml:space="preserve"> follows in my view that the</w:t>
      </w:r>
      <w:r w:rsidRPr="008C0993">
        <w:rPr>
          <w:rFonts w:ascii="Times New Roman" w:hAnsi="Times New Roman" w:cs="Times New Roman"/>
          <w:sz w:val="28"/>
          <w:szCs w:val="28"/>
        </w:rPr>
        <w:t xml:space="preserve"> late </w:t>
      </w:r>
      <w:proofErr w:type="spellStart"/>
      <w:r w:rsidRPr="008C0993">
        <w:rPr>
          <w:rFonts w:ascii="Times New Roman" w:hAnsi="Times New Roman" w:cs="Times New Roman"/>
          <w:sz w:val="28"/>
          <w:szCs w:val="28"/>
        </w:rPr>
        <w:t>Metsing</w:t>
      </w:r>
      <w:proofErr w:type="spellEnd"/>
      <w:r w:rsidRPr="008C0993">
        <w:rPr>
          <w:rFonts w:ascii="Times New Roman" w:hAnsi="Times New Roman" w:cs="Times New Roman"/>
          <w:sz w:val="28"/>
          <w:szCs w:val="28"/>
        </w:rPr>
        <w:t xml:space="preserve"> </w:t>
      </w:r>
      <w:proofErr w:type="spellStart"/>
      <w:r w:rsidRPr="008C0993">
        <w:rPr>
          <w:rFonts w:ascii="Times New Roman" w:hAnsi="Times New Roman" w:cs="Times New Roman"/>
          <w:sz w:val="28"/>
          <w:szCs w:val="28"/>
        </w:rPr>
        <w:t>Lekhanya</w:t>
      </w:r>
      <w:proofErr w:type="spellEnd"/>
      <w:r w:rsidRPr="008C0993">
        <w:rPr>
          <w:rFonts w:ascii="Times New Roman" w:hAnsi="Times New Roman" w:cs="Times New Roman"/>
          <w:sz w:val="28"/>
          <w:szCs w:val="28"/>
        </w:rPr>
        <w:t xml:space="preserve"> and Sophia </w:t>
      </w:r>
      <w:proofErr w:type="spellStart"/>
      <w:r w:rsidRPr="008C0993">
        <w:rPr>
          <w:rFonts w:ascii="Times New Roman" w:hAnsi="Times New Roman" w:cs="Times New Roman"/>
          <w:sz w:val="28"/>
          <w:szCs w:val="28"/>
        </w:rPr>
        <w:t>Lekhanya</w:t>
      </w:r>
      <w:proofErr w:type="spellEnd"/>
      <w:r w:rsidRPr="008C0993">
        <w:rPr>
          <w:rFonts w:ascii="Times New Roman" w:hAnsi="Times New Roman" w:cs="Times New Roman"/>
          <w:sz w:val="28"/>
          <w:szCs w:val="28"/>
        </w:rPr>
        <w:t xml:space="preserve">, must be taken to have abandoned customary mode of life, and adopted a European way of life and that the deceased- </w:t>
      </w:r>
      <w:proofErr w:type="spellStart"/>
      <w:r w:rsidRPr="008C0993">
        <w:rPr>
          <w:rFonts w:ascii="Times New Roman" w:hAnsi="Times New Roman" w:cs="Times New Roman"/>
          <w:sz w:val="28"/>
          <w:szCs w:val="28"/>
        </w:rPr>
        <w:t>Metsing</w:t>
      </w:r>
      <w:proofErr w:type="spellEnd"/>
      <w:r w:rsidRPr="008C0993">
        <w:rPr>
          <w:rFonts w:ascii="Times New Roman" w:hAnsi="Times New Roman" w:cs="Times New Roman"/>
          <w:sz w:val="28"/>
          <w:szCs w:val="28"/>
        </w:rPr>
        <w:t xml:space="preserve"> </w:t>
      </w:r>
      <w:proofErr w:type="spellStart"/>
      <w:r w:rsidRPr="008C0993">
        <w:rPr>
          <w:rFonts w:ascii="Times New Roman" w:hAnsi="Times New Roman" w:cs="Times New Roman"/>
          <w:sz w:val="28"/>
          <w:szCs w:val="28"/>
        </w:rPr>
        <w:t>Lek</w:t>
      </w:r>
      <w:r w:rsidR="00C75AFC" w:rsidRPr="008C0993">
        <w:rPr>
          <w:rFonts w:ascii="Times New Roman" w:hAnsi="Times New Roman" w:cs="Times New Roman"/>
          <w:sz w:val="28"/>
          <w:szCs w:val="28"/>
        </w:rPr>
        <w:t>hanya</w:t>
      </w:r>
      <w:proofErr w:type="spellEnd"/>
      <w:r w:rsidR="00C75AFC" w:rsidRPr="008C0993">
        <w:rPr>
          <w:rFonts w:ascii="Times New Roman" w:hAnsi="Times New Roman" w:cs="Times New Roman"/>
          <w:sz w:val="28"/>
          <w:szCs w:val="28"/>
        </w:rPr>
        <w:t xml:space="preserve"> and Sophie </w:t>
      </w:r>
      <w:proofErr w:type="spellStart"/>
      <w:r w:rsidR="00C75AFC" w:rsidRPr="008C0993">
        <w:rPr>
          <w:rFonts w:ascii="Times New Roman" w:hAnsi="Times New Roman" w:cs="Times New Roman"/>
          <w:sz w:val="28"/>
          <w:szCs w:val="28"/>
        </w:rPr>
        <w:t>Lekhanya</w:t>
      </w:r>
      <w:proofErr w:type="spellEnd"/>
      <w:r w:rsidR="00C75AFC" w:rsidRPr="008C0993">
        <w:rPr>
          <w:rFonts w:ascii="Times New Roman" w:hAnsi="Times New Roman" w:cs="Times New Roman"/>
          <w:sz w:val="28"/>
          <w:szCs w:val="28"/>
        </w:rPr>
        <w:t xml:space="preserve"> </w:t>
      </w:r>
      <w:r w:rsidRPr="008C0993">
        <w:rPr>
          <w:rFonts w:ascii="Times New Roman" w:hAnsi="Times New Roman" w:cs="Times New Roman"/>
          <w:sz w:val="28"/>
          <w:szCs w:val="28"/>
        </w:rPr>
        <w:t>estate follows to be distributed under the common law relating to intestacy.</w:t>
      </w:r>
    </w:p>
    <w:p w:rsidR="00036037" w:rsidRPr="008C0993" w:rsidRDefault="00036037" w:rsidP="008C0993">
      <w:pPr>
        <w:spacing w:line="360" w:lineRule="auto"/>
        <w:contextualSpacing/>
        <w:jc w:val="both"/>
        <w:rPr>
          <w:rFonts w:ascii="Times New Roman" w:hAnsi="Times New Roman" w:cs="Times New Roman"/>
          <w:sz w:val="28"/>
          <w:szCs w:val="28"/>
        </w:rPr>
      </w:pPr>
    </w:p>
    <w:p w:rsidR="00CB7961" w:rsidRPr="00036037" w:rsidRDefault="00CB7961" w:rsidP="008C0993">
      <w:pPr>
        <w:spacing w:line="360" w:lineRule="auto"/>
        <w:contextualSpacing/>
        <w:jc w:val="both"/>
        <w:rPr>
          <w:rFonts w:ascii="Times New Roman" w:hAnsi="Times New Roman" w:cs="Times New Roman"/>
          <w:b/>
          <w:bCs/>
          <w:sz w:val="28"/>
          <w:szCs w:val="28"/>
        </w:rPr>
      </w:pPr>
      <w:r w:rsidRPr="00036037">
        <w:rPr>
          <w:rFonts w:ascii="Times New Roman" w:hAnsi="Times New Roman" w:cs="Times New Roman"/>
          <w:b/>
          <w:bCs/>
          <w:sz w:val="28"/>
          <w:szCs w:val="28"/>
        </w:rPr>
        <w:t>Order</w:t>
      </w:r>
    </w:p>
    <w:p w:rsidR="00CB7961" w:rsidRPr="008C0993" w:rsidRDefault="00CB7961" w:rsidP="008C0993">
      <w:pPr>
        <w:spacing w:line="360" w:lineRule="auto"/>
        <w:contextualSpacing/>
        <w:jc w:val="both"/>
        <w:rPr>
          <w:rFonts w:ascii="Times New Roman" w:hAnsi="Times New Roman" w:cs="Times New Roman"/>
          <w:sz w:val="28"/>
          <w:szCs w:val="28"/>
        </w:rPr>
      </w:pPr>
      <w:r w:rsidRPr="008C0993">
        <w:rPr>
          <w:rFonts w:ascii="Times New Roman" w:hAnsi="Times New Roman" w:cs="Times New Roman"/>
          <w:sz w:val="28"/>
          <w:szCs w:val="28"/>
        </w:rPr>
        <w:t>The Court makes the following Order:</w:t>
      </w:r>
    </w:p>
    <w:p w:rsidR="00036037" w:rsidRPr="003217E4" w:rsidRDefault="00036037" w:rsidP="00036037">
      <w:pPr>
        <w:pStyle w:val="ListParagraph"/>
        <w:spacing w:line="360" w:lineRule="auto"/>
        <w:jc w:val="both"/>
        <w:rPr>
          <w:rFonts w:ascii="Times New Roman" w:hAnsi="Times New Roman" w:cs="Times New Roman"/>
          <w:sz w:val="16"/>
          <w:szCs w:val="16"/>
        </w:rPr>
      </w:pPr>
    </w:p>
    <w:p w:rsidR="00036037" w:rsidRPr="00036037" w:rsidRDefault="0082311D" w:rsidP="00036037">
      <w:pPr>
        <w:pStyle w:val="ListParagraph"/>
        <w:numPr>
          <w:ilvl w:val="0"/>
          <w:numId w:val="7"/>
        </w:numPr>
        <w:spacing w:line="360" w:lineRule="auto"/>
        <w:jc w:val="both"/>
        <w:rPr>
          <w:rFonts w:ascii="Times New Roman" w:hAnsi="Times New Roman" w:cs="Times New Roman"/>
          <w:sz w:val="28"/>
          <w:szCs w:val="28"/>
        </w:rPr>
      </w:pPr>
      <w:r w:rsidRPr="008C0993">
        <w:rPr>
          <w:rFonts w:ascii="Times New Roman" w:hAnsi="Times New Roman" w:cs="Times New Roman"/>
          <w:sz w:val="28"/>
          <w:szCs w:val="28"/>
        </w:rPr>
        <w:lastRenderedPageBreak/>
        <w:t xml:space="preserve">The late reporting of the estate to the Office of the Master of High Court </w:t>
      </w:r>
      <w:r w:rsidR="00DF6406">
        <w:rPr>
          <w:rFonts w:ascii="Times New Roman" w:hAnsi="Times New Roman" w:cs="Times New Roman"/>
          <w:sz w:val="28"/>
          <w:szCs w:val="28"/>
        </w:rPr>
        <w:t>is</w:t>
      </w:r>
      <w:r w:rsidRPr="008C0993">
        <w:rPr>
          <w:rFonts w:ascii="Times New Roman" w:hAnsi="Times New Roman" w:cs="Times New Roman"/>
          <w:sz w:val="28"/>
          <w:szCs w:val="28"/>
        </w:rPr>
        <w:t xml:space="preserve"> condoned.</w:t>
      </w:r>
    </w:p>
    <w:p w:rsidR="00036037" w:rsidRPr="00FE0582" w:rsidRDefault="00036037" w:rsidP="00036037">
      <w:pPr>
        <w:pStyle w:val="ListParagraph"/>
        <w:spacing w:line="360" w:lineRule="auto"/>
        <w:jc w:val="both"/>
        <w:rPr>
          <w:rFonts w:ascii="Times New Roman" w:hAnsi="Times New Roman" w:cs="Times New Roman"/>
          <w:sz w:val="16"/>
          <w:szCs w:val="16"/>
        </w:rPr>
      </w:pPr>
    </w:p>
    <w:p w:rsidR="003217E4" w:rsidRPr="003217E4" w:rsidRDefault="00C75AFC" w:rsidP="003217E4">
      <w:pPr>
        <w:pStyle w:val="ListParagraph"/>
        <w:numPr>
          <w:ilvl w:val="0"/>
          <w:numId w:val="7"/>
        </w:numPr>
        <w:spacing w:line="360" w:lineRule="auto"/>
        <w:jc w:val="both"/>
        <w:rPr>
          <w:rFonts w:ascii="Times New Roman" w:hAnsi="Times New Roman" w:cs="Times New Roman"/>
          <w:sz w:val="28"/>
          <w:szCs w:val="28"/>
        </w:rPr>
      </w:pPr>
      <w:r w:rsidRPr="008C0993">
        <w:rPr>
          <w:rFonts w:ascii="Times New Roman" w:hAnsi="Times New Roman" w:cs="Times New Roman"/>
          <w:sz w:val="28"/>
          <w:szCs w:val="28"/>
        </w:rPr>
        <w:t>The estate should be administered</w:t>
      </w:r>
      <w:r w:rsidR="0082311D" w:rsidRPr="008C0993">
        <w:rPr>
          <w:rFonts w:ascii="Times New Roman" w:hAnsi="Times New Roman" w:cs="Times New Roman"/>
          <w:sz w:val="28"/>
          <w:szCs w:val="28"/>
        </w:rPr>
        <w:t xml:space="preserve"> in terms of the </w:t>
      </w:r>
      <w:r w:rsidR="0082311D" w:rsidRPr="00036037">
        <w:rPr>
          <w:rFonts w:ascii="Times New Roman" w:hAnsi="Times New Roman" w:cs="Times New Roman"/>
          <w:b/>
          <w:bCs/>
          <w:i/>
          <w:iCs/>
          <w:sz w:val="28"/>
          <w:szCs w:val="28"/>
        </w:rPr>
        <w:t>Administration</w:t>
      </w:r>
      <w:r w:rsidRPr="00036037">
        <w:rPr>
          <w:rFonts w:ascii="Times New Roman" w:hAnsi="Times New Roman" w:cs="Times New Roman"/>
          <w:b/>
          <w:bCs/>
          <w:i/>
          <w:iCs/>
          <w:sz w:val="28"/>
          <w:szCs w:val="28"/>
        </w:rPr>
        <w:t xml:space="preserve"> of Estates Proclamation of 1935</w:t>
      </w:r>
      <w:r w:rsidR="0082311D" w:rsidRPr="008C0993">
        <w:rPr>
          <w:rFonts w:ascii="Times New Roman" w:hAnsi="Times New Roman" w:cs="Times New Roman"/>
          <w:sz w:val="28"/>
          <w:szCs w:val="28"/>
        </w:rPr>
        <w:t>.</w:t>
      </w:r>
    </w:p>
    <w:p w:rsidR="003217E4" w:rsidRPr="003217E4" w:rsidRDefault="003217E4" w:rsidP="003217E4">
      <w:pPr>
        <w:pStyle w:val="ListParagraph"/>
        <w:spacing w:line="360" w:lineRule="auto"/>
        <w:jc w:val="both"/>
        <w:rPr>
          <w:rFonts w:ascii="Times New Roman" w:hAnsi="Times New Roman" w:cs="Times New Roman"/>
          <w:sz w:val="16"/>
          <w:szCs w:val="16"/>
        </w:rPr>
      </w:pPr>
    </w:p>
    <w:p w:rsidR="00A57D6E" w:rsidRDefault="0082311D" w:rsidP="00A57D6E">
      <w:pPr>
        <w:pStyle w:val="ListParagraph"/>
        <w:numPr>
          <w:ilvl w:val="0"/>
          <w:numId w:val="7"/>
        </w:numPr>
        <w:spacing w:line="360" w:lineRule="auto"/>
        <w:jc w:val="both"/>
        <w:rPr>
          <w:rFonts w:ascii="Times New Roman" w:hAnsi="Times New Roman" w:cs="Times New Roman"/>
          <w:sz w:val="28"/>
          <w:szCs w:val="28"/>
        </w:rPr>
      </w:pPr>
      <w:r w:rsidRPr="008C0993">
        <w:rPr>
          <w:rFonts w:ascii="Times New Roman" w:hAnsi="Times New Roman" w:cs="Times New Roman"/>
          <w:sz w:val="28"/>
          <w:szCs w:val="28"/>
        </w:rPr>
        <w:t xml:space="preserve">Applicants awarded costs. </w:t>
      </w:r>
      <w:r w:rsidR="00CB7961" w:rsidRPr="008C0993">
        <w:rPr>
          <w:rFonts w:ascii="Times New Roman" w:hAnsi="Times New Roman" w:cs="Times New Roman"/>
          <w:sz w:val="28"/>
          <w:szCs w:val="28"/>
        </w:rPr>
        <w:t xml:space="preserve">  </w:t>
      </w:r>
      <w:r w:rsidR="00662542" w:rsidRPr="008C0993">
        <w:rPr>
          <w:rFonts w:ascii="Times New Roman" w:hAnsi="Times New Roman" w:cs="Times New Roman"/>
          <w:sz w:val="28"/>
          <w:szCs w:val="28"/>
        </w:rPr>
        <w:t xml:space="preserve"> </w:t>
      </w:r>
    </w:p>
    <w:p w:rsidR="00FE0582" w:rsidRPr="00FE0582" w:rsidRDefault="00FE0582" w:rsidP="00FE0582">
      <w:pPr>
        <w:pStyle w:val="ListParagraph"/>
        <w:rPr>
          <w:rFonts w:ascii="Times New Roman" w:hAnsi="Times New Roman" w:cs="Times New Roman"/>
          <w:sz w:val="28"/>
          <w:szCs w:val="28"/>
        </w:rPr>
      </w:pPr>
    </w:p>
    <w:p w:rsidR="00FE0582" w:rsidRPr="0027088C" w:rsidRDefault="00FE0582" w:rsidP="00FE0582">
      <w:pPr>
        <w:pStyle w:val="ListParagraph"/>
        <w:spacing w:line="360" w:lineRule="auto"/>
        <w:jc w:val="both"/>
        <w:rPr>
          <w:rFonts w:ascii="Times New Roman" w:hAnsi="Times New Roman" w:cs="Times New Roman"/>
          <w:sz w:val="16"/>
          <w:szCs w:val="16"/>
        </w:rPr>
      </w:pPr>
    </w:p>
    <w:p w:rsidR="00A57D6E" w:rsidRPr="00A57D6E" w:rsidRDefault="00A57D6E" w:rsidP="00A57D6E">
      <w:pPr>
        <w:spacing w:line="360" w:lineRule="auto"/>
        <w:jc w:val="center"/>
        <w:rPr>
          <w:rFonts w:ascii="Times New Roman" w:hAnsi="Times New Roman" w:cs="Times New Roman"/>
          <w:b/>
          <w:bCs/>
          <w:sz w:val="28"/>
          <w:szCs w:val="28"/>
        </w:rPr>
      </w:pPr>
      <w:r w:rsidRPr="00A57D6E">
        <w:rPr>
          <w:rFonts w:ascii="Times New Roman" w:hAnsi="Times New Roman" w:cs="Times New Roman"/>
          <w:b/>
          <w:bCs/>
          <w:sz w:val="28"/>
          <w:szCs w:val="28"/>
        </w:rPr>
        <w:t>______________________</w:t>
      </w:r>
    </w:p>
    <w:p w:rsidR="00A57D6E" w:rsidRPr="00A57D6E" w:rsidRDefault="00A57D6E" w:rsidP="00A57D6E">
      <w:pPr>
        <w:spacing w:line="360" w:lineRule="auto"/>
        <w:jc w:val="center"/>
        <w:rPr>
          <w:rFonts w:ascii="Times New Roman" w:hAnsi="Times New Roman" w:cs="Times New Roman"/>
          <w:b/>
          <w:bCs/>
          <w:sz w:val="28"/>
          <w:szCs w:val="28"/>
        </w:rPr>
      </w:pPr>
      <w:r w:rsidRPr="00A57D6E">
        <w:rPr>
          <w:rFonts w:ascii="Times New Roman" w:hAnsi="Times New Roman" w:cs="Times New Roman"/>
          <w:b/>
          <w:bCs/>
          <w:sz w:val="28"/>
          <w:szCs w:val="28"/>
        </w:rPr>
        <w:t>T.J. MOKOKO</w:t>
      </w:r>
    </w:p>
    <w:p w:rsidR="00A57D6E" w:rsidRDefault="00A57D6E" w:rsidP="00A57D6E">
      <w:pPr>
        <w:spacing w:line="360" w:lineRule="auto"/>
        <w:jc w:val="center"/>
        <w:rPr>
          <w:rFonts w:ascii="Times New Roman" w:hAnsi="Times New Roman" w:cs="Times New Roman"/>
          <w:b/>
          <w:bCs/>
          <w:sz w:val="28"/>
          <w:szCs w:val="28"/>
        </w:rPr>
      </w:pPr>
      <w:r w:rsidRPr="00A57D6E">
        <w:rPr>
          <w:rFonts w:ascii="Times New Roman" w:hAnsi="Times New Roman" w:cs="Times New Roman"/>
          <w:b/>
          <w:bCs/>
          <w:sz w:val="28"/>
          <w:szCs w:val="28"/>
        </w:rPr>
        <w:t xml:space="preserve">JUDGE. </w:t>
      </w:r>
    </w:p>
    <w:p w:rsidR="00D47B89" w:rsidRDefault="00D47B89" w:rsidP="00A57D6E">
      <w:pPr>
        <w:spacing w:line="360" w:lineRule="auto"/>
        <w:jc w:val="center"/>
        <w:rPr>
          <w:rFonts w:ascii="Times New Roman" w:hAnsi="Times New Roman" w:cs="Times New Roman"/>
          <w:b/>
          <w:bCs/>
          <w:sz w:val="28"/>
          <w:szCs w:val="28"/>
        </w:rPr>
      </w:pPr>
    </w:p>
    <w:p w:rsidR="00A57D6E" w:rsidRPr="00FE0582" w:rsidRDefault="00A57D6E" w:rsidP="00FE0582">
      <w:pPr>
        <w:rPr>
          <w:rFonts w:ascii="Times New Roman" w:hAnsi="Times New Roman" w:cs="Times New Roman"/>
          <w:sz w:val="28"/>
          <w:szCs w:val="28"/>
        </w:rPr>
      </w:pPr>
    </w:p>
    <w:p w:rsidR="00A57D6E" w:rsidRPr="00A57D6E" w:rsidRDefault="00A57D6E" w:rsidP="00A57D6E">
      <w:pPr>
        <w:spacing w:line="360" w:lineRule="auto"/>
        <w:jc w:val="both"/>
        <w:rPr>
          <w:rFonts w:ascii="Times New Roman" w:hAnsi="Times New Roman" w:cs="Times New Roman"/>
          <w:b/>
          <w:bCs/>
          <w:sz w:val="28"/>
          <w:szCs w:val="28"/>
        </w:rPr>
      </w:pPr>
      <w:r w:rsidRPr="00A57D6E">
        <w:rPr>
          <w:rFonts w:ascii="Times New Roman" w:hAnsi="Times New Roman" w:cs="Times New Roman"/>
          <w:b/>
          <w:bCs/>
          <w:sz w:val="28"/>
          <w:szCs w:val="28"/>
        </w:rPr>
        <w:t>FOR THE APPLICANTS:</w:t>
      </w:r>
      <w:r w:rsidRPr="00A57D6E">
        <w:rPr>
          <w:rFonts w:ascii="Times New Roman" w:hAnsi="Times New Roman" w:cs="Times New Roman"/>
          <w:b/>
          <w:bCs/>
          <w:sz w:val="28"/>
          <w:szCs w:val="28"/>
        </w:rPr>
        <w:tab/>
      </w:r>
      <w:r w:rsidRPr="00A57D6E">
        <w:rPr>
          <w:rFonts w:ascii="Times New Roman" w:hAnsi="Times New Roman" w:cs="Times New Roman"/>
          <w:b/>
          <w:bCs/>
          <w:sz w:val="28"/>
          <w:szCs w:val="28"/>
        </w:rPr>
        <w:tab/>
      </w:r>
      <w:r w:rsidRPr="00A57D6E">
        <w:rPr>
          <w:rFonts w:ascii="Times New Roman" w:hAnsi="Times New Roman" w:cs="Times New Roman"/>
          <w:b/>
          <w:bCs/>
          <w:sz w:val="28"/>
          <w:szCs w:val="28"/>
        </w:rPr>
        <w:tab/>
      </w:r>
      <w:r w:rsidRPr="00A57D6E">
        <w:rPr>
          <w:rFonts w:ascii="Times New Roman" w:hAnsi="Times New Roman" w:cs="Times New Roman"/>
          <w:b/>
          <w:bCs/>
          <w:sz w:val="28"/>
          <w:szCs w:val="28"/>
        </w:rPr>
        <w:tab/>
      </w:r>
      <w:r w:rsidRPr="00A57D6E">
        <w:rPr>
          <w:rFonts w:ascii="Times New Roman" w:hAnsi="Times New Roman" w:cs="Times New Roman"/>
          <w:b/>
          <w:bCs/>
          <w:sz w:val="28"/>
          <w:szCs w:val="28"/>
        </w:rPr>
        <w:tab/>
      </w:r>
      <w:r w:rsidRPr="00A57D6E">
        <w:rPr>
          <w:rFonts w:ascii="Times New Roman" w:hAnsi="Times New Roman" w:cs="Times New Roman"/>
          <w:sz w:val="28"/>
          <w:szCs w:val="28"/>
        </w:rPr>
        <w:t>ADV. M. MPO</w:t>
      </w:r>
    </w:p>
    <w:p w:rsidR="00A57D6E" w:rsidRPr="00A57D6E" w:rsidRDefault="00A57D6E" w:rsidP="00A57D6E">
      <w:pPr>
        <w:spacing w:line="360" w:lineRule="auto"/>
        <w:jc w:val="both"/>
        <w:rPr>
          <w:rFonts w:ascii="Times New Roman" w:hAnsi="Times New Roman" w:cs="Times New Roman"/>
          <w:b/>
          <w:bCs/>
          <w:sz w:val="28"/>
          <w:szCs w:val="28"/>
        </w:rPr>
      </w:pPr>
      <w:r w:rsidRPr="00A57D6E">
        <w:rPr>
          <w:rFonts w:ascii="Times New Roman" w:hAnsi="Times New Roman" w:cs="Times New Roman"/>
          <w:b/>
          <w:bCs/>
          <w:sz w:val="28"/>
          <w:szCs w:val="28"/>
        </w:rPr>
        <w:t>FOR THE 1</w:t>
      </w:r>
      <w:r w:rsidRPr="00A57D6E">
        <w:rPr>
          <w:rFonts w:ascii="Times New Roman" w:hAnsi="Times New Roman" w:cs="Times New Roman"/>
          <w:b/>
          <w:bCs/>
          <w:sz w:val="28"/>
          <w:szCs w:val="28"/>
          <w:vertAlign w:val="superscript"/>
        </w:rPr>
        <w:t>ST</w:t>
      </w:r>
      <w:r w:rsidRPr="00A57D6E">
        <w:rPr>
          <w:rFonts w:ascii="Times New Roman" w:hAnsi="Times New Roman" w:cs="Times New Roman"/>
          <w:b/>
          <w:bCs/>
          <w:sz w:val="28"/>
          <w:szCs w:val="28"/>
        </w:rPr>
        <w:t xml:space="preserve"> RESPONDENT</w:t>
      </w:r>
      <w:r>
        <w:rPr>
          <w:rFonts w:ascii="Times New Roman" w:hAnsi="Times New Roman" w:cs="Times New Roman"/>
          <w:b/>
          <w:bCs/>
          <w:sz w:val="28"/>
          <w:szCs w:val="28"/>
        </w:rPr>
        <w:t>:</w:t>
      </w:r>
      <w:r w:rsidRPr="00A57D6E">
        <w:rPr>
          <w:rFonts w:ascii="Times New Roman" w:hAnsi="Times New Roman" w:cs="Times New Roman"/>
          <w:b/>
          <w:bCs/>
          <w:sz w:val="28"/>
          <w:szCs w:val="28"/>
        </w:rPr>
        <w:tab/>
      </w:r>
      <w:r w:rsidRPr="00A57D6E">
        <w:rPr>
          <w:rFonts w:ascii="Times New Roman" w:hAnsi="Times New Roman" w:cs="Times New Roman"/>
          <w:b/>
          <w:bCs/>
          <w:sz w:val="28"/>
          <w:szCs w:val="28"/>
        </w:rPr>
        <w:tab/>
      </w:r>
      <w:r w:rsidRPr="00A57D6E">
        <w:rPr>
          <w:rFonts w:ascii="Times New Roman" w:hAnsi="Times New Roman" w:cs="Times New Roman"/>
          <w:b/>
          <w:bCs/>
          <w:sz w:val="28"/>
          <w:szCs w:val="28"/>
        </w:rPr>
        <w:tab/>
      </w:r>
      <w:r w:rsidRPr="00A57D6E">
        <w:rPr>
          <w:rFonts w:ascii="Times New Roman" w:hAnsi="Times New Roman" w:cs="Times New Roman"/>
          <w:b/>
          <w:bCs/>
          <w:sz w:val="28"/>
          <w:szCs w:val="28"/>
        </w:rPr>
        <w:tab/>
      </w:r>
      <w:r w:rsidRPr="00A57D6E">
        <w:rPr>
          <w:rFonts w:ascii="Times New Roman" w:hAnsi="Times New Roman" w:cs="Times New Roman"/>
          <w:sz w:val="28"/>
          <w:szCs w:val="28"/>
        </w:rPr>
        <w:t>ADV.  SHAKHANE</w:t>
      </w:r>
    </w:p>
    <w:p w:rsidR="00EA58A1" w:rsidRPr="008C0993" w:rsidRDefault="00A57D6E" w:rsidP="008C0993">
      <w:pPr>
        <w:spacing w:line="360" w:lineRule="auto"/>
        <w:jc w:val="both"/>
        <w:rPr>
          <w:rFonts w:ascii="Times New Roman" w:hAnsi="Times New Roman" w:cs="Times New Roman"/>
          <w:sz w:val="28"/>
          <w:szCs w:val="28"/>
        </w:rPr>
      </w:pPr>
      <w:r w:rsidRPr="00A57D6E">
        <w:rPr>
          <w:rFonts w:ascii="Times New Roman" w:hAnsi="Times New Roman" w:cs="Times New Roman"/>
          <w:b/>
          <w:bCs/>
          <w:sz w:val="28"/>
          <w:szCs w:val="28"/>
        </w:rPr>
        <w:t>FOR THE 2</w:t>
      </w:r>
      <w:r w:rsidRPr="00A57D6E">
        <w:rPr>
          <w:rFonts w:ascii="Times New Roman" w:hAnsi="Times New Roman" w:cs="Times New Roman"/>
          <w:b/>
          <w:bCs/>
          <w:sz w:val="28"/>
          <w:szCs w:val="28"/>
          <w:vertAlign w:val="superscript"/>
        </w:rPr>
        <w:t>ND</w:t>
      </w:r>
      <w:r w:rsidRPr="00A57D6E">
        <w:rPr>
          <w:rFonts w:ascii="Times New Roman" w:hAnsi="Times New Roman" w:cs="Times New Roman"/>
          <w:b/>
          <w:bCs/>
          <w:sz w:val="28"/>
          <w:szCs w:val="28"/>
        </w:rPr>
        <w:t xml:space="preserve"> AND 3</w:t>
      </w:r>
      <w:r w:rsidRPr="00A57D6E">
        <w:rPr>
          <w:rFonts w:ascii="Times New Roman" w:hAnsi="Times New Roman" w:cs="Times New Roman"/>
          <w:b/>
          <w:bCs/>
          <w:sz w:val="28"/>
          <w:szCs w:val="28"/>
          <w:vertAlign w:val="superscript"/>
        </w:rPr>
        <w:t>RD</w:t>
      </w:r>
      <w:r w:rsidRPr="00A57D6E">
        <w:rPr>
          <w:rFonts w:ascii="Times New Roman" w:hAnsi="Times New Roman" w:cs="Times New Roman"/>
          <w:b/>
          <w:bCs/>
          <w:sz w:val="28"/>
          <w:szCs w:val="28"/>
        </w:rPr>
        <w:t xml:space="preserve"> RESPONDENTS</w:t>
      </w:r>
      <w:r w:rsidRPr="00A57D6E">
        <w:rPr>
          <w:rFonts w:ascii="Times New Roman" w:hAnsi="Times New Roman" w:cs="Times New Roman"/>
          <w:b/>
          <w:bCs/>
          <w:sz w:val="28"/>
          <w:szCs w:val="28"/>
        </w:rPr>
        <w:tab/>
      </w:r>
      <w:r>
        <w:rPr>
          <w:rFonts w:ascii="Times New Roman" w:hAnsi="Times New Roman" w:cs="Times New Roman"/>
          <w:b/>
          <w:bCs/>
          <w:sz w:val="28"/>
          <w:szCs w:val="28"/>
        </w:rPr>
        <w:t>:</w:t>
      </w:r>
      <w:r w:rsidRPr="00A57D6E">
        <w:rPr>
          <w:rFonts w:ascii="Times New Roman" w:hAnsi="Times New Roman" w:cs="Times New Roman"/>
          <w:b/>
          <w:bCs/>
          <w:sz w:val="28"/>
          <w:szCs w:val="28"/>
        </w:rPr>
        <w:tab/>
      </w:r>
      <w:r w:rsidRPr="00A57D6E">
        <w:rPr>
          <w:rFonts w:ascii="Times New Roman" w:hAnsi="Times New Roman" w:cs="Times New Roman"/>
          <w:b/>
          <w:bCs/>
          <w:sz w:val="28"/>
          <w:szCs w:val="28"/>
        </w:rPr>
        <w:tab/>
      </w:r>
      <w:r w:rsidRPr="00A57D6E">
        <w:rPr>
          <w:rFonts w:ascii="Times New Roman" w:hAnsi="Times New Roman" w:cs="Times New Roman"/>
          <w:sz w:val="28"/>
          <w:szCs w:val="28"/>
        </w:rPr>
        <w:t>UNREPRESENTED</w:t>
      </w:r>
      <w:r w:rsidR="00FE0582">
        <w:rPr>
          <w:rFonts w:ascii="Times New Roman" w:hAnsi="Times New Roman" w:cs="Times New Roman"/>
          <w:sz w:val="28"/>
          <w:szCs w:val="28"/>
        </w:rPr>
        <w:t xml:space="preserve"> </w:t>
      </w:r>
    </w:p>
    <w:p w:rsidR="003715DA" w:rsidRPr="000F7799" w:rsidRDefault="003715DA" w:rsidP="000F7799">
      <w:pPr>
        <w:spacing w:line="360" w:lineRule="auto"/>
        <w:jc w:val="both"/>
        <w:rPr>
          <w:rFonts w:ascii="Times New Roman" w:hAnsi="Times New Roman" w:cs="Times New Roman"/>
          <w:sz w:val="28"/>
          <w:szCs w:val="28"/>
        </w:rPr>
      </w:pPr>
    </w:p>
    <w:p w:rsidR="00B86767" w:rsidRPr="000F7799" w:rsidRDefault="00B86767" w:rsidP="000F7799">
      <w:pPr>
        <w:spacing w:line="360" w:lineRule="auto"/>
        <w:contextualSpacing/>
        <w:jc w:val="both"/>
        <w:rPr>
          <w:rFonts w:ascii="Times New Roman" w:hAnsi="Times New Roman" w:cs="Times New Roman"/>
          <w:sz w:val="28"/>
          <w:szCs w:val="28"/>
        </w:rPr>
      </w:pPr>
    </w:p>
    <w:sectPr w:rsidR="00B86767" w:rsidRPr="000F7799">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3E6F" w:rsidRDefault="009F3E6F" w:rsidP="00033180">
      <w:pPr>
        <w:spacing w:after="0" w:line="240" w:lineRule="auto"/>
      </w:pPr>
      <w:r>
        <w:separator/>
      </w:r>
    </w:p>
  </w:endnote>
  <w:endnote w:type="continuationSeparator" w:id="0">
    <w:p w:rsidR="009F3E6F" w:rsidRDefault="009F3E6F" w:rsidP="000331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5771072"/>
      <w:docPartObj>
        <w:docPartGallery w:val="Page Numbers (Bottom of Page)"/>
        <w:docPartUnique/>
      </w:docPartObj>
    </w:sdtPr>
    <w:sdtEndPr>
      <w:rPr>
        <w:noProof/>
      </w:rPr>
    </w:sdtEndPr>
    <w:sdtContent>
      <w:p w:rsidR="00033180" w:rsidRDefault="0003318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033180" w:rsidRDefault="000331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3E6F" w:rsidRDefault="009F3E6F" w:rsidP="00033180">
      <w:pPr>
        <w:spacing w:after="0" w:line="240" w:lineRule="auto"/>
      </w:pPr>
      <w:r>
        <w:separator/>
      </w:r>
    </w:p>
  </w:footnote>
  <w:footnote w:type="continuationSeparator" w:id="0">
    <w:p w:rsidR="009F3E6F" w:rsidRDefault="009F3E6F" w:rsidP="00033180">
      <w:pPr>
        <w:spacing w:after="0" w:line="240" w:lineRule="auto"/>
      </w:pPr>
      <w:r>
        <w:continuationSeparator/>
      </w:r>
    </w:p>
  </w:footnote>
  <w:footnote w:id="1">
    <w:p w:rsidR="00033180" w:rsidRPr="007A5033" w:rsidRDefault="00033180">
      <w:pPr>
        <w:pStyle w:val="FootnoteText"/>
        <w:rPr>
          <w:rFonts w:cstheme="minorHAnsi"/>
          <w:lang w:val="en-US"/>
        </w:rPr>
      </w:pPr>
      <w:r>
        <w:rPr>
          <w:rStyle w:val="FootnoteReference"/>
        </w:rPr>
        <w:footnoteRef/>
      </w:r>
      <w:r>
        <w:t xml:space="preserve"> </w:t>
      </w:r>
      <w:r w:rsidRPr="007A5033">
        <w:rPr>
          <w:rFonts w:cstheme="minorHAnsi"/>
        </w:rPr>
        <w:t>(C of A) 2/05 CIV/APN/418/04 [2005] LSHC83 (20 April 2005)</w:t>
      </w:r>
    </w:p>
  </w:footnote>
  <w:footnote w:id="2">
    <w:p w:rsidR="007A5033" w:rsidRPr="007A5033" w:rsidRDefault="007A5033">
      <w:pPr>
        <w:pStyle w:val="FootnoteText"/>
        <w:rPr>
          <w:lang w:val="en-US"/>
        </w:rPr>
      </w:pPr>
      <w:r w:rsidRPr="007A5033">
        <w:rPr>
          <w:rStyle w:val="FootnoteReference"/>
          <w:rFonts w:cstheme="minorHAnsi"/>
        </w:rPr>
        <w:footnoteRef/>
      </w:r>
      <w:r w:rsidRPr="007A5033">
        <w:rPr>
          <w:rFonts w:cstheme="minorHAnsi"/>
        </w:rPr>
        <w:t xml:space="preserve"> AIR 1957 SC 540 the SC</w:t>
      </w:r>
    </w:p>
  </w:footnote>
  <w:footnote w:id="3">
    <w:p w:rsidR="004D671B" w:rsidRPr="00531D8E" w:rsidRDefault="004D671B">
      <w:pPr>
        <w:pStyle w:val="FootnoteText"/>
        <w:rPr>
          <w:rFonts w:cstheme="minorHAnsi"/>
          <w:lang w:val="en-US"/>
        </w:rPr>
      </w:pPr>
      <w:r w:rsidRPr="00531D8E">
        <w:rPr>
          <w:rStyle w:val="FootnoteReference"/>
          <w:rFonts w:cstheme="minorHAnsi"/>
        </w:rPr>
        <w:footnoteRef/>
      </w:r>
      <w:r w:rsidRPr="00531D8E">
        <w:rPr>
          <w:rFonts w:cstheme="minorHAnsi"/>
        </w:rPr>
        <w:t xml:space="preserve"> </w:t>
      </w:r>
      <w:r w:rsidRPr="00531D8E">
        <w:rPr>
          <w:rFonts w:cstheme="minorHAnsi"/>
          <w:i/>
          <w:iCs/>
        </w:rPr>
        <w:t>(AIR 1966 SC 1423</w:t>
      </w:r>
      <w:r w:rsidRPr="00531D8E">
        <w:rPr>
          <w:rFonts w:cstheme="minorHAnsi"/>
        </w:rPr>
        <w:t>)</w:t>
      </w:r>
    </w:p>
  </w:footnote>
  <w:footnote w:id="4">
    <w:p w:rsidR="00531D8E" w:rsidRPr="00531D8E" w:rsidRDefault="00531D8E">
      <w:pPr>
        <w:pStyle w:val="FootnoteText"/>
        <w:rPr>
          <w:lang w:val="en-US"/>
        </w:rPr>
      </w:pPr>
      <w:r w:rsidRPr="00531D8E">
        <w:rPr>
          <w:rStyle w:val="FootnoteReference"/>
          <w:rFonts w:cstheme="minorHAnsi"/>
        </w:rPr>
        <w:footnoteRef/>
      </w:r>
      <w:r w:rsidRPr="00531D8E">
        <w:rPr>
          <w:rFonts w:cstheme="minorHAnsi"/>
        </w:rPr>
        <w:t xml:space="preserve"> </w:t>
      </w:r>
      <w:r w:rsidRPr="00531D8E">
        <w:rPr>
          <w:rFonts w:cstheme="minorHAnsi"/>
          <w:i/>
          <w:iCs/>
        </w:rPr>
        <w:t>2000 (1) SA 1127 at 1138-1139</w:t>
      </w:r>
      <w:r w:rsidRPr="00531D8E">
        <w:rPr>
          <w:rFonts w:ascii="Times New Roman" w:hAnsi="Times New Roman" w:cs="Times New Roman"/>
          <w:i/>
          <w:iCs/>
          <w:sz w:val="28"/>
          <w:szCs w:val="28"/>
        </w:rPr>
        <w:t xml:space="preserve"> </w:t>
      </w:r>
      <w:r>
        <w:rPr>
          <w:rFonts w:cstheme="minorHAnsi"/>
        </w:rPr>
        <w:t>P</w:t>
      </w:r>
      <w:r w:rsidRPr="00531D8E">
        <w:rPr>
          <w:rFonts w:cstheme="minorHAnsi"/>
        </w:rPr>
        <w:t>ara [33] to [36]</w:t>
      </w:r>
    </w:p>
  </w:footnote>
  <w:footnote w:id="5">
    <w:p w:rsidR="00531D8E" w:rsidRPr="00531D8E" w:rsidRDefault="00531D8E">
      <w:pPr>
        <w:pStyle w:val="FootnoteText"/>
        <w:rPr>
          <w:rFonts w:cstheme="minorHAnsi"/>
          <w:lang w:val="en-US"/>
        </w:rPr>
      </w:pPr>
      <w:r w:rsidRPr="00531D8E">
        <w:rPr>
          <w:rStyle w:val="FootnoteReference"/>
          <w:rFonts w:cstheme="minorHAnsi"/>
        </w:rPr>
        <w:footnoteRef/>
      </w:r>
      <w:r w:rsidRPr="00531D8E">
        <w:rPr>
          <w:rFonts w:cstheme="minorHAnsi"/>
        </w:rPr>
        <w:t xml:space="preserve"> </w:t>
      </w:r>
      <w:r w:rsidRPr="00531D8E">
        <w:rPr>
          <w:rFonts w:cstheme="minorHAnsi"/>
          <w:i/>
          <w:iCs/>
        </w:rPr>
        <w:t>1945 AD 420 at 430</w:t>
      </w:r>
    </w:p>
  </w:footnote>
  <w:footnote w:id="6">
    <w:p w:rsidR="00531D8E" w:rsidRPr="00531D8E" w:rsidRDefault="00531D8E">
      <w:pPr>
        <w:pStyle w:val="FootnoteText"/>
        <w:rPr>
          <w:rFonts w:cstheme="minorHAnsi"/>
          <w:lang w:val="en-US"/>
        </w:rPr>
      </w:pPr>
      <w:r w:rsidRPr="00531D8E">
        <w:rPr>
          <w:rStyle w:val="FootnoteReference"/>
          <w:rFonts w:cstheme="minorHAnsi"/>
        </w:rPr>
        <w:footnoteRef/>
      </w:r>
      <w:r w:rsidRPr="00531D8E">
        <w:rPr>
          <w:rFonts w:cstheme="minorHAnsi"/>
        </w:rPr>
        <w:t xml:space="preserve"> </w:t>
      </w:r>
      <w:r w:rsidRPr="00531D8E">
        <w:rPr>
          <w:rFonts w:cstheme="minorHAnsi"/>
          <w:i/>
          <w:iCs/>
        </w:rPr>
        <w:t xml:space="preserve">[ 2008] ZASCA 125 2009 (1) SA 176 </w:t>
      </w:r>
      <w:r w:rsidRPr="00531D8E">
        <w:rPr>
          <w:rFonts w:cstheme="minorHAnsi"/>
        </w:rPr>
        <w:t>SCA Para 10</w:t>
      </w:r>
    </w:p>
  </w:footnote>
  <w:footnote w:id="7">
    <w:p w:rsidR="00531D8E" w:rsidRPr="00531D8E" w:rsidRDefault="00531D8E">
      <w:pPr>
        <w:pStyle w:val="FootnoteText"/>
        <w:rPr>
          <w:rFonts w:cstheme="minorHAnsi"/>
          <w:i/>
          <w:iCs/>
        </w:rPr>
      </w:pPr>
      <w:r w:rsidRPr="00531D8E">
        <w:rPr>
          <w:rStyle w:val="FootnoteReference"/>
          <w:rFonts w:cstheme="minorHAnsi"/>
        </w:rPr>
        <w:footnoteRef/>
      </w:r>
      <w:r w:rsidRPr="00531D8E">
        <w:rPr>
          <w:rFonts w:cstheme="minorHAnsi"/>
        </w:rPr>
        <w:t xml:space="preserve"> </w:t>
      </w:r>
      <w:r w:rsidRPr="00531D8E">
        <w:rPr>
          <w:rFonts w:cstheme="minorHAnsi"/>
          <w:i/>
          <w:iCs/>
        </w:rPr>
        <w:t>2007 (3) SA 210 (CC)</w:t>
      </w:r>
      <w:r w:rsidRPr="00531D8E">
        <w:rPr>
          <w:rFonts w:cstheme="minorHAnsi"/>
        </w:rPr>
        <w:t xml:space="preserve"> </w:t>
      </w:r>
      <w:r>
        <w:rPr>
          <w:rFonts w:cstheme="minorHAnsi"/>
          <w:i/>
          <w:iCs/>
        </w:rPr>
        <w:t>P</w:t>
      </w:r>
      <w:r w:rsidRPr="00531D8E">
        <w:rPr>
          <w:rFonts w:cstheme="minorHAnsi"/>
          <w:i/>
          <w:iCs/>
        </w:rPr>
        <w:t>ara 48</w:t>
      </w:r>
      <w:r w:rsidRPr="00531D8E">
        <w:rPr>
          <w:rFonts w:cstheme="minorHAnsi"/>
        </w:rPr>
        <w:t xml:space="preserve"> and</w:t>
      </w:r>
      <w:r w:rsidRPr="00531D8E">
        <w:rPr>
          <w:rFonts w:cstheme="minorHAnsi"/>
          <w:i/>
          <w:iCs/>
        </w:rPr>
        <w:t xml:space="preserve"> 68</w:t>
      </w:r>
    </w:p>
  </w:footnote>
  <w:footnote w:id="8">
    <w:p w:rsidR="00531D8E" w:rsidRPr="00531D8E" w:rsidRDefault="00531D8E">
      <w:pPr>
        <w:pStyle w:val="FootnoteText"/>
        <w:rPr>
          <w:lang w:val="en-US"/>
        </w:rPr>
      </w:pPr>
      <w:r w:rsidRPr="00531D8E">
        <w:rPr>
          <w:rStyle w:val="FootnoteReference"/>
          <w:rFonts w:cstheme="minorHAnsi"/>
        </w:rPr>
        <w:footnoteRef/>
      </w:r>
      <w:r w:rsidRPr="00531D8E">
        <w:rPr>
          <w:rFonts w:cstheme="minorHAnsi"/>
        </w:rPr>
        <w:t xml:space="preserve"> </w:t>
      </w:r>
      <w:r w:rsidRPr="00531D8E">
        <w:rPr>
          <w:rFonts w:cstheme="minorHAnsi"/>
          <w:i/>
          <w:iCs/>
        </w:rPr>
        <w:t>1906 TS 308 at 311</w:t>
      </w:r>
    </w:p>
  </w:footnote>
  <w:footnote w:id="9">
    <w:p w:rsidR="00F43876" w:rsidRPr="00F43876" w:rsidRDefault="00F43876">
      <w:pPr>
        <w:pStyle w:val="FootnoteText"/>
        <w:rPr>
          <w:lang w:val="en-US"/>
        </w:rPr>
      </w:pPr>
      <w:r>
        <w:rPr>
          <w:rStyle w:val="FootnoteReference"/>
        </w:rPr>
        <w:footnoteRef/>
      </w:r>
      <w:r>
        <w:t xml:space="preserve"> </w:t>
      </w:r>
      <w:r w:rsidRPr="000B00C6">
        <w:rPr>
          <w:rFonts w:cstheme="minorHAnsi"/>
        </w:rPr>
        <w:t xml:space="preserve"> C OF A (civ) 2/05</w:t>
      </w:r>
    </w:p>
  </w:footnote>
  <w:footnote w:id="10">
    <w:p w:rsidR="00D71F75" w:rsidRPr="00D71F75" w:rsidRDefault="00D71F75">
      <w:pPr>
        <w:pStyle w:val="FootnoteText"/>
        <w:rPr>
          <w:rFonts w:cstheme="minorHAnsi"/>
          <w:lang w:val="en-US"/>
        </w:rPr>
      </w:pPr>
      <w:r w:rsidRPr="00D71F75">
        <w:rPr>
          <w:rStyle w:val="FootnoteReference"/>
          <w:rFonts w:cstheme="minorHAnsi"/>
        </w:rPr>
        <w:footnoteRef/>
      </w:r>
      <w:r w:rsidRPr="00D71F75">
        <w:rPr>
          <w:rFonts w:cstheme="minorHAnsi"/>
        </w:rPr>
        <w:t xml:space="preserve"> </w:t>
      </w:r>
      <w:r w:rsidRPr="00D71F75">
        <w:rPr>
          <w:rFonts w:cstheme="minorHAnsi"/>
          <w:color w:val="000000" w:themeColor="text1"/>
        </w:rPr>
        <w:t>1963 HCTLR 92</w:t>
      </w:r>
    </w:p>
  </w:footnote>
  <w:footnote w:id="11">
    <w:p w:rsidR="00D71F75" w:rsidRPr="00D71F75" w:rsidRDefault="00D71F75">
      <w:pPr>
        <w:pStyle w:val="FootnoteText"/>
        <w:rPr>
          <w:rFonts w:cstheme="minorHAnsi"/>
          <w:lang w:val="en-US"/>
        </w:rPr>
      </w:pPr>
      <w:r w:rsidRPr="00D71F75">
        <w:rPr>
          <w:rStyle w:val="FootnoteReference"/>
          <w:rFonts w:cstheme="minorHAnsi"/>
        </w:rPr>
        <w:footnoteRef/>
      </w:r>
      <w:r w:rsidRPr="00D71F75">
        <w:rPr>
          <w:rFonts w:cstheme="minorHAnsi"/>
        </w:rPr>
        <w:t xml:space="preserve"> </w:t>
      </w:r>
      <w:r w:rsidRPr="00D71F75">
        <w:rPr>
          <w:rFonts w:cstheme="minorHAnsi"/>
          <w:color w:val="000000" w:themeColor="text1"/>
        </w:rPr>
        <w:t>1967-70 HCTLR 1</w:t>
      </w:r>
    </w:p>
  </w:footnote>
  <w:footnote w:id="12">
    <w:p w:rsidR="00D71F75" w:rsidRPr="00D71F75" w:rsidRDefault="00D71F75">
      <w:pPr>
        <w:pStyle w:val="FootnoteText"/>
        <w:rPr>
          <w:lang w:val="en-US"/>
        </w:rPr>
      </w:pPr>
      <w:r w:rsidRPr="00D71F75">
        <w:rPr>
          <w:rStyle w:val="FootnoteReference"/>
          <w:rFonts w:cstheme="minorHAnsi"/>
        </w:rPr>
        <w:footnoteRef/>
      </w:r>
      <w:r w:rsidRPr="00D71F75">
        <w:rPr>
          <w:rFonts w:cstheme="minorHAnsi"/>
        </w:rPr>
        <w:t xml:space="preserve"> </w:t>
      </w:r>
      <w:r w:rsidRPr="00D71F75">
        <w:rPr>
          <w:rFonts w:cstheme="minorHAnsi"/>
          <w:color w:val="000000" w:themeColor="text1"/>
        </w:rPr>
        <w:t>1967- 70 HCTLR 318</w:t>
      </w:r>
    </w:p>
  </w:footnote>
  <w:footnote w:id="13">
    <w:p w:rsidR="0085335C" w:rsidRPr="00E73252" w:rsidRDefault="0085335C">
      <w:pPr>
        <w:pStyle w:val="FootnoteText"/>
        <w:rPr>
          <w:rFonts w:cstheme="minorHAnsi"/>
          <w:lang w:val="en-US"/>
        </w:rPr>
      </w:pPr>
      <w:r>
        <w:rPr>
          <w:rStyle w:val="FootnoteReference"/>
        </w:rPr>
        <w:footnoteRef/>
      </w:r>
      <w:r>
        <w:t xml:space="preserve"> </w:t>
      </w:r>
      <w:r w:rsidRPr="00E73252">
        <w:rPr>
          <w:rFonts w:cstheme="minorHAnsi"/>
        </w:rPr>
        <w:t>(C of A civ) No. 19/2007 [2008] LSCA 6 (11 April 2008)</w:t>
      </w:r>
    </w:p>
  </w:footnote>
  <w:footnote w:id="14">
    <w:p w:rsidR="00E0227C" w:rsidRPr="00E73252" w:rsidRDefault="00E0227C">
      <w:pPr>
        <w:pStyle w:val="FootnoteText"/>
        <w:rPr>
          <w:rFonts w:cstheme="minorHAnsi"/>
          <w:lang w:val="en-US"/>
        </w:rPr>
      </w:pPr>
      <w:r w:rsidRPr="00E73252">
        <w:rPr>
          <w:rStyle w:val="FootnoteReference"/>
          <w:rFonts w:cstheme="minorHAnsi"/>
        </w:rPr>
        <w:footnoteRef/>
      </w:r>
      <w:r w:rsidRPr="00E73252">
        <w:rPr>
          <w:rFonts w:cstheme="minorHAnsi"/>
        </w:rPr>
        <w:t xml:space="preserve"> 1963 – 1966 HCTLR 97 at 100. B.C</w:t>
      </w:r>
    </w:p>
  </w:footnote>
  <w:footnote w:id="15">
    <w:p w:rsidR="00E73252" w:rsidRPr="003217E4" w:rsidRDefault="00E73252">
      <w:pPr>
        <w:pStyle w:val="FootnoteText"/>
        <w:rPr>
          <w:rFonts w:cstheme="minorHAnsi"/>
          <w:lang w:val="en-US"/>
        </w:rPr>
      </w:pPr>
      <w:r w:rsidRPr="003217E4">
        <w:rPr>
          <w:rStyle w:val="FootnoteReference"/>
          <w:rFonts w:cstheme="minorHAnsi"/>
        </w:rPr>
        <w:footnoteRef/>
      </w:r>
      <w:r w:rsidRPr="003217E4">
        <w:rPr>
          <w:rFonts w:cstheme="minorHAnsi"/>
        </w:rPr>
        <w:t xml:space="preserve"> LLR 1967-1970 1 (</w:t>
      </w:r>
      <w:r w:rsidR="00C40073" w:rsidRPr="00C40073">
        <w:rPr>
          <w:rFonts w:cstheme="minorHAnsi"/>
          <w:i/>
          <w:iCs/>
        </w:rPr>
        <w:t>S</w:t>
      </w:r>
      <w:r w:rsidRPr="00C40073">
        <w:rPr>
          <w:rFonts w:cstheme="minorHAnsi"/>
          <w:i/>
          <w:iCs/>
        </w:rPr>
        <w:t>upra</w:t>
      </w:r>
      <w:r w:rsidRPr="003217E4">
        <w:rPr>
          <w:rFonts w:cstheme="minorHAnsi"/>
        </w:rPr>
        <w:t>)</w:t>
      </w:r>
    </w:p>
  </w:footnote>
  <w:footnote w:id="16">
    <w:p w:rsidR="003217E4" w:rsidRPr="003217E4" w:rsidRDefault="003217E4">
      <w:pPr>
        <w:pStyle w:val="FootnoteText"/>
        <w:rPr>
          <w:rFonts w:cstheme="minorHAnsi"/>
          <w:lang w:val="en-US"/>
        </w:rPr>
      </w:pPr>
      <w:r w:rsidRPr="003217E4">
        <w:rPr>
          <w:rStyle w:val="FootnoteReference"/>
          <w:rFonts w:cstheme="minorHAnsi"/>
        </w:rPr>
        <w:footnoteRef/>
      </w:r>
      <w:r w:rsidRPr="003217E4">
        <w:rPr>
          <w:rFonts w:cstheme="minorHAnsi"/>
        </w:rPr>
        <w:t xml:space="preserve"> C of A civ No. 20/2009</w:t>
      </w:r>
    </w:p>
  </w:footnote>
  <w:footnote w:id="17">
    <w:p w:rsidR="003217E4" w:rsidRPr="003217E4" w:rsidRDefault="003217E4">
      <w:pPr>
        <w:pStyle w:val="FootnoteText"/>
        <w:rPr>
          <w:lang w:val="en-US"/>
        </w:rPr>
      </w:pPr>
      <w:r w:rsidRPr="003217E4">
        <w:rPr>
          <w:rStyle w:val="FootnoteReference"/>
          <w:rFonts w:cstheme="minorHAnsi"/>
        </w:rPr>
        <w:footnoteRef/>
      </w:r>
      <w:r w:rsidRPr="003217E4">
        <w:rPr>
          <w:rFonts w:cstheme="minorHAnsi"/>
        </w:rPr>
        <w:t xml:space="preserve"> (C of A civ) No. 17/09 [2010] LSCA 7 (23 April 2010)</w:t>
      </w:r>
    </w:p>
  </w:footnote>
  <w:footnote w:id="18">
    <w:p w:rsidR="003217E4" w:rsidRPr="003217E4" w:rsidRDefault="003217E4">
      <w:pPr>
        <w:pStyle w:val="FootnoteText"/>
        <w:rPr>
          <w:lang w:val="en-US"/>
        </w:rPr>
      </w:pPr>
      <w:r>
        <w:rPr>
          <w:rStyle w:val="FootnoteReference"/>
        </w:rPr>
        <w:footnoteRef/>
      </w:r>
      <w:r>
        <w:t xml:space="preserve"> </w:t>
      </w:r>
      <w:r w:rsidRPr="003217E4">
        <w:rPr>
          <w:rFonts w:cstheme="minorHAnsi"/>
        </w:rPr>
        <w:t>LAC (2007-2008) 193 at 200 F-H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45AD2"/>
    <w:multiLevelType w:val="hybridMultilevel"/>
    <w:tmpl w:val="340E491A"/>
    <w:lvl w:ilvl="0" w:tplc="30E8ADE8">
      <w:start w:val="1"/>
      <w:numFmt w:val="lowerLetter"/>
      <w:lvlText w:val="(%1)"/>
      <w:lvlJc w:val="left"/>
      <w:pPr>
        <w:ind w:left="1004"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5B23C2D"/>
    <w:multiLevelType w:val="hybridMultilevel"/>
    <w:tmpl w:val="AF3048B6"/>
    <w:lvl w:ilvl="0" w:tplc="A5C621B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7C3C6C"/>
    <w:multiLevelType w:val="hybridMultilevel"/>
    <w:tmpl w:val="45344A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F367F5"/>
    <w:multiLevelType w:val="hybridMultilevel"/>
    <w:tmpl w:val="D574528C"/>
    <w:lvl w:ilvl="0" w:tplc="A5C621B8">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43A307A6"/>
    <w:multiLevelType w:val="hybridMultilevel"/>
    <w:tmpl w:val="943684AE"/>
    <w:lvl w:ilvl="0" w:tplc="9D30C802">
      <w:start w:val="2"/>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488F4958"/>
    <w:multiLevelType w:val="hybridMultilevel"/>
    <w:tmpl w:val="090204B4"/>
    <w:lvl w:ilvl="0" w:tplc="71EE1A2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CF62571"/>
    <w:multiLevelType w:val="hybridMultilevel"/>
    <w:tmpl w:val="2E3C10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D485011"/>
    <w:multiLevelType w:val="hybridMultilevel"/>
    <w:tmpl w:val="AD644678"/>
    <w:lvl w:ilvl="0" w:tplc="A5C621B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2C6E8F"/>
    <w:multiLevelType w:val="hybridMultilevel"/>
    <w:tmpl w:val="B8CAA752"/>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FD95822"/>
    <w:multiLevelType w:val="hybridMultilevel"/>
    <w:tmpl w:val="F404E1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E0A3FDA"/>
    <w:multiLevelType w:val="hybridMultilevel"/>
    <w:tmpl w:val="78E434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4"/>
  </w:num>
  <w:num w:numId="3">
    <w:abstractNumId w:val="0"/>
  </w:num>
  <w:num w:numId="4">
    <w:abstractNumId w:val="8"/>
  </w:num>
  <w:num w:numId="5">
    <w:abstractNumId w:val="5"/>
  </w:num>
  <w:num w:numId="6">
    <w:abstractNumId w:val="3"/>
  </w:num>
  <w:num w:numId="7">
    <w:abstractNumId w:val="6"/>
  </w:num>
  <w:num w:numId="8">
    <w:abstractNumId w:val="2"/>
  </w:num>
  <w:num w:numId="9">
    <w:abstractNumId w:val="9"/>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0C97"/>
    <w:rsid w:val="0001443E"/>
    <w:rsid w:val="00017F26"/>
    <w:rsid w:val="00023841"/>
    <w:rsid w:val="000310D7"/>
    <w:rsid w:val="00033180"/>
    <w:rsid w:val="00036037"/>
    <w:rsid w:val="0003716F"/>
    <w:rsid w:val="00037959"/>
    <w:rsid w:val="0004225B"/>
    <w:rsid w:val="00072AA0"/>
    <w:rsid w:val="000763D7"/>
    <w:rsid w:val="000B00C6"/>
    <w:rsid w:val="000C270C"/>
    <w:rsid w:val="000D0F09"/>
    <w:rsid w:val="000E57D4"/>
    <w:rsid w:val="000F7799"/>
    <w:rsid w:val="00112740"/>
    <w:rsid w:val="00112C34"/>
    <w:rsid w:val="001605F6"/>
    <w:rsid w:val="00172C24"/>
    <w:rsid w:val="001850AB"/>
    <w:rsid w:val="00190B43"/>
    <w:rsid w:val="00192A37"/>
    <w:rsid w:val="00201E14"/>
    <w:rsid w:val="00205519"/>
    <w:rsid w:val="00210C97"/>
    <w:rsid w:val="002133D8"/>
    <w:rsid w:val="002136D1"/>
    <w:rsid w:val="00220A83"/>
    <w:rsid w:val="00223E8E"/>
    <w:rsid w:val="0024646E"/>
    <w:rsid w:val="002551B6"/>
    <w:rsid w:val="002574C7"/>
    <w:rsid w:val="0027088C"/>
    <w:rsid w:val="002711C4"/>
    <w:rsid w:val="002A020D"/>
    <w:rsid w:val="002A1951"/>
    <w:rsid w:val="002A30DD"/>
    <w:rsid w:val="002C6125"/>
    <w:rsid w:val="002D0CBD"/>
    <w:rsid w:val="002D152F"/>
    <w:rsid w:val="002E1201"/>
    <w:rsid w:val="002E52B3"/>
    <w:rsid w:val="002F253B"/>
    <w:rsid w:val="002F784E"/>
    <w:rsid w:val="003217E4"/>
    <w:rsid w:val="003229AE"/>
    <w:rsid w:val="00325234"/>
    <w:rsid w:val="0033455B"/>
    <w:rsid w:val="0034054B"/>
    <w:rsid w:val="00344AE1"/>
    <w:rsid w:val="00356312"/>
    <w:rsid w:val="0036035D"/>
    <w:rsid w:val="003715DA"/>
    <w:rsid w:val="00372048"/>
    <w:rsid w:val="003820EC"/>
    <w:rsid w:val="003C2B61"/>
    <w:rsid w:val="003C59F1"/>
    <w:rsid w:val="003D035A"/>
    <w:rsid w:val="003D2922"/>
    <w:rsid w:val="003E5057"/>
    <w:rsid w:val="003E5B04"/>
    <w:rsid w:val="003E6FAC"/>
    <w:rsid w:val="003F51DA"/>
    <w:rsid w:val="00450821"/>
    <w:rsid w:val="00462FC1"/>
    <w:rsid w:val="0046393D"/>
    <w:rsid w:val="00467684"/>
    <w:rsid w:val="004753E2"/>
    <w:rsid w:val="00491A19"/>
    <w:rsid w:val="0049459C"/>
    <w:rsid w:val="004966FD"/>
    <w:rsid w:val="004B41DD"/>
    <w:rsid w:val="004B61EE"/>
    <w:rsid w:val="004C346A"/>
    <w:rsid w:val="004D671B"/>
    <w:rsid w:val="004E0C00"/>
    <w:rsid w:val="004F188D"/>
    <w:rsid w:val="004F4C1A"/>
    <w:rsid w:val="004F5115"/>
    <w:rsid w:val="00501682"/>
    <w:rsid w:val="0051493D"/>
    <w:rsid w:val="005178C4"/>
    <w:rsid w:val="00531D8E"/>
    <w:rsid w:val="0053691F"/>
    <w:rsid w:val="005670BE"/>
    <w:rsid w:val="0057667E"/>
    <w:rsid w:val="00581AD7"/>
    <w:rsid w:val="005962E9"/>
    <w:rsid w:val="005C2146"/>
    <w:rsid w:val="005C6147"/>
    <w:rsid w:val="005E421B"/>
    <w:rsid w:val="00604047"/>
    <w:rsid w:val="0061793A"/>
    <w:rsid w:val="006362F9"/>
    <w:rsid w:val="00636958"/>
    <w:rsid w:val="00641E92"/>
    <w:rsid w:val="006443B6"/>
    <w:rsid w:val="006604DF"/>
    <w:rsid w:val="00662542"/>
    <w:rsid w:val="006A2EAC"/>
    <w:rsid w:val="006B1BE9"/>
    <w:rsid w:val="006B7025"/>
    <w:rsid w:val="006E552F"/>
    <w:rsid w:val="006E62C3"/>
    <w:rsid w:val="006F5D14"/>
    <w:rsid w:val="007113D7"/>
    <w:rsid w:val="007332F0"/>
    <w:rsid w:val="0073426B"/>
    <w:rsid w:val="00743CAF"/>
    <w:rsid w:val="007723C7"/>
    <w:rsid w:val="00775E45"/>
    <w:rsid w:val="00786339"/>
    <w:rsid w:val="0078788D"/>
    <w:rsid w:val="00787909"/>
    <w:rsid w:val="007A5033"/>
    <w:rsid w:val="007A7A42"/>
    <w:rsid w:val="007A7DDE"/>
    <w:rsid w:val="007B086F"/>
    <w:rsid w:val="007B29B1"/>
    <w:rsid w:val="007B6473"/>
    <w:rsid w:val="007D126D"/>
    <w:rsid w:val="007F20C1"/>
    <w:rsid w:val="0082311D"/>
    <w:rsid w:val="0083700D"/>
    <w:rsid w:val="0085335C"/>
    <w:rsid w:val="0085692B"/>
    <w:rsid w:val="00883A75"/>
    <w:rsid w:val="00896205"/>
    <w:rsid w:val="008A7C55"/>
    <w:rsid w:val="008B21EA"/>
    <w:rsid w:val="008B7F07"/>
    <w:rsid w:val="008C0993"/>
    <w:rsid w:val="008C4A20"/>
    <w:rsid w:val="008E3F90"/>
    <w:rsid w:val="008E6629"/>
    <w:rsid w:val="008F77C2"/>
    <w:rsid w:val="0091183C"/>
    <w:rsid w:val="00932013"/>
    <w:rsid w:val="00953155"/>
    <w:rsid w:val="0095418E"/>
    <w:rsid w:val="00971757"/>
    <w:rsid w:val="00987391"/>
    <w:rsid w:val="00990C0B"/>
    <w:rsid w:val="00993BC8"/>
    <w:rsid w:val="009A4976"/>
    <w:rsid w:val="009A73D6"/>
    <w:rsid w:val="009B0445"/>
    <w:rsid w:val="009D6086"/>
    <w:rsid w:val="009D6A77"/>
    <w:rsid w:val="009E0786"/>
    <w:rsid w:val="009E2FF6"/>
    <w:rsid w:val="009E48CA"/>
    <w:rsid w:val="009F3E6F"/>
    <w:rsid w:val="00A04C6C"/>
    <w:rsid w:val="00A116BB"/>
    <w:rsid w:val="00A15CEF"/>
    <w:rsid w:val="00A22D12"/>
    <w:rsid w:val="00A57D6E"/>
    <w:rsid w:val="00A60D26"/>
    <w:rsid w:val="00A9011F"/>
    <w:rsid w:val="00A92CEB"/>
    <w:rsid w:val="00AA1CF9"/>
    <w:rsid w:val="00AA2268"/>
    <w:rsid w:val="00AA3D5A"/>
    <w:rsid w:val="00AF4320"/>
    <w:rsid w:val="00AF4566"/>
    <w:rsid w:val="00B37804"/>
    <w:rsid w:val="00B400F8"/>
    <w:rsid w:val="00B41BA2"/>
    <w:rsid w:val="00B42ABF"/>
    <w:rsid w:val="00B86767"/>
    <w:rsid w:val="00BB5074"/>
    <w:rsid w:val="00BC3FFD"/>
    <w:rsid w:val="00BD093A"/>
    <w:rsid w:val="00BE25FE"/>
    <w:rsid w:val="00BE4F02"/>
    <w:rsid w:val="00C028B8"/>
    <w:rsid w:val="00C22EBE"/>
    <w:rsid w:val="00C377FB"/>
    <w:rsid w:val="00C40073"/>
    <w:rsid w:val="00C52DBF"/>
    <w:rsid w:val="00C64403"/>
    <w:rsid w:val="00C75AFC"/>
    <w:rsid w:val="00C76326"/>
    <w:rsid w:val="00CB0D20"/>
    <w:rsid w:val="00CB7961"/>
    <w:rsid w:val="00CF55A2"/>
    <w:rsid w:val="00D12FD0"/>
    <w:rsid w:val="00D230EA"/>
    <w:rsid w:val="00D26F05"/>
    <w:rsid w:val="00D348DB"/>
    <w:rsid w:val="00D46CD2"/>
    <w:rsid w:val="00D47B89"/>
    <w:rsid w:val="00D673FF"/>
    <w:rsid w:val="00D71F75"/>
    <w:rsid w:val="00D85EDD"/>
    <w:rsid w:val="00D87EB3"/>
    <w:rsid w:val="00D96FA0"/>
    <w:rsid w:val="00DD72BF"/>
    <w:rsid w:val="00DF25F6"/>
    <w:rsid w:val="00DF3D89"/>
    <w:rsid w:val="00DF6406"/>
    <w:rsid w:val="00E0227C"/>
    <w:rsid w:val="00E06772"/>
    <w:rsid w:val="00E22013"/>
    <w:rsid w:val="00E2579C"/>
    <w:rsid w:val="00E2742E"/>
    <w:rsid w:val="00E4355B"/>
    <w:rsid w:val="00E64CF7"/>
    <w:rsid w:val="00E73252"/>
    <w:rsid w:val="00E872FB"/>
    <w:rsid w:val="00E9247B"/>
    <w:rsid w:val="00E93593"/>
    <w:rsid w:val="00EA16E4"/>
    <w:rsid w:val="00EA58A1"/>
    <w:rsid w:val="00F141FE"/>
    <w:rsid w:val="00F21BF0"/>
    <w:rsid w:val="00F3665A"/>
    <w:rsid w:val="00F366EB"/>
    <w:rsid w:val="00F43876"/>
    <w:rsid w:val="00F53233"/>
    <w:rsid w:val="00F62061"/>
    <w:rsid w:val="00F7063F"/>
    <w:rsid w:val="00F725CB"/>
    <w:rsid w:val="00F73C23"/>
    <w:rsid w:val="00FA167B"/>
    <w:rsid w:val="00FB5DF3"/>
    <w:rsid w:val="00FB5F99"/>
    <w:rsid w:val="00FD15AA"/>
    <w:rsid w:val="00FE0582"/>
    <w:rsid w:val="00FE6C67"/>
    <w:rsid w:val="00FF13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9CC98"/>
  <w15:chartTrackingRefBased/>
  <w15:docId w15:val="{7B5DE7B0-C185-46AA-BAF2-77E019B23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0C97"/>
    <w:pPr>
      <w:ind w:left="720"/>
      <w:contextualSpacing/>
    </w:pPr>
  </w:style>
  <w:style w:type="paragraph" w:styleId="FootnoteText">
    <w:name w:val="footnote text"/>
    <w:basedOn w:val="Normal"/>
    <w:link w:val="FootnoteTextChar"/>
    <w:uiPriority w:val="99"/>
    <w:semiHidden/>
    <w:unhideWhenUsed/>
    <w:rsid w:val="0003318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33180"/>
    <w:rPr>
      <w:sz w:val="20"/>
      <w:szCs w:val="20"/>
    </w:rPr>
  </w:style>
  <w:style w:type="character" w:styleId="FootnoteReference">
    <w:name w:val="footnote reference"/>
    <w:basedOn w:val="DefaultParagraphFont"/>
    <w:uiPriority w:val="99"/>
    <w:semiHidden/>
    <w:unhideWhenUsed/>
    <w:rsid w:val="00033180"/>
    <w:rPr>
      <w:vertAlign w:val="superscript"/>
    </w:rPr>
  </w:style>
  <w:style w:type="paragraph" w:styleId="Header">
    <w:name w:val="header"/>
    <w:basedOn w:val="Normal"/>
    <w:link w:val="HeaderChar"/>
    <w:uiPriority w:val="99"/>
    <w:unhideWhenUsed/>
    <w:rsid w:val="000331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3180"/>
  </w:style>
  <w:style w:type="paragraph" w:styleId="Footer">
    <w:name w:val="footer"/>
    <w:basedOn w:val="Normal"/>
    <w:link w:val="FooterChar"/>
    <w:uiPriority w:val="99"/>
    <w:unhideWhenUsed/>
    <w:rsid w:val="000331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3180"/>
  </w:style>
  <w:style w:type="paragraph" w:styleId="BalloonText">
    <w:name w:val="Balloon Text"/>
    <w:basedOn w:val="Normal"/>
    <w:link w:val="BalloonTextChar"/>
    <w:uiPriority w:val="99"/>
    <w:semiHidden/>
    <w:unhideWhenUsed/>
    <w:rsid w:val="005149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49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4C2086-0376-4A06-B086-399D7266E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4095</Words>
  <Characters>23347</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Makopano Motemekoane</cp:lastModifiedBy>
  <cp:revision>2</cp:revision>
  <cp:lastPrinted>2022-09-22T08:16:00Z</cp:lastPrinted>
  <dcterms:created xsi:type="dcterms:W3CDTF">2022-09-22T08:34:00Z</dcterms:created>
  <dcterms:modified xsi:type="dcterms:W3CDTF">2022-09-22T08:34:00Z</dcterms:modified>
</cp:coreProperties>
</file>