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8AA5" w14:textId="77777777" w:rsidR="000600D2" w:rsidRDefault="000600D2" w:rsidP="00EE60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76BCA3D" w14:textId="77777777" w:rsidR="000600D2" w:rsidRDefault="000600D2" w:rsidP="00EE60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D3A4806" w14:textId="77777777" w:rsidR="000600D2" w:rsidRDefault="000600D2" w:rsidP="00EE60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7FE9DB0D" w14:textId="77777777" w:rsidR="00EE604F" w:rsidRDefault="00986184" w:rsidP="00EE60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IN THE HIGH COURT OF LESOTHO</w:t>
      </w:r>
    </w:p>
    <w:p w14:paraId="49858FDD" w14:textId="77777777" w:rsidR="00EE604F" w:rsidRDefault="00986184" w:rsidP="00731B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23ECDACB" w14:textId="77777777" w:rsidR="00731B0D" w:rsidRPr="00731B0D" w:rsidRDefault="00986184" w:rsidP="00731B0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CIV/APN/0</w:t>
      </w:r>
      <w:r w:rsidR="00745074">
        <w:rPr>
          <w:rFonts w:ascii="Times New Roman" w:hAnsi="Times New Roman" w:cs="Times New Roman"/>
          <w:b/>
          <w:bCs/>
          <w:sz w:val="28"/>
          <w:szCs w:val="28"/>
          <w:lang w:val="en-GB"/>
        </w:rPr>
        <w:t>101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/2022</w:t>
      </w:r>
    </w:p>
    <w:p w14:paraId="5092587D" w14:textId="77777777" w:rsidR="00EE604F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HELD AT MASERU </w:t>
      </w:r>
    </w:p>
    <w:p w14:paraId="19599CD6" w14:textId="77777777" w:rsidR="00EE604F" w:rsidRDefault="00EE604F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DE28706" w14:textId="77777777" w:rsidR="00EE604F" w:rsidRDefault="00986184" w:rsidP="00EE60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the matter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between:-</w:t>
      </w:r>
      <w:proofErr w:type="gramEnd"/>
    </w:p>
    <w:p w14:paraId="1662BD62" w14:textId="77777777" w:rsidR="00EE604F" w:rsidRDefault="00EE604F" w:rsidP="00EE60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5082806" w14:textId="77777777" w:rsidR="00EE604F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REFILOE KOLISANG</w:t>
      </w:r>
      <w:r w:rsidR="002A0306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2A0306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2A0306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2A0306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FA493C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APPLICANT</w:t>
      </w:r>
    </w:p>
    <w:p w14:paraId="04F45CB4" w14:textId="77777777" w:rsidR="00FA493C" w:rsidRDefault="00FA493C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D9515CC" w14:textId="77777777" w:rsidR="00FA493C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</w:p>
    <w:p w14:paraId="4B71F39F" w14:textId="77777777" w:rsidR="0096522F" w:rsidRDefault="0096522F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D9C03A9" w14:textId="77777777" w:rsidR="0096522F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HER WORSHIP MRS RANT’SO</w:t>
      </w:r>
      <w:r w:rsidR="001C2749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1C2749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1C2749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1C2749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1</w:t>
      </w:r>
      <w:r w:rsidR="001C2749" w:rsidRPr="001C274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ST</w:t>
      </w:r>
      <w:r w:rsidR="001C274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57573E">
        <w:rPr>
          <w:rFonts w:ascii="Times New Roman" w:hAnsi="Times New Roman" w:cs="Times New Roman"/>
          <w:b/>
          <w:bCs/>
          <w:sz w:val="28"/>
          <w:szCs w:val="28"/>
          <w:lang w:val="en-GB"/>
        </w:rPr>
        <w:t>RESPONDE</w:t>
      </w:r>
      <w:r w:rsidR="001C2749">
        <w:rPr>
          <w:rFonts w:ascii="Times New Roman" w:hAnsi="Times New Roman" w:cs="Times New Roman"/>
          <w:b/>
          <w:bCs/>
          <w:sz w:val="28"/>
          <w:szCs w:val="28"/>
          <w:lang w:val="en-GB"/>
        </w:rPr>
        <w:t>NT</w:t>
      </w:r>
    </w:p>
    <w:p w14:paraId="15454FA0" w14:textId="77777777" w:rsidR="00745074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CLERK OF COURT - MASERU </w:t>
      </w:r>
    </w:p>
    <w:p w14:paraId="1F0C6FE3" w14:textId="77777777" w:rsidR="00745074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MAGISTRATE COURT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2</w:t>
      </w:r>
      <w:r w:rsidRPr="0074507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745074">
        <w:rPr>
          <w:rFonts w:ascii="Times New Roman" w:hAnsi="Times New Roman" w:cs="Times New Roman"/>
          <w:b/>
          <w:bCs/>
          <w:sz w:val="28"/>
          <w:szCs w:val="28"/>
          <w:lang w:val="en-GB"/>
        </w:rPr>
        <w:t>RESPONDENT</w:t>
      </w:r>
    </w:p>
    <w:p w14:paraId="3B2D2B3C" w14:textId="77777777" w:rsidR="00FA493C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THATO KOLISANG</w:t>
      </w:r>
      <w:r w:rsidR="00831642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831642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831642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831642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831642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3</w:t>
      </w:r>
      <w:r w:rsidRPr="0074507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57573E">
        <w:rPr>
          <w:rFonts w:ascii="Times New Roman" w:hAnsi="Times New Roman" w:cs="Times New Roman"/>
          <w:b/>
          <w:bCs/>
          <w:sz w:val="28"/>
          <w:szCs w:val="28"/>
          <w:lang w:val="en-GB"/>
        </w:rPr>
        <w:t>RESPONDE</w:t>
      </w:r>
      <w:r w:rsidR="00831642">
        <w:rPr>
          <w:rFonts w:ascii="Times New Roman" w:hAnsi="Times New Roman" w:cs="Times New Roman"/>
          <w:b/>
          <w:bCs/>
          <w:sz w:val="28"/>
          <w:szCs w:val="28"/>
          <w:lang w:val="en-GB"/>
        </w:rPr>
        <w:t>NT</w:t>
      </w:r>
    </w:p>
    <w:p w14:paraId="4EE0797C" w14:textId="77777777" w:rsidR="00745074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PEETE LIBE (EXECUTOR –</w:t>
      </w:r>
    </w:p>
    <w:p w14:paraId="14A157FA" w14:textId="77777777" w:rsidR="00745074" w:rsidRDefault="00986184" w:rsidP="00EE60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LATE ESTATE LINEO KOLISANG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4</w:t>
      </w:r>
      <w:r w:rsidRPr="0074507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RESPONDENT</w:t>
      </w:r>
    </w:p>
    <w:p w14:paraId="0CB8C1B4" w14:textId="77777777" w:rsidR="00831642" w:rsidRDefault="00831642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6EBCC7E" w14:textId="21550415" w:rsidR="006731DE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Neutral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citation</w:t>
      </w:r>
      <w:r>
        <w:rPr>
          <w:rFonts w:ascii="Times New Roman" w:hAnsi="Times New Roman" w:cs="Times New Roman"/>
          <w:sz w:val="28"/>
          <w:szCs w:val="28"/>
          <w:lang w:val="en-GB"/>
        </w:rPr>
        <w:t>:-</w:t>
      </w:r>
      <w:proofErr w:type="gramEnd"/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91089">
        <w:rPr>
          <w:rFonts w:ascii="Times New Roman" w:hAnsi="Times New Roman" w:cs="Times New Roman"/>
          <w:sz w:val="28"/>
          <w:szCs w:val="28"/>
          <w:lang w:val="en-GB"/>
        </w:rPr>
        <w:t>Refiloe</w:t>
      </w:r>
      <w:proofErr w:type="spellEnd"/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91089">
        <w:rPr>
          <w:rFonts w:ascii="Times New Roman" w:hAnsi="Times New Roman" w:cs="Times New Roman"/>
          <w:sz w:val="28"/>
          <w:szCs w:val="28"/>
          <w:lang w:val="en-GB"/>
        </w:rPr>
        <w:t>Kolisang</w:t>
      </w:r>
      <w:proofErr w:type="spellEnd"/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 vs Her Worship Mrs </w:t>
      </w:r>
      <w:proofErr w:type="spellStart"/>
      <w:r w:rsidR="00391089">
        <w:rPr>
          <w:rFonts w:ascii="Times New Roman" w:hAnsi="Times New Roman" w:cs="Times New Roman"/>
          <w:sz w:val="28"/>
          <w:szCs w:val="28"/>
          <w:lang w:val="en-GB"/>
        </w:rPr>
        <w:t>Rantso</w:t>
      </w:r>
      <w:proofErr w:type="spellEnd"/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 Clerk of Court – Maseru &amp; 3</w:t>
      </w:r>
      <w:r w:rsidR="0039108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</w:t>
      </w:r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others </w:t>
      </w:r>
      <w:r>
        <w:rPr>
          <w:rFonts w:ascii="Times New Roman" w:hAnsi="Times New Roman" w:cs="Times New Roman"/>
          <w:sz w:val="28"/>
          <w:szCs w:val="28"/>
          <w:lang w:val="en-GB"/>
        </w:rPr>
        <w:t>[2022] LSHC</w:t>
      </w:r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91089">
        <w:rPr>
          <w:rFonts w:ascii="Times New Roman" w:hAnsi="Times New Roman" w:cs="Times New Roman"/>
          <w:sz w:val="28"/>
          <w:szCs w:val="28"/>
          <w:lang w:val="en-GB"/>
        </w:rPr>
        <w:t>Civ</w:t>
      </w:r>
      <w:proofErr w:type="spellEnd"/>
      <w:r w:rsidR="003910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568D">
        <w:rPr>
          <w:rFonts w:ascii="Times New Roman" w:hAnsi="Times New Roman" w:cs="Times New Roman"/>
          <w:sz w:val="28"/>
          <w:szCs w:val="28"/>
          <w:lang w:val="en-GB"/>
        </w:rPr>
        <w:t>286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B63199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B63199" w:rsidRPr="00B6319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B631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October 2022)</w:t>
      </w:r>
    </w:p>
    <w:p w14:paraId="3F10B6CB" w14:textId="77777777" w:rsidR="006731DE" w:rsidRDefault="006731DE" w:rsidP="00673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F416C59" w14:textId="77777777" w:rsidR="00C92F63" w:rsidRDefault="00C92F63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BE69409" w14:textId="77777777" w:rsidR="00855370" w:rsidRPr="00855370" w:rsidRDefault="00986184" w:rsidP="00C92F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>CORAM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: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M.P. RALEBESE, J</w:t>
      </w:r>
    </w:p>
    <w:p w14:paraId="27C9E0EE" w14:textId="77777777" w:rsidR="00855370" w:rsidRPr="00855370" w:rsidRDefault="00855370" w:rsidP="00C92F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6C6E521" w14:textId="77777777" w:rsidR="00855370" w:rsidRPr="00855370" w:rsidRDefault="00986184" w:rsidP="00C92F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>DATE HEARD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: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145D88">
        <w:rPr>
          <w:rFonts w:ascii="Times New Roman" w:hAnsi="Times New Roman" w:cs="Times New Roman"/>
          <w:b/>
          <w:bCs/>
          <w:sz w:val="28"/>
          <w:szCs w:val="28"/>
          <w:lang w:val="en-GB"/>
        </w:rPr>
        <w:t>29</w:t>
      </w:r>
      <w:r w:rsidR="00C92F6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SEPTEMBER 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>2022</w:t>
      </w:r>
    </w:p>
    <w:p w14:paraId="1750CE3A" w14:textId="77777777" w:rsidR="00855370" w:rsidRPr="00855370" w:rsidRDefault="00855370" w:rsidP="00C92F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2043322" w14:textId="4751F7C0" w:rsidR="00A34B75" w:rsidRPr="00855370" w:rsidRDefault="00986184" w:rsidP="00C92F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>DATE DELIVERED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: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145D88">
        <w:rPr>
          <w:rFonts w:ascii="Times New Roman" w:hAnsi="Times New Roman" w:cs="Times New Roman"/>
          <w:b/>
          <w:bCs/>
          <w:sz w:val="28"/>
          <w:szCs w:val="28"/>
          <w:lang w:val="en-GB"/>
        </w:rPr>
        <w:t>03</w:t>
      </w:r>
      <w:r w:rsidR="00145D8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 xml:space="preserve"> </w:t>
      </w:r>
      <w:r w:rsidR="00145D88">
        <w:rPr>
          <w:rFonts w:ascii="Times New Roman" w:hAnsi="Times New Roman" w:cs="Times New Roman"/>
          <w:b/>
          <w:bCs/>
          <w:sz w:val="28"/>
          <w:szCs w:val="28"/>
          <w:lang w:val="en-GB"/>
        </w:rPr>
        <w:t>NOVEMBER</w:t>
      </w:r>
      <w:r w:rsidRPr="008553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2022 </w:t>
      </w:r>
    </w:p>
    <w:p w14:paraId="462A4B56" w14:textId="77777777" w:rsidR="00855370" w:rsidRPr="00855370" w:rsidRDefault="00855370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DE118DF" w14:textId="0D0BF320" w:rsidR="00855370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85537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>SUMMARY</w:t>
      </w:r>
    </w:p>
    <w:p w14:paraId="1E7ABB17" w14:textId="77777777" w:rsidR="00F32A04" w:rsidRDefault="00F32A0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F8430A0" w14:textId="77777777" w:rsidR="00855370" w:rsidRPr="000D15FC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>Review of decision of Magistrate joining the executor as plaintiff in ejectment proceedings</w:t>
      </w:r>
      <w:r w:rsidR="0048010D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– Overlap between review and appeal</w:t>
      </w: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r w:rsidR="0048010D">
        <w:rPr>
          <w:rFonts w:ascii="Times New Roman" w:hAnsi="Times New Roman" w:cs="Times New Roman"/>
          <w:bCs/>
          <w:i/>
          <w:sz w:val="28"/>
          <w:szCs w:val="28"/>
          <w:lang w:val="en-GB"/>
        </w:rPr>
        <w:t>–</w:t>
      </w:r>
      <w:r w:rsidR="00BD7E49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r w:rsidR="0048010D">
        <w:rPr>
          <w:rFonts w:ascii="Times New Roman" w:hAnsi="Times New Roman" w:cs="Times New Roman"/>
          <w:bCs/>
          <w:i/>
          <w:sz w:val="28"/>
          <w:szCs w:val="28"/>
          <w:lang w:val="en-GB"/>
        </w:rPr>
        <w:t>Review of uncompleted proceedings - No gross irregularity alleged – No prejudice which could result in injustice</w:t>
      </w:r>
      <w:r w:rsidR="00C50A73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–</w:t>
      </w:r>
      <w:r w:rsidR="0048010D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r w:rsidR="00C50A73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Main antagonists being siblings - </w:t>
      </w:r>
      <w:r w:rsidR="00BD7E49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No order as to costs.     </w:t>
      </w:r>
    </w:p>
    <w:p w14:paraId="4D4A4FA7" w14:textId="77777777" w:rsidR="00855370" w:rsidRDefault="00855370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6DE983A" w14:textId="77777777" w:rsidR="00855370" w:rsidRDefault="00855370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1482CBC1" w14:textId="77777777" w:rsidR="00855370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ANNOTATION</w:t>
      </w:r>
      <w:r w:rsidR="0051747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</w:t>
      </w:r>
    </w:p>
    <w:p w14:paraId="78CF670E" w14:textId="77777777" w:rsidR="00517477" w:rsidRDefault="00517477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47B169EA" w14:textId="77777777" w:rsidR="00517477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CITED CASES</w:t>
      </w:r>
    </w:p>
    <w:p w14:paraId="7C390A26" w14:textId="77777777" w:rsidR="00517477" w:rsidRDefault="00517477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3475355" w14:textId="77777777" w:rsidR="00517477" w:rsidRDefault="00517477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5254C3B6" w14:textId="77777777" w:rsidR="00517477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LESOTHO</w:t>
      </w:r>
    </w:p>
    <w:p w14:paraId="18E5032C" w14:textId="77777777" w:rsidR="00517477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1951">
        <w:rPr>
          <w:rFonts w:ascii="Times New Roman" w:hAnsi="Times New Roman" w:cs="Times New Roman"/>
          <w:sz w:val="28"/>
          <w:szCs w:val="28"/>
          <w:lang w:val="en-GB"/>
        </w:rPr>
        <w:t>Khali v Khali (C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A (CIV) 40/17 (2019) LSCA</w:t>
      </w:r>
      <w:r w:rsidRPr="00015FFD">
        <w:t xml:space="preserve"> </w:t>
      </w:r>
      <w:proofErr w:type="spellStart"/>
      <w:r w:rsidRPr="00015FFD">
        <w:rPr>
          <w:rFonts w:ascii="Times New Roman" w:hAnsi="Times New Roman" w:cs="Times New Roman"/>
          <w:sz w:val="28"/>
          <w:szCs w:val="28"/>
          <w:lang w:val="en-GB"/>
        </w:rPr>
        <w:t>Makula</w:t>
      </w:r>
      <w:proofErr w:type="spellEnd"/>
      <w:r w:rsidRPr="00015FFD">
        <w:rPr>
          <w:rFonts w:ascii="Times New Roman" w:hAnsi="Times New Roman" w:cs="Times New Roman"/>
          <w:sz w:val="28"/>
          <w:szCs w:val="28"/>
          <w:lang w:val="en-GB"/>
        </w:rPr>
        <w:t xml:space="preserve"> and Another v </w:t>
      </w:r>
      <w:proofErr w:type="spellStart"/>
      <w:r w:rsidRPr="00015FFD">
        <w:rPr>
          <w:rFonts w:ascii="Times New Roman" w:hAnsi="Times New Roman" w:cs="Times New Roman"/>
          <w:sz w:val="28"/>
          <w:szCs w:val="28"/>
          <w:lang w:val="en-GB"/>
        </w:rPr>
        <w:t>Motinyane</w:t>
      </w:r>
      <w:proofErr w:type="spellEnd"/>
      <w:r w:rsidRPr="00015FFD">
        <w:rPr>
          <w:rFonts w:ascii="Times New Roman" w:hAnsi="Times New Roman" w:cs="Times New Roman"/>
          <w:sz w:val="28"/>
          <w:szCs w:val="28"/>
          <w:lang w:val="en-GB"/>
        </w:rPr>
        <w:t xml:space="preserve"> (CRI/APN/720/03) (CRI/APN/720/03) [2004] LSHC 65 (23 April 2004)</w:t>
      </w:r>
    </w:p>
    <w:p w14:paraId="24B77199" w14:textId="77777777" w:rsidR="00015FFD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Phaila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v Director of Public Prosecutions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Const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24/2018) 2021 LSHC 07</w:t>
      </w:r>
    </w:p>
    <w:p w14:paraId="2C8DC06B" w14:textId="77777777" w:rsidR="00015FFD" w:rsidRDefault="00015FFD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551B876F" w14:textId="77777777" w:rsidR="00517477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SOUTH AFRICA</w:t>
      </w:r>
    </w:p>
    <w:p w14:paraId="1C27A0DE" w14:textId="77777777" w:rsidR="00517477" w:rsidRDefault="00517477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7531B92" w14:textId="77777777" w:rsidR="00517477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STATUTES</w:t>
      </w:r>
    </w:p>
    <w:p w14:paraId="0A558F5A" w14:textId="77777777" w:rsidR="00CC5444" w:rsidRDefault="00CC544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0F6924F9" w14:textId="77777777" w:rsidR="00CC5444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BOOKS</w:t>
      </w:r>
    </w:p>
    <w:p w14:paraId="4FBC1D8D" w14:textId="77777777" w:rsidR="00CC5444" w:rsidRPr="00CC5444" w:rsidRDefault="00986184" w:rsidP="006731D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Herbstein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Van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Winsen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C5444">
        <w:rPr>
          <w:rFonts w:ascii="Times New Roman" w:hAnsi="Times New Roman" w:cs="Times New Roman"/>
          <w:bCs/>
          <w:sz w:val="28"/>
          <w:szCs w:val="28"/>
          <w:u w:val="single"/>
        </w:rPr>
        <w:t>The Civil Practice of the Supreme Court of South Africa</w:t>
      </w:r>
      <w:r w:rsidRPr="00CC5444">
        <w:rPr>
          <w:rFonts w:ascii="Times New Roman" w:hAnsi="Times New Roman" w:cs="Times New Roman"/>
          <w:bCs/>
          <w:sz w:val="28"/>
          <w:szCs w:val="28"/>
        </w:rPr>
        <w:t xml:space="preserve"> 4th ed., Juta, &amp; Co. Ltd, 1997 </w:t>
      </w:r>
    </w:p>
    <w:p w14:paraId="7EC693CB" w14:textId="77777777" w:rsidR="000D15FC" w:rsidRDefault="000D15FC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5041A7F" w14:textId="77777777" w:rsidR="00517477" w:rsidRDefault="00517477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79793B3F" w14:textId="77777777" w:rsidR="00517477" w:rsidRPr="00855370" w:rsidRDefault="00517477" w:rsidP="006731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3AE2DA2C" w14:textId="77777777" w:rsidR="00A34B75" w:rsidRDefault="00986184" w:rsidP="00A34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JUDGMENT</w:t>
      </w:r>
    </w:p>
    <w:p w14:paraId="2BD88E3F" w14:textId="77777777" w:rsidR="00145D88" w:rsidRDefault="00145D88" w:rsidP="00145D8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2DD5CC92" w14:textId="77777777" w:rsidR="00145D88" w:rsidRDefault="00986184" w:rsidP="00D7154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45D88">
        <w:rPr>
          <w:rFonts w:ascii="Times New Roman" w:hAnsi="Times New Roman" w:cs="Times New Roman"/>
          <w:b/>
          <w:bCs/>
          <w:sz w:val="28"/>
          <w:szCs w:val="28"/>
          <w:lang w:val="en-GB"/>
        </w:rPr>
        <w:t>M.P. RALEBESE J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14:paraId="7E15D407" w14:textId="77777777" w:rsidR="00145D88" w:rsidRDefault="00145D88" w:rsidP="00145D8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6740C54" w14:textId="77777777" w:rsidR="00A34B75" w:rsidRPr="00A34B75" w:rsidRDefault="00986184" w:rsidP="00D7154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Background</w:t>
      </w:r>
      <w:r w:rsidR="00D71CF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and Facts</w:t>
      </w:r>
    </w:p>
    <w:p w14:paraId="4D09A8B0" w14:textId="77777777" w:rsidR="0073782C" w:rsidRDefault="00986184" w:rsidP="00EE36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 is a review application in terms of which the applicant is seeking review and setting aside as irregular, the decision of the 1</w:t>
      </w:r>
      <w:r w:rsidRPr="0073782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in terms of which she ordered the joinder of the 4</w:t>
      </w:r>
      <w:r w:rsidRPr="0073782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as the 2</w:t>
      </w:r>
      <w:r w:rsidRPr="0073782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plaintiff in the ejectment proceedings against the 3</w:t>
      </w:r>
      <w:r w:rsidRPr="0073782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respondent.</w:t>
      </w:r>
      <w:r w:rsidR="00CC5444">
        <w:rPr>
          <w:rFonts w:ascii="Times New Roman" w:hAnsi="Times New Roman" w:cs="Times New Roman"/>
          <w:sz w:val="28"/>
          <w:szCs w:val="28"/>
          <w:lang w:val="en-GB"/>
        </w:rPr>
        <w:t xml:space="preserve"> The ejectment proceedings are </w:t>
      </w:r>
      <w:r>
        <w:rPr>
          <w:rFonts w:ascii="Times New Roman" w:hAnsi="Times New Roman" w:cs="Times New Roman"/>
          <w:sz w:val="28"/>
          <w:szCs w:val="28"/>
          <w:lang w:val="en-GB"/>
        </w:rPr>
        <w:t>still pending before the 1</w:t>
      </w:r>
      <w:r w:rsidRPr="0073782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respondent. </w:t>
      </w:r>
    </w:p>
    <w:p w14:paraId="06994E4B" w14:textId="77777777" w:rsidR="0073782C" w:rsidRDefault="0073782C" w:rsidP="0073782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25D4B5E" w14:textId="77777777" w:rsidR="00CC64C3" w:rsidRDefault="00986184" w:rsidP="00EE36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The brief background to this application is that t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>he applicant and the 3</w:t>
      </w:r>
      <w:r w:rsidR="00145D88" w:rsidRPr="00F01D3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respondent are siblings and daughters of the late </w:t>
      </w:r>
      <w:proofErr w:type="spellStart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>Lineo</w:t>
      </w:r>
      <w:proofErr w:type="spellEnd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>Kolisang</w:t>
      </w:r>
      <w:proofErr w:type="spellEnd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(the deceased).</w:t>
      </w:r>
      <w:r w:rsidR="00F01D3E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The deceased died testate 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>having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executed a will in terms of which she appointed the 3</w:t>
      </w:r>
      <w:r w:rsidR="00145D88" w:rsidRPr="00F01D3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respondent, her younger daughter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as the beneficiary of her </w:t>
      </w:r>
      <w:r w:rsidR="0024461F">
        <w:rPr>
          <w:rFonts w:ascii="Times New Roman" w:hAnsi="Times New Roman" w:cs="Times New Roman"/>
          <w:sz w:val="28"/>
          <w:szCs w:val="28"/>
          <w:lang w:val="en-GB"/>
        </w:rPr>
        <w:t xml:space="preserve">leased and developed 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residential </w:t>
      </w:r>
      <w:r w:rsidR="0024461F">
        <w:rPr>
          <w:rFonts w:ascii="Times New Roman" w:hAnsi="Times New Roman" w:cs="Times New Roman"/>
          <w:sz w:val="28"/>
          <w:szCs w:val="28"/>
          <w:lang w:val="en-GB"/>
        </w:rPr>
        <w:t>plot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situated at </w:t>
      </w:r>
      <w:proofErr w:type="spellStart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>Mohalalitoe</w:t>
      </w:r>
      <w:proofErr w:type="spellEnd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Maseru urban area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4461F">
        <w:rPr>
          <w:rFonts w:ascii="Times New Roman" w:hAnsi="Times New Roman" w:cs="Times New Roman"/>
          <w:sz w:val="28"/>
          <w:szCs w:val="28"/>
          <w:lang w:val="en-GB"/>
        </w:rPr>
        <w:t>(the subject matter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The deceased also </w:t>
      </w:r>
      <w:r w:rsidR="00F01D3E">
        <w:rPr>
          <w:rFonts w:ascii="Times New Roman" w:hAnsi="Times New Roman" w:cs="Times New Roman"/>
          <w:sz w:val="28"/>
          <w:szCs w:val="28"/>
          <w:lang w:val="en-GB"/>
        </w:rPr>
        <w:t xml:space="preserve">appointed 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>the same 3</w:t>
      </w:r>
      <w:r w:rsidR="006737D4" w:rsidRPr="006737D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 respondent </w:t>
      </w:r>
      <w:r w:rsidR="00F01D3E">
        <w:rPr>
          <w:rFonts w:ascii="Times New Roman" w:hAnsi="Times New Roman" w:cs="Times New Roman"/>
          <w:sz w:val="28"/>
          <w:szCs w:val="28"/>
          <w:lang w:val="en-GB"/>
        </w:rPr>
        <w:t>as an executor of the said will</w:t>
      </w:r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. Since the 3rd respondent is, apparently, living outside Lesotho, the Master of the High Court, apparently upon the request of the 3rd respondent appointed </w:t>
      </w:r>
      <w:proofErr w:type="gramStart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>the  4</w:t>
      </w:r>
      <w:proofErr w:type="gramEnd"/>
      <w:r w:rsidR="00145D88"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th respondent as the assumed executor and granted him a letter of administration in respect of the estate of the deceased on 3rd November 2021 for six months. </w:t>
      </w:r>
    </w:p>
    <w:p w14:paraId="102130DD" w14:textId="77777777" w:rsidR="006737D4" w:rsidRDefault="006737D4" w:rsidP="006737D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45C4E59" w14:textId="77777777" w:rsidR="0024461F" w:rsidRDefault="00986184" w:rsidP="00EE36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01D3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Apart from the aforesaid will, it appears that the </w:t>
      </w:r>
      <w:proofErr w:type="spellStart"/>
      <w:r w:rsidR="006737D4">
        <w:rPr>
          <w:rFonts w:ascii="Times New Roman" w:hAnsi="Times New Roman" w:cs="Times New Roman"/>
          <w:sz w:val="28"/>
          <w:szCs w:val="28"/>
          <w:lang w:val="en-GB"/>
        </w:rPr>
        <w:t>Kolisang</w:t>
      </w:r>
      <w:proofErr w:type="spellEnd"/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 family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met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6737D4">
        <w:rPr>
          <w:rFonts w:ascii="Times New Roman" w:hAnsi="Times New Roman" w:cs="Times New Roman"/>
          <w:sz w:val="28"/>
          <w:szCs w:val="28"/>
          <w:lang w:val="en-GB"/>
        </w:rPr>
        <w:t>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 06</w:t>
      </w:r>
      <w:proofErr w:type="gramEnd"/>
      <w:r w:rsidR="006737D4" w:rsidRPr="006737D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6737D4">
        <w:rPr>
          <w:rFonts w:ascii="Times New Roman" w:hAnsi="Times New Roman" w:cs="Times New Roman"/>
          <w:sz w:val="28"/>
          <w:szCs w:val="28"/>
          <w:lang w:val="en-GB"/>
        </w:rPr>
        <w:t xml:space="preserve"> December 2018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appointed the 3</w:t>
      </w:r>
      <w:r w:rsidRPr="0024461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as the heiress to the subject matter.  On 23</w:t>
      </w:r>
      <w:r w:rsidRPr="0024461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en-GB"/>
        </w:rPr>
        <w:t>July 2023, the Land Administration Authority effected a transfer of the lease</w:t>
      </w:r>
      <w:r w:rsidR="007B5944">
        <w:rPr>
          <w:rFonts w:ascii="Times New Roman" w:hAnsi="Times New Roman" w:cs="Times New Roman"/>
          <w:sz w:val="28"/>
          <w:szCs w:val="28"/>
          <w:lang w:val="en-GB"/>
        </w:rPr>
        <w:t xml:space="preserve"> (lease number 13283-1222)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respect of the subject matter from the names of the deceased to the 3</w:t>
      </w:r>
      <w:r w:rsidRPr="0024461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respondent.</w:t>
      </w:r>
    </w:p>
    <w:p w14:paraId="443691C9" w14:textId="77777777" w:rsidR="0024461F" w:rsidRDefault="0024461F" w:rsidP="0024461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C83A39B" w14:textId="77777777" w:rsidR="007B5944" w:rsidRDefault="00986184" w:rsidP="002446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It is common cause that at all relevant material times, the applicant was residing on the subject matter with the consent of the 3</w:t>
      </w:r>
      <w:r w:rsidRPr="007B594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as the latter is said to be living outside the country. The 3rd respondent being desirous of selling the subject matter informed the applicant to vacate the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house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but the latter refused. On 29</w:t>
      </w:r>
      <w:r w:rsidRPr="0024461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October 2021, the 3</w:t>
      </w:r>
      <w:r w:rsidRPr="0024461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instituted ejectment proceedings at Maseru Magistrate Court</w:t>
      </w:r>
      <w:r w:rsidR="00E33022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E33022" w:rsidRPr="00E33022">
        <w:rPr>
          <w:rFonts w:ascii="Times New Roman" w:hAnsi="Times New Roman" w:cs="Times New Roman"/>
          <w:b/>
          <w:sz w:val="28"/>
          <w:szCs w:val="28"/>
          <w:lang w:val="en-GB"/>
        </w:rPr>
        <w:t>CIV/T/MSU/0218/2021</w:t>
      </w:r>
      <w:r w:rsidR="00E33022"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terms of which she sought ejectment of the applicant from the subject matter.</w:t>
      </w:r>
    </w:p>
    <w:p w14:paraId="61287E79" w14:textId="77777777" w:rsidR="007B5944" w:rsidRDefault="007B5944" w:rsidP="007B594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88C9E3" w14:textId="77777777" w:rsidR="00E33022" w:rsidRPr="00E33022" w:rsidRDefault="00986184" w:rsidP="002446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</w:t>
      </w:r>
      <w:r w:rsidR="005262C1">
        <w:rPr>
          <w:rFonts w:ascii="Times New Roman" w:hAnsi="Times New Roman" w:cs="Times New Roman"/>
          <w:sz w:val="28"/>
          <w:szCs w:val="28"/>
          <w:lang w:val="en-GB"/>
        </w:rPr>
        <w:t>On 29</w:t>
      </w:r>
      <w:r w:rsidR="005262C1" w:rsidRPr="005262C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5262C1">
        <w:rPr>
          <w:rFonts w:ascii="Times New Roman" w:hAnsi="Times New Roman" w:cs="Times New Roman"/>
          <w:sz w:val="28"/>
          <w:szCs w:val="28"/>
          <w:lang w:val="en-GB"/>
        </w:rPr>
        <w:t xml:space="preserve"> November 2021, the 1</w:t>
      </w:r>
      <w:r w:rsidR="005262C1" w:rsidRPr="005262C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5262C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62C1">
        <w:rPr>
          <w:rFonts w:ascii="Times New Roman" w:hAnsi="Times New Roman" w:cs="Times New Roman"/>
          <w:bCs/>
          <w:sz w:val="28"/>
          <w:szCs w:val="28"/>
          <w:lang w:val="en-GB"/>
        </w:rPr>
        <w:t>respondent granted an order for the joinder of the 4</w:t>
      </w:r>
      <w:r w:rsidR="005262C1" w:rsidRPr="005262C1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th</w:t>
      </w:r>
      <w:r w:rsidR="005262C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respondent in the ejectment proceedings as the 2</w:t>
      </w:r>
      <w:r w:rsidR="005262C1" w:rsidRPr="005262C1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nd</w:t>
      </w:r>
      <w:r w:rsidR="005262C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plaintiff. It is against this order that the instant application for review has been instituted. </w:t>
      </w:r>
    </w:p>
    <w:p w14:paraId="4230FE3D" w14:textId="77777777" w:rsidR="00C50A73" w:rsidRDefault="00C50A73" w:rsidP="00E330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C963A7B" w14:textId="77777777" w:rsidR="00E33022" w:rsidRPr="00E33022" w:rsidRDefault="00986184" w:rsidP="00E330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3302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arguments </w:t>
      </w:r>
    </w:p>
    <w:p w14:paraId="5A4E7618" w14:textId="77777777" w:rsidR="00E33022" w:rsidRDefault="00986184" w:rsidP="00F95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The applicant’s case is that the 1</w:t>
      </w:r>
      <w:r w:rsidRPr="00E3302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>should not have joined the 4</w:t>
      </w:r>
      <w:r w:rsidR="00F95A07" w:rsidRPr="00F95A0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respondent as the co-plaintiff with the 3</w:t>
      </w:r>
      <w:r w:rsidR="00F95A07" w:rsidRPr="00F95A0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respondent as the two did not have a common interest in the subject matter. The applicant's case is premised on the submission that </w:t>
      </w:r>
      <w:r w:rsidR="00F95A07" w:rsidRPr="00F95A07">
        <w:rPr>
          <w:rFonts w:ascii="Times New Roman" w:hAnsi="Times New Roman" w:cs="Times New Roman"/>
          <w:sz w:val="28"/>
          <w:szCs w:val="28"/>
          <w:lang w:val="en-GB"/>
        </w:rPr>
        <w:t>the 3</w:t>
      </w:r>
      <w:r w:rsidR="00F95A07" w:rsidRPr="00F95A0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  <w:lang w:val="en-GB"/>
        </w:rPr>
        <w:t xml:space="preserve">respondent 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>held a registered title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 xml:space="preserve"> (lease)</w:t>
      </w:r>
      <w:r w:rsidR="00F95A07" w:rsidRPr="00F95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>in respect of the subject matter in the ejectment proceedings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and as such, the 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>subject matter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did not form part of the estate of the deceased 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>the 4</w:t>
      </w:r>
      <w:r w:rsidR="00F95A07" w:rsidRPr="00F95A0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respondent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 xml:space="preserve"> had to administer. 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>The applicant submits that the 4</w:t>
      </w:r>
      <w:r w:rsidR="00CA5F4A" w:rsidRPr="00CA5F4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 xml:space="preserve"> respondent 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>did not have an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 interest to protect in the ejectment proceedings</w:t>
      </w:r>
      <w:r w:rsidR="00CA5F4A">
        <w:rPr>
          <w:rFonts w:ascii="Times New Roman" w:hAnsi="Times New Roman" w:cs="Times New Roman"/>
          <w:sz w:val="28"/>
          <w:szCs w:val="28"/>
          <w:lang w:val="en-GB"/>
        </w:rPr>
        <w:t xml:space="preserve"> and as such lacked the necessary </w:t>
      </w:r>
      <w:r w:rsidR="00CA5F4A" w:rsidRPr="00CA5F4A">
        <w:rPr>
          <w:rFonts w:ascii="Times New Roman" w:hAnsi="Times New Roman" w:cs="Times New Roman"/>
          <w:i/>
          <w:sz w:val="28"/>
          <w:szCs w:val="28"/>
          <w:lang w:val="en-GB"/>
        </w:rPr>
        <w:t xml:space="preserve">locus standi in </w:t>
      </w:r>
      <w:proofErr w:type="spellStart"/>
      <w:r w:rsidR="00CA5F4A" w:rsidRPr="00CA5F4A">
        <w:rPr>
          <w:rFonts w:ascii="Times New Roman" w:hAnsi="Times New Roman" w:cs="Times New Roman"/>
          <w:i/>
          <w:sz w:val="28"/>
          <w:szCs w:val="28"/>
          <w:lang w:val="en-GB"/>
        </w:rPr>
        <w:t>judicio</w:t>
      </w:r>
      <w:proofErr w:type="spellEnd"/>
      <w:r w:rsidR="00F95A0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0F1568D6" w14:textId="77777777" w:rsidR="00CA5F4A" w:rsidRDefault="00CA5F4A" w:rsidP="00CA5F4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63A5B8" w14:textId="77777777" w:rsidR="00CA5F4A" w:rsidRDefault="00986184" w:rsidP="00F95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4</w:t>
      </w:r>
      <w:r w:rsidRPr="00CA5F4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is the only one who opposed the application though Advocate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Mohasoa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represented both the 3rd and 4th respondents. The gist of his opposition is that the decision of the 1</w:t>
      </w:r>
      <w:r w:rsidRPr="00CA5F4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is not reviewable as the applicant has not indicated any irregularity whatsoever committed by the 1</w:t>
      </w:r>
      <w:r w:rsidRPr="00CA5F4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respondent. </w:t>
      </w:r>
      <w:r w:rsidR="009E01FF">
        <w:rPr>
          <w:rFonts w:ascii="Times New Roman" w:hAnsi="Times New Roman" w:cs="Times New Roman"/>
          <w:sz w:val="28"/>
          <w:szCs w:val="28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>e 4</w:t>
      </w:r>
      <w:r w:rsidRPr="00CA5F4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</w:t>
      </w:r>
      <w:r w:rsidR="009E01FF">
        <w:rPr>
          <w:rFonts w:ascii="Times New Roman" w:hAnsi="Times New Roman" w:cs="Times New Roman"/>
          <w:sz w:val="28"/>
          <w:szCs w:val="28"/>
          <w:lang w:val="en-GB"/>
        </w:rPr>
        <w:t xml:space="preserve">further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submitted that he had </w:t>
      </w:r>
      <w:r w:rsidR="009E01FF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substantial interest in the </w:t>
      </w:r>
      <w:r w:rsidR="00537108">
        <w:rPr>
          <w:rFonts w:ascii="Times New Roman" w:hAnsi="Times New Roman" w:cs="Times New Roman"/>
          <w:sz w:val="28"/>
          <w:szCs w:val="28"/>
          <w:lang w:val="en-GB"/>
        </w:rPr>
        <w:t>ejectment proceedings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as the </w:t>
      </w:r>
      <w:r w:rsidR="00537108">
        <w:rPr>
          <w:rFonts w:ascii="Times New Roman" w:hAnsi="Times New Roman" w:cs="Times New Roman"/>
          <w:sz w:val="28"/>
          <w:szCs w:val="28"/>
          <w:lang w:val="en-GB"/>
        </w:rPr>
        <w:t xml:space="preserve">subject matter formed part of the estate of the deceased of which he was the executor. </w:t>
      </w:r>
    </w:p>
    <w:p w14:paraId="60D964B9" w14:textId="77777777" w:rsidR="00C50A73" w:rsidRDefault="00C50A73" w:rsidP="00C50A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EFA0818" w14:textId="5D5D2A14" w:rsidR="00C50A73" w:rsidRPr="00C50A73" w:rsidRDefault="00F32A04" w:rsidP="00F32A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</w:t>
      </w:r>
      <w:r w:rsidR="00986184" w:rsidRPr="00C50A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issue </w:t>
      </w:r>
    </w:p>
    <w:p w14:paraId="29153000" w14:textId="77777777" w:rsidR="00D7569B" w:rsidRDefault="00986184" w:rsidP="00C50A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issue to be determined by this court is whether the decision of the 1</w:t>
      </w:r>
      <w:r w:rsidRPr="005262C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stands to be reviewed in the circumstance of this case.</w:t>
      </w:r>
    </w:p>
    <w:p w14:paraId="2CDF3B14" w14:textId="3AEDFAA1" w:rsidR="00C50A73" w:rsidRDefault="00C50A73" w:rsidP="00C50A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6B4D6F7" w14:textId="77777777" w:rsidR="00F32A04" w:rsidRDefault="00F32A04" w:rsidP="00C50A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AEA4842" w14:textId="256BFDA2" w:rsidR="00B955DD" w:rsidRPr="00F46869" w:rsidRDefault="00F32A04" w:rsidP="00F32A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     </w:t>
      </w:r>
      <w:r w:rsidR="0098618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Analysis </w:t>
      </w:r>
      <w:r w:rsidR="00986184" w:rsidRPr="00F4686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</w:p>
    <w:p w14:paraId="58E2C538" w14:textId="72A7B1D2" w:rsidR="0039755C" w:rsidRDefault="00986184" w:rsidP="003975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43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E01FF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343EA" w:rsidRPr="00A343EA">
        <w:rPr>
          <w:rFonts w:ascii="Times New Roman" w:hAnsi="Times New Roman" w:cs="Times New Roman"/>
          <w:iCs/>
          <w:sz w:val="28"/>
          <w:szCs w:val="28"/>
        </w:rPr>
        <w:t xml:space="preserve">he difference between an appeal and a review </w:t>
      </w:r>
      <w:r w:rsidR="007369CE">
        <w:rPr>
          <w:rFonts w:ascii="Times New Roman" w:hAnsi="Times New Roman" w:cs="Times New Roman"/>
          <w:iCs/>
          <w:sz w:val="28"/>
          <w:szCs w:val="28"/>
        </w:rPr>
        <w:t>can be blurry sometimes and what distinguishes them is that i</w:t>
      </w:r>
      <w:r w:rsidR="00A343EA" w:rsidRPr="00A343EA">
        <w:rPr>
          <w:rFonts w:ascii="Times New Roman" w:hAnsi="Times New Roman" w:cs="Times New Roman"/>
          <w:iCs/>
          <w:sz w:val="28"/>
          <w:szCs w:val="28"/>
        </w:rPr>
        <w:t xml:space="preserve">n an appeal </w:t>
      </w:r>
      <w:r w:rsidR="007369CE">
        <w:rPr>
          <w:rFonts w:ascii="Times New Roman" w:hAnsi="Times New Roman" w:cs="Times New Roman"/>
          <w:iCs/>
          <w:sz w:val="28"/>
          <w:szCs w:val="28"/>
        </w:rPr>
        <w:t xml:space="preserve">the </w:t>
      </w:r>
      <w:r w:rsidR="00A343EA" w:rsidRPr="00A343EA">
        <w:rPr>
          <w:rFonts w:ascii="Times New Roman" w:hAnsi="Times New Roman" w:cs="Times New Roman"/>
          <w:iCs/>
          <w:sz w:val="28"/>
          <w:szCs w:val="28"/>
        </w:rPr>
        <w:t xml:space="preserve">attack is </w:t>
      </w:r>
      <w:r w:rsidR="007369CE">
        <w:rPr>
          <w:rFonts w:ascii="Times New Roman" w:hAnsi="Times New Roman" w:cs="Times New Roman"/>
          <w:iCs/>
          <w:sz w:val="28"/>
          <w:szCs w:val="28"/>
        </w:rPr>
        <w:t xml:space="preserve">against </w:t>
      </w:r>
      <w:r w:rsidR="00A343EA" w:rsidRPr="00A343EA">
        <w:rPr>
          <w:rFonts w:ascii="Times New Roman" w:hAnsi="Times New Roman" w:cs="Times New Roman"/>
          <w:iCs/>
          <w:sz w:val="28"/>
          <w:szCs w:val="28"/>
        </w:rPr>
        <w:t>the result while in a review the a</w:t>
      </w:r>
      <w:r w:rsidR="007369CE">
        <w:rPr>
          <w:rFonts w:ascii="Times New Roman" w:hAnsi="Times New Roman" w:cs="Times New Roman"/>
          <w:iCs/>
          <w:sz w:val="28"/>
          <w:szCs w:val="28"/>
        </w:rPr>
        <w:t>ttack is directed to</w:t>
      </w:r>
      <w:r w:rsidR="00A343EA" w:rsidRPr="00A343EA">
        <w:rPr>
          <w:rFonts w:ascii="Times New Roman" w:hAnsi="Times New Roman" w:cs="Times New Roman"/>
          <w:iCs/>
          <w:sz w:val="28"/>
          <w:szCs w:val="28"/>
        </w:rPr>
        <w:t xml:space="preserve"> the method</w:t>
      </w:r>
      <w:r w:rsidR="007369CE">
        <w:rPr>
          <w:rFonts w:ascii="Times New Roman" w:hAnsi="Times New Roman" w:cs="Times New Roman"/>
          <w:iCs/>
          <w:sz w:val="28"/>
          <w:szCs w:val="28"/>
        </w:rPr>
        <w:t xml:space="preserve"> or procedure</w:t>
      </w:r>
      <w:r w:rsidR="00A343EA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A343EA" w:rsidRPr="00015FFD">
        <w:rPr>
          <w:rFonts w:ascii="Times New Roman" w:hAnsi="Times New Roman" w:cs="Times New Roman"/>
          <w:b/>
          <w:iCs/>
          <w:sz w:val="28"/>
          <w:szCs w:val="28"/>
        </w:rPr>
        <w:t>Makula</w:t>
      </w:r>
      <w:proofErr w:type="spellEnd"/>
      <w:r w:rsidR="00A343EA" w:rsidRPr="00015FFD">
        <w:rPr>
          <w:rFonts w:ascii="Times New Roman" w:hAnsi="Times New Roman" w:cs="Times New Roman"/>
          <w:b/>
          <w:iCs/>
          <w:sz w:val="28"/>
          <w:szCs w:val="28"/>
        </w:rPr>
        <w:t xml:space="preserve"> and Another v </w:t>
      </w:r>
      <w:proofErr w:type="spellStart"/>
      <w:r w:rsidR="00A343EA" w:rsidRPr="00015FFD">
        <w:rPr>
          <w:rFonts w:ascii="Times New Roman" w:hAnsi="Times New Roman" w:cs="Times New Roman"/>
          <w:b/>
          <w:iCs/>
          <w:sz w:val="28"/>
          <w:szCs w:val="28"/>
        </w:rPr>
        <w:t>Motinyane</w:t>
      </w:r>
      <w:proofErr w:type="spellEnd"/>
      <w:r>
        <w:rPr>
          <w:rStyle w:val="FootnoteReference"/>
          <w:rFonts w:ascii="Times New Roman" w:hAnsi="Times New Roman" w:cs="Times New Roman"/>
          <w:iCs/>
          <w:sz w:val="28"/>
          <w:szCs w:val="28"/>
        </w:rPr>
        <w:footnoteReference w:id="1"/>
      </w:r>
      <w:r w:rsidR="007369C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The essence of review has been espoused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by </w:t>
      </w:r>
      <w:r w:rsidRPr="0039755C">
        <w:t xml:space="preserve"> </w:t>
      </w:r>
      <w:proofErr w:type="spellStart"/>
      <w:r w:rsidRPr="00F94000">
        <w:rPr>
          <w:rFonts w:ascii="Times New Roman" w:hAnsi="Times New Roman" w:cs="Times New Roman"/>
          <w:b/>
          <w:iCs/>
          <w:sz w:val="28"/>
          <w:szCs w:val="28"/>
        </w:rPr>
        <w:t>Herbstein</w:t>
      </w:r>
      <w:proofErr w:type="spellEnd"/>
      <w:proofErr w:type="gramEnd"/>
      <w:r w:rsidRPr="00F94000">
        <w:rPr>
          <w:rFonts w:ascii="Times New Roman" w:hAnsi="Times New Roman" w:cs="Times New Roman"/>
          <w:b/>
          <w:iCs/>
          <w:sz w:val="28"/>
          <w:szCs w:val="28"/>
        </w:rPr>
        <w:t xml:space="preserve"> &amp; Van </w:t>
      </w:r>
      <w:proofErr w:type="spellStart"/>
      <w:r w:rsidRPr="00F94000">
        <w:rPr>
          <w:rFonts w:ascii="Times New Roman" w:hAnsi="Times New Roman" w:cs="Times New Roman"/>
          <w:b/>
          <w:iCs/>
          <w:sz w:val="28"/>
          <w:szCs w:val="28"/>
        </w:rPr>
        <w:t>Winsen</w:t>
      </w:r>
      <w:proofErr w:type="spellEnd"/>
      <w:r>
        <w:rPr>
          <w:rStyle w:val="FootnoteReference"/>
          <w:rFonts w:ascii="Times New Roman" w:hAnsi="Times New Roman" w:cs="Times New Roman"/>
          <w:iCs/>
          <w:sz w:val="28"/>
          <w:szCs w:val="28"/>
        </w:rPr>
        <w:footnoteReference w:id="2"/>
      </w:r>
      <w:r w:rsidRPr="0039755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in the following terms:</w:t>
      </w:r>
    </w:p>
    <w:p w14:paraId="265DBB4E" w14:textId="77777777" w:rsidR="00F32A04" w:rsidRDefault="00F32A04" w:rsidP="00F32A0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EB4ECDC" w14:textId="77777777" w:rsidR="0039755C" w:rsidRDefault="00986184" w:rsidP="0039755C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“</w:t>
      </w:r>
      <w:r w:rsidRPr="0039755C">
        <w:rPr>
          <w:rFonts w:ascii="Times New Roman" w:hAnsi="Times New Roman" w:cs="Times New Roman"/>
          <w:i/>
          <w:iCs/>
          <w:sz w:val="28"/>
          <w:szCs w:val="28"/>
        </w:rPr>
        <w:t>Judicial review is in essence concerned, not with the decision, but with the decision-making process. Upon review, the court is in general terms concerned with the legality of the decision, not with its merits.</w:t>
      </w:r>
      <w:r>
        <w:rPr>
          <w:rFonts w:ascii="Times New Roman" w:hAnsi="Times New Roman" w:cs="Times New Roman"/>
          <w:iCs/>
          <w:sz w:val="28"/>
          <w:szCs w:val="28"/>
        </w:rPr>
        <w:t>”</w:t>
      </w:r>
    </w:p>
    <w:p w14:paraId="4DEF5C88" w14:textId="77777777" w:rsidR="00F94000" w:rsidRDefault="00F94000" w:rsidP="0039755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BDB87A" w14:textId="06B09DE7" w:rsidR="007E1B84" w:rsidRDefault="00986184" w:rsidP="0039755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The case of </w:t>
      </w:r>
      <w:proofErr w:type="spellStart"/>
      <w:r w:rsidRPr="00933A8E">
        <w:rPr>
          <w:rFonts w:ascii="Times New Roman" w:hAnsi="Times New Roman" w:cs="Times New Roman"/>
          <w:b/>
          <w:iCs/>
          <w:sz w:val="28"/>
          <w:szCs w:val="28"/>
        </w:rPr>
        <w:t>Phaila</w:t>
      </w:r>
      <w:proofErr w:type="spellEnd"/>
      <w:r w:rsidRPr="00933A8E">
        <w:rPr>
          <w:rFonts w:ascii="Times New Roman" w:hAnsi="Times New Roman" w:cs="Times New Roman"/>
          <w:b/>
          <w:iCs/>
          <w:sz w:val="28"/>
          <w:szCs w:val="28"/>
        </w:rPr>
        <w:t xml:space="preserve"> v Director of Public Prosecutions</w:t>
      </w:r>
      <w:r>
        <w:rPr>
          <w:rStyle w:val="FootnoteReference"/>
          <w:rFonts w:ascii="Times New Roman" w:hAnsi="Times New Roman" w:cs="Times New Roman"/>
          <w:iCs/>
          <w:sz w:val="28"/>
          <w:szCs w:val="28"/>
        </w:rPr>
        <w:footnoteReference w:id="3"/>
      </w:r>
      <w:r>
        <w:rPr>
          <w:rFonts w:ascii="Times New Roman" w:hAnsi="Times New Roman" w:cs="Times New Roman"/>
          <w:iCs/>
          <w:sz w:val="28"/>
          <w:szCs w:val="28"/>
        </w:rPr>
        <w:t xml:space="preserve"> referred to by counsel for 3</w:t>
      </w:r>
      <w:r w:rsidRPr="007E1B84">
        <w:rPr>
          <w:rFonts w:ascii="Times New Roman" w:hAnsi="Times New Roman" w:cs="Times New Roman"/>
          <w:i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iCs/>
          <w:sz w:val="28"/>
          <w:szCs w:val="28"/>
        </w:rPr>
        <w:t xml:space="preserve"> and 4</w:t>
      </w:r>
      <w:r w:rsidRPr="007E1B84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Cs/>
          <w:sz w:val="28"/>
          <w:szCs w:val="28"/>
        </w:rPr>
        <w:t xml:space="preserve"> respondents </w:t>
      </w:r>
      <w:r w:rsidR="00A079AD">
        <w:rPr>
          <w:rFonts w:ascii="Times New Roman" w:hAnsi="Times New Roman" w:cs="Times New Roman"/>
          <w:iCs/>
          <w:sz w:val="28"/>
          <w:szCs w:val="28"/>
        </w:rPr>
        <w:t xml:space="preserve">elaborates on the nature of the irregularity which should found a review application as </w:t>
      </w:r>
      <w:proofErr w:type="gramStart"/>
      <w:r w:rsidR="00A079AD">
        <w:rPr>
          <w:rFonts w:ascii="Times New Roman" w:hAnsi="Times New Roman" w:cs="Times New Roman"/>
          <w:iCs/>
          <w:sz w:val="28"/>
          <w:szCs w:val="28"/>
        </w:rPr>
        <w:t>follows:-</w:t>
      </w:r>
      <w:proofErr w:type="gramEnd"/>
    </w:p>
    <w:p w14:paraId="40A66D47" w14:textId="77777777" w:rsidR="00F32A04" w:rsidRDefault="00F32A04" w:rsidP="0039755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35B0FD0" w14:textId="77777777" w:rsidR="00A079AD" w:rsidRPr="00A079AD" w:rsidRDefault="00986184" w:rsidP="00A079AD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9AD">
        <w:rPr>
          <w:rFonts w:ascii="Times New Roman" w:hAnsi="Times New Roman" w:cs="Times New Roman"/>
          <w:i/>
          <w:iCs/>
          <w:sz w:val="28"/>
          <w:szCs w:val="28"/>
        </w:rPr>
        <w:t>"…an irregularity in proceedings does not mean an incorrect judgment, it refers not to the result but to the methods of a trial, such as, for example, some high-handed or mistaken action which has prevented the aggrieved party from having his case duly and fairly determined."</w:t>
      </w:r>
    </w:p>
    <w:p w14:paraId="077A8332" w14:textId="77777777" w:rsidR="00A079AD" w:rsidRDefault="00A079AD" w:rsidP="0039755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207C68C" w14:textId="73C0DF91" w:rsidR="00A343EA" w:rsidRPr="00622FA9" w:rsidRDefault="00622FA9" w:rsidP="00622FA9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[10]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In the instant case, the applicant is </w:t>
      </w:r>
      <w:proofErr w:type="gramStart"/>
      <w:r w:rsidR="00986184" w:rsidRPr="00622FA9">
        <w:rPr>
          <w:rFonts w:ascii="Times New Roman" w:hAnsi="Times New Roman" w:cs="Times New Roman"/>
          <w:iCs/>
          <w:sz w:val="28"/>
          <w:szCs w:val="28"/>
        </w:rPr>
        <w:t>actually attacking</w:t>
      </w:r>
      <w:proofErr w:type="gramEnd"/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 the decision of the 1</w:t>
      </w:r>
      <w:r w:rsidR="00986184" w:rsidRPr="00622FA9">
        <w:rPr>
          <w:rFonts w:ascii="Times New Roman" w:hAnsi="Times New Roman" w:cs="Times New Roman"/>
          <w:iCs/>
          <w:sz w:val="28"/>
          <w:szCs w:val="28"/>
          <w:vertAlign w:val="superscript"/>
        </w:rPr>
        <w:t>st</w:t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 respondent to have joined the 4</w:t>
      </w:r>
      <w:r w:rsidR="00986184" w:rsidRPr="00622FA9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 respondent as the co-plaintiff in the ejectment proceedings. The ground </w:t>
      </w:r>
      <w:r w:rsidR="0039755C" w:rsidRPr="00622FA9">
        <w:rPr>
          <w:rFonts w:ascii="Times New Roman" w:hAnsi="Times New Roman" w:cs="Times New Roman"/>
          <w:iCs/>
          <w:sz w:val="28"/>
          <w:szCs w:val="28"/>
        </w:rPr>
        <w:t>for the challenge being</w:t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 that the 4</w:t>
      </w:r>
      <w:r w:rsidR="00986184" w:rsidRPr="00622FA9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 respondent lacked the necessary substantial interest in the proceedings. There is nothing procedural </w:t>
      </w:r>
      <w:r w:rsidR="0039755C" w:rsidRPr="00622FA9">
        <w:rPr>
          <w:rFonts w:ascii="Times New Roman" w:hAnsi="Times New Roman" w:cs="Times New Roman"/>
          <w:iCs/>
          <w:sz w:val="28"/>
          <w:szCs w:val="28"/>
        </w:rPr>
        <w:t xml:space="preserve">or methodological </w:t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about this challenge. </w:t>
      </w:r>
      <w:r w:rsidR="0039755C" w:rsidRPr="00622FA9">
        <w:rPr>
          <w:rFonts w:ascii="Times New Roman" w:hAnsi="Times New Roman" w:cs="Times New Roman"/>
          <w:iCs/>
          <w:sz w:val="28"/>
          <w:szCs w:val="28"/>
        </w:rPr>
        <w:t xml:space="preserve">The applicant has </w:t>
      </w:r>
      <w:proofErr w:type="gramStart"/>
      <w:r w:rsidR="0039755C" w:rsidRPr="00622FA9">
        <w:rPr>
          <w:rFonts w:ascii="Times New Roman" w:hAnsi="Times New Roman" w:cs="Times New Roman"/>
          <w:iCs/>
          <w:sz w:val="28"/>
          <w:szCs w:val="28"/>
        </w:rPr>
        <w:t>actually instituted</w:t>
      </w:r>
      <w:proofErr w:type="gramEnd"/>
      <w:r w:rsidR="0039755C" w:rsidRPr="00622FA9">
        <w:rPr>
          <w:rFonts w:ascii="Times New Roman" w:hAnsi="Times New Roman" w:cs="Times New Roman"/>
          <w:iCs/>
          <w:sz w:val="28"/>
          <w:szCs w:val="28"/>
        </w:rPr>
        <w:t xml:space="preserve"> an appeal disguised as a review. </w:t>
      </w:r>
      <w:r w:rsidR="00986184" w:rsidRPr="00622F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F5890DE" w14:textId="77777777" w:rsidR="00A80793" w:rsidRPr="00A343EA" w:rsidRDefault="00A80793" w:rsidP="0039755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BA94B5" w14:textId="61FDE46D" w:rsidR="00AC3E75" w:rsidRPr="00622FA9" w:rsidRDefault="00622FA9" w:rsidP="00622FA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[11]</w:t>
      </w:r>
      <w:r>
        <w:rPr>
          <w:rFonts w:ascii="Times New Roman" w:hAnsi="Times New Roman" w:cs="Times New Roman"/>
          <w:sz w:val="28"/>
          <w:szCs w:val="28"/>
        </w:rPr>
        <w:tab/>
      </w:r>
      <w:r w:rsidR="00392489" w:rsidRPr="00622FA9">
        <w:rPr>
          <w:rFonts w:ascii="Times New Roman" w:hAnsi="Times New Roman" w:cs="Times New Roman"/>
          <w:sz w:val="28"/>
          <w:szCs w:val="28"/>
        </w:rPr>
        <w:t>While it</w:t>
      </w:r>
      <w:r w:rsidR="007E1B84" w:rsidRPr="00622FA9">
        <w:rPr>
          <w:rFonts w:ascii="Times New Roman" w:hAnsi="Times New Roman" w:cs="Times New Roman"/>
          <w:sz w:val="28"/>
          <w:szCs w:val="28"/>
        </w:rPr>
        <w:t xml:space="preserve"> is </w:t>
      </w:r>
      <w:r w:rsidR="00392489" w:rsidRPr="00622FA9">
        <w:rPr>
          <w:rFonts w:ascii="Times New Roman" w:hAnsi="Times New Roman" w:cs="Times New Roman"/>
          <w:sz w:val="28"/>
          <w:szCs w:val="28"/>
        </w:rPr>
        <w:t>true that because of the overlap between an appeal and a review, the court will not turn a blind eye to a manifest injustice merely because of</w:t>
      </w:r>
    </w:p>
    <w:p w14:paraId="7AC4028D" w14:textId="3612FCC8" w:rsidR="00AC3E75" w:rsidRDefault="00392489" w:rsidP="00622FA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145D">
        <w:rPr>
          <w:rFonts w:ascii="Times New Roman" w:hAnsi="Times New Roman" w:cs="Times New Roman"/>
          <w:sz w:val="28"/>
          <w:szCs w:val="28"/>
        </w:rPr>
        <w:t xml:space="preserve">the form in which the grievance was brought, the court should be wary </w:t>
      </w:r>
      <w:r w:rsidR="00C6145D" w:rsidRPr="00C6145D">
        <w:rPr>
          <w:rFonts w:ascii="Times New Roman" w:hAnsi="Times New Roman" w:cs="Times New Roman"/>
          <w:sz w:val="28"/>
          <w:szCs w:val="28"/>
        </w:rPr>
        <w:t>to interfere</w:t>
      </w:r>
      <w:r w:rsidRPr="00C6145D">
        <w:rPr>
          <w:rFonts w:ascii="Times New Roman" w:hAnsi="Times New Roman" w:cs="Times New Roman"/>
          <w:sz w:val="28"/>
          <w:szCs w:val="28"/>
        </w:rPr>
        <w:t xml:space="preserve"> with the decision of the lower court where there is no manifest injustice or </w:t>
      </w:r>
      <w:r w:rsidR="00C6145D" w:rsidRPr="00C6145D">
        <w:rPr>
          <w:rFonts w:ascii="Times New Roman" w:hAnsi="Times New Roman" w:cs="Times New Roman"/>
          <w:sz w:val="28"/>
          <w:szCs w:val="28"/>
        </w:rPr>
        <w:t>gross i</w:t>
      </w:r>
      <w:r w:rsidRPr="00C6145D">
        <w:rPr>
          <w:rFonts w:ascii="Times New Roman" w:hAnsi="Times New Roman" w:cs="Times New Roman"/>
          <w:sz w:val="28"/>
          <w:szCs w:val="28"/>
        </w:rPr>
        <w:t>rregularity (</w:t>
      </w:r>
      <w:proofErr w:type="spellStart"/>
      <w:r w:rsidR="00C6145D" w:rsidRPr="00F94000">
        <w:rPr>
          <w:rFonts w:ascii="Times New Roman" w:hAnsi="Times New Roman" w:cs="Times New Roman"/>
          <w:b/>
          <w:sz w:val="28"/>
          <w:szCs w:val="28"/>
        </w:rPr>
        <w:t>Makula</w:t>
      </w:r>
      <w:proofErr w:type="spellEnd"/>
      <w:r w:rsidR="00C6145D" w:rsidRPr="00F94000">
        <w:rPr>
          <w:rFonts w:ascii="Times New Roman" w:hAnsi="Times New Roman" w:cs="Times New Roman"/>
          <w:b/>
          <w:sz w:val="28"/>
          <w:szCs w:val="28"/>
        </w:rPr>
        <w:t xml:space="preserve"> and Another v </w:t>
      </w:r>
      <w:proofErr w:type="spellStart"/>
      <w:r w:rsidR="00C6145D" w:rsidRPr="00F94000">
        <w:rPr>
          <w:rFonts w:ascii="Times New Roman" w:hAnsi="Times New Roman" w:cs="Times New Roman"/>
          <w:b/>
          <w:sz w:val="28"/>
          <w:szCs w:val="28"/>
        </w:rPr>
        <w:t>Motinyane</w:t>
      </w:r>
      <w:proofErr w:type="spellEnd"/>
      <w:r w:rsidR="00986184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C6145D" w:rsidRPr="00F94000">
        <w:rPr>
          <w:rFonts w:ascii="Times New Roman" w:hAnsi="Times New Roman" w:cs="Times New Roman"/>
          <w:sz w:val="28"/>
          <w:szCs w:val="28"/>
        </w:rPr>
        <w:t>)</w:t>
      </w:r>
      <w:r w:rsidR="00C6145D" w:rsidRPr="00C6145D">
        <w:rPr>
          <w:rFonts w:ascii="Times New Roman" w:hAnsi="Times New Roman" w:cs="Times New Roman"/>
          <w:sz w:val="28"/>
          <w:szCs w:val="28"/>
        </w:rPr>
        <w:t xml:space="preserve">. </w:t>
      </w:r>
      <w:r w:rsidR="00F342C4" w:rsidRPr="00C6145D">
        <w:rPr>
          <w:rFonts w:ascii="Times New Roman" w:hAnsi="Times New Roman" w:cs="Times New Roman"/>
          <w:sz w:val="28"/>
          <w:szCs w:val="28"/>
          <w:lang w:val="en-GB"/>
        </w:rPr>
        <w:t>Perusing the founding affidavit of the applicant, I could not find any averment</w:t>
      </w:r>
      <w:r w:rsidR="00C6145D" w:rsidRPr="00C6145D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F342C4" w:rsidRPr="00C6145D">
        <w:rPr>
          <w:rFonts w:ascii="Times New Roman" w:hAnsi="Times New Roman" w:cs="Times New Roman"/>
          <w:sz w:val="28"/>
          <w:szCs w:val="28"/>
          <w:lang w:val="en-GB"/>
        </w:rPr>
        <w:t xml:space="preserve"> the gross irregularity alleged to have been committed by the 1</w:t>
      </w:r>
      <w:r w:rsidR="00F342C4" w:rsidRPr="00C6145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F342C4" w:rsidRPr="00C6145D">
        <w:rPr>
          <w:rFonts w:ascii="Times New Roman" w:hAnsi="Times New Roman" w:cs="Times New Roman"/>
          <w:sz w:val="28"/>
          <w:szCs w:val="28"/>
          <w:lang w:val="en-GB"/>
        </w:rPr>
        <w:t xml:space="preserve"> respondent</w:t>
      </w:r>
      <w:r w:rsidR="00B91F60">
        <w:rPr>
          <w:rFonts w:ascii="Times New Roman" w:hAnsi="Times New Roman" w:cs="Times New Roman"/>
          <w:sz w:val="28"/>
          <w:szCs w:val="28"/>
          <w:lang w:val="en-GB"/>
        </w:rPr>
        <w:t xml:space="preserve"> which could have resulted in grave injustice to the applicant</w:t>
      </w:r>
      <w:r w:rsidR="00F342C4" w:rsidRPr="00C6145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1786039" w14:textId="77777777" w:rsidR="00622FA9" w:rsidRPr="00622FA9" w:rsidRDefault="00622FA9" w:rsidP="00622FA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CA2CFE3" w14:textId="03750681" w:rsidR="00B91F60" w:rsidRPr="00622FA9" w:rsidRDefault="00622FA9" w:rsidP="00622FA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[12]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>Even supposing that the 1</w:t>
      </w:r>
      <w:r w:rsidR="00986184" w:rsidRPr="00622FA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respondent had committed a gross irregularity in joining the 4</w:t>
      </w:r>
      <w:r w:rsidR="00986184" w:rsidRPr="00622FA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respondent in the ejectment proceedings, the question would be whether the applicant suffered any prejudice which could result in injustice to him. Th</w:t>
      </w:r>
      <w:r w:rsidR="00821951" w:rsidRPr="00622FA9">
        <w:rPr>
          <w:rFonts w:ascii="Times New Roman" w:hAnsi="Times New Roman" w:cs="Times New Roman"/>
          <w:sz w:val="28"/>
          <w:szCs w:val="28"/>
          <w:lang w:val="en-GB"/>
        </w:rPr>
        <w:t>e pri</w:t>
      </w:r>
      <w:r w:rsidR="006F52FE" w:rsidRPr="00622FA9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821951" w:rsidRPr="00622FA9">
        <w:rPr>
          <w:rFonts w:ascii="Times New Roman" w:hAnsi="Times New Roman" w:cs="Times New Roman"/>
          <w:sz w:val="28"/>
          <w:szCs w:val="28"/>
          <w:lang w:val="en-GB"/>
        </w:rPr>
        <w:t>ciple</w:t>
      </w:r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was enunciated by the Court of Appeal in </w:t>
      </w:r>
      <w:r w:rsidR="00821951" w:rsidRPr="00622FA9">
        <w:rPr>
          <w:rFonts w:ascii="Times New Roman" w:hAnsi="Times New Roman" w:cs="Times New Roman"/>
          <w:b/>
          <w:sz w:val="28"/>
          <w:szCs w:val="28"/>
          <w:lang w:val="en-GB"/>
        </w:rPr>
        <w:t>Khali v Khali</w:t>
      </w:r>
      <w:r w:rsidR="00986184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5"/>
      </w:r>
      <w:r w:rsidR="00821951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in the following </w:t>
      </w:r>
      <w:proofErr w:type="gramStart"/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>terms:-</w:t>
      </w:r>
      <w:proofErr w:type="gramEnd"/>
    </w:p>
    <w:p w14:paraId="1D0E0A43" w14:textId="77777777" w:rsidR="00AC3E75" w:rsidRDefault="00986184" w:rsidP="00622FA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821951">
        <w:rPr>
          <w:rFonts w:ascii="Times New Roman" w:hAnsi="Times New Roman" w:cs="Times New Roman"/>
          <w:i/>
          <w:sz w:val="28"/>
          <w:szCs w:val="28"/>
          <w:lang w:val="en-GB"/>
        </w:rPr>
        <w:t>It is important to note that irregularity is not in itself a ground for setting aside a decision on review. To qualify for this purpose the irregularity must be of such a nature that it is calculated to cause prejudice (</w:t>
      </w:r>
      <w:r w:rsidRPr="00821951">
        <w:rPr>
          <w:rFonts w:ascii="Times New Roman" w:hAnsi="Times New Roman" w:cs="Times New Roman"/>
          <w:b/>
          <w:i/>
          <w:sz w:val="28"/>
          <w:szCs w:val="28"/>
          <w:lang w:val="en-GB"/>
        </w:rPr>
        <w:t>Napolitano v Comm. of Child Welfare, Johannesburg 1965 (1) SA 742 (A) at 745H-746B</w:t>
      </w:r>
      <w:r w:rsidRPr="00821951">
        <w:rPr>
          <w:rFonts w:ascii="Times New Roman" w:hAnsi="Times New Roman" w:cs="Times New Roman"/>
          <w:i/>
          <w:sz w:val="28"/>
          <w:szCs w:val="28"/>
          <w:lang w:val="en-GB"/>
        </w:rPr>
        <w:t>). The court will therefore not set aside proceedings on review if it is satisfied that no substantial wrong was done to the applicant</w:t>
      </w:r>
      <w:proofErr w:type="gramStart"/>
      <w:r w:rsidRPr="00821951">
        <w:rPr>
          <w:rFonts w:ascii="Times New Roman" w:hAnsi="Times New Roman" w:cs="Times New Roman"/>
          <w:i/>
          <w:sz w:val="28"/>
          <w:szCs w:val="28"/>
          <w:lang w:val="en-GB"/>
        </w:rPr>
        <w:t>, that is to say, the</w:t>
      </w:r>
      <w:proofErr w:type="gramEnd"/>
      <w:r w:rsidRPr="00821951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irregularity was not likely to prejudice the applicant, </w:t>
      </w:r>
      <w:r w:rsidRPr="00821951">
        <w:rPr>
          <w:rFonts w:ascii="Times New Roman" w:hAnsi="Times New Roman" w:cs="Times New Roman"/>
          <w:b/>
          <w:i/>
          <w:sz w:val="28"/>
          <w:szCs w:val="28"/>
          <w:lang w:val="en-GB"/>
        </w:rPr>
        <w:t>Hip Hop Clothing Manufacturing CC v Wagener NO and Another 1996 (4) SA 222 (C) at 230C</w:t>
      </w:r>
      <w:r w:rsidRPr="00AC3E7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821951">
        <w:rPr>
          <w:rFonts w:ascii="Times New Roman" w:hAnsi="Times New Roman" w:cs="Times New Roman"/>
          <w:sz w:val="28"/>
          <w:szCs w:val="28"/>
          <w:lang w:val="en-GB"/>
        </w:rPr>
        <w:t>”</w:t>
      </w:r>
    </w:p>
    <w:p w14:paraId="3EAC7B2A" w14:textId="77777777" w:rsidR="00821951" w:rsidRDefault="00821951" w:rsidP="00B91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FDD764" w14:textId="77777777" w:rsidR="00B91F60" w:rsidRDefault="00986184" w:rsidP="00622FA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applicant in the instant case submitted that the prejudice he stood to suffer was that she had to defend a case in which the 4</w:t>
      </w:r>
      <w:r w:rsidRPr="0082195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had not filed any particulars of claim. I cannot find any grave prejudice in this submission which could compel this court to interfere with the decision of </w:t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the 1st respondent.  The applicant still had other procedural avenues which she could explore such as applying for absolution from the instance</w:t>
      </w:r>
      <w:r w:rsidR="00CE20A6">
        <w:rPr>
          <w:rFonts w:ascii="Times New Roman" w:hAnsi="Times New Roman" w:cs="Times New Roman"/>
          <w:sz w:val="28"/>
          <w:szCs w:val="28"/>
          <w:lang w:val="en-GB"/>
        </w:rPr>
        <w:t xml:space="preserve"> with costs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against the 4</w:t>
      </w:r>
      <w:r w:rsidRPr="0082195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respondent at the close of the case for the plaintiffs in the court </w:t>
      </w:r>
      <w:r w:rsidRPr="00821951">
        <w:rPr>
          <w:rFonts w:ascii="Times New Roman" w:hAnsi="Times New Roman" w:cs="Times New Roman"/>
          <w:i/>
          <w:sz w:val="28"/>
          <w:szCs w:val="28"/>
          <w:lang w:val="en-GB"/>
        </w:rPr>
        <w:t>a quo</w:t>
      </w:r>
      <w:r w:rsidR="00CE20A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A3D0F11" w14:textId="77777777" w:rsidR="00CE20A6" w:rsidRDefault="00CE20A6" w:rsidP="00B91F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377BCD8" w14:textId="68B141FA" w:rsidR="00A802D1" w:rsidRPr="00622FA9" w:rsidRDefault="00622FA9" w:rsidP="00622FA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[13]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986184" w:rsidRPr="00622FA9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91F60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t has been stated time and again that </w:t>
      </w:r>
      <w:r w:rsidR="00F342C4" w:rsidRPr="00622FA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B91F60" w:rsidRPr="00622FA9">
        <w:rPr>
          <w:rFonts w:ascii="Times New Roman" w:hAnsi="Times New Roman" w:cs="Times New Roman"/>
          <w:sz w:val="28"/>
          <w:szCs w:val="28"/>
          <w:lang w:val="en-GB"/>
        </w:rPr>
        <w:t>he high court should not</w:t>
      </w:r>
      <w:r w:rsidR="00D72D40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gramStart"/>
      <w:r w:rsidR="00D72D40" w:rsidRPr="00622FA9">
        <w:rPr>
          <w:rFonts w:ascii="Times New Roman" w:hAnsi="Times New Roman" w:cs="Times New Roman"/>
          <w:sz w:val="28"/>
          <w:szCs w:val="28"/>
          <w:lang w:val="en-GB"/>
        </w:rPr>
        <w:t>as a general rule</w:t>
      </w:r>
      <w:proofErr w:type="gramEnd"/>
      <w:r w:rsidR="00B91F60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interfere with unfinished and ongoing proceedings in the lower courts.</w:t>
      </w:r>
      <w:r w:rsidR="00D72D40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The court will only do so in exceptional instances where injustice is </w:t>
      </w:r>
      <w:r w:rsidR="006F52FE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either </w:t>
      </w:r>
      <w:r w:rsidR="00D72D40" w:rsidRPr="00622FA9">
        <w:rPr>
          <w:rFonts w:ascii="Times New Roman" w:hAnsi="Times New Roman" w:cs="Times New Roman"/>
          <w:sz w:val="28"/>
          <w:szCs w:val="28"/>
          <w:lang w:val="en-GB"/>
        </w:rPr>
        <w:t>apparent or would be occasioned</w:t>
      </w:r>
      <w:r w:rsidR="00CE20A6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to the applicant</w:t>
      </w:r>
      <w:r w:rsidR="00C50A73" w:rsidRPr="00622F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52FE" w:rsidRPr="00622FA9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6F52FE" w:rsidRPr="00622FA9">
        <w:rPr>
          <w:rFonts w:ascii="Times New Roman" w:hAnsi="Times New Roman" w:cs="Times New Roman"/>
          <w:b/>
          <w:sz w:val="28"/>
          <w:szCs w:val="28"/>
          <w:lang w:val="en-GB"/>
        </w:rPr>
        <w:t>Khali v Khali</w:t>
      </w:r>
      <w:r w:rsidR="00986184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6"/>
      </w:r>
      <w:r w:rsidR="006F52FE" w:rsidRPr="00622FA9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7769A5" w:rsidRPr="00622FA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39470C1" w14:textId="77777777" w:rsidR="007769A5" w:rsidRDefault="007769A5" w:rsidP="007769A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0B65E20" w14:textId="610F0742" w:rsidR="00B54C82" w:rsidRPr="00612C53" w:rsidRDefault="00612C53" w:rsidP="00612C5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[14]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>This is a case where I am reluctant to interfere with the decision of the court a quo in ongoing proceedings. It is my considered view that notwithstanding the joinder of the 4</w:t>
      </w:r>
      <w:r w:rsidR="00986184" w:rsidRPr="00612C5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respondent as the plaintiff, the applicant could still take further pleading steps and proceed with the ejectment action without any hindrance or prejudice.</w:t>
      </w:r>
    </w:p>
    <w:p w14:paraId="2F45CC70" w14:textId="77777777" w:rsidR="00C50A73" w:rsidRDefault="00C50A73" w:rsidP="00C50A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0C439" w14:textId="77777777" w:rsidR="00B54C82" w:rsidRPr="00C50A73" w:rsidRDefault="00986184" w:rsidP="00612C53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C50A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Disposition </w:t>
      </w:r>
    </w:p>
    <w:p w14:paraId="353488E3" w14:textId="5D90F712" w:rsidR="007769A5" w:rsidRPr="00612C53" w:rsidRDefault="00612C53" w:rsidP="00612C5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[15]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The application is dismissed and there is no order as to costs. Both </w:t>
      </w:r>
      <w:proofErr w:type="gramStart"/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>counsel</w:t>
      </w:r>
      <w:proofErr w:type="gramEnd"/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97D17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were </w:t>
      </w:r>
      <w:r w:rsidR="00B97D17" w:rsidRPr="00612C53">
        <w:rPr>
          <w:rFonts w:ascii="Times New Roman" w:hAnsi="Times New Roman" w:cs="Times New Roman"/>
          <w:i/>
          <w:sz w:val="28"/>
          <w:szCs w:val="28"/>
          <w:lang w:val="en-GB"/>
        </w:rPr>
        <w:t>ad idem</w:t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that they would not insist on costs </w:t>
      </w:r>
      <w:r w:rsidR="00B97D17" w:rsidRPr="00612C53">
        <w:rPr>
          <w:rFonts w:ascii="Times New Roman" w:hAnsi="Times New Roman" w:cs="Times New Roman"/>
          <w:sz w:val="28"/>
          <w:szCs w:val="28"/>
          <w:lang w:val="en-GB"/>
        </w:rPr>
        <w:t>considering</w:t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that the main antagonists in this matter are siblings; something rather unfortunate that the only daughters surviving their late single mother are at loggerheads over the property which should rightfully be their home</w:t>
      </w:r>
      <w:r w:rsidR="00B97D17" w:rsidRPr="00612C5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notwithstanding the testamentary wish of their late mother. I made a plea with counsel</w:t>
      </w:r>
      <w:r w:rsidR="00B97D17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for the respective parties</w:t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that pending this judgment, they should collaborate and attempt to refer the siblings for mediation </w:t>
      </w:r>
      <w:proofErr w:type="gramStart"/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>as a way to</w:t>
      </w:r>
      <w:proofErr w:type="gramEnd"/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t xml:space="preserve"> revive and </w:t>
      </w:r>
      <w:r w:rsidR="00986184" w:rsidRPr="00612C5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preserve their sisterly relations. Unfortunately, a report has been filed that such an attempt did not yield anything positive.     </w:t>
      </w:r>
    </w:p>
    <w:p w14:paraId="3B743F90" w14:textId="77777777" w:rsidR="00E02FE2" w:rsidRDefault="00986184" w:rsidP="00B97D17">
      <w:pPr>
        <w:spacing w:line="240" w:lineRule="auto"/>
        <w:ind w:left="1440" w:hanging="720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5B73BA5" w14:textId="77777777" w:rsidR="00517477" w:rsidRDefault="00986184" w:rsidP="00E02FE2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_________________</w:t>
      </w:r>
    </w:p>
    <w:p w14:paraId="11781BF6" w14:textId="77777777" w:rsidR="00517477" w:rsidRPr="00E02FE2" w:rsidRDefault="00986184" w:rsidP="0051747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02FE2">
        <w:rPr>
          <w:rFonts w:ascii="Times New Roman" w:hAnsi="Times New Roman" w:cs="Times New Roman"/>
          <w:b/>
          <w:bCs/>
          <w:sz w:val="28"/>
          <w:szCs w:val="28"/>
          <w:lang w:val="en-GB"/>
        </w:rPr>
        <w:t>M.P. RALEBESE</w:t>
      </w:r>
    </w:p>
    <w:p w14:paraId="47D558F3" w14:textId="77777777" w:rsidR="00457525" w:rsidRPr="00E02FE2" w:rsidRDefault="00986184" w:rsidP="0051747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02FE2">
        <w:rPr>
          <w:rFonts w:ascii="Times New Roman" w:hAnsi="Times New Roman" w:cs="Times New Roman"/>
          <w:b/>
          <w:bCs/>
          <w:sz w:val="28"/>
          <w:szCs w:val="28"/>
          <w:lang w:val="en-GB"/>
        </w:rPr>
        <w:t>JUDGE</w:t>
      </w:r>
    </w:p>
    <w:p w14:paraId="5EC23F09" w14:textId="77777777" w:rsidR="00457525" w:rsidRDefault="00457525" w:rsidP="0051747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5CF93786" w14:textId="77777777" w:rsidR="00457525" w:rsidRPr="00E02FE2" w:rsidRDefault="00986184" w:rsidP="00457525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>For Applicant</w:t>
      </w: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E02FE2" w:rsidRPr="00E02FE2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E02FE2" w:rsidRPr="00E02FE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</w:t>
      </w: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>Adv</w:t>
      </w:r>
      <w:r w:rsidR="00E02FE2" w:rsidRPr="00E02FE2">
        <w:rPr>
          <w:rFonts w:ascii="Times New Roman" w:hAnsi="Times New Roman" w:cs="Times New Roman"/>
          <w:bCs/>
          <w:sz w:val="28"/>
          <w:szCs w:val="28"/>
          <w:lang w:val="en-GB"/>
        </w:rPr>
        <w:t>ocate</w:t>
      </w: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L. </w:t>
      </w:r>
      <w:proofErr w:type="spellStart"/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>Molapo</w:t>
      </w:r>
      <w:proofErr w:type="spellEnd"/>
    </w:p>
    <w:p w14:paraId="5FD4082A" w14:textId="77777777" w:rsidR="00E02FE2" w:rsidRPr="00E02FE2" w:rsidRDefault="00986184" w:rsidP="00457525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For the </w:t>
      </w:r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>2</w:t>
      </w:r>
      <w:r w:rsidR="00B97D17" w:rsidRPr="00B97D17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nd</w:t>
      </w:r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and 3</w:t>
      </w:r>
      <w:r w:rsidR="00B97D17" w:rsidRPr="00B97D17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rd</w:t>
      </w:r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>Respondents</w:t>
      </w:r>
      <w:r w:rsidRPr="00E02FE2">
        <w:rPr>
          <w:rFonts w:ascii="Times New Roman" w:hAnsi="Times New Roman" w:cs="Times New Roman"/>
          <w:bCs/>
          <w:sz w:val="28"/>
          <w:szCs w:val="28"/>
          <w:lang w:val="en-GB"/>
        </w:rPr>
        <w:tab/>
        <w:t xml:space="preserve">: Advocate </w:t>
      </w:r>
      <w:proofErr w:type="spellStart"/>
      <w:r w:rsidR="00B97D17">
        <w:rPr>
          <w:rFonts w:ascii="Times New Roman" w:hAnsi="Times New Roman" w:cs="Times New Roman"/>
          <w:bCs/>
          <w:sz w:val="28"/>
          <w:szCs w:val="28"/>
          <w:lang w:val="en-GB"/>
        </w:rPr>
        <w:t>Mohasoa</w:t>
      </w:r>
      <w:proofErr w:type="spellEnd"/>
    </w:p>
    <w:sectPr w:rsidR="00E02FE2" w:rsidRPr="00E02FE2" w:rsidSect="000838F9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A811" w14:textId="77777777" w:rsidR="00045AF3" w:rsidRDefault="00045AF3">
      <w:pPr>
        <w:spacing w:after="0" w:line="240" w:lineRule="auto"/>
      </w:pPr>
      <w:r>
        <w:separator/>
      </w:r>
    </w:p>
  </w:endnote>
  <w:endnote w:type="continuationSeparator" w:id="0">
    <w:p w14:paraId="4263A46E" w14:textId="77777777" w:rsidR="00045AF3" w:rsidRDefault="0004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573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F010F" w14:textId="77777777" w:rsidR="000838F9" w:rsidRDefault="00986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884E7" w14:textId="77777777" w:rsidR="000838F9" w:rsidRDefault="0008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4709" w14:textId="77777777" w:rsidR="00045AF3" w:rsidRDefault="00045AF3" w:rsidP="00397D7E">
      <w:pPr>
        <w:spacing w:after="0" w:line="240" w:lineRule="auto"/>
      </w:pPr>
      <w:r>
        <w:separator/>
      </w:r>
    </w:p>
  </w:footnote>
  <w:footnote w:type="continuationSeparator" w:id="0">
    <w:p w14:paraId="40EFD1A9" w14:textId="77777777" w:rsidR="00045AF3" w:rsidRDefault="00045AF3" w:rsidP="00397D7E">
      <w:pPr>
        <w:spacing w:after="0" w:line="240" w:lineRule="auto"/>
      </w:pPr>
      <w:r>
        <w:continuationSeparator/>
      </w:r>
    </w:p>
  </w:footnote>
  <w:footnote w:id="1">
    <w:p w14:paraId="49D07296" w14:textId="77777777" w:rsidR="00015FFD" w:rsidRPr="00015FFD" w:rsidRDefault="009861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15FFD">
        <w:t>(CRI/APN/720/03) (CRI/APN/720/03) [2004] LSHC 65 (23 April 2004)</w:t>
      </w:r>
    </w:p>
  </w:footnote>
  <w:footnote w:id="2">
    <w:p w14:paraId="5CC8B424" w14:textId="77777777" w:rsidR="00F94000" w:rsidRPr="00F94000" w:rsidRDefault="009861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94000">
        <w:rPr>
          <w:u w:val="single"/>
        </w:rPr>
        <w:t>The Civil Practice of the Supreme Court of South Africa</w:t>
      </w:r>
      <w:r w:rsidRPr="00F94000">
        <w:t xml:space="preserve"> 4th ed., Juta, &amp; Co. Ltd, 1997 at page 929</w:t>
      </w:r>
    </w:p>
  </w:footnote>
  <w:footnote w:id="3">
    <w:p w14:paraId="1AB3A624" w14:textId="77777777" w:rsidR="00933A8E" w:rsidRPr="00933A8E" w:rsidRDefault="009861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33A8E">
        <w:t>(</w:t>
      </w:r>
      <w:proofErr w:type="spellStart"/>
      <w:r w:rsidRPr="00933A8E">
        <w:t>Const</w:t>
      </w:r>
      <w:proofErr w:type="spellEnd"/>
      <w:r w:rsidRPr="00933A8E">
        <w:t xml:space="preserve"> 24/2018) 2021 LSHC 07</w:t>
      </w:r>
    </w:p>
  </w:footnote>
  <w:footnote w:id="4">
    <w:p w14:paraId="78F97D7B" w14:textId="77777777" w:rsidR="00F94000" w:rsidRPr="00F94000" w:rsidRDefault="009861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Supra.</w:t>
      </w:r>
    </w:p>
  </w:footnote>
  <w:footnote w:id="5">
    <w:p w14:paraId="164FBFB0" w14:textId="77777777" w:rsidR="00C50A73" w:rsidRPr="00C50A73" w:rsidRDefault="009861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0A73">
        <w:t>(C of A (CIV) 40/17 (2019) LSCA</w:t>
      </w:r>
      <w:r w:rsidR="00015FFD">
        <w:t xml:space="preserve"> at para. 39</w:t>
      </w:r>
    </w:p>
  </w:footnote>
  <w:footnote w:id="6">
    <w:p w14:paraId="0C797AEA" w14:textId="77777777" w:rsidR="00C50A73" w:rsidRPr="00C50A73" w:rsidRDefault="009861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Supra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5797A"/>
    <w:multiLevelType w:val="hybridMultilevel"/>
    <w:tmpl w:val="B4BAE050"/>
    <w:lvl w:ilvl="0" w:tplc="D890CD2E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BE8E034" w:tentative="1">
      <w:start w:val="1"/>
      <w:numFmt w:val="lowerLetter"/>
      <w:lvlText w:val="%2."/>
      <w:lvlJc w:val="left"/>
      <w:pPr>
        <w:ind w:left="1080" w:hanging="360"/>
      </w:pPr>
    </w:lvl>
    <w:lvl w:ilvl="2" w:tplc="C1BAA052" w:tentative="1">
      <w:start w:val="1"/>
      <w:numFmt w:val="lowerRoman"/>
      <w:lvlText w:val="%3."/>
      <w:lvlJc w:val="right"/>
      <w:pPr>
        <w:ind w:left="1800" w:hanging="180"/>
      </w:pPr>
    </w:lvl>
    <w:lvl w:ilvl="3" w:tplc="1C5C62A6" w:tentative="1">
      <w:start w:val="1"/>
      <w:numFmt w:val="decimal"/>
      <w:lvlText w:val="%4."/>
      <w:lvlJc w:val="left"/>
      <w:pPr>
        <w:ind w:left="2520" w:hanging="360"/>
      </w:pPr>
    </w:lvl>
    <w:lvl w:ilvl="4" w:tplc="E55CBA80" w:tentative="1">
      <w:start w:val="1"/>
      <w:numFmt w:val="lowerLetter"/>
      <w:lvlText w:val="%5."/>
      <w:lvlJc w:val="left"/>
      <w:pPr>
        <w:ind w:left="3240" w:hanging="360"/>
      </w:pPr>
    </w:lvl>
    <w:lvl w:ilvl="5" w:tplc="5D38C370" w:tentative="1">
      <w:start w:val="1"/>
      <w:numFmt w:val="lowerRoman"/>
      <w:lvlText w:val="%6."/>
      <w:lvlJc w:val="right"/>
      <w:pPr>
        <w:ind w:left="3960" w:hanging="180"/>
      </w:pPr>
    </w:lvl>
    <w:lvl w:ilvl="6" w:tplc="5C6ADD34" w:tentative="1">
      <w:start w:val="1"/>
      <w:numFmt w:val="decimal"/>
      <w:lvlText w:val="%7."/>
      <w:lvlJc w:val="left"/>
      <w:pPr>
        <w:ind w:left="4680" w:hanging="360"/>
      </w:pPr>
    </w:lvl>
    <w:lvl w:ilvl="7" w:tplc="AB4E663C" w:tentative="1">
      <w:start w:val="1"/>
      <w:numFmt w:val="lowerLetter"/>
      <w:lvlText w:val="%8."/>
      <w:lvlJc w:val="left"/>
      <w:pPr>
        <w:ind w:left="5400" w:hanging="360"/>
      </w:pPr>
    </w:lvl>
    <w:lvl w:ilvl="8" w:tplc="9D08AA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DD16C8"/>
    <w:multiLevelType w:val="hybridMultilevel"/>
    <w:tmpl w:val="2A08027E"/>
    <w:lvl w:ilvl="0" w:tplc="1C7ACC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EE8EBF4" w:tentative="1">
      <w:start w:val="1"/>
      <w:numFmt w:val="lowerLetter"/>
      <w:lvlText w:val="%2."/>
      <w:lvlJc w:val="left"/>
      <w:pPr>
        <w:ind w:left="1440" w:hanging="360"/>
      </w:pPr>
    </w:lvl>
    <w:lvl w:ilvl="2" w:tplc="B87E30E0" w:tentative="1">
      <w:start w:val="1"/>
      <w:numFmt w:val="lowerRoman"/>
      <w:lvlText w:val="%3."/>
      <w:lvlJc w:val="right"/>
      <w:pPr>
        <w:ind w:left="2160" w:hanging="180"/>
      </w:pPr>
    </w:lvl>
    <w:lvl w:ilvl="3" w:tplc="7ECA794C" w:tentative="1">
      <w:start w:val="1"/>
      <w:numFmt w:val="decimal"/>
      <w:lvlText w:val="%4."/>
      <w:lvlJc w:val="left"/>
      <w:pPr>
        <w:ind w:left="2880" w:hanging="360"/>
      </w:pPr>
    </w:lvl>
    <w:lvl w:ilvl="4" w:tplc="E2DEDE54" w:tentative="1">
      <w:start w:val="1"/>
      <w:numFmt w:val="lowerLetter"/>
      <w:lvlText w:val="%5."/>
      <w:lvlJc w:val="left"/>
      <w:pPr>
        <w:ind w:left="3600" w:hanging="360"/>
      </w:pPr>
    </w:lvl>
    <w:lvl w:ilvl="5" w:tplc="B882DF04" w:tentative="1">
      <w:start w:val="1"/>
      <w:numFmt w:val="lowerRoman"/>
      <w:lvlText w:val="%6."/>
      <w:lvlJc w:val="right"/>
      <w:pPr>
        <w:ind w:left="4320" w:hanging="180"/>
      </w:pPr>
    </w:lvl>
    <w:lvl w:ilvl="6" w:tplc="1A023158" w:tentative="1">
      <w:start w:val="1"/>
      <w:numFmt w:val="decimal"/>
      <w:lvlText w:val="%7."/>
      <w:lvlJc w:val="left"/>
      <w:pPr>
        <w:ind w:left="5040" w:hanging="360"/>
      </w:pPr>
    </w:lvl>
    <w:lvl w:ilvl="7" w:tplc="53963CFC" w:tentative="1">
      <w:start w:val="1"/>
      <w:numFmt w:val="lowerLetter"/>
      <w:lvlText w:val="%8."/>
      <w:lvlJc w:val="left"/>
      <w:pPr>
        <w:ind w:left="5760" w:hanging="360"/>
      </w:pPr>
    </w:lvl>
    <w:lvl w:ilvl="8" w:tplc="E19A8E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4F"/>
    <w:rsid w:val="0000415E"/>
    <w:rsid w:val="00004448"/>
    <w:rsid w:val="00004875"/>
    <w:rsid w:val="0000530D"/>
    <w:rsid w:val="000122FF"/>
    <w:rsid w:val="00013DAF"/>
    <w:rsid w:val="00015FFD"/>
    <w:rsid w:val="00016BA6"/>
    <w:rsid w:val="000173D3"/>
    <w:rsid w:val="00017E96"/>
    <w:rsid w:val="00022646"/>
    <w:rsid w:val="00022DF3"/>
    <w:rsid w:val="00026D0F"/>
    <w:rsid w:val="00032915"/>
    <w:rsid w:val="000341B5"/>
    <w:rsid w:val="000359D3"/>
    <w:rsid w:val="000435D5"/>
    <w:rsid w:val="00045AF3"/>
    <w:rsid w:val="0004671D"/>
    <w:rsid w:val="00046812"/>
    <w:rsid w:val="000505E9"/>
    <w:rsid w:val="000600D2"/>
    <w:rsid w:val="00061E03"/>
    <w:rsid w:val="00064ADF"/>
    <w:rsid w:val="0006716E"/>
    <w:rsid w:val="00074A23"/>
    <w:rsid w:val="00076C51"/>
    <w:rsid w:val="000838F9"/>
    <w:rsid w:val="00084508"/>
    <w:rsid w:val="00090713"/>
    <w:rsid w:val="00093A5A"/>
    <w:rsid w:val="00094CF9"/>
    <w:rsid w:val="000A05F0"/>
    <w:rsid w:val="000C13C5"/>
    <w:rsid w:val="000D15FC"/>
    <w:rsid w:val="000E363C"/>
    <w:rsid w:val="000E506D"/>
    <w:rsid w:val="000F58E6"/>
    <w:rsid w:val="000F7D31"/>
    <w:rsid w:val="0010568D"/>
    <w:rsid w:val="00107D7A"/>
    <w:rsid w:val="00117491"/>
    <w:rsid w:val="001201FA"/>
    <w:rsid w:val="00133020"/>
    <w:rsid w:val="00134275"/>
    <w:rsid w:val="001423A5"/>
    <w:rsid w:val="00144D9F"/>
    <w:rsid w:val="00145D88"/>
    <w:rsid w:val="00147EAE"/>
    <w:rsid w:val="00151B8C"/>
    <w:rsid w:val="00154E88"/>
    <w:rsid w:val="0015789A"/>
    <w:rsid w:val="00160067"/>
    <w:rsid w:val="001617FD"/>
    <w:rsid w:val="00163874"/>
    <w:rsid w:val="00164940"/>
    <w:rsid w:val="00164AA3"/>
    <w:rsid w:val="001760E4"/>
    <w:rsid w:val="0018031F"/>
    <w:rsid w:val="00187C92"/>
    <w:rsid w:val="00190F15"/>
    <w:rsid w:val="00193BAF"/>
    <w:rsid w:val="001A5E7C"/>
    <w:rsid w:val="001A611B"/>
    <w:rsid w:val="001B1F60"/>
    <w:rsid w:val="001B712B"/>
    <w:rsid w:val="001C2749"/>
    <w:rsid w:val="001C5EBC"/>
    <w:rsid w:val="001C7F7B"/>
    <w:rsid w:val="001D052B"/>
    <w:rsid w:val="001D1187"/>
    <w:rsid w:val="001D2BA4"/>
    <w:rsid w:val="001D4AA9"/>
    <w:rsid w:val="001E7009"/>
    <w:rsid w:val="001E7258"/>
    <w:rsid w:val="001E7DB8"/>
    <w:rsid w:val="001F0B77"/>
    <w:rsid w:val="001F27C6"/>
    <w:rsid w:val="001F71A9"/>
    <w:rsid w:val="00203081"/>
    <w:rsid w:val="00203F86"/>
    <w:rsid w:val="00205E10"/>
    <w:rsid w:val="002106C1"/>
    <w:rsid w:val="00220C4D"/>
    <w:rsid w:val="00222C46"/>
    <w:rsid w:val="0022508A"/>
    <w:rsid w:val="002307E9"/>
    <w:rsid w:val="00231AF1"/>
    <w:rsid w:val="00233E40"/>
    <w:rsid w:val="00237B5B"/>
    <w:rsid w:val="002410B5"/>
    <w:rsid w:val="00242915"/>
    <w:rsid w:val="0024461F"/>
    <w:rsid w:val="00253680"/>
    <w:rsid w:val="002540C4"/>
    <w:rsid w:val="00254577"/>
    <w:rsid w:val="00260EB3"/>
    <w:rsid w:val="00267BA5"/>
    <w:rsid w:val="002700CF"/>
    <w:rsid w:val="00274447"/>
    <w:rsid w:val="00277636"/>
    <w:rsid w:val="00280ECB"/>
    <w:rsid w:val="00282B38"/>
    <w:rsid w:val="00292166"/>
    <w:rsid w:val="002928AD"/>
    <w:rsid w:val="00295527"/>
    <w:rsid w:val="00296B10"/>
    <w:rsid w:val="002A0306"/>
    <w:rsid w:val="002A0F95"/>
    <w:rsid w:val="002B23B2"/>
    <w:rsid w:val="002C01D5"/>
    <w:rsid w:val="002C1426"/>
    <w:rsid w:val="002C466A"/>
    <w:rsid w:val="002C6E61"/>
    <w:rsid w:val="0030655C"/>
    <w:rsid w:val="00316672"/>
    <w:rsid w:val="00320E78"/>
    <w:rsid w:val="00323A12"/>
    <w:rsid w:val="003319AD"/>
    <w:rsid w:val="003359FE"/>
    <w:rsid w:val="00357E32"/>
    <w:rsid w:val="003601C5"/>
    <w:rsid w:val="00363CAE"/>
    <w:rsid w:val="003649B6"/>
    <w:rsid w:val="00367799"/>
    <w:rsid w:val="0037716D"/>
    <w:rsid w:val="003823D8"/>
    <w:rsid w:val="0039023D"/>
    <w:rsid w:val="00391089"/>
    <w:rsid w:val="00392489"/>
    <w:rsid w:val="0039755C"/>
    <w:rsid w:val="00397D7E"/>
    <w:rsid w:val="003A16E2"/>
    <w:rsid w:val="003A7060"/>
    <w:rsid w:val="003B23A4"/>
    <w:rsid w:val="003B7512"/>
    <w:rsid w:val="003C2923"/>
    <w:rsid w:val="003D232C"/>
    <w:rsid w:val="003D559C"/>
    <w:rsid w:val="003E4585"/>
    <w:rsid w:val="003F0127"/>
    <w:rsid w:val="003F2341"/>
    <w:rsid w:val="003F37A3"/>
    <w:rsid w:val="003F53F4"/>
    <w:rsid w:val="004021B1"/>
    <w:rsid w:val="0040301B"/>
    <w:rsid w:val="00413704"/>
    <w:rsid w:val="00414171"/>
    <w:rsid w:val="00415B1F"/>
    <w:rsid w:val="00423243"/>
    <w:rsid w:val="004441B9"/>
    <w:rsid w:val="004537B6"/>
    <w:rsid w:val="00456A05"/>
    <w:rsid w:val="00456F91"/>
    <w:rsid w:val="00457525"/>
    <w:rsid w:val="00464B3A"/>
    <w:rsid w:val="0048010D"/>
    <w:rsid w:val="0048238E"/>
    <w:rsid w:val="004832B0"/>
    <w:rsid w:val="00483E79"/>
    <w:rsid w:val="004853B6"/>
    <w:rsid w:val="004900F4"/>
    <w:rsid w:val="00491720"/>
    <w:rsid w:val="00494418"/>
    <w:rsid w:val="00496EB7"/>
    <w:rsid w:val="004A2F84"/>
    <w:rsid w:val="004A4B7C"/>
    <w:rsid w:val="004C1F33"/>
    <w:rsid w:val="004D293E"/>
    <w:rsid w:val="004D5AA4"/>
    <w:rsid w:val="004E3328"/>
    <w:rsid w:val="004E5424"/>
    <w:rsid w:val="0051126F"/>
    <w:rsid w:val="00517477"/>
    <w:rsid w:val="00521712"/>
    <w:rsid w:val="005262C1"/>
    <w:rsid w:val="00530074"/>
    <w:rsid w:val="00537108"/>
    <w:rsid w:val="005524A4"/>
    <w:rsid w:val="005626A0"/>
    <w:rsid w:val="00565993"/>
    <w:rsid w:val="00567D00"/>
    <w:rsid w:val="00571620"/>
    <w:rsid w:val="0057426D"/>
    <w:rsid w:val="0057573E"/>
    <w:rsid w:val="00583624"/>
    <w:rsid w:val="005900C7"/>
    <w:rsid w:val="00590891"/>
    <w:rsid w:val="005A3C0F"/>
    <w:rsid w:val="005A4C17"/>
    <w:rsid w:val="005A7534"/>
    <w:rsid w:val="005B1DB2"/>
    <w:rsid w:val="005B653C"/>
    <w:rsid w:val="005C1BAF"/>
    <w:rsid w:val="005C289B"/>
    <w:rsid w:val="005D4739"/>
    <w:rsid w:val="005E3BD8"/>
    <w:rsid w:val="005E3DBC"/>
    <w:rsid w:val="005E7BE4"/>
    <w:rsid w:val="005F4842"/>
    <w:rsid w:val="005F523B"/>
    <w:rsid w:val="00612C53"/>
    <w:rsid w:val="00612CB0"/>
    <w:rsid w:val="0061759B"/>
    <w:rsid w:val="00620C5F"/>
    <w:rsid w:val="0062222C"/>
    <w:rsid w:val="00622FA9"/>
    <w:rsid w:val="006259DA"/>
    <w:rsid w:val="006279E5"/>
    <w:rsid w:val="0063369C"/>
    <w:rsid w:val="00634F35"/>
    <w:rsid w:val="0063637A"/>
    <w:rsid w:val="006437FE"/>
    <w:rsid w:val="00644FA0"/>
    <w:rsid w:val="00646E26"/>
    <w:rsid w:val="00661A54"/>
    <w:rsid w:val="0066353D"/>
    <w:rsid w:val="006720EA"/>
    <w:rsid w:val="006731DE"/>
    <w:rsid w:val="006737D4"/>
    <w:rsid w:val="006769A8"/>
    <w:rsid w:val="00682B79"/>
    <w:rsid w:val="006836A5"/>
    <w:rsid w:val="00685199"/>
    <w:rsid w:val="006912D0"/>
    <w:rsid w:val="0069156D"/>
    <w:rsid w:val="006A54F7"/>
    <w:rsid w:val="006B265B"/>
    <w:rsid w:val="006B3B21"/>
    <w:rsid w:val="006C4D87"/>
    <w:rsid w:val="006D2057"/>
    <w:rsid w:val="006D247D"/>
    <w:rsid w:val="006D34A8"/>
    <w:rsid w:val="006D4131"/>
    <w:rsid w:val="006E7475"/>
    <w:rsid w:val="006F1035"/>
    <w:rsid w:val="006F1533"/>
    <w:rsid w:val="006F28C5"/>
    <w:rsid w:val="006F2FD8"/>
    <w:rsid w:val="006F3126"/>
    <w:rsid w:val="006F3771"/>
    <w:rsid w:val="006F52FE"/>
    <w:rsid w:val="006F5F4D"/>
    <w:rsid w:val="00700EDF"/>
    <w:rsid w:val="00704BC7"/>
    <w:rsid w:val="00711417"/>
    <w:rsid w:val="00714159"/>
    <w:rsid w:val="007154A5"/>
    <w:rsid w:val="007156A2"/>
    <w:rsid w:val="0072334E"/>
    <w:rsid w:val="00731B0D"/>
    <w:rsid w:val="00733806"/>
    <w:rsid w:val="0073492D"/>
    <w:rsid w:val="007369CE"/>
    <w:rsid w:val="0073782C"/>
    <w:rsid w:val="0073789E"/>
    <w:rsid w:val="00745074"/>
    <w:rsid w:val="00750A81"/>
    <w:rsid w:val="00751A6F"/>
    <w:rsid w:val="007524E7"/>
    <w:rsid w:val="00767062"/>
    <w:rsid w:val="00767A57"/>
    <w:rsid w:val="007716EB"/>
    <w:rsid w:val="00774FA4"/>
    <w:rsid w:val="007769A5"/>
    <w:rsid w:val="00780F0E"/>
    <w:rsid w:val="007908CC"/>
    <w:rsid w:val="0079529F"/>
    <w:rsid w:val="00795F19"/>
    <w:rsid w:val="00797414"/>
    <w:rsid w:val="007A0EAC"/>
    <w:rsid w:val="007B06CC"/>
    <w:rsid w:val="007B100D"/>
    <w:rsid w:val="007B5944"/>
    <w:rsid w:val="007C02DC"/>
    <w:rsid w:val="007C6BCB"/>
    <w:rsid w:val="007C76C0"/>
    <w:rsid w:val="007C7A95"/>
    <w:rsid w:val="007C7BB3"/>
    <w:rsid w:val="007D15EF"/>
    <w:rsid w:val="007E0FCF"/>
    <w:rsid w:val="007E1B84"/>
    <w:rsid w:val="007E6385"/>
    <w:rsid w:val="007F6091"/>
    <w:rsid w:val="00800A01"/>
    <w:rsid w:val="00821951"/>
    <w:rsid w:val="00831642"/>
    <w:rsid w:val="0083569C"/>
    <w:rsid w:val="008358DA"/>
    <w:rsid w:val="00836FAE"/>
    <w:rsid w:val="00837B7E"/>
    <w:rsid w:val="00840B6A"/>
    <w:rsid w:val="00840C0E"/>
    <w:rsid w:val="00841E72"/>
    <w:rsid w:val="008430BC"/>
    <w:rsid w:val="00845849"/>
    <w:rsid w:val="00850812"/>
    <w:rsid w:val="00854611"/>
    <w:rsid w:val="00855370"/>
    <w:rsid w:val="008865CD"/>
    <w:rsid w:val="00887401"/>
    <w:rsid w:val="00890E37"/>
    <w:rsid w:val="00893E72"/>
    <w:rsid w:val="00896F4B"/>
    <w:rsid w:val="008A7709"/>
    <w:rsid w:val="008B24C9"/>
    <w:rsid w:val="008B4720"/>
    <w:rsid w:val="008B4F8A"/>
    <w:rsid w:val="008C0115"/>
    <w:rsid w:val="008D388F"/>
    <w:rsid w:val="008D5556"/>
    <w:rsid w:val="008E35B6"/>
    <w:rsid w:val="008F1281"/>
    <w:rsid w:val="00902141"/>
    <w:rsid w:val="00913FF2"/>
    <w:rsid w:val="009159B0"/>
    <w:rsid w:val="009173B7"/>
    <w:rsid w:val="00924B7C"/>
    <w:rsid w:val="00930D17"/>
    <w:rsid w:val="00931011"/>
    <w:rsid w:val="00933A8E"/>
    <w:rsid w:val="0094066C"/>
    <w:rsid w:val="00946895"/>
    <w:rsid w:val="00950519"/>
    <w:rsid w:val="009507F9"/>
    <w:rsid w:val="0096522F"/>
    <w:rsid w:val="0096616D"/>
    <w:rsid w:val="00980622"/>
    <w:rsid w:val="009855A8"/>
    <w:rsid w:val="00986184"/>
    <w:rsid w:val="009A0BE6"/>
    <w:rsid w:val="009A4533"/>
    <w:rsid w:val="009A61CA"/>
    <w:rsid w:val="009B26C2"/>
    <w:rsid w:val="009B61CE"/>
    <w:rsid w:val="009D4168"/>
    <w:rsid w:val="009D7DB9"/>
    <w:rsid w:val="009E01FF"/>
    <w:rsid w:val="009E5C9E"/>
    <w:rsid w:val="009E6EBF"/>
    <w:rsid w:val="009E74EB"/>
    <w:rsid w:val="009F5FA1"/>
    <w:rsid w:val="009F78C6"/>
    <w:rsid w:val="00A0037C"/>
    <w:rsid w:val="00A0058F"/>
    <w:rsid w:val="00A0205C"/>
    <w:rsid w:val="00A035B6"/>
    <w:rsid w:val="00A079AD"/>
    <w:rsid w:val="00A143DD"/>
    <w:rsid w:val="00A17E80"/>
    <w:rsid w:val="00A244C6"/>
    <w:rsid w:val="00A2770F"/>
    <w:rsid w:val="00A30B62"/>
    <w:rsid w:val="00A30EB0"/>
    <w:rsid w:val="00A343EA"/>
    <w:rsid w:val="00A34B75"/>
    <w:rsid w:val="00A353A6"/>
    <w:rsid w:val="00A462F6"/>
    <w:rsid w:val="00A56F74"/>
    <w:rsid w:val="00A61DEF"/>
    <w:rsid w:val="00A61E00"/>
    <w:rsid w:val="00A6505D"/>
    <w:rsid w:val="00A66AF3"/>
    <w:rsid w:val="00A700C3"/>
    <w:rsid w:val="00A70777"/>
    <w:rsid w:val="00A70A97"/>
    <w:rsid w:val="00A7645E"/>
    <w:rsid w:val="00A77FBA"/>
    <w:rsid w:val="00A802D1"/>
    <w:rsid w:val="00A80793"/>
    <w:rsid w:val="00A84A28"/>
    <w:rsid w:val="00A858DE"/>
    <w:rsid w:val="00A90BE4"/>
    <w:rsid w:val="00AA59A3"/>
    <w:rsid w:val="00AA7C8C"/>
    <w:rsid w:val="00AB09D3"/>
    <w:rsid w:val="00AB7264"/>
    <w:rsid w:val="00AC084C"/>
    <w:rsid w:val="00AC08B4"/>
    <w:rsid w:val="00AC3A48"/>
    <w:rsid w:val="00AC3E75"/>
    <w:rsid w:val="00AC7FF3"/>
    <w:rsid w:val="00AD0E97"/>
    <w:rsid w:val="00AD4772"/>
    <w:rsid w:val="00AD6B78"/>
    <w:rsid w:val="00AD7F5E"/>
    <w:rsid w:val="00AE205A"/>
    <w:rsid w:val="00AE4D00"/>
    <w:rsid w:val="00AE5CA9"/>
    <w:rsid w:val="00AF09BA"/>
    <w:rsid w:val="00B006C0"/>
    <w:rsid w:val="00B0119F"/>
    <w:rsid w:val="00B028D1"/>
    <w:rsid w:val="00B02CA0"/>
    <w:rsid w:val="00B0490E"/>
    <w:rsid w:val="00B049A5"/>
    <w:rsid w:val="00B05E97"/>
    <w:rsid w:val="00B1027A"/>
    <w:rsid w:val="00B13C51"/>
    <w:rsid w:val="00B16739"/>
    <w:rsid w:val="00B2031A"/>
    <w:rsid w:val="00B332B0"/>
    <w:rsid w:val="00B41FF2"/>
    <w:rsid w:val="00B45524"/>
    <w:rsid w:val="00B54C82"/>
    <w:rsid w:val="00B6193A"/>
    <w:rsid w:val="00B63199"/>
    <w:rsid w:val="00B638A3"/>
    <w:rsid w:val="00B63B96"/>
    <w:rsid w:val="00B6653B"/>
    <w:rsid w:val="00B70D65"/>
    <w:rsid w:val="00B73AB6"/>
    <w:rsid w:val="00B91F60"/>
    <w:rsid w:val="00B93717"/>
    <w:rsid w:val="00B944D5"/>
    <w:rsid w:val="00B94C2F"/>
    <w:rsid w:val="00B955DD"/>
    <w:rsid w:val="00B97D17"/>
    <w:rsid w:val="00BA0B97"/>
    <w:rsid w:val="00BA3B1B"/>
    <w:rsid w:val="00BA45E4"/>
    <w:rsid w:val="00BB02B6"/>
    <w:rsid w:val="00BB12D9"/>
    <w:rsid w:val="00BB498E"/>
    <w:rsid w:val="00BB5549"/>
    <w:rsid w:val="00BC6C09"/>
    <w:rsid w:val="00BC7B98"/>
    <w:rsid w:val="00BD02B6"/>
    <w:rsid w:val="00BD2827"/>
    <w:rsid w:val="00BD346F"/>
    <w:rsid w:val="00BD7E49"/>
    <w:rsid w:val="00BE11B8"/>
    <w:rsid w:val="00BE3EA0"/>
    <w:rsid w:val="00BF4763"/>
    <w:rsid w:val="00BF50FB"/>
    <w:rsid w:val="00BF57D3"/>
    <w:rsid w:val="00C04140"/>
    <w:rsid w:val="00C04DF0"/>
    <w:rsid w:val="00C1759F"/>
    <w:rsid w:val="00C17F5E"/>
    <w:rsid w:val="00C204B8"/>
    <w:rsid w:val="00C20EEF"/>
    <w:rsid w:val="00C222A8"/>
    <w:rsid w:val="00C22C9B"/>
    <w:rsid w:val="00C22F45"/>
    <w:rsid w:val="00C2340C"/>
    <w:rsid w:val="00C237B3"/>
    <w:rsid w:val="00C30A2D"/>
    <w:rsid w:val="00C312C3"/>
    <w:rsid w:val="00C35513"/>
    <w:rsid w:val="00C37D06"/>
    <w:rsid w:val="00C5000B"/>
    <w:rsid w:val="00C50A73"/>
    <w:rsid w:val="00C54270"/>
    <w:rsid w:val="00C6145D"/>
    <w:rsid w:val="00C70683"/>
    <w:rsid w:val="00C75B53"/>
    <w:rsid w:val="00C76A4B"/>
    <w:rsid w:val="00C84FB7"/>
    <w:rsid w:val="00C86204"/>
    <w:rsid w:val="00C92F63"/>
    <w:rsid w:val="00CA3364"/>
    <w:rsid w:val="00CA40A5"/>
    <w:rsid w:val="00CA5F4A"/>
    <w:rsid w:val="00CB4F59"/>
    <w:rsid w:val="00CC042F"/>
    <w:rsid w:val="00CC1278"/>
    <w:rsid w:val="00CC5444"/>
    <w:rsid w:val="00CC64C3"/>
    <w:rsid w:val="00CC6ED1"/>
    <w:rsid w:val="00CD0AE1"/>
    <w:rsid w:val="00CE0BB3"/>
    <w:rsid w:val="00CE20A6"/>
    <w:rsid w:val="00CF20AC"/>
    <w:rsid w:val="00CF258C"/>
    <w:rsid w:val="00CF4D4C"/>
    <w:rsid w:val="00CF5809"/>
    <w:rsid w:val="00CF6617"/>
    <w:rsid w:val="00CF765D"/>
    <w:rsid w:val="00CF7E46"/>
    <w:rsid w:val="00D0351B"/>
    <w:rsid w:val="00D043F7"/>
    <w:rsid w:val="00D07C54"/>
    <w:rsid w:val="00D163C9"/>
    <w:rsid w:val="00D249FF"/>
    <w:rsid w:val="00D36FA9"/>
    <w:rsid w:val="00D44B6A"/>
    <w:rsid w:val="00D53D9C"/>
    <w:rsid w:val="00D55027"/>
    <w:rsid w:val="00D62B1F"/>
    <w:rsid w:val="00D631DB"/>
    <w:rsid w:val="00D646A3"/>
    <w:rsid w:val="00D678D8"/>
    <w:rsid w:val="00D7154A"/>
    <w:rsid w:val="00D71CF0"/>
    <w:rsid w:val="00D72D40"/>
    <w:rsid w:val="00D73F4E"/>
    <w:rsid w:val="00D74B0E"/>
    <w:rsid w:val="00D7569B"/>
    <w:rsid w:val="00D76DEB"/>
    <w:rsid w:val="00D77A40"/>
    <w:rsid w:val="00D82C93"/>
    <w:rsid w:val="00D8370D"/>
    <w:rsid w:val="00D862AA"/>
    <w:rsid w:val="00D879BA"/>
    <w:rsid w:val="00DA02F6"/>
    <w:rsid w:val="00DB507F"/>
    <w:rsid w:val="00DB744E"/>
    <w:rsid w:val="00DC1DEF"/>
    <w:rsid w:val="00DC418E"/>
    <w:rsid w:val="00DC43A6"/>
    <w:rsid w:val="00DC4F36"/>
    <w:rsid w:val="00DC635F"/>
    <w:rsid w:val="00DD215F"/>
    <w:rsid w:val="00DD778A"/>
    <w:rsid w:val="00DE6D50"/>
    <w:rsid w:val="00DF6F6A"/>
    <w:rsid w:val="00E02FE2"/>
    <w:rsid w:val="00E06E75"/>
    <w:rsid w:val="00E1408E"/>
    <w:rsid w:val="00E14EC3"/>
    <w:rsid w:val="00E15AB8"/>
    <w:rsid w:val="00E24AED"/>
    <w:rsid w:val="00E25688"/>
    <w:rsid w:val="00E26567"/>
    <w:rsid w:val="00E270E5"/>
    <w:rsid w:val="00E33022"/>
    <w:rsid w:val="00E35B2B"/>
    <w:rsid w:val="00E35BFE"/>
    <w:rsid w:val="00E4194F"/>
    <w:rsid w:val="00E505C3"/>
    <w:rsid w:val="00E85DC6"/>
    <w:rsid w:val="00E86B76"/>
    <w:rsid w:val="00E90102"/>
    <w:rsid w:val="00E90756"/>
    <w:rsid w:val="00E93393"/>
    <w:rsid w:val="00E96A18"/>
    <w:rsid w:val="00EA1924"/>
    <w:rsid w:val="00EB5C23"/>
    <w:rsid w:val="00EB7574"/>
    <w:rsid w:val="00EC02DA"/>
    <w:rsid w:val="00EC4B23"/>
    <w:rsid w:val="00ED043F"/>
    <w:rsid w:val="00EE060A"/>
    <w:rsid w:val="00EE36CA"/>
    <w:rsid w:val="00EE604F"/>
    <w:rsid w:val="00EE64E1"/>
    <w:rsid w:val="00EF32FF"/>
    <w:rsid w:val="00EF4265"/>
    <w:rsid w:val="00EF65FC"/>
    <w:rsid w:val="00F01D3E"/>
    <w:rsid w:val="00F04DBD"/>
    <w:rsid w:val="00F07863"/>
    <w:rsid w:val="00F11660"/>
    <w:rsid w:val="00F168E1"/>
    <w:rsid w:val="00F178E7"/>
    <w:rsid w:val="00F30428"/>
    <w:rsid w:val="00F30ED4"/>
    <w:rsid w:val="00F32A04"/>
    <w:rsid w:val="00F342C4"/>
    <w:rsid w:val="00F351B4"/>
    <w:rsid w:val="00F359A1"/>
    <w:rsid w:val="00F46869"/>
    <w:rsid w:val="00F50297"/>
    <w:rsid w:val="00F50C6C"/>
    <w:rsid w:val="00F5398F"/>
    <w:rsid w:val="00F600C5"/>
    <w:rsid w:val="00F64328"/>
    <w:rsid w:val="00F670B3"/>
    <w:rsid w:val="00F67C50"/>
    <w:rsid w:val="00F74D05"/>
    <w:rsid w:val="00F7588F"/>
    <w:rsid w:val="00F8210C"/>
    <w:rsid w:val="00F84AB1"/>
    <w:rsid w:val="00F92E12"/>
    <w:rsid w:val="00F93DC3"/>
    <w:rsid w:val="00F94000"/>
    <w:rsid w:val="00F94451"/>
    <w:rsid w:val="00F95A07"/>
    <w:rsid w:val="00F971C1"/>
    <w:rsid w:val="00FA493C"/>
    <w:rsid w:val="00FA7E9F"/>
    <w:rsid w:val="00FB17A9"/>
    <w:rsid w:val="00FB5BC4"/>
    <w:rsid w:val="00FB5C55"/>
    <w:rsid w:val="00FB6EE6"/>
    <w:rsid w:val="00FC32E8"/>
    <w:rsid w:val="00FC3E3F"/>
    <w:rsid w:val="00FC435D"/>
    <w:rsid w:val="00FD4F2E"/>
    <w:rsid w:val="00FE3D5E"/>
    <w:rsid w:val="00FE4552"/>
    <w:rsid w:val="00FE61D5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27D6"/>
  <w15:docId w15:val="{53678D45-A859-4A52-AD0C-A0A789B6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7E"/>
  </w:style>
  <w:style w:type="paragraph" w:styleId="Footer">
    <w:name w:val="footer"/>
    <w:basedOn w:val="Normal"/>
    <w:link w:val="FooterChar"/>
    <w:uiPriority w:val="99"/>
    <w:unhideWhenUsed/>
    <w:rsid w:val="0039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7E"/>
  </w:style>
  <w:style w:type="character" w:styleId="CommentReference">
    <w:name w:val="annotation reference"/>
    <w:basedOn w:val="DefaultParagraphFont"/>
    <w:uiPriority w:val="99"/>
    <w:semiHidden/>
    <w:unhideWhenUsed/>
    <w:rsid w:val="0051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8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4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1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34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E5543A8430D43B7715DD0EE71EF42" ma:contentTypeVersion="4" ma:contentTypeDescription="Create a new document." ma:contentTypeScope="" ma:versionID="b00dfba000d1813af6d654298078a3e4">
  <xsd:schema xmlns:xsd="http://www.w3.org/2001/XMLSchema" xmlns:xs="http://www.w3.org/2001/XMLSchema" xmlns:p="http://schemas.microsoft.com/office/2006/metadata/properties" xmlns:ns3="b08e019f-36be-4eef-9c44-e78675a41ac9" targetNamespace="http://schemas.microsoft.com/office/2006/metadata/properties" ma:root="true" ma:fieldsID="a967686d1b143c7b2d0c66175ef6b0eb" ns3:_="">
    <xsd:import namespace="b08e019f-36be-4eef-9c44-e78675a41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019f-36be-4eef-9c44-e78675a41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4FA4-F013-464A-A9B7-F734B82C9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BA3D6-9BB8-43B9-B634-1F1B86CBE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945F8-FE62-4CB3-9288-1C005DAE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e019f-36be-4eef-9c44-e78675a41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42898-7632-4B49-B589-1151A50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Moipone Bulane</dc:creator>
  <cp:lastModifiedBy>Moipone Bulane</cp:lastModifiedBy>
  <cp:revision>2</cp:revision>
  <cp:lastPrinted>2022-11-03T09:24:00Z</cp:lastPrinted>
  <dcterms:created xsi:type="dcterms:W3CDTF">2022-11-03T09:37:00Z</dcterms:created>
  <dcterms:modified xsi:type="dcterms:W3CDTF">2022-11-03T09:37:00Z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0x010100AC0E5543A8430D43B7715DD0EE71EF42</vt:lpwstr>
  </property>
  <property fmtid="{D5CDD505-2E9C-101B-9397-08002B2CF9AE}" pid="3" name="MSIP_Label_9f914f9e-4c1b-4005-a7de-34e254df930c_ActionId">
    <vt:lpwstr>5dee2e1e-98fe-4166-8e4f-d74fc44a7dd8</vt:lpwstr>
  </property>
  <property fmtid="{D5CDD505-2E9C-101B-9397-08002B2CF9AE}" pid="4" name="MSIP_Label_9f914f9e-4c1b-4005-a7de-34e254df930c_ContentBits">
    <vt:lpwstr>0</vt:lpwstr>
  </property>
  <property fmtid="{D5CDD505-2E9C-101B-9397-08002B2CF9AE}" pid="5" name="MSIP_Label_9f914f9e-4c1b-4005-a7de-34e254df930c_Enabled">
    <vt:lpwstr>true</vt:lpwstr>
  </property>
  <property fmtid="{D5CDD505-2E9C-101B-9397-08002B2CF9AE}" pid="6" name="MSIP_Label_9f914f9e-4c1b-4005-a7de-34e254df930c_Method">
    <vt:lpwstr>Standard</vt:lpwstr>
  </property>
  <property fmtid="{D5CDD505-2E9C-101B-9397-08002B2CF9AE}" pid="7" name="MSIP_Label_9f914f9e-4c1b-4005-a7de-34e254df930c_Name">
    <vt:lpwstr>Personal</vt:lpwstr>
  </property>
  <property fmtid="{D5CDD505-2E9C-101B-9397-08002B2CF9AE}" pid="8" name="MSIP_Label_9f914f9e-4c1b-4005-a7de-34e254df930c_SetDate">
    <vt:lpwstr>2022-10-11T07:38:39Z</vt:lpwstr>
  </property>
  <property fmtid="{D5CDD505-2E9C-101B-9397-08002B2CF9AE}" pid="9" name="MSIP_Label_9f914f9e-4c1b-4005-a7de-34e254df930c_SiteId">
    <vt:lpwstr>2da551e5-ab0a-45ad-b85e-866ea2d3c525</vt:lpwstr>
  </property>
</Properties>
</file>