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3F9A" w14:textId="77777777" w:rsidR="00D04A33" w:rsidRDefault="00D04A33" w:rsidP="00C16D20">
      <w:pPr>
        <w:jc w:val="center"/>
        <w:rPr>
          <w:rFonts w:ascii="Times New Roman" w:hAnsi="Times New Roman" w:cs="Times New Roman"/>
          <w:sz w:val="28"/>
          <w:szCs w:val="28"/>
          <w:lang w:val="en-US"/>
        </w:rPr>
      </w:pPr>
    </w:p>
    <w:p w14:paraId="1A9B692A" w14:textId="77777777" w:rsidR="00E87A11" w:rsidRDefault="00E87A11" w:rsidP="00C16D20">
      <w:pPr>
        <w:jc w:val="center"/>
        <w:rPr>
          <w:rFonts w:ascii="Times New Roman" w:hAnsi="Times New Roman" w:cs="Times New Roman"/>
          <w:sz w:val="28"/>
          <w:szCs w:val="28"/>
          <w:lang w:val="en-US"/>
        </w:rPr>
      </w:pPr>
    </w:p>
    <w:p w14:paraId="3A6D538C" w14:textId="77777777" w:rsidR="00E87A11" w:rsidRDefault="00E87A11" w:rsidP="00C16D20">
      <w:pPr>
        <w:jc w:val="center"/>
        <w:rPr>
          <w:rFonts w:ascii="Times New Roman" w:hAnsi="Times New Roman" w:cs="Times New Roman"/>
          <w:sz w:val="28"/>
          <w:szCs w:val="28"/>
          <w:lang w:val="en-US"/>
        </w:rPr>
      </w:pPr>
    </w:p>
    <w:p w14:paraId="0F2AF449" w14:textId="77777777" w:rsidR="00BB4BC6" w:rsidRDefault="009142F6" w:rsidP="00C16D2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IN THE HIGH COURT OF LESOTHO</w:t>
      </w:r>
    </w:p>
    <w:p w14:paraId="7DEA4080" w14:textId="77777777" w:rsidR="0005661F"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p>
    <w:p w14:paraId="1EB9603E" w14:textId="77777777" w:rsidR="0005661F"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CIV/APN/106/2021</w:t>
      </w:r>
    </w:p>
    <w:p w14:paraId="48ADFA2C" w14:textId="77777777" w:rsidR="0005661F" w:rsidRDefault="0005661F" w:rsidP="00BB4BC6">
      <w:pPr>
        <w:rPr>
          <w:rFonts w:ascii="Times New Roman" w:hAnsi="Times New Roman" w:cs="Times New Roman"/>
          <w:b/>
          <w:bCs/>
          <w:sz w:val="28"/>
          <w:szCs w:val="28"/>
          <w:lang w:val="en-US"/>
        </w:rPr>
      </w:pPr>
    </w:p>
    <w:p w14:paraId="5563470B" w14:textId="77777777" w:rsidR="0005661F"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HELD AT MASERU</w:t>
      </w:r>
    </w:p>
    <w:p w14:paraId="5CA961C3" w14:textId="77777777" w:rsidR="0005661F" w:rsidRDefault="0005661F" w:rsidP="00BB4BC6">
      <w:pPr>
        <w:rPr>
          <w:rFonts w:ascii="Times New Roman" w:hAnsi="Times New Roman" w:cs="Times New Roman"/>
          <w:b/>
          <w:bCs/>
          <w:sz w:val="28"/>
          <w:szCs w:val="28"/>
          <w:lang w:val="en-US"/>
        </w:rPr>
      </w:pPr>
    </w:p>
    <w:p w14:paraId="69185DD7" w14:textId="77777777" w:rsidR="0005661F" w:rsidRDefault="009142F6" w:rsidP="00BB4BC6">
      <w:pPr>
        <w:rPr>
          <w:rFonts w:ascii="Times New Roman" w:hAnsi="Times New Roman" w:cs="Times New Roman"/>
          <w:sz w:val="28"/>
          <w:szCs w:val="28"/>
          <w:lang w:val="en-US"/>
        </w:rPr>
      </w:pPr>
      <w:r>
        <w:rPr>
          <w:rFonts w:ascii="Times New Roman" w:hAnsi="Times New Roman" w:cs="Times New Roman"/>
          <w:sz w:val="28"/>
          <w:szCs w:val="28"/>
          <w:lang w:val="en-US"/>
        </w:rPr>
        <w:t xml:space="preserve">In the matter between </w:t>
      </w:r>
    </w:p>
    <w:p w14:paraId="66D4DF70" w14:textId="77777777" w:rsidR="0005661F" w:rsidRDefault="0005661F" w:rsidP="00BB4BC6">
      <w:pPr>
        <w:rPr>
          <w:rFonts w:ascii="Times New Roman" w:hAnsi="Times New Roman" w:cs="Times New Roman"/>
          <w:sz w:val="28"/>
          <w:szCs w:val="28"/>
          <w:lang w:val="en-US"/>
        </w:rPr>
      </w:pPr>
    </w:p>
    <w:p w14:paraId="0F8CBFD4" w14:textId="77777777" w:rsidR="0005661F"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’MANTHATISI RAMOABI</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APPLICANT</w:t>
      </w:r>
    </w:p>
    <w:p w14:paraId="25A7F053" w14:textId="77777777" w:rsidR="0005661F" w:rsidRDefault="0005661F" w:rsidP="00BB4BC6">
      <w:pPr>
        <w:rPr>
          <w:rFonts w:ascii="Times New Roman" w:hAnsi="Times New Roman" w:cs="Times New Roman"/>
          <w:b/>
          <w:bCs/>
          <w:sz w:val="28"/>
          <w:szCs w:val="28"/>
          <w:lang w:val="en-US"/>
        </w:rPr>
      </w:pPr>
    </w:p>
    <w:p w14:paraId="36BB5E7E" w14:textId="77777777" w:rsidR="0005661F" w:rsidRPr="0005661F"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and</w:t>
      </w:r>
    </w:p>
    <w:p w14:paraId="4D24E668" w14:textId="77777777" w:rsidR="00BB4BC6" w:rsidRDefault="00BB4BC6" w:rsidP="00BB4BC6">
      <w:pPr>
        <w:rPr>
          <w:rFonts w:ascii="Times New Roman" w:hAnsi="Times New Roman" w:cs="Times New Roman"/>
          <w:sz w:val="28"/>
          <w:szCs w:val="28"/>
          <w:lang w:val="en-US"/>
        </w:rPr>
      </w:pPr>
    </w:p>
    <w:p w14:paraId="1BA80D6F" w14:textId="77777777" w:rsidR="009C40E5"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PRINCIPAL SECRETARY – MINISTRY OF</w:t>
      </w:r>
    </w:p>
    <w:p w14:paraId="19181326" w14:textId="77777777" w:rsidR="009C40E5"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EDUCATION AND TRAINING</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1</w:t>
      </w:r>
      <w:r w:rsidRPr="009C40E5">
        <w:rPr>
          <w:rFonts w:ascii="Times New Roman" w:hAnsi="Times New Roman" w:cs="Times New Roman"/>
          <w:b/>
          <w:bCs/>
          <w:sz w:val="28"/>
          <w:szCs w:val="28"/>
          <w:vertAlign w:val="superscript"/>
          <w:lang w:val="en-US"/>
        </w:rPr>
        <w:t>ST</w:t>
      </w:r>
      <w:r>
        <w:rPr>
          <w:rFonts w:ascii="Times New Roman" w:hAnsi="Times New Roman" w:cs="Times New Roman"/>
          <w:b/>
          <w:bCs/>
          <w:sz w:val="28"/>
          <w:szCs w:val="28"/>
          <w:lang w:val="en-US"/>
        </w:rPr>
        <w:t xml:space="preserve"> RESPONDENT</w:t>
      </w:r>
    </w:p>
    <w:p w14:paraId="4BA358A5" w14:textId="77777777" w:rsidR="009C40E5"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MINISTRY OF EDUCATION AND TRAINING</w:t>
      </w:r>
      <w:r>
        <w:rPr>
          <w:rFonts w:ascii="Times New Roman" w:hAnsi="Times New Roman" w:cs="Times New Roman"/>
          <w:b/>
          <w:bCs/>
          <w:sz w:val="28"/>
          <w:szCs w:val="28"/>
          <w:lang w:val="en-US"/>
        </w:rPr>
        <w:tab/>
        <w:t>2</w:t>
      </w:r>
      <w:r w:rsidRPr="009C40E5">
        <w:rPr>
          <w:rFonts w:ascii="Times New Roman" w:hAnsi="Times New Roman" w:cs="Times New Roman"/>
          <w:b/>
          <w:bCs/>
          <w:sz w:val="28"/>
          <w:szCs w:val="28"/>
          <w:vertAlign w:val="superscript"/>
          <w:lang w:val="en-US"/>
        </w:rPr>
        <w:t>ND</w:t>
      </w:r>
      <w:r>
        <w:rPr>
          <w:rFonts w:ascii="Times New Roman" w:hAnsi="Times New Roman" w:cs="Times New Roman"/>
          <w:b/>
          <w:bCs/>
          <w:sz w:val="28"/>
          <w:szCs w:val="28"/>
          <w:lang w:val="en-US"/>
        </w:rPr>
        <w:t xml:space="preserve"> RESPONDENT</w:t>
      </w:r>
    </w:p>
    <w:p w14:paraId="548C827D" w14:textId="77777777" w:rsidR="009C40E5"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PRINCIPAL SECRETARY – MINISTRY OF </w:t>
      </w:r>
    </w:p>
    <w:p w14:paraId="2D76D95E" w14:textId="77777777" w:rsidR="009C40E5"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FINANCE</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3</w:t>
      </w:r>
      <w:r w:rsidRPr="009C40E5">
        <w:rPr>
          <w:rFonts w:ascii="Times New Roman" w:hAnsi="Times New Roman" w:cs="Times New Roman"/>
          <w:b/>
          <w:bCs/>
          <w:sz w:val="28"/>
          <w:szCs w:val="28"/>
          <w:vertAlign w:val="superscript"/>
          <w:lang w:val="en-US"/>
        </w:rPr>
        <w:t>RD</w:t>
      </w:r>
      <w:r>
        <w:rPr>
          <w:rFonts w:ascii="Times New Roman" w:hAnsi="Times New Roman" w:cs="Times New Roman"/>
          <w:b/>
          <w:bCs/>
          <w:sz w:val="28"/>
          <w:szCs w:val="28"/>
          <w:lang w:val="en-US"/>
        </w:rPr>
        <w:t xml:space="preserve"> RESPONDENT</w:t>
      </w:r>
    </w:p>
    <w:p w14:paraId="437DAA77" w14:textId="77777777" w:rsidR="009C40E5"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MINISTRY OF FINANCE</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4</w:t>
      </w:r>
      <w:r w:rsidRPr="009C40E5">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RESPONDENT</w:t>
      </w:r>
    </w:p>
    <w:p w14:paraId="47015D5D" w14:textId="77777777" w:rsidR="009C40E5"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TEACHING SERVICE COMMISSION</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5</w:t>
      </w:r>
      <w:r w:rsidRPr="009C40E5">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RESPONDENT</w:t>
      </w:r>
    </w:p>
    <w:p w14:paraId="0FB81383" w14:textId="77777777" w:rsidR="006D570A" w:rsidRDefault="009142F6" w:rsidP="00BB4BC6">
      <w:pPr>
        <w:rPr>
          <w:rFonts w:ascii="Times New Roman" w:hAnsi="Times New Roman" w:cs="Times New Roman"/>
          <w:b/>
          <w:bCs/>
          <w:sz w:val="28"/>
          <w:szCs w:val="28"/>
          <w:lang w:val="en-US"/>
        </w:rPr>
      </w:pPr>
      <w:r>
        <w:rPr>
          <w:rFonts w:ascii="Times New Roman" w:hAnsi="Times New Roman" w:cs="Times New Roman"/>
          <w:b/>
          <w:bCs/>
          <w:sz w:val="28"/>
          <w:szCs w:val="28"/>
          <w:lang w:val="en-US"/>
        </w:rPr>
        <w:t>ATTORNEY</w:t>
      </w:r>
      <w:r w:rsidR="004052F9">
        <w:rPr>
          <w:rFonts w:ascii="Times New Roman" w:hAnsi="Times New Roman" w:cs="Times New Roman"/>
          <w:b/>
          <w:bCs/>
          <w:sz w:val="28"/>
          <w:szCs w:val="28"/>
          <w:lang w:val="en-US"/>
        </w:rPr>
        <w:t xml:space="preserve"> GENERAL</w:t>
      </w:r>
      <w:r w:rsidR="004052F9">
        <w:rPr>
          <w:rFonts w:ascii="Times New Roman" w:hAnsi="Times New Roman" w:cs="Times New Roman"/>
          <w:b/>
          <w:bCs/>
          <w:sz w:val="28"/>
          <w:szCs w:val="28"/>
          <w:lang w:val="en-US"/>
        </w:rPr>
        <w:tab/>
      </w:r>
      <w:r w:rsidR="004052F9">
        <w:rPr>
          <w:rFonts w:ascii="Times New Roman" w:hAnsi="Times New Roman" w:cs="Times New Roman"/>
          <w:b/>
          <w:bCs/>
          <w:sz w:val="28"/>
          <w:szCs w:val="28"/>
          <w:lang w:val="en-US"/>
        </w:rPr>
        <w:tab/>
      </w:r>
      <w:r w:rsidR="004052F9">
        <w:rPr>
          <w:rFonts w:ascii="Times New Roman" w:hAnsi="Times New Roman" w:cs="Times New Roman"/>
          <w:b/>
          <w:bCs/>
          <w:sz w:val="28"/>
          <w:szCs w:val="28"/>
          <w:lang w:val="en-US"/>
        </w:rPr>
        <w:tab/>
      </w:r>
      <w:r w:rsidR="004052F9">
        <w:rPr>
          <w:rFonts w:ascii="Times New Roman" w:hAnsi="Times New Roman" w:cs="Times New Roman"/>
          <w:b/>
          <w:bCs/>
          <w:sz w:val="28"/>
          <w:szCs w:val="28"/>
          <w:lang w:val="en-US"/>
        </w:rPr>
        <w:tab/>
      </w:r>
      <w:r w:rsidR="004052F9">
        <w:rPr>
          <w:rFonts w:ascii="Times New Roman" w:hAnsi="Times New Roman" w:cs="Times New Roman"/>
          <w:b/>
          <w:bCs/>
          <w:sz w:val="28"/>
          <w:szCs w:val="28"/>
          <w:lang w:val="en-US"/>
        </w:rPr>
        <w:tab/>
        <w:t>6</w:t>
      </w:r>
      <w:r w:rsidR="004052F9" w:rsidRPr="004052F9">
        <w:rPr>
          <w:rFonts w:ascii="Times New Roman" w:hAnsi="Times New Roman" w:cs="Times New Roman"/>
          <w:b/>
          <w:bCs/>
          <w:sz w:val="28"/>
          <w:szCs w:val="28"/>
          <w:vertAlign w:val="superscript"/>
          <w:lang w:val="en-US"/>
        </w:rPr>
        <w:t>TH</w:t>
      </w:r>
      <w:r w:rsidR="004052F9">
        <w:rPr>
          <w:rFonts w:ascii="Times New Roman" w:hAnsi="Times New Roman" w:cs="Times New Roman"/>
          <w:b/>
          <w:bCs/>
          <w:sz w:val="28"/>
          <w:szCs w:val="28"/>
          <w:lang w:val="en-US"/>
        </w:rPr>
        <w:t xml:space="preserve"> RESPONDENT</w:t>
      </w:r>
    </w:p>
    <w:p w14:paraId="24291FA6" w14:textId="77777777" w:rsidR="003741BE" w:rsidRDefault="003741BE" w:rsidP="00BB4BC6">
      <w:pPr>
        <w:rPr>
          <w:rFonts w:ascii="Times New Roman" w:hAnsi="Times New Roman" w:cs="Times New Roman"/>
          <w:sz w:val="28"/>
          <w:szCs w:val="28"/>
          <w:u w:val="single"/>
          <w:lang w:val="en-US"/>
        </w:rPr>
      </w:pPr>
    </w:p>
    <w:p w14:paraId="1287D4C4" w14:textId="23B1D9CD" w:rsidR="004052F9" w:rsidRDefault="00943F1E" w:rsidP="000E4378">
      <w:pPr>
        <w:rPr>
          <w:rFonts w:ascii="Times New Roman" w:hAnsi="Times New Roman" w:cs="Times New Roman"/>
          <w:sz w:val="28"/>
          <w:szCs w:val="28"/>
          <w:lang w:val="en-US"/>
        </w:rPr>
      </w:pPr>
      <w:r>
        <w:rPr>
          <w:rFonts w:ascii="Times New Roman" w:hAnsi="Times New Roman" w:cs="Times New Roman"/>
          <w:sz w:val="28"/>
          <w:szCs w:val="28"/>
          <w:u w:val="single"/>
          <w:lang w:val="en-US"/>
        </w:rPr>
        <w:t>Neutral Citation</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Manthatisi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Ramoabi</w:t>
      </w:r>
      <w:proofErr w:type="spellEnd"/>
      <w:r>
        <w:rPr>
          <w:rFonts w:ascii="Times New Roman" w:hAnsi="Times New Roman" w:cs="Times New Roman"/>
          <w:sz w:val="28"/>
          <w:szCs w:val="28"/>
          <w:lang w:val="en-US"/>
        </w:rPr>
        <w:t xml:space="preserve"> </w:t>
      </w:r>
      <w:r w:rsidR="000E4378">
        <w:rPr>
          <w:rFonts w:ascii="Times New Roman" w:hAnsi="Times New Roman" w:cs="Times New Roman"/>
          <w:sz w:val="28"/>
          <w:szCs w:val="28"/>
          <w:lang w:val="en-US"/>
        </w:rPr>
        <w:t>v</w:t>
      </w:r>
      <w:r>
        <w:rPr>
          <w:rFonts w:ascii="Times New Roman" w:hAnsi="Times New Roman" w:cs="Times New Roman"/>
          <w:sz w:val="28"/>
          <w:szCs w:val="28"/>
          <w:lang w:val="en-US"/>
        </w:rPr>
        <w:t xml:space="preserve"> Principal Secretary </w:t>
      </w:r>
      <w:r w:rsidR="006D570A">
        <w:rPr>
          <w:rFonts w:ascii="Times New Roman" w:hAnsi="Times New Roman" w:cs="Times New Roman"/>
          <w:sz w:val="28"/>
          <w:szCs w:val="28"/>
          <w:lang w:val="en-US"/>
        </w:rPr>
        <w:t>Education</w:t>
      </w:r>
      <w:r>
        <w:rPr>
          <w:rFonts w:ascii="Times New Roman" w:hAnsi="Times New Roman" w:cs="Times New Roman"/>
          <w:sz w:val="28"/>
          <w:szCs w:val="28"/>
          <w:lang w:val="en-US"/>
        </w:rPr>
        <w:t xml:space="preserve"> &amp; Training &amp; 5 others [2022] LSHC 255</w:t>
      </w:r>
      <w:r w:rsidR="000E4378">
        <w:rPr>
          <w:rFonts w:ascii="Times New Roman" w:hAnsi="Times New Roman" w:cs="Times New Roman"/>
          <w:sz w:val="28"/>
          <w:szCs w:val="28"/>
          <w:lang w:val="en-US"/>
        </w:rPr>
        <w:t xml:space="preserve"> Civ</w:t>
      </w:r>
      <w:r>
        <w:rPr>
          <w:rFonts w:ascii="Times New Roman" w:hAnsi="Times New Roman" w:cs="Times New Roman"/>
          <w:sz w:val="28"/>
          <w:szCs w:val="28"/>
          <w:lang w:val="en-US"/>
        </w:rPr>
        <w:t xml:space="preserve"> (27 September 2022)</w:t>
      </w:r>
    </w:p>
    <w:p w14:paraId="5372E3E3" w14:textId="58AFDE46" w:rsidR="003741BE" w:rsidRDefault="003741BE" w:rsidP="00BB4BC6">
      <w:pPr>
        <w:rPr>
          <w:rFonts w:ascii="Times New Roman" w:hAnsi="Times New Roman" w:cs="Times New Roman"/>
          <w:sz w:val="28"/>
          <w:szCs w:val="28"/>
          <w:lang w:val="en-US"/>
        </w:rPr>
      </w:pPr>
    </w:p>
    <w:p w14:paraId="6DEEFB65" w14:textId="77777777" w:rsidR="003741BE" w:rsidRPr="00943F1E" w:rsidRDefault="003741BE" w:rsidP="00BB4BC6">
      <w:pPr>
        <w:rPr>
          <w:rFonts w:ascii="Times New Roman" w:hAnsi="Times New Roman" w:cs="Times New Roman"/>
          <w:sz w:val="28"/>
          <w:szCs w:val="28"/>
          <w:lang w:val="en-US"/>
        </w:rPr>
      </w:pPr>
    </w:p>
    <w:p w14:paraId="7FFA1B9F" w14:textId="16A0FD98" w:rsidR="004052F9" w:rsidRDefault="009142F6" w:rsidP="004052F9">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JUDGMENT</w:t>
      </w:r>
    </w:p>
    <w:p w14:paraId="392D60EC" w14:textId="77777777" w:rsidR="00CF4F48" w:rsidRDefault="00CF4F48" w:rsidP="004052F9">
      <w:pPr>
        <w:jc w:val="center"/>
        <w:rPr>
          <w:rFonts w:ascii="Times New Roman" w:hAnsi="Times New Roman" w:cs="Times New Roman"/>
          <w:b/>
          <w:bCs/>
          <w:sz w:val="28"/>
          <w:szCs w:val="28"/>
          <w:lang w:val="en-US"/>
        </w:rPr>
      </w:pPr>
    </w:p>
    <w:p w14:paraId="33E81E47" w14:textId="77777777" w:rsidR="004052F9" w:rsidRDefault="009142F6" w:rsidP="002D45A8">
      <w:pPr>
        <w:spacing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CORAM</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sidR="00A31062">
        <w:rPr>
          <w:rFonts w:ascii="Times New Roman" w:hAnsi="Times New Roman" w:cs="Times New Roman"/>
          <w:b/>
          <w:bCs/>
          <w:sz w:val="28"/>
          <w:szCs w:val="28"/>
          <w:lang w:val="en-US"/>
        </w:rPr>
        <w:tab/>
      </w:r>
      <w:r w:rsidR="00334B7B">
        <w:rPr>
          <w:rFonts w:ascii="Times New Roman" w:hAnsi="Times New Roman" w:cs="Times New Roman"/>
          <w:b/>
          <w:bCs/>
          <w:sz w:val="28"/>
          <w:szCs w:val="28"/>
          <w:lang w:val="en-US"/>
        </w:rPr>
        <w:t>:</w:t>
      </w:r>
      <w:r w:rsidR="00334B7B">
        <w:rPr>
          <w:rFonts w:ascii="Times New Roman" w:hAnsi="Times New Roman" w:cs="Times New Roman"/>
          <w:b/>
          <w:bCs/>
          <w:sz w:val="28"/>
          <w:szCs w:val="28"/>
          <w:lang w:val="en-US"/>
        </w:rPr>
        <w:tab/>
        <w:t>M.P. RALEBESE J.</w:t>
      </w:r>
    </w:p>
    <w:p w14:paraId="6ADE4A61" w14:textId="77777777" w:rsidR="004052F9" w:rsidRDefault="009142F6" w:rsidP="002D45A8">
      <w:pPr>
        <w:spacing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DATE HEARD</w:t>
      </w:r>
      <w:r>
        <w:rPr>
          <w:rFonts w:ascii="Times New Roman" w:hAnsi="Times New Roman" w:cs="Times New Roman"/>
          <w:b/>
          <w:bCs/>
          <w:sz w:val="28"/>
          <w:szCs w:val="28"/>
          <w:lang w:val="en-US"/>
        </w:rPr>
        <w:tab/>
      </w:r>
      <w:r w:rsidR="00A31062">
        <w:rPr>
          <w:rFonts w:ascii="Times New Roman" w:hAnsi="Times New Roman" w:cs="Times New Roman"/>
          <w:b/>
          <w:bCs/>
          <w:sz w:val="28"/>
          <w:szCs w:val="28"/>
          <w:lang w:val="en-US"/>
        </w:rPr>
        <w:tab/>
      </w:r>
      <w:r w:rsidR="00334B7B">
        <w:rPr>
          <w:rFonts w:ascii="Times New Roman" w:hAnsi="Times New Roman" w:cs="Times New Roman"/>
          <w:b/>
          <w:bCs/>
          <w:sz w:val="28"/>
          <w:szCs w:val="28"/>
          <w:lang w:val="en-US"/>
        </w:rPr>
        <w:t>:</w:t>
      </w:r>
      <w:r w:rsidR="00334B7B">
        <w:rPr>
          <w:rFonts w:ascii="Times New Roman" w:hAnsi="Times New Roman" w:cs="Times New Roman"/>
          <w:b/>
          <w:bCs/>
          <w:sz w:val="28"/>
          <w:szCs w:val="28"/>
          <w:lang w:val="en-US"/>
        </w:rPr>
        <w:tab/>
      </w:r>
      <w:r w:rsidR="00A31062">
        <w:rPr>
          <w:rFonts w:ascii="Times New Roman" w:hAnsi="Times New Roman" w:cs="Times New Roman"/>
          <w:b/>
          <w:bCs/>
          <w:sz w:val="28"/>
          <w:szCs w:val="28"/>
          <w:lang w:val="en-US"/>
        </w:rPr>
        <w:t>16 AUGUST</w:t>
      </w:r>
      <w:r>
        <w:rPr>
          <w:rFonts w:ascii="Times New Roman" w:hAnsi="Times New Roman" w:cs="Times New Roman"/>
          <w:b/>
          <w:bCs/>
          <w:sz w:val="28"/>
          <w:szCs w:val="28"/>
          <w:lang w:val="en-US"/>
        </w:rPr>
        <w:t>, 2022</w:t>
      </w:r>
    </w:p>
    <w:p w14:paraId="6CD85B1B" w14:textId="77777777" w:rsidR="004052F9" w:rsidRDefault="009142F6" w:rsidP="002D45A8">
      <w:pPr>
        <w:spacing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DATE DELIVERED</w:t>
      </w:r>
      <w:r>
        <w:rPr>
          <w:rFonts w:ascii="Times New Roman" w:hAnsi="Times New Roman" w:cs="Times New Roman"/>
          <w:b/>
          <w:bCs/>
          <w:sz w:val="28"/>
          <w:szCs w:val="28"/>
          <w:lang w:val="en-US"/>
        </w:rPr>
        <w:tab/>
        <w:t>:</w:t>
      </w:r>
      <w:r w:rsidR="00334B7B">
        <w:rPr>
          <w:rFonts w:ascii="Times New Roman" w:hAnsi="Times New Roman" w:cs="Times New Roman"/>
          <w:b/>
          <w:bCs/>
          <w:sz w:val="28"/>
          <w:szCs w:val="28"/>
          <w:lang w:val="en-US"/>
        </w:rPr>
        <w:tab/>
      </w:r>
      <w:r w:rsidR="00A31062">
        <w:rPr>
          <w:rFonts w:ascii="Times New Roman" w:hAnsi="Times New Roman" w:cs="Times New Roman"/>
          <w:b/>
          <w:bCs/>
          <w:sz w:val="28"/>
          <w:szCs w:val="28"/>
          <w:lang w:val="en-US"/>
        </w:rPr>
        <w:t>27 SEPTEMBER 2022</w:t>
      </w:r>
      <w:r>
        <w:rPr>
          <w:rFonts w:ascii="Times New Roman" w:hAnsi="Times New Roman" w:cs="Times New Roman"/>
          <w:b/>
          <w:bCs/>
          <w:sz w:val="28"/>
          <w:szCs w:val="28"/>
          <w:lang w:val="en-US"/>
        </w:rPr>
        <w:tab/>
      </w:r>
    </w:p>
    <w:p w14:paraId="432BFBFE" w14:textId="77777777" w:rsidR="00A31062" w:rsidRPr="00A31062" w:rsidRDefault="00A31062" w:rsidP="00A31062">
      <w:pPr>
        <w:spacing w:line="360" w:lineRule="auto"/>
        <w:jc w:val="both"/>
        <w:rPr>
          <w:rFonts w:ascii="Times New Roman" w:eastAsia="Calibri" w:hAnsi="Times New Roman" w:cs="Times New Roman"/>
          <w:b/>
          <w:bCs/>
          <w:sz w:val="24"/>
          <w:szCs w:val="24"/>
          <w:u w:val="single"/>
          <w:lang w:val="en-US"/>
        </w:rPr>
      </w:pPr>
    </w:p>
    <w:p w14:paraId="096F0962" w14:textId="77777777" w:rsidR="00A31062" w:rsidRPr="00A31062" w:rsidRDefault="009142F6" w:rsidP="00A31062">
      <w:pPr>
        <w:spacing w:line="360" w:lineRule="auto"/>
        <w:jc w:val="both"/>
        <w:rPr>
          <w:rFonts w:ascii="Times New Roman" w:eastAsia="Calibri" w:hAnsi="Times New Roman" w:cs="Times New Roman"/>
          <w:b/>
          <w:bCs/>
          <w:sz w:val="24"/>
          <w:szCs w:val="24"/>
          <w:u w:val="single"/>
          <w:lang w:val="en-US"/>
        </w:rPr>
      </w:pPr>
      <w:r w:rsidRPr="00A31062">
        <w:rPr>
          <w:rFonts w:ascii="Times New Roman" w:eastAsia="Calibri" w:hAnsi="Times New Roman" w:cs="Times New Roman"/>
          <w:b/>
          <w:bCs/>
          <w:sz w:val="24"/>
          <w:szCs w:val="24"/>
          <w:u w:val="single"/>
          <w:lang w:val="en-US"/>
        </w:rPr>
        <w:t>SUMMARY</w:t>
      </w:r>
    </w:p>
    <w:p w14:paraId="03C79A5F" w14:textId="77777777" w:rsidR="00A31062" w:rsidRPr="00A31062" w:rsidRDefault="009142F6" w:rsidP="00A31062">
      <w:pPr>
        <w:spacing w:line="240" w:lineRule="auto"/>
        <w:jc w:val="both"/>
        <w:rPr>
          <w:rFonts w:ascii="Times New Roman" w:eastAsia="Calibri" w:hAnsi="Times New Roman" w:cs="Times New Roman"/>
          <w:b/>
          <w:bCs/>
          <w:i/>
          <w:sz w:val="24"/>
          <w:szCs w:val="24"/>
          <w:lang w:val="en-US"/>
        </w:rPr>
      </w:pPr>
      <w:r>
        <w:rPr>
          <w:rFonts w:ascii="Times New Roman" w:eastAsia="Calibri" w:hAnsi="Times New Roman" w:cs="Times New Roman"/>
          <w:b/>
          <w:bCs/>
          <w:i/>
          <w:sz w:val="24"/>
          <w:szCs w:val="24"/>
          <w:lang w:val="en-US"/>
        </w:rPr>
        <w:t>Law of Contract</w:t>
      </w:r>
      <w:r w:rsidRPr="00A31062">
        <w:rPr>
          <w:rFonts w:ascii="Times New Roman" w:eastAsia="Calibri" w:hAnsi="Times New Roman" w:cs="Times New Roman"/>
          <w:b/>
          <w:bCs/>
          <w:i/>
          <w:sz w:val="24"/>
          <w:szCs w:val="24"/>
          <w:lang w:val="en-US"/>
        </w:rPr>
        <w:t xml:space="preserve"> – </w:t>
      </w:r>
      <w:r>
        <w:rPr>
          <w:rFonts w:ascii="Times New Roman" w:eastAsia="Calibri" w:hAnsi="Times New Roman" w:cs="Times New Roman"/>
          <w:b/>
          <w:bCs/>
          <w:i/>
          <w:sz w:val="24"/>
          <w:szCs w:val="24"/>
          <w:lang w:val="en-US"/>
        </w:rPr>
        <w:t xml:space="preserve">Fixed Term Service Contract signed between the parties – Applicant entitled to gratuity in terms of the signed contract – Respondents reneging liability of gratuity - </w:t>
      </w:r>
      <w:r w:rsidRPr="00A31062">
        <w:rPr>
          <w:rFonts w:ascii="Times New Roman" w:eastAsia="Calibri" w:hAnsi="Times New Roman" w:cs="Times New Roman"/>
          <w:b/>
          <w:bCs/>
          <w:i/>
          <w:sz w:val="24"/>
          <w:szCs w:val="24"/>
          <w:lang w:val="en-US"/>
        </w:rPr>
        <w:t xml:space="preserve"> </w:t>
      </w:r>
      <w:r>
        <w:rPr>
          <w:rFonts w:ascii="Times New Roman" w:eastAsia="Calibri" w:hAnsi="Times New Roman" w:cs="Times New Roman"/>
          <w:b/>
          <w:bCs/>
          <w:i/>
          <w:sz w:val="24"/>
          <w:szCs w:val="24"/>
          <w:lang w:val="en-US"/>
        </w:rPr>
        <w:t>Caveat Subscriptor principle</w:t>
      </w:r>
      <w:r w:rsidRPr="00A31062">
        <w:rPr>
          <w:rFonts w:ascii="Times New Roman" w:eastAsia="Calibri" w:hAnsi="Times New Roman" w:cs="Times New Roman"/>
          <w:b/>
          <w:bCs/>
          <w:i/>
          <w:sz w:val="24"/>
          <w:szCs w:val="24"/>
          <w:lang w:val="en-US"/>
        </w:rPr>
        <w:t xml:space="preserve"> </w:t>
      </w:r>
      <w:r>
        <w:rPr>
          <w:rFonts w:ascii="Times New Roman" w:eastAsia="Calibri" w:hAnsi="Times New Roman" w:cs="Times New Roman"/>
          <w:b/>
          <w:bCs/>
          <w:i/>
          <w:sz w:val="24"/>
          <w:szCs w:val="24"/>
          <w:lang w:val="en-US"/>
        </w:rPr>
        <w:t>and Doctrine of quasi mutual assent</w:t>
      </w:r>
      <w:r w:rsidRPr="00A31062">
        <w:rPr>
          <w:rFonts w:ascii="Times New Roman" w:eastAsia="Calibri" w:hAnsi="Times New Roman" w:cs="Times New Roman"/>
          <w:b/>
          <w:bCs/>
          <w:i/>
          <w:sz w:val="24"/>
          <w:szCs w:val="24"/>
          <w:lang w:val="en-US"/>
        </w:rPr>
        <w:t xml:space="preserve"> </w:t>
      </w:r>
      <w:r>
        <w:rPr>
          <w:rFonts w:ascii="Times New Roman" w:eastAsia="Calibri" w:hAnsi="Times New Roman" w:cs="Times New Roman"/>
          <w:b/>
          <w:bCs/>
          <w:i/>
          <w:sz w:val="24"/>
          <w:szCs w:val="24"/>
          <w:lang w:val="en-US"/>
        </w:rPr>
        <w:t xml:space="preserve">applied </w:t>
      </w:r>
      <w:r w:rsidRPr="00A31062">
        <w:rPr>
          <w:rFonts w:ascii="Times New Roman" w:eastAsia="Calibri" w:hAnsi="Times New Roman" w:cs="Times New Roman"/>
          <w:b/>
          <w:bCs/>
          <w:i/>
          <w:sz w:val="24"/>
          <w:szCs w:val="24"/>
          <w:lang w:val="en-US"/>
        </w:rPr>
        <w:t xml:space="preserve">– </w:t>
      </w:r>
      <w:r>
        <w:rPr>
          <w:rFonts w:ascii="Times New Roman" w:eastAsia="Calibri" w:hAnsi="Times New Roman" w:cs="Times New Roman"/>
          <w:b/>
          <w:bCs/>
          <w:i/>
          <w:sz w:val="24"/>
          <w:szCs w:val="24"/>
          <w:lang w:val="en-US"/>
        </w:rPr>
        <w:t>Parole Evidence Rule also applicable</w:t>
      </w:r>
      <w:r w:rsidRPr="00A31062">
        <w:rPr>
          <w:rFonts w:ascii="Times New Roman" w:eastAsia="Calibri" w:hAnsi="Times New Roman" w:cs="Times New Roman"/>
          <w:b/>
          <w:bCs/>
          <w:i/>
          <w:sz w:val="24"/>
          <w:szCs w:val="24"/>
          <w:lang w:val="en-US"/>
        </w:rPr>
        <w:t xml:space="preserve"> – </w:t>
      </w:r>
      <w:r>
        <w:rPr>
          <w:rFonts w:ascii="Times New Roman" w:eastAsia="Calibri" w:hAnsi="Times New Roman" w:cs="Times New Roman"/>
          <w:b/>
          <w:bCs/>
          <w:i/>
          <w:sz w:val="24"/>
          <w:szCs w:val="24"/>
          <w:lang w:val="en-US"/>
        </w:rPr>
        <w:t>Respondents liable to pay applicant the gratuity pursuant to the contract</w:t>
      </w:r>
      <w:r w:rsidRPr="00A31062">
        <w:rPr>
          <w:rFonts w:ascii="Times New Roman" w:eastAsia="Calibri" w:hAnsi="Times New Roman" w:cs="Times New Roman"/>
          <w:b/>
          <w:bCs/>
          <w:i/>
          <w:sz w:val="24"/>
          <w:szCs w:val="24"/>
          <w:lang w:val="en-US"/>
        </w:rPr>
        <w:t xml:space="preserve">. </w:t>
      </w:r>
    </w:p>
    <w:p w14:paraId="1B79D09B" w14:textId="77777777" w:rsidR="00A31062" w:rsidRPr="00A31062" w:rsidRDefault="00A31062" w:rsidP="00A31062">
      <w:pPr>
        <w:spacing w:line="240" w:lineRule="auto"/>
        <w:jc w:val="both"/>
        <w:rPr>
          <w:rFonts w:ascii="Times New Roman" w:eastAsia="Calibri" w:hAnsi="Times New Roman" w:cs="Times New Roman"/>
          <w:b/>
          <w:bCs/>
          <w:sz w:val="24"/>
          <w:szCs w:val="24"/>
          <w:u w:val="single"/>
          <w:lang w:val="en-US"/>
        </w:rPr>
      </w:pPr>
    </w:p>
    <w:p w14:paraId="2B449696" w14:textId="77777777" w:rsidR="00A31062" w:rsidRPr="00A31062" w:rsidRDefault="009142F6" w:rsidP="00A31062">
      <w:pPr>
        <w:spacing w:line="240" w:lineRule="auto"/>
        <w:jc w:val="both"/>
        <w:rPr>
          <w:rFonts w:ascii="Times New Roman" w:eastAsia="Calibri" w:hAnsi="Times New Roman" w:cs="Times New Roman"/>
          <w:b/>
          <w:bCs/>
          <w:sz w:val="24"/>
          <w:szCs w:val="24"/>
          <w:u w:val="single"/>
          <w:lang w:val="en-US"/>
        </w:rPr>
      </w:pPr>
      <w:r w:rsidRPr="00A31062">
        <w:rPr>
          <w:rFonts w:ascii="Times New Roman" w:eastAsia="Calibri" w:hAnsi="Times New Roman" w:cs="Times New Roman"/>
          <w:b/>
          <w:bCs/>
          <w:sz w:val="24"/>
          <w:szCs w:val="24"/>
          <w:u w:val="single"/>
          <w:lang w:val="en-US"/>
        </w:rPr>
        <w:t>ANNOTATIONS</w:t>
      </w:r>
    </w:p>
    <w:p w14:paraId="0151CEE3" w14:textId="77777777" w:rsidR="00A31062" w:rsidRPr="00A31062" w:rsidRDefault="009142F6" w:rsidP="00A31062">
      <w:pPr>
        <w:spacing w:line="240" w:lineRule="auto"/>
        <w:jc w:val="both"/>
        <w:rPr>
          <w:rFonts w:ascii="Times New Roman" w:eastAsia="Calibri" w:hAnsi="Times New Roman" w:cs="Times New Roman"/>
          <w:b/>
          <w:bCs/>
          <w:sz w:val="24"/>
          <w:szCs w:val="24"/>
          <w:lang w:val="en-US"/>
        </w:rPr>
      </w:pPr>
      <w:r w:rsidRPr="00A31062">
        <w:rPr>
          <w:rFonts w:ascii="Times New Roman" w:eastAsia="Calibri" w:hAnsi="Times New Roman" w:cs="Times New Roman"/>
          <w:b/>
          <w:bCs/>
          <w:sz w:val="24"/>
          <w:szCs w:val="24"/>
          <w:u w:val="single"/>
          <w:lang w:val="en-US"/>
        </w:rPr>
        <w:t>CITED CASES</w:t>
      </w:r>
      <w:r w:rsidRPr="00A31062">
        <w:rPr>
          <w:rFonts w:ascii="Times New Roman" w:eastAsia="Calibri" w:hAnsi="Times New Roman" w:cs="Times New Roman"/>
          <w:b/>
          <w:bCs/>
          <w:sz w:val="24"/>
          <w:szCs w:val="24"/>
          <w:lang w:val="en-US"/>
        </w:rPr>
        <w:t>:</w:t>
      </w:r>
    </w:p>
    <w:p w14:paraId="3A7A9E80" w14:textId="77777777" w:rsidR="00A31062" w:rsidRPr="00A31062" w:rsidRDefault="00A31062" w:rsidP="00A31062">
      <w:pPr>
        <w:spacing w:line="240" w:lineRule="auto"/>
        <w:jc w:val="both"/>
        <w:rPr>
          <w:rFonts w:ascii="Times New Roman" w:eastAsia="Calibri" w:hAnsi="Times New Roman" w:cs="Times New Roman"/>
          <w:b/>
          <w:bCs/>
          <w:sz w:val="24"/>
          <w:szCs w:val="24"/>
          <w:lang w:val="en-US"/>
        </w:rPr>
      </w:pPr>
    </w:p>
    <w:p w14:paraId="0D1F6BA5" w14:textId="77777777" w:rsidR="00A31062" w:rsidRPr="00A31062" w:rsidRDefault="009142F6" w:rsidP="00A31062">
      <w:pPr>
        <w:spacing w:line="240" w:lineRule="auto"/>
        <w:jc w:val="both"/>
        <w:rPr>
          <w:rFonts w:ascii="Times New Roman" w:eastAsia="Calibri" w:hAnsi="Times New Roman" w:cs="Times New Roman"/>
          <w:b/>
          <w:bCs/>
          <w:sz w:val="24"/>
          <w:szCs w:val="24"/>
          <w:u w:val="single"/>
          <w:lang w:val="en-US"/>
        </w:rPr>
      </w:pPr>
      <w:r w:rsidRPr="00A31062">
        <w:rPr>
          <w:rFonts w:ascii="Times New Roman" w:eastAsia="Calibri" w:hAnsi="Times New Roman" w:cs="Times New Roman"/>
          <w:b/>
          <w:bCs/>
          <w:sz w:val="24"/>
          <w:szCs w:val="24"/>
          <w:u w:val="single"/>
          <w:lang w:val="en-US"/>
        </w:rPr>
        <w:t>LESOTHO</w:t>
      </w:r>
    </w:p>
    <w:p w14:paraId="09716167" w14:textId="77777777" w:rsidR="00A31062" w:rsidRPr="00A31062" w:rsidRDefault="009142F6" w:rsidP="00A31062">
      <w:pPr>
        <w:spacing w:line="240" w:lineRule="auto"/>
        <w:jc w:val="both"/>
        <w:rPr>
          <w:rFonts w:ascii="Times New Roman" w:eastAsia="Calibri" w:hAnsi="Times New Roman" w:cs="Times New Roman"/>
          <w:b/>
          <w:bCs/>
          <w:sz w:val="24"/>
          <w:szCs w:val="24"/>
          <w:u w:val="single"/>
          <w:lang w:val="en-US"/>
        </w:rPr>
      </w:pPr>
      <w:r w:rsidRPr="00B80BBD">
        <w:rPr>
          <w:rFonts w:ascii="Times New Roman" w:eastAsia="Calibri" w:hAnsi="Times New Roman" w:cs="Times New Roman"/>
          <w:sz w:val="24"/>
          <w:szCs w:val="24"/>
        </w:rPr>
        <w:t>Maphaong V Minister of Education (CIV/APN/155/2020) [2021]LSHC 42 (22 April 2021)</w:t>
      </w:r>
      <w:r w:rsidRPr="00A31062">
        <w:rPr>
          <w:rFonts w:ascii="Calibri" w:eastAsia="Calibri" w:hAnsi="Calibri" w:cs="Times New Roman"/>
        </w:rPr>
        <w:t xml:space="preserve"> </w:t>
      </w:r>
    </w:p>
    <w:p w14:paraId="5DB25255" w14:textId="77777777" w:rsidR="00A31062" w:rsidRPr="00A31062" w:rsidRDefault="009142F6" w:rsidP="00A31062">
      <w:pPr>
        <w:spacing w:line="240" w:lineRule="auto"/>
        <w:jc w:val="both"/>
        <w:rPr>
          <w:rFonts w:ascii="Times New Roman" w:eastAsia="Calibri" w:hAnsi="Times New Roman" w:cs="Times New Roman"/>
          <w:b/>
          <w:bCs/>
          <w:sz w:val="24"/>
          <w:szCs w:val="24"/>
          <w:u w:val="single"/>
          <w:lang w:val="en-US"/>
        </w:rPr>
      </w:pPr>
      <w:r w:rsidRPr="00A31062">
        <w:rPr>
          <w:rFonts w:ascii="Times New Roman" w:eastAsia="Calibri" w:hAnsi="Times New Roman" w:cs="Times New Roman"/>
          <w:b/>
          <w:bCs/>
          <w:sz w:val="24"/>
          <w:szCs w:val="24"/>
          <w:u w:val="single"/>
          <w:lang w:val="en-US"/>
        </w:rPr>
        <w:t>SOUTH AFRICA</w:t>
      </w:r>
    </w:p>
    <w:p w14:paraId="1D0D5D46" w14:textId="77777777" w:rsidR="009C70DB" w:rsidRDefault="009142F6" w:rsidP="00A31062">
      <w:pPr>
        <w:spacing w:line="240" w:lineRule="auto"/>
        <w:jc w:val="both"/>
        <w:rPr>
          <w:rFonts w:ascii="Times New Roman" w:eastAsia="Calibri" w:hAnsi="Times New Roman" w:cs="Times New Roman"/>
          <w:bCs/>
          <w:sz w:val="24"/>
          <w:szCs w:val="24"/>
          <w:lang w:val="en-US"/>
        </w:rPr>
      </w:pPr>
      <w:r w:rsidRPr="009C70DB">
        <w:rPr>
          <w:rFonts w:ascii="Times New Roman" w:eastAsia="Calibri" w:hAnsi="Times New Roman" w:cs="Times New Roman"/>
          <w:bCs/>
          <w:sz w:val="24"/>
          <w:szCs w:val="24"/>
          <w:lang w:val="en-US"/>
        </w:rPr>
        <w:t>Absa Bank Ltd v McCreath (26/14) [2014] ZAECGHC 51 (13 June 2014</w:t>
      </w:r>
      <w:r w:rsidR="00405AF8">
        <w:rPr>
          <w:rFonts w:ascii="Times New Roman" w:eastAsia="Calibri" w:hAnsi="Times New Roman" w:cs="Times New Roman"/>
          <w:bCs/>
          <w:sz w:val="24"/>
          <w:szCs w:val="24"/>
          <w:lang w:val="en-US"/>
        </w:rPr>
        <w:t>)</w:t>
      </w:r>
    </w:p>
    <w:p w14:paraId="24C00A77" w14:textId="77777777" w:rsidR="00405AF8" w:rsidRDefault="009142F6" w:rsidP="00A31062">
      <w:pPr>
        <w:spacing w:line="240" w:lineRule="auto"/>
        <w:jc w:val="both"/>
        <w:rPr>
          <w:rFonts w:ascii="Times New Roman" w:eastAsia="Calibri" w:hAnsi="Times New Roman" w:cs="Times New Roman"/>
          <w:bCs/>
          <w:sz w:val="24"/>
          <w:szCs w:val="24"/>
          <w:lang w:val="en-US"/>
        </w:rPr>
      </w:pPr>
      <w:r w:rsidRPr="00405AF8">
        <w:rPr>
          <w:rFonts w:ascii="Times New Roman" w:eastAsia="Calibri" w:hAnsi="Times New Roman" w:cs="Times New Roman"/>
          <w:bCs/>
          <w:sz w:val="24"/>
          <w:szCs w:val="24"/>
          <w:lang w:val="en-US"/>
        </w:rPr>
        <w:t xml:space="preserve">Beaton v Baldachin Bros 1920 AD 312 </w:t>
      </w:r>
    </w:p>
    <w:p w14:paraId="765E4E5E" w14:textId="77777777" w:rsidR="00A31062" w:rsidRDefault="009142F6" w:rsidP="00A31062">
      <w:pPr>
        <w:spacing w:line="240" w:lineRule="auto"/>
        <w:jc w:val="both"/>
        <w:rPr>
          <w:rFonts w:ascii="Times New Roman" w:eastAsia="Calibri" w:hAnsi="Times New Roman" w:cs="Times New Roman"/>
          <w:bCs/>
          <w:sz w:val="24"/>
          <w:szCs w:val="24"/>
          <w:lang w:val="en-US"/>
        </w:rPr>
      </w:pPr>
      <w:r w:rsidRPr="008A7658">
        <w:rPr>
          <w:rFonts w:ascii="Times New Roman" w:eastAsia="Calibri" w:hAnsi="Times New Roman" w:cs="Times New Roman"/>
          <w:bCs/>
          <w:sz w:val="24"/>
          <w:szCs w:val="24"/>
          <w:lang w:val="en-US"/>
        </w:rPr>
        <w:t xml:space="preserve">George v Fairmead (Pty) Ltd 1958(2) SA 465 </w:t>
      </w:r>
    </w:p>
    <w:p w14:paraId="1AF175DF" w14:textId="77777777" w:rsidR="009C70DB" w:rsidRDefault="009142F6" w:rsidP="00A31062">
      <w:pPr>
        <w:spacing w:line="240" w:lineRule="auto"/>
        <w:jc w:val="both"/>
        <w:rPr>
          <w:rFonts w:ascii="Times New Roman" w:eastAsia="Calibri" w:hAnsi="Times New Roman" w:cs="Times New Roman"/>
          <w:bCs/>
          <w:sz w:val="24"/>
          <w:szCs w:val="24"/>
          <w:lang w:val="en-US"/>
        </w:rPr>
      </w:pPr>
      <w:r w:rsidRPr="009C70DB">
        <w:rPr>
          <w:rFonts w:ascii="Times New Roman" w:eastAsia="Calibri" w:hAnsi="Times New Roman" w:cs="Times New Roman"/>
          <w:bCs/>
          <w:sz w:val="24"/>
          <w:szCs w:val="24"/>
          <w:lang w:val="en-US"/>
        </w:rPr>
        <w:t xml:space="preserve">Pillay V Shaik 2009 4 SA 74 (SCA) </w:t>
      </w:r>
    </w:p>
    <w:p w14:paraId="3C439A18" w14:textId="77777777" w:rsidR="00ED73E5" w:rsidRDefault="009142F6" w:rsidP="00A31062">
      <w:pPr>
        <w:spacing w:line="240" w:lineRule="auto"/>
        <w:jc w:val="both"/>
        <w:rPr>
          <w:rFonts w:ascii="Times New Roman" w:eastAsia="Calibri" w:hAnsi="Times New Roman" w:cs="Times New Roman"/>
          <w:bCs/>
          <w:sz w:val="24"/>
          <w:szCs w:val="24"/>
          <w:lang w:val="en-US"/>
        </w:rPr>
      </w:pPr>
      <w:r w:rsidRPr="00ED73E5">
        <w:rPr>
          <w:rFonts w:ascii="Times New Roman" w:eastAsia="Calibri" w:hAnsi="Times New Roman" w:cs="Times New Roman"/>
          <w:bCs/>
          <w:sz w:val="24"/>
          <w:szCs w:val="24"/>
          <w:lang w:val="en-US"/>
        </w:rPr>
        <w:t xml:space="preserve">National Board (Pretoria) (Pty) Ltd and Another v Estate Swanepoel 1975(3) SA 16 </w:t>
      </w:r>
    </w:p>
    <w:p w14:paraId="087B5966" w14:textId="77777777" w:rsidR="00983D72" w:rsidRDefault="009142F6" w:rsidP="00A31062">
      <w:pPr>
        <w:spacing w:line="240" w:lineRule="auto"/>
        <w:jc w:val="both"/>
        <w:rPr>
          <w:rFonts w:ascii="Times New Roman" w:eastAsia="Calibri" w:hAnsi="Times New Roman" w:cs="Times New Roman"/>
          <w:bCs/>
          <w:sz w:val="24"/>
          <w:szCs w:val="24"/>
          <w:lang w:val="en-US"/>
        </w:rPr>
      </w:pPr>
      <w:r w:rsidRPr="00983D72">
        <w:rPr>
          <w:rFonts w:ascii="Times New Roman" w:eastAsia="Calibri" w:hAnsi="Times New Roman" w:cs="Times New Roman"/>
          <w:bCs/>
          <w:sz w:val="24"/>
          <w:szCs w:val="24"/>
          <w:lang w:val="en-US"/>
        </w:rPr>
        <w:t>Rielly v Seligson and Clare Ltd</w:t>
      </w:r>
      <w:r>
        <w:rPr>
          <w:rFonts w:ascii="Times New Roman" w:eastAsia="Calibri" w:hAnsi="Times New Roman" w:cs="Times New Roman"/>
          <w:bCs/>
          <w:sz w:val="24"/>
          <w:szCs w:val="24"/>
          <w:lang w:val="en-US"/>
        </w:rPr>
        <w:t xml:space="preserve"> </w:t>
      </w:r>
      <w:r w:rsidRPr="00983D72">
        <w:rPr>
          <w:rFonts w:ascii="Times New Roman" w:eastAsia="Calibri" w:hAnsi="Times New Roman" w:cs="Times New Roman"/>
          <w:bCs/>
          <w:sz w:val="24"/>
          <w:szCs w:val="24"/>
          <w:lang w:val="en-US"/>
        </w:rPr>
        <w:t xml:space="preserve">1977(1) SA 626 </w:t>
      </w:r>
      <w:r>
        <w:rPr>
          <w:rFonts w:ascii="Times New Roman" w:eastAsia="Calibri" w:hAnsi="Times New Roman" w:cs="Times New Roman"/>
          <w:bCs/>
          <w:sz w:val="24"/>
          <w:szCs w:val="24"/>
          <w:lang w:val="en-US"/>
        </w:rPr>
        <w:t xml:space="preserve"> </w:t>
      </w:r>
    </w:p>
    <w:p w14:paraId="7F2146E3" w14:textId="77777777" w:rsidR="00ED73E5" w:rsidRDefault="00ED73E5" w:rsidP="00A31062">
      <w:pPr>
        <w:spacing w:line="240" w:lineRule="auto"/>
        <w:jc w:val="both"/>
        <w:rPr>
          <w:rFonts w:ascii="Times New Roman" w:eastAsia="Calibri" w:hAnsi="Times New Roman" w:cs="Times New Roman"/>
          <w:bCs/>
          <w:sz w:val="24"/>
          <w:szCs w:val="24"/>
          <w:lang w:val="en-US"/>
        </w:rPr>
      </w:pPr>
    </w:p>
    <w:p w14:paraId="3AA97271" w14:textId="77777777" w:rsidR="00ED73E5" w:rsidRPr="00ED73E5" w:rsidRDefault="009142F6" w:rsidP="00A31062">
      <w:pPr>
        <w:spacing w:line="240" w:lineRule="auto"/>
        <w:jc w:val="both"/>
        <w:rPr>
          <w:rFonts w:ascii="Times New Roman" w:eastAsia="Calibri" w:hAnsi="Times New Roman" w:cs="Times New Roman"/>
          <w:b/>
          <w:bCs/>
          <w:sz w:val="24"/>
          <w:szCs w:val="24"/>
          <w:u w:val="single"/>
          <w:lang w:val="en-US"/>
        </w:rPr>
      </w:pPr>
      <w:r w:rsidRPr="00ED73E5">
        <w:rPr>
          <w:rFonts w:ascii="Times New Roman" w:eastAsia="Calibri" w:hAnsi="Times New Roman" w:cs="Times New Roman"/>
          <w:b/>
          <w:bCs/>
          <w:sz w:val="24"/>
          <w:szCs w:val="24"/>
          <w:u w:val="single"/>
          <w:lang w:val="en-US"/>
        </w:rPr>
        <w:t>ENGLAND</w:t>
      </w:r>
    </w:p>
    <w:p w14:paraId="11983C2F" w14:textId="77777777" w:rsidR="00A31062" w:rsidRDefault="009142F6" w:rsidP="00A31062">
      <w:pPr>
        <w:spacing w:line="240" w:lineRule="auto"/>
        <w:jc w:val="both"/>
        <w:rPr>
          <w:rFonts w:ascii="Times New Roman" w:eastAsia="Calibri" w:hAnsi="Times New Roman" w:cs="Times New Roman"/>
          <w:bCs/>
          <w:sz w:val="24"/>
          <w:szCs w:val="24"/>
          <w:lang w:val="en-US"/>
        </w:rPr>
      </w:pPr>
      <w:r w:rsidRPr="00ED73E5">
        <w:rPr>
          <w:rFonts w:ascii="Times New Roman" w:eastAsia="Calibri" w:hAnsi="Times New Roman" w:cs="Times New Roman"/>
          <w:bCs/>
          <w:sz w:val="24"/>
          <w:szCs w:val="24"/>
          <w:lang w:val="en-US"/>
        </w:rPr>
        <w:t xml:space="preserve">Smith v Hughes (1871) LR 6 QB 597 </w:t>
      </w:r>
    </w:p>
    <w:p w14:paraId="18499677" w14:textId="77777777" w:rsidR="00ED73E5" w:rsidRPr="00A31062" w:rsidRDefault="00ED73E5" w:rsidP="00A31062">
      <w:pPr>
        <w:spacing w:line="240" w:lineRule="auto"/>
        <w:jc w:val="both"/>
        <w:rPr>
          <w:rFonts w:ascii="Times New Roman" w:eastAsia="Calibri" w:hAnsi="Times New Roman" w:cs="Times New Roman"/>
          <w:bCs/>
          <w:sz w:val="24"/>
          <w:szCs w:val="24"/>
          <w:lang w:val="en-US"/>
        </w:rPr>
      </w:pPr>
    </w:p>
    <w:p w14:paraId="5A1E2055" w14:textId="77777777" w:rsidR="00A31062" w:rsidRPr="00A31062" w:rsidRDefault="009142F6" w:rsidP="00A31062">
      <w:pPr>
        <w:spacing w:line="240" w:lineRule="auto"/>
        <w:jc w:val="both"/>
        <w:rPr>
          <w:rFonts w:ascii="Times New Roman" w:eastAsia="Calibri" w:hAnsi="Times New Roman" w:cs="Times New Roman"/>
          <w:b/>
          <w:bCs/>
          <w:sz w:val="24"/>
          <w:szCs w:val="24"/>
          <w:lang w:val="en-US"/>
        </w:rPr>
      </w:pPr>
      <w:r w:rsidRPr="00A31062">
        <w:rPr>
          <w:rFonts w:ascii="Times New Roman" w:eastAsia="Calibri" w:hAnsi="Times New Roman" w:cs="Times New Roman"/>
          <w:b/>
          <w:bCs/>
          <w:sz w:val="24"/>
          <w:szCs w:val="24"/>
          <w:u w:val="single"/>
          <w:lang w:val="en-US"/>
        </w:rPr>
        <w:t>BOOKS</w:t>
      </w:r>
      <w:r w:rsidR="002D45A8">
        <w:rPr>
          <w:rFonts w:ascii="Times New Roman" w:eastAsia="Calibri" w:hAnsi="Times New Roman" w:cs="Times New Roman"/>
          <w:b/>
          <w:bCs/>
          <w:sz w:val="24"/>
          <w:szCs w:val="24"/>
          <w:u w:val="single"/>
          <w:lang w:val="en-US"/>
        </w:rPr>
        <w:t xml:space="preserve"> AND ARTICLES</w:t>
      </w:r>
      <w:r w:rsidRPr="00A31062">
        <w:rPr>
          <w:rFonts w:ascii="Times New Roman" w:eastAsia="Calibri" w:hAnsi="Times New Roman" w:cs="Times New Roman"/>
          <w:b/>
          <w:bCs/>
          <w:sz w:val="24"/>
          <w:szCs w:val="24"/>
          <w:lang w:val="en-US"/>
        </w:rPr>
        <w:t>:</w:t>
      </w:r>
    </w:p>
    <w:p w14:paraId="50CB3332" w14:textId="77777777" w:rsidR="004052F9" w:rsidRDefault="009142F6" w:rsidP="004052F9">
      <w:pPr>
        <w:jc w:val="both"/>
        <w:rPr>
          <w:rFonts w:ascii="Times New Roman" w:eastAsia="Calibri" w:hAnsi="Times New Roman" w:cs="Times New Roman"/>
          <w:bCs/>
          <w:sz w:val="24"/>
          <w:szCs w:val="24"/>
        </w:rPr>
      </w:pPr>
      <w:r w:rsidRPr="002D45A8">
        <w:rPr>
          <w:rFonts w:ascii="Times New Roman" w:eastAsia="Calibri" w:hAnsi="Times New Roman" w:cs="Times New Roman"/>
          <w:bCs/>
          <w:sz w:val="24"/>
          <w:szCs w:val="24"/>
        </w:rPr>
        <w:t xml:space="preserve">Christie, </w:t>
      </w:r>
      <w:r w:rsidRPr="002D45A8">
        <w:rPr>
          <w:rFonts w:ascii="Times New Roman" w:eastAsia="Calibri" w:hAnsi="Times New Roman" w:cs="Times New Roman"/>
          <w:bCs/>
          <w:sz w:val="24"/>
          <w:szCs w:val="24"/>
          <w:u w:val="single"/>
        </w:rPr>
        <w:t>The Law of Contract in South Africa</w:t>
      </w:r>
      <w:r w:rsidRPr="002D45A8">
        <w:rPr>
          <w:rFonts w:ascii="Times New Roman" w:eastAsia="Calibri" w:hAnsi="Times New Roman" w:cs="Times New Roman"/>
          <w:bCs/>
          <w:sz w:val="24"/>
          <w:szCs w:val="24"/>
        </w:rPr>
        <w:t>, 2</w:t>
      </w:r>
      <w:r w:rsidRPr="002D45A8">
        <w:rPr>
          <w:rFonts w:ascii="Times New Roman" w:eastAsia="Calibri" w:hAnsi="Times New Roman" w:cs="Times New Roman"/>
          <w:bCs/>
          <w:sz w:val="24"/>
          <w:szCs w:val="24"/>
          <w:vertAlign w:val="superscript"/>
        </w:rPr>
        <w:t>nd</w:t>
      </w:r>
      <w:r w:rsidRPr="002D45A8">
        <w:rPr>
          <w:rFonts w:ascii="Times New Roman" w:eastAsia="Calibri" w:hAnsi="Times New Roman" w:cs="Times New Roman"/>
          <w:bCs/>
          <w:sz w:val="24"/>
          <w:szCs w:val="24"/>
        </w:rPr>
        <w:t xml:space="preserve"> edition, 1991 Butterworths</w:t>
      </w:r>
    </w:p>
    <w:p w14:paraId="1E77E899" w14:textId="77777777" w:rsidR="002D45A8" w:rsidRDefault="009142F6" w:rsidP="004052F9">
      <w:pPr>
        <w:jc w:val="both"/>
        <w:rPr>
          <w:rFonts w:ascii="Times New Roman" w:eastAsia="Calibri" w:hAnsi="Times New Roman" w:cs="Times New Roman"/>
          <w:bCs/>
          <w:sz w:val="24"/>
          <w:szCs w:val="24"/>
        </w:rPr>
      </w:pPr>
      <w:r w:rsidRPr="002D45A8">
        <w:rPr>
          <w:rFonts w:ascii="Times New Roman" w:eastAsia="Calibri" w:hAnsi="Times New Roman" w:cs="Times New Roman"/>
          <w:bCs/>
          <w:sz w:val="24"/>
          <w:szCs w:val="24"/>
        </w:rPr>
        <w:lastRenderedPageBreak/>
        <w:t xml:space="preserve">P. Thejane (Rankoane) </w:t>
      </w:r>
      <w:r w:rsidRPr="002D45A8">
        <w:rPr>
          <w:rFonts w:ascii="Times New Roman" w:eastAsia="Calibri" w:hAnsi="Times New Roman" w:cs="Times New Roman"/>
          <w:bCs/>
          <w:sz w:val="24"/>
          <w:szCs w:val="24"/>
          <w:u w:val="single"/>
        </w:rPr>
        <w:t>The Doctrine Of Quasi-Mutual Assent - Has It Become The General Rule For The Formation Of Contracts? The Case Of Pillay V Shaik 2009 4 SA 74 (SCA</w:t>
      </w:r>
      <w:r w:rsidRPr="002D45A8">
        <w:rPr>
          <w:rFonts w:ascii="Times New Roman" w:eastAsia="Calibri" w:hAnsi="Times New Roman" w:cs="Times New Roman"/>
          <w:bCs/>
          <w:sz w:val="24"/>
          <w:szCs w:val="24"/>
        </w:rPr>
        <w:t>) Potchefstroom Electronic Law Journal 2012 Volume 15 No. 5</w:t>
      </w:r>
    </w:p>
    <w:p w14:paraId="7922EA7A" w14:textId="77777777" w:rsidR="00FD279B" w:rsidRPr="00FD279B" w:rsidRDefault="00FE455C" w:rsidP="00FD279B">
      <w:pPr>
        <w:jc w:val="both"/>
        <w:rPr>
          <w:rFonts w:ascii="Times New Roman" w:eastAsia="Calibri" w:hAnsi="Times New Roman" w:cs="Times New Roman"/>
          <w:bCs/>
          <w:sz w:val="24"/>
          <w:szCs w:val="24"/>
        </w:rPr>
      </w:pPr>
      <w:r w:rsidRPr="00FE455C">
        <w:rPr>
          <w:rFonts w:ascii="Times New Roman" w:eastAsia="Calibri" w:hAnsi="Times New Roman" w:cs="Times New Roman"/>
          <w:bCs/>
          <w:sz w:val="24"/>
          <w:szCs w:val="24"/>
        </w:rPr>
        <w:t>Cambridge International Dictionary of English</w:t>
      </w:r>
      <w:r>
        <w:rPr>
          <w:rFonts w:ascii="Times New Roman" w:eastAsia="Calibri" w:hAnsi="Times New Roman" w:cs="Times New Roman"/>
          <w:bCs/>
          <w:sz w:val="24"/>
          <w:szCs w:val="24"/>
        </w:rPr>
        <w:t>:</w:t>
      </w:r>
      <w:r w:rsidRPr="00FE455C">
        <w:rPr>
          <w:rFonts w:ascii="Times New Roman" w:eastAsia="Calibri" w:hAnsi="Times New Roman" w:cs="Times New Roman"/>
          <w:bCs/>
          <w:sz w:val="24"/>
          <w:szCs w:val="24"/>
        </w:rPr>
        <w:t xml:space="preserve"> Cambridge University Press 1995 </w:t>
      </w:r>
      <w:r w:rsidR="00FD279B" w:rsidRPr="00FD279B">
        <w:rPr>
          <w:rFonts w:ascii="Times New Roman" w:eastAsia="Calibri" w:hAnsi="Times New Roman" w:cs="Times New Roman"/>
          <w:bCs/>
          <w:sz w:val="24"/>
          <w:szCs w:val="24"/>
        </w:rPr>
        <w:t>Cambridge; New York: Cambridge University Press, 1995.</w:t>
      </w:r>
    </w:p>
    <w:p w14:paraId="4B8A53AA" w14:textId="77777777" w:rsidR="00FE455C" w:rsidRDefault="00976926" w:rsidP="00FE455C">
      <w:pPr>
        <w:jc w:val="both"/>
        <w:rPr>
          <w:rFonts w:ascii="Times New Roman" w:eastAsia="Calibri" w:hAnsi="Times New Roman" w:cs="Times New Roman"/>
          <w:bCs/>
          <w:sz w:val="24"/>
          <w:szCs w:val="24"/>
        </w:rPr>
      </w:pPr>
      <w:r w:rsidRPr="00976926">
        <w:rPr>
          <w:rFonts w:ascii="Times New Roman" w:eastAsia="Calibri" w:hAnsi="Times New Roman" w:cs="Times New Roman"/>
          <w:bCs/>
          <w:sz w:val="24"/>
          <w:szCs w:val="24"/>
        </w:rPr>
        <w:t>Hornby, Albert Sydney, and Joanna Turnbull. Oxford Advanced Learner's Dictionary of Current English. 8th edition. Oxford: Oxford University Press, 2010.</w:t>
      </w:r>
    </w:p>
    <w:p w14:paraId="15F3E2DB" w14:textId="77777777" w:rsidR="00D04A33" w:rsidRDefault="00D04A33" w:rsidP="004052F9">
      <w:pPr>
        <w:jc w:val="both"/>
        <w:rPr>
          <w:rFonts w:ascii="Times New Roman" w:hAnsi="Times New Roman" w:cs="Times New Roman"/>
          <w:b/>
          <w:sz w:val="28"/>
          <w:szCs w:val="28"/>
          <w:u w:val="single"/>
          <w:lang w:val="en-US"/>
        </w:rPr>
      </w:pPr>
    </w:p>
    <w:p w14:paraId="03F9549F" w14:textId="4EA7C9C1" w:rsidR="004052F9" w:rsidRPr="00C12243" w:rsidRDefault="00C12243" w:rsidP="006A6512">
      <w:pPr>
        <w:ind w:firstLine="720"/>
        <w:jc w:val="both"/>
        <w:rPr>
          <w:rFonts w:ascii="Times New Roman" w:hAnsi="Times New Roman" w:cs="Times New Roman"/>
          <w:b/>
          <w:sz w:val="28"/>
          <w:szCs w:val="28"/>
          <w:u w:val="single"/>
          <w:lang w:val="en-US"/>
        </w:rPr>
      </w:pPr>
      <w:r w:rsidRPr="00C12243">
        <w:rPr>
          <w:rFonts w:ascii="Times New Roman" w:hAnsi="Times New Roman" w:cs="Times New Roman"/>
          <w:b/>
          <w:sz w:val="28"/>
          <w:szCs w:val="28"/>
          <w:u w:val="single"/>
          <w:lang w:val="en-US"/>
        </w:rPr>
        <w:t>Background</w:t>
      </w:r>
      <w:r>
        <w:rPr>
          <w:rFonts w:ascii="Times New Roman" w:hAnsi="Times New Roman" w:cs="Times New Roman"/>
          <w:b/>
          <w:sz w:val="28"/>
          <w:szCs w:val="28"/>
          <w:u w:val="single"/>
          <w:lang w:val="en-US"/>
        </w:rPr>
        <w:t xml:space="preserve"> and Facts</w:t>
      </w:r>
    </w:p>
    <w:p w14:paraId="0F3002D9" w14:textId="77777777" w:rsidR="00737D79" w:rsidRDefault="009142F6" w:rsidP="00091A87">
      <w:pPr>
        <w:pStyle w:val="ListParagraph"/>
        <w:numPr>
          <w:ilvl w:val="0"/>
          <w:numId w:val="3"/>
        </w:numPr>
        <w:spacing w:line="360" w:lineRule="auto"/>
        <w:jc w:val="both"/>
        <w:rPr>
          <w:rFonts w:ascii="Times New Roman" w:hAnsi="Times New Roman" w:cs="Times New Roman"/>
          <w:sz w:val="28"/>
          <w:szCs w:val="28"/>
          <w:lang w:val="en-US"/>
        </w:rPr>
      </w:pPr>
      <w:r w:rsidRPr="00C12243">
        <w:rPr>
          <w:rFonts w:ascii="Times New Roman" w:hAnsi="Times New Roman" w:cs="Times New Roman"/>
          <w:sz w:val="28"/>
          <w:szCs w:val="28"/>
          <w:lang w:val="en-US"/>
        </w:rPr>
        <w:t>This is a</w:t>
      </w:r>
      <w:r w:rsidR="00F80B0E">
        <w:rPr>
          <w:rFonts w:ascii="Times New Roman" w:hAnsi="Times New Roman" w:cs="Times New Roman"/>
          <w:sz w:val="28"/>
          <w:szCs w:val="28"/>
          <w:lang w:val="en-US"/>
        </w:rPr>
        <w:t>n</w:t>
      </w:r>
      <w:r w:rsidR="00086F12">
        <w:rPr>
          <w:rFonts w:ascii="Times New Roman" w:hAnsi="Times New Roman" w:cs="Times New Roman"/>
          <w:sz w:val="28"/>
          <w:szCs w:val="28"/>
          <w:lang w:val="en-US"/>
        </w:rPr>
        <w:t xml:space="preserve"> opposed</w:t>
      </w:r>
      <w:r w:rsidR="00F80B0E">
        <w:rPr>
          <w:rFonts w:ascii="Times New Roman" w:hAnsi="Times New Roman" w:cs="Times New Roman"/>
          <w:sz w:val="28"/>
          <w:szCs w:val="28"/>
          <w:lang w:val="en-US"/>
        </w:rPr>
        <w:t xml:space="preserve"> application</w:t>
      </w:r>
      <w:r w:rsidRPr="00C12243">
        <w:rPr>
          <w:rFonts w:ascii="Times New Roman" w:hAnsi="Times New Roman" w:cs="Times New Roman"/>
          <w:sz w:val="28"/>
          <w:szCs w:val="28"/>
          <w:lang w:val="en-US"/>
        </w:rPr>
        <w:t xml:space="preserve"> </w:t>
      </w:r>
      <w:r w:rsidR="00086F12">
        <w:rPr>
          <w:rFonts w:ascii="Times New Roman" w:hAnsi="Times New Roman" w:cs="Times New Roman"/>
          <w:sz w:val="28"/>
          <w:szCs w:val="28"/>
          <w:lang w:val="en-US"/>
        </w:rPr>
        <w:t xml:space="preserve">in terms of which the applicant </w:t>
      </w:r>
      <w:r w:rsidR="00DB71B9">
        <w:rPr>
          <w:rFonts w:ascii="Times New Roman" w:hAnsi="Times New Roman" w:cs="Times New Roman"/>
          <w:sz w:val="28"/>
          <w:szCs w:val="28"/>
          <w:lang w:val="en-US"/>
        </w:rPr>
        <w:t>seeks</w:t>
      </w:r>
      <w:r w:rsidR="00086F12">
        <w:rPr>
          <w:rFonts w:ascii="Times New Roman" w:hAnsi="Times New Roman" w:cs="Times New Roman"/>
          <w:sz w:val="28"/>
          <w:szCs w:val="28"/>
          <w:lang w:val="en-US"/>
        </w:rPr>
        <w:t xml:space="preserve"> to </w:t>
      </w:r>
      <w:r w:rsidRPr="00C12243">
        <w:rPr>
          <w:rFonts w:ascii="Times New Roman" w:hAnsi="Times New Roman" w:cs="Times New Roman"/>
          <w:sz w:val="28"/>
          <w:szCs w:val="28"/>
          <w:lang w:val="en-US"/>
        </w:rPr>
        <w:t>enforce</w:t>
      </w:r>
      <w:r w:rsidR="00086F12">
        <w:rPr>
          <w:rFonts w:ascii="Times New Roman" w:hAnsi="Times New Roman" w:cs="Times New Roman"/>
          <w:sz w:val="28"/>
          <w:szCs w:val="28"/>
          <w:lang w:val="en-US"/>
        </w:rPr>
        <w:t xml:space="preserve"> </w:t>
      </w:r>
      <w:r w:rsidRPr="00C12243">
        <w:rPr>
          <w:rFonts w:ascii="Times New Roman" w:hAnsi="Times New Roman" w:cs="Times New Roman"/>
          <w:sz w:val="28"/>
          <w:szCs w:val="28"/>
          <w:lang w:val="en-US"/>
        </w:rPr>
        <w:t xml:space="preserve">a fixed-term contract </w:t>
      </w:r>
      <w:r w:rsidR="00086F12">
        <w:rPr>
          <w:rFonts w:ascii="Times New Roman" w:hAnsi="Times New Roman" w:cs="Times New Roman"/>
          <w:sz w:val="28"/>
          <w:szCs w:val="28"/>
          <w:lang w:val="en-US"/>
        </w:rPr>
        <w:t xml:space="preserve">that she </w:t>
      </w:r>
      <w:r w:rsidRPr="00C12243">
        <w:rPr>
          <w:rFonts w:ascii="Times New Roman" w:hAnsi="Times New Roman" w:cs="Times New Roman"/>
          <w:sz w:val="28"/>
          <w:szCs w:val="28"/>
          <w:lang w:val="en-US"/>
        </w:rPr>
        <w:t xml:space="preserve">signed </w:t>
      </w:r>
      <w:r w:rsidR="00086F12">
        <w:rPr>
          <w:rFonts w:ascii="Times New Roman" w:hAnsi="Times New Roman" w:cs="Times New Roman"/>
          <w:sz w:val="28"/>
          <w:szCs w:val="28"/>
          <w:lang w:val="en-US"/>
        </w:rPr>
        <w:t xml:space="preserve">with </w:t>
      </w:r>
      <w:r w:rsidRPr="00C12243">
        <w:rPr>
          <w:rFonts w:ascii="Times New Roman" w:hAnsi="Times New Roman" w:cs="Times New Roman"/>
          <w:sz w:val="28"/>
          <w:szCs w:val="28"/>
          <w:lang w:val="en-US"/>
        </w:rPr>
        <w:t>the 5</w:t>
      </w:r>
      <w:r w:rsidRPr="00C1224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respondent (Teaching Service Commission (TSC)) on 18</w:t>
      </w:r>
      <w:r w:rsidRPr="00737D7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November 2011.</w:t>
      </w:r>
      <w:r w:rsidRPr="00737D79">
        <w:rPr>
          <w:rFonts w:ascii="Times New Roman" w:hAnsi="Times New Roman" w:cs="Times New Roman"/>
          <w:sz w:val="28"/>
          <w:szCs w:val="28"/>
          <w:lang w:val="en-US"/>
        </w:rPr>
        <w:t xml:space="preserve"> </w:t>
      </w:r>
      <w:r>
        <w:rPr>
          <w:rFonts w:ascii="Times New Roman" w:hAnsi="Times New Roman" w:cs="Times New Roman"/>
          <w:sz w:val="28"/>
          <w:szCs w:val="28"/>
          <w:lang w:val="en-US"/>
        </w:rPr>
        <w:t>The facts surrounding this case are that the applicant was at all material times prior to the 1</w:t>
      </w:r>
      <w:r w:rsidRPr="00AC4105">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November 2011 engaged on permanent and pensionable terms as a teacher by the Ministry of Education and Training (the Ministry). During the subsistence of that substantive contract, the applicant entered into a </w:t>
      </w:r>
      <w:r w:rsidRPr="00737D79">
        <w:rPr>
          <w:rFonts w:ascii="Times New Roman" w:hAnsi="Times New Roman" w:cs="Times New Roman"/>
          <w:sz w:val="28"/>
          <w:szCs w:val="28"/>
          <w:lang w:val="en-US"/>
        </w:rPr>
        <w:t xml:space="preserve">fixed-term </w:t>
      </w:r>
      <w:r>
        <w:rPr>
          <w:rFonts w:ascii="Times New Roman" w:hAnsi="Times New Roman" w:cs="Times New Roman"/>
          <w:sz w:val="28"/>
          <w:szCs w:val="28"/>
          <w:lang w:val="en-US"/>
        </w:rPr>
        <w:t>Service Contract for a School Principal (Service Contract) with the TSC which commenced on 1</w:t>
      </w:r>
      <w:r w:rsidRPr="00E9437D">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November 2011 and ended on 31</w:t>
      </w:r>
      <w:r w:rsidRPr="00E9437D">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October 2016.</w:t>
      </w:r>
    </w:p>
    <w:p w14:paraId="3FEA0351" w14:textId="77777777" w:rsidR="00737D79" w:rsidRDefault="00737D79" w:rsidP="00091A87">
      <w:pPr>
        <w:pStyle w:val="ListParagraph"/>
        <w:spacing w:line="360" w:lineRule="auto"/>
        <w:jc w:val="both"/>
        <w:rPr>
          <w:rFonts w:ascii="Times New Roman" w:hAnsi="Times New Roman" w:cs="Times New Roman"/>
          <w:sz w:val="28"/>
          <w:szCs w:val="28"/>
          <w:lang w:val="en-US"/>
        </w:rPr>
      </w:pPr>
    </w:p>
    <w:p w14:paraId="0F8E1504" w14:textId="77777777" w:rsidR="006850AC" w:rsidRDefault="009142F6" w:rsidP="00091A87">
      <w:pPr>
        <w:pStyle w:val="ListParagraph"/>
        <w:numPr>
          <w:ilvl w:val="0"/>
          <w:numId w:val="3"/>
        </w:numPr>
        <w:spacing w:line="360" w:lineRule="auto"/>
        <w:jc w:val="both"/>
        <w:rPr>
          <w:rFonts w:ascii="Times New Roman" w:hAnsi="Times New Roman" w:cs="Times New Roman"/>
          <w:sz w:val="28"/>
          <w:szCs w:val="28"/>
          <w:lang w:val="en-US"/>
        </w:rPr>
      </w:pPr>
      <w:r w:rsidRPr="00A9408D">
        <w:rPr>
          <w:rFonts w:ascii="Times New Roman" w:hAnsi="Times New Roman" w:cs="Times New Roman"/>
          <w:sz w:val="28"/>
          <w:szCs w:val="28"/>
          <w:lang w:val="en-US"/>
        </w:rPr>
        <w:t>The Service C</w:t>
      </w:r>
      <w:r w:rsidR="00A9408D" w:rsidRPr="00A9408D">
        <w:rPr>
          <w:rFonts w:ascii="Times New Roman" w:hAnsi="Times New Roman" w:cs="Times New Roman"/>
          <w:sz w:val="28"/>
          <w:szCs w:val="28"/>
          <w:lang w:val="en-US"/>
        </w:rPr>
        <w:t>ontract expressly provided</w:t>
      </w:r>
      <w:r w:rsidRPr="00A9408D">
        <w:rPr>
          <w:rFonts w:ascii="Times New Roman" w:hAnsi="Times New Roman" w:cs="Times New Roman"/>
          <w:sz w:val="28"/>
          <w:szCs w:val="28"/>
          <w:lang w:val="en-US"/>
        </w:rPr>
        <w:t xml:space="preserve"> in clauses 7 and 8 that the employee would be paid gratuity at the rate of 25% of the total gross salary at the end of the contract. </w:t>
      </w:r>
      <w:r>
        <w:rPr>
          <w:rFonts w:ascii="Times New Roman" w:hAnsi="Times New Roman" w:cs="Times New Roman"/>
          <w:sz w:val="28"/>
          <w:szCs w:val="28"/>
          <w:lang w:val="en-US"/>
        </w:rPr>
        <w:t>Clause 18 of the Service Contract provided that a principal appointed under the contract who held a substantive post in the teaching service and was subject to contribute to the pension fund had to continue to so contribute whilst serving under the Service Contract. The applicant consequently continued to contribute to the pension fund throughout t</w:t>
      </w:r>
      <w:r w:rsidR="0036251F">
        <w:rPr>
          <w:rFonts w:ascii="Times New Roman" w:hAnsi="Times New Roman" w:cs="Times New Roman"/>
          <w:sz w:val="28"/>
          <w:szCs w:val="28"/>
          <w:lang w:val="en-US"/>
        </w:rPr>
        <w:t>he term of the Service Contract.</w:t>
      </w:r>
    </w:p>
    <w:p w14:paraId="58C90515" w14:textId="77777777" w:rsidR="0036251F" w:rsidRDefault="0036251F" w:rsidP="0036251F">
      <w:pPr>
        <w:pStyle w:val="ListParagraph"/>
        <w:spacing w:line="360" w:lineRule="auto"/>
        <w:jc w:val="both"/>
        <w:rPr>
          <w:rFonts w:ascii="Times New Roman" w:hAnsi="Times New Roman" w:cs="Times New Roman"/>
          <w:sz w:val="28"/>
          <w:szCs w:val="28"/>
          <w:lang w:val="en-US"/>
        </w:rPr>
      </w:pPr>
    </w:p>
    <w:p w14:paraId="32D4CD2C" w14:textId="77777777" w:rsidR="00091A87" w:rsidRPr="0036251F" w:rsidRDefault="009142F6" w:rsidP="00E11148">
      <w:pPr>
        <w:pStyle w:val="ListParagraph"/>
        <w:numPr>
          <w:ilvl w:val="0"/>
          <w:numId w:val="3"/>
        </w:numPr>
        <w:spacing w:line="360" w:lineRule="auto"/>
        <w:jc w:val="both"/>
        <w:rPr>
          <w:rFonts w:ascii="Times New Roman" w:hAnsi="Times New Roman" w:cs="Times New Roman"/>
          <w:sz w:val="28"/>
          <w:szCs w:val="28"/>
          <w:lang w:val="en-US"/>
        </w:rPr>
      </w:pPr>
      <w:r w:rsidRPr="0036251F">
        <w:rPr>
          <w:rFonts w:ascii="Times New Roman" w:hAnsi="Times New Roman" w:cs="Times New Roman"/>
          <w:sz w:val="28"/>
          <w:szCs w:val="28"/>
          <w:lang w:val="en-US"/>
        </w:rPr>
        <w:lastRenderedPageBreak/>
        <w:t xml:space="preserve">At the end of the Service Contract, the respondents declined to pay </w:t>
      </w:r>
      <w:r w:rsidR="00A9408D" w:rsidRPr="0036251F">
        <w:rPr>
          <w:rFonts w:ascii="Times New Roman" w:hAnsi="Times New Roman" w:cs="Times New Roman"/>
          <w:sz w:val="28"/>
          <w:szCs w:val="28"/>
          <w:lang w:val="en-US"/>
        </w:rPr>
        <w:t>the applicant the gratuity as t</w:t>
      </w:r>
      <w:r w:rsidR="00737D79" w:rsidRPr="0036251F">
        <w:rPr>
          <w:rFonts w:ascii="Times New Roman" w:hAnsi="Times New Roman" w:cs="Times New Roman"/>
          <w:sz w:val="28"/>
          <w:szCs w:val="28"/>
          <w:lang w:val="en-US"/>
        </w:rPr>
        <w:t xml:space="preserve">he parties </w:t>
      </w:r>
      <w:r w:rsidR="00A9408D" w:rsidRPr="0036251F">
        <w:rPr>
          <w:rFonts w:ascii="Times New Roman" w:hAnsi="Times New Roman" w:cs="Times New Roman"/>
          <w:sz w:val="28"/>
          <w:szCs w:val="28"/>
          <w:lang w:val="en-US"/>
        </w:rPr>
        <w:t>were</w:t>
      </w:r>
      <w:r w:rsidR="00737D79" w:rsidRPr="0036251F">
        <w:rPr>
          <w:rFonts w:ascii="Times New Roman" w:hAnsi="Times New Roman" w:cs="Times New Roman"/>
          <w:sz w:val="28"/>
          <w:szCs w:val="28"/>
          <w:lang w:val="en-US"/>
        </w:rPr>
        <w:t xml:space="preserve"> </w:t>
      </w:r>
      <w:r w:rsidR="00A9408D" w:rsidRPr="0036251F">
        <w:rPr>
          <w:rFonts w:ascii="Times New Roman" w:hAnsi="Times New Roman" w:cs="Times New Roman"/>
          <w:sz w:val="28"/>
          <w:szCs w:val="28"/>
          <w:lang w:val="en-US"/>
        </w:rPr>
        <w:t>then at loggerheads on the interpretation of c</w:t>
      </w:r>
      <w:r w:rsidR="00737D79" w:rsidRPr="0036251F">
        <w:rPr>
          <w:rFonts w:ascii="Times New Roman" w:hAnsi="Times New Roman" w:cs="Times New Roman"/>
          <w:sz w:val="28"/>
          <w:szCs w:val="28"/>
          <w:lang w:val="en-US"/>
        </w:rPr>
        <w:t xml:space="preserve">lauses </w:t>
      </w:r>
      <w:r w:rsidR="00A9408D" w:rsidRPr="0036251F">
        <w:rPr>
          <w:rFonts w:ascii="Times New Roman" w:hAnsi="Times New Roman" w:cs="Times New Roman"/>
          <w:sz w:val="28"/>
          <w:szCs w:val="28"/>
          <w:lang w:val="en-US"/>
        </w:rPr>
        <w:t xml:space="preserve">7 and 8 </w:t>
      </w:r>
      <w:r w:rsidR="00737D79" w:rsidRPr="0036251F">
        <w:rPr>
          <w:rFonts w:ascii="Times New Roman" w:hAnsi="Times New Roman" w:cs="Times New Roman"/>
          <w:sz w:val="28"/>
          <w:szCs w:val="28"/>
          <w:lang w:val="en-US"/>
        </w:rPr>
        <w:t xml:space="preserve">and the rest of the </w:t>
      </w:r>
      <w:r w:rsidR="00A9408D" w:rsidRPr="0036251F">
        <w:rPr>
          <w:rFonts w:ascii="Times New Roman" w:hAnsi="Times New Roman" w:cs="Times New Roman"/>
          <w:sz w:val="28"/>
          <w:szCs w:val="28"/>
          <w:lang w:val="en-US"/>
        </w:rPr>
        <w:t>Service C</w:t>
      </w:r>
      <w:r w:rsidR="00737D79" w:rsidRPr="0036251F">
        <w:rPr>
          <w:rFonts w:ascii="Times New Roman" w:hAnsi="Times New Roman" w:cs="Times New Roman"/>
          <w:sz w:val="28"/>
          <w:szCs w:val="28"/>
          <w:lang w:val="en-US"/>
        </w:rPr>
        <w:t xml:space="preserve">ontract regarding </w:t>
      </w:r>
      <w:r w:rsidR="00A9408D" w:rsidRPr="0036251F">
        <w:rPr>
          <w:rFonts w:ascii="Times New Roman" w:hAnsi="Times New Roman" w:cs="Times New Roman"/>
          <w:sz w:val="28"/>
          <w:szCs w:val="28"/>
          <w:lang w:val="en-US"/>
        </w:rPr>
        <w:t xml:space="preserve">the </w:t>
      </w:r>
      <w:r w:rsidR="00737D79" w:rsidRPr="0036251F">
        <w:rPr>
          <w:rFonts w:ascii="Times New Roman" w:hAnsi="Times New Roman" w:cs="Times New Roman"/>
          <w:sz w:val="28"/>
          <w:szCs w:val="28"/>
          <w:lang w:val="en-US"/>
        </w:rPr>
        <w:t>applicant’s entitlement to gratuity.</w:t>
      </w:r>
      <w:r w:rsidRPr="0036251F">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00A9408D" w:rsidRPr="0036251F">
        <w:rPr>
          <w:rFonts w:ascii="Times New Roman" w:hAnsi="Times New Roman" w:cs="Times New Roman"/>
          <w:sz w:val="28"/>
          <w:szCs w:val="28"/>
          <w:lang w:val="en-US"/>
        </w:rPr>
        <w:t xml:space="preserve"> prompted </w:t>
      </w:r>
      <w:r>
        <w:rPr>
          <w:rFonts w:ascii="Times New Roman" w:hAnsi="Times New Roman" w:cs="Times New Roman"/>
          <w:sz w:val="28"/>
          <w:szCs w:val="28"/>
          <w:lang w:val="en-US"/>
        </w:rPr>
        <w:t>the applicant</w:t>
      </w:r>
      <w:r w:rsidR="00A9408D" w:rsidRPr="0036251F">
        <w:rPr>
          <w:rFonts w:ascii="Times New Roman" w:hAnsi="Times New Roman" w:cs="Times New Roman"/>
          <w:sz w:val="28"/>
          <w:szCs w:val="28"/>
          <w:lang w:val="en-US"/>
        </w:rPr>
        <w:t xml:space="preserve"> to institute the instant application in terms of which she is seeking an order </w:t>
      </w:r>
      <w:r w:rsidRPr="0036251F">
        <w:rPr>
          <w:rFonts w:ascii="Times New Roman" w:hAnsi="Times New Roman" w:cs="Times New Roman"/>
          <w:sz w:val="28"/>
          <w:szCs w:val="28"/>
          <w:lang w:val="en-US"/>
        </w:rPr>
        <w:t>in the following terms:-</w:t>
      </w:r>
    </w:p>
    <w:p w14:paraId="28CFE2F5" w14:textId="77777777" w:rsidR="00015D3F" w:rsidRPr="00A9408D" w:rsidRDefault="009142F6" w:rsidP="0036251F">
      <w:pPr>
        <w:pStyle w:val="ListParagraph"/>
        <w:spacing w:line="360" w:lineRule="auto"/>
        <w:ind w:left="14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A9408D" w:rsidRPr="00A9408D">
        <w:rPr>
          <w:rFonts w:ascii="Times New Roman" w:hAnsi="Times New Roman" w:cs="Times New Roman"/>
          <w:sz w:val="28"/>
          <w:szCs w:val="28"/>
          <w:lang w:val="en-US"/>
        </w:rPr>
        <w:t xml:space="preserve">Declaring that the Cabinet </w:t>
      </w:r>
      <w:r w:rsidR="00477A2E" w:rsidRPr="00A9408D">
        <w:rPr>
          <w:rFonts w:ascii="Times New Roman" w:hAnsi="Times New Roman" w:cs="Times New Roman"/>
          <w:sz w:val="28"/>
          <w:szCs w:val="28"/>
          <w:lang w:val="en-US"/>
        </w:rPr>
        <w:t>decision</w:t>
      </w:r>
      <w:r w:rsidRPr="00A9408D">
        <w:rPr>
          <w:rFonts w:ascii="Times New Roman" w:hAnsi="Times New Roman" w:cs="Times New Roman"/>
          <w:sz w:val="28"/>
          <w:szCs w:val="28"/>
          <w:lang w:val="en-US"/>
        </w:rPr>
        <w:t xml:space="preserve"> of 11</w:t>
      </w:r>
      <w:r w:rsidRPr="00A9408D">
        <w:rPr>
          <w:rFonts w:ascii="Times New Roman" w:hAnsi="Times New Roman" w:cs="Times New Roman"/>
          <w:sz w:val="28"/>
          <w:szCs w:val="28"/>
          <w:vertAlign w:val="superscript"/>
          <w:lang w:val="en-US"/>
        </w:rPr>
        <w:t>th</w:t>
      </w:r>
      <w:r w:rsidRPr="00A9408D">
        <w:rPr>
          <w:rFonts w:ascii="Times New Roman" w:hAnsi="Times New Roman" w:cs="Times New Roman"/>
          <w:sz w:val="28"/>
          <w:szCs w:val="28"/>
          <w:lang w:val="en-US"/>
        </w:rPr>
        <w:t xml:space="preserve"> June 2019 is not applicable with regard to the applicant's contract of employment.</w:t>
      </w:r>
    </w:p>
    <w:p w14:paraId="4A429FE7" w14:textId="77777777" w:rsidR="00091A87" w:rsidRDefault="009142F6" w:rsidP="0036251F">
      <w:pPr>
        <w:spacing w:line="360" w:lineRule="auto"/>
        <w:ind w:left="144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15D3F">
        <w:rPr>
          <w:rFonts w:ascii="Times New Roman" w:hAnsi="Times New Roman" w:cs="Times New Roman"/>
          <w:sz w:val="28"/>
          <w:szCs w:val="28"/>
          <w:lang w:val="en-US"/>
        </w:rPr>
        <w:t xml:space="preserve">The respondents be </w:t>
      </w:r>
      <w:r w:rsidR="00DB2EF6">
        <w:rPr>
          <w:rFonts w:ascii="Times New Roman" w:hAnsi="Times New Roman" w:cs="Times New Roman"/>
          <w:sz w:val="28"/>
          <w:szCs w:val="28"/>
          <w:lang w:val="en-US"/>
        </w:rPr>
        <w:t xml:space="preserve">ordered and/or directed to comply with the provisions of the contract </w:t>
      </w:r>
      <w:r w:rsidR="00477A2E">
        <w:rPr>
          <w:rFonts w:ascii="Times New Roman" w:hAnsi="Times New Roman" w:cs="Times New Roman"/>
          <w:sz w:val="28"/>
          <w:szCs w:val="28"/>
          <w:lang w:val="en-US"/>
        </w:rPr>
        <w:t>entered</w:t>
      </w:r>
      <w:r w:rsidR="00DB2EF6">
        <w:rPr>
          <w:rFonts w:ascii="Times New Roman" w:hAnsi="Times New Roman" w:cs="Times New Roman"/>
          <w:sz w:val="28"/>
          <w:szCs w:val="28"/>
          <w:lang w:val="en-US"/>
        </w:rPr>
        <w:t xml:space="preserve"> into by the parties and effect payment of 25% gratuity to the applicant</w:t>
      </w:r>
      <w:r>
        <w:rPr>
          <w:rFonts w:ascii="Times New Roman" w:hAnsi="Times New Roman" w:cs="Times New Roman"/>
          <w:sz w:val="28"/>
          <w:szCs w:val="28"/>
          <w:lang w:val="en-US"/>
        </w:rPr>
        <w:t xml:space="preserve"> </w:t>
      </w:r>
      <w:r w:rsidRPr="00091A87">
        <w:rPr>
          <w:rFonts w:ascii="Times New Roman" w:hAnsi="Times New Roman" w:cs="Times New Roman"/>
          <w:sz w:val="28"/>
          <w:szCs w:val="28"/>
          <w:lang w:val="en-US"/>
        </w:rPr>
        <w:t>as reflected in “</w:t>
      </w:r>
      <w:r w:rsidRPr="00091A87">
        <w:rPr>
          <w:rFonts w:ascii="Times New Roman" w:hAnsi="Times New Roman" w:cs="Times New Roman"/>
          <w:b/>
          <w:sz w:val="28"/>
          <w:szCs w:val="28"/>
          <w:lang w:val="en-US"/>
        </w:rPr>
        <w:t>Annexure MR2</w:t>
      </w:r>
      <w:r>
        <w:rPr>
          <w:rFonts w:ascii="Times New Roman" w:hAnsi="Times New Roman" w:cs="Times New Roman"/>
          <w:sz w:val="28"/>
          <w:szCs w:val="28"/>
          <w:lang w:val="en-US"/>
        </w:rPr>
        <w:t>”</w:t>
      </w:r>
      <w:r w:rsidRPr="00091A87">
        <w:rPr>
          <w:rFonts w:ascii="Times New Roman" w:hAnsi="Times New Roman" w:cs="Times New Roman"/>
          <w:sz w:val="28"/>
          <w:szCs w:val="28"/>
          <w:lang w:val="en-US"/>
        </w:rPr>
        <w:t>.</w:t>
      </w:r>
    </w:p>
    <w:p w14:paraId="78FD4505" w14:textId="77777777" w:rsidR="00091A87" w:rsidRDefault="009142F6" w:rsidP="0036251F">
      <w:pPr>
        <w:spacing w:line="240" w:lineRule="auto"/>
        <w:ind w:left="720" w:firstLine="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091A87">
        <w:t xml:space="preserve"> </w:t>
      </w:r>
      <w:r w:rsidRPr="00091A87">
        <w:rPr>
          <w:rFonts w:ascii="Times New Roman" w:hAnsi="Times New Roman" w:cs="Times New Roman"/>
          <w:sz w:val="28"/>
          <w:szCs w:val="28"/>
          <w:lang w:val="en-US"/>
        </w:rPr>
        <w:t xml:space="preserve">Interest at the </w:t>
      </w:r>
      <w:r>
        <w:rPr>
          <w:rFonts w:ascii="Times New Roman" w:hAnsi="Times New Roman" w:cs="Times New Roman"/>
          <w:sz w:val="28"/>
          <w:szCs w:val="28"/>
          <w:lang w:val="en-US"/>
        </w:rPr>
        <w:t xml:space="preserve">rate of 18.5% </w:t>
      </w:r>
      <w:r w:rsidRPr="00091A87">
        <w:rPr>
          <w:rFonts w:ascii="Times New Roman" w:hAnsi="Times New Roman" w:cs="Times New Roman"/>
          <w:i/>
          <w:sz w:val="28"/>
          <w:szCs w:val="28"/>
          <w:lang w:val="en-US"/>
        </w:rPr>
        <w:t>ex temporae morae</w:t>
      </w:r>
      <w:r w:rsidRPr="00091A87">
        <w:rPr>
          <w:rFonts w:ascii="Times New Roman" w:hAnsi="Times New Roman" w:cs="Times New Roman"/>
          <w:sz w:val="28"/>
          <w:szCs w:val="28"/>
          <w:lang w:val="en-US"/>
        </w:rPr>
        <w:t>.</w:t>
      </w:r>
    </w:p>
    <w:p w14:paraId="274DC46F" w14:textId="77777777" w:rsidR="00091A87" w:rsidRDefault="00091A87" w:rsidP="00091A87">
      <w:pPr>
        <w:spacing w:line="240" w:lineRule="auto"/>
        <w:ind w:left="720"/>
        <w:contextualSpacing/>
        <w:jc w:val="both"/>
        <w:rPr>
          <w:rFonts w:ascii="Times New Roman" w:hAnsi="Times New Roman" w:cs="Times New Roman"/>
          <w:sz w:val="28"/>
          <w:szCs w:val="28"/>
          <w:lang w:val="en-US"/>
        </w:rPr>
      </w:pPr>
    </w:p>
    <w:p w14:paraId="6D75944A" w14:textId="77777777" w:rsidR="00DB2EF6" w:rsidRDefault="00DB2EF6" w:rsidP="00E87A11">
      <w:pPr>
        <w:spacing w:line="240" w:lineRule="auto"/>
        <w:contextualSpacing/>
        <w:jc w:val="both"/>
        <w:rPr>
          <w:rFonts w:ascii="Times New Roman" w:hAnsi="Times New Roman" w:cs="Times New Roman"/>
          <w:sz w:val="28"/>
          <w:szCs w:val="28"/>
          <w:lang w:val="en-US"/>
        </w:rPr>
      </w:pPr>
    </w:p>
    <w:p w14:paraId="52C6BD0A" w14:textId="77777777" w:rsidR="002D2E09" w:rsidRPr="002D2E09" w:rsidRDefault="009142F6" w:rsidP="00477A2E">
      <w:pPr>
        <w:spacing w:line="360" w:lineRule="auto"/>
        <w:jc w:val="both"/>
        <w:rPr>
          <w:rFonts w:ascii="Times New Roman" w:hAnsi="Times New Roman" w:cs="Times New Roman"/>
          <w:b/>
          <w:bCs/>
          <w:sz w:val="28"/>
          <w:szCs w:val="28"/>
          <w:u w:val="single"/>
          <w:lang w:val="en-US"/>
        </w:rPr>
      </w:pPr>
      <w:r>
        <w:rPr>
          <w:rFonts w:ascii="Times New Roman" w:hAnsi="Times New Roman" w:cs="Times New Roman"/>
          <w:sz w:val="28"/>
          <w:szCs w:val="28"/>
          <w:lang w:val="en-US"/>
        </w:rPr>
        <w:tab/>
      </w:r>
      <w:r w:rsidRPr="002D2E09">
        <w:rPr>
          <w:rFonts w:ascii="Times New Roman" w:hAnsi="Times New Roman" w:cs="Times New Roman"/>
          <w:b/>
          <w:bCs/>
          <w:sz w:val="28"/>
          <w:szCs w:val="28"/>
          <w:u w:val="single"/>
          <w:lang w:val="en-US"/>
        </w:rPr>
        <w:t>The issue to be determined</w:t>
      </w:r>
    </w:p>
    <w:p w14:paraId="2D4F00AD" w14:textId="77777777" w:rsidR="00091A87" w:rsidRDefault="009142F6" w:rsidP="00975CD1">
      <w:pPr>
        <w:pStyle w:val="ListParagraph"/>
        <w:numPr>
          <w:ilvl w:val="0"/>
          <w:numId w:val="3"/>
        </w:numPr>
        <w:spacing w:line="360" w:lineRule="auto"/>
        <w:jc w:val="both"/>
        <w:rPr>
          <w:rFonts w:ascii="Times New Roman" w:hAnsi="Times New Roman" w:cs="Times New Roman"/>
          <w:sz w:val="28"/>
          <w:szCs w:val="28"/>
          <w:lang w:val="en-US"/>
        </w:rPr>
      </w:pPr>
      <w:r w:rsidRPr="00737D79">
        <w:rPr>
          <w:rFonts w:ascii="Times New Roman" w:hAnsi="Times New Roman" w:cs="Times New Roman"/>
          <w:sz w:val="28"/>
          <w:szCs w:val="28"/>
          <w:lang w:val="en-US"/>
        </w:rPr>
        <w:t xml:space="preserve">The major </w:t>
      </w:r>
      <w:r w:rsidR="006F0863">
        <w:rPr>
          <w:rFonts w:ascii="Times New Roman" w:hAnsi="Times New Roman" w:cs="Times New Roman"/>
          <w:sz w:val="28"/>
          <w:szCs w:val="28"/>
          <w:lang w:val="en-US"/>
        </w:rPr>
        <w:t>issue</w:t>
      </w:r>
      <w:r w:rsidRPr="00737D79">
        <w:rPr>
          <w:rFonts w:ascii="Times New Roman" w:hAnsi="Times New Roman" w:cs="Times New Roman"/>
          <w:sz w:val="28"/>
          <w:szCs w:val="28"/>
          <w:lang w:val="en-US"/>
        </w:rPr>
        <w:t xml:space="preserve">, in this case, is </w:t>
      </w:r>
      <w:r>
        <w:rPr>
          <w:rFonts w:ascii="Times New Roman" w:hAnsi="Times New Roman" w:cs="Times New Roman"/>
          <w:sz w:val="28"/>
          <w:szCs w:val="28"/>
          <w:lang w:val="en-US"/>
        </w:rPr>
        <w:t xml:space="preserve">the interpretation of the Service Contract to determine whether the applicant was entitled to payment of </w:t>
      </w:r>
      <w:r w:rsidRPr="00737D79">
        <w:rPr>
          <w:rFonts w:ascii="Times New Roman" w:hAnsi="Times New Roman" w:cs="Times New Roman"/>
          <w:sz w:val="28"/>
          <w:szCs w:val="28"/>
          <w:lang w:val="en-US"/>
        </w:rPr>
        <w:t xml:space="preserve">gratuity at the end </w:t>
      </w:r>
      <w:r>
        <w:rPr>
          <w:rFonts w:ascii="Times New Roman" w:hAnsi="Times New Roman" w:cs="Times New Roman"/>
          <w:sz w:val="28"/>
          <w:szCs w:val="28"/>
          <w:lang w:val="en-US"/>
        </w:rPr>
        <w:t xml:space="preserve">of the </w:t>
      </w:r>
      <w:r w:rsidRPr="00737D79">
        <w:rPr>
          <w:rFonts w:ascii="Times New Roman" w:hAnsi="Times New Roman" w:cs="Times New Roman"/>
          <w:sz w:val="28"/>
          <w:szCs w:val="28"/>
          <w:lang w:val="en-US"/>
        </w:rPr>
        <w:t>contract.</w:t>
      </w:r>
    </w:p>
    <w:p w14:paraId="4AD9B0BB" w14:textId="77777777" w:rsidR="000C6502" w:rsidRPr="00737D79" w:rsidRDefault="009142F6" w:rsidP="00091A87">
      <w:pPr>
        <w:pStyle w:val="ListParagraph"/>
        <w:spacing w:line="360" w:lineRule="auto"/>
        <w:jc w:val="both"/>
        <w:rPr>
          <w:rFonts w:ascii="Times New Roman" w:hAnsi="Times New Roman" w:cs="Times New Roman"/>
          <w:sz w:val="28"/>
          <w:szCs w:val="28"/>
          <w:lang w:val="en-US"/>
        </w:rPr>
      </w:pPr>
      <w:r w:rsidRPr="00737D79">
        <w:rPr>
          <w:rFonts w:ascii="Times New Roman" w:hAnsi="Times New Roman" w:cs="Times New Roman"/>
          <w:sz w:val="28"/>
          <w:szCs w:val="28"/>
          <w:lang w:val="en-US"/>
        </w:rPr>
        <w:t xml:space="preserve"> </w:t>
      </w:r>
    </w:p>
    <w:p w14:paraId="1C5DE581" w14:textId="77777777" w:rsidR="002D2E09" w:rsidRPr="002D2E09" w:rsidRDefault="009142F6" w:rsidP="00477A2E">
      <w:pPr>
        <w:spacing w:line="360" w:lineRule="auto"/>
        <w:jc w:val="both"/>
        <w:rPr>
          <w:rFonts w:ascii="Times New Roman" w:hAnsi="Times New Roman" w:cs="Times New Roman"/>
          <w:b/>
          <w:bCs/>
          <w:sz w:val="28"/>
          <w:szCs w:val="28"/>
          <w:u w:val="single"/>
          <w:lang w:val="en-US"/>
        </w:rPr>
      </w:pPr>
      <w:r>
        <w:rPr>
          <w:rFonts w:ascii="Times New Roman" w:hAnsi="Times New Roman" w:cs="Times New Roman"/>
          <w:sz w:val="28"/>
          <w:szCs w:val="28"/>
          <w:lang w:val="en-US"/>
        </w:rPr>
        <w:tab/>
      </w:r>
      <w:r>
        <w:rPr>
          <w:rFonts w:ascii="Times New Roman" w:hAnsi="Times New Roman" w:cs="Times New Roman"/>
          <w:b/>
          <w:bCs/>
          <w:sz w:val="28"/>
          <w:szCs w:val="28"/>
          <w:u w:val="single"/>
          <w:lang w:val="en-US"/>
        </w:rPr>
        <w:t>The arguments</w:t>
      </w:r>
    </w:p>
    <w:p w14:paraId="593A4B19" w14:textId="77777777" w:rsidR="000C6502" w:rsidRDefault="009142F6" w:rsidP="006F0863">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applicant </w:t>
      </w:r>
      <w:r w:rsidR="006F0863">
        <w:rPr>
          <w:rFonts w:ascii="Times New Roman" w:hAnsi="Times New Roman" w:cs="Times New Roman"/>
          <w:sz w:val="28"/>
          <w:szCs w:val="28"/>
          <w:lang w:val="en-US"/>
        </w:rPr>
        <w:t>conten</w:t>
      </w:r>
      <w:r>
        <w:rPr>
          <w:rFonts w:ascii="Times New Roman" w:hAnsi="Times New Roman" w:cs="Times New Roman"/>
          <w:sz w:val="28"/>
          <w:szCs w:val="28"/>
          <w:lang w:val="en-US"/>
        </w:rPr>
        <w:t>ds that</w:t>
      </w:r>
      <w:r w:rsidR="006F0863" w:rsidRPr="006F0863">
        <w:t xml:space="preserve"> </w:t>
      </w:r>
      <w:r w:rsidR="006F0863" w:rsidRPr="006F0863">
        <w:rPr>
          <w:rFonts w:ascii="Times New Roman" w:hAnsi="Times New Roman" w:cs="Times New Roman"/>
          <w:sz w:val="28"/>
          <w:szCs w:val="28"/>
          <w:lang w:val="en-US"/>
        </w:rPr>
        <w:t>she was entitled to payment of gratuity as stipulated</w:t>
      </w:r>
      <w:r>
        <w:rPr>
          <w:rFonts w:ascii="Times New Roman" w:hAnsi="Times New Roman" w:cs="Times New Roman"/>
          <w:sz w:val="28"/>
          <w:szCs w:val="28"/>
          <w:lang w:val="en-US"/>
        </w:rPr>
        <w:t xml:space="preserve"> </w:t>
      </w:r>
      <w:r w:rsidR="006F0863">
        <w:rPr>
          <w:rFonts w:ascii="Times New Roman" w:hAnsi="Times New Roman" w:cs="Times New Roman"/>
          <w:sz w:val="28"/>
          <w:szCs w:val="28"/>
          <w:lang w:val="en-US"/>
        </w:rPr>
        <w:t>in clauses 7 and 8 on the Service Contract</w:t>
      </w:r>
      <w:r>
        <w:rPr>
          <w:rFonts w:ascii="Times New Roman" w:hAnsi="Times New Roman" w:cs="Times New Roman"/>
          <w:sz w:val="28"/>
          <w:szCs w:val="28"/>
          <w:lang w:val="en-US"/>
        </w:rPr>
        <w:t xml:space="preserve">. </w:t>
      </w:r>
      <w:r w:rsidR="006F0863">
        <w:rPr>
          <w:rFonts w:ascii="Times New Roman" w:hAnsi="Times New Roman" w:cs="Times New Roman"/>
          <w:sz w:val="28"/>
          <w:szCs w:val="28"/>
          <w:lang w:val="en-US"/>
        </w:rPr>
        <w:t>She asserts</w:t>
      </w:r>
      <w:r>
        <w:rPr>
          <w:rFonts w:ascii="Times New Roman" w:hAnsi="Times New Roman" w:cs="Times New Roman"/>
          <w:sz w:val="28"/>
          <w:szCs w:val="28"/>
          <w:lang w:val="en-US"/>
        </w:rPr>
        <w:t xml:space="preserve"> that other people who entered </w:t>
      </w:r>
      <w:r w:rsidR="00091A87">
        <w:rPr>
          <w:rFonts w:ascii="Times New Roman" w:hAnsi="Times New Roman" w:cs="Times New Roman"/>
          <w:sz w:val="28"/>
          <w:szCs w:val="28"/>
          <w:lang w:val="en-US"/>
        </w:rPr>
        <w:t xml:space="preserve">into </w:t>
      </w:r>
      <w:r>
        <w:rPr>
          <w:rFonts w:ascii="Times New Roman" w:hAnsi="Times New Roman" w:cs="Times New Roman"/>
          <w:sz w:val="28"/>
          <w:szCs w:val="28"/>
          <w:lang w:val="en-US"/>
        </w:rPr>
        <w:t>a similar contract were paid their</w:t>
      </w:r>
      <w:r w:rsidR="00F32795">
        <w:rPr>
          <w:rFonts w:ascii="Times New Roman" w:hAnsi="Times New Roman" w:cs="Times New Roman"/>
          <w:sz w:val="28"/>
          <w:szCs w:val="28"/>
          <w:lang w:val="en-US"/>
        </w:rPr>
        <w:t xml:space="preserve"> gratuities and she </w:t>
      </w:r>
      <w:r w:rsidR="00AE1489">
        <w:rPr>
          <w:rFonts w:ascii="Times New Roman" w:hAnsi="Times New Roman" w:cs="Times New Roman"/>
          <w:sz w:val="28"/>
          <w:szCs w:val="28"/>
          <w:lang w:val="en-US"/>
        </w:rPr>
        <w:t>reasonably</w:t>
      </w:r>
      <w:r w:rsidR="00F32795">
        <w:rPr>
          <w:rFonts w:ascii="Times New Roman" w:hAnsi="Times New Roman" w:cs="Times New Roman"/>
          <w:sz w:val="28"/>
          <w:szCs w:val="28"/>
          <w:lang w:val="en-US"/>
        </w:rPr>
        <w:t xml:space="preserve"> and legitimately expected that she would also be paid the gratuity.</w:t>
      </w:r>
    </w:p>
    <w:p w14:paraId="2C5FD1A1" w14:textId="77777777" w:rsidR="00F32795" w:rsidRDefault="00F32795" w:rsidP="00091A87">
      <w:pPr>
        <w:spacing w:line="360" w:lineRule="auto"/>
        <w:ind w:left="720" w:hanging="720"/>
        <w:jc w:val="both"/>
        <w:rPr>
          <w:rFonts w:ascii="Times New Roman" w:hAnsi="Times New Roman" w:cs="Times New Roman"/>
          <w:sz w:val="28"/>
          <w:szCs w:val="28"/>
          <w:lang w:val="en-US"/>
        </w:rPr>
      </w:pPr>
    </w:p>
    <w:p w14:paraId="72F9D544" w14:textId="77777777" w:rsidR="006F0863" w:rsidRDefault="009142F6" w:rsidP="00965324">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respondent</w:t>
      </w:r>
      <w:r w:rsidR="00F32795">
        <w:rPr>
          <w:rFonts w:ascii="Times New Roman" w:hAnsi="Times New Roman" w:cs="Times New Roman"/>
          <w:sz w:val="28"/>
          <w:szCs w:val="28"/>
          <w:lang w:val="en-US"/>
        </w:rPr>
        <w:t>s</w:t>
      </w:r>
      <w:r>
        <w:rPr>
          <w:rFonts w:ascii="Times New Roman" w:hAnsi="Times New Roman" w:cs="Times New Roman"/>
          <w:sz w:val="28"/>
          <w:szCs w:val="28"/>
          <w:lang w:val="en-US"/>
        </w:rPr>
        <w:t>’</w:t>
      </w:r>
      <w:r w:rsidR="00F32795">
        <w:rPr>
          <w:rFonts w:ascii="Times New Roman" w:hAnsi="Times New Roman" w:cs="Times New Roman"/>
          <w:sz w:val="28"/>
          <w:szCs w:val="28"/>
          <w:lang w:val="en-US"/>
        </w:rPr>
        <w:t xml:space="preserve"> case on the other hand is that </w:t>
      </w:r>
      <w:r w:rsidR="00965324" w:rsidRPr="00965324">
        <w:rPr>
          <w:rFonts w:ascii="Times New Roman" w:hAnsi="Times New Roman" w:cs="Times New Roman"/>
          <w:sz w:val="28"/>
          <w:szCs w:val="28"/>
          <w:lang w:val="en-US"/>
        </w:rPr>
        <w:t>clauses 7 and 8 do not apply to the applicant but only apply to employees who did not hold any government substantive positions when they entered into the Service Contract.</w:t>
      </w:r>
      <w:r w:rsidR="00965324">
        <w:rPr>
          <w:rFonts w:ascii="Times New Roman" w:hAnsi="Times New Roman" w:cs="Times New Roman"/>
          <w:sz w:val="28"/>
          <w:szCs w:val="28"/>
          <w:lang w:val="en-US"/>
        </w:rPr>
        <w:t xml:space="preserve"> </w:t>
      </w:r>
      <w:r w:rsidR="00965324" w:rsidRPr="00965324">
        <w:rPr>
          <w:rFonts w:ascii="Times New Roman" w:hAnsi="Times New Roman" w:cs="Times New Roman"/>
          <w:sz w:val="28"/>
          <w:szCs w:val="28"/>
          <w:lang w:val="en-US"/>
        </w:rPr>
        <w:t>The respondents</w:t>
      </w:r>
      <w:r w:rsidR="00965324">
        <w:rPr>
          <w:rFonts w:ascii="Times New Roman" w:hAnsi="Times New Roman" w:cs="Times New Roman"/>
          <w:sz w:val="28"/>
          <w:szCs w:val="28"/>
          <w:lang w:val="en-US"/>
        </w:rPr>
        <w:t>’</w:t>
      </w:r>
      <w:r w:rsidR="00965324" w:rsidRPr="00965324">
        <w:rPr>
          <w:rFonts w:ascii="Times New Roman" w:hAnsi="Times New Roman" w:cs="Times New Roman"/>
          <w:sz w:val="28"/>
          <w:szCs w:val="28"/>
          <w:lang w:val="en-US"/>
        </w:rPr>
        <w:t xml:space="preserve"> content</w:t>
      </w:r>
      <w:r w:rsidR="00965324">
        <w:rPr>
          <w:rFonts w:ascii="Times New Roman" w:hAnsi="Times New Roman" w:cs="Times New Roman"/>
          <w:sz w:val="28"/>
          <w:szCs w:val="28"/>
          <w:lang w:val="en-US"/>
        </w:rPr>
        <w:t>ion is</w:t>
      </w:r>
      <w:r w:rsidR="00965324" w:rsidRPr="00965324">
        <w:rPr>
          <w:rFonts w:ascii="Times New Roman" w:hAnsi="Times New Roman" w:cs="Times New Roman"/>
          <w:sz w:val="28"/>
          <w:szCs w:val="28"/>
          <w:lang w:val="en-US"/>
        </w:rPr>
        <w:t xml:space="preserve"> that </w:t>
      </w:r>
      <w:r>
        <w:rPr>
          <w:rFonts w:ascii="Times New Roman" w:hAnsi="Times New Roman" w:cs="Times New Roman"/>
          <w:sz w:val="28"/>
          <w:szCs w:val="28"/>
          <w:lang w:val="en-US"/>
        </w:rPr>
        <w:t xml:space="preserve">since </w:t>
      </w:r>
      <w:r w:rsidR="00F32795">
        <w:rPr>
          <w:rFonts w:ascii="Times New Roman" w:hAnsi="Times New Roman" w:cs="Times New Roman"/>
          <w:sz w:val="28"/>
          <w:szCs w:val="28"/>
          <w:lang w:val="en-US"/>
        </w:rPr>
        <w:t>the applicant still</w:t>
      </w:r>
      <w:r w:rsidR="00CC663B">
        <w:rPr>
          <w:rFonts w:ascii="Times New Roman" w:hAnsi="Times New Roman" w:cs="Times New Roman"/>
          <w:sz w:val="28"/>
          <w:szCs w:val="28"/>
          <w:lang w:val="en-US"/>
        </w:rPr>
        <w:t xml:space="preserve"> held </w:t>
      </w:r>
      <w:r>
        <w:rPr>
          <w:rFonts w:ascii="Times New Roman" w:hAnsi="Times New Roman" w:cs="Times New Roman"/>
          <w:sz w:val="28"/>
          <w:szCs w:val="28"/>
          <w:lang w:val="en-US"/>
        </w:rPr>
        <w:t>the substantive position</w:t>
      </w:r>
      <w:r w:rsidR="00CC663B">
        <w:rPr>
          <w:rFonts w:ascii="Times New Roman" w:hAnsi="Times New Roman" w:cs="Times New Roman"/>
          <w:sz w:val="28"/>
          <w:szCs w:val="28"/>
          <w:lang w:val="en-US"/>
        </w:rPr>
        <w:t xml:space="preserve"> as a teac</w:t>
      </w:r>
      <w:r>
        <w:rPr>
          <w:rFonts w:ascii="Times New Roman" w:hAnsi="Times New Roman" w:cs="Times New Roman"/>
          <w:sz w:val="28"/>
          <w:szCs w:val="28"/>
          <w:lang w:val="en-US"/>
        </w:rPr>
        <w:t>her throughout the term of the Service  Contract, she was not entitled</w:t>
      </w:r>
      <w:r w:rsidR="00CC663B">
        <w:rPr>
          <w:rFonts w:ascii="Times New Roman" w:hAnsi="Times New Roman" w:cs="Times New Roman"/>
          <w:sz w:val="28"/>
          <w:szCs w:val="28"/>
          <w:lang w:val="en-US"/>
        </w:rPr>
        <w:t xml:space="preserve"> to gratuity. </w:t>
      </w:r>
      <w:r w:rsidR="00965324">
        <w:rPr>
          <w:rFonts w:ascii="Times New Roman" w:hAnsi="Times New Roman" w:cs="Times New Roman"/>
          <w:sz w:val="28"/>
          <w:szCs w:val="28"/>
          <w:lang w:val="en-US"/>
        </w:rPr>
        <w:t xml:space="preserve">They </w:t>
      </w:r>
      <w:r>
        <w:rPr>
          <w:rFonts w:ascii="Times New Roman" w:hAnsi="Times New Roman" w:cs="Times New Roman"/>
          <w:sz w:val="28"/>
          <w:szCs w:val="28"/>
          <w:lang w:val="en-US"/>
        </w:rPr>
        <w:t>submit</w:t>
      </w:r>
      <w:r w:rsidR="00965324">
        <w:rPr>
          <w:rFonts w:ascii="Times New Roman" w:hAnsi="Times New Roman" w:cs="Times New Roman"/>
          <w:sz w:val="28"/>
          <w:szCs w:val="28"/>
          <w:lang w:val="en-US"/>
        </w:rPr>
        <w:t xml:space="preserve"> that since the applicant </w:t>
      </w:r>
      <w:r w:rsidR="00CC663B">
        <w:rPr>
          <w:rFonts w:ascii="Times New Roman" w:hAnsi="Times New Roman" w:cs="Times New Roman"/>
          <w:sz w:val="28"/>
          <w:szCs w:val="28"/>
          <w:lang w:val="en-US"/>
        </w:rPr>
        <w:t>continued to contribute towards her pensi</w:t>
      </w:r>
      <w:r w:rsidR="006850AC">
        <w:rPr>
          <w:rFonts w:ascii="Times New Roman" w:hAnsi="Times New Roman" w:cs="Times New Roman"/>
          <w:sz w:val="28"/>
          <w:szCs w:val="28"/>
          <w:lang w:val="en-US"/>
        </w:rPr>
        <w:t>on during the subsistence of the S</w:t>
      </w:r>
      <w:r w:rsidR="00CC663B">
        <w:rPr>
          <w:rFonts w:ascii="Times New Roman" w:hAnsi="Times New Roman" w:cs="Times New Roman"/>
          <w:sz w:val="28"/>
          <w:szCs w:val="28"/>
          <w:lang w:val="en-US"/>
        </w:rPr>
        <w:t>erv</w:t>
      </w:r>
      <w:r w:rsidR="006850AC">
        <w:rPr>
          <w:rFonts w:ascii="Times New Roman" w:hAnsi="Times New Roman" w:cs="Times New Roman"/>
          <w:sz w:val="28"/>
          <w:szCs w:val="28"/>
          <w:lang w:val="en-US"/>
        </w:rPr>
        <w:t>ice C</w:t>
      </w:r>
      <w:r w:rsidR="00CC663B">
        <w:rPr>
          <w:rFonts w:ascii="Times New Roman" w:hAnsi="Times New Roman" w:cs="Times New Roman"/>
          <w:sz w:val="28"/>
          <w:szCs w:val="28"/>
          <w:lang w:val="en-US"/>
        </w:rPr>
        <w:t>ontact</w:t>
      </w:r>
      <w:r w:rsidR="00965324">
        <w:rPr>
          <w:rFonts w:ascii="Times New Roman" w:hAnsi="Times New Roman" w:cs="Times New Roman"/>
          <w:sz w:val="28"/>
          <w:szCs w:val="28"/>
          <w:lang w:val="en-US"/>
        </w:rPr>
        <w:t xml:space="preserve"> as anticipated in </w:t>
      </w:r>
      <w:r w:rsidR="00E457F5">
        <w:rPr>
          <w:rFonts w:ascii="Times New Roman" w:hAnsi="Times New Roman" w:cs="Times New Roman"/>
          <w:sz w:val="28"/>
          <w:szCs w:val="28"/>
          <w:lang w:val="en-US"/>
        </w:rPr>
        <w:t>clause 18, she was</w:t>
      </w:r>
      <w:r>
        <w:rPr>
          <w:rFonts w:ascii="Times New Roman" w:hAnsi="Times New Roman" w:cs="Times New Roman"/>
          <w:sz w:val="28"/>
          <w:szCs w:val="28"/>
          <w:lang w:val="en-US"/>
        </w:rPr>
        <w:t xml:space="preserve"> entitled to a pension at the </w:t>
      </w:r>
      <w:r w:rsidR="00E457F5">
        <w:rPr>
          <w:rFonts w:ascii="Times New Roman" w:hAnsi="Times New Roman" w:cs="Times New Roman"/>
          <w:sz w:val="28"/>
          <w:szCs w:val="28"/>
          <w:lang w:val="en-US"/>
        </w:rPr>
        <w:t>end of her substantive contract and</w:t>
      </w:r>
      <w:r w:rsidR="00CC663B">
        <w:rPr>
          <w:rFonts w:ascii="Times New Roman" w:hAnsi="Times New Roman" w:cs="Times New Roman"/>
          <w:sz w:val="28"/>
          <w:szCs w:val="28"/>
          <w:lang w:val="en-US"/>
        </w:rPr>
        <w:t xml:space="preserve"> she could not</w:t>
      </w:r>
      <w:r>
        <w:rPr>
          <w:rFonts w:ascii="Times New Roman" w:hAnsi="Times New Roman" w:cs="Times New Roman"/>
          <w:sz w:val="28"/>
          <w:szCs w:val="28"/>
          <w:lang w:val="en-US"/>
        </w:rPr>
        <w:t xml:space="preserve"> also</w:t>
      </w:r>
      <w:r w:rsidR="00CC663B">
        <w:rPr>
          <w:rFonts w:ascii="Times New Roman" w:hAnsi="Times New Roman" w:cs="Times New Roman"/>
          <w:sz w:val="28"/>
          <w:szCs w:val="28"/>
          <w:lang w:val="en-US"/>
        </w:rPr>
        <w:t xml:space="preserve"> be </w:t>
      </w:r>
      <w:r>
        <w:rPr>
          <w:rFonts w:ascii="Times New Roman" w:hAnsi="Times New Roman" w:cs="Times New Roman"/>
          <w:sz w:val="28"/>
          <w:szCs w:val="28"/>
          <w:lang w:val="en-US"/>
        </w:rPr>
        <w:t>entitled to gratuity</w:t>
      </w:r>
      <w:r w:rsidR="00884FDC">
        <w:rPr>
          <w:rFonts w:ascii="Times New Roman" w:hAnsi="Times New Roman" w:cs="Times New Roman"/>
          <w:sz w:val="28"/>
          <w:szCs w:val="28"/>
          <w:lang w:val="en-US"/>
        </w:rPr>
        <w:t xml:space="preserve">. </w:t>
      </w:r>
    </w:p>
    <w:p w14:paraId="7577925A" w14:textId="77777777" w:rsidR="006F0863" w:rsidRDefault="006F0863" w:rsidP="006F0863">
      <w:pPr>
        <w:pStyle w:val="ListParagraph"/>
        <w:spacing w:line="360" w:lineRule="auto"/>
        <w:jc w:val="both"/>
        <w:rPr>
          <w:rFonts w:ascii="Times New Roman" w:hAnsi="Times New Roman" w:cs="Times New Roman"/>
          <w:sz w:val="28"/>
          <w:szCs w:val="28"/>
          <w:lang w:val="en-US"/>
        </w:rPr>
      </w:pPr>
    </w:p>
    <w:p w14:paraId="07368242" w14:textId="77777777" w:rsidR="002C108D" w:rsidRDefault="009142F6" w:rsidP="00091A87">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respondents further decline to pay the applicant any gratuity </w:t>
      </w:r>
      <w:r w:rsidR="004B2176">
        <w:rPr>
          <w:rFonts w:ascii="Times New Roman" w:hAnsi="Times New Roman" w:cs="Times New Roman"/>
          <w:sz w:val="28"/>
          <w:szCs w:val="28"/>
          <w:lang w:val="en-US"/>
        </w:rPr>
        <w:t>premised on the Cabinet decision of the 11</w:t>
      </w:r>
      <w:r w:rsidR="004B2176" w:rsidRPr="004B2176">
        <w:rPr>
          <w:rFonts w:ascii="Times New Roman" w:hAnsi="Times New Roman" w:cs="Times New Roman"/>
          <w:sz w:val="28"/>
          <w:szCs w:val="28"/>
          <w:vertAlign w:val="superscript"/>
          <w:lang w:val="en-US"/>
        </w:rPr>
        <w:t>th</w:t>
      </w:r>
      <w:r w:rsidR="004B2176">
        <w:rPr>
          <w:rFonts w:ascii="Times New Roman" w:hAnsi="Times New Roman" w:cs="Times New Roman"/>
          <w:sz w:val="28"/>
          <w:szCs w:val="28"/>
          <w:lang w:val="en-US"/>
        </w:rPr>
        <w:t xml:space="preserve"> June 2019 as contained in a savi</w:t>
      </w:r>
      <w:r w:rsidR="00C12243">
        <w:rPr>
          <w:rFonts w:ascii="Times New Roman" w:hAnsi="Times New Roman" w:cs="Times New Roman"/>
          <w:sz w:val="28"/>
          <w:szCs w:val="28"/>
          <w:lang w:val="en-US"/>
        </w:rPr>
        <w:t>n</w:t>
      </w:r>
      <w:r w:rsidR="004B2176">
        <w:rPr>
          <w:rFonts w:ascii="Times New Roman" w:hAnsi="Times New Roman" w:cs="Times New Roman"/>
          <w:sz w:val="28"/>
          <w:szCs w:val="28"/>
          <w:lang w:val="en-US"/>
        </w:rPr>
        <w:t>gram from the Government Secretary dated 27</w:t>
      </w:r>
      <w:r w:rsidR="004B2176" w:rsidRPr="004B2176">
        <w:rPr>
          <w:rFonts w:ascii="Times New Roman" w:hAnsi="Times New Roman" w:cs="Times New Roman"/>
          <w:sz w:val="28"/>
          <w:szCs w:val="28"/>
          <w:vertAlign w:val="superscript"/>
          <w:lang w:val="en-US"/>
        </w:rPr>
        <w:t>th</w:t>
      </w:r>
      <w:r w:rsidR="004B2176">
        <w:rPr>
          <w:rFonts w:ascii="Times New Roman" w:hAnsi="Times New Roman" w:cs="Times New Roman"/>
          <w:sz w:val="28"/>
          <w:szCs w:val="28"/>
          <w:lang w:val="en-US"/>
        </w:rPr>
        <w:t xml:space="preserve"> June 2019 annexed the applicant’s </w:t>
      </w:r>
      <w:r w:rsidR="008C1170">
        <w:rPr>
          <w:rFonts w:ascii="Times New Roman" w:hAnsi="Times New Roman" w:cs="Times New Roman"/>
          <w:sz w:val="28"/>
          <w:szCs w:val="28"/>
          <w:lang w:val="en-US"/>
        </w:rPr>
        <w:t>founding</w:t>
      </w:r>
      <w:r w:rsidR="004B2176">
        <w:rPr>
          <w:rFonts w:ascii="Times New Roman" w:hAnsi="Times New Roman" w:cs="Times New Roman"/>
          <w:sz w:val="28"/>
          <w:szCs w:val="28"/>
          <w:lang w:val="en-US"/>
        </w:rPr>
        <w:t xml:space="preserve"> affidavit as “</w:t>
      </w:r>
      <w:r w:rsidRPr="00E457F5">
        <w:rPr>
          <w:rFonts w:ascii="Times New Roman" w:hAnsi="Times New Roman" w:cs="Times New Roman"/>
          <w:b/>
          <w:sz w:val="28"/>
          <w:szCs w:val="28"/>
          <w:lang w:val="en-US"/>
        </w:rPr>
        <w:t xml:space="preserve">Annexure </w:t>
      </w:r>
      <w:r w:rsidR="004B2176" w:rsidRPr="00E457F5">
        <w:rPr>
          <w:rFonts w:ascii="Times New Roman" w:hAnsi="Times New Roman" w:cs="Times New Roman"/>
          <w:b/>
          <w:sz w:val="28"/>
          <w:szCs w:val="28"/>
          <w:lang w:val="en-US"/>
        </w:rPr>
        <w:t>MR3</w:t>
      </w:r>
      <w:r w:rsidR="004B2176">
        <w:rPr>
          <w:rFonts w:ascii="Times New Roman" w:hAnsi="Times New Roman" w:cs="Times New Roman"/>
          <w:sz w:val="28"/>
          <w:szCs w:val="28"/>
          <w:lang w:val="en-US"/>
        </w:rPr>
        <w:t xml:space="preserve">”. The </w:t>
      </w:r>
      <w:r w:rsidR="00C12243">
        <w:rPr>
          <w:rFonts w:ascii="Times New Roman" w:hAnsi="Times New Roman" w:cs="Times New Roman"/>
          <w:sz w:val="28"/>
          <w:szCs w:val="28"/>
          <w:lang w:val="en-US"/>
        </w:rPr>
        <w:t>relevant paragraph</w:t>
      </w:r>
      <w:r w:rsidR="002E7214">
        <w:rPr>
          <w:rFonts w:ascii="Times New Roman" w:hAnsi="Times New Roman" w:cs="Times New Roman"/>
          <w:sz w:val="28"/>
          <w:szCs w:val="28"/>
          <w:lang w:val="en-US"/>
        </w:rPr>
        <w:t>s</w:t>
      </w:r>
      <w:r w:rsidR="00C12243">
        <w:rPr>
          <w:rFonts w:ascii="Times New Roman" w:hAnsi="Times New Roman" w:cs="Times New Roman"/>
          <w:sz w:val="28"/>
          <w:szCs w:val="28"/>
          <w:lang w:val="en-US"/>
        </w:rPr>
        <w:t xml:space="preserve"> of the sa</w:t>
      </w:r>
      <w:r w:rsidR="008C1170">
        <w:rPr>
          <w:rFonts w:ascii="Times New Roman" w:hAnsi="Times New Roman" w:cs="Times New Roman"/>
          <w:sz w:val="28"/>
          <w:szCs w:val="28"/>
          <w:lang w:val="en-US"/>
        </w:rPr>
        <w:t>vi</w:t>
      </w:r>
      <w:r w:rsidR="00C12243">
        <w:rPr>
          <w:rFonts w:ascii="Times New Roman" w:hAnsi="Times New Roman" w:cs="Times New Roman"/>
          <w:sz w:val="28"/>
          <w:szCs w:val="28"/>
          <w:lang w:val="en-US"/>
        </w:rPr>
        <w:t>ngram</w:t>
      </w:r>
      <w:r w:rsidR="002E7214">
        <w:rPr>
          <w:rFonts w:ascii="Times New Roman" w:hAnsi="Times New Roman" w:cs="Times New Roman"/>
          <w:sz w:val="28"/>
          <w:szCs w:val="28"/>
          <w:lang w:val="en-US"/>
        </w:rPr>
        <w:t xml:space="preserve"> read</w:t>
      </w:r>
      <w:r w:rsidR="008C1170">
        <w:rPr>
          <w:rFonts w:ascii="Times New Roman" w:hAnsi="Times New Roman" w:cs="Times New Roman"/>
          <w:sz w:val="28"/>
          <w:szCs w:val="28"/>
          <w:lang w:val="en-US"/>
        </w:rPr>
        <w:t>:-</w:t>
      </w:r>
    </w:p>
    <w:p w14:paraId="512FBF52" w14:textId="77777777" w:rsidR="008C1170" w:rsidRPr="00E457F5" w:rsidRDefault="009142F6" w:rsidP="00E457F5">
      <w:pPr>
        <w:spacing w:line="240" w:lineRule="auto"/>
        <w:ind w:left="720" w:hanging="720"/>
        <w:jc w:val="both"/>
        <w:rPr>
          <w:rFonts w:ascii="Times New Roman" w:hAnsi="Times New Roman" w:cs="Times New Roman"/>
          <w:i/>
          <w:sz w:val="28"/>
          <w:szCs w:val="28"/>
          <w:lang w:val="en-US"/>
        </w:rPr>
      </w:pPr>
      <w:r>
        <w:rPr>
          <w:rFonts w:ascii="Times New Roman" w:hAnsi="Times New Roman" w:cs="Times New Roman"/>
          <w:sz w:val="28"/>
          <w:szCs w:val="28"/>
          <w:lang w:val="en-US"/>
        </w:rPr>
        <w:tab/>
      </w:r>
      <w:r w:rsidR="00C12243">
        <w:rPr>
          <w:rFonts w:ascii="Times New Roman" w:hAnsi="Times New Roman" w:cs="Times New Roman"/>
          <w:sz w:val="28"/>
          <w:szCs w:val="28"/>
          <w:lang w:val="en-US"/>
        </w:rPr>
        <w:tab/>
      </w:r>
      <w:r w:rsidR="00E457F5">
        <w:rPr>
          <w:rFonts w:ascii="Times New Roman" w:hAnsi="Times New Roman" w:cs="Times New Roman"/>
          <w:i/>
          <w:sz w:val="28"/>
          <w:szCs w:val="28"/>
          <w:lang w:val="en-US"/>
        </w:rPr>
        <w:t>“At its meeting … Cabinet approved:-</w:t>
      </w:r>
    </w:p>
    <w:p w14:paraId="2FCB801C" w14:textId="77777777" w:rsidR="008C1170" w:rsidRPr="00E457F5" w:rsidRDefault="009142F6" w:rsidP="002E7214">
      <w:pPr>
        <w:spacing w:line="240" w:lineRule="auto"/>
        <w:ind w:left="1440" w:hanging="1440"/>
        <w:jc w:val="both"/>
        <w:rPr>
          <w:rFonts w:ascii="Times New Roman" w:hAnsi="Times New Roman" w:cs="Times New Roman"/>
          <w:i/>
          <w:sz w:val="28"/>
          <w:szCs w:val="28"/>
          <w:lang w:val="en-US"/>
        </w:rPr>
      </w:pPr>
      <w:r w:rsidRPr="00E457F5">
        <w:rPr>
          <w:rFonts w:ascii="Times New Roman" w:hAnsi="Times New Roman" w:cs="Times New Roman"/>
          <w:i/>
          <w:sz w:val="28"/>
          <w:szCs w:val="28"/>
          <w:lang w:val="en-US"/>
        </w:rPr>
        <w:tab/>
        <w:t>(i)</w:t>
      </w:r>
      <w:r w:rsidRPr="00E457F5">
        <w:rPr>
          <w:rFonts w:ascii="Times New Roman" w:hAnsi="Times New Roman" w:cs="Times New Roman"/>
          <w:i/>
          <w:sz w:val="28"/>
          <w:szCs w:val="28"/>
          <w:lang w:val="en-US"/>
        </w:rPr>
        <w:tab/>
      </w:r>
      <w:r w:rsidR="002E7214">
        <w:rPr>
          <w:rFonts w:ascii="Times New Roman" w:hAnsi="Times New Roman" w:cs="Times New Roman"/>
          <w:i/>
          <w:sz w:val="28"/>
          <w:szCs w:val="28"/>
          <w:lang w:val="en-US"/>
        </w:rPr>
        <w:t xml:space="preserve">That the period which the permanent and pensionable teacher spent on Performance Contract be considered as part of their continuous service in order to normalise their service.  </w:t>
      </w:r>
    </w:p>
    <w:p w14:paraId="2CFE8B6A" w14:textId="77777777" w:rsidR="006F4CFC" w:rsidRPr="00E457F5" w:rsidRDefault="009142F6" w:rsidP="00E457F5">
      <w:pPr>
        <w:spacing w:line="240" w:lineRule="auto"/>
        <w:ind w:left="1440"/>
        <w:jc w:val="both"/>
        <w:rPr>
          <w:rFonts w:ascii="Times New Roman" w:hAnsi="Times New Roman" w:cs="Times New Roman"/>
          <w:i/>
          <w:sz w:val="28"/>
          <w:szCs w:val="28"/>
          <w:lang w:val="en-US"/>
        </w:rPr>
      </w:pPr>
      <w:r w:rsidRPr="00E457F5">
        <w:rPr>
          <w:rFonts w:ascii="Times New Roman" w:hAnsi="Times New Roman" w:cs="Times New Roman"/>
          <w:i/>
          <w:sz w:val="28"/>
          <w:szCs w:val="28"/>
          <w:lang w:val="en-US"/>
        </w:rPr>
        <w:t>(ii)</w:t>
      </w:r>
      <w:r w:rsidRPr="00E457F5">
        <w:rPr>
          <w:rFonts w:ascii="Times New Roman" w:hAnsi="Times New Roman" w:cs="Times New Roman"/>
          <w:i/>
          <w:sz w:val="28"/>
          <w:szCs w:val="28"/>
          <w:lang w:val="en-US"/>
        </w:rPr>
        <w:tab/>
        <w:t>That the terminal benefits of teachers who were once engaged on Per</w:t>
      </w:r>
      <w:r w:rsidR="00E457F5">
        <w:rPr>
          <w:rFonts w:ascii="Times New Roman" w:hAnsi="Times New Roman" w:cs="Times New Roman"/>
          <w:i/>
          <w:sz w:val="28"/>
          <w:szCs w:val="28"/>
          <w:lang w:val="en-US"/>
        </w:rPr>
        <w:t>formance C</w:t>
      </w:r>
      <w:r w:rsidRPr="00E457F5">
        <w:rPr>
          <w:rFonts w:ascii="Times New Roman" w:hAnsi="Times New Roman" w:cs="Times New Roman"/>
          <w:i/>
          <w:sz w:val="28"/>
          <w:szCs w:val="28"/>
          <w:lang w:val="en-US"/>
        </w:rPr>
        <w:t>ontract by the Ministry of Education and Training but exited the teaching service through e</w:t>
      </w:r>
      <w:r w:rsidR="00E457F5">
        <w:rPr>
          <w:rFonts w:ascii="Times New Roman" w:hAnsi="Times New Roman" w:cs="Times New Roman"/>
          <w:i/>
          <w:sz w:val="28"/>
          <w:szCs w:val="28"/>
          <w:lang w:val="en-US"/>
        </w:rPr>
        <w:t>ither</w:t>
      </w:r>
      <w:r w:rsidRPr="00E457F5">
        <w:rPr>
          <w:rFonts w:ascii="Times New Roman" w:hAnsi="Times New Roman" w:cs="Times New Roman"/>
          <w:i/>
          <w:sz w:val="28"/>
          <w:szCs w:val="28"/>
          <w:lang w:val="en-US"/>
        </w:rPr>
        <w:t xml:space="preserve"> death</w:t>
      </w:r>
      <w:r w:rsidR="00E457F5">
        <w:rPr>
          <w:rFonts w:ascii="Times New Roman" w:hAnsi="Times New Roman" w:cs="Times New Roman"/>
          <w:i/>
          <w:sz w:val="28"/>
          <w:szCs w:val="28"/>
          <w:lang w:val="en-US"/>
        </w:rPr>
        <w:t>,</w:t>
      </w:r>
      <w:r w:rsidRPr="00E457F5">
        <w:rPr>
          <w:rFonts w:ascii="Times New Roman" w:hAnsi="Times New Roman" w:cs="Times New Roman"/>
          <w:i/>
          <w:sz w:val="28"/>
          <w:szCs w:val="28"/>
          <w:lang w:val="en-US"/>
        </w:rPr>
        <w:t xml:space="preserve"> </w:t>
      </w:r>
      <w:r w:rsidR="00AE1489" w:rsidRPr="00E457F5">
        <w:rPr>
          <w:rFonts w:ascii="Times New Roman" w:hAnsi="Times New Roman" w:cs="Times New Roman"/>
          <w:i/>
          <w:sz w:val="28"/>
          <w:szCs w:val="28"/>
          <w:lang w:val="en-US"/>
        </w:rPr>
        <w:t>resignation</w:t>
      </w:r>
      <w:r w:rsidRPr="00E457F5">
        <w:rPr>
          <w:rFonts w:ascii="Times New Roman" w:hAnsi="Times New Roman" w:cs="Times New Roman"/>
          <w:i/>
          <w:sz w:val="28"/>
          <w:szCs w:val="28"/>
          <w:lang w:val="en-US"/>
        </w:rPr>
        <w:t xml:space="preserve"> or retirement be p</w:t>
      </w:r>
      <w:r w:rsidR="00AE1489" w:rsidRPr="00E457F5">
        <w:rPr>
          <w:rFonts w:ascii="Times New Roman" w:hAnsi="Times New Roman" w:cs="Times New Roman"/>
          <w:i/>
          <w:sz w:val="28"/>
          <w:szCs w:val="28"/>
          <w:lang w:val="en-US"/>
        </w:rPr>
        <w:t>rocessed and paid as per pension proclamation</w:t>
      </w:r>
      <w:r w:rsidRPr="00E457F5">
        <w:rPr>
          <w:rFonts w:ascii="Times New Roman" w:hAnsi="Times New Roman" w:cs="Times New Roman"/>
          <w:i/>
          <w:sz w:val="28"/>
          <w:szCs w:val="28"/>
          <w:lang w:val="en-US"/>
        </w:rPr>
        <w:t>, 1964 and Public Officers’ Defined Contribution Pension Fund 2008….”</w:t>
      </w:r>
    </w:p>
    <w:p w14:paraId="3C3721CC" w14:textId="77777777" w:rsidR="002E7214" w:rsidRDefault="009142F6" w:rsidP="00E457F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2A18631B" w14:textId="77777777" w:rsidR="00C12243" w:rsidRDefault="009142F6" w:rsidP="002E7214">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respondents maintain that the foregoing decision of the Cabinet </w:t>
      </w:r>
      <w:r w:rsidR="002E7214">
        <w:rPr>
          <w:rFonts w:ascii="Times New Roman" w:hAnsi="Times New Roman" w:cs="Times New Roman"/>
          <w:sz w:val="28"/>
          <w:szCs w:val="28"/>
          <w:lang w:val="en-US"/>
        </w:rPr>
        <w:t xml:space="preserve">applies to the applicant’s case and is binding on the respondents. </w:t>
      </w:r>
    </w:p>
    <w:p w14:paraId="049ECE0A" w14:textId="77777777" w:rsidR="002D45A8" w:rsidRDefault="002D45A8" w:rsidP="00091A87">
      <w:pPr>
        <w:spacing w:line="360" w:lineRule="auto"/>
        <w:ind w:firstLine="360"/>
        <w:jc w:val="both"/>
        <w:rPr>
          <w:rFonts w:ascii="Times New Roman" w:hAnsi="Times New Roman" w:cs="Times New Roman"/>
          <w:b/>
          <w:sz w:val="28"/>
          <w:szCs w:val="28"/>
          <w:lang w:val="en-US"/>
        </w:rPr>
      </w:pPr>
    </w:p>
    <w:p w14:paraId="5B531732" w14:textId="77777777" w:rsidR="00C12243" w:rsidRPr="002D45A8" w:rsidRDefault="009142F6" w:rsidP="00091A87">
      <w:pPr>
        <w:spacing w:line="360" w:lineRule="auto"/>
        <w:ind w:firstLine="360"/>
        <w:jc w:val="both"/>
        <w:rPr>
          <w:rFonts w:ascii="Times New Roman" w:hAnsi="Times New Roman" w:cs="Times New Roman"/>
          <w:b/>
          <w:sz w:val="28"/>
          <w:szCs w:val="28"/>
          <w:u w:val="single"/>
          <w:lang w:val="en-US"/>
        </w:rPr>
      </w:pPr>
      <w:r w:rsidRPr="002D45A8">
        <w:rPr>
          <w:rFonts w:ascii="Times New Roman" w:hAnsi="Times New Roman" w:cs="Times New Roman"/>
          <w:b/>
          <w:sz w:val="28"/>
          <w:szCs w:val="28"/>
          <w:u w:val="single"/>
          <w:lang w:val="en-US"/>
        </w:rPr>
        <w:lastRenderedPageBreak/>
        <w:t>Analysis and the Law</w:t>
      </w:r>
    </w:p>
    <w:p w14:paraId="1DADB088" w14:textId="77777777" w:rsidR="00C12243" w:rsidRPr="00C12243" w:rsidRDefault="009142F6" w:rsidP="002E7214">
      <w:pPr>
        <w:pStyle w:val="ListParagraph"/>
        <w:numPr>
          <w:ilvl w:val="0"/>
          <w:numId w:val="3"/>
        </w:numPr>
        <w:spacing w:line="360" w:lineRule="auto"/>
        <w:jc w:val="both"/>
        <w:rPr>
          <w:rFonts w:ascii="Times New Roman" w:hAnsi="Times New Roman" w:cs="Times New Roman"/>
          <w:sz w:val="28"/>
          <w:szCs w:val="28"/>
        </w:rPr>
      </w:pPr>
      <w:r w:rsidRPr="00C12243">
        <w:rPr>
          <w:rFonts w:ascii="Times New Roman" w:hAnsi="Times New Roman" w:cs="Times New Roman"/>
          <w:sz w:val="28"/>
          <w:szCs w:val="28"/>
          <w:lang w:val="en-US"/>
        </w:rPr>
        <w:t xml:space="preserve">In terms of the </w:t>
      </w:r>
      <w:r w:rsidRPr="00C12243">
        <w:rPr>
          <w:rFonts w:ascii="Times New Roman" w:hAnsi="Times New Roman" w:cs="Times New Roman"/>
          <w:i/>
          <w:sz w:val="28"/>
          <w:szCs w:val="28"/>
          <w:lang w:val="en-US"/>
        </w:rPr>
        <w:t>caveat subscriptor</w:t>
      </w:r>
      <w:r w:rsidRPr="00C12243">
        <w:rPr>
          <w:rFonts w:ascii="Times New Roman" w:hAnsi="Times New Roman" w:cs="Times New Roman"/>
          <w:sz w:val="28"/>
          <w:szCs w:val="28"/>
          <w:lang w:val="en-US"/>
        </w:rPr>
        <w:t xml:space="preserve"> rule “</w:t>
      </w:r>
      <w:r w:rsidRPr="002E7214">
        <w:rPr>
          <w:rFonts w:ascii="Times New Roman" w:hAnsi="Times New Roman" w:cs="Times New Roman"/>
          <w:i/>
          <w:sz w:val="28"/>
          <w:szCs w:val="28"/>
        </w:rPr>
        <w:t>a person who signs a contractual document thereby signifies his assent to the contents of the document, and if these subsequently turn out not to be to his liking, he has no one to blame but himself</w:t>
      </w:r>
      <w:r w:rsidR="002E7214">
        <w:rPr>
          <w:rFonts w:ascii="Times New Roman" w:hAnsi="Times New Roman" w:cs="Times New Roman"/>
          <w:i/>
          <w:sz w:val="28"/>
          <w:szCs w:val="28"/>
        </w:rPr>
        <w:t>.</w:t>
      </w:r>
      <w:r>
        <w:rPr>
          <w:rFonts w:ascii="Times New Roman" w:hAnsi="Times New Roman" w:cs="Times New Roman"/>
          <w:i/>
          <w:sz w:val="28"/>
          <w:szCs w:val="28"/>
          <w:vertAlign w:val="superscript"/>
        </w:rPr>
        <w:footnoteReference w:id="1"/>
      </w:r>
      <w:r w:rsidR="002E7214">
        <w:rPr>
          <w:rFonts w:ascii="Times New Roman" w:hAnsi="Times New Roman" w:cs="Times New Roman"/>
          <w:i/>
          <w:sz w:val="28"/>
          <w:szCs w:val="28"/>
        </w:rPr>
        <w:t>”</w:t>
      </w:r>
      <w:r w:rsidRPr="00C12243">
        <w:rPr>
          <w:rFonts w:ascii="Times New Roman" w:hAnsi="Times New Roman" w:cs="Times New Roman"/>
          <w:sz w:val="28"/>
          <w:szCs w:val="28"/>
        </w:rPr>
        <w:t xml:space="preserve"> The </w:t>
      </w:r>
      <w:r w:rsidR="002E7214">
        <w:rPr>
          <w:rFonts w:ascii="Times New Roman" w:hAnsi="Times New Roman" w:cs="Times New Roman"/>
          <w:sz w:val="28"/>
          <w:szCs w:val="28"/>
        </w:rPr>
        <w:t>rationale behind the</w:t>
      </w:r>
      <w:r w:rsidRPr="00C12243">
        <w:rPr>
          <w:rFonts w:ascii="Times New Roman" w:hAnsi="Times New Roman" w:cs="Times New Roman"/>
          <w:sz w:val="28"/>
          <w:szCs w:val="28"/>
        </w:rPr>
        <w:t xml:space="preserve"> </w:t>
      </w:r>
      <w:r w:rsidR="002E7214" w:rsidRPr="00C12243">
        <w:rPr>
          <w:rFonts w:ascii="Times New Roman" w:hAnsi="Times New Roman" w:cs="Times New Roman"/>
          <w:i/>
          <w:sz w:val="28"/>
          <w:szCs w:val="28"/>
          <w:lang w:val="en-US"/>
        </w:rPr>
        <w:t>caveat subscriptor</w:t>
      </w:r>
      <w:r w:rsidRPr="00C12243">
        <w:rPr>
          <w:rFonts w:ascii="Times New Roman" w:hAnsi="Times New Roman" w:cs="Times New Roman"/>
          <w:sz w:val="28"/>
          <w:szCs w:val="28"/>
        </w:rPr>
        <w:t xml:space="preserve"> principle according to Christie</w:t>
      </w:r>
      <w:r>
        <w:rPr>
          <w:rStyle w:val="FootnoteReference"/>
          <w:rFonts w:ascii="Times New Roman" w:hAnsi="Times New Roman" w:cs="Times New Roman"/>
          <w:sz w:val="28"/>
          <w:szCs w:val="28"/>
        </w:rPr>
        <w:footnoteReference w:id="2"/>
      </w:r>
      <w:r w:rsidRPr="00C12243">
        <w:rPr>
          <w:rFonts w:ascii="Times New Roman" w:hAnsi="Times New Roman" w:cs="Times New Roman"/>
          <w:sz w:val="28"/>
          <w:szCs w:val="28"/>
        </w:rPr>
        <w:t xml:space="preserve"> is the doctrine of quasi-mutual assent (or reliance theory) which is succinctly elaborated by </w:t>
      </w:r>
      <w:r w:rsidR="002E7214" w:rsidRPr="002E7214">
        <w:rPr>
          <w:rFonts w:ascii="Times New Roman" w:hAnsi="Times New Roman" w:cs="Times New Roman"/>
          <w:sz w:val="28"/>
          <w:szCs w:val="28"/>
        </w:rPr>
        <w:t>Thejane</w:t>
      </w:r>
      <w:r>
        <w:rPr>
          <w:rFonts w:ascii="Times New Roman" w:hAnsi="Times New Roman" w:cs="Times New Roman"/>
          <w:sz w:val="28"/>
          <w:szCs w:val="28"/>
          <w:vertAlign w:val="superscript"/>
        </w:rPr>
        <w:footnoteReference w:id="3"/>
      </w:r>
      <w:r w:rsidRPr="00C12243">
        <w:rPr>
          <w:rFonts w:ascii="Times New Roman" w:hAnsi="Times New Roman" w:cs="Times New Roman"/>
          <w:sz w:val="28"/>
          <w:szCs w:val="28"/>
        </w:rPr>
        <w:t xml:space="preserve"> </w:t>
      </w:r>
      <w:r w:rsidR="002E7214">
        <w:rPr>
          <w:rFonts w:ascii="Times New Roman" w:hAnsi="Times New Roman" w:cs="Times New Roman"/>
          <w:sz w:val="28"/>
          <w:szCs w:val="28"/>
        </w:rPr>
        <w:t xml:space="preserve">in </w:t>
      </w:r>
      <w:r w:rsidRPr="00C12243">
        <w:rPr>
          <w:rFonts w:ascii="Times New Roman" w:hAnsi="Times New Roman" w:cs="Times New Roman"/>
          <w:sz w:val="28"/>
          <w:szCs w:val="28"/>
        </w:rPr>
        <w:t>the following terms</w:t>
      </w:r>
      <w:r w:rsidR="002E7214">
        <w:rPr>
          <w:rFonts w:ascii="Times New Roman" w:hAnsi="Times New Roman" w:cs="Times New Roman"/>
          <w:sz w:val="28"/>
          <w:szCs w:val="28"/>
        </w:rPr>
        <w:t>:-</w:t>
      </w:r>
      <w:r w:rsidRPr="00C12243">
        <w:rPr>
          <w:rFonts w:ascii="Times New Roman" w:hAnsi="Times New Roman" w:cs="Times New Roman"/>
          <w:sz w:val="28"/>
          <w:szCs w:val="28"/>
        </w:rPr>
        <w:t xml:space="preserve"> </w:t>
      </w:r>
    </w:p>
    <w:p w14:paraId="2B5A234E" w14:textId="77777777" w:rsidR="00C12243" w:rsidRDefault="009142F6" w:rsidP="002E7214">
      <w:pPr>
        <w:spacing w:line="240" w:lineRule="auto"/>
        <w:ind w:left="1440"/>
        <w:jc w:val="both"/>
        <w:rPr>
          <w:rFonts w:ascii="Times New Roman" w:hAnsi="Times New Roman" w:cs="Times New Roman"/>
          <w:i/>
          <w:sz w:val="28"/>
          <w:szCs w:val="28"/>
        </w:rPr>
      </w:pPr>
      <w:r w:rsidRPr="00C12243">
        <w:rPr>
          <w:rFonts w:ascii="Times New Roman" w:hAnsi="Times New Roman" w:cs="Times New Roman"/>
          <w:sz w:val="28"/>
          <w:szCs w:val="28"/>
        </w:rPr>
        <w:t>“</w:t>
      </w:r>
      <w:r w:rsidRPr="002E7214">
        <w:rPr>
          <w:rFonts w:ascii="Times New Roman" w:hAnsi="Times New Roman" w:cs="Times New Roman"/>
          <w:i/>
          <w:sz w:val="28"/>
          <w:szCs w:val="28"/>
        </w:rPr>
        <w:t>It firstly acknowledges that the general principle for the formation of valid contracts is that there must be a meeting of the minds of the pa</w:t>
      </w:r>
      <w:r w:rsidR="002E7214">
        <w:rPr>
          <w:rFonts w:ascii="Times New Roman" w:hAnsi="Times New Roman" w:cs="Times New Roman"/>
          <w:i/>
          <w:sz w:val="28"/>
          <w:szCs w:val="28"/>
        </w:rPr>
        <w:t>rties or subjective consensus.</w:t>
      </w:r>
      <w:r w:rsidRPr="002E7214">
        <w:rPr>
          <w:rFonts w:ascii="Times New Roman" w:hAnsi="Times New Roman" w:cs="Times New Roman"/>
          <w:i/>
          <w:sz w:val="28"/>
          <w:szCs w:val="28"/>
        </w:rPr>
        <w:t xml:space="preserve"> Thus, the primary basis of liability in contract law is the </w:t>
      </w:r>
      <w:r w:rsidR="002E7214">
        <w:rPr>
          <w:rFonts w:ascii="Times New Roman" w:hAnsi="Times New Roman" w:cs="Times New Roman"/>
          <w:i/>
          <w:sz w:val="28"/>
          <w:szCs w:val="28"/>
        </w:rPr>
        <w:t>expressed will of the parties.</w:t>
      </w:r>
      <w:r w:rsidRPr="002E7214">
        <w:rPr>
          <w:rFonts w:ascii="Times New Roman" w:hAnsi="Times New Roman" w:cs="Times New Roman"/>
          <w:i/>
          <w:sz w:val="28"/>
          <w:szCs w:val="28"/>
        </w:rPr>
        <w:t xml:space="preserve"> It further concedes that there are instances where confusion could arise as to whether there has been a meeting of the minds or not, because one of the parties may have an intention different from that of the other party, but fail </w:t>
      </w:r>
      <w:r w:rsidR="00CF2424">
        <w:rPr>
          <w:rFonts w:ascii="Times New Roman" w:hAnsi="Times New Roman" w:cs="Times New Roman"/>
          <w:i/>
          <w:sz w:val="28"/>
          <w:szCs w:val="28"/>
        </w:rPr>
        <w:t>to communicate this intention.</w:t>
      </w:r>
      <w:r w:rsidRPr="002E7214">
        <w:rPr>
          <w:rFonts w:ascii="Times New Roman" w:hAnsi="Times New Roman" w:cs="Times New Roman"/>
          <w:i/>
          <w:sz w:val="28"/>
          <w:szCs w:val="28"/>
        </w:rPr>
        <w:t xml:space="preserve"> Its essence is, therefore, that since contractual liability is based on the parties' subjective intention, and since it can be difficult for the one party to read the other's mind, there should, in such instances, be an alternative basis for determining a party's liability. Consequently, where there is dissensus which is not readily apparent, the party that acted contrary to the subjective consensus should be held bound to the apparent agreement. The doctrine thus protects parties who would otherwise not be able to dispute the other contracting party's denial of their "true" intention, and who would as a result be</w:t>
      </w:r>
      <w:r w:rsidR="00CF2424">
        <w:rPr>
          <w:rFonts w:ascii="Times New Roman" w:hAnsi="Times New Roman" w:cs="Times New Roman"/>
          <w:i/>
          <w:sz w:val="28"/>
          <w:szCs w:val="28"/>
        </w:rPr>
        <w:t xml:space="preserve"> left destitute.</w:t>
      </w:r>
      <w:r w:rsidRPr="002E7214">
        <w:rPr>
          <w:rFonts w:ascii="Times New Roman" w:hAnsi="Times New Roman" w:cs="Times New Roman"/>
          <w:i/>
          <w:sz w:val="28"/>
          <w:szCs w:val="28"/>
        </w:rPr>
        <w:t xml:space="preserve"> This is because the doctrine refers to the surrounding circumstances to determine the disputing party's intention.</w:t>
      </w:r>
      <w:r w:rsidR="00CF2424">
        <w:rPr>
          <w:rFonts w:ascii="Times New Roman" w:hAnsi="Times New Roman" w:cs="Times New Roman"/>
          <w:i/>
          <w:sz w:val="28"/>
          <w:szCs w:val="28"/>
        </w:rPr>
        <w:t>”</w:t>
      </w:r>
    </w:p>
    <w:p w14:paraId="3C092F45" w14:textId="77777777" w:rsidR="00C66EF2" w:rsidRPr="00C12243" w:rsidRDefault="00C66EF2" w:rsidP="002E7214">
      <w:pPr>
        <w:spacing w:line="240" w:lineRule="auto"/>
        <w:ind w:left="1440"/>
        <w:jc w:val="both"/>
        <w:rPr>
          <w:rFonts w:ascii="Times New Roman" w:hAnsi="Times New Roman" w:cs="Times New Roman"/>
          <w:sz w:val="28"/>
          <w:szCs w:val="28"/>
          <w:lang w:val="en-US"/>
        </w:rPr>
      </w:pPr>
    </w:p>
    <w:p w14:paraId="47672BEE" w14:textId="77777777" w:rsidR="009E0BDA" w:rsidRDefault="009142F6" w:rsidP="00C66EF2">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Service Contract in this case is a standard printed form wherein the specific particulars of the applicant and the signatures have been inserted with ink. The contract was signed by the applicant (employee) and for TSC (employer) on 18</w:t>
      </w:r>
      <w:r w:rsidRPr="00C66EF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November 2011 and15</w:t>
      </w:r>
      <w:r w:rsidRPr="00C66EF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August 2012 respectively</w:t>
      </w:r>
      <w:r w:rsidR="006218D4">
        <w:rPr>
          <w:rFonts w:ascii="Times New Roman" w:hAnsi="Times New Roman" w:cs="Times New Roman"/>
          <w:sz w:val="28"/>
          <w:szCs w:val="28"/>
          <w:lang w:val="en-US"/>
        </w:rPr>
        <w:t xml:space="preserve">. The </w:t>
      </w:r>
      <w:r w:rsidR="006218D4" w:rsidRPr="006218D4">
        <w:rPr>
          <w:rFonts w:ascii="Times New Roman" w:hAnsi="Times New Roman" w:cs="Times New Roman"/>
          <w:i/>
          <w:sz w:val="28"/>
          <w:szCs w:val="28"/>
          <w:lang w:val="en-US"/>
        </w:rPr>
        <w:lastRenderedPageBreak/>
        <w:t>caveat subscriptor</w:t>
      </w:r>
      <w:r w:rsidR="006218D4" w:rsidRPr="006218D4">
        <w:rPr>
          <w:rFonts w:ascii="Times New Roman" w:hAnsi="Times New Roman" w:cs="Times New Roman"/>
          <w:sz w:val="28"/>
          <w:szCs w:val="28"/>
          <w:lang w:val="en-US"/>
        </w:rPr>
        <w:t xml:space="preserve"> </w:t>
      </w:r>
      <w:r w:rsidR="006218D4">
        <w:rPr>
          <w:rFonts w:ascii="Times New Roman" w:hAnsi="Times New Roman" w:cs="Times New Roman"/>
          <w:sz w:val="28"/>
          <w:szCs w:val="28"/>
          <w:lang w:val="en-US"/>
        </w:rPr>
        <w:t>rule, therefore, applies to the respondents, they are bound by everything that appears above the signature of their representative</w:t>
      </w:r>
      <w:r w:rsidR="00AC1E37">
        <w:rPr>
          <w:rFonts w:ascii="Times New Roman" w:hAnsi="Times New Roman" w:cs="Times New Roman"/>
          <w:sz w:val="28"/>
          <w:szCs w:val="28"/>
          <w:lang w:val="en-US"/>
        </w:rPr>
        <w:t xml:space="preserve"> and they cannot be heard to be </w:t>
      </w:r>
      <w:r>
        <w:rPr>
          <w:rFonts w:ascii="Times New Roman" w:hAnsi="Times New Roman" w:cs="Times New Roman"/>
          <w:sz w:val="28"/>
          <w:szCs w:val="28"/>
          <w:lang w:val="en-US"/>
        </w:rPr>
        <w:t>reneging on the terms of the contract that they signed</w:t>
      </w:r>
      <w:r w:rsidR="00AA69DB">
        <w:rPr>
          <w:rFonts w:ascii="Times New Roman" w:hAnsi="Times New Roman" w:cs="Times New Roman"/>
          <w:sz w:val="28"/>
          <w:szCs w:val="28"/>
          <w:lang w:val="en-US"/>
        </w:rPr>
        <w:t xml:space="preserve"> (</w:t>
      </w:r>
      <w:r w:rsidR="00AA69DB" w:rsidRPr="008A7658">
        <w:rPr>
          <w:rFonts w:ascii="Times New Roman" w:hAnsi="Times New Roman" w:cs="Times New Roman"/>
          <w:b/>
          <w:sz w:val="28"/>
          <w:szCs w:val="28"/>
          <w:lang w:val="en-US"/>
        </w:rPr>
        <w:t>George v Fairmead (Pty) Ltd</w:t>
      </w:r>
      <w:r>
        <w:rPr>
          <w:rStyle w:val="FootnoteReference"/>
          <w:rFonts w:ascii="Times New Roman" w:hAnsi="Times New Roman" w:cs="Times New Roman"/>
          <w:sz w:val="28"/>
          <w:szCs w:val="28"/>
          <w:lang w:val="en-US"/>
        </w:rPr>
        <w:footnoteReference w:id="4"/>
      </w:r>
      <w:r>
        <w:rPr>
          <w:rFonts w:ascii="Times New Roman" w:hAnsi="Times New Roman" w:cs="Times New Roman"/>
          <w:sz w:val="28"/>
          <w:szCs w:val="28"/>
          <w:lang w:val="en-US"/>
        </w:rPr>
        <w:t>)</w:t>
      </w:r>
      <w:r w:rsidR="006218D4">
        <w:rPr>
          <w:rFonts w:ascii="Times New Roman" w:hAnsi="Times New Roman" w:cs="Times New Roman"/>
          <w:sz w:val="28"/>
          <w:szCs w:val="28"/>
          <w:lang w:val="en-US"/>
        </w:rPr>
        <w:t>.</w:t>
      </w:r>
      <w:r w:rsidR="004C7501">
        <w:rPr>
          <w:rFonts w:ascii="Times New Roman" w:hAnsi="Times New Roman" w:cs="Times New Roman"/>
          <w:sz w:val="28"/>
          <w:szCs w:val="28"/>
          <w:lang w:val="en-US"/>
        </w:rPr>
        <w:t xml:space="preserve"> Apart from that, the standard form contract has undoubtedly been authored by </w:t>
      </w:r>
      <w:r w:rsidR="008918D0">
        <w:rPr>
          <w:rFonts w:ascii="Times New Roman" w:hAnsi="Times New Roman" w:cs="Times New Roman"/>
          <w:sz w:val="28"/>
          <w:szCs w:val="28"/>
          <w:lang w:val="en-US"/>
        </w:rPr>
        <w:t>the respondents and they very well knew the terms therein and what they were signing for.</w:t>
      </w:r>
      <w:r w:rsidR="004C7501">
        <w:rPr>
          <w:rFonts w:ascii="Times New Roman" w:hAnsi="Times New Roman" w:cs="Times New Roman"/>
          <w:sz w:val="28"/>
          <w:szCs w:val="28"/>
          <w:lang w:val="en-US"/>
        </w:rPr>
        <w:t xml:space="preserve"> </w:t>
      </w:r>
    </w:p>
    <w:p w14:paraId="5C0D1656" w14:textId="77777777" w:rsidR="009E0BDA" w:rsidRDefault="009E0BDA" w:rsidP="009E0BDA">
      <w:pPr>
        <w:pStyle w:val="ListParagraph"/>
        <w:spacing w:line="360" w:lineRule="auto"/>
        <w:jc w:val="both"/>
        <w:rPr>
          <w:rFonts w:ascii="Times New Roman" w:hAnsi="Times New Roman" w:cs="Times New Roman"/>
          <w:sz w:val="28"/>
          <w:szCs w:val="28"/>
          <w:lang w:val="en-US"/>
        </w:rPr>
      </w:pPr>
    </w:p>
    <w:p w14:paraId="7D1EC904" w14:textId="77777777" w:rsidR="00FF50FE" w:rsidRPr="00FF50FE" w:rsidRDefault="009142F6" w:rsidP="00E13DD9">
      <w:pPr>
        <w:pStyle w:val="ListParagraph"/>
        <w:numPr>
          <w:ilvl w:val="0"/>
          <w:numId w:val="3"/>
        </w:numPr>
        <w:spacing w:line="360" w:lineRule="auto"/>
        <w:jc w:val="both"/>
        <w:rPr>
          <w:rFonts w:ascii="Times New Roman" w:hAnsi="Times New Roman" w:cs="Times New Roman"/>
          <w:sz w:val="28"/>
          <w:szCs w:val="28"/>
          <w:lang w:val="en-US"/>
        </w:rPr>
      </w:pPr>
      <w:r w:rsidRPr="00FF50FE">
        <w:rPr>
          <w:rFonts w:ascii="Times New Roman" w:hAnsi="Times New Roman" w:cs="Times New Roman"/>
          <w:sz w:val="28"/>
          <w:szCs w:val="28"/>
          <w:lang w:val="en-US"/>
        </w:rPr>
        <w:t xml:space="preserve"> </w:t>
      </w:r>
      <w:r w:rsidR="004C7501" w:rsidRPr="00FF50FE">
        <w:rPr>
          <w:rFonts w:ascii="Times New Roman" w:hAnsi="Times New Roman" w:cs="Times New Roman"/>
          <w:sz w:val="28"/>
          <w:szCs w:val="28"/>
          <w:lang w:val="en-US"/>
        </w:rPr>
        <w:t>The Service Contract</w:t>
      </w:r>
      <w:r w:rsidR="00C66EF2" w:rsidRPr="00FF50FE">
        <w:rPr>
          <w:rFonts w:ascii="Times New Roman" w:hAnsi="Times New Roman" w:cs="Times New Roman"/>
          <w:sz w:val="28"/>
          <w:szCs w:val="28"/>
          <w:lang w:val="en-US"/>
        </w:rPr>
        <w:t xml:space="preserve"> cl</w:t>
      </w:r>
      <w:r w:rsidRPr="00FF50FE">
        <w:rPr>
          <w:rFonts w:ascii="Times New Roman" w:hAnsi="Times New Roman" w:cs="Times New Roman"/>
          <w:sz w:val="28"/>
          <w:szCs w:val="28"/>
          <w:lang w:val="en-US"/>
        </w:rPr>
        <w:t xml:space="preserve">early stipulates </w:t>
      </w:r>
      <w:r w:rsidR="00C66EF2" w:rsidRPr="00FF50FE">
        <w:rPr>
          <w:rFonts w:ascii="Times New Roman" w:hAnsi="Times New Roman" w:cs="Times New Roman"/>
          <w:sz w:val="28"/>
          <w:szCs w:val="28"/>
          <w:lang w:val="en-US"/>
        </w:rPr>
        <w:t>under the introduction that</w:t>
      </w:r>
      <w:r w:rsidR="00E03409" w:rsidRPr="00FF50FE">
        <w:rPr>
          <w:rFonts w:ascii="Times New Roman" w:hAnsi="Times New Roman" w:cs="Times New Roman"/>
          <w:sz w:val="28"/>
          <w:szCs w:val="28"/>
          <w:lang w:val="en-US"/>
        </w:rPr>
        <w:t xml:space="preserve"> it </w:t>
      </w:r>
      <w:r w:rsidRPr="00FF50FE">
        <w:rPr>
          <w:rFonts w:ascii="Times New Roman" w:hAnsi="Times New Roman" w:cs="Times New Roman"/>
          <w:sz w:val="28"/>
          <w:szCs w:val="28"/>
          <w:lang w:val="en-US"/>
        </w:rPr>
        <w:t>was</w:t>
      </w:r>
      <w:r w:rsidR="00E03409" w:rsidRPr="00FF50FE">
        <w:rPr>
          <w:rFonts w:ascii="Times New Roman" w:hAnsi="Times New Roman" w:cs="Times New Roman"/>
          <w:sz w:val="28"/>
          <w:szCs w:val="28"/>
          <w:lang w:val="en-US"/>
        </w:rPr>
        <w:t xml:space="preserve"> entered into between </w:t>
      </w:r>
      <w:r w:rsidR="00C66EF2" w:rsidRPr="00FF50FE">
        <w:rPr>
          <w:rFonts w:ascii="Times New Roman" w:hAnsi="Times New Roman" w:cs="Times New Roman"/>
          <w:sz w:val="28"/>
          <w:szCs w:val="28"/>
          <w:lang w:val="en-US"/>
        </w:rPr>
        <w:t>th</w:t>
      </w:r>
      <w:r w:rsidR="00E03409" w:rsidRPr="00FF50FE">
        <w:rPr>
          <w:rFonts w:ascii="Times New Roman" w:hAnsi="Times New Roman" w:cs="Times New Roman"/>
          <w:sz w:val="28"/>
          <w:szCs w:val="28"/>
          <w:lang w:val="en-US"/>
        </w:rPr>
        <w:t xml:space="preserve">e </w:t>
      </w:r>
      <w:r w:rsidR="00C66EF2" w:rsidRPr="00FF50FE">
        <w:rPr>
          <w:rFonts w:ascii="Times New Roman" w:hAnsi="Times New Roman" w:cs="Times New Roman"/>
          <w:sz w:val="28"/>
          <w:szCs w:val="28"/>
          <w:lang w:val="en-US"/>
        </w:rPr>
        <w:t>parties</w:t>
      </w:r>
      <w:r w:rsidRPr="00FF50FE">
        <w:rPr>
          <w:rFonts w:ascii="Times New Roman" w:hAnsi="Times New Roman" w:cs="Times New Roman"/>
          <w:sz w:val="28"/>
          <w:szCs w:val="28"/>
          <w:lang w:val="en-US"/>
        </w:rPr>
        <w:t xml:space="preserve"> with the</w:t>
      </w:r>
      <w:r w:rsidR="00E03409" w:rsidRPr="00FF50FE">
        <w:rPr>
          <w:rFonts w:ascii="Times New Roman" w:hAnsi="Times New Roman" w:cs="Times New Roman"/>
          <w:sz w:val="28"/>
          <w:szCs w:val="28"/>
          <w:lang w:val="en-US"/>
        </w:rPr>
        <w:t xml:space="preserve"> intention to achieve a common understanding</w:t>
      </w:r>
      <w:r w:rsidRPr="00FF50FE">
        <w:rPr>
          <w:rFonts w:ascii="Times New Roman" w:hAnsi="Times New Roman" w:cs="Times New Roman"/>
          <w:sz w:val="28"/>
          <w:szCs w:val="28"/>
          <w:lang w:val="en-US"/>
        </w:rPr>
        <w:t xml:space="preserve"> </w:t>
      </w:r>
      <w:r w:rsidR="00E03409" w:rsidRPr="00FF50FE">
        <w:rPr>
          <w:rFonts w:ascii="Times New Roman" w:hAnsi="Times New Roman" w:cs="Times New Roman"/>
          <w:sz w:val="28"/>
          <w:szCs w:val="28"/>
          <w:lang w:val="en-US"/>
        </w:rPr>
        <w:t>concerning the assignment of the responsibilities of a Principal to the applicant.</w:t>
      </w:r>
      <w:r w:rsidR="004C7501" w:rsidRPr="00FF50FE">
        <w:rPr>
          <w:rFonts w:ascii="Times New Roman" w:hAnsi="Times New Roman" w:cs="Times New Roman"/>
          <w:sz w:val="28"/>
          <w:szCs w:val="28"/>
          <w:lang w:val="en-US"/>
        </w:rPr>
        <w:t xml:space="preserve"> </w:t>
      </w:r>
      <w:r w:rsidRPr="00FF50FE">
        <w:rPr>
          <w:rFonts w:ascii="Times New Roman" w:hAnsi="Times New Roman" w:cs="Times New Roman"/>
          <w:sz w:val="28"/>
          <w:szCs w:val="28"/>
          <w:lang w:val="en-US"/>
        </w:rPr>
        <w:t>Now that there is dissensus between the applicant and the respondents on their true intention regarding payme</w:t>
      </w:r>
      <w:r w:rsidR="00E72123">
        <w:rPr>
          <w:rFonts w:ascii="Times New Roman" w:hAnsi="Times New Roman" w:cs="Times New Roman"/>
          <w:sz w:val="28"/>
          <w:szCs w:val="28"/>
          <w:lang w:val="en-US"/>
        </w:rPr>
        <w:t xml:space="preserve">nt of gratuity to the applicant, the doctrine of </w:t>
      </w:r>
      <w:r w:rsidRPr="00FF50FE">
        <w:rPr>
          <w:rFonts w:ascii="Times New Roman" w:hAnsi="Times New Roman" w:cs="Times New Roman"/>
          <w:sz w:val="28"/>
          <w:szCs w:val="28"/>
          <w:lang w:val="en-US"/>
        </w:rPr>
        <w:t xml:space="preserve">quasi-mutual assent </w:t>
      </w:r>
      <w:r w:rsidR="00E72123">
        <w:rPr>
          <w:rFonts w:ascii="Times New Roman" w:hAnsi="Times New Roman" w:cs="Times New Roman"/>
          <w:sz w:val="28"/>
          <w:szCs w:val="28"/>
          <w:lang w:val="en-US"/>
        </w:rPr>
        <w:t>becomes relevant. T</w:t>
      </w:r>
      <w:r w:rsidRPr="00FF50FE">
        <w:rPr>
          <w:rFonts w:ascii="Times New Roman" w:hAnsi="Times New Roman" w:cs="Times New Roman"/>
          <w:sz w:val="28"/>
          <w:szCs w:val="28"/>
          <w:lang w:val="en-US"/>
        </w:rPr>
        <w:t>he court has to resort to the signed Service Contract</w:t>
      </w:r>
      <w:r w:rsidR="00E72123">
        <w:rPr>
          <w:rFonts w:ascii="Times New Roman" w:hAnsi="Times New Roman" w:cs="Times New Roman"/>
          <w:sz w:val="28"/>
          <w:szCs w:val="28"/>
          <w:lang w:val="en-US"/>
        </w:rPr>
        <w:t xml:space="preserve"> and other surrounding circumstances to decipher what the true intention of the parties was</w:t>
      </w:r>
      <w:r w:rsidR="00E13DD9">
        <w:rPr>
          <w:rFonts w:ascii="Times New Roman" w:hAnsi="Times New Roman" w:cs="Times New Roman"/>
          <w:sz w:val="28"/>
          <w:szCs w:val="28"/>
          <w:lang w:val="en-US"/>
        </w:rPr>
        <w:t xml:space="preserve"> (</w:t>
      </w:r>
      <w:r w:rsidR="00E13DD9" w:rsidRPr="00E13DD9">
        <w:rPr>
          <w:rFonts w:ascii="Times New Roman" w:hAnsi="Times New Roman" w:cs="Times New Roman"/>
          <w:b/>
          <w:sz w:val="28"/>
          <w:szCs w:val="28"/>
          <w:lang w:val="en-US"/>
        </w:rPr>
        <w:t>Maphaong V Minister of Education</w:t>
      </w:r>
      <w:r>
        <w:rPr>
          <w:rStyle w:val="FootnoteReference"/>
          <w:rFonts w:ascii="Times New Roman" w:hAnsi="Times New Roman" w:cs="Times New Roman"/>
          <w:sz w:val="28"/>
          <w:szCs w:val="28"/>
          <w:lang w:val="en-US"/>
        </w:rPr>
        <w:footnoteReference w:id="5"/>
      </w:r>
      <w:r w:rsidR="00E13DD9" w:rsidRPr="00E13DD9">
        <w:rPr>
          <w:rFonts w:ascii="Times New Roman" w:hAnsi="Times New Roman" w:cs="Times New Roman"/>
          <w:sz w:val="28"/>
          <w:szCs w:val="28"/>
          <w:lang w:val="en-US"/>
        </w:rPr>
        <w:t>)</w:t>
      </w:r>
      <w:r w:rsidRPr="00FF50FE">
        <w:rPr>
          <w:rFonts w:ascii="Times New Roman" w:hAnsi="Times New Roman" w:cs="Times New Roman"/>
          <w:sz w:val="28"/>
          <w:szCs w:val="28"/>
          <w:lang w:val="en-US"/>
        </w:rPr>
        <w:t>. This is basically because the court cannot read the subjective minds and true intentions of the parties when they entered into the Service Contract. The signed contract, therefore, comes to the aid of the court as it constitutes the apparent agreement between the parties that contains their expressed true will (</w:t>
      </w:r>
      <w:r w:rsidRPr="009C70DB">
        <w:rPr>
          <w:rFonts w:ascii="Times New Roman" w:hAnsi="Times New Roman" w:cs="Times New Roman"/>
          <w:b/>
          <w:sz w:val="28"/>
          <w:szCs w:val="28"/>
          <w:lang w:val="en-US"/>
        </w:rPr>
        <w:t>Absa Bank Ltd v McCreath</w:t>
      </w:r>
      <w:r>
        <w:rPr>
          <w:rStyle w:val="FootnoteReference"/>
          <w:rFonts w:ascii="Times New Roman" w:hAnsi="Times New Roman" w:cs="Times New Roman"/>
          <w:sz w:val="28"/>
          <w:szCs w:val="28"/>
          <w:lang w:val="en-US"/>
        </w:rPr>
        <w:footnoteReference w:id="6"/>
      </w:r>
      <w:r w:rsidRPr="00FF50FE">
        <w:rPr>
          <w:rFonts w:ascii="Times New Roman" w:hAnsi="Times New Roman" w:cs="Times New Roman"/>
          <w:sz w:val="28"/>
          <w:szCs w:val="28"/>
          <w:lang w:val="en-US"/>
        </w:rPr>
        <w:t>).</w:t>
      </w:r>
    </w:p>
    <w:p w14:paraId="21128E40" w14:textId="77777777" w:rsidR="00FF50FE" w:rsidRPr="00FF50FE" w:rsidRDefault="00FF50FE" w:rsidP="00FF50FE">
      <w:pPr>
        <w:pStyle w:val="ListParagraph"/>
        <w:spacing w:line="360" w:lineRule="auto"/>
        <w:jc w:val="both"/>
        <w:rPr>
          <w:rFonts w:ascii="Times New Roman" w:hAnsi="Times New Roman" w:cs="Times New Roman"/>
          <w:sz w:val="28"/>
          <w:szCs w:val="28"/>
          <w:lang w:val="en-GB"/>
        </w:rPr>
      </w:pPr>
    </w:p>
    <w:p w14:paraId="5FE7E106" w14:textId="77777777" w:rsidR="00FF50FE" w:rsidRPr="003A0B2C" w:rsidRDefault="009142F6" w:rsidP="00FF50FE">
      <w:pPr>
        <w:pStyle w:val="ListParagraph"/>
        <w:numPr>
          <w:ilvl w:val="0"/>
          <w:numId w:val="3"/>
        </w:numPr>
        <w:spacing w:line="360" w:lineRule="auto"/>
        <w:jc w:val="both"/>
        <w:rPr>
          <w:rFonts w:ascii="Times New Roman" w:hAnsi="Times New Roman" w:cs="Times New Roman"/>
          <w:sz w:val="28"/>
          <w:szCs w:val="28"/>
          <w:lang w:val="en-US"/>
        </w:rPr>
      </w:pPr>
      <w:r w:rsidRPr="003A0B2C">
        <w:rPr>
          <w:rFonts w:ascii="Times New Roman" w:hAnsi="Times New Roman" w:cs="Times New Roman"/>
          <w:sz w:val="28"/>
          <w:szCs w:val="28"/>
          <w:lang w:val="en-US"/>
        </w:rPr>
        <w:t xml:space="preserve">The critical question </w:t>
      </w:r>
      <w:r>
        <w:rPr>
          <w:rFonts w:ascii="Times New Roman" w:hAnsi="Times New Roman" w:cs="Times New Roman"/>
          <w:sz w:val="28"/>
          <w:szCs w:val="28"/>
          <w:lang w:val="en-US"/>
        </w:rPr>
        <w:t xml:space="preserve">then </w:t>
      </w:r>
      <w:r w:rsidRPr="003A0B2C">
        <w:rPr>
          <w:rFonts w:ascii="Times New Roman" w:hAnsi="Times New Roman" w:cs="Times New Roman"/>
          <w:sz w:val="28"/>
          <w:szCs w:val="28"/>
          <w:lang w:val="en-US"/>
        </w:rPr>
        <w:t xml:space="preserve">is whether the respondents’ led the applicant to reasonably believe that </w:t>
      </w:r>
      <w:r>
        <w:rPr>
          <w:rFonts w:ascii="Times New Roman" w:hAnsi="Times New Roman" w:cs="Times New Roman"/>
          <w:sz w:val="28"/>
          <w:szCs w:val="28"/>
          <w:lang w:val="en-US"/>
        </w:rPr>
        <w:t>the</w:t>
      </w:r>
      <w:r w:rsidRPr="003A0B2C">
        <w:rPr>
          <w:rFonts w:ascii="Times New Roman" w:hAnsi="Times New Roman" w:cs="Times New Roman"/>
          <w:sz w:val="28"/>
          <w:szCs w:val="28"/>
          <w:lang w:val="en-US"/>
        </w:rPr>
        <w:t xml:space="preserve"> Service Contract represent</w:t>
      </w:r>
      <w:r>
        <w:rPr>
          <w:rFonts w:ascii="Times New Roman" w:hAnsi="Times New Roman" w:cs="Times New Roman"/>
          <w:sz w:val="28"/>
          <w:szCs w:val="28"/>
          <w:lang w:val="en-US"/>
        </w:rPr>
        <w:t>ed</w:t>
      </w:r>
      <w:r w:rsidRPr="003A0B2C">
        <w:rPr>
          <w:rFonts w:ascii="Times New Roman" w:hAnsi="Times New Roman" w:cs="Times New Roman"/>
          <w:sz w:val="28"/>
          <w:szCs w:val="28"/>
          <w:lang w:val="en-US"/>
        </w:rPr>
        <w:t xml:space="preserve"> the actual intention of the respondents regarding payment of gratuity. </w:t>
      </w:r>
      <w:r>
        <w:rPr>
          <w:rFonts w:ascii="Times New Roman" w:hAnsi="Times New Roman" w:cs="Times New Roman"/>
          <w:sz w:val="28"/>
          <w:szCs w:val="28"/>
          <w:lang w:val="en-US"/>
        </w:rPr>
        <w:t>W</w:t>
      </w:r>
      <w:r w:rsidRPr="003A0B2C">
        <w:rPr>
          <w:rFonts w:ascii="Times New Roman" w:hAnsi="Times New Roman" w:cs="Times New Roman"/>
          <w:sz w:val="28"/>
          <w:szCs w:val="28"/>
          <w:lang w:val="en-US"/>
        </w:rPr>
        <w:t xml:space="preserve">hen the </w:t>
      </w:r>
      <w:r w:rsidRPr="003A0B2C">
        <w:rPr>
          <w:rFonts w:ascii="Times New Roman" w:hAnsi="Times New Roman" w:cs="Times New Roman"/>
          <w:sz w:val="28"/>
          <w:szCs w:val="28"/>
          <w:lang w:val="en-US"/>
        </w:rPr>
        <w:lastRenderedPageBreak/>
        <w:t xml:space="preserve">respondents gave the applicant the standard Service Contract form </w:t>
      </w:r>
      <w:r>
        <w:rPr>
          <w:rFonts w:ascii="Times New Roman" w:hAnsi="Times New Roman" w:cs="Times New Roman"/>
          <w:sz w:val="28"/>
          <w:szCs w:val="28"/>
          <w:lang w:val="en-US"/>
        </w:rPr>
        <w:t xml:space="preserve">with clauses 7 and 8 </w:t>
      </w:r>
      <w:r w:rsidR="00E72123">
        <w:rPr>
          <w:rFonts w:ascii="Times New Roman" w:hAnsi="Times New Roman" w:cs="Times New Roman"/>
          <w:sz w:val="28"/>
          <w:szCs w:val="28"/>
          <w:lang w:val="en-US"/>
        </w:rPr>
        <w:t xml:space="preserve">which were </w:t>
      </w:r>
      <w:r>
        <w:rPr>
          <w:rFonts w:ascii="Times New Roman" w:hAnsi="Times New Roman" w:cs="Times New Roman"/>
          <w:sz w:val="28"/>
          <w:szCs w:val="28"/>
          <w:lang w:val="en-US"/>
        </w:rPr>
        <w:t>to the effect that she would be paid</w:t>
      </w:r>
      <w:r w:rsidRPr="003A0B2C">
        <w:rPr>
          <w:rFonts w:ascii="Times New Roman" w:hAnsi="Times New Roman" w:cs="Times New Roman"/>
          <w:sz w:val="28"/>
          <w:szCs w:val="28"/>
          <w:lang w:val="en-US"/>
        </w:rPr>
        <w:t xml:space="preserve"> gratuity; </w:t>
      </w:r>
      <w:r w:rsidR="00E72123">
        <w:rPr>
          <w:rFonts w:ascii="Times New Roman" w:hAnsi="Times New Roman" w:cs="Times New Roman"/>
          <w:sz w:val="28"/>
          <w:szCs w:val="28"/>
          <w:lang w:val="en-US"/>
        </w:rPr>
        <w:t>and</w:t>
      </w:r>
      <w:r w:rsidRPr="003A0B2C">
        <w:rPr>
          <w:rFonts w:ascii="Times New Roman" w:hAnsi="Times New Roman" w:cs="Times New Roman"/>
          <w:sz w:val="28"/>
          <w:szCs w:val="28"/>
          <w:lang w:val="en-US"/>
        </w:rPr>
        <w:t xml:space="preserve"> </w:t>
      </w:r>
      <w:r>
        <w:rPr>
          <w:rFonts w:ascii="Times New Roman" w:hAnsi="Times New Roman" w:cs="Times New Roman"/>
          <w:sz w:val="28"/>
          <w:szCs w:val="28"/>
          <w:lang w:val="en-US"/>
        </w:rPr>
        <w:t>the applicant</w:t>
      </w:r>
      <w:r w:rsidRPr="003A0B2C">
        <w:rPr>
          <w:rFonts w:ascii="Times New Roman" w:hAnsi="Times New Roman" w:cs="Times New Roman"/>
          <w:sz w:val="28"/>
          <w:szCs w:val="28"/>
          <w:lang w:val="en-US"/>
        </w:rPr>
        <w:t xml:space="preserve"> duly signed </w:t>
      </w:r>
      <w:r w:rsidR="00E72123">
        <w:rPr>
          <w:rFonts w:ascii="Times New Roman" w:hAnsi="Times New Roman" w:cs="Times New Roman"/>
          <w:sz w:val="28"/>
          <w:szCs w:val="28"/>
          <w:lang w:val="en-US"/>
        </w:rPr>
        <w:t xml:space="preserve">it </w:t>
      </w:r>
      <w:r w:rsidRPr="003A0B2C">
        <w:rPr>
          <w:rFonts w:ascii="Times New Roman" w:hAnsi="Times New Roman" w:cs="Times New Roman"/>
          <w:sz w:val="28"/>
          <w:szCs w:val="28"/>
          <w:lang w:val="en-US"/>
        </w:rPr>
        <w:t xml:space="preserve">on 18th November 2011; and the respondents </w:t>
      </w:r>
      <w:r>
        <w:rPr>
          <w:rFonts w:ascii="Times New Roman" w:hAnsi="Times New Roman" w:cs="Times New Roman"/>
          <w:sz w:val="28"/>
          <w:szCs w:val="28"/>
          <w:lang w:val="en-US"/>
        </w:rPr>
        <w:t xml:space="preserve">also </w:t>
      </w:r>
      <w:r w:rsidRPr="003A0B2C">
        <w:rPr>
          <w:rFonts w:ascii="Times New Roman" w:hAnsi="Times New Roman" w:cs="Times New Roman"/>
          <w:sz w:val="28"/>
          <w:szCs w:val="28"/>
          <w:lang w:val="en-US"/>
        </w:rPr>
        <w:t>had the contract signed and witnessed on their beh</w:t>
      </w:r>
      <w:r>
        <w:rPr>
          <w:rFonts w:ascii="Times New Roman" w:hAnsi="Times New Roman" w:cs="Times New Roman"/>
          <w:sz w:val="28"/>
          <w:szCs w:val="28"/>
          <w:lang w:val="en-US"/>
        </w:rPr>
        <w:t>alf;</w:t>
      </w:r>
      <w:r w:rsidRPr="003A0B2C">
        <w:rPr>
          <w:rFonts w:ascii="Times New Roman" w:hAnsi="Times New Roman" w:cs="Times New Roman"/>
          <w:sz w:val="28"/>
          <w:szCs w:val="28"/>
          <w:lang w:val="en-US"/>
        </w:rPr>
        <w:t xml:space="preserve"> the respondents did mislead the applicant to believe that </w:t>
      </w:r>
      <w:r>
        <w:rPr>
          <w:rFonts w:ascii="Times New Roman" w:hAnsi="Times New Roman" w:cs="Times New Roman"/>
          <w:sz w:val="28"/>
          <w:szCs w:val="28"/>
          <w:lang w:val="en-US"/>
        </w:rPr>
        <w:t>the actual intention of the respondents was</w:t>
      </w:r>
      <w:r w:rsidRPr="003A0B2C">
        <w:rPr>
          <w:rFonts w:ascii="Times New Roman" w:hAnsi="Times New Roman" w:cs="Times New Roman"/>
          <w:sz w:val="28"/>
          <w:szCs w:val="28"/>
          <w:lang w:val="en-US"/>
        </w:rPr>
        <w:t xml:space="preserve"> to</w:t>
      </w:r>
      <w:r>
        <w:rPr>
          <w:rFonts w:ascii="Times New Roman" w:hAnsi="Times New Roman" w:cs="Times New Roman"/>
          <w:sz w:val="28"/>
          <w:szCs w:val="28"/>
          <w:lang w:val="en-US"/>
        </w:rPr>
        <w:t xml:space="preserve"> pay her</w:t>
      </w:r>
      <w:r w:rsidRPr="003A0B2C">
        <w:rPr>
          <w:rFonts w:ascii="Times New Roman" w:hAnsi="Times New Roman" w:cs="Times New Roman"/>
          <w:sz w:val="28"/>
          <w:szCs w:val="28"/>
          <w:lang w:val="en-US"/>
        </w:rPr>
        <w:t xml:space="preserve"> gratuity as per the express terms of the contract. In the absence of any indication </w:t>
      </w:r>
      <w:r>
        <w:rPr>
          <w:rFonts w:ascii="Times New Roman" w:hAnsi="Times New Roman" w:cs="Times New Roman"/>
          <w:sz w:val="28"/>
          <w:szCs w:val="28"/>
          <w:lang w:val="en-US"/>
        </w:rPr>
        <w:t xml:space="preserve">by the respondents prior to the signing of the contract </w:t>
      </w:r>
      <w:r w:rsidRPr="003A0B2C">
        <w:rPr>
          <w:rFonts w:ascii="Times New Roman" w:hAnsi="Times New Roman" w:cs="Times New Roman"/>
          <w:sz w:val="28"/>
          <w:szCs w:val="28"/>
          <w:lang w:val="en-US"/>
        </w:rPr>
        <w:t>that some clauses of the Service Contract would not apply to her, the applicant was reasonably misled into believing that the true intention of the respondents was that she would be entitled to payment of the gratuity (</w:t>
      </w:r>
      <w:r w:rsidRPr="009C70DB">
        <w:rPr>
          <w:rFonts w:ascii="Times New Roman" w:hAnsi="Times New Roman" w:cs="Times New Roman"/>
          <w:b/>
          <w:sz w:val="28"/>
          <w:szCs w:val="28"/>
          <w:lang w:val="en-US"/>
        </w:rPr>
        <w:t>Pillay V Shaik</w:t>
      </w:r>
      <w:r>
        <w:rPr>
          <w:rStyle w:val="FootnoteReference"/>
          <w:rFonts w:ascii="Times New Roman" w:hAnsi="Times New Roman" w:cs="Times New Roman"/>
          <w:sz w:val="28"/>
          <w:szCs w:val="28"/>
          <w:lang w:val="en-US"/>
        </w:rPr>
        <w:footnoteReference w:id="7"/>
      </w:r>
      <w:r w:rsidRPr="003A0B2C">
        <w:rPr>
          <w:rFonts w:ascii="Times New Roman" w:hAnsi="Times New Roman" w:cs="Times New Roman"/>
          <w:sz w:val="28"/>
          <w:szCs w:val="28"/>
          <w:lang w:val="en-US"/>
        </w:rPr>
        <w:t>)</w:t>
      </w:r>
      <w:r>
        <w:rPr>
          <w:rFonts w:ascii="Times New Roman" w:hAnsi="Times New Roman" w:cs="Times New Roman"/>
          <w:sz w:val="28"/>
          <w:szCs w:val="28"/>
          <w:lang w:val="en-US"/>
        </w:rPr>
        <w:t>.</w:t>
      </w:r>
      <w:r w:rsidR="00E72123">
        <w:rPr>
          <w:rFonts w:ascii="Times New Roman" w:hAnsi="Times New Roman" w:cs="Times New Roman"/>
          <w:sz w:val="28"/>
          <w:szCs w:val="28"/>
          <w:lang w:val="en-US"/>
        </w:rPr>
        <w:t xml:space="preserve"> There is nothing in the circumstance of this case to suggest that the applicant could not reasonably labour under the apprehension that she would be paid gratuity at the end of the Service Contract under clauses 7 and 8. </w:t>
      </w:r>
      <w:r w:rsidRPr="003A0B2C">
        <w:rPr>
          <w:rFonts w:ascii="Times New Roman" w:hAnsi="Times New Roman" w:cs="Times New Roman"/>
          <w:sz w:val="28"/>
          <w:szCs w:val="28"/>
          <w:lang w:val="en-US"/>
        </w:rPr>
        <w:t xml:space="preserve">  </w:t>
      </w:r>
    </w:p>
    <w:p w14:paraId="5DB090B9" w14:textId="77777777" w:rsidR="00FF50FE" w:rsidRPr="00FF50FE" w:rsidRDefault="00FF50FE" w:rsidP="00FF50FE">
      <w:pPr>
        <w:pStyle w:val="ListParagraph"/>
        <w:spacing w:line="360" w:lineRule="auto"/>
        <w:jc w:val="both"/>
        <w:rPr>
          <w:rFonts w:ascii="Times New Roman" w:hAnsi="Times New Roman" w:cs="Times New Roman"/>
          <w:sz w:val="28"/>
          <w:szCs w:val="28"/>
          <w:lang w:val="en-GB"/>
        </w:rPr>
      </w:pPr>
    </w:p>
    <w:p w14:paraId="59ACF879" w14:textId="77777777" w:rsidR="000C6793" w:rsidRPr="009C70DB" w:rsidRDefault="009142F6" w:rsidP="0043759E">
      <w:pPr>
        <w:pStyle w:val="ListParagraph"/>
        <w:numPr>
          <w:ilvl w:val="0"/>
          <w:numId w:val="3"/>
        </w:numPr>
        <w:spacing w:line="360" w:lineRule="auto"/>
        <w:jc w:val="both"/>
        <w:rPr>
          <w:rFonts w:ascii="Times New Roman" w:hAnsi="Times New Roman" w:cs="Times New Roman"/>
          <w:sz w:val="28"/>
          <w:szCs w:val="28"/>
          <w:lang w:val="en-GB"/>
        </w:rPr>
      </w:pPr>
      <w:r w:rsidRPr="000C6793">
        <w:rPr>
          <w:rFonts w:ascii="Times New Roman" w:hAnsi="Times New Roman" w:cs="Times New Roman"/>
          <w:sz w:val="28"/>
          <w:szCs w:val="28"/>
          <w:lang w:val="en-US"/>
        </w:rPr>
        <w:t>Th</w:t>
      </w:r>
      <w:r w:rsidR="008918D0" w:rsidRPr="000C6793">
        <w:rPr>
          <w:rFonts w:ascii="Times New Roman" w:hAnsi="Times New Roman" w:cs="Times New Roman"/>
          <w:sz w:val="28"/>
          <w:szCs w:val="28"/>
          <w:lang w:val="en-US"/>
        </w:rPr>
        <w:t xml:space="preserve">is is an appropriate case where the doctrine of quasi-mutual assent should apply in favour of the applicant. The applicant was reasonably led to assume that the respondents, by </w:t>
      </w:r>
      <w:r w:rsidR="00F8778A" w:rsidRPr="000C6793">
        <w:rPr>
          <w:rFonts w:ascii="Times New Roman" w:hAnsi="Times New Roman" w:cs="Times New Roman"/>
          <w:sz w:val="28"/>
          <w:szCs w:val="28"/>
          <w:lang w:val="en-US"/>
        </w:rPr>
        <w:t xml:space="preserve">authoring the contract, </w:t>
      </w:r>
      <w:r w:rsidR="008918D0" w:rsidRPr="000C6793">
        <w:rPr>
          <w:rFonts w:ascii="Times New Roman" w:hAnsi="Times New Roman" w:cs="Times New Roman"/>
          <w:sz w:val="28"/>
          <w:szCs w:val="28"/>
          <w:lang w:val="en-US"/>
        </w:rPr>
        <w:t xml:space="preserve">signing </w:t>
      </w:r>
      <w:r w:rsidR="00F8778A" w:rsidRPr="000C6793">
        <w:rPr>
          <w:rFonts w:ascii="Times New Roman" w:hAnsi="Times New Roman" w:cs="Times New Roman"/>
          <w:sz w:val="28"/>
          <w:szCs w:val="28"/>
          <w:lang w:val="en-US"/>
        </w:rPr>
        <w:t xml:space="preserve">it and having it </w:t>
      </w:r>
      <w:r w:rsidR="00DC05CF" w:rsidRPr="000C6793">
        <w:rPr>
          <w:rFonts w:ascii="Times New Roman" w:hAnsi="Times New Roman" w:cs="Times New Roman"/>
          <w:sz w:val="28"/>
          <w:szCs w:val="28"/>
          <w:lang w:val="en-US"/>
        </w:rPr>
        <w:t xml:space="preserve">witnessed by </w:t>
      </w:r>
      <w:r w:rsidR="008918D0" w:rsidRPr="000C6793">
        <w:rPr>
          <w:rFonts w:ascii="Times New Roman" w:hAnsi="Times New Roman" w:cs="Times New Roman"/>
          <w:sz w:val="28"/>
          <w:szCs w:val="28"/>
          <w:lang w:val="en-US"/>
        </w:rPr>
        <w:t>the Education Secretary and the Chief Education Officer – Teaching Service, had</w:t>
      </w:r>
      <w:r w:rsidRPr="000C6793">
        <w:rPr>
          <w:rFonts w:ascii="Times New Roman" w:hAnsi="Times New Roman" w:cs="Times New Roman"/>
          <w:sz w:val="28"/>
          <w:szCs w:val="28"/>
          <w:lang w:val="en-US"/>
        </w:rPr>
        <w:t xml:space="preserve"> actually</w:t>
      </w:r>
      <w:r w:rsidR="008918D0" w:rsidRPr="000C6793">
        <w:rPr>
          <w:rFonts w:ascii="Times New Roman" w:hAnsi="Times New Roman" w:cs="Times New Roman"/>
          <w:sz w:val="28"/>
          <w:szCs w:val="28"/>
          <w:lang w:val="en-US"/>
        </w:rPr>
        <w:t xml:space="preserve"> signified their </w:t>
      </w:r>
      <w:r w:rsidR="00F8778A" w:rsidRPr="000C6793">
        <w:rPr>
          <w:rFonts w:ascii="Times New Roman" w:hAnsi="Times New Roman" w:cs="Times New Roman"/>
          <w:sz w:val="28"/>
          <w:szCs w:val="28"/>
          <w:lang w:val="en-US"/>
        </w:rPr>
        <w:t>intention to be bound by it</w:t>
      </w:r>
      <w:r w:rsidR="0016745E">
        <w:rPr>
          <w:rFonts w:ascii="Times New Roman" w:hAnsi="Times New Roman" w:cs="Times New Roman"/>
          <w:sz w:val="28"/>
          <w:szCs w:val="28"/>
          <w:lang w:val="en-US"/>
        </w:rPr>
        <w:t>s terms</w:t>
      </w:r>
      <w:r w:rsidRPr="000C6793">
        <w:rPr>
          <w:rFonts w:ascii="Times New Roman" w:hAnsi="Times New Roman" w:cs="Times New Roman"/>
          <w:sz w:val="28"/>
          <w:szCs w:val="28"/>
          <w:lang w:val="en-US"/>
        </w:rPr>
        <w:t xml:space="preserve">. </w:t>
      </w:r>
      <w:r w:rsidR="00982F3A">
        <w:rPr>
          <w:rFonts w:ascii="Times New Roman" w:hAnsi="Times New Roman" w:cs="Times New Roman"/>
          <w:sz w:val="28"/>
          <w:szCs w:val="28"/>
          <w:lang w:val="en-US"/>
        </w:rPr>
        <w:t>The</w:t>
      </w:r>
      <w:r w:rsidRPr="000C6793">
        <w:rPr>
          <w:rFonts w:ascii="Times New Roman" w:hAnsi="Times New Roman" w:cs="Times New Roman"/>
          <w:sz w:val="28"/>
          <w:szCs w:val="28"/>
          <w:lang w:val="en-US"/>
        </w:rPr>
        <w:t xml:space="preserve"> </w:t>
      </w:r>
      <w:r w:rsidR="009C70DB" w:rsidRPr="009C70DB">
        <w:rPr>
          <w:rFonts w:ascii="Times New Roman" w:hAnsi="Times New Roman" w:cs="Times New Roman"/>
          <w:i/>
          <w:sz w:val="28"/>
          <w:szCs w:val="28"/>
          <w:lang w:val="en-US"/>
        </w:rPr>
        <w:t>locus classicus</w:t>
      </w:r>
      <w:r w:rsidR="009C70DB">
        <w:rPr>
          <w:rFonts w:ascii="Times New Roman" w:hAnsi="Times New Roman" w:cs="Times New Roman"/>
          <w:sz w:val="28"/>
          <w:szCs w:val="28"/>
          <w:lang w:val="en-US"/>
        </w:rPr>
        <w:t xml:space="preserve"> </w:t>
      </w:r>
      <w:r w:rsidR="00982F3A">
        <w:rPr>
          <w:rFonts w:ascii="Times New Roman" w:hAnsi="Times New Roman" w:cs="Times New Roman"/>
          <w:sz w:val="28"/>
          <w:szCs w:val="28"/>
          <w:lang w:val="en-US"/>
        </w:rPr>
        <w:t xml:space="preserve">of this principle is traced back to the case of </w:t>
      </w:r>
      <w:r w:rsidRPr="00ED73E5">
        <w:rPr>
          <w:rFonts w:ascii="Times New Roman" w:hAnsi="Times New Roman" w:cs="Times New Roman"/>
          <w:b/>
          <w:iCs/>
          <w:sz w:val="28"/>
          <w:szCs w:val="28"/>
          <w:lang w:val="en-GB"/>
        </w:rPr>
        <w:t>Smith v Hughes</w:t>
      </w:r>
      <w:r>
        <w:rPr>
          <w:rStyle w:val="FootnoteReference"/>
          <w:rFonts w:ascii="Times New Roman" w:hAnsi="Times New Roman" w:cs="Times New Roman"/>
          <w:iCs/>
          <w:sz w:val="28"/>
          <w:szCs w:val="28"/>
          <w:lang w:val="en-GB"/>
        </w:rPr>
        <w:footnoteReference w:id="8"/>
      </w:r>
      <w:r w:rsidRPr="009C70DB">
        <w:t xml:space="preserve"> </w:t>
      </w:r>
      <w:r w:rsidR="00AC42C1">
        <w:rPr>
          <w:rFonts w:ascii="Times New Roman" w:hAnsi="Times New Roman" w:cs="Times New Roman"/>
          <w:iCs/>
          <w:sz w:val="28"/>
          <w:szCs w:val="28"/>
          <w:lang w:val="en-GB"/>
        </w:rPr>
        <w:t>where it was stated that</w:t>
      </w:r>
      <w:r w:rsidR="009C70DB">
        <w:rPr>
          <w:rFonts w:ascii="Times New Roman" w:hAnsi="Times New Roman" w:cs="Times New Roman"/>
          <w:iCs/>
          <w:sz w:val="28"/>
          <w:szCs w:val="28"/>
          <w:lang w:val="en-GB"/>
        </w:rPr>
        <w:t>:-</w:t>
      </w:r>
    </w:p>
    <w:p w14:paraId="5BC5300B" w14:textId="77777777" w:rsidR="000C6793" w:rsidRPr="000C6793" w:rsidRDefault="009142F6" w:rsidP="000C6793">
      <w:pPr>
        <w:pStyle w:val="ListParagraph"/>
        <w:spacing w:line="240" w:lineRule="auto"/>
        <w:ind w:left="1440"/>
        <w:jc w:val="both"/>
        <w:rPr>
          <w:rFonts w:ascii="Times New Roman" w:hAnsi="Times New Roman" w:cs="Times New Roman"/>
          <w:i/>
          <w:sz w:val="28"/>
          <w:szCs w:val="28"/>
          <w:lang w:val="en-GB"/>
        </w:rPr>
      </w:pPr>
      <w:r w:rsidRPr="000C6793">
        <w:rPr>
          <w:rFonts w:ascii="Times New Roman" w:hAnsi="Times New Roman" w:cs="Times New Roman"/>
          <w:i/>
          <w:sz w:val="28"/>
          <w:szCs w:val="28"/>
          <w:lang w:val="en-GB"/>
        </w:rPr>
        <w:t>“If, whatever a man’s real intention may be, he so conducts himself that a reasonable man would believe that he was assenting to the terms proposed by the other party, and that other party upon that belief enters into the contract with him, the man thus conducting himself would be equally bound as if he had intended to agree to the other party's terms.</w:t>
      </w:r>
      <w:r w:rsidRPr="000C6793">
        <w:rPr>
          <w:rFonts w:ascii="Times New Roman" w:hAnsi="Times New Roman" w:cs="Times New Roman"/>
          <w:b/>
          <w:bCs/>
          <w:i/>
          <w:sz w:val="28"/>
          <w:szCs w:val="28"/>
          <w:vertAlign w:val="superscript"/>
          <w:lang w:val="en-GB"/>
        </w:rPr>
        <w:t>”</w:t>
      </w:r>
    </w:p>
    <w:p w14:paraId="36D0FA07" w14:textId="77777777" w:rsidR="00461979" w:rsidRPr="00461979" w:rsidRDefault="009142F6" w:rsidP="0016745E">
      <w:pPr>
        <w:pStyle w:val="ListParagraph"/>
        <w:spacing w:line="360" w:lineRule="auto"/>
        <w:jc w:val="both"/>
        <w:rPr>
          <w:rFonts w:ascii="Verdana" w:eastAsia="Times New Roman" w:hAnsi="Verdana" w:cs="Times New Roman"/>
          <w:color w:val="242121"/>
          <w:sz w:val="27"/>
          <w:szCs w:val="27"/>
          <w:lang w:val="en-GB" w:eastAsia="en-ZA"/>
        </w:rPr>
      </w:pPr>
      <w:r>
        <w:rPr>
          <w:rFonts w:ascii="Times New Roman" w:hAnsi="Times New Roman" w:cs="Times New Roman"/>
          <w:sz w:val="28"/>
          <w:szCs w:val="28"/>
          <w:lang w:val="en-US"/>
        </w:rPr>
        <w:t xml:space="preserve">  </w:t>
      </w:r>
    </w:p>
    <w:p w14:paraId="0A14A4D4" w14:textId="77777777" w:rsidR="00F1115B" w:rsidRDefault="009142F6" w:rsidP="003E04A0">
      <w:pPr>
        <w:pStyle w:val="ListParagraph"/>
        <w:numPr>
          <w:ilvl w:val="0"/>
          <w:numId w:val="3"/>
        </w:numPr>
        <w:spacing w:line="360" w:lineRule="auto"/>
        <w:jc w:val="both"/>
        <w:rPr>
          <w:rFonts w:ascii="Times New Roman" w:hAnsi="Times New Roman" w:cs="Times New Roman"/>
          <w:sz w:val="28"/>
          <w:szCs w:val="28"/>
          <w:lang w:val="en-US"/>
        </w:rPr>
      </w:pPr>
      <w:r w:rsidRPr="0008089C">
        <w:rPr>
          <w:rFonts w:ascii="Times New Roman" w:hAnsi="Times New Roman" w:cs="Times New Roman"/>
          <w:sz w:val="28"/>
          <w:szCs w:val="28"/>
          <w:lang w:val="en-US"/>
        </w:rPr>
        <w:lastRenderedPageBreak/>
        <w:t>The applicant served under the contract</w:t>
      </w:r>
      <w:r w:rsidR="00806060" w:rsidRPr="0008089C">
        <w:rPr>
          <w:rFonts w:ascii="Times New Roman" w:hAnsi="Times New Roman" w:cs="Times New Roman"/>
          <w:sz w:val="28"/>
          <w:szCs w:val="28"/>
          <w:lang w:val="en-US"/>
        </w:rPr>
        <w:t xml:space="preserve"> for five years</w:t>
      </w:r>
      <w:r w:rsidRPr="0008089C">
        <w:rPr>
          <w:rFonts w:ascii="Times New Roman" w:hAnsi="Times New Roman" w:cs="Times New Roman"/>
          <w:sz w:val="28"/>
          <w:szCs w:val="28"/>
          <w:lang w:val="en-US"/>
        </w:rPr>
        <w:t xml:space="preserve"> up to its close out without any issues being raised </w:t>
      </w:r>
      <w:r w:rsidR="0016745E" w:rsidRPr="0008089C">
        <w:rPr>
          <w:rFonts w:ascii="Times New Roman" w:hAnsi="Times New Roman" w:cs="Times New Roman"/>
          <w:sz w:val="28"/>
          <w:szCs w:val="28"/>
          <w:lang w:val="en-US"/>
        </w:rPr>
        <w:t xml:space="preserve">by the respondents </w:t>
      </w:r>
      <w:r w:rsidRPr="0008089C">
        <w:rPr>
          <w:rFonts w:ascii="Times New Roman" w:hAnsi="Times New Roman" w:cs="Times New Roman"/>
          <w:sz w:val="28"/>
          <w:szCs w:val="28"/>
          <w:lang w:val="en-US"/>
        </w:rPr>
        <w:t>on its terms.</w:t>
      </w:r>
      <w:r w:rsidR="0016745E" w:rsidRPr="0008089C">
        <w:rPr>
          <w:rFonts w:ascii="Times New Roman" w:hAnsi="Times New Roman" w:cs="Times New Roman"/>
          <w:sz w:val="28"/>
          <w:szCs w:val="28"/>
          <w:lang w:val="en-US"/>
        </w:rPr>
        <w:t xml:space="preserve"> Clauses 7 and 8 of the contract are unequivocal that the employer shall, for the benefit of the employee, put aside 25 per cent of the gross salary to create a gratuity fund; </w:t>
      </w:r>
      <w:r w:rsidR="00806060" w:rsidRPr="0008089C">
        <w:rPr>
          <w:rFonts w:ascii="Times New Roman" w:hAnsi="Times New Roman" w:cs="Times New Roman"/>
          <w:sz w:val="28"/>
          <w:szCs w:val="28"/>
          <w:lang w:val="en-US"/>
        </w:rPr>
        <w:t xml:space="preserve">and </w:t>
      </w:r>
      <w:r w:rsidR="0016745E" w:rsidRPr="0008089C">
        <w:rPr>
          <w:rFonts w:ascii="Times New Roman" w:hAnsi="Times New Roman" w:cs="Times New Roman"/>
          <w:sz w:val="28"/>
          <w:szCs w:val="28"/>
          <w:lang w:val="en-US"/>
        </w:rPr>
        <w:t xml:space="preserve">that the gratuity shall be payable on the termination of the contract to a teacher who would have worked for 12 months and above under the performance contract. </w:t>
      </w:r>
      <w:r w:rsidR="00BA4258">
        <w:rPr>
          <w:rFonts w:ascii="Times New Roman" w:hAnsi="Times New Roman" w:cs="Times New Roman"/>
          <w:sz w:val="28"/>
          <w:szCs w:val="28"/>
          <w:lang w:val="en-US"/>
        </w:rPr>
        <w:t>In view of the parole evidence rule, t</w:t>
      </w:r>
      <w:r w:rsidR="000139B7">
        <w:rPr>
          <w:rFonts w:ascii="Times New Roman" w:hAnsi="Times New Roman" w:cs="Times New Roman"/>
          <w:sz w:val="28"/>
          <w:szCs w:val="28"/>
          <w:lang w:val="en-US"/>
        </w:rPr>
        <w:t>hese clauses should be interpreted in their literal sense and as the true reflection of what the parties intended when they contracted</w:t>
      </w:r>
      <w:r w:rsidR="00BA4258">
        <w:rPr>
          <w:rFonts w:ascii="Times New Roman" w:hAnsi="Times New Roman" w:cs="Times New Roman"/>
          <w:sz w:val="28"/>
          <w:szCs w:val="28"/>
          <w:lang w:val="en-US"/>
        </w:rPr>
        <w:t xml:space="preserve"> (</w:t>
      </w:r>
      <w:r w:rsidR="008A082D" w:rsidRPr="00ED73E5">
        <w:rPr>
          <w:rFonts w:ascii="Times New Roman" w:hAnsi="Times New Roman" w:cs="Times New Roman"/>
          <w:b/>
          <w:sz w:val="28"/>
          <w:szCs w:val="28"/>
          <w:lang w:val="en-US"/>
        </w:rPr>
        <w:t>National Board (Pretoria) (Pty) Ltd and Another v Estate Swanepoel</w:t>
      </w:r>
      <w:r>
        <w:rPr>
          <w:rStyle w:val="FootnoteReference"/>
          <w:rFonts w:ascii="Times New Roman" w:hAnsi="Times New Roman" w:cs="Times New Roman"/>
          <w:sz w:val="28"/>
          <w:szCs w:val="28"/>
          <w:lang w:val="en-US"/>
        </w:rPr>
        <w:footnoteReference w:id="9"/>
      </w:r>
      <w:r w:rsidR="008A082D">
        <w:rPr>
          <w:rFonts w:ascii="Times New Roman" w:hAnsi="Times New Roman" w:cs="Times New Roman"/>
          <w:sz w:val="28"/>
          <w:szCs w:val="28"/>
          <w:lang w:val="en-US"/>
        </w:rPr>
        <w:t>)</w:t>
      </w:r>
      <w:r w:rsidR="000139B7">
        <w:rPr>
          <w:rFonts w:ascii="Times New Roman" w:hAnsi="Times New Roman" w:cs="Times New Roman"/>
          <w:sz w:val="28"/>
          <w:szCs w:val="28"/>
          <w:lang w:val="en-US"/>
        </w:rPr>
        <w:t xml:space="preserve">. </w:t>
      </w:r>
      <w:r w:rsidR="00806060" w:rsidRPr="0008089C">
        <w:rPr>
          <w:rFonts w:ascii="Times New Roman" w:hAnsi="Times New Roman" w:cs="Times New Roman"/>
          <w:sz w:val="28"/>
          <w:szCs w:val="28"/>
          <w:lang w:val="en-US"/>
        </w:rPr>
        <w:t>The respondents’ submission that</w:t>
      </w:r>
      <w:r w:rsidR="000139B7">
        <w:rPr>
          <w:rFonts w:ascii="Times New Roman" w:hAnsi="Times New Roman" w:cs="Times New Roman"/>
          <w:sz w:val="28"/>
          <w:szCs w:val="28"/>
          <w:lang w:val="en-US"/>
        </w:rPr>
        <w:t xml:space="preserve"> notwithstanding the clear terms of clauses 7 and 8,</w:t>
      </w:r>
      <w:r w:rsidR="00806060" w:rsidRPr="0008089C">
        <w:rPr>
          <w:rFonts w:ascii="Times New Roman" w:hAnsi="Times New Roman" w:cs="Times New Roman"/>
          <w:sz w:val="28"/>
          <w:szCs w:val="28"/>
          <w:lang w:val="en-US"/>
        </w:rPr>
        <w:t xml:space="preserve"> the applicant was not entitled to the gratuity is therefore </w:t>
      </w:r>
      <w:r w:rsidR="000139B7">
        <w:rPr>
          <w:rFonts w:ascii="Times New Roman" w:hAnsi="Times New Roman" w:cs="Times New Roman"/>
          <w:sz w:val="28"/>
          <w:szCs w:val="28"/>
          <w:lang w:val="en-US"/>
        </w:rPr>
        <w:t>dismissed</w:t>
      </w:r>
      <w:r w:rsidR="00806060" w:rsidRPr="0008089C">
        <w:rPr>
          <w:rFonts w:ascii="Times New Roman" w:hAnsi="Times New Roman" w:cs="Times New Roman"/>
          <w:sz w:val="28"/>
          <w:szCs w:val="28"/>
          <w:lang w:val="en-US"/>
        </w:rPr>
        <w:t>.</w:t>
      </w:r>
      <w:r w:rsidR="0008089C" w:rsidRPr="0008089C">
        <w:rPr>
          <w:rFonts w:ascii="Times New Roman" w:hAnsi="Times New Roman" w:cs="Times New Roman"/>
          <w:sz w:val="28"/>
          <w:szCs w:val="28"/>
          <w:lang w:val="en-US"/>
        </w:rPr>
        <w:t xml:space="preserve"> </w:t>
      </w:r>
    </w:p>
    <w:p w14:paraId="55041B07" w14:textId="77777777" w:rsidR="00F1115B" w:rsidRDefault="00F1115B" w:rsidP="00F1115B">
      <w:pPr>
        <w:pStyle w:val="ListParagraph"/>
        <w:spacing w:line="360" w:lineRule="auto"/>
        <w:jc w:val="both"/>
        <w:rPr>
          <w:rFonts w:ascii="Times New Roman" w:hAnsi="Times New Roman" w:cs="Times New Roman"/>
          <w:sz w:val="28"/>
          <w:szCs w:val="28"/>
          <w:lang w:val="en-US"/>
        </w:rPr>
      </w:pPr>
    </w:p>
    <w:p w14:paraId="198DB65C" w14:textId="77777777" w:rsidR="00EA3616" w:rsidRDefault="009142F6" w:rsidP="007053CE">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respondents’ </w:t>
      </w:r>
      <w:r w:rsidR="000139B7">
        <w:rPr>
          <w:rFonts w:ascii="Times New Roman" w:hAnsi="Times New Roman" w:cs="Times New Roman"/>
          <w:sz w:val="28"/>
          <w:szCs w:val="28"/>
          <w:lang w:val="en-US"/>
        </w:rPr>
        <w:t>contention that</w:t>
      </w:r>
      <w:r>
        <w:rPr>
          <w:rFonts w:ascii="Times New Roman" w:hAnsi="Times New Roman" w:cs="Times New Roman"/>
          <w:sz w:val="28"/>
          <w:szCs w:val="28"/>
          <w:lang w:val="en-US"/>
        </w:rPr>
        <w:t xml:space="preserve"> clause 18 of the Service Contract</w:t>
      </w:r>
      <w:r w:rsidR="000139B7">
        <w:rPr>
          <w:rFonts w:ascii="Times New Roman" w:hAnsi="Times New Roman" w:cs="Times New Roman"/>
          <w:sz w:val="28"/>
          <w:szCs w:val="28"/>
          <w:lang w:val="en-US"/>
        </w:rPr>
        <w:t xml:space="preserve"> should be interpreted to mean </w:t>
      </w:r>
      <w:r>
        <w:rPr>
          <w:rFonts w:ascii="Times New Roman" w:hAnsi="Times New Roman" w:cs="Times New Roman"/>
          <w:sz w:val="28"/>
          <w:szCs w:val="28"/>
          <w:lang w:val="en-US"/>
        </w:rPr>
        <w:t>that the applicant</w:t>
      </w:r>
      <w:r w:rsidR="000139B7">
        <w:rPr>
          <w:rFonts w:ascii="Times New Roman" w:hAnsi="Times New Roman" w:cs="Times New Roman"/>
          <w:sz w:val="28"/>
          <w:szCs w:val="28"/>
          <w:lang w:val="en-US"/>
        </w:rPr>
        <w:t>’s</w:t>
      </w:r>
      <w:r>
        <w:rPr>
          <w:rFonts w:ascii="Times New Roman" w:hAnsi="Times New Roman" w:cs="Times New Roman"/>
          <w:sz w:val="28"/>
          <w:szCs w:val="28"/>
          <w:lang w:val="en-US"/>
        </w:rPr>
        <w:t xml:space="preserve"> continued </w:t>
      </w:r>
      <w:r w:rsidR="000139B7">
        <w:rPr>
          <w:rFonts w:ascii="Times New Roman" w:hAnsi="Times New Roman" w:cs="Times New Roman"/>
          <w:sz w:val="28"/>
          <w:szCs w:val="28"/>
          <w:lang w:val="en-US"/>
        </w:rPr>
        <w:t>contribution</w:t>
      </w:r>
      <w:r>
        <w:rPr>
          <w:rFonts w:ascii="Times New Roman" w:hAnsi="Times New Roman" w:cs="Times New Roman"/>
          <w:sz w:val="28"/>
          <w:szCs w:val="28"/>
          <w:lang w:val="en-US"/>
        </w:rPr>
        <w:t xml:space="preserve"> to the pension fund</w:t>
      </w:r>
      <w:r w:rsidR="00535595">
        <w:rPr>
          <w:rFonts w:ascii="Times New Roman" w:hAnsi="Times New Roman" w:cs="Times New Roman"/>
          <w:sz w:val="28"/>
          <w:szCs w:val="28"/>
          <w:lang w:val="en-US"/>
        </w:rPr>
        <w:t xml:space="preserve"> disentitled</w:t>
      </w:r>
      <w:r>
        <w:rPr>
          <w:rFonts w:ascii="Times New Roman" w:hAnsi="Times New Roman" w:cs="Times New Roman"/>
          <w:sz w:val="28"/>
          <w:szCs w:val="28"/>
          <w:lang w:val="en-US"/>
        </w:rPr>
        <w:t xml:space="preserve"> her to </w:t>
      </w:r>
      <w:r w:rsidR="00535595">
        <w:rPr>
          <w:rFonts w:ascii="Times New Roman" w:hAnsi="Times New Roman" w:cs="Times New Roman"/>
          <w:sz w:val="28"/>
          <w:szCs w:val="28"/>
          <w:lang w:val="en-US"/>
        </w:rPr>
        <w:t xml:space="preserve">payment of </w:t>
      </w:r>
      <w:r>
        <w:rPr>
          <w:rFonts w:ascii="Times New Roman" w:hAnsi="Times New Roman" w:cs="Times New Roman"/>
          <w:sz w:val="28"/>
          <w:szCs w:val="28"/>
          <w:lang w:val="en-US"/>
        </w:rPr>
        <w:t>gratuity</w:t>
      </w:r>
      <w:r w:rsidR="00535595">
        <w:rPr>
          <w:rFonts w:ascii="Times New Roman" w:hAnsi="Times New Roman" w:cs="Times New Roman"/>
          <w:sz w:val="28"/>
          <w:szCs w:val="28"/>
          <w:lang w:val="en-US"/>
        </w:rPr>
        <w:t xml:space="preserve"> under clauses 7 and 8</w:t>
      </w:r>
      <w:r>
        <w:rPr>
          <w:rFonts w:ascii="Times New Roman" w:hAnsi="Times New Roman" w:cs="Times New Roman"/>
          <w:sz w:val="28"/>
          <w:szCs w:val="28"/>
          <w:lang w:val="en-US"/>
        </w:rPr>
        <w:t xml:space="preserve"> cannot be sustained</w:t>
      </w:r>
      <w:r w:rsidR="00535595">
        <w:rPr>
          <w:rFonts w:ascii="Times New Roman" w:hAnsi="Times New Roman" w:cs="Times New Roman"/>
          <w:sz w:val="28"/>
          <w:szCs w:val="28"/>
          <w:lang w:val="en-US"/>
        </w:rPr>
        <w:t xml:space="preserve"> as it is without any basis whatsoever</w:t>
      </w:r>
      <w:r w:rsidR="000139B7">
        <w:rPr>
          <w:rFonts w:ascii="Times New Roman" w:hAnsi="Times New Roman" w:cs="Times New Roman"/>
          <w:sz w:val="28"/>
          <w:szCs w:val="28"/>
          <w:lang w:val="en-US"/>
        </w:rPr>
        <w:t>. This submission</w:t>
      </w:r>
      <w:r w:rsidR="00535595">
        <w:rPr>
          <w:rFonts w:ascii="Times New Roman" w:hAnsi="Times New Roman" w:cs="Times New Roman"/>
          <w:sz w:val="28"/>
          <w:szCs w:val="28"/>
          <w:lang w:val="en-US"/>
        </w:rPr>
        <w:t xml:space="preserve"> is void of merit</w:t>
      </w:r>
      <w:r>
        <w:rPr>
          <w:rFonts w:ascii="Times New Roman" w:hAnsi="Times New Roman" w:cs="Times New Roman"/>
          <w:sz w:val="28"/>
          <w:szCs w:val="28"/>
          <w:lang w:val="en-US"/>
        </w:rPr>
        <w:t xml:space="preserve"> in view of the parole rule</w:t>
      </w:r>
      <w:r w:rsidR="0008089C">
        <w:rPr>
          <w:rFonts w:ascii="Times New Roman" w:hAnsi="Times New Roman" w:cs="Times New Roman"/>
          <w:sz w:val="28"/>
          <w:szCs w:val="28"/>
          <w:lang w:val="en-US"/>
        </w:rPr>
        <w:t xml:space="preserve"> that </w:t>
      </w:r>
      <w:r w:rsidR="00FB55DE">
        <w:rPr>
          <w:rFonts w:ascii="Times New Roman" w:hAnsi="Times New Roman" w:cs="Times New Roman"/>
          <w:sz w:val="28"/>
          <w:szCs w:val="28"/>
          <w:lang w:val="en-US"/>
        </w:rPr>
        <w:t xml:space="preserve">where the parties have decided </w:t>
      </w:r>
      <w:r w:rsidR="00ED52D9">
        <w:rPr>
          <w:rFonts w:ascii="Times New Roman" w:hAnsi="Times New Roman" w:cs="Times New Roman"/>
          <w:sz w:val="28"/>
          <w:szCs w:val="28"/>
          <w:lang w:val="en-US"/>
        </w:rPr>
        <w:t xml:space="preserve">to </w:t>
      </w:r>
      <w:r w:rsidR="00FB55DE">
        <w:rPr>
          <w:rFonts w:ascii="Times New Roman" w:hAnsi="Times New Roman" w:cs="Times New Roman"/>
          <w:sz w:val="28"/>
          <w:szCs w:val="28"/>
          <w:lang w:val="en-US"/>
        </w:rPr>
        <w:t xml:space="preserve">record their contract in writing, their decision </w:t>
      </w:r>
      <w:r w:rsidR="00ED52D9">
        <w:rPr>
          <w:rFonts w:ascii="Times New Roman" w:hAnsi="Times New Roman" w:cs="Times New Roman"/>
          <w:sz w:val="28"/>
          <w:szCs w:val="28"/>
          <w:lang w:val="en-US"/>
        </w:rPr>
        <w:t>shall</w:t>
      </w:r>
      <w:r w:rsidR="00FB55DE">
        <w:rPr>
          <w:rFonts w:ascii="Times New Roman" w:hAnsi="Times New Roman" w:cs="Times New Roman"/>
          <w:sz w:val="28"/>
          <w:szCs w:val="28"/>
          <w:lang w:val="en-US"/>
        </w:rPr>
        <w:t xml:space="preserve"> be respected and the resulting document </w:t>
      </w:r>
      <w:r w:rsidR="00ED52D9">
        <w:rPr>
          <w:rFonts w:ascii="Times New Roman" w:hAnsi="Times New Roman" w:cs="Times New Roman"/>
          <w:sz w:val="28"/>
          <w:szCs w:val="28"/>
          <w:lang w:val="en-US"/>
        </w:rPr>
        <w:t>should</w:t>
      </w:r>
      <w:r w:rsidR="00FB55DE">
        <w:rPr>
          <w:rFonts w:ascii="Times New Roman" w:hAnsi="Times New Roman" w:cs="Times New Roman"/>
          <w:sz w:val="28"/>
          <w:szCs w:val="28"/>
          <w:lang w:val="en-US"/>
        </w:rPr>
        <w:t xml:space="preserve"> be accepted as the sole evidence of the terms of their contract unless contrary evidence can be led of what the parties really agreed on</w:t>
      </w:r>
      <w:r>
        <w:rPr>
          <w:rFonts w:ascii="Times New Roman" w:hAnsi="Times New Roman" w:cs="Times New Roman"/>
          <w:sz w:val="28"/>
          <w:szCs w:val="28"/>
          <w:lang w:val="en-US"/>
        </w:rPr>
        <w:t xml:space="preserve">. </w:t>
      </w:r>
      <w:r w:rsidR="00BA4258">
        <w:rPr>
          <w:rFonts w:ascii="Times New Roman" w:hAnsi="Times New Roman" w:cs="Times New Roman"/>
          <w:sz w:val="28"/>
          <w:szCs w:val="28"/>
          <w:lang w:val="en-US"/>
        </w:rPr>
        <w:t>This rule was</w:t>
      </w:r>
      <w:r>
        <w:rPr>
          <w:rFonts w:ascii="Times New Roman" w:hAnsi="Times New Roman" w:cs="Times New Roman"/>
          <w:sz w:val="28"/>
          <w:szCs w:val="28"/>
          <w:lang w:val="en-US"/>
        </w:rPr>
        <w:t xml:space="preserve"> enunciated in  </w:t>
      </w:r>
      <w:r w:rsidRPr="00405AF8">
        <w:rPr>
          <w:rFonts w:ascii="Times New Roman" w:hAnsi="Times New Roman" w:cs="Times New Roman"/>
          <w:b/>
          <w:sz w:val="28"/>
          <w:szCs w:val="28"/>
          <w:lang w:val="en-US"/>
        </w:rPr>
        <w:t>Beaton v Baldachin Bros</w:t>
      </w:r>
      <w:r>
        <w:rPr>
          <w:rStyle w:val="FootnoteReference"/>
          <w:rFonts w:ascii="Times New Roman" w:hAnsi="Times New Roman" w:cs="Times New Roman"/>
          <w:sz w:val="28"/>
          <w:szCs w:val="28"/>
          <w:lang w:val="en-US"/>
        </w:rPr>
        <w:footnoteReference w:id="10"/>
      </w:r>
      <w:r>
        <w:rPr>
          <w:rFonts w:ascii="Times New Roman" w:hAnsi="Times New Roman" w:cs="Times New Roman"/>
          <w:sz w:val="28"/>
          <w:szCs w:val="28"/>
          <w:lang w:val="en-US"/>
        </w:rPr>
        <w:t xml:space="preserve"> </w:t>
      </w:r>
      <w:r w:rsidR="00BA4258">
        <w:rPr>
          <w:rFonts w:ascii="Times New Roman" w:hAnsi="Times New Roman" w:cs="Times New Roman"/>
          <w:sz w:val="28"/>
          <w:szCs w:val="28"/>
          <w:lang w:val="en-US"/>
        </w:rPr>
        <w:t xml:space="preserve"> in the following terms:-</w:t>
      </w:r>
    </w:p>
    <w:p w14:paraId="6C99A097" w14:textId="77777777" w:rsidR="00806060" w:rsidRDefault="009142F6" w:rsidP="00EA3616">
      <w:pPr>
        <w:pStyle w:val="ListParagraph"/>
        <w:spacing w:line="240" w:lineRule="auto"/>
        <w:ind w:left="144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A3616">
        <w:rPr>
          <w:rFonts w:ascii="Times New Roman" w:hAnsi="Times New Roman" w:cs="Times New Roman"/>
          <w:i/>
          <w:sz w:val="28"/>
          <w:szCs w:val="28"/>
          <w:lang w:val="en-US"/>
        </w:rPr>
        <w:t xml:space="preserve">Now the general rule is clear: a party to a written instrument cannot vary its terms by parol evidence. But a party to such a writing, which it is sought to use against him, may lead evidence to show that the document in question is not a contract at all, that it was not intended by the signatories to operate as such, but was given for another purpose. And when he has thus got rid of the writing, he </w:t>
      </w:r>
      <w:r w:rsidRPr="00EA3616">
        <w:rPr>
          <w:rFonts w:ascii="Times New Roman" w:hAnsi="Times New Roman" w:cs="Times New Roman"/>
          <w:i/>
          <w:sz w:val="28"/>
          <w:szCs w:val="28"/>
          <w:lang w:val="en-US"/>
        </w:rPr>
        <w:lastRenderedPageBreak/>
        <w:t>may if he can establish another verbal contract as the true agreement."</w:t>
      </w:r>
    </w:p>
    <w:p w14:paraId="5CB2B165" w14:textId="77777777" w:rsidR="00ED52D9" w:rsidRDefault="009142F6" w:rsidP="00091A87">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4E4C694D" w14:textId="77777777" w:rsidR="00BC4232" w:rsidRDefault="009142F6" w:rsidP="00ED52D9">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The respondents being the ones who alleged that the written and signed contract did not reflect the true intention of the parties regarding payment of gratuity to the applicant</w:t>
      </w:r>
      <w:r w:rsidR="004D04FA">
        <w:rPr>
          <w:rFonts w:ascii="Times New Roman" w:hAnsi="Times New Roman" w:cs="Times New Roman"/>
          <w:sz w:val="28"/>
          <w:szCs w:val="28"/>
          <w:lang w:val="en-US"/>
        </w:rPr>
        <w:t>,</w:t>
      </w:r>
      <w:r>
        <w:rPr>
          <w:rFonts w:ascii="Times New Roman" w:hAnsi="Times New Roman" w:cs="Times New Roman"/>
          <w:sz w:val="28"/>
          <w:szCs w:val="28"/>
          <w:lang w:val="en-US"/>
        </w:rPr>
        <w:t xml:space="preserve"> shouldered the onus to prove what the true intention</w:t>
      </w:r>
      <w:r w:rsidR="004D04FA">
        <w:rPr>
          <w:rFonts w:ascii="Times New Roman" w:hAnsi="Times New Roman" w:cs="Times New Roman"/>
          <w:sz w:val="28"/>
          <w:szCs w:val="28"/>
          <w:lang w:val="en-US"/>
        </w:rPr>
        <w:t xml:space="preserve"> of the parties</w:t>
      </w:r>
      <w:r>
        <w:rPr>
          <w:rFonts w:ascii="Times New Roman" w:hAnsi="Times New Roman" w:cs="Times New Roman"/>
          <w:sz w:val="28"/>
          <w:szCs w:val="28"/>
          <w:lang w:val="en-US"/>
        </w:rPr>
        <w:t xml:space="preserve"> was. The respondents failed to rebut this burden as the</w:t>
      </w:r>
      <w:r w:rsidR="004D04FA">
        <w:rPr>
          <w:rFonts w:ascii="Times New Roman" w:hAnsi="Times New Roman" w:cs="Times New Roman"/>
          <w:sz w:val="28"/>
          <w:szCs w:val="28"/>
          <w:lang w:val="en-US"/>
        </w:rPr>
        <w:t>y have not put forth any evidence whatsoever to prove that the parties ever intended that the</w:t>
      </w:r>
      <w:r>
        <w:rPr>
          <w:rFonts w:ascii="Times New Roman" w:hAnsi="Times New Roman" w:cs="Times New Roman"/>
          <w:sz w:val="28"/>
          <w:szCs w:val="28"/>
          <w:lang w:val="en-US"/>
        </w:rPr>
        <w:t xml:space="preserve"> applicant </w:t>
      </w:r>
      <w:r w:rsidR="004D04FA">
        <w:rPr>
          <w:rFonts w:ascii="Times New Roman" w:hAnsi="Times New Roman" w:cs="Times New Roman"/>
          <w:sz w:val="28"/>
          <w:szCs w:val="28"/>
          <w:lang w:val="en-US"/>
        </w:rPr>
        <w:t>would not be entitled to gra</w:t>
      </w:r>
      <w:r>
        <w:rPr>
          <w:rFonts w:ascii="Times New Roman" w:hAnsi="Times New Roman" w:cs="Times New Roman"/>
          <w:sz w:val="28"/>
          <w:szCs w:val="28"/>
          <w:lang w:val="en-US"/>
        </w:rPr>
        <w:t xml:space="preserve">tuity under clauses 7 and 8. </w:t>
      </w:r>
    </w:p>
    <w:p w14:paraId="6470813E" w14:textId="77777777" w:rsidR="008A082D" w:rsidRDefault="008A082D" w:rsidP="00ED52D9">
      <w:pPr>
        <w:spacing w:line="360" w:lineRule="auto"/>
        <w:ind w:left="720"/>
        <w:jc w:val="both"/>
        <w:rPr>
          <w:rFonts w:ascii="Times New Roman" w:hAnsi="Times New Roman" w:cs="Times New Roman"/>
          <w:sz w:val="28"/>
          <w:szCs w:val="28"/>
          <w:lang w:val="en-US"/>
        </w:rPr>
      </w:pPr>
    </w:p>
    <w:p w14:paraId="4B1B124C" w14:textId="77777777" w:rsidR="00165424" w:rsidRDefault="009142F6" w:rsidP="001B49A4">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438A1">
        <w:rPr>
          <w:rFonts w:ascii="Times New Roman" w:hAnsi="Times New Roman" w:cs="Times New Roman"/>
          <w:sz w:val="28"/>
          <w:szCs w:val="28"/>
          <w:lang w:val="en-US"/>
        </w:rPr>
        <w:t>C</w:t>
      </w:r>
      <w:r w:rsidR="00BC4232">
        <w:rPr>
          <w:rFonts w:ascii="Times New Roman" w:hAnsi="Times New Roman" w:cs="Times New Roman"/>
          <w:sz w:val="28"/>
          <w:szCs w:val="28"/>
          <w:lang w:val="en-US"/>
        </w:rPr>
        <w:t xml:space="preserve">lause 18 </w:t>
      </w:r>
      <w:r w:rsidR="00C438A1">
        <w:rPr>
          <w:rFonts w:ascii="Times New Roman" w:hAnsi="Times New Roman" w:cs="Times New Roman"/>
          <w:sz w:val="28"/>
          <w:szCs w:val="28"/>
          <w:lang w:val="en-US"/>
        </w:rPr>
        <w:t xml:space="preserve">makes no reference whatsoever to clauses 7 and 8 and this portrays the understanding that the parties intended that clause 18 shall subsist site by site with clauses 7 and 8. This is more so because, from the reading of the Service Contract, </w:t>
      </w:r>
      <w:r w:rsidR="00E6434E">
        <w:rPr>
          <w:rFonts w:ascii="Times New Roman" w:hAnsi="Times New Roman" w:cs="Times New Roman"/>
          <w:sz w:val="28"/>
          <w:szCs w:val="28"/>
          <w:lang w:val="en-US"/>
        </w:rPr>
        <w:t xml:space="preserve">it is apparent that </w:t>
      </w:r>
      <w:r w:rsidR="00C438A1">
        <w:rPr>
          <w:rFonts w:ascii="Times New Roman" w:hAnsi="Times New Roman" w:cs="Times New Roman"/>
          <w:sz w:val="28"/>
          <w:szCs w:val="28"/>
          <w:lang w:val="en-US"/>
        </w:rPr>
        <w:t>gratuity and pension are two distinct benefits.</w:t>
      </w:r>
      <w:r w:rsidR="001B49A4">
        <w:rPr>
          <w:rFonts w:ascii="Times New Roman" w:hAnsi="Times New Roman" w:cs="Times New Roman"/>
          <w:sz w:val="28"/>
          <w:szCs w:val="28"/>
          <w:lang w:val="en-US"/>
        </w:rPr>
        <w:t xml:space="preserve"> In terms of clause 7, the gratuity which shall be calculated at the rate of 25 per cent of the total gross salary of the employee, shall be at the full cost of the employer. Clause 8 stipulates that the gratuity shall be </w:t>
      </w:r>
      <w:r w:rsidR="001B49A4" w:rsidRPr="001B49A4">
        <w:rPr>
          <w:rFonts w:ascii="Times New Roman" w:hAnsi="Times New Roman" w:cs="Times New Roman"/>
          <w:sz w:val="28"/>
          <w:szCs w:val="28"/>
          <w:lang w:val="en-US"/>
        </w:rPr>
        <w:t xml:space="preserve">payable to the employee </w:t>
      </w:r>
      <w:r w:rsidR="001B49A4">
        <w:rPr>
          <w:rFonts w:ascii="Times New Roman" w:hAnsi="Times New Roman" w:cs="Times New Roman"/>
          <w:sz w:val="28"/>
          <w:szCs w:val="28"/>
          <w:lang w:val="en-US"/>
        </w:rPr>
        <w:t>at the effective termination of the Service Contract.</w:t>
      </w:r>
      <w:r w:rsidR="00C438A1">
        <w:rPr>
          <w:rFonts w:ascii="Times New Roman" w:hAnsi="Times New Roman" w:cs="Times New Roman"/>
          <w:sz w:val="28"/>
          <w:szCs w:val="28"/>
          <w:lang w:val="en-US"/>
        </w:rPr>
        <w:t xml:space="preserve"> </w:t>
      </w:r>
    </w:p>
    <w:p w14:paraId="6899C13A" w14:textId="77777777" w:rsidR="00165424" w:rsidRDefault="00165424" w:rsidP="00165424">
      <w:pPr>
        <w:pStyle w:val="ListParagraph"/>
        <w:spacing w:line="360" w:lineRule="auto"/>
        <w:jc w:val="both"/>
        <w:rPr>
          <w:rFonts w:ascii="Times New Roman" w:hAnsi="Times New Roman" w:cs="Times New Roman"/>
          <w:sz w:val="28"/>
          <w:szCs w:val="28"/>
          <w:lang w:val="en-US"/>
        </w:rPr>
      </w:pPr>
    </w:p>
    <w:p w14:paraId="6D96C32E" w14:textId="77777777" w:rsidR="0031343D" w:rsidRDefault="009142F6" w:rsidP="001B49A4">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Pension on the other hand, as it is apparent from clause 18</w:t>
      </w:r>
      <w:r w:rsidR="00DC7D31">
        <w:rPr>
          <w:rFonts w:ascii="Times New Roman" w:hAnsi="Times New Roman" w:cs="Times New Roman"/>
          <w:sz w:val="28"/>
          <w:szCs w:val="28"/>
          <w:lang w:val="en-US"/>
        </w:rPr>
        <w:t>,</w:t>
      </w:r>
      <w:r>
        <w:rPr>
          <w:rFonts w:ascii="Times New Roman" w:hAnsi="Times New Roman" w:cs="Times New Roman"/>
          <w:sz w:val="28"/>
          <w:szCs w:val="28"/>
          <w:lang w:val="en-US"/>
        </w:rPr>
        <w:t xml:space="preserve"> is not w</w:t>
      </w:r>
      <w:r w:rsidR="00DC7D31">
        <w:rPr>
          <w:rFonts w:ascii="Times New Roman" w:hAnsi="Times New Roman" w:cs="Times New Roman"/>
          <w:sz w:val="28"/>
          <w:szCs w:val="28"/>
          <w:lang w:val="en-US"/>
        </w:rPr>
        <w:t>holly at the cost of the employer. The employee also contributes to the pension fund at the rate, I assume, determinable under the laws governing the pension fund. I further take judicial notice of the fact</w:t>
      </w:r>
      <w:r w:rsidR="00E6434E">
        <w:rPr>
          <w:rFonts w:ascii="Times New Roman" w:hAnsi="Times New Roman" w:cs="Times New Roman"/>
          <w:sz w:val="28"/>
          <w:szCs w:val="28"/>
          <w:lang w:val="en-US"/>
        </w:rPr>
        <w:t xml:space="preserve"> that pension is payable to the employee upon </w:t>
      </w:r>
      <w:r w:rsidR="00DC7D31">
        <w:rPr>
          <w:rFonts w:ascii="Times New Roman" w:hAnsi="Times New Roman" w:cs="Times New Roman"/>
          <w:sz w:val="28"/>
          <w:szCs w:val="28"/>
          <w:lang w:val="en-US"/>
        </w:rPr>
        <w:t xml:space="preserve">retirement. </w:t>
      </w:r>
    </w:p>
    <w:p w14:paraId="4BCAB83E" w14:textId="77777777" w:rsidR="0031343D" w:rsidRDefault="0031343D" w:rsidP="0031343D">
      <w:pPr>
        <w:pStyle w:val="ListParagraph"/>
        <w:spacing w:line="360" w:lineRule="auto"/>
        <w:jc w:val="both"/>
        <w:rPr>
          <w:rFonts w:ascii="Times New Roman" w:hAnsi="Times New Roman" w:cs="Times New Roman"/>
          <w:sz w:val="28"/>
          <w:szCs w:val="28"/>
          <w:lang w:val="en-US"/>
        </w:rPr>
      </w:pPr>
    </w:p>
    <w:p w14:paraId="3B0AF82B" w14:textId="77777777" w:rsidR="00CA5F6F" w:rsidRPr="00CA5F6F" w:rsidRDefault="009142F6" w:rsidP="001D03B2">
      <w:pPr>
        <w:pStyle w:val="ListParagraph"/>
        <w:numPr>
          <w:ilvl w:val="0"/>
          <w:numId w:val="3"/>
        </w:numPr>
        <w:spacing w:line="360" w:lineRule="auto"/>
        <w:jc w:val="both"/>
        <w:rPr>
          <w:rFonts w:ascii="Times New Roman" w:hAnsi="Times New Roman" w:cs="Times New Roman"/>
          <w:i/>
          <w:sz w:val="28"/>
          <w:szCs w:val="28"/>
          <w:lang w:val="en-US"/>
        </w:rPr>
      </w:pPr>
      <w:r w:rsidRPr="00CA5F6F">
        <w:rPr>
          <w:rFonts w:ascii="Times New Roman" w:hAnsi="Times New Roman" w:cs="Times New Roman"/>
          <w:sz w:val="28"/>
          <w:szCs w:val="28"/>
          <w:lang w:val="en-US"/>
        </w:rPr>
        <w:lastRenderedPageBreak/>
        <w:t xml:space="preserve">Even the ordinary English interpretation of the two words does not negate </w:t>
      </w:r>
      <w:r w:rsidR="0031343D" w:rsidRPr="00CA5F6F">
        <w:rPr>
          <w:rFonts w:ascii="Times New Roman" w:hAnsi="Times New Roman" w:cs="Times New Roman"/>
          <w:sz w:val="28"/>
          <w:szCs w:val="28"/>
          <w:lang w:val="en-US"/>
        </w:rPr>
        <w:t>the fact that the two benefits can subsist site by site in respect of an employee.</w:t>
      </w:r>
      <w:r w:rsidR="00E6434E" w:rsidRPr="00CA5F6F">
        <w:rPr>
          <w:rFonts w:ascii="Times New Roman" w:hAnsi="Times New Roman" w:cs="Times New Roman"/>
          <w:sz w:val="28"/>
          <w:szCs w:val="28"/>
          <w:lang w:val="en-US"/>
        </w:rPr>
        <w:t xml:space="preserve"> </w:t>
      </w:r>
      <w:r w:rsidR="00C438A1" w:rsidRPr="00CA5F6F">
        <w:rPr>
          <w:rFonts w:ascii="Times New Roman" w:hAnsi="Times New Roman" w:cs="Times New Roman"/>
          <w:sz w:val="28"/>
          <w:szCs w:val="28"/>
          <w:lang w:val="en-US"/>
        </w:rPr>
        <w:t xml:space="preserve">Pension is defined in the </w:t>
      </w:r>
      <w:r w:rsidR="00C438A1" w:rsidRPr="00CA5F6F">
        <w:rPr>
          <w:rFonts w:ascii="Times New Roman" w:hAnsi="Times New Roman" w:cs="Times New Roman"/>
          <w:b/>
          <w:sz w:val="28"/>
          <w:szCs w:val="28"/>
          <w:lang w:val="en-US"/>
        </w:rPr>
        <w:t>Cambridge International Dictionary of English</w:t>
      </w:r>
      <w:r w:rsidR="00CA5F6F">
        <w:rPr>
          <w:rStyle w:val="FootnoteReference"/>
          <w:rFonts w:ascii="Times New Roman" w:hAnsi="Times New Roman" w:cs="Times New Roman"/>
          <w:sz w:val="28"/>
          <w:szCs w:val="28"/>
          <w:lang w:val="en-US"/>
        </w:rPr>
        <w:footnoteReference w:id="11"/>
      </w:r>
      <w:r w:rsidR="00CA5F6F">
        <w:rPr>
          <w:rFonts w:ascii="Times New Roman" w:hAnsi="Times New Roman" w:cs="Times New Roman"/>
          <w:sz w:val="28"/>
          <w:szCs w:val="28"/>
          <w:lang w:val="en-US"/>
        </w:rPr>
        <w:t xml:space="preserve"> </w:t>
      </w:r>
      <w:r w:rsidR="00C438A1" w:rsidRPr="00CA5F6F">
        <w:rPr>
          <w:rFonts w:ascii="Times New Roman" w:hAnsi="Times New Roman" w:cs="Times New Roman"/>
          <w:sz w:val="28"/>
          <w:szCs w:val="28"/>
          <w:lang w:val="en-US"/>
        </w:rPr>
        <w:t>as</w:t>
      </w:r>
    </w:p>
    <w:p w14:paraId="2EDF54B3" w14:textId="77777777" w:rsidR="009F0029" w:rsidRDefault="00C438A1" w:rsidP="00CA5F6F">
      <w:pPr>
        <w:pStyle w:val="ListParagraph"/>
        <w:spacing w:line="240" w:lineRule="auto"/>
        <w:ind w:left="1440" w:firstLine="45"/>
        <w:jc w:val="both"/>
        <w:rPr>
          <w:rFonts w:ascii="Times New Roman" w:hAnsi="Times New Roman" w:cs="Times New Roman"/>
          <w:i/>
          <w:sz w:val="28"/>
          <w:szCs w:val="28"/>
          <w:lang w:val="en-US"/>
        </w:rPr>
      </w:pPr>
      <w:r w:rsidRPr="00CA5F6F">
        <w:rPr>
          <w:rFonts w:ascii="Times New Roman" w:hAnsi="Times New Roman" w:cs="Times New Roman"/>
          <w:sz w:val="28"/>
          <w:szCs w:val="28"/>
          <w:lang w:val="en-US"/>
        </w:rPr>
        <w:t>“</w:t>
      </w:r>
      <w:r w:rsidRPr="00CA5F6F">
        <w:rPr>
          <w:rFonts w:ascii="Times New Roman" w:hAnsi="Times New Roman" w:cs="Times New Roman"/>
          <w:i/>
          <w:sz w:val="28"/>
          <w:szCs w:val="28"/>
          <w:lang w:val="en-US"/>
        </w:rPr>
        <w:t>A sum of money paid regularly by the government or a</w:t>
      </w:r>
      <w:r w:rsidR="00CA5F6F">
        <w:rPr>
          <w:rFonts w:ascii="Times New Roman" w:hAnsi="Times New Roman" w:cs="Times New Roman"/>
          <w:i/>
          <w:sz w:val="28"/>
          <w:szCs w:val="28"/>
          <w:lang w:val="en-US"/>
        </w:rPr>
        <w:t xml:space="preserve"> </w:t>
      </w:r>
      <w:r w:rsidRPr="00CA5F6F">
        <w:rPr>
          <w:rFonts w:ascii="Times New Roman" w:hAnsi="Times New Roman" w:cs="Times New Roman"/>
          <w:i/>
          <w:sz w:val="28"/>
          <w:szCs w:val="28"/>
          <w:lang w:val="en-US"/>
        </w:rPr>
        <w:t xml:space="preserve">private company to a person who does not work anymore </w:t>
      </w:r>
      <w:r w:rsidR="00CA5F6F" w:rsidRPr="00CA5F6F">
        <w:rPr>
          <w:rFonts w:ascii="Times New Roman" w:hAnsi="Times New Roman" w:cs="Times New Roman"/>
          <w:i/>
          <w:sz w:val="28"/>
          <w:szCs w:val="28"/>
          <w:lang w:val="en-US"/>
        </w:rPr>
        <w:t>because</w:t>
      </w:r>
      <w:r w:rsidR="00CA5F6F">
        <w:rPr>
          <w:rFonts w:ascii="Times New Roman" w:hAnsi="Times New Roman" w:cs="Times New Roman"/>
          <w:i/>
          <w:sz w:val="28"/>
          <w:szCs w:val="28"/>
          <w:lang w:val="en-US"/>
        </w:rPr>
        <w:t xml:space="preserve"> </w:t>
      </w:r>
      <w:r w:rsidR="00CA5F6F" w:rsidRPr="00CA5F6F">
        <w:rPr>
          <w:rFonts w:ascii="Times New Roman" w:hAnsi="Times New Roman" w:cs="Times New Roman"/>
          <w:i/>
          <w:sz w:val="28"/>
          <w:szCs w:val="28"/>
          <w:lang w:val="en-US"/>
        </w:rPr>
        <w:t>they are too old or they have become ill.</w:t>
      </w:r>
      <w:r w:rsidR="00CA5F6F">
        <w:rPr>
          <w:rFonts w:ascii="Times New Roman" w:hAnsi="Times New Roman" w:cs="Times New Roman"/>
          <w:i/>
          <w:sz w:val="28"/>
          <w:szCs w:val="28"/>
          <w:lang w:val="en-US"/>
        </w:rPr>
        <w:t xml:space="preserve">” </w:t>
      </w:r>
    </w:p>
    <w:p w14:paraId="48C13104" w14:textId="77777777" w:rsidR="009F0029" w:rsidRDefault="009F0029" w:rsidP="009F0029">
      <w:pPr>
        <w:spacing w:line="240" w:lineRule="auto"/>
        <w:ind w:firstLine="360"/>
        <w:jc w:val="both"/>
        <w:rPr>
          <w:rFonts w:ascii="Times New Roman" w:hAnsi="Times New Roman" w:cs="Times New Roman"/>
          <w:b/>
          <w:sz w:val="28"/>
          <w:szCs w:val="28"/>
          <w:lang w:val="en-US"/>
        </w:rPr>
      </w:pPr>
    </w:p>
    <w:p w14:paraId="36824610" w14:textId="77777777" w:rsidR="009F0029" w:rsidRDefault="00CA5F6F" w:rsidP="009F0029">
      <w:pPr>
        <w:spacing w:line="240" w:lineRule="auto"/>
        <w:ind w:firstLine="360"/>
        <w:jc w:val="both"/>
        <w:rPr>
          <w:rFonts w:ascii="Times New Roman" w:hAnsi="Times New Roman" w:cs="Times New Roman"/>
          <w:sz w:val="28"/>
          <w:szCs w:val="28"/>
          <w:lang w:val="en-US"/>
        </w:rPr>
      </w:pPr>
      <w:r w:rsidRPr="009F0029">
        <w:rPr>
          <w:rFonts w:ascii="Times New Roman" w:hAnsi="Times New Roman" w:cs="Times New Roman"/>
          <w:b/>
          <w:sz w:val="28"/>
          <w:szCs w:val="28"/>
          <w:lang w:val="en-US"/>
        </w:rPr>
        <w:t xml:space="preserve">The Oxford Learner’s Dictionary of </w:t>
      </w:r>
      <w:r w:rsidR="0031343D" w:rsidRPr="009F0029">
        <w:rPr>
          <w:rFonts w:ascii="Times New Roman" w:hAnsi="Times New Roman" w:cs="Times New Roman"/>
          <w:b/>
          <w:sz w:val="28"/>
          <w:szCs w:val="28"/>
          <w:lang w:val="en-US"/>
        </w:rPr>
        <w:t>Current English</w:t>
      </w:r>
      <w:r>
        <w:rPr>
          <w:rStyle w:val="FootnoteReference"/>
          <w:rFonts w:ascii="Times New Roman" w:hAnsi="Times New Roman" w:cs="Times New Roman"/>
          <w:sz w:val="28"/>
          <w:szCs w:val="28"/>
          <w:lang w:val="en-US"/>
        </w:rPr>
        <w:footnoteReference w:id="12"/>
      </w:r>
      <w:r w:rsidR="0031343D" w:rsidRPr="009F0029">
        <w:rPr>
          <w:rFonts w:ascii="Times New Roman" w:hAnsi="Times New Roman" w:cs="Times New Roman"/>
          <w:sz w:val="28"/>
          <w:szCs w:val="28"/>
          <w:lang w:val="en-US"/>
        </w:rPr>
        <w:t xml:space="preserve"> defines pension</w:t>
      </w:r>
      <w:r w:rsidRPr="009F0029">
        <w:rPr>
          <w:rFonts w:ascii="Times New Roman" w:hAnsi="Times New Roman" w:cs="Times New Roman"/>
          <w:sz w:val="28"/>
          <w:szCs w:val="28"/>
          <w:lang w:val="en-US"/>
        </w:rPr>
        <w:t xml:space="preserve"> as</w:t>
      </w:r>
      <w:r w:rsidR="009F0029">
        <w:rPr>
          <w:rFonts w:ascii="Times New Roman" w:hAnsi="Times New Roman" w:cs="Times New Roman"/>
          <w:sz w:val="28"/>
          <w:szCs w:val="28"/>
          <w:lang w:val="en-US"/>
        </w:rPr>
        <w:t>;-</w:t>
      </w:r>
      <w:r w:rsidRPr="009F0029">
        <w:rPr>
          <w:rFonts w:ascii="Times New Roman" w:hAnsi="Times New Roman" w:cs="Times New Roman"/>
          <w:sz w:val="28"/>
          <w:szCs w:val="28"/>
          <w:lang w:val="en-US"/>
        </w:rPr>
        <w:t xml:space="preserve"> </w:t>
      </w:r>
    </w:p>
    <w:p w14:paraId="3EC6A4F6" w14:textId="77777777" w:rsidR="00725776" w:rsidRPr="009F0029" w:rsidRDefault="00CA5F6F" w:rsidP="009F0029">
      <w:pPr>
        <w:spacing w:line="240" w:lineRule="auto"/>
        <w:ind w:left="720"/>
        <w:jc w:val="both"/>
        <w:rPr>
          <w:rFonts w:ascii="Times New Roman" w:hAnsi="Times New Roman" w:cs="Times New Roman"/>
          <w:sz w:val="28"/>
          <w:szCs w:val="28"/>
          <w:lang w:val="en-US"/>
        </w:rPr>
      </w:pPr>
      <w:r w:rsidRPr="009F0029">
        <w:rPr>
          <w:rFonts w:ascii="Times New Roman" w:hAnsi="Times New Roman" w:cs="Times New Roman"/>
          <w:sz w:val="28"/>
          <w:szCs w:val="28"/>
          <w:lang w:val="en-US"/>
        </w:rPr>
        <w:t>“</w:t>
      </w:r>
      <w:r w:rsidR="0031343D" w:rsidRPr="009F0029">
        <w:rPr>
          <w:rFonts w:ascii="Times New Roman" w:hAnsi="Times New Roman" w:cs="Times New Roman"/>
          <w:i/>
          <w:sz w:val="28"/>
          <w:szCs w:val="28"/>
          <w:lang w:val="en-US"/>
        </w:rPr>
        <w:t>An amount of money paid regularly by a government or company to</w:t>
      </w:r>
      <w:r w:rsidRPr="009F0029">
        <w:rPr>
          <w:rFonts w:ascii="Times New Roman" w:hAnsi="Times New Roman" w:cs="Times New Roman"/>
          <w:i/>
          <w:sz w:val="28"/>
          <w:szCs w:val="28"/>
          <w:lang w:val="en-US"/>
        </w:rPr>
        <w:t xml:space="preserve"> </w:t>
      </w:r>
      <w:r w:rsidR="0031343D" w:rsidRPr="009F0029">
        <w:rPr>
          <w:rFonts w:ascii="Times New Roman" w:hAnsi="Times New Roman" w:cs="Times New Roman"/>
          <w:i/>
          <w:sz w:val="28"/>
          <w:szCs w:val="28"/>
          <w:lang w:val="en-US"/>
        </w:rPr>
        <w:t>sb (somebody) who is considered to be too old or too ill/sick to work:</w:t>
      </w:r>
      <w:r w:rsidRPr="009F0029">
        <w:rPr>
          <w:rFonts w:ascii="Times New Roman" w:hAnsi="Times New Roman" w:cs="Times New Roman"/>
          <w:i/>
          <w:sz w:val="28"/>
          <w:szCs w:val="28"/>
          <w:lang w:val="en-US"/>
        </w:rPr>
        <w:t xml:space="preserve"> </w:t>
      </w:r>
      <w:r w:rsidR="0031343D" w:rsidRPr="009F0029">
        <w:rPr>
          <w:rFonts w:ascii="Times New Roman" w:hAnsi="Times New Roman" w:cs="Times New Roman"/>
          <w:i/>
          <w:sz w:val="28"/>
          <w:szCs w:val="28"/>
          <w:lang w:val="en-US"/>
        </w:rPr>
        <w:t>to receive an old age/ a retirem</w:t>
      </w:r>
      <w:r w:rsidRPr="009F0029">
        <w:rPr>
          <w:rFonts w:ascii="Times New Roman" w:hAnsi="Times New Roman" w:cs="Times New Roman"/>
          <w:i/>
          <w:sz w:val="28"/>
          <w:szCs w:val="28"/>
          <w:lang w:val="en-US"/>
        </w:rPr>
        <w:t>ent pension, a disability/widow’</w:t>
      </w:r>
      <w:r w:rsidR="0031343D" w:rsidRPr="009F0029">
        <w:rPr>
          <w:rFonts w:ascii="Times New Roman" w:hAnsi="Times New Roman" w:cs="Times New Roman"/>
          <w:i/>
          <w:sz w:val="28"/>
          <w:szCs w:val="28"/>
          <w:lang w:val="en-US"/>
        </w:rPr>
        <w:t>s</w:t>
      </w:r>
      <w:r w:rsidRPr="009F0029">
        <w:rPr>
          <w:rFonts w:ascii="Times New Roman" w:hAnsi="Times New Roman" w:cs="Times New Roman"/>
          <w:i/>
          <w:sz w:val="28"/>
          <w:szCs w:val="28"/>
          <w:lang w:val="en-US"/>
        </w:rPr>
        <w:t xml:space="preserve"> </w:t>
      </w:r>
      <w:r w:rsidR="0031343D" w:rsidRPr="009F0029">
        <w:rPr>
          <w:rFonts w:ascii="Times New Roman" w:hAnsi="Times New Roman" w:cs="Times New Roman"/>
          <w:i/>
          <w:sz w:val="28"/>
          <w:szCs w:val="28"/>
          <w:lang w:val="en-US"/>
        </w:rPr>
        <w:t>p</w:t>
      </w:r>
      <w:r w:rsidRPr="009F0029">
        <w:rPr>
          <w:rFonts w:ascii="Times New Roman" w:hAnsi="Times New Roman" w:cs="Times New Roman"/>
          <w:i/>
          <w:sz w:val="28"/>
          <w:szCs w:val="28"/>
          <w:lang w:val="en-US"/>
        </w:rPr>
        <w:t>ension, a state pension...”</w:t>
      </w:r>
    </w:p>
    <w:p w14:paraId="65B34057" w14:textId="77777777" w:rsidR="00725776" w:rsidRDefault="00725776" w:rsidP="00CA5F6F">
      <w:pPr>
        <w:pStyle w:val="ListParagraph"/>
        <w:spacing w:line="360" w:lineRule="auto"/>
        <w:jc w:val="both"/>
        <w:rPr>
          <w:rFonts w:ascii="Times New Roman" w:hAnsi="Times New Roman" w:cs="Times New Roman"/>
          <w:sz w:val="28"/>
          <w:szCs w:val="28"/>
          <w:lang w:val="en-US"/>
        </w:rPr>
      </w:pPr>
    </w:p>
    <w:p w14:paraId="28B834AE" w14:textId="77777777" w:rsidR="009F0029" w:rsidRDefault="0031343D" w:rsidP="001B49A4">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contrast, the </w:t>
      </w:r>
      <w:r w:rsidRPr="009F0029">
        <w:rPr>
          <w:rFonts w:ascii="Times New Roman" w:hAnsi="Times New Roman" w:cs="Times New Roman"/>
          <w:b/>
          <w:sz w:val="28"/>
          <w:szCs w:val="28"/>
          <w:lang w:val="en-US"/>
        </w:rPr>
        <w:t>Cambridge International Dictionary of English</w:t>
      </w:r>
      <w:r>
        <w:rPr>
          <w:rFonts w:ascii="Times New Roman" w:hAnsi="Times New Roman" w:cs="Times New Roman"/>
          <w:sz w:val="28"/>
          <w:szCs w:val="28"/>
          <w:lang w:val="en-US"/>
        </w:rPr>
        <w:t xml:space="preserve"> (supra) defines gratuity as</w:t>
      </w:r>
      <w:r w:rsidR="009F0029">
        <w:rPr>
          <w:rFonts w:ascii="Times New Roman" w:hAnsi="Times New Roman" w:cs="Times New Roman"/>
          <w:sz w:val="28"/>
          <w:szCs w:val="28"/>
          <w:lang w:val="en-US"/>
        </w:rPr>
        <w:t>:-</w:t>
      </w:r>
    </w:p>
    <w:p w14:paraId="3DC9C057" w14:textId="77777777" w:rsidR="009F0029" w:rsidRDefault="009F0029" w:rsidP="009F0029">
      <w:pPr>
        <w:pStyle w:val="ListParagraph"/>
        <w:spacing w:line="360" w:lineRule="auto"/>
        <w:ind w:left="1440" w:firstLine="75"/>
        <w:jc w:val="both"/>
        <w:rPr>
          <w:rFonts w:ascii="Times New Roman" w:hAnsi="Times New Roman" w:cs="Times New Roman"/>
          <w:i/>
          <w:sz w:val="28"/>
          <w:szCs w:val="28"/>
          <w:lang w:val="en-US"/>
        </w:rPr>
      </w:pPr>
      <w:r>
        <w:rPr>
          <w:rFonts w:ascii="Times New Roman" w:hAnsi="Times New Roman" w:cs="Times New Roman"/>
          <w:sz w:val="28"/>
          <w:szCs w:val="28"/>
          <w:lang w:val="en-US"/>
        </w:rPr>
        <w:t>“</w:t>
      </w:r>
      <w:r w:rsidR="0031343D" w:rsidRPr="0031343D">
        <w:rPr>
          <w:rFonts w:ascii="Times New Roman" w:hAnsi="Times New Roman" w:cs="Times New Roman"/>
          <w:i/>
          <w:sz w:val="28"/>
          <w:szCs w:val="28"/>
          <w:lang w:val="en-US"/>
        </w:rPr>
        <w:t xml:space="preserve">A sum of money </w:t>
      </w:r>
      <w:r>
        <w:rPr>
          <w:rFonts w:ascii="Times New Roman" w:hAnsi="Times New Roman" w:cs="Times New Roman"/>
          <w:i/>
          <w:sz w:val="28"/>
          <w:szCs w:val="28"/>
          <w:lang w:val="en-US"/>
        </w:rPr>
        <w:t>given as a reward for a service”</w:t>
      </w:r>
      <w:r w:rsidR="0031343D" w:rsidRPr="0031343D">
        <w:rPr>
          <w:rFonts w:ascii="Times New Roman" w:hAnsi="Times New Roman" w:cs="Times New Roman"/>
          <w:i/>
          <w:sz w:val="28"/>
          <w:szCs w:val="28"/>
          <w:lang w:val="en-US"/>
        </w:rPr>
        <w:t>.</w:t>
      </w:r>
    </w:p>
    <w:p w14:paraId="7FE4AE3B" w14:textId="77777777" w:rsidR="00725776" w:rsidRPr="009F0029" w:rsidRDefault="0031343D" w:rsidP="009F0029">
      <w:pPr>
        <w:spacing w:line="360" w:lineRule="auto"/>
        <w:ind w:left="720"/>
        <w:jc w:val="both"/>
        <w:rPr>
          <w:rFonts w:ascii="Times New Roman" w:hAnsi="Times New Roman" w:cs="Times New Roman"/>
          <w:sz w:val="28"/>
          <w:szCs w:val="28"/>
          <w:lang w:val="en-US"/>
        </w:rPr>
      </w:pPr>
      <w:r w:rsidRPr="009F0029">
        <w:rPr>
          <w:rFonts w:ascii="Times New Roman" w:hAnsi="Times New Roman" w:cs="Times New Roman"/>
          <w:b/>
          <w:sz w:val="28"/>
          <w:szCs w:val="28"/>
          <w:lang w:val="en-US"/>
        </w:rPr>
        <w:t>The Oxford Leaner's Dictionary of Current English</w:t>
      </w:r>
      <w:r w:rsidRPr="009F0029">
        <w:rPr>
          <w:rFonts w:ascii="Times New Roman" w:hAnsi="Times New Roman" w:cs="Times New Roman"/>
          <w:i/>
          <w:sz w:val="28"/>
          <w:szCs w:val="28"/>
          <w:lang w:val="en-US"/>
        </w:rPr>
        <w:t xml:space="preserve"> </w:t>
      </w:r>
      <w:r w:rsidRPr="009F0029">
        <w:rPr>
          <w:rFonts w:ascii="Times New Roman" w:hAnsi="Times New Roman" w:cs="Times New Roman"/>
          <w:sz w:val="28"/>
          <w:szCs w:val="28"/>
          <w:lang w:val="en-US"/>
        </w:rPr>
        <w:t>(supra) defines</w:t>
      </w:r>
      <w:r w:rsidR="009F0029">
        <w:rPr>
          <w:rFonts w:ascii="Times New Roman" w:hAnsi="Times New Roman" w:cs="Times New Roman"/>
          <w:sz w:val="28"/>
          <w:szCs w:val="28"/>
          <w:lang w:val="en-US"/>
        </w:rPr>
        <w:t xml:space="preserve"> </w:t>
      </w:r>
      <w:r w:rsidRPr="009F0029">
        <w:rPr>
          <w:rFonts w:ascii="Times New Roman" w:hAnsi="Times New Roman" w:cs="Times New Roman"/>
          <w:sz w:val="28"/>
          <w:szCs w:val="28"/>
          <w:lang w:val="en-US"/>
        </w:rPr>
        <w:t>gratuity as</w:t>
      </w:r>
      <w:r w:rsidR="009F0029" w:rsidRPr="009F0029">
        <w:rPr>
          <w:rFonts w:ascii="Times New Roman" w:hAnsi="Times New Roman" w:cs="Times New Roman"/>
          <w:sz w:val="28"/>
          <w:szCs w:val="28"/>
          <w:lang w:val="en-US"/>
        </w:rPr>
        <w:t>:-</w:t>
      </w:r>
    </w:p>
    <w:p w14:paraId="02FD0B78" w14:textId="77777777" w:rsidR="00725776" w:rsidRDefault="009F0029" w:rsidP="003640E6">
      <w:pPr>
        <w:pStyle w:val="ListParagraph"/>
        <w:spacing w:line="240" w:lineRule="auto"/>
        <w:ind w:left="1440"/>
        <w:jc w:val="both"/>
        <w:rPr>
          <w:rFonts w:ascii="Times New Roman" w:hAnsi="Times New Roman" w:cs="Times New Roman"/>
          <w:sz w:val="28"/>
          <w:szCs w:val="28"/>
          <w:lang w:val="en-US"/>
        </w:rPr>
      </w:pPr>
      <w:r>
        <w:rPr>
          <w:rFonts w:ascii="Times New Roman" w:hAnsi="Times New Roman" w:cs="Times New Roman"/>
          <w:i/>
          <w:sz w:val="28"/>
          <w:szCs w:val="28"/>
          <w:lang w:val="en-US"/>
        </w:rPr>
        <w:t>“</w:t>
      </w:r>
      <w:r w:rsidR="0031343D" w:rsidRPr="0031343D">
        <w:rPr>
          <w:rFonts w:ascii="Times New Roman" w:hAnsi="Times New Roman" w:cs="Times New Roman"/>
          <w:i/>
          <w:sz w:val="28"/>
          <w:szCs w:val="28"/>
          <w:lang w:val="en-US"/>
        </w:rPr>
        <w:t>(1) (format) money that you give to sb who has provided a service</w:t>
      </w:r>
      <w:r>
        <w:rPr>
          <w:rFonts w:ascii="Times New Roman" w:hAnsi="Times New Roman" w:cs="Times New Roman"/>
          <w:i/>
          <w:sz w:val="28"/>
          <w:szCs w:val="28"/>
          <w:lang w:val="en-US"/>
        </w:rPr>
        <w:t xml:space="preserve"> </w:t>
      </w:r>
      <w:r w:rsidR="0031343D" w:rsidRPr="0031343D">
        <w:rPr>
          <w:rFonts w:ascii="Times New Roman" w:hAnsi="Times New Roman" w:cs="Times New Roman"/>
          <w:i/>
          <w:sz w:val="28"/>
          <w:szCs w:val="28"/>
          <w:lang w:val="en-US"/>
        </w:rPr>
        <w:t>for</w:t>
      </w:r>
      <w:r>
        <w:rPr>
          <w:rFonts w:ascii="Times New Roman" w:hAnsi="Times New Roman" w:cs="Times New Roman"/>
          <w:i/>
          <w:sz w:val="28"/>
          <w:szCs w:val="28"/>
          <w:lang w:val="en-US"/>
        </w:rPr>
        <w:t xml:space="preserve"> </w:t>
      </w:r>
      <w:r w:rsidR="0031343D" w:rsidRPr="0031343D">
        <w:rPr>
          <w:rFonts w:ascii="Times New Roman" w:hAnsi="Times New Roman" w:cs="Times New Roman"/>
          <w:i/>
          <w:sz w:val="28"/>
          <w:szCs w:val="28"/>
          <w:lang w:val="en-US"/>
        </w:rPr>
        <w:t>you (2) money that is given to employees when they leave their job.</w:t>
      </w:r>
      <w:r>
        <w:rPr>
          <w:rFonts w:ascii="Times New Roman" w:hAnsi="Times New Roman" w:cs="Times New Roman"/>
          <w:i/>
          <w:sz w:val="28"/>
          <w:szCs w:val="28"/>
          <w:lang w:val="en-US"/>
        </w:rPr>
        <w:t>”</w:t>
      </w:r>
    </w:p>
    <w:p w14:paraId="40AD9BCA" w14:textId="77777777" w:rsidR="00725776" w:rsidRDefault="00725776" w:rsidP="003640E6">
      <w:pPr>
        <w:pStyle w:val="ListParagraph"/>
        <w:spacing w:line="360" w:lineRule="auto"/>
        <w:jc w:val="both"/>
        <w:rPr>
          <w:rFonts w:ascii="Times New Roman" w:hAnsi="Times New Roman" w:cs="Times New Roman"/>
          <w:sz w:val="28"/>
          <w:szCs w:val="28"/>
          <w:lang w:val="en-US"/>
        </w:rPr>
      </w:pPr>
    </w:p>
    <w:p w14:paraId="5F3E59C4" w14:textId="77777777" w:rsidR="003640E6" w:rsidRDefault="0031343D" w:rsidP="009C7BBA">
      <w:pPr>
        <w:pStyle w:val="ListParagraph"/>
        <w:numPr>
          <w:ilvl w:val="0"/>
          <w:numId w:val="3"/>
        </w:numPr>
        <w:spacing w:line="360" w:lineRule="auto"/>
        <w:jc w:val="both"/>
        <w:rPr>
          <w:rFonts w:ascii="Times New Roman" w:hAnsi="Times New Roman" w:cs="Times New Roman"/>
          <w:sz w:val="28"/>
          <w:szCs w:val="28"/>
          <w:lang w:val="en-US"/>
        </w:rPr>
      </w:pPr>
      <w:r w:rsidRPr="003640E6">
        <w:rPr>
          <w:rFonts w:ascii="Times New Roman" w:hAnsi="Times New Roman" w:cs="Times New Roman"/>
          <w:sz w:val="28"/>
          <w:szCs w:val="28"/>
          <w:lang w:val="en-US"/>
        </w:rPr>
        <w:t>Within the context of the instant case, it is apparent from the foregoing definitions of the two words that they serve entirely different purposes. Pension is given to an employee upon retirement and through instalments. Gratuity on the other</w:t>
      </w:r>
      <w:r w:rsidR="003640E6" w:rsidRPr="003640E6">
        <w:rPr>
          <w:rFonts w:ascii="Times New Roman" w:hAnsi="Times New Roman" w:cs="Times New Roman"/>
          <w:sz w:val="28"/>
          <w:szCs w:val="28"/>
          <w:lang w:val="en-US"/>
        </w:rPr>
        <w:t xml:space="preserve"> </w:t>
      </w:r>
      <w:r w:rsidRPr="003640E6">
        <w:rPr>
          <w:rFonts w:ascii="Times New Roman" w:hAnsi="Times New Roman" w:cs="Times New Roman"/>
          <w:sz w:val="28"/>
          <w:szCs w:val="28"/>
          <w:lang w:val="en-US"/>
        </w:rPr>
        <w:t>hand is given at the</w:t>
      </w:r>
      <w:r w:rsidR="003640E6" w:rsidRPr="003640E6">
        <w:rPr>
          <w:lang w:val="en-US"/>
        </w:rPr>
        <w:t xml:space="preserve"> </w:t>
      </w:r>
      <w:r w:rsidR="003640E6" w:rsidRPr="003640E6">
        <w:rPr>
          <w:rFonts w:ascii="Times New Roman" w:hAnsi="Times New Roman" w:cs="Times New Roman"/>
          <w:sz w:val="28"/>
          <w:szCs w:val="28"/>
          <w:lang w:val="en-US"/>
        </w:rPr>
        <w:t xml:space="preserve">pleasure of an employer or in appreciation of services rendered. It is normally given in a lump sum in </w:t>
      </w:r>
      <w:r w:rsidR="003640E6" w:rsidRPr="003640E6">
        <w:rPr>
          <w:rFonts w:ascii="Times New Roman" w:hAnsi="Times New Roman" w:cs="Times New Roman"/>
          <w:sz w:val="28"/>
          <w:szCs w:val="28"/>
          <w:lang w:val="en-US"/>
        </w:rPr>
        <w:lastRenderedPageBreak/>
        <w:t>appreciation of a service. It also covers payment made when an employee leaves the employment service</w:t>
      </w:r>
      <w:r w:rsidR="00480A96">
        <w:rPr>
          <w:rFonts w:ascii="Times New Roman" w:hAnsi="Times New Roman" w:cs="Times New Roman"/>
          <w:sz w:val="28"/>
          <w:szCs w:val="28"/>
          <w:lang w:val="en-US"/>
        </w:rPr>
        <w:t>, in this case the fixed term Service Contract</w:t>
      </w:r>
      <w:r w:rsidR="003640E6" w:rsidRPr="003640E6">
        <w:rPr>
          <w:rFonts w:ascii="Times New Roman" w:hAnsi="Times New Roman" w:cs="Times New Roman"/>
          <w:sz w:val="28"/>
          <w:szCs w:val="28"/>
          <w:lang w:val="en-US"/>
        </w:rPr>
        <w:t>. The word gratuity seems to come from the word gratuitous</w:t>
      </w:r>
      <w:r w:rsidR="003B245F">
        <w:rPr>
          <w:rFonts w:ascii="Times New Roman" w:hAnsi="Times New Roman" w:cs="Times New Roman"/>
          <w:sz w:val="28"/>
          <w:szCs w:val="28"/>
          <w:lang w:val="en-US"/>
        </w:rPr>
        <w:t xml:space="preserve"> (given freely or free of charge)</w:t>
      </w:r>
      <w:r w:rsidR="003640E6" w:rsidRPr="003640E6">
        <w:rPr>
          <w:rFonts w:ascii="Times New Roman" w:hAnsi="Times New Roman" w:cs="Times New Roman"/>
          <w:sz w:val="28"/>
          <w:szCs w:val="28"/>
          <w:lang w:val="en-US"/>
        </w:rPr>
        <w:t xml:space="preserve">. </w:t>
      </w:r>
    </w:p>
    <w:p w14:paraId="7606ACAF" w14:textId="77777777" w:rsidR="003640E6" w:rsidRDefault="003640E6" w:rsidP="003640E6">
      <w:pPr>
        <w:pStyle w:val="ListParagraph"/>
        <w:spacing w:line="360" w:lineRule="auto"/>
        <w:jc w:val="both"/>
        <w:rPr>
          <w:rFonts w:ascii="Times New Roman" w:hAnsi="Times New Roman" w:cs="Times New Roman"/>
          <w:sz w:val="28"/>
          <w:szCs w:val="28"/>
          <w:lang w:val="en-US"/>
        </w:rPr>
      </w:pPr>
    </w:p>
    <w:p w14:paraId="791BB8C5" w14:textId="77777777" w:rsidR="00725776" w:rsidRPr="003640E6" w:rsidRDefault="00132F89" w:rsidP="009C7BBA">
      <w:pPr>
        <w:pStyle w:val="ListParagraph"/>
        <w:numPr>
          <w:ilvl w:val="0"/>
          <w:numId w:val="3"/>
        </w:numPr>
        <w:spacing w:line="360" w:lineRule="auto"/>
        <w:jc w:val="both"/>
        <w:rPr>
          <w:rFonts w:ascii="Times New Roman" w:hAnsi="Times New Roman" w:cs="Times New Roman"/>
          <w:sz w:val="28"/>
          <w:szCs w:val="28"/>
          <w:lang w:val="en-US"/>
        </w:rPr>
      </w:pPr>
      <w:r w:rsidRPr="003640E6">
        <w:rPr>
          <w:rFonts w:ascii="Times New Roman" w:hAnsi="Times New Roman" w:cs="Times New Roman"/>
          <w:sz w:val="28"/>
          <w:szCs w:val="28"/>
          <w:lang w:val="en-US"/>
        </w:rPr>
        <w:t xml:space="preserve">I have already indicated that the respondents have failed to put forth evidence that </w:t>
      </w:r>
      <w:r w:rsidR="0054349C" w:rsidRPr="003640E6">
        <w:rPr>
          <w:rFonts w:ascii="Times New Roman" w:hAnsi="Times New Roman" w:cs="Times New Roman"/>
          <w:sz w:val="28"/>
          <w:szCs w:val="28"/>
          <w:lang w:val="en-US"/>
        </w:rPr>
        <w:t>added, varied or contradicted</w:t>
      </w:r>
      <w:r w:rsidRPr="003640E6">
        <w:rPr>
          <w:rFonts w:ascii="Times New Roman" w:hAnsi="Times New Roman" w:cs="Times New Roman"/>
          <w:sz w:val="28"/>
          <w:szCs w:val="28"/>
          <w:lang w:val="en-US"/>
        </w:rPr>
        <w:t xml:space="preserve"> </w:t>
      </w:r>
      <w:r w:rsidR="0054349C" w:rsidRPr="003640E6">
        <w:rPr>
          <w:rFonts w:ascii="Times New Roman" w:hAnsi="Times New Roman" w:cs="Times New Roman"/>
          <w:sz w:val="28"/>
          <w:szCs w:val="28"/>
          <w:lang w:val="en-US"/>
        </w:rPr>
        <w:t xml:space="preserve">the </w:t>
      </w:r>
      <w:r w:rsidRPr="003640E6">
        <w:rPr>
          <w:rFonts w:ascii="Times New Roman" w:hAnsi="Times New Roman" w:cs="Times New Roman"/>
          <w:sz w:val="28"/>
          <w:szCs w:val="28"/>
          <w:lang w:val="en-US"/>
        </w:rPr>
        <w:t xml:space="preserve">intention of the parties as </w:t>
      </w:r>
      <w:r w:rsidR="0054349C" w:rsidRPr="003640E6">
        <w:rPr>
          <w:rFonts w:ascii="Times New Roman" w:hAnsi="Times New Roman" w:cs="Times New Roman"/>
          <w:sz w:val="28"/>
          <w:szCs w:val="28"/>
          <w:lang w:val="en-US"/>
        </w:rPr>
        <w:t>expressed in</w:t>
      </w:r>
      <w:r w:rsidRPr="003640E6">
        <w:rPr>
          <w:rFonts w:ascii="Times New Roman" w:hAnsi="Times New Roman" w:cs="Times New Roman"/>
          <w:sz w:val="28"/>
          <w:szCs w:val="28"/>
          <w:lang w:val="en-US"/>
        </w:rPr>
        <w:t xml:space="preserve"> the written and signed Service Contract regarding payment of gratuity to the applicant. </w:t>
      </w:r>
      <w:r w:rsidR="00387C58" w:rsidRPr="003640E6">
        <w:rPr>
          <w:rFonts w:ascii="Times New Roman" w:hAnsi="Times New Roman" w:cs="Times New Roman"/>
          <w:sz w:val="28"/>
          <w:szCs w:val="28"/>
          <w:lang w:val="en-US"/>
        </w:rPr>
        <w:t>It</w:t>
      </w:r>
      <w:r w:rsidRPr="003640E6">
        <w:rPr>
          <w:rFonts w:ascii="Times New Roman" w:hAnsi="Times New Roman" w:cs="Times New Roman"/>
          <w:sz w:val="28"/>
          <w:szCs w:val="28"/>
          <w:lang w:val="en-US"/>
        </w:rPr>
        <w:t xml:space="preserve"> is my view that it is not utterly unreasonable to find a contract where an employee is entitled to gratuity </w:t>
      </w:r>
      <w:r w:rsidR="00F230E1" w:rsidRPr="003640E6">
        <w:rPr>
          <w:rFonts w:ascii="Times New Roman" w:hAnsi="Times New Roman" w:cs="Times New Roman"/>
          <w:sz w:val="28"/>
          <w:szCs w:val="28"/>
          <w:lang w:val="en-US"/>
        </w:rPr>
        <w:t>at the end of a fixed-term Service Contract</w:t>
      </w:r>
      <w:r w:rsidR="00387C58" w:rsidRPr="003640E6">
        <w:rPr>
          <w:rFonts w:ascii="Times New Roman" w:hAnsi="Times New Roman" w:cs="Times New Roman"/>
          <w:sz w:val="28"/>
          <w:szCs w:val="28"/>
          <w:lang w:val="en-US"/>
        </w:rPr>
        <w:t xml:space="preserve"> in which the employee performed a specific assignment, while the same employee</w:t>
      </w:r>
      <w:r w:rsidR="00F230E1" w:rsidRPr="003640E6">
        <w:rPr>
          <w:rFonts w:ascii="Times New Roman" w:hAnsi="Times New Roman" w:cs="Times New Roman"/>
          <w:sz w:val="28"/>
          <w:szCs w:val="28"/>
          <w:lang w:val="en-US"/>
        </w:rPr>
        <w:t xml:space="preserve"> would still be entitled to p</w:t>
      </w:r>
      <w:r w:rsidR="00387C58" w:rsidRPr="003640E6">
        <w:rPr>
          <w:rFonts w:ascii="Times New Roman" w:hAnsi="Times New Roman" w:cs="Times New Roman"/>
          <w:sz w:val="28"/>
          <w:szCs w:val="28"/>
          <w:lang w:val="en-US"/>
        </w:rPr>
        <w:t xml:space="preserve">ension later on upon retirement. </w:t>
      </w:r>
      <w:r w:rsidR="009142F6" w:rsidRPr="003640E6">
        <w:rPr>
          <w:rFonts w:ascii="Times New Roman" w:hAnsi="Times New Roman" w:cs="Times New Roman"/>
          <w:sz w:val="28"/>
          <w:szCs w:val="28"/>
          <w:lang w:val="en-US"/>
        </w:rPr>
        <w:t xml:space="preserve">Indeed this is what can be assumed from the reading of clause 9 of the Service Contract which is to the effect that a teacher who was permanent and pensionable and was 55 years and above upon entering into the contract, would be deemed to have taken early retirement and would permit the employer to retire him/her forthwith. Definitely, the employer would then be entitled to get such an employee pension upon retiring as well as the gratuity at the end of the service contract under clauses 7 and 8. </w:t>
      </w:r>
    </w:p>
    <w:p w14:paraId="378C5FDE" w14:textId="77777777" w:rsidR="00725776" w:rsidRDefault="00725776" w:rsidP="00725776">
      <w:pPr>
        <w:pStyle w:val="ListParagraph"/>
        <w:spacing w:line="360" w:lineRule="auto"/>
        <w:jc w:val="both"/>
        <w:rPr>
          <w:rFonts w:ascii="Times New Roman" w:hAnsi="Times New Roman" w:cs="Times New Roman"/>
          <w:sz w:val="28"/>
          <w:szCs w:val="28"/>
          <w:lang w:val="en-US"/>
        </w:rPr>
      </w:pPr>
    </w:p>
    <w:p w14:paraId="1F469CB2" w14:textId="77777777" w:rsidR="00387C58" w:rsidRDefault="009142F6" w:rsidP="003640E6">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w:t>
      </w:r>
      <w:r w:rsidR="00F230E1">
        <w:rPr>
          <w:rFonts w:ascii="Times New Roman" w:hAnsi="Times New Roman" w:cs="Times New Roman"/>
          <w:sz w:val="28"/>
          <w:szCs w:val="28"/>
          <w:lang w:val="en-US"/>
        </w:rPr>
        <w:t>his court</w:t>
      </w:r>
      <w:r w:rsidR="00FA4D6E">
        <w:rPr>
          <w:rFonts w:ascii="Times New Roman" w:hAnsi="Times New Roman" w:cs="Times New Roman"/>
          <w:sz w:val="28"/>
          <w:szCs w:val="28"/>
          <w:lang w:val="en-US"/>
        </w:rPr>
        <w:t xml:space="preserve">, premised on the parole evidence rule, gives effect to the </w:t>
      </w:r>
      <w:r w:rsidR="00F230E1">
        <w:rPr>
          <w:rFonts w:ascii="Times New Roman" w:hAnsi="Times New Roman" w:cs="Times New Roman"/>
          <w:sz w:val="28"/>
          <w:szCs w:val="28"/>
          <w:lang w:val="en-US"/>
        </w:rPr>
        <w:t>true intention of the parties</w:t>
      </w:r>
      <w:r w:rsidR="00FA4D6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as expressed in the contract. The court, therefore, </w:t>
      </w:r>
      <w:r w:rsidR="00FA4D6E">
        <w:rPr>
          <w:rFonts w:ascii="Times New Roman" w:hAnsi="Times New Roman" w:cs="Times New Roman"/>
          <w:sz w:val="28"/>
          <w:szCs w:val="28"/>
          <w:lang w:val="en-US"/>
        </w:rPr>
        <w:t>finds that the</w:t>
      </w:r>
      <w:r>
        <w:rPr>
          <w:rFonts w:ascii="Times New Roman" w:hAnsi="Times New Roman" w:cs="Times New Roman"/>
          <w:sz w:val="28"/>
          <w:szCs w:val="28"/>
          <w:lang w:val="en-US"/>
        </w:rPr>
        <w:t xml:space="preserve"> parties</w:t>
      </w:r>
      <w:r w:rsidR="00FA4D6E">
        <w:rPr>
          <w:rFonts w:ascii="Times New Roman" w:hAnsi="Times New Roman" w:cs="Times New Roman"/>
          <w:sz w:val="28"/>
          <w:szCs w:val="28"/>
          <w:lang w:val="en-US"/>
        </w:rPr>
        <w:t xml:space="preserve"> intended </w:t>
      </w:r>
      <w:r w:rsidR="00F230E1">
        <w:rPr>
          <w:rFonts w:ascii="Times New Roman" w:hAnsi="Times New Roman" w:cs="Times New Roman"/>
          <w:sz w:val="28"/>
          <w:szCs w:val="28"/>
          <w:lang w:val="en-US"/>
        </w:rPr>
        <w:t>that the applicant would be paid gratuity pursuant to clauses 7 and 8 upon the expiry of the Service Contract.</w:t>
      </w:r>
    </w:p>
    <w:p w14:paraId="72F6125B" w14:textId="77777777" w:rsidR="00387C58" w:rsidRDefault="00387C58" w:rsidP="00387C58">
      <w:pPr>
        <w:pStyle w:val="ListParagraph"/>
        <w:spacing w:line="360" w:lineRule="auto"/>
        <w:jc w:val="both"/>
        <w:rPr>
          <w:rFonts w:ascii="Times New Roman" w:hAnsi="Times New Roman" w:cs="Times New Roman"/>
          <w:sz w:val="28"/>
          <w:szCs w:val="28"/>
          <w:lang w:val="en-US"/>
        </w:rPr>
      </w:pPr>
    </w:p>
    <w:p w14:paraId="652B2804" w14:textId="77777777" w:rsidR="007C04BE" w:rsidRDefault="009142F6" w:rsidP="003640E6">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 is trite that </w:t>
      </w:r>
      <w:r w:rsidR="004B52E5">
        <w:rPr>
          <w:rFonts w:ascii="Times New Roman" w:hAnsi="Times New Roman" w:cs="Times New Roman"/>
          <w:sz w:val="28"/>
          <w:szCs w:val="28"/>
          <w:lang w:val="en-US"/>
        </w:rPr>
        <w:t xml:space="preserve">to ascertain the true intention of the parties from a written contract, the court has to refer to the language used on the contract and apply the golden rule of interpretation by giving the language its </w:t>
      </w:r>
      <w:r w:rsidR="004B52E5">
        <w:rPr>
          <w:rFonts w:ascii="Times New Roman" w:hAnsi="Times New Roman" w:cs="Times New Roman"/>
          <w:sz w:val="28"/>
          <w:szCs w:val="28"/>
          <w:lang w:val="en-US"/>
        </w:rPr>
        <w:lastRenderedPageBreak/>
        <w:t>grammatical and ordinary meaning, unless this would result in some absurdity, or some repugnancy or inconsistency with the rest of the contact (</w:t>
      </w:r>
      <w:r w:rsidRPr="00725776">
        <w:rPr>
          <w:rFonts w:ascii="Times New Roman" w:hAnsi="Times New Roman" w:cs="Times New Roman"/>
          <w:b/>
          <w:sz w:val="28"/>
          <w:szCs w:val="28"/>
          <w:lang w:val="en-US"/>
        </w:rPr>
        <w:t>Rielly v Seligson and Clare Ltd</w:t>
      </w:r>
      <w:r>
        <w:rPr>
          <w:rStyle w:val="FootnoteReference"/>
          <w:rFonts w:ascii="Times New Roman" w:hAnsi="Times New Roman" w:cs="Times New Roman"/>
          <w:sz w:val="28"/>
          <w:szCs w:val="28"/>
          <w:lang w:val="en-US"/>
        </w:rPr>
        <w:footnoteReference w:id="13"/>
      </w:r>
      <w:r w:rsidR="004B52E5">
        <w:rPr>
          <w:rFonts w:ascii="Times New Roman" w:hAnsi="Times New Roman" w:cs="Times New Roman"/>
          <w:sz w:val="28"/>
          <w:szCs w:val="28"/>
          <w:lang w:val="en-US"/>
        </w:rPr>
        <w:t>).</w:t>
      </w:r>
      <w:r w:rsidR="008A082D">
        <w:rPr>
          <w:rFonts w:ascii="Times New Roman" w:hAnsi="Times New Roman" w:cs="Times New Roman"/>
          <w:sz w:val="28"/>
          <w:szCs w:val="28"/>
          <w:lang w:val="en-US"/>
        </w:rPr>
        <w:t xml:space="preserve"> </w:t>
      </w:r>
      <w:r>
        <w:rPr>
          <w:rFonts w:ascii="Times New Roman" w:hAnsi="Times New Roman" w:cs="Times New Roman"/>
          <w:sz w:val="28"/>
          <w:szCs w:val="28"/>
          <w:lang w:val="en-US"/>
        </w:rPr>
        <w:t>The principle has been elaborated</w:t>
      </w:r>
      <w:r w:rsidR="008A082D">
        <w:rPr>
          <w:rFonts w:ascii="Times New Roman" w:hAnsi="Times New Roman" w:cs="Times New Roman"/>
          <w:sz w:val="28"/>
          <w:szCs w:val="28"/>
          <w:lang w:val="en-US"/>
        </w:rPr>
        <w:t xml:space="preserve"> by Christie</w:t>
      </w:r>
      <w:r>
        <w:rPr>
          <w:rStyle w:val="FootnoteReference"/>
          <w:rFonts w:ascii="Times New Roman" w:hAnsi="Times New Roman" w:cs="Times New Roman"/>
          <w:sz w:val="28"/>
          <w:szCs w:val="28"/>
          <w:lang w:val="en-US"/>
        </w:rPr>
        <w:footnoteReference w:id="14"/>
      </w:r>
      <w:r>
        <w:rPr>
          <w:rFonts w:ascii="Times New Roman" w:hAnsi="Times New Roman" w:cs="Times New Roman"/>
          <w:sz w:val="28"/>
          <w:szCs w:val="28"/>
          <w:lang w:val="en-US"/>
        </w:rPr>
        <w:t xml:space="preserve"> in the following terms:-</w:t>
      </w:r>
    </w:p>
    <w:p w14:paraId="43AAFE24" w14:textId="77777777" w:rsidR="008A082D" w:rsidRDefault="009142F6" w:rsidP="007C04BE">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11E47902" w14:textId="77777777" w:rsidR="008A082D" w:rsidRDefault="009142F6" w:rsidP="007C04BE">
      <w:pPr>
        <w:pStyle w:val="ListParagraph"/>
        <w:spacing w:line="240" w:lineRule="auto"/>
        <w:ind w:left="144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3E254A" w:rsidRPr="007C04BE">
        <w:rPr>
          <w:rFonts w:ascii="Times New Roman" w:hAnsi="Times New Roman" w:cs="Times New Roman"/>
          <w:i/>
          <w:sz w:val="28"/>
          <w:szCs w:val="28"/>
          <w:lang w:val="en-US"/>
        </w:rPr>
        <w:t>The key to understanding the modern law is the concept of the common intention of the parties, which may be a very different thing from the actual intention locked up in the mind of each party at the time of contracting, and even more different from what, after a dispute has arisen, each party honestly or dishonestly maintains his intention then to have been. In pursuing either of the latter concepts the court is on slippery ground but the language of the contract to which both parties have assented or must be taken to have assented offers a firmer footing, so it is there that the common intention of the parties must be sought, and in order to take proper advantage of this firmer footing the inquiry must start with the grammatical or ordinary sense of the words.</w:t>
      </w:r>
      <w:r w:rsidR="007C04BE" w:rsidRPr="007C04BE">
        <w:rPr>
          <w:rFonts w:ascii="Times New Roman" w:hAnsi="Times New Roman" w:cs="Times New Roman"/>
          <w:i/>
          <w:sz w:val="28"/>
          <w:szCs w:val="28"/>
          <w:lang w:val="en-US"/>
        </w:rPr>
        <w:t>”</w:t>
      </w:r>
    </w:p>
    <w:p w14:paraId="0502F19C" w14:textId="77777777" w:rsidR="007C04BE" w:rsidRDefault="007C04BE" w:rsidP="008A082D">
      <w:pPr>
        <w:pStyle w:val="ListParagraph"/>
        <w:spacing w:line="360" w:lineRule="auto"/>
        <w:ind w:left="1440"/>
        <w:jc w:val="both"/>
        <w:rPr>
          <w:rFonts w:ascii="Times New Roman" w:hAnsi="Times New Roman" w:cs="Times New Roman"/>
          <w:sz w:val="28"/>
          <w:szCs w:val="28"/>
          <w:lang w:val="en-US"/>
        </w:rPr>
      </w:pPr>
    </w:p>
    <w:p w14:paraId="5CFBA3C5" w14:textId="77777777" w:rsidR="004029C7" w:rsidRDefault="009142F6" w:rsidP="003640E6">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my view therefore </w:t>
      </w:r>
      <w:r w:rsidRPr="004029C7">
        <w:rPr>
          <w:rFonts w:ascii="Times New Roman" w:hAnsi="Times New Roman" w:cs="Times New Roman"/>
          <w:sz w:val="28"/>
          <w:szCs w:val="28"/>
          <w:lang w:val="en-US"/>
        </w:rPr>
        <w:t>that as a matter of the ordinary meaning of the language of clauses 7 and 8 of the Service Contract, their plain and ordinary meaning is that the applicant was entitled to payment of gratuity at the end of the contract.</w:t>
      </w:r>
    </w:p>
    <w:p w14:paraId="3CC69BF3" w14:textId="77777777" w:rsidR="004029C7" w:rsidRPr="004029C7" w:rsidRDefault="004029C7" w:rsidP="004029C7">
      <w:pPr>
        <w:spacing w:line="360" w:lineRule="auto"/>
        <w:jc w:val="both"/>
        <w:rPr>
          <w:rFonts w:ascii="Times New Roman" w:hAnsi="Times New Roman" w:cs="Times New Roman"/>
          <w:sz w:val="28"/>
          <w:szCs w:val="28"/>
          <w:lang w:val="en-US"/>
        </w:rPr>
      </w:pPr>
    </w:p>
    <w:p w14:paraId="2A599BE2" w14:textId="77777777" w:rsidR="004029C7" w:rsidRDefault="009142F6" w:rsidP="003640E6">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Now coming to the issue of the Cabinet decision which was made on  11</w:t>
      </w:r>
      <w:r w:rsidRPr="00F230E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June 2019, it cannot apply to amend</w:t>
      </w:r>
      <w:r w:rsidR="007C04BE">
        <w:rPr>
          <w:rFonts w:ascii="Times New Roman" w:hAnsi="Times New Roman" w:cs="Times New Roman"/>
          <w:sz w:val="28"/>
          <w:szCs w:val="28"/>
          <w:lang w:val="en-US"/>
        </w:rPr>
        <w:t xml:space="preserve"> or vary</w:t>
      </w:r>
      <w:r>
        <w:rPr>
          <w:rFonts w:ascii="Times New Roman" w:hAnsi="Times New Roman" w:cs="Times New Roman"/>
          <w:sz w:val="28"/>
          <w:szCs w:val="28"/>
          <w:lang w:val="en-US"/>
        </w:rPr>
        <w:t xml:space="preserve"> the Service Contract </w:t>
      </w:r>
      <w:r w:rsidR="007C04BE">
        <w:rPr>
          <w:rFonts w:ascii="Times New Roman" w:hAnsi="Times New Roman" w:cs="Times New Roman"/>
          <w:sz w:val="28"/>
          <w:szCs w:val="28"/>
          <w:lang w:val="en-US"/>
        </w:rPr>
        <w:t xml:space="preserve">between the parties on two grounds. Firstly, it was unilateral as the applicant had not </w:t>
      </w:r>
      <w:r>
        <w:rPr>
          <w:rFonts w:ascii="Times New Roman" w:hAnsi="Times New Roman" w:cs="Times New Roman"/>
          <w:sz w:val="28"/>
          <w:szCs w:val="28"/>
          <w:lang w:val="en-US"/>
        </w:rPr>
        <w:t>been consulted as he submitted; and secondly, it was made long after the Service Contract had expired on 31</w:t>
      </w:r>
      <w:r w:rsidRPr="00F230E1">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October 2016. The respondents’ submission that the Cabinet decision applies to the Service Contract </w:t>
      </w:r>
      <w:r>
        <w:rPr>
          <w:rFonts w:ascii="Times New Roman" w:hAnsi="Times New Roman" w:cs="Times New Roman"/>
          <w:sz w:val="28"/>
          <w:szCs w:val="28"/>
          <w:lang w:val="en-US"/>
        </w:rPr>
        <w:lastRenderedPageBreak/>
        <w:t xml:space="preserve">between the applicant and the TSC is without merit and it is therefore dismissed. </w:t>
      </w:r>
    </w:p>
    <w:p w14:paraId="4ABE0870" w14:textId="77777777" w:rsidR="004029C7" w:rsidRDefault="004029C7" w:rsidP="004029C7">
      <w:pPr>
        <w:pStyle w:val="ListParagraph"/>
        <w:spacing w:line="360" w:lineRule="auto"/>
        <w:jc w:val="both"/>
        <w:rPr>
          <w:rFonts w:ascii="Times New Roman" w:hAnsi="Times New Roman" w:cs="Times New Roman"/>
          <w:sz w:val="28"/>
          <w:szCs w:val="28"/>
          <w:lang w:val="en-US"/>
        </w:rPr>
      </w:pPr>
    </w:p>
    <w:p w14:paraId="77569AA2" w14:textId="77777777" w:rsidR="00F71980" w:rsidRDefault="009142F6" w:rsidP="003640E6">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On the conspectus of all of the foregoing considerations, I find that the applicant was</w:t>
      </w:r>
      <w:r w:rsidR="009F7FFB">
        <w:rPr>
          <w:rFonts w:ascii="Times New Roman" w:hAnsi="Times New Roman" w:cs="Times New Roman"/>
          <w:sz w:val="28"/>
          <w:szCs w:val="28"/>
          <w:lang w:val="en-US"/>
        </w:rPr>
        <w:t>,</w:t>
      </w:r>
      <w:r>
        <w:rPr>
          <w:rFonts w:ascii="Times New Roman" w:hAnsi="Times New Roman" w:cs="Times New Roman"/>
          <w:sz w:val="28"/>
          <w:szCs w:val="28"/>
          <w:lang w:val="en-US"/>
        </w:rPr>
        <w:t xml:space="preserve"> pursuant to clause</w:t>
      </w:r>
      <w:r w:rsidR="009F7FFB">
        <w:rPr>
          <w:rFonts w:ascii="Times New Roman" w:hAnsi="Times New Roman" w:cs="Times New Roman"/>
          <w:sz w:val="28"/>
          <w:szCs w:val="28"/>
          <w:lang w:val="en-US"/>
        </w:rPr>
        <w:t>s</w:t>
      </w:r>
      <w:r>
        <w:rPr>
          <w:rFonts w:ascii="Times New Roman" w:hAnsi="Times New Roman" w:cs="Times New Roman"/>
          <w:sz w:val="28"/>
          <w:szCs w:val="28"/>
          <w:lang w:val="en-US"/>
        </w:rPr>
        <w:t xml:space="preserve"> 7 and 8 of the Service Contract which she signed with TSC, entitled to payment of gratuity at the end of the contract. Since this was not an action for damages, the respondent</w:t>
      </w:r>
      <w:r w:rsidR="009F7FFB">
        <w:rPr>
          <w:rFonts w:ascii="Times New Roman" w:hAnsi="Times New Roman" w:cs="Times New Roman"/>
          <w:sz w:val="28"/>
          <w:szCs w:val="28"/>
          <w:lang w:val="en-US"/>
        </w:rPr>
        <w:t>s shall not pay</w:t>
      </w:r>
      <w:r>
        <w:rPr>
          <w:rFonts w:ascii="Times New Roman" w:hAnsi="Times New Roman" w:cs="Times New Roman"/>
          <w:sz w:val="28"/>
          <w:szCs w:val="28"/>
          <w:lang w:val="en-US"/>
        </w:rPr>
        <w:t xml:space="preserve"> any interest on the gratuity due to the applicant. </w:t>
      </w:r>
    </w:p>
    <w:p w14:paraId="507732E9" w14:textId="77777777" w:rsidR="00F71980" w:rsidRDefault="00F71980" w:rsidP="00F71980">
      <w:pPr>
        <w:pStyle w:val="ListParagraph"/>
        <w:spacing w:line="360" w:lineRule="auto"/>
        <w:jc w:val="both"/>
        <w:rPr>
          <w:rFonts w:ascii="Times New Roman" w:hAnsi="Times New Roman" w:cs="Times New Roman"/>
          <w:sz w:val="28"/>
          <w:szCs w:val="28"/>
          <w:lang w:val="en-US"/>
        </w:rPr>
      </w:pPr>
    </w:p>
    <w:p w14:paraId="07E8EA71" w14:textId="77777777" w:rsidR="004029C7" w:rsidRDefault="009142F6" w:rsidP="003640E6">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following order is therefore made:-</w:t>
      </w:r>
    </w:p>
    <w:p w14:paraId="0D76A3B5" w14:textId="77777777" w:rsidR="004029C7" w:rsidRDefault="009142F6" w:rsidP="004029C7">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The Cabinet decision of the </w:t>
      </w:r>
      <w:proofErr w:type="gramStart"/>
      <w:r>
        <w:rPr>
          <w:rFonts w:ascii="Times New Roman" w:hAnsi="Times New Roman" w:cs="Times New Roman"/>
          <w:sz w:val="28"/>
          <w:szCs w:val="28"/>
          <w:lang w:val="en-US"/>
        </w:rPr>
        <w:t>11</w:t>
      </w:r>
      <w:r w:rsidRPr="004029C7">
        <w:rPr>
          <w:rFonts w:ascii="Times New Roman" w:hAnsi="Times New Roman" w:cs="Times New Roman"/>
          <w:sz w:val="28"/>
          <w:szCs w:val="28"/>
          <w:vertAlign w:val="superscript"/>
          <w:lang w:val="en-US"/>
        </w:rPr>
        <w:t>th</w:t>
      </w:r>
      <w:proofErr w:type="gramEnd"/>
      <w:r>
        <w:rPr>
          <w:rFonts w:ascii="Times New Roman" w:hAnsi="Times New Roman" w:cs="Times New Roman"/>
          <w:sz w:val="28"/>
          <w:szCs w:val="28"/>
          <w:lang w:val="en-US"/>
        </w:rPr>
        <w:t xml:space="preserve"> June 2019 does not</w:t>
      </w:r>
      <w:r w:rsidR="00AB67F2">
        <w:rPr>
          <w:rFonts w:ascii="Times New Roman" w:hAnsi="Times New Roman" w:cs="Times New Roman"/>
          <w:sz w:val="28"/>
          <w:szCs w:val="28"/>
          <w:lang w:val="en-US"/>
        </w:rPr>
        <w:t xml:space="preserve"> and cannot</w:t>
      </w:r>
      <w:r>
        <w:rPr>
          <w:rFonts w:ascii="Times New Roman" w:hAnsi="Times New Roman" w:cs="Times New Roman"/>
          <w:sz w:val="28"/>
          <w:szCs w:val="28"/>
          <w:lang w:val="en-US"/>
        </w:rPr>
        <w:t xml:space="preserve"> apply to vary the Service Contract between the applicant and the TSC.</w:t>
      </w:r>
    </w:p>
    <w:p w14:paraId="1B730224" w14:textId="4B9A1219" w:rsidR="004029C7" w:rsidRDefault="009142F6" w:rsidP="004029C7">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The respondents are ordered to pay the applicant </w:t>
      </w:r>
      <w:r w:rsidR="00F71980">
        <w:rPr>
          <w:rFonts w:ascii="Times New Roman" w:hAnsi="Times New Roman" w:cs="Times New Roman"/>
          <w:sz w:val="28"/>
          <w:szCs w:val="28"/>
          <w:lang w:val="en-US"/>
        </w:rPr>
        <w:t>the gratuity to which she was entitled pursuant to clauses 7 and 8 of the Service Contract signed between the applicant and the TSC.</w:t>
      </w:r>
    </w:p>
    <w:p w14:paraId="2625D913" w14:textId="77777777" w:rsidR="00F71980" w:rsidRDefault="009142F6" w:rsidP="004029C7">
      <w:pPr>
        <w:pStyle w:val="ListParagraph"/>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The respondents shall be</w:t>
      </w:r>
      <w:r w:rsidR="00AB67F2">
        <w:rPr>
          <w:rFonts w:ascii="Times New Roman" w:hAnsi="Times New Roman" w:cs="Times New Roman"/>
          <w:sz w:val="28"/>
          <w:szCs w:val="28"/>
          <w:lang w:val="en-US"/>
        </w:rPr>
        <w:t>ar</w:t>
      </w:r>
      <w:r>
        <w:rPr>
          <w:rFonts w:ascii="Times New Roman" w:hAnsi="Times New Roman" w:cs="Times New Roman"/>
          <w:sz w:val="28"/>
          <w:szCs w:val="28"/>
          <w:lang w:val="en-US"/>
        </w:rPr>
        <w:t xml:space="preserve"> the costs of this application. </w:t>
      </w:r>
    </w:p>
    <w:p w14:paraId="15057802" w14:textId="77777777" w:rsidR="00713B95" w:rsidRDefault="00713B95" w:rsidP="004029C7">
      <w:pPr>
        <w:pStyle w:val="ListParagraph"/>
        <w:spacing w:line="360" w:lineRule="auto"/>
        <w:jc w:val="both"/>
        <w:rPr>
          <w:rFonts w:ascii="Times New Roman" w:hAnsi="Times New Roman" w:cs="Times New Roman"/>
          <w:sz w:val="28"/>
          <w:szCs w:val="28"/>
          <w:lang w:val="en-US"/>
        </w:rPr>
      </w:pPr>
    </w:p>
    <w:p w14:paraId="0DD9B0DB" w14:textId="77777777" w:rsidR="00713B95" w:rsidRPr="00713B95" w:rsidRDefault="00713B95" w:rsidP="00713B95">
      <w:pPr>
        <w:spacing w:line="360" w:lineRule="auto"/>
        <w:ind w:left="720"/>
        <w:contextualSpacing/>
        <w:jc w:val="both"/>
        <w:rPr>
          <w:rFonts w:ascii="Times New Roman" w:eastAsia="Times New Roman" w:hAnsi="Times New Roman" w:cs="Times New Roman"/>
          <w:sz w:val="24"/>
          <w:szCs w:val="24"/>
          <w:lang w:eastAsia="en-ZA"/>
        </w:rPr>
      </w:pPr>
    </w:p>
    <w:p w14:paraId="73628A03" w14:textId="77777777" w:rsidR="00713B95" w:rsidRPr="00713B95" w:rsidRDefault="009142F6" w:rsidP="00713B95">
      <w:pPr>
        <w:shd w:val="clear" w:color="auto" w:fill="FFFFFF"/>
        <w:spacing w:after="0" w:line="240" w:lineRule="auto"/>
        <w:jc w:val="center"/>
        <w:textAlignment w:val="baseline"/>
        <w:rPr>
          <w:rFonts w:ascii="Times New Roman" w:eastAsia="Times New Roman" w:hAnsi="Times New Roman" w:cs="Times New Roman"/>
          <w:sz w:val="24"/>
          <w:szCs w:val="24"/>
          <w:lang w:eastAsia="en-ZA"/>
        </w:rPr>
      </w:pPr>
      <w:r w:rsidRPr="00713B95">
        <w:rPr>
          <w:rFonts w:ascii="Times New Roman" w:eastAsia="Times New Roman" w:hAnsi="Times New Roman" w:cs="Times New Roman"/>
          <w:sz w:val="24"/>
          <w:szCs w:val="24"/>
          <w:lang w:eastAsia="en-ZA"/>
        </w:rPr>
        <w:t>_______________________________</w:t>
      </w:r>
    </w:p>
    <w:p w14:paraId="265587BB" w14:textId="77777777" w:rsidR="00713B95" w:rsidRPr="00713B95" w:rsidRDefault="009142F6" w:rsidP="00713B95">
      <w:pPr>
        <w:shd w:val="clear" w:color="auto" w:fill="FFFFFF"/>
        <w:spacing w:after="0" w:line="240" w:lineRule="auto"/>
        <w:jc w:val="center"/>
        <w:textAlignment w:val="baseline"/>
        <w:rPr>
          <w:rFonts w:ascii="Times New Roman" w:eastAsia="Times New Roman" w:hAnsi="Times New Roman" w:cs="Times New Roman"/>
          <w:b/>
          <w:bCs/>
          <w:sz w:val="24"/>
          <w:szCs w:val="24"/>
          <w:lang w:eastAsia="en-ZA"/>
        </w:rPr>
      </w:pPr>
      <w:r w:rsidRPr="00713B95">
        <w:rPr>
          <w:rFonts w:ascii="Times New Roman" w:eastAsia="Times New Roman" w:hAnsi="Times New Roman" w:cs="Times New Roman"/>
          <w:b/>
          <w:bCs/>
          <w:sz w:val="24"/>
          <w:szCs w:val="24"/>
          <w:lang w:eastAsia="en-ZA"/>
        </w:rPr>
        <w:t xml:space="preserve">M. RALEBESE </w:t>
      </w:r>
    </w:p>
    <w:p w14:paraId="3A44E77A" w14:textId="77777777" w:rsidR="00713B95" w:rsidRPr="00713B95" w:rsidRDefault="00713B95" w:rsidP="00713B95">
      <w:pPr>
        <w:shd w:val="clear" w:color="auto" w:fill="FFFFFF"/>
        <w:spacing w:after="0" w:line="240" w:lineRule="auto"/>
        <w:jc w:val="center"/>
        <w:textAlignment w:val="baseline"/>
        <w:rPr>
          <w:rFonts w:ascii="Times New Roman" w:eastAsia="Times New Roman" w:hAnsi="Times New Roman" w:cs="Times New Roman"/>
          <w:b/>
          <w:bCs/>
          <w:sz w:val="24"/>
          <w:szCs w:val="24"/>
          <w:lang w:eastAsia="en-ZA"/>
        </w:rPr>
      </w:pPr>
    </w:p>
    <w:p w14:paraId="0071054C" w14:textId="77777777" w:rsidR="00713B95" w:rsidRPr="00713B95" w:rsidRDefault="009142F6" w:rsidP="00713B95">
      <w:pPr>
        <w:shd w:val="clear" w:color="auto" w:fill="FFFFFF"/>
        <w:spacing w:after="0" w:line="240" w:lineRule="auto"/>
        <w:jc w:val="center"/>
        <w:textAlignment w:val="baseline"/>
        <w:rPr>
          <w:rFonts w:ascii="Times New Roman" w:eastAsia="Times New Roman" w:hAnsi="Times New Roman" w:cs="Times New Roman"/>
          <w:b/>
          <w:bCs/>
          <w:sz w:val="24"/>
          <w:szCs w:val="24"/>
          <w:lang w:eastAsia="en-ZA"/>
        </w:rPr>
      </w:pPr>
      <w:r w:rsidRPr="00713B95">
        <w:rPr>
          <w:rFonts w:ascii="Times New Roman" w:eastAsia="Times New Roman" w:hAnsi="Times New Roman" w:cs="Times New Roman"/>
          <w:b/>
          <w:bCs/>
          <w:sz w:val="24"/>
          <w:szCs w:val="24"/>
          <w:lang w:eastAsia="en-ZA"/>
        </w:rPr>
        <w:t>JUDGE</w:t>
      </w:r>
    </w:p>
    <w:p w14:paraId="0AE4DD26" w14:textId="77777777" w:rsidR="00713B95" w:rsidRPr="00713B95" w:rsidRDefault="00713B95" w:rsidP="00713B95">
      <w:pPr>
        <w:shd w:val="clear" w:color="auto" w:fill="FFFFFF"/>
        <w:spacing w:after="0" w:line="240" w:lineRule="auto"/>
        <w:textAlignment w:val="baseline"/>
        <w:rPr>
          <w:rFonts w:ascii="Times New Roman" w:eastAsia="Times New Roman" w:hAnsi="Times New Roman" w:cs="Times New Roman"/>
          <w:b/>
          <w:bCs/>
          <w:sz w:val="24"/>
          <w:szCs w:val="24"/>
          <w:lang w:eastAsia="en-ZA"/>
        </w:rPr>
      </w:pPr>
    </w:p>
    <w:p w14:paraId="0904B88D" w14:textId="77777777" w:rsidR="00713B95" w:rsidRPr="00713B95" w:rsidRDefault="00713B95" w:rsidP="00713B95">
      <w:pPr>
        <w:shd w:val="clear" w:color="auto" w:fill="FFFFFF"/>
        <w:spacing w:after="0" w:line="240" w:lineRule="auto"/>
        <w:textAlignment w:val="baseline"/>
        <w:rPr>
          <w:rFonts w:ascii="Times New Roman" w:eastAsia="Times New Roman" w:hAnsi="Times New Roman" w:cs="Times New Roman"/>
          <w:sz w:val="24"/>
          <w:szCs w:val="24"/>
          <w:lang w:eastAsia="en-ZA"/>
        </w:rPr>
      </w:pPr>
    </w:p>
    <w:p w14:paraId="1528AB9D" w14:textId="77777777" w:rsidR="00713B95" w:rsidRPr="00713B95" w:rsidRDefault="009142F6" w:rsidP="00713B95">
      <w:pPr>
        <w:shd w:val="clear" w:color="auto" w:fill="FFFFFF"/>
        <w:spacing w:after="0" w:line="240" w:lineRule="auto"/>
        <w:textAlignment w:val="baseline"/>
        <w:rPr>
          <w:rFonts w:ascii="Times New Roman" w:eastAsia="Times New Roman" w:hAnsi="Times New Roman" w:cs="Times New Roman"/>
          <w:sz w:val="24"/>
          <w:szCs w:val="24"/>
          <w:lang w:eastAsia="en-ZA"/>
        </w:rPr>
      </w:pPr>
      <w:r w:rsidRPr="00713B95">
        <w:rPr>
          <w:rFonts w:ascii="Times New Roman" w:eastAsia="Times New Roman" w:hAnsi="Times New Roman" w:cs="Times New Roman"/>
          <w:sz w:val="24"/>
          <w:szCs w:val="24"/>
          <w:lang w:eastAsia="en-ZA"/>
        </w:rPr>
        <w:t>For the applicant:</w:t>
      </w:r>
      <w:r w:rsidRPr="00713B95">
        <w:rPr>
          <w:rFonts w:ascii="Times New Roman" w:eastAsia="Times New Roman" w:hAnsi="Times New Roman" w:cs="Times New Roman"/>
          <w:sz w:val="24"/>
          <w:szCs w:val="24"/>
          <w:lang w:eastAsia="en-ZA"/>
        </w:rPr>
        <w:tab/>
        <w:t xml:space="preserve">Adv. </w:t>
      </w:r>
      <w:r>
        <w:rPr>
          <w:rFonts w:ascii="Times New Roman" w:eastAsia="Times New Roman" w:hAnsi="Times New Roman" w:cs="Times New Roman"/>
          <w:sz w:val="24"/>
          <w:szCs w:val="24"/>
          <w:lang w:eastAsia="en-ZA"/>
        </w:rPr>
        <w:t>Pheko</w:t>
      </w:r>
    </w:p>
    <w:p w14:paraId="544C7293" w14:textId="77777777" w:rsidR="00713B95" w:rsidRPr="00713B95" w:rsidRDefault="009142F6" w:rsidP="00713B95">
      <w:pPr>
        <w:shd w:val="clear" w:color="auto" w:fill="FFFFFF"/>
        <w:spacing w:after="0" w:line="240" w:lineRule="auto"/>
        <w:textAlignment w:val="baseline"/>
        <w:rPr>
          <w:rFonts w:ascii="Times New Roman" w:eastAsia="Times New Roman" w:hAnsi="Times New Roman" w:cs="Times New Roman"/>
          <w:sz w:val="24"/>
          <w:szCs w:val="24"/>
          <w:lang w:eastAsia="en-ZA"/>
        </w:rPr>
      </w:pPr>
      <w:r w:rsidRPr="00713B95">
        <w:rPr>
          <w:rFonts w:ascii="Times New Roman" w:eastAsia="Times New Roman" w:hAnsi="Times New Roman" w:cs="Times New Roman"/>
          <w:sz w:val="24"/>
          <w:szCs w:val="24"/>
          <w:lang w:eastAsia="en-ZA"/>
        </w:rPr>
        <w:t xml:space="preserve">For the respondents: </w:t>
      </w:r>
      <w:r w:rsidRPr="00713B95">
        <w:rPr>
          <w:rFonts w:ascii="Times New Roman" w:eastAsia="Times New Roman" w:hAnsi="Times New Roman" w:cs="Times New Roman"/>
          <w:sz w:val="24"/>
          <w:szCs w:val="24"/>
          <w:lang w:eastAsia="en-ZA"/>
        </w:rPr>
        <w:tab/>
        <w:t xml:space="preserve">Adv. </w:t>
      </w:r>
      <w:r>
        <w:rPr>
          <w:rFonts w:ascii="Times New Roman" w:eastAsia="Times New Roman" w:hAnsi="Times New Roman" w:cs="Times New Roman"/>
          <w:sz w:val="24"/>
          <w:szCs w:val="24"/>
          <w:lang w:eastAsia="en-ZA"/>
        </w:rPr>
        <w:t>P. T.B.N. Thakalekoala</w:t>
      </w:r>
    </w:p>
    <w:sectPr w:rsidR="00713B95" w:rsidRPr="00713B95" w:rsidSect="000E437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21DA" w14:textId="77777777" w:rsidR="00CC7BC1" w:rsidRDefault="00CC7BC1">
      <w:pPr>
        <w:spacing w:after="0" w:line="240" w:lineRule="auto"/>
      </w:pPr>
      <w:r>
        <w:separator/>
      </w:r>
    </w:p>
  </w:endnote>
  <w:endnote w:type="continuationSeparator" w:id="0">
    <w:p w14:paraId="0EED3F96" w14:textId="77777777" w:rsidR="00CC7BC1" w:rsidRDefault="00CC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51207"/>
      <w:docPartObj>
        <w:docPartGallery w:val="Page Numbers (Bottom of Page)"/>
        <w:docPartUnique/>
      </w:docPartObj>
    </w:sdtPr>
    <w:sdtEndPr>
      <w:rPr>
        <w:noProof/>
      </w:rPr>
    </w:sdtEndPr>
    <w:sdtContent>
      <w:p w14:paraId="32ED3327" w14:textId="5DFCE0D9" w:rsidR="000E4378" w:rsidRDefault="000E43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B2818" w14:textId="77777777" w:rsidR="00BB6C0B" w:rsidRDefault="00BB6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1EA2" w14:textId="77777777" w:rsidR="00CC7BC1" w:rsidRDefault="00CC7BC1" w:rsidP="00C12243">
      <w:pPr>
        <w:spacing w:after="0" w:line="240" w:lineRule="auto"/>
      </w:pPr>
      <w:r>
        <w:separator/>
      </w:r>
    </w:p>
  </w:footnote>
  <w:footnote w:type="continuationSeparator" w:id="0">
    <w:p w14:paraId="1B1FB39C" w14:textId="77777777" w:rsidR="00CC7BC1" w:rsidRDefault="00CC7BC1" w:rsidP="00C12243">
      <w:pPr>
        <w:spacing w:after="0" w:line="240" w:lineRule="auto"/>
      </w:pPr>
      <w:r>
        <w:continuationSeparator/>
      </w:r>
    </w:p>
  </w:footnote>
  <w:footnote w:id="1">
    <w:p w14:paraId="78799A18" w14:textId="77777777" w:rsidR="002E7214" w:rsidRPr="00712475" w:rsidRDefault="009142F6" w:rsidP="002E7214">
      <w:pPr>
        <w:pStyle w:val="FootnoteText"/>
        <w:rPr>
          <w:lang w:val="en-US"/>
        </w:rPr>
      </w:pPr>
      <w:r>
        <w:rPr>
          <w:rStyle w:val="FootnoteReference"/>
        </w:rPr>
        <w:footnoteRef/>
      </w:r>
      <w:r>
        <w:t xml:space="preserve"> </w:t>
      </w:r>
      <w:r w:rsidRPr="00712475">
        <w:t xml:space="preserve">Christie, </w:t>
      </w:r>
      <w:r w:rsidRPr="00F641DC">
        <w:rPr>
          <w:u w:val="single"/>
        </w:rPr>
        <w:t>The Law of Contract in South Africa</w:t>
      </w:r>
      <w:r>
        <w:t>, 2</w:t>
      </w:r>
      <w:r w:rsidRPr="00712475">
        <w:rPr>
          <w:vertAlign w:val="superscript"/>
        </w:rPr>
        <w:t>nd</w:t>
      </w:r>
      <w:r>
        <w:t xml:space="preserve"> </w:t>
      </w:r>
      <w:r w:rsidRPr="00712475">
        <w:t>edition,</w:t>
      </w:r>
      <w:r>
        <w:t xml:space="preserve"> 1991</w:t>
      </w:r>
      <w:r w:rsidRPr="00712475">
        <w:t xml:space="preserve"> Butterworths </w:t>
      </w:r>
      <w:r>
        <w:t>at page 202</w:t>
      </w:r>
      <w:r w:rsidR="00E03409">
        <w:t>.</w:t>
      </w:r>
    </w:p>
  </w:footnote>
  <w:footnote w:id="2">
    <w:p w14:paraId="6C197304" w14:textId="77777777" w:rsidR="002E7214" w:rsidRPr="002E7214" w:rsidRDefault="009142F6">
      <w:pPr>
        <w:pStyle w:val="FootnoteText"/>
        <w:rPr>
          <w:lang w:val="en-US"/>
        </w:rPr>
      </w:pPr>
      <w:r>
        <w:rPr>
          <w:rStyle w:val="FootnoteReference"/>
        </w:rPr>
        <w:footnoteRef/>
      </w:r>
      <w:r>
        <w:t xml:space="preserve"> </w:t>
      </w:r>
      <w:r>
        <w:rPr>
          <w:lang w:val="en-US"/>
        </w:rPr>
        <w:t>Supra</w:t>
      </w:r>
      <w:r w:rsidR="00E03409">
        <w:rPr>
          <w:lang w:val="en-US"/>
        </w:rPr>
        <w:t>.</w:t>
      </w:r>
    </w:p>
  </w:footnote>
  <w:footnote w:id="3">
    <w:p w14:paraId="275E5AAA" w14:textId="77777777" w:rsidR="002E7214" w:rsidRPr="00105CB0" w:rsidRDefault="009142F6" w:rsidP="002E7214">
      <w:pPr>
        <w:pStyle w:val="FootnoteText"/>
        <w:rPr>
          <w:lang w:val="en-US"/>
        </w:rPr>
      </w:pPr>
      <w:r>
        <w:rPr>
          <w:rStyle w:val="FootnoteReference"/>
        </w:rPr>
        <w:footnoteRef/>
      </w:r>
      <w:r>
        <w:t xml:space="preserve"> </w:t>
      </w:r>
      <w:r w:rsidRPr="00105CB0">
        <w:t>P</w:t>
      </w:r>
      <w:r>
        <w:t>.</w:t>
      </w:r>
      <w:r w:rsidRPr="00105CB0">
        <w:t xml:space="preserve"> Thejane (Rankoane) </w:t>
      </w:r>
      <w:r w:rsidRPr="00F641DC">
        <w:rPr>
          <w:u w:val="single"/>
        </w:rPr>
        <w:t xml:space="preserve">The Doctrine Of Quasi-Mutual Assent - Has It Become The General Rule For The Formation Of Contracts? The </w:t>
      </w:r>
      <w:r w:rsidR="00461979" w:rsidRPr="00F641DC">
        <w:rPr>
          <w:u w:val="single"/>
        </w:rPr>
        <w:t>Case Of Pillay V Shaik 2009 4 SA 74 (SCA</w:t>
      </w:r>
      <w:r w:rsidRPr="00F641DC">
        <w:rPr>
          <w:u w:val="single"/>
        </w:rPr>
        <w:t>)</w:t>
      </w:r>
      <w:r w:rsidRPr="00327D4B">
        <w:t xml:space="preserve"> Potchefstroom Electronic Law Journal</w:t>
      </w:r>
      <w:r w:rsidRPr="00105CB0">
        <w:t xml:space="preserve"> 2012 V</w:t>
      </w:r>
      <w:r w:rsidR="00461979">
        <w:t>olume</w:t>
      </w:r>
      <w:r w:rsidRPr="00105CB0">
        <w:t xml:space="preserve"> 15 No</w:t>
      </w:r>
      <w:r w:rsidR="00461979">
        <w:t>.</w:t>
      </w:r>
      <w:r w:rsidRPr="00105CB0">
        <w:t xml:space="preserve"> 5</w:t>
      </w:r>
      <w:r w:rsidR="00461979">
        <w:t>.</w:t>
      </w:r>
    </w:p>
  </w:footnote>
  <w:footnote w:id="4">
    <w:p w14:paraId="69C8E91F" w14:textId="77777777" w:rsidR="008A7658" w:rsidRPr="008A7658" w:rsidRDefault="009142F6">
      <w:pPr>
        <w:pStyle w:val="FootnoteText"/>
        <w:rPr>
          <w:lang w:val="en-US"/>
        </w:rPr>
      </w:pPr>
      <w:r>
        <w:rPr>
          <w:rStyle w:val="FootnoteReference"/>
        </w:rPr>
        <w:footnoteRef/>
      </w:r>
      <w:r>
        <w:t xml:space="preserve"> </w:t>
      </w:r>
      <w:r w:rsidRPr="008A7658">
        <w:t>1958(2) SA 465 at 4720</w:t>
      </w:r>
    </w:p>
  </w:footnote>
  <w:footnote w:id="5">
    <w:p w14:paraId="5BA44165" w14:textId="77777777" w:rsidR="00E13DD9" w:rsidRPr="00E13DD9" w:rsidRDefault="009142F6">
      <w:pPr>
        <w:pStyle w:val="FootnoteText"/>
        <w:rPr>
          <w:lang w:val="en-US"/>
        </w:rPr>
      </w:pPr>
      <w:r>
        <w:rPr>
          <w:rStyle w:val="FootnoteReference"/>
        </w:rPr>
        <w:footnoteRef/>
      </w:r>
      <w:r>
        <w:t xml:space="preserve"> </w:t>
      </w:r>
      <w:r w:rsidRPr="00E13DD9">
        <w:t>(CIV/APN/155/2020) [2021]LSHC 42 (22 April 2021)</w:t>
      </w:r>
      <w:r>
        <w:t xml:space="preserve"> at paragraph 13.</w:t>
      </w:r>
    </w:p>
  </w:footnote>
  <w:footnote w:id="6">
    <w:p w14:paraId="476DB88D" w14:textId="77777777" w:rsidR="009C70DB" w:rsidRPr="009C70DB" w:rsidRDefault="009142F6">
      <w:pPr>
        <w:pStyle w:val="FootnoteText"/>
        <w:rPr>
          <w:lang w:val="en-US"/>
        </w:rPr>
      </w:pPr>
      <w:r>
        <w:rPr>
          <w:rStyle w:val="FootnoteReference"/>
        </w:rPr>
        <w:footnoteRef/>
      </w:r>
      <w:r>
        <w:t xml:space="preserve"> </w:t>
      </w:r>
      <w:r w:rsidRPr="009C70DB">
        <w:t>(26/14) [2014] ZAECGHC 51 (13 June 2014</w:t>
      </w:r>
    </w:p>
  </w:footnote>
  <w:footnote w:id="7">
    <w:p w14:paraId="574DD289" w14:textId="77777777" w:rsidR="009C70DB" w:rsidRPr="009C70DB" w:rsidRDefault="009142F6">
      <w:pPr>
        <w:pStyle w:val="FootnoteText"/>
        <w:rPr>
          <w:lang w:val="en-US"/>
        </w:rPr>
      </w:pPr>
      <w:r>
        <w:rPr>
          <w:rStyle w:val="FootnoteReference"/>
        </w:rPr>
        <w:footnoteRef/>
      </w:r>
      <w:r>
        <w:t xml:space="preserve"> </w:t>
      </w:r>
      <w:r w:rsidRPr="009C70DB">
        <w:t>2009 4 SA 74 (SCA) at para 55</w:t>
      </w:r>
    </w:p>
  </w:footnote>
  <w:footnote w:id="8">
    <w:p w14:paraId="5F92BF63" w14:textId="77777777" w:rsidR="00AC42C1" w:rsidRPr="00AC42C1" w:rsidRDefault="009142F6">
      <w:pPr>
        <w:pStyle w:val="FootnoteText"/>
        <w:rPr>
          <w:lang w:val="en-US"/>
        </w:rPr>
      </w:pPr>
      <w:r>
        <w:rPr>
          <w:rStyle w:val="FootnoteReference"/>
        </w:rPr>
        <w:footnoteRef/>
      </w:r>
      <w:r>
        <w:t xml:space="preserve"> </w:t>
      </w:r>
      <w:r w:rsidRPr="00AC42C1">
        <w:t>LR 6 QB 597 at 607</w:t>
      </w:r>
    </w:p>
  </w:footnote>
  <w:footnote w:id="9">
    <w:p w14:paraId="1BC52F34" w14:textId="77777777" w:rsidR="00ED73E5" w:rsidRPr="00ED73E5" w:rsidRDefault="009142F6">
      <w:pPr>
        <w:pStyle w:val="FootnoteText"/>
        <w:rPr>
          <w:lang w:val="en-US"/>
        </w:rPr>
      </w:pPr>
      <w:r>
        <w:rPr>
          <w:rStyle w:val="FootnoteReference"/>
        </w:rPr>
        <w:footnoteRef/>
      </w:r>
      <w:r>
        <w:t xml:space="preserve"> </w:t>
      </w:r>
      <w:r w:rsidRPr="00ED73E5">
        <w:t>1975(3) SA 16 at 26A</w:t>
      </w:r>
    </w:p>
  </w:footnote>
  <w:footnote w:id="10">
    <w:p w14:paraId="76B0A97E" w14:textId="77777777" w:rsidR="00405AF8" w:rsidRPr="00405AF8" w:rsidRDefault="009142F6">
      <w:pPr>
        <w:pStyle w:val="FootnoteText"/>
        <w:rPr>
          <w:lang w:val="en-US"/>
        </w:rPr>
      </w:pPr>
      <w:r>
        <w:rPr>
          <w:rStyle w:val="FootnoteReference"/>
        </w:rPr>
        <w:footnoteRef/>
      </w:r>
      <w:r>
        <w:t xml:space="preserve"> </w:t>
      </w:r>
      <w:r w:rsidRPr="00405AF8">
        <w:t>Beaton v Baldachin Bros 1920 AD 312 at 315</w:t>
      </w:r>
    </w:p>
  </w:footnote>
  <w:footnote w:id="11">
    <w:p w14:paraId="72632B2D" w14:textId="77777777" w:rsidR="00CA5F6F" w:rsidRPr="0008089C" w:rsidRDefault="00CA5F6F" w:rsidP="00FE455C">
      <w:pPr>
        <w:pStyle w:val="FootnoteText"/>
        <w:rPr>
          <w:lang w:val="en-US"/>
        </w:rPr>
      </w:pPr>
      <w:r>
        <w:rPr>
          <w:rStyle w:val="FootnoteReference"/>
        </w:rPr>
        <w:footnoteRef/>
      </w:r>
      <w:r w:rsidRPr="00111FE4">
        <w:rPr>
          <w:u w:val="single"/>
        </w:rPr>
        <w:t xml:space="preserve"> </w:t>
      </w:r>
      <w:r w:rsidR="00FD279B" w:rsidRPr="00FD279B">
        <w:rPr>
          <w:u w:val="single"/>
        </w:rPr>
        <w:t>Cambridge ; New York : Cambridge University Press, 1995.</w:t>
      </w:r>
    </w:p>
  </w:footnote>
  <w:footnote w:id="12">
    <w:p w14:paraId="617C4678" w14:textId="77777777" w:rsidR="00CA5F6F" w:rsidRPr="00CA5F6F" w:rsidRDefault="00CA5F6F">
      <w:pPr>
        <w:pStyle w:val="FootnoteText"/>
        <w:rPr>
          <w:lang w:val="en-US"/>
        </w:rPr>
      </w:pPr>
      <w:r>
        <w:rPr>
          <w:rStyle w:val="FootnoteReference"/>
        </w:rPr>
        <w:footnoteRef/>
      </w:r>
      <w:r>
        <w:t xml:space="preserve"> </w:t>
      </w:r>
      <w:r w:rsidR="00FD279B" w:rsidRPr="00FD279B">
        <w:t xml:space="preserve">Hornby, Albert Sydney, and Joanna Turnbull. </w:t>
      </w:r>
      <w:r w:rsidR="00FD279B" w:rsidRPr="00FD279B">
        <w:rPr>
          <w:u w:val="single"/>
        </w:rPr>
        <w:t>Oxford Advanced Learner's Dictionary of Current English</w:t>
      </w:r>
      <w:r w:rsidR="00FD279B" w:rsidRPr="00FD279B">
        <w:t>. 8th edition. Oxford: Oxford University Press, 2010.</w:t>
      </w:r>
    </w:p>
  </w:footnote>
  <w:footnote w:id="13">
    <w:p w14:paraId="77A863CC" w14:textId="77777777" w:rsidR="00725776" w:rsidRPr="00725776" w:rsidRDefault="009142F6">
      <w:pPr>
        <w:pStyle w:val="FootnoteText"/>
        <w:rPr>
          <w:lang w:val="en-US"/>
        </w:rPr>
      </w:pPr>
      <w:r>
        <w:rPr>
          <w:rStyle w:val="FootnoteReference"/>
        </w:rPr>
        <w:footnoteRef/>
      </w:r>
      <w:r>
        <w:t xml:space="preserve"> </w:t>
      </w:r>
      <w:r w:rsidRPr="00725776">
        <w:t>1977(1) SA 626 at 638 G</w:t>
      </w:r>
    </w:p>
  </w:footnote>
  <w:footnote w:id="14">
    <w:p w14:paraId="12099321" w14:textId="77777777" w:rsidR="008A082D" w:rsidRPr="008A082D" w:rsidRDefault="009142F6">
      <w:pPr>
        <w:pStyle w:val="FootnoteText"/>
        <w:rPr>
          <w:lang w:val="en-US"/>
        </w:rPr>
      </w:pPr>
      <w:r>
        <w:rPr>
          <w:rStyle w:val="FootnoteReference"/>
        </w:rPr>
        <w:footnoteRef/>
      </w:r>
      <w:r>
        <w:t xml:space="preserve"> </w:t>
      </w:r>
      <w:r>
        <w:rPr>
          <w:lang w:val="en-US"/>
        </w:rPr>
        <w:t>Supra at page 248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35BE"/>
    <w:multiLevelType w:val="hybridMultilevel"/>
    <w:tmpl w:val="FE8835EE"/>
    <w:lvl w:ilvl="0" w:tplc="EE54A222">
      <w:start w:val="1"/>
      <w:numFmt w:val="decimal"/>
      <w:lvlText w:val="%1."/>
      <w:lvlJc w:val="left"/>
      <w:pPr>
        <w:ind w:left="720" w:hanging="360"/>
      </w:pPr>
      <w:rPr>
        <w:rFonts w:ascii="Times New Roman" w:hAnsi="Times New Roman" w:cs="Times New Roman" w:hint="default"/>
        <w:sz w:val="28"/>
        <w:szCs w:val="28"/>
      </w:rPr>
    </w:lvl>
    <w:lvl w:ilvl="1" w:tplc="9EA80746" w:tentative="1">
      <w:start w:val="1"/>
      <w:numFmt w:val="lowerLetter"/>
      <w:lvlText w:val="%2."/>
      <w:lvlJc w:val="left"/>
      <w:pPr>
        <w:ind w:left="1440" w:hanging="360"/>
      </w:pPr>
    </w:lvl>
    <w:lvl w:ilvl="2" w:tplc="8404188E" w:tentative="1">
      <w:start w:val="1"/>
      <w:numFmt w:val="lowerRoman"/>
      <w:lvlText w:val="%3."/>
      <w:lvlJc w:val="right"/>
      <w:pPr>
        <w:ind w:left="2160" w:hanging="180"/>
      </w:pPr>
    </w:lvl>
    <w:lvl w:ilvl="3" w:tplc="581697A0" w:tentative="1">
      <w:start w:val="1"/>
      <w:numFmt w:val="decimal"/>
      <w:lvlText w:val="%4."/>
      <w:lvlJc w:val="left"/>
      <w:pPr>
        <w:ind w:left="2880" w:hanging="360"/>
      </w:pPr>
    </w:lvl>
    <w:lvl w:ilvl="4" w:tplc="4F96AB88" w:tentative="1">
      <w:start w:val="1"/>
      <w:numFmt w:val="lowerLetter"/>
      <w:lvlText w:val="%5."/>
      <w:lvlJc w:val="left"/>
      <w:pPr>
        <w:ind w:left="3600" w:hanging="360"/>
      </w:pPr>
    </w:lvl>
    <w:lvl w:ilvl="5" w:tplc="F2C4D8DC" w:tentative="1">
      <w:start w:val="1"/>
      <w:numFmt w:val="lowerRoman"/>
      <w:lvlText w:val="%6."/>
      <w:lvlJc w:val="right"/>
      <w:pPr>
        <w:ind w:left="4320" w:hanging="180"/>
      </w:pPr>
    </w:lvl>
    <w:lvl w:ilvl="6" w:tplc="F274F04E" w:tentative="1">
      <w:start w:val="1"/>
      <w:numFmt w:val="decimal"/>
      <w:lvlText w:val="%7."/>
      <w:lvlJc w:val="left"/>
      <w:pPr>
        <w:ind w:left="5040" w:hanging="360"/>
      </w:pPr>
    </w:lvl>
    <w:lvl w:ilvl="7" w:tplc="746A708C" w:tentative="1">
      <w:start w:val="1"/>
      <w:numFmt w:val="lowerLetter"/>
      <w:lvlText w:val="%8."/>
      <w:lvlJc w:val="left"/>
      <w:pPr>
        <w:ind w:left="5760" w:hanging="360"/>
      </w:pPr>
    </w:lvl>
    <w:lvl w:ilvl="8" w:tplc="299EF392" w:tentative="1">
      <w:start w:val="1"/>
      <w:numFmt w:val="lowerRoman"/>
      <w:lvlText w:val="%9."/>
      <w:lvlJc w:val="right"/>
      <w:pPr>
        <w:ind w:left="6480" w:hanging="180"/>
      </w:pPr>
    </w:lvl>
  </w:abstractNum>
  <w:abstractNum w:abstractNumId="1" w15:restartNumberingAfterBreak="0">
    <w:nsid w:val="156450FE"/>
    <w:multiLevelType w:val="hybridMultilevel"/>
    <w:tmpl w:val="F1E0E1F4"/>
    <w:lvl w:ilvl="0" w:tplc="85A6D842">
      <w:start w:val="1"/>
      <w:numFmt w:val="decimal"/>
      <w:lvlText w:val="%1."/>
      <w:lvlJc w:val="left"/>
      <w:pPr>
        <w:ind w:left="720" w:hanging="360"/>
      </w:pPr>
    </w:lvl>
    <w:lvl w:ilvl="1" w:tplc="0FE40FCA" w:tentative="1">
      <w:start w:val="1"/>
      <w:numFmt w:val="lowerLetter"/>
      <w:lvlText w:val="%2."/>
      <w:lvlJc w:val="left"/>
      <w:pPr>
        <w:ind w:left="1440" w:hanging="360"/>
      </w:pPr>
    </w:lvl>
    <w:lvl w:ilvl="2" w:tplc="1206DED6" w:tentative="1">
      <w:start w:val="1"/>
      <w:numFmt w:val="lowerRoman"/>
      <w:lvlText w:val="%3."/>
      <w:lvlJc w:val="right"/>
      <w:pPr>
        <w:ind w:left="2160" w:hanging="180"/>
      </w:pPr>
    </w:lvl>
    <w:lvl w:ilvl="3" w:tplc="33E08C68" w:tentative="1">
      <w:start w:val="1"/>
      <w:numFmt w:val="decimal"/>
      <w:lvlText w:val="%4."/>
      <w:lvlJc w:val="left"/>
      <w:pPr>
        <w:ind w:left="2880" w:hanging="360"/>
      </w:pPr>
    </w:lvl>
    <w:lvl w:ilvl="4" w:tplc="098465B4" w:tentative="1">
      <w:start w:val="1"/>
      <w:numFmt w:val="lowerLetter"/>
      <w:lvlText w:val="%5."/>
      <w:lvlJc w:val="left"/>
      <w:pPr>
        <w:ind w:left="3600" w:hanging="360"/>
      </w:pPr>
    </w:lvl>
    <w:lvl w:ilvl="5" w:tplc="15CED2A6" w:tentative="1">
      <w:start w:val="1"/>
      <w:numFmt w:val="lowerRoman"/>
      <w:lvlText w:val="%6."/>
      <w:lvlJc w:val="right"/>
      <w:pPr>
        <w:ind w:left="4320" w:hanging="180"/>
      </w:pPr>
    </w:lvl>
    <w:lvl w:ilvl="6" w:tplc="B89E0F8E" w:tentative="1">
      <w:start w:val="1"/>
      <w:numFmt w:val="decimal"/>
      <w:lvlText w:val="%7."/>
      <w:lvlJc w:val="left"/>
      <w:pPr>
        <w:ind w:left="5040" w:hanging="360"/>
      </w:pPr>
    </w:lvl>
    <w:lvl w:ilvl="7" w:tplc="21506C6A" w:tentative="1">
      <w:start w:val="1"/>
      <w:numFmt w:val="lowerLetter"/>
      <w:lvlText w:val="%8."/>
      <w:lvlJc w:val="left"/>
      <w:pPr>
        <w:ind w:left="5760" w:hanging="360"/>
      </w:pPr>
    </w:lvl>
    <w:lvl w:ilvl="8" w:tplc="7DDA885E" w:tentative="1">
      <w:start w:val="1"/>
      <w:numFmt w:val="lowerRoman"/>
      <w:lvlText w:val="%9."/>
      <w:lvlJc w:val="right"/>
      <w:pPr>
        <w:ind w:left="6480" w:hanging="180"/>
      </w:pPr>
    </w:lvl>
  </w:abstractNum>
  <w:abstractNum w:abstractNumId="2" w15:restartNumberingAfterBreak="0">
    <w:nsid w:val="1F75743E"/>
    <w:multiLevelType w:val="hybridMultilevel"/>
    <w:tmpl w:val="57F4C780"/>
    <w:lvl w:ilvl="0" w:tplc="26F286B0">
      <w:start w:val="1"/>
      <w:numFmt w:val="decimal"/>
      <w:lvlText w:val="%1."/>
      <w:lvlJc w:val="left"/>
      <w:pPr>
        <w:ind w:left="1080" w:hanging="720"/>
      </w:pPr>
      <w:rPr>
        <w:rFonts w:hint="default"/>
      </w:rPr>
    </w:lvl>
    <w:lvl w:ilvl="1" w:tplc="8A78BACC" w:tentative="1">
      <w:start w:val="1"/>
      <w:numFmt w:val="lowerLetter"/>
      <w:lvlText w:val="%2."/>
      <w:lvlJc w:val="left"/>
      <w:pPr>
        <w:ind w:left="1440" w:hanging="360"/>
      </w:pPr>
    </w:lvl>
    <w:lvl w:ilvl="2" w:tplc="BF861728" w:tentative="1">
      <w:start w:val="1"/>
      <w:numFmt w:val="lowerRoman"/>
      <w:lvlText w:val="%3."/>
      <w:lvlJc w:val="right"/>
      <w:pPr>
        <w:ind w:left="2160" w:hanging="180"/>
      </w:pPr>
    </w:lvl>
    <w:lvl w:ilvl="3" w:tplc="9BEAD836" w:tentative="1">
      <w:start w:val="1"/>
      <w:numFmt w:val="decimal"/>
      <w:lvlText w:val="%4."/>
      <w:lvlJc w:val="left"/>
      <w:pPr>
        <w:ind w:left="2880" w:hanging="360"/>
      </w:pPr>
    </w:lvl>
    <w:lvl w:ilvl="4" w:tplc="248EAB3C" w:tentative="1">
      <w:start w:val="1"/>
      <w:numFmt w:val="lowerLetter"/>
      <w:lvlText w:val="%5."/>
      <w:lvlJc w:val="left"/>
      <w:pPr>
        <w:ind w:left="3600" w:hanging="360"/>
      </w:pPr>
    </w:lvl>
    <w:lvl w:ilvl="5" w:tplc="B720E48E" w:tentative="1">
      <w:start w:val="1"/>
      <w:numFmt w:val="lowerRoman"/>
      <w:lvlText w:val="%6."/>
      <w:lvlJc w:val="right"/>
      <w:pPr>
        <w:ind w:left="4320" w:hanging="180"/>
      </w:pPr>
    </w:lvl>
    <w:lvl w:ilvl="6" w:tplc="A6B4C81A" w:tentative="1">
      <w:start w:val="1"/>
      <w:numFmt w:val="decimal"/>
      <w:lvlText w:val="%7."/>
      <w:lvlJc w:val="left"/>
      <w:pPr>
        <w:ind w:left="5040" w:hanging="360"/>
      </w:pPr>
    </w:lvl>
    <w:lvl w:ilvl="7" w:tplc="1272DBDA" w:tentative="1">
      <w:start w:val="1"/>
      <w:numFmt w:val="lowerLetter"/>
      <w:lvlText w:val="%8."/>
      <w:lvlJc w:val="left"/>
      <w:pPr>
        <w:ind w:left="5760" w:hanging="360"/>
      </w:pPr>
    </w:lvl>
    <w:lvl w:ilvl="8" w:tplc="F7F86A1A" w:tentative="1">
      <w:start w:val="1"/>
      <w:numFmt w:val="lowerRoman"/>
      <w:lvlText w:val="%9."/>
      <w:lvlJc w:val="right"/>
      <w:pPr>
        <w:ind w:left="6480" w:hanging="180"/>
      </w:pPr>
    </w:lvl>
  </w:abstractNum>
  <w:abstractNum w:abstractNumId="3" w15:restartNumberingAfterBreak="0">
    <w:nsid w:val="3C971C73"/>
    <w:multiLevelType w:val="hybridMultilevel"/>
    <w:tmpl w:val="AB2087F4"/>
    <w:lvl w:ilvl="0" w:tplc="532C5178">
      <w:start w:val="1"/>
      <w:numFmt w:val="decimal"/>
      <w:lvlText w:val="%1."/>
      <w:lvlJc w:val="left"/>
      <w:pPr>
        <w:ind w:left="720" w:hanging="360"/>
      </w:pPr>
      <w:rPr>
        <w:rFonts w:ascii="Times New Roman" w:hAnsi="Times New Roman" w:cs="Times New Roman" w:hint="default"/>
        <w:sz w:val="28"/>
        <w:szCs w:val="28"/>
      </w:rPr>
    </w:lvl>
    <w:lvl w:ilvl="1" w:tplc="02A48AF4" w:tentative="1">
      <w:start w:val="1"/>
      <w:numFmt w:val="lowerLetter"/>
      <w:lvlText w:val="%2."/>
      <w:lvlJc w:val="left"/>
      <w:pPr>
        <w:ind w:left="1440" w:hanging="360"/>
      </w:pPr>
    </w:lvl>
    <w:lvl w:ilvl="2" w:tplc="5EF8A6EC" w:tentative="1">
      <w:start w:val="1"/>
      <w:numFmt w:val="lowerRoman"/>
      <w:lvlText w:val="%3."/>
      <w:lvlJc w:val="right"/>
      <w:pPr>
        <w:ind w:left="2160" w:hanging="180"/>
      </w:pPr>
    </w:lvl>
    <w:lvl w:ilvl="3" w:tplc="2982D42A" w:tentative="1">
      <w:start w:val="1"/>
      <w:numFmt w:val="decimal"/>
      <w:lvlText w:val="%4."/>
      <w:lvlJc w:val="left"/>
      <w:pPr>
        <w:ind w:left="2880" w:hanging="360"/>
      </w:pPr>
    </w:lvl>
    <w:lvl w:ilvl="4" w:tplc="FD7886B4" w:tentative="1">
      <w:start w:val="1"/>
      <w:numFmt w:val="lowerLetter"/>
      <w:lvlText w:val="%5."/>
      <w:lvlJc w:val="left"/>
      <w:pPr>
        <w:ind w:left="3600" w:hanging="360"/>
      </w:pPr>
    </w:lvl>
    <w:lvl w:ilvl="5" w:tplc="325AF542" w:tentative="1">
      <w:start w:val="1"/>
      <w:numFmt w:val="lowerRoman"/>
      <w:lvlText w:val="%6."/>
      <w:lvlJc w:val="right"/>
      <w:pPr>
        <w:ind w:left="4320" w:hanging="180"/>
      </w:pPr>
    </w:lvl>
    <w:lvl w:ilvl="6" w:tplc="7EEA5232" w:tentative="1">
      <w:start w:val="1"/>
      <w:numFmt w:val="decimal"/>
      <w:lvlText w:val="%7."/>
      <w:lvlJc w:val="left"/>
      <w:pPr>
        <w:ind w:left="5040" w:hanging="360"/>
      </w:pPr>
    </w:lvl>
    <w:lvl w:ilvl="7" w:tplc="E320F4CC" w:tentative="1">
      <w:start w:val="1"/>
      <w:numFmt w:val="lowerLetter"/>
      <w:lvlText w:val="%8."/>
      <w:lvlJc w:val="left"/>
      <w:pPr>
        <w:ind w:left="5760" w:hanging="360"/>
      </w:pPr>
    </w:lvl>
    <w:lvl w:ilvl="8" w:tplc="C06200D8" w:tentative="1">
      <w:start w:val="1"/>
      <w:numFmt w:val="lowerRoman"/>
      <w:lvlText w:val="%9."/>
      <w:lvlJc w:val="right"/>
      <w:pPr>
        <w:ind w:left="6480" w:hanging="180"/>
      </w:pPr>
    </w:lvl>
  </w:abstractNum>
  <w:abstractNum w:abstractNumId="4" w15:restartNumberingAfterBreak="0">
    <w:nsid w:val="57977AFE"/>
    <w:multiLevelType w:val="hybridMultilevel"/>
    <w:tmpl w:val="150A7CCE"/>
    <w:lvl w:ilvl="0" w:tplc="61D6BE96">
      <w:start w:val="1"/>
      <w:numFmt w:val="decimal"/>
      <w:lvlText w:val="%1."/>
      <w:lvlJc w:val="left"/>
      <w:pPr>
        <w:ind w:left="720" w:hanging="360"/>
      </w:pPr>
      <w:rPr>
        <w:rFonts w:ascii="Times New Roman" w:hAnsi="Times New Roman" w:cs="Times New Roman" w:hint="default"/>
        <w:i w:val="0"/>
        <w:sz w:val="28"/>
        <w:szCs w:val="28"/>
      </w:rPr>
    </w:lvl>
    <w:lvl w:ilvl="1" w:tplc="9EA80746" w:tentative="1">
      <w:start w:val="1"/>
      <w:numFmt w:val="lowerLetter"/>
      <w:lvlText w:val="%2."/>
      <w:lvlJc w:val="left"/>
      <w:pPr>
        <w:ind w:left="1440" w:hanging="360"/>
      </w:pPr>
    </w:lvl>
    <w:lvl w:ilvl="2" w:tplc="8404188E" w:tentative="1">
      <w:start w:val="1"/>
      <w:numFmt w:val="lowerRoman"/>
      <w:lvlText w:val="%3."/>
      <w:lvlJc w:val="right"/>
      <w:pPr>
        <w:ind w:left="2160" w:hanging="180"/>
      </w:pPr>
    </w:lvl>
    <w:lvl w:ilvl="3" w:tplc="581697A0" w:tentative="1">
      <w:start w:val="1"/>
      <w:numFmt w:val="decimal"/>
      <w:lvlText w:val="%4."/>
      <w:lvlJc w:val="left"/>
      <w:pPr>
        <w:ind w:left="2880" w:hanging="360"/>
      </w:pPr>
    </w:lvl>
    <w:lvl w:ilvl="4" w:tplc="4F96AB88" w:tentative="1">
      <w:start w:val="1"/>
      <w:numFmt w:val="lowerLetter"/>
      <w:lvlText w:val="%5."/>
      <w:lvlJc w:val="left"/>
      <w:pPr>
        <w:ind w:left="3600" w:hanging="360"/>
      </w:pPr>
    </w:lvl>
    <w:lvl w:ilvl="5" w:tplc="F2C4D8DC" w:tentative="1">
      <w:start w:val="1"/>
      <w:numFmt w:val="lowerRoman"/>
      <w:lvlText w:val="%6."/>
      <w:lvlJc w:val="right"/>
      <w:pPr>
        <w:ind w:left="4320" w:hanging="180"/>
      </w:pPr>
    </w:lvl>
    <w:lvl w:ilvl="6" w:tplc="F274F04E" w:tentative="1">
      <w:start w:val="1"/>
      <w:numFmt w:val="decimal"/>
      <w:lvlText w:val="%7."/>
      <w:lvlJc w:val="left"/>
      <w:pPr>
        <w:ind w:left="5040" w:hanging="360"/>
      </w:pPr>
    </w:lvl>
    <w:lvl w:ilvl="7" w:tplc="746A708C" w:tentative="1">
      <w:start w:val="1"/>
      <w:numFmt w:val="lowerLetter"/>
      <w:lvlText w:val="%8."/>
      <w:lvlJc w:val="left"/>
      <w:pPr>
        <w:ind w:left="5760" w:hanging="360"/>
      </w:pPr>
    </w:lvl>
    <w:lvl w:ilvl="8" w:tplc="299EF392"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C6"/>
    <w:rsid w:val="000139B7"/>
    <w:rsid w:val="00015D3F"/>
    <w:rsid w:val="0005661F"/>
    <w:rsid w:val="0008089C"/>
    <w:rsid w:val="00086F12"/>
    <w:rsid w:val="00091A87"/>
    <w:rsid w:val="000C6502"/>
    <w:rsid w:val="000C6793"/>
    <w:rsid w:val="000D6845"/>
    <w:rsid w:val="000E4378"/>
    <w:rsid w:val="00105CB0"/>
    <w:rsid w:val="00111FE4"/>
    <w:rsid w:val="00125B52"/>
    <w:rsid w:val="00132F89"/>
    <w:rsid w:val="00165424"/>
    <w:rsid w:val="0016745E"/>
    <w:rsid w:val="001A0624"/>
    <w:rsid w:val="001B49A4"/>
    <w:rsid w:val="0028296F"/>
    <w:rsid w:val="002C108D"/>
    <w:rsid w:val="002D2E09"/>
    <w:rsid w:val="002D45A8"/>
    <w:rsid w:val="002E7214"/>
    <w:rsid w:val="0031343D"/>
    <w:rsid w:val="00327D4B"/>
    <w:rsid w:val="00334B7B"/>
    <w:rsid w:val="0036251F"/>
    <w:rsid w:val="003640E6"/>
    <w:rsid w:val="003741BE"/>
    <w:rsid w:val="00387C58"/>
    <w:rsid w:val="003A0B2C"/>
    <w:rsid w:val="003A2F90"/>
    <w:rsid w:val="003B245F"/>
    <w:rsid w:val="003E04A0"/>
    <w:rsid w:val="003E254A"/>
    <w:rsid w:val="004029C7"/>
    <w:rsid w:val="004052F9"/>
    <w:rsid w:val="00405AF8"/>
    <w:rsid w:val="004251B6"/>
    <w:rsid w:val="0043759E"/>
    <w:rsid w:val="004427AF"/>
    <w:rsid w:val="00452F3A"/>
    <w:rsid w:val="00461979"/>
    <w:rsid w:val="00477A2E"/>
    <w:rsid w:val="00480A96"/>
    <w:rsid w:val="004B2176"/>
    <w:rsid w:val="004B52E5"/>
    <w:rsid w:val="004C7501"/>
    <w:rsid w:val="004D04FA"/>
    <w:rsid w:val="0051196B"/>
    <w:rsid w:val="00530701"/>
    <w:rsid w:val="00535595"/>
    <w:rsid w:val="0054349C"/>
    <w:rsid w:val="005546F2"/>
    <w:rsid w:val="0056187E"/>
    <w:rsid w:val="00602649"/>
    <w:rsid w:val="006218D4"/>
    <w:rsid w:val="006850AC"/>
    <w:rsid w:val="006A6512"/>
    <w:rsid w:val="006D570A"/>
    <w:rsid w:val="006F0863"/>
    <w:rsid w:val="006F4CFC"/>
    <w:rsid w:val="007053CE"/>
    <w:rsid w:val="00712475"/>
    <w:rsid w:val="00713B95"/>
    <w:rsid w:val="00725776"/>
    <w:rsid w:val="00737D79"/>
    <w:rsid w:val="007C04BE"/>
    <w:rsid w:val="007E6C85"/>
    <w:rsid w:val="00806060"/>
    <w:rsid w:val="00816C47"/>
    <w:rsid w:val="00846EF2"/>
    <w:rsid w:val="00884FDC"/>
    <w:rsid w:val="008918D0"/>
    <w:rsid w:val="008A082D"/>
    <w:rsid w:val="008A7658"/>
    <w:rsid w:val="008B7BEA"/>
    <w:rsid w:val="008C1170"/>
    <w:rsid w:val="008C7253"/>
    <w:rsid w:val="009142F6"/>
    <w:rsid w:val="00941A32"/>
    <w:rsid w:val="00943F1E"/>
    <w:rsid w:val="00965324"/>
    <w:rsid w:val="00975CD1"/>
    <w:rsid w:val="00976926"/>
    <w:rsid w:val="00982F3A"/>
    <w:rsid w:val="00983D72"/>
    <w:rsid w:val="009970BF"/>
    <w:rsid w:val="009C40E5"/>
    <w:rsid w:val="009C70DB"/>
    <w:rsid w:val="009E0BDA"/>
    <w:rsid w:val="009F0029"/>
    <w:rsid w:val="009F7FFB"/>
    <w:rsid w:val="00A31062"/>
    <w:rsid w:val="00A9408D"/>
    <w:rsid w:val="00AA69DB"/>
    <w:rsid w:val="00AB67F2"/>
    <w:rsid w:val="00AC1E37"/>
    <w:rsid w:val="00AC4105"/>
    <w:rsid w:val="00AC42C1"/>
    <w:rsid w:val="00AE1489"/>
    <w:rsid w:val="00B80BBD"/>
    <w:rsid w:val="00BA4258"/>
    <w:rsid w:val="00BB4BC6"/>
    <w:rsid w:val="00BB6C0B"/>
    <w:rsid w:val="00BC4232"/>
    <w:rsid w:val="00C12243"/>
    <w:rsid w:val="00C16D20"/>
    <w:rsid w:val="00C438A1"/>
    <w:rsid w:val="00C66EF2"/>
    <w:rsid w:val="00CA5F40"/>
    <w:rsid w:val="00CA5F6F"/>
    <w:rsid w:val="00CC663B"/>
    <w:rsid w:val="00CC7BC1"/>
    <w:rsid w:val="00CF2424"/>
    <w:rsid w:val="00CF4F48"/>
    <w:rsid w:val="00D04A33"/>
    <w:rsid w:val="00D27437"/>
    <w:rsid w:val="00DB2EF6"/>
    <w:rsid w:val="00DB71B9"/>
    <w:rsid w:val="00DC05CF"/>
    <w:rsid w:val="00DC7D31"/>
    <w:rsid w:val="00E03409"/>
    <w:rsid w:val="00E11148"/>
    <w:rsid w:val="00E13DD9"/>
    <w:rsid w:val="00E457F5"/>
    <w:rsid w:val="00E6434E"/>
    <w:rsid w:val="00E72123"/>
    <w:rsid w:val="00E87A11"/>
    <w:rsid w:val="00E9437D"/>
    <w:rsid w:val="00EA3616"/>
    <w:rsid w:val="00ED52D9"/>
    <w:rsid w:val="00ED73E5"/>
    <w:rsid w:val="00EF3735"/>
    <w:rsid w:val="00EF51C4"/>
    <w:rsid w:val="00F1115B"/>
    <w:rsid w:val="00F230E1"/>
    <w:rsid w:val="00F32795"/>
    <w:rsid w:val="00F641DC"/>
    <w:rsid w:val="00F71980"/>
    <w:rsid w:val="00F80B0E"/>
    <w:rsid w:val="00F8778A"/>
    <w:rsid w:val="00FA4D6E"/>
    <w:rsid w:val="00FB55DE"/>
    <w:rsid w:val="00FD279B"/>
    <w:rsid w:val="00FE455C"/>
    <w:rsid w:val="00FE4994"/>
    <w:rsid w:val="00FF5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4882"/>
  <w15:chartTrackingRefBased/>
  <w15:docId w15:val="{BE75162E-23AF-420E-8D9E-3174E72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12243"/>
    <w:pPr>
      <w:spacing w:after="0" w:line="240" w:lineRule="auto"/>
    </w:pPr>
    <w:rPr>
      <w:sz w:val="20"/>
      <w:szCs w:val="20"/>
    </w:rPr>
  </w:style>
  <w:style w:type="character" w:customStyle="1" w:styleId="FootnoteTextChar">
    <w:name w:val="Footnote Text Char"/>
    <w:basedOn w:val="DefaultParagraphFont"/>
    <w:link w:val="FootnoteText"/>
    <w:uiPriority w:val="99"/>
    <w:rsid w:val="00C12243"/>
    <w:rPr>
      <w:sz w:val="20"/>
      <w:szCs w:val="20"/>
    </w:rPr>
  </w:style>
  <w:style w:type="character" w:styleId="FootnoteReference">
    <w:name w:val="footnote reference"/>
    <w:basedOn w:val="DefaultParagraphFont"/>
    <w:uiPriority w:val="99"/>
    <w:semiHidden/>
    <w:unhideWhenUsed/>
    <w:rsid w:val="00C12243"/>
    <w:rPr>
      <w:vertAlign w:val="superscript"/>
    </w:rPr>
  </w:style>
  <w:style w:type="paragraph" w:styleId="ListParagraph">
    <w:name w:val="List Paragraph"/>
    <w:basedOn w:val="Normal"/>
    <w:uiPriority w:val="34"/>
    <w:qFormat/>
    <w:rsid w:val="00C12243"/>
    <w:pPr>
      <w:ind w:left="720"/>
      <w:contextualSpacing/>
    </w:pPr>
  </w:style>
  <w:style w:type="character" w:styleId="Hyperlink">
    <w:name w:val="Hyperlink"/>
    <w:basedOn w:val="DefaultParagraphFont"/>
    <w:uiPriority w:val="99"/>
    <w:unhideWhenUsed/>
    <w:rsid w:val="00F8778A"/>
    <w:rPr>
      <w:color w:val="0563C1" w:themeColor="hyperlink"/>
      <w:u w:val="single"/>
    </w:rPr>
  </w:style>
  <w:style w:type="paragraph" w:customStyle="1" w:styleId="western">
    <w:name w:val="western"/>
    <w:basedOn w:val="Normal"/>
    <w:rsid w:val="0046197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BB6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C0B"/>
  </w:style>
  <w:style w:type="paragraph" w:styleId="Footer">
    <w:name w:val="footer"/>
    <w:basedOn w:val="Normal"/>
    <w:link w:val="FooterChar"/>
    <w:uiPriority w:val="99"/>
    <w:unhideWhenUsed/>
    <w:rsid w:val="00BB6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6CAB7-1FF8-4E96-8CF3-844CCE8F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Moipone Bulane</dc:creator>
  <cp:lastModifiedBy>Moipone Bulane</cp:lastModifiedBy>
  <cp:revision>6</cp:revision>
  <cp:lastPrinted>2022-09-28T07:50:00Z</cp:lastPrinted>
  <dcterms:created xsi:type="dcterms:W3CDTF">2022-09-28T07:33:00Z</dcterms:created>
  <dcterms:modified xsi:type="dcterms:W3CDTF">2022-09-28T08:23:00Z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ActionId">
    <vt:lpwstr>9b57e317-2708-4cae-94fa-4016107b6be6</vt:lpwstr>
  </property>
  <property fmtid="{D5CDD505-2E9C-101B-9397-08002B2CF9AE}" pid="3" name="MSIP_Label_9f914f9e-4c1b-4005-a7de-34e254df930c_ContentBits">
    <vt:lpwstr>0</vt:lpwstr>
  </property>
  <property fmtid="{D5CDD505-2E9C-101B-9397-08002B2CF9AE}" pid="4" name="MSIP_Label_9f914f9e-4c1b-4005-a7de-34e254df930c_Enabled">
    <vt:lpwstr>true</vt:lpwstr>
  </property>
  <property fmtid="{D5CDD505-2E9C-101B-9397-08002B2CF9AE}" pid="5" name="MSIP_Label_9f914f9e-4c1b-4005-a7de-34e254df930c_Method">
    <vt:lpwstr>Standard</vt:lpwstr>
  </property>
  <property fmtid="{D5CDD505-2E9C-101B-9397-08002B2CF9AE}" pid="6" name="MSIP_Label_9f914f9e-4c1b-4005-a7de-34e254df930c_Name">
    <vt:lpwstr>Personal</vt:lpwstr>
  </property>
  <property fmtid="{D5CDD505-2E9C-101B-9397-08002B2CF9AE}" pid="7" name="MSIP_Label_9f914f9e-4c1b-4005-a7de-34e254df930c_SetDate">
    <vt:lpwstr>2022-09-23T14:30:52Z</vt:lpwstr>
  </property>
  <property fmtid="{D5CDD505-2E9C-101B-9397-08002B2CF9AE}" pid="8" name="MSIP_Label_9f914f9e-4c1b-4005-a7de-34e254df930c_SiteId">
    <vt:lpwstr>2da551e5-ab0a-45ad-b85e-866ea2d3c525</vt:lpwstr>
  </property>
</Properties>
</file>