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12BF" w14:textId="736CD764" w:rsidR="00452694" w:rsidRDefault="0045269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1900566" w14:textId="1AE71B34" w:rsidR="00452694" w:rsidRDefault="0045269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F0B4C52" w14:textId="77777777" w:rsidR="0051783F" w:rsidRDefault="0051783F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5B1B919C" w14:textId="77777777" w:rsidR="008C1221" w:rsidRDefault="008C122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635A34A" w14:textId="72D4FB13" w:rsidR="00E64DF1" w:rsidRPr="001F1464" w:rsidRDefault="000B67B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IN THE HIGH COURT OF LESOTHO</w:t>
      </w:r>
      <w:r w:rsid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</w:t>
      </w:r>
      <w:r w:rsidR="001F146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CIV/APN/304/2021</w:t>
      </w:r>
    </w:p>
    <w:p w14:paraId="1451C5B1" w14:textId="2022772F" w:rsidR="000B67B4" w:rsidRPr="001F1464" w:rsidRDefault="001F146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HELD AT MASERU</w:t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B67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3B67C9C3" w14:textId="4E7EC328" w:rsidR="003005F2" w:rsidRPr="00A25DC1" w:rsidRDefault="003005F2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A25DC1">
        <w:rPr>
          <w:rFonts w:ascii="Times New Roman" w:hAnsi="Times New Roman" w:cs="Times New Roman"/>
          <w:bCs/>
          <w:sz w:val="28"/>
          <w:szCs w:val="28"/>
          <w:lang w:val="en-GB"/>
        </w:rPr>
        <w:t>In the matter between:</w:t>
      </w:r>
    </w:p>
    <w:p w14:paraId="7011B4C3" w14:textId="334B389B" w:rsidR="003005F2" w:rsidRPr="001F1464" w:rsidRDefault="003005F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RABUKA CHALATSE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A25D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APPLICANT</w:t>
      </w:r>
    </w:p>
    <w:p w14:paraId="5746D529" w14:textId="66FD3173" w:rsidR="003005F2" w:rsidRPr="001F1464" w:rsidRDefault="00A25DC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and</w:t>
      </w:r>
    </w:p>
    <w:p w14:paraId="4F8537A1" w14:textId="182D34FA" w:rsidR="003005F2" w:rsidRPr="001F1464" w:rsidRDefault="003005F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MINISTER OF PUBLIC SERVICE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A25D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1782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</w:t>
      </w:r>
      <w:r w:rsidR="00A25D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1782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1</w:t>
      </w:r>
      <w:r w:rsidR="003178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st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RESPONDENT</w:t>
      </w:r>
    </w:p>
    <w:p w14:paraId="754CC6DE" w14:textId="364A1CD9" w:rsidR="003005F2" w:rsidRPr="00317827" w:rsidRDefault="003005F2" w:rsidP="00317827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17827">
        <w:rPr>
          <w:rFonts w:ascii="Times New Roman" w:hAnsi="Times New Roman" w:cs="Times New Roman"/>
          <w:b/>
          <w:sz w:val="28"/>
          <w:szCs w:val="28"/>
          <w:lang w:val="en-GB"/>
        </w:rPr>
        <w:t>PRINCIPAL SECRETARY</w:t>
      </w:r>
      <w:r w:rsidR="00452694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 w:rsidRPr="0031782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MINISTRY</w:t>
      </w:r>
      <w:r w:rsidR="00317827" w:rsidRPr="0031782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2</w:t>
      </w:r>
      <w:r w:rsidR="00317827" w:rsidRPr="00317827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17827" w:rsidRPr="0031782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RESPONDENT</w:t>
      </w:r>
    </w:p>
    <w:p w14:paraId="7EE0999B" w14:textId="65C18530" w:rsidR="003005F2" w:rsidRPr="001F1464" w:rsidRDefault="003005F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OF PUBLIC SERVICE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</w:p>
    <w:p w14:paraId="31BBADAB" w14:textId="0E0734E4" w:rsidR="003005F2" w:rsidRPr="001F1464" w:rsidRDefault="003005F2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REGISTRAR</w:t>
      </w:r>
      <w:r w:rsidR="00F1724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OF THE 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HIGH COURT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3243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3</w:t>
      </w:r>
      <w:r w:rsidR="003178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rd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RESPONDENT</w:t>
      </w:r>
    </w:p>
    <w:p w14:paraId="298F4553" w14:textId="4C6451D6" w:rsidR="00324351" w:rsidRDefault="000D5937" w:rsidP="0031782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6273B">
        <w:rPr>
          <w:rFonts w:ascii="Times New Roman" w:hAnsi="Times New Roman" w:cs="Times New Roman"/>
          <w:b/>
          <w:sz w:val="28"/>
          <w:szCs w:val="28"/>
          <w:lang w:val="en-GB"/>
        </w:rPr>
        <w:t>PRINCIPAL SECRETARY</w:t>
      </w:r>
      <w:r w:rsidR="00317827" w:rsidRPr="001627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16273B" w:rsidRPr="0016273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MINISTRY OF </w:t>
      </w:r>
      <w:r w:rsidR="0032435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</w:t>
      </w:r>
      <w:r w:rsidR="00324351" w:rsidRPr="0016273B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324351" w:rsidRPr="0016273B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24351" w:rsidRPr="001627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RESPONDENT</w:t>
      </w:r>
    </w:p>
    <w:p w14:paraId="1B849F7B" w14:textId="77777777" w:rsidR="00324351" w:rsidRDefault="0016273B" w:rsidP="00317827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6273B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FINANCE</w:t>
      </w:r>
    </w:p>
    <w:p w14:paraId="5C01F8B4" w14:textId="2F9FAB8A" w:rsidR="00317827" w:rsidRPr="0016273B" w:rsidRDefault="00317827" w:rsidP="00317827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6273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            </w:t>
      </w:r>
    </w:p>
    <w:p w14:paraId="30FEB404" w14:textId="6E5D4CDE" w:rsidR="000D5937" w:rsidRDefault="0032435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</w:t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TTORNEY GENERAL</w:t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="0031782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  <w:r w:rsidR="0045269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5</w:t>
      </w:r>
      <w:r w:rsidR="00317827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 w:rsidR="000D5937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RESPONDENT</w:t>
      </w:r>
    </w:p>
    <w:p w14:paraId="03A2B231" w14:textId="1D09F36F" w:rsidR="00324351" w:rsidRDefault="0032435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1CC9F6D" w14:textId="7F6C0FDC" w:rsidR="0016209F" w:rsidRPr="00AE2DC9" w:rsidRDefault="0016209F" w:rsidP="00377341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16209F">
        <w:rPr>
          <w:rFonts w:ascii="Times New Roman" w:hAnsi="Times New Roman" w:cs="Times New Roman"/>
          <w:bCs/>
          <w:sz w:val="28"/>
          <w:szCs w:val="28"/>
          <w:u w:val="single"/>
          <w:lang w:val="en-GB"/>
        </w:rPr>
        <w:t>Neutral citation</w:t>
      </w:r>
      <w:r w:rsidRPr="001620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7E47F5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  <w:r w:rsidR="00D06B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</w:t>
      </w:r>
      <w:r w:rsidR="00AE2DC9" w:rsidRPr="00AE2DC9">
        <w:rPr>
          <w:rFonts w:ascii="Times New Roman" w:hAnsi="Times New Roman" w:cs="Times New Roman"/>
          <w:bCs/>
          <w:sz w:val="28"/>
          <w:szCs w:val="28"/>
          <w:lang w:val="en-GB"/>
        </w:rPr>
        <w:t>Rabuka Chalatse v Minister of Public Se</w:t>
      </w:r>
      <w:r w:rsidR="00315747">
        <w:rPr>
          <w:rFonts w:ascii="Times New Roman" w:hAnsi="Times New Roman" w:cs="Times New Roman"/>
          <w:bCs/>
          <w:sz w:val="28"/>
          <w:szCs w:val="28"/>
          <w:lang w:val="en-GB"/>
        </w:rPr>
        <w:t>rvice &amp; 4 Others [2022] LSHC 2</w:t>
      </w:r>
      <w:bookmarkStart w:id="0" w:name="_GoBack"/>
      <w:bookmarkEnd w:id="0"/>
      <w:r w:rsidR="008B2386">
        <w:rPr>
          <w:rFonts w:ascii="Times New Roman" w:hAnsi="Times New Roman" w:cs="Times New Roman"/>
          <w:bCs/>
          <w:sz w:val="28"/>
          <w:szCs w:val="28"/>
          <w:lang w:val="en-GB"/>
        </w:rPr>
        <w:t>14</w:t>
      </w:r>
      <w:r w:rsidR="00AE2DC9" w:rsidRPr="00AE2DC9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C</w:t>
      </w:r>
      <w:r w:rsidR="007E47F5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iv </w:t>
      </w:r>
      <w:r w:rsidR="00AE2DC9" w:rsidRPr="00AE2DC9">
        <w:rPr>
          <w:rFonts w:ascii="Times New Roman" w:hAnsi="Times New Roman" w:cs="Times New Roman"/>
          <w:bCs/>
          <w:sz w:val="28"/>
          <w:szCs w:val="28"/>
          <w:lang w:val="en-GB"/>
        </w:rPr>
        <w:t>(31</w:t>
      </w:r>
      <w:r w:rsidR="00D06B9A" w:rsidRPr="00D06B9A">
        <w:rPr>
          <w:rFonts w:ascii="Times New Roman" w:hAnsi="Times New Roman" w:cs="Times New Roman"/>
          <w:bCs/>
          <w:sz w:val="28"/>
          <w:szCs w:val="28"/>
          <w:vertAlign w:val="superscript"/>
          <w:lang w:val="en-GB"/>
        </w:rPr>
        <w:t>st</w:t>
      </w:r>
      <w:r w:rsidR="00D06B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AE2DC9" w:rsidRPr="00AE2DC9">
        <w:rPr>
          <w:rFonts w:ascii="Times New Roman" w:hAnsi="Times New Roman" w:cs="Times New Roman"/>
          <w:bCs/>
          <w:sz w:val="28"/>
          <w:szCs w:val="28"/>
          <w:lang w:val="en-GB"/>
        </w:rPr>
        <w:t>August</w:t>
      </w:r>
      <w:r w:rsidR="00D06B9A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, </w:t>
      </w:r>
      <w:r w:rsidR="00AE2DC9" w:rsidRPr="00AE2DC9">
        <w:rPr>
          <w:rFonts w:ascii="Times New Roman" w:hAnsi="Times New Roman" w:cs="Times New Roman"/>
          <w:bCs/>
          <w:sz w:val="28"/>
          <w:szCs w:val="28"/>
          <w:lang w:val="en-GB"/>
        </w:rPr>
        <w:t>2022</w:t>
      </w:r>
      <w:r w:rsidR="00AE2DC9"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</w:p>
    <w:p w14:paraId="062E3B2D" w14:textId="77777777" w:rsidR="0016209F" w:rsidRPr="0016209F" w:rsidRDefault="0016209F">
      <w:pPr>
        <w:rPr>
          <w:rFonts w:ascii="Times New Roman" w:hAnsi="Times New Roman" w:cs="Times New Roman"/>
          <w:bCs/>
          <w:sz w:val="28"/>
          <w:szCs w:val="28"/>
          <w:u w:val="single"/>
          <w:lang w:val="en-GB"/>
        </w:rPr>
      </w:pPr>
    </w:p>
    <w:p w14:paraId="77F63D5F" w14:textId="3C9D644A" w:rsidR="000D5937" w:rsidRPr="001F1464" w:rsidRDefault="000D5937" w:rsidP="000D59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D1D519B" w14:textId="65873C90" w:rsidR="000D5937" w:rsidRPr="001F1464" w:rsidRDefault="00324351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CORAM</w:t>
      </w:r>
      <w:r w:rsidR="00A25D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</w:t>
      </w:r>
      <w:r w:rsidR="00D06B9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  <w:r w:rsidR="00CD38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F.M. KHABO</w:t>
      </w:r>
      <w:r w:rsidR="00A25DC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J.,</w:t>
      </w:r>
    </w:p>
    <w:p w14:paraId="465ADAE1" w14:textId="536D4101" w:rsidR="0036281D" w:rsidRPr="001F1464" w:rsidRDefault="00324351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HEARD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: 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D38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17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F1724B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AUGUST</w:t>
      </w:r>
      <w:r w:rsidR="0036281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, 2022</w:t>
      </w:r>
      <w:r w:rsidR="007E47F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14:paraId="0F0CE5D9" w14:textId="573EDEC1" w:rsidR="0036281D" w:rsidRPr="001F1464" w:rsidRDefault="00324351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DELIVERED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</w:t>
      </w:r>
      <w:r w:rsidR="00CD381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>31</w:t>
      </w:r>
      <w:r w:rsidR="0016209F" w:rsidRPr="0016209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st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F1724B">
        <w:rPr>
          <w:rFonts w:ascii="Times New Roman" w:hAnsi="Times New Roman" w:cs="Times New Roman"/>
          <w:b/>
          <w:bCs/>
          <w:sz w:val="28"/>
          <w:szCs w:val="28"/>
          <w:lang w:val="en-GB"/>
        </w:rPr>
        <w:t>AUGUST</w:t>
      </w:r>
      <w:r w:rsidR="0016209F">
        <w:rPr>
          <w:rFonts w:ascii="Times New Roman" w:hAnsi="Times New Roman" w:cs="Times New Roman"/>
          <w:b/>
          <w:bCs/>
          <w:sz w:val="28"/>
          <w:szCs w:val="28"/>
          <w:lang w:val="en-GB"/>
        </w:rPr>
        <w:t>, 2022</w:t>
      </w:r>
    </w:p>
    <w:p w14:paraId="3D742A12" w14:textId="2C7ED19A" w:rsidR="00B7516E" w:rsidRPr="001F1464" w:rsidRDefault="00B7516E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65C47771" w14:textId="77777777" w:rsidR="00D06B9A" w:rsidRDefault="00D06B9A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EBB7D42" w14:textId="77777777" w:rsidR="00D06B9A" w:rsidRDefault="00D06B9A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F2C51EE" w14:textId="77777777" w:rsidR="00D06B9A" w:rsidRDefault="00D06B9A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183BCB5A" w14:textId="19C11416" w:rsidR="00B7516E" w:rsidRDefault="0016209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SUMMARY</w:t>
      </w:r>
    </w:p>
    <w:p w14:paraId="37212496" w14:textId="4249EA4D" w:rsidR="001E0903" w:rsidRPr="001E0903" w:rsidRDefault="00D5512F" w:rsidP="001E0903">
      <w:pPr>
        <w:ind w:left="284" w:right="237"/>
        <w:jc w:val="both"/>
        <w:rPr>
          <w:rFonts w:ascii="Times New Roman" w:hAnsi="Times New Roman" w:cs="Times New Roman"/>
          <w:bCs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>Organisational r</w:t>
      </w:r>
      <w:r w:rsidR="001E0903" w:rsidRP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>estructuring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- </w:t>
      </w:r>
      <w:r w:rsidR="001E0903" w:rsidRP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pplicant seeking to have his salary upgraded from grade ‘J’ to ‘K’ in accordance with the revised approved structure of the Judiciary - 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>And</w:t>
      </w:r>
      <w:r w:rsidR="00C11811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f</w:t>
      </w:r>
      <w:r w:rsidR="00184021">
        <w:rPr>
          <w:rFonts w:ascii="Times New Roman" w:hAnsi="Times New Roman" w:cs="Times New Roman"/>
          <w:bCs/>
          <w:i/>
          <w:sz w:val="28"/>
          <w:szCs w:val="28"/>
          <w:lang w:val="en-GB"/>
        </w:rPr>
        <w:t>urther claiming salary arrears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184021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from the date of his appointment to the position 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>-</w:t>
      </w:r>
      <w:r w:rsidR="00184021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In reaction, </w:t>
      </w:r>
      <w:r w:rsid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Respondents arguing that 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the </w:t>
      </w:r>
      <w:r w:rsid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>claim is misconceived as the new structure</w:t>
      </w:r>
      <w:r w:rsidR="000508B5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of the Judiciary</w:t>
      </w:r>
      <w:r w:rsid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is not yet operational because it has </w:t>
      </w:r>
      <w:r w:rsidR="00DC194C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only </w:t>
      </w:r>
      <w:r w:rsidR="001E0903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been ‘approved’ but not yet ‘implemented’ </w:t>
      </w:r>
      <w:r w:rsidR="00D06B9A">
        <w:rPr>
          <w:rFonts w:ascii="Times New Roman" w:hAnsi="Times New Roman" w:cs="Times New Roman"/>
          <w:bCs/>
          <w:i/>
          <w:sz w:val="28"/>
          <w:szCs w:val="28"/>
          <w:lang w:val="en-GB"/>
        </w:rPr>
        <w:t>-</w:t>
      </w:r>
      <w:r w:rsidR="00C11811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 </w:t>
      </w:r>
      <w:r w:rsidR="00FD35BF">
        <w:rPr>
          <w:rFonts w:ascii="Times New Roman" w:hAnsi="Times New Roman" w:cs="Times New Roman"/>
          <w:bCs/>
          <w:i/>
          <w:sz w:val="28"/>
          <w:szCs w:val="28"/>
          <w:lang w:val="en-GB"/>
        </w:rPr>
        <w:t>The revised structure having been approved the court is of the view that Applicant ought to have been paid in accordance with it f</w:t>
      </w:r>
      <w:r w:rsidR="00F26F00">
        <w:rPr>
          <w:rFonts w:ascii="Times New Roman" w:hAnsi="Times New Roman" w:cs="Times New Roman"/>
          <w:bCs/>
          <w:i/>
          <w:sz w:val="28"/>
          <w:szCs w:val="28"/>
          <w:lang w:val="en-GB"/>
        </w:rPr>
        <w:t>r</w:t>
      </w:r>
      <w:r w:rsidR="00FD35BF">
        <w:rPr>
          <w:rFonts w:ascii="Times New Roman" w:hAnsi="Times New Roman" w:cs="Times New Roman"/>
          <w:bCs/>
          <w:i/>
          <w:sz w:val="28"/>
          <w:szCs w:val="28"/>
          <w:lang w:val="en-GB"/>
        </w:rPr>
        <w:t xml:space="preserve">om the onset of his appointment and orders that he be paid accordingly </w:t>
      </w:r>
      <w:r w:rsidR="00F26F00">
        <w:rPr>
          <w:rFonts w:ascii="Times New Roman" w:hAnsi="Times New Roman" w:cs="Times New Roman"/>
          <w:bCs/>
          <w:i/>
          <w:sz w:val="28"/>
          <w:szCs w:val="28"/>
          <w:lang w:val="en-GB"/>
        </w:rPr>
        <w:t>with arrears as a result of the shortfall in his salary.</w:t>
      </w:r>
    </w:p>
    <w:p w14:paraId="26910741" w14:textId="77777777" w:rsidR="0016209F" w:rsidRDefault="0016209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3A00459C" w14:textId="24D01617" w:rsidR="0016209F" w:rsidRDefault="0016209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ANNOTATIONS</w:t>
      </w:r>
    </w:p>
    <w:p w14:paraId="5DEC4326" w14:textId="19792E8A" w:rsidR="0016209F" w:rsidRDefault="0016209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Statutes and regulations cited</w:t>
      </w:r>
    </w:p>
    <w:p w14:paraId="79C9CBE3" w14:textId="77777777" w:rsidR="008C1221" w:rsidRDefault="008C1221" w:rsidP="000D5937">
      <w:pPr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  <w:r w:rsidRPr="00B249ED">
        <w:rPr>
          <w:rFonts w:ascii="Times New Roman" w:hAnsi="Times New Roman" w:cs="Times New Roman"/>
          <w:iCs/>
          <w:sz w:val="28"/>
          <w:szCs w:val="28"/>
          <w:lang w:val="en-GB"/>
        </w:rPr>
        <w:t>Administration of the Judiciary Act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, 2011</w:t>
      </w:r>
    </w:p>
    <w:p w14:paraId="4D9FBE0C" w14:textId="77777777" w:rsidR="008C1221" w:rsidRPr="00DC3145" w:rsidRDefault="008C1221" w:rsidP="000D593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DC3145">
        <w:rPr>
          <w:rFonts w:ascii="Times New Roman" w:hAnsi="Times New Roman" w:cs="Times New Roman"/>
          <w:sz w:val="28"/>
          <w:szCs w:val="28"/>
          <w:lang w:val="en-GB"/>
        </w:rPr>
        <w:t>Public Service Act, 2005</w:t>
      </w:r>
    </w:p>
    <w:p w14:paraId="514DC039" w14:textId="7432D7B1" w:rsidR="0016209F" w:rsidRPr="001F1464" w:rsidRDefault="0016209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Cases cited</w:t>
      </w:r>
    </w:p>
    <w:p w14:paraId="234D3BD9" w14:textId="77777777" w:rsidR="008C1221" w:rsidRDefault="008C1221" w:rsidP="000D593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>Attorney General and Others v Bolepo and Others LAC (2004 - 2005)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, </w:t>
      </w: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>522</w:t>
      </w:r>
    </w:p>
    <w:p w14:paraId="64FDA92E" w14:textId="6C90C507" w:rsidR="008C1221" w:rsidRPr="008A1607" w:rsidRDefault="008C1221" w:rsidP="000D5937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Attorney General and Others v Makesi and 85 Others 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(</w:t>
      </w: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>C of A (CIV) No</w:t>
      </w:r>
      <w:r w:rsidR="00D06B9A">
        <w:rPr>
          <w:rFonts w:ascii="Times New Roman" w:hAnsi="Times New Roman" w:cs="Times New Roman"/>
          <w:bCs/>
          <w:iCs/>
          <w:sz w:val="28"/>
          <w:szCs w:val="28"/>
          <w:lang w:val="en-GB"/>
        </w:rPr>
        <w:t>.</w:t>
      </w: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3 of 2000</w:t>
      </w:r>
    </w:p>
    <w:p w14:paraId="72503023" w14:textId="77777777" w:rsidR="008C1221" w:rsidRPr="008A1607" w:rsidRDefault="008C1221" w:rsidP="000D593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>The Ministry of Public Service and Another v Molefi Kome and Others</w:t>
      </w:r>
      <w:r w:rsidRPr="008A1607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(</w:t>
      </w: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>C of A (CIV) No</w:t>
      </w:r>
      <w:r>
        <w:rPr>
          <w:rFonts w:ascii="Times New Roman" w:hAnsi="Times New Roman" w:cs="Times New Roman"/>
          <w:bCs/>
          <w:iCs/>
          <w:sz w:val="28"/>
          <w:szCs w:val="28"/>
          <w:lang w:val="en-GB"/>
        </w:rPr>
        <w:t>.</w:t>
      </w:r>
      <w:r w:rsidRPr="008A1607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44 of 2013</w:t>
      </w:r>
    </w:p>
    <w:p w14:paraId="28795F64" w14:textId="129A4A9D" w:rsidR="009540F7" w:rsidRDefault="009540F7" w:rsidP="000D593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9540F7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Books</w:t>
      </w:r>
    </w:p>
    <w:p w14:paraId="2264EB4C" w14:textId="77777777" w:rsidR="008C1221" w:rsidRPr="008C1221" w:rsidRDefault="008C1221" w:rsidP="000D5937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8C1221">
        <w:rPr>
          <w:rFonts w:ascii="Times New Roman" w:hAnsi="Times New Roman" w:cs="Times New Roman"/>
          <w:sz w:val="28"/>
          <w:szCs w:val="28"/>
        </w:rPr>
        <w:t>The Concise Oxford Dictionary, Oxford, 8</w:t>
      </w:r>
      <w:r w:rsidRPr="008C122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C1221">
        <w:rPr>
          <w:rFonts w:ascii="Times New Roman" w:hAnsi="Times New Roman" w:cs="Times New Roman"/>
          <w:sz w:val="28"/>
          <w:szCs w:val="28"/>
        </w:rPr>
        <w:t xml:space="preserve"> ed., 1992</w:t>
      </w:r>
    </w:p>
    <w:p w14:paraId="14A393FC" w14:textId="77777777" w:rsidR="008C1221" w:rsidRDefault="008C1221" w:rsidP="000D5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Thompson C., - “Bargaining, Business Restructuring and the Operational Requirements Dismissal” </w:t>
      </w:r>
      <w:r w:rsidRPr="009540F7">
        <w:rPr>
          <w:rFonts w:ascii="Times New Roman" w:hAnsi="Times New Roman" w:cs="Times New Roman"/>
          <w:sz w:val="28"/>
          <w:szCs w:val="28"/>
        </w:rPr>
        <w:t>(1999) 20 ILJ, 755</w:t>
      </w:r>
    </w:p>
    <w:p w14:paraId="32790C10" w14:textId="044AB27F" w:rsidR="00C30EEC" w:rsidRDefault="00C30EEC" w:rsidP="000D593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40AE6756" w14:textId="77777777" w:rsidR="008C1221" w:rsidRDefault="008C1221" w:rsidP="000D593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1F8C15AF" w14:textId="77777777" w:rsidR="00D06B9A" w:rsidRDefault="00D06B9A" w:rsidP="005854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</w:p>
    <w:p w14:paraId="1E455336" w14:textId="77777777" w:rsidR="00D06B9A" w:rsidRDefault="00D06B9A" w:rsidP="005854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</w:p>
    <w:p w14:paraId="69FC174A" w14:textId="77777777" w:rsidR="00D06B9A" w:rsidRDefault="00D06B9A" w:rsidP="005854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</w:p>
    <w:p w14:paraId="53B5E9D6" w14:textId="649602F3" w:rsidR="00B7516E" w:rsidRPr="00585406" w:rsidRDefault="0016209F" w:rsidP="0058540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58540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lastRenderedPageBreak/>
        <w:t>JUDGMENT</w:t>
      </w:r>
    </w:p>
    <w:p w14:paraId="2977C57E" w14:textId="77777777" w:rsidR="00585406" w:rsidRDefault="00585406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5AAB939" w14:textId="4445165D" w:rsidR="00B7516E" w:rsidRPr="001F1464" w:rsidRDefault="00585406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KHABO J.,</w:t>
      </w:r>
    </w:p>
    <w:p w14:paraId="39579919" w14:textId="72E02A84" w:rsidR="00D00B6F" w:rsidRPr="001F1464" w:rsidRDefault="00D00B6F" w:rsidP="000D593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Background</w:t>
      </w:r>
    </w:p>
    <w:p w14:paraId="4BC2D2C6" w14:textId="5FA5CA4F" w:rsidR="00B7516E" w:rsidRPr="001F1464" w:rsidRDefault="003F1849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[1] </w:t>
      </w:r>
      <w:r w:rsidR="00C83A06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Applicant </w:t>
      </w:r>
      <w:r w:rsidR="000B3570">
        <w:rPr>
          <w:rFonts w:ascii="Times New Roman" w:hAnsi="Times New Roman" w:cs="Times New Roman"/>
          <w:sz w:val="28"/>
          <w:szCs w:val="28"/>
          <w:lang w:val="en-GB"/>
        </w:rPr>
        <w:t xml:space="preserve">is engaged in the Judiciary as a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Senior Judicial Commissioner</w:t>
      </w:r>
      <w:r w:rsidR="00261CD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405E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r w:rsidR="009B176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salary </w:t>
      </w:r>
      <w:r w:rsidR="008405E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grade </w:t>
      </w:r>
      <w:r w:rsidR="008405E9" w:rsidRPr="0095715E">
        <w:rPr>
          <w:rFonts w:ascii="Times New Roman" w:hAnsi="Times New Roman" w:cs="Times New Roman"/>
          <w:bCs/>
          <w:sz w:val="28"/>
          <w:szCs w:val="28"/>
          <w:lang w:val="en-GB"/>
        </w:rPr>
        <w:t>J</w:t>
      </w:r>
      <w:r w:rsidR="00B35CDF">
        <w:rPr>
          <w:rFonts w:ascii="Times New Roman" w:hAnsi="Times New Roman" w:cs="Times New Roman"/>
          <w:sz w:val="28"/>
          <w:szCs w:val="28"/>
          <w:lang w:val="en-GB"/>
        </w:rPr>
        <w:t xml:space="preserve">, a position he has held </w:t>
      </w:r>
      <w:r w:rsidR="00A37C9B">
        <w:rPr>
          <w:rFonts w:ascii="Times New Roman" w:hAnsi="Times New Roman" w:cs="Times New Roman"/>
          <w:sz w:val="28"/>
          <w:szCs w:val="28"/>
          <w:lang w:val="en-GB"/>
        </w:rPr>
        <w:t xml:space="preserve">since </w:t>
      </w:r>
      <w:r w:rsidR="00C83A06" w:rsidRPr="001F1464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B35CDF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B35CDF" w:rsidRPr="00B35CD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C83A0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April, 2018.</w:t>
      </w:r>
      <w:r w:rsidR="00E15C4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C07EC">
        <w:rPr>
          <w:rFonts w:ascii="Times New Roman" w:hAnsi="Times New Roman" w:cs="Times New Roman"/>
          <w:sz w:val="28"/>
          <w:szCs w:val="28"/>
          <w:lang w:val="en-GB"/>
        </w:rPr>
        <w:t>The Judiciary had prior to his appointment carried out a restructuring exercise</w:t>
      </w:r>
      <w:r w:rsidR="00420158">
        <w:rPr>
          <w:rFonts w:ascii="Times New Roman" w:hAnsi="Times New Roman" w:cs="Times New Roman"/>
          <w:sz w:val="28"/>
          <w:szCs w:val="28"/>
          <w:lang w:val="en-GB"/>
        </w:rPr>
        <w:t xml:space="preserve"> which </w:t>
      </w:r>
      <w:r w:rsidR="001C0655">
        <w:rPr>
          <w:rFonts w:ascii="Times New Roman" w:hAnsi="Times New Roman" w:cs="Times New Roman"/>
          <w:sz w:val="28"/>
          <w:szCs w:val="28"/>
          <w:lang w:val="en-GB"/>
        </w:rPr>
        <w:t xml:space="preserve">culminated in a new structure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 xml:space="preserve">which was </w:t>
      </w:r>
      <w:r w:rsidR="001C0655">
        <w:rPr>
          <w:rFonts w:ascii="Times New Roman" w:hAnsi="Times New Roman" w:cs="Times New Roman"/>
          <w:sz w:val="28"/>
          <w:szCs w:val="28"/>
          <w:lang w:val="en-GB"/>
        </w:rPr>
        <w:t xml:space="preserve">approved </w:t>
      </w:r>
      <w:r w:rsidR="001C0655" w:rsidRPr="001F1464">
        <w:rPr>
          <w:rFonts w:ascii="Times New Roman" w:hAnsi="Times New Roman" w:cs="Times New Roman"/>
          <w:sz w:val="28"/>
          <w:szCs w:val="28"/>
          <w:lang w:val="en-GB"/>
        </w:rPr>
        <w:t>on 22</w:t>
      </w:r>
      <w:r w:rsidR="001C0655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1C065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February, 2017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C07E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 xml:space="preserve">This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 xml:space="preserve">s common cause. </w:t>
      </w:r>
      <w:r w:rsidR="000C5DF3" w:rsidRPr="001F146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 xml:space="preserve">n terms of this new structure </w:t>
      </w:r>
      <w:r w:rsidR="003005A3" w:rsidRPr="001F1464">
        <w:rPr>
          <w:rFonts w:ascii="Times New Roman" w:hAnsi="Times New Roman" w:cs="Times New Roman"/>
          <w:sz w:val="28"/>
          <w:szCs w:val="28"/>
          <w:lang w:val="en-GB"/>
        </w:rPr>
        <w:t>the position of Senior Judicial Commissioner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 xml:space="preserve"> was</w:t>
      </w:r>
      <w:r w:rsidR="000C5DF3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1511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upgraded and placed at grade </w:t>
      </w:r>
      <w:r w:rsidR="00515114" w:rsidRPr="0095715E">
        <w:rPr>
          <w:rFonts w:ascii="Times New Roman" w:hAnsi="Times New Roman" w:cs="Times New Roman"/>
          <w:bCs/>
          <w:sz w:val="28"/>
          <w:szCs w:val="28"/>
          <w:lang w:val="en-GB"/>
        </w:rPr>
        <w:t>K</w:t>
      </w:r>
      <w:r w:rsidR="00515114" w:rsidRPr="001F146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E8648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>When</w:t>
      </w:r>
      <w:r w:rsidR="00B01A0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Applicant applied for the position, the advertisement had placed the position at grade </w:t>
      </w:r>
      <w:r w:rsidR="00360608" w:rsidRPr="0095715E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, and his letter </w:t>
      </w:r>
      <w:r w:rsidR="00D6353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of appointment 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duly placed </w:t>
      </w:r>
      <w:r w:rsidR="001A55B3">
        <w:rPr>
          <w:rFonts w:ascii="Times New Roman" w:hAnsi="Times New Roman" w:cs="Times New Roman"/>
          <w:sz w:val="28"/>
          <w:szCs w:val="28"/>
          <w:lang w:val="en-GB"/>
        </w:rPr>
        <w:t>him</w:t>
      </w:r>
      <w:r w:rsidR="00D6353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at</w:t>
      </w:r>
      <w:r w:rsidR="00B01A0B"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 w:rsidR="00D6353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grade. 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A20CB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Applicant is before </w:t>
      </w:r>
      <w:r w:rsidR="001A55B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BA20CB" w:rsidRPr="001F1464">
        <w:rPr>
          <w:rFonts w:ascii="Times New Roman" w:hAnsi="Times New Roman" w:cs="Times New Roman"/>
          <w:sz w:val="28"/>
          <w:szCs w:val="28"/>
          <w:lang w:val="en-GB"/>
        </w:rPr>
        <w:t>ourt</w:t>
      </w:r>
      <w:r w:rsidR="001A55B3">
        <w:rPr>
          <w:rFonts w:ascii="Times New Roman" w:hAnsi="Times New Roman" w:cs="Times New Roman"/>
          <w:sz w:val="28"/>
          <w:szCs w:val="28"/>
          <w:lang w:val="en-GB"/>
        </w:rPr>
        <w:t xml:space="preserve"> to 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seek that he be remunerated at grade </w:t>
      </w:r>
      <w:r w:rsidR="00360608" w:rsidRPr="0095715E">
        <w:rPr>
          <w:rFonts w:ascii="Times New Roman" w:hAnsi="Times New Roman" w:cs="Times New Roman"/>
          <w:sz w:val="28"/>
          <w:szCs w:val="28"/>
          <w:lang w:val="en-GB"/>
        </w:rPr>
        <w:t>K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 xml:space="preserve"> in terms of the </w:t>
      </w:r>
      <w:r w:rsidR="00BA20CB" w:rsidRPr="001F1464">
        <w:rPr>
          <w:rFonts w:ascii="Times New Roman" w:hAnsi="Times New Roman" w:cs="Times New Roman"/>
          <w:sz w:val="28"/>
          <w:szCs w:val="28"/>
          <w:lang w:val="en-GB"/>
        </w:rPr>
        <w:t>approved structure</w:t>
      </w:r>
      <w:r w:rsidR="0036060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51511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21E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FB67E71" w14:textId="0E4AAFF4" w:rsidR="00B22998" w:rsidRPr="001F1464" w:rsidRDefault="00B22998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Relief sought</w:t>
      </w:r>
      <w:r w:rsidR="007F45B9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070119E4" w14:textId="57FAB97F" w:rsidR="00B22998" w:rsidRPr="001F1464" w:rsidRDefault="00B22998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[2]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ab/>
        <w:t>On the day the matter was heard</w:t>
      </w:r>
      <w:r w:rsidR="00015F2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15F25" w:rsidRPr="001F1464">
        <w:rPr>
          <w:rFonts w:ascii="Times New Roman" w:hAnsi="Times New Roman" w:cs="Times New Roman"/>
          <w:sz w:val="28"/>
          <w:szCs w:val="28"/>
          <w:lang w:val="en-GB"/>
        </w:rPr>
        <w:t>dvocate Tlapana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CE777A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Applicant</w:t>
      </w:r>
      <w:r w:rsidR="006E355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 xml:space="preserve">intimated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to the 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015F25" w:rsidRPr="001F1464">
        <w:rPr>
          <w:rFonts w:ascii="Times New Roman" w:hAnsi="Times New Roman" w:cs="Times New Roman"/>
          <w:sz w:val="28"/>
          <w:szCs w:val="28"/>
          <w:lang w:val="en-GB"/>
        </w:rPr>
        <w:t>ourt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that he was abandoning </w:t>
      </w:r>
      <w:r w:rsidR="002B586C" w:rsidRPr="001F1464">
        <w:rPr>
          <w:rFonts w:ascii="Times New Roman" w:hAnsi="Times New Roman" w:cs="Times New Roman"/>
          <w:sz w:val="28"/>
          <w:szCs w:val="28"/>
          <w:lang w:val="en-GB"/>
        </w:rPr>
        <w:t>prayer 1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in the 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otice of 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>otion, which</w:t>
      </w:r>
      <w:r w:rsidR="00210670">
        <w:rPr>
          <w:rFonts w:ascii="Times New Roman" w:hAnsi="Times New Roman" w:cs="Times New Roman"/>
          <w:sz w:val="28"/>
          <w:szCs w:val="28"/>
          <w:lang w:val="en-GB"/>
        </w:rPr>
        <w:t xml:space="preserve"> was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210670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6F4241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="00210670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declarator that the Applicant is entitled to have the position </w:t>
      </w:r>
      <w:r w:rsidR="00D84F9E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>of Senior Ju</w:t>
      </w:r>
      <w:r w:rsidR="006F4241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dicial Commissioner equated with and treated similar to that of the Registrar of the High Court in terms of remuneration and other benefits, </w:t>
      </w:r>
      <w:r w:rsidR="0095715E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that </w:t>
      </w:r>
      <w:r w:rsidR="006F4241" w:rsidRPr="0095715E">
        <w:rPr>
          <w:rFonts w:ascii="Times New Roman" w:hAnsi="Times New Roman" w:cs="Times New Roman"/>
          <w:b/>
          <w:i/>
          <w:sz w:val="28"/>
          <w:szCs w:val="28"/>
          <w:lang w:val="en-GB"/>
        </w:rPr>
        <w:t>Applicant’s said position be upgraded from grade J, K to L.”</w:t>
      </w:r>
      <w:r w:rsidR="006F42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4241">
        <w:rPr>
          <w:rFonts w:ascii="Times New Roman" w:hAnsi="Times New Roman" w:cs="Times New Roman"/>
          <w:sz w:val="28"/>
          <w:szCs w:val="28"/>
          <w:lang w:val="en-GB"/>
        </w:rPr>
        <w:t xml:space="preserve">Having been abandoned, this prayer 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>is no</w:t>
      </w:r>
      <w:r w:rsidR="00B01A0B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01A0B">
        <w:rPr>
          <w:rFonts w:ascii="Times New Roman" w:hAnsi="Times New Roman" w:cs="Times New Roman"/>
          <w:sz w:val="28"/>
          <w:szCs w:val="28"/>
          <w:lang w:val="en-GB"/>
        </w:rPr>
        <w:t>im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>material for purposes of what remains to be determined.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Counsel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indicated that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F4241">
        <w:rPr>
          <w:rFonts w:ascii="Times New Roman" w:hAnsi="Times New Roman" w:cs="Times New Roman"/>
          <w:sz w:val="28"/>
          <w:szCs w:val="28"/>
          <w:lang w:val="en-GB"/>
        </w:rPr>
        <w:t xml:space="preserve">Applicant </w:t>
      </w:r>
      <w:r w:rsidR="004250A7" w:rsidRPr="001F1464">
        <w:rPr>
          <w:rFonts w:ascii="Times New Roman" w:hAnsi="Times New Roman" w:cs="Times New Roman"/>
          <w:sz w:val="28"/>
          <w:szCs w:val="28"/>
          <w:lang w:val="en-GB"/>
        </w:rPr>
        <w:t>was pursuing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following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 xml:space="preserve"> prayers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4450FF6" w14:textId="27846756" w:rsidR="00230457" w:rsidRPr="001F1464" w:rsidRDefault="00230457" w:rsidP="00D0770F">
      <w:pPr>
        <w:tabs>
          <w:tab w:val="left" w:pos="709"/>
        </w:tabs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(a)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ab/>
        <w:t>Directing the 1</w:t>
      </w:r>
      <w:r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to 3</w:t>
      </w:r>
      <w:r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Respondents to upgrade </w:t>
      </w:r>
      <w:r w:rsidR="00B01A0B">
        <w:rPr>
          <w:rFonts w:ascii="Times New Roman" w:hAnsi="Times New Roman" w:cs="Times New Roman"/>
          <w:sz w:val="28"/>
          <w:szCs w:val="28"/>
          <w:lang w:val="en-GB"/>
        </w:rPr>
        <w:t>his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salary from grade </w:t>
      </w:r>
      <w:r w:rsidRPr="0095715E">
        <w:rPr>
          <w:rFonts w:ascii="Times New Roman" w:hAnsi="Times New Roman" w:cs="Times New Roman"/>
          <w:bCs/>
          <w:sz w:val="28"/>
          <w:szCs w:val="28"/>
          <w:lang w:val="en-GB"/>
        </w:rPr>
        <w:t>J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to grade </w:t>
      </w:r>
      <w:r w:rsidRPr="0095715E">
        <w:rPr>
          <w:rFonts w:ascii="Times New Roman" w:hAnsi="Times New Roman" w:cs="Times New Roman"/>
          <w:bCs/>
          <w:sz w:val="28"/>
          <w:szCs w:val="28"/>
          <w:lang w:val="en-GB"/>
        </w:rPr>
        <w:t>K</w:t>
      </w: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in accordance with the revised approved structure for the Judiciary with effect from April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2018</w:t>
      </w:r>
      <w:r w:rsidR="00CE777A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0189D670" w14:textId="6737BB2F" w:rsidR="00230457" w:rsidRPr="001F1464" w:rsidRDefault="00230457" w:rsidP="00D0770F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(b) </w:t>
      </w:r>
      <w:r w:rsidR="00187829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Directing the 4</w:t>
      </w:r>
      <w:r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 to pay or cause to be paid to </w:t>
      </w:r>
      <w:r w:rsidR="006F4241">
        <w:rPr>
          <w:rFonts w:ascii="Times New Roman" w:hAnsi="Times New Roman" w:cs="Times New Roman"/>
          <w:sz w:val="28"/>
          <w:szCs w:val="28"/>
          <w:lang w:val="en-GB"/>
        </w:rPr>
        <w:t xml:space="preserve">him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salary arrears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retrospectively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with effect from April</w:t>
      </w:r>
      <w:r w:rsidR="003005A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2018</w:t>
      </w:r>
      <w:r w:rsidR="00386102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5F5BBB8E" w14:textId="70E760D0" w:rsidR="00986425" w:rsidRPr="001F1464" w:rsidRDefault="00187829" w:rsidP="00D0770F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(c) </w:t>
      </w:r>
      <w:r w:rsidR="002B586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86425" w:rsidRPr="001F1464">
        <w:rPr>
          <w:rFonts w:ascii="Times New Roman" w:hAnsi="Times New Roman" w:cs="Times New Roman"/>
          <w:sz w:val="28"/>
          <w:szCs w:val="28"/>
          <w:lang w:val="en-GB"/>
        </w:rPr>
        <w:tab/>
        <w:t>Costs of suit in the event of opposition</w:t>
      </w:r>
      <w:r w:rsidR="00386102">
        <w:rPr>
          <w:rFonts w:ascii="Times New Roman" w:hAnsi="Times New Roman" w:cs="Times New Roman"/>
          <w:sz w:val="28"/>
          <w:szCs w:val="28"/>
          <w:lang w:val="en-GB"/>
        </w:rPr>
        <w:t>; and that</w:t>
      </w:r>
    </w:p>
    <w:p w14:paraId="2C6D41AB" w14:textId="50CAD819" w:rsidR="00BB473C" w:rsidRDefault="00986425" w:rsidP="00D0770F">
      <w:pPr>
        <w:spacing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(d)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ab/>
        <w:t xml:space="preserve">Applicant be granted such further and/or alternative relief as the Honourable Court shall deem fit. </w:t>
      </w:r>
    </w:p>
    <w:p w14:paraId="10D1200F" w14:textId="413A1455" w:rsidR="00E12DA5" w:rsidRPr="00E12DA5" w:rsidRDefault="00E12DA5" w:rsidP="00D077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2DA5">
        <w:rPr>
          <w:rFonts w:ascii="Times New Roman" w:hAnsi="Times New Roman" w:cs="Times New Roman"/>
          <w:b/>
          <w:sz w:val="28"/>
          <w:szCs w:val="28"/>
          <w:lang w:val="en-GB"/>
        </w:rPr>
        <w:t>Issue for determination</w:t>
      </w:r>
    </w:p>
    <w:p w14:paraId="024FAFF5" w14:textId="349F7501" w:rsidR="00E12DA5" w:rsidRPr="00E12DA5" w:rsidRDefault="004E445D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]  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E12DA5">
        <w:rPr>
          <w:rFonts w:ascii="Times New Roman" w:hAnsi="Times New Roman" w:cs="Times New Roman"/>
          <w:sz w:val="28"/>
          <w:szCs w:val="28"/>
          <w:lang w:val="en-GB"/>
        </w:rPr>
        <w:t>The issue for determination is very straightforward, but not necessarily simple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E12DA5">
        <w:rPr>
          <w:rFonts w:ascii="Times New Roman" w:hAnsi="Times New Roman" w:cs="Times New Roman"/>
          <w:sz w:val="28"/>
          <w:szCs w:val="28"/>
          <w:lang w:val="en-GB"/>
        </w:rPr>
        <w:t xml:space="preserve"> namely, that applicant’s salary be upgraded, retrospectively, from grade </w:t>
      </w:r>
      <w:r w:rsidR="00E12DA5" w:rsidRPr="0095715E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E12DA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12DA5" w:rsidRPr="00E12DA5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 xml:space="preserve">grade </w:t>
      </w:r>
      <w:r w:rsidR="00E12DA5" w:rsidRPr="0095715E">
        <w:rPr>
          <w:rFonts w:ascii="Times New Roman" w:hAnsi="Times New Roman" w:cs="Times New Roman"/>
          <w:sz w:val="28"/>
          <w:szCs w:val="28"/>
          <w:lang w:val="en-GB"/>
        </w:rPr>
        <w:t>K</w:t>
      </w:r>
      <w:r w:rsidR="00E12DA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E12DA5" w:rsidRPr="00E12DA5">
        <w:rPr>
          <w:rFonts w:ascii="Times New Roman" w:hAnsi="Times New Roman" w:cs="Times New Roman"/>
          <w:sz w:val="28"/>
          <w:szCs w:val="28"/>
          <w:lang w:val="en-GB"/>
        </w:rPr>
        <w:t xml:space="preserve">in accordance with the revised approved structure of the </w:t>
      </w:r>
      <w:r w:rsidR="00FE34A2">
        <w:rPr>
          <w:rFonts w:ascii="Times New Roman" w:hAnsi="Times New Roman" w:cs="Times New Roman"/>
          <w:sz w:val="28"/>
          <w:szCs w:val="28"/>
          <w:lang w:val="en-GB"/>
        </w:rPr>
        <w:t>J</w:t>
      </w:r>
      <w:r w:rsidR="00E12DA5" w:rsidRPr="00E12DA5">
        <w:rPr>
          <w:rFonts w:ascii="Times New Roman" w:hAnsi="Times New Roman" w:cs="Times New Roman"/>
          <w:sz w:val="28"/>
          <w:szCs w:val="28"/>
          <w:lang w:val="en-GB"/>
        </w:rPr>
        <w:t>udiciary.</w:t>
      </w:r>
      <w:r w:rsidR="00FE34A2">
        <w:rPr>
          <w:rFonts w:ascii="Times New Roman" w:hAnsi="Times New Roman" w:cs="Times New Roman"/>
          <w:sz w:val="28"/>
          <w:szCs w:val="28"/>
          <w:lang w:val="en-GB"/>
        </w:rPr>
        <w:t xml:space="preserve"> It is common cause that the revised structure has been approved.</w:t>
      </w:r>
    </w:p>
    <w:p w14:paraId="0AA8F1D6" w14:textId="624CE5A7" w:rsidR="00BB473C" w:rsidRPr="001F1464" w:rsidRDefault="00BB473C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Applicant’s case</w:t>
      </w:r>
      <w:r w:rsidR="007F45B9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7FC40908" w14:textId="322DBBE4" w:rsidR="002B586C" w:rsidRPr="001F1464" w:rsidRDefault="0015144D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4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ab/>
        <w:t xml:space="preserve">Applicant’s case </w:t>
      </w:r>
      <w:r w:rsidR="0030591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is </w:t>
      </w:r>
      <w:r w:rsidR="00F4608B" w:rsidRPr="001F1464">
        <w:rPr>
          <w:rFonts w:ascii="Times New Roman" w:hAnsi="Times New Roman" w:cs="Times New Roman"/>
          <w:sz w:val="28"/>
          <w:szCs w:val="28"/>
          <w:lang w:val="en-GB"/>
        </w:rPr>
        <w:t>brief</w:t>
      </w:r>
      <w:r w:rsidR="0030591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. It is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that he is </w:t>
      </w:r>
      <w:r w:rsidR="00797057" w:rsidRPr="001F146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till being remunerated 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at grade </w:t>
      </w:r>
      <w:r w:rsidR="007109E6" w:rsidRPr="0095715E">
        <w:rPr>
          <w:rFonts w:ascii="Times New Roman" w:hAnsi="Times New Roman" w:cs="Times New Roman"/>
          <w:bCs/>
          <w:sz w:val="28"/>
          <w:szCs w:val="28"/>
          <w:lang w:val="en-GB"/>
        </w:rPr>
        <w:t>J</w:t>
      </w:r>
      <w:r w:rsidR="00F83F09">
        <w:rPr>
          <w:rFonts w:ascii="Times New Roman" w:hAnsi="Times New Roman" w:cs="Times New Roman"/>
          <w:b/>
          <w:bCs/>
          <w:sz w:val="28"/>
          <w:szCs w:val="28"/>
          <w:lang w:val="en-GB"/>
        </w:rPr>
        <w:t>,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61E3A" w:rsidRPr="001F1464">
        <w:rPr>
          <w:rFonts w:ascii="Times New Roman" w:hAnsi="Times New Roman" w:cs="Times New Roman"/>
          <w:sz w:val="28"/>
          <w:szCs w:val="28"/>
          <w:lang w:val="en-GB"/>
        </w:rPr>
        <w:t>contrary to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approved structure</w:t>
      </w:r>
      <w:r w:rsidR="00497FB3">
        <w:rPr>
          <w:rFonts w:ascii="Times New Roman" w:hAnsi="Times New Roman" w:cs="Times New Roman"/>
          <w:sz w:val="28"/>
          <w:szCs w:val="28"/>
          <w:lang w:val="en-GB"/>
        </w:rPr>
        <w:t xml:space="preserve"> that puts him at grade K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D63886">
        <w:rPr>
          <w:rFonts w:ascii="Times New Roman" w:hAnsi="Times New Roman" w:cs="Times New Roman"/>
          <w:sz w:val="28"/>
          <w:szCs w:val="28"/>
          <w:lang w:val="en-GB"/>
        </w:rPr>
        <w:t xml:space="preserve"> he finds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this 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violation of his right to be treated fairly and </w:t>
      </w:r>
      <w:r w:rsidR="00497FB3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7109E6" w:rsidRPr="001F1464">
        <w:rPr>
          <w:rFonts w:ascii="Times New Roman" w:hAnsi="Times New Roman" w:cs="Times New Roman"/>
          <w:sz w:val="28"/>
          <w:szCs w:val="28"/>
          <w:lang w:val="en-GB"/>
        </w:rPr>
        <w:t>be afforded equal protection of the law.</w:t>
      </w:r>
      <w:r w:rsidR="000B0EF1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83F09">
        <w:rPr>
          <w:rFonts w:ascii="Times New Roman" w:hAnsi="Times New Roman" w:cs="Times New Roman"/>
          <w:sz w:val="28"/>
          <w:szCs w:val="28"/>
          <w:lang w:val="en-GB"/>
        </w:rPr>
        <w:t>Applicant’s case is in a nutshell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F83F09">
        <w:rPr>
          <w:rFonts w:ascii="Times New Roman" w:hAnsi="Times New Roman" w:cs="Times New Roman"/>
          <w:sz w:val="28"/>
          <w:szCs w:val="28"/>
          <w:lang w:val="en-GB"/>
        </w:rPr>
        <w:t xml:space="preserve"> that the position that he holds is not graded properly.</w:t>
      </w:r>
      <w:r w:rsidR="004432F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D28FA18" w14:textId="24EA26D7" w:rsidR="007140AB" w:rsidRDefault="007140AB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Respondents’ case</w:t>
      </w:r>
      <w:r w:rsidR="007F45B9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45E0C4E5" w14:textId="56A9A4BA" w:rsidR="00F83F09" w:rsidRPr="001F1464" w:rsidRDefault="0095715E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That </w:t>
      </w:r>
      <w:r w:rsidR="00F83F0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Applicant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was </w:t>
      </w:r>
      <w:r w:rsidR="00F83F09">
        <w:rPr>
          <w:rFonts w:ascii="Times New Roman" w:hAnsi="Times New Roman" w:cs="Times New Roman"/>
          <w:b/>
          <w:bCs/>
          <w:sz w:val="28"/>
          <w:szCs w:val="28"/>
          <w:lang w:val="en-GB"/>
        </w:rPr>
        <w:t>employed in terms of the old structure</w:t>
      </w:r>
    </w:p>
    <w:p w14:paraId="211A5229" w14:textId="77777777" w:rsidR="00E43372" w:rsidRDefault="001D34BF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140AB" w:rsidRPr="001F1464">
        <w:rPr>
          <w:rFonts w:ascii="Times New Roman" w:hAnsi="Times New Roman" w:cs="Times New Roman"/>
          <w:sz w:val="28"/>
          <w:szCs w:val="28"/>
          <w:lang w:val="en-GB"/>
        </w:rPr>
        <w:t>In their defence</w:t>
      </w:r>
      <w:r w:rsidR="0095715E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7140AB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Respondents plead that 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7140AB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Applicant was employed in terms of the old structure which places him at grade </w:t>
      </w:r>
      <w:r w:rsidR="007140AB" w:rsidRPr="00E43372">
        <w:rPr>
          <w:rFonts w:ascii="Times New Roman" w:hAnsi="Times New Roman" w:cs="Times New Roman"/>
          <w:bCs/>
          <w:sz w:val="28"/>
          <w:szCs w:val="28"/>
          <w:lang w:val="en-GB"/>
        </w:rPr>
        <w:t>J</w:t>
      </w:r>
      <w:r w:rsidR="007140AB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7140AB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and not </w:t>
      </w:r>
      <w:r w:rsidR="00264B7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at </w:t>
      </w:r>
      <w:r w:rsidR="00264B7C" w:rsidRPr="00E43372">
        <w:rPr>
          <w:rFonts w:ascii="Times New Roman" w:hAnsi="Times New Roman" w:cs="Times New Roman"/>
          <w:bCs/>
          <w:sz w:val="28"/>
          <w:szCs w:val="28"/>
          <w:lang w:val="en-GB"/>
        </w:rPr>
        <w:t>K.</w:t>
      </w:r>
      <w:r w:rsidR="00264B7C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Respondents refer this </w:t>
      </w:r>
      <w:r w:rsidR="00AB533D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ourt </w:t>
      </w:r>
      <w:r w:rsidR="00AB533D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annexure “</w:t>
      </w:r>
      <w:r w:rsidR="00935C5E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RH1”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in this regard. This is the advertisement in terms of which Applicant applied for the position and was subsequently appointed.</w:t>
      </w:r>
      <w:r w:rsidR="001E69A3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10D4" w:rsidRPr="00A610D4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A610D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RH1”</w:t>
      </w:r>
      <w:r w:rsidR="00A61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2258FC">
        <w:rPr>
          <w:rFonts w:ascii="Times New Roman" w:hAnsi="Times New Roman" w:cs="Times New Roman"/>
          <w:sz w:val="28"/>
          <w:szCs w:val="28"/>
          <w:lang w:val="en-GB"/>
        </w:rPr>
        <w:t xml:space="preserve">was later amended by </w:t>
      </w:r>
      <w:r w:rsidR="002258FC" w:rsidRPr="001F1464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2258FC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RC3</w:t>
      </w:r>
      <w:r w:rsidR="00610214" w:rsidRPr="00D06B9A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2258FC" w:rsidRPr="00A610D4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  <w:r w:rsidR="006102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021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authored 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 xml:space="preserve">by the Principal </w:t>
      </w:r>
      <w:r w:rsidR="00497F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 xml:space="preserve">ecretary, Ministry of Public 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>ervice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 xml:space="preserve"> on 14</w:t>
      </w:r>
      <w:r w:rsidR="00E43372" w:rsidRPr="000E1F8B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 xml:space="preserve"> March, 2017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10214" w:rsidRPr="001F1464">
        <w:rPr>
          <w:rFonts w:ascii="Times New Roman" w:hAnsi="Times New Roman" w:cs="Times New Roman"/>
          <w:sz w:val="28"/>
          <w:szCs w:val="28"/>
          <w:lang w:val="en-GB"/>
        </w:rPr>
        <w:t>shortly after the approval of the new structure for the Judiciary.</w:t>
      </w:r>
      <w:r w:rsidR="002258F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3BEF4F7" w14:textId="07166B1F" w:rsidR="008D3E19" w:rsidRPr="001F1464" w:rsidRDefault="00E43372" w:rsidP="00E4337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[6]  </w:t>
      </w:r>
      <w:r w:rsidR="008C122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06B9A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610214" w:rsidRPr="00A610D4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61021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RC3”</w:t>
      </w:r>
      <w:r w:rsidR="00A61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610D4" w:rsidRPr="00A610D4">
        <w:rPr>
          <w:rFonts w:ascii="Times New Roman" w:hAnsi="Times New Roman" w:cs="Times New Roman"/>
          <w:bCs/>
          <w:sz w:val="28"/>
          <w:szCs w:val="28"/>
          <w:lang w:val="en-GB"/>
        </w:rPr>
        <w:t>is a corrigendum</w:t>
      </w:r>
      <w:r w:rsidR="00A610D4">
        <w:rPr>
          <w:rFonts w:ascii="Times New Roman" w:hAnsi="Times New Roman" w:cs="Times New Roman"/>
          <w:bCs/>
          <w:sz w:val="28"/>
          <w:szCs w:val="28"/>
          <w:lang w:val="en-GB"/>
        </w:rPr>
        <w:t>, to the effect,</w:t>
      </w:r>
      <w:r w:rsidR="00A610D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4B0B48" w:rsidRPr="001F1464">
        <w:rPr>
          <w:rFonts w:ascii="Times New Roman" w:hAnsi="Times New Roman" w:cs="Times New Roman"/>
          <w:sz w:val="28"/>
          <w:szCs w:val="28"/>
          <w:lang w:val="en-GB"/>
        </w:rPr>
        <w:t>among others,</w:t>
      </w:r>
      <w:r w:rsidR="000225A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 xml:space="preserve">that the </w:t>
      </w:r>
      <w:r w:rsidR="008D3E19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="00A610D4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Senior Judicial Commissioner reports to the Chief Justice and not 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to </w:t>
      </w:r>
      <w:r w:rsidR="00A610D4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the Registrar of the High Court as stated in </w:t>
      </w:r>
      <w:r w:rsidR="00A610D4" w:rsidRPr="008D3E19">
        <w:rPr>
          <w:rFonts w:ascii="Times New Roman" w:hAnsi="Times New Roman" w:cs="Times New Roman"/>
          <w:b/>
          <w:i/>
          <w:sz w:val="28"/>
          <w:szCs w:val="28"/>
          <w:u w:val="single"/>
          <w:lang w:val="en-GB"/>
        </w:rPr>
        <w:t>the new approved structure</w:t>
      </w:r>
      <w:r w:rsidR="008D3E19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8D3E19" w:rsidRPr="00497FB3">
        <w:rPr>
          <w:rFonts w:ascii="Times New Roman" w:hAnsi="Times New Roman" w:cs="Times New Roman"/>
          <w:sz w:val="28"/>
          <w:szCs w:val="28"/>
          <w:lang w:val="en-GB"/>
        </w:rPr>
        <w:t>(emphasis added)</w:t>
      </w:r>
      <w:r w:rsidR="00A610D4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>.</w:t>
      </w:r>
      <w:r w:rsidR="008D3E19" w:rsidRPr="008D3E19">
        <w:rPr>
          <w:rFonts w:ascii="Times New Roman" w:hAnsi="Times New Roman" w:cs="Times New Roman"/>
          <w:b/>
          <w:i/>
          <w:sz w:val="28"/>
          <w:szCs w:val="28"/>
          <w:lang w:val="en-GB"/>
        </w:rPr>
        <w:t>”</w:t>
      </w:r>
      <w:r w:rsidR="00A610D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D3E19">
        <w:rPr>
          <w:rFonts w:ascii="Times New Roman" w:hAnsi="Times New Roman" w:cs="Times New Roman"/>
          <w:iCs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>t is i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>nteresting</w:t>
      </w:r>
      <w:r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to note that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8D3E19">
        <w:rPr>
          <w:rFonts w:ascii="Times New Roman" w:hAnsi="Times New Roman" w:cs="Times New Roman"/>
          <w:iCs/>
          <w:sz w:val="28"/>
          <w:szCs w:val="28"/>
          <w:lang w:val="en-GB"/>
        </w:rPr>
        <w:t>the Principal Secretary i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>nvok</w:t>
      </w:r>
      <w:r w:rsidR="008D3E19">
        <w:rPr>
          <w:rFonts w:ascii="Times New Roman" w:hAnsi="Times New Roman" w:cs="Times New Roman"/>
          <w:iCs/>
          <w:sz w:val="28"/>
          <w:szCs w:val="28"/>
          <w:lang w:val="en-GB"/>
        </w:rPr>
        <w:t>ed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the new structure</w:t>
      </w:r>
      <w:r w:rsidR="008D3E1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in respect of </w:t>
      </w:r>
      <w:r w:rsidR="00C55913">
        <w:rPr>
          <w:rFonts w:ascii="Times New Roman" w:hAnsi="Times New Roman" w:cs="Times New Roman"/>
          <w:iCs/>
          <w:sz w:val="28"/>
          <w:szCs w:val="28"/>
          <w:lang w:val="en-GB"/>
        </w:rPr>
        <w:t>reporting li</w:t>
      </w:r>
      <w:r w:rsidR="00F83F09">
        <w:rPr>
          <w:rFonts w:ascii="Times New Roman" w:hAnsi="Times New Roman" w:cs="Times New Roman"/>
          <w:iCs/>
          <w:sz w:val="28"/>
          <w:szCs w:val="28"/>
          <w:lang w:val="en-GB"/>
        </w:rPr>
        <w:t>nes</w:t>
      </w:r>
      <w:r w:rsidR="008D3E19" w:rsidRPr="008D3E19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 but not in respect of the salary.</w:t>
      </w:r>
      <w:r w:rsidR="008D3E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D43D85E" w14:textId="206FC84E" w:rsidR="00F83F09" w:rsidRDefault="008D3E19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>7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64B7C" w:rsidRPr="001F146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A7B9E" w:rsidRPr="001F1464">
        <w:rPr>
          <w:rFonts w:ascii="Times New Roman" w:hAnsi="Times New Roman" w:cs="Times New Roman"/>
          <w:sz w:val="28"/>
          <w:szCs w:val="28"/>
          <w:lang w:val="en-GB"/>
        </w:rPr>
        <w:t>n my considered view</w:t>
      </w:r>
      <w:r w:rsidR="00AE093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4A7B9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Respondents’ defence and reliance on the old structure does not receive the favour of this </w:t>
      </w:r>
      <w:r w:rsidR="00AE093B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4A7B9E" w:rsidRPr="001F1464">
        <w:rPr>
          <w:rFonts w:ascii="Times New Roman" w:hAnsi="Times New Roman" w:cs="Times New Roman"/>
          <w:sz w:val="28"/>
          <w:szCs w:val="28"/>
          <w:lang w:val="en-GB"/>
        </w:rPr>
        <w:t>ourt</w:t>
      </w:r>
      <w:r w:rsidR="0061021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264B7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>The corrigendum aside, the advertisement (</w:t>
      </w:r>
      <w:r w:rsidR="000E584E" w:rsidRPr="00DC3145">
        <w:rPr>
          <w:rFonts w:ascii="Times New Roman" w:hAnsi="Times New Roman" w:cs="Times New Roman"/>
          <w:b/>
          <w:sz w:val="28"/>
          <w:szCs w:val="28"/>
          <w:lang w:val="en-GB"/>
        </w:rPr>
        <w:t>“</w:t>
      </w:r>
      <w:r w:rsidR="00282DF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RH1</w:t>
      </w:r>
      <w:r w:rsidR="000E584E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”</w:t>
      </w:r>
      <w:r w:rsidR="00282DFD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was issued out by Respondents on 1</w:t>
      </w:r>
      <w:r w:rsidR="00282DFD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December 2017, months after the approval of the structure</w:t>
      </w:r>
      <w:r w:rsidR="001032C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in issue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CB3E52" w:rsidRPr="001F1464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1032C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are not told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why the advert</w:t>
      </w:r>
      <w:r w:rsidR="00507697" w:rsidRPr="001F1464">
        <w:rPr>
          <w:rFonts w:ascii="Times New Roman" w:hAnsi="Times New Roman" w:cs="Times New Roman"/>
          <w:sz w:val="28"/>
          <w:szCs w:val="28"/>
          <w:lang w:val="en-GB"/>
        </w:rPr>
        <w:t>ise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>ment</w:t>
      </w:r>
      <w:r w:rsidR="00F83F09">
        <w:rPr>
          <w:rFonts w:ascii="Times New Roman" w:hAnsi="Times New Roman" w:cs="Times New Roman"/>
          <w:sz w:val="28"/>
          <w:szCs w:val="28"/>
          <w:lang w:val="en-GB"/>
        </w:rPr>
        <w:t xml:space="preserve"> was issued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in terms of the old structure wh</w:t>
      </w:r>
      <w:r w:rsidR="00437544">
        <w:rPr>
          <w:rFonts w:ascii="Times New Roman" w:hAnsi="Times New Roman" w:cs="Times New Roman"/>
          <w:sz w:val="28"/>
          <w:szCs w:val="28"/>
          <w:lang w:val="en-GB"/>
        </w:rPr>
        <w:t>en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there was a new one in place and due to be </w:t>
      </w:r>
      <w:r w:rsidR="0023339B" w:rsidRPr="001F1464">
        <w:rPr>
          <w:rFonts w:ascii="Times New Roman" w:hAnsi="Times New Roman" w:cs="Times New Roman"/>
          <w:sz w:val="28"/>
          <w:szCs w:val="28"/>
          <w:lang w:val="en-GB"/>
        </w:rPr>
        <w:t>implemented</w:t>
      </w:r>
      <w:r w:rsidR="00282DF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A7B9E" w:rsidRPr="001F1464">
        <w:rPr>
          <w:rFonts w:ascii="Times New Roman" w:hAnsi="Times New Roman" w:cs="Times New Roman"/>
          <w:sz w:val="28"/>
          <w:szCs w:val="28"/>
          <w:lang w:val="en-GB"/>
        </w:rPr>
        <w:t>t has been established as a fact</w:t>
      </w:r>
      <w:r w:rsidR="00264B7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that</w:t>
      </w:r>
      <w:r w:rsidR="00F83F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64B7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Applicant assumed the position of Senior Judicial Commissioner </w:t>
      </w:r>
      <w:r w:rsidR="004E6040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post </w:t>
      </w:r>
      <w:r w:rsidR="00AE093B">
        <w:rPr>
          <w:rFonts w:ascii="Times New Roman" w:hAnsi="Times New Roman" w:cs="Times New Roman"/>
          <w:sz w:val="28"/>
          <w:szCs w:val="28"/>
          <w:lang w:val="en-GB"/>
        </w:rPr>
        <w:t xml:space="preserve">after </w:t>
      </w:r>
      <w:r w:rsidR="004E6040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the coming into effect of the </w:t>
      </w:r>
      <w:r w:rsidR="00F83F09">
        <w:rPr>
          <w:rFonts w:ascii="Times New Roman" w:hAnsi="Times New Roman" w:cs="Times New Roman"/>
          <w:sz w:val="28"/>
          <w:szCs w:val="28"/>
          <w:lang w:val="en-GB"/>
        </w:rPr>
        <w:t xml:space="preserve">revised </w:t>
      </w:r>
      <w:r w:rsidR="004E6040" w:rsidRPr="001F1464">
        <w:rPr>
          <w:rFonts w:ascii="Times New Roman" w:hAnsi="Times New Roman" w:cs="Times New Roman"/>
          <w:sz w:val="28"/>
          <w:szCs w:val="28"/>
          <w:lang w:val="en-GB"/>
        </w:rPr>
        <w:t>structure, not before.</w:t>
      </w:r>
      <w:r w:rsidR="00DD59E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5BD18C7" w14:textId="2B1D4A8C" w:rsidR="007140AB" w:rsidRPr="00F83F09" w:rsidRDefault="00E43372" w:rsidP="004E6040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That the s</w:t>
      </w:r>
      <w:r w:rsidR="00F83F09" w:rsidRPr="00F83F0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tructure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has been </w:t>
      </w:r>
      <w:r w:rsidR="00F83F09" w:rsidRPr="00F83F09">
        <w:rPr>
          <w:rFonts w:ascii="Times New Roman" w:hAnsi="Times New Roman" w:cs="Times New Roman"/>
          <w:b/>
          <w:sz w:val="28"/>
          <w:szCs w:val="28"/>
          <w:lang w:val="en-GB"/>
        </w:rPr>
        <w:t>approved but not yet implemented</w:t>
      </w:r>
      <w:r w:rsidR="00DD59E7" w:rsidRPr="00F83F0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14:paraId="49836A69" w14:textId="2B87B3C2" w:rsidR="00437544" w:rsidRDefault="008F3863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>8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Respondents 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>further raise a defence that the approval of the new structure does not automatically mean the structure is implemented</w:t>
      </w:r>
      <w:r w:rsidR="00004DF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so 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>the position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remains at 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 xml:space="preserve">grade </w:t>
      </w:r>
      <w:r w:rsidR="00B15526" w:rsidRPr="00E43372">
        <w:rPr>
          <w:rFonts w:ascii="Times New Roman" w:hAnsi="Times New Roman" w:cs="Times New Roman"/>
          <w:bCs/>
          <w:sz w:val="28"/>
          <w:szCs w:val="28"/>
          <w:lang w:val="en-GB"/>
        </w:rPr>
        <w:t>J</w:t>
      </w:r>
      <w:r w:rsidR="00B15526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="00B15526" w:rsidRPr="001F1464">
        <w:rPr>
          <w:rFonts w:ascii="Times New Roman" w:hAnsi="Times New Roman" w:cs="Times New Roman"/>
          <w:sz w:val="28"/>
          <w:szCs w:val="28"/>
          <w:lang w:val="en-GB"/>
        </w:rPr>
        <w:t>Respondents’</w:t>
      </w:r>
      <w:r w:rsidR="003C7E5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contention is that 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implementation is an administrative function of the </w:t>
      </w:r>
      <w:r w:rsidR="008959B6">
        <w:rPr>
          <w:rFonts w:ascii="Times New Roman" w:hAnsi="Times New Roman" w:cs="Times New Roman"/>
          <w:sz w:val="28"/>
          <w:szCs w:val="28"/>
          <w:lang w:val="en-GB"/>
        </w:rPr>
        <w:t xml:space="preserve">Ministry responsible for the 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Public Service through its </w:t>
      </w:r>
      <w:r w:rsidR="00437544">
        <w:rPr>
          <w:rFonts w:ascii="Times New Roman" w:hAnsi="Times New Roman" w:cs="Times New Roman"/>
          <w:sz w:val="28"/>
          <w:szCs w:val="28"/>
          <w:lang w:val="en-GB"/>
        </w:rPr>
        <w:t xml:space="preserve">Principal Secretary 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E43372">
        <w:rPr>
          <w:rFonts w:ascii="Times New Roman" w:hAnsi="Times New Roman" w:cs="Times New Roman"/>
          <w:sz w:val="28"/>
          <w:szCs w:val="28"/>
          <w:lang w:val="en-GB"/>
        </w:rPr>
        <w:t xml:space="preserve"> to this effect </w:t>
      </w:r>
      <w:r w:rsidR="00102B2F" w:rsidRPr="001F1464">
        <w:rPr>
          <w:rFonts w:ascii="Times New Roman" w:hAnsi="Times New Roman" w:cs="Times New Roman"/>
          <w:sz w:val="28"/>
          <w:szCs w:val="28"/>
          <w:lang w:val="en-GB"/>
        </w:rPr>
        <w:t>refers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004DFB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ourt to </w:t>
      </w:r>
      <w:r w:rsidR="00004DF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>ection 13</w:t>
      </w:r>
      <w:r w:rsidR="00FD7E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>(2)</w:t>
      </w:r>
      <w:r w:rsidR="00E73871">
        <w:rPr>
          <w:rFonts w:ascii="Times New Roman" w:hAnsi="Times New Roman" w:cs="Times New Roman"/>
          <w:sz w:val="28"/>
          <w:szCs w:val="28"/>
          <w:lang w:val="en-GB"/>
        </w:rPr>
        <w:t xml:space="preserve"> (c)</w:t>
      </w:r>
      <w:r w:rsidR="00343C0D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343C0D" w:rsidRPr="00DC314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the </w:t>
      </w:r>
      <w:r w:rsidR="006E318A" w:rsidRPr="00DC3145">
        <w:rPr>
          <w:rFonts w:ascii="Times New Roman" w:hAnsi="Times New Roman" w:cs="Times New Roman"/>
          <w:b/>
          <w:i/>
          <w:sz w:val="28"/>
          <w:szCs w:val="28"/>
          <w:lang w:val="en-GB"/>
        </w:rPr>
        <w:t>Public Service Act</w:t>
      </w:r>
      <w:r w:rsidR="00004DFB" w:rsidRPr="00DC3145">
        <w:rPr>
          <w:rFonts w:ascii="Times New Roman" w:hAnsi="Times New Roman" w:cs="Times New Roman"/>
          <w:b/>
          <w:i/>
          <w:sz w:val="28"/>
          <w:szCs w:val="28"/>
          <w:lang w:val="en-GB"/>
        </w:rPr>
        <w:t>,</w:t>
      </w:r>
      <w:r w:rsidR="006E318A" w:rsidRPr="00DC314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2005</w:t>
      </w:r>
      <w:r w:rsidR="0043754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437544" w:rsidRPr="00437544">
        <w:rPr>
          <w:rFonts w:ascii="Times New Roman" w:hAnsi="Times New Roman" w:cs="Times New Roman"/>
          <w:sz w:val="28"/>
          <w:szCs w:val="28"/>
          <w:lang w:val="en-GB"/>
        </w:rPr>
        <w:t>which reads:</w:t>
      </w:r>
    </w:p>
    <w:p w14:paraId="12495655" w14:textId="345772B7" w:rsidR="00E73871" w:rsidRPr="004E4C8B" w:rsidRDefault="00E73871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</w:t>
      </w:r>
      <w:r w:rsidR="005F3DBB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4E4C8B">
        <w:rPr>
          <w:rFonts w:ascii="Times New Roman" w:hAnsi="Times New Roman" w:cs="Times New Roman"/>
          <w:b/>
          <w:i/>
          <w:sz w:val="24"/>
          <w:szCs w:val="24"/>
          <w:lang w:val="en-GB"/>
        </w:rPr>
        <w:t>The Principal Secretary is responsible for -</w:t>
      </w:r>
    </w:p>
    <w:p w14:paraId="268763BB" w14:textId="04766894" w:rsidR="00E73871" w:rsidRPr="004E4C8B" w:rsidRDefault="0047457E" w:rsidP="0047457E">
      <w:pPr>
        <w:spacing w:line="360" w:lineRule="auto"/>
        <w:ind w:left="1134" w:right="237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  </w:t>
      </w:r>
      <w:r w:rsidR="00E73871" w:rsidRPr="004E4C8B">
        <w:rPr>
          <w:rFonts w:ascii="Times New Roman" w:hAnsi="Times New Roman" w:cs="Times New Roman"/>
          <w:b/>
          <w:i/>
          <w:sz w:val="24"/>
          <w:szCs w:val="24"/>
          <w:lang w:val="en-GB"/>
        </w:rPr>
        <w:t>assisting in the initiation, formulation and implementation of the policies of the Ministry or Department under the Principal Secretary’s supervision.</w:t>
      </w:r>
    </w:p>
    <w:p w14:paraId="62DEB4D6" w14:textId="45A37E6E" w:rsidR="005F3DBB" w:rsidRPr="005F3DBB" w:rsidRDefault="005F3DBB" w:rsidP="005F3DBB">
      <w:pPr>
        <w:spacing w:line="360" w:lineRule="auto"/>
        <w:ind w:left="567" w:right="-4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3DBB">
        <w:rPr>
          <w:rFonts w:ascii="Times New Roman" w:hAnsi="Times New Roman" w:cs="Times New Roman"/>
          <w:sz w:val="28"/>
          <w:szCs w:val="28"/>
          <w:lang w:val="en-GB"/>
        </w:rPr>
        <w:t xml:space="preserve">Respondents’ Counsel argues that although the structure was approved, the Principal Secretary had not implemented it or given direction for the position </w:t>
      </w:r>
      <w:r w:rsidRPr="005F3DBB">
        <w:rPr>
          <w:rFonts w:ascii="Times New Roman" w:hAnsi="Times New Roman" w:cs="Times New Roman"/>
          <w:sz w:val="28"/>
          <w:szCs w:val="28"/>
          <w:lang w:val="en-GB"/>
        </w:rPr>
        <w:lastRenderedPageBreak/>
        <w:t>of Senior Judicial Commissioner to be graded at K</w:t>
      </w:r>
      <w:r w:rsidR="004E4C8B">
        <w:rPr>
          <w:rFonts w:ascii="Times New Roman" w:hAnsi="Times New Roman" w:cs="Times New Roman"/>
          <w:sz w:val="28"/>
          <w:szCs w:val="28"/>
          <w:lang w:val="en-GB"/>
        </w:rPr>
        <w:t>, hence the Applicant cannot be graded thereat.</w:t>
      </w:r>
    </w:p>
    <w:p w14:paraId="1D131976" w14:textId="2F0BF7EA" w:rsidR="00ED4624" w:rsidRDefault="00ED4624" w:rsidP="00112B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[9</w:t>
      </w:r>
      <w:r w:rsidR="00E77FF5" w:rsidRPr="001F1464">
        <w:rPr>
          <w:rFonts w:ascii="Times New Roman" w:hAnsi="Times New Roman" w:cs="Times New Roman"/>
          <w:sz w:val="28"/>
          <w:szCs w:val="28"/>
          <w:lang w:val="en-GB"/>
        </w:rPr>
        <w:t>]</w:t>
      </w:r>
      <w:r w:rsidR="00E77FF5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Respondents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argue further </w:t>
      </w:r>
      <w:r>
        <w:rPr>
          <w:rFonts w:ascii="Times New Roman" w:hAnsi="Times New Roman" w:cs="Times New Roman"/>
          <w:sz w:val="28"/>
          <w:szCs w:val="28"/>
          <w:lang w:val="en-GB"/>
        </w:rPr>
        <w:t>that in order for the Judiciary to implement/ or not implement the approved structure, the Judiciary would have to follow the establishment processes for implementation which may result in recreation of new positions, re - designation or upgrading</w:t>
      </w:r>
      <w:r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1"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uch that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>Applicant may, together with other candidates, have</w:t>
      </w:r>
      <w:r w:rsidR="0036362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D62D31">
        <w:rPr>
          <w:rFonts w:ascii="Times New Roman" w:hAnsi="Times New Roman" w:cs="Times New Roman"/>
          <w:sz w:val="28"/>
          <w:szCs w:val="28"/>
          <w:lang w:val="en-GB"/>
        </w:rPr>
        <w:t xml:space="preserve">submit 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>application</w:t>
      </w:r>
      <w:r w:rsidR="00D62D3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to be considered for</w:t>
      </w:r>
      <w:r w:rsidR="00970370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positions in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new structure.</w:t>
      </w:r>
    </w:p>
    <w:p w14:paraId="62E9F047" w14:textId="021833B2" w:rsidR="00112B8C" w:rsidRDefault="00ED4624" w:rsidP="00112B8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[10]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 would have thought </w:t>
      </w:r>
      <w:r w:rsidR="002F3ED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such </w:t>
      </w:r>
      <w:r w:rsidR="002F3EDA" w:rsidRPr="001F1464">
        <w:rPr>
          <w:rFonts w:ascii="Times New Roman" w:hAnsi="Times New Roman" w:cs="Times New Roman"/>
          <w:sz w:val="28"/>
          <w:szCs w:val="28"/>
          <w:lang w:val="en-GB"/>
        </w:rPr>
        <w:t>establishment processes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were considered in motivating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approval of the revised </w:t>
      </w:r>
      <w:r w:rsidR="006E318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structure. </w:t>
      </w:r>
      <w:r w:rsidR="004E4C8B">
        <w:rPr>
          <w:rFonts w:ascii="Times New Roman" w:hAnsi="Times New Roman" w:cs="Times New Roman"/>
          <w:sz w:val="28"/>
          <w:szCs w:val="28"/>
          <w:lang w:val="en-GB"/>
        </w:rPr>
        <w:t xml:space="preserve">This argument beats logic. In terms of </w:t>
      </w:r>
      <w:r w:rsidR="003D609C" w:rsidRPr="003D609C">
        <w:rPr>
          <w:rFonts w:ascii="Times New Roman" w:hAnsi="Times New Roman" w:cs="Times New Roman"/>
          <w:b/>
          <w:sz w:val="28"/>
          <w:szCs w:val="28"/>
          <w:lang w:val="en-GB"/>
        </w:rPr>
        <w:t>“RC 2</w:t>
      </w:r>
      <w:r w:rsidR="003D609C" w:rsidRPr="00D06B9A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D609C" w:rsidRPr="003D609C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  <w:r w:rsidR="003D60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D609C" w:rsidRPr="003D609C">
        <w:rPr>
          <w:rFonts w:ascii="Times New Roman" w:hAnsi="Times New Roman" w:cs="Times New Roman"/>
          <w:sz w:val="28"/>
          <w:szCs w:val="28"/>
          <w:lang w:val="en-GB"/>
        </w:rPr>
        <w:t>the approved structure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D609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3D609C" w:rsidRPr="00D0770F">
        <w:rPr>
          <w:rFonts w:ascii="Times New Roman" w:hAnsi="Times New Roman" w:cs="Times New Roman"/>
          <w:sz w:val="28"/>
          <w:szCs w:val="28"/>
          <w:lang w:val="en-GB"/>
        </w:rPr>
        <w:t>Applicant’s position is graded at K. If as argued by the Respondents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3D609C" w:rsidRPr="00D0770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0770F">
        <w:rPr>
          <w:rFonts w:ascii="Times New Roman" w:hAnsi="Times New Roman" w:cs="Times New Roman"/>
          <w:sz w:val="28"/>
          <w:szCs w:val="28"/>
          <w:lang w:val="en-GB"/>
        </w:rPr>
        <w:t xml:space="preserve">in order for the structure to be implemented, a lot of factors had to be considered, this begs the question, what informed the position of Senior Judicial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Commissioner </w:t>
      </w:r>
      <w:r w:rsidR="00D0770F">
        <w:rPr>
          <w:rFonts w:ascii="Times New Roman" w:hAnsi="Times New Roman" w:cs="Times New Roman"/>
          <w:sz w:val="28"/>
          <w:szCs w:val="28"/>
          <w:lang w:val="en-GB"/>
        </w:rPr>
        <w:t xml:space="preserve">to be graded at K?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For me that would </w:t>
      </w:r>
      <w:r w:rsidR="00EB5ACC">
        <w:rPr>
          <w:rFonts w:ascii="Times New Roman" w:hAnsi="Times New Roman" w:cs="Times New Roman"/>
          <w:sz w:val="28"/>
          <w:szCs w:val="28"/>
          <w:lang w:val="en-GB"/>
        </w:rPr>
        <w:t>include subjecting the proposed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5ACC">
        <w:rPr>
          <w:rFonts w:ascii="Times New Roman" w:hAnsi="Times New Roman" w:cs="Times New Roman"/>
          <w:sz w:val="28"/>
          <w:szCs w:val="28"/>
          <w:lang w:val="en-GB"/>
        </w:rPr>
        <w:t xml:space="preserve">(not approved) </w:t>
      </w:r>
      <w:r>
        <w:rPr>
          <w:rFonts w:ascii="Times New Roman" w:hAnsi="Times New Roman" w:cs="Times New Roman"/>
          <w:sz w:val="28"/>
          <w:szCs w:val="28"/>
          <w:lang w:val="en-GB"/>
        </w:rPr>
        <w:t>structure to such processes as job evaluation, job analysis</w:t>
      </w:r>
      <w:r w:rsidR="00EB5ACC">
        <w:rPr>
          <w:rFonts w:ascii="Times New Roman" w:hAnsi="Times New Roman" w:cs="Times New Roman"/>
          <w:sz w:val="28"/>
          <w:szCs w:val="28"/>
          <w:lang w:val="en-GB"/>
        </w:rPr>
        <w:t>, costing to determine the financial viability of the structure, so on, and so forth.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9622D9A" w14:textId="66E02658" w:rsidR="006F1E53" w:rsidRDefault="00ED4624" w:rsidP="002A65B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[11]</w:t>
      </w:r>
      <w:r w:rsidR="00EB5A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B5ACC"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restructuring exercise is also common cause.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The Concise Oxford Dictionary</w:t>
      </w:r>
      <w:r w:rsidR="00112B8C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2"/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 xml:space="preserve"> defines restructure as </w:t>
      </w:r>
      <w:r w:rsidR="007D7E65">
        <w:rPr>
          <w:rFonts w:ascii="Times New Roman" w:hAnsi="Times New Roman" w:cs="Times New Roman"/>
          <w:sz w:val="28"/>
          <w:szCs w:val="28"/>
          <w:lang w:val="en-GB"/>
        </w:rPr>
        <w:t xml:space="preserve">giving </w:t>
      </w:r>
      <w:r w:rsidR="007D7E65" w:rsidRPr="007D7E6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“a new structure to; </w:t>
      </w:r>
      <w:r w:rsidR="00112B8C" w:rsidRPr="007D7E65">
        <w:rPr>
          <w:rFonts w:ascii="Times New Roman" w:hAnsi="Times New Roman" w:cs="Times New Roman"/>
          <w:b/>
          <w:i/>
          <w:sz w:val="28"/>
          <w:szCs w:val="28"/>
          <w:lang w:val="en-GB"/>
        </w:rPr>
        <w:t>rebuild</w:t>
      </w:r>
      <w:r w:rsidR="007D7E65" w:rsidRPr="007D7E65">
        <w:rPr>
          <w:rFonts w:ascii="Times New Roman" w:hAnsi="Times New Roman" w:cs="Times New Roman"/>
          <w:b/>
          <w:i/>
          <w:sz w:val="28"/>
          <w:szCs w:val="28"/>
          <w:lang w:val="en-GB"/>
        </w:rPr>
        <w:t>;</w:t>
      </w:r>
      <w:r w:rsidR="00112B8C" w:rsidRPr="007D7E65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rearrange.”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D0770F">
        <w:rPr>
          <w:rFonts w:ascii="Times New Roman" w:hAnsi="Times New Roman" w:cs="Times New Roman"/>
          <w:sz w:val="28"/>
          <w:szCs w:val="28"/>
          <w:lang w:val="en-GB"/>
        </w:rPr>
        <w:t>learned au</w:t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>thor, Clive Thompson in his article “Bargaining, Business Restructuring and the Operational Requirements Dismissal”</w:t>
      </w:r>
      <w:r w:rsidR="00FB546D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3"/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 xml:space="preserve"> und</w:t>
      </w:r>
      <w:r w:rsidR="007D7E65">
        <w:rPr>
          <w:rFonts w:ascii="Times New Roman" w:hAnsi="Times New Roman" w:cs="Times New Roman"/>
          <w:sz w:val="28"/>
          <w:szCs w:val="28"/>
          <w:lang w:val="en-GB"/>
        </w:rPr>
        <w:t>erscores</w:t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 xml:space="preserve"> the rationale </w:t>
      </w:r>
      <w:r w:rsidR="009540F7">
        <w:rPr>
          <w:rFonts w:ascii="Times New Roman" w:hAnsi="Times New Roman" w:cs="Times New Roman"/>
          <w:sz w:val="28"/>
          <w:szCs w:val="28"/>
          <w:lang w:val="en-GB"/>
        </w:rPr>
        <w:t>behind</w:t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 xml:space="preserve"> restructuring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 xml:space="preserve"> as</w:t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D7E65">
        <w:rPr>
          <w:rFonts w:ascii="Times New Roman" w:hAnsi="Times New Roman" w:cs="Times New Roman"/>
          <w:sz w:val="28"/>
          <w:szCs w:val="28"/>
          <w:lang w:val="en-GB"/>
        </w:rPr>
        <w:t xml:space="preserve">being 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="00FB546D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to improve 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-</w:t>
      </w:r>
      <w:r w:rsidR="00FB546D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or save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-</w:t>
      </w:r>
      <w:r w:rsidR="00FB546D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the competitive position of the busin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e</w:t>
      </w:r>
      <w:r w:rsidR="00FB546D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ss in its product or services market</w:t>
      </w:r>
      <w:r w:rsid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,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”</w:t>
      </w:r>
      <w:r w:rsidR="009540F7">
        <w:rPr>
          <w:rStyle w:val="FootnoteReference"/>
          <w:rFonts w:ascii="Times New Roman" w:hAnsi="Times New Roman" w:cs="Times New Roman"/>
          <w:b/>
          <w:i/>
          <w:sz w:val="28"/>
          <w:szCs w:val="28"/>
          <w:lang w:val="en-GB"/>
        </w:rPr>
        <w:footnoteReference w:id="4"/>
      </w:r>
      <w:r w:rsidR="00FB546D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9540F7">
        <w:rPr>
          <w:rFonts w:ascii="Times New Roman" w:hAnsi="Times New Roman" w:cs="Times New Roman"/>
          <w:sz w:val="28"/>
          <w:szCs w:val="28"/>
          <w:lang w:val="en-GB"/>
        </w:rPr>
        <w:t>and that in undertaking this exercise,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“an employer may wish to 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lastRenderedPageBreak/>
        <w:t xml:space="preserve">work differently, </w:t>
      </w:r>
      <w:r w:rsidR="007D7E65" w:rsidRPr="007D7E65">
        <w:rPr>
          <w:rFonts w:ascii="Times New Roman" w:hAnsi="Times New Roman" w:cs="Times New Roman"/>
          <w:sz w:val="28"/>
          <w:szCs w:val="28"/>
          <w:lang w:val="en-GB"/>
        </w:rPr>
        <w:t>[which]</w:t>
      </w:r>
      <w:r w:rsidR="007D7E6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may entail changes to conditions of service or work practices or both</w:t>
      </w:r>
      <w:r w:rsidR="009540F7" w:rsidRPr="000A7FB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>”</w:t>
      </w:r>
      <w:r w:rsidR="00E46B64">
        <w:rPr>
          <w:rStyle w:val="FootnoteReference"/>
          <w:rFonts w:ascii="Times New Roman" w:hAnsi="Times New Roman" w:cs="Times New Roman"/>
          <w:b/>
          <w:i/>
          <w:sz w:val="28"/>
          <w:szCs w:val="28"/>
          <w:lang w:val="en-GB"/>
        </w:rPr>
        <w:footnoteReference w:id="5"/>
      </w:r>
      <w:r w:rsidR="009540F7" w:rsidRPr="009540F7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5D8B4E3E" w14:textId="356851DE" w:rsidR="00E22853" w:rsidRDefault="006F1E53" w:rsidP="002A65B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[12] On the basis of the</w:t>
      </w:r>
      <w:r w:rsidR="008B43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foregoing analysis, the court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appreciat</w:t>
      </w:r>
      <w:r>
        <w:rPr>
          <w:rFonts w:ascii="Times New Roman" w:hAnsi="Times New Roman" w:cs="Times New Roman"/>
          <w:sz w:val="28"/>
          <w:szCs w:val="28"/>
          <w:lang w:val="en-GB"/>
        </w:rPr>
        <w:t>es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that there are factors to be considered in the restructuring process, but the issue is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at what stage,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Is it at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the approval or the implementation stage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?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For me, logic dictates that the process starts with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proposal of a structure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the relevant Ministry, Department, or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ector, as the case may be, which we could refer to as an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organisational dream</w:t>
      </w:r>
      <w:r>
        <w:rPr>
          <w:rFonts w:ascii="Times New Roman" w:hAnsi="Times New Roman" w:cs="Times New Roman"/>
          <w:sz w:val="28"/>
          <w:szCs w:val="28"/>
          <w:lang w:val="en-GB"/>
        </w:rPr>
        <w:t>;”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then the </w:t>
      </w:r>
      <w:r w:rsidR="00D06B9A">
        <w:rPr>
          <w:rFonts w:ascii="Times New Roman" w:hAnsi="Times New Roman" w:cs="Times New Roman"/>
          <w:sz w:val="28"/>
          <w:szCs w:val="28"/>
          <w:lang w:val="en-GB"/>
        </w:rPr>
        <w:t>ass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D06B9A">
        <w:rPr>
          <w:rFonts w:ascii="Times New Roman" w:hAnsi="Times New Roman" w:cs="Times New Roman"/>
          <w:sz w:val="28"/>
          <w:szCs w:val="28"/>
          <w:lang w:val="en-GB"/>
        </w:rPr>
        <w:t xml:space="preserve">ssment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of its viability</w:t>
      </w:r>
      <w:r>
        <w:rPr>
          <w:rFonts w:ascii="Times New Roman" w:hAnsi="Times New Roman" w:cs="Times New Roman"/>
          <w:sz w:val="28"/>
          <w:szCs w:val="28"/>
          <w:lang w:val="en-GB"/>
        </w:rPr>
        <w:t>/sustainability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, costing, job evaluation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>, job analysis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31008">
        <w:rPr>
          <w:rFonts w:ascii="Times New Roman" w:hAnsi="Times New Roman" w:cs="Times New Roman"/>
          <w:sz w:val="28"/>
          <w:szCs w:val="28"/>
          <w:lang w:val="en-GB"/>
        </w:rPr>
        <w:t>and other considerations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which Respondents’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Counsel</w:t>
      </w:r>
      <w:r w:rsidR="00D06B9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alluded to. These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would inform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among others, 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 xml:space="preserve">specifications for a particular job and 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>salar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>ies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 be attached to</w:t>
      </w:r>
      <w:r w:rsidR="00FA513C">
        <w:rPr>
          <w:rFonts w:ascii="Times New Roman" w:hAnsi="Times New Roman" w:cs="Times New Roman"/>
          <w:sz w:val="28"/>
          <w:szCs w:val="28"/>
          <w:lang w:val="en-GB"/>
        </w:rPr>
        <w:t xml:space="preserve"> position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>If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>specifications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 xml:space="preserve">for the position are changed this could call for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 xml:space="preserve">re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59542C">
        <w:rPr>
          <w:rFonts w:ascii="Times New Roman" w:hAnsi="Times New Roman" w:cs="Times New Roman"/>
          <w:sz w:val="28"/>
          <w:szCs w:val="28"/>
          <w:lang w:val="en-GB"/>
        </w:rPr>
        <w:t xml:space="preserve"> advertising of the position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 as suggested by Respondents’ Counsel. Coming to the question</w:t>
      </w:r>
      <w:r w:rsidR="00D06B9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 at what stage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 of the process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? It is my considered </w:t>
      </w:r>
      <w:r w:rsidR="0023467D">
        <w:rPr>
          <w:rFonts w:ascii="Times New Roman" w:hAnsi="Times New Roman" w:cs="Times New Roman"/>
          <w:sz w:val="28"/>
          <w:szCs w:val="28"/>
          <w:lang w:val="en-GB"/>
        </w:rPr>
        <w:t>opinion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 that these factors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have to be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>consider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r w:rsidR="00D06B9A">
        <w:rPr>
          <w:rFonts w:ascii="Times New Roman" w:hAnsi="Times New Roman" w:cs="Times New Roman"/>
          <w:sz w:val="28"/>
          <w:szCs w:val="28"/>
          <w:lang w:val="en-GB"/>
        </w:rPr>
        <w:t>prior to the approval of the structure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otherwise it </w:t>
      </w:r>
      <w:r w:rsidR="0023467D">
        <w:rPr>
          <w:rFonts w:ascii="Times New Roman" w:hAnsi="Times New Roman" w:cs="Times New Roman"/>
          <w:sz w:val="28"/>
          <w:szCs w:val="28"/>
          <w:lang w:val="en-GB"/>
        </w:rPr>
        <w:t xml:space="preserve">would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>lead to absurdit</w:t>
      </w:r>
      <w:r w:rsidR="0023467D">
        <w:rPr>
          <w:rFonts w:ascii="Times New Roman" w:hAnsi="Times New Roman" w:cs="Times New Roman"/>
          <w:sz w:val="28"/>
          <w:szCs w:val="28"/>
          <w:lang w:val="en-GB"/>
        </w:rPr>
        <w:t>ies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19359E36" w14:textId="590BD977" w:rsidR="007211DA" w:rsidRDefault="00E22853" w:rsidP="002A65B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[13] On consideration of the organisation’s proposed structure, s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pecifications of the job might change to meet changing needs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>and t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he pay structure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may change </w:t>
      </w:r>
      <w:r>
        <w:rPr>
          <w:rFonts w:ascii="Times New Roman" w:hAnsi="Times New Roman" w:cs="Times New Roman"/>
          <w:sz w:val="28"/>
          <w:szCs w:val="28"/>
          <w:lang w:val="en-GB"/>
        </w:rPr>
        <w:t>too.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>It is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 only prudent that the implications of the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structure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considered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>before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‘approval.’ Respondents</w:t>
      </w:r>
      <w:r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argument seem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to put the cart before the horse</w:t>
      </w:r>
      <w:r w:rsidR="008B437A">
        <w:rPr>
          <w:rFonts w:ascii="Times New Roman" w:hAnsi="Times New Roman" w:cs="Times New Roman"/>
          <w:sz w:val="28"/>
          <w:szCs w:val="28"/>
          <w:lang w:val="en-GB"/>
        </w:rPr>
        <w:t xml:space="preserve"> by approving the structure before </w:t>
      </w:r>
      <w:r>
        <w:rPr>
          <w:rFonts w:ascii="Times New Roman" w:hAnsi="Times New Roman" w:cs="Times New Roman"/>
          <w:sz w:val="28"/>
          <w:szCs w:val="28"/>
          <w:lang w:val="en-GB"/>
        </w:rPr>
        <w:t>consider</w:t>
      </w:r>
      <w:r w:rsidR="008B437A">
        <w:rPr>
          <w:rFonts w:ascii="Times New Roman" w:hAnsi="Times New Roman" w:cs="Times New Roman"/>
          <w:sz w:val="28"/>
          <w:szCs w:val="28"/>
          <w:lang w:val="en-GB"/>
        </w:rPr>
        <w:t xml:space="preserve">ing such factors as </w:t>
      </w:r>
      <w:r w:rsidR="008B437A" w:rsidRPr="008B437A">
        <w:rPr>
          <w:rFonts w:ascii="Times New Roman" w:hAnsi="Times New Roman" w:cs="Times New Roman"/>
          <w:b/>
          <w:i/>
          <w:sz w:val="28"/>
          <w:szCs w:val="28"/>
          <w:lang w:val="en-GB"/>
        </w:rPr>
        <w:t>“the establishment processes for implementation which may result in recreation of new positions, re - designation or upgrading”</w:t>
      </w:r>
      <w:r w:rsidR="0051783F">
        <w:rPr>
          <w:rStyle w:val="FootnoteReference"/>
          <w:rFonts w:ascii="Times New Roman" w:hAnsi="Times New Roman" w:cs="Times New Roman"/>
          <w:b/>
          <w:i/>
          <w:sz w:val="28"/>
          <w:szCs w:val="28"/>
          <w:lang w:val="en-GB"/>
        </w:rPr>
        <w:footnoteReference w:id="6"/>
      </w:r>
      <w:r w:rsidR="008B437A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8B437A" w:rsidRPr="008B437A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>she put it</w:t>
      </w:r>
      <w:r w:rsidR="008B437A" w:rsidRPr="008B437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8B437A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8B437A" w:rsidRPr="008B437A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 xml:space="preserve">The approval 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renders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 xml:space="preserve"> the propos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ed structure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0730">
        <w:rPr>
          <w:rFonts w:ascii="Times New Roman" w:hAnsi="Times New Roman" w:cs="Times New Roman"/>
          <w:sz w:val="28"/>
          <w:szCs w:val="28"/>
          <w:lang w:val="en-GB"/>
        </w:rPr>
        <w:t>a reality</w:t>
      </w:r>
      <w:r>
        <w:rPr>
          <w:rFonts w:ascii="Times New Roman" w:hAnsi="Times New Roman" w:cs="Times New Roman"/>
          <w:sz w:val="28"/>
          <w:szCs w:val="28"/>
          <w:lang w:val="en-GB"/>
        </w:rPr>
        <w:t>, not a dream anymore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8DCC33C" w14:textId="6E7BF7A3" w:rsidR="004E4C8B" w:rsidRDefault="007211DA" w:rsidP="002A65B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[14]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For me 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considerations that Respondent’s Counsel refer to ideally have to come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>before approva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then be 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followed by the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implementation which entails 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lastRenderedPageBreak/>
        <w:t>putting the approved structure into force. Im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ediately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upon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 xml:space="preserve"> approval the structure becomes legally enfo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6310D3">
        <w:rPr>
          <w:rFonts w:ascii="Times New Roman" w:hAnsi="Times New Roman" w:cs="Times New Roman"/>
          <w:sz w:val="28"/>
          <w:szCs w:val="28"/>
          <w:lang w:val="en-GB"/>
        </w:rPr>
        <w:t>ceable and binding.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 Hence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>, the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 xml:space="preserve"> Applicant having been appointed 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 xml:space="preserve">subsequent to the approval of the revised </w:t>
      </w:r>
      <w:r w:rsidR="00054C45">
        <w:rPr>
          <w:rFonts w:ascii="Times New Roman" w:hAnsi="Times New Roman" w:cs="Times New Roman"/>
          <w:sz w:val="28"/>
          <w:szCs w:val="28"/>
          <w:lang w:val="en-GB"/>
        </w:rPr>
        <w:t>structure, ought to have been graded in accordance with it</w:t>
      </w:r>
      <w:r w:rsidR="00E22853">
        <w:rPr>
          <w:rFonts w:ascii="Times New Roman" w:hAnsi="Times New Roman" w:cs="Times New Roman"/>
          <w:sz w:val="28"/>
          <w:szCs w:val="28"/>
          <w:lang w:val="en-GB"/>
        </w:rPr>
        <w:t>. Fairness so dictates.</w:t>
      </w:r>
    </w:p>
    <w:p w14:paraId="5D2AA980" w14:textId="2B40F3B3" w:rsidR="00112B8C" w:rsidRDefault="007211DA" w:rsidP="007211D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[15] 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112B8C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Attorney General and </w:t>
      </w:r>
      <w:r w:rsidR="00112B8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</w:t>
      </w:r>
      <w:r w:rsidR="00112B8C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thers v Makesi and 85 </w:t>
      </w:r>
      <w:r w:rsidR="00112B8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O</w:t>
      </w:r>
      <w:r w:rsidR="00112B8C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thers</w:t>
      </w:r>
      <w:r w:rsidR="00112B8C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footnoteReference w:id="7"/>
      </w:r>
      <w:r w:rsidR="00112B8C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the Respondents had expressed a dissatisfaction at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overnment’s failure to implement their upgrading following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abinet’s approval that their salaries be upgraded. The Court of Appeal found that the power to implement the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abinet’s decision was </w:t>
      </w:r>
      <w:r w:rsidR="00112B8C" w:rsidRPr="009B711D">
        <w:rPr>
          <w:rFonts w:ascii="Times New Roman" w:hAnsi="Times New Roman" w:cs="Times New Roman"/>
          <w:b/>
          <w:i/>
          <w:sz w:val="28"/>
          <w:szCs w:val="28"/>
          <w:lang w:val="en-GB"/>
        </w:rPr>
        <w:t>intra vires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Minister of Public Service and that his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>/her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failure to carry out that decision was unlawful. In the same breath, 2</w:t>
      </w:r>
      <w:r w:rsidR="00112B8C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and 3</w:t>
      </w:r>
      <w:r w:rsidR="00112B8C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Respondents are to liaise in ensuring implementation of the approved structure in issue, </w:t>
      </w:r>
      <w:r w:rsidR="008B437A">
        <w:rPr>
          <w:rFonts w:ascii="Times New Roman" w:hAnsi="Times New Roman" w:cs="Times New Roman"/>
          <w:sz w:val="28"/>
          <w:szCs w:val="28"/>
          <w:lang w:val="en-GB"/>
        </w:rPr>
        <w:t xml:space="preserve">which 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>includ</w:t>
      </w:r>
      <w:r w:rsidR="008B437A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proper grading of </w:t>
      </w:r>
      <w:r w:rsidR="00112B8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112B8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Senior Judicial Commissioner. </w:t>
      </w:r>
    </w:p>
    <w:p w14:paraId="23373F57" w14:textId="2ECC8B07" w:rsidR="008C1221" w:rsidRDefault="008C1221" w:rsidP="008C122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[16] </w:t>
      </w:r>
      <w:r w:rsidR="00D301DF" w:rsidRPr="001F1464">
        <w:rPr>
          <w:rFonts w:ascii="Times New Roman" w:hAnsi="Times New Roman" w:cs="Times New Roman"/>
          <w:sz w:val="28"/>
          <w:szCs w:val="28"/>
          <w:lang w:val="en-GB"/>
        </w:rPr>
        <w:t>Even if we were to go by the argument</w:t>
      </w:r>
      <w:r w:rsidR="00317062">
        <w:rPr>
          <w:rFonts w:ascii="Times New Roman" w:hAnsi="Times New Roman" w:cs="Times New Roman"/>
          <w:sz w:val="28"/>
          <w:szCs w:val="28"/>
          <w:lang w:val="en-GB"/>
        </w:rPr>
        <w:t xml:space="preserve">, without acceding, </w:t>
      </w:r>
      <w:r w:rsidR="00D301DF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that the </w:t>
      </w:r>
      <w:r w:rsidR="00B71C93" w:rsidRPr="001F1464">
        <w:rPr>
          <w:rFonts w:ascii="Times New Roman" w:hAnsi="Times New Roman" w:cs="Times New Roman"/>
          <w:sz w:val="28"/>
          <w:szCs w:val="28"/>
          <w:lang w:val="en-GB"/>
        </w:rPr>
        <w:t>implementation</w:t>
      </w:r>
      <w:r w:rsidR="002F3ED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B299D" w:rsidRPr="001F1464">
        <w:rPr>
          <w:rFonts w:ascii="Times New Roman" w:hAnsi="Times New Roman" w:cs="Times New Roman"/>
          <w:sz w:val="28"/>
          <w:szCs w:val="28"/>
          <w:lang w:val="en-GB"/>
        </w:rPr>
        <w:t>requires</w:t>
      </w:r>
      <w:r w:rsidR="002F3ED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07C31" w:rsidRPr="001F1464">
        <w:rPr>
          <w:rFonts w:ascii="Times New Roman" w:hAnsi="Times New Roman" w:cs="Times New Roman"/>
          <w:sz w:val="28"/>
          <w:szCs w:val="28"/>
          <w:lang w:val="en-GB"/>
        </w:rPr>
        <w:t>processes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 enunciated by Respondents’ Counsel</w:t>
      </w:r>
      <w:r w:rsidR="00007C31" w:rsidRPr="001F1464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F3EDA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we are not informed why it has not been done to this point</w:t>
      </w:r>
      <w:r w:rsidR="00C70CCB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, the case is not about a new position. Applicant is complaining about a position that already exists in the structure. 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B53913" w:rsidRPr="001F1464">
        <w:rPr>
          <w:rFonts w:ascii="Times New Roman" w:hAnsi="Times New Roman" w:cs="Times New Roman"/>
          <w:sz w:val="28"/>
          <w:szCs w:val="28"/>
          <w:lang w:val="en-GB"/>
        </w:rPr>
        <w:t>he argument goes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 xml:space="preserve"> further that the</w:t>
      </w:r>
      <w:r w:rsidR="00970370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53913" w:rsidRPr="001F1464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B53913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B53913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 does not have the power to implement</w:t>
      </w:r>
      <w:r w:rsidR="00634675">
        <w:rPr>
          <w:rFonts w:ascii="Times New Roman" w:hAnsi="Times New Roman" w:cs="Times New Roman"/>
          <w:sz w:val="28"/>
          <w:szCs w:val="28"/>
          <w:lang w:val="en-GB"/>
        </w:rPr>
        <w:t xml:space="preserve">, and has </w:t>
      </w:r>
      <w:r w:rsidR="00B53913" w:rsidRPr="001F1464">
        <w:rPr>
          <w:rFonts w:ascii="Times New Roman" w:hAnsi="Times New Roman" w:cs="Times New Roman"/>
          <w:sz w:val="28"/>
          <w:szCs w:val="28"/>
          <w:lang w:val="en-GB"/>
        </w:rPr>
        <w:t>to motivate why a position should be upgraded.</w:t>
      </w:r>
      <w:r w:rsidR="003775B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5D38466" w14:textId="3F7A57BC" w:rsidR="00774859" w:rsidRDefault="008C1221" w:rsidP="008C122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[17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>]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63626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As already stated </w:t>
      </w:r>
      <w:r>
        <w:rPr>
          <w:rFonts w:ascii="Times New Roman" w:hAnsi="Times New Roman" w:cs="Times New Roman"/>
          <w:sz w:val="28"/>
          <w:szCs w:val="28"/>
          <w:lang w:val="en-GB"/>
        </w:rPr>
        <w:t>earlier,</w:t>
      </w:r>
      <w:r w:rsidR="003775B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position </w:t>
      </w:r>
      <w:r w:rsidR="00B249ED" w:rsidRPr="00D62D31">
        <w:rPr>
          <w:rFonts w:ascii="Times New Roman" w:hAnsi="Times New Roman" w:cs="Times New Roman"/>
          <w:bCs/>
          <w:sz w:val="28"/>
          <w:szCs w:val="28"/>
          <w:lang w:val="en-GB"/>
        </w:rPr>
        <w:t>has</w:t>
      </w:r>
      <w:r w:rsidR="003775B5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been upgraded</w:t>
      </w:r>
      <w:r w:rsidR="002E4C5C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as can readily be seen f</w:t>
      </w:r>
      <w:r w:rsidR="00F509F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2E4C5C" w:rsidRPr="001F1464">
        <w:rPr>
          <w:rFonts w:ascii="Times New Roman" w:hAnsi="Times New Roman" w:cs="Times New Roman"/>
          <w:sz w:val="28"/>
          <w:szCs w:val="28"/>
          <w:lang w:val="en-GB"/>
        </w:rPr>
        <w:t>om “</w:t>
      </w:r>
      <w:r w:rsidR="002E4C5C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RC2</w:t>
      </w:r>
      <w:r w:rsidR="00F509F4" w:rsidRPr="008C1221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2E4C5C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”</w:t>
      </w:r>
      <w:r w:rsidR="00C0174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C01747" w:rsidRPr="00C01747">
        <w:rPr>
          <w:rFonts w:ascii="Times New Roman" w:hAnsi="Times New Roman" w:cs="Times New Roman"/>
          <w:bCs/>
          <w:sz w:val="28"/>
          <w:szCs w:val="28"/>
          <w:lang w:val="en-GB"/>
        </w:rPr>
        <w:t>(</w:t>
      </w:r>
      <w:r w:rsidR="00F509F4" w:rsidRPr="00F509F4">
        <w:rPr>
          <w:rFonts w:ascii="Times New Roman" w:hAnsi="Times New Roman" w:cs="Times New Roman"/>
          <w:bCs/>
          <w:sz w:val="28"/>
          <w:szCs w:val="28"/>
          <w:lang w:val="en-GB"/>
        </w:rPr>
        <w:t>the approved structure</w:t>
      </w:r>
      <w:r w:rsidR="00C01747"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  <w:r w:rsidR="00F509F4"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  <w:r w:rsidR="00F509F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3775B5" w:rsidRPr="001F1464">
        <w:rPr>
          <w:rFonts w:ascii="Times New Roman" w:hAnsi="Times New Roman" w:cs="Times New Roman"/>
          <w:sz w:val="28"/>
          <w:szCs w:val="28"/>
          <w:lang w:val="en-GB"/>
        </w:rPr>
        <w:t>The challenge is with its impl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eme</w:t>
      </w:r>
      <w:r w:rsidR="003775B5" w:rsidRPr="001F1464">
        <w:rPr>
          <w:rFonts w:ascii="Times New Roman" w:hAnsi="Times New Roman" w:cs="Times New Roman"/>
          <w:sz w:val="28"/>
          <w:szCs w:val="28"/>
          <w:lang w:val="en-GB"/>
        </w:rPr>
        <w:t>ntation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Respondents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5ABE" w:rsidRPr="001F1464">
        <w:rPr>
          <w:rFonts w:ascii="Times New Roman" w:hAnsi="Times New Roman" w:cs="Times New Roman"/>
          <w:sz w:val="28"/>
          <w:szCs w:val="28"/>
          <w:lang w:val="en-GB"/>
        </w:rPr>
        <w:t>refer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 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>ection 13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>(2)</w:t>
      </w:r>
      <w:r w:rsidR="008A16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F25ABE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) of the </w:t>
      </w:r>
      <w:r w:rsidR="00DB1A52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Public Service Act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, </w:t>
      </w:r>
      <w:r w:rsidR="00DB1A52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2005</w:t>
      </w:r>
      <w:r w:rsidR="00DB1A52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>and argue that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powers of implementation lie with the 2</w:t>
      </w:r>
      <w:r w:rsidR="003D1E77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 and not the 3</w:t>
      </w:r>
      <w:r w:rsidR="003D1E77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B249E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Respondent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>. I am not sure where this argument takes us because both 2</w:t>
      </w:r>
      <w:r w:rsidR="003D1E77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and 3</w:t>
      </w:r>
      <w:r w:rsidR="003D1E77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</w:t>
      </w:r>
      <w:r w:rsidR="002E4C5C" w:rsidRPr="001F146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G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overnment officials who are represented by the same office of </w:t>
      </w:r>
      <w:r w:rsidR="00F2008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Attorney General. It 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lastRenderedPageBreak/>
        <w:t>really takes the case nowhere to shift responsibility f</w:t>
      </w:r>
      <w:r w:rsidR="009A1B67" w:rsidRPr="001F1464">
        <w:rPr>
          <w:rFonts w:ascii="Times New Roman" w:hAnsi="Times New Roman" w:cs="Times New Roman"/>
          <w:sz w:val="28"/>
          <w:szCs w:val="28"/>
          <w:lang w:val="en-GB"/>
        </w:rPr>
        <w:t>rom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one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 office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3D1E7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the other. </w:t>
      </w:r>
    </w:p>
    <w:p w14:paraId="5A816E3C" w14:textId="0959814A" w:rsidR="005F3DBB" w:rsidRDefault="008C1221" w:rsidP="008C122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[18] </w:t>
      </w:r>
      <w:r w:rsidR="00F20083">
        <w:rPr>
          <w:rFonts w:ascii="Times New Roman" w:hAnsi="Times New Roman" w:cs="Times New Roman"/>
          <w:sz w:val="28"/>
          <w:szCs w:val="28"/>
          <w:lang w:val="en-GB"/>
        </w:rPr>
        <w:t>There is correlation</w:t>
      </w:r>
      <w:r w:rsidR="007748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0083">
        <w:rPr>
          <w:rFonts w:ascii="Times New Roman" w:hAnsi="Times New Roman" w:cs="Times New Roman"/>
          <w:sz w:val="28"/>
          <w:szCs w:val="28"/>
          <w:lang w:val="en-GB"/>
        </w:rPr>
        <w:t>between the Principal Secretary responsible for t</w:t>
      </w:r>
      <w:r w:rsidR="00C2190E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F20083">
        <w:rPr>
          <w:rFonts w:ascii="Times New Roman" w:hAnsi="Times New Roman" w:cs="Times New Roman"/>
          <w:sz w:val="28"/>
          <w:szCs w:val="28"/>
          <w:lang w:val="en-GB"/>
        </w:rPr>
        <w:t xml:space="preserve">e public service </w:t>
      </w:r>
      <w:r w:rsidR="00C2190E">
        <w:rPr>
          <w:rFonts w:ascii="Times New Roman" w:hAnsi="Times New Roman" w:cs="Times New Roman"/>
          <w:sz w:val="28"/>
          <w:szCs w:val="28"/>
          <w:lang w:val="en-GB"/>
        </w:rPr>
        <w:t>and the office of the Registrar of the High Court</w:t>
      </w:r>
      <w:r w:rsidR="001535BB">
        <w:rPr>
          <w:rFonts w:ascii="Times New Roman" w:hAnsi="Times New Roman" w:cs="Times New Roman"/>
          <w:sz w:val="28"/>
          <w:szCs w:val="28"/>
          <w:lang w:val="en-GB"/>
        </w:rPr>
        <w:t xml:space="preserve"> as </w:t>
      </w:r>
      <w:r w:rsidR="00774859">
        <w:rPr>
          <w:rFonts w:ascii="Times New Roman" w:hAnsi="Times New Roman" w:cs="Times New Roman"/>
          <w:sz w:val="28"/>
          <w:szCs w:val="28"/>
          <w:lang w:val="en-GB"/>
        </w:rPr>
        <w:t xml:space="preserve">can be gleaned from 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C73CE" w:rsidRPr="001F1464">
        <w:rPr>
          <w:rFonts w:ascii="Times New Roman" w:hAnsi="Times New Roman" w:cs="Times New Roman"/>
          <w:sz w:val="28"/>
          <w:szCs w:val="28"/>
          <w:lang w:val="en-GB"/>
        </w:rPr>
        <w:t>ection 6</w:t>
      </w:r>
      <w:r w:rsidR="00B249E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C73C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(4) of the </w:t>
      </w:r>
      <w:r w:rsidR="00DC73CE" w:rsidRPr="008A1607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Administration of the Judiciary Act</w:t>
      </w:r>
      <w:r w:rsidR="00B249ED" w:rsidRPr="008A1607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, </w:t>
      </w:r>
      <w:r w:rsidR="008A1607" w:rsidRPr="008A1607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201</w:t>
      </w:r>
      <w:r w:rsidR="008A1607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1</w:t>
      </w:r>
      <w:r w:rsidR="00D91D91" w:rsidRPr="008A160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74859">
        <w:rPr>
          <w:rFonts w:ascii="Times New Roman" w:hAnsi="Times New Roman" w:cs="Times New Roman"/>
          <w:sz w:val="28"/>
          <w:szCs w:val="28"/>
          <w:lang w:val="en-GB"/>
        </w:rPr>
        <w:t xml:space="preserve">to the effect that </w:t>
      </w:r>
      <w:r w:rsidR="00D91D91" w:rsidRPr="00F20083">
        <w:rPr>
          <w:rFonts w:ascii="Times New Roman" w:hAnsi="Times New Roman" w:cs="Times New Roman"/>
          <w:b/>
          <w:i/>
          <w:sz w:val="28"/>
          <w:szCs w:val="28"/>
          <w:lang w:val="en-GB"/>
        </w:rPr>
        <w:t>“</w:t>
      </w:r>
      <w:r w:rsidR="00D91D91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on matters of policy implementation, the Registrar shall liaise and coordinate with the Principal </w:t>
      </w:r>
      <w:r w:rsidR="00231F8E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Secretaries and </w:t>
      </w:r>
      <w:r w:rsidR="00B249ED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H</w:t>
      </w:r>
      <w:r w:rsidR="00231F8E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eads of </w:t>
      </w:r>
      <w:r w:rsidR="00B249ED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D</w:t>
      </w:r>
      <w:r w:rsidR="00231F8E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epartments</w:t>
      </w:r>
      <w:r w:rsidR="009B711D" w:rsidRPr="008C1221">
        <w:rPr>
          <w:rFonts w:ascii="Times New Roman" w:hAnsi="Times New Roman" w:cs="Times New Roman"/>
          <w:iCs/>
          <w:sz w:val="28"/>
          <w:szCs w:val="28"/>
          <w:lang w:val="en-GB"/>
        </w:rPr>
        <w:t>.</w:t>
      </w:r>
      <w:r w:rsidR="00231F8E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>”</w:t>
      </w:r>
      <w:r w:rsidR="009B711D" w:rsidRPr="00F20083">
        <w:rPr>
          <w:rFonts w:ascii="Times New Roman" w:hAnsi="Times New Roman" w:cs="Times New Roman"/>
          <w:b/>
          <w:i/>
          <w:iCs/>
          <w:sz w:val="28"/>
          <w:szCs w:val="28"/>
          <w:lang w:val="en-GB"/>
        </w:rPr>
        <w:t xml:space="preserve"> </w:t>
      </w:r>
      <w:r w:rsidR="00B34A70" w:rsidRPr="001F1464">
        <w:rPr>
          <w:rFonts w:ascii="Times New Roman" w:hAnsi="Times New Roman" w:cs="Times New Roman"/>
          <w:sz w:val="28"/>
          <w:szCs w:val="28"/>
          <w:lang w:val="en-GB"/>
        </w:rPr>
        <w:t>“</w:t>
      </w:r>
      <w:r w:rsidR="00F512B5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RC 3</w:t>
      </w:r>
      <w:r w:rsidR="00B34A70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”</w:t>
      </w:r>
      <w:r w:rsidR="00F512B5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F512B5" w:rsidRPr="001F1464">
        <w:rPr>
          <w:rFonts w:ascii="Times New Roman" w:hAnsi="Times New Roman" w:cs="Times New Roman"/>
          <w:sz w:val="28"/>
          <w:szCs w:val="28"/>
          <w:lang w:val="en-GB"/>
        </w:rPr>
        <w:t>is indicative of such coordination between the two</w:t>
      </w:r>
      <w:r w:rsidR="004C161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officials</w:t>
      </w:r>
      <w:r w:rsidR="005F3DB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8FB4176" w14:textId="56FBC9A6" w:rsidR="008F3863" w:rsidRPr="001F1464" w:rsidRDefault="00F512B5" w:rsidP="008C1221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591E"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DB1A52" w:rsidRPr="001F1464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8C1221">
        <w:rPr>
          <w:rFonts w:ascii="Times New Roman" w:hAnsi="Times New Roman" w:cs="Times New Roman"/>
          <w:sz w:val="28"/>
          <w:szCs w:val="28"/>
          <w:lang w:val="en-GB"/>
        </w:rPr>
        <w:t>9</w:t>
      </w:r>
      <w:r w:rsidR="0030591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="0030591E"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Counsel for Respondents also made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 xml:space="preserve">an argument l found rather 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baffling, that 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>Applicant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 xml:space="preserve"> cannot be remunerated against a position that he is not in.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She is arguing i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>n essence, t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hat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the Applicant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is not entitled to the relief he seeks because he does not occupy the position at </w:t>
      </w:r>
      <w:r w:rsidR="00585579" w:rsidRPr="00561CE4">
        <w:rPr>
          <w:rFonts w:ascii="Times New Roman" w:hAnsi="Times New Roman" w:cs="Times New Roman"/>
          <w:bCs/>
          <w:sz w:val="28"/>
          <w:szCs w:val="28"/>
          <w:lang w:val="en-GB"/>
        </w:rPr>
        <w:t>K.</w:t>
      </w:r>
      <w:r w:rsidR="00585579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>In her own words, Counsel for Respondents pointed out that it is not in dispute that the structure in question has been approved. Th</w:t>
      </w:r>
      <w:r w:rsidR="007913F9" w:rsidRPr="001F1464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s is the structure that puts the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Applicant’s position</w:t>
      </w:r>
      <w:r w:rsidR="00585579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at grade </w:t>
      </w:r>
      <w:r w:rsidR="00585579" w:rsidRPr="00561CE4">
        <w:rPr>
          <w:rFonts w:ascii="Times New Roman" w:hAnsi="Times New Roman" w:cs="Times New Roman"/>
          <w:bCs/>
          <w:sz w:val="28"/>
          <w:szCs w:val="28"/>
          <w:lang w:val="en-GB"/>
        </w:rPr>
        <w:t>K</w:t>
      </w:r>
      <w:r w:rsidR="00561CE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The 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Applicant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in fact 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>hold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935C5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the said position.</w:t>
      </w:r>
      <w:r w:rsidR="00C22DA4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It cannot be correct that the position has not been upgraded as Respondents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>aver</w:t>
      </w:r>
      <w:r w:rsidR="005B07A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wh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en</w:t>
      </w:r>
      <w:r w:rsidR="005B07A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it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has been so upgraded in the revised structure</w:t>
      </w:r>
      <w:r w:rsidR="00C22DA4" w:rsidRPr="001F146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DB6E47B" w14:textId="65B8D837" w:rsidR="009856C3" w:rsidRPr="001F1464" w:rsidRDefault="00A26641" w:rsidP="00D0770F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Payment of salary arrears</w:t>
      </w:r>
      <w:r w:rsidR="007F45B9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6608A299" w14:textId="6A72CB74" w:rsidR="00F378B4" w:rsidRDefault="00A26641" w:rsidP="003A216E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[</w:t>
      </w:r>
      <w:r w:rsidR="008C1221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1F146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F1724B">
        <w:rPr>
          <w:rFonts w:ascii="Times New Roman" w:hAnsi="Times New Roman" w:cs="Times New Roman"/>
          <w:sz w:val="28"/>
          <w:szCs w:val="28"/>
          <w:lang w:val="en-GB"/>
        </w:rPr>
        <w:t xml:space="preserve"> further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prayer pursued by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>Applicant is for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4</w:t>
      </w:r>
      <w:r w:rsidR="00247DCF" w:rsidRPr="001F146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Respondent to pay or cause to be paid 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>him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>salary arrears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247DCF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>retrospectively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with effect from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>23</w:t>
      </w:r>
      <w:r w:rsidR="00561CE4" w:rsidRPr="00561CE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>April</w:t>
      </w:r>
      <w:r w:rsidR="00C30EE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A865A8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 2018.</w:t>
      </w:r>
      <w:r w:rsidR="003A21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01747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 xml:space="preserve">success of this prayer </w:t>
      </w:r>
      <w:r w:rsidR="00C01747" w:rsidRPr="001F1464">
        <w:rPr>
          <w:rFonts w:ascii="Times New Roman" w:hAnsi="Times New Roman" w:cs="Times New Roman"/>
          <w:sz w:val="28"/>
          <w:szCs w:val="28"/>
          <w:lang w:val="en-GB"/>
        </w:rPr>
        <w:t>is dependent on prayer 2 deliberated above.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A216E" w:rsidRPr="001F1464">
        <w:rPr>
          <w:rFonts w:ascii="Times New Roman" w:hAnsi="Times New Roman" w:cs="Times New Roman"/>
          <w:sz w:val="28"/>
          <w:szCs w:val="28"/>
          <w:lang w:val="en-GB"/>
        </w:rPr>
        <w:t>Respondents argue</w:t>
      </w:r>
      <w:r w:rsidR="003A216E">
        <w:rPr>
          <w:rFonts w:ascii="Times New Roman" w:hAnsi="Times New Roman" w:cs="Times New Roman"/>
          <w:sz w:val="28"/>
          <w:szCs w:val="28"/>
          <w:lang w:val="en-GB"/>
        </w:rPr>
        <w:t xml:space="preserve">, in turn, </w:t>
      </w:r>
      <w:r w:rsidR="003A216E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that Applicant is not entitled to salary arrears because his position has never been upgraded at </w:t>
      </w:r>
      <w:r w:rsidR="003A216E" w:rsidRPr="00561CE4">
        <w:rPr>
          <w:rFonts w:ascii="Times New Roman" w:hAnsi="Times New Roman" w:cs="Times New Roman"/>
          <w:bCs/>
          <w:sz w:val="28"/>
          <w:szCs w:val="28"/>
          <w:lang w:val="en-GB"/>
        </w:rPr>
        <w:t>K</w:t>
      </w:r>
      <w:r w:rsidR="003A216E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="00561CE4" w:rsidRPr="00561CE4">
        <w:rPr>
          <w:rFonts w:ascii="Times New Roman" w:hAnsi="Times New Roman" w:cs="Times New Roman"/>
          <w:bCs/>
          <w:sz w:val="28"/>
          <w:szCs w:val="28"/>
          <w:lang w:val="en-GB"/>
        </w:rPr>
        <w:t>My considered view is that</w:t>
      </w:r>
      <w:r w:rsidR="003A216E" w:rsidRPr="00561CE4">
        <w:rPr>
          <w:rFonts w:ascii="Times New Roman" w:hAnsi="Times New Roman" w:cs="Times New Roman"/>
          <w:sz w:val="28"/>
          <w:szCs w:val="28"/>
          <w:lang w:val="en-GB"/>
        </w:rPr>
        <w:t xml:space="preserve"> it has.</w:t>
      </w:r>
      <w:r w:rsidR="00561CE4" w:rsidRPr="00561C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8C8C383" w14:textId="17A70F68" w:rsidR="008C1221" w:rsidRDefault="008C1221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[21]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The court, notes with displeasure that the prayer 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 xml:space="preserve">on salary arrears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>is not motivated in the Founding Affidavit.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 xml:space="preserve"> This is poor draftsman ship. </w:t>
      </w:r>
      <w:r w:rsidR="00561CE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 xml:space="preserve">The basis 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of the prayer for salary arrears </w:t>
      </w:r>
      <w:r w:rsidR="00F378B4" w:rsidRPr="001F1464">
        <w:rPr>
          <w:rFonts w:ascii="Times New Roman" w:hAnsi="Times New Roman" w:cs="Times New Roman"/>
          <w:sz w:val="28"/>
          <w:szCs w:val="28"/>
          <w:lang w:val="en-GB"/>
        </w:rPr>
        <w:t>is annexure “</w:t>
      </w:r>
      <w:r w:rsidR="00F378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RC2</w:t>
      </w:r>
      <w:r w:rsidR="00BF5FE7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F378B4"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”</w:t>
      </w:r>
      <w:r w:rsidR="00F378B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F378B4" w:rsidRPr="00F378B4">
        <w:rPr>
          <w:rFonts w:ascii="Times New Roman" w:hAnsi="Times New Roman" w:cs="Times New Roman"/>
          <w:bCs/>
          <w:sz w:val="28"/>
          <w:szCs w:val="28"/>
          <w:lang w:val="en-GB"/>
        </w:rPr>
        <w:t>the approved structure.</w:t>
      </w:r>
      <w:r w:rsidR="00F378B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court has established that the Applicant is entitled to be graded at K,</w:t>
      </w:r>
      <w:r w:rsidR="00FF6D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 xml:space="preserve">it being a </w:t>
      </w:r>
      <w:r w:rsidR="00FF6D00" w:rsidRPr="00FF6D00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grade that was already </w:t>
      </w:r>
      <w:r w:rsidR="00F378B4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attached </w:t>
      </w:r>
      <w:r w:rsidR="00FF6D00" w:rsidRPr="00FF6D00">
        <w:rPr>
          <w:rFonts w:ascii="Times New Roman" w:hAnsi="Times New Roman" w:cs="Times New Roman"/>
          <w:bCs/>
          <w:sz w:val="28"/>
          <w:szCs w:val="28"/>
          <w:lang w:val="en-GB"/>
        </w:rPr>
        <w:t>to the position</w:t>
      </w:r>
      <w:r w:rsidR="00FF6D00">
        <w:rPr>
          <w:rFonts w:ascii="Times New Roman" w:hAnsi="Times New Roman" w:cs="Times New Roman"/>
          <w:sz w:val="28"/>
          <w:szCs w:val="28"/>
          <w:lang w:val="en-GB"/>
        </w:rPr>
        <w:t xml:space="preserve"> when the Applicant was promoted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>to it</w:t>
      </w:r>
      <w:r w:rsidR="00A33940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297D93" w:rsidRPr="001F1464">
        <w:rPr>
          <w:rFonts w:ascii="Times New Roman" w:hAnsi="Times New Roman" w:cs="Times New Roman"/>
          <w:sz w:val="28"/>
          <w:szCs w:val="28"/>
          <w:lang w:val="en-GB"/>
        </w:rPr>
        <w:t xml:space="preserve">Prayer 1 having been established as I find that it has, it follows that arrear salaries are due to Applicant. </w:t>
      </w:r>
      <w:r w:rsidR="00A01609">
        <w:rPr>
          <w:rFonts w:ascii="Times New Roman" w:hAnsi="Times New Roman" w:cs="Times New Roman"/>
          <w:sz w:val="28"/>
          <w:szCs w:val="28"/>
          <w:lang w:val="en-GB"/>
        </w:rPr>
        <w:t>It is a consequential relief in the circumstances of this case.</w:t>
      </w:r>
    </w:p>
    <w:p w14:paraId="66574DB7" w14:textId="3CA67B7E" w:rsidR="00A26641" w:rsidRPr="00D07DA5" w:rsidRDefault="008C1221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[22] </w:t>
      </w:r>
      <w:r w:rsidR="00D07DA5">
        <w:rPr>
          <w:rFonts w:ascii="Times New Roman" w:hAnsi="Times New Roman" w:cs="Times New Roman"/>
          <w:sz w:val="28"/>
          <w:szCs w:val="28"/>
          <w:lang w:val="en-GB"/>
        </w:rPr>
        <w:t xml:space="preserve">This is on the strength of </w:t>
      </w:r>
      <w:r w:rsidR="00F378B4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FF6D00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9C4419">
        <w:rPr>
          <w:rFonts w:ascii="Times New Roman" w:hAnsi="Times New Roman" w:cs="Times New Roman"/>
          <w:sz w:val="28"/>
          <w:szCs w:val="28"/>
          <w:lang w:val="en-GB"/>
        </w:rPr>
        <w:t>Court of Appeal decision of</w:t>
      </w:r>
      <w:r w:rsidR="00FF6D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F6D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</w:t>
      </w:r>
      <w:r w:rsidR="00FF6D00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he Ministry of Public Service and Another v Molefi Kome and Others</w:t>
      </w:r>
      <w:r w:rsidR="00FF6D00" w:rsidRP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,</w:t>
      </w:r>
      <w:r w:rsidR="00FF6D00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footnoteReference w:id="8"/>
      </w:r>
      <w:r w:rsidR="00FF6D00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in which</w:t>
      </w:r>
      <w:r w:rsidR="00D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the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C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ourt </w:t>
      </w:r>
      <w:r w:rsidR="00EF76D8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of Appeal confirmed an order </w:t>
      </w:r>
      <w:r w:rsidR="00CC085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of this court for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payment of salary arrears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to</w:t>
      </w:r>
      <w:r w:rsidR="00CC0853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Respondents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who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>had sought t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>be upgraded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from grade D to F. Respondents were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C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>hauffeurs of Judges of the High Court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. They 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>claimed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that they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>be paid salaries equal to th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ose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of Honourable Ministers and Honourable Assistant Ministers’ chauffeurs. In a c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omparable case of </w:t>
      </w:r>
      <w:r w:rsidR="00D07DA5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Attorney General </w:t>
      </w:r>
      <w:r w:rsidR="00D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and</w:t>
      </w:r>
      <w:r w:rsidR="00D07DA5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Others v Bolepo </w:t>
      </w:r>
      <w:r w:rsidR="00D07DA5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and</w:t>
      </w:r>
      <w:r w:rsidR="00D07DA5" w:rsidRPr="001F146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Others</w:t>
      </w:r>
      <w:r w:rsidR="00D07DA5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footnoteReference w:id="9"/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the apex </w:t>
      </w:r>
      <w:r w:rsidR="00EB4E78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court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also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>confirmed th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e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>decision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of this court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in terms </w:t>
      </w:r>
      <w:r w:rsidR="00EF76D8">
        <w:rPr>
          <w:rFonts w:ascii="Times New Roman" w:hAnsi="Times New Roman" w:cs="Times New Roman"/>
          <w:bCs/>
          <w:iCs/>
          <w:sz w:val="28"/>
          <w:szCs w:val="28"/>
          <w:lang w:val="en-GB"/>
        </w:rPr>
        <w:t>o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f which salary arrears were 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ordered 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>to be paid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,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retrospectively</w:t>
      </w:r>
      <w:r w:rsidR="00624EC6">
        <w:rPr>
          <w:rFonts w:ascii="Times New Roman" w:hAnsi="Times New Roman" w:cs="Times New Roman"/>
          <w:bCs/>
          <w:iCs/>
          <w:sz w:val="28"/>
          <w:szCs w:val="28"/>
          <w:lang w:val="en-GB"/>
        </w:rPr>
        <w:t>,</w:t>
      </w:r>
      <w:r w:rsidR="00D07DA5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from when the decision to upgrade nurses was made. </w:t>
      </w:r>
    </w:p>
    <w:p w14:paraId="3793CE83" w14:textId="15DC9195" w:rsidR="00436BD9" w:rsidRPr="00FD35BF" w:rsidRDefault="00436BD9" w:rsidP="00D0770F">
      <w:p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35BF">
        <w:rPr>
          <w:rFonts w:ascii="Times New Roman" w:hAnsi="Times New Roman" w:cs="Times New Roman"/>
          <w:b/>
          <w:sz w:val="28"/>
          <w:szCs w:val="28"/>
          <w:lang w:val="en-GB"/>
        </w:rPr>
        <w:t>Conclusion</w:t>
      </w:r>
    </w:p>
    <w:p w14:paraId="49C9C9E2" w14:textId="34DD3C2D" w:rsidR="00436BD9" w:rsidRPr="001F1464" w:rsidRDefault="008C1221" w:rsidP="008C122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[23] 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revised judicial structure having been 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 xml:space="preserve">approved when 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>Applicant was appointed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 to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 xml:space="preserve"> his position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C01747">
        <w:rPr>
          <w:rFonts w:ascii="Times New Roman" w:hAnsi="Times New Roman" w:cs="Times New Roman"/>
          <w:sz w:val="28"/>
          <w:szCs w:val="28"/>
          <w:lang w:val="en-GB"/>
        </w:rPr>
        <w:t xml:space="preserve">the court finds that 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>he was rightfully and lawfully entitled to be paid at g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>rade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 K</w:t>
      </w:r>
      <w:r w:rsidR="002F67AC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 Salary arrears </w:t>
      </w:r>
      <w:r w:rsidR="00BF5FE7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 vested as he ought to have been paid at grade K from his appointment on 23</w:t>
      </w:r>
      <w:r w:rsidR="00FD35BF" w:rsidRPr="00FD35B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FD35BF">
        <w:rPr>
          <w:rFonts w:ascii="Times New Roman" w:hAnsi="Times New Roman" w:cs="Times New Roman"/>
          <w:sz w:val="28"/>
          <w:szCs w:val="28"/>
          <w:lang w:val="en-GB"/>
        </w:rPr>
        <w:t xml:space="preserve"> April, 2018.</w:t>
      </w:r>
    </w:p>
    <w:p w14:paraId="226FBDA8" w14:textId="1948F9D8" w:rsidR="007F45B9" w:rsidRPr="001F1464" w:rsidRDefault="007F45B9" w:rsidP="00E77FF5">
      <w:pPr>
        <w:ind w:left="720" w:hanging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b/>
          <w:bCs/>
          <w:sz w:val="28"/>
          <w:szCs w:val="28"/>
          <w:lang w:val="en-GB"/>
        </w:rPr>
        <w:t>Order</w:t>
      </w:r>
    </w:p>
    <w:p w14:paraId="4B7DB674" w14:textId="1F937A3B" w:rsidR="009C561D" w:rsidRDefault="009C561D" w:rsidP="009C561D">
      <w:pPr>
        <w:ind w:left="567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[2</w:t>
      </w:r>
      <w:r w:rsidR="008C1221">
        <w:rPr>
          <w:rFonts w:ascii="Times New Roman" w:hAnsi="Times New Roman" w:cs="Times New Roman"/>
          <w:sz w:val="28"/>
          <w:szCs w:val="28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]   </w:t>
      </w:r>
      <w:r w:rsidR="007F45B9" w:rsidRPr="001F1464">
        <w:rPr>
          <w:rFonts w:ascii="Times New Roman" w:hAnsi="Times New Roman" w:cs="Times New Roman"/>
          <w:sz w:val="28"/>
          <w:szCs w:val="28"/>
          <w:lang w:val="en-GB"/>
        </w:rPr>
        <w:t>The order of this Court is that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686CCF6" w14:textId="0A5DFCEA" w:rsidR="009C561D" w:rsidRDefault="007F45B9" w:rsidP="009C561D">
      <w:pPr>
        <w:pStyle w:val="ListParagraph"/>
        <w:numPr>
          <w:ilvl w:val="0"/>
          <w:numId w:val="1"/>
        </w:numPr>
        <w:ind w:left="851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C561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C561D">
        <w:rPr>
          <w:rFonts w:ascii="Times New Roman" w:hAnsi="Times New Roman" w:cs="Times New Roman"/>
          <w:sz w:val="28"/>
          <w:szCs w:val="28"/>
          <w:lang w:val="en-GB"/>
        </w:rPr>
        <w:t>T</w:t>
      </w:r>
      <w:r w:rsidRPr="009C561D">
        <w:rPr>
          <w:rFonts w:ascii="Times New Roman" w:hAnsi="Times New Roman" w:cs="Times New Roman"/>
          <w:sz w:val="28"/>
          <w:szCs w:val="28"/>
          <w:lang w:val="en-GB"/>
        </w:rPr>
        <w:t>he application succeeds</w:t>
      </w:r>
      <w:r w:rsidR="009C561D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6D231015" w14:textId="77777777" w:rsidR="009C561D" w:rsidRDefault="009C561D" w:rsidP="009C561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8B7DE5B" w14:textId="7F9C88F1" w:rsidR="009C561D" w:rsidRDefault="009C561D" w:rsidP="009C561D">
      <w:pPr>
        <w:pStyle w:val="ListParagraph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Applicant’s salary be upgraded from grade J to K;</w:t>
      </w:r>
    </w:p>
    <w:p w14:paraId="070FB54D" w14:textId="77777777" w:rsidR="009C561D" w:rsidRPr="009C561D" w:rsidRDefault="009C561D" w:rsidP="009C561D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703D9F28" w14:textId="0B7C2D85" w:rsidR="009C561D" w:rsidRDefault="009C561D" w:rsidP="009C561D">
      <w:pPr>
        <w:pStyle w:val="ListParagraph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That he be paid his salary ar</w:t>
      </w:r>
      <w:r w:rsidR="00607B82"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  <w:lang w:val="en-GB"/>
        </w:rPr>
        <w:t>ears, retrospectively, from 2</w:t>
      </w:r>
      <w:r w:rsidR="00126654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126654" w:rsidRPr="0012665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rd</w:t>
      </w:r>
      <w:r w:rsidR="001266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April, 2018 up to the enforcement of this Order;</w:t>
      </w:r>
      <w:r w:rsidR="00061094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</w:p>
    <w:p w14:paraId="19A2FD2F" w14:textId="77777777" w:rsidR="009C561D" w:rsidRDefault="009C561D" w:rsidP="009C561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5BD7B3" w14:textId="2DE15615" w:rsidR="007F45B9" w:rsidRPr="009C561D" w:rsidRDefault="009C561D" w:rsidP="009C561D">
      <w:pPr>
        <w:pStyle w:val="ListParagraph"/>
        <w:numPr>
          <w:ilvl w:val="0"/>
          <w:numId w:val="1"/>
        </w:numPr>
        <w:ind w:left="1418" w:hanging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Costs shall follow the event</w:t>
      </w:r>
      <w:r w:rsidR="007F45B9" w:rsidRPr="009C561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B409232" w14:textId="71397621" w:rsidR="00255374" w:rsidRPr="001F1464" w:rsidRDefault="00255374" w:rsidP="00E77FF5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DFF2AD1" w14:textId="77777777" w:rsidR="003F3D36" w:rsidRPr="001F1464" w:rsidRDefault="003F3D36" w:rsidP="00E77FF5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569A69" w14:textId="18182468" w:rsidR="00255374" w:rsidRPr="001F1464" w:rsidRDefault="00255374" w:rsidP="00255374">
      <w:pPr>
        <w:ind w:left="720" w:hanging="7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F1464">
        <w:rPr>
          <w:rFonts w:ascii="Times New Roman" w:hAnsi="Times New Roman" w:cs="Times New Roman"/>
          <w:sz w:val="28"/>
          <w:szCs w:val="28"/>
          <w:lang w:val="en-GB"/>
        </w:rPr>
        <w:t>_____________________</w:t>
      </w:r>
    </w:p>
    <w:p w14:paraId="6345F155" w14:textId="29EF53D0" w:rsidR="00255374" w:rsidRPr="00CC65A5" w:rsidRDefault="00CC65A5" w:rsidP="00CC65A5">
      <w:pPr>
        <w:pStyle w:val="NoSpacing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</w:t>
      </w:r>
      <w:r w:rsidR="00255374" w:rsidRPr="00CC65A5">
        <w:rPr>
          <w:rFonts w:ascii="Times New Roman" w:hAnsi="Times New Roman" w:cs="Times New Roman"/>
          <w:b/>
          <w:sz w:val="28"/>
          <w:szCs w:val="28"/>
          <w:lang w:val="en-GB"/>
        </w:rPr>
        <w:t>F.M. KHABO</w:t>
      </w:r>
    </w:p>
    <w:p w14:paraId="198B60F4" w14:textId="48494162" w:rsidR="00255374" w:rsidRPr="00CC65A5" w:rsidRDefault="00255374" w:rsidP="00255374">
      <w:pPr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C65A5">
        <w:rPr>
          <w:rFonts w:ascii="Times New Roman" w:hAnsi="Times New Roman" w:cs="Times New Roman"/>
          <w:b/>
          <w:sz w:val="28"/>
          <w:szCs w:val="28"/>
          <w:lang w:val="en-GB"/>
        </w:rPr>
        <w:t>JUDGE</w:t>
      </w:r>
    </w:p>
    <w:p w14:paraId="0B5DD03C" w14:textId="77777777" w:rsidR="00CC65A5" w:rsidRDefault="00CC65A5" w:rsidP="00361D1E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8D0339B" w14:textId="77777777" w:rsidR="00CC65A5" w:rsidRDefault="00CC65A5" w:rsidP="00361D1E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D5E1BE0" w14:textId="081F6E25" w:rsidR="00361D1E" w:rsidRPr="003005A3" w:rsidRDefault="00361D1E" w:rsidP="003005A3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3005A3">
        <w:rPr>
          <w:rFonts w:ascii="Times New Roman" w:hAnsi="Times New Roman" w:cs="Times New Roman"/>
          <w:sz w:val="28"/>
          <w:szCs w:val="28"/>
          <w:lang w:val="en-GB"/>
        </w:rPr>
        <w:t>For Applicant</w:t>
      </w:r>
      <w:r w:rsidR="00585406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       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585406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>Adv</w:t>
      </w:r>
      <w:r w:rsidR="00CC65A5" w:rsidRPr="003005A3">
        <w:rPr>
          <w:rFonts w:ascii="Times New Roman" w:hAnsi="Times New Roman" w:cs="Times New Roman"/>
          <w:sz w:val="28"/>
          <w:szCs w:val="28"/>
          <w:lang w:val="en-GB"/>
        </w:rPr>
        <w:t>.,.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65A5" w:rsidRPr="003005A3">
        <w:rPr>
          <w:rFonts w:ascii="Times New Roman" w:hAnsi="Times New Roman" w:cs="Times New Roman"/>
          <w:sz w:val="28"/>
          <w:szCs w:val="28"/>
          <w:lang w:val="en-GB"/>
        </w:rPr>
        <w:t>M.</w:t>
      </w:r>
      <w:r w:rsidR="003005A3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>Tlapana</w:t>
      </w:r>
    </w:p>
    <w:p w14:paraId="531574E7" w14:textId="4FE7DAB8" w:rsidR="00361D1E" w:rsidRPr="003005A3" w:rsidRDefault="00361D1E" w:rsidP="00361D1E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005A3">
        <w:rPr>
          <w:rFonts w:ascii="Times New Roman" w:hAnsi="Times New Roman" w:cs="Times New Roman"/>
          <w:sz w:val="28"/>
          <w:szCs w:val="28"/>
          <w:lang w:val="en-GB"/>
        </w:rPr>
        <w:t>For Respondents</w:t>
      </w:r>
      <w:r w:rsidR="00585406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="000A7FB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585406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>Adv</w:t>
      </w:r>
      <w:r w:rsidR="00CC65A5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.,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724B" w:rsidRPr="003005A3">
        <w:rPr>
          <w:rFonts w:ascii="Times New Roman" w:hAnsi="Times New Roman" w:cs="Times New Roman"/>
          <w:sz w:val="28"/>
          <w:szCs w:val="28"/>
          <w:lang w:val="en-GB"/>
        </w:rPr>
        <w:t xml:space="preserve">R. </w:t>
      </w:r>
      <w:r w:rsidRPr="003005A3">
        <w:rPr>
          <w:rFonts w:ascii="Times New Roman" w:hAnsi="Times New Roman" w:cs="Times New Roman"/>
          <w:sz w:val="28"/>
          <w:szCs w:val="28"/>
          <w:lang w:val="en-GB"/>
        </w:rPr>
        <w:t>Kanetsi</w:t>
      </w:r>
    </w:p>
    <w:p w14:paraId="5CA0A7D3" w14:textId="77777777" w:rsidR="003005A3" w:rsidRPr="001F1464" w:rsidRDefault="003005A3" w:rsidP="00361D1E">
      <w:pPr>
        <w:ind w:left="720" w:hanging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3005A3" w:rsidRPr="001F146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4CC2" w14:textId="77777777" w:rsidR="003765D2" w:rsidRDefault="003765D2" w:rsidP="009B711D">
      <w:pPr>
        <w:spacing w:after="0" w:line="240" w:lineRule="auto"/>
      </w:pPr>
      <w:r>
        <w:separator/>
      </w:r>
    </w:p>
  </w:endnote>
  <w:endnote w:type="continuationSeparator" w:id="0">
    <w:p w14:paraId="4EDE1481" w14:textId="77777777" w:rsidR="003765D2" w:rsidRDefault="003765D2" w:rsidP="009B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229814"/>
      <w:docPartObj>
        <w:docPartGallery w:val="Page Numbers (Bottom of Page)"/>
        <w:docPartUnique/>
      </w:docPartObj>
    </w:sdtPr>
    <w:sdtEndPr/>
    <w:sdtContent>
      <w:p w14:paraId="57B6CCD1" w14:textId="212BEB4B" w:rsidR="00561CE4" w:rsidRDefault="00561CE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74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36D5800" w14:textId="77777777" w:rsidR="00561CE4" w:rsidRDefault="00561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6681" w14:textId="77777777" w:rsidR="003765D2" w:rsidRDefault="003765D2" w:rsidP="009B711D">
      <w:pPr>
        <w:spacing w:after="0" w:line="240" w:lineRule="auto"/>
      </w:pPr>
      <w:r>
        <w:separator/>
      </w:r>
    </w:p>
  </w:footnote>
  <w:footnote w:type="continuationSeparator" w:id="0">
    <w:p w14:paraId="332CABD0" w14:textId="77777777" w:rsidR="003765D2" w:rsidRDefault="003765D2" w:rsidP="009B711D">
      <w:pPr>
        <w:spacing w:after="0" w:line="240" w:lineRule="auto"/>
      </w:pPr>
      <w:r>
        <w:continuationSeparator/>
      </w:r>
    </w:p>
  </w:footnote>
  <w:footnote w:id="1">
    <w:p w14:paraId="5B369B2C" w14:textId="00072B60" w:rsidR="00561CE4" w:rsidRDefault="00561CE4" w:rsidP="00ED4624">
      <w:pPr>
        <w:pStyle w:val="FootnoteText"/>
      </w:pPr>
      <w:r>
        <w:rPr>
          <w:rStyle w:val="FootnoteReference"/>
        </w:rPr>
        <w:footnoteRef/>
      </w:r>
      <w:r>
        <w:t xml:space="preserve"> Para 5 of the </w:t>
      </w:r>
      <w:r w:rsidR="0051783F">
        <w:t>A</w:t>
      </w:r>
      <w:r>
        <w:t xml:space="preserve">nswering </w:t>
      </w:r>
      <w:r w:rsidR="0051783F">
        <w:t>A</w:t>
      </w:r>
      <w:r>
        <w:t>ffidavit</w:t>
      </w:r>
    </w:p>
  </w:footnote>
  <w:footnote w:id="2">
    <w:p w14:paraId="551499B3" w14:textId="1E9325DD" w:rsidR="00561CE4" w:rsidRDefault="00561C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11DA">
        <w:t>The Concise Oxford Dictionary,</w:t>
      </w:r>
      <w:r w:rsidR="008C1221">
        <w:t xml:space="preserve"> Oxford, </w:t>
      </w:r>
      <w:r w:rsidR="007211DA">
        <w:t>8</w:t>
      </w:r>
      <w:r w:rsidR="007211DA" w:rsidRPr="007211DA">
        <w:rPr>
          <w:vertAlign w:val="superscript"/>
        </w:rPr>
        <w:t>th</w:t>
      </w:r>
      <w:r w:rsidR="007211DA">
        <w:t xml:space="preserve"> ed., 1992</w:t>
      </w:r>
    </w:p>
  </w:footnote>
  <w:footnote w:id="3">
    <w:p w14:paraId="1F2D011E" w14:textId="59F281A9" w:rsidR="00561CE4" w:rsidRDefault="00561CE4">
      <w:pPr>
        <w:pStyle w:val="FootnoteText"/>
      </w:pPr>
      <w:r>
        <w:rPr>
          <w:rStyle w:val="FootnoteReference"/>
        </w:rPr>
        <w:footnoteRef/>
      </w:r>
      <w:r>
        <w:t xml:space="preserve"> (1999) 20 ILJ, 755</w:t>
      </w:r>
    </w:p>
  </w:footnote>
  <w:footnote w:id="4">
    <w:p w14:paraId="754930FE" w14:textId="28FECC5D" w:rsidR="00561CE4" w:rsidRDefault="00561CE4">
      <w:pPr>
        <w:pStyle w:val="FootnoteText"/>
      </w:pPr>
      <w:r>
        <w:rPr>
          <w:rStyle w:val="FootnoteReference"/>
        </w:rPr>
        <w:footnoteRef/>
      </w:r>
      <w:r>
        <w:t xml:space="preserve"> Supra at p. 761</w:t>
      </w:r>
    </w:p>
  </w:footnote>
  <w:footnote w:id="5">
    <w:p w14:paraId="7BB4AE23" w14:textId="3A5D5125" w:rsidR="00561CE4" w:rsidRDefault="00561CE4">
      <w:pPr>
        <w:pStyle w:val="FootnoteText"/>
      </w:pPr>
      <w:r>
        <w:rPr>
          <w:rStyle w:val="FootnoteReference"/>
        </w:rPr>
        <w:footnoteRef/>
      </w:r>
      <w:r>
        <w:t xml:space="preserve"> Supra at p. 762</w:t>
      </w:r>
    </w:p>
  </w:footnote>
  <w:footnote w:id="6">
    <w:p w14:paraId="251AE736" w14:textId="3ACF5846" w:rsidR="0051783F" w:rsidRDefault="0051783F">
      <w:pPr>
        <w:pStyle w:val="FootnoteText"/>
      </w:pPr>
      <w:r>
        <w:rPr>
          <w:rStyle w:val="FootnoteReference"/>
        </w:rPr>
        <w:footnoteRef/>
      </w:r>
      <w:r>
        <w:t xml:space="preserve"> Para 5 of the Answering Affidavit</w:t>
      </w:r>
      <w:r w:rsidR="00BF5FE7">
        <w:t xml:space="preserve">, </w:t>
      </w:r>
      <w:r>
        <w:t>ibid</w:t>
      </w:r>
    </w:p>
  </w:footnote>
  <w:footnote w:id="7">
    <w:p w14:paraId="48B58730" w14:textId="4F4391E2" w:rsidR="00561CE4" w:rsidRDefault="00561CE4" w:rsidP="00112B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711D">
        <w:rPr>
          <w:rFonts w:cstheme="minorHAnsi"/>
          <w:bCs/>
          <w:iCs/>
          <w:lang w:val="en-GB"/>
        </w:rPr>
        <w:t>C of A (CIV) No</w:t>
      </w:r>
      <w:r w:rsidR="000A7FBA">
        <w:rPr>
          <w:rFonts w:cstheme="minorHAnsi"/>
          <w:bCs/>
          <w:iCs/>
          <w:lang w:val="en-GB"/>
        </w:rPr>
        <w:t>.</w:t>
      </w:r>
      <w:r w:rsidRPr="009B711D">
        <w:rPr>
          <w:rFonts w:cstheme="minorHAnsi"/>
          <w:bCs/>
          <w:iCs/>
          <w:lang w:val="en-GB"/>
        </w:rPr>
        <w:t xml:space="preserve"> 3 of 2000</w:t>
      </w:r>
    </w:p>
  </w:footnote>
  <w:footnote w:id="8">
    <w:p w14:paraId="6FE8A881" w14:textId="38D144A7" w:rsidR="00561CE4" w:rsidRDefault="00561CE4" w:rsidP="00FF6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EEC">
        <w:rPr>
          <w:rFonts w:cstheme="minorHAnsi"/>
          <w:bCs/>
          <w:iCs/>
          <w:lang w:val="en-GB"/>
        </w:rPr>
        <w:t>C of A (CIV) No</w:t>
      </w:r>
      <w:r w:rsidR="000A7FBA">
        <w:rPr>
          <w:rFonts w:cstheme="minorHAnsi"/>
          <w:bCs/>
          <w:iCs/>
          <w:lang w:val="en-GB"/>
        </w:rPr>
        <w:t>.</w:t>
      </w:r>
      <w:r w:rsidRPr="00C30EEC">
        <w:rPr>
          <w:rFonts w:cstheme="minorHAnsi"/>
          <w:bCs/>
          <w:iCs/>
          <w:lang w:val="en-GB"/>
        </w:rPr>
        <w:t xml:space="preserve"> 44 of 2013</w:t>
      </w:r>
    </w:p>
  </w:footnote>
  <w:footnote w:id="9">
    <w:p w14:paraId="6FA185CB" w14:textId="77777777" w:rsidR="00561CE4" w:rsidRDefault="00561CE4" w:rsidP="00D07D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561D">
        <w:rPr>
          <w:rFonts w:cstheme="minorHAnsi"/>
          <w:bCs/>
          <w:iCs/>
          <w:lang w:val="en-GB"/>
        </w:rPr>
        <w:t>LAC (2004</w:t>
      </w:r>
      <w:r>
        <w:rPr>
          <w:rFonts w:cstheme="minorHAnsi"/>
          <w:bCs/>
          <w:iCs/>
          <w:lang w:val="en-GB"/>
        </w:rPr>
        <w:t xml:space="preserve"> </w:t>
      </w:r>
      <w:r w:rsidRPr="009C561D">
        <w:rPr>
          <w:rFonts w:cstheme="minorHAnsi"/>
          <w:bCs/>
          <w:iCs/>
          <w:lang w:val="en-GB"/>
        </w:rPr>
        <w:t>-</w:t>
      </w:r>
      <w:r>
        <w:rPr>
          <w:rFonts w:cstheme="minorHAnsi"/>
          <w:bCs/>
          <w:iCs/>
          <w:lang w:val="en-GB"/>
        </w:rPr>
        <w:t xml:space="preserve"> </w:t>
      </w:r>
      <w:r w:rsidRPr="009C561D">
        <w:rPr>
          <w:rFonts w:cstheme="minorHAnsi"/>
          <w:bCs/>
          <w:iCs/>
          <w:lang w:val="en-GB"/>
        </w:rPr>
        <w:t>2005) 522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2778"/>
    <w:multiLevelType w:val="hybridMultilevel"/>
    <w:tmpl w:val="7C4CF06C"/>
    <w:lvl w:ilvl="0" w:tplc="ACD059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4096" w:nlCheck="1" w:checkStyle="0"/>
  <w:activeWritingStyle w:appName="MSWord" w:lang="en-ZA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D6"/>
    <w:rsid w:val="00004DFB"/>
    <w:rsid w:val="00007C31"/>
    <w:rsid w:val="00015F25"/>
    <w:rsid w:val="000225AC"/>
    <w:rsid w:val="00034290"/>
    <w:rsid w:val="000508B5"/>
    <w:rsid w:val="00054C45"/>
    <w:rsid w:val="00061094"/>
    <w:rsid w:val="000662B9"/>
    <w:rsid w:val="0009404E"/>
    <w:rsid w:val="000A7FBA"/>
    <w:rsid w:val="000B0EF1"/>
    <w:rsid w:val="000B3570"/>
    <w:rsid w:val="000B67B4"/>
    <w:rsid w:val="000C5DF3"/>
    <w:rsid w:val="000C640B"/>
    <w:rsid w:val="000D5937"/>
    <w:rsid w:val="000D6B33"/>
    <w:rsid w:val="000E1F8B"/>
    <w:rsid w:val="000E584E"/>
    <w:rsid w:val="00102B2F"/>
    <w:rsid w:val="001032CA"/>
    <w:rsid w:val="00112B8C"/>
    <w:rsid w:val="00126654"/>
    <w:rsid w:val="0015144D"/>
    <w:rsid w:val="001535BB"/>
    <w:rsid w:val="00160948"/>
    <w:rsid w:val="0016209F"/>
    <w:rsid w:val="0016273B"/>
    <w:rsid w:val="00177E52"/>
    <w:rsid w:val="00184021"/>
    <w:rsid w:val="00187829"/>
    <w:rsid w:val="001A55B3"/>
    <w:rsid w:val="001B299D"/>
    <w:rsid w:val="001B4A56"/>
    <w:rsid w:val="001C0655"/>
    <w:rsid w:val="001C58B7"/>
    <w:rsid w:val="001D0EF3"/>
    <w:rsid w:val="001D34BF"/>
    <w:rsid w:val="001E0903"/>
    <w:rsid w:val="001E69A3"/>
    <w:rsid w:val="001E7971"/>
    <w:rsid w:val="001F1464"/>
    <w:rsid w:val="00210670"/>
    <w:rsid w:val="00212684"/>
    <w:rsid w:val="002258FC"/>
    <w:rsid w:val="00230457"/>
    <w:rsid w:val="00231F8E"/>
    <w:rsid w:val="0023339B"/>
    <w:rsid w:val="0023467D"/>
    <w:rsid w:val="00247DCF"/>
    <w:rsid w:val="00255374"/>
    <w:rsid w:val="00261840"/>
    <w:rsid w:val="00261CD8"/>
    <w:rsid w:val="00264B7C"/>
    <w:rsid w:val="00273559"/>
    <w:rsid w:val="00282DFD"/>
    <w:rsid w:val="00292CD6"/>
    <w:rsid w:val="00297D93"/>
    <w:rsid w:val="002A65BE"/>
    <w:rsid w:val="002B3704"/>
    <w:rsid w:val="002B586C"/>
    <w:rsid w:val="002E4C5C"/>
    <w:rsid w:val="002F3EDA"/>
    <w:rsid w:val="002F67AC"/>
    <w:rsid w:val="003005A3"/>
    <w:rsid w:val="003005F2"/>
    <w:rsid w:val="0030591E"/>
    <w:rsid w:val="00315747"/>
    <w:rsid w:val="00317062"/>
    <w:rsid w:val="00317827"/>
    <w:rsid w:val="0032278A"/>
    <w:rsid w:val="00324351"/>
    <w:rsid w:val="00343C0D"/>
    <w:rsid w:val="00360608"/>
    <w:rsid w:val="00361D1E"/>
    <w:rsid w:val="0036281D"/>
    <w:rsid w:val="00363626"/>
    <w:rsid w:val="003765D2"/>
    <w:rsid w:val="00377341"/>
    <w:rsid w:val="003775B5"/>
    <w:rsid w:val="0038444E"/>
    <w:rsid w:val="00386102"/>
    <w:rsid w:val="00397147"/>
    <w:rsid w:val="003A216E"/>
    <w:rsid w:val="003A3587"/>
    <w:rsid w:val="003B2088"/>
    <w:rsid w:val="003C07EC"/>
    <w:rsid w:val="003C31BD"/>
    <w:rsid w:val="003C7E58"/>
    <w:rsid w:val="003D0B18"/>
    <w:rsid w:val="003D1E77"/>
    <w:rsid w:val="003D609C"/>
    <w:rsid w:val="003F1849"/>
    <w:rsid w:val="003F3D36"/>
    <w:rsid w:val="00420158"/>
    <w:rsid w:val="004250A7"/>
    <w:rsid w:val="00436BD9"/>
    <w:rsid w:val="00437544"/>
    <w:rsid w:val="004432F2"/>
    <w:rsid w:val="00452694"/>
    <w:rsid w:val="00453073"/>
    <w:rsid w:val="0047457E"/>
    <w:rsid w:val="00497FB3"/>
    <w:rsid w:val="004A7B9E"/>
    <w:rsid w:val="004A7E3F"/>
    <w:rsid w:val="004B0B48"/>
    <w:rsid w:val="004C1619"/>
    <w:rsid w:val="004E445D"/>
    <w:rsid w:val="004E4C8B"/>
    <w:rsid w:val="004E6040"/>
    <w:rsid w:val="004E78E8"/>
    <w:rsid w:val="00507697"/>
    <w:rsid w:val="00515114"/>
    <w:rsid w:val="0051783F"/>
    <w:rsid w:val="00531008"/>
    <w:rsid w:val="005532C8"/>
    <w:rsid w:val="00557EE2"/>
    <w:rsid w:val="00561CE4"/>
    <w:rsid w:val="00585406"/>
    <w:rsid w:val="00585579"/>
    <w:rsid w:val="0059298D"/>
    <w:rsid w:val="0059542C"/>
    <w:rsid w:val="005A4608"/>
    <w:rsid w:val="005B07AE"/>
    <w:rsid w:val="005D502C"/>
    <w:rsid w:val="005F3DBB"/>
    <w:rsid w:val="00607B82"/>
    <w:rsid w:val="00610214"/>
    <w:rsid w:val="00624EC6"/>
    <w:rsid w:val="006310D3"/>
    <w:rsid w:val="00631975"/>
    <w:rsid w:val="00634675"/>
    <w:rsid w:val="00646A33"/>
    <w:rsid w:val="006730DF"/>
    <w:rsid w:val="00675CAF"/>
    <w:rsid w:val="00676B5D"/>
    <w:rsid w:val="00695F02"/>
    <w:rsid w:val="006E2254"/>
    <w:rsid w:val="006E318A"/>
    <w:rsid w:val="006E3555"/>
    <w:rsid w:val="006F1E53"/>
    <w:rsid w:val="006F4241"/>
    <w:rsid w:val="00704C94"/>
    <w:rsid w:val="007109E6"/>
    <w:rsid w:val="007140AB"/>
    <w:rsid w:val="007211DA"/>
    <w:rsid w:val="00730440"/>
    <w:rsid w:val="007516B2"/>
    <w:rsid w:val="00752212"/>
    <w:rsid w:val="00774859"/>
    <w:rsid w:val="00774E2B"/>
    <w:rsid w:val="00781105"/>
    <w:rsid w:val="007913F9"/>
    <w:rsid w:val="00797057"/>
    <w:rsid w:val="007D6311"/>
    <w:rsid w:val="007D7E65"/>
    <w:rsid w:val="007E47F5"/>
    <w:rsid w:val="007F45B9"/>
    <w:rsid w:val="007F6418"/>
    <w:rsid w:val="008405E9"/>
    <w:rsid w:val="008606DA"/>
    <w:rsid w:val="00861E3A"/>
    <w:rsid w:val="00891570"/>
    <w:rsid w:val="008959B6"/>
    <w:rsid w:val="00895BD3"/>
    <w:rsid w:val="008A1607"/>
    <w:rsid w:val="008B2386"/>
    <w:rsid w:val="008B3450"/>
    <w:rsid w:val="008B437A"/>
    <w:rsid w:val="008B5C30"/>
    <w:rsid w:val="008C1221"/>
    <w:rsid w:val="008D3E19"/>
    <w:rsid w:val="008E7E74"/>
    <w:rsid w:val="008F3863"/>
    <w:rsid w:val="008F4883"/>
    <w:rsid w:val="009026B9"/>
    <w:rsid w:val="00922DD4"/>
    <w:rsid w:val="00935C5E"/>
    <w:rsid w:val="009540F7"/>
    <w:rsid w:val="00954C8C"/>
    <w:rsid w:val="0095715E"/>
    <w:rsid w:val="00961CEB"/>
    <w:rsid w:val="00970370"/>
    <w:rsid w:val="00976D76"/>
    <w:rsid w:val="009856C3"/>
    <w:rsid w:val="00986425"/>
    <w:rsid w:val="00986A5E"/>
    <w:rsid w:val="009A1B67"/>
    <w:rsid w:val="009B1765"/>
    <w:rsid w:val="009B711D"/>
    <w:rsid w:val="009C4419"/>
    <w:rsid w:val="009C561D"/>
    <w:rsid w:val="009E367A"/>
    <w:rsid w:val="009F0B5E"/>
    <w:rsid w:val="00A00BC6"/>
    <w:rsid w:val="00A01609"/>
    <w:rsid w:val="00A10358"/>
    <w:rsid w:val="00A25DC1"/>
    <w:rsid w:val="00A26641"/>
    <w:rsid w:val="00A33940"/>
    <w:rsid w:val="00A37C9B"/>
    <w:rsid w:val="00A40604"/>
    <w:rsid w:val="00A41EB1"/>
    <w:rsid w:val="00A610D4"/>
    <w:rsid w:val="00A75AF1"/>
    <w:rsid w:val="00A865A8"/>
    <w:rsid w:val="00A95F66"/>
    <w:rsid w:val="00A96412"/>
    <w:rsid w:val="00AA2B66"/>
    <w:rsid w:val="00AB533D"/>
    <w:rsid w:val="00AC1FAE"/>
    <w:rsid w:val="00AC73BA"/>
    <w:rsid w:val="00AE093B"/>
    <w:rsid w:val="00AE2DC9"/>
    <w:rsid w:val="00AE4F53"/>
    <w:rsid w:val="00B01A0B"/>
    <w:rsid w:val="00B15526"/>
    <w:rsid w:val="00B22998"/>
    <w:rsid w:val="00B249ED"/>
    <w:rsid w:val="00B34A70"/>
    <w:rsid w:val="00B35CDF"/>
    <w:rsid w:val="00B47E0B"/>
    <w:rsid w:val="00B53913"/>
    <w:rsid w:val="00B71C93"/>
    <w:rsid w:val="00B7516E"/>
    <w:rsid w:val="00B87E33"/>
    <w:rsid w:val="00B91045"/>
    <w:rsid w:val="00B94050"/>
    <w:rsid w:val="00BA20CB"/>
    <w:rsid w:val="00BB473C"/>
    <w:rsid w:val="00BD4B55"/>
    <w:rsid w:val="00BE026D"/>
    <w:rsid w:val="00BF5FE7"/>
    <w:rsid w:val="00C016C7"/>
    <w:rsid w:val="00C01747"/>
    <w:rsid w:val="00C11811"/>
    <w:rsid w:val="00C126EC"/>
    <w:rsid w:val="00C2190E"/>
    <w:rsid w:val="00C21E48"/>
    <w:rsid w:val="00C22DA4"/>
    <w:rsid w:val="00C30EEC"/>
    <w:rsid w:val="00C547D6"/>
    <w:rsid w:val="00C55913"/>
    <w:rsid w:val="00C70CCB"/>
    <w:rsid w:val="00C83A06"/>
    <w:rsid w:val="00C855CA"/>
    <w:rsid w:val="00CB3E52"/>
    <w:rsid w:val="00CC0853"/>
    <w:rsid w:val="00CC65A5"/>
    <w:rsid w:val="00CD3812"/>
    <w:rsid w:val="00CE777A"/>
    <w:rsid w:val="00D00B6F"/>
    <w:rsid w:val="00D027E4"/>
    <w:rsid w:val="00D06B9A"/>
    <w:rsid w:val="00D0770F"/>
    <w:rsid w:val="00D07DA5"/>
    <w:rsid w:val="00D1609B"/>
    <w:rsid w:val="00D301DF"/>
    <w:rsid w:val="00D5512F"/>
    <w:rsid w:val="00D62D31"/>
    <w:rsid w:val="00D63534"/>
    <w:rsid w:val="00D63886"/>
    <w:rsid w:val="00D7788F"/>
    <w:rsid w:val="00D84F9E"/>
    <w:rsid w:val="00D91D91"/>
    <w:rsid w:val="00DB1A52"/>
    <w:rsid w:val="00DC194C"/>
    <w:rsid w:val="00DC1D92"/>
    <w:rsid w:val="00DC3145"/>
    <w:rsid w:val="00DC73CE"/>
    <w:rsid w:val="00DD00A0"/>
    <w:rsid w:val="00DD26F4"/>
    <w:rsid w:val="00DD56F3"/>
    <w:rsid w:val="00DD59E7"/>
    <w:rsid w:val="00E12038"/>
    <w:rsid w:val="00E12DA5"/>
    <w:rsid w:val="00E15C4E"/>
    <w:rsid w:val="00E21F30"/>
    <w:rsid w:val="00E22853"/>
    <w:rsid w:val="00E36521"/>
    <w:rsid w:val="00E40B2D"/>
    <w:rsid w:val="00E43372"/>
    <w:rsid w:val="00E46B64"/>
    <w:rsid w:val="00E64145"/>
    <w:rsid w:val="00E64DF1"/>
    <w:rsid w:val="00E73871"/>
    <w:rsid w:val="00E77FF5"/>
    <w:rsid w:val="00E86489"/>
    <w:rsid w:val="00E95919"/>
    <w:rsid w:val="00EB4BF8"/>
    <w:rsid w:val="00EB4E78"/>
    <w:rsid w:val="00EB5ACC"/>
    <w:rsid w:val="00EC0730"/>
    <w:rsid w:val="00ED4624"/>
    <w:rsid w:val="00EF76D8"/>
    <w:rsid w:val="00F16A8E"/>
    <w:rsid w:val="00F1724B"/>
    <w:rsid w:val="00F20083"/>
    <w:rsid w:val="00F24E8E"/>
    <w:rsid w:val="00F25ABE"/>
    <w:rsid w:val="00F26F00"/>
    <w:rsid w:val="00F378B4"/>
    <w:rsid w:val="00F416CC"/>
    <w:rsid w:val="00F4608B"/>
    <w:rsid w:val="00F509F4"/>
    <w:rsid w:val="00F512B5"/>
    <w:rsid w:val="00F53ECB"/>
    <w:rsid w:val="00F66DD4"/>
    <w:rsid w:val="00F83F09"/>
    <w:rsid w:val="00FA513C"/>
    <w:rsid w:val="00FA73F7"/>
    <w:rsid w:val="00FB546D"/>
    <w:rsid w:val="00FC45D9"/>
    <w:rsid w:val="00FC5EEF"/>
    <w:rsid w:val="00FC6FDA"/>
    <w:rsid w:val="00FD35BF"/>
    <w:rsid w:val="00FD7EE4"/>
    <w:rsid w:val="00FE34A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487C"/>
  <w15:chartTrackingRefBased/>
  <w15:docId w15:val="{49B309B3-6500-4F2A-A75B-5965606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82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711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1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94"/>
  </w:style>
  <w:style w:type="paragraph" w:styleId="Footer">
    <w:name w:val="footer"/>
    <w:basedOn w:val="Normal"/>
    <w:link w:val="FooterChar"/>
    <w:uiPriority w:val="99"/>
    <w:unhideWhenUsed/>
    <w:rsid w:val="0070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665A-8E86-48EA-AB86-C2C2A542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Mapapali Tebelo</dc:creator>
  <cp:keywords/>
  <dc:description/>
  <cp:lastModifiedBy>Malebakae Maliehe</cp:lastModifiedBy>
  <cp:revision>16</cp:revision>
  <dcterms:created xsi:type="dcterms:W3CDTF">2022-09-06T08:40:00Z</dcterms:created>
  <dcterms:modified xsi:type="dcterms:W3CDTF">2022-09-08T09:57:00Z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2022-08-19T07:42:14Z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cdfbdc08-38eb-469c-9658-6524157d2362</vt:lpwstr>
  </property>
  <property fmtid="{D5CDD505-2E9C-101B-9397-08002B2CF9AE}" pid="8" name="MSIP_Label_9f914f9e-4c1b-4005-a7de-34e254df930c_ContentBits">
    <vt:lpwstr>0</vt:lpwstr>
  </property>
</Properties>
</file>