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62AE3" w14:textId="548B08F5" w:rsidR="00BE38D9" w:rsidRPr="00BE38D9" w:rsidRDefault="00BE38D9" w:rsidP="00BE38D9">
      <w:pPr>
        <w:jc w:val="right"/>
        <w:rPr>
          <w:b/>
          <w:sz w:val="28"/>
          <w:szCs w:val="28"/>
        </w:rPr>
      </w:pPr>
      <w:bookmarkStart w:id="0" w:name="_GoBack"/>
      <w:bookmarkEnd w:id="0"/>
      <w:r w:rsidRPr="00BE38D9">
        <w:rPr>
          <w:b/>
          <w:sz w:val="28"/>
          <w:szCs w:val="28"/>
        </w:rPr>
        <w:t>REPORTABLE</w:t>
      </w:r>
    </w:p>
    <w:p w14:paraId="1BB2DA14" w14:textId="77777777" w:rsidR="00BE38D9" w:rsidRDefault="00BE38D9" w:rsidP="00BE38D9">
      <w:pPr>
        <w:jc w:val="center"/>
        <w:rPr>
          <w:b/>
          <w:sz w:val="34"/>
          <w:szCs w:val="34"/>
          <w:u w:val="single"/>
        </w:rPr>
      </w:pPr>
    </w:p>
    <w:p w14:paraId="0DF82A0C" w14:textId="77777777" w:rsidR="00BE38D9" w:rsidRDefault="00BE38D9" w:rsidP="00BE38D9">
      <w:pPr>
        <w:jc w:val="center"/>
        <w:rPr>
          <w:b/>
          <w:sz w:val="34"/>
          <w:szCs w:val="34"/>
          <w:u w:val="single"/>
        </w:rPr>
      </w:pPr>
    </w:p>
    <w:p w14:paraId="33E7F67F" w14:textId="77777777" w:rsidR="00BE38D9" w:rsidRDefault="00BE38D9" w:rsidP="00BE38D9">
      <w:pPr>
        <w:jc w:val="center"/>
        <w:rPr>
          <w:b/>
          <w:sz w:val="34"/>
          <w:szCs w:val="34"/>
          <w:u w:val="single"/>
        </w:rPr>
      </w:pPr>
    </w:p>
    <w:p w14:paraId="64E82A2B" w14:textId="77777777" w:rsidR="00BE38D9" w:rsidRDefault="00BE38D9" w:rsidP="00BE38D9">
      <w:pPr>
        <w:jc w:val="center"/>
        <w:rPr>
          <w:b/>
          <w:sz w:val="34"/>
          <w:szCs w:val="34"/>
          <w:u w:val="single"/>
        </w:rPr>
      </w:pPr>
      <w:r w:rsidRPr="008444F4">
        <w:rPr>
          <w:b/>
          <w:sz w:val="34"/>
          <w:szCs w:val="34"/>
          <w:u w:val="single"/>
        </w:rPr>
        <w:t xml:space="preserve">IN THE </w:t>
      </w:r>
      <w:r>
        <w:rPr>
          <w:b/>
          <w:sz w:val="34"/>
          <w:szCs w:val="34"/>
          <w:u w:val="single"/>
        </w:rPr>
        <w:t xml:space="preserve">HIGH </w:t>
      </w:r>
      <w:r w:rsidRPr="008444F4">
        <w:rPr>
          <w:b/>
          <w:sz w:val="34"/>
          <w:szCs w:val="34"/>
          <w:u w:val="single"/>
        </w:rPr>
        <w:t>COURT OF LESOTHO</w:t>
      </w:r>
    </w:p>
    <w:p w14:paraId="39A6B120" w14:textId="77777777" w:rsidR="00BE38D9" w:rsidRPr="008444F4" w:rsidRDefault="00BE38D9" w:rsidP="00BE38D9">
      <w:pPr>
        <w:jc w:val="center"/>
        <w:rPr>
          <w:b/>
          <w:sz w:val="34"/>
          <w:szCs w:val="34"/>
          <w:u w:val="single"/>
        </w:rPr>
      </w:pPr>
    </w:p>
    <w:p w14:paraId="4AE5FBFB" w14:textId="77777777" w:rsidR="00BE38D9" w:rsidRDefault="00BE38D9" w:rsidP="00BE38D9">
      <w:pPr>
        <w:jc w:val="center"/>
        <w:rPr>
          <w:b/>
          <w:sz w:val="34"/>
          <w:szCs w:val="34"/>
        </w:rPr>
      </w:pPr>
    </w:p>
    <w:p w14:paraId="7400A07A" w14:textId="77777777" w:rsidR="00BE38D9" w:rsidRPr="00733057" w:rsidRDefault="00BE38D9" w:rsidP="00BE38D9">
      <w:pPr>
        <w:jc w:val="both"/>
        <w:rPr>
          <w:b/>
          <w:sz w:val="28"/>
          <w:szCs w:val="28"/>
        </w:rPr>
      </w:pPr>
      <w:r>
        <w:rPr>
          <w:b/>
          <w:sz w:val="28"/>
          <w:szCs w:val="28"/>
        </w:rPr>
        <w:t>Held at Maseru</w:t>
      </w:r>
    </w:p>
    <w:p w14:paraId="57194F6C" w14:textId="054D30CD" w:rsidR="00BE38D9" w:rsidRPr="007C054D" w:rsidRDefault="00BE38D9" w:rsidP="00BE38D9">
      <w:pPr>
        <w:jc w:val="right"/>
        <w:rPr>
          <w:b/>
          <w:sz w:val="30"/>
          <w:szCs w:val="30"/>
          <w:u w:val="single"/>
        </w:rPr>
      </w:pPr>
      <w:r>
        <w:rPr>
          <w:b/>
          <w:sz w:val="30"/>
          <w:szCs w:val="30"/>
          <w:u w:val="single"/>
        </w:rPr>
        <w:t>CONSTITUTIONAL CASE NO. 10/2022</w:t>
      </w:r>
    </w:p>
    <w:p w14:paraId="0108B9AE" w14:textId="77777777" w:rsidR="00BE38D9" w:rsidRPr="00563070" w:rsidRDefault="00BE38D9" w:rsidP="00BE38D9">
      <w:pPr>
        <w:rPr>
          <w:b/>
          <w:sz w:val="30"/>
          <w:szCs w:val="30"/>
        </w:rPr>
      </w:pPr>
    </w:p>
    <w:p w14:paraId="46C7FAB6" w14:textId="77777777" w:rsidR="00BE38D9" w:rsidRPr="00563070" w:rsidRDefault="00BE38D9" w:rsidP="00BE38D9">
      <w:pPr>
        <w:jc w:val="both"/>
        <w:rPr>
          <w:sz w:val="30"/>
          <w:szCs w:val="30"/>
        </w:rPr>
      </w:pPr>
      <w:r w:rsidRPr="00563070">
        <w:rPr>
          <w:sz w:val="30"/>
          <w:szCs w:val="30"/>
        </w:rPr>
        <w:t>In the matter between:</w:t>
      </w:r>
    </w:p>
    <w:p w14:paraId="00EA024C" w14:textId="77777777" w:rsidR="00BE38D9" w:rsidRDefault="00BE38D9" w:rsidP="00BE38D9">
      <w:pPr>
        <w:jc w:val="both"/>
        <w:rPr>
          <w:b/>
          <w:sz w:val="30"/>
          <w:szCs w:val="30"/>
        </w:rPr>
      </w:pPr>
    </w:p>
    <w:p w14:paraId="2C66C4F3" w14:textId="45EF7933" w:rsidR="00BE38D9" w:rsidRDefault="00BE38D9" w:rsidP="00BE38D9">
      <w:pPr>
        <w:jc w:val="both"/>
        <w:rPr>
          <w:b/>
          <w:sz w:val="28"/>
          <w:szCs w:val="28"/>
        </w:rPr>
      </w:pPr>
      <w:r>
        <w:rPr>
          <w:b/>
          <w:sz w:val="28"/>
          <w:szCs w:val="28"/>
        </w:rPr>
        <w:t>DEMOCRATIC CONGRESS</w:t>
      </w:r>
      <w:r>
        <w:rPr>
          <w:b/>
          <w:sz w:val="28"/>
          <w:szCs w:val="28"/>
        </w:rPr>
        <w:tab/>
      </w:r>
      <w:r>
        <w:rPr>
          <w:b/>
          <w:sz w:val="28"/>
          <w:szCs w:val="28"/>
        </w:rPr>
        <w:tab/>
      </w:r>
      <w:proofErr w:type="gramStart"/>
      <w:r>
        <w:rPr>
          <w:b/>
          <w:sz w:val="28"/>
          <w:szCs w:val="28"/>
        </w:rPr>
        <w:tab/>
        <w:t xml:space="preserve">  </w:t>
      </w:r>
      <w:r>
        <w:rPr>
          <w:b/>
          <w:sz w:val="28"/>
          <w:szCs w:val="28"/>
        </w:rPr>
        <w:tab/>
      </w:r>
      <w:proofErr w:type="gramEnd"/>
      <w:r>
        <w:rPr>
          <w:b/>
          <w:sz w:val="28"/>
          <w:szCs w:val="28"/>
        </w:rPr>
        <w:t xml:space="preserve">                1</w:t>
      </w:r>
      <w:r w:rsidRPr="00072885">
        <w:rPr>
          <w:b/>
          <w:sz w:val="28"/>
          <w:szCs w:val="28"/>
          <w:vertAlign w:val="superscript"/>
        </w:rPr>
        <w:t>ST</w:t>
      </w:r>
      <w:r>
        <w:rPr>
          <w:b/>
          <w:sz w:val="28"/>
          <w:szCs w:val="28"/>
        </w:rPr>
        <w:t xml:space="preserve"> APPLICANT</w:t>
      </w:r>
    </w:p>
    <w:p w14:paraId="7D9E5F9D" w14:textId="77777777" w:rsidR="00BE38D9" w:rsidRDefault="00BE38D9" w:rsidP="00BE38D9">
      <w:pPr>
        <w:jc w:val="both"/>
        <w:rPr>
          <w:b/>
          <w:sz w:val="28"/>
          <w:szCs w:val="28"/>
        </w:rPr>
      </w:pPr>
    </w:p>
    <w:p w14:paraId="5018FC71" w14:textId="06871371" w:rsidR="00BE38D9" w:rsidRDefault="00BE38D9" w:rsidP="00BE38D9">
      <w:pPr>
        <w:jc w:val="both"/>
        <w:rPr>
          <w:b/>
          <w:sz w:val="28"/>
          <w:szCs w:val="28"/>
        </w:rPr>
      </w:pPr>
      <w:r>
        <w:rPr>
          <w:b/>
          <w:sz w:val="28"/>
          <w:szCs w:val="28"/>
        </w:rPr>
        <w:t>SELIBE MOCHOBOROANE</w:t>
      </w:r>
      <w:r>
        <w:rPr>
          <w:b/>
          <w:sz w:val="28"/>
          <w:szCs w:val="28"/>
        </w:rPr>
        <w:tab/>
      </w:r>
      <w:r>
        <w:rPr>
          <w:b/>
          <w:sz w:val="28"/>
          <w:szCs w:val="28"/>
        </w:rPr>
        <w:tab/>
      </w:r>
      <w:r>
        <w:rPr>
          <w:b/>
          <w:sz w:val="28"/>
          <w:szCs w:val="28"/>
        </w:rPr>
        <w:tab/>
      </w:r>
      <w:r>
        <w:rPr>
          <w:b/>
          <w:sz w:val="28"/>
          <w:szCs w:val="28"/>
        </w:rPr>
        <w:tab/>
        <w:t xml:space="preserve">      2</w:t>
      </w:r>
      <w:r w:rsidRPr="00072885">
        <w:rPr>
          <w:b/>
          <w:sz w:val="28"/>
          <w:szCs w:val="28"/>
          <w:vertAlign w:val="superscript"/>
        </w:rPr>
        <w:t>ND</w:t>
      </w:r>
      <w:r>
        <w:rPr>
          <w:b/>
          <w:sz w:val="28"/>
          <w:szCs w:val="28"/>
        </w:rPr>
        <w:t xml:space="preserve"> APPLICANT</w:t>
      </w:r>
    </w:p>
    <w:p w14:paraId="1DF7A442" w14:textId="29A0526E" w:rsidR="00BE38D9" w:rsidRDefault="00BE38D9" w:rsidP="00BE38D9">
      <w:pPr>
        <w:jc w:val="both"/>
        <w:rPr>
          <w:b/>
          <w:sz w:val="28"/>
          <w:szCs w:val="28"/>
        </w:rPr>
      </w:pPr>
      <w:r w:rsidRPr="00733057">
        <w:rPr>
          <w:b/>
          <w:sz w:val="28"/>
          <w:szCs w:val="28"/>
        </w:rPr>
        <w:t xml:space="preserve">                    </w:t>
      </w:r>
      <w:r>
        <w:rPr>
          <w:b/>
          <w:sz w:val="28"/>
          <w:szCs w:val="28"/>
        </w:rPr>
        <w:t xml:space="preserve">        </w:t>
      </w:r>
      <w:r>
        <w:rPr>
          <w:b/>
          <w:sz w:val="28"/>
          <w:szCs w:val="28"/>
        </w:rPr>
        <w:tab/>
      </w:r>
    </w:p>
    <w:p w14:paraId="406535F1" w14:textId="77777777" w:rsidR="00BE38D9" w:rsidRDefault="00BE38D9" w:rsidP="00BE38D9">
      <w:pPr>
        <w:jc w:val="both"/>
        <w:rPr>
          <w:sz w:val="28"/>
          <w:szCs w:val="28"/>
        </w:rPr>
      </w:pPr>
      <w:r w:rsidRPr="00563070">
        <w:rPr>
          <w:b/>
          <w:sz w:val="30"/>
          <w:szCs w:val="30"/>
        </w:rPr>
        <w:t xml:space="preserve"> </w:t>
      </w:r>
      <w:r>
        <w:rPr>
          <w:sz w:val="28"/>
          <w:szCs w:val="28"/>
        </w:rPr>
        <w:t>An</w:t>
      </w:r>
      <w:r w:rsidRPr="00733057">
        <w:rPr>
          <w:sz w:val="28"/>
          <w:szCs w:val="28"/>
        </w:rPr>
        <w:t>d</w:t>
      </w:r>
    </w:p>
    <w:p w14:paraId="146637A6" w14:textId="77777777" w:rsidR="00BE38D9" w:rsidRPr="00733057" w:rsidRDefault="00BE38D9" w:rsidP="00BE38D9">
      <w:pPr>
        <w:jc w:val="both"/>
        <w:rPr>
          <w:sz w:val="28"/>
          <w:szCs w:val="28"/>
        </w:rPr>
      </w:pPr>
    </w:p>
    <w:p w14:paraId="20EF2FD4" w14:textId="77777777" w:rsidR="00A6473A" w:rsidRDefault="00BE38D9" w:rsidP="00BE38D9">
      <w:pPr>
        <w:rPr>
          <w:b/>
          <w:color w:val="000000" w:themeColor="text1"/>
          <w:sz w:val="28"/>
          <w:szCs w:val="28"/>
        </w:rPr>
      </w:pPr>
      <w:r>
        <w:rPr>
          <w:b/>
          <w:color w:val="000000" w:themeColor="text1"/>
          <w:sz w:val="28"/>
          <w:szCs w:val="28"/>
        </w:rPr>
        <w:t xml:space="preserve">INDEPENDENT ELECTORAL COMMISSION </w:t>
      </w:r>
    </w:p>
    <w:p w14:paraId="30719141" w14:textId="54B62B46" w:rsidR="00BE38D9" w:rsidRDefault="00BE38D9" w:rsidP="00BE38D9">
      <w:pPr>
        <w:rPr>
          <w:b/>
          <w:color w:val="000000" w:themeColor="text1"/>
          <w:sz w:val="28"/>
          <w:szCs w:val="28"/>
        </w:rPr>
      </w:pPr>
      <w:r>
        <w:rPr>
          <w:b/>
          <w:color w:val="000000" w:themeColor="text1"/>
          <w:sz w:val="28"/>
          <w:szCs w:val="28"/>
        </w:rPr>
        <w:t>AND</w:t>
      </w:r>
      <w:r w:rsidR="006704E4">
        <w:rPr>
          <w:b/>
          <w:color w:val="000000" w:themeColor="text1"/>
          <w:sz w:val="28"/>
          <w:szCs w:val="28"/>
        </w:rPr>
        <w:t xml:space="preserve"> </w:t>
      </w:r>
      <w:r w:rsidR="00A6473A">
        <w:rPr>
          <w:b/>
          <w:color w:val="000000" w:themeColor="text1"/>
          <w:sz w:val="28"/>
          <w:szCs w:val="28"/>
        </w:rPr>
        <w:t xml:space="preserve">52 </w:t>
      </w:r>
      <w:proofErr w:type="gramStart"/>
      <w:r>
        <w:rPr>
          <w:b/>
          <w:color w:val="000000" w:themeColor="text1"/>
          <w:sz w:val="28"/>
          <w:szCs w:val="28"/>
        </w:rPr>
        <w:t>OTHER</w:t>
      </w:r>
      <w:r w:rsidR="00A6473A">
        <w:rPr>
          <w:b/>
          <w:color w:val="000000" w:themeColor="text1"/>
          <w:sz w:val="28"/>
          <w:szCs w:val="28"/>
        </w:rPr>
        <w:t>S</w:t>
      </w:r>
      <w:proofErr w:type="gramEnd"/>
      <w:r w:rsidR="00A6473A">
        <w:rPr>
          <w:b/>
          <w:color w:val="000000" w:themeColor="text1"/>
          <w:sz w:val="28"/>
          <w:szCs w:val="28"/>
        </w:rPr>
        <w:t xml:space="preserve">                                                                    </w:t>
      </w:r>
      <w:r w:rsidR="001A5BE5">
        <w:rPr>
          <w:b/>
          <w:color w:val="000000" w:themeColor="text1"/>
          <w:sz w:val="28"/>
          <w:szCs w:val="28"/>
        </w:rPr>
        <w:t>RESPONDENTS</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w:t>
      </w:r>
      <w:r w:rsidRPr="0024317A">
        <w:rPr>
          <w:b/>
          <w:color w:val="000000" w:themeColor="text1"/>
          <w:sz w:val="28"/>
          <w:szCs w:val="28"/>
        </w:rPr>
        <w:t xml:space="preserve"> </w:t>
      </w:r>
    </w:p>
    <w:p w14:paraId="0FDE3C10" w14:textId="77777777" w:rsidR="00BE38D9" w:rsidRDefault="00BE38D9" w:rsidP="00BE38D9">
      <w:pPr>
        <w:rPr>
          <w:b/>
          <w:color w:val="000000" w:themeColor="text1"/>
          <w:sz w:val="28"/>
          <w:szCs w:val="28"/>
        </w:rPr>
      </w:pPr>
    </w:p>
    <w:p w14:paraId="3AFB4C0B" w14:textId="77777777" w:rsidR="00A6473A" w:rsidRDefault="00A6473A" w:rsidP="00A6473A">
      <w:pPr>
        <w:jc w:val="both"/>
        <w:rPr>
          <w:bCs/>
          <w:sz w:val="28"/>
          <w:szCs w:val="28"/>
        </w:rPr>
      </w:pPr>
      <w:r w:rsidRPr="000C737E">
        <w:rPr>
          <w:bCs/>
          <w:sz w:val="28"/>
          <w:szCs w:val="28"/>
          <w:u w:val="single"/>
        </w:rPr>
        <w:t>Neutral Citation</w:t>
      </w:r>
      <w:r>
        <w:rPr>
          <w:bCs/>
          <w:sz w:val="28"/>
          <w:szCs w:val="28"/>
        </w:rPr>
        <w:t>: Democratic Congress and another v. Independent Electoral Commission and 52 Others [2022] LSHC … Const (8</w:t>
      </w:r>
      <w:r w:rsidRPr="00551675">
        <w:rPr>
          <w:bCs/>
          <w:sz w:val="28"/>
          <w:szCs w:val="28"/>
          <w:vertAlign w:val="superscript"/>
        </w:rPr>
        <w:t>th</w:t>
      </w:r>
      <w:r>
        <w:rPr>
          <w:bCs/>
          <w:sz w:val="28"/>
          <w:szCs w:val="28"/>
        </w:rPr>
        <w:t xml:space="preserve"> August 2022)</w:t>
      </w:r>
    </w:p>
    <w:p w14:paraId="7755E645" w14:textId="77777777" w:rsidR="00BE38D9" w:rsidRDefault="00BE38D9" w:rsidP="00BE38D9">
      <w:pPr>
        <w:rPr>
          <w:b/>
          <w:color w:val="000000" w:themeColor="text1"/>
          <w:sz w:val="28"/>
          <w:szCs w:val="28"/>
        </w:rPr>
      </w:pPr>
    </w:p>
    <w:p w14:paraId="356FEF89" w14:textId="77777777" w:rsidR="00BE38D9" w:rsidRDefault="00BE38D9" w:rsidP="00BE38D9">
      <w:pPr>
        <w:rPr>
          <w:b/>
          <w:sz w:val="28"/>
          <w:szCs w:val="28"/>
        </w:rPr>
      </w:pPr>
      <w:r>
        <w:rPr>
          <w:b/>
          <w:sz w:val="28"/>
          <w:szCs w:val="28"/>
        </w:rPr>
        <w:t xml:space="preserve">                                             </w:t>
      </w:r>
    </w:p>
    <w:p w14:paraId="22452806" w14:textId="0182D4F7" w:rsidR="00BE38D9" w:rsidRDefault="00BE38D9" w:rsidP="00BE38D9">
      <w:pPr>
        <w:jc w:val="both"/>
        <w:rPr>
          <w:b/>
          <w:sz w:val="26"/>
          <w:szCs w:val="26"/>
        </w:rPr>
      </w:pPr>
      <w:r w:rsidRPr="00733057">
        <w:rPr>
          <w:b/>
          <w:sz w:val="28"/>
          <w:szCs w:val="28"/>
        </w:rPr>
        <w:t>CORAM</w:t>
      </w:r>
      <w:r>
        <w:rPr>
          <w:sz w:val="28"/>
          <w:szCs w:val="28"/>
        </w:rPr>
        <w:t xml:space="preserve">: </w:t>
      </w:r>
      <w:r>
        <w:rPr>
          <w:sz w:val="28"/>
          <w:szCs w:val="28"/>
        </w:rPr>
        <w:tab/>
      </w:r>
      <w:r w:rsidR="00200E91">
        <w:rPr>
          <w:sz w:val="28"/>
          <w:szCs w:val="28"/>
        </w:rPr>
        <w:tab/>
      </w:r>
      <w:r w:rsidRPr="0026138B">
        <w:rPr>
          <w:b/>
          <w:sz w:val="28"/>
          <w:szCs w:val="28"/>
        </w:rPr>
        <w:t>S.P.</w:t>
      </w:r>
      <w:r>
        <w:rPr>
          <w:sz w:val="28"/>
          <w:szCs w:val="28"/>
        </w:rPr>
        <w:t xml:space="preserve"> </w:t>
      </w:r>
      <w:r>
        <w:rPr>
          <w:b/>
          <w:sz w:val="26"/>
          <w:szCs w:val="26"/>
        </w:rPr>
        <w:t>SAKOANE CJ</w:t>
      </w:r>
      <w:r w:rsidRPr="00721128">
        <w:rPr>
          <w:b/>
          <w:sz w:val="26"/>
          <w:szCs w:val="26"/>
        </w:rPr>
        <w:t xml:space="preserve">, </w:t>
      </w:r>
      <w:r w:rsidR="004A2C2F">
        <w:rPr>
          <w:b/>
          <w:sz w:val="26"/>
          <w:szCs w:val="26"/>
        </w:rPr>
        <w:t>A.</w:t>
      </w:r>
      <w:r>
        <w:rPr>
          <w:b/>
          <w:sz w:val="26"/>
          <w:szCs w:val="26"/>
        </w:rPr>
        <w:t xml:space="preserve">R. MATHABA J, </w:t>
      </w:r>
      <w:r w:rsidR="004A2C2F">
        <w:rPr>
          <w:b/>
          <w:sz w:val="26"/>
          <w:szCs w:val="26"/>
        </w:rPr>
        <w:t>J.</w:t>
      </w:r>
      <w:r>
        <w:rPr>
          <w:b/>
          <w:sz w:val="26"/>
          <w:szCs w:val="26"/>
        </w:rPr>
        <w:t>M. MAKHETHA J</w:t>
      </w:r>
    </w:p>
    <w:p w14:paraId="7A608153" w14:textId="77777777" w:rsidR="00BE38D9" w:rsidRDefault="00BE38D9" w:rsidP="00BE38D9">
      <w:pPr>
        <w:jc w:val="both"/>
        <w:rPr>
          <w:b/>
          <w:sz w:val="26"/>
          <w:szCs w:val="26"/>
        </w:rPr>
      </w:pPr>
    </w:p>
    <w:p w14:paraId="443089BA" w14:textId="4DA7A460" w:rsidR="00BE38D9" w:rsidRPr="00942979" w:rsidRDefault="00BE38D9" w:rsidP="00BE38D9">
      <w:pPr>
        <w:spacing w:line="360" w:lineRule="auto"/>
        <w:jc w:val="both"/>
        <w:rPr>
          <w:b/>
          <w:sz w:val="28"/>
          <w:szCs w:val="28"/>
        </w:rPr>
      </w:pPr>
      <w:r>
        <w:rPr>
          <w:b/>
          <w:sz w:val="28"/>
          <w:szCs w:val="28"/>
        </w:rPr>
        <w:t>HEARD</w:t>
      </w:r>
      <w:r>
        <w:rPr>
          <w:sz w:val="28"/>
          <w:szCs w:val="28"/>
        </w:rPr>
        <w:t xml:space="preserve">: </w:t>
      </w:r>
      <w:r>
        <w:rPr>
          <w:b/>
          <w:sz w:val="28"/>
          <w:szCs w:val="28"/>
        </w:rPr>
        <w:t xml:space="preserve">    </w:t>
      </w:r>
      <w:r w:rsidR="00200E91">
        <w:rPr>
          <w:b/>
          <w:sz w:val="28"/>
          <w:szCs w:val="28"/>
        </w:rPr>
        <w:tab/>
      </w:r>
      <w:r w:rsidR="00200E91">
        <w:rPr>
          <w:b/>
          <w:sz w:val="28"/>
          <w:szCs w:val="28"/>
        </w:rPr>
        <w:tab/>
      </w:r>
      <w:r>
        <w:rPr>
          <w:b/>
          <w:sz w:val="28"/>
          <w:szCs w:val="28"/>
        </w:rPr>
        <w:t xml:space="preserve">20-21 JULY 2022 </w:t>
      </w:r>
    </w:p>
    <w:p w14:paraId="15208096" w14:textId="3F869D32" w:rsidR="00BE38D9" w:rsidRDefault="00BE38D9" w:rsidP="00BE38D9">
      <w:pPr>
        <w:spacing w:line="360" w:lineRule="auto"/>
        <w:jc w:val="both"/>
        <w:rPr>
          <w:b/>
          <w:sz w:val="28"/>
          <w:szCs w:val="28"/>
        </w:rPr>
      </w:pPr>
      <w:r>
        <w:rPr>
          <w:b/>
          <w:sz w:val="28"/>
          <w:szCs w:val="28"/>
        </w:rPr>
        <w:t>DELIVERED</w:t>
      </w:r>
      <w:r>
        <w:rPr>
          <w:sz w:val="28"/>
          <w:szCs w:val="28"/>
        </w:rPr>
        <w:t xml:space="preserve">:  </w:t>
      </w:r>
      <w:r>
        <w:rPr>
          <w:b/>
          <w:sz w:val="28"/>
          <w:szCs w:val="28"/>
        </w:rPr>
        <w:t xml:space="preserve"> </w:t>
      </w:r>
      <w:r w:rsidR="00200E91">
        <w:rPr>
          <w:b/>
          <w:sz w:val="28"/>
          <w:szCs w:val="28"/>
        </w:rPr>
        <w:tab/>
      </w:r>
      <w:r w:rsidR="00551675">
        <w:rPr>
          <w:b/>
          <w:sz w:val="28"/>
          <w:szCs w:val="28"/>
        </w:rPr>
        <w:t>8</w:t>
      </w:r>
      <w:r w:rsidR="00551675">
        <w:rPr>
          <w:b/>
          <w:sz w:val="28"/>
          <w:szCs w:val="28"/>
          <w:vertAlign w:val="superscript"/>
        </w:rPr>
        <w:t xml:space="preserve"> </w:t>
      </w:r>
      <w:r w:rsidR="004A2C2F">
        <w:rPr>
          <w:b/>
          <w:sz w:val="28"/>
          <w:szCs w:val="28"/>
        </w:rPr>
        <w:t xml:space="preserve">AUGUST </w:t>
      </w:r>
      <w:r>
        <w:rPr>
          <w:b/>
          <w:sz w:val="28"/>
          <w:szCs w:val="28"/>
        </w:rPr>
        <w:t>2</w:t>
      </w:r>
      <w:r w:rsidR="004A2C2F">
        <w:rPr>
          <w:b/>
          <w:sz w:val="28"/>
          <w:szCs w:val="28"/>
        </w:rPr>
        <w:t>022</w:t>
      </w:r>
    </w:p>
    <w:p w14:paraId="1AF1B012" w14:textId="69448FD0" w:rsidR="00BE38D9" w:rsidRDefault="00BE38D9" w:rsidP="00BE38D9">
      <w:pPr>
        <w:spacing w:line="360" w:lineRule="auto"/>
        <w:jc w:val="both"/>
        <w:rPr>
          <w:b/>
          <w:sz w:val="28"/>
          <w:szCs w:val="28"/>
        </w:rPr>
      </w:pPr>
    </w:p>
    <w:p w14:paraId="5570B9E3" w14:textId="609828E2" w:rsidR="000A65E3" w:rsidRDefault="000A65E3" w:rsidP="000C737E">
      <w:pPr>
        <w:jc w:val="both"/>
        <w:rPr>
          <w:bCs/>
          <w:sz w:val="28"/>
          <w:szCs w:val="28"/>
        </w:rPr>
      </w:pPr>
    </w:p>
    <w:p w14:paraId="486543C3" w14:textId="77777777" w:rsidR="000A65E3" w:rsidRDefault="000A65E3" w:rsidP="000C737E">
      <w:pPr>
        <w:jc w:val="both"/>
        <w:rPr>
          <w:bCs/>
          <w:sz w:val="28"/>
          <w:szCs w:val="28"/>
        </w:rPr>
      </w:pPr>
    </w:p>
    <w:p w14:paraId="02C70F3D" w14:textId="77777777" w:rsidR="000C737E" w:rsidRPr="00BE38D9" w:rsidRDefault="000C737E" w:rsidP="000C737E">
      <w:pPr>
        <w:jc w:val="both"/>
        <w:rPr>
          <w:bCs/>
          <w:sz w:val="28"/>
          <w:szCs w:val="28"/>
        </w:rPr>
      </w:pPr>
    </w:p>
    <w:p w14:paraId="76489256" w14:textId="5407C655" w:rsidR="00BE38D9" w:rsidRPr="006704E4" w:rsidRDefault="00BE38D9" w:rsidP="006704E4">
      <w:pPr>
        <w:ind w:left="864" w:right="864"/>
        <w:jc w:val="center"/>
        <w:rPr>
          <w:b/>
          <w:sz w:val="32"/>
          <w:szCs w:val="32"/>
          <w:u w:val="single"/>
        </w:rPr>
      </w:pPr>
      <w:r w:rsidRPr="008924EE">
        <w:rPr>
          <w:b/>
          <w:sz w:val="32"/>
          <w:szCs w:val="32"/>
          <w:u w:val="single"/>
        </w:rPr>
        <w:t>SUMMARY</w:t>
      </w:r>
    </w:p>
    <w:p w14:paraId="27EE4EED" w14:textId="7C569297" w:rsidR="00BE38D9" w:rsidRDefault="00BE38D9" w:rsidP="00BE38D9">
      <w:pPr>
        <w:ind w:left="1644" w:right="1191"/>
        <w:jc w:val="both"/>
        <w:rPr>
          <w:sz w:val="26"/>
          <w:szCs w:val="26"/>
        </w:rPr>
      </w:pPr>
    </w:p>
    <w:p w14:paraId="2042A969" w14:textId="3869F30B" w:rsidR="00BE38D9" w:rsidRDefault="00BE38D9" w:rsidP="00BE38D9">
      <w:pPr>
        <w:ind w:left="1644" w:right="1191"/>
        <w:jc w:val="both"/>
        <w:rPr>
          <w:sz w:val="26"/>
          <w:szCs w:val="26"/>
        </w:rPr>
      </w:pPr>
    </w:p>
    <w:p w14:paraId="78366F9A" w14:textId="1A56F6AA" w:rsidR="00BE38D9" w:rsidRPr="00F04449" w:rsidRDefault="006704E4" w:rsidP="00BE38D9">
      <w:pPr>
        <w:jc w:val="both"/>
        <w:rPr>
          <w:sz w:val="28"/>
          <w:szCs w:val="28"/>
        </w:rPr>
      </w:pPr>
      <w:r w:rsidRPr="00F04449">
        <w:rPr>
          <w:i/>
          <w:iCs/>
          <w:sz w:val="28"/>
          <w:szCs w:val="28"/>
        </w:rPr>
        <w:t xml:space="preserve">Constitutional law – delimitation of constituency boundaries – review of constituency boundaries – whether the review made within the prescribed period – whether elections should be held when constituency boundaries have not been </w:t>
      </w:r>
      <w:r w:rsidRPr="00F04449">
        <w:rPr>
          <w:i/>
          <w:iCs/>
          <w:sz w:val="28"/>
          <w:szCs w:val="28"/>
        </w:rPr>
        <w:lastRenderedPageBreak/>
        <w:t>reviewed and altered according to the pr</w:t>
      </w:r>
      <w:r w:rsidR="00F04449" w:rsidRPr="00F04449">
        <w:rPr>
          <w:i/>
          <w:iCs/>
          <w:sz w:val="28"/>
          <w:szCs w:val="28"/>
        </w:rPr>
        <w:t>o</w:t>
      </w:r>
      <w:r w:rsidRPr="00F04449">
        <w:rPr>
          <w:i/>
          <w:iCs/>
          <w:sz w:val="28"/>
          <w:szCs w:val="28"/>
        </w:rPr>
        <w:t xml:space="preserve">visions of the Constitution – Constitution, ss.67 and 84; National Assembly Electoral Act No.14 of 2011, sections 142 and 153; </w:t>
      </w:r>
      <w:r w:rsidR="00F04449" w:rsidRPr="00F04449">
        <w:rPr>
          <w:i/>
          <w:iCs/>
          <w:sz w:val="28"/>
          <w:szCs w:val="28"/>
        </w:rPr>
        <w:t>Interpretation</w:t>
      </w:r>
      <w:r w:rsidRPr="00F04449">
        <w:rPr>
          <w:i/>
          <w:iCs/>
          <w:sz w:val="28"/>
          <w:szCs w:val="28"/>
        </w:rPr>
        <w:t xml:space="preserve"> Act No. 1</w:t>
      </w:r>
      <w:r w:rsidR="00F04449">
        <w:rPr>
          <w:i/>
          <w:iCs/>
          <w:sz w:val="28"/>
          <w:szCs w:val="28"/>
        </w:rPr>
        <w:t xml:space="preserve">9 </w:t>
      </w:r>
      <w:r w:rsidRPr="00F04449">
        <w:rPr>
          <w:i/>
          <w:iCs/>
          <w:sz w:val="28"/>
          <w:szCs w:val="28"/>
        </w:rPr>
        <w:t xml:space="preserve">of </w:t>
      </w:r>
      <w:r w:rsidR="00F04449" w:rsidRPr="00F04449">
        <w:rPr>
          <w:i/>
          <w:iCs/>
          <w:sz w:val="28"/>
          <w:szCs w:val="28"/>
        </w:rPr>
        <w:t xml:space="preserve">1977. </w:t>
      </w:r>
    </w:p>
    <w:p w14:paraId="3ADCB2D1" w14:textId="77777777" w:rsidR="00F04449" w:rsidRDefault="00F04449" w:rsidP="00BE38D9">
      <w:pPr>
        <w:jc w:val="both"/>
        <w:rPr>
          <w:sz w:val="28"/>
          <w:szCs w:val="28"/>
        </w:rPr>
      </w:pPr>
    </w:p>
    <w:p w14:paraId="5B644DF8" w14:textId="1982CFE8" w:rsidR="00BE38D9" w:rsidRDefault="00BE38D9" w:rsidP="00BE38D9">
      <w:pPr>
        <w:jc w:val="both"/>
        <w:rPr>
          <w:b/>
          <w:sz w:val="28"/>
          <w:szCs w:val="28"/>
          <w:u w:val="single"/>
        </w:rPr>
      </w:pPr>
      <w:r w:rsidRPr="00AD3A67">
        <w:rPr>
          <w:b/>
          <w:sz w:val="28"/>
          <w:szCs w:val="28"/>
          <w:u w:val="single"/>
        </w:rPr>
        <w:t>ANNOTATIONS:</w:t>
      </w:r>
    </w:p>
    <w:p w14:paraId="4A6EAA75" w14:textId="18D7BA1B" w:rsidR="00F73945" w:rsidRDefault="00F73945" w:rsidP="00BE38D9">
      <w:pPr>
        <w:jc w:val="both"/>
        <w:rPr>
          <w:b/>
          <w:sz w:val="28"/>
          <w:szCs w:val="28"/>
          <w:u w:val="single"/>
        </w:rPr>
      </w:pPr>
    </w:p>
    <w:p w14:paraId="7A735595" w14:textId="77777777" w:rsidR="006368A5" w:rsidRPr="00232ED7" w:rsidRDefault="006368A5" w:rsidP="006368A5">
      <w:pPr>
        <w:pStyle w:val="FootnoteText"/>
        <w:spacing w:line="480" w:lineRule="auto"/>
        <w:rPr>
          <w:b/>
          <w:sz w:val="28"/>
          <w:szCs w:val="28"/>
          <w:u w:val="single"/>
          <w:lang w:val="en-ZA"/>
        </w:rPr>
      </w:pPr>
      <w:r w:rsidRPr="00232ED7">
        <w:rPr>
          <w:b/>
          <w:sz w:val="28"/>
          <w:szCs w:val="28"/>
          <w:u w:val="single"/>
          <w:lang w:val="en-ZA"/>
        </w:rPr>
        <w:t>LESOTHO</w:t>
      </w:r>
    </w:p>
    <w:p w14:paraId="35A72A8B" w14:textId="77777777" w:rsidR="006368A5" w:rsidRPr="00A6473A" w:rsidRDefault="006368A5" w:rsidP="006368A5">
      <w:pPr>
        <w:pStyle w:val="FootnoteText"/>
        <w:spacing w:line="480" w:lineRule="auto"/>
        <w:rPr>
          <w:bCs/>
          <w:sz w:val="28"/>
          <w:szCs w:val="28"/>
          <w:lang w:val="en-GB"/>
        </w:rPr>
      </w:pPr>
      <w:r w:rsidRPr="00A6473A">
        <w:rPr>
          <w:bCs/>
          <w:sz w:val="28"/>
          <w:szCs w:val="28"/>
          <w:lang w:val="en-GB"/>
        </w:rPr>
        <w:t xml:space="preserve">R v </w:t>
      </w:r>
      <w:proofErr w:type="spellStart"/>
      <w:r w:rsidRPr="00A6473A">
        <w:rPr>
          <w:bCs/>
          <w:sz w:val="28"/>
          <w:szCs w:val="28"/>
          <w:lang w:val="en-GB"/>
        </w:rPr>
        <w:t>Phoofolo</w:t>
      </w:r>
      <w:proofErr w:type="spellEnd"/>
      <w:r w:rsidRPr="00A6473A">
        <w:rPr>
          <w:bCs/>
          <w:sz w:val="28"/>
          <w:szCs w:val="28"/>
          <w:lang w:val="en-GB"/>
        </w:rPr>
        <w:t xml:space="preserve"> </w:t>
      </w:r>
      <w:r w:rsidRPr="00A6473A">
        <w:rPr>
          <w:bCs/>
          <w:sz w:val="28"/>
          <w:szCs w:val="28"/>
          <w:lang w:val="en-ZA"/>
        </w:rPr>
        <w:t xml:space="preserve">LAC (1990-94) 1 </w:t>
      </w:r>
    </w:p>
    <w:p w14:paraId="6917E23F" w14:textId="77777777" w:rsidR="006368A5" w:rsidRPr="00A6473A" w:rsidRDefault="006368A5" w:rsidP="00A52143">
      <w:pPr>
        <w:pStyle w:val="FootnoteText"/>
        <w:rPr>
          <w:bCs/>
          <w:sz w:val="28"/>
          <w:szCs w:val="28"/>
          <w:lang w:val="en-ZA"/>
        </w:rPr>
      </w:pPr>
      <w:proofErr w:type="spellStart"/>
      <w:r w:rsidRPr="00A6473A">
        <w:rPr>
          <w:bCs/>
          <w:sz w:val="28"/>
          <w:szCs w:val="28"/>
        </w:rPr>
        <w:t>Sekoati</w:t>
      </w:r>
      <w:proofErr w:type="spellEnd"/>
      <w:r w:rsidRPr="00A6473A">
        <w:rPr>
          <w:bCs/>
          <w:sz w:val="28"/>
          <w:szCs w:val="28"/>
        </w:rPr>
        <w:t xml:space="preserve"> And Others v. President of the Court-Martial And Others LAC (1995-99) 812</w:t>
      </w:r>
    </w:p>
    <w:p w14:paraId="544F7D3A" w14:textId="77777777" w:rsidR="006368A5" w:rsidRPr="00232ED7" w:rsidRDefault="006368A5" w:rsidP="00A52143">
      <w:pPr>
        <w:pStyle w:val="FootnoteText"/>
        <w:rPr>
          <w:b/>
          <w:sz w:val="28"/>
          <w:szCs w:val="28"/>
          <w:lang w:val="en-ZA"/>
        </w:rPr>
      </w:pPr>
    </w:p>
    <w:p w14:paraId="407F5DC0" w14:textId="22975FF4" w:rsidR="005D498C" w:rsidRPr="00232ED7" w:rsidRDefault="005D498C" w:rsidP="005D498C">
      <w:pPr>
        <w:pStyle w:val="FootnoteText"/>
        <w:spacing w:line="480" w:lineRule="auto"/>
        <w:rPr>
          <w:b/>
          <w:sz w:val="28"/>
          <w:szCs w:val="28"/>
          <w:u w:val="single"/>
        </w:rPr>
      </w:pPr>
      <w:r w:rsidRPr="00232ED7">
        <w:rPr>
          <w:b/>
          <w:sz w:val="28"/>
          <w:szCs w:val="28"/>
          <w:u w:val="single"/>
        </w:rPr>
        <w:t>CANADA</w:t>
      </w:r>
    </w:p>
    <w:p w14:paraId="713C710C" w14:textId="77777777" w:rsidR="005D498C" w:rsidRPr="00A6473A" w:rsidRDefault="005D498C" w:rsidP="005D498C">
      <w:pPr>
        <w:pStyle w:val="FootnoteText"/>
        <w:spacing w:line="480" w:lineRule="auto"/>
        <w:rPr>
          <w:bCs/>
          <w:sz w:val="28"/>
          <w:szCs w:val="28"/>
          <w:lang w:val="en-ZA"/>
        </w:rPr>
      </w:pPr>
      <w:r w:rsidRPr="00A6473A">
        <w:rPr>
          <w:bCs/>
          <w:sz w:val="28"/>
          <w:szCs w:val="28"/>
          <w:lang w:val="en-ZA"/>
        </w:rPr>
        <w:t>Reference re Prov. Electoral Boundaries (</w:t>
      </w:r>
      <w:proofErr w:type="spellStart"/>
      <w:r w:rsidRPr="00A6473A">
        <w:rPr>
          <w:bCs/>
          <w:sz w:val="28"/>
          <w:szCs w:val="28"/>
          <w:lang w:val="en-ZA"/>
        </w:rPr>
        <w:t>Sask</w:t>
      </w:r>
      <w:proofErr w:type="spellEnd"/>
      <w:r w:rsidRPr="00A6473A">
        <w:rPr>
          <w:bCs/>
          <w:sz w:val="28"/>
          <w:szCs w:val="28"/>
          <w:lang w:val="en-ZA"/>
        </w:rPr>
        <w:t>) [1991]2 S.C.R. 158</w:t>
      </w:r>
    </w:p>
    <w:p w14:paraId="53E188EF" w14:textId="77777777" w:rsidR="00A52143" w:rsidRPr="00A52143" w:rsidRDefault="00A52143" w:rsidP="00A52143">
      <w:pPr>
        <w:pStyle w:val="FootnoteText"/>
        <w:rPr>
          <w:b/>
          <w:sz w:val="28"/>
          <w:szCs w:val="28"/>
          <w:lang w:val="en-GB"/>
        </w:rPr>
      </w:pPr>
    </w:p>
    <w:p w14:paraId="2132D1B2" w14:textId="77777777" w:rsidR="006368A5" w:rsidRPr="00232ED7" w:rsidRDefault="006368A5" w:rsidP="006368A5">
      <w:pPr>
        <w:pStyle w:val="FootnoteText"/>
        <w:spacing w:line="480" w:lineRule="auto"/>
        <w:rPr>
          <w:b/>
          <w:sz w:val="28"/>
          <w:szCs w:val="28"/>
          <w:u w:val="single"/>
          <w:lang w:val="en-ZA"/>
        </w:rPr>
      </w:pPr>
      <w:r w:rsidRPr="00232ED7">
        <w:rPr>
          <w:b/>
          <w:sz w:val="28"/>
          <w:szCs w:val="28"/>
          <w:u w:val="single"/>
          <w:lang w:val="en-ZA"/>
        </w:rPr>
        <w:t>INDIA</w:t>
      </w:r>
    </w:p>
    <w:p w14:paraId="63E584B2" w14:textId="020FF012" w:rsidR="006368A5" w:rsidRPr="00A6473A" w:rsidRDefault="006368A5" w:rsidP="00A52143">
      <w:pPr>
        <w:pStyle w:val="FootnoteText"/>
        <w:rPr>
          <w:bCs/>
          <w:sz w:val="28"/>
          <w:szCs w:val="28"/>
        </w:rPr>
      </w:pPr>
      <w:r w:rsidRPr="00A6473A">
        <w:rPr>
          <w:bCs/>
          <w:sz w:val="28"/>
          <w:szCs w:val="28"/>
        </w:rPr>
        <w:t xml:space="preserve">Delhi Metro Rail Corporation Ltd v </w:t>
      </w:r>
      <w:proofErr w:type="spellStart"/>
      <w:r w:rsidRPr="00A6473A">
        <w:rPr>
          <w:bCs/>
          <w:sz w:val="28"/>
          <w:szCs w:val="28"/>
        </w:rPr>
        <w:t>Tarun</w:t>
      </w:r>
      <w:proofErr w:type="spellEnd"/>
      <w:r w:rsidRPr="00A6473A">
        <w:rPr>
          <w:bCs/>
          <w:sz w:val="28"/>
          <w:szCs w:val="28"/>
        </w:rPr>
        <w:t xml:space="preserve"> Pal Singh Civil Appeal No.19356 of 2017 </w:t>
      </w:r>
      <w:r w:rsidRPr="00A6473A">
        <w:rPr>
          <w:bCs/>
          <w:sz w:val="28"/>
          <w:szCs w:val="28"/>
        </w:rPr>
        <w:tab/>
      </w:r>
    </w:p>
    <w:p w14:paraId="38799AF6" w14:textId="77777777" w:rsidR="00A52143" w:rsidRPr="00232ED7" w:rsidRDefault="00A52143" w:rsidP="00A52143">
      <w:pPr>
        <w:pStyle w:val="FootnoteText"/>
        <w:rPr>
          <w:b/>
          <w:sz w:val="28"/>
          <w:szCs w:val="28"/>
        </w:rPr>
      </w:pPr>
    </w:p>
    <w:p w14:paraId="4C55F3C9" w14:textId="74C80BD8" w:rsidR="005D498C" w:rsidRDefault="005D498C" w:rsidP="006368A5">
      <w:pPr>
        <w:pStyle w:val="FootnoteText"/>
        <w:spacing w:line="480" w:lineRule="auto"/>
        <w:rPr>
          <w:b/>
          <w:sz w:val="28"/>
          <w:szCs w:val="28"/>
          <w:u w:val="single"/>
        </w:rPr>
      </w:pPr>
      <w:r>
        <w:rPr>
          <w:b/>
          <w:sz w:val="28"/>
          <w:szCs w:val="28"/>
          <w:u w:val="single"/>
        </w:rPr>
        <w:t>IRELAND</w:t>
      </w:r>
    </w:p>
    <w:p w14:paraId="397B4B04" w14:textId="49B0B80B" w:rsidR="005D498C" w:rsidRPr="00A6473A" w:rsidRDefault="005D498C" w:rsidP="006368A5">
      <w:pPr>
        <w:pStyle w:val="FootnoteText"/>
        <w:spacing w:line="480" w:lineRule="auto"/>
        <w:rPr>
          <w:sz w:val="28"/>
          <w:szCs w:val="28"/>
          <w:lang w:val="en-GB"/>
        </w:rPr>
      </w:pPr>
      <w:proofErr w:type="spellStart"/>
      <w:r w:rsidRPr="00A6473A">
        <w:rPr>
          <w:sz w:val="28"/>
          <w:szCs w:val="28"/>
          <w:lang w:val="en-GB"/>
        </w:rPr>
        <w:t>O’Donavan</w:t>
      </w:r>
      <w:proofErr w:type="spellEnd"/>
      <w:r w:rsidRPr="00A6473A">
        <w:rPr>
          <w:sz w:val="28"/>
          <w:szCs w:val="28"/>
          <w:lang w:val="en-GB"/>
        </w:rPr>
        <w:t xml:space="preserve"> v Attorney General [1961] IR 114</w:t>
      </w:r>
    </w:p>
    <w:p w14:paraId="2268CE94" w14:textId="2448DBCC" w:rsidR="005D498C" w:rsidRPr="00A6473A" w:rsidRDefault="005D498C" w:rsidP="005D498C">
      <w:pPr>
        <w:pStyle w:val="FootnoteText"/>
        <w:rPr>
          <w:sz w:val="28"/>
          <w:szCs w:val="28"/>
          <w:lang w:val="en-GB"/>
        </w:rPr>
      </w:pPr>
      <w:r w:rsidRPr="00A6473A">
        <w:rPr>
          <w:sz w:val="28"/>
          <w:szCs w:val="28"/>
          <w:lang w:val="en-GB"/>
        </w:rPr>
        <w:t>O’Malley v An</w:t>
      </w:r>
      <w:r w:rsidR="00A6473A">
        <w:rPr>
          <w:sz w:val="28"/>
          <w:szCs w:val="28"/>
          <w:lang w:val="en-GB"/>
        </w:rPr>
        <w:t>d</w:t>
      </w:r>
      <w:r w:rsidRPr="00A6473A">
        <w:rPr>
          <w:sz w:val="28"/>
          <w:szCs w:val="28"/>
          <w:lang w:val="en-GB"/>
        </w:rPr>
        <w:t xml:space="preserve"> Taoiseach [1990] ILRM 461</w:t>
      </w:r>
    </w:p>
    <w:p w14:paraId="1B916806" w14:textId="77777777" w:rsidR="005D498C" w:rsidRPr="005D498C" w:rsidRDefault="005D498C" w:rsidP="006368A5">
      <w:pPr>
        <w:pStyle w:val="FootnoteText"/>
        <w:spacing w:line="480" w:lineRule="auto"/>
        <w:rPr>
          <w:b/>
          <w:sz w:val="28"/>
          <w:szCs w:val="28"/>
          <w:u w:val="single"/>
        </w:rPr>
      </w:pPr>
    </w:p>
    <w:p w14:paraId="080AEF87" w14:textId="77777777" w:rsidR="00F04449" w:rsidRPr="00232ED7" w:rsidRDefault="00F04449" w:rsidP="00F04449">
      <w:pPr>
        <w:pStyle w:val="FootnoteText"/>
        <w:spacing w:line="480" w:lineRule="auto"/>
        <w:rPr>
          <w:b/>
          <w:sz w:val="28"/>
          <w:szCs w:val="28"/>
          <w:u w:val="single"/>
          <w:lang w:val="en-ZA"/>
        </w:rPr>
      </w:pPr>
      <w:r w:rsidRPr="00232ED7">
        <w:rPr>
          <w:b/>
          <w:sz w:val="28"/>
          <w:szCs w:val="28"/>
          <w:u w:val="single"/>
          <w:lang w:val="en-ZA"/>
        </w:rPr>
        <w:t xml:space="preserve">SOUTH AFRICA </w:t>
      </w:r>
    </w:p>
    <w:p w14:paraId="2693BE4C" w14:textId="77777777" w:rsidR="00F04449" w:rsidRPr="00A6473A" w:rsidRDefault="00F04449" w:rsidP="00F04449">
      <w:pPr>
        <w:pStyle w:val="FootnoteText"/>
        <w:spacing w:line="480" w:lineRule="auto"/>
        <w:rPr>
          <w:bCs/>
          <w:sz w:val="28"/>
          <w:szCs w:val="28"/>
          <w:lang w:val="en-ZA"/>
        </w:rPr>
      </w:pPr>
      <w:r w:rsidRPr="00A6473A">
        <w:rPr>
          <w:bCs/>
          <w:sz w:val="28"/>
          <w:szCs w:val="28"/>
          <w:lang w:val="en-ZA"/>
        </w:rPr>
        <w:t xml:space="preserve">Democratic Alliance and others v. Acting NDPP and others 2012(6) BCLR 613 (SCA) </w:t>
      </w:r>
    </w:p>
    <w:p w14:paraId="350D727B" w14:textId="77777777" w:rsidR="00F04449" w:rsidRPr="00A6473A" w:rsidRDefault="00F04449" w:rsidP="00F04449">
      <w:pPr>
        <w:pStyle w:val="FootnoteText"/>
        <w:spacing w:line="480" w:lineRule="auto"/>
        <w:rPr>
          <w:bCs/>
          <w:sz w:val="28"/>
          <w:szCs w:val="28"/>
        </w:rPr>
      </w:pPr>
      <w:proofErr w:type="spellStart"/>
      <w:r w:rsidRPr="00A6473A">
        <w:rPr>
          <w:bCs/>
          <w:sz w:val="28"/>
          <w:szCs w:val="28"/>
        </w:rPr>
        <w:t>Mazibuko</w:t>
      </w:r>
      <w:proofErr w:type="spellEnd"/>
      <w:r w:rsidRPr="00A6473A">
        <w:rPr>
          <w:bCs/>
          <w:sz w:val="28"/>
          <w:szCs w:val="28"/>
        </w:rPr>
        <w:t xml:space="preserve"> v. City of Johannesburg 2010 (4) SA 1 (CC) </w:t>
      </w:r>
    </w:p>
    <w:p w14:paraId="5FEDA269" w14:textId="1D0881E4" w:rsidR="00F04449" w:rsidRPr="00A6473A" w:rsidRDefault="00F04449" w:rsidP="00F04449">
      <w:pPr>
        <w:pStyle w:val="FootnoteText"/>
        <w:spacing w:line="480" w:lineRule="auto"/>
        <w:rPr>
          <w:bCs/>
          <w:sz w:val="28"/>
          <w:szCs w:val="28"/>
        </w:rPr>
      </w:pPr>
      <w:proofErr w:type="spellStart"/>
      <w:r w:rsidRPr="00A6473A">
        <w:rPr>
          <w:bCs/>
          <w:sz w:val="28"/>
          <w:szCs w:val="28"/>
        </w:rPr>
        <w:t>Mphosi</w:t>
      </w:r>
      <w:proofErr w:type="spellEnd"/>
      <w:r w:rsidRPr="00A6473A">
        <w:rPr>
          <w:bCs/>
          <w:sz w:val="28"/>
          <w:szCs w:val="28"/>
        </w:rPr>
        <w:t xml:space="preserve"> v Central Board for Cooperative Insurance Ltd 1974 (4) SA 633</w:t>
      </w:r>
    </w:p>
    <w:p w14:paraId="6A6BBD1A" w14:textId="06C1A281" w:rsidR="000E66FB" w:rsidRPr="00A6473A" w:rsidRDefault="000E66FB" w:rsidP="00F04449">
      <w:pPr>
        <w:pStyle w:val="FootnoteText"/>
        <w:spacing w:line="480" w:lineRule="auto"/>
        <w:rPr>
          <w:bCs/>
          <w:sz w:val="28"/>
          <w:szCs w:val="28"/>
        </w:rPr>
      </w:pPr>
      <w:r w:rsidRPr="00A6473A">
        <w:rPr>
          <w:bCs/>
          <w:sz w:val="28"/>
          <w:szCs w:val="28"/>
        </w:rPr>
        <w:t>NEHAWU v. Minister of Public Service 2022 (6) BCLR 673 (CC)</w:t>
      </w:r>
    </w:p>
    <w:p w14:paraId="0481F119" w14:textId="3A7C8C28" w:rsidR="00F04449" w:rsidRPr="00A6473A" w:rsidRDefault="00F04449" w:rsidP="00F04449">
      <w:pPr>
        <w:pStyle w:val="FootnoteText"/>
        <w:spacing w:line="480" w:lineRule="auto"/>
        <w:rPr>
          <w:bCs/>
          <w:sz w:val="28"/>
          <w:szCs w:val="28"/>
          <w:lang w:val="en-ZA"/>
        </w:rPr>
      </w:pPr>
      <w:proofErr w:type="spellStart"/>
      <w:r w:rsidRPr="00A6473A">
        <w:rPr>
          <w:bCs/>
          <w:sz w:val="28"/>
          <w:szCs w:val="28"/>
          <w:lang w:val="en-GB"/>
        </w:rPr>
        <w:t>Plascon</w:t>
      </w:r>
      <w:proofErr w:type="spellEnd"/>
      <w:r w:rsidRPr="00A6473A">
        <w:rPr>
          <w:bCs/>
          <w:sz w:val="28"/>
          <w:szCs w:val="28"/>
          <w:lang w:val="en-GB"/>
        </w:rPr>
        <w:t xml:space="preserve"> –  Evans Paints Ltd v Van </w:t>
      </w:r>
      <w:proofErr w:type="spellStart"/>
      <w:r w:rsidRPr="00A6473A">
        <w:rPr>
          <w:bCs/>
          <w:sz w:val="28"/>
          <w:szCs w:val="28"/>
          <w:lang w:val="en-GB"/>
        </w:rPr>
        <w:t>Riebeeck</w:t>
      </w:r>
      <w:proofErr w:type="spellEnd"/>
      <w:r w:rsidRPr="00A6473A">
        <w:rPr>
          <w:bCs/>
          <w:sz w:val="28"/>
          <w:szCs w:val="28"/>
          <w:lang w:val="en-GB"/>
        </w:rPr>
        <w:t xml:space="preserve"> Paints (Pty) Ltd [1984] (3) 623</w:t>
      </w:r>
    </w:p>
    <w:p w14:paraId="1F7D2913" w14:textId="395236F2" w:rsidR="00A52143" w:rsidRDefault="00A52143" w:rsidP="006368A5">
      <w:pPr>
        <w:pStyle w:val="FootnoteText"/>
        <w:spacing w:line="480" w:lineRule="auto"/>
        <w:rPr>
          <w:b/>
          <w:sz w:val="28"/>
          <w:szCs w:val="28"/>
          <w:u w:val="single"/>
          <w:lang w:val="en-ZA"/>
        </w:rPr>
      </w:pPr>
      <w:r>
        <w:rPr>
          <w:b/>
          <w:sz w:val="28"/>
          <w:szCs w:val="28"/>
          <w:u w:val="single"/>
          <w:lang w:val="en-ZA"/>
        </w:rPr>
        <w:lastRenderedPageBreak/>
        <w:t>UNITED KINGDOM</w:t>
      </w:r>
    </w:p>
    <w:p w14:paraId="208D6A7C" w14:textId="0A4A63BC" w:rsidR="00A52143" w:rsidRPr="00A6473A" w:rsidRDefault="00A52143" w:rsidP="00A52143">
      <w:pPr>
        <w:pStyle w:val="FootnoteText"/>
        <w:rPr>
          <w:bCs/>
          <w:sz w:val="28"/>
          <w:szCs w:val="28"/>
          <w:lang w:val="en-ZA"/>
        </w:rPr>
      </w:pPr>
      <w:r w:rsidRPr="00A6473A">
        <w:rPr>
          <w:bCs/>
          <w:sz w:val="28"/>
          <w:szCs w:val="28"/>
          <w:lang w:val="en-ZA"/>
        </w:rPr>
        <w:t>Russell v The Attorney General for the State of Saint Vincent &amp; The Grenadines and Others [1997]</w:t>
      </w:r>
      <w:r w:rsidR="00035B30" w:rsidRPr="00A6473A">
        <w:rPr>
          <w:bCs/>
          <w:sz w:val="28"/>
          <w:szCs w:val="28"/>
          <w:lang w:val="en-ZA"/>
        </w:rPr>
        <w:t xml:space="preserve"> </w:t>
      </w:r>
      <w:r w:rsidRPr="00A6473A">
        <w:rPr>
          <w:bCs/>
          <w:sz w:val="28"/>
          <w:szCs w:val="28"/>
          <w:lang w:val="en-ZA"/>
        </w:rPr>
        <w:t>UKPC 23 (15</w:t>
      </w:r>
      <w:r w:rsidRPr="00A6473A">
        <w:rPr>
          <w:bCs/>
          <w:sz w:val="28"/>
          <w:szCs w:val="28"/>
          <w:vertAlign w:val="superscript"/>
          <w:lang w:val="en-ZA"/>
        </w:rPr>
        <w:t>th</w:t>
      </w:r>
      <w:r w:rsidRPr="00A6473A">
        <w:rPr>
          <w:bCs/>
          <w:sz w:val="28"/>
          <w:szCs w:val="28"/>
          <w:lang w:val="en-ZA"/>
        </w:rPr>
        <w:t xml:space="preserve"> </w:t>
      </w:r>
      <w:r w:rsidR="00035B30" w:rsidRPr="00A6473A">
        <w:rPr>
          <w:bCs/>
          <w:sz w:val="28"/>
          <w:szCs w:val="28"/>
          <w:lang w:val="en-ZA"/>
        </w:rPr>
        <w:t>May</w:t>
      </w:r>
      <w:r w:rsidRPr="00A6473A">
        <w:rPr>
          <w:bCs/>
          <w:sz w:val="28"/>
          <w:szCs w:val="28"/>
          <w:lang w:val="en-ZA"/>
        </w:rPr>
        <w:t xml:space="preserve"> 1997) </w:t>
      </w:r>
    </w:p>
    <w:p w14:paraId="2734CBFA" w14:textId="77777777" w:rsidR="00A52143" w:rsidRPr="00A52143" w:rsidRDefault="00A52143" w:rsidP="00A52143">
      <w:pPr>
        <w:pStyle w:val="FootnoteText"/>
        <w:rPr>
          <w:b/>
          <w:sz w:val="28"/>
          <w:szCs w:val="28"/>
          <w:lang w:val="en-ZA"/>
        </w:rPr>
      </w:pPr>
    </w:p>
    <w:p w14:paraId="0884F746" w14:textId="77151841" w:rsidR="006368A5" w:rsidRDefault="006368A5" w:rsidP="006368A5">
      <w:pPr>
        <w:jc w:val="both"/>
        <w:rPr>
          <w:sz w:val="28"/>
          <w:szCs w:val="28"/>
          <w:u w:val="single"/>
        </w:rPr>
      </w:pPr>
      <w:r w:rsidRPr="00232ED7">
        <w:rPr>
          <w:b/>
          <w:sz w:val="28"/>
          <w:szCs w:val="28"/>
          <w:u w:val="single"/>
        </w:rPr>
        <w:t>STATUTES</w:t>
      </w:r>
      <w:r w:rsidRPr="00232ED7">
        <w:rPr>
          <w:sz w:val="28"/>
          <w:szCs w:val="28"/>
          <w:u w:val="single"/>
        </w:rPr>
        <w:t>:</w:t>
      </w:r>
    </w:p>
    <w:p w14:paraId="7F506687" w14:textId="77777777" w:rsidR="00FA379C" w:rsidRPr="00232ED7" w:rsidRDefault="00FA379C" w:rsidP="006368A5">
      <w:pPr>
        <w:jc w:val="both"/>
        <w:rPr>
          <w:sz w:val="28"/>
          <w:szCs w:val="28"/>
          <w:u w:val="single"/>
        </w:rPr>
      </w:pPr>
    </w:p>
    <w:p w14:paraId="700EFCD6" w14:textId="77777777" w:rsidR="006368A5" w:rsidRPr="00A6473A" w:rsidRDefault="006368A5" w:rsidP="006368A5">
      <w:pPr>
        <w:spacing w:line="360" w:lineRule="auto"/>
        <w:jc w:val="both"/>
        <w:rPr>
          <w:bCs/>
          <w:sz w:val="28"/>
          <w:szCs w:val="28"/>
        </w:rPr>
      </w:pPr>
      <w:r w:rsidRPr="00A6473A">
        <w:rPr>
          <w:bCs/>
          <w:sz w:val="28"/>
          <w:szCs w:val="28"/>
        </w:rPr>
        <w:t>Constitution of Lesotho of 1993</w:t>
      </w:r>
    </w:p>
    <w:p w14:paraId="0A06A33B" w14:textId="77777777" w:rsidR="006368A5" w:rsidRPr="00A6473A" w:rsidRDefault="006368A5" w:rsidP="006368A5">
      <w:pPr>
        <w:spacing w:line="360" w:lineRule="auto"/>
        <w:jc w:val="both"/>
        <w:rPr>
          <w:bCs/>
          <w:sz w:val="28"/>
          <w:szCs w:val="28"/>
        </w:rPr>
      </w:pPr>
      <w:r w:rsidRPr="00A6473A">
        <w:rPr>
          <w:bCs/>
          <w:sz w:val="28"/>
          <w:szCs w:val="28"/>
        </w:rPr>
        <w:t>2</w:t>
      </w:r>
      <w:r w:rsidRPr="00A6473A">
        <w:rPr>
          <w:bCs/>
          <w:sz w:val="28"/>
          <w:szCs w:val="28"/>
          <w:vertAlign w:val="superscript"/>
        </w:rPr>
        <w:t>nd</w:t>
      </w:r>
      <w:r w:rsidRPr="00A6473A">
        <w:rPr>
          <w:bCs/>
          <w:sz w:val="28"/>
          <w:szCs w:val="28"/>
        </w:rPr>
        <w:t xml:space="preserve"> Amendment to the Constitution Act No. 7 of 1997</w:t>
      </w:r>
    </w:p>
    <w:p w14:paraId="3BB0C582" w14:textId="5719B797" w:rsidR="006368A5" w:rsidRPr="00A6473A" w:rsidRDefault="006368A5" w:rsidP="006368A5">
      <w:pPr>
        <w:spacing w:line="360" w:lineRule="auto"/>
        <w:jc w:val="both"/>
        <w:rPr>
          <w:bCs/>
          <w:sz w:val="28"/>
          <w:szCs w:val="28"/>
        </w:rPr>
      </w:pPr>
      <w:r w:rsidRPr="00A6473A">
        <w:rPr>
          <w:bCs/>
          <w:sz w:val="28"/>
          <w:szCs w:val="28"/>
        </w:rPr>
        <w:t>4</w:t>
      </w:r>
      <w:r w:rsidRPr="00A6473A">
        <w:rPr>
          <w:bCs/>
          <w:sz w:val="28"/>
          <w:szCs w:val="28"/>
          <w:vertAlign w:val="superscript"/>
        </w:rPr>
        <w:t>th</w:t>
      </w:r>
      <w:r w:rsidRPr="00A6473A">
        <w:rPr>
          <w:bCs/>
          <w:sz w:val="28"/>
          <w:szCs w:val="28"/>
        </w:rPr>
        <w:t xml:space="preserve"> Amendment to the Constitution Act No. 4 of 2001</w:t>
      </w:r>
    </w:p>
    <w:p w14:paraId="25BA1C2B" w14:textId="77777777" w:rsidR="00F04449" w:rsidRPr="00A6473A" w:rsidRDefault="00F04449" w:rsidP="00F04449">
      <w:pPr>
        <w:spacing w:line="360" w:lineRule="auto"/>
        <w:jc w:val="both"/>
        <w:rPr>
          <w:bCs/>
          <w:sz w:val="28"/>
          <w:szCs w:val="28"/>
        </w:rPr>
      </w:pPr>
      <w:r w:rsidRPr="00A6473A">
        <w:rPr>
          <w:bCs/>
          <w:sz w:val="28"/>
          <w:szCs w:val="28"/>
        </w:rPr>
        <w:t>Delimitation Order 2010</w:t>
      </w:r>
    </w:p>
    <w:p w14:paraId="10A50CA0" w14:textId="2D0427A8" w:rsidR="00F04449" w:rsidRPr="00A6473A" w:rsidRDefault="00F04449" w:rsidP="006368A5">
      <w:pPr>
        <w:spacing w:line="360" w:lineRule="auto"/>
        <w:jc w:val="both"/>
        <w:rPr>
          <w:bCs/>
          <w:sz w:val="28"/>
          <w:szCs w:val="28"/>
        </w:rPr>
      </w:pPr>
      <w:r w:rsidRPr="00A6473A">
        <w:rPr>
          <w:bCs/>
          <w:sz w:val="28"/>
          <w:szCs w:val="28"/>
        </w:rPr>
        <w:t>Delimitation Order 2022</w:t>
      </w:r>
    </w:p>
    <w:p w14:paraId="0795D31D" w14:textId="77777777" w:rsidR="006368A5" w:rsidRPr="00A6473A" w:rsidRDefault="006368A5" w:rsidP="006368A5">
      <w:pPr>
        <w:spacing w:line="360" w:lineRule="auto"/>
        <w:jc w:val="both"/>
        <w:rPr>
          <w:bCs/>
          <w:sz w:val="28"/>
          <w:szCs w:val="28"/>
        </w:rPr>
      </w:pPr>
      <w:r w:rsidRPr="00A6473A">
        <w:rPr>
          <w:bCs/>
          <w:sz w:val="28"/>
          <w:szCs w:val="28"/>
        </w:rPr>
        <w:t>Interpretation Act No. 19 of 1977</w:t>
      </w:r>
    </w:p>
    <w:p w14:paraId="1B972F49" w14:textId="77777777" w:rsidR="006368A5" w:rsidRPr="00A6473A" w:rsidRDefault="006368A5" w:rsidP="006368A5">
      <w:pPr>
        <w:spacing w:line="360" w:lineRule="auto"/>
        <w:jc w:val="both"/>
        <w:rPr>
          <w:bCs/>
          <w:sz w:val="28"/>
          <w:szCs w:val="28"/>
        </w:rPr>
      </w:pPr>
      <w:r w:rsidRPr="00A6473A">
        <w:rPr>
          <w:bCs/>
          <w:sz w:val="28"/>
          <w:szCs w:val="28"/>
        </w:rPr>
        <w:t>Legal Notice No. 108 of 2010</w:t>
      </w:r>
    </w:p>
    <w:p w14:paraId="11FDD2DF" w14:textId="77777777" w:rsidR="006368A5" w:rsidRPr="00A6473A" w:rsidRDefault="006368A5" w:rsidP="006368A5">
      <w:pPr>
        <w:spacing w:line="360" w:lineRule="auto"/>
        <w:jc w:val="both"/>
        <w:rPr>
          <w:bCs/>
          <w:sz w:val="28"/>
          <w:szCs w:val="28"/>
        </w:rPr>
      </w:pPr>
      <w:r w:rsidRPr="00A6473A">
        <w:rPr>
          <w:bCs/>
          <w:sz w:val="28"/>
          <w:szCs w:val="28"/>
        </w:rPr>
        <w:t>Legal Notice No. 109 of 2021</w:t>
      </w:r>
    </w:p>
    <w:p w14:paraId="518F7633" w14:textId="77777777" w:rsidR="006368A5" w:rsidRPr="00A6473A" w:rsidRDefault="006368A5" w:rsidP="006368A5">
      <w:pPr>
        <w:spacing w:line="360" w:lineRule="auto"/>
        <w:jc w:val="both"/>
        <w:rPr>
          <w:bCs/>
          <w:sz w:val="28"/>
          <w:szCs w:val="28"/>
        </w:rPr>
      </w:pPr>
      <w:r w:rsidRPr="00A6473A">
        <w:rPr>
          <w:bCs/>
          <w:sz w:val="28"/>
          <w:szCs w:val="28"/>
        </w:rPr>
        <w:t>Legal Notice No. 140 of 2021</w:t>
      </w:r>
    </w:p>
    <w:p w14:paraId="07B65D6B" w14:textId="77777777" w:rsidR="006368A5" w:rsidRPr="00A6473A" w:rsidRDefault="006368A5" w:rsidP="006368A5">
      <w:pPr>
        <w:spacing w:line="360" w:lineRule="auto"/>
        <w:jc w:val="both"/>
        <w:rPr>
          <w:bCs/>
          <w:sz w:val="28"/>
          <w:szCs w:val="28"/>
        </w:rPr>
      </w:pPr>
      <w:r w:rsidRPr="00A6473A">
        <w:rPr>
          <w:bCs/>
          <w:sz w:val="28"/>
          <w:szCs w:val="28"/>
        </w:rPr>
        <w:t>Legal Notice No. 37 of 2022</w:t>
      </w:r>
    </w:p>
    <w:p w14:paraId="6AD3AC15" w14:textId="77777777" w:rsidR="00035B30" w:rsidRPr="00A6473A" w:rsidRDefault="00035B30" w:rsidP="00035B30">
      <w:pPr>
        <w:spacing w:line="360" w:lineRule="auto"/>
        <w:jc w:val="both"/>
        <w:rPr>
          <w:bCs/>
          <w:sz w:val="28"/>
          <w:szCs w:val="28"/>
        </w:rPr>
      </w:pPr>
      <w:r w:rsidRPr="00A6473A">
        <w:rPr>
          <w:bCs/>
          <w:sz w:val="28"/>
          <w:szCs w:val="28"/>
        </w:rPr>
        <w:t>National Assembly Electoral Act No. 14 of 2011</w:t>
      </w:r>
    </w:p>
    <w:p w14:paraId="557D9145" w14:textId="77777777" w:rsidR="00035B30" w:rsidRPr="00A6473A" w:rsidRDefault="00035B30" w:rsidP="00035B30">
      <w:pPr>
        <w:spacing w:line="360" w:lineRule="auto"/>
        <w:jc w:val="both"/>
        <w:rPr>
          <w:bCs/>
          <w:sz w:val="28"/>
          <w:szCs w:val="28"/>
        </w:rPr>
      </w:pPr>
      <w:r w:rsidRPr="00A6473A">
        <w:rPr>
          <w:bCs/>
          <w:sz w:val="28"/>
          <w:szCs w:val="28"/>
        </w:rPr>
        <w:t xml:space="preserve">National Assembly Election Order of 1992 </w:t>
      </w:r>
    </w:p>
    <w:p w14:paraId="270B601F" w14:textId="41D2FF9E" w:rsidR="006368A5" w:rsidRDefault="006368A5" w:rsidP="00BE38D9">
      <w:pPr>
        <w:jc w:val="both"/>
        <w:rPr>
          <w:b/>
          <w:sz w:val="28"/>
          <w:szCs w:val="28"/>
          <w:u w:val="single"/>
        </w:rPr>
      </w:pPr>
    </w:p>
    <w:p w14:paraId="726E31A1" w14:textId="77777777" w:rsidR="00F73945" w:rsidRPr="00AD3A67" w:rsidRDefault="00F73945" w:rsidP="00BE38D9">
      <w:pPr>
        <w:jc w:val="both"/>
        <w:rPr>
          <w:b/>
          <w:sz w:val="28"/>
          <w:szCs w:val="28"/>
          <w:u w:val="single"/>
        </w:rPr>
      </w:pPr>
    </w:p>
    <w:p w14:paraId="31C089B6" w14:textId="77777777" w:rsidR="00BE38D9" w:rsidRDefault="00BE38D9" w:rsidP="00BE38D9">
      <w:pPr>
        <w:jc w:val="center"/>
        <w:rPr>
          <w:b/>
          <w:sz w:val="36"/>
          <w:szCs w:val="36"/>
          <w:u w:val="single"/>
        </w:rPr>
      </w:pPr>
      <w:r w:rsidRPr="004859E1">
        <w:rPr>
          <w:b/>
          <w:sz w:val="36"/>
          <w:szCs w:val="36"/>
          <w:u w:val="single"/>
        </w:rPr>
        <w:t>JUDGMENT</w:t>
      </w:r>
    </w:p>
    <w:p w14:paraId="426FCF27" w14:textId="77777777" w:rsidR="00BE38D9" w:rsidRDefault="00BE38D9" w:rsidP="00BE38D9">
      <w:pPr>
        <w:jc w:val="both"/>
        <w:rPr>
          <w:b/>
          <w:sz w:val="36"/>
          <w:szCs w:val="36"/>
          <w:u w:val="single"/>
        </w:rPr>
      </w:pPr>
    </w:p>
    <w:p w14:paraId="566AE24F" w14:textId="77777777" w:rsidR="00BE38D9" w:rsidRDefault="00BE38D9" w:rsidP="00BE38D9">
      <w:pPr>
        <w:jc w:val="both"/>
        <w:rPr>
          <w:b/>
          <w:sz w:val="28"/>
          <w:szCs w:val="28"/>
        </w:rPr>
      </w:pPr>
    </w:p>
    <w:p w14:paraId="5D78D40D" w14:textId="5358EDEE" w:rsidR="00BE38D9" w:rsidRDefault="0090779C" w:rsidP="00BE38D9">
      <w:pPr>
        <w:jc w:val="both"/>
        <w:rPr>
          <w:b/>
          <w:sz w:val="28"/>
          <w:szCs w:val="28"/>
        </w:rPr>
      </w:pPr>
      <w:r>
        <w:rPr>
          <w:b/>
          <w:sz w:val="28"/>
          <w:szCs w:val="28"/>
          <w:u w:val="single"/>
        </w:rPr>
        <w:t>THE COURT</w:t>
      </w:r>
      <w:r w:rsidR="00BE38D9">
        <w:rPr>
          <w:b/>
          <w:sz w:val="28"/>
          <w:szCs w:val="28"/>
        </w:rPr>
        <w:t>:</w:t>
      </w:r>
    </w:p>
    <w:p w14:paraId="15ACA612" w14:textId="77777777" w:rsidR="004A2C2F" w:rsidRPr="009134E7" w:rsidRDefault="004A2C2F" w:rsidP="00BE38D9">
      <w:pPr>
        <w:jc w:val="both"/>
        <w:rPr>
          <w:b/>
          <w:sz w:val="28"/>
          <w:szCs w:val="28"/>
        </w:rPr>
      </w:pPr>
    </w:p>
    <w:p w14:paraId="7F6BF160" w14:textId="77777777" w:rsidR="00BE38D9" w:rsidRDefault="00BE38D9" w:rsidP="00BE38D9">
      <w:pPr>
        <w:jc w:val="both"/>
        <w:rPr>
          <w:b/>
          <w:sz w:val="28"/>
          <w:szCs w:val="28"/>
          <w:u w:val="single"/>
        </w:rPr>
      </w:pPr>
    </w:p>
    <w:p w14:paraId="6B17FD56" w14:textId="662F968C" w:rsidR="00BE38D9" w:rsidRPr="00B3015D" w:rsidRDefault="00B3015D" w:rsidP="00B3015D">
      <w:pPr>
        <w:jc w:val="both"/>
        <w:rPr>
          <w:b/>
          <w:sz w:val="28"/>
          <w:szCs w:val="28"/>
          <w:u w:val="single"/>
        </w:rPr>
      </w:pPr>
      <w:r w:rsidRPr="00B3015D">
        <w:rPr>
          <w:b/>
          <w:sz w:val="28"/>
          <w:szCs w:val="28"/>
        </w:rPr>
        <w:t xml:space="preserve">I. </w:t>
      </w:r>
      <w:r w:rsidRPr="00B3015D">
        <w:rPr>
          <w:b/>
          <w:sz w:val="28"/>
          <w:szCs w:val="28"/>
        </w:rPr>
        <w:tab/>
      </w:r>
      <w:r w:rsidR="00BE38D9" w:rsidRPr="00B3015D">
        <w:rPr>
          <w:b/>
          <w:sz w:val="28"/>
          <w:szCs w:val="28"/>
          <w:u w:val="single"/>
        </w:rPr>
        <w:t>INTRODUCTION</w:t>
      </w:r>
    </w:p>
    <w:p w14:paraId="2C7D3AF4" w14:textId="49D0D8DB" w:rsidR="003560C9" w:rsidRPr="00B3015D" w:rsidRDefault="003560C9" w:rsidP="003560C9">
      <w:pPr>
        <w:jc w:val="both"/>
        <w:rPr>
          <w:b/>
          <w:sz w:val="28"/>
          <w:szCs w:val="28"/>
          <w:u w:val="single"/>
        </w:rPr>
      </w:pPr>
    </w:p>
    <w:p w14:paraId="5B4B7B0E" w14:textId="77777777" w:rsidR="003560C9" w:rsidRPr="001A12B1" w:rsidRDefault="003560C9" w:rsidP="003560C9">
      <w:pPr>
        <w:jc w:val="both"/>
        <w:rPr>
          <w:sz w:val="28"/>
          <w:szCs w:val="28"/>
        </w:rPr>
      </w:pPr>
    </w:p>
    <w:p w14:paraId="79BCAECF" w14:textId="4F0EAE03" w:rsidR="003560C9" w:rsidRDefault="003560C9" w:rsidP="003560C9">
      <w:pPr>
        <w:spacing w:line="480" w:lineRule="auto"/>
        <w:ind w:left="720" w:hanging="720"/>
        <w:jc w:val="both"/>
        <w:rPr>
          <w:sz w:val="28"/>
          <w:szCs w:val="28"/>
        </w:rPr>
      </w:pPr>
      <w:r w:rsidRPr="00563070">
        <w:rPr>
          <w:sz w:val="28"/>
          <w:szCs w:val="28"/>
        </w:rPr>
        <w:t>[</w:t>
      </w:r>
      <w:r w:rsidRPr="00164537">
        <w:rPr>
          <w:sz w:val="28"/>
          <w:szCs w:val="28"/>
        </w:rPr>
        <w:t>1</w:t>
      </w:r>
      <w:r w:rsidRPr="00563070">
        <w:rPr>
          <w:sz w:val="28"/>
          <w:szCs w:val="28"/>
        </w:rPr>
        <w:t>]</w:t>
      </w:r>
      <w:r w:rsidRPr="00563070">
        <w:rPr>
          <w:sz w:val="28"/>
          <w:szCs w:val="28"/>
        </w:rPr>
        <w:tab/>
      </w:r>
      <w:r>
        <w:rPr>
          <w:sz w:val="28"/>
          <w:szCs w:val="28"/>
        </w:rPr>
        <w:t xml:space="preserve">This case is a constitutional review of the act of the Independent Electoral Commission (IEC) in reviewing and delimiting constituency boundaries in </w:t>
      </w:r>
      <w:r>
        <w:rPr>
          <w:sz w:val="28"/>
          <w:szCs w:val="28"/>
        </w:rPr>
        <w:lastRenderedPageBreak/>
        <w:t xml:space="preserve">terms of section 67 (2) and (3) of the Constitution of Lesotho, 1993.  These </w:t>
      </w:r>
      <w:r w:rsidR="00035B30">
        <w:rPr>
          <w:sz w:val="28"/>
          <w:szCs w:val="28"/>
        </w:rPr>
        <w:t>sub-</w:t>
      </w:r>
      <w:r>
        <w:rPr>
          <w:sz w:val="28"/>
          <w:szCs w:val="28"/>
        </w:rPr>
        <w:t>sections read as follows:</w:t>
      </w:r>
    </w:p>
    <w:p w14:paraId="568B3C86" w14:textId="77777777" w:rsidR="003560C9" w:rsidRDefault="003560C9" w:rsidP="003560C9">
      <w:pPr>
        <w:ind w:left="2160"/>
        <w:jc w:val="both"/>
      </w:pPr>
      <w:r w:rsidRPr="00CE62A3">
        <w:t>“(2)</w:t>
      </w:r>
      <w:r w:rsidRPr="00CE62A3">
        <w:tab/>
        <w:t xml:space="preserve">All constituencies shall contain as nearly equal numbers of inhabitants of or above the age of eighteen years as appears to the Commission to be reasonably practicable, but the Commission may depart from this principle to such extent as it considers expedient in order to take account of – </w:t>
      </w:r>
    </w:p>
    <w:p w14:paraId="369DCE4D" w14:textId="77777777" w:rsidR="003560C9" w:rsidRPr="00CE62A3" w:rsidRDefault="003560C9" w:rsidP="003560C9">
      <w:pPr>
        <w:ind w:left="2160"/>
        <w:jc w:val="both"/>
      </w:pPr>
    </w:p>
    <w:p w14:paraId="5F002FD8" w14:textId="77777777" w:rsidR="003560C9" w:rsidRDefault="003560C9" w:rsidP="003560C9">
      <w:pPr>
        <w:ind w:left="2880" w:hanging="720"/>
        <w:jc w:val="both"/>
      </w:pPr>
      <w:r w:rsidRPr="00CE62A3">
        <w:t>(a)</w:t>
      </w:r>
      <w:r w:rsidRPr="00CE62A3">
        <w:tab/>
        <w:t>the density of population, and in particular the need to ensure adequate representation of sparsely populated rural areas;</w:t>
      </w:r>
    </w:p>
    <w:p w14:paraId="25386370" w14:textId="77777777" w:rsidR="003560C9" w:rsidRPr="00CE62A3" w:rsidRDefault="003560C9" w:rsidP="003560C9">
      <w:pPr>
        <w:ind w:left="2880" w:hanging="720"/>
        <w:jc w:val="both"/>
      </w:pPr>
    </w:p>
    <w:p w14:paraId="7F4B7DB9" w14:textId="77777777" w:rsidR="003560C9" w:rsidRDefault="003560C9" w:rsidP="003560C9">
      <w:pPr>
        <w:ind w:left="2160"/>
        <w:jc w:val="both"/>
      </w:pPr>
      <w:r w:rsidRPr="00CE62A3">
        <w:t>(b)</w:t>
      </w:r>
      <w:r w:rsidRPr="00CE62A3">
        <w:tab/>
        <w:t>the means of communication;</w:t>
      </w:r>
    </w:p>
    <w:p w14:paraId="0E2331B3" w14:textId="77777777" w:rsidR="003560C9" w:rsidRPr="00CE62A3" w:rsidRDefault="003560C9" w:rsidP="003560C9">
      <w:pPr>
        <w:ind w:left="2160"/>
        <w:jc w:val="both"/>
      </w:pPr>
    </w:p>
    <w:p w14:paraId="77364D81" w14:textId="77777777" w:rsidR="003560C9" w:rsidRDefault="003560C9" w:rsidP="003560C9">
      <w:pPr>
        <w:ind w:left="2160"/>
        <w:jc w:val="both"/>
      </w:pPr>
      <w:r w:rsidRPr="00CE62A3">
        <w:t>(c)</w:t>
      </w:r>
      <w:r w:rsidRPr="00CE62A3">
        <w:tab/>
        <w:t>geographical features;</w:t>
      </w:r>
    </w:p>
    <w:p w14:paraId="794857E1" w14:textId="77777777" w:rsidR="003560C9" w:rsidRPr="00CE62A3" w:rsidRDefault="003560C9" w:rsidP="003560C9">
      <w:pPr>
        <w:ind w:left="2160"/>
        <w:jc w:val="both"/>
      </w:pPr>
    </w:p>
    <w:p w14:paraId="6760430E" w14:textId="77777777" w:rsidR="003560C9" w:rsidRDefault="003560C9" w:rsidP="003560C9">
      <w:pPr>
        <w:ind w:left="2160"/>
        <w:jc w:val="both"/>
      </w:pPr>
      <w:r w:rsidRPr="00CE62A3">
        <w:t>(d)</w:t>
      </w:r>
      <w:r w:rsidRPr="00CE62A3">
        <w:tab/>
        <w:t>community of interest; and</w:t>
      </w:r>
    </w:p>
    <w:p w14:paraId="72F954B6" w14:textId="77777777" w:rsidR="003560C9" w:rsidRPr="00CE62A3" w:rsidRDefault="003560C9" w:rsidP="003560C9">
      <w:pPr>
        <w:ind w:left="2160"/>
        <w:jc w:val="both"/>
      </w:pPr>
    </w:p>
    <w:p w14:paraId="6233C825" w14:textId="21D12714" w:rsidR="003560C9" w:rsidRDefault="003560C9" w:rsidP="003560C9">
      <w:pPr>
        <w:ind w:left="2160"/>
        <w:jc w:val="both"/>
      </w:pPr>
      <w:r w:rsidRPr="00CE62A3">
        <w:t>(e)</w:t>
      </w:r>
      <w:r w:rsidRPr="00CE62A3">
        <w:tab/>
        <w:t>the boundaries of existing administrative areas</w:t>
      </w:r>
      <w:r w:rsidR="00035B30">
        <w:t>.</w:t>
      </w:r>
    </w:p>
    <w:p w14:paraId="7792215C" w14:textId="77777777" w:rsidR="003560C9" w:rsidRPr="00CE62A3" w:rsidRDefault="003560C9" w:rsidP="003560C9">
      <w:pPr>
        <w:ind w:left="2160"/>
        <w:jc w:val="both"/>
      </w:pPr>
    </w:p>
    <w:p w14:paraId="3C16B22B" w14:textId="77777777" w:rsidR="003560C9" w:rsidRDefault="003560C9" w:rsidP="003560C9">
      <w:pPr>
        <w:ind w:left="2160"/>
        <w:jc w:val="both"/>
      </w:pPr>
      <w:r w:rsidRPr="00CE62A3">
        <w:t>Provided that the number of inhabitants, of or above the age of eighteen years, of any constituency shall not exceed or fall short of the population quota by more than ten per cent.</w:t>
      </w:r>
    </w:p>
    <w:p w14:paraId="4DBDFD41" w14:textId="77777777" w:rsidR="003560C9" w:rsidRPr="00CE62A3" w:rsidRDefault="003560C9" w:rsidP="003560C9">
      <w:pPr>
        <w:ind w:left="2160"/>
        <w:jc w:val="both"/>
      </w:pPr>
    </w:p>
    <w:p w14:paraId="0CA97418" w14:textId="77777777" w:rsidR="003560C9" w:rsidRDefault="003560C9" w:rsidP="003560C9">
      <w:pPr>
        <w:ind w:left="2160"/>
        <w:jc w:val="both"/>
      </w:pPr>
      <w:r w:rsidRPr="00CE62A3">
        <w:t>(3)</w:t>
      </w:r>
      <w:r w:rsidRPr="00CE62A3">
        <w:tab/>
        <w:t>The Commission shall review the boundaries of the constituencies into which Lesotho is divided in the case of any review after the review of boundaries referred to in Section 159(3), not less than eight nor more than ten years from the date of completing its last review, and may, by order, alter the boundaries in accordance with the provisions of this section to such extent as it considers desirable in the light of the review:</w:t>
      </w:r>
    </w:p>
    <w:p w14:paraId="5BD76926" w14:textId="77777777" w:rsidR="003560C9" w:rsidRPr="00CE62A3" w:rsidRDefault="003560C9" w:rsidP="003560C9">
      <w:pPr>
        <w:ind w:left="2160"/>
        <w:jc w:val="both"/>
      </w:pPr>
    </w:p>
    <w:p w14:paraId="71E9CBFD" w14:textId="6FD4E010" w:rsidR="003560C9" w:rsidRPr="00CE62A3" w:rsidRDefault="003560C9" w:rsidP="003560C9">
      <w:pPr>
        <w:ind w:left="2880"/>
        <w:jc w:val="both"/>
        <w:rPr>
          <w:b/>
        </w:rPr>
      </w:pPr>
      <w:r w:rsidRPr="00CE62A3">
        <w:t>Provided that whenever a census of the population has been held in pursuance of any law the Commission may carry out such a review and ma</w:t>
      </w:r>
      <w:r>
        <w:t>k</w:t>
      </w:r>
      <w:r w:rsidRPr="00CE62A3">
        <w:t>e such an alteration to the extent which it considers desirable in consequence of that census.”</w:t>
      </w:r>
      <w:r w:rsidR="00035B30">
        <w:rPr>
          <w:rStyle w:val="FootnoteReference"/>
        </w:rPr>
        <w:footnoteReference w:id="1"/>
      </w:r>
    </w:p>
    <w:p w14:paraId="3143AC69" w14:textId="77777777" w:rsidR="003560C9" w:rsidRDefault="003560C9" w:rsidP="003560C9">
      <w:pPr>
        <w:spacing w:line="480" w:lineRule="auto"/>
        <w:jc w:val="both"/>
        <w:rPr>
          <w:sz w:val="28"/>
          <w:szCs w:val="28"/>
        </w:rPr>
      </w:pPr>
    </w:p>
    <w:p w14:paraId="4C894B90" w14:textId="0A4D0ACC" w:rsidR="003560C9" w:rsidRDefault="003560C9" w:rsidP="00513682">
      <w:pPr>
        <w:spacing w:line="480" w:lineRule="auto"/>
        <w:ind w:left="720" w:hanging="720"/>
        <w:jc w:val="both"/>
        <w:rPr>
          <w:sz w:val="28"/>
          <w:szCs w:val="28"/>
        </w:rPr>
      </w:pPr>
      <w:r w:rsidRPr="00D92A11">
        <w:rPr>
          <w:sz w:val="28"/>
          <w:szCs w:val="28"/>
        </w:rPr>
        <w:t>[</w:t>
      </w:r>
      <w:r w:rsidRPr="00164537">
        <w:rPr>
          <w:sz w:val="28"/>
          <w:szCs w:val="28"/>
        </w:rPr>
        <w:t>2</w:t>
      </w:r>
      <w:r w:rsidRPr="00D92A11">
        <w:rPr>
          <w:sz w:val="28"/>
          <w:szCs w:val="28"/>
        </w:rPr>
        <w:t>]</w:t>
      </w:r>
      <w:r w:rsidRPr="00D92A11">
        <w:rPr>
          <w:sz w:val="28"/>
          <w:szCs w:val="28"/>
        </w:rPr>
        <w:tab/>
      </w:r>
      <w:r>
        <w:rPr>
          <w:sz w:val="28"/>
          <w:szCs w:val="28"/>
        </w:rPr>
        <w:t>The applicants’ case is that in conducting the review</w:t>
      </w:r>
      <w:r w:rsidR="00B4702A">
        <w:rPr>
          <w:sz w:val="28"/>
          <w:szCs w:val="28"/>
        </w:rPr>
        <w:t xml:space="preserve"> and delimiting constituencies</w:t>
      </w:r>
      <w:r>
        <w:rPr>
          <w:sz w:val="28"/>
          <w:szCs w:val="28"/>
        </w:rPr>
        <w:t>, the IEC failed to meet the following constitutional requirements:</w:t>
      </w:r>
    </w:p>
    <w:p w14:paraId="66E963FA" w14:textId="7224D1AD" w:rsidR="003560C9" w:rsidRDefault="003560C9" w:rsidP="003560C9">
      <w:pPr>
        <w:spacing w:line="480" w:lineRule="auto"/>
        <w:ind w:left="2160" w:hanging="720"/>
        <w:jc w:val="both"/>
        <w:rPr>
          <w:sz w:val="28"/>
          <w:szCs w:val="28"/>
        </w:rPr>
      </w:pPr>
      <w:r>
        <w:rPr>
          <w:sz w:val="28"/>
          <w:szCs w:val="28"/>
        </w:rPr>
        <w:lastRenderedPageBreak/>
        <w:t>2.1</w:t>
      </w:r>
      <w:r>
        <w:rPr>
          <w:sz w:val="28"/>
          <w:szCs w:val="28"/>
        </w:rPr>
        <w:tab/>
        <w:t>to conduct the review within the prescribed period of “not less than eight or more than ten years from the date of completing its last review”</w:t>
      </w:r>
      <w:r w:rsidR="00E7684A">
        <w:rPr>
          <w:sz w:val="28"/>
          <w:szCs w:val="28"/>
        </w:rPr>
        <w:t>;</w:t>
      </w:r>
    </w:p>
    <w:p w14:paraId="22AD5ED0" w14:textId="77777777" w:rsidR="003560C9" w:rsidRDefault="003560C9" w:rsidP="003560C9">
      <w:pPr>
        <w:spacing w:line="480" w:lineRule="auto"/>
        <w:ind w:left="2160" w:hanging="720"/>
        <w:jc w:val="both"/>
        <w:rPr>
          <w:sz w:val="28"/>
          <w:szCs w:val="28"/>
        </w:rPr>
      </w:pPr>
    </w:p>
    <w:p w14:paraId="701B281A" w14:textId="3D2587B6" w:rsidR="003560C9" w:rsidRDefault="003560C9" w:rsidP="003560C9">
      <w:pPr>
        <w:spacing w:line="480" w:lineRule="auto"/>
        <w:ind w:left="2160" w:hanging="720"/>
        <w:jc w:val="both"/>
        <w:rPr>
          <w:sz w:val="28"/>
          <w:szCs w:val="28"/>
        </w:rPr>
      </w:pPr>
      <w:r>
        <w:rPr>
          <w:sz w:val="28"/>
          <w:szCs w:val="28"/>
        </w:rPr>
        <w:t>2.2</w:t>
      </w:r>
      <w:r>
        <w:rPr>
          <w:sz w:val="28"/>
          <w:szCs w:val="28"/>
        </w:rPr>
        <w:tab/>
        <w:t xml:space="preserve">to </w:t>
      </w:r>
      <w:r w:rsidR="00DE0DB6">
        <w:rPr>
          <w:sz w:val="28"/>
          <w:szCs w:val="28"/>
        </w:rPr>
        <w:t xml:space="preserve">ensure that constituencies </w:t>
      </w:r>
      <w:r>
        <w:rPr>
          <w:sz w:val="28"/>
          <w:szCs w:val="28"/>
        </w:rPr>
        <w:t>comply with the proviso to section 67(2) that “any constituency shall not exceed or fall short of the population quota by more than ten per cent”</w:t>
      </w:r>
      <w:r w:rsidR="00E7684A">
        <w:rPr>
          <w:sz w:val="28"/>
          <w:szCs w:val="28"/>
        </w:rPr>
        <w:t>; and</w:t>
      </w:r>
    </w:p>
    <w:p w14:paraId="6517D528" w14:textId="77777777" w:rsidR="002007FC" w:rsidRDefault="002007FC" w:rsidP="00513682">
      <w:pPr>
        <w:spacing w:line="480" w:lineRule="auto"/>
        <w:ind w:left="2160" w:hanging="720"/>
        <w:jc w:val="both"/>
        <w:rPr>
          <w:sz w:val="28"/>
          <w:szCs w:val="28"/>
        </w:rPr>
      </w:pPr>
    </w:p>
    <w:p w14:paraId="01843192" w14:textId="6ED37FFD" w:rsidR="002007FC" w:rsidRDefault="002007FC" w:rsidP="003560C9">
      <w:pPr>
        <w:spacing w:line="480" w:lineRule="auto"/>
        <w:ind w:left="2160" w:hanging="720"/>
        <w:jc w:val="both"/>
        <w:rPr>
          <w:sz w:val="28"/>
          <w:szCs w:val="28"/>
        </w:rPr>
      </w:pPr>
      <w:r>
        <w:rPr>
          <w:sz w:val="28"/>
          <w:szCs w:val="28"/>
        </w:rPr>
        <w:t>2.</w:t>
      </w:r>
      <w:r w:rsidR="00E7684A">
        <w:rPr>
          <w:sz w:val="28"/>
          <w:szCs w:val="28"/>
        </w:rPr>
        <w:t>3</w:t>
      </w:r>
      <w:r>
        <w:rPr>
          <w:sz w:val="28"/>
          <w:szCs w:val="28"/>
        </w:rPr>
        <w:tab/>
      </w:r>
      <w:r w:rsidR="00E7684A">
        <w:rPr>
          <w:sz w:val="28"/>
          <w:szCs w:val="28"/>
        </w:rPr>
        <w:t xml:space="preserve">in addition to the above, </w:t>
      </w:r>
      <w:proofErr w:type="gramStart"/>
      <w:r w:rsidR="00E7684A">
        <w:rPr>
          <w:sz w:val="28"/>
          <w:szCs w:val="28"/>
        </w:rPr>
        <w:t>it</w:t>
      </w:r>
      <w:proofErr w:type="gramEnd"/>
      <w:r w:rsidR="00E7684A">
        <w:rPr>
          <w:sz w:val="28"/>
          <w:szCs w:val="28"/>
        </w:rPr>
        <w:t xml:space="preserve"> confined </w:t>
      </w:r>
      <w:r>
        <w:rPr>
          <w:sz w:val="28"/>
          <w:szCs w:val="28"/>
        </w:rPr>
        <w:t>constituenc</w:t>
      </w:r>
      <w:r w:rsidR="00E7684A">
        <w:rPr>
          <w:sz w:val="28"/>
          <w:szCs w:val="28"/>
        </w:rPr>
        <w:t xml:space="preserve">y boundaries within </w:t>
      </w:r>
      <w:r w:rsidR="00B4702A">
        <w:rPr>
          <w:sz w:val="28"/>
          <w:szCs w:val="28"/>
        </w:rPr>
        <w:t xml:space="preserve">the </w:t>
      </w:r>
      <w:r>
        <w:rPr>
          <w:sz w:val="28"/>
          <w:szCs w:val="28"/>
        </w:rPr>
        <w:t xml:space="preserve">administrative boundaries of the </w:t>
      </w:r>
      <w:r w:rsidR="00E7684A">
        <w:rPr>
          <w:sz w:val="28"/>
          <w:szCs w:val="28"/>
        </w:rPr>
        <w:t>D</w:t>
      </w:r>
      <w:r>
        <w:rPr>
          <w:sz w:val="28"/>
          <w:szCs w:val="28"/>
        </w:rPr>
        <w:t>istricts</w:t>
      </w:r>
      <w:r w:rsidR="00B4702A">
        <w:rPr>
          <w:sz w:val="28"/>
          <w:szCs w:val="28"/>
        </w:rPr>
        <w:t>.</w:t>
      </w:r>
      <w:r>
        <w:rPr>
          <w:sz w:val="28"/>
          <w:szCs w:val="28"/>
        </w:rPr>
        <w:t xml:space="preserve"> </w:t>
      </w:r>
    </w:p>
    <w:p w14:paraId="496A836E" w14:textId="77777777" w:rsidR="003560C9" w:rsidRDefault="003560C9" w:rsidP="003560C9">
      <w:pPr>
        <w:spacing w:line="480" w:lineRule="auto"/>
        <w:ind w:left="720" w:hanging="720"/>
        <w:jc w:val="both"/>
        <w:rPr>
          <w:sz w:val="28"/>
          <w:szCs w:val="28"/>
        </w:rPr>
      </w:pPr>
    </w:p>
    <w:p w14:paraId="1640FE56" w14:textId="77777777" w:rsidR="003560C9" w:rsidRPr="00B3015D" w:rsidRDefault="003560C9" w:rsidP="003560C9">
      <w:pPr>
        <w:spacing w:line="480" w:lineRule="auto"/>
        <w:ind w:left="720" w:hanging="720"/>
        <w:jc w:val="both"/>
        <w:rPr>
          <w:b/>
          <w:bCs/>
          <w:sz w:val="28"/>
          <w:szCs w:val="28"/>
          <w:u w:val="single"/>
        </w:rPr>
      </w:pPr>
      <w:r w:rsidRPr="00B3015D">
        <w:rPr>
          <w:b/>
          <w:bCs/>
          <w:sz w:val="28"/>
          <w:szCs w:val="28"/>
        </w:rPr>
        <w:t>II.</w:t>
      </w:r>
      <w:r w:rsidRPr="00B3015D">
        <w:rPr>
          <w:b/>
          <w:bCs/>
          <w:sz w:val="28"/>
          <w:szCs w:val="28"/>
        </w:rPr>
        <w:tab/>
      </w:r>
      <w:r w:rsidRPr="00B3015D">
        <w:rPr>
          <w:b/>
          <w:bCs/>
          <w:sz w:val="28"/>
          <w:szCs w:val="28"/>
          <w:u w:val="single"/>
        </w:rPr>
        <w:t>JURISDICTION</w:t>
      </w:r>
    </w:p>
    <w:p w14:paraId="5669E7E2" w14:textId="629EA79A" w:rsidR="003560C9" w:rsidRDefault="003560C9" w:rsidP="003560C9">
      <w:pPr>
        <w:spacing w:line="480" w:lineRule="auto"/>
        <w:ind w:left="720" w:hanging="720"/>
        <w:jc w:val="both"/>
        <w:rPr>
          <w:sz w:val="28"/>
          <w:szCs w:val="28"/>
        </w:rPr>
      </w:pPr>
      <w:r>
        <w:rPr>
          <w:sz w:val="28"/>
          <w:szCs w:val="28"/>
        </w:rPr>
        <w:t>[3]</w:t>
      </w:r>
      <w:r>
        <w:rPr>
          <w:sz w:val="28"/>
          <w:szCs w:val="28"/>
        </w:rPr>
        <w:tab/>
        <w:t>The IEC and the political parties</w:t>
      </w:r>
      <w:r w:rsidR="00DE0DB6">
        <w:rPr>
          <w:sz w:val="28"/>
          <w:szCs w:val="28"/>
        </w:rPr>
        <w:t xml:space="preserve"> which chose to join</w:t>
      </w:r>
      <w:r>
        <w:rPr>
          <w:sz w:val="28"/>
          <w:szCs w:val="28"/>
        </w:rPr>
        <w:t xml:space="preserve"> in these proceedings raised the preliminary objection </w:t>
      </w:r>
      <w:r w:rsidR="00DE0DB6">
        <w:rPr>
          <w:sz w:val="28"/>
          <w:szCs w:val="28"/>
        </w:rPr>
        <w:t xml:space="preserve">to the </w:t>
      </w:r>
      <w:r>
        <w:rPr>
          <w:sz w:val="28"/>
          <w:szCs w:val="28"/>
        </w:rPr>
        <w:t>jurisdiction</w:t>
      </w:r>
      <w:r w:rsidR="00DE0DB6">
        <w:rPr>
          <w:sz w:val="28"/>
          <w:szCs w:val="28"/>
        </w:rPr>
        <w:t xml:space="preserve"> of this Court</w:t>
      </w:r>
      <w:r>
        <w:rPr>
          <w:sz w:val="28"/>
          <w:szCs w:val="28"/>
        </w:rPr>
        <w:t xml:space="preserve">.  They contended that the applicants’ case constitutes an objection to the review process </w:t>
      </w:r>
      <w:r w:rsidR="00DE0DB6">
        <w:rPr>
          <w:sz w:val="28"/>
          <w:szCs w:val="28"/>
        </w:rPr>
        <w:t xml:space="preserve">which they </w:t>
      </w:r>
      <w:r>
        <w:rPr>
          <w:sz w:val="28"/>
          <w:szCs w:val="28"/>
        </w:rPr>
        <w:t xml:space="preserve">ought to have lodged </w:t>
      </w:r>
      <w:r w:rsidR="00DE0DB6">
        <w:rPr>
          <w:sz w:val="28"/>
          <w:szCs w:val="28"/>
        </w:rPr>
        <w:t>w</w:t>
      </w:r>
      <w:r>
        <w:rPr>
          <w:sz w:val="28"/>
          <w:szCs w:val="28"/>
        </w:rPr>
        <w:t>ith the IEC and only approach this Court in its ordinary review jurisdiction in the event of the IEC dismiss</w:t>
      </w:r>
      <w:r w:rsidR="00DE0DB6">
        <w:rPr>
          <w:sz w:val="28"/>
          <w:szCs w:val="28"/>
        </w:rPr>
        <w:t xml:space="preserve">ing </w:t>
      </w:r>
      <w:r>
        <w:rPr>
          <w:sz w:val="28"/>
          <w:szCs w:val="28"/>
        </w:rPr>
        <w:t xml:space="preserve">the objection. </w:t>
      </w:r>
    </w:p>
    <w:p w14:paraId="37F19D3F" w14:textId="77777777" w:rsidR="003560C9" w:rsidRDefault="003560C9" w:rsidP="003560C9">
      <w:pPr>
        <w:spacing w:line="480" w:lineRule="auto"/>
        <w:ind w:left="720" w:hanging="720"/>
        <w:jc w:val="both"/>
        <w:rPr>
          <w:sz w:val="28"/>
          <w:szCs w:val="28"/>
        </w:rPr>
      </w:pPr>
    </w:p>
    <w:p w14:paraId="4B2A530D" w14:textId="78C5E036" w:rsidR="003560C9" w:rsidRDefault="003560C9" w:rsidP="003560C9">
      <w:pPr>
        <w:spacing w:line="480" w:lineRule="auto"/>
        <w:ind w:left="720" w:hanging="720"/>
        <w:jc w:val="both"/>
        <w:rPr>
          <w:sz w:val="28"/>
          <w:szCs w:val="28"/>
        </w:rPr>
      </w:pPr>
      <w:r>
        <w:rPr>
          <w:sz w:val="28"/>
          <w:szCs w:val="28"/>
        </w:rPr>
        <w:t>[4]</w:t>
      </w:r>
      <w:r>
        <w:rPr>
          <w:sz w:val="28"/>
          <w:szCs w:val="28"/>
        </w:rPr>
        <w:tab/>
        <w:t>For this proposition</w:t>
      </w:r>
      <w:r w:rsidR="00DE0DB6">
        <w:rPr>
          <w:sz w:val="28"/>
          <w:szCs w:val="28"/>
        </w:rPr>
        <w:t>,</w:t>
      </w:r>
      <w:r>
        <w:rPr>
          <w:sz w:val="28"/>
          <w:szCs w:val="28"/>
        </w:rPr>
        <w:t xml:space="preserve"> reliance is </w:t>
      </w:r>
      <w:r w:rsidR="00DE0DB6">
        <w:rPr>
          <w:sz w:val="28"/>
          <w:szCs w:val="28"/>
        </w:rPr>
        <w:t xml:space="preserve">reposed </w:t>
      </w:r>
      <w:r>
        <w:rPr>
          <w:sz w:val="28"/>
          <w:szCs w:val="28"/>
        </w:rPr>
        <w:t xml:space="preserve">on section 153(1)-(4) of the </w:t>
      </w:r>
      <w:r w:rsidRPr="00200E91">
        <w:rPr>
          <w:b/>
          <w:bCs/>
          <w:sz w:val="28"/>
          <w:szCs w:val="28"/>
        </w:rPr>
        <w:t>National Assembly Electoral Act No.14 of 2011</w:t>
      </w:r>
      <w:r>
        <w:rPr>
          <w:sz w:val="28"/>
          <w:szCs w:val="28"/>
        </w:rPr>
        <w:t xml:space="preserve"> which reads as follows:</w:t>
      </w:r>
    </w:p>
    <w:p w14:paraId="31C0F968" w14:textId="22B7D795" w:rsidR="003560C9" w:rsidRDefault="003560C9" w:rsidP="003560C9">
      <w:pPr>
        <w:ind w:left="2160"/>
        <w:jc w:val="both"/>
        <w:rPr>
          <w:b/>
          <w:bCs/>
        </w:rPr>
      </w:pPr>
      <w:r w:rsidRPr="00D53CEB">
        <w:t>“</w:t>
      </w:r>
      <w:r w:rsidRPr="00D53CEB">
        <w:rPr>
          <w:b/>
          <w:bCs/>
        </w:rPr>
        <w:t>Procedures for changes to constituency boundaries</w:t>
      </w:r>
    </w:p>
    <w:p w14:paraId="01D633D8" w14:textId="77777777" w:rsidR="00A6029D" w:rsidRPr="00D53CEB" w:rsidRDefault="00A6029D" w:rsidP="003560C9">
      <w:pPr>
        <w:ind w:left="2160"/>
        <w:jc w:val="both"/>
      </w:pPr>
    </w:p>
    <w:p w14:paraId="532CE2E5" w14:textId="77777777" w:rsidR="003560C9" w:rsidRDefault="003560C9" w:rsidP="003560C9">
      <w:pPr>
        <w:ind w:left="2160"/>
        <w:jc w:val="both"/>
      </w:pPr>
      <w:r w:rsidRPr="00D53CEB">
        <w:t>153.</w:t>
      </w:r>
      <w:r w:rsidRPr="00D53CEB">
        <w:tab/>
        <w:t>(1)</w:t>
      </w:r>
      <w:r w:rsidRPr="00D53CEB">
        <w:tab/>
        <w:t>Before an order to change a boundary of a constituency is made under section 67 of the Constitution, the Commission shall –</w:t>
      </w:r>
    </w:p>
    <w:p w14:paraId="7C095C68" w14:textId="77777777" w:rsidR="003560C9" w:rsidRPr="00D53CEB" w:rsidRDefault="003560C9" w:rsidP="003560C9">
      <w:pPr>
        <w:ind w:left="2160"/>
        <w:jc w:val="both"/>
      </w:pPr>
    </w:p>
    <w:p w14:paraId="0E2AED3B" w14:textId="77777777" w:rsidR="003560C9" w:rsidRDefault="003560C9" w:rsidP="003560C9">
      <w:pPr>
        <w:ind w:left="3600" w:hanging="720"/>
        <w:jc w:val="both"/>
      </w:pPr>
      <w:r w:rsidRPr="00D53CEB">
        <w:t>(a)</w:t>
      </w:r>
      <w:r w:rsidRPr="00D53CEB">
        <w:tab/>
        <w:t>invite representations from any elector or a political party registered with the commission by notice in the Gazette in respect of any review of the boundaries of the constituencies conducted in terms of the Constitution;</w:t>
      </w:r>
    </w:p>
    <w:p w14:paraId="1FDBB632" w14:textId="77777777" w:rsidR="003560C9" w:rsidRPr="00D53CEB" w:rsidRDefault="003560C9" w:rsidP="003560C9">
      <w:pPr>
        <w:ind w:left="3600" w:hanging="720"/>
        <w:jc w:val="both"/>
      </w:pPr>
    </w:p>
    <w:p w14:paraId="4AE953C3" w14:textId="77777777" w:rsidR="003560C9" w:rsidRDefault="003560C9" w:rsidP="003560C9">
      <w:pPr>
        <w:ind w:left="3600" w:hanging="720"/>
        <w:jc w:val="both"/>
      </w:pPr>
      <w:r w:rsidRPr="00D53CEB">
        <w:t>(b)</w:t>
      </w:r>
      <w:r w:rsidRPr="00D53CEB">
        <w:tab/>
        <w:t>take the representations referred to under paragraph (a) into account in proposing any change to a boundary;</w:t>
      </w:r>
    </w:p>
    <w:p w14:paraId="743F3122" w14:textId="77777777" w:rsidR="003560C9" w:rsidRPr="00D53CEB" w:rsidRDefault="003560C9" w:rsidP="003560C9">
      <w:pPr>
        <w:ind w:left="3600" w:hanging="720"/>
        <w:jc w:val="both"/>
      </w:pPr>
    </w:p>
    <w:p w14:paraId="374CE8A0" w14:textId="77777777" w:rsidR="003560C9" w:rsidRDefault="003560C9" w:rsidP="003560C9">
      <w:pPr>
        <w:ind w:left="3600" w:hanging="720"/>
        <w:jc w:val="both"/>
      </w:pPr>
      <w:r w:rsidRPr="00D53CEB">
        <w:t>(c)</w:t>
      </w:r>
      <w:r w:rsidRPr="00D53CEB">
        <w:tab/>
        <w:t>publish any proposed change to a boundary in the Gazette and by notice prescribe the date within which an elector or a political party registered with the Commission may object to the proposed change;</w:t>
      </w:r>
    </w:p>
    <w:p w14:paraId="1C8524F5" w14:textId="77777777" w:rsidR="003560C9" w:rsidRPr="00D53CEB" w:rsidRDefault="003560C9" w:rsidP="003560C9">
      <w:pPr>
        <w:ind w:left="3600" w:hanging="720"/>
        <w:jc w:val="both"/>
      </w:pPr>
    </w:p>
    <w:p w14:paraId="3AE794E2" w14:textId="77777777" w:rsidR="003560C9" w:rsidRDefault="003560C9" w:rsidP="003560C9">
      <w:pPr>
        <w:ind w:left="2160"/>
        <w:jc w:val="both"/>
      </w:pPr>
      <w:r w:rsidRPr="00D53CEB">
        <w:tab/>
        <w:t>(d)</w:t>
      </w:r>
      <w:r w:rsidRPr="00D53CEB">
        <w:tab/>
        <w:t>determine any objection; and</w:t>
      </w:r>
    </w:p>
    <w:p w14:paraId="61477FAF" w14:textId="77777777" w:rsidR="003560C9" w:rsidRDefault="003560C9" w:rsidP="003560C9">
      <w:pPr>
        <w:ind w:left="2160"/>
        <w:jc w:val="both"/>
      </w:pPr>
    </w:p>
    <w:p w14:paraId="0EFA57C2" w14:textId="77777777" w:rsidR="003560C9" w:rsidRDefault="003560C9" w:rsidP="003560C9">
      <w:pPr>
        <w:ind w:left="3600" w:hanging="720"/>
        <w:jc w:val="both"/>
      </w:pPr>
      <w:r w:rsidRPr="00D53CEB">
        <w:t>(e)</w:t>
      </w:r>
      <w:r w:rsidRPr="00D53CEB">
        <w:tab/>
        <w:t>await the final determination of any review brought in terms of subsection (4).</w:t>
      </w:r>
    </w:p>
    <w:p w14:paraId="350578A1" w14:textId="77777777" w:rsidR="003560C9" w:rsidRPr="00D53CEB" w:rsidRDefault="003560C9" w:rsidP="003560C9">
      <w:pPr>
        <w:ind w:left="3600" w:hanging="720"/>
        <w:jc w:val="both"/>
      </w:pPr>
    </w:p>
    <w:p w14:paraId="2DF19972" w14:textId="77777777" w:rsidR="003560C9" w:rsidRDefault="003560C9" w:rsidP="003560C9">
      <w:pPr>
        <w:ind w:left="2160" w:firstLine="720"/>
        <w:jc w:val="both"/>
      </w:pPr>
      <w:r w:rsidRPr="00D53CEB">
        <w:t>(2)</w:t>
      </w:r>
      <w:r w:rsidRPr="00D53CEB">
        <w:tab/>
        <w:t>An objection shall be made in the prescribed form setting out the grounds of the objection and lodged with the Director within the period prescribed in the notice.</w:t>
      </w:r>
    </w:p>
    <w:p w14:paraId="289885E7" w14:textId="77777777" w:rsidR="003560C9" w:rsidRPr="00D53CEB" w:rsidRDefault="003560C9" w:rsidP="003560C9">
      <w:pPr>
        <w:ind w:left="2160" w:firstLine="720"/>
        <w:jc w:val="both"/>
      </w:pPr>
    </w:p>
    <w:p w14:paraId="7E55C070" w14:textId="77777777" w:rsidR="003560C9" w:rsidRDefault="003560C9" w:rsidP="003560C9">
      <w:pPr>
        <w:jc w:val="both"/>
      </w:pPr>
      <w:r w:rsidRPr="00D53CEB">
        <w:tab/>
      </w:r>
      <w:r w:rsidRPr="00D53CEB">
        <w:tab/>
      </w:r>
      <w:r w:rsidRPr="00D53CEB">
        <w:tab/>
      </w:r>
      <w:r w:rsidRPr="00D53CEB">
        <w:tab/>
        <w:t>(3)</w:t>
      </w:r>
      <w:r w:rsidRPr="00D53CEB">
        <w:tab/>
        <w:t>On receipt of an objection, the Commission –</w:t>
      </w:r>
    </w:p>
    <w:p w14:paraId="3AC47A81" w14:textId="77777777" w:rsidR="003560C9" w:rsidRPr="00D53CEB" w:rsidRDefault="003560C9" w:rsidP="003560C9">
      <w:pPr>
        <w:jc w:val="both"/>
      </w:pPr>
    </w:p>
    <w:p w14:paraId="1E9C7D68" w14:textId="77777777" w:rsidR="003560C9" w:rsidRDefault="003560C9" w:rsidP="003560C9">
      <w:pPr>
        <w:jc w:val="both"/>
      </w:pPr>
      <w:r w:rsidRPr="00D53CEB">
        <w:tab/>
      </w:r>
      <w:r w:rsidRPr="00D53CEB">
        <w:tab/>
      </w:r>
      <w:r w:rsidRPr="00D53CEB">
        <w:tab/>
      </w:r>
      <w:r w:rsidRPr="00D53CEB">
        <w:tab/>
        <w:t>(a)</w:t>
      </w:r>
      <w:r w:rsidRPr="00D53CEB">
        <w:tab/>
        <w:t>shall consider the objection;</w:t>
      </w:r>
    </w:p>
    <w:p w14:paraId="7483D0C0" w14:textId="77777777" w:rsidR="003560C9" w:rsidRPr="00D53CEB" w:rsidRDefault="003560C9" w:rsidP="003560C9">
      <w:pPr>
        <w:jc w:val="both"/>
      </w:pPr>
    </w:p>
    <w:p w14:paraId="7FEC4B02" w14:textId="77777777" w:rsidR="003560C9" w:rsidRDefault="003560C9" w:rsidP="003560C9">
      <w:pPr>
        <w:ind w:left="3600" w:hanging="720"/>
        <w:jc w:val="both"/>
      </w:pPr>
      <w:r w:rsidRPr="00D53CEB">
        <w:t>(b)</w:t>
      </w:r>
      <w:r w:rsidRPr="00D53CEB">
        <w:tab/>
        <w:t>may uphold the objection and amend its proposed changes accordingly without republishing the new proposed changes in the Gazette;</w:t>
      </w:r>
      <w:r w:rsidRPr="00D53CEB">
        <w:tab/>
      </w:r>
    </w:p>
    <w:p w14:paraId="27069645" w14:textId="77777777" w:rsidR="003560C9" w:rsidRPr="00D53CEB" w:rsidRDefault="003560C9" w:rsidP="003560C9">
      <w:pPr>
        <w:ind w:left="3600" w:hanging="720"/>
        <w:jc w:val="both"/>
      </w:pPr>
      <w:r w:rsidRPr="00D53CEB">
        <w:tab/>
      </w:r>
      <w:r w:rsidRPr="00D53CEB">
        <w:tab/>
      </w:r>
    </w:p>
    <w:p w14:paraId="42BFA95C" w14:textId="77777777" w:rsidR="003560C9" w:rsidRPr="00D53CEB" w:rsidRDefault="003560C9" w:rsidP="003560C9">
      <w:pPr>
        <w:jc w:val="both"/>
      </w:pPr>
      <w:r w:rsidRPr="00D53CEB">
        <w:tab/>
      </w:r>
      <w:r w:rsidRPr="00D53CEB">
        <w:tab/>
      </w:r>
      <w:r w:rsidRPr="00D53CEB">
        <w:tab/>
      </w:r>
      <w:r w:rsidRPr="00D53CEB">
        <w:tab/>
        <w:t>(c)</w:t>
      </w:r>
      <w:r w:rsidRPr="00D53CEB">
        <w:tab/>
        <w:t>may reject the objection; and</w:t>
      </w:r>
    </w:p>
    <w:p w14:paraId="4DD11586" w14:textId="77777777" w:rsidR="003560C9" w:rsidRDefault="003560C9" w:rsidP="003560C9">
      <w:pPr>
        <w:ind w:left="3600" w:hanging="720"/>
        <w:jc w:val="both"/>
      </w:pPr>
      <w:r w:rsidRPr="00D53CEB">
        <w:t>(d)</w:t>
      </w:r>
      <w:r w:rsidRPr="00D53CEB">
        <w:tab/>
        <w:t>shall notify the objector of its decision and, if a refusal, the reasons for that refusal.</w:t>
      </w:r>
    </w:p>
    <w:p w14:paraId="69338D1E" w14:textId="77777777" w:rsidR="003560C9" w:rsidRPr="00D53CEB" w:rsidRDefault="003560C9" w:rsidP="003560C9">
      <w:pPr>
        <w:ind w:left="3600" w:hanging="720"/>
        <w:jc w:val="both"/>
      </w:pPr>
    </w:p>
    <w:p w14:paraId="79B9B720" w14:textId="77777777" w:rsidR="003560C9" w:rsidRDefault="003560C9" w:rsidP="003560C9">
      <w:pPr>
        <w:ind w:left="2160" w:firstLine="720"/>
        <w:jc w:val="both"/>
      </w:pPr>
      <w:r w:rsidRPr="00D53CEB">
        <w:t>(4)</w:t>
      </w:r>
      <w:r w:rsidRPr="00D53CEB">
        <w:tab/>
        <w:t>An elector or a political party registered with the Commission who is dissatisfied with the Commission’s decision under subsection (3) may, within a period of 7 days of the receipt of the notification, submit that decision to the High Court for review.”</w:t>
      </w:r>
    </w:p>
    <w:p w14:paraId="64B330CC" w14:textId="77777777" w:rsidR="003560C9" w:rsidRPr="00D53CEB" w:rsidRDefault="003560C9" w:rsidP="003560C9">
      <w:pPr>
        <w:ind w:left="2160" w:firstLine="720"/>
        <w:jc w:val="both"/>
      </w:pPr>
    </w:p>
    <w:p w14:paraId="4963EAC9" w14:textId="77777777" w:rsidR="003560C9" w:rsidRDefault="003560C9" w:rsidP="003560C9">
      <w:pPr>
        <w:spacing w:line="480" w:lineRule="auto"/>
        <w:jc w:val="both"/>
        <w:rPr>
          <w:sz w:val="28"/>
          <w:szCs w:val="28"/>
        </w:rPr>
      </w:pPr>
    </w:p>
    <w:p w14:paraId="52618C04" w14:textId="0D6A860E" w:rsidR="003560C9" w:rsidRDefault="003560C9">
      <w:pPr>
        <w:spacing w:line="480" w:lineRule="auto"/>
        <w:ind w:left="720" w:hanging="720"/>
        <w:jc w:val="both"/>
        <w:rPr>
          <w:sz w:val="28"/>
          <w:szCs w:val="28"/>
        </w:rPr>
      </w:pPr>
      <w:r>
        <w:rPr>
          <w:sz w:val="28"/>
          <w:szCs w:val="28"/>
        </w:rPr>
        <w:t>[5]</w:t>
      </w:r>
      <w:r>
        <w:rPr>
          <w:sz w:val="28"/>
          <w:szCs w:val="28"/>
        </w:rPr>
        <w:tab/>
        <w:t>The kernel of the objection to jurisdiction is that the applicants have</w:t>
      </w:r>
      <w:r w:rsidR="00DE0DB6">
        <w:rPr>
          <w:sz w:val="28"/>
          <w:szCs w:val="28"/>
        </w:rPr>
        <w:t xml:space="preserve"> failed to comply </w:t>
      </w:r>
      <w:r>
        <w:rPr>
          <w:sz w:val="28"/>
          <w:szCs w:val="28"/>
        </w:rPr>
        <w:t xml:space="preserve">with </w:t>
      </w:r>
      <w:r w:rsidR="00A6029D">
        <w:rPr>
          <w:sz w:val="28"/>
          <w:szCs w:val="28"/>
        </w:rPr>
        <w:t>sub-</w:t>
      </w:r>
      <w:r>
        <w:rPr>
          <w:sz w:val="28"/>
          <w:szCs w:val="28"/>
        </w:rPr>
        <w:t xml:space="preserve">section (4) which provides for a review application in </w:t>
      </w:r>
      <w:r>
        <w:rPr>
          <w:sz w:val="28"/>
          <w:szCs w:val="28"/>
        </w:rPr>
        <w:lastRenderedPageBreak/>
        <w:t xml:space="preserve">the High Court within seven days of receipt of the </w:t>
      </w:r>
      <w:r w:rsidR="00DE0DB6">
        <w:rPr>
          <w:sz w:val="28"/>
          <w:szCs w:val="28"/>
        </w:rPr>
        <w:t xml:space="preserve">decision </w:t>
      </w:r>
      <w:r>
        <w:rPr>
          <w:sz w:val="28"/>
          <w:szCs w:val="28"/>
        </w:rPr>
        <w:t>rejecting an objection.</w:t>
      </w:r>
    </w:p>
    <w:p w14:paraId="63873114" w14:textId="77777777" w:rsidR="00FA379C" w:rsidRDefault="00FA379C" w:rsidP="00FA379C">
      <w:pPr>
        <w:spacing w:line="480" w:lineRule="auto"/>
        <w:ind w:left="720" w:hanging="720"/>
        <w:jc w:val="both"/>
        <w:rPr>
          <w:sz w:val="28"/>
          <w:szCs w:val="28"/>
        </w:rPr>
      </w:pPr>
    </w:p>
    <w:p w14:paraId="74EF9422" w14:textId="794D44D3" w:rsidR="004A2C2F" w:rsidRDefault="003560C9" w:rsidP="004A2C2F">
      <w:pPr>
        <w:spacing w:line="480" w:lineRule="auto"/>
        <w:ind w:left="720" w:hanging="720"/>
        <w:jc w:val="both"/>
        <w:rPr>
          <w:sz w:val="28"/>
          <w:szCs w:val="28"/>
        </w:rPr>
      </w:pPr>
      <w:r>
        <w:rPr>
          <w:sz w:val="28"/>
          <w:szCs w:val="28"/>
        </w:rPr>
        <w:t>[6]</w:t>
      </w:r>
      <w:r>
        <w:rPr>
          <w:sz w:val="28"/>
          <w:szCs w:val="28"/>
        </w:rPr>
        <w:tab/>
        <w:t xml:space="preserve">During oral argument, counsel for the IEC and for the political parties who raised the point of jurisdiction retreated from their initial positions in their written submissions that this Court </w:t>
      </w:r>
      <w:r w:rsidR="00B44790">
        <w:rPr>
          <w:sz w:val="28"/>
          <w:szCs w:val="28"/>
        </w:rPr>
        <w:t xml:space="preserve">has no jurisdiction at all to </w:t>
      </w:r>
      <w:r>
        <w:rPr>
          <w:sz w:val="28"/>
          <w:szCs w:val="28"/>
        </w:rPr>
        <w:t>entertain a constitutional complaint where Parliament ha</w:t>
      </w:r>
      <w:r w:rsidR="00B44790">
        <w:rPr>
          <w:sz w:val="28"/>
          <w:szCs w:val="28"/>
        </w:rPr>
        <w:t>s</w:t>
      </w:r>
      <w:r>
        <w:rPr>
          <w:sz w:val="28"/>
          <w:szCs w:val="28"/>
        </w:rPr>
        <w:t xml:space="preserve"> provided an internal remedy.  They had no choice but to concede, as they all eventually conceded, that the applicants were impugning the</w:t>
      </w:r>
      <w:r w:rsidR="00E7684A">
        <w:rPr>
          <w:sz w:val="28"/>
          <w:szCs w:val="28"/>
        </w:rPr>
        <w:t xml:space="preserve"> IEC’s conduct in relation to </w:t>
      </w:r>
      <w:r>
        <w:rPr>
          <w:sz w:val="28"/>
          <w:szCs w:val="28"/>
        </w:rPr>
        <w:t xml:space="preserve">performance of </w:t>
      </w:r>
      <w:r w:rsidR="00E7684A">
        <w:rPr>
          <w:sz w:val="28"/>
          <w:szCs w:val="28"/>
        </w:rPr>
        <w:t xml:space="preserve">its constitutional </w:t>
      </w:r>
      <w:r>
        <w:rPr>
          <w:sz w:val="28"/>
          <w:szCs w:val="28"/>
        </w:rPr>
        <w:t>functions.</w:t>
      </w:r>
    </w:p>
    <w:p w14:paraId="4EDC5A26" w14:textId="77777777" w:rsidR="00FA379C" w:rsidRDefault="00FA379C" w:rsidP="004A2C2F">
      <w:pPr>
        <w:spacing w:line="480" w:lineRule="auto"/>
        <w:ind w:left="720" w:hanging="720"/>
        <w:jc w:val="both"/>
        <w:rPr>
          <w:sz w:val="28"/>
          <w:szCs w:val="28"/>
        </w:rPr>
      </w:pPr>
    </w:p>
    <w:p w14:paraId="5596C872" w14:textId="1F5967DB" w:rsidR="003560C9" w:rsidRDefault="003560C9" w:rsidP="003560C9">
      <w:pPr>
        <w:spacing w:line="480" w:lineRule="auto"/>
        <w:ind w:left="720" w:hanging="720"/>
        <w:jc w:val="both"/>
        <w:rPr>
          <w:sz w:val="28"/>
          <w:szCs w:val="28"/>
        </w:rPr>
      </w:pPr>
      <w:r>
        <w:rPr>
          <w:sz w:val="28"/>
          <w:szCs w:val="28"/>
        </w:rPr>
        <w:t>[7]</w:t>
      </w:r>
      <w:r>
        <w:rPr>
          <w:sz w:val="28"/>
          <w:szCs w:val="28"/>
        </w:rPr>
        <w:tab/>
        <w:t>Thus, applicants’ case is in essence a rule of law review</w:t>
      </w:r>
      <w:r>
        <w:rPr>
          <w:rStyle w:val="FootnoteReference"/>
          <w:sz w:val="28"/>
          <w:szCs w:val="28"/>
        </w:rPr>
        <w:footnoteReference w:id="2"/>
      </w:r>
      <w:r>
        <w:rPr>
          <w:sz w:val="28"/>
          <w:szCs w:val="28"/>
        </w:rPr>
        <w:t xml:space="preserve"> and not an ordinary review that is governed by the principles of the common law.  Failure by the IEC to perform its functions according to the prescripts of sections 67(2) and (3)</w:t>
      </w:r>
      <w:r w:rsidR="00E02C14">
        <w:rPr>
          <w:sz w:val="28"/>
          <w:szCs w:val="28"/>
        </w:rPr>
        <w:t xml:space="preserve"> is liable to be declared null and void in terms of section 2 of the Constitution</w:t>
      </w:r>
      <w:r>
        <w:rPr>
          <w:sz w:val="28"/>
          <w:szCs w:val="28"/>
        </w:rPr>
        <w:t xml:space="preserve">.   </w:t>
      </w:r>
      <w:r w:rsidR="00E02C14">
        <w:rPr>
          <w:sz w:val="28"/>
          <w:szCs w:val="28"/>
        </w:rPr>
        <w:t xml:space="preserve">By elevating </w:t>
      </w:r>
      <w:r>
        <w:rPr>
          <w:sz w:val="28"/>
          <w:szCs w:val="28"/>
        </w:rPr>
        <w:t>the Constitution above all laws and enjoining this Court to declare laws void and exercise of public power invalid</w:t>
      </w:r>
      <w:r w:rsidR="00623F7B">
        <w:rPr>
          <w:sz w:val="28"/>
          <w:szCs w:val="28"/>
        </w:rPr>
        <w:t>,</w:t>
      </w:r>
      <w:r>
        <w:rPr>
          <w:sz w:val="28"/>
          <w:szCs w:val="28"/>
        </w:rPr>
        <w:t xml:space="preserve"> where inconsistent with</w:t>
      </w:r>
      <w:r w:rsidR="00E02C14">
        <w:rPr>
          <w:sz w:val="28"/>
          <w:szCs w:val="28"/>
        </w:rPr>
        <w:t xml:space="preserve"> it, section 2 encapsulate</w:t>
      </w:r>
      <w:r w:rsidR="006F7935">
        <w:rPr>
          <w:sz w:val="28"/>
          <w:szCs w:val="28"/>
        </w:rPr>
        <w:t>s</w:t>
      </w:r>
      <w:r w:rsidR="00E02C14">
        <w:rPr>
          <w:sz w:val="28"/>
          <w:szCs w:val="28"/>
        </w:rPr>
        <w:t xml:space="preserve"> the doctrine of the rule of law which enjoins compliance with the Constitution. </w:t>
      </w:r>
    </w:p>
    <w:p w14:paraId="1494A891" w14:textId="77777777" w:rsidR="003560C9" w:rsidRDefault="003560C9" w:rsidP="003560C9">
      <w:pPr>
        <w:spacing w:line="480" w:lineRule="auto"/>
        <w:ind w:left="720" w:hanging="720"/>
        <w:jc w:val="both"/>
        <w:rPr>
          <w:sz w:val="28"/>
          <w:szCs w:val="28"/>
        </w:rPr>
      </w:pPr>
    </w:p>
    <w:p w14:paraId="26136C6A" w14:textId="08EF9B2A" w:rsidR="003560C9" w:rsidRDefault="003560C9" w:rsidP="003560C9">
      <w:pPr>
        <w:spacing w:line="480" w:lineRule="auto"/>
        <w:ind w:left="720" w:hanging="720"/>
        <w:jc w:val="both"/>
        <w:rPr>
          <w:sz w:val="28"/>
          <w:szCs w:val="28"/>
        </w:rPr>
      </w:pPr>
      <w:r>
        <w:rPr>
          <w:sz w:val="28"/>
          <w:szCs w:val="28"/>
        </w:rPr>
        <w:lastRenderedPageBreak/>
        <w:t>[8]</w:t>
      </w:r>
      <w:r>
        <w:rPr>
          <w:sz w:val="28"/>
          <w:szCs w:val="28"/>
        </w:rPr>
        <w:tab/>
        <w:t xml:space="preserve">This proposition is self-evident and not a novelty.  It has also been propounded by </w:t>
      </w:r>
      <w:proofErr w:type="spellStart"/>
      <w:r>
        <w:rPr>
          <w:sz w:val="28"/>
          <w:szCs w:val="28"/>
        </w:rPr>
        <w:t>Mogoeng</w:t>
      </w:r>
      <w:proofErr w:type="spellEnd"/>
      <w:r>
        <w:rPr>
          <w:sz w:val="28"/>
          <w:szCs w:val="28"/>
        </w:rPr>
        <w:t xml:space="preserve"> CJ of the Constitutional Court of South Africa</w:t>
      </w:r>
      <w:r w:rsidR="006769AB">
        <w:rPr>
          <w:sz w:val="28"/>
          <w:szCs w:val="28"/>
        </w:rPr>
        <w:t>, as he then was,</w:t>
      </w:r>
      <w:r>
        <w:rPr>
          <w:sz w:val="28"/>
          <w:szCs w:val="28"/>
        </w:rPr>
        <w:t xml:space="preserve"> in these terms</w:t>
      </w:r>
      <w:r>
        <w:rPr>
          <w:rStyle w:val="FootnoteReference"/>
          <w:sz w:val="28"/>
          <w:szCs w:val="28"/>
        </w:rPr>
        <w:footnoteReference w:id="3"/>
      </w:r>
      <w:r>
        <w:rPr>
          <w:sz w:val="28"/>
          <w:szCs w:val="28"/>
        </w:rPr>
        <w:t>:</w:t>
      </w:r>
    </w:p>
    <w:p w14:paraId="5232D8A7" w14:textId="77777777" w:rsidR="003560C9" w:rsidRPr="00CE62A3" w:rsidRDefault="003560C9" w:rsidP="003560C9">
      <w:pPr>
        <w:pStyle w:val="NormalWeb"/>
        <w:shd w:val="clear" w:color="auto" w:fill="FFFFFF"/>
        <w:spacing w:before="144" w:beforeAutospacing="0" w:after="288" w:afterAutospacing="0"/>
        <w:ind w:left="2160"/>
        <w:jc w:val="both"/>
        <w:rPr>
          <w:color w:val="242121"/>
        </w:rPr>
      </w:pPr>
      <w:r w:rsidRPr="00CE62A3">
        <w:t>“</w:t>
      </w:r>
      <w:r w:rsidRPr="00CE62A3">
        <w:rPr>
          <w:color w:val="000000"/>
          <w:lang w:val="en-GB"/>
        </w:rPr>
        <w:t>[123] </w:t>
      </w:r>
      <w:r w:rsidRPr="00CE62A3">
        <w:rPr>
          <w:color w:val="242121"/>
          <w:lang w:val="en-GB"/>
        </w:rPr>
        <w:t>The rule of law essentially requires of the IEC to act only in accordance with the law.  And section 1(c) of the Constitution provides:</w:t>
      </w:r>
    </w:p>
    <w:p w14:paraId="03AE56B6" w14:textId="77777777" w:rsidR="003560C9" w:rsidRPr="00CE62A3" w:rsidRDefault="003560C9" w:rsidP="003560C9">
      <w:pPr>
        <w:pStyle w:val="NormalWeb"/>
        <w:shd w:val="clear" w:color="auto" w:fill="FFFFFF"/>
        <w:spacing w:before="144" w:beforeAutospacing="0" w:after="288" w:afterAutospacing="0"/>
        <w:ind w:left="2131"/>
        <w:jc w:val="both"/>
        <w:rPr>
          <w:color w:val="242121"/>
        </w:rPr>
      </w:pPr>
      <w:r w:rsidRPr="00CE62A3">
        <w:rPr>
          <w:color w:val="242121"/>
        </w:rPr>
        <w:t>“The Republic of South Africa is one, sovereign, democratic state founded on the following values:</w:t>
      </w:r>
    </w:p>
    <w:p w14:paraId="52414800" w14:textId="77777777" w:rsidR="003560C9" w:rsidRPr="00CE62A3" w:rsidRDefault="003560C9" w:rsidP="003560C9">
      <w:pPr>
        <w:pStyle w:val="NormalWeb"/>
        <w:shd w:val="clear" w:color="auto" w:fill="FFFFFF"/>
        <w:spacing w:before="144" w:beforeAutospacing="0" w:after="288" w:afterAutospacing="0"/>
        <w:ind w:left="2102" w:firstLine="29"/>
        <w:jc w:val="both"/>
        <w:rPr>
          <w:color w:val="242121"/>
        </w:rPr>
      </w:pPr>
      <w:r w:rsidRPr="00CE62A3">
        <w:rPr>
          <w:color w:val="242121"/>
        </w:rPr>
        <w:t>. . .</w:t>
      </w:r>
    </w:p>
    <w:p w14:paraId="2D741792" w14:textId="77777777" w:rsidR="003560C9" w:rsidRPr="00CE62A3" w:rsidRDefault="003560C9" w:rsidP="003560C9">
      <w:pPr>
        <w:pStyle w:val="NormalWeb"/>
        <w:shd w:val="clear" w:color="auto" w:fill="FFFFFF"/>
        <w:spacing w:before="144" w:beforeAutospacing="0" w:after="288" w:afterAutospacing="0"/>
        <w:ind w:left="2073" w:firstLine="29"/>
        <w:jc w:val="both"/>
        <w:rPr>
          <w:color w:val="242121"/>
        </w:rPr>
      </w:pPr>
      <w:r w:rsidRPr="00CE62A3">
        <w:rPr>
          <w:color w:val="242121"/>
        </w:rPr>
        <w:t>(c)        Supremacy of the Constitution and the rule of law.”</w:t>
      </w:r>
    </w:p>
    <w:p w14:paraId="59B90146" w14:textId="77777777" w:rsidR="003560C9" w:rsidRPr="00CE62A3" w:rsidRDefault="003560C9" w:rsidP="003560C9">
      <w:pPr>
        <w:pStyle w:val="NormalWeb"/>
        <w:shd w:val="clear" w:color="auto" w:fill="FFFFFF"/>
        <w:spacing w:before="144" w:beforeAutospacing="0" w:after="288" w:afterAutospacing="0"/>
        <w:ind w:left="2030" w:firstLine="43"/>
        <w:jc w:val="both"/>
        <w:rPr>
          <w:color w:val="242121"/>
        </w:rPr>
      </w:pPr>
      <w:r w:rsidRPr="00CE62A3">
        <w:rPr>
          <w:color w:val="242121"/>
        </w:rPr>
        <w:t>And section 2 of the Constitution reads:</w:t>
      </w:r>
    </w:p>
    <w:p w14:paraId="2972ADFA" w14:textId="77777777" w:rsidR="003560C9" w:rsidRPr="00CE62A3" w:rsidRDefault="003560C9" w:rsidP="003560C9">
      <w:pPr>
        <w:pStyle w:val="NormalWeb"/>
        <w:shd w:val="clear" w:color="auto" w:fill="FFFFFF"/>
        <w:spacing w:before="144" w:beforeAutospacing="0" w:after="288" w:afterAutospacing="0"/>
        <w:ind w:left="2030"/>
        <w:jc w:val="both"/>
        <w:rPr>
          <w:color w:val="242121"/>
        </w:rPr>
      </w:pPr>
      <w:r w:rsidRPr="00CE62A3">
        <w:rPr>
          <w:color w:val="242121"/>
        </w:rPr>
        <w:t>“This Constitution is the supreme law of the Republic; law or conduct inconsistent with it is invalid, and the obligations imposed by it must be fulfilled.”</w:t>
      </w:r>
    </w:p>
    <w:p w14:paraId="2F89179A" w14:textId="77777777" w:rsidR="003560C9" w:rsidRPr="00CE62A3" w:rsidRDefault="003560C9" w:rsidP="003560C9">
      <w:pPr>
        <w:pStyle w:val="NormalWeb"/>
        <w:shd w:val="clear" w:color="auto" w:fill="FFFFFF"/>
        <w:spacing w:before="144" w:beforeAutospacing="0" w:after="288" w:afterAutospacing="0"/>
        <w:ind w:left="2030"/>
        <w:jc w:val="both"/>
        <w:rPr>
          <w:color w:val="242121"/>
        </w:rPr>
      </w:pPr>
      <w:r w:rsidRPr="00CE62A3">
        <w:rPr>
          <w:color w:val="000000"/>
        </w:rPr>
        <w:t>[124] </w:t>
      </w:r>
      <w:r w:rsidRPr="00CE62A3">
        <w:rPr>
          <w:color w:val="242121"/>
        </w:rPr>
        <w:t>Unlawful conduct in relation to the compilation of the national common voters’ roll contemplated in section 1(d) of the Constitution, amounts to a breach of the rule of law that is embedded in our Constitution by section 1(c), as the nerve-centre of our constitutional democracy.  The IEC acted in conflict with constitutionally compliant and unchallenged legislation.  In so doing it acted inconsistently with the constitutional prescript of legality and the rule of law, which was necessarily imported to and rooted in our Constitution in terms of section 1(c).</w:t>
      </w:r>
    </w:p>
    <w:p w14:paraId="395B493C" w14:textId="77777777" w:rsidR="003560C9" w:rsidRDefault="003560C9" w:rsidP="003560C9">
      <w:pPr>
        <w:pStyle w:val="NormalWeb"/>
        <w:shd w:val="clear" w:color="auto" w:fill="FFFFFF"/>
        <w:spacing w:before="144" w:beforeAutospacing="0" w:after="288" w:afterAutospacing="0"/>
        <w:ind w:left="2030"/>
        <w:jc w:val="both"/>
        <w:rPr>
          <w:color w:val="000000"/>
        </w:rPr>
      </w:pPr>
      <w:r>
        <w:rPr>
          <w:color w:val="000000"/>
        </w:rPr>
        <w:t>……………..</w:t>
      </w:r>
    </w:p>
    <w:p w14:paraId="7E1557E9" w14:textId="77777777" w:rsidR="003560C9" w:rsidRPr="00CE62A3" w:rsidRDefault="003560C9" w:rsidP="003560C9">
      <w:pPr>
        <w:pStyle w:val="NormalWeb"/>
        <w:shd w:val="clear" w:color="auto" w:fill="FFFFFF"/>
        <w:spacing w:before="144" w:beforeAutospacing="0" w:after="288" w:afterAutospacing="0"/>
        <w:ind w:left="2030"/>
        <w:jc w:val="both"/>
        <w:rPr>
          <w:color w:val="242121"/>
        </w:rPr>
      </w:pPr>
      <w:r w:rsidRPr="00CE62A3">
        <w:rPr>
          <w:color w:val="000000"/>
        </w:rPr>
        <w:t>[129] </w:t>
      </w:r>
      <w:r w:rsidRPr="00CE62A3">
        <w:rPr>
          <w:color w:val="242121"/>
        </w:rPr>
        <w:t xml:space="preserve">When conduct is self-evidently inconsistent with a constitutional provision, section 2 of the Constitution, which reinforces its supremacy, declares in unequivocal terms that such conduct is invalid.  A declaration of invalidity is thus a consequence of inconsistency of any conduct with our supreme law.  It is in this context that the unlawfulness of the IEC’s conduct in relation to the registration of voters and the compilation of the national common voters’ roll must be viewed.  This Court may not do anything to suggest, albeit inadvertently, that conduct that is inconsistent with a constitutional imperative might at times be exempted from being so declared, for fear of any future attempt to take unfair advantage of an otherwise correctly stated principle.  This Court is well-empowered by section 173 of the Constitution to regulate its own process “taking into account the interests of justice.”  And that is how any illegitimate </w:t>
      </w:r>
      <w:r w:rsidRPr="00CE62A3">
        <w:rPr>
          <w:color w:val="242121"/>
        </w:rPr>
        <w:lastRenderedPageBreak/>
        <w:t>exploitation of the correct exposition of our constitutional jurisprudence would have to be dealt with.</w:t>
      </w:r>
    </w:p>
    <w:p w14:paraId="434790D1" w14:textId="7B290725" w:rsidR="003560C9" w:rsidRDefault="003560C9" w:rsidP="006769AB">
      <w:pPr>
        <w:pStyle w:val="NormalWeb"/>
        <w:shd w:val="clear" w:color="auto" w:fill="FFFFFF"/>
        <w:spacing w:before="144" w:beforeAutospacing="0" w:after="288" w:afterAutospacing="0"/>
        <w:ind w:left="2030"/>
        <w:jc w:val="both"/>
        <w:rPr>
          <w:color w:val="242121"/>
        </w:rPr>
      </w:pPr>
      <w:r w:rsidRPr="00CE62A3">
        <w:rPr>
          <w:color w:val="000000"/>
        </w:rPr>
        <w:t>[130] </w:t>
      </w:r>
      <w:r w:rsidRPr="00CE62A3">
        <w:rPr>
          <w:color w:val="242121"/>
        </w:rPr>
        <w:t>The rule of law is one of the cornerstones of our constitutional democracy.  And it is crucial for the survival and vibrancy of our democracy that the observance of the rule of law be given the prominence it deserves in our constitutional design.  To this end, no court should be loath to declare conduct that either has no legal basis or constitutes a disregard for the law, as inconsistent with legality and the foundational value of the rule of law.  Courts are obliged to do so.  To shy away from this duty would require a sound jurisprudential basis.  Since none exists in this matter, it is only proper that we do the inevitable.”</w:t>
      </w:r>
    </w:p>
    <w:p w14:paraId="70042208" w14:textId="77777777" w:rsidR="00A6473A" w:rsidRDefault="00A6473A" w:rsidP="006769AB">
      <w:pPr>
        <w:pStyle w:val="NormalWeb"/>
        <w:shd w:val="clear" w:color="auto" w:fill="FFFFFF"/>
        <w:spacing w:before="144" w:beforeAutospacing="0" w:after="288" w:afterAutospacing="0"/>
        <w:ind w:left="2030"/>
        <w:jc w:val="both"/>
        <w:rPr>
          <w:color w:val="242121"/>
          <w:sz w:val="28"/>
          <w:szCs w:val="28"/>
        </w:rPr>
      </w:pPr>
    </w:p>
    <w:p w14:paraId="53164501" w14:textId="699A7607" w:rsidR="003560C9" w:rsidRDefault="003560C9" w:rsidP="00A6029D">
      <w:pPr>
        <w:pStyle w:val="NormalWeb"/>
        <w:shd w:val="clear" w:color="auto" w:fill="FFFFFF"/>
        <w:spacing w:before="144" w:beforeAutospacing="0" w:after="288" w:afterAutospacing="0" w:line="480" w:lineRule="atLeast"/>
        <w:ind w:left="720" w:hanging="720"/>
        <w:jc w:val="both"/>
        <w:rPr>
          <w:sz w:val="28"/>
          <w:szCs w:val="28"/>
        </w:rPr>
      </w:pPr>
      <w:r>
        <w:rPr>
          <w:color w:val="242121"/>
          <w:sz w:val="28"/>
          <w:szCs w:val="28"/>
        </w:rPr>
        <w:t>[9]</w:t>
      </w:r>
      <w:r>
        <w:rPr>
          <w:color w:val="242121"/>
          <w:sz w:val="28"/>
          <w:szCs w:val="28"/>
        </w:rPr>
        <w:tab/>
      </w:r>
      <w:r>
        <w:rPr>
          <w:sz w:val="28"/>
          <w:szCs w:val="28"/>
        </w:rPr>
        <w:t xml:space="preserve">Thus, the remedy for non-compliance with the Constitution in the exercise of public power and performance of constitutional functions fall within the exclusive jurisdiction of this Court as </w:t>
      </w:r>
      <w:r w:rsidR="006F7935">
        <w:rPr>
          <w:sz w:val="28"/>
          <w:szCs w:val="28"/>
        </w:rPr>
        <w:t>the</w:t>
      </w:r>
      <w:r>
        <w:rPr>
          <w:sz w:val="28"/>
          <w:szCs w:val="28"/>
        </w:rPr>
        <w:t xml:space="preserve"> sentinel on the </w:t>
      </w:r>
      <w:r w:rsidRPr="007726A2">
        <w:rPr>
          <w:i/>
          <w:iCs/>
          <w:sz w:val="28"/>
          <w:szCs w:val="28"/>
        </w:rPr>
        <w:t xml:space="preserve">qui </w:t>
      </w:r>
      <w:proofErr w:type="spellStart"/>
      <w:r w:rsidRPr="007726A2">
        <w:rPr>
          <w:i/>
          <w:iCs/>
          <w:sz w:val="28"/>
          <w:szCs w:val="28"/>
        </w:rPr>
        <w:t>vive</w:t>
      </w:r>
      <w:proofErr w:type="spellEnd"/>
      <w:r>
        <w:rPr>
          <w:sz w:val="28"/>
          <w:szCs w:val="28"/>
        </w:rPr>
        <w:t>.  A declaration of constitutional invalidity is a remedy that citizens can get from this Court</w:t>
      </w:r>
      <w:r w:rsidR="006F7935">
        <w:rPr>
          <w:sz w:val="28"/>
          <w:szCs w:val="28"/>
        </w:rPr>
        <w:t xml:space="preserve"> only</w:t>
      </w:r>
      <w:r>
        <w:rPr>
          <w:sz w:val="28"/>
          <w:szCs w:val="28"/>
        </w:rPr>
        <w:t>.   The mainstay of the respondents’ contentions is that the scheme of section 153</w:t>
      </w:r>
      <w:r w:rsidR="006F7935">
        <w:rPr>
          <w:sz w:val="28"/>
          <w:szCs w:val="28"/>
        </w:rPr>
        <w:t xml:space="preserve"> is</w:t>
      </w:r>
      <w:r>
        <w:rPr>
          <w:sz w:val="28"/>
          <w:szCs w:val="28"/>
        </w:rPr>
        <w:t xml:space="preserve"> to lodge objections, and only</w:t>
      </w:r>
      <w:r w:rsidR="006F7935">
        <w:rPr>
          <w:sz w:val="28"/>
          <w:szCs w:val="28"/>
        </w:rPr>
        <w:t xml:space="preserve">, </w:t>
      </w:r>
      <w:r>
        <w:rPr>
          <w:sz w:val="28"/>
          <w:szCs w:val="28"/>
        </w:rPr>
        <w:t>thereafter</w:t>
      </w:r>
      <w:r w:rsidR="006F7935">
        <w:rPr>
          <w:sz w:val="28"/>
          <w:szCs w:val="28"/>
        </w:rPr>
        <w:t xml:space="preserve">, </w:t>
      </w:r>
      <w:r>
        <w:rPr>
          <w:sz w:val="28"/>
          <w:szCs w:val="28"/>
        </w:rPr>
        <w:t>take the decision on judicial review</w:t>
      </w:r>
      <w:r w:rsidR="006F7935">
        <w:rPr>
          <w:sz w:val="28"/>
          <w:szCs w:val="28"/>
        </w:rPr>
        <w:t xml:space="preserve"> in accordance </w:t>
      </w:r>
      <w:r>
        <w:rPr>
          <w:sz w:val="28"/>
          <w:szCs w:val="28"/>
        </w:rPr>
        <w:t>with the principles of subsidiary and constitutional avoidance.</w:t>
      </w:r>
    </w:p>
    <w:p w14:paraId="65AEE4C0" w14:textId="77777777" w:rsidR="00A6473A" w:rsidRDefault="00A6473A" w:rsidP="00A6029D">
      <w:pPr>
        <w:pStyle w:val="NormalWeb"/>
        <w:shd w:val="clear" w:color="auto" w:fill="FFFFFF"/>
        <w:spacing w:before="144" w:beforeAutospacing="0" w:after="288" w:afterAutospacing="0" w:line="480" w:lineRule="atLeast"/>
        <w:ind w:left="720" w:hanging="720"/>
        <w:jc w:val="both"/>
        <w:rPr>
          <w:sz w:val="28"/>
          <w:szCs w:val="28"/>
        </w:rPr>
      </w:pPr>
    </w:p>
    <w:p w14:paraId="2D86C1D4" w14:textId="66BCEF7A" w:rsidR="003560C9" w:rsidRDefault="003560C9" w:rsidP="006F7935">
      <w:pPr>
        <w:pStyle w:val="NormalWeb"/>
        <w:shd w:val="clear" w:color="auto" w:fill="FFFFFF"/>
        <w:spacing w:before="144" w:beforeAutospacing="0" w:after="288" w:afterAutospacing="0" w:line="480" w:lineRule="atLeast"/>
        <w:ind w:left="720" w:hanging="720"/>
        <w:jc w:val="both"/>
        <w:rPr>
          <w:sz w:val="28"/>
          <w:szCs w:val="28"/>
        </w:rPr>
      </w:pPr>
      <w:r>
        <w:rPr>
          <w:sz w:val="28"/>
          <w:szCs w:val="28"/>
        </w:rPr>
        <w:t>[10]</w:t>
      </w:r>
      <w:r>
        <w:rPr>
          <w:sz w:val="28"/>
          <w:szCs w:val="28"/>
        </w:rPr>
        <w:tab/>
        <w:t>The respondents are wrong in their contentions that section 153 obliges the applicants to have first raised the alleged unconstitutional behaviour by the IEC before the IEC and only come to this Court if the IEC rejected the compl</w:t>
      </w:r>
      <w:r w:rsidR="006769AB">
        <w:rPr>
          <w:sz w:val="28"/>
          <w:szCs w:val="28"/>
        </w:rPr>
        <w:t>ai</w:t>
      </w:r>
      <w:r>
        <w:rPr>
          <w:sz w:val="28"/>
          <w:szCs w:val="28"/>
        </w:rPr>
        <w:t>nt.</w:t>
      </w:r>
      <w:r w:rsidR="006F7935">
        <w:rPr>
          <w:sz w:val="28"/>
          <w:szCs w:val="28"/>
        </w:rPr>
        <w:t xml:space="preserve"> </w:t>
      </w:r>
      <w:r>
        <w:rPr>
          <w:sz w:val="28"/>
          <w:szCs w:val="28"/>
        </w:rPr>
        <w:t xml:space="preserve">They are wrong for at least two reasons.  </w:t>
      </w:r>
      <w:r w:rsidR="006F7935">
        <w:rPr>
          <w:sz w:val="28"/>
          <w:szCs w:val="28"/>
        </w:rPr>
        <w:t xml:space="preserve">Firstly, </w:t>
      </w:r>
      <w:r>
        <w:rPr>
          <w:sz w:val="28"/>
          <w:szCs w:val="28"/>
        </w:rPr>
        <w:t xml:space="preserve">the type of objections provided for in section 153 do not include complaints that the IEC has violated the provisions of the Constitution or the law. </w:t>
      </w:r>
      <w:r w:rsidR="006F7935">
        <w:rPr>
          <w:sz w:val="28"/>
          <w:szCs w:val="28"/>
        </w:rPr>
        <w:t xml:space="preserve"> The objection must be related to proposed changes of constituency boundaries and not the final changes.</w:t>
      </w:r>
      <w:r>
        <w:rPr>
          <w:sz w:val="28"/>
          <w:szCs w:val="28"/>
        </w:rPr>
        <w:t xml:space="preserve"> Secondly, in its letter</w:t>
      </w:r>
      <w:r w:rsidR="006F7935">
        <w:rPr>
          <w:sz w:val="28"/>
          <w:szCs w:val="28"/>
        </w:rPr>
        <w:t xml:space="preserve"> dated 25</w:t>
      </w:r>
      <w:r w:rsidR="006F7935" w:rsidRPr="00513682">
        <w:rPr>
          <w:sz w:val="28"/>
          <w:szCs w:val="28"/>
          <w:vertAlign w:val="superscript"/>
        </w:rPr>
        <w:t>th</w:t>
      </w:r>
      <w:r w:rsidR="006F7935">
        <w:rPr>
          <w:sz w:val="28"/>
          <w:szCs w:val="28"/>
        </w:rPr>
        <w:t xml:space="preserve"> March 2022</w:t>
      </w:r>
      <w:r>
        <w:rPr>
          <w:sz w:val="28"/>
          <w:szCs w:val="28"/>
        </w:rPr>
        <w:t xml:space="preserve"> rejecting the objections lodged by the </w:t>
      </w:r>
      <w:r w:rsidR="000E66FB">
        <w:rPr>
          <w:sz w:val="28"/>
          <w:szCs w:val="28"/>
        </w:rPr>
        <w:t xml:space="preserve">first </w:t>
      </w:r>
      <w:r>
        <w:rPr>
          <w:sz w:val="28"/>
          <w:szCs w:val="28"/>
        </w:rPr>
        <w:t>applicant, the IEC</w:t>
      </w:r>
      <w:r w:rsidR="00A6029D">
        <w:rPr>
          <w:sz w:val="28"/>
          <w:szCs w:val="28"/>
        </w:rPr>
        <w:t xml:space="preserve"> said that the</w:t>
      </w:r>
      <w:r>
        <w:rPr>
          <w:sz w:val="28"/>
          <w:szCs w:val="28"/>
        </w:rPr>
        <w:t xml:space="preserve"> </w:t>
      </w:r>
      <w:r>
        <w:rPr>
          <w:sz w:val="28"/>
          <w:szCs w:val="28"/>
        </w:rPr>
        <w:lastRenderedPageBreak/>
        <w:t xml:space="preserve">objections do not fall within the purview of </w:t>
      </w:r>
      <w:r w:rsidR="00626882">
        <w:rPr>
          <w:sz w:val="28"/>
          <w:szCs w:val="28"/>
        </w:rPr>
        <w:t>s</w:t>
      </w:r>
      <w:r>
        <w:rPr>
          <w:sz w:val="28"/>
          <w:szCs w:val="28"/>
        </w:rPr>
        <w:t>ection 153</w:t>
      </w:r>
      <w:r w:rsidR="00626882">
        <w:rPr>
          <w:sz w:val="28"/>
          <w:szCs w:val="28"/>
        </w:rPr>
        <w:t xml:space="preserve"> thereby abjuring its competence to determine their validity. </w:t>
      </w:r>
    </w:p>
    <w:p w14:paraId="25C6B33D" w14:textId="77777777" w:rsidR="003560C9" w:rsidRDefault="003560C9" w:rsidP="006769AB">
      <w:pPr>
        <w:pStyle w:val="NormalWeb"/>
        <w:shd w:val="clear" w:color="auto" w:fill="FFFFFF"/>
        <w:spacing w:before="144" w:beforeAutospacing="0" w:after="288" w:afterAutospacing="0" w:line="480" w:lineRule="atLeast"/>
        <w:jc w:val="both"/>
        <w:rPr>
          <w:sz w:val="28"/>
          <w:szCs w:val="28"/>
        </w:rPr>
      </w:pPr>
    </w:p>
    <w:p w14:paraId="52D7011A" w14:textId="220D0270" w:rsidR="003560C9" w:rsidRDefault="003560C9" w:rsidP="003560C9">
      <w:pPr>
        <w:pStyle w:val="NormalWeb"/>
        <w:shd w:val="clear" w:color="auto" w:fill="FFFFFF"/>
        <w:spacing w:before="144" w:beforeAutospacing="0" w:after="288" w:afterAutospacing="0" w:line="480" w:lineRule="atLeast"/>
        <w:ind w:left="720" w:hanging="720"/>
        <w:jc w:val="both"/>
        <w:rPr>
          <w:sz w:val="28"/>
          <w:szCs w:val="28"/>
        </w:rPr>
      </w:pPr>
      <w:r>
        <w:rPr>
          <w:sz w:val="28"/>
          <w:szCs w:val="28"/>
        </w:rPr>
        <w:t>[1</w:t>
      </w:r>
      <w:r w:rsidR="00626882">
        <w:rPr>
          <w:sz w:val="28"/>
          <w:szCs w:val="28"/>
        </w:rPr>
        <w:t>1</w:t>
      </w:r>
      <w:r>
        <w:rPr>
          <w:sz w:val="28"/>
          <w:szCs w:val="28"/>
        </w:rPr>
        <w:t>]</w:t>
      </w:r>
      <w:r>
        <w:rPr>
          <w:sz w:val="28"/>
          <w:szCs w:val="28"/>
        </w:rPr>
        <w:tab/>
        <w:t>The principle of subsidiarity means that where Parliament has enacted a law to give effect to a right, a litigant should enforce the right through that law if he does not challenge it for being unconstitutional</w:t>
      </w:r>
      <w:r>
        <w:rPr>
          <w:rStyle w:val="FootnoteReference"/>
          <w:sz w:val="28"/>
          <w:szCs w:val="28"/>
        </w:rPr>
        <w:footnoteReference w:id="4"/>
      </w:r>
      <w:r>
        <w:rPr>
          <w:sz w:val="28"/>
          <w:szCs w:val="28"/>
        </w:rPr>
        <w:t xml:space="preserve">.   The principle of constitutional avoidance </w:t>
      </w:r>
      <w:r w:rsidR="00626882">
        <w:rPr>
          <w:sz w:val="28"/>
          <w:szCs w:val="28"/>
        </w:rPr>
        <w:t xml:space="preserve">dictates </w:t>
      </w:r>
      <w:r>
        <w:rPr>
          <w:sz w:val="28"/>
          <w:szCs w:val="28"/>
        </w:rPr>
        <w:t>that a court should not dispose of</w:t>
      </w:r>
      <w:r w:rsidR="00626882">
        <w:rPr>
          <w:sz w:val="28"/>
          <w:szCs w:val="28"/>
        </w:rPr>
        <w:t xml:space="preserve"> a</w:t>
      </w:r>
      <w:r>
        <w:rPr>
          <w:sz w:val="28"/>
          <w:szCs w:val="28"/>
        </w:rPr>
        <w:t xml:space="preserve"> case on the basis of the Constitution if it is possible to decide it on any other basis and that, by virtue of the presumption of constitutionality, a court will </w:t>
      </w:r>
      <w:r w:rsidR="00626882">
        <w:rPr>
          <w:sz w:val="28"/>
          <w:szCs w:val="28"/>
        </w:rPr>
        <w:t xml:space="preserve">adopt </w:t>
      </w:r>
      <w:r>
        <w:rPr>
          <w:sz w:val="28"/>
          <w:szCs w:val="28"/>
        </w:rPr>
        <w:t>an interpretation of a statute which saves it</w:t>
      </w:r>
      <w:r w:rsidR="00626882">
        <w:rPr>
          <w:sz w:val="28"/>
          <w:szCs w:val="28"/>
        </w:rPr>
        <w:t xml:space="preserve"> rather </w:t>
      </w:r>
      <w:r w:rsidR="00D93C0B">
        <w:rPr>
          <w:sz w:val="28"/>
          <w:szCs w:val="28"/>
        </w:rPr>
        <w:t xml:space="preserve">than </w:t>
      </w:r>
      <w:r w:rsidR="00626882">
        <w:rPr>
          <w:sz w:val="28"/>
          <w:szCs w:val="28"/>
        </w:rPr>
        <w:t>one which nullifies it</w:t>
      </w:r>
      <w:r>
        <w:rPr>
          <w:sz w:val="28"/>
          <w:szCs w:val="28"/>
        </w:rPr>
        <w:t>.</w:t>
      </w:r>
      <w:r>
        <w:rPr>
          <w:rStyle w:val="FootnoteReference"/>
          <w:sz w:val="28"/>
          <w:szCs w:val="28"/>
        </w:rPr>
        <w:footnoteReference w:id="5"/>
      </w:r>
      <w:r w:rsidR="00626882">
        <w:rPr>
          <w:sz w:val="28"/>
          <w:szCs w:val="28"/>
        </w:rPr>
        <w:t xml:space="preserve"> </w:t>
      </w:r>
    </w:p>
    <w:p w14:paraId="1D522966" w14:textId="77777777" w:rsidR="003560C9" w:rsidRDefault="003560C9" w:rsidP="003560C9">
      <w:pPr>
        <w:pStyle w:val="NormalWeb"/>
        <w:shd w:val="clear" w:color="auto" w:fill="FFFFFF"/>
        <w:spacing w:before="144" w:beforeAutospacing="0" w:after="288" w:afterAutospacing="0" w:line="480" w:lineRule="atLeast"/>
        <w:ind w:left="720" w:hanging="720"/>
        <w:jc w:val="both"/>
        <w:rPr>
          <w:sz w:val="28"/>
          <w:szCs w:val="28"/>
        </w:rPr>
      </w:pPr>
    </w:p>
    <w:p w14:paraId="740AF78E" w14:textId="2A773435" w:rsidR="003560C9" w:rsidRDefault="003560C9" w:rsidP="003560C9">
      <w:pPr>
        <w:pStyle w:val="NormalWeb"/>
        <w:shd w:val="clear" w:color="auto" w:fill="FFFFFF"/>
        <w:spacing w:before="144" w:beforeAutospacing="0" w:after="288" w:afterAutospacing="0" w:line="480" w:lineRule="atLeast"/>
        <w:ind w:left="720" w:hanging="720"/>
        <w:jc w:val="both"/>
        <w:rPr>
          <w:sz w:val="28"/>
          <w:szCs w:val="28"/>
        </w:rPr>
      </w:pPr>
      <w:r>
        <w:rPr>
          <w:sz w:val="28"/>
          <w:szCs w:val="28"/>
        </w:rPr>
        <w:t>[1</w:t>
      </w:r>
      <w:r w:rsidR="00626882">
        <w:rPr>
          <w:sz w:val="28"/>
          <w:szCs w:val="28"/>
        </w:rPr>
        <w:t>2</w:t>
      </w:r>
      <w:r>
        <w:rPr>
          <w:sz w:val="28"/>
          <w:szCs w:val="28"/>
        </w:rPr>
        <w:t>]</w:t>
      </w:r>
      <w:r>
        <w:rPr>
          <w:sz w:val="28"/>
          <w:szCs w:val="28"/>
        </w:rPr>
        <w:tab/>
        <w:t>These principles do not speak to ouster of jurisdiction but the judicial method of disposing of a case.  Section 153 provides for a statutory procedural right to lodge an objection to the IEC and to review its rejection.  It does</w:t>
      </w:r>
      <w:r w:rsidR="000B1261">
        <w:rPr>
          <w:sz w:val="28"/>
          <w:szCs w:val="28"/>
        </w:rPr>
        <w:t xml:space="preserve"> not</w:t>
      </w:r>
      <w:r>
        <w:rPr>
          <w:sz w:val="28"/>
          <w:szCs w:val="28"/>
        </w:rPr>
        <w:t xml:space="preserve"> </w:t>
      </w:r>
      <w:r w:rsidR="00626882">
        <w:rPr>
          <w:sz w:val="28"/>
          <w:szCs w:val="28"/>
        </w:rPr>
        <w:t>debar</w:t>
      </w:r>
      <w:r>
        <w:rPr>
          <w:sz w:val="28"/>
          <w:szCs w:val="28"/>
        </w:rPr>
        <w:t xml:space="preserve"> a challenge even after passage of seven days of the rejection of an objection.  This right to object and review pertains to a proposed change of the boundary of a constituency.  It has nothing to do with a protectable substantive right to an </w:t>
      </w:r>
      <w:r w:rsidR="00C9739B">
        <w:rPr>
          <w:sz w:val="28"/>
          <w:szCs w:val="28"/>
        </w:rPr>
        <w:t>un</w:t>
      </w:r>
      <w:r>
        <w:rPr>
          <w:sz w:val="28"/>
          <w:szCs w:val="28"/>
        </w:rPr>
        <w:t xml:space="preserve">altered constituency boundary as no such a right exists in the </w:t>
      </w:r>
      <w:r w:rsidRPr="00CF43FE">
        <w:rPr>
          <w:b/>
          <w:bCs/>
          <w:sz w:val="28"/>
          <w:szCs w:val="28"/>
        </w:rPr>
        <w:t>Electoral Act, 2011</w:t>
      </w:r>
      <w:r>
        <w:rPr>
          <w:sz w:val="28"/>
          <w:szCs w:val="28"/>
        </w:rPr>
        <w:t xml:space="preserve"> or the Constitution.</w:t>
      </w:r>
    </w:p>
    <w:p w14:paraId="63C80A0E" w14:textId="77777777" w:rsidR="003560C9" w:rsidRDefault="003560C9" w:rsidP="003560C9">
      <w:pPr>
        <w:pStyle w:val="NormalWeb"/>
        <w:shd w:val="clear" w:color="auto" w:fill="FFFFFF"/>
        <w:spacing w:before="144" w:beforeAutospacing="0" w:after="288" w:afterAutospacing="0" w:line="480" w:lineRule="atLeast"/>
        <w:ind w:left="720" w:hanging="720"/>
        <w:jc w:val="both"/>
        <w:rPr>
          <w:sz w:val="28"/>
          <w:szCs w:val="28"/>
        </w:rPr>
      </w:pPr>
    </w:p>
    <w:p w14:paraId="0C36A483" w14:textId="3A1A982A" w:rsidR="003560C9" w:rsidRDefault="003560C9" w:rsidP="003560C9">
      <w:pPr>
        <w:pStyle w:val="NormalWeb"/>
        <w:shd w:val="clear" w:color="auto" w:fill="FFFFFF"/>
        <w:spacing w:before="144" w:beforeAutospacing="0" w:after="288" w:afterAutospacing="0" w:line="480" w:lineRule="atLeast"/>
        <w:ind w:left="720" w:hanging="720"/>
        <w:jc w:val="both"/>
        <w:rPr>
          <w:sz w:val="28"/>
          <w:szCs w:val="28"/>
        </w:rPr>
      </w:pPr>
      <w:r>
        <w:rPr>
          <w:sz w:val="28"/>
          <w:szCs w:val="28"/>
        </w:rPr>
        <w:t>[1</w:t>
      </w:r>
      <w:r w:rsidR="00C9739B">
        <w:rPr>
          <w:sz w:val="28"/>
          <w:szCs w:val="28"/>
        </w:rPr>
        <w:t>3</w:t>
      </w:r>
      <w:r>
        <w:rPr>
          <w:sz w:val="28"/>
          <w:szCs w:val="28"/>
        </w:rPr>
        <w:t>]</w:t>
      </w:r>
      <w:r>
        <w:rPr>
          <w:sz w:val="28"/>
          <w:szCs w:val="28"/>
        </w:rPr>
        <w:tab/>
        <w:t xml:space="preserve">The section 67 constitutional complaints are about failure of the IEC to comply with the prescripts of the Constitution when altering constituency </w:t>
      </w:r>
      <w:r>
        <w:rPr>
          <w:sz w:val="28"/>
          <w:szCs w:val="28"/>
        </w:rPr>
        <w:lastRenderedPageBreak/>
        <w:t xml:space="preserve">boundaries and not the rejection of a section 153 objection.  Differently put, the section 67 complaint is an assertion of the rule of law whereas a review of a decision to reject an objection in terms of section 153 </w:t>
      </w:r>
      <w:r w:rsidR="00FA379C">
        <w:rPr>
          <w:sz w:val="28"/>
          <w:szCs w:val="28"/>
        </w:rPr>
        <w:t xml:space="preserve">entails invocation of </w:t>
      </w:r>
      <w:r>
        <w:rPr>
          <w:sz w:val="28"/>
          <w:szCs w:val="28"/>
        </w:rPr>
        <w:t>common law remedies.  Each process has its own purpose and is animated by different legal considerations.</w:t>
      </w:r>
    </w:p>
    <w:p w14:paraId="2751FEDF" w14:textId="77777777" w:rsidR="003560C9" w:rsidRDefault="003560C9" w:rsidP="003560C9">
      <w:pPr>
        <w:pStyle w:val="NormalWeb"/>
        <w:shd w:val="clear" w:color="auto" w:fill="FFFFFF"/>
        <w:spacing w:before="144" w:beforeAutospacing="0" w:after="288" w:afterAutospacing="0" w:line="480" w:lineRule="atLeast"/>
        <w:ind w:left="720" w:hanging="720"/>
        <w:jc w:val="both"/>
        <w:rPr>
          <w:sz w:val="28"/>
          <w:szCs w:val="28"/>
        </w:rPr>
      </w:pPr>
    </w:p>
    <w:p w14:paraId="0042A92B" w14:textId="018A7D69" w:rsidR="006769AB" w:rsidRDefault="003560C9" w:rsidP="006769AB">
      <w:pPr>
        <w:pStyle w:val="NormalWeb"/>
        <w:shd w:val="clear" w:color="auto" w:fill="FFFFFF"/>
        <w:spacing w:before="144" w:beforeAutospacing="0" w:after="288" w:afterAutospacing="0" w:line="480" w:lineRule="atLeast"/>
        <w:ind w:left="720" w:hanging="720"/>
        <w:jc w:val="both"/>
        <w:rPr>
          <w:sz w:val="28"/>
          <w:szCs w:val="28"/>
        </w:rPr>
      </w:pPr>
      <w:r>
        <w:rPr>
          <w:sz w:val="28"/>
          <w:szCs w:val="28"/>
        </w:rPr>
        <w:t>[1</w:t>
      </w:r>
      <w:r w:rsidR="00C9739B">
        <w:rPr>
          <w:sz w:val="28"/>
          <w:szCs w:val="28"/>
        </w:rPr>
        <w:t>4</w:t>
      </w:r>
      <w:r>
        <w:rPr>
          <w:sz w:val="28"/>
          <w:szCs w:val="28"/>
        </w:rPr>
        <w:t>]</w:t>
      </w:r>
      <w:r>
        <w:rPr>
          <w:sz w:val="28"/>
          <w:szCs w:val="28"/>
        </w:rPr>
        <w:tab/>
      </w:r>
      <w:r w:rsidR="00C9739B">
        <w:rPr>
          <w:sz w:val="28"/>
          <w:szCs w:val="28"/>
        </w:rPr>
        <w:t>The</w:t>
      </w:r>
      <w:r>
        <w:rPr>
          <w:sz w:val="28"/>
          <w:szCs w:val="28"/>
        </w:rPr>
        <w:t xml:space="preserve"> section 153 procedure of hearing objections imposes a duty on </w:t>
      </w:r>
      <w:r w:rsidR="00C9739B">
        <w:rPr>
          <w:sz w:val="28"/>
          <w:szCs w:val="28"/>
        </w:rPr>
        <w:t xml:space="preserve">the </w:t>
      </w:r>
      <w:r>
        <w:rPr>
          <w:sz w:val="28"/>
          <w:szCs w:val="28"/>
        </w:rPr>
        <w:t>objector to defer access to judicial remedies until the IEC has pronounced itself on the fate of the objection.  A rule of law review</w:t>
      </w:r>
      <w:r w:rsidR="00C9739B">
        <w:rPr>
          <w:sz w:val="28"/>
          <w:szCs w:val="28"/>
        </w:rPr>
        <w:t xml:space="preserve"> affords direct</w:t>
      </w:r>
      <w:r>
        <w:rPr>
          <w:sz w:val="28"/>
          <w:szCs w:val="28"/>
        </w:rPr>
        <w:t xml:space="preserve"> and immediate access to judicial remedies to uphold the rule of law by protecting and upholding the Constitution.</w:t>
      </w:r>
      <w:r w:rsidR="006769AB">
        <w:rPr>
          <w:sz w:val="28"/>
          <w:szCs w:val="28"/>
        </w:rPr>
        <w:t xml:space="preserve"> </w:t>
      </w:r>
      <w:r>
        <w:rPr>
          <w:sz w:val="28"/>
          <w:szCs w:val="28"/>
        </w:rPr>
        <w:t xml:space="preserve">Thus, the proposition that </w:t>
      </w:r>
      <w:r w:rsidR="00C9739B">
        <w:rPr>
          <w:sz w:val="28"/>
          <w:szCs w:val="28"/>
        </w:rPr>
        <w:t xml:space="preserve">the </w:t>
      </w:r>
      <w:r>
        <w:rPr>
          <w:sz w:val="28"/>
          <w:szCs w:val="28"/>
        </w:rPr>
        <w:t>section 153 procedure blocks the pathway to review of unconstitutional conduct is unsound and must be rejected.</w:t>
      </w:r>
    </w:p>
    <w:p w14:paraId="38F9C896" w14:textId="77777777" w:rsidR="00A6473A" w:rsidRDefault="00A6473A" w:rsidP="006769AB">
      <w:pPr>
        <w:pStyle w:val="NormalWeb"/>
        <w:shd w:val="clear" w:color="auto" w:fill="FFFFFF"/>
        <w:spacing w:before="144" w:beforeAutospacing="0" w:after="288" w:afterAutospacing="0" w:line="480" w:lineRule="atLeast"/>
        <w:ind w:left="720" w:hanging="720"/>
        <w:jc w:val="both"/>
        <w:rPr>
          <w:sz w:val="28"/>
          <w:szCs w:val="28"/>
        </w:rPr>
      </w:pPr>
    </w:p>
    <w:p w14:paraId="72254384" w14:textId="5BE8C61B" w:rsidR="003560C9" w:rsidRDefault="003560C9" w:rsidP="003560C9">
      <w:pPr>
        <w:pStyle w:val="NormalWeb"/>
        <w:shd w:val="clear" w:color="auto" w:fill="FFFFFF"/>
        <w:spacing w:before="144" w:beforeAutospacing="0" w:after="288" w:afterAutospacing="0" w:line="480" w:lineRule="atLeast"/>
        <w:ind w:left="720" w:hanging="720"/>
        <w:jc w:val="both"/>
        <w:rPr>
          <w:sz w:val="28"/>
          <w:szCs w:val="28"/>
        </w:rPr>
      </w:pPr>
      <w:r>
        <w:rPr>
          <w:sz w:val="28"/>
          <w:szCs w:val="28"/>
        </w:rPr>
        <w:t>[1</w:t>
      </w:r>
      <w:r w:rsidR="00C9739B">
        <w:rPr>
          <w:sz w:val="28"/>
          <w:szCs w:val="28"/>
        </w:rPr>
        <w:t>5</w:t>
      </w:r>
      <w:r>
        <w:rPr>
          <w:sz w:val="28"/>
          <w:szCs w:val="28"/>
        </w:rPr>
        <w:t>]</w:t>
      </w:r>
      <w:r>
        <w:rPr>
          <w:sz w:val="28"/>
          <w:szCs w:val="28"/>
        </w:rPr>
        <w:tab/>
        <w:t xml:space="preserve">It is for these reasons that </w:t>
      </w:r>
      <w:r w:rsidR="000B1261">
        <w:rPr>
          <w:sz w:val="28"/>
          <w:szCs w:val="28"/>
        </w:rPr>
        <w:t xml:space="preserve">the Court </w:t>
      </w:r>
      <w:r>
        <w:rPr>
          <w:sz w:val="28"/>
          <w:szCs w:val="28"/>
        </w:rPr>
        <w:t>dismiss</w:t>
      </w:r>
      <w:r w:rsidR="000B1261">
        <w:rPr>
          <w:sz w:val="28"/>
          <w:szCs w:val="28"/>
        </w:rPr>
        <w:t>ed</w:t>
      </w:r>
      <w:r>
        <w:rPr>
          <w:sz w:val="28"/>
          <w:szCs w:val="28"/>
        </w:rPr>
        <w:t xml:space="preserve"> the respondents’ preliminary objection to the assumption of jurisdiction by this Court.</w:t>
      </w:r>
    </w:p>
    <w:p w14:paraId="2CB542BE" w14:textId="77777777" w:rsidR="00832F6A" w:rsidRDefault="00832F6A" w:rsidP="007726A2">
      <w:pPr>
        <w:pStyle w:val="NormalWeb"/>
        <w:shd w:val="clear" w:color="auto" w:fill="FFFFFF"/>
        <w:spacing w:before="144" w:beforeAutospacing="0" w:after="288" w:afterAutospacing="0" w:line="480" w:lineRule="atLeast"/>
        <w:ind w:left="720" w:hanging="720"/>
        <w:jc w:val="both"/>
        <w:rPr>
          <w:sz w:val="28"/>
          <w:szCs w:val="28"/>
        </w:rPr>
      </w:pPr>
    </w:p>
    <w:p w14:paraId="4716A7D1" w14:textId="32EC10BF" w:rsidR="004751E3" w:rsidRPr="00666433" w:rsidRDefault="004751E3" w:rsidP="007726A2">
      <w:pPr>
        <w:pStyle w:val="NormalWeb"/>
        <w:shd w:val="clear" w:color="auto" w:fill="FFFFFF"/>
        <w:spacing w:before="144" w:beforeAutospacing="0" w:after="288" w:afterAutospacing="0" w:line="480" w:lineRule="atLeast"/>
        <w:ind w:left="720" w:hanging="720"/>
        <w:jc w:val="both"/>
        <w:rPr>
          <w:b/>
          <w:bCs/>
          <w:sz w:val="28"/>
          <w:szCs w:val="28"/>
        </w:rPr>
      </w:pPr>
      <w:r w:rsidRPr="00666433">
        <w:rPr>
          <w:b/>
          <w:bCs/>
          <w:sz w:val="28"/>
          <w:szCs w:val="28"/>
        </w:rPr>
        <w:t>III.</w:t>
      </w:r>
      <w:r w:rsidRPr="00666433">
        <w:rPr>
          <w:b/>
          <w:bCs/>
          <w:sz w:val="28"/>
          <w:szCs w:val="28"/>
        </w:rPr>
        <w:tab/>
      </w:r>
      <w:r w:rsidRPr="00666433">
        <w:rPr>
          <w:b/>
          <w:bCs/>
          <w:sz w:val="28"/>
          <w:szCs w:val="28"/>
          <w:u w:val="single"/>
        </w:rPr>
        <w:t>MERITS</w:t>
      </w:r>
    </w:p>
    <w:p w14:paraId="254B3453" w14:textId="0C04E050" w:rsidR="004751E3" w:rsidRDefault="004751E3" w:rsidP="00266170">
      <w:pPr>
        <w:pStyle w:val="NormalWeb"/>
        <w:shd w:val="clear" w:color="auto" w:fill="FFFFFF"/>
        <w:spacing w:before="144" w:beforeAutospacing="0" w:after="0" w:afterAutospacing="0"/>
        <w:ind w:left="720" w:hanging="720"/>
        <w:jc w:val="both"/>
        <w:rPr>
          <w:b/>
          <w:bCs/>
          <w:sz w:val="32"/>
          <w:szCs w:val="32"/>
        </w:rPr>
      </w:pPr>
      <w:r w:rsidRPr="00666433">
        <w:rPr>
          <w:b/>
          <w:bCs/>
          <w:sz w:val="32"/>
          <w:szCs w:val="32"/>
        </w:rPr>
        <w:t xml:space="preserve">The </w:t>
      </w:r>
      <w:r w:rsidR="00C9739B">
        <w:rPr>
          <w:b/>
          <w:bCs/>
          <w:sz w:val="32"/>
          <w:szCs w:val="32"/>
        </w:rPr>
        <w:t>F</w:t>
      </w:r>
      <w:r w:rsidR="00666433" w:rsidRPr="00666433">
        <w:rPr>
          <w:b/>
          <w:bCs/>
          <w:sz w:val="32"/>
          <w:szCs w:val="32"/>
        </w:rPr>
        <w:t>acts</w:t>
      </w:r>
    </w:p>
    <w:p w14:paraId="428BEA0E" w14:textId="72FA2523" w:rsidR="00B27F26" w:rsidRDefault="00B27F26" w:rsidP="00B27F26">
      <w:pPr>
        <w:pStyle w:val="NormalWeb"/>
        <w:shd w:val="clear" w:color="auto" w:fill="FFFFFF"/>
        <w:spacing w:before="144" w:beforeAutospacing="0" w:after="0" w:afterAutospacing="0" w:line="480" w:lineRule="auto"/>
        <w:ind w:left="720" w:hanging="720"/>
        <w:jc w:val="both"/>
        <w:rPr>
          <w:sz w:val="28"/>
          <w:szCs w:val="28"/>
        </w:rPr>
      </w:pPr>
      <w:r>
        <w:rPr>
          <w:sz w:val="28"/>
          <w:szCs w:val="28"/>
        </w:rPr>
        <w:t>[1</w:t>
      </w:r>
      <w:r w:rsidR="00C9739B">
        <w:rPr>
          <w:sz w:val="28"/>
          <w:szCs w:val="28"/>
        </w:rPr>
        <w:t>6</w:t>
      </w:r>
      <w:r>
        <w:rPr>
          <w:sz w:val="28"/>
          <w:szCs w:val="28"/>
        </w:rPr>
        <w:t>]</w:t>
      </w:r>
      <w:r>
        <w:rPr>
          <w:sz w:val="28"/>
          <w:szCs w:val="28"/>
        </w:rPr>
        <w:tab/>
        <w:t xml:space="preserve">In 2018, the IEC commenced </w:t>
      </w:r>
      <w:r w:rsidR="00C9739B">
        <w:rPr>
          <w:sz w:val="28"/>
          <w:szCs w:val="28"/>
        </w:rPr>
        <w:t xml:space="preserve">a </w:t>
      </w:r>
      <w:r>
        <w:rPr>
          <w:sz w:val="28"/>
          <w:szCs w:val="28"/>
        </w:rPr>
        <w:t xml:space="preserve">review of constituency boundaries.  </w:t>
      </w:r>
      <w:r w:rsidR="002236BE">
        <w:rPr>
          <w:sz w:val="28"/>
          <w:szCs w:val="28"/>
        </w:rPr>
        <w:t xml:space="preserve">It is common cause that it did the following: </w:t>
      </w:r>
    </w:p>
    <w:p w14:paraId="0C9EF5D4" w14:textId="60E03913" w:rsidR="00B27F26" w:rsidRDefault="00B27F26" w:rsidP="0042466A">
      <w:pPr>
        <w:pStyle w:val="NormalWeb"/>
        <w:shd w:val="clear" w:color="auto" w:fill="FFFFFF"/>
        <w:spacing w:before="144" w:beforeAutospacing="0" w:after="288" w:afterAutospacing="0" w:line="480" w:lineRule="auto"/>
        <w:ind w:left="1440" w:hanging="720"/>
        <w:jc w:val="both"/>
        <w:rPr>
          <w:sz w:val="28"/>
          <w:szCs w:val="28"/>
        </w:rPr>
      </w:pPr>
      <w:r>
        <w:rPr>
          <w:sz w:val="28"/>
          <w:szCs w:val="28"/>
        </w:rPr>
        <w:lastRenderedPageBreak/>
        <w:t>1</w:t>
      </w:r>
      <w:r w:rsidR="00C9739B">
        <w:rPr>
          <w:sz w:val="28"/>
          <w:szCs w:val="28"/>
        </w:rPr>
        <w:t>6</w:t>
      </w:r>
      <w:r>
        <w:rPr>
          <w:sz w:val="28"/>
          <w:szCs w:val="28"/>
        </w:rPr>
        <w:t>.1</w:t>
      </w:r>
      <w:r>
        <w:rPr>
          <w:sz w:val="28"/>
          <w:szCs w:val="28"/>
        </w:rPr>
        <w:tab/>
        <w:t>It initiated the review on the basis of a 2016 census report which was published in February 2018</w:t>
      </w:r>
      <w:r>
        <w:rPr>
          <w:rStyle w:val="FootnoteReference"/>
          <w:sz w:val="28"/>
          <w:szCs w:val="28"/>
        </w:rPr>
        <w:footnoteReference w:id="6"/>
      </w:r>
      <w:r>
        <w:rPr>
          <w:sz w:val="28"/>
          <w:szCs w:val="28"/>
        </w:rPr>
        <w:t>.</w:t>
      </w:r>
    </w:p>
    <w:p w14:paraId="31BA4FC7" w14:textId="43F1F102" w:rsidR="0099574F" w:rsidRDefault="00B27F26" w:rsidP="0042466A">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w:t>
      </w:r>
      <w:r w:rsidR="00C9739B">
        <w:rPr>
          <w:sz w:val="28"/>
          <w:szCs w:val="28"/>
        </w:rPr>
        <w:t>6</w:t>
      </w:r>
      <w:r>
        <w:rPr>
          <w:sz w:val="28"/>
          <w:szCs w:val="28"/>
        </w:rPr>
        <w:t>.2</w:t>
      </w:r>
      <w:r>
        <w:rPr>
          <w:sz w:val="28"/>
          <w:szCs w:val="28"/>
        </w:rPr>
        <w:tab/>
        <w:t>It produced a document titled ‘Review of constituency boundaries 2018’ as inception document for the review process</w:t>
      </w:r>
      <w:r>
        <w:rPr>
          <w:rStyle w:val="FootnoteReference"/>
          <w:sz w:val="28"/>
          <w:szCs w:val="28"/>
        </w:rPr>
        <w:footnoteReference w:id="7"/>
      </w:r>
      <w:r>
        <w:rPr>
          <w:sz w:val="28"/>
          <w:szCs w:val="28"/>
        </w:rPr>
        <w:t>.</w:t>
      </w:r>
      <w:r w:rsidR="0099574F" w:rsidRPr="0099574F">
        <w:rPr>
          <w:sz w:val="28"/>
          <w:szCs w:val="28"/>
        </w:rPr>
        <w:t xml:space="preserve"> </w:t>
      </w:r>
      <w:r w:rsidR="0099574F">
        <w:rPr>
          <w:sz w:val="28"/>
          <w:szCs w:val="28"/>
        </w:rPr>
        <w:t>The formula used to determine the number of voters per constituency in that document reflects the voter population quota as 15,507.  The ten per</w:t>
      </w:r>
      <w:r w:rsidR="00623F7B">
        <w:rPr>
          <w:sz w:val="28"/>
          <w:szCs w:val="28"/>
        </w:rPr>
        <w:t xml:space="preserve"> </w:t>
      </w:r>
      <w:r w:rsidR="0099574F">
        <w:rPr>
          <w:sz w:val="28"/>
          <w:szCs w:val="28"/>
        </w:rPr>
        <w:t>cent more and less of this quota is 17,058 as the upper limit and 13,956 as the lower limit</w:t>
      </w:r>
      <w:r w:rsidR="0099574F">
        <w:rPr>
          <w:rStyle w:val="FootnoteReference"/>
          <w:sz w:val="28"/>
          <w:szCs w:val="28"/>
        </w:rPr>
        <w:footnoteReference w:id="8"/>
      </w:r>
      <w:r w:rsidR="0099574F">
        <w:rPr>
          <w:sz w:val="28"/>
          <w:szCs w:val="28"/>
        </w:rPr>
        <w:t>.</w:t>
      </w:r>
    </w:p>
    <w:p w14:paraId="678BEEA9" w14:textId="7B93629B" w:rsidR="00B27F26" w:rsidRDefault="00B27F26" w:rsidP="0042466A">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w:t>
      </w:r>
      <w:r w:rsidR="00C9739B">
        <w:rPr>
          <w:sz w:val="28"/>
          <w:szCs w:val="28"/>
        </w:rPr>
        <w:t>6</w:t>
      </w:r>
      <w:r>
        <w:rPr>
          <w:sz w:val="28"/>
          <w:szCs w:val="28"/>
        </w:rPr>
        <w:t>.3</w:t>
      </w:r>
      <w:r>
        <w:rPr>
          <w:sz w:val="28"/>
          <w:szCs w:val="28"/>
        </w:rPr>
        <w:tab/>
        <w:t>It held discussion sessions with registered political parties and members of the community</w:t>
      </w:r>
      <w:r>
        <w:rPr>
          <w:rStyle w:val="FootnoteReference"/>
          <w:sz w:val="28"/>
          <w:szCs w:val="28"/>
        </w:rPr>
        <w:footnoteReference w:id="9"/>
      </w:r>
      <w:r>
        <w:rPr>
          <w:sz w:val="28"/>
          <w:szCs w:val="28"/>
        </w:rPr>
        <w:t>.</w:t>
      </w:r>
      <w:r w:rsidR="00C9739B">
        <w:rPr>
          <w:sz w:val="28"/>
          <w:szCs w:val="28"/>
        </w:rPr>
        <w:t xml:space="preserve"> </w:t>
      </w:r>
      <w:r>
        <w:rPr>
          <w:sz w:val="28"/>
          <w:szCs w:val="28"/>
        </w:rPr>
        <w:t>Issues raised in the sessions were the following:</w:t>
      </w:r>
    </w:p>
    <w:p w14:paraId="7E4FB79C" w14:textId="77777777" w:rsidR="00B27F26" w:rsidRDefault="00B27F26" w:rsidP="0042466A">
      <w:pPr>
        <w:spacing w:line="480" w:lineRule="auto"/>
        <w:ind w:left="2880" w:hanging="720"/>
        <w:jc w:val="both"/>
        <w:rPr>
          <w:sz w:val="28"/>
          <w:szCs w:val="28"/>
        </w:rPr>
      </w:pPr>
      <w:r>
        <w:rPr>
          <w:sz w:val="28"/>
          <w:szCs w:val="28"/>
        </w:rPr>
        <w:t>a)</w:t>
      </w:r>
      <w:r>
        <w:rPr>
          <w:sz w:val="28"/>
          <w:szCs w:val="28"/>
        </w:rPr>
        <w:tab/>
        <w:t>the IEC should consider the geographical features of some parts of Lesotho which would discourage voters to turn up for elections;</w:t>
      </w:r>
    </w:p>
    <w:p w14:paraId="5343E34B" w14:textId="77777777" w:rsidR="00B27F26" w:rsidRDefault="00B27F26" w:rsidP="00B27F26">
      <w:pPr>
        <w:spacing w:line="480" w:lineRule="auto"/>
        <w:ind w:left="3600"/>
        <w:jc w:val="both"/>
        <w:rPr>
          <w:sz w:val="28"/>
          <w:szCs w:val="28"/>
        </w:rPr>
      </w:pPr>
    </w:p>
    <w:p w14:paraId="6E738564" w14:textId="603AD422" w:rsidR="00B27F26" w:rsidRDefault="00B27F26" w:rsidP="0042466A">
      <w:pPr>
        <w:spacing w:line="480" w:lineRule="auto"/>
        <w:ind w:left="2880" w:hanging="720"/>
        <w:jc w:val="both"/>
        <w:rPr>
          <w:sz w:val="28"/>
          <w:szCs w:val="28"/>
        </w:rPr>
      </w:pPr>
      <w:r>
        <w:rPr>
          <w:sz w:val="28"/>
          <w:szCs w:val="28"/>
        </w:rPr>
        <w:t>b)</w:t>
      </w:r>
      <w:r>
        <w:rPr>
          <w:sz w:val="28"/>
          <w:szCs w:val="28"/>
        </w:rPr>
        <w:tab/>
        <w:t>in some constituencies, the inhabitants petitioned the IEC to move their villages from one constituency to another citing various community interest</w:t>
      </w:r>
      <w:r w:rsidR="00792DFF">
        <w:rPr>
          <w:sz w:val="28"/>
          <w:szCs w:val="28"/>
        </w:rPr>
        <w:t>s making i</w:t>
      </w:r>
      <w:r>
        <w:rPr>
          <w:sz w:val="28"/>
          <w:szCs w:val="28"/>
        </w:rPr>
        <w:t>t clear to the IEC that if their requests are not adhered to, they will not turnout for elections;</w:t>
      </w:r>
    </w:p>
    <w:p w14:paraId="60D142AA" w14:textId="77777777" w:rsidR="00B27F26" w:rsidRDefault="00B27F26" w:rsidP="00B27F26">
      <w:pPr>
        <w:spacing w:line="480" w:lineRule="auto"/>
        <w:ind w:left="3600"/>
        <w:jc w:val="both"/>
        <w:rPr>
          <w:sz w:val="28"/>
          <w:szCs w:val="28"/>
        </w:rPr>
      </w:pPr>
    </w:p>
    <w:p w14:paraId="56F75EFB" w14:textId="77777777" w:rsidR="00B27F26" w:rsidRDefault="00B27F26" w:rsidP="0042466A">
      <w:pPr>
        <w:spacing w:line="480" w:lineRule="auto"/>
        <w:ind w:left="2880" w:hanging="720"/>
        <w:jc w:val="both"/>
        <w:rPr>
          <w:sz w:val="28"/>
          <w:szCs w:val="28"/>
        </w:rPr>
      </w:pPr>
      <w:r>
        <w:rPr>
          <w:sz w:val="28"/>
          <w:szCs w:val="28"/>
        </w:rPr>
        <w:t>c)</w:t>
      </w:r>
      <w:r>
        <w:rPr>
          <w:sz w:val="28"/>
          <w:szCs w:val="28"/>
        </w:rPr>
        <w:tab/>
        <w:t xml:space="preserve">the IEC should take into account that the census statistics reflect the population numbers of areas based on residence and not based on where the particular elector is registered for elections; </w:t>
      </w:r>
    </w:p>
    <w:p w14:paraId="6B039A3F" w14:textId="77777777" w:rsidR="00B27F26" w:rsidRDefault="00B27F26" w:rsidP="00B27F26">
      <w:pPr>
        <w:spacing w:line="480" w:lineRule="auto"/>
        <w:ind w:left="3600"/>
        <w:jc w:val="both"/>
        <w:rPr>
          <w:sz w:val="28"/>
          <w:szCs w:val="28"/>
        </w:rPr>
      </w:pPr>
    </w:p>
    <w:p w14:paraId="044165A4" w14:textId="4561FCED" w:rsidR="00B27F26" w:rsidRDefault="00B27F26" w:rsidP="0042466A">
      <w:pPr>
        <w:spacing w:line="480" w:lineRule="auto"/>
        <w:ind w:left="2880" w:hanging="720"/>
        <w:jc w:val="both"/>
        <w:rPr>
          <w:sz w:val="28"/>
          <w:szCs w:val="28"/>
        </w:rPr>
      </w:pPr>
      <w:r>
        <w:rPr>
          <w:sz w:val="28"/>
          <w:szCs w:val="28"/>
        </w:rPr>
        <w:t>d)</w:t>
      </w:r>
      <w:r>
        <w:rPr>
          <w:sz w:val="28"/>
          <w:szCs w:val="28"/>
        </w:rPr>
        <w:tab/>
        <w:t>in some parts of Lesotho inhabitants of neighbouring villages have long standing rivalries</w:t>
      </w:r>
      <w:r w:rsidR="00792DFF">
        <w:rPr>
          <w:sz w:val="28"/>
          <w:szCs w:val="28"/>
        </w:rPr>
        <w:t>,</w:t>
      </w:r>
      <w:r>
        <w:rPr>
          <w:sz w:val="28"/>
          <w:szCs w:val="28"/>
        </w:rPr>
        <w:t xml:space="preserve"> which if forced to fall under the same constituencies</w:t>
      </w:r>
      <w:r w:rsidR="00792DFF">
        <w:rPr>
          <w:sz w:val="28"/>
          <w:szCs w:val="28"/>
        </w:rPr>
        <w:t xml:space="preserve">, </w:t>
      </w:r>
      <w:r>
        <w:rPr>
          <w:sz w:val="28"/>
          <w:szCs w:val="28"/>
        </w:rPr>
        <w:t>would affect voter turnout; and</w:t>
      </w:r>
    </w:p>
    <w:p w14:paraId="5BE4F6B4" w14:textId="77777777" w:rsidR="00B27F26" w:rsidRDefault="00B27F26" w:rsidP="00B27F26">
      <w:pPr>
        <w:spacing w:line="480" w:lineRule="auto"/>
        <w:ind w:left="3600"/>
        <w:jc w:val="both"/>
        <w:rPr>
          <w:sz w:val="28"/>
          <w:szCs w:val="28"/>
        </w:rPr>
      </w:pPr>
    </w:p>
    <w:p w14:paraId="79D94515" w14:textId="77777777" w:rsidR="00B27F26" w:rsidRDefault="00B27F26" w:rsidP="0042466A">
      <w:pPr>
        <w:pStyle w:val="NormalWeb"/>
        <w:shd w:val="clear" w:color="auto" w:fill="FFFFFF"/>
        <w:spacing w:before="144" w:beforeAutospacing="0" w:after="288" w:afterAutospacing="0" w:line="480" w:lineRule="atLeast"/>
        <w:ind w:left="2880" w:hanging="720"/>
        <w:jc w:val="both"/>
        <w:rPr>
          <w:sz w:val="28"/>
          <w:szCs w:val="28"/>
        </w:rPr>
      </w:pPr>
      <w:r>
        <w:rPr>
          <w:sz w:val="28"/>
          <w:szCs w:val="28"/>
        </w:rPr>
        <w:t>e)</w:t>
      </w:r>
      <w:r>
        <w:rPr>
          <w:sz w:val="28"/>
          <w:szCs w:val="28"/>
        </w:rPr>
        <w:tab/>
        <w:t>the density of the population in urban areas and the need to ensure adequate representation of sparsely populated rural areas and the need not to cut off some areas from the easily accessible communication channels.</w:t>
      </w:r>
    </w:p>
    <w:p w14:paraId="1A2DB1C5" w14:textId="21B328FF" w:rsidR="002236BE" w:rsidRDefault="002236BE" w:rsidP="0042466A">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16.4</w:t>
      </w:r>
      <w:r>
        <w:rPr>
          <w:sz w:val="28"/>
          <w:szCs w:val="28"/>
        </w:rPr>
        <w:tab/>
        <w:t>It authorised the continuation of the review process; a road map was drawn and presented to “stakeholders”.  Some of the registered political parties raised issues similar to those, in 16.3 above</w:t>
      </w:r>
      <w:r>
        <w:rPr>
          <w:rStyle w:val="FootnoteReference"/>
          <w:sz w:val="28"/>
          <w:szCs w:val="28"/>
        </w:rPr>
        <w:footnoteReference w:id="10"/>
      </w:r>
      <w:r>
        <w:rPr>
          <w:sz w:val="28"/>
          <w:szCs w:val="28"/>
        </w:rPr>
        <w:t>.</w:t>
      </w:r>
    </w:p>
    <w:p w14:paraId="26726C4F" w14:textId="21E281A5" w:rsidR="002236BE" w:rsidRDefault="002236BE" w:rsidP="0042466A">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16.5</w:t>
      </w:r>
      <w:r>
        <w:rPr>
          <w:sz w:val="28"/>
          <w:szCs w:val="28"/>
        </w:rPr>
        <w:tab/>
        <w:t xml:space="preserve">It issued </w:t>
      </w:r>
      <w:r w:rsidRPr="009262E9">
        <w:rPr>
          <w:b/>
          <w:bCs/>
          <w:sz w:val="28"/>
          <w:szCs w:val="28"/>
        </w:rPr>
        <w:t>Legal Notice No.109 of 2021</w:t>
      </w:r>
      <w:r>
        <w:rPr>
          <w:sz w:val="28"/>
          <w:szCs w:val="28"/>
        </w:rPr>
        <w:t xml:space="preserve"> inviting registered political parties and voters to make representations. This served the purpose of giving stakeholders a second chance to raise issues that might </w:t>
      </w:r>
      <w:r>
        <w:rPr>
          <w:sz w:val="28"/>
          <w:szCs w:val="28"/>
        </w:rPr>
        <w:lastRenderedPageBreak/>
        <w:t>have cropped up during the period the review process was delayed by absence of Commissioners</w:t>
      </w:r>
      <w:r>
        <w:rPr>
          <w:rStyle w:val="FootnoteReference"/>
          <w:sz w:val="28"/>
          <w:szCs w:val="28"/>
        </w:rPr>
        <w:footnoteReference w:id="11"/>
      </w:r>
      <w:r>
        <w:rPr>
          <w:sz w:val="28"/>
          <w:szCs w:val="28"/>
        </w:rPr>
        <w:t>.</w:t>
      </w:r>
    </w:p>
    <w:p w14:paraId="0EB1DD7B" w14:textId="77777777" w:rsidR="002236BE" w:rsidRDefault="002236BE" w:rsidP="002236BE">
      <w:pPr>
        <w:pStyle w:val="NormalWeb"/>
        <w:shd w:val="clear" w:color="auto" w:fill="FFFFFF"/>
        <w:spacing w:before="144" w:beforeAutospacing="0" w:after="288" w:afterAutospacing="0" w:line="480" w:lineRule="atLeast"/>
        <w:jc w:val="both"/>
        <w:rPr>
          <w:sz w:val="28"/>
          <w:szCs w:val="28"/>
        </w:rPr>
      </w:pPr>
    </w:p>
    <w:p w14:paraId="18955826" w14:textId="1257339D" w:rsidR="002236BE" w:rsidRDefault="002236BE" w:rsidP="0042466A">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16.6</w:t>
      </w:r>
      <w:r>
        <w:rPr>
          <w:sz w:val="28"/>
          <w:szCs w:val="28"/>
        </w:rPr>
        <w:tab/>
      </w:r>
      <w:r w:rsidR="0099574F">
        <w:rPr>
          <w:sz w:val="28"/>
          <w:szCs w:val="28"/>
        </w:rPr>
        <w:t>I</w:t>
      </w:r>
      <w:r>
        <w:rPr>
          <w:sz w:val="28"/>
          <w:szCs w:val="28"/>
        </w:rPr>
        <w:t xml:space="preserve">t issued </w:t>
      </w:r>
      <w:r w:rsidR="0099574F">
        <w:rPr>
          <w:sz w:val="28"/>
          <w:szCs w:val="28"/>
        </w:rPr>
        <w:t xml:space="preserve">another </w:t>
      </w:r>
      <w:r w:rsidRPr="007E0960">
        <w:rPr>
          <w:b/>
          <w:bCs/>
          <w:sz w:val="28"/>
          <w:szCs w:val="28"/>
        </w:rPr>
        <w:t>Legal Notice No.140 of 2021</w:t>
      </w:r>
      <w:r>
        <w:rPr>
          <w:sz w:val="28"/>
          <w:szCs w:val="28"/>
        </w:rPr>
        <w:t xml:space="preserve"> in terms of section 153 (1)(c) of the </w:t>
      </w:r>
      <w:r w:rsidRPr="007E0960">
        <w:rPr>
          <w:b/>
          <w:bCs/>
          <w:sz w:val="28"/>
          <w:szCs w:val="28"/>
        </w:rPr>
        <w:t>Electoral Act, 2011</w:t>
      </w:r>
      <w:r>
        <w:rPr>
          <w:sz w:val="28"/>
          <w:szCs w:val="28"/>
        </w:rPr>
        <w:t xml:space="preserve"> for voters and political parties to raise objections to proposed constituency boundaries.  The period for objections ran from 4</w:t>
      </w:r>
      <w:r w:rsidRPr="006700ED">
        <w:rPr>
          <w:sz w:val="28"/>
          <w:szCs w:val="28"/>
          <w:vertAlign w:val="superscript"/>
        </w:rPr>
        <w:t>th</w:t>
      </w:r>
      <w:r>
        <w:rPr>
          <w:sz w:val="28"/>
          <w:szCs w:val="28"/>
        </w:rPr>
        <w:t xml:space="preserve"> to 28</w:t>
      </w:r>
      <w:r w:rsidRPr="006700ED">
        <w:rPr>
          <w:sz w:val="28"/>
          <w:szCs w:val="28"/>
          <w:vertAlign w:val="superscript"/>
        </w:rPr>
        <w:t>th</w:t>
      </w:r>
      <w:r>
        <w:rPr>
          <w:sz w:val="28"/>
          <w:szCs w:val="28"/>
        </w:rPr>
        <w:t xml:space="preserve"> January 2022</w:t>
      </w:r>
      <w:r>
        <w:rPr>
          <w:rStyle w:val="FootnoteReference"/>
          <w:sz w:val="28"/>
          <w:szCs w:val="28"/>
        </w:rPr>
        <w:footnoteReference w:id="12"/>
      </w:r>
      <w:r>
        <w:rPr>
          <w:sz w:val="28"/>
          <w:szCs w:val="28"/>
        </w:rPr>
        <w:t>.</w:t>
      </w:r>
    </w:p>
    <w:p w14:paraId="4404A4FF" w14:textId="74CCB26E" w:rsidR="0099574F" w:rsidRDefault="0099574F" w:rsidP="0042466A">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16.7</w:t>
      </w:r>
      <w:r>
        <w:rPr>
          <w:sz w:val="28"/>
          <w:szCs w:val="28"/>
        </w:rPr>
        <w:tab/>
        <w:t>It received the first applicant’s objection dated 27</w:t>
      </w:r>
      <w:r w:rsidRPr="00513682">
        <w:rPr>
          <w:sz w:val="28"/>
          <w:szCs w:val="28"/>
          <w:vertAlign w:val="superscript"/>
        </w:rPr>
        <w:t>th</w:t>
      </w:r>
      <w:r>
        <w:rPr>
          <w:sz w:val="28"/>
          <w:szCs w:val="28"/>
        </w:rPr>
        <w:t xml:space="preserve"> January 2022</w:t>
      </w:r>
      <w:r w:rsidR="00772D41">
        <w:rPr>
          <w:sz w:val="28"/>
          <w:szCs w:val="28"/>
        </w:rPr>
        <w:t>. Two months passed without the first applicant getting a response from the IEC on the determination of the objection</w:t>
      </w:r>
      <w:r w:rsidR="00772D41">
        <w:rPr>
          <w:rStyle w:val="FootnoteReference"/>
          <w:sz w:val="28"/>
          <w:szCs w:val="28"/>
        </w:rPr>
        <w:footnoteReference w:id="13"/>
      </w:r>
      <w:r w:rsidR="00772D41">
        <w:rPr>
          <w:sz w:val="28"/>
          <w:szCs w:val="28"/>
        </w:rPr>
        <w:t>. The IEC only responded two months later on 25</w:t>
      </w:r>
      <w:r w:rsidR="00772D41" w:rsidRPr="00513682">
        <w:rPr>
          <w:sz w:val="28"/>
          <w:szCs w:val="28"/>
          <w:vertAlign w:val="superscript"/>
        </w:rPr>
        <w:t>th</w:t>
      </w:r>
      <w:r w:rsidR="00772D41">
        <w:rPr>
          <w:sz w:val="28"/>
          <w:szCs w:val="28"/>
        </w:rPr>
        <w:t xml:space="preserve"> March 2022 dismissing the objection on the ground that they do not fall within the scope of section 153(1)(c) and lack specificity</w:t>
      </w:r>
      <w:r w:rsidR="00772D41">
        <w:rPr>
          <w:rStyle w:val="FootnoteReference"/>
          <w:sz w:val="28"/>
          <w:szCs w:val="28"/>
        </w:rPr>
        <w:footnoteReference w:id="14"/>
      </w:r>
      <w:r w:rsidR="00772D41">
        <w:rPr>
          <w:sz w:val="28"/>
          <w:szCs w:val="28"/>
        </w:rPr>
        <w:t>.</w:t>
      </w:r>
    </w:p>
    <w:p w14:paraId="38118665" w14:textId="0EAFA145" w:rsidR="002236BE" w:rsidRDefault="002236BE" w:rsidP="0042466A">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16.</w:t>
      </w:r>
      <w:r w:rsidR="00A6473A">
        <w:rPr>
          <w:sz w:val="28"/>
          <w:szCs w:val="28"/>
        </w:rPr>
        <w:t>8</w:t>
      </w:r>
      <w:r>
        <w:rPr>
          <w:sz w:val="28"/>
          <w:szCs w:val="28"/>
        </w:rPr>
        <w:tab/>
        <w:t xml:space="preserve">It finalised the alteration of constituency boundaries by publication of the </w:t>
      </w:r>
      <w:r w:rsidRPr="000604C1">
        <w:rPr>
          <w:b/>
          <w:bCs/>
          <w:sz w:val="28"/>
          <w:szCs w:val="28"/>
        </w:rPr>
        <w:t>Constituency Delimitation Order</w:t>
      </w:r>
      <w:r>
        <w:rPr>
          <w:sz w:val="28"/>
          <w:szCs w:val="28"/>
        </w:rPr>
        <w:t xml:space="preserve"> in </w:t>
      </w:r>
      <w:r w:rsidRPr="002C2821">
        <w:rPr>
          <w:b/>
          <w:bCs/>
          <w:sz w:val="28"/>
          <w:szCs w:val="28"/>
        </w:rPr>
        <w:t>Legal Notice No.37 of 2022</w:t>
      </w:r>
      <w:r w:rsidRPr="002C2821">
        <w:rPr>
          <w:rStyle w:val="FootnoteReference"/>
          <w:sz w:val="28"/>
          <w:szCs w:val="28"/>
        </w:rPr>
        <w:footnoteReference w:id="15"/>
      </w:r>
      <w:r w:rsidR="0099574F">
        <w:rPr>
          <w:sz w:val="28"/>
          <w:szCs w:val="28"/>
        </w:rPr>
        <w:t xml:space="preserve"> in the Gazette.  </w:t>
      </w:r>
    </w:p>
    <w:p w14:paraId="02CA7F14" w14:textId="77777777" w:rsidR="0042466A" w:rsidRDefault="0042466A" w:rsidP="0042466A">
      <w:pPr>
        <w:pStyle w:val="NormalWeb"/>
        <w:shd w:val="clear" w:color="auto" w:fill="FFFFFF"/>
        <w:spacing w:before="144" w:beforeAutospacing="0" w:after="288" w:afterAutospacing="0" w:line="480" w:lineRule="atLeast"/>
        <w:ind w:left="1440" w:hanging="720"/>
        <w:jc w:val="both"/>
        <w:rPr>
          <w:sz w:val="28"/>
          <w:szCs w:val="28"/>
        </w:rPr>
      </w:pPr>
    </w:p>
    <w:p w14:paraId="5C89E6C4" w14:textId="62652651" w:rsidR="00772D41" w:rsidRDefault="00772D41" w:rsidP="00772D41">
      <w:pPr>
        <w:pStyle w:val="NormalWeb"/>
        <w:shd w:val="clear" w:color="auto" w:fill="FFFFFF"/>
        <w:spacing w:before="144" w:beforeAutospacing="0" w:after="288" w:afterAutospacing="0" w:line="480" w:lineRule="atLeast"/>
        <w:ind w:left="720" w:hanging="720"/>
        <w:jc w:val="both"/>
        <w:rPr>
          <w:sz w:val="28"/>
          <w:szCs w:val="28"/>
        </w:rPr>
      </w:pPr>
      <w:r>
        <w:rPr>
          <w:sz w:val="28"/>
          <w:szCs w:val="28"/>
        </w:rPr>
        <w:t>[17]</w:t>
      </w:r>
      <w:r>
        <w:rPr>
          <w:sz w:val="28"/>
          <w:szCs w:val="28"/>
        </w:rPr>
        <w:tab/>
        <w:t xml:space="preserve">It is important to mention that the following additional facts are also common cause: </w:t>
      </w:r>
    </w:p>
    <w:p w14:paraId="0445A687" w14:textId="40ADE4FE" w:rsidR="004B36B6" w:rsidRDefault="00772D41" w:rsidP="00513682">
      <w:pPr>
        <w:pStyle w:val="NormalWeb"/>
        <w:shd w:val="clear" w:color="auto" w:fill="FFFFFF"/>
        <w:spacing w:before="144" w:beforeAutospacing="0" w:after="288" w:afterAutospacing="0" w:line="480" w:lineRule="atLeast"/>
        <w:ind w:left="1440" w:hanging="720"/>
        <w:jc w:val="both"/>
        <w:rPr>
          <w:sz w:val="28"/>
          <w:szCs w:val="28"/>
        </w:rPr>
      </w:pPr>
      <w:r>
        <w:rPr>
          <w:sz w:val="28"/>
          <w:szCs w:val="28"/>
        </w:rPr>
        <w:lastRenderedPageBreak/>
        <w:t>17.1</w:t>
      </w:r>
      <w:r>
        <w:rPr>
          <w:sz w:val="28"/>
          <w:szCs w:val="28"/>
        </w:rPr>
        <w:tab/>
        <w:t>O</w:t>
      </w:r>
      <w:r w:rsidR="00B27F26">
        <w:rPr>
          <w:sz w:val="28"/>
          <w:szCs w:val="28"/>
        </w:rPr>
        <w:t>n 1 June 2019, the Commissioners’ contracts expired</w:t>
      </w:r>
      <w:r w:rsidR="00B27F26">
        <w:rPr>
          <w:rStyle w:val="FootnoteReference"/>
          <w:sz w:val="28"/>
          <w:szCs w:val="28"/>
        </w:rPr>
        <w:footnoteReference w:id="16"/>
      </w:r>
      <w:r w:rsidR="00B27F26">
        <w:rPr>
          <w:sz w:val="28"/>
          <w:szCs w:val="28"/>
        </w:rPr>
        <w:t>. New Commissioners were appointed on 13 December 2020 and resumed duties on 14 December 2020</w:t>
      </w:r>
      <w:r w:rsidR="00B27F26">
        <w:rPr>
          <w:rStyle w:val="FootnoteReference"/>
          <w:sz w:val="28"/>
          <w:szCs w:val="28"/>
        </w:rPr>
        <w:footnoteReference w:id="17"/>
      </w:r>
      <w:r w:rsidR="00B27F26">
        <w:rPr>
          <w:sz w:val="28"/>
          <w:szCs w:val="28"/>
        </w:rPr>
        <w:t>.</w:t>
      </w:r>
    </w:p>
    <w:p w14:paraId="5B4FCF94" w14:textId="44482ED5" w:rsidR="002C2821" w:rsidRDefault="00772D41" w:rsidP="00513682">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17.2</w:t>
      </w:r>
      <w:r>
        <w:rPr>
          <w:sz w:val="28"/>
          <w:szCs w:val="28"/>
        </w:rPr>
        <w:tab/>
      </w:r>
      <w:r w:rsidR="00B27F26">
        <w:rPr>
          <w:sz w:val="28"/>
          <w:szCs w:val="28"/>
        </w:rPr>
        <w:t>The</w:t>
      </w:r>
      <w:r w:rsidR="00581D3A">
        <w:rPr>
          <w:sz w:val="28"/>
          <w:szCs w:val="28"/>
        </w:rPr>
        <w:t xml:space="preserve"> </w:t>
      </w:r>
      <w:r w:rsidR="00B27F26">
        <w:rPr>
          <w:sz w:val="28"/>
          <w:szCs w:val="28"/>
        </w:rPr>
        <w:t>variance</w:t>
      </w:r>
      <w:r w:rsidR="006B5649">
        <w:rPr>
          <w:sz w:val="28"/>
          <w:szCs w:val="28"/>
        </w:rPr>
        <w:t>s</w:t>
      </w:r>
      <w:r w:rsidR="00B27F26">
        <w:rPr>
          <w:sz w:val="28"/>
          <w:szCs w:val="28"/>
        </w:rPr>
        <w:t xml:space="preserve"> in the voter population numbers </w:t>
      </w:r>
      <w:r>
        <w:rPr>
          <w:sz w:val="28"/>
          <w:szCs w:val="28"/>
        </w:rPr>
        <w:t xml:space="preserve">in some of the constituencies </w:t>
      </w:r>
      <w:r w:rsidR="005340BA">
        <w:rPr>
          <w:sz w:val="28"/>
          <w:szCs w:val="28"/>
        </w:rPr>
        <w:t xml:space="preserve">as </w:t>
      </w:r>
      <w:r>
        <w:rPr>
          <w:sz w:val="28"/>
          <w:szCs w:val="28"/>
        </w:rPr>
        <w:t xml:space="preserve">reflected </w:t>
      </w:r>
      <w:r w:rsidR="00B27F26">
        <w:rPr>
          <w:sz w:val="28"/>
          <w:szCs w:val="28"/>
        </w:rPr>
        <w:t xml:space="preserve">in </w:t>
      </w:r>
      <w:r>
        <w:rPr>
          <w:sz w:val="28"/>
          <w:szCs w:val="28"/>
        </w:rPr>
        <w:t xml:space="preserve">the impugned </w:t>
      </w:r>
      <w:r w:rsidRPr="00513682">
        <w:rPr>
          <w:b/>
          <w:bCs/>
          <w:sz w:val="28"/>
          <w:szCs w:val="28"/>
        </w:rPr>
        <w:t>Delimitation Order</w:t>
      </w:r>
      <w:r>
        <w:rPr>
          <w:sz w:val="28"/>
          <w:szCs w:val="28"/>
        </w:rPr>
        <w:t xml:space="preserve"> </w:t>
      </w:r>
      <w:r w:rsidR="005340BA">
        <w:rPr>
          <w:sz w:val="28"/>
          <w:szCs w:val="28"/>
        </w:rPr>
        <w:t>e</w:t>
      </w:r>
      <w:r w:rsidR="00B27F26">
        <w:rPr>
          <w:sz w:val="28"/>
          <w:szCs w:val="28"/>
        </w:rPr>
        <w:t>xceed the higher</w:t>
      </w:r>
      <w:r w:rsidR="00581D3A">
        <w:rPr>
          <w:sz w:val="28"/>
          <w:szCs w:val="28"/>
        </w:rPr>
        <w:t xml:space="preserve"> limit </w:t>
      </w:r>
      <w:r w:rsidR="005340BA">
        <w:rPr>
          <w:sz w:val="28"/>
          <w:szCs w:val="28"/>
        </w:rPr>
        <w:t xml:space="preserve">and also </w:t>
      </w:r>
      <w:r w:rsidR="00581D3A">
        <w:rPr>
          <w:sz w:val="28"/>
          <w:szCs w:val="28"/>
        </w:rPr>
        <w:t xml:space="preserve">fall below the </w:t>
      </w:r>
      <w:r w:rsidR="00B27F26">
        <w:rPr>
          <w:sz w:val="28"/>
          <w:szCs w:val="28"/>
        </w:rPr>
        <w:t>lower limit of the quota</w:t>
      </w:r>
      <w:r w:rsidR="005340BA">
        <w:rPr>
          <w:sz w:val="28"/>
          <w:szCs w:val="28"/>
        </w:rPr>
        <w:t xml:space="preserve"> of 15,507</w:t>
      </w:r>
      <w:r w:rsidR="00B27F26">
        <w:rPr>
          <w:rStyle w:val="FootnoteReference"/>
          <w:sz w:val="28"/>
          <w:szCs w:val="28"/>
        </w:rPr>
        <w:footnoteReference w:id="18"/>
      </w:r>
      <w:r w:rsidR="005340BA">
        <w:rPr>
          <w:sz w:val="28"/>
          <w:szCs w:val="28"/>
        </w:rPr>
        <w:t xml:space="preserve">. </w:t>
      </w:r>
    </w:p>
    <w:p w14:paraId="203984E3" w14:textId="77777777" w:rsidR="00A6473A" w:rsidRDefault="00A6473A" w:rsidP="00513682">
      <w:pPr>
        <w:pStyle w:val="NormalWeb"/>
        <w:shd w:val="clear" w:color="auto" w:fill="FFFFFF"/>
        <w:spacing w:before="144" w:beforeAutospacing="0" w:after="288" w:afterAutospacing="0" w:line="480" w:lineRule="atLeast"/>
        <w:ind w:left="1440" w:hanging="720"/>
        <w:jc w:val="both"/>
        <w:rPr>
          <w:sz w:val="28"/>
          <w:szCs w:val="28"/>
        </w:rPr>
      </w:pPr>
    </w:p>
    <w:p w14:paraId="23A24C3D" w14:textId="5A7AB3CB" w:rsidR="002C2821" w:rsidRPr="002C2821" w:rsidRDefault="002C2821" w:rsidP="0016027B">
      <w:pPr>
        <w:pStyle w:val="NormalWeb"/>
        <w:shd w:val="clear" w:color="auto" w:fill="FFFFFF"/>
        <w:spacing w:before="0" w:beforeAutospacing="0" w:after="0" w:afterAutospacing="0"/>
        <w:jc w:val="both"/>
        <w:rPr>
          <w:b/>
          <w:bCs/>
          <w:sz w:val="32"/>
          <w:szCs w:val="32"/>
        </w:rPr>
      </w:pPr>
      <w:r w:rsidRPr="002C2821">
        <w:rPr>
          <w:b/>
          <w:bCs/>
          <w:sz w:val="32"/>
          <w:szCs w:val="32"/>
        </w:rPr>
        <w:t>The Law</w:t>
      </w:r>
    </w:p>
    <w:p w14:paraId="265FFA2D" w14:textId="4B0D64F1" w:rsidR="00B27F26" w:rsidRDefault="00B27F26" w:rsidP="0016027B">
      <w:pPr>
        <w:pStyle w:val="NormalWeb"/>
        <w:shd w:val="clear" w:color="auto" w:fill="FFFFFF"/>
        <w:spacing w:before="0" w:beforeAutospacing="0" w:after="0" w:afterAutospacing="0"/>
        <w:jc w:val="both"/>
        <w:rPr>
          <w:b/>
          <w:bCs/>
          <w:sz w:val="32"/>
          <w:szCs w:val="32"/>
        </w:rPr>
      </w:pPr>
    </w:p>
    <w:p w14:paraId="0F667738" w14:textId="07CDE841" w:rsidR="00B27F26" w:rsidRPr="00A20F5F" w:rsidRDefault="00B27F26" w:rsidP="00C523B0">
      <w:pPr>
        <w:pStyle w:val="NormalWeb"/>
        <w:shd w:val="clear" w:color="auto" w:fill="FFFFFF"/>
        <w:spacing w:before="0" w:beforeAutospacing="0" w:after="0" w:afterAutospacing="0" w:line="480" w:lineRule="auto"/>
        <w:ind w:left="720" w:hanging="720"/>
        <w:jc w:val="both"/>
        <w:rPr>
          <w:sz w:val="28"/>
          <w:szCs w:val="28"/>
        </w:rPr>
      </w:pPr>
      <w:r>
        <w:rPr>
          <w:sz w:val="28"/>
          <w:szCs w:val="28"/>
        </w:rPr>
        <w:t>[1</w:t>
      </w:r>
      <w:r w:rsidR="005340BA">
        <w:rPr>
          <w:sz w:val="28"/>
          <w:szCs w:val="28"/>
        </w:rPr>
        <w:t>8</w:t>
      </w:r>
      <w:r>
        <w:rPr>
          <w:sz w:val="28"/>
          <w:szCs w:val="28"/>
        </w:rPr>
        <w:t>]</w:t>
      </w:r>
      <w:r>
        <w:rPr>
          <w:sz w:val="28"/>
          <w:szCs w:val="28"/>
        </w:rPr>
        <w:tab/>
        <w:t xml:space="preserve">The applicants’ </w:t>
      </w:r>
      <w:r w:rsidR="008D1A04">
        <w:rPr>
          <w:sz w:val="28"/>
          <w:szCs w:val="28"/>
        </w:rPr>
        <w:t>attack</w:t>
      </w:r>
      <w:r>
        <w:rPr>
          <w:sz w:val="28"/>
          <w:szCs w:val="28"/>
        </w:rPr>
        <w:t xml:space="preserve"> </w:t>
      </w:r>
      <w:r w:rsidR="00581D3A">
        <w:rPr>
          <w:sz w:val="28"/>
          <w:szCs w:val="28"/>
        </w:rPr>
        <w:t xml:space="preserve">of the </w:t>
      </w:r>
      <w:r w:rsidR="00581D3A" w:rsidRPr="00513682">
        <w:rPr>
          <w:b/>
          <w:bCs/>
          <w:sz w:val="28"/>
          <w:szCs w:val="28"/>
        </w:rPr>
        <w:t>Delimitation Order</w:t>
      </w:r>
      <w:r w:rsidR="00581D3A">
        <w:rPr>
          <w:sz w:val="28"/>
          <w:szCs w:val="28"/>
        </w:rPr>
        <w:t xml:space="preserve"> </w:t>
      </w:r>
      <w:r>
        <w:rPr>
          <w:sz w:val="28"/>
          <w:szCs w:val="28"/>
        </w:rPr>
        <w:t xml:space="preserve">is based on </w:t>
      </w:r>
      <w:r w:rsidR="00581D3A">
        <w:rPr>
          <w:sz w:val="28"/>
          <w:szCs w:val="28"/>
        </w:rPr>
        <w:t xml:space="preserve">breach </w:t>
      </w:r>
      <w:r>
        <w:rPr>
          <w:sz w:val="28"/>
          <w:szCs w:val="28"/>
        </w:rPr>
        <w:t>of sections 67(2) and 67(3).  The la</w:t>
      </w:r>
      <w:r w:rsidR="00581D3A">
        <w:rPr>
          <w:sz w:val="28"/>
          <w:szCs w:val="28"/>
        </w:rPr>
        <w:t>t</w:t>
      </w:r>
      <w:r>
        <w:rPr>
          <w:sz w:val="28"/>
          <w:szCs w:val="28"/>
        </w:rPr>
        <w:t xml:space="preserve">ter stipulates the period </w:t>
      </w:r>
      <w:r w:rsidR="00581D3A">
        <w:rPr>
          <w:sz w:val="28"/>
          <w:szCs w:val="28"/>
        </w:rPr>
        <w:t xml:space="preserve">for </w:t>
      </w:r>
      <w:r>
        <w:rPr>
          <w:sz w:val="28"/>
          <w:szCs w:val="28"/>
        </w:rPr>
        <w:t xml:space="preserve">the IEC </w:t>
      </w:r>
      <w:r w:rsidR="00581D3A">
        <w:rPr>
          <w:sz w:val="28"/>
          <w:szCs w:val="28"/>
        </w:rPr>
        <w:t xml:space="preserve">to </w:t>
      </w:r>
      <w:r>
        <w:rPr>
          <w:sz w:val="28"/>
          <w:szCs w:val="28"/>
        </w:rPr>
        <w:t>do a review</w:t>
      </w:r>
      <w:r w:rsidR="00581D3A">
        <w:rPr>
          <w:sz w:val="28"/>
          <w:szCs w:val="28"/>
        </w:rPr>
        <w:t xml:space="preserve"> of constituency boundaries</w:t>
      </w:r>
      <w:r>
        <w:rPr>
          <w:sz w:val="28"/>
          <w:szCs w:val="28"/>
        </w:rPr>
        <w:t xml:space="preserve">.  The former provides criteria for </w:t>
      </w:r>
      <w:r w:rsidR="00581D3A">
        <w:rPr>
          <w:sz w:val="28"/>
          <w:szCs w:val="28"/>
        </w:rPr>
        <w:t xml:space="preserve">altering constituency boundaries. </w:t>
      </w:r>
      <w:r>
        <w:rPr>
          <w:sz w:val="28"/>
          <w:szCs w:val="28"/>
        </w:rPr>
        <w:t>It is</w:t>
      </w:r>
      <w:r w:rsidR="00817434">
        <w:rPr>
          <w:sz w:val="28"/>
          <w:szCs w:val="28"/>
        </w:rPr>
        <w:t xml:space="preserve">, </w:t>
      </w:r>
      <w:r>
        <w:rPr>
          <w:sz w:val="28"/>
          <w:szCs w:val="28"/>
        </w:rPr>
        <w:t>therefore</w:t>
      </w:r>
      <w:r w:rsidR="00817434">
        <w:rPr>
          <w:sz w:val="28"/>
          <w:szCs w:val="28"/>
        </w:rPr>
        <w:t xml:space="preserve">, </w:t>
      </w:r>
      <w:r>
        <w:rPr>
          <w:sz w:val="28"/>
          <w:szCs w:val="28"/>
        </w:rPr>
        <w:t>logical t</w:t>
      </w:r>
      <w:r w:rsidR="00817434">
        <w:rPr>
          <w:sz w:val="28"/>
          <w:szCs w:val="28"/>
        </w:rPr>
        <w:t xml:space="preserve">o interpret section </w:t>
      </w:r>
      <w:r>
        <w:rPr>
          <w:sz w:val="28"/>
          <w:szCs w:val="28"/>
        </w:rPr>
        <w:t>67(3) first.   The reason is that if the applicants</w:t>
      </w:r>
      <w:r w:rsidR="00817434">
        <w:rPr>
          <w:sz w:val="28"/>
          <w:szCs w:val="28"/>
        </w:rPr>
        <w:t>’</w:t>
      </w:r>
      <w:r>
        <w:rPr>
          <w:sz w:val="28"/>
          <w:szCs w:val="28"/>
        </w:rPr>
        <w:t xml:space="preserve"> </w:t>
      </w:r>
      <w:r w:rsidR="00817434">
        <w:rPr>
          <w:sz w:val="28"/>
          <w:szCs w:val="28"/>
        </w:rPr>
        <w:t xml:space="preserve">contention on it </w:t>
      </w:r>
      <w:r>
        <w:rPr>
          <w:sz w:val="28"/>
          <w:szCs w:val="28"/>
        </w:rPr>
        <w:t xml:space="preserve">are right, </w:t>
      </w:r>
      <w:r w:rsidR="00817434">
        <w:rPr>
          <w:sz w:val="28"/>
          <w:szCs w:val="28"/>
        </w:rPr>
        <w:t xml:space="preserve">they are </w:t>
      </w:r>
      <w:proofErr w:type="gramStart"/>
      <w:r w:rsidR="00817434">
        <w:rPr>
          <w:sz w:val="28"/>
          <w:szCs w:val="28"/>
        </w:rPr>
        <w:t>dispositive</w:t>
      </w:r>
      <w:proofErr w:type="gramEnd"/>
      <w:r w:rsidR="00817434">
        <w:rPr>
          <w:sz w:val="28"/>
          <w:szCs w:val="28"/>
        </w:rPr>
        <w:t xml:space="preserve"> and </w:t>
      </w:r>
      <w:r>
        <w:rPr>
          <w:sz w:val="28"/>
          <w:szCs w:val="28"/>
        </w:rPr>
        <w:t xml:space="preserve">it will not be necessary to reach </w:t>
      </w:r>
      <w:r w:rsidR="00817434">
        <w:rPr>
          <w:sz w:val="28"/>
          <w:szCs w:val="28"/>
        </w:rPr>
        <w:t xml:space="preserve">the </w:t>
      </w:r>
      <w:r>
        <w:rPr>
          <w:sz w:val="28"/>
          <w:szCs w:val="28"/>
        </w:rPr>
        <w:t>section 67(2) enquiry.</w:t>
      </w:r>
    </w:p>
    <w:p w14:paraId="5BE64E29" w14:textId="59ABB455" w:rsidR="00B27F26" w:rsidRDefault="00B27F26" w:rsidP="0016027B">
      <w:pPr>
        <w:pStyle w:val="NormalWeb"/>
        <w:shd w:val="clear" w:color="auto" w:fill="FFFFFF"/>
        <w:spacing w:before="0" w:beforeAutospacing="0" w:after="0" w:afterAutospacing="0"/>
        <w:jc w:val="both"/>
        <w:rPr>
          <w:b/>
          <w:bCs/>
          <w:sz w:val="32"/>
          <w:szCs w:val="32"/>
        </w:rPr>
      </w:pPr>
    </w:p>
    <w:p w14:paraId="2B31FFBD" w14:textId="77777777" w:rsidR="00A6473A" w:rsidRDefault="00A6473A" w:rsidP="0016027B">
      <w:pPr>
        <w:pStyle w:val="NormalWeb"/>
        <w:shd w:val="clear" w:color="auto" w:fill="FFFFFF"/>
        <w:spacing w:before="0" w:beforeAutospacing="0" w:after="0" w:afterAutospacing="0"/>
        <w:jc w:val="both"/>
        <w:rPr>
          <w:b/>
          <w:bCs/>
          <w:sz w:val="32"/>
          <w:szCs w:val="32"/>
        </w:rPr>
      </w:pPr>
    </w:p>
    <w:p w14:paraId="29E20B65" w14:textId="68433EE7" w:rsidR="00E84968" w:rsidRDefault="00C8148C" w:rsidP="0016027B">
      <w:pPr>
        <w:pStyle w:val="NormalWeb"/>
        <w:shd w:val="clear" w:color="auto" w:fill="FFFFFF"/>
        <w:spacing w:before="0" w:beforeAutospacing="0" w:after="0" w:afterAutospacing="0"/>
        <w:jc w:val="both"/>
        <w:rPr>
          <w:b/>
          <w:bCs/>
          <w:sz w:val="32"/>
          <w:szCs w:val="32"/>
        </w:rPr>
      </w:pPr>
      <w:r>
        <w:rPr>
          <w:b/>
          <w:bCs/>
          <w:sz w:val="32"/>
          <w:szCs w:val="32"/>
        </w:rPr>
        <w:t>Section 67(3) interpretation</w:t>
      </w:r>
    </w:p>
    <w:p w14:paraId="76D1126F" w14:textId="77777777" w:rsidR="00C8148C" w:rsidRPr="002C2821" w:rsidRDefault="00C8148C" w:rsidP="0016027B">
      <w:pPr>
        <w:pStyle w:val="NormalWeb"/>
        <w:shd w:val="clear" w:color="auto" w:fill="FFFFFF"/>
        <w:spacing w:before="0" w:beforeAutospacing="0" w:after="0" w:afterAutospacing="0"/>
        <w:jc w:val="both"/>
        <w:rPr>
          <w:b/>
          <w:bCs/>
          <w:sz w:val="32"/>
          <w:szCs w:val="32"/>
        </w:rPr>
      </w:pPr>
    </w:p>
    <w:p w14:paraId="3D54946A" w14:textId="382CCDDA" w:rsidR="00CB1597" w:rsidRDefault="002C2821" w:rsidP="001C3B90">
      <w:pPr>
        <w:pStyle w:val="NormalWeb"/>
        <w:shd w:val="clear" w:color="auto" w:fill="FFFFFF"/>
        <w:spacing w:before="0" w:beforeAutospacing="0" w:after="0" w:afterAutospacing="0" w:line="480" w:lineRule="auto"/>
        <w:ind w:left="720" w:hanging="720"/>
        <w:jc w:val="both"/>
        <w:rPr>
          <w:sz w:val="28"/>
          <w:szCs w:val="28"/>
        </w:rPr>
      </w:pPr>
      <w:r>
        <w:rPr>
          <w:sz w:val="28"/>
          <w:szCs w:val="28"/>
        </w:rPr>
        <w:t>[</w:t>
      </w:r>
      <w:r w:rsidR="00244C8E">
        <w:rPr>
          <w:sz w:val="28"/>
          <w:szCs w:val="28"/>
        </w:rPr>
        <w:t>1</w:t>
      </w:r>
      <w:r w:rsidR="00513682">
        <w:rPr>
          <w:sz w:val="28"/>
          <w:szCs w:val="28"/>
        </w:rPr>
        <w:t>9</w:t>
      </w:r>
      <w:r>
        <w:rPr>
          <w:sz w:val="28"/>
          <w:szCs w:val="28"/>
        </w:rPr>
        <w:t>]</w:t>
      </w:r>
      <w:r>
        <w:rPr>
          <w:sz w:val="28"/>
          <w:szCs w:val="28"/>
        </w:rPr>
        <w:tab/>
        <w:t xml:space="preserve">Sections 67(3) of the Constitution quoted earlier provides </w:t>
      </w:r>
      <w:r w:rsidR="00817434">
        <w:rPr>
          <w:sz w:val="28"/>
          <w:szCs w:val="28"/>
        </w:rPr>
        <w:t xml:space="preserve">that a review of boundaries of constituencies must be made </w:t>
      </w:r>
      <w:r w:rsidR="00CB1597">
        <w:rPr>
          <w:sz w:val="28"/>
          <w:szCs w:val="28"/>
        </w:rPr>
        <w:t xml:space="preserve">“not less than eight nor more </w:t>
      </w:r>
      <w:r w:rsidR="00CB1597">
        <w:rPr>
          <w:sz w:val="28"/>
          <w:szCs w:val="28"/>
        </w:rPr>
        <w:lastRenderedPageBreak/>
        <w:t>than ten years from the date of completion of the last review”.  The IEC may carry out</w:t>
      </w:r>
      <w:r w:rsidR="001C3B90">
        <w:rPr>
          <w:sz w:val="28"/>
          <w:szCs w:val="28"/>
        </w:rPr>
        <w:t xml:space="preserve"> such</w:t>
      </w:r>
      <w:r w:rsidR="00CB1597">
        <w:rPr>
          <w:sz w:val="28"/>
          <w:szCs w:val="28"/>
        </w:rPr>
        <w:t xml:space="preserve"> a review whenever a population census has been held and </w:t>
      </w:r>
      <w:r w:rsidR="00817434">
        <w:rPr>
          <w:sz w:val="28"/>
          <w:szCs w:val="28"/>
        </w:rPr>
        <w:t xml:space="preserve">then </w:t>
      </w:r>
      <w:r w:rsidR="00CB1597">
        <w:rPr>
          <w:sz w:val="28"/>
          <w:szCs w:val="28"/>
        </w:rPr>
        <w:t>alter constituency boundaries if it considers desirable in consequence of the census.</w:t>
      </w:r>
    </w:p>
    <w:p w14:paraId="29E1F605" w14:textId="77777777" w:rsidR="00A6473A" w:rsidRDefault="00A6473A" w:rsidP="001C3B90">
      <w:pPr>
        <w:pStyle w:val="NormalWeb"/>
        <w:shd w:val="clear" w:color="auto" w:fill="FFFFFF"/>
        <w:spacing w:before="0" w:beforeAutospacing="0" w:after="0" w:afterAutospacing="0" w:line="480" w:lineRule="auto"/>
        <w:ind w:left="720" w:hanging="720"/>
        <w:jc w:val="both"/>
        <w:rPr>
          <w:sz w:val="28"/>
          <w:szCs w:val="28"/>
        </w:rPr>
      </w:pPr>
    </w:p>
    <w:p w14:paraId="3AC8C2E8" w14:textId="236AB83E" w:rsidR="00CB1597" w:rsidRDefault="00CB1597"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513682">
        <w:rPr>
          <w:sz w:val="28"/>
          <w:szCs w:val="28"/>
        </w:rPr>
        <w:t>20</w:t>
      </w:r>
      <w:r>
        <w:rPr>
          <w:sz w:val="28"/>
          <w:szCs w:val="28"/>
        </w:rPr>
        <w:t>]</w:t>
      </w:r>
      <w:r>
        <w:rPr>
          <w:sz w:val="28"/>
          <w:szCs w:val="28"/>
        </w:rPr>
        <w:tab/>
      </w:r>
      <w:r w:rsidR="007935F1">
        <w:rPr>
          <w:sz w:val="28"/>
          <w:szCs w:val="28"/>
        </w:rPr>
        <w:t>It is the contention of the applicants that the correct interpretation of section 67(3) is that no review of constituency boundaries can be made if not started and finished within the eight to ten-year period of the last review.</w:t>
      </w:r>
    </w:p>
    <w:p w14:paraId="17C1DFAD" w14:textId="03AEC0D9" w:rsidR="007935F1" w:rsidRDefault="007935F1" w:rsidP="002C2821">
      <w:pPr>
        <w:pStyle w:val="NormalWeb"/>
        <w:shd w:val="clear" w:color="auto" w:fill="FFFFFF"/>
        <w:spacing w:before="144" w:beforeAutospacing="0" w:after="288" w:afterAutospacing="0" w:line="480" w:lineRule="atLeast"/>
        <w:ind w:left="720" w:hanging="720"/>
        <w:jc w:val="both"/>
        <w:rPr>
          <w:sz w:val="28"/>
          <w:szCs w:val="28"/>
        </w:rPr>
      </w:pPr>
    </w:p>
    <w:p w14:paraId="622905DE" w14:textId="502AE38F" w:rsidR="007935F1" w:rsidRDefault="007935F1"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513682">
        <w:rPr>
          <w:sz w:val="28"/>
          <w:szCs w:val="28"/>
        </w:rPr>
        <w:t>1</w:t>
      </w:r>
      <w:r>
        <w:rPr>
          <w:sz w:val="28"/>
          <w:szCs w:val="28"/>
        </w:rPr>
        <w:t>]</w:t>
      </w:r>
      <w:r>
        <w:rPr>
          <w:sz w:val="28"/>
          <w:szCs w:val="28"/>
        </w:rPr>
        <w:tab/>
        <w:t xml:space="preserve">The IEC’s contention is that sub-section (3) and the proviso thereto provides for two types of review.  The first type </w:t>
      </w:r>
      <w:r w:rsidR="00817434">
        <w:rPr>
          <w:sz w:val="28"/>
          <w:szCs w:val="28"/>
        </w:rPr>
        <w:t>of t</w:t>
      </w:r>
      <w:r>
        <w:rPr>
          <w:sz w:val="28"/>
          <w:szCs w:val="28"/>
        </w:rPr>
        <w:t xml:space="preserve">he review </w:t>
      </w:r>
      <w:r w:rsidR="00A57581">
        <w:rPr>
          <w:sz w:val="28"/>
          <w:szCs w:val="28"/>
        </w:rPr>
        <w:t xml:space="preserve">is that </w:t>
      </w:r>
      <w:r>
        <w:rPr>
          <w:sz w:val="28"/>
          <w:szCs w:val="28"/>
        </w:rPr>
        <w:t xml:space="preserve">which must be done every eight to ten years of the last review.  The second </w:t>
      </w:r>
      <w:r w:rsidR="00F56D46">
        <w:rPr>
          <w:sz w:val="28"/>
          <w:szCs w:val="28"/>
        </w:rPr>
        <w:t>type</w:t>
      </w:r>
      <w:r>
        <w:rPr>
          <w:sz w:val="28"/>
          <w:szCs w:val="28"/>
        </w:rPr>
        <w:t xml:space="preserve"> </w:t>
      </w:r>
      <w:r w:rsidR="00A57581">
        <w:rPr>
          <w:sz w:val="28"/>
          <w:szCs w:val="28"/>
        </w:rPr>
        <w:t xml:space="preserve">of </w:t>
      </w:r>
      <w:r>
        <w:rPr>
          <w:sz w:val="28"/>
          <w:szCs w:val="28"/>
        </w:rPr>
        <w:t xml:space="preserve">review </w:t>
      </w:r>
      <w:r w:rsidR="00A57581">
        <w:rPr>
          <w:sz w:val="28"/>
          <w:szCs w:val="28"/>
        </w:rPr>
        <w:t xml:space="preserve">is </w:t>
      </w:r>
      <w:r>
        <w:rPr>
          <w:sz w:val="28"/>
          <w:szCs w:val="28"/>
        </w:rPr>
        <w:t xml:space="preserve">referenced in the proviso which </w:t>
      </w:r>
      <w:r w:rsidR="00A57581">
        <w:rPr>
          <w:sz w:val="28"/>
          <w:szCs w:val="28"/>
        </w:rPr>
        <w:t xml:space="preserve">has to be </w:t>
      </w:r>
      <w:r>
        <w:rPr>
          <w:sz w:val="28"/>
          <w:szCs w:val="28"/>
        </w:rPr>
        <w:t>carried out whenever a census of the population is held.  This may be any time after the product</w:t>
      </w:r>
      <w:r w:rsidR="006B5649">
        <w:rPr>
          <w:sz w:val="28"/>
          <w:szCs w:val="28"/>
        </w:rPr>
        <w:t>ion</w:t>
      </w:r>
      <w:r>
        <w:rPr>
          <w:sz w:val="28"/>
          <w:szCs w:val="28"/>
        </w:rPr>
        <w:t xml:space="preserve"> of a census report</w:t>
      </w:r>
      <w:r w:rsidR="006B5649">
        <w:rPr>
          <w:sz w:val="28"/>
          <w:szCs w:val="28"/>
        </w:rPr>
        <w:t xml:space="preserve"> and is not regulated by the eight to ten years period of the last review. </w:t>
      </w:r>
    </w:p>
    <w:p w14:paraId="535A97D3" w14:textId="557F5C2F" w:rsidR="007935F1" w:rsidRDefault="007935F1" w:rsidP="002C2821">
      <w:pPr>
        <w:pStyle w:val="NormalWeb"/>
        <w:shd w:val="clear" w:color="auto" w:fill="FFFFFF"/>
        <w:spacing w:before="144" w:beforeAutospacing="0" w:after="288" w:afterAutospacing="0" w:line="480" w:lineRule="atLeast"/>
        <w:ind w:left="720" w:hanging="720"/>
        <w:jc w:val="both"/>
        <w:rPr>
          <w:sz w:val="28"/>
          <w:szCs w:val="28"/>
        </w:rPr>
      </w:pPr>
    </w:p>
    <w:p w14:paraId="12004B72" w14:textId="1868D844" w:rsidR="007935F1" w:rsidRDefault="007935F1"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513682">
        <w:rPr>
          <w:sz w:val="28"/>
          <w:szCs w:val="28"/>
        </w:rPr>
        <w:t>2</w:t>
      </w:r>
      <w:r>
        <w:rPr>
          <w:sz w:val="28"/>
          <w:szCs w:val="28"/>
        </w:rPr>
        <w:t>]</w:t>
      </w:r>
      <w:r>
        <w:rPr>
          <w:sz w:val="28"/>
          <w:szCs w:val="28"/>
        </w:rPr>
        <w:tab/>
        <w:t xml:space="preserve">The contention of </w:t>
      </w:r>
      <w:r w:rsidRPr="007E0960">
        <w:rPr>
          <w:b/>
          <w:bCs/>
          <w:sz w:val="28"/>
          <w:szCs w:val="28"/>
        </w:rPr>
        <w:t xml:space="preserve">Yearn </w:t>
      </w:r>
      <w:bookmarkStart w:id="1" w:name="_Hlk110803383"/>
      <w:r w:rsidRPr="007E0960">
        <w:rPr>
          <w:b/>
          <w:bCs/>
          <w:sz w:val="28"/>
          <w:szCs w:val="28"/>
        </w:rPr>
        <w:t>for Economic Sustainability</w:t>
      </w:r>
      <w:bookmarkEnd w:id="1"/>
      <w:r>
        <w:rPr>
          <w:sz w:val="28"/>
          <w:szCs w:val="28"/>
        </w:rPr>
        <w:t xml:space="preserve"> is that section 67(3) must be read with section 159(3).  If so read, they are transitional provisions which provided for delimitation of sixty-five constituencies </w:t>
      </w:r>
      <w:r w:rsidR="00A57581">
        <w:rPr>
          <w:sz w:val="28"/>
          <w:szCs w:val="28"/>
        </w:rPr>
        <w:t>which were in place for electing the first National Assembly. O</w:t>
      </w:r>
      <w:r>
        <w:rPr>
          <w:sz w:val="28"/>
          <w:szCs w:val="28"/>
        </w:rPr>
        <w:t>n this understanding, currently the Constitution does not provide for any time frames for delimiting constituencies.</w:t>
      </w:r>
    </w:p>
    <w:p w14:paraId="4BFE7A8C" w14:textId="7CB01A1B" w:rsidR="007935F1" w:rsidRDefault="007935F1" w:rsidP="002C2821">
      <w:pPr>
        <w:pStyle w:val="NormalWeb"/>
        <w:shd w:val="clear" w:color="auto" w:fill="FFFFFF"/>
        <w:spacing w:before="144" w:beforeAutospacing="0" w:after="288" w:afterAutospacing="0" w:line="480" w:lineRule="atLeast"/>
        <w:ind w:left="720" w:hanging="720"/>
        <w:jc w:val="both"/>
        <w:rPr>
          <w:sz w:val="28"/>
          <w:szCs w:val="28"/>
        </w:rPr>
      </w:pPr>
    </w:p>
    <w:p w14:paraId="3A6B1101" w14:textId="093D7116" w:rsidR="00495667" w:rsidRDefault="007935F1"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lastRenderedPageBreak/>
        <w:t>[2</w:t>
      </w:r>
      <w:r w:rsidR="00513682">
        <w:rPr>
          <w:sz w:val="28"/>
          <w:szCs w:val="28"/>
        </w:rPr>
        <w:t>3</w:t>
      </w:r>
      <w:r>
        <w:rPr>
          <w:sz w:val="28"/>
          <w:szCs w:val="28"/>
        </w:rPr>
        <w:t>]</w:t>
      </w:r>
      <w:r>
        <w:rPr>
          <w:sz w:val="28"/>
          <w:szCs w:val="28"/>
        </w:rPr>
        <w:tab/>
        <w:t xml:space="preserve">The contention of </w:t>
      </w:r>
      <w:r w:rsidRPr="00495667">
        <w:rPr>
          <w:b/>
          <w:bCs/>
          <w:sz w:val="28"/>
          <w:szCs w:val="28"/>
        </w:rPr>
        <w:t>Yearn</w:t>
      </w:r>
      <w:r w:rsidR="00A57581">
        <w:rPr>
          <w:b/>
          <w:bCs/>
          <w:sz w:val="28"/>
          <w:szCs w:val="28"/>
        </w:rPr>
        <w:t xml:space="preserve"> </w:t>
      </w:r>
      <w:r w:rsidR="00A57581" w:rsidRPr="007E0960">
        <w:rPr>
          <w:b/>
          <w:bCs/>
          <w:sz w:val="28"/>
          <w:szCs w:val="28"/>
        </w:rPr>
        <w:t>for Economic Sustainability</w:t>
      </w:r>
      <w:r>
        <w:rPr>
          <w:sz w:val="28"/>
          <w:szCs w:val="28"/>
        </w:rPr>
        <w:t xml:space="preserve"> need not detain us.  </w:t>
      </w:r>
      <w:r w:rsidR="00495667">
        <w:rPr>
          <w:sz w:val="28"/>
          <w:szCs w:val="28"/>
        </w:rPr>
        <w:t xml:space="preserve">It overlooks the provisions of section 67(1) introduced by the Second Amendment to the Constitution </w:t>
      </w:r>
      <w:r w:rsidR="00244C8E" w:rsidRPr="00480420">
        <w:rPr>
          <w:b/>
          <w:bCs/>
          <w:sz w:val="28"/>
          <w:szCs w:val="28"/>
        </w:rPr>
        <w:t>Act No. 7 of 1997</w:t>
      </w:r>
      <w:r w:rsidR="00244C8E">
        <w:rPr>
          <w:sz w:val="28"/>
          <w:szCs w:val="28"/>
        </w:rPr>
        <w:t xml:space="preserve">, </w:t>
      </w:r>
      <w:r w:rsidR="00495667">
        <w:rPr>
          <w:sz w:val="28"/>
          <w:szCs w:val="28"/>
        </w:rPr>
        <w:t xml:space="preserve">in terms of which the </w:t>
      </w:r>
      <w:r w:rsidR="00165574">
        <w:rPr>
          <w:sz w:val="28"/>
          <w:szCs w:val="28"/>
        </w:rPr>
        <w:t xml:space="preserve">sixty – five constituencies were abolished, and the </w:t>
      </w:r>
      <w:r w:rsidR="00495667">
        <w:rPr>
          <w:sz w:val="28"/>
          <w:szCs w:val="28"/>
        </w:rPr>
        <w:t>IEC divided the Kingdom into eighty constituencies.  It is these eighty constituencies whose boundaries are subject to review in terms of section 67(3).</w:t>
      </w:r>
      <w:r w:rsidR="00425124">
        <w:rPr>
          <w:sz w:val="28"/>
          <w:szCs w:val="28"/>
        </w:rPr>
        <w:t xml:space="preserve"> Again, regard being had to the words “any review” in section 67(3), it becomes pellucid that the Constitution contemplates periodic reviews subsequent to </w:t>
      </w:r>
      <w:r w:rsidR="00C8148C">
        <w:rPr>
          <w:sz w:val="28"/>
          <w:szCs w:val="28"/>
        </w:rPr>
        <w:t xml:space="preserve">the review referenced in section </w:t>
      </w:r>
      <w:r w:rsidR="00425124">
        <w:rPr>
          <w:sz w:val="28"/>
          <w:szCs w:val="28"/>
        </w:rPr>
        <w:t>159(3)</w:t>
      </w:r>
      <w:r w:rsidR="00C8148C">
        <w:rPr>
          <w:sz w:val="28"/>
          <w:szCs w:val="28"/>
        </w:rPr>
        <w:t>.</w:t>
      </w:r>
      <w:r w:rsidR="00425124">
        <w:rPr>
          <w:sz w:val="28"/>
          <w:szCs w:val="28"/>
        </w:rPr>
        <w:t xml:space="preserve">  </w:t>
      </w:r>
    </w:p>
    <w:p w14:paraId="730F50B8" w14:textId="77777777" w:rsidR="00495667" w:rsidRDefault="00495667" w:rsidP="002C2821">
      <w:pPr>
        <w:pStyle w:val="NormalWeb"/>
        <w:shd w:val="clear" w:color="auto" w:fill="FFFFFF"/>
        <w:spacing w:before="144" w:beforeAutospacing="0" w:after="288" w:afterAutospacing="0" w:line="480" w:lineRule="atLeast"/>
        <w:ind w:left="720" w:hanging="720"/>
        <w:jc w:val="both"/>
        <w:rPr>
          <w:sz w:val="28"/>
          <w:szCs w:val="28"/>
        </w:rPr>
      </w:pPr>
    </w:p>
    <w:p w14:paraId="5E1EF98D" w14:textId="5CA7DEC7" w:rsidR="00495667" w:rsidRDefault="00495667" w:rsidP="006700ED">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513682">
        <w:rPr>
          <w:sz w:val="28"/>
          <w:szCs w:val="28"/>
        </w:rPr>
        <w:t>4</w:t>
      </w:r>
      <w:r>
        <w:rPr>
          <w:sz w:val="28"/>
          <w:szCs w:val="28"/>
        </w:rPr>
        <w:t>]</w:t>
      </w:r>
      <w:r>
        <w:rPr>
          <w:sz w:val="28"/>
          <w:szCs w:val="28"/>
        </w:rPr>
        <w:tab/>
      </w:r>
      <w:r w:rsidR="00165574">
        <w:rPr>
          <w:sz w:val="28"/>
          <w:szCs w:val="28"/>
        </w:rPr>
        <w:t xml:space="preserve">Thus, the </w:t>
      </w:r>
      <w:r>
        <w:rPr>
          <w:sz w:val="28"/>
          <w:szCs w:val="28"/>
        </w:rPr>
        <w:t xml:space="preserve">interpretation contended for by </w:t>
      </w:r>
      <w:r w:rsidRPr="00495667">
        <w:rPr>
          <w:b/>
          <w:bCs/>
          <w:sz w:val="28"/>
          <w:szCs w:val="28"/>
        </w:rPr>
        <w:t>Yearn</w:t>
      </w:r>
      <w:r w:rsidR="00165574">
        <w:rPr>
          <w:b/>
          <w:bCs/>
          <w:sz w:val="28"/>
          <w:szCs w:val="28"/>
        </w:rPr>
        <w:t xml:space="preserve"> </w:t>
      </w:r>
      <w:r w:rsidR="00165574" w:rsidRPr="007E0960">
        <w:rPr>
          <w:b/>
          <w:bCs/>
          <w:sz w:val="28"/>
          <w:szCs w:val="28"/>
        </w:rPr>
        <w:t>for Economic Sustainability</w:t>
      </w:r>
      <w:r w:rsidR="00165574">
        <w:rPr>
          <w:b/>
          <w:bCs/>
          <w:sz w:val="28"/>
          <w:szCs w:val="28"/>
        </w:rPr>
        <w:t xml:space="preserve"> </w:t>
      </w:r>
      <w:r w:rsidR="006B5649">
        <w:rPr>
          <w:sz w:val="28"/>
          <w:szCs w:val="28"/>
        </w:rPr>
        <w:t>l</w:t>
      </w:r>
      <w:r>
        <w:rPr>
          <w:sz w:val="28"/>
          <w:szCs w:val="28"/>
        </w:rPr>
        <w:t>eads to an absurd result that the boundaries of the eighty constituencies are</w:t>
      </w:r>
      <w:r w:rsidR="006F3F05">
        <w:rPr>
          <w:sz w:val="28"/>
          <w:szCs w:val="28"/>
        </w:rPr>
        <w:t xml:space="preserve"> not</w:t>
      </w:r>
      <w:r>
        <w:rPr>
          <w:sz w:val="28"/>
          <w:szCs w:val="28"/>
        </w:rPr>
        <w:t xml:space="preserve"> subject to </w:t>
      </w:r>
      <w:r w:rsidR="00165574">
        <w:rPr>
          <w:sz w:val="28"/>
          <w:szCs w:val="28"/>
        </w:rPr>
        <w:t xml:space="preserve">regular </w:t>
      </w:r>
      <w:r>
        <w:rPr>
          <w:sz w:val="28"/>
          <w:szCs w:val="28"/>
        </w:rPr>
        <w:t xml:space="preserve">reviews and </w:t>
      </w:r>
      <w:r w:rsidR="00165574">
        <w:rPr>
          <w:sz w:val="28"/>
          <w:szCs w:val="28"/>
        </w:rPr>
        <w:t>a</w:t>
      </w:r>
      <w:r>
        <w:rPr>
          <w:sz w:val="28"/>
          <w:szCs w:val="28"/>
        </w:rPr>
        <w:t>lter</w:t>
      </w:r>
      <w:r w:rsidR="00165574">
        <w:rPr>
          <w:sz w:val="28"/>
          <w:szCs w:val="28"/>
        </w:rPr>
        <w:t>ations d</w:t>
      </w:r>
      <w:r>
        <w:rPr>
          <w:sz w:val="28"/>
          <w:szCs w:val="28"/>
        </w:rPr>
        <w:t xml:space="preserve">espite imperatives for review such as growth in voter population and </w:t>
      </w:r>
      <w:r w:rsidR="00165574">
        <w:rPr>
          <w:sz w:val="28"/>
          <w:szCs w:val="28"/>
        </w:rPr>
        <w:t xml:space="preserve">changes in </w:t>
      </w:r>
      <w:r>
        <w:rPr>
          <w:sz w:val="28"/>
          <w:szCs w:val="28"/>
        </w:rPr>
        <w:t>demographics.</w:t>
      </w:r>
      <w:r w:rsidR="006700ED">
        <w:rPr>
          <w:sz w:val="28"/>
          <w:szCs w:val="28"/>
        </w:rPr>
        <w:t xml:space="preserve"> </w:t>
      </w:r>
    </w:p>
    <w:p w14:paraId="2F1A64A4" w14:textId="77777777" w:rsidR="00A6473A" w:rsidRDefault="00A6473A" w:rsidP="006700ED">
      <w:pPr>
        <w:pStyle w:val="NormalWeb"/>
        <w:shd w:val="clear" w:color="auto" w:fill="FFFFFF"/>
        <w:spacing w:before="144" w:beforeAutospacing="0" w:after="288" w:afterAutospacing="0" w:line="480" w:lineRule="atLeast"/>
        <w:ind w:left="720" w:hanging="720"/>
        <w:jc w:val="both"/>
        <w:rPr>
          <w:sz w:val="28"/>
          <w:szCs w:val="28"/>
        </w:rPr>
      </w:pPr>
    </w:p>
    <w:p w14:paraId="01CDAF19" w14:textId="2D79DFC9" w:rsidR="00495667" w:rsidRDefault="00495667" w:rsidP="00513682">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513682">
        <w:rPr>
          <w:sz w:val="28"/>
          <w:szCs w:val="28"/>
        </w:rPr>
        <w:t>5</w:t>
      </w:r>
      <w:r>
        <w:rPr>
          <w:sz w:val="28"/>
          <w:szCs w:val="28"/>
        </w:rPr>
        <w:t>]</w:t>
      </w:r>
      <w:r>
        <w:rPr>
          <w:sz w:val="28"/>
          <w:szCs w:val="28"/>
        </w:rPr>
        <w:tab/>
        <w:t xml:space="preserve">The interpretation contended for by the applicants and the IEC </w:t>
      </w:r>
      <w:r w:rsidR="002E29C6">
        <w:rPr>
          <w:sz w:val="28"/>
          <w:szCs w:val="28"/>
        </w:rPr>
        <w:t>is the same</w:t>
      </w:r>
      <w:r w:rsidR="00623F7B">
        <w:rPr>
          <w:sz w:val="28"/>
          <w:szCs w:val="28"/>
        </w:rPr>
        <w:t>,</w:t>
      </w:r>
      <w:r w:rsidR="002E29C6">
        <w:rPr>
          <w:sz w:val="28"/>
          <w:szCs w:val="28"/>
        </w:rPr>
        <w:t xml:space="preserve"> which is that the review and alternation of boundaries of constituencies is a must. </w:t>
      </w:r>
      <w:r>
        <w:rPr>
          <w:sz w:val="28"/>
          <w:szCs w:val="28"/>
        </w:rPr>
        <w:t xml:space="preserve">The only difference </w:t>
      </w:r>
      <w:r w:rsidR="002E29C6">
        <w:rPr>
          <w:sz w:val="28"/>
          <w:szCs w:val="28"/>
        </w:rPr>
        <w:t>i</w:t>
      </w:r>
      <w:r>
        <w:rPr>
          <w:sz w:val="28"/>
          <w:szCs w:val="28"/>
        </w:rPr>
        <w:t xml:space="preserve">s whether there are two types of reviews and if so, whether both are subject to the strictures of the stipulated </w:t>
      </w:r>
      <w:r w:rsidR="002E29C6">
        <w:rPr>
          <w:sz w:val="28"/>
          <w:szCs w:val="28"/>
        </w:rPr>
        <w:t xml:space="preserve">period of eight to ten years. </w:t>
      </w:r>
    </w:p>
    <w:p w14:paraId="378ADA5E" w14:textId="77777777" w:rsidR="0042466A" w:rsidRDefault="0042466A" w:rsidP="00513682">
      <w:pPr>
        <w:pStyle w:val="NormalWeb"/>
        <w:shd w:val="clear" w:color="auto" w:fill="FFFFFF"/>
        <w:spacing w:before="144" w:beforeAutospacing="0" w:after="288" w:afterAutospacing="0" w:line="480" w:lineRule="atLeast"/>
        <w:ind w:left="720" w:hanging="720"/>
        <w:jc w:val="both"/>
        <w:rPr>
          <w:sz w:val="28"/>
          <w:szCs w:val="28"/>
        </w:rPr>
      </w:pPr>
    </w:p>
    <w:p w14:paraId="38B5D9BC" w14:textId="3149E0B3" w:rsidR="00495667" w:rsidRDefault="00495667"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513682">
        <w:rPr>
          <w:sz w:val="28"/>
          <w:szCs w:val="28"/>
        </w:rPr>
        <w:t>6</w:t>
      </w:r>
      <w:r>
        <w:rPr>
          <w:sz w:val="28"/>
          <w:szCs w:val="28"/>
        </w:rPr>
        <w:t>]</w:t>
      </w:r>
      <w:r>
        <w:rPr>
          <w:sz w:val="28"/>
          <w:szCs w:val="28"/>
        </w:rPr>
        <w:tab/>
        <w:t xml:space="preserve">In determining </w:t>
      </w:r>
      <w:r w:rsidR="002E29C6">
        <w:rPr>
          <w:sz w:val="28"/>
          <w:szCs w:val="28"/>
        </w:rPr>
        <w:t>the validity of this difference</w:t>
      </w:r>
      <w:r w:rsidR="006B5649">
        <w:rPr>
          <w:sz w:val="28"/>
          <w:szCs w:val="28"/>
        </w:rPr>
        <w:t>,</w:t>
      </w:r>
      <w:r w:rsidR="002E29C6">
        <w:rPr>
          <w:sz w:val="28"/>
          <w:szCs w:val="28"/>
        </w:rPr>
        <w:t xml:space="preserve"> </w:t>
      </w:r>
      <w:r>
        <w:rPr>
          <w:sz w:val="28"/>
          <w:szCs w:val="28"/>
        </w:rPr>
        <w:t xml:space="preserve">regard must be had to </w:t>
      </w:r>
      <w:r w:rsidR="002E29C6">
        <w:rPr>
          <w:sz w:val="28"/>
          <w:szCs w:val="28"/>
        </w:rPr>
        <w:t>s</w:t>
      </w:r>
      <w:r>
        <w:rPr>
          <w:sz w:val="28"/>
          <w:szCs w:val="28"/>
        </w:rPr>
        <w:t xml:space="preserve">ection </w:t>
      </w:r>
      <w:r w:rsidR="002E29C6">
        <w:rPr>
          <w:sz w:val="28"/>
          <w:szCs w:val="28"/>
        </w:rPr>
        <w:t xml:space="preserve">75 </w:t>
      </w:r>
      <w:r>
        <w:rPr>
          <w:sz w:val="28"/>
          <w:szCs w:val="28"/>
        </w:rPr>
        <w:t>(5) which reads</w:t>
      </w:r>
      <w:r w:rsidR="002E29C6">
        <w:rPr>
          <w:sz w:val="28"/>
          <w:szCs w:val="28"/>
        </w:rPr>
        <w:t xml:space="preserve"> as follows:</w:t>
      </w:r>
    </w:p>
    <w:p w14:paraId="63AA8C2C" w14:textId="4251F3E9" w:rsidR="004B1853" w:rsidRPr="0016027B" w:rsidRDefault="00495667" w:rsidP="0016027B">
      <w:pPr>
        <w:pStyle w:val="NormalWeb"/>
        <w:shd w:val="clear" w:color="auto" w:fill="FFFFFF"/>
        <w:spacing w:before="144" w:beforeAutospacing="0" w:after="288" w:afterAutospacing="0"/>
        <w:ind w:left="2160"/>
        <w:jc w:val="both"/>
      </w:pPr>
      <w:r w:rsidRPr="0016027B">
        <w:lastRenderedPageBreak/>
        <w:t>“</w:t>
      </w:r>
      <w:r w:rsidR="0016027B" w:rsidRPr="0016027B">
        <w:t xml:space="preserve">For purposes of this section the number </w:t>
      </w:r>
      <w:r w:rsidR="00335292">
        <w:t>o</w:t>
      </w:r>
      <w:r w:rsidR="00335292" w:rsidRPr="0016027B">
        <w:t>f</w:t>
      </w:r>
      <w:r w:rsidR="0016027B" w:rsidRPr="0016027B">
        <w:t xml:space="preserve"> inhabitants of any part of Lesotho of or above the a</w:t>
      </w:r>
      <w:r w:rsidR="00335292">
        <w:t>g</w:t>
      </w:r>
      <w:r w:rsidR="0016027B" w:rsidRPr="0016027B">
        <w:t>e of eighteen years shall be ascertained by reference to the latest census of the population held in pursuance of any</w:t>
      </w:r>
      <w:r w:rsidR="00335292">
        <w:t xml:space="preserve"> law</w:t>
      </w:r>
      <w:r w:rsidR="0016027B" w:rsidRPr="0016027B">
        <w:t>:</w:t>
      </w:r>
    </w:p>
    <w:p w14:paraId="71D65B97" w14:textId="6965A0B9" w:rsidR="00495667" w:rsidRDefault="0016027B" w:rsidP="0016027B">
      <w:pPr>
        <w:pStyle w:val="NormalWeb"/>
        <w:shd w:val="clear" w:color="auto" w:fill="FFFFFF"/>
        <w:spacing w:before="144" w:beforeAutospacing="0" w:after="288" w:afterAutospacing="0"/>
        <w:ind w:left="2160"/>
        <w:jc w:val="both"/>
      </w:pPr>
      <w:r w:rsidRPr="0016027B">
        <w:t>Provided that if the Commission considers, by reason of the passage of time since the holding of the latest census or otherwise, that it is desirable so to do it may instead or in addition have regard to any other available information  which, in the opinion of the Commission, best indicates the number of those inhabitants.</w:t>
      </w:r>
      <w:r w:rsidR="004B1853" w:rsidRPr="0016027B">
        <w:t>”</w:t>
      </w:r>
    </w:p>
    <w:p w14:paraId="7AD3D4B0" w14:textId="77777777" w:rsidR="0016027B" w:rsidRPr="0016027B" w:rsidRDefault="0016027B" w:rsidP="0016027B">
      <w:pPr>
        <w:pStyle w:val="NormalWeb"/>
        <w:shd w:val="clear" w:color="auto" w:fill="FFFFFF"/>
        <w:spacing w:before="144" w:beforeAutospacing="0" w:after="288" w:afterAutospacing="0"/>
        <w:ind w:left="2160"/>
        <w:jc w:val="both"/>
      </w:pPr>
    </w:p>
    <w:p w14:paraId="07D57305" w14:textId="018DCA35" w:rsidR="00495667" w:rsidRDefault="004B1853"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513682">
        <w:rPr>
          <w:sz w:val="28"/>
          <w:szCs w:val="28"/>
        </w:rPr>
        <w:t>7</w:t>
      </w:r>
      <w:r>
        <w:rPr>
          <w:sz w:val="28"/>
          <w:szCs w:val="28"/>
        </w:rPr>
        <w:t>]</w:t>
      </w:r>
      <w:r>
        <w:rPr>
          <w:sz w:val="28"/>
          <w:szCs w:val="28"/>
        </w:rPr>
        <w:tab/>
        <w:t>Sub-section (5)</w:t>
      </w:r>
      <w:r w:rsidR="006F3F05">
        <w:rPr>
          <w:sz w:val="28"/>
          <w:szCs w:val="28"/>
        </w:rPr>
        <w:t xml:space="preserve"> </w:t>
      </w:r>
      <w:r>
        <w:rPr>
          <w:sz w:val="28"/>
          <w:szCs w:val="28"/>
        </w:rPr>
        <w:t xml:space="preserve">requires that in ascertaining the number of eligible voters aged eighteen years or above, the relevant information must be sourced from the latest population </w:t>
      </w:r>
      <w:r w:rsidR="007E0960">
        <w:rPr>
          <w:sz w:val="28"/>
          <w:szCs w:val="28"/>
        </w:rPr>
        <w:t>census</w:t>
      </w:r>
      <w:r w:rsidR="00012954">
        <w:rPr>
          <w:sz w:val="28"/>
          <w:szCs w:val="28"/>
        </w:rPr>
        <w:t>.</w:t>
      </w:r>
      <w:r>
        <w:rPr>
          <w:sz w:val="28"/>
          <w:szCs w:val="28"/>
        </w:rPr>
        <w:t xml:space="preserve"> </w:t>
      </w:r>
      <w:r w:rsidR="006700ED">
        <w:rPr>
          <w:sz w:val="28"/>
          <w:szCs w:val="28"/>
        </w:rPr>
        <w:t>So,</w:t>
      </w:r>
      <w:r>
        <w:rPr>
          <w:sz w:val="28"/>
          <w:szCs w:val="28"/>
        </w:rPr>
        <w:t xml:space="preserve"> the relevant importance and purpose of a census is clear.  It is needed for the head count of the voting population </w:t>
      </w:r>
      <w:r w:rsidR="00DB2A97">
        <w:rPr>
          <w:sz w:val="28"/>
          <w:szCs w:val="28"/>
        </w:rPr>
        <w:t xml:space="preserve">nationally </w:t>
      </w:r>
      <w:r>
        <w:rPr>
          <w:sz w:val="28"/>
          <w:szCs w:val="28"/>
        </w:rPr>
        <w:t xml:space="preserve">and </w:t>
      </w:r>
      <w:r w:rsidR="00DB2A97">
        <w:rPr>
          <w:sz w:val="28"/>
          <w:szCs w:val="28"/>
        </w:rPr>
        <w:t xml:space="preserve">determination of </w:t>
      </w:r>
      <w:r>
        <w:rPr>
          <w:sz w:val="28"/>
          <w:szCs w:val="28"/>
        </w:rPr>
        <w:t xml:space="preserve">quota </w:t>
      </w:r>
      <w:r w:rsidR="00DB2A97">
        <w:rPr>
          <w:sz w:val="28"/>
          <w:szCs w:val="28"/>
        </w:rPr>
        <w:t xml:space="preserve">to arrive at the </w:t>
      </w:r>
      <w:r>
        <w:rPr>
          <w:sz w:val="28"/>
          <w:szCs w:val="28"/>
        </w:rPr>
        <w:t>number of inhabitants a constituency should have</w:t>
      </w:r>
      <w:r w:rsidR="00DB2A97">
        <w:rPr>
          <w:sz w:val="28"/>
          <w:szCs w:val="28"/>
        </w:rPr>
        <w:t xml:space="preserve"> in terms of </w:t>
      </w:r>
      <w:r>
        <w:rPr>
          <w:sz w:val="28"/>
          <w:szCs w:val="28"/>
        </w:rPr>
        <w:t>section 67(2).</w:t>
      </w:r>
    </w:p>
    <w:p w14:paraId="666F8D57" w14:textId="608E3432" w:rsidR="004B1853" w:rsidRDefault="004B1853" w:rsidP="002C2821">
      <w:pPr>
        <w:pStyle w:val="NormalWeb"/>
        <w:shd w:val="clear" w:color="auto" w:fill="FFFFFF"/>
        <w:spacing w:before="144" w:beforeAutospacing="0" w:after="288" w:afterAutospacing="0" w:line="480" w:lineRule="atLeast"/>
        <w:ind w:left="720" w:hanging="720"/>
        <w:jc w:val="both"/>
        <w:rPr>
          <w:sz w:val="28"/>
          <w:szCs w:val="28"/>
        </w:rPr>
      </w:pPr>
    </w:p>
    <w:p w14:paraId="4A754A17" w14:textId="3792FE7D" w:rsidR="004B1853" w:rsidRDefault="004B1853"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513682">
        <w:rPr>
          <w:sz w:val="28"/>
          <w:szCs w:val="28"/>
        </w:rPr>
        <w:t>8</w:t>
      </w:r>
      <w:r>
        <w:rPr>
          <w:sz w:val="28"/>
          <w:szCs w:val="28"/>
        </w:rPr>
        <w:t>]</w:t>
      </w:r>
      <w:r w:rsidR="00252271">
        <w:rPr>
          <w:sz w:val="28"/>
          <w:szCs w:val="28"/>
        </w:rPr>
        <w:tab/>
        <w:t>Thus, a census provides information</w:t>
      </w:r>
      <w:r w:rsidR="00DB2A97">
        <w:rPr>
          <w:sz w:val="28"/>
          <w:szCs w:val="28"/>
        </w:rPr>
        <w:t xml:space="preserve"> </w:t>
      </w:r>
      <w:r w:rsidR="00252271">
        <w:rPr>
          <w:sz w:val="28"/>
          <w:szCs w:val="28"/>
        </w:rPr>
        <w:t xml:space="preserve">for </w:t>
      </w:r>
      <w:r w:rsidR="00DB2A97">
        <w:rPr>
          <w:sz w:val="28"/>
          <w:szCs w:val="28"/>
        </w:rPr>
        <w:t xml:space="preserve">the number of voting population.  </w:t>
      </w:r>
      <w:r w:rsidR="00252271">
        <w:rPr>
          <w:sz w:val="28"/>
          <w:szCs w:val="28"/>
        </w:rPr>
        <w:t xml:space="preserve"> It does not determine the frequency or period for a review.  The period or frequency is fixed at eight and no</w:t>
      </w:r>
      <w:r w:rsidR="007E0960">
        <w:rPr>
          <w:sz w:val="28"/>
          <w:szCs w:val="28"/>
        </w:rPr>
        <w:t>t</w:t>
      </w:r>
      <w:r w:rsidR="00252271">
        <w:rPr>
          <w:sz w:val="28"/>
          <w:szCs w:val="28"/>
        </w:rPr>
        <w:t xml:space="preserve"> more than ten years from the date of completion of the last review.  It is therefore not correct that the proviso to section 67(3) </w:t>
      </w:r>
      <w:r w:rsidR="002C3704">
        <w:rPr>
          <w:sz w:val="28"/>
          <w:szCs w:val="28"/>
        </w:rPr>
        <w:t>introduce</w:t>
      </w:r>
      <w:r w:rsidR="00D63FEF">
        <w:rPr>
          <w:sz w:val="28"/>
          <w:szCs w:val="28"/>
        </w:rPr>
        <w:t>s</w:t>
      </w:r>
      <w:r w:rsidR="002C3704">
        <w:rPr>
          <w:sz w:val="28"/>
          <w:szCs w:val="28"/>
        </w:rPr>
        <w:t xml:space="preserve"> another review different from the review referred to in the sub</w:t>
      </w:r>
      <w:r w:rsidR="006F3F05">
        <w:rPr>
          <w:sz w:val="28"/>
          <w:szCs w:val="28"/>
        </w:rPr>
        <w:t>-</w:t>
      </w:r>
      <w:r w:rsidR="002C3704">
        <w:rPr>
          <w:sz w:val="28"/>
          <w:szCs w:val="28"/>
        </w:rPr>
        <w:t xml:space="preserve">section. </w:t>
      </w:r>
      <w:r w:rsidR="00DB2A97">
        <w:rPr>
          <w:sz w:val="28"/>
          <w:szCs w:val="28"/>
        </w:rPr>
        <w:t xml:space="preserve"> Rather, it makes </w:t>
      </w:r>
      <w:r w:rsidR="00A7265C">
        <w:rPr>
          <w:sz w:val="28"/>
          <w:szCs w:val="28"/>
        </w:rPr>
        <w:t xml:space="preserve">it </w:t>
      </w:r>
      <w:r w:rsidR="00DB2A97">
        <w:rPr>
          <w:sz w:val="28"/>
          <w:szCs w:val="28"/>
        </w:rPr>
        <w:t xml:space="preserve">obligatory for the IEC to use in the course of doing a review. </w:t>
      </w:r>
    </w:p>
    <w:p w14:paraId="3B6C685B" w14:textId="48EC383C" w:rsidR="00252271" w:rsidRDefault="00252271" w:rsidP="002C2821">
      <w:pPr>
        <w:pStyle w:val="NormalWeb"/>
        <w:shd w:val="clear" w:color="auto" w:fill="FFFFFF"/>
        <w:spacing w:before="144" w:beforeAutospacing="0" w:after="288" w:afterAutospacing="0" w:line="480" w:lineRule="atLeast"/>
        <w:ind w:left="720" w:hanging="720"/>
        <w:jc w:val="both"/>
        <w:rPr>
          <w:sz w:val="28"/>
          <w:szCs w:val="28"/>
        </w:rPr>
      </w:pPr>
    </w:p>
    <w:p w14:paraId="312E698E" w14:textId="1D39D3D6" w:rsidR="002C3704" w:rsidRDefault="00252271" w:rsidP="00D8768B">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480420">
        <w:rPr>
          <w:sz w:val="28"/>
          <w:szCs w:val="28"/>
        </w:rPr>
        <w:t>2</w:t>
      </w:r>
      <w:r w:rsidR="00513682">
        <w:rPr>
          <w:sz w:val="28"/>
          <w:szCs w:val="28"/>
        </w:rPr>
        <w:t>9</w:t>
      </w:r>
      <w:r>
        <w:rPr>
          <w:sz w:val="28"/>
          <w:szCs w:val="28"/>
        </w:rPr>
        <w:t>]</w:t>
      </w:r>
      <w:r>
        <w:rPr>
          <w:sz w:val="28"/>
          <w:szCs w:val="28"/>
        </w:rPr>
        <w:tab/>
      </w:r>
      <w:r w:rsidR="002C3704">
        <w:rPr>
          <w:sz w:val="28"/>
          <w:szCs w:val="28"/>
        </w:rPr>
        <w:t>The IEC’s contention treats the proviso</w:t>
      </w:r>
      <w:r w:rsidR="00DB2A97">
        <w:rPr>
          <w:sz w:val="28"/>
          <w:szCs w:val="28"/>
        </w:rPr>
        <w:t xml:space="preserve"> to section 67(3) </w:t>
      </w:r>
      <w:r w:rsidR="002C3704">
        <w:rPr>
          <w:sz w:val="28"/>
          <w:szCs w:val="28"/>
        </w:rPr>
        <w:t>as independent from the main body of the sub</w:t>
      </w:r>
      <w:r w:rsidR="00D6196F">
        <w:rPr>
          <w:sz w:val="28"/>
          <w:szCs w:val="28"/>
        </w:rPr>
        <w:t>-</w:t>
      </w:r>
      <w:r w:rsidR="002C3704">
        <w:rPr>
          <w:sz w:val="28"/>
          <w:szCs w:val="28"/>
        </w:rPr>
        <w:t xml:space="preserve">section. This approach misses the true function and effect of a proviso in an enactment. </w:t>
      </w:r>
      <w:r w:rsidR="00D8768B">
        <w:rPr>
          <w:sz w:val="28"/>
          <w:szCs w:val="28"/>
        </w:rPr>
        <w:t xml:space="preserve">In explaining the function </w:t>
      </w:r>
      <w:r w:rsidR="00D8768B">
        <w:rPr>
          <w:sz w:val="28"/>
          <w:szCs w:val="28"/>
        </w:rPr>
        <w:lastRenderedPageBreak/>
        <w:t>and effect of a proviso</w:t>
      </w:r>
      <w:r w:rsidR="005318F0">
        <w:rPr>
          <w:sz w:val="28"/>
          <w:szCs w:val="28"/>
        </w:rPr>
        <w:t>,</w:t>
      </w:r>
      <w:r w:rsidR="00D8768B">
        <w:rPr>
          <w:sz w:val="28"/>
          <w:szCs w:val="28"/>
        </w:rPr>
        <w:t xml:space="preserve"> </w:t>
      </w:r>
      <w:r w:rsidR="00207F60">
        <w:rPr>
          <w:sz w:val="28"/>
          <w:szCs w:val="28"/>
        </w:rPr>
        <w:t>Botha J.</w:t>
      </w:r>
      <w:r w:rsidR="005318F0">
        <w:rPr>
          <w:sz w:val="28"/>
          <w:szCs w:val="28"/>
        </w:rPr>
        <w:t xml:space="preserve">A. </w:t>
      </w:r>
      <w:r w:rsidR="00D8768B">
        <w:rPr>
          <w:sz w:val="28"/>
          <w:szCs w:val="28"/>
        </w:rPr>
        <w:t xml:space="preserve">in </w:t>
      </w:r>
      <w:proofErr w:type="spellStart"/>
      <w:r w:rsidR="00D8768B" w:rsidRPr="00F73945">
        <w:rPr>
          <w:b/>
          <w:bCs/>
          <w:sz w:val="28"/>
          <w:szCs w:val="28"/>
        </w:rPr>
        <w:t>Mphosi</w:t>
      </w:r>
      <w:proofErr w:type="spellEnd"/>
      <w:r w:rsidR="00D8768B" w:rsidRPr="00F73945">
        <w:rPr>
          <w:b/>
          <w:bCs/>
          <w:sz w:val="28"/>
          <w:szCs w:val="28"/>
        </w:rPr>
        <w:t xml:space="preserve"> v Central Board for Cooperative Insurance Ltd</w:t>
      </w:r>
      <w:r w:rsidR="00D8768B">
        <w:t xml:space="preserve"> </w:t>
      </w:r>
      <w:r w:rsidR="006700ED" w:rsidRPr="00D2201F">
        <w:rPr>
          <w:rStyle w:val="FootnoteReference"/>
          <w:sz w:val="28"/>
          <w:szCs w:val="28"/>
        </w:rPr>
        <w:footnoteReference w:id="19"/>
      </w:r>
      <w:r w:rsidR="00D2201F" w:rsidRPr="00513682">
        <w:rPr>
          <w:sz w:val="28"/>
          <w:szCs w:val="28"/>
        </w:rPr>
        <w:t xml:space="preserve"> said</w:t>
      </w:r>
      <w:r w:rsidR="006700ED">
        <w:rPr>
          <w:sz w:val="28"/>
          <w:szCs w:val="28"/>
        </w:rPr>
        <w:t>:</w:t>
      </w:r>
      <w:r w:rsidR="006F018B">
        <w:rPr>
          <w:sz w:val="28"/>
          <w:szCs w:val="28"/>
        </w:rPr>
        <w:t xml:space="preserve"> </w:t>
      </w:r>
    </w:p>
    <w:p w14:paraId="1A31FCAB" w14:textId="0DD8FBE6" w:rsidR="006F018B" w:rsidRPr="00A6029D" w:rsidRDefault="002C3704" w:rsidP="0042466A">
      <w:pPr>
        <w:pStyle w:val="NormalWeb"/>
        <w:shd w:val="clear" w:color="auto" w:fill="FFFFFF"/>
        <w:spacing w:before="144" w:beforeAutospacing="0" w:after="288" w:afterAutospacing="0"/>
        <w:ind w:left="2160"/>
        <w:jc w:val="both"/>
      </w:pPr>
      <w:r>
        <w:rPr>
          <w:sz w:val="28"/>
          <w:szCs w:val="28"/>
        </w:rPr>
        <w:t>“</w:t>
      </w:r>
      <w:r w:rsidR="006F018B" w:rsidRPr="00A6029D">
        <w:t xml:space="preserve">This argument altogether overlooks the true function and effect of a proviso. According to </w:t>
      </w:r>
      <w:proofErr w:type="spellStart"/>
      <w:r w:rsidR="006F018B" w:rsidRPr="00A6029D">
        <w:t>Craies</w:t>
      </w:r>
      <w:proofErr w:type="spellEnd"/>
      <w:r w:rsidR="006F018B" w:rsidRPr="00A6029D">
        <w:t xml:space="preserve">, </w:t>
      </w:r>
      <w:r w:rsidR="006F018B" w:rsidRPr="00A6029D">
        <w:rPr>
          <w:i/>
          <w:iCs/>
        </w:rPr>
        <w:t>Statute Law, 7</w:t>
      </w:r>
      <w:r w:rsidR="006F018B" w:rsidRPr="00A6029D">
        <w:rPr>
          <w:i/>
          <w:iCs/>
          <w:vertAlign w:val="superscript"/>
        </w:rPr>
        <w:t>th</w:t>
      </w:r>
      <w:r w:rsidR="006F018B" w:rsidRPr="00A6029D">
        <w:rPr>
          <w:i/>
          <w:iCs/>
        </w:rPr>
        <w:t xml:space="preserve"> ed</w:t>
      </w:r>
      <w:r w:rsidR="006F018B" w:rsidRPr="00A6029D">
        <w:t xml:space="preserve">., </w:t>
      </w:r>
      <w:r w:rsidR="006F018B" w:rsidRPr="00A6029D">
        <w:rPr>
          <w:i/>
          <w:iCs/>
        </w:rPr>
        <w:t>at p.</w:t>
      </w:r>
      <w:r w:rsidR="006F018B" w:rsidRPr="00A6029D">
        <w:t xml:space="preserve"> 218 – ‘the effect of an excepting or qualifying proviso, according to the ordinary rules of construction, is to except out of the </w:t>
      </w:r>
      <w:proofErr w:type="spellStart"/>
      <w:r w:rsidR="006F018B" w:rsidRPr="00A6029D">
        <w:t>proceding</w:t>
      </w:r>
      <w:proofErr w:type="spellEnd"/>
      <w:r w:rsidR="006F018B" w:rsidRPr="00A6029D">
        <w:t xml:space="preserve"> portion of the enactment, or to qualify something enacted therein, which but for the proviso would be within it: and such proviso cannot be construed as enlarging the scope of an enactment when it can be fairly and properly construed without attributing to it that effect’. </w:t>
      </w:r>
    </w:p>
    <w:p w14:paraId="5197D33E" w14:textId="5328560A" w:rsidR="006F018B" w:rsidRPr="00A6029D" w:rsidRDefault="006F018B" w:rsidP="0042466A">
      <w:pPr>
        <w:pStyle w:val="NormalWeb"/>
        <w:shd w:val="clear" w:color="auto" w:fill="FFFFFF"/>
        <w:spacing w:before="144" w:beforeAutospacing="0" w:after="288" w:afterAutospacing="0"/>
        <w:ind w:left="2160"/>
        <w:jc w:val="both"/>
      </w:pPr>
      <w:r w:rsidRPr="00A6029D">
        <w:t xml:space="preserve">In </w:t>
      </w:r>
      <w:r w:rsidRPr="00A6029D">
        <w:rPr>
          <w:i/>
          <w:iCs/>
        </w:rPr>
        <w:t xml:space="preserve">R. v </w:t>
      </w:r>
      <w:proofErr w:type="spellStart"/>
      <w:r w:rsidRPr="00A6029D">
        <w:rPr>
          <w:i/>
          <w:iCs/>
        </w:rPr>
        <w:t>Dibdin</w:t>
      </w:r>
      <w:proofErr w:type="spellEnd"/>
      <w:r w:rsidRPr="00A6029D">
        <w:t xml:space="preserve">, 1910 P. 57, Lord FLETCHER MOULTON at p. 125, in the Court of Appeal, said – </w:t>
      </w:r>
    </w:p>
    <w:p w14:paraId="139F808F" w14:textId="2293B415" w:rsidR="0085343F" w:rsidRPr="0042466A" w:rsidRDefault="006F018B" w:rsidP="0042466A">
      <w:pPr>
        <w:pStyle w:val="NormalWeb"/>
        <w:shd w:val="clear" w:color="auto" w:fill="FFFFFF"/>
        <w:spacing w:before="144" w:beforeAutospacing="0" w:after="288" w:afterAutospacing="0"/>
        <w:ind w:left="2880"/>
        <w:jc w:val="both"/>
        <w:rPr>
          <w:sz w:val="22"/>
          <w:szCs w:val="22"/>
        </w:rPr>
      </w:pPr>
      <w:r w:rsidRPr="0042466A">
        <w:rPr>
          <w:sz w:val="22"/>
          <w:szCs w:val="22"/>
        </w:rPr>
        <w:t xml:space="preserve">‘The fallacy of the proposed method of interpretation (i.e. to treat a proviso as an independent enacting clause is not far to seek. It sins against the fundamental rule of construction </w:t>
      </w:r>
      <w:r w:rsidR="00442DB0" w:rsidRPr="0042466A">
        <w:rPr>
          <w:sz w:val="22"/>
          <w:szCs w:val="22"/>
        </w:rPr>
        <w:t xml:space="preserve">that a proviso must be construed in relation to the principal matter to which it stands as a proviso. It treats it as if it were an independent enacting clause instead of being dependent on the main enactment. The Courts, as for instance in such cases as </w:t>
      </w:r>
      <w:r w:rsidR="00442DB0" w:rsidRPr="0042466A">
        <w:rPr>
          <w:i/>
          <w:iCs/>
          <w:sz w:val="22"/>
          <w:szCs w:val="22"/>
        </w:rPr>
        <w:t xml:space="preserve">Ex </w:t>
      </w:r>
      <w:proofErr w:type="spellStart"/>
      <w:r w:rsidR="00442DB0" w:rsidRPr="0042466A">
        <w:rPr>
          <w:i/>
          <w:iCs/>
          <w:sz w:val="22"/>
          <w:szCs w:val="22"/>
        </w:rPr>
        <w:t>parte</w:t>
      </w:r>
      <w:proofErr w:type="spellEnd"/>
      <w:r w:rsidR="00442DB0" w:rsidRPr="0042466A">
        <w:rPr>
          <w:i/>
          <w:iCs/>
          <w:sz w:val="22"/>
          <w:szCs w:val="22"/>
        </w:rPr>
        <w:t xml:space="preserve"> Partington</w:t>
      </w:r>
      <w:r w:rsidR="00442DB0" w:rsidRPr="0042466A">
        <w:rPr>
          <w:sz w:val="22"/>
          <w:szCs w:val="22"/>
        </w:rPr>
        <w:t xml:space="preserve">, 6 Q.B. 649; </w:t>
      </w:r>
      <w:r w:rsidR="00442DB0" w:rsidRPr="0042466A">
        <w:rPr>
          <w:i/>
          <w:iCs/>
          <w:sz w:val="22"/>
          <w:szCs w:val="22"/>
        </w:rPr>
        <w:t xml:space="preserve">In re </w:t>
      </w:r>
      <w:proofErr w:type="spellStart"/>
      <w:r w:rsidR="00442DB0" w:rsidRPr="0042466A">
        <w:rPr>
          <w:i/>
          <w:iCs/>
          <w:sz w:val="22"/>
          <w:szCs w:val="22"/>
        </w:rPr>
        <w:t>Brocklbank</w:t>
      </w:r>
      <w:proofErr w:type="spellEnd"/>
      <w:r w:rsidR="00442DB0" w:rsidRPr="0042466A">
        <w:rPr>
          <w:sz w:val="22"/>
          <w:szCs w:val="22"/>
        </w:rPr>
        <w:t xml:space="preserve">, 23 Q.B. 461. and </w:t>
      </w:r>
      <w:r w:rsidR="00442DB0" w:rsidRPr="0042466A">
        <w:rPr>
          <w:i/>
          <w:iCs/>
          <w:sz w:val="22"/>
          <w:szCs w:val="22"/>
        </w:rPr>
        <w:t>Hill v. East and West India</w:t>
      </w:r>
      <w:r w:rsidR="00442DB0" w:rsidRPr="0042466A">
        <w:rPr>
          <w:sz w:val="22"/>
          <w:szCs w:val="22"/>
        </w:rPr>
        <w:t xml:space="preserve"> Dock Co., 9 App. Cas. 448, have frequently pointed out this fallacy, and have refused to be led astray by arguments such as those which have been addressed to us, which depend solely on taking wor</w:t>
      </w:r>
      <w:r w:rsidR="00E24D35" w:rsidRPr="0042466A">
        <w:rPr>
          <w:sz w:val="22"/>
          <w:szCs w:val="22"/>
        </w:rPr>
        <w:t>ds</w:t>
      </w:r>
      <w:r w:rsidR="00442DB0" w:rsidRPr="0042466A">
        <w:rPr>
          <w:sz w:val="22"/>
          <w:szCs w:val="22"/>
        </w:rPr>
        <w:t xml:space="preserve"> absolutely in their strict literal sense, disregarding the fundamental consideration that they appear in a proviso</w:t>
      </w:r>
      <w:r w:rsidR="00F73945" w:rsidRPr="0042466A">
        <w:rPr>
          <w:sz w:val="22"/>
          <w:szCs w:val="22"/>
        </w:rPr>
        <w:t>”.</w:t>
      </w:r>
      <w:r w:rsidRPr="0042466A">
        <w:rPr>
          <w:sz w:val="22"/>
          <w:szCs w:val="22"/>
        </w:rPr>
        <w:t xml:space="preserve"> </w:t>
      </w:r>
      <w:r w:rsidR="006837C8" w:rsidRPr="0042466A">
        <w:rPr>
          <w:sz w:val="22"/>
          <w:szCs w:val="22"/>
        </w:rPr>
        <w:t xml:space="preserve"> </w:t>
      </w:r>
    </w:p>
    <w:p w14:paraId="17704E91" w14:textId="77777777" w:rsidR="00A6473A" w:rsidRPr="001C3B90" w:rsidRDefault="00A6473A" w:rsidP="00513682">
      <w:pPr>
        <w:pStyle w:val="NormalWeb"/>
        <w:shd w:val="clear" w:color="auto" w:fill="FFFFFF"/>
        <w:spacing w:before="144" w:beforeAutospacing="0" w:after="288" w:afterAutospacing="0" w:line="480" w:lineRule="atLeast"/>
        <w:ind w:left="2160" w:firstLine="720"/>
        <w:jc w:val="both"/>
      </w:pPr>
    </w:p>
    <w:p w14:paraId="3EC186C0" w14:textId="4E807030" w:rsidR="006837C8" w:rsidRDefault="006837C8"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513682">
        <w:rPr>
          <w:sz w:val="28"/>
          <w:szCs w:val="28"/>
        </w:rPr>
        <w:t>30</w:t>
      </w:r>
      <w:r>
        <w:rPr>
          <w:sz w:val="28"/>
          <w:szCs w:val="28"/>
        </w:rPr>
        <w:t>]</w:t>
      </w:r>
      <w:r>
        <w:rPr>
          <w:sz w:val="28"/>
          <w:szCs w:val="28"/>
        </w:rPr>
        <w:tab/>
      </w:r>
      <w:r w:rsidR="001C3B90">
        <w:rPr>
          <w:sz w:val="28"/>
          <w:szCs w:val="28"/>
        </w:rPr>
        <w:t>A</w:t>
      </w:r>
      <w:r w:rsidR="00D2201F">
        <w:rPr>
          <w:sz w:val="28"/>
          <w:szCs w:val="28"/>
        </w:rPr>
        <w:t>ccording to the jurisprudence of the Supreme Court of India,</w:t>
      </w:r>
      <w:r>
        <w:rPr>
          <w:sz w:val="28"/>
          <w:szCs w:val="28"/>
        </w:rPr>
        <w:t xml:space="preserve"> proviso serves the following four purposes:</w:t>
      </w:r>
    </w:p>
    <w:p w14:paraId="5820A41C" w14:textId="2F22A0F6" w:rsidR="006837C8" w:rsidRPr="001740C8" w:rsidRDefault="005A6D05" w:rsidP="0042466A">
      <w:pPr>
        <w:pStyle w:val="NormalWeb"/>
        <w:shd w:val="clear" w:color="auto" w:fill="FFFFFF"/>
        <w:spacing w:before="144" w:beforeAutospacing="0" w:after="288" w:afterAutospacing="0"/>
        <w:ind w:left="2880" w:hanging="720"/>
        <w:jc w:val="both"/>
      </w:pPr>
      <w:r w:rsidRPr="001740C8">
        <w:t>“</w:t>
      </w:r>
      <w:r w:rsidR="00AA28FA">
        <w:t>(</w:t>
      </w:r>
      <w:r w:rsidR="006837C8" w:rsidRPr="001740C8">
        <w:t>1</w:t>
      </w:r>
      <w:r w:rsidR="00AA28FA">
        <w:t>)</w:t>
      </w:r>
      <w:r w:rsidR="006837C8" w:rsidRPr="001740C8">
        <w:tab/>
        <w:t>qualif</w:t>
      </w:r>
      <w:r w:rsidRPr="001740C8">
        <w:t xml:space="preserve">ying or excepting </w:t>
      </w:r>
      <w:r w:rsidR="006837C8" w:rsidRPr="001740C8">
        <w:t>certain provisions from the main enactment;</w:t>
      </w:r>
    </w:p>
    <w:p w14:paraId="4BD623DA" w14:textId="4D47F8D3" w:rsidR="006837C8" w:rsidRPr="001740C8" w:rsidRDefault="00AA28FA" w:rsidP="0042466A">
      <w:pPr>
        <w:pStyle w:val="NormalWeb"/>
        <w:shd w:val="clear" w:color="auto" w:fill="FFFFFF"/>
        <w:spacing w:before="144" w:beforeAutospacing="0" w:after="288" w:afterAutospacing="0"/>
        <w:ind w:left="2880" w:hanging="720"/>
        <w:jc w:val="both"/>
      </w:pPr>
      <w:r>
        <w:t>(</w:t>
      </w:r>
      <w:r w:rsidR="006837C8" w:rsidRPr="001740C8">
        <w:t>2</w:t>
      </w:r>
      <w:r>
        <w:t>)</w:t>
      </w:r>
      <w:r w:rsidR="006837C8" w:rsidRPr="001740C8">
        <w:tab/>
        <w:t>It may entirely change the very concept of the intendment of the enactment by insisting on certain mandatory conditions to be fulfilled in order to make the enactment workable;</w:t>
      </w:r>
    </w:p>
    <w:p w14:paraId="32E3E95F" w14:textId="2551960A" w:rsidR="006837C8" w:rsidRPr="001740C8" w:rsidRDefault="00AA28FA" w:rsidP="0042466A">
      <w:pPr>
        <w:pStyle w:val="NormalWeb"/>
        <w:shd w:val="clear" w:color="auto" w:fill="FFFFFF"/>
        <w:spacing w:before="144" w:beforeAutospacing="0" w:after="288" w:afterAutospacing="0"/>
        <w:ind w:left="2880" w:hanging="720"/>
        <w:jc w:val="both"/>
      </w:pPr>
      <w:r>
        <w:t>(</w:t>
      </w:r>
      <w:r w:rsidR="006837C8" w:rsidRPr="001740C8">
        <w:t>3</w:t>
      </w:r>
      <w:r>
        <w:t>)</w:t>
      </w:r>
      <w:r w:rsidR="006837C8" w:rsidRPr="001740C8">
        <w:tab/>
        <w:t>It may be so embedded in the Act itself as to become an integral part of the enactment and thus acquire the tenor and colour of the substantive enactment itself;</w:t>
      </w:r>
      <w:r>
        <w:t xml:space="preserve"> and</w:t>
      </w:r>
    </w:p>
    <w:p w14:paraId="5B9AC244" w14:textId="4A82C859" w:rsidR="006837C8" w:rsidRDefault="00AA28FA" w:rsidP="0042466A">
      <w:pPr>
        <w:pStyle w:val="NormalWeb"/>
        <w:shd w:val="clear" w:color="auto" w:fill="FFFFFF"/>
        <w:spacing w:before="144" w:beforeAutospacing="0" w:after="288" w:afterAutospacing="0"/>
        <w:ind w:left="2880" w:hanging="720"/>
        <w:jc w:val="both"/>
        <w:rPr>
          <w:sz w:val="28"/>
          <w:szCs w:val="28"/>
        </w:rPr>
      </w:pPr>
      <w:r>
        <w:lastRenderedPageBreak/>
        <w:t>(</w:t>
      </w:r>
      <w:r w:rsidR="006837C8" w:rsidRPr="001740C8">
        <w:t>4</w:t>
      </w:r>
      <w:r>
        <w:t>)</w:t>
      </w:r>
      <w:r w:rsidR="006837C8" w:rsidRPr="001740C8">
        <w:tab/>
        <w:t xml:space="preserve">It may be used to act as an </w:t>
      </w:r>
      <w:proofErr w:type="gramStart"/>
      <w:r w:rsidR="00933729" w:rsidRPr="001740C8">
        <w:t>optional addend</w:t>
      </w:r>
      <w:r>
        <w:t>a</w:t>
      </w:r>
      <w:proofErr w:type="gramEnd"/>
      <w:r w:rsidR="006837C8" w:rsidRPr="001740C8">
        <w:t xml:space="preserve"> to the enactment with the sole object of explaining the real </w:t>
      </w:r>
      <w:r w:rsidR="005A6D05" w:rsidRPr="001740C8">
        <w:t>intendment</w:t>
      </w:r>
      <w:r w:rsidR="006837C8" w:rsidRPr="001740C8">
        <w:t xml:space="preserve"> of the statutory provision.</w:t>
      </w:r>
      <w:r w:rsidR="005A6D05" w:rsidRPr="001740C8">
        <w:t>”</w:t>
      </w:r>
      <w:r w:rsidR="005A6D05" w:rsidRPr="001740C8">
        <w:rPr>
          <w:rStyle w:val="FootnoteReference"/>
        </w:rPr>
        <w:footnoteReference w:id="20"/>
      </w:r>
      <w:r w:rsidR="006837C8">
        <w:rPr>
          <w:sz w:val="28"/>
          <w:szCs w:val="28"/>
        </w:rPr>
        <w:t xml:space="preserve">   </w:t>
      </w:r>
    </w:p>
    <w:p w14:paraId="164CD69A" w14:textId="77777777" w:rsidR="00A6473A" w:rsidRDefault="00A6473A" w:rsidP="009206BB">
      <w:pPr>
        <w:pStyle w:val="NormalWeb"/>
        <w:shd w:val="clear" w:color="auto" w:fill="FFFFFF"/>
        <w:spacing w:before="144" w:beforeAutospacing="0" w:after="288" w:afterAutospacing="0" w:line="480" w:lineRule="atLeast"/>
        <w:ind w:left="2880" w:hanging="720"/>
        <w:jc w:val="both"/>
        <w:rPr>
          <w:sz w:val="28"/>
          <w:szCs w:val="28"/>
        </w:rPr>
      </w:pPr>
    </w:p>
    <w:p w14:paraId="12842BE2" w14:textId="1CD18460" w:rsidR="00252271" w:rsidRDefault="00FA061B" w:rsidP="005318F0">
      <w:pPr>
        <w:pStyle w:val="NormalWeb"/>
        <w:shd w:val="clear" w:color="auto" w:fill="FFFFFF"/>
        <w:spacing w:before="144" w:beforeAutospacing="0" w:after="288" w:afterAutospacing="0" w:line="480" w:lineRule="atLeast"/>
        <w:ind w:left="720" w:hanging="720"/>
        <w:jc w:val="both"/>
        <w:rPr>
          <w:sz w:val="28"/>
          <w:szCs w:val="28"/>
        </w:rPr>
      </w:pPr>
      <w:r>
        <w:rPr>
          <w:sz w:val="28"/>
          <w:szCs w:val="28"/>
        </w:rPr>
        <w:t xml:space="preserve"> </w:t>
      </w:r>
      <w:r w:rsidR="005A6D05">
        <w:rPr>
          <w:sz w:val="28"/>
          <w:szCs w:val="28"/>
        </w:rPr>
        <w:t>[3</w:t>
      </w:r>
      <w:r w:rsidR="00513682">
        <w:rPr>
          <w:sz w:val="28"/>
          <w:szCs w:val="28"/>
        </w:rPr>
        <w:t>1</w:t>
      </w:r>
      <w:r w:rsidR="005A6D05">
        <w:rPr>
          <w:sz w:val="28"/>
          <w:szCs w:val="28"/>
        </w:rPr>
        <w:t>]</w:t>
      </w:r>
      <w:r w:rsidR="005A6D05">
        <w:rPr>
          <w:sz w:val="28"/>
          <w:szCs w:val="28"/>
        </w:rPr>
        <w:tab/>
      </w:r>
      <w:r w:rsidR="00D2201F">
        <w:rPr>
          <w:sz w:val="28"/>
          <w:szCs w:val="28"/>
        </w:rPr>
        <w:t xml:space="preserve">In </w:t>
      </w:r>
      <w:proofErr w:type="spellStart"/>
      <w:r w:rsidR="005A6D05" w:rsidRPr="00C523B0">
        <w:rPr>
          <w:i/>
          <w:iCs/>
          <w:sz w:val="28"/>
          <w:szCs w:val="28"/>
        </w:rPr>
        <w:t>casu</w:t>
      </w:r>
      <w:proofErr w:type="spellEnd"/>
      <w:r w:rsidR="00D2201F">
        <w:rPr>
          <w:i/>
          <w:iCs/>
          <w:sz w:val="28"/>
          <w:szCs w:val="28"/>
        </w:rPr>
        <w:t xml:space="preserve">, </w:t>
      </w:r>
      <w:r w:rsidR="00D2201F">
        <w:rPr>
          <w:sz w:val="28"/>
          <w:szCs w:val="28"/>
        </w:rPr>
        <w:t>the proviso</w:t>
      </w:r>
      <w:r w:rsidR="005A6D05">
        <w:rPr>
          <w:i/>
          <w:iCs/>
          <w:sz w:val="28"/>
          <w:szCs w:val="28"/>
        </w:rPr>
        <w:t xml:space="preserve"> </w:t>
      </w:r>
      <w:r w:rsidR="005A6D05">
        <w:rPr>
          <w:sz w:val="28"/>
          <w:szCs w:val="28"/>
        </w:rPr>
        <w:t xml:space="preserve">serves </w:t>
      </w:r>
      <w:r w:rsidR="006423B6">
        <w:rPr>
          <w:sz w:val="28"/>
          <w:szCs w:val="28"/>
        </w:rPr>
        <w:t xml:space="preserve">the purpose of qualifying the main </w:t>
      </w:r>
      <w:r w:rsidR="00D2201F">
        <w:rPr>
          <w:sz w:val="28"/>
          <w:szCs w:val="28"/>
        </w:rPr>
        <w:t xml:space="preserve">enactment </w:t>
      </w:r>
      <w:r w:rsidR="006423B6">
        <w:rPr>
          <w:sz w:val="28"/>
          <w:szCs w:val="28"/>
        </w:rPr>
        <w:t>in section 67(3) by obliging the IEC to utilise the latest population census when</w:t>
      </w:r>
      <w:r w:rsidR="00D2201F">
        <w:rPr>
          <w:sz w:val="28"/>
          <w:szCs w:val="28"/>
        </w:rPr>
        <w:t>ever it</w:t>
      </w:r>
      <w:r w:rsidR="006423B6">
        <w:rPr>
          <w:sz w:val="28"/>
          <w:szCs w:val="28"/>
        </w:rPr>
        <w:t xml:space="preserve"> conduct</w:t>
      </w:r>
      <w:r w:rsidR="00D2201F">
        <w:rPr>
          <w:sz w:val="28"/>
          <w:szCs w:val="28"/>
        </w:rPr>
        <w:t>s</w:t>
      </w:r>
      <w:r w:rsidR="006423B6">
        <w:rPr>
          <w:sz w:val="28"/>
          <w:szCs w:val="28"/>
        </w:rPr>
        <w:t xml:space="preserve"> a review. </w:t>
      </w:r>
      <w:r w:rsidR="00A1790F">
        <w:rPr>
          <w:sz w:val="28"/>
          <w:szCs w:val="28"/>
        </w:rPr>
        <w:t>T</w:t>
      </w:r>
      <w:r w:rsidR="002C3704">
        <w:rPr>
          <w:sz w:val="28"/>
          <w:szCs w:val="28"/>
        </w:rPr>
        <w:t>he use of the words “such a review” and “</w:t>
      </w:r>
      <w:r w:rsidR="00282521">
        <w:rPr>
          <w:sz w:val="28"/>
          <w:szCs w:val="28"/>
        </w:rPr>
        <w:t xml:space="preserve">make </w:t>
      </w:r>
      <w:r w:rsidR="002C3704">
        <w:rPr>
          <w:sz w:val="28"/>
          <w:szCs w:val="28"/>
        </w:rPr>
        <w:t xml:space="preserve">such </w:t>
      </w:r>
      <w:r w:rsidR="00282521">
        <w:rPr>
          <w:sz w:val="28"/>
          <w:szCs w:val="28"/>
        </w:rPr>
        <w:t xml:space="preserve">an </w:t>
      </w:r>
      <w:r w:rsidR="002C3704">
        <w:rPr>
          <w:sz w:val="28"/>
          <w:szCs w:val="28"/>
        </w:rPr>
        <w:t xml:space="preserve">alteration” </w:t>
      </w:r>
      <w:r w:rsidR="00282521">
        <w:rPr>
          <w:sz w:val="28"/>
          <w:szCs w:val="28"/>
        </w:rPr>
        <w:t xml:space="preserve">in the proviso is a strong indicator that the </w:t>
      </w:r>
      <w:r w:rsidR="006423B6">
        <w:rPr>
          <w:sz w:val="28"/>
          <w:szCs w:val="28"/>
        </w:rPr>
        <w:t xml:space="preserve">proviso does not introduce another review </w:t>
      </w:r>
      <w:r w:rsidR="00D2201F">
        <w:rPr>
          <w:sz w:val="28"/>
          <w:szCs w:val="28"/>
        </w:rPr>
        <w:t xml:space="preserve">as </w:t>
      </w:r>
      <w:r w:rsidR="006423B6">
        <w:rPr>
          <w:sz w:val="28"/>
          <w:szCs w:val="28"/>
        </w:rPr>
        <w:t xml:space="preserve">contended by the IEC. These words </w:t>
      </w:r>
      <w:r w:rsidR="00A1790F">
        <w:rPr>
          <w:sz w:val="28"/>
          <w:szCs w:val="28"/>
        </w:rPr>
        <w:t>refer to the review</w:t>
      </w:r>
      <w:r w:rsidR="006423B6">
        <w:rPr>
          <w:sz w:val="28"/>
          <w:szCs w:val="28"/>
        </w:rPr>
        <w:t xml:space="preserve"> </w:t>
      </w:r>
      <w:r w:rsidR="00282521">
        <w:rPr>
          <w:sz w:val="28"/>
          <w:szCs w:val="28"/>
        </w:rPr>
        <w:t>referenced in the main body of the sub</w:t>
      </w:r>
      <w:r w:rsidR="00D6196F">
        <w:rPr>
          <w:sz w:val="28"/>
          <w:szCs w:val="28"/>
        </w:rPr>
        <w:t>-</w:t>
      </w:r>
      <w:r w:rsidR="00282521">
        <w:rPr>
          <w:sz w:val="28"/>
          <w:szCs w:val="28"/>
        </w:rPr>
        <w:t xml:space="preserve">section which </w:t>
      </w:r>
      <w:r w:rsidR="00D2201F">
        <w:rPr>
          <w:sz w:val="28"/>
          <w:szCs w:val="28"/>
        </w:rPr>
        <w:t xml:space="preserve">directs that a review </w:t>
      </w:r>
      <w:r w:rsidR="00282521">
        <w:rPr>
          <w:sz w:val="28"/>
          <w:szCs w:val="28"/>
        </w:rPr>
        <w:t>must be carried “out not less than eight nor more than ten years from the date of completing its last review</w:t>
      </w:r>
      <w:r w:rsidR="00857B4E">
        <w:rPr>
          <w:sz w:val="28"/>
          <w:szCs w:val="28"/>
        </w:rPr>
        <w:t>”.</w:t>
      </w:r>
      <w:r w:rsidR="00282521">
        <w:rPr>
          <w:sz w:val="28"/>
          <w:szCs w:val="28"/>
        </w:rPr>
        <w:t xml:space="preserve"> </w:t>
      </w:r>
      <w:r w:rsidR="00D2201F">
        <w:rPr>
          <w:sz w:val="28"/>
          <w:szCs w:val="28"/>
        </w:rPr>
        <w:t>The proviso does not say a review must be carried out every time</w:t>
      </w:r>
      <w:r w:rsidR="00BE5E49">
        <w:rPr>
          <w:sz w:val="28"/>
          <w:szCs w:val="28"/>
        </w:rPr>
        <w:t xml:space="preserve"> there is latest census report. The latest</w:t>
      </w:r>
      <w:r w:rsidR="005340BA">
        <w:rPr>
          <w:sz w:val="28"/>
          <w:szCs w:val="28"/>
        </w:rPr>
        <w:t xml:space="preserve"> census report can be </w:t>
      </w:r>
      <w:r w:rsidR="00BE5E49">
        <w:rPr>
          <w:sz w:val="28"/>
          <w:szCs w:val="28"/>
        </w:rPr>
        <w:t xml:space="preserve">discarded if the IEC considers that by effluxion of time there is better information that has since emerged. </w:t>
      </w:r>
      <w:r w:rsidR="00D2201F">
        <w:rPr>
          <w:sz w:val="28"/>
          <w:szCs w:val="28"/>
        </w:rPr>
        <w:t xml:space="preserve"> </w:t>
      </w:r>
    </w:p>
    <w:p w14:paraId="2CD013B8" w14:textId="77777777" w:rsidR="00A6473A" w:rsidRDefault="00A6473A" w:rsidP="005318F0">
      <w:pPr>
        <w:pStyle w:val="NormalWeb"/>
        <w:shd w:val="clear" w:color="auto" w:fill="FFFFFF"/>
        <w:spacing w:before="144" w:beforeAutospacing="0" w:after="288" w:afterAutospacing="0" w:line="480" w:lineRule="atLeast"/>
        <w:ind w:left="720" w:hanging="720"/>
        <w:jc w:val="both"/>
        <w:rPr>
          <w:sz w:val="28"/>
          <w:szCs w:val="28"/>
        </w:rPr>
      </w:pPr>
    </w:p>
    <w:p w14:paraId="188B3EC2" w14:textId="72EAC90C" w:rsidR="00252271" w:rsidRDefault="00252271"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[3</w:t>
      </w:r>
      <w:r w:rsidR="009206BB">
        <w:rPr>
          <w:sz w:val="28"/>
          <w:szCs w:val="28"/>
        </w:rPr>
        <w:t>2</w:t>
      </w:r>
      <w:r>
        <w:rPr>
          <w:sz w:val="28"/>
          <w:szCs w:val="28"/>
        </w:rPr>
        <w:t>]</w:t>
      </w:r>
      <w:r>
        <w:rPr>
          <w:sz w:val="28"/>
          <w:szCs w:val="28"/>
        </w:rPr>
        <w:tab/>
      </w:r>
      <w:r w:rsidR="00857B4E">
        <w:rPr>
          <w:sz w:val="28"/>
          <w:szCs w:val="28"/>
        </w:rPr>
        <w:t>Therefore</w:t>
      </w:r>
      <w:r w:rsidR="00AA28FA">
        <w:rPr>
          <w:sz w:val="28"/>
          <w:szCs w:val="28"/>
        </w:rPr>
        <w:t>,</w:t>
      </w:r>
      <w:r w:rsidR="00857B4E">
        <w:rPr>
          <w:sz w:val="28"/>
          <w:szCs w:val="28"/>
        </w:rPr>
        <w:t xml:space="preserve"> the </w:t>
      </w:r>
      <w:r w:rsidR="00D6196F">
        <w:rPr>
          <w:sz w:val="28"/>
          <w:szCs w:val="28"/>
        </w:rPr>
        <w:t>C</w:t>
      </w:r>
      <w:r w:rsidR="00857B4E">
        <w:rPr>
          <w:sz w:val="28"/>
          <w:szCs w:val="28"/>
        </w:rPr>
        <w:t xml:space="preserve">ourt </w:t>
      </w:r>
      <w:r>
        <w:rPr>
          <w:sz w:val="28"/>
          <w:szCs w:val="28"/>
        </w:rPr>
        <w:t>reject</w:t>
      </w:r>
      <w:r w:rsidR="001740C8">
        <w:rPr>
          <w:sz w:val="28"/>
          <w:szCs w:val="28"/>
        </w:rPr>
        <w:t>s</w:t>
      </w:r>
      <w:r>
        <w:rPr>
          <w:sz w:val="28"/>
          <w:szCs w:val="28"/>
        </w:rPr>
        <w:t xml:space="preserve"> the interpretation urged </w:t>
      </w:r>
      <w:r w:rsidR="00671EDC">
        <w:rPr>
          <w:sz w:val="28"/>
          <w:szCs w:val="28"/>
        </w:rPr>
        <w:t xml:space="preserve">by </w:t>
      </w:r>
      <w:r>
        <w:rPr>
          <w:sz w:val="28"/>
          <w:szCs w:val="28"/>
        </w:rPr>
        <w:t>the IEC and accept</w:t>
      </w:r>
      <w:r w:rsidR="00857B4E">
        <w:rPr>
          <w:sz w:val="28"/>
          <w:szCs w:val="28"/>
        </w:rPr>
        <w:t>s</w:t>
      </w:r>
      <w:r>
        <w:rPr>
          <w:sz w:val="28"/>
          <w:szCs w:val="28"/>
        </w:rPr>
        <w:t xml:space="preserve"> that of the applicants.  Th</w:t>
      </w:r>
      <w:r w:rsidR="00671EDC">
        <w:rPr>
          <w:sz w:val="28"/>
          <w:szCs w:val="28"/>
        </w:rPr>
        <w:t>e</w:t>
      </w:r>
      <w:r>
        <w:rPr>
          <w:sz w:val="28"/>
          <w:szCs w:val="28"/>
        </w:rPr>
        <w:t xml:space="preserve"> eight to ten</w:t>
      </w:r>
      <w:r w:rsidR="002318EF">
        <w:rPr>
          <w:sz w:val="28"/>
          <w:szCs w:val="28"/>
        </w:rPr>
        <w:t>-</w:t>
      </w:r>
      <w:r>
        <w:rPr>
          <w:sz w:val="28"/>
          <w:szCs w:val="28"/>
        </w:rPr>
        <w:t xml:space="preserve">year period for review of constituency boundaries is </w:t>
      </w:r>
      <w:r w:rsidR="002318EF">
        <w:rPr>
          <w:sz w:val="28"/>
          <w:szCs w:val="28"/>
        </w:rPr>
        <w:t>the benchmark for periodicity of constituency reviews</w:t>
      </w:r>
      <w:r w:rsidR="00BE5E49">
        <w:rPr>
          <w:sz w:val="28"/>
          <w:szCs w:val="28"/>
        </w:rPr>
        <w:t xml:space="preserve"> and not a census</w:t>
      </w:r>
      <w:r w:rsidR="002318EF">
        <w:rPr>
          <w:sz w:val="28"/>
          <w:szCs w:val="28"/>
        </w:rPr>
        <w:t xml:space="preserve">.  The </w:t>
      </w:r>
      <w:r w:rsidR="00BE5E49">
        <w:rPr>
          <w:sz w:val="28"/>
          <w:szCs w:val="28"/>
        </w:rPr>
        <w:t xml:space="preserve">framers </w:t>
      </w:r>
      <w:r w:rsidR="002318EF">
        <w:rPr>
          <w:sz w:val="28"/>
          <w:szCs w:val="28"/>
        </w:rPr>
        <w:t xml:space="preserve">of the Constitution must have </w:t>
      </w:r>
      <w:proofErr w:type="gramStart"/>
      <w:r w:rsidR="002318EF">
        <w:rPr>
          <w:sz w:val="28"/>
          <w:szCs w:val="28"/>
        </w:rPr>
        <w:t>made a determination</w:t>
      </w:r>
      <w:proofErr w:type="gramEnd"/>
      <w:r w:rsidR="002318EF">
        <w:rPr>
          <w:sz w:val="28"/>
          <w:szCs w:val="28"/>
        </w:rPr>
        <w:t xml:space="preserve"> that this is the requisite and appropriate period to revisit the constituencies as a guard rail against </w:t>
      </w:r>
      <w:r w:rsidR="00BE5E49">
        <w:rPr>
          <w:sz w:val="28"/>
          <w:szCs w:val="28"/>
        </w:rPr>
        <w:t xml:space="preserve">infrequent reviews dictated </w:t>
      </w:r>
      <w:r w:rsidR="005340BA">
        <w:rPr>
          <w:sz w:val="28"/>
          <w:szCs w:val="28"/>
        </w:rPr>
        <w:t xml:space="preserve">by interest of </w:t>
      </w:r>
      <w:r w:rsidR="002318EF">
        <w:rPr>
          <w:sz w:val="28"/>
          <w:szCs w:val="28"/>
        </w:rPr>
        <w:t>transient political majorities and election management bodies.</w:t>
      </w:r>
      <w:r w:rsidR="00BE5E49">
        <w:rPr>
          <w:sz w:val="28"/>
          <w:szCs w:val="28"/>
        </w:rPr>
        <w:t xml:space="preserve"> Yes, the IEC must use the latest census in conducting a review, but it is at liberty to </w:t>
      </w:r>
      <w:r w:rsidR="00983EF7">
        <w:rPr>
          <w:sz w:val="28"/>
          <w:szCs w:val="28"/>
        </w:rPr>
        <w:t xml:space="preserve">discard </w:t>
      </w:r>
      <w:r w:rsidR="00BE5E49">
        <w:rPr>
          <w:sz w:val="28"/>
          <w:szCs w:val="28"/>
        </w:rPr>
        <w:t xml:space="preserve">it </w:t>
      </w:r>
      <w:r w:rsidR="00983EF7">
        <w:rPr>
          <w:sz w:val="28"/>
          <w:szCs w:val="28"/>
        </w:rPr>
        <w:t xml:space="preserve">in favour of available best evidence of latest population figures. </w:t>
      </w:r>
    </w:p>
    <w:p w14:paraId="61584CA8" w14:textId="45914034" w:rsidR="003E7F39" w:rsidRDefault="002318EF">
      <w:pPr>
        <w:pStyle w:val="NormalWeb"/>
        <w:shd w:val="clear" w:color="auto" w:fill="FFFFFF"/>
        <w:spacing w:before="144" w:beforeAutospacing="0" w:after="288" w:afterAutospacing="0" w:line="480" w:lineRule="atLeast"/>
        <w:ind w:left="720" w:hanging="720"/>
        <w:jc w:val="both"/>
        <w:rPr>
          <w:sz w:val="28"/>
          <w:szCs w:val="28"/>
        </w:rPr>
      </w:pPr>
      <w:r>
        <w:rPr>
          <w:sz w:val="28"/>
          <w:szCs w:val="28"/>
        </w:rPr>
        <w:lastRenderedPageBreak/>
        <w:t>[3</w:t>
      </w:r>
      <w:r w:rsidR="009206BB">
        <w:rPr>
          <w:sz w:val="28"/>
          <w:szCs w:val="28"/>
        </w:rPr>
        <w:t>3</w:t>
      </w:r>
      <w:r>
        <w:rPr>
          <w:sz w:val="28"/>
          <w:szCs w:val="28"/>
        </w:rPr>
        <w:t>]</w:t>
      </w:r>
      <w:r>
        <w:rPr>
          <w:sz w:val="28"/>
          <w:szCs w:val="28"/>
        </w:rPr>
        <w:tab/>
        <w:t xml:space="preserve">To prevent temporary political majorities and election management bodies from tinkering with the constitutionally prescribed period, section 67 was entrenched.  To amend it, Parliament </w:t>
      </w:r>
      <w:r w:rsidR="00A7265C">
        <w:rPr>
          <w:sz w:val="28"/>
          <w:szCs w:val="28"/>
        </w:rPr>
        <w:t>can only do s</w:t>
      </w:r>
      <w:r>
        <w:rPr>
          <w:sz w:val="28"/>
          <w:szCs w:val="28"/>
        </w:rPr>
        <w:t xml:space="preserve">o by votes of two-thirds in both Houses of Parliament.  This speaks to the unyielding nature of the period to review constituency boundaries.  There is merit in the applicants’ contention that it does not lie within </w:t>
      </w:r>
      <w:r w:rsidR="00671EDC">
        <w:rPr>
          <w:sz w:val="28"/>
          <w:szCs w:val="28"/>
        </w:rPr>
        <w:t>t</w:t>
      </w:r>
      <w:r>
        <w:rPr>
          <w:sz w:val="28"/>
          <w:szCs w:val="28"/>
        </w:rPr>
        <w:t xml:space="preserve">he powers of the IEC to initiate and not complete a review within the prescribed period or even to postpone it.  </w:t>
      </w:r>
      <w:r w:rsidR="00983EF7" w:rsidDel="00983EF7">
        <w:rPr>
          <w:sz w:val="28"/>
          <w:szCs w:val="28"/>
        </w:rPr>
        <w:t xml:space="preserve"> </w:t>
      </w:r>
    </w:p>
    <w:p w14:paraId="7058D3DE" w14:textId="77777777" w:rsidR="00A6473A" w:rsidRDefault="00A6473A">
      <w:pPr>
        <w:pStyle w:val="NormalWeb"/>
        <w:shd w:val="clear" w:color="auto" w:fill="FFFFFF"/>
        <w:spacing w:before="144" w:beforeAutospacing="0" w:after="288" w:afterAutospacing="0" w:line="480" w:lineRule="atLeast"/>
        <w:ind w:left="720" w:hanging="720"/>
        <w:jc w:val="both"/>
        <w:rPr>
          <w:sz w:val="28"/>
          <w:szCs w:val="28"/>
        </w:rPr>
      </w:pPr>
    </w:p>
    <w:p w14:paraId="74668AA2" w14:textId="1381B109" w:rsidR="00D84272" w:rsidRDefault="00D84272" w:rsidP="00513682">
      <w:pPr>
        <w:pStyle w:val="NormalWeb"/>
        <w:shd w:val="clear" w:color="auto" w:fill="FFFFFF"/>
        <w:spacing w:before="144" w:beforeAutospacing="0" w:after="288" w:afterAutospacing="0" w:line="480" w:lineRule="atLeast"/>
        <w:ind w:left="720" w:hanging="720"/>
        <w:jc w:val="both"/>
        <w:rPr>
          <w:b/>
          <w:bCs/>
          <w:sz w:val="32"/>
          <w:szCs w:val="32"/>
        </w:rPr>
      </w:pPr>
      <w:r w:rsidRPr="00D84272">
        <w:rPr>
          <w:b/>
          <w:bCs/>
          <w:sz w:val="32"/>
          <w:szCs w:val="32"/>
        </w:rPr>
        <w:t>Section 67(2) interpretation</w:t>
      </w:r>
    </w:p>
    <w:p w14:paraId="281DF0A5" w14:textId="2503C70D" w:rsidR="00D84272" w:rsidRDefault="00D84272" w:rsidP="0048391A">
      <w:pPr>
        <w:pStyle w:val="NormalWeb"/>
        <w:shd w:val="clear" w:color="auto" w:fill="FFFFFF"/>
        <w:spacing w:before="0" w:beforeAutospacing="0" w:after="0" w:afterAutospacing="0" w:line="480" w:lineRule="auto"/>
        <w:ind w:left="720" w:hanging="720"/>
        <w:jc w:val="both"/>
        <w:rPr>
          <w:sz w:val="28"/>
          <w:szCs w:val="28"/>
        </w:rPr>
      </w:pPr>
      <w:r>
        <w:rPr>
          <w:sz w:val="28"/>
          <w:szCs w:val="28"/>
        </w:rPr>
        <w:t>[3</w:t>
      </w:r>
      <w:r w:rsidR="009206BB">
        <w:rPr>
          <w:sz w:val="28"/>
          <w:szCs w:val="28"/>
        </w:rPr>
        <w:t>4</w:t>
      </w:r>
      <w:r>
        <w:rPr>
          <w:sz w:val="28"/>
          <w:szCs w:val="28"/>
        </w:rPr>
        <w:t>]</w:t>
      </w:r>
      <w:r>
        <w:rPr>
          <w:sz w:val="28"/>
          <w:szCs w:val="28"/>
        </w:rPr>
        <w:tab/>
        <w:t>Section 67(2)</w:t>
      </w:r>
      <w:r w:rsidR="00983EF7">
        <w:rPr>
          <w:sz w:val="28"/>
          <w:szCs w:val="28"/>
        </w:rPr>
        <w:t xml:space="preserve"> is couched in crystal</w:t>
      </w:r>
      <w:r>
        <w:rPr>
          <w:sz w:val="28"/>
          <w:szCs w:val="28"/>
        </w:rPr>
        <w:t xml:space="preserve"> clear language that “All constituencies shall contain as nearly equal numbers of inhabitants of or above the age of eighteen years as appears to the Commission to be reasonably practicable…”  This language speaks to the principles of voter parity and equal representation.  The number of voters in each </w:t>
      </w:r>
      <w:r w:rsidR="00983EF7">
        <w:rPr>
          <w:sz w:val="28"/>
          <w:szCs w:val="28"/>
        </w:rPr>
        <w:t xml:space="preserve">of the eighty constituencies </w:t>
      </w:r>
      <w:r>
        <w:rPr>
          <w:sz w:val="28"/>
          <w:szCs w:val="28"/>
        </w:rPr>
        <w:t>must be</w:t>
      </w:r>
      <w:r w:rsidR="00983EF7">
        <w:rPr>
          <w:sz w:val="28"/>
          <w:szCs w:val="28"/>
        </w:rPr>
        <w:t xml:space="preserve"> nearly</w:t>
      </w:r>
      <w:r>
        <w:rPr>
          <w:sz w:val="28"/>
          <w:szCs w:val="28"/>
        </w:rPr>
        <w:t xml:space="preserve"> equal to ensure that members of the National Assembly</w:t>
      </w:r>
      <w:r w:rsidR="001D1799">
        <w:rPr>
          <w:sz w:val="28"/>
          <w:szCs w:val="28"/>
        </w:rPr>
        <w:t xml:space="preserve"> elected to</w:t>
      </w:r>
      <w:r>
        <w:rPr>
          <w:sz w:val="28"/>
          <w:szCs w:val="28"/>
        </w:rPr>
        <w:t xml:space="preserve"> represent</w:t>
      </w:r>
      <w:r w:rsidR="001D1799">
        <w:rPr>
          <w:sz w:val="28"/>
          <w:szCs w:val="28"/>
        </w:rPr>
        <w:t xml:space="preserve"> constituencies each </w:t>
      </w:r>
      <w:r w:rsidR="00A7265C">
        <w:rPr>
          <w:sz w:val="28"/>
          <w:szCs w:val="28"/>
        </w:rPr>
        <w:t>represent approximately equal number of voters.</w:t>
      </w:r>
      <w:r>
        <w:rPr>
          <w:sz w:val="28"/>
          <w:szCs w:val="28"/>
        </w:rPr>
        <w:t xml:space="preserve"> As explained by Cory J. of the Supreme Court of Canada</w:t>
      </w:r>
      <w:r>
        <w:rPr>
          <w:rStyle w:val="FootnoteReference"/>
          <w:sz w:val="28"/>
          <w:szCs w:val="28"/>
        </w:rPr>
        <w:footnoteReference w:id="21"/>
      </w:r>
      <w:r>
        <w:rPr>
          <w:sz w:val="28"/>
          <w:szCs w:val="28"/>
        </w:rPr>
        <w:t>:</w:t>
      </w:r>
    </w:p>
    <w:p w14:paraId="7BDDBE3B" w14:textId="0EEA6D5E" w:rsidR="00D84272" w:rsidRPr="0048391A" w:rsidRDefault="00D84272" w:rsidP="0048391A">
      <w:pPr>
        <w:ind w:left="2160"/>
        <w:jc w:val="both"/>
        <w:rPr>
          <w:rFonts w:ascii="TmsRmn 12pt" w:hAnsi="TmsRmn 12pt"/>
          <w:color w:val="000000"/>
          <w:lang w:val="en-ZA" w:eastAsia="en-ZA"/>
        </w:rPr>
      </w:pPr>
      <w:r w:rsidRPr="0048391A">
        <w:t>“</w:t>
      </w:r>
      <w:r w:rsidRPr="0048391A">
        <w:rPr>
          <w:color w:val="000000"/>
          <w:spacing w:val="-3"/>
          <w:lang w:val="en-GB" w:eastAsia="en-ZA"/>
        </w:rPr>
        <w:t>First, the right to vote is fundamental to a democracy.  If the right to vote is to be of true significance to the individual voter, each person's vote should, subject only to reasonable variations for geographic and community interests, be as nearly as possible equal to the vote of any other voter residing in any other constituency.  Any significant diminution of the right to relative equality of voting power can only lead to voter frustration and to a lack of confidence in the electoral process.</w:t>
      </w:r>
      <w:r w:rsidR="008338FE" w:rsidRPr="0048391A">
        <w:rPr>
          <w:color w:val="000000"/>
          <w:spacing w:val="-3"/>
          <w:lang w:val="en-GB" w:eastAsia="en-ZA"/>
        </w:rPr>
        <w:t>”</w:t>
      </w:r>
    </w:p>
    <w:p w14:paraId="04D7DEB0" w14:textId="77777777" w:rsidR="00D84272" w:rsidRPr="00D84272" w:rsidRDefault="00D84272" w:rsidP="0048391A">
      <w:pPr>
        <w:jc w:val="both"/>
        <w:rPr>
          <w:rFonts w:ascii="TmsRmn 12pt" w:hAnsi="TmsRmn 12pt"/>
          <w:color w:val="000000"/>
          <w:sz w:val="27"/>
          <w:szCs w:val="27"/>
          <w:lang w:val="en-ZA" w:eastAsia="en-ZA"/>
        </w:rPr>
      </w:pPr>
      <w:r w:rsidRPr="0048391A">
        <w:rPr>
          <w:color w:val="000000"/>
          <w:spacing w:val="-3"/>
          <w:lang w:val="en-GB" w:eastAsia="en-ZA"/>
        </w:rPr>
        <w:t> </w:t>
      </w:r>
    </w:p>
    <w:p w14:paraId="1F0017D9" w14:textId="1CF7FEC3" w:rsidR="00D84272" w:rsidRDefault="008338FE" w:rsidP="008338FE">
      <w:pPr>
        <w:pStyle w:val="NormalWeb"/>
        <w:shd w:val="clear" w:color="auto" w:fill="FFFFFF"/>
        <w:spacing w:before="144" w:beforeAutospacing="0" w:after="288" w:afterAutospacing="0" w:line="480" w:lineRule="atLeast"/>
        <w:jc w:val="both"/>
        <w:rPr>
          <w:sz w:val="28"/>
          <w:szCs w:val="28"/>
        </w:rPr>
      </w:pPr>
      <w:r>
        <w:rPr>
          <w:sz w:val="28"/>
          <w:szCs w:val="28"/>
        </w:rPr>
        <w:lastRenderedPageBreak/>
        <w:t>[3</w:t>
      </w:r>
      <w:r w:rsidR="009206BB">
        <w:rPr>
          <w:sz w:val="28"/>
          <w:szCs w:val="28"/>
        </w:rPr>
        <w:t>5</w:t>
      </w:r>
      <w:r>
        <w:rPr>
          <w:sz w:val="28"/>
          <w:szCs w:val="28"/>
        </w:rPr>
        <w:t>]</w:t>
      </w:r>
      <w:r>
        <w:rPr>
          <w:sz w:val="28"/>
          <w:szCs w:val="28"/>
        </w:rPr>
        <w:tab/>
      </w:r>
      <w:proofErr w:type="spellStart"/>
      <w:r>
        <w:rPr>
          <w:sz w:val="28"/>
          <w:szCs w:val="28"/>
        </w:rPr>
        <w:t>McL</w:t>
      </w:r>
      <w:r w:rsidR="00131910">
        <w:rPr>
          <w:sz w:val="28"/>
          <w:szCs w:val="28"/>
        </w:rPr>
        <w:t>a</w:t>
      </w:r>
      <w:r>
        <w:rPr>
          <w:sz w:val="28"/>
          <w:szCs w:val="28"/>
        </w:rPr>
        <w:t>chlin</w:t>
      </w:r>
      <w:proofErr w:type="spellEnd"/>
      <w:r>
        <w:rPr>
          <w:sz w:val="28"/>
          <w:szCs w:val="28"/>
        </w:rPr>
        <w:t xml:space="preserve"> J expatiates</w:t>
      </w:r>
      <w:r>
        <w:rPr>
          <w:rStyle w:val="FootnoteReference"/>
          <w:sz w:val="28"/>
          <w:szCs w:val="28"/>
        </w:rPr>
        <w:footnoteReference w:id="22"/>
      </w:r>
      <w:r>
        <w:rPr>
          <w:sz w:val="28"/>
          <w:szCs w:val="28"/>
        </w:rPr>
        <w:t xml:space="preserve">: </w:t>
      </w:r>
    </w:p>
    <w:p w14:paraId="0D5BD580" w14:textId="70AF7F06" w:rsidR="008338FE" w:rsidRPr="00131910" w:rsidRDefault="00F56D46" w:rsidP="00131910">
      <w:pPr>
        <w:ind w:left="2160"/>
        <w:jc w:val="both"/>
        <w:rPr>
          <w:color w:val="000000"/>
          <w:lang w:val="en-ZA" w:eastAsia="en-ZA"/>
        </w:rPr>
      </w:pPr>
      <w:r w:rsidRPr="00131910">
        <w:t>“</w:t>
      </w:r>
      <w:r w:rsidRPr="00131910">
        <w:rPr>
          <w:color w:val="000000"/>
          <w:spacing w:val="-3"/>
          <w:lang w:val="en-GB" w:eastAsia="en-ZA"/>
        </w:rPr>
        <w:t>What</w:t>
      </w:r>
      <w:r w:rsidR="008338FE" w:rsidRPr="00131910">
        <w:rPr>
          <w:color w:val="000000"/>
          <w:spacing w:val="-3"/>
          <w:lang w:val="en-GB" w:eastAsia="en-ZA"/>
        </w:rPr>
        <w:t xml:space="preserve"> are the conditions of effective representation?  The first is relative parity of voting power.  A system which dilutes one citizen's vote unduly as compared with another citizen's vote runs the risk of providing inadequate representation to the citizen whose vote is diluted.  The legislative power of the citizen whose vote is diluted will be reduced, as may be access to and assistance from his or her representative.   The result will be uneven and unfair representation.</w:t>
      </w:r>
    </w:p>
    <w:p w14:paraId="171A3FFB" w14:textId="77777777" w:rsidR="008338FE" w:rsidRPr="00131910" w:rsidRDefault="008338FE" w:rsidP="00131910">
      <w:pPr>
        <w:jc w:val="both"/>
        <w:rPr>
          <w:color w:val="000000"/>
          <w:lang w:val="en-ZA" w:eastAsia="en-ZA"/>
        </w:rPr>
      </w:pPr>
      <w:r w:rsidRPr="00131910">
        <w:rPr>
          <w:color w:val="000000"/>
          <w:spacing w:val="-3"/>
          <w:lang w:val="en-GB" w:eastAsia="en-ZA"/>
        </w:rPr>
        <w:t> </w:t>
      </w:r>
    </w:p>
    <w:p w14:paraId="651547AA" w14:textId="60F5F3BD" w:rsidR="008338FE" w:rsidRPr="00131910" w:rsidRDefault="008338FE" w:rsidP="00131910">
      <w:pPr>
        <w:ind w:left="2160"/>
        <w:jc w:val="both"/>
        <w:rPr>
          <w:color w:val="000000"/>
          <w:lang w:val="en-ZA" w:eastAsia="en-ZA"/>
        </w:rPr>
      </w:pPr>
      <w:r w:rsidRPr="00131910">
        <w:rPr>
          <w:color w:val="000000"/>
          <w:spacing w:val="-3"/>
          <w:lang w:val="en-GB" w:eastAsia="en-ZA"/>
        </w:rPr>
        <w:t xml:space="preserve">But parity of voting power, though of prime importance, is not the only factor to be </w:t>
      </w:r>
      <w:proofErr w:type="gramStart"/>
      <w:r w:rsidRPr="00131910">
        <w:rPr>
          <w:color w:val="000000"/>
          <w:spacing w:val="-3"/>
          <w:lang w:val="en-GB" w:eastAsia="en-ZA"/>
        </w:rPr>
        <w:t>taken into account</w:t>
      </w:r>
      <w:proofErr w:type="gramEnd"/>
      <w:r w:rsidRPr="00131910">
        <w:rPr>
          <w:color w:val="000000"/>
          <w:spacing w:val="-3"/>
          <w:lang w:val="en-GB" w:eastAsia="en-ZA"/>
        </w:rPr>
        <w:t xml:space="preserve"> in ensuring effective representation.  Sir John A. Macdonald in introducing the</w:t>
      </w:r>
      <w:r w:rsidRPr="00131910">
        <w:rPr>
          <w:i/>
          <w:iCs/>
          <w:color w:val="000000"/>
          <w:spacing w:val="-3"/>
          <w:lang w:val="en-GB" w:eastAsia="en-ZA"/>
        </w:rPr>
        <w:t> Act to re-adjust the Representation in the House of Commons</w:t>
      </w:r>
      <w:r w:rsidRPr="00131910">
        <w:rPr>
          <w:color w:val="000000"/>
          <w:spacing w:val="-3"/>
          <w:lang w:val="en-GB" w:eastAsia="en-ZA"/>
        </w:rPr>
        <w:t>, S.C. l872, c. 13, recognized this fundamental fact (House of Commons Debates, Vol. III, 4th Sess., p. 926 (June 1, 1872)):</w:t>
      </w:r>
    </w:p>
    <w:p w14:paraId="7C6B2988" w14:textId="77777777" w:rsidR="008338FE" w:rsidRPr="00131910" w:rsidRDefault="008338FE" w:rsidP="00131910">
      <w:pPr>
        <w:jc w:val="both"/>
        <w:rPr>
          <w:color w:val="000000"/>
          <w:lang w:val="en-ZA" w:eastAsia="en-ZA"/>
        </w:rPr>
      </w:pPr>
      <w:r w:rsidRPr="00131910">
        <w:rPr>
          <w:color w:val="000000"/>
          <w:spacing w:val="-3"/>
          <w:lang w:val="en-GB" w:eastAsia="en-ZA"/>
        </w:rPr>
        <w:t> </w:t>
      </w:r>
    </w:p>
    <w:p w14:paraId="36255260" w14:textId="77777777" w:rsidR="008338FE" w:rsidRPr="00131910" w:rsidRDefault="008338FE" w:rsidP="00131910">
      <w:pPr>
        <w:ind w:left="2160"/>
        <w:jc w:val="both"/>
        <w:rPr>
          <w:color w:val="000000"/>
          <w:lang w:val="en-ZA" w:eastAsia="en-ZA"/>
        </w:rPr>
      </w:pPr>
      <w:r w:rsidRPr="00131910">
        <w:rPr>
          <w:color w:val="000000"/>
          <w:spacing w:val="-3"/>
          <w:lang w:val="en-GB" w:eastAsia="en-ZA"/>
        </w:rPr>
        <w:t>...it will be found that,... while the principle of population was considered to a very great extent, other considerations were also held to have weight; so that different interests, classes and localities should be fairly represented, that the principle of numbers should not be the only one.</w:t>
      </w:r>
    </w:p>
    <w:p w14:paraId="50D5EC0A" w14:textId="77777777" w:rsidR="008338FE" w:rsidRPr="00131910" w:rsidRDefault="008338FE" w:rsidP="00131910">
      <w:pPr>
        <w:jc w:val="both"/>
        <w:rPr>
          <w:color w:val="000000"/>
          <w:lang w:val="en-ZA" w:eastAsia="en-ZA"/>
        </w:rPr>
      </w:pPr>
      <w:r w:rsidRPr="00131910">
        <w:rPr>
          <w:color w:val="000000"/>
          <w:spacing w:val="-3"/>
          <w:lang w:val="en-GB" w:eastAsia="en-ZA"/>
        </w:rPr>
        <w:t> </w:t>
      </w:r>
    </w:p>
    <w:p w14:paraId="39CD1A31" w14:textId="6F05D526" w:rsidR="008338FE" w:rsidRPr="00131910" w:rsidRDefault="008338FE" w:rsidP="00131910">
      <w:pPr>
        <w:ind w:left="2160"/>
        <w:jc w:val="both"/>
        <w:rPr>
          <w:color w:val="000000"/>
          <w:lang w:val="en-ZA" w:eastAsia="en-ZA"/>
        </w:rPr>
      </w:pPr>
      <w:r w:rsidRPr="00131910">
        <w:rPr>
          <w:color w:val="000000"/>
          <w:spacing w:val="-3"/>
          <w:lang w:val="en-GB" w:eastAsia="en-ZA"/>
        </w:rPr>
        <w:t xml:space="preserve">Notwithstanding the fact that the value of a citizen's vote should not be unduly diluted, it is a practical fact that effective representation often cannot be achieved without </w:t>
      </w:r>
      <w:proofErr w:type="gramStart"/>
      <w:r w:rsidRPr="00131910">
        <w:rPr>
          <w:color w:val="000000"/>
          <w:spacing w:val="-3"/>
          <w:lang w:val="en-GB" w:eastAsia="en-ZA"/>
        </w:rPr>
        <w:t>taking into account</w:t>
      </w:r>
      <w:proofErr w:type="gramEnd"/>
      <w:r w:rsidRPr="00131910">
        <w:rPr>
          <w:color w:val="000000"/>
          <w:spacing w:val="-3"/>
          <w:lang w:val="en-GB" w:eastAsia="en-ZA"/>
        </w:rPr>
        <w:t xml:space="preserve"> countervailing factors.</w:t>
      </w:r>
    </w:p>
    <w:p w14:paraId="0C72AC7C" w14:textId="77777777" w:rsidR="008338FE" w:rsidRPr="00131910" w:rsidRDefault="008338FE" w:rsidP="00131910">
      <w:pPr>
        <w:jc w:val="both"/>
        <w:rPr>
          <w:color w:val="000000"/>
          <w:lang w:val="en-ZA" w:eastAsia="en-ZA"/>
        </w:rPr>
      </w:pPr>
      <w:r w:rsidRPr="00131910">
        <w:rPr>
          <w:color w:val="000000"/>
          <w:spacing w:val="-3"/>
          <w:lang w:val="en-GB" w:eastAsia="en-ZA"/>
        </w:rPr>
        <w:t> </w:t>
      </w:r>
    </w:p>
    <w:p w14:paraId="264FCCFE" w14:textId="69CF6A16" w:rsidR="008338FE" w:rsidRPr="00131910" w:rsidRDefault="008338FE" w:rsidP="00131910">
      <w:pPr>
        <w:ind w:left="2160"/>
        <w:jc w:val="both"/>
        <w:rPr>
          <w:color w:val="000000"/>
          <w:lang w:val="en-ZA" w:eastAsia="en-ZA"/>
        </w:rPr>
      </w:pPr>
      <w:r w:rsidRPr="00131910">
        <w:rPr>
          <w:color w:val="000000"/>
          <w:spacing w:val="-3"/>
          <w:lang w:val="en-GB" w:eastAsia="en-ZA"/>
        </w:rPr>
        <w:t>First, absolute parity is impossible. It is impossible to draw boundary lines which guarantee exactly the same number of voters in each district. Voters die, voters move.  Even with the aid of frequent censuses, voter parity is impossible.</w:t>
      </w:r>
    </w:p>
    <w:p w14:paraId="5E77EBBC" w14:textId="77777777" w:rsidR="008338FE" w:rsidRPr="00131910" w:rsidRDefault="008338FE" w:rsidP="00131910">
      <w:pPr>
        <w:jc w:val="both"/>
        <w:rPr>
          <w:color w:val="000000"/>
          <w:lang w:val="en-ZA" w:eastAsia="en-ZA"/>
        </w:rPr>
      </w:pPr>
      <w:r w:rsidRPr="00131910">
        <w:rPr>
          <w:color w:val="000000"/>
          <w:spacing w:val="-3"/>
          <w:lang w:val="en-GB" w:eastAsia="en-ZA"/>
        </w:rPr>
        <w:t> </w:t>
      </w:r>
    </w:p>
    <w:p w14:paraId="034E8E8C" w14:textId="33DFF81A" w:rsidR="001171E7" w:rsidRDefault="008338FE" w:rsidP="00131910">
      <w:pPr>
        <w:ind w:left="2160"/>
        <w:jc w:val="both"/>
        <w:rPr>
          <w:color w:val="000000"/>
          <w:spacing w:val="-3"/>
          <w:lang w:val="en-GB" w:eastAsia="en-ZA"/>
        </w:rPr>
      </w:pPr>
      <w:r w:rsidRPr="00131910">
        <w:rPr>
          <w:color w:val="000000"/>
          <w:spacing w:val="-3"/>
          <w:lang w:val="en-GB" w:eastAsia="en-ZA"/>
        </w:rPr>
        <w:t xml:space="preserve">Secondly, such relative parity as may be possible of achievement may prove undesirable because it has the effect of detracting from the primary goal of effective representation. Factors like geography, community history, community interests and minority representation may need to be </w:t>
      </w:r>
      <w:proofErr w:type="gramStart"/>
      <w:r w:rsidRPr="00131910">
        <w:rPr>
          <w:color w:val="000000"/>
          <w:spacing w:val="-3"/>
          <w:lang w:val="en-GB" w:eastAsia="en-ZA"/>
        </w:rPr>
        <w:t>taken into account</w:t>
      </w:r>
      <w:proofErr w:type="gramEnd"/>
      <w:r w:rsidRPr="00131910">
        <w:rPr>
          <w:color w:val="000000"/>
          <w:spacing w:val="-3"/>
          <w:lang w:val="en-GB" w:eastAsia="en-ZA"/>
        </w:rPr>
        <w:t xml:space="preserve"> to ensure that our legislative assemblies effectively represent the diversity of our social mosaic.  These are but examples of considerations which may justify departure from absolute voter parity in the pursuit of more effective representation; the list is not closed.</w:t>
      </w:r>
    </w:p>
    <w:p w14:paraId="323DDD81" w14:textId="77777777" w:rsidR="00131910" w:rsidRPr="00131910" w:rsidRDefault="00131910" w:rsidP="00131910">
      <w:pPr>
        <w:ind w:left="2160"/>
        <w:jc w:val="both"/>
        <w:rPr>
          <w:color w:val="000000"/>
          <w:spacing w:val="-3"/>
          <w:lang w:val="en-GB" w:eastAsia="en-ZA"/>
        </w:rPr>
      </w:pPr>
    </w:p>
    <w:p w14:paraId="399B85BB" w14:textId="7FBEAF80" w:rsidR="008338FE" w:rsidRDefault="001171E7" w:rsidP="00131910">
      <w:pPr>
        <w:ind w:left="2160"/>
        <w:jc w:val="both"/>
        <w:rPr>
          <w:color w:val="000000"/>
          <w:spacing w:val="-3"/>
          <w:lang w:val="en-GB" w:eastAsia="en-ZA"/>
        </w:rPr>
      </w:pPr>
      <w:r w:rsidRPr="00131910">
        <w:rPr>
          <w:color w:val="000000"/>
          <w:spacing w:val="-3"/>
        </w:rPr>
        <w:t>It emerges therefore that deviations from absolute voter parity may be justified on the grounds of practical impossibility or the provision of more effective representation.   Beyond this, dilution of one citizen's vote as compared with another's should not be countenanced.  I adhere to the proposition asserted in </w:t>
      </w:r>
      <w:r w:rsidRPr="00131910">
        <w:rPr>
          <w:i/>
          <w:iCs/>
          <w:color w:val="000000"/>
          <w:spacing w:val="-3"/>
        </w:rPr>
        <w:t>Dixon</w:t>
      </w:r>
      <w:r w:rsidRPr="00131910">
        <w:rPr>
          <w:color w:val="000000"/>
          <w:spacing w:val="-3"/>
        </w:rPr>
        <w:t>, </w:t>
      </w:r>
      <w:r w:rsidRPr="00131910">
        <w:rPr>
          <w:i/>
          <w:iCs/>
          <w:color w:val="000000"/>
          <w:spacing w:val="-3"/>
        </w:rPr>
        <w:t>supra</w:t>
      </w:r>
      <w:r w:rsidRPr="00131910">
        <w:rPr>
          <w:color w:val="000000"/>
          <w:spacing w:val="-3"/>
        </w:rPr>
        <w:t xml:space="preserve">, at p. 414, that </w:t>
      </w:r>
      <w:r w:rsidR="000A48CF">
        <w:rPr>
          <w:color w:val="000000"/>
          <w:spacing w:val="-3"/>
        </w:rPr>
        <w:t>‘</w:t>
      </w:r>
      <w:r w:rsidRPr="00131910">
        <w:rPr>
          <w:color w:val="000000"/>
          <w:spacing w:val="-3"/>
        </w:rPr>
        <w:t xml:space="preserve">only those deviations should be admitted which can be justified on the ground that they contribute to better government of the populace as a whole, giving due </w:t>
      </w:r>
      <w:r w:rsidRPr="00131910">
        <w:rPr>
          <w:color w:val="000000"/>
          <w:spacing w:val="-3"/>
        </w:rPr>
        <w:lastRenderedPageBreak/>
        <w:t>weight to regional issues within the populace and geographic factors within the territory governed</w:t>
      </w:r>
      <w:r w:rsidR="000A48CF">
        <w:rPr>
          <w:color w:val="000000"/>
          <w:spacing w:val="-3"/>
        </w:rPr>
        <w:t>’</w:t>
      </w:r>
      <w:r w:rsidRPr="00131910">
        <w:rPr>
          <w:color w:val="000000"/>
          <w:spacing w:val="-3"/>
        </w:rPr>
        <w:t>.</w:t>
      </w:r>
      <w:r w:rsidR="000A48CF">
        <w:rPr>
          <w:color w:val="000000"/>
          <w:spacing w:val="-3"/>
        </w:rPr>
        <w:t>”</w:t>
      </w:r>
    </w:p>
    <w:p w14:paraId="3D9ECF1E" w14:textId="77777777" w:rsidR="00131910" w:rsidRPr="00131910" w:rsidRDefault="00131910" w:rsidP="00131910">
      <w:pPr>
        <w:ind w:left="2160"/>
        <w:jc w:val="both"/>
        <w:rPr>
          <w:color w:val="000000"/>
          <w:spacing w:val="-3"/>
          <w:lang w:val="en-GB" w:eastAsia="en-ZA"/>
        </w:rPr>
      </w:pPr>
    </w:p>
    <w:p w14:paraId="07024BAA" w14:textId="7E1D5A66" w:rsidR="008338FE" w:rsidRDefault="008338FE" w:rsidP="008338FE">
      <w:pPr>
        <w:spacing w:line="488" w:lineRule="atLeast"/>
        <w:jc w:val="both"/>
        <w:rPr>
          <w:color w:val="000000"/>
          <w:spacing w:val="-3"/>
          <w:sz w:val="27"/>
          <w:szCs w:val="27"/>
          <w:lang w:val="en-GB" w:eastAsia="en-ZA"/>
        </w:rPr>
      </w:pPr>
    </w:p>
    <w:p w14:paraId="4721EA40" w14:textId="70F54BCA" w:rsidR="008338FE" w:rsidRDefault="008338FE" w:rsidP="001171E7">
      <w:pPr>
        <w:spacing w:line="488" w:lineRule="atLeast"/>
        <w:ind w:left="720" w:hanging="720"/>
        <w:jc w:val="both"/>
        <w:rPr>
          <w:color w:val="000000"/>
          <w:spacing w:val="-3"/>
          <w:sz w:val="28"/>
          <w:szCs w:val="28"/>
          <w:lang w:val="en-GB" w:eastAsia="en-ZA"/>
        </w:rPr>
      </w:pPr>
      <w:r w:rsidRPr="008338FE">
        <w:rPr>
          <w:color w:val="000000"/>
          <w:spacing w:val="-3"/>
          <w:sz w:val="28"/>
          <w:szCs w:val="28"/>
          <w:lang w:val="en-GB" w:eastAsia="en-ZA"/>
        </w:rPr>
        <w:t>[3</w:t>
      </w:r>
      <w:r w:rsidR="009206BB">
        <w:rPr>
          <w:color w:val="000000"/>
          <w:spacing w:val="-3"/>
          <w:sz w:val="28"/>
          <w:szCs w:val="28"/>
          <w:lang w:val="en-GB" w:eastAsia="en-ZA"/>
        </w:rPr>
        <w:t>6</w:t>
      </w:r>
      <w:r w:rsidRPr="008338FE">
        <w:rPr>
          <w:color w:val="000000"/>
          <w:spacing w:val="-3"/>
          <w:sz w:val="28"/>
          <w:szCs w:val="28"/>
          <w:lang w:val="en-GB" w:eastAsia="en-ZA"/>
        </w:rPr>
        <w:t>]</w:t>
      </w:r>
      <w:r w:rsidRPr="008338FE">
        <w:rPr>
          <w:color w:val="000000"/>
          <w:spacing w:val="-3"/>
          <w:sz w:val="28"/>
          <w:szCs w:val="28"/>
          <w:lang w:val="en-GB" w:eastAsia="en-ZA"/>
        </w:rPr>
        <w:tab/>
        <w:t xml:space="preserve">These </w:t>
      </w:r>
      <w:r w:rsidR="001171E7" w:rsidRPr="001171E7">
        <w:rPr>
          <w:i/>
          <w:iCs/>
          <w:color w:val="000000"/>
          <w:spacing w:val="-3"/>
          <w:sz w:val="28"/>
          <w:szCs w:val="28"/>
          <w:lang w:val="en-GB" w:eastAsia="en-ZA"/>
        </w:rPr>
        <w:t>dicta</w:t>
      </w:r>
      <w:r w:rsidR="001171E7">
        <w:rPr>
          <w:color w:val="000000"/>
          <w:spacing w:val="-3"/>
          <w:sz w:val="28"/>
          <w:szCs w:val="28"/>
          <w:lang w:val="en-GB" w:eastAsia="en-ZA"/>
        </w:rPr>
        <w:t xml:space="preserve"> illuminate the</w:t>
      </w:r>
      <w:r w:rsidR="001D1799">
        <w:rPr>
          <w:color w:val="000000"/>
          <w:spacing w:val="-3"/>
          <w:sz w:val="28"/>
          <w:szCs w:val="28"/>
          <w:lang w:val="en-GB" w:eastAsia="en-ZA"/>
        </w:rPr>
        <w:t xml:space="preserve"> rational for reconfiguring the departure from absolute voter parity to relative voter parity and factor</w:t>
      </w:r>
      <w:r w:rsidR="000A48CF">
        <w:rPr>
          <w:color w:val="000000"/>
          <w:spacing w:val="-3"/>
          <w:sz w:val="28"/>
          <w:szCs w:val="28"/>
          <w:lang w:val="en-GB" w:eastAsia="en-ZA"/>
        </w:rPr>
        <w:t>s</w:t>
      </w:r>
      <w:r w:rsidR="001D1799">
        <w:rPr>
          <w:color w:val="000000"/>
          <w:spacing w:val="-3"/>
          <w:sz w:val="28"/>
          <w:szCs w:val="28"/>
          <w:lang w:val="en-GB" w:eastAsia="en-ZA"/>
        </w:rPr>
        <w:t xml:space="preserve"> to consider un</w:t>
      </w:r>
      <w:r w:rsidR="001171E7">
        <w:rPr>
          <w:color w:val="000000"/>
          <w:spacing w:val="-3"/>
          <w:sz w:val="28"/>
          <w:szCs w:val="28"/>
          <w:lang w:val="en-GB" w:eastAsia="en-ZA"/>
        </w:rPr>
        <w:t xml:space="preserve">der section 67(2).  The factors that must be </w:t>
      </w:r>
      <w:proofErr w:type="gramStart"/>
      <w:r w:rsidR="001171E7">
        <w:rPr>
          <w:color w:val="000000"/>
          <w:spacing w:val="-3"/>
          <w:sz w:val="28"/>
          <w:szCs w:val="28"/>
          <w:lang w:val="en-GB" w:eastAsia="en-ZA"/>
        </w:rPr>
        <w:t>taken into account</w:t>
      </w:r>
      <w:proofErr w:type="gramEnd"/>
      <w:r w:rsidR="001171E7">
        <w:rPr>
          <w:color w:val="000000"/>
          <w:spacing w:val="-3"/>
          <w:sz w:val="28"/>
          <w:szCs w:val="28"/>
          <w:lang w:val="en-GB" w:eastAsia="en-ZA"/>
        </w:rPr>
        <w:t xml:space="preserve"> </w:t>
      </w:r>
      <w:r w:rsidR="001D1799">
        <w:rPr>
          <w:color w:val="000000"/>
          <w:spacing w:val="-3"/>
          <w:sz w:val="28"/>
          <w:szCs w:val="28"/>
          <w:lang w:val="en-GB" w:eastAsia="en-ZA"/>
        </w:rPr>
        <w:t>in configuring relative voter parity</w:t>
      </w:r>
      <w:r w:rsidR="001171E7">
        <w:rPr>
          <w:color w:val="000000"/>
          <w:spacing w:val="-3"/>
          <w:sz w:val="28"/>
          <w:szCs w:val="28"/>
          <w:lang w:val="en-GB" w:eastAsia="en-ZA"/>
        </w:rPr>
        <w:t xml:space="preserve"> are the following:</w:t>
      </w:r>
    </w:p>
    <w:p w14:paraId="4B169456" w14:textId="77777777" w:rsidR="00131910" w:rsidRDefault="00131910" w:rsidP="001171E7">
      <w:pPr>
        <w:spacing w:line="488" w:lineRule="atLeast"/>
        <w:ind w:left="720" w:hanging="720"/>
        <w:jc w:val="both"/>
        <w:rPr>
          <w:color w:val="000000"/>
          <w:spacing w:val="-3"/>
          <w:sz w:val="28"/>
          <w:szCs w:val="28"/>
          <w:lang w:val="en-GB" w:eastAsia="en-ZA"/>
        </w:rPr>
      </w:pPr>
    </w:p>
    <w:p w14:paraId="646D30B7" w14:textId="1A79B1CF" w:rsidR="00131910" w:rsidRDefault="00131910" w:rsidP="00131910">
      <w:pPr>
        <w:ind w:left="2880" w:hanging="720"/>
        <w:jc w:val="both"/>
      </w:pPr>
      <w:r>
        <w:t>“</w:t>
      </w:r>
      <w:r w:rsidRPr="00CE62A3">
        <w:t>(a)</w:t>
      </w:r>
      <w:r w:rsidRPr="00CE62A3">
        <w:tab/>
        <w:t>the density of population, and in particular the need to ensure adequate representation of sparsely populated rural areas;</w:t>
      </w:r>
    </w:p>
    <w:p w14:paraId="4BF2BC50" w14:textId="77777777" w:rsidR="00131910" w:rsidRPr="00CE62A3" w:rsidRDefault="00131910" w:rsidP="00131910">
      <w:pPr>
        <w:ind w:left="2880" w:hanging="720"/>
        <w:jc w:val="both"/>
      </w:pPr>
    </w:p>
    <w:p w14:paraId="3A2F2F1E" w14:textId="77777777" w:rsidR="00131910" w:rsidRDefault="00131910" w:rsidP="00131910">
      <w:pPr>
        <w:ind w:left="2160"/>
        <w:jc w:val="both"/>
      </w:pPr>
      <w:r w:rsidRPr="00CE62A3">
        <w:t>(b)</w:t>
      </w:r>
      <w:r w:rsidRPr="00CE62A3">
        <w:tab/>
        <w:t>the means of communication;</w:t>
      </w:r>
    </w:p>
    <w:p w14:paraId="3F2F5483" w14:textId="77777777" w:rsidR="00131910" w:rsidRPr="00CE62A3" w:rsidRDefault="00131910" w:rsidP="00131910">
      <w:pPr>
        <w:ind w:left="2160"/>
        <w:jc w:val="both"/>
      </w:pPr>
    </w:p>
    <w:p w14:paraId="15C9EB6D" w14:textId="77777777" w:rsidR="00131910" w:rsidRDefault="00131910" w:rsidP="00131910">
      <w:pPr>
        <w:ind w:left="2160"/>
        <w:jc w:val="both"/>
      </w:pPr>
      <w:r w:rsidRPr="00CE62A3">
        <w:t>(c)</w:t>
      </w:r>
      <w:r w:rsidRPr="00CE62A3">
        <w:tab/>
        <w:t>geographical features;</w:t>
      </w:r>
    </w:p>
    <w:p w14:paraId="7E597329" w14:textId="77777777" w:rsidR="00131910" w:rsidRPr="00CE62A3" w:rsidRDefault="00131910" w:rsidP="00131910">
      <w:pPr>
        <w:ind w:left="2160"/>
        <w:jc w:val="both"/>
      </w:pPr>
    </w:p>
    <w:p w14:paraId="48A3DF6F" w14:textId="77777777" w:rsidR="00131910" w:rsidRDefault="00131910" w:rsidP="00131910">
      <w:pPr>
        <w:ind w:left="2160"/>
        <w:jc w:val="both"/>
      </w:pPr>
      <w:r w:rsidRPr="00CE62A3">
        <w:t>(d)</w:t>
      </w:r>
      <w:r w:rsidRPr="00CE62A3">
        <w:tab/>
        <w:t>community of interest; and</w:t>
      </w:r>
    </w:p>
    <w:p w14:paraId="51BF82C2" w14:textId="77777777" w:rsidR="00131910" w:rsidRPr="00CE62A3" w:rsidRDefault="00131910" w:rsidP="00131910">
      <w:pPr>
        <w:ind w:left="2160"/>
        <w:jc w:val="both"/>
      </w:pPr>
    </w:p>
    <w:p w14:paraId="2FA9770C" w14:textId="6F6D294E" w:rsidR="001171E7" w:rsidRDefault="00131910" w:rsidP="00131910">
      <w:pPr>
        <w:ind w:left="2160"/>
        <w:jc w:val="both"/>
        <w:rPr>
          <w:color w:val="000000"/>
          <w:spacing w:val="-3"/>
          <w:lang w:val="en-GB" w:eastAsia="en-ZA"/>
        </w:rPr>
      </w:pPr>
      <w:r w:rsidRPr="00CE62A3">
        <w:t>(e)</w:t>
      </w:r>
      <w:r w:rsidRPr="00CE62A3">
        <w:tab/>
        <w:t>the boundaries of existing administrative areas</w:t>
      </w:r>
      <w:r w:rsidRPr="00131910">
        <w:t>;</w:t>
      </w:r>
      <w:r w:rsidR="001171E7" w:rsidRPr="00131910">
        <w:rPr>
          <w:color w:val="000000"/>
          <w:spacing w:val="-3"/>
          <w:lang w:val="en-GB" w:eastAsia="en-ZA"/>
        </w:rPr>
        <w:t>”</w:t>
      </w:r>
    </w:p>
    <w:p w14:paraId="49D68FEB" w14:textId="77777777" w:rsidR="0042466A" w:rsidRPr="008338FE" w:rsidRDefault="0042466A" w:rsidP="00131910">
      <w:pPr>
        <w:ind w:left="2160"/>
        <w:jc w:val="both"/>
        <w:rPr>
          <w:rFonts w:ascii="TmsRmn 12pt" w:hAnsi="TmsRmn 12pt"/>
          <w:color w:val="000000"/>
          <w:sz w:val="28"/>
          <w:szCs w:val="28"/>
          <w:lang w:val="en-ZA" w:eastAsia="en-ZA"/>
        </w:rPr>
      </w:pPr>
    </w:p>
    <w:p w14:paraId="1E662922" w14:textId="77777777" w:rsidR="008338FE" w:rsidRPr="008338FE" w:rsidRDefault="008338FE" w:rsidP="008338FE">
      <w:pPr>
        <w:spacing w:line="488" w:lineRule="atLeast"/>
        <w:jc w:val="both"/>
        <w:rPr>
          <w:rFonts w:ascii="TmsRmn 12pt" w:hAnsi="TmsRmn 12pt"/>
          <w:color w:val="000000"/>
          <w:sz w:val="28"/>
          <w:szCs w:val="28"/>
          <w:lang w:val="en-ZA" w:eastAsia="en-ZA"/>
        </w:rPr>
      </w:pPr>
      <w:r w:rsidRPr="008338FE">
        <w:rPr>
          <w:color w:val="000000"/>
          <w:spacing w:val="-3"/>
          <w:sz w:val="28"/>
          <w:szCs w:val="28"/>
          <w:lang w:val="en-GB" w:eastAsia="en-ZA"/>
        </w:rPr>
        <w:t> </w:t>
      </w:r>
    </w:p>
    <w:p w14:paraId="4473DBF8" w14:textId="2FA97CB4" w:rsidR="008338FE" w:rsidRDefault="001171E7" w:rsidP="001171E7">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5318F0">
        <w:rPr>
          <w:sz w:val="28"/>
          <w:szCs w:val="28"/>
        </w:rPr>
        <w:t>3</w:t>
      </w:r>
      <w:r w:rsidR="009206BB">
        <w:rPr>
          <w:sz w:val="28"/>
          <w:szCs w:val="28"/>
        </w:rPr>
        <w:t>7</w:t>
      </w:r>
      <w:r>
        <w:rPr>
          <w:sz w:val="28"/>
          <w:szCs w:val="28"/>
        </w:rPr>
        <w:t>]</w:t>
      </w:r>
      <w:r>
        <w:rPr>
          <w:sz w:val="28"/>
          <w:szCs w:val="28"/>
        </w:rPr>
        <w:tab/>
        <w:t xml:space="preserve">However, the </w:t>
      </w:r>
      <w:r w:rsidR="001D1799">
        <w:rPr>
          <w:sz w:val="28"/>
          <w:szCs w:val="28"/>
        </w:rPr>
        <w:t xml:space="preserve">configuration of </w:t>
      </w:r>
      <w:r>
        <w:rPr>
          <w:sz w:val="28"/>
          <w:szCs w:val="28"/>
        </w:rPr>
        <w:t xml:space="preserve">the </w:t>
      </w:r>
      <w:r w:rsidR="00E52BAC">
        <w:rPr>
          <w:sz w:val="28"/>
          <w:szCs w:val="28"/>
        </w:rPr>
        <w:t xml:space="preserve">voter </w:t>
      </w:r>
      <w:r>
        <w:rPr>
          <w:sz w:val="28"/>
          <w:szCs w:val="28"/>
        </w:rPr>
        <w:t>parity principle is</w:t>
      </w:r>
      <w:r w:rsidR="001D1799">
        <w:rPr>
          <w:sz w:val="28"/>
          <w:szCs w:val="28"/>
        </w:rPr>
        <w:t xml:space="preserve"> disciplined </w:t>
      </w:r>
      <w:r>
        <w:rPr>
          <w:sz w:val="28"/>
          <w:szCs w:val="28"/>
        </w:rPr>
        <w:t xml:space="preserve">by </w:t>
      </w:r>
      <w:r w:rsidR="001D1799">
        <w:rPr>
          <w:sz w:val="28"/>
          <w:szCs w:val="28"/>
        </w:rPr>
        <w:t xml:space="preserve">the </w:t>
      </w:r>
      <w:r>
        <w:rPr>
          <w:sz w:val="28"/>
          <w:szCs w:val="28"/>
        </w:rPr>
        <w:t>constitutional requirement mentioned in the proviso to the section.  It is that “</w:t>
      </w:r>
      <w:r w:rsidRPr="00513682">
        <w:rPr>
          <w:sz w:val="28"/>
          <w:szCs w:val="28"/>
        </w:rPr>
        <w:t xml:space="preserve">the number of inhabitants, </w:t>
      </w:r>
      <w:r w:rsidR="00AB6544">
        <w:rPr>
          <w:sz w:val="28"/>
          <w:szCs w:val="28"/>
        </w:rPr>
        <w:t>o</w:t>
      </w:r>
      <w:r w:rsidRPr="00513682">
        <w:rPr>
          <w:sz w:val="28"/>
          <w:szCs w:val="28"/>
        </w:rPr>
        <w:t>f or above eighteen years, of any constituency shall not exceed or fall short of the population quota by more than ten per cent</w:t>
      </w:r>
      <w:r w:rsidRPr="001D1799">
        <w:rPr>
          <w:sz w:val="28"/>
          <w:szCs w:val="28"/>
        </w:rPr>
        <w:t>.</w:t>
      </w:r>
      <w:r>
        <w:rPr>
          <w:sz w:val="28"/>
          <w:szCs w:val="28"/>
        </w:rPr>
        <w:t>”  The</w:t>
      </w:r>
      <w:r w:rsidR="001D1799">
        <w:rPr>
          <w:sz w:val="28"/>
          <w:szCs w:val="28"/>
        </w:rPr>
        <w:t>se</w:t>
      </w:r>
      <w:r>
        <w:rPr>
          <w:sz w:val="28"/>
          <w:szCs w:val="28"/>
        </w:rPr>
        <w:t xml:space="preserve"> words mean that </w:t>
      </w:r>
      <w:r w:rsidR="00C105AE">
        <w:rPr>
          <w:sz w:val="28"/>
          <w:szCs w:val="28"/>
        </w:rPr>
        <w:t xml:space="preserve">when </w:t>
      </w:r>
      <w:r w:rsidR="00AB6544">
        <w:rPr>
          <w:sz w:val="28"/>
          <w:szCs w:val="28"/>
        </w:rPr>
        <w:t xml:space="preserve">altering boundaries of </w:t>
      </w:r>
      <w:r w:rsidR="00C105AE">
        <w:rPr>
          <w:sz w:val="28"/>
          <w:szCs w:val="28"/>
        </w:rPr>
        <w:t>constituencies</w:t>
      </w:r>
      <w:r w:rsidR="00AB6544">
        <w:rPr>
          <w:sz w:val="28"/>
          <w:szCs w:val="28"/>
        </w:rPr>
        <w:t xml:space="preserve">, the IEC should not </w:t>
      </w:r>
      <w:r w:rsidR="00C105AE">
        <w:rPr>
          <w:sz w:val="28"/>
          <w:szCs w:val="28"/>
        </w:rPr>
        <w:t xml:space="preserve">underload or overload </w:t>
      </w:r>
      <w:r w:rsidR="00AB6544">
        <w:rPr>
          <w:sz w:val="28"/>
          <w:szCs w:val="28"/>
        </w:rPr>
        <w:t>the voter numbers</w:t>
      </w:r>
      <w:r w:rsidR="00C105AE">
        <w:rPr>
          <w:sz w:val="28"/>
          <w:szCs w:val="28"/>
        </w:rPr>
        <w:t xml:space="preserve"> by more than ten per cent of its determined quota.  This is the red line that the IEC should not cross</w:t>
      </w:r>
      <w:r w:rsidR="006303E2">
        <w:rPr>
          <w:sz w:val="28"/>
          <w:szCs w:val="28"/>
        </w:rPr>
        <w:t>.</w:t>
      </w:r>
      <w:r w:rsidR="00AB6544">
        <w:rPr>
          <w:sz w:val="28"/>
          <w:szCs w:val="28"/>
        </w:rPr>
        <w:t xml:space="preserve"> There is </w:t>
      </w:r>
      <w:r w:rsidR="006303E2">
        <w:rPr>
          <w:sz w:val="28"/>
          <w:szCs w:val="28"/>
        </w:rPr>
        <w:t>no room for justification for non-compliance with the proviso</w:t>
      </w:r>
      <w:r w:rsidR="00AB6544">
        <w:rPr>
          <w:sz w:val="28"/>
          <w:szCs w:val="28"/>
        </w:rPr>
        <w:t xml:space="preserve"> which is carefully crafted to delineate the parameters of what is permissible and what is not</w:t>
      </w:r>
      <w:r w:rsidR="005318F0">
        <w:rPr>
          <w:sz w:val="28"/>
          <w:szCs w:val="28"/>
        </w:rPr>
        <w:t>.</w:t>
      </w:r>
      <w:r w:rsidR="00C105AE">
        <w:rPr>
          <w:sz w:val="28"/>
          <w:szCs w:val="28"/>
        </w:rPr>
        <w:t xml:space="preserve">  </w:t>
      </w:r>
    </w:p>
    <w:p w14:paraId="2A747951" w14:textId="475C0A81" w:rsidR="00C105AE" w:rsidRDefault="00C105AE" w:rsidP="001171E7">
      <w:pPr>
        <w:pStyle w:val="NormalWeb"/>
        <w:shd w:val="clear" w:color="auto" w:fill="FFFFFF"/>
        <w:spacing w:before="144" w:beforeAutospacing="0" w:after="288" w:afterAutospacing="0" w:line="480" w:lineRule="atLeast"/>
        <w:ind w:left="720" w:hanging="720"/>
        <w:jc w:val="both"/>
        <w:rPr>
          <w:sz w:val="28"/>
          <w:szCs w:val="28"/>
        </w:rPr>
      </w:pPr>
    </w:p>
    <w:p w14:paraId="310BD26D" w14:textId="77777777" w:rsidR="0042466A" w:rsidRDefault="0042466A" w:rsidP="001171E7">
      <w:pPr>
        <w:pStyle w:val="NormalWeb"/>
        <w:shd w:val="clear" w:color="auto" w:fill="FFFFFF"/>
        <w:spacing w:before="144" w:beforeAutospacing="0" w:after="288" w:afterAutospacing="0" w:line="480" w:lineRule="atLeast"/>
        <w:ind w:left="720" w:hanging="720"/>
        <w:jc w:val="both"/>
        <w:rPr>
          <w:sz w:val="28"/>
          <w:szCs w:val="28"/>
        </w:rPr>
      </w:pPr>
    </w:p>
    <w:p w14:paraId="3D7EE60E" w14:textId="16B9E77F" w:rsidR="00C105AE" w:rsidRDefault="00C105AE" w:rsidP="00131910">
      <w:pPr>
        <w:pStyle w:val="NormalWeb"/>
        <w:shd w:val="clear" w:color="auto" w:fill="FFFFFF"/>
        <w:spacing w:before="0" w:beforeAutospacing="0" w:after="288" w:afterAutospacing="0"/>
        <w:ind w:left="720" w:hanging="720"/>
        <w:jc w:val="both"/>
        <w:rPr>
          <w:b/>
          <w:bCs/>
          <w:sz w:val="28"/>
          <w:szCs w:val="28"/>
          <w:u w:val="single"/>
        </w:rPr>
      </w:pPr>
      <w:r w:rsidRPr="00C105AE">
        <w:rPr>
          <w:b/>
          <w:bCs/>
          <w:sz w:val="28"/>
          <w:szCs w:val="28"/>
        </w:rPr>
        <w:lastRenderedPageBreak/>
        <w:t>IV.</w:t>
      </w:r>
      <w:r w:rsidRPr="00C105AE">
        <w:rPr>
          <w:b/>
          <w:bCs/>
          <w:sz w:val="28"/>
          <w:szCs w:val="28"/>
        </w:rPr>
        <w:tab/>
      </w:r>
      <w:r w:rsidRPr="00C105AE">
        <w:rPr>
          <w:b/>
          <w:bCs/>
          <w:sz w:val="28"/>
          <w:szCs w:val="28"/>
          <w:u w:val="single"/>
        </w:rPr>
        <w:t>DISCUSSION</w:t>
      </w:r>
    </w:p>
    <w:p w14:paraId="3FA31788" w14:textId="77777777" w:rsidR="00F72649" w:rsidRDefault="00C105AE" w:rsidP="00F72649">
      <w:pPr>
        <w:pStyle w:val="NormalWeb"/>
        <w:shd w:val="clear" w:color="auto" w:fill="FFFFFF"/>
        <w:spacing w:before="0" w:beforeAutospacing="0" w:after="0" w:afterAutospacing="0"/>
        <w:ind w:left="720" w:hanging="720"/>
        <w:jc w:val="both"/>
        <w:rPr>
          <w:b/>
          <w:bCs/>
          <w:sz w:val="32"/>
          <w:szCs w:val="32"/>
        </w:rPr>
      </w:pPr>
      <w:r w:rsidRPr="00131910">
        <w:rPr>
          <w:b/>
          <w:bCs/>
          <w:sz w:val="32"/>
          <w:szCs w:val="32"/>
        </w:rPr>
        <w:t xml:space="preserve">Did the IEC initiate and complete </w:t>
      </w:r>
      <w:r w:rsidR="006303E2">
        <w:rPr>
          <w:b/>
          <w:bCs/>
          <w:sz w:val="32"/>
          <w:szCs w:val="32"/>
        </w:rPr>
        <w:t xml:space="preserve">the </w:t>
      </w:r>
      <w:r w:rsidRPr="00131910">
        <w:rPr>
          <w:b/>
          <w:bCs/>
          <w:sz w:val="32"/>
          <w:szCs w:val="32"/>
        </w:rPr>
        <w:t xml:space="preserve">review within eight to </w:t>
      </w:r>
      <w:proofErr w:type="gramStart"/>
      <w:r w:rsidRPr="00131910">
        <w:rPr>
          <w:b/>
          <w:bCs/>
          <w:sz w:val="32"/>
          <w:szCs w:val="32"/>
        </w:rPr>
        <w:t>ten</w:t>
      </w:r>
      <w:proofErr w:type="gramEnd"/>
      <w:r w:rsidRPr="00131910">
        <w:rPr>
          <w:b/>
          <w:bCs/>
          <w:sz w:val="32"/>
          <w:szCs w:val="32"/>
        </w:rPr>
        <w:t xml:space="preserve"> </w:t>
      </w:r>
    </w:p>
    <w:p w14:paraId="2CD5B383" w14:textId="39542C10" w:rsidR="00C105AE" w:rsidRDefault="00C105AE" w:rsidP="00F72649">
      <w:pPr>
        <w:pStyle w:val="NormalWeb"/>
        <w:shd w:val="clear" w:color="auto" w:fill="FFFFFF"/>
        <w:spacing w:before="0" w:beforeAutospacing="0" w:after="0" w:afterAutospacing="0"/>
        <w:ind w:left="720" w:hanging="720"/>
        <w:jc w:val="both"/>
        <w:rPr>
          <w:b/>
          <w:bCs/>
          <w:sz w:val="32"/>
          <w:szCs w:val="32"/>
        </w:rPr>
      </w:pPr>
      <w:r w:rsidRPr="00131910">
        <w:rPr>
          <w:b/>
          <w:bCs/>
          <w:sz w:val="32"/>
          <w:szCs w:val="32"/>
        </w:rPr>
        <w:t xml:space="preserve">years as prescribed by section </w:t>
      </w:r>
      <w:proofErr w:type="gramStart"/>
      <w:r w:rsidRPr="00131910">
        <w:rPr>
          <w:b/>
          <w:bCs/>
          <w:sz w:val="32"/>
          <w:szCs w:val="32"/>
        </w:rPr>
        <w:t>67(3)?</w:t>
      </w:r>
      <w:proofErr w:type="gramEnd"/>
    </w:p>
    <w:p w14:paraId="6D2B3116" w14:textId="77777777" w:rsidR="00F72649" w:rsidRDefault="00F72649" w:rsidP="00F72649">
      <w:pPr>
        <w:pStyle w:val="NormalWeb"/>
        <w:shd w:val="clear" w:color="auto" w:fill="FFFFFF"/>
        <w:spacing w:before="0" w:beforeAutospacing="0" w:after="0" w:afterAutospacing="0"/>
        <w:ind w:left="720" w:hanging="720"/>
        <w:jc w:val="both"/>
        <w:rPr>
          <w:b/>
          <w:bCs/>
          <w:sz w:val="32"/>
          <w:szCs w:val="32"/>
        </w:rPr>
      </w:pPr>
    </w:p>
    <w:p w14:paraId="7D78CDCB" w14:textId="1AC4E8B5" w:rsidR="00C105AE" w:rsidRDefault="00C105AE" w:rsidP="005318F0">
      <w:pPr>
        <w:pStyle w:val="NormalWeb"/>
        <w:shd w:val="clear" w:color="auto" w:fill="FFFFFF"/>
        <w:spacing w:before="0" w:beforeAutospacing="0" w:after="288" w:afterAutospacing="0" w:line="480" w:lineRule="auto"/>
        <w:ind w:left="720" w:hanging="720"/>
        <w:jc w:val="both"/>
        <w:rPr>
          <w:sz w:val="28"/>
          <w:szCs w:val="28"/>
        </w:rPr>
      </w:pPr>
      <w:r>
        <w:rPr>
          <w:sz w:val="28"/>
          <w:szCs w:val="28"/>
        </w:rPr>
        <w:t>[</w:t>
      </w:r>
      <w:r w:rsidR="00AB6544">
        <w:rPr>
          <w:sz w:val="28"/>
          <w:szCs w:val="28"/>
        </w:rPr>
        <w:t>3</w:t>
      </w:r>
      <w:r w:rsidR="009206BB">
        <w:rPr>
          <w:sz w:val="28"/>
          <w:szCs w:val="28"/>
        </w:rPr>
        <w:t>8</w:t>
      </w:r>
      <w:r>
        <w:rPr>
          <w:sz w:val="28"/>
          <w:szCs w:val="28"/>
        </w:rPr>
        <w:t>]</w:t>
      </w:r>
      <w:r>
        <w:rPr>
          <w:sz w:val="28"/>
          <w:szCs w:val="28"/>
        </w:rPr>
        <w:tab/>
        <w:t xml:space="preserve">The parties are on common ground that the IEC commenced the impugned review in 2018. This was </w:t>
      </w:r>
      <w:r w:rsidR="00D93BD9">
        <w:rPr>
          <w:sz w:val="28"/>
          <w:szCs w:val="28"/>
        </w:rPr>
        <w:t xml:space="preserve">following </w:t>
      </w:r>
      <w:r>
        <w:rPr>
          <w:sz w:val="28"/>
          <w:szCs w:val="28"/>
        </w:rPr>
        <w:t xml:space="preserve">the last </w:t>
      </w:r>
      <w:r w:rsidR="00C40E2C">
        <w:rPr>
          <w:sz w:val="28"/>
          <w:szCs w:val="28"/>
        </w:rPr>
        <w:t>D</w:t>
      </w:r>
      <w:r w:rsidR="004C44E7">
        <w:rPr>
          <w:sz w:val="28"/>
          <w:szCs w:val="28"/>
        </w:rPr>
        <w:t xml:space="preserve">elimitation </w:t>
      </w:r>
      <w:r w:rsidR="00C40E2C">
        <w:rPr>
          <w:sz w:val="28"/>
          <w:szCs w:val="28"/>
        </w:rPr>
        <w:t>O</w:t>
      </w:r>
      <w:r w:rsidR="004C44E7">
        <w:rPr>
          <w:sz w:val="28"/>
          <w:szCs w:val="28"/>
        </w:rPr>
        <w:t>rder of 26</w:t>
      </w:r>
      <w:r w:rsidR="004C44E7" w:rsidRPr="00C523B0">
        <w:rPr>
          <w:sz w:val="28"/>
          <w:szCs w:val="28"/>
          <w:vertAlign w:val="superscript"/>
        </w:rPr>
        <w:t>th</w:t>
      </w:r>
      <w:r w:rsidR="004C44E7">
        <w:rPr>
          <w:sz w:val="28"/>
          <w:szCs w:val="28"/>
        </w:rPr>
        <w:t xml:space="preserve"> July 2010 (Legal Notice No. 108 of 2010). </w:t>
      </w:r>
      <w:r>
        <w:rPr>
          <w:sz w:val="28"/>
          <w:szCs w:val="28"/>
        </w:rPr>
        <w:t xml:space="preserve">  </w:t>
      </w:r>
      <w:r w:rsidR="00AB6544">
        <w:rPr>
          <w:sz w:val="28"/>
          <w:szCs w:val="28"/>
        </w:rPr>
        <w:t xml:space="preserve">When it </w:t>
      </w:r>
      <w:r>
        <w:rPr>
          <w:sz w:val="28"/>
          <w:szCs w:val="28"/>
        </w:rPr>
        <w:t>commenced the review process</w:t>
      </w:r>
      <w:r w:rsidR="00AB6544">
        <w:rPr>
          <w:sz w:val="28"/>
          <w:szCs w:val="28"/>
        </w:rPr>
        <w:t>, the IEC used th</w:t>
      </w:r>
      <w:r>
        <w:rPr>
          <w:sz w:val="28"/>
          <w:szCs w:val="28"/>
        </w:rPr>
        <w:t>e 2016 population census</w:t>
      </w:r>
      <w:r w:rsidR="004C44E7">
        <w:rPr>
          <w:sz w:val="28"/>
          <w:szCs w:val="28"/>
        </w:rPr>
        <w:t xml:space="preserve"> on</w:t>
      </w:r>
      <w:r>
        <w:rPr>
          <w:sz w:val="28"/>
          <w:szCs w:val="28"/>
        </w:rPr>
        <w:t xml:space="preserve"> the basis of which</w:t>
      </w:r>
      <w:r w:rsidR="004C44E7">
        <w:rPr>
          <w:sz w:val="28"/>
          <w:szCs w:val="28"/>
        </w:rPr>
        <w:t xml:space="preserve"> i</w:t>
      </w:r>
      <w:r w:rsidR="00130398">
        <w:rPr>
          <w:sz w:val="28"/>
          <w:szCs w:val="28"/>
        </w:rPr>
        <w:t xml:space="preserve">t </w:t>
      </w:r>
      <w:r>
        <w:rPr>
          <w:sz w:val="28"/>
          <w:szCs w:val="28"/>
        </w:rPr>
        <w:t>produced an inception document titled “Review of constituency boundaries 2018”.  This document was shared with registered political parties and members of the community and a consultation process</w:t>
      </w:r>
      <w:r w:rsidR="004C44E7">
        <w:rPr>
          <w:sz w:val="28"/>
          <w:szCs w:val="28"/>
        </w:rPr>
        <w:t xml:space="preserve"> ensued. </w:t>
      </w:r>
    </w:p>
    <w:p w14:paraId="0F202161" w14:textId="77777777" w:rsidR="00A6473A" w:rsidRDefault="00A6473A" w:rsidP="005318F0">
      <w:pPr>
        <w:pStyle w:val="NormalWeb"/>
        <w:shd w:val="clear" w:color="auto" w:fill="FFFFFF"/>
        <w:spacing w:before="0" w:beforeAutospacing="0" w:after="288" w:afterAutospacing="0" w:line="480" w:lineRule="auto"/>
        <w:ind w:left="720" w:hanging="720"/>
        <w:jc w:val="both"/>
        <w:rPr>
          <w:sz w:val="28"/>
          <w:szCs w:val="28"/>
        </w:rPr>
      </w:pPr>
    </w:p>
    <w:p w14:paraId="7ADBB293" w14:textId="4069C3DD" w:rsidR="00C105AE" w:rsidRDefault="00C105AE">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B6544">
        <w:rPr>
          <w:sz w:val="28"/>
          <w:szCs w:val="28"/>
        </w:rPr>
        <w:t>3</w:t>
      </w:r>
      <w:r w:rsidR="009206BB">
        <w:rPr>
          <w:sz w:val="28"/>
          <w:szCs w:val="28"/>
        </w:rPr>
        <w:t>9</w:t>
      </w:r>
      <w:r>
        <w:rPr>
          <w:sz w:val="28"/>
          <w:szCs w:val="28"/>
        </w:rPr>
        <w:t>]</w:t>
      </w:r>
      <w:r>
        <w:rPr>
          <w:sz w:val="28"/>
          <w:szCs w:val="28"/>
        </w:rPr>
        <w:tab/>
        <w:t>During th</w:t>
      </w:r>
      <w:r w:rsidR="004C44E7">
        <w:rPr>
          <w:sz w:val="28"/>
          <w:szCs w:val="28"/>
        </w:rPr>
        <w:t>e</w:t>
      </w:r>
      <w:r>
        <w:rPr>
          <w:sz w:val="28"/>
          <w:szCs w:val="28"/>
        </w:rPr>
        <w:t xml:space="preserve"> consultation process, the stakeholders and other consultees raised issues outlined in para 1</w:t>
      </w:r>
      <w:r w:rsidR="00AB6544">
        <w:rPr>
          <w:sz w:val="28"/>
          <w:szCs w:val="28"/>
        </w:rPr>
        <w:t>6</w:t>
      </w:r>
      <w:r>
        <w:rPr>
          <w:sz w:val="28"/>
          <w:szCs w:val="28"/>
        </w:rPr>
        <w:t>.</w:t>
      </w:r>
      <w:r w:rsidR="00AB6544">
        <w:rPr>
          <w:sz w:val="28"/>
          <w:szCs w:val="28"/>
        </w:rPr>
        <w:t xml:space="preserve">3 </w:t>
      </w:r>
      <w:r w:rsidRPr="00C105AE">
        <w:rPr>
          <w:i/>
          <w:iCs/>
          <w:sz w:val="28"/>
          <w:szCs w:val="28"/>
        </w:rPr>
        <w:t>ante</w:t>
      </w:r>
      <w:r>
        <w:rPr>
          <w:sz w:val="28"/>
          <w:szCs w:val="28"/>
        </w:rPr>
        <w:t xml:space="preserve">.  While the IEC was busy addressing </w:t>
      </w:r>
      <w:r w:rsidR="00D71E64">
        <w:rPr>
          <w:sz w:val="28"/>
          <w:szCs w:val="28"/>
        </w:rPr>
        <w:t>those issues</w:t>
      </w:r>
      <w:r>
        <w:rPr>
          <w:sz w:val="28"/>
          <w:szCs w:val="28"/>
        </w:rPr>
        <w:t xml:space="preserve">, the contracts of Commissioners expired on 1 June 2019 </w:t>
      </w:r>
      <w:r w:rsidR="00AB6544">
        <w:rPr>
          <w:sz w:val="28"/>
          <w:szCs w:val="28"/>
        </w:rPr>
        <w:t xml:space="preserve">and they left </w:t>
      </w:r>
      <w:r>
        <w:rPr>
          <w:sz w:val="28"/>
          <w:szCs w:val="28"/>
        </w:rPr>
        <w:t>without completing the review.  Thus, the review stalled.</w:t>
      </w:r>
      <w:r w:rsidR="004C44E7">
        <w:rPr>
          <w:sz w:val="28"/>
          <w:szCs w:val="28"/>
        </w:rPr>
        <w:t xml:space="preserve"> </w:t>
      </w:r>
      <w:r>
        <w:rPr>
          <w:sz w:val="28"/>
          <w:szCs w:val="28"/>
        </w:rPr>
        <w:t xml:space="preserve">New Commissioners </w:t>
      </w:r>
      <w:r w:rsidR="00AB6544">
        <w:rPr>
          <w:sz w:val="28"/>
          <w:szCs w:val="28"/>
        </w:rPr>
        <w:t xml:space="preserve">only </w:t>
      </w:r>
      <w:r>
        <w:rPr>
          <w:sz w:val="28"/>
          <w:szCs w:val="28"/>
        </w:rPr>
        <w:t xml:space="preserve">came into office on 14 December 2020. </w:t>
      </w:r>
      <w:r w:rsidR="00FA5D0E">
        <w:rPr>
          <w:sz w:val="28"/>
          <w:szCs w:val="28"/>
        </w:rPr>
        <w:t xml:space="preserve"> By that time the eight to ten years period for conducting a review had already expired in July 2020. </w:t>
      </w:r>
      <w:r>
        <w:rPr>
          <w:sz w:val="28"/>
          <w:szCs w:val="28"/>
        </w:rPr>
        <w:t xml:space="preserve"> </w:t>
      </w:r>
      <w:r w:rsidR="00FA5D0E">
        <w:rPr>
          <w:sz w:val="28"/>
          <w:szCs w:val="28"/>
        </w:rPr>
        <w:t>This notwithstanding, they</w:t>
      </w:r>
      <w:r>
        <w:rPr>
          <w:sz w:val="28"/>
          <w:szCs w:val="28"/>
        </w:rPr>
        <w:t xml:space="preserve"> studie</w:t>
      </w:r>
      <w:r w:rsidR="00882448">
        <w:rPr>
          <w:sz w:val="28"/>
          <w:szCs w:val="28"/>
        </w:rPr>
        <w:t xml:space="preserve">d </w:t>
      </w:r>
      <w:r>
        <w:rPr>
          <w:sz w:val="28"/>
          <w:szCs w:val="28"/>
        </w:rPr>
        <w:t>and reviewed the work done by their predecessors thus far and decided to continue where they</w:t>
      </w:r>
      <w:r w:rsidR="00A1790F">
        <w:rPr>
          <w:sz w:val="28"/>
          <w:szCs w:val="28"/>
        </w:rPr>
        <w:t xml:space="preserve"> </w:t>
      </w:r>
      <w:r>
        <w:rPr>
          <w:sz w:val="28"/>
          <w:szCs w:val="28"/>
        </w:rPr>
        <w:t xml:space="preserve">left.  A re-run of the consultation process was done by issuing </w:t>
      </w:r>
      <w:r w:rsidR="00DC5D16">
        <w:rPr>
          <w:sz w:val="28"/>
          <w:szCs w:val="28"/>
        </w:rPr>
        <w:t xml:space="preserve">the impugned </w:t>
      </w:r>
      <w:r w:rsidRPr="00882448">
        <w:rPr>
          <w:b/>
          <w:bCs/>
          <w:sz w:val="28"/>
          <w:szCs w:val="28"/>
        </w:rPr>
        <w:t>Legal Notice No.109 of 2021</w:t>
      </w:r>
      <w:r>
        <w:rPr>
          <w:sz w:val="28"/>
          <w:szCs w:val="28"/>
        </w:rPr>
        <w:t>.  This provided</w:t>
      </w:r>
      <w:r w:rsidR="00882448">
        <w:rPr>
          <w:sz w:val="28"/>
          <w:szCs w:val="28"/>
        </w:rPr>
        <w:t xml:space="preserve"> the stakeholders a second opportunity to raise issue</w:t>
      </w:r>
      <w:r w:rsidR="004C44E7">
        <w:rPr>
          <w:sz w:val="28"/>
          <w:szCs w:val="28"/>
        </w:rPr>
        <w:t>s</w:t>
      </w:r>
      <w:r w:rsidR="00882448">
        <w:rPr>
          <w:sz w:val="28"/>
          <w:szCs w:val="28"/>
        </w:rPr>
        <w:t xml:space="preserve"> that may have cropped up during the period when the IEC had no Commissioners.  The period for representations </w:t>
      </w:r>
      <w:r w:rsidR="00AB6544">
        <w:rPr>
          <w:sz w:val="28"/>
          <w:szCs w:val="28"/>
        </w:rPr>
        <w:t xml:space="preserve">ran </w:t>
      </w:r>
      <w:r w:rsidR="00882448">
        <w:rPr>
          <w:sz w:val="28"/>
          <w:szCs w:val="28"/>
        </w:rPr>
        <w:t>from Monday 27 September to Friday 22 October 2021.</w:t>
      </w:r>
    </w:p>
    <w:p w14:paraId="6E4D1811" w14:textId="348BD711" w:rsidR="00882448" w:rsidRDefault="00882448" w:rsidP="001171E7">
      <w:pPr>
        <w:pStyle w:val="NormalWeb"/>
        <w:shd w:val="clear" w:color="auto" w:fill="FFFFFF"/>
        <w:spacing w:before="144" w:beforeAutospacing="0" w:after="288" w:afterAutospacing="0" w:line="480" w:lineRule="atLeast"/>
        <w:ind w:left="720" w:hanging="720"/>
        <w:jc w:val="both"/>
        <w:rPr>
          <w:sz w:val="28"/>
          <w:szCs w:val="28"/>
        </w:rPr>
      </w:pPr>
      <w:r>
        <w:rPr>
          <w:sz w:val="28"/>
          <w:szCs w:val="28"/>
        </w:rPr>
        <w:lastRenderedPageBreak/>
        <w:t>[</w:t>
      </w:r>
      <w:r w:rsidR="009206BB">
        <w:rPr>
          <w:sz w:val="28"/>
          <w:szCs w:val="28"/>
        </w:rPr>
        <w:t>40</w:t>
      </w:r>
      <w:r>
        <w:rPr>
          <w:sz w:val="28"/>
          <w:szCs w:val="28"/>
        </w:rPr>
        <w:t>]</w:t>
      </w:r>
      <w:r>
        <w:rPr>
          <w:sz w:val="28"/>
          <w:szCs w:val="28"/>
        </w:rPr>
        <w:tab/>
        <w:t>The applicants do not, in their replying affidavit contest what the</w:t>
      </w:r>
      <w:r w:rsidR="00DB14A8">
        <w:rPr>
          <w:sz w:val="28"/>
          <w:szCs w:val="28"/>
        </w:rPr>
        <w:t xml:space="preserve"> Commissioners did.  Crucially, the applicants do not say whether</w:t>
      </w:r>
      <w:r w:rsidR="0029255B">
        <w:rPr>
          <w:sz w:val="28"/>
          <w:szCs w:val="28"/>
        </w:rPr>
        <w:t xml:space="preserve"> or not</w:t>
      </w:r>
      <w:r w:rsidR="00DB14A8">
        <w:rPr>
          <w:sz w:val="28"/>
          <w:szCs w:val="28"/>
        </w:rPr>
        <w:t xml:space="preserve"> they honour</w:t>
      </w:r>
      <w:r w:rsidR="0029255B">
        <w:rPr>
          <w:sz w:val="28"/>
          <w:szCs w:val="28"/>
        </w:rPr>
        <w:t xml:space="preserve">ed </w:t>
      </w:r>
      <w:r w:rsidR="00DB14A8">
        <w:rPr>
          <w:sz w:val="28"/>
          <w:szCs w:val="28"/>
        </w:rPr>
        <w:t xml:space="preserve">the invitation to make representations.  Thus, an </w:t>
      </w:r>
      <w:r w:rsidR="0029255B">
        <w:rPr>
          <w:sz w:val="28"/>
          <w:szCs w:val="28"/>
        </w:rPr>
        <w:t xml:space="preserve">adverse </w:t>
      </w:r>
      <w:r w:rsidR="00DB14A8">
        <w:rPr>
          <w:sz w:val="28"/>
          <w:szCs w:val="28"/>
        </w:rPr>
        <w:t xml:space="preserve">inference should be drawn that they received the Legal Notice but did not make any representations.  Their contention that </w:t>
      </w:r>
      <w:r w:rsidR="00C43356">
        <w:rPr>
          <w:sz w:val="28"/>
          <w:szCs w:val="28"/>
        </w:rPr>
        <w:t>in</w:t>
      </w:r>
      <w:r w:rsidR="00DB14A8">
        <w:rPr>
          <w:sz w:val="28"/>
          <w:szCs w:val="28"/>
        </w:rPr>
        <w:t xml:space="preserve"> issuing the Legal Notice</w:t>
      </w:r>
      <w:r w:rsidR="00C43356">
        <w:rPr>
          <w:sz w:val="28"/>
          <w:szCs w:val="28"/>
        </w:rPr>
        <w:t>,</w:t>
      </w:r>
      <w:r w:rsidR="00DB14A8">
        <w:rPr>
          <w:sz w:val="28"/>
          <w:szCs w:val="28"/>
        </w:rPr>
        <w:t xml:space="preserve"> the IEC did not say this was a continuation of the stalled review is neither here nor there.</w:t>
      </w:r>
      <w:r w:rsidR="00D63FEF">
        <w:rPr>
          <w:sz w:val="28"/>
          <w:szCs w:val="28"/>
        </w:rPr>
        <w:t xml:space="preserve"> </w:t>
      </w:r>
      <w:r w:rsidR="00D93BD9">
        <w:rPr>
          <w:sz w:val="28"/>
          <w:szCs w:val="28"/>
        </w:rPr>
        <w:t>In</w:t>
      </w:r>
      <w:r w:rsidR="00C43356">
        <w:rPr>
          <w:sz w:val="28"/>
          <w:szCs w:val="28"/>
        </w:rPr>
        <w:t xml:space="preserve"> the</w:t>
      </w:r>
      <w:r w:rsidR="00D93BD9">
        <w:rPr>
          <w:sz w:val="28"/>
          <w:szCs w:val="28"/>
        </w:rPr>
        <w:t xml:space="preserve"> light of</w:t>
      </w:r>
      <w:r w:rsidR="00C43356">
        <w:rPr>
          <w:sz w:val="28"/>
          <w:szCs w:val="28"/>
        </w:rPr>
        <w:t xml:space="preserve"> the concession by </w:t>
      </w:r>
      <w:r w:rsidR="00D71E64">
        <w:rPr>
          <w:sz w:val="28"/>
          <w:szCs w:val="28"/>
        </w:rPr>
        <w:t>Counsel</w:t>
      </w:r>
      <w:r w:rsidR="00C43356">
        <w:rPr>
          <w:sz w:val="28"/>
          <w:szCs w:val="28"/>
        </w:rPr>
        <w:t xml:space="preserve"> for the applicants</w:t>
      </w:r>
      <w:r w:rsidR="00FB7A31">
        <w:rPr>
          <w:sz w:val="28"/>
          <w:szCs w:val="28"/>
        </w:rPr>
        <w:t xml:space="preserve"> that </w:t>
      </w:r>
      <w:r w:rsidR="00D93BD9">
        <w:rPr>
          <w:sz w:val="28"/>
          <w:szCs w:val="28"/>
        </w:rPr>
        <w:t xml:space="preserve">the dispute as to when the review was commenced and completed must be resolved in accordance with the </w:t>
      </w:r>
      <w:proofErr w:type="spellStart"/>
      <w:r w:rsidR="00D93BD9" w:rsidRPr="00C523B0">
        <w:rPr>
          <w:i/>
          <w:iCs/>
          <w:sz w:val="28"/>
          <w:szCs w:val="28"/>
        </w:rPr>
        <w:t>P</w:t>
      </w:r>
      <w:r w:rsidR="00FB7A31" w:rsidRPr="00C523B0">
        <w:rPr>
          <w:i/>
          <w:iCs/>
          <w:sz w:val="28"/>
          <w:szCs w:val="28"/>
        </w:rPr>
        <w:t>lascon</w:t>
      </w:r>
      <w:proofErr w:type="spellEnd"/>
      <w:r w:rsidR="00FB7A31" w:rsidRPr="00C523B0">
        <w:rPr>
          <w:i/>
          <w:iCs/>
          <w:sz w:val="28"/>
          <w:szCs w:val="28"/>
        </w:rPr>
        <w:t xml:space="preserve"> </w:t>
      </w:r>
      <w:r w:rsidR="00D93BD9">
        <w:rPr>
          <w:i/>
          <w:iCs/>
          <w:sz w:val="28"/>
          <w:szCs w:val="28"/>
        </w:rPr>
        <w:t>E</w:t>
      </w:r>
      <w:r w:rsidR="00FB7A31" w:rsidRPr="00C523B0">
        <w:rPr>
          <w:i/>
          <w:iCs/>
          <w:sz w:val="28"/>
          <w:szCs w:val="28"/>
        </w:rPr>
        <w:t>vans</w:t>
      </w:r>
      <w:r w:rsidR="00FB7A31">
        <w:rPr>
          <w:sz w:val="28"/>
          <w:szCs w:val="28"/>
        </w:rPr>
        <w:t xml:space="preserve"> rule</w:t>
      </w:r>
      <w:r w:rsidR="000C307C">
        <w:rPr>
          <w:rStyle w:val="FootnoteReference"/>
          <w:sz w:val="28"/>
          <w:szCs w:val="28"/>
        </w:rPr>
        <w:footnoteReference w:id="23"/>
      </w:r>
      <w:r w:rsidR="0090779C">
        <w:rPr>
          <w:sz w:val="28"/>
          <w:szCs w:val="28"/>
        </w:rPr>
        <w:t>, the respondents</w:t>
      </w:r>
      <w:r w:rsidR="000C307C">
        <w:rPr>
          <w:sz w:val="28"/>
          <w:szCs w:val="28"/>
        </w:rPr>
        <w:t>’ version</w:t>
      </w:r>
      <w:r w:rsidR="0090779C">
        <w:rPr>
          <w:sz w:val="28"/>
          <w:szCs w:val="28"/>
        </w:rPr>
        <w:t xml:space="preserve"> must</w:t>
      </w:r>
      <w:r w:rsidR="00C43356">
        <w:rPr>
          <w:sz w:val="28"/>
          <w:szCs w:val="28"/>
        </w:rPr>
        <w:t xml:space="preserve"> be preferred that the Legal Notice was issued to continue the review. </w:t>
      </w:r>
      <w:r w:rsidR="0090779C">
        <w:rPr>
          <w:sz w:val="28"/>
          <w:szCs w:val="28"/>
        </w:rPr>
        <w:t xml:space="preserve"> </w:t>
      </w:r>
      <w:r w:rsidR="00D93BD9">
        <w:rPr>
          <w:sz w:val="28"/>
          <w:szCs w:val="28"/>
        </w:rPr>
        <w:t xml:space="preserve"> </w:t>
      </w:r>
    </w:p>
    <w:p w14:paraId="3409AC56" w14:textId="722536D5" w:rsidR="00DB14A8" w:rsidRDefault="00DB14A8" w:rsidP="001171E7">
      <w:pPr>
        <w:pStyle w:val="NormalWeb"/>
        <w:shd w:val="clear" w:color="auto" w:fill="FFFFFF"/>
        <w:spacing w:before="144" w:beforeAutospacing="0" w:after="288" w:afterAutospacing="0" w:line="480" w:lineRule="atLeast"/>
        <w:ind w:left="720" w:hanging="720"/>
        <w:jc w:val="both"/>
        <w:rPr>
          <w:sz w:val="28"/>
          <w:szCs w:val="28"/>
        </w:rPr>
      </w:pPr>
    </w:p>
    <w:p w14:paraId="18B5702F" w14:textId="73C68296" w:rsidR="00DB14A8" w:rsidRDefault="00DB14A8" w:rsidP="001171E7">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C43356">
        <w:rPr>
          <w:sz w:val="28"/>
          <w:szCs w:val="28"/>
        </w:rPr>
        <w:t>4</w:t>
      </w:r>
      <w:r w:rsidR="009206BB">
        <w:rPr>
          <w:sz w:val="28"/>
          <w:szCs w:val="28"/>
        </w:rPr>
        <w:t>1</w:t>
      </w:r>
      <w:r>
        <w:rPr>
          <w:sz w:val="28"/>
          <w:szCs w:val="28"/>
        </w:rPr>
        <w:t>]</w:t>
      </w:r>
      <w:r>
        <w:rPr>
          <w:sz w:val="28"/>
          <w:szCs w:val="28"/>
        </w:rPr>
        <w:tab/>
        <w:t>If the applicants entertained any doubt on whether the Legal Notice</w:t>
      </w:r>
      <w:r w:rsidR="0029255B">
        <w:rPr>
          <w:sz w:val="28"/>
          <w:szCs w:val="28"/>
        </w:rPr>
        <w:t xml:space="preserve"> </w:t>
      </w:r>
      <w:r>
        <w:rPr>
          <w:sz w:val="28"/>
          <w:szCs w:val="28"/>
        </w:rPr>
        <w:t xml:space="preserve">was an initiation of another review or continuation of the stalled review, they could have sought clarity in order to make relevant representations.  They did nothing, not even </w:t>
      </w:r>
      <w:r w:rsidR="00963BA7">
        <w:rPr>
          <w:sz w:val="28"/>
          <w:szCs w:val="28"/>
        </w:rPr>
        <w:t>t</w:t>
      </w:r>
      <w:r>
        <w:rPr>
          <w:sz w:val="28"/>
          <w:szCs w:val="28"/>
        </w:rPr>
        <w:t>o challenge the issuance of the Legal Notice.</w:t>
      </w:r>
    </w:p>
    <w:p w14:paraId="0CCAAE93" w14:textId="5697F8F8" w:rsidR="00DB14A8" w:rsidRDefault="00DB14A8" w:rsidP="001171E7">
      <w:pPr>
        <w:pStyle w:val="NormalWeb"/>
        <w:shd w:val="clear" w:color="auto" w:fill="FFFFFF"/>
        <w:spacing w:before="144" w:beforeAutospacing="0" w:after="288" w:afterAutospacing="0" w:line="480" w:lineRule="atLeast"/>
        <w:ind w:left="720" w:hanging="720"/>
        <w:jc w:val="both"/>
        <w:rPr>
          <w:sz w:val="28"/>
          <w:szCs w:val="28"/>
        </w:rPr>
      </w:pPr>
    </w:p>
    <w:p w14:paraId="580D3232" w14:textId="218CA569" w:rsidR="003443B4" w:rsidRDefault="00DB14A8">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9206BB">
        <w:rPr>
          <w:sz w:val="28"/>
          <w:szCs w:val="28"/>
        </w:rPr>
        <w:t>2</w:t>
      </w:r>
      <w:r>
        <w:rPr>
          <w:sz w:val="28"/>
          <w:szCs w:val="28"/>
        </w:rPr>
        <w:t>]</w:t>
      </w:r>
      <w:r>
        <w:rPr>
          <w:sz w:val="28"/>
          <w:szCs w:val="28"/>
        </w:rPr>
        <w:tab/>
        <w:t xml:space="preserve">It is only when the IEC issued </w:t>
      </w:r>
      <w:r w:rsidRPr="00C523B0">
        <w:rPr>
          <w:b/>
          <w:bCs/>
          <w:sz w:val="28"/>
          <w:szCs w:val="28"/>
        </w:rPr>
        <w:t>Legal Notice No.140 of 2021</w:t>
      </w:r>
      <w:r>
        <w:rPr>
          <w:sz w:val="28"/>
          <w:szCs w:val="28"/>
        </w:rPr>
        <w:t xml:space="preserve"> inviting political parties and vo</w:t>
      </w:r>
      <w:r w:rsidR="003443B4">
        <w:rPr>
          <w:sz w:val="28"/>
          <w:szCs w:val="28"/>
        </w:rPr>
        <w:t xml:space="preserve">ters </w:t>
      </w:r>
      <w:r w:rsidR="00012954">
        <w:rPr>
          <w:sz w:val="28"/>
          <w:szCs w:val="28"/>
        </w:rPr>
        <w:t>t</w:t>
      </w:r>
      <w:r w:rsidR="003443B4">
        <w:rPr>
          <w:sz w:val="28"/>
          <w:szCs w:val="28"/>
        </w:rPr>
        <w:t>o raise objections to the proposed new boundaries that the first applicant raised a query about the constitutional competence of the review</w:t>
      </w:r>
      <w:r w:rsidR="00C43356">
        <w:rPr>
          <w:sz w:val="28"/>
          <w:szCs w:val="28"/>
        </w:rPr>
        <w:t xml:space="preserve">. The </w:t>
      </w:r>
      <w:r w:rsidR="003443B4">
        <w:rPr>
          <w:sz w:val="28"/>
          <w:szCs w:val="28"/>
        </w:rPr>
        <w:t xml:space="preserve">objections </w:t>
      </w:r>
      <w:r w:rsidR="00484348">
        <w:rPr>
          <w:sz w:val="28"/>
          <w:szCs w:val="28"/>
        </w:rPr>
        <w:t>relevant to</w:t>
      </w:r>
      <w:r w:rsidR="003443B4">
        <w:rPr>
          <w:sz w:val="28"/>
          <w:szCs w:val="28"/>
        </w:rPr>
        <w:t xml:space="preserve"> the lawfulness of the review were the following two:</w:t>
      </w:r>
    </w:p>
    <w:p w14:paraId="429CDF6B" w14:textId="47FFDD87" w:rsidR="003443B4" w:rsidRPr="00131910" w:rsidRDefault="003443B4" w:rsidP="00131910">
      <w:pPr>
        <w:pStyle w:val="NormalWeb"/>
        <w:shd w:val="clear" w:color="auto" w:fill="FFFFFF"/>
        <w:spacing w:before="144" w:beforeAutospacing="0" w:after="288" w:afterAutospacing="0"/>
        <w:ind w:left="2880" w:hanging="720"/>
        <w:jc w:val="both"/>
      </w:pPr>
      <w:r w:rsidRPr="00131910">
        <w:t>“(a)</w:t>
      </w:r>
      <w:r w:rsidRPr="00131910">
        <w:tab/>
        <w:t>The IEC is acting in breach of section 67 of the Constitution.</w:t>
      </w:r>
    </w:p>
    <w:p w14:paraId="34B7683C" w14:textId="77777777" w:rsidR="00A6473A" w:rsidRDefault="003443B4" w:rsidP="002353CA">
      <w:pPr>
        <w:pStyle w:val="NormalWeb"/>
        <w:shd w:val="clear" w:color="auto" w:fill="FFFFFF"/>
        <w:spacing w:before="144" w:beforeAutospacing="0" w:after="288" w:afterAutospacing="0"/>
        <w:ind w:left="2880" w:hanging="720"/>
        <w:jc w:val="both"/>
      </w:pPr>
      <w:r w:rsidRPr="00131910">
        <w:lastRenderedPageBreak/>
        <w:t>(b)</w:t>
      </w:r>
      <w:r w:rsidRPr="00131910">
        <w:tab/>
        <w:t>The time within which to undertake the constituency delimitations has elapsed.  The process ought to have started in 2016 alternatively 2018 and concluded in 2020.”</w:t>
      </w:r>
    </w:p>
    <w:p w14:paraId="706B6FDC" w14:textId="5EAD2D80" w:rsidR="00DB14A8" w:rsidRPr="002353CA" w:rsidRDefault="003443B4" w:rsidP="002353CA">
      <w:pPr>
        <w:pStyle w:val="NormalWeb"/>
        <w:shd w:val="clear" w:color="auto" w:fill="FFFFFF"/>
        <w:spacing w:before="144" w:beforeAutospacing="0" w:after="288" w:afterAutospacing="0"/>
        <w:ind w:left="2880" w:hanging="720"/>
        <w:jc w:val="both"/>
      </w:pPr>
      <w:r>
        <w:rPr>
          <w:sz w:val="28"/>
          <w:szCs w:val="28"/>
        </w:rPr>
        <w:tab/>
      </w:r>
    </w:p>
    <w:p w14:paraId="579FB6BD" w14:textId="6223FF2C" w:rsidR="003443B4" w:rsidRDefault="003443B4" w:rsidP="003443B4">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9206BB">
        <w:rPr>
          <w:sz w:val="28"/>
          <w:szCs w:val="28"/>
        </w:rPr>
        <w:t>3</w:t>
      </w:r>
      <w:r>
        <w:rPr>
          <w:sz w:val="28"/>
          <w:szCs w:val="28"/>
        </w:rPr>
        <w:t>]</w:t>
      </w:r>
      <w:r>
        <w:rPr>
          <w:sz w:val="28"/>
          <w:szCs w:val="28"/>
        </w:rPr>
        <w:tab/>
        <w:t>The</w:t>
      </w:r>
      <w:r w:rsidR="002B47A7">
        <w:rPr>
          <w:sz w:val="28"/>
          <w:szCs w:val="28"/>
        </w:rPr>
        <w:t xml:space="preserve"> IEC rejected these objections on the ground that they </w:t>
      </w:r>
      <w:r w:rsidR="00716FEE">
        <w:rPr>
          <w:sz w:val="28"/>
          <w:szCs w:val="28"/>
        </w:rPr>
        <w:t>“</w:t>
      </w:r>
      <w:r w:rsidR="002B47A7">
        <w:rPr>
          <w:sz w:val="28"/>
          <w:szCs w:val="28"/>
        </w:rPr>
        <w:t xml:space="preserve">do not fall within the stipulations of </w:t>
      </w:r>
      <w:r>
        <w:rPr>
          <w:sz w:val="28"/>
          <w:szCs w:val="28"/>
        </w:rPr>
        <w:t>section 153</w:t>
      </w:r>
      <w:r w:rsidR="002B47A7">
        <w:rPr>
          <w:sz w:val="28"/>
          <w:szCs w:val="28"/>
        </w:rPr>
        <w:t xml:space="preserve"> (1) (c)</w:t>
      </w:r>
      <w:r w:rsidR="00716FEE">
        <w:rPr>
          <w:sz w:val="28"/>
          <w:szCs w:val="28"/>
        </w:rPr>
        <w:t>”</w:t>
      </w:r>
      <w:r>
        <w:rPr>
          <w:sz w:val="28"/>
          <w:szCs w:val="28"/>
        </w:rPr>
        <w:t xml:space="preserve"> </w:t>
      </w:r>
      <w:r w:rsidR="00716FEE">
        <w:rPr>
          <w:sz w:val="28"/>
          <w:szCs w:val="28"/>
        </w:rPr>
        <w:t xml:space="preserve">[of the </w:t>
      </w:r>
      <w:r w:rsidR="00716FEE" w:rsidRPr="00C523B0">
        <w:rPr>
          <w:b/>
          <w:bCs/>
          <w:sz w:val="28"/>
          <w:szCs w:val="28"/>
        </w:rPr>
        <w:t>Electoral Act, 2011</w:t>
      </w:r>
      <w:r w:rsidR="00716FEE">
        <w:rPr>
          <w:sz w:val="28"/>
          <w:szCs w:val="28"/>
        </w:rPr>
        <w:t xml:space="preserve">] </w:t>
      </w:r>
      <w:r w:rsidR="002B47A7">
        <w:rPr>
          <w:sz w:val="28"/>
          <w:szCs w:val="28"/>
        </w:rPr>
        <w:t xml:space="preserve">in that they </w:t>
      </w:r>
      <w:r w:rsidR="00C43356">
        <w:rPr>
          <w:sz w:val="28"/>
          <w:szCs w:val="28"/>
        </w:rPr>
        <w:t>were</w:t>
      </w:r>
      <w:r w:rsidR="002B47A7">
        <w:rPr>
          <w:sz w:val="28"/>
          <w:szCs w:val="28"/>
        </w:rPr>
        <w:t xml:space="preserve"> not directed </w:t>
      </w:r>
      <w:r w:rsidR="00716FEE">
        <w:rPr>
          <w:sz w:val="28"/>
          <w:szCs w:val="28"/>
        </w:rPr>
        <w:t>“</w:t>
      </w:r>
      <w:r w:rsidR="002B47A7">
        <w:rPr>
          <w:sz w:val="28"/>
          <w:szCs w:val="28"/>
        </w:rPr>
        <w:t xml:space="preserve">to any </w:t>
      </w:r>
      <w:r w:rsidR="00716FEE">
        <w:rPr>
          <w:sz w:val="28"/>
          <w:szCs w:val="28"/>
        </w:rPr>
        <w:t xml:space="preserve">specific proposal to constituency boundaries”. The IEC was correct </w:t>
      </w:r>
      <w:r>
        <w:rPr>
          <w:sz w:val="28"/>
          <w:szCs w:val="28"/>
        </w:rPr>
        <w:t>because the</w:t>
      </w:r>
      <w:r w:rsidR="00716FEE">
        <w:rPr>
          <w:sz w:val="28"/>
          <w:szCs w:val="28"/>
        </w:rPr>
        <w:t xml:space="preserve">se objections were </w:t>
      </w:r>
      <w:r>
        <w:rPr>
          <w:sz w:val="28"/>
          <w:szCs w:val="28"/>
        </w:rPr>
        <w:t xml:space="preserve">not directed at informing and influencing the outcome of the </w:t>
      </w:r>
      <w:r w:rsidR="00484348">
        <w:rPr>
          <w:sz w:val="28"/>
          <w:szCs w:val="28"/>
        </w:rPr>
        <w:t xml:space="preserve">review </w:t>
      </w:r>
      <w:r w:rsidR="00D71E64">
        <w:rPr>
          <w:sz w:val="28"/>
          <w:szCs w:val="28"/>
        </w:rPr>
        <w:t>process namely,</w:t>
      </w:r>
      <w:r>
        <w:rPr>
          <w:sz w:val="28"/>
          <w:szCs w:val="28"/>
        </w:rPr>
        <w:t xml:space="preserve"> alteration of constituency boundaries.  </w:t>
      </w:r>
      <w:r w:rsidR="00716FEE">
        <w:rPr>
          <w:sz w:val="28"/>
          <w:szCs w:val="28"/>
        </w:rPr>
        <w:t>Rather, the</w:t>
      </w:r>
      <w:r w:rsidR="00C43356">
        <w:rPr>
          <w:sz w:val="28"/>
          <w:szCs w:val="28"/>
        </w:rPr>
        <w:t xml:space="preserve">y </w:t>
      </w:r>
      <w:r>
        <w:rPr>
          <w:sz w:val="28"/>
          <w:szCs w:val="28"/>
        </w:rPr>
        <w:t>question</w:t>
      </w:r>
      <w:r w:rsidR="00C43356">
        <w:rPr>
          <w:sz w:val="28"/>
          <w:szCs w:val="28"/>
        </w:rPr>
        <w:t>ed</w:t>
      </w:r>
      <w:r>
        <w:rPr>
          <w:sz w:val="28"/>
          <w:szCs w:val="28"/>
        </w:rPr>
        <w:t xml:space="preserve"> </w:t>
      </w:r>
      <w:r w:rsidR="00484348">
        <w:rPr>
          <w:sz w:val="28"/>
          <w:szCs w:val="28"/>
        </w:rPr>
        <w:t xml:space="preserve">compliance of the IEC with </w:t>
      </w:r>
      <w:r w:rsidR="00C43356">
        <w:rPr>
          <w:sz w:val="28"/>
          <w:szCs w:val="28"/>
        </w:rPr>
        <w:t xml:space="preserve">a </w:t>
      </w:r>
      <w:r w:rsidR="00484348">
        <w:rPr>
          <w:sz w:val="28"/>
          <w:szCs w:val="28"/>
        </w:rPr>
        <w:t>provision of the Constitution</w:t>
      </w:r>
      <w:r w:rsidR="00C43356">
        <w:rPr>
          <w:sz w:val="28"/>
          <w:szCs w:val="28"/>
        </w:rPr>
        <w:t>.</w:t>
      </w:r>
      <w:r w:rsidR="00484348">
        <w:rPr>
          <w:sz w:val="28"/>
          <w:szCs w:val="28"/>
        </w:rPr>
        <w:t xml:space="preserve"> </w:t>
      </w:r>
    </w:p>
    <w:p w14:paraId="794D72FF" w14:textId="2B41A509" w:rsidR="003443B4" w:rsidRDefault="003443B4" w:rsidP="003443B4">
      <w:pPr>
        <w:pStyle w:val="NormalWeb"/>
        <w:shd w:val="clear" w:color="auto" w:fill="FFFFFF"/>
        <w:spacing w:before="144" w:beforeAutospacing="0" w:after="288" w:afterAutospacing="0" w:line="480" w:lineRule="atLeast"/>
        <w:ind w:left="720" w:hanging="720"/>
        <w:jc w:val="both"/>
        <w:rPr>
          <w:sz w:val="28"/>
          <w:szCs w:val="28"/>
        </w:rPr>
      </w:pPr>
    </w:p>
    <w:p w14:paraId="51CE52DC" w14:textId="7B268C60" w:rsidR="00B4397E" w:rsidRDefault="00F323CB">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9C1E03">
        <w:rPr>
          <w:sz w:val="28"/>
          <w:szCs w:val="28"/>
        </w:rPr>
        <w:t>4</w:t>
      </w:r>
      <w:r w:rsidR="009206BB">
        <w:rPr>
          <w:sz w:val="28"/>
          <w:szCs w:val="28"/>
        </w:rPr>
        <w:t>4</w:t>
      </w:r>
      <w:r>
        <w:rPr>
          <w:sz w:val="28"/>
          <w:szCs w:val="28"/>
        </w:rPr>
        <w:t>]</w:t>
      </w:r>
      <w:r>
        <w:rPr>
          <w:sz w:val="28"/>
          <w:szCs w:val="28"/>
        </w:rPr>
        <w:tab/>
      </w:r>
      <w:r w:rsidR="003443B4">
        <w:rPr>
          <w:sz w:val="28"/>
          <w:szCs w:val="28"/>
        </w:rPr>
        <w:t>The Court finds as a fact that the</w:t>
      </w:r>
      <w:r w:rsidR="00AD0FF4">
        <w:rPr>
          <w:sz w:val="28"/>
          <w:szCs w:val="28"/>
        </w:rPr>
        <w:t xml:space="preserve"> review commenced</w:t>
      </w:r>
      <w:r w:rsidR="006B7FAE">
        <w:rPr>
          <w:sz w:val="28"/>
          <w:szCs w:val="28"/>
        </w:rPr>
        <w:t xml:space="preserve"> in 2018 following the release of the 2016 census report.</w:t>
      </w:r>
      <w:r w:rsidR="00256BEC">
        <w:rPr>
          <w:sz w:val="28"/>
          <w:szCs w:val="28"/>
        </w:rPr>
        <w:t xml:space="preserve"> </w:t>
      </w:r>
      <w:r w:rsidR="00E072D4">
        <w:rPr>
          <w:sz w:val="28"/>
          <w:szCs w:val="28"/>
        </w:rPr>
        <w:t xml:space="preserve"> Th</w:t>
      </w:r>
      <w:r w:rsidR="00094DAB">
        <w:rPr>
          <w:sz w:val="28"/>
          <w:szCs w:val="28"/>
        </w:rPr>
        <w:t>e</w:t>
      </w:r>
      <w:r w:rsidR="00E072D4">
        <w:rPr>
          <w:sz w:val="28"/>
          <w:szCs w:val="28"/>
        </w:rPr>
        <w:t xml:space="preserve"> Court has not been told exactly when the </w:t>
      </w:r>
      <w:r w:rsidR="00C43356">
        <w:rPr>
          <w:sz w:val="28"/>
          <w:szCs w:val="28"/>
        </w:rPr>
        <w:t xml:space="preserve">last </w:t>
      </w:r>
      <w:r w:rsidR="00E072D4">
        <w:rPr>
          <w:sz w:val="28"/>
          <w:szCs w:val="28"/>
        </w:rPr>
        <w:t xml:space="preserve">review that resulted in the </w:t>
      </w:r>
      <w:r w:rsidR="00C43356">
        <w:rPr>
          <w:sz w:val="28"/>
          <w:szCs w:val="28"/>
        </w:rPr>
        <w:t xml:space="preserve">issuance of the </w:t>
      </w:r>
      <w:r w:rsidR="00E072D4">
        <w:rPr>
          <w:sz w:val="28"/>
          <w:szCs w:val="28"/>
        </w:rPr>
        <w:t>Delimitation Order of 2010 was co</w:t>
      </w:r>
      <w:r w:rsidR="00154A08">
        <w:rPr>
          <w:sz w:val="28"/>
          <w:szCs w:val="28"/>
        </w:rPr>
        <w:t>mpleted.</w:t>
      </w:r>
      <w:r w:rsidR="00C43356">
        <w:rPr>
          <w:sz w:val="28"/>
          <w:szCs w:val="28"/>
        </w:rPr>
        <w:t xml:space="preserve"> A</w:t>
      </w:r>
      <w:r w:rsidR="00BC44B3">
        <w:rPr>
          <w:sz w:val="28"/>
          <w:szCs w:val="28"/>
        </w:rPr>
        <w:t xml:space="preserve">ccording to </w:t>
      </w:r>
      <w:r w:rsidR="00270FFB">
        <w:rPr>
          <w:sz w:val="28"/>
          <w:szCs w:val="28"/>
        </w:rPr>
        <w:t xml:space="preserve">the </w:t>
      </w:r>
      <w:r w:rsidR="00331ED5" w:rsidRPr="002353CA">
        <w:rPr>
          <w:b/>
          <w:bCs/>
          <w:sz w:val="28"/>
          <w:szCs w:val="28"/>
        </w:rPr>
        <w:t>Interpretation</w:t>
      </w:r>
      <w:r w:rsidR="00BC44B3" w:rsidRPr="002353CA">
        <w:rPr>
          <w:b/>
          <w:bCs/>
          <w:sz w:val="28"/>
          <w:szCs w:val="28"/>
        </w:rPr>
        <w:t xml:space="preserve"> Act No. 19 of 1977</w:t>
      </w:r>
      <w:r w:rsidR="00BC44B3">
        <w:rPr>
          <w:sz w:val="28"/>
          <w:szCs w:val="28"/>
        </w:rPr>
        <w:t xml:space="preserve"> </w:t>
      </w:r>
      <w:r w:rsidR="00C43356">
        <w:rPr>
          <w:sz w:val="28"/>
          <w:szCs w:val="28"/>
        </w:rPr>
        <w:t xml:space="preserve">a year </w:t>
      </w:r>
      <w:r w:rsidR="00BC44B3">
        <w:rPr>
          <w:sz w:val="28"/>
          <w:szCs w:val="28"/>
        </w:rPr>
        <w:t xml:space="preserve">means a calendar year. The Delimitation Order </w:t>
      </w:r>
      <w:r w:rsidR="00C43356">
        <w:rPr>
          <w:sz w:val="28"/>
          <w:szCs w:val="28"/>
        </w:rPr>
        <w:t xml:space="preserve">of the last review </w:t>
      </w:r>
      <w:r w:rsidR="00BC44B3">
        <w:rPr>
          <w:sz w:val="28"/>
          <w:szCs w:val="28"/>
        </w:rPr>
        <w:t>was issued on</w:t>
      </w:r>
      <w:r w:rsidR="00094DAB">
        <w:rPr>
          <w:sz w:val="28"/>
          <w:szCs w:val="28"/>
        </w:rPr>
        <w:t xml:space="preserve"> </w:t>
      </w:r>
      <w:r w:rsidR="00BC44B3">
        <w:rPr>
          <w:sz w:val="28"/>
          <w:szCs w:val="28"/>
        </w:rPr>
        <w:t>26</w:t>
      </w:r>
      <w:r w:rsidR="00BC44B3" w:rsidRPr="00C523B0">
        <w:rPr>
          <w:sz w:val="28"/>
          <w:szCs w:val="28"/>
          <w:vertAlign w:val="superscript"/>
        </w:rPr>
        <w:t>th</w:t>
      </w:r>
      <w:r w:rsidR="00BC44B3">
        <w:rPr>
          <w:sz w:val="28"/>
          <w:szCs w:val="28"/>
        </w:rPr>
        <w:t xml:space="preserve"> July 2010. </w:t>
      </w:r>
      <w:r w:rsidR="00331ED5">
        <w:rPr>
          <w:sz w:val="28"/>
          <w:szCs w:val="28"/>
        </w:rPr>
        <w:t xml:space="preserve"> </w:t>
      </w:r>
      <w:r w:rsidR="00C43356">
        <w:rPr>
          <w:sz w:val="28"/>
          <w:szCs w:val="28"/>
        </w:rPr>
        <w:t>U</w:t>
      </w:r>
      <w:r w:rsidR="00331ED5">
        <w:rPr>
          <w:sz w:val="28"/>
          <w:szCs w:val="28"/>
        </w:rPr>
        <w:t>sing the civil computation method, the period for the</w:t>
      </w:r>
      <w:r w:rsidR="00C43356">
        <w:rPr>
          <w:sz w:val="28"/>
          <w:szCs w:val="28"/>
        </w:rPr>
        <w:t xml:space="preserve"> impugned </w:t>
      </w:r>
      <w:r w:rsidR="00331ED5">
        <w:rPr>
          <w:sz w:val="28"/>
          <w:szCs w:val="28"/>
        </w:rPr>
        <w:t>review started on 26</w:t>
      </w:r>
      <w:r w:rsidR="00331ED5" w:rsidRPr="00C523B0">
        <w:rPr>
          <w:sz w:val="28"/>
          <w:szCs w:val="28"/>
          <w:vertAlign w:val="superscript"/>
        </w:rPr>
        <w:t>th</w:t>
      </w:r>
      <w:r w:rsidR="00331ED5">
        <w:rPr>
          <w:sz w:val="28"/>
          <w:szCs w:val="28"/>
        </w:rPr>
        <w:t xml:space="preserve"> July 2010 and ended at midnight on 25</w:t>
      </w:r>
      <w:r w:rsidR="00331ED5" w:rsidRPr="00C523B0">
        <w:rPr>
          <w:sz w:val="28"/>
          <w:szCs w:val="28"/>
          <w:vertAlign w:val="superscript"/>
        </w:rPr>
        <w:t>th</w:t>
      </w:r>
      <w:r w:rsidR="00331ED5">
        <w:rPr>
          <w:sz w:val="28"/>
          <w:szCs w:val="28"/>
        </w:rPr>
        <w:t xml:space="preserve"> July 2020. </w:t>
      </w:r>
      <w:r w:rsidR="006B7FAE">
        <w:rPr>
          <w:sz w:val="28"/>
          <w:szCs w:val="28"/>
        </w:rPr>
        <w:t xml:space="preserve"> </w:t>
      </w:r>
      <w:r w:rsidR="00256BEC">
        <w:rPr>
          <w:sz w:val="28"/>
          <w:szCs w:val="28"/>
        </w:rPr>
        <w:t>This c</w:t>
      </w:r>
      <w:r w:rsidR="00C43356">
        <w:rPr>
          <w:sz w:val="28"/>
          <w:szCs w:val="28"/>
        </w:rPr>
        <w:t xml:space="preserve">omputation </w:t>
      </w:r>
      <w:r w:rsidR="00256BEC">
        <w:rPr>
          <w:sz w:val="28"/>
          <w:szCs w:val="28"/>
        </w:rPr>
        <w:t xml:space="preserve">does not </w:t>
      </w:r>
      <w:proofErr w:type="gramStart"/>
      <w:r w:rsidR="00256BEC">
        <w:rPr>
          <w:sz w:val="28"/>
          <w:szCs w:val="28"/>
        </w:rPr>
        <w:t>take into account</w:t>
      </w:r>
      <w:proofErr w:type="gramEnd"/>
      <w:r w:rsidR="00256BEC">
        <w:rPr>
          <w:sz w:val="28"/>
          <w:szCs w:val="28"/>
        </w:rPr>
        <w:t xml:space="preserve"> the period of one year </w:t>
      </w:r>
      <w:r w:rsidR="00C35EE3">
        <w:rPr>
          <w:sz w:val="28"/>
          <w:szCs w:val="28"/>
        </w:rPr>
        <w:t>six</w:t>
      </w:r>
      <w:r w:rsidR="00256BEC">
        <w:rPr>
          <w:sz w:val="28"/>
          <w:szCs w:val="28"/>
        </w:rPr>
        <w:t xml:space="preserve"> months</w:t>
      </w:r>
      <w:r w:rsidR="00706E4B">
        <w:rPr>
          <w:sz w:val="28"/>
          <w:szCs w:val="28"/>
        </w:rPr>
        <w:t xml:space="preserve"> and thirteen days</w:t>
      </w:r>
      <w:r w:rsidR="00256BEC">
        <w:rPr>
          <w:sz w:val="28"/>
          <w:szCs w:val="28"/>
        </w:rPr>
        <w:t xml:space="preserve"> during which the IEC had no Commissioners. The said period is from 1</w:t>
      </w:r>
      <w:r w:rsidR="00256BEC" w:rsidRPr="00C523B0">
        <w:rPr>
          <w:sz w:val="28"/>
          <w:szCs w:val="28"/>
          <w:vertAlign w:val="superscript"/>
        </w:rPr>
        <w:t>st</w:t>
      </w:r>
      <w:r w:rsidR="00256BEC">
        <w:rPr>
          <w:sz w:val="28"/>
          <w:szCs w:val="28"/>
        </w:rPr>
        <w:t xml:space="preserve"> June 2019 to 13</w:t>
      </w:r>
      <w:r w:rsidR="00256BEC" w:rsidRPr="00C523B0">
        <w:rPr>
          <w:sz w:val="28"/>
          <w:szCs w:val="28"/>
          <w:vertAlign w:val="superscript"/>
        </w:rPr>
        <w:t>th</w:t>
      </w:r>
      <w:r w:rsidR="00256BEC">
        <w:rPr>
          <w:sz w:val="28"/>
          <w:szCs w:val="28"/>
        </w:rPr>
        <w:t xml:space="preserve"> December 2020. If th</w:t>
      </w:r>
      <w:r w:rsidR="00C43356">
        <w:rPr>
          <w:sz w:val="28"/>
          <w:szCs w:val="28"/>
        </w:rPr>
        <w:t>is</w:t>
      </w:r>
      <w:r w:rsidR="00256BEC">
        <w:rPr>
          <w:sz w:val="28"/>
          <w:szCs w:val="28"/>
        </w:rPr>
        <w:t xml:space="preserve"> period is taken into account the </w:t>
      </w:r>
      <w:proofErr w:type="gramStart"/>
      <w:r w:rsidR="00256BEC">
        <w:rPr>
          <w:sz w:val="28"/>
          <w:szCs w:val="28"/>
        </w:rPr>
        <w:t>ten year</w:t>
      </w:r>
      <w:proofErr w:type="gramEnd"/>
      <w:r w:rsidR="00256BEC">
        <w:rPr>
          <w:sz w:val="28"/>
          <w:szCs w:val="28"/>
        </w:rPr>
        <w:t xml:space="preserve"> period end</w:t>
      </w:r>
      <w:r w:rsidR="008E1056">
        <w:rPr>
          <w:sz w:val="28"/>
          <w:szCs w:val="28"/>
        </w:rPr>
        <w:t>ed</w:t>
      </w:r>
      <w:r w:rsidR="00706E4B">
        <w:rPr>
          <w:sz w:val="28"/>
          <w:szCs w:val="28"/>
        </w:rPr>
        <w:t xml:space="preserve"> on 12</w:t>
      </w:r>
      <w:r w:rsidR="00706E4B" w:rsidRPr="00C523B0">
        <w:rPr>
          <w:sz w:val="28"/>
          <w:szCs w:val="28"/>
          <w:vertAlign w:val="superscript"/>
        </w:rPr>
        <w:t>th</w:t>
      </w:r>
      <w:r w:rsidR="00706E4B">
        <w:rPr>
          <w:sz w:val="28"/>
          <w:szCs w:val="28"/>
        </w:rPr>
        <w:t xml:space="preserve"> January 2022. </w:t>
      </w:r>
    </w:p>
    <w:p w14:paraId="10E44320" w14:textId="77777777" w:rsidR="00A6473A" w:rsidRDefault="00A6473A">
      <w:pPr>
        <w:pStyle w:val="NormalWeb"/>
        <w:shd w:val="clear" w:color="auto" w:fill="FFFFFF"/>
        <w:spacing w:before="144" w:beforeAutospacing="0" w:after="288" w:afterAutospacing="0" w:line="480" w:lineRule="atLeast"/>
        <w:ind w:left="720" w:hanging="720"/>
        <w:jc w:val="both"/>
        <w:rPr>
          <w:sz w:val="28"/>
          <w:szCs w:val="28"/>
        </w:rPr>
      </w:pPr>
    </w:p>
    <w:p w14:paraId="305F0AED" w14:textId="0D8F1F1E" w:rsidR="00067E7A" w:rsidRDefault="008E1056" w:rsidP="00130398">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9206BB">
        <w:rPr>
          <w:sz w:val="28"/>
          <w:szCs w:val="28"/>
        </w:rPr>
        <w:t>5</w:t>
      </w:r>
      <w:r>
        <w:rPr>
          <w:sz w:val="28"/>
          <w:szCs w:val="28"/>
        </w:rPr>
        <w:t>]</w:t>
      </w:r>
      <w:r>
        <w:rPr>
          <w:sz w:val="28"/>
          <w:szCs w:val="28"/>
        </w:rPr>
        <w:tab/>
        <w:t>The parties are on common ground that the previous Commissioners contracts expired on 1</w:t>
      </w:r>
      <w:r w:rsidRPr="00C523B0">
        <w:rPr>
          <w:sz w:val="28"/>
          <w:szCs w:val="28"/>
          <w:vertAlign w:val="superscript"/>
        </w:rPr>
        <w:t>st</w:t>
      </w:r>
      <w:r>
        <w:rPr>
          <w:sz w:val="28"/>
          <w:szCs w:val="28"/>
        </w:rPr>
        <w:t xml:space="preserve"> June 2019 and the current Commissioners assumed </w:t>
      </w:r>
      <w:r>
        <w:rPr>
          <w:sz w:val="28"/>
          <w:szCs w:val="28"/>
        </w:rPr>
        <w:lastRenderedPageBreak/>
        <w:t>duties o</w:t>
      </w:r>
      <w:r w:rsidR="00854B13">
        <w:rPr>
          <w:sz w:val="28"/>
          <w:szCs w:val="28"/>
        </w:rPr>
        <w:t>n</w:t>
      </w:r>
      <w:r>
        <w:rPr>
          <w:sz w:val="28"/>
          <w:szCs w:val="28"/>
        </w:rPr>
        <w:t xml:space="preserve"> 14</w:t>
      </w:r>
      <w:r w:rsidRPr="00C523B0">
        <w:rPr>
          <w:sz w:val="28"/>
          <w:szCs w:val="28"/>
          <w:vertAlign w:val="superscript"/>
        </w:rPr>
        <w:t>th</w:t>
      </w:r>
      <w:r>
        <w:rPr>
          <w:sz w:val="28"/>
          <w:szCs w:val="28"/>
        </w:rPr>
        <w:t xml:space="preserve"> December 202</w:t>
      </w:r>
      <w:r w:rsidR="00E24D35">
        <w:rPr>
          <w:sz w:val="28"/>
          <w:szCs w:val="28"/>
        </w:rPr>
        <w:t>0</w:t>
      </w:r>
      <w:r>
        <w:rPr>
          <w:sz w:val="28"/>
          <w:szCs w:val="28"/>
        </w:rPr>
        <w:t>. They</w:t>
      </w:r>
      <w:r w:rsidR="00270FFB">
        <w:rPr>
          <w:sz w:val="28"/>
          <w:szCs w:val="28"/>
        </w:rPr>
        <w:t>,</w:t>
      </w:r>
      <w:r>
        <w:rPr>
          <w:sz w:val="28"/>
          <w:szCs w:val="28"/>
        </w:rPr>
        <w:t xml:space="preserve"> however</w:t>
      </w:r>
      <w:r w:rsidR="00270FFB">
        <w:rPr>
          <w:sz w:val="28"/>
          <w:szCs w:val="28"/>
        </w:rPr>
        <w:t>,</w:t>
      </w:r>
      <w:r>
        <w:rPr>
          <w:sz w:val="28"/>
          <w:szCs w:val="28"/>
        </w:rPr>
        <w:t xml:space="preserve"> disagree on whether the absence of Commissioners during that period meant that the IEC was still </w:t>
      </w:r>
      <w:r w:rsidR="004F2C27">
        <w:rPr>
          <w:sz w:val="28"/>
          <w:szCs w:val="28"/>
        </w:rPr>
        <w:t xml:space="preserve">operational by virtue of absence of Commissioners. </w:t>
      </w:r>
      <w:r>
        <w:rPr>
          <w:sz w:val="28"/>
          <w:szCs w:val="28"/>
        </w:rPr>
        <w:t xml:space="preserve"> The</w:t>
      </w:r>
      <w:r w:rsidR="00270FFB">
        <w:rPr>
          <w:sz w:val="28"/>
          <w:szCs w:val="28"/>
        </w:rPr>
        <w:t xml:space="preserve"> resolution of </w:t>
      </w:r>
      <w:r w:rsidR="009C1E03">
        <w:rPr>
          <w:sz w:val="28"/>
          <w:szCs w:val="28"/>
        </w:rPr>
        <w:t>this dispute is</w:t>
      </w:r>
      <w:r>
        <w:rPr>
          <w:sz w:val="28"/>
          <w:szCs w:val="28"/>
        </w:rPr>
        <w:t xml:space="preserve"> provided for by how the </w:t>
      </w:r>
      <w:r w:rsidR="001B5238">
        <w:rPr>
          <w:sz w:val="28"/>
          <w:szCs w:val="28"/>
        </w:rPr>
        <w:t xml:space="preserve">IEC is constituted in terms of the </w:t>
      </w:r>
      <w:r>
        <w:rPr>
          <w:sz w:val="28"/>
          <w:szCs w:val="28"/>
        </w:rPr>
        <w:t>Constitution</w:t>
      </w:r>
      <w:r w:rsidR="001B5238">
        <w:rPr>
          <w:sz w:val="28"/>
          <w:szCs w:val="28"/>
        </w:rPr>
        <w:t>.</w:t>
      </w:r>
      <w:r>
        <w:rPr>
          <w:sz w:val="28"/>
          <w:szCs w:val="28"/>
        </w:rPr>
        <w:t xml:space="preserve"> </w:t>
      </w:r>
      <w:r w:rsidR="00067E7A">
        <w:rPr>
          <w:sz w:val="28"/>
          <w:szCs w:val="28"/>
        </w:rPr>
        <w:t>Th</w:t>
      </w:r>
      <w:r w:rsidR="00270FFB">
        <w:rPr>
          <w:sz w:val="28"/>
          <w:szCs w:val="28"/>
        </w:rPr>
        <w:t xml:space="preserve">e relevant section is </w:t>
      </w:r>
      <w:r w:rsidR="00AB1119">
        <w:rPr>
          <w:sz w:val="28"/>
          <w:szCs w:val="28"/>
        </w:rPr>
        <w:t>s</w:t>
      </w:r>
      <w:r w:rsidR="00067E7A">
        <w:rPr>
          <w:sz w:val="28"/>
          <w:szCs w:val="28"/>
        </w:rPr>
        <w:t xml:space="preserve">ection 4 of the </w:t>
      </w:r>
      <w:r w:rsidR="00067E7A" w:rsidRPr="002353CA">
        <w:rPr>
          <w:b/>
          <w:bCs/>
          <w:sz w:val="28"/>
          <w:szCs w:val="28"/>
        </w:rPr>
        <w:t>Fourth Amendment to the Constitution,</w:t>
      </w:r>
      <w:r w:rsidR="00067E7A">
        <w:rPr>
          <w:sz w:val="28"/>
          <w:szCs w:val="28"/>
        </w:rPr>
        <w:t xml:space="preserve"> </w:t>
      </w:r>
      <w:r w:rsidR="00067E7A" w:rsidRPr="002353CA">
        <w:rPr>
          <w:b/>
          <w:bCs/>
          <w:sz w:val="28"/>
          <w:szCs w:val="28"/>
        </w:rPr>
        <w:t>Act No. 4 of 2001</w:t>
      </w:r>
      <w:r w:rsidR="00067E7A">
        <w:rPr>
          <w:sz w:val="28"/>
          <w:szCs w:val="28"/>
        </w:rPr>
        <w:t xml:space="preserve">. </w:t>
      </w:r>
      <w:r w:rsidR="00270FFB">
        <w:rPr>
          <w:sz w:val="28"/>
          <w:szCs w:val="28"/>
        </w:rPr>
        <w:t xml:space="preserve">It amends section </w:t>
      </w:r>
      <w:r w:rsidR="00067E7A">
        <w:rPr>
          <w:sz w:val="28"/>
          <w:szCs w:val="28"/>
        </w:rPr>
        <w:t>66(1)</w:t>
      </w:r>
      <w:r w:rsidR="00AB1119">
        <w:rPr>
          <w:sz w:val="28"/>
          <w:szCs w:val="28"/>
        </w:rPr>
        <w:t xml:space="preserve"> of the Constitution </w:t>
      </w:r>
      <w:r w:rsidR="00270FFB">
        <w:rPr>
          <w:sz w:val="28"/>
          <w:szCs w:val="28"/>
        </w:rPr>
        <w:t>by substituting the</w:t>
      </w:r>
      <w:r w:rsidR="00067E7A">
        <w:rPr>
          <w:sz w:val="28"/>
          <w:szCs w:val="28"/>
        </w:rPr>
        <w:t xml:space="preserve"> follow</w:t>
      </w:r>
      <w:r w:rsidR="00270FFB">
        <w:rPr>
          <w:sz w:val="28"/>
          <w:szCs w:val="28"/>
        </w:rPr>
        <w:t>ing</w:t>
      </w:r>
      <w:r w:rsidR="00067E7A">
        <w:rPr>
          <w:sz w:val="28"/>
          <w:szCs w:val="28"/>
        </w:rPr>
        <w:t>:</w:t>
      </w:r>
    </w:p>
    <w:p w14:paraId="3A4538FE" w14:textId="1FEFED08" w:rsidR="008E1056" w:rsidRDefault="00067E7A" w:rsidP="0042466A">
      <w:pPr>
        <w:pStyle w:val="NormalWeb"/>
        <w:shd w:val="clear" w:color="auto" w:fill="FFFFFF"/>
        <w:spacing w:before="144" w:beforeAutospacing="0" w:after="288" w:afterAutospacing="0"/>
        <w:ind w:left="2160"/>
        <w:jc w:val="both"/>
      </w:pPr>
      <w:r w:rsidRPr="00C523B0">
        <w:t xml:space="preserve">“There shall continue to be an Independent Electoral Commission consisting of a chairman and two members, who shall be appointed by the King acting in accordance with the advice of the Counsel of State.” </w:t>
      </w:r>
    </w:p>
    <w:p w14:paraId="52650D8B" w14:textId="77777777" w:rsidR="00A6473A" w:rsidRDefault="00A6473A" w:rsidP="00090B98">
      <w:pPr>
        <w:pStyle w:val="NormalWeb"/>
        <w:shd w:val="clear" w:color="auto" w:fill="FFFFFF"/>
        <w:spacing w:before="144" w:beforeAutospacing="0" w:after="288" w:afterAutospacing="0" w:line="480" w:lineRule="atLeast"/>
        <w:ind w:left="2160"/>
        <w:jc w:val="both"/>
      </w:pPr>
    </w:p>
    <w:p w14:paraId="1862F34B" w14:textId="09C56BD6" w:rsidR="00067E7A" w:rsidRDefault="001B5238" w:rsidP="001B5238">
      <w:pPr>
        <w:pStyle w:val="NormalWeb"/>
        <w:shd w:val="clear" w:color="auto" w:fill="FFFFFF"/>
        <w:spacing w:before="144" w:beforeAutospacing="0" w:after="288" w:afterAutospacing="0" w:line="480" w:lineRule="atLeast"/>
        <w:ind w:left="720" w:hanging="720"/>
        <w:jc w:val="both"/>
        <w:rPr>
          <w:sz w:val="28"/>
          <w:szCs w:val="28"/>
        </w:rPr>
      </w:pPr>
      <w:r w:rsidRPr="00C523B0">
        <w:rPr>
          <w:sz w:val="28"/>
          <w:szCs w:val="28"/>
        </w:rPr>
        <w:t>[</w:t>
      </w:r>
      <w:r w:rsidR="004D2673">
        <w:rPr>
          <w:sz w:val="28"/>
          <w:szCs w:val="28"/>
        </w:rPr>
        <w:t>4</w:t>
      </w:r>
      <w:r w:rsidR="009206BB">
        <w:rPr>
          <w:sz w:val="28"/>
          <w:szCs w:val="28"/>
        </w:rPr>
        <w:t>6</w:t>
      </w:r>
      <w:r w:rsidRPr="00C523B0">
        <w:rPr>
          <w:sz w:val="28"/>
          <w:szCs w:val="28"/>
        </w:rPr>
        <w:t>]</w:t>
      </w:r>
      <w:r>
        <w:tab/>
      </w:r>
      <w:r w:rsidR="00067E7A">
        <w:rPr>
          <w:sz w:val="28"/>
          <w:szCs w:val="28"/>
        </w:rPr>
        <w:t xml:space="preserve">According to </w:t>
      </w:r>
      <w:r>
        <w:rPr>
          <w:sz w:val="28"/>
          <w:szCs w:val="28"/>
        </w:rPr>
        <w:t>s</w:t>
      </w:r>
      <w:r w:rsidR="00067E7A">
        <w:rPr>
          <w:sz w:val="28"/>
          <w:szCs w:val="28"/>
        </w:rPr>
        <w:t xml:space="preserve">ection 66B as inserted by the </w:t>
      </w:r>
      <w:r w:rsidR="00067E7A" w:rsidRPr="002353CA">
        <w:rPr>
          <w:b/>
          <w:bCs/>
          <w:sz w:val="28"/>
          <w:szCs w:val="28"/>
        </w:rPr>
        <w:t>Second Amendment to Constitution</w:t>
      </w:r>
      <w:r w:rsidR="004D2673">
        <w:rPr>
          <w:sz w:val="28"/>
          <w:szCs w:val="28"/>
        </w:rPr>
        <w:t>,</w:t>
      </w:r>
      <w:r w:rsidR="00067E7A">
        <w:rPr>
          <w:sz w:val="28"/>
          <w:szCs w:val="28"/>
        </w:rPr>
        <w:t xml:space="preserve"> </w:t>
      </w:r>
      <w:r w:rsidR="00067E7A" w:rsidRPr="00090B98">
        <w:rPr>
          <w:b/>
          <w:bCs/>
          <w:sz w:val="28"/>
          <w:szCs w:val="28"/>
        </w:rPr>
        <w:t>Act No. 7 of 1997</w:t>
      </w:r>
      <w:r w:rsidR="004D2673">
        <w:rPr>
          <w:sz w:val="28"/>
          <w:szCs w:val="28"/>
        </w:rPr>
        <w:t>,</w:t>
      </w:r>
      <w:r w:rsidR="00067E7A">
        <w:rPr>
          <w:sz w:val="28"/>
          <w:szCs w:val="28"/>
        </w:rPr>
        <w:t xml:space="preserve"> the Commissioners </w:t>
      </w:r>
      <w:r w:rsidR="00EB40E7">
        <w:rPr>
          <w:sz w:val="28"/>
          <w:szCs w:val="28"/>
        </w:rPr>
        <w:t xml:space="preserve">are the ones who make decisions for the IEC and regulate its procedure. </w:t>
      </w:r>
      <w:r w:rsidR="00C2268C">
        <w:rPr>
          <w:sz w:val="28"/>
          <w:szCs w:val="28"/>
        </w:rPr>
        <w:t xml:space="preserve">One of IEC ‘s functions in terms of </w:t>
      </w:r>
      <w:r w:rsidR="00270FFB">
        <w:rPr>
          <w:sz w:val="28"/>
          <w:szCs w:val="28"/>
        </w:rPr>
        <w:t>s</w:t>
      </w:r>
      <w:r w:rsidR="00C2268C">
        <w:rPr>
          <w:sz w:val="28"/>
          <w:szCs w:val="28"/>
        </w:rPr>
        <w:t xml:space="preserve">ection 66A as inserted by the Second Amendment is to delimit the boundaries of constituencies in accordance </w:t>
      </w:r>
      <w:r>
        <w:rPr>
          <w:sz w:val="28"/>
          <w:szCs w:val="28"/>
        </w:rPr>
        <w:t xml:space="preserve">with </w:t>
      </w:r>
      <w:r w:rsidR="00C2268C">
        <w:rPr>
          <w:sz w:val="28"/>
          <w:szCs w:val="28"/>
        </w:rPr>
        <w:t xml:space="preserve">the provisions of the Constitution and any other law. </w:t>
      </w:r>
      <w:r w:rsidR="00EB40E7">
        <w:rPr>
          <w:sz w:val="28"/>
          <w:szCs w:val="28"/>
        </w:rPr>
        <w:t>It follows that if there are no Commissioners in office</w:t>
      </w:r>
      <w:r w:rsidR="00270FFB">
        <w:rPr>
          <w:sz w:val="28"/>
          <w:szCs w:val="28"/>
        </w:rPr>
        <w:t>,</w:t>
      </w:r>
      <w:r w:rsidR="00067E7A">
        <w:rPr>
          <w:sz w:val="28"/>
          <w:szCs w:val="28"/>
        </w:rPr>
        <w:t xml:space="preserve"> </w:t>
      </w:r>
      <w:r w:rsidR="00C2268C">
        <w:rPr>
          <w:sz w:val="28"/>
          <w:szCs w:val="28"/>
        </w:rPr>
        <w:t xml:space="preserve">no decision </w:t>
      </w:r>
      <w:r w:rsidR="00270FFB">
        <w:rPr>
          <w:sz w:val="28"/>
          <w:szCs w:val="28"/>
        </w:rPr>
        <w:t xml:space="preserve">can be made </w:t>
      </w:r>
      <w:r w:rsidR="00C2268C">
        <w:rPr>
          <w:sz w:val="28"/>
          <w:szCs w:val="28"/>
        </w:rPr>
        <w:t>to review and alter constituency boundaries</w:t>
      </w:r>
      <w:r w:rsidR="00270FFB">
        <w:rPr>
          <w:sz w:val="28"/>
          <w:szCs w:val="28"/>
        </w:rPr>
        <w:t xml:space="preserve">. Thus, </w:t>
      </w:r>
      <w:r w:rsidR="00EB40E7">
        <w:rPr>
          <w:sz w:val="28"/>
          <w:szCs w:val="28"/>
        </w:rPr>
        <w:t>the absence of the Commissioners</w:t>
      </w:r>
      <w:r w:rsidR="00270FFB">
        <w:rPr>
          <w:sz w:val="28"/>
          <w:szCs w:val="28"/>
        </w:rPr>
        <w:t xml:space="preserve"> for a period of one year, six months and thirteen days </w:t>
      </w:r>
      <w:r w:rsidR="00EB40E7">
        <w:rPr>
          <w:sz w:val="28"/>
          <w:szCs w:val="28"/>
        </w:rPr>
        <w:t>means that there was no IEC to</w:t>
      </w:r>
      <w:r w:rsidR="00270FFB">
        <w:rPr>
          <w:sz w:val="28"/>
          <w:szCs w:val="28"/>
        </w:rPr>
        <w:t xml:space="preserve"> review and alter boundaries. </w:t>
      </w:r>
      <w:r w:rsidR="00EB40E7">
        <w:rPr>
          <w:sz w:val="28"/>
          <w:szCs w:val="28"/>
        </w:rPr>
        <w:t>The contention of the applicants that the IEC was always in place</w:t>
      </w:r>
      <w:r w:rsidR="00270FFB">
        <w:rPr>
          <w:sz w:val="28"/>
          <w:szCs w:val="28"/>
        </w:rPr>
        <w:t xml:space="preserve"> must therefore be rejected. </w:t>
      </w:r>
      <w:r w:rsidR="00EB40E7">
        <w:rPr>
          <w:sz w:val="28"/>
          <w:szCs w:val="28"/>
        </w:rPr>
        <w:t xml:space="preserve"> </w:t>
      </w:r>
    </w:p>
    <w:p w14:paraId="75C69827" w14:textId="77777777" w:rsidR="00A6473A" w:rsidRPr="00C523B0" w:rsidRDefault="00A6473A" w:rsidP="001B5238">
      <w:pPr>
        <w:pStyle w:val="NormalWeb"/>
        <w:shd w:val="clear" w:color="auto" w:fill="FFFFFF"/>
        <w:spacing w:before="144" w:beforeAutospacing="0" w:after="288" w:afterAutospacing="0" w:line="480" w:lineRule="atLeast"/>
        <w:ind w:left="720" w:hanging="720"/>
        <w:jc w:val="both"/>
      </w:pPr>
    </w:p>
    <w:p w14:paraId="4AAB6FD1" w14:textId="5EC7FED6" w:rsidR="003620DC" w:rsidRDefault="00B4397E" w:rsidP="00130398">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270FFB">
        <w:rPr>
          <w:sz w:val="28"/>
          <w:szCs w:val="28"/>
        </w:rPr>
        <w:t>4</w:t>
      </w:r>
      <w:r w:rsidR="009206BB">
        <w:rPr>
          <w:sz w:val="28"/>
          <w:szCs w:val="28"/>
        </w:rPr>
        <w:t>7</w:t>
      </w:r>
      <w:r>
        <w:rPr>
          <w:sz w:val="28"/>
          <w:szCs w:val="28"/>
        </w:rPr>
        <w:t>]</w:t>
      </w:r>
      <w:r>
        <w:rPr>
          <w:sz w:val="28"/>
          <w:szCs w:val="28"/>
        </w:rPr>
        <w:tab/>
      </w:r>
      <w:r w:rsidR="00270FFB">
        <w:rPr>
          <w:sz w:val="28"/>
          <w:szCs w:val="28"/>
        </w:rPr>
        <w:t xml:space="preserve">After </w:t>
      </w:r>
      <w:r w:rsidR="00C2268C">
        <w:rPr>
          <w:sz w:val="28"/>
          <w:szCs w:val="28"/>
        </w:rPr>
        <w:t xml:space="preserve">the new Commissioners were appointed, they were entitled to </w:t>
      </w:r>
      <w:r w:rsidR="00497D83">
        <w:rPr>
          <w:sz w:val="28"/>
          <w:szCs w:val="28"/>
        </w:rPr>
        <w:t>continue where their predecessors had left</w:t>
      </w:r>
      <w:r w:rsidR="00D84481">
        <w:rPr>
          <w:sz w:val="28"/>
          <w:szCs w:val="28"/>
        </w:rPr>
        <w:t xml:space="preserve">. They </w:t>
      </w:r>
      <w:r w:rsidR="00497D83">
        <w:rPr>
          <w:sz w:val="28"/>
          <w:szCs w:val="28"/>
        </w:rPr>
        <w:t xml:space="preserve">rightly </w:t>
      </w:r>
      <w:r w:rsidR="00C2268C">
        <w:rPr>
          <w:sz w:val="28"/>
          <w:szCs w:val="28"/>
        </w:rPr>
        <w:t>issue</w:t>
      </w:r>
      <w:r w:rsidR="00497D83">
        <w:rPr>
          <w:sz w:val="28"/>
          <w:szCs w:val="28"/>
        </w:rPr>
        <w:t>d</w:t>
      </w:r>
      <w:r w:rsidR="00C2268C">
        <w:rPr>
          <w:sz w:val="28"/>
          <w:szCs w:val="28"/>
        </w:rPr>
        <w:t xml:space="preserve"> </w:t>
      </w:r>
      <w:r w:rsidRPr="00C523B0">
        <w:rPr>
          <w:b/>
          <w:bCs/>
          <w:sz w:val="28"/>
          <w:szCs w:val="28"/>
        </w:rPr>
        <w:t xml:space="preserve">Legal Notice No. 109 of 2021 </w:t>
      </w:r>
      <w:r>
        <w:rPr>
          <w:sz w:val="28"/>
          <w:szCs w:val="28"/>
        </w:rPr>
        <w:t>in terms of which the IEC invited representations in respect of the review</w:t>
      </w:r>
      <w:r w:rsidR="00C2268C">
        <w:rPr>
          <w:sz w:val="28"/>
          <w:szCs w:val="28"/>
        </w:rPr>
        <w:t xml:space="preserve">. The Legal Notice </w:t>
      </w:r>
      <w:r>
        <w:rPr>
          <w:sz w:val="28"/>
          <w:szCs w:val="28"/>
        </w:rPr>
        <w:t>was issued on 24</w:t>
      </w:r>
      <w:r w:rsidRPr="00C523B0">
        <w:rPr>
          <w:sz w:val="28"/>
          <w:szCs w:val="28"/>
          <w:vertAlign w:val="superscript"/>
        </w:rPr>
        <w:t>th</w:t>
      </w:r>
      <w:r>
        <w:rPr>
          <w:sz w:val="28"/>
          <w:szCs w:val="28"/>
        </w:rPr>
        <w:t xml:space="preserve"> September </w:t>
      </w:r>
      <w:r>
        <w:rPr>
          <w:sz w:val="28"/>
          <w:szCs w:val="28"/>
        </w:rPr>
        <w:lastRenderedPageBreak/>
        <w:t xml:space="preserve">2021. </w:t>
      </w:r>
      <w:r w:rsidR="00256BEC">
        <w:rPr>
          <w:sz w:val="28"/>
          <w:szCs w:val="28"/>
        </w:rPr>
        <w:t>The</w:t>
      </w:r>
      <w:r w:rsidR="00331ED5">
        <w:rPr>
          <w:sz w:val="28"/>
          <w:szCs w:val="28"/>
        </w:rPr>
        <w:t xml:space="preserve"> </w:t>
      </w:r>
      <w:r>
        <w:rPr>
          <w:sz w:val="28"/>
          <w:szCs w:val="28"/>
        </w:rPr>
        <w:t>period for representations ran from Monday 27</w:t>
      </w:r>
      <w:r w:rsidRPr="00C523B0">
        <w:rPr>
          <w:sz w:val="28"/>
          <w:szCs w:val="28"/>
          <w:vertAlign w:val="superscript"/>
        </w:rPr>
        <w:t>th</w:t>
      </w:r>
      <w:r>
        <w:rPr>
          <w:sz w:val="28"/>
          <w:szCs w:val="28"/>
        </w:rPr>
        <w:t xml:space="preserve"> September to Friday 22</w:t>
      </w:r>
      <w:r w:rsidRPr="00C523B0">
        <w:rPr>
          <w:sz w:val="28"/>
          <w:szCs w:val="28"/>
          <w:vertAlign w:val="superscript"/>
        </w:rPr>
        <w:t>nd</w:t>
      </w:r>
      <w:r>
        <w:rPr>
          <w:sz w:val="28"/>
          <w:szCs w:val="28"/>
        </w:rPr>
        <w:t xml:space="preserve"> October 2021. The issuance of this Legal Notice falls within the period of </w:t>
      </w:r>
      <w:r w:rsidR="00D84481">
        <w:rPr>
          <w:sz w:val="28"/>
          <w:szCs w:val="28"/>
        </w:rPr>
        <w:t xml:space="preserve">the </w:t>
      </w:r>
      <w:r>
        <w:rPr>
          <w:sz w:val="28"/>
          <w:szCs w:val="28"/>
        </w:rPr>
        <w:t xml:space="preserve">impugned review that ended </w:t>
      </w:r>
      <w:r w:rsidR="00774164">
        <w:rPr>
          <w:sz w:val="28"/>
          <w:szCs w:val="28"/>
        </w:rPr>
        <w:t>on 12</w:t>
      </w:r>
      <w:r w:rsidR="00774164" w:rsidRPr="00C523B0">
        <w:rPr>
          <w:sz w:val="28"/>
          <w:szCs w:val="28"/>
          <w:vertAlign w:val="superscript"/>
        </w:rPr>
        <w:t>th</w:t>
      </w:r>
      <w:r w:rsidR="00774164">
        <w:rPr>
          <w:sz w:val="28"/>
          <w:szCs w:val="28"/>
        </w:rPr>
        <w:t xml:space="preserve"> January 2022. </w:t>
      </w:r>
      <w:r>
        <w:rPr>
          <w:sz w:val="28"/>
          <w:szCs w:val="28"/>
        </w:rPr>
        <w:t xml:space="preserve">Following the issuance of </w:t>
      </w:r>
      <w:r w:rsidRPr="00C523B0">
        <w:rPr>
          <w:b/>
          <w:bCs/>
          <w:sz w:val="28"/>
          <w:szCs w:val="28"/>
        </w:rPr>
        <w:t>Legal Notice No.109</w:t>
      </w:r>
      <w:r>
        <w:rPr>
          <w:sz w:val="28"/>
          <w:szCs w:val="28"/>
        </w:rPr>
        <w:t xml:space="preserve">, the IEC issued </w:t>
      </w:r>
      <w:r w:rsidRPr="00C523B0">
        <w:rPr>
          <w:b/>
          <w:bCs/>
          <w:sz w:val="28"/>
          <w:szCs w:val="28"/>
        </w:rPr>
        <w:t>Legal Notice No. 140</w:t>
      </w:r>
      <w:r>
        <w:rPr>
          <w:sz w:val="28"/>
          <w:szCs w:val="28"/>
        </w:rPr>
        <w:t xml:space="preserve"> on 17</w:t>
      </w:r>
      <w:r w:rsidRPr="00C523B0">
        <w:rPr>
          <w:sz w:val="28"/>
          <w:szCs w:val="28"/>
          <w:vertAlign w:val="superscript"/>
        </w:rPr>
        <w:t>th</w:t>
      </w:r>
      <w:r>
        <w:rPr>
          <w:sz w:val="28"/>
          <w:szCs w:val="28"/>
        </w:rPr>
        <w:t xml:space="preserve"> December 2021 inviting objections to the proposed boundaries of all constituencies from 4</w:t>
      </w:r>
      <w:r w:rsidRPr="00C523B0">
        <w:rPr>
          <w:sz w:val="28"/>
          <w:szCs w:val="28"/>
          <w:vertAlign w:val="superscript"/>
        </w:rPr>
        <w:t>th</w:t>
      </w:r>
      <w:r>
        <w:rPr>
          <w:sz w:val="28"/>
          <w:szCs w:val="28"/>
        </w:rPr>
        <w:t xml:space="preserve"> January 2022 to 28</w:t>
      </w:r>
      <w:r w:rsidRPr="00C523B0">
        <w:rPr>
          <w:sz w:val="28"/>
          <w:szCs w:val="28"/>
          <w:vertAlign w:val="superscript"/>
        </w:rPr>
        <w:t>th</w:t>
      </w:r>
      <w:r>
        <w:rPr>
          <w:sz w:val="28"/>
          <w:szCs w:val="28"/>
        </w:rPr>
        <w:t xml:space="preserve"> January 2022.  Both </w:t>
      </w:r>
      <w:r w:rsidRPr="00854B13">
        <w:rPr>
          <w:sz w:val="28"/>
          <w:szCs w:val="28"/>
        </w:rPr>
        <w:t xml:space="preserve">Legal Notices </w:t>
      </w:r>
      <w:r>
        <w:rPr>
          <w:sz w:val="28"/>
          <w:szCs w:val="28"/>
        </w:rPr>
        <w:t>were issued within the period of the review</w:t>
      </w:r>
      <w:r w:rsidR="00706E4B">
        <w:rPr>
          <w:sz w:val="28"/>
          <w:szCs w:val="28"/>
        </w:rPr>
        <w:t xml:space="preserve"> though the period </w:t>
      </w:r>
      <w:r w:rsidR="00F831D3">
        <w:rPr>
          <w:sz w:val="28"/>
          <w:szCs w:val="28"/>
        </w:rPr>
        <w:t>of</w:t>
      </w:r>
      <w:r w:rsidR="00706E4B">
        <w:rPr>
          <w:sz w:val="28"/>
          <w:szCs w:val="28"/>
        </w:rPr>
        <w:t xml:space="preserve"> objections </w:t>
      </w:r>
      <w:r w:rsidR="00F831D3">
        <w:rPr>
          <w:sz w:val="28"/>
          <w:szCs w:val="28"/>
        </w:rPr>
        <w:t xml:space="preserve">in the latter </w:t>
      </w:r>
      <w:r w:rsidR="00706E4B">
        <w:rPr>
          <w:sz w:val="28"/>
          <w:szCs w:val="28"/>
        </w:rPr>
        <w:t>went beyond the review period by sixteen days.</w:t>
      </w:r>
      <w:r w:rsidR="00497D83">
        <w:rPr>
          <w:sz w:val="28"/>
          <w:szCs w:val="28"/>
        </w:rPr>
        <w:t xml:space="preserve"> However, </w:t>
      </w:r>
      <w:r w:rsidR="00497D83" w:rsidRPr="00C523B0">
        <w:rPr>
          <w:b/>
          <w:bCs/>
          <w:sz w:val="28"/>
          <w:szCs w:val="28"/>
        </w:rPr>
        <w:t xml:space="preserve">Legal Notice No. 140 </w:t>
      </w:r>
      <w:r w:rsidR="00497D83">
        <w:rPr>
          <w:sz w:val="28"/>
          <w:szCs w:val="28"/>
        </w:rPr>
        <w:t xml:space="preserve">is not a subject of attack </w:t>
      </w:r>
      <w:r w:rsidR="002522BC">
        <w:rPr>
          <w:sz w:val="28"/>
          <w:szCs w:val="28"/>
        </w:rPr>
        <w:t xml:space="preserve">at all </w:t>
      </w:r>
      <w:r w:rsidR="00497D83">
        <w:rPr>
          <w:sz w:val="28"/>
          <w:szCs w:val="28"/>
        </w:rPr>
        <w:t xml:space="preserve">by the applicants.  </w:t>
      </w:r>
    </w:p>
    <w:p w14:paraId="39883C85" w14:textId="77777777" w:rsidR="00A6473A" w:rsidRDefault="00A6473A" w:rsidP="00130398">
      <w:pPr>
        <w:pStyle w:val="NormalWeb"/>
        <w:shd w:val="clear" w:color="auto" w:fill="FFFFFF"/>
        <w:spacing w:before="144" w:beforeAutospacing="0" w:after="288" w:afterAutospacing="0" w:line="480" w:lineRule="atLeast"/>
        <w:ind w:left="720" w:hanging="720"/>
        <w:jc w:val="both"/>
        <w:rPr>
          <w:sz w:val="28"/>
          <w:szCs w:val="28"/>
        </w:rPr>
      </w:pPr>
    </w:p>
    <w:p w14:paraId="4B9CE703" w14:textId="46A978F8" w:rsidR="004A0A67" w:rsidRDefault="004A0A67" w:rsidP="00130398">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D84481">
        <w:rPr>
          <w:sz w:val="28"/>
          <w:szCs w:val="28"/>
        </w:rPr>
        <w:t>4</w:t>
      </w:r>
      <w:r w:rsidR="009206BB">
        <w:rPr>
          <w:sz w:val="28"/>
          <w:szCs w:val="28"/>
        </w:rPr>
        <w:t>8</w:t>
      </w:r>
      <w:r>
        <w:rPr>
          <w:sz w:val="28"/>
          <w:szCs w:val="28"/>
        </w:rPr>
        <w:t>]</w:t>
      </w:r>
      <w:r>
        <w:rPr>
          <w:sz w:val="28"/>
          <w:szCs w:val="28"/>
        </w:rPr>
        <w:tab/>
        <w:t xml:space="preserve">The applicants </w:t>
      </w:r>
      <w:r w:rsidR="00AE20A5">
        <w:rPr>
          <w:sz w:val="28"/>
          <w:szCs w:val="28"/>
        </w:rPr>
        <w:t xml:space="preserve">contend </w:t>
      </w:r>
      <w:r w:rsidR="00D84481">
        <w:rPr>
          <w:sz w:val="28"/>
          <w:szCs w:val="28"/>
        </w:rPr>
        <w:t xml:space="preserve">that </w:t>
      </w:r>
      <w:r w:rsidR="00AE20A5">
        <w:rPr>
          <w:sz w:val="28"/>
          <w:szCs w:val="28"/>
        </w:rPr>
        <w:t xml:space="preserve">the decision of the IEC to commission the review as contained in </w:t>
      </w:r>
      <w:r w:rsidRPr="00C523B0">
        <w:rPr>
          <w:b/>
          <w:bCs/>
          <w:sz w:val="28"/>
          <w:szCs w:val="28"/>
        </w:rPr>
        <w:t>Legal Notice No. 109</w:t>
      </w:r>
      <w:r>
        <w:rPr>
          <w:sz w:val="28"/>
          <w:szCs w:val="28"/>
        </w:rPr>
        <w:t xml:space="preserve"> </w:t>
      </w:r>
      <w:r w:rsidR="00F85D6B" w:rsidRPr="00C523B0">
        <w:rPr>
          <w:b/>
          <w:bCs/>
          <w:sz w:val="28"/>
          <w:szCs w:val="28"/>
        </w:rPr>
        <w:t>of 2021</w:t>
      </w:r>
      <w:r w:rsidR="00F85D6B">
        <w:rPr>
          <w:sz w:val="28"/>
          <w:szCs w:val="28"/>
        </w:rPr>
        <w:t xml:space="preserve"> </w:t>
      </w:r>
      <w:r>
        <w:rPr>
          <w:sz w:val="28"/>
          <w:szCs w:val="28"/>
        </w:rPr>
        <w:t>dated the 24</w:t>
      </w:r>
      <w:r w:rsidRPr="00C523B0">
        <w:rPr>
          <w:sz w:val="28"/>
          <w:szCs w:val="28"/>
          <w:vertAlign w:val="superscript"/>
        </w:rPr>
        <w:t>th</w:t>
      </w:r>
      <w:r>
        <w:rPr>
          <w:sz w:val="28"/>
          <w:szCs w:val="28"/>
        </w:rPr>
        <w:t xml:space="preserve"> September 2021</w:t>
      </w:r>
      <w:r w:rsidR="00AE20A5">
        <w:rPr>
          <w:sz w:val="28"/>
          <w:szCs w:val="28"/>
        </w:rPr>
        <w:t xml:space="preserve"> falls to be set aside for violating section 67(3), presumably because the decision was </w:t>
      </w:r>
      <w:r>
        <w:rPr>
          <w:sz w:val="28"/>
          <w:szCs w:val="28"/>
        </w:rPr>
        <w:t xml:space="preserve">outside the prescribed period of the review. This contention is not sound because it does not </w:t>
      </w:r>
      <w:proofErr w:type="gramStart"/>
      <w:r>
        <w:rPr>
          <w:sz w:val="28"/>
          <w:szCs w:val="28"/>
        </w:rPr>
        <w:t>take into account</w:t>
      </w:r>
      <w:proofErr w:type="gramEnd"/>
      <w:r>
        <w:rPr>
          <w:sz w:val="28"/>
          <w:szCs w:val="28"/>
        </w:rPr>
        <w:t xml:space="preserve"> the period of one year six months and thirteen days during which the</w:t>
      </w:r>
      <w:r w:rsidR="004F2C27">
        <w:rPr>
          <w:sz w:val="28"/>
          <w:szCs w:val="28"/>
        </w:rPr>
        <w:t xml:space="preserve">re were no Commissioners. </w:t>
      </w:r>
      <w:r>
        <w:rPr>
          <w:sz w:val="28"/>
          <w:szCs w:val="28"/>
        </w:rPr>
        <w:t xml:space="preserve"> Once th</w:t>
      </w:r>
      <w:r w:rsidR="00D84481">
        <w:rPr>
          <w:sz w:val="28"/>
          <w:szCs w:val="28"/>
        </w:rPr>
        <w:t>is</w:t>
      </w:r>
      <w:r>
        <w:rPr>
          <w:sz w:val="28"/>
          <w:szCs w:val="28"/>
        </w:rPr>
        <w:t xml:space="preserve"> period is </w:t>
      </w:r>
      <w:proofErr w:type="gramStart"/>
      <w:r>
        <w:rPr>
          <w:sz w:val="28"/>
          <w:szCs w:val="28"/>
        </w:rPr>
        <w:t>taken into account</w:t>
      </w:r>
      <w:proofErr w:type="gramEnd"/>
      <w:r w:rsidR="00F85D6B">
        <w:rPr>
          <w:sz w:val="28"/>
          <w:szCs w:val="28"/>
        </w:rPr>
        <w:t>,</w:t>
      </w:r>
      <w:r>
        <w:rPr>
          <w:sz w:val="28"/>
          <w:szCs w:val="28"/>
        </w:rPr>
        <w:t xml:space="preserve"> </w:t>
      </w:r>
      <w:r w:rsidR="00F831D3">
        <w:rPr>
          <w:sz w:val="28"/>
          <w:szCs w:val="28"/>
        </w:rPr>
        <w:t xml:space="preserve">the </w:t>
      </w:r>
      <w:r w:rsidR="00AE20A5">
        <w:rPr>
          <w:sz w:val="28"/>
          <w:szCs w:val="28"/>
        </w:rPr>
        <w:t>decision was taken on time and th</w:t>
      </w:r>
      <w:r w:rsidR="00D84481">
        <w:rPr>
          <w:sz w:val="28"/>
          <w:szCs w:val="28"/>
        </w:rPr>
        <w:t>is</w:t>
      </w:r>
      <w:r w:rsidR="00AE20A5">
        <w:rPr>
          <w:sz w:val="28"/>
          <w:szCs w:val="28"/>
        </w:rPr>
        <w:t xml:space="preserve"> </w:t>
      </w:r>
      <w:r>
        <w:rPr>
          <w:sz w:val="28"/>
          <w:szCs w:val="28"/>
        </w:rPr>
        <w:t xml:space="preserve">Legal Notice was issued within the prescribed period. The contention </w:t>
      </w:r>
      <w:r w:rsidR="00F831D3">
        <w:rPr>
          <w:sz w:val="28"/>
          <w:szCs w:val="28"/>
        </w:rPr>
        <w:t xml:space="preserve">of the applicant </w:t>
      </w:r>
      <w:r w:rsidR="00D84481">
        <w:rPr>
          <w:sz w:val="28"/>
          <w:szCs w:val="28"/>
        </w:rPr>
        <w:t>f</w:t>
      </w:r>
      <w:r w:rsidR="00F831D3">
        <w:rPr>
          <w:sz w:val="28"/>
          <w:szCs w:val="28"/>
        </w:rPr>
        <w:t xml:space="preserve">alls to be </w:t>
      </w:r>
      <w:r>
        <w:rPr>
          <w:sz w:val="28"/>
          <w:szCs w:val="28"/>
        </w:rPr>
        <w:t xml:space="preserve">rejected.   </w:t>
      </w:r>
    </w:p>
    <w:p w14:paraId="4E936271" w14:textId="77777777" w:rsidR="003620DC" w:rsidRDefault="003620DC" w:rsidP="00130398">
      <w:pPr>
        <w:pStyle w:val="NormalWeb"/>
        <w:shd w:val="clear" w:color="auto" w:fill="FFFFFF"/>
        <w:spacing w:before="144" w:beforeAutospacing="0" w:after="288" w:afterAutospacing="0" w:line="480" w:lineRule="atLeast"/>
        <w:ind w:left="720" w:hanging="720"/>
        <w:jc w:val="both"/>
        <w:rPr>
          <w:sz w:val="28"/>
          <w:szCs w:val="28"/>
        </w:rPr>
      </w:pPr>
    </w:p>
    <w:p w14:paraId="41A45FD8" w14:textId="3A869FEB" w:rsidR="00BD755A" w:rsidRDefault="00497D83" w:rsidP="00F831D3">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D84481">
        <w:rPr>
          <w:sz w:val="28"/>
          <w:szCs w:val="28"/>
        </w:rPr>
        <w:t>4</w:t>
      </w:r>
      <w:r w:rsidR="009206BB">
        <w:rPr>
          <w:sz w:val="28"/>
          <w:szCs w:val="28"/>
        </w:rPr>
        <w:t>9</w:t>
      </w:r>
      <w:r>
        <w:rPr>
          <w:sz w:val="28"/>
          <w:szCs w:val="28"/>
        </w:rPr>
        <w:t>]</w:t>
      </w:r>
      <w:r w:rsidR="00F831D3">
        <w:rPr>
          <w:sz w:val="28"/>
          <w:szCs w:val="28"/>
        </w:rPr>
        <w:tab/>
      </w:r>
      <w:r w:rsidR="00580DB7">
        <w:rPr>
          <w:sz w:val="28"/>
          <w:szCs w:val="28"/>
        </w:rPr>
        <w:t>The</w:t>
      </w:r>
      <w:r w:rsidR="00F831D3">
        <w:rPr>
          <w:sz w:val="28"/>
          <w:szCs w:val="28"/>
        </w:rPr>
        <w:t xml:space="preserve"> applicants</w:t>
      </w:r>
      <w:r w:rsidR="00580DB7">
        <w:rPr>
          <w:sz w:val="28"/>
          <w:szCs w:val="28"/>
        </w:rPr>
        <w:t xml:space="preserve"> </w:t>
      </w:r>
      <w:r w:rsidR="00BD755A">
        <w:rPr>
          <w:sz w:val="28"/>
          <w:szCs w:val="28"/>
        </w:rPr>
        <w:t>a</w:t>
      </w:r>
      <w:r w:rsidR="00F831D3">
        <w:rPr>
          <w:sz w:val="28"/>
          <w:szCs w:val="28"/>
        </w:rPr>
        <w:t xml:space="preserve">ttack </w:t>
      </w:r>
      <w:r w:rsidR="00F831D3" w:rsidRPr="00C523B0">
        <w:rPr>
          <w:b/>
          <w:bCs/>
          <w:sz w:val="28"/>
          <w:szCs w:val="28"/>
        </w:rPr>
        <w:t>Legal Notice No. 37 of 2022</w:t>
      </w:r>
      <w:r w:rsidR="00F831D3">
        <w:rPr>
          <w:sz w:val="28"/>
          <w:szCs w:val="28"/>
        </w:rPr>
        <w:t xml:space="preserve"> </w:t>
      </w:r>
      <w:r w:rsidR="00F831D3" w:rsidRPr="00C523B0">
        <w:rPr>
          <w:b/>
          <w:bCs/>
          <w:sz w:val="28"/>
          <w:szCs w:val="28"/>
        </w:rPr>
        <w:t>(Constituency Delimitation Order)</w:t>
      </w:r>
      <w:r w:rsidR="00F831D3">
        <w:rPr>
          <w:sz w:val="28"/>
          <w:szCs w:val="28"/>
        </w:rPr>
        <w:t xml:space="preserve"> on the basis that it has been issued beyond the prescribed </w:t>
      </w:r>
      <w:r w:rsidR="00580DB7">
        <w:rPr>
          <w:sz w:val="28"/>
          <w:szCs w:val="28"/>
        </w:rPr>
        <w:t xml:space="preserve">period for a review. </w:t>
      </w:r>
      <w:r w:rsidR="00F831D3">
        <w:rPr>
          <w:sz w:val="28"/>
          <w:szCs w:val="28"/>
        </w:rPr>
        <w:t xml:space="preserve">The </w:t>
      </w:r>
      <w:r w:rsidR="00F831D3" w:rsidRPr="00513682">
        <w:rPr>
          <w:b/>
          <w:bCs/>
          <w:sz w:val="28"/>
          <w:szCs w:val="28"/>
        </w:rPr>
        <w:t>Delimitation Order</w:t>
      </w:r>
      <w:r w:rsidR="00F831D3">
        <w:rPr>
          <w:sz w:val="28"/>
          <w:szCs w:val="28"/>
        </w:rPr>
        <w:t xml:space="preserve"> was issued on 13</w:t>
      </w:r>
      <w:r w:rsidR="00F831D3" w:rsidRPr="00C523B0">
        <w:rPr>
          <w:sz w:val="28"/>
          <w:szCs w:val="28"/>
          <w:vertAlign w:val="superscript"/>
        </w:rPr>
        <w:t>th</w:t>
      </w:r>
      <w:r w:rsidR="00F831D3">
        <w:rPr>
          <w:sz w:val="28"/>
          <w:szCs w:val="28"/>
        </w:rPr>
        <w:t xml:space="preserve"> April 2022. This was obviously </w:t>
      </w:r>
      <w:r w:rsidR="002522BC">
        <w:rPr>
          <w:sz w:val="28"/>
          <w:szCs w:val="28"/>
        </w:rPr>
        <w:t xml:space="preserve">after </w:t>
      </w:r>
      <w:r w:rsidR="00F831D3">
        <w:rPr>
          <w:sz w:val="28"/>
          <w:szCs w:val="28"/>
        </w:rPr>
        <w:t xml:space="preserve">the prescribed period for a review </w:t>
      </w:r>
      <w:r w:rsidR="002522BC">
        <w:rPr>
          <w:sz w:val="28"/>
          <w:szCs w:val="28"/>
        </w:rPr>
        <w:t>had ended</w:t>
      </w:r>
      <w:r w:rsidR="00BD755A">
        <w:rPr>
          <w:sz w:val="28"/>
          <w:szCs w:val="28"/>
        </w:rPr>
        <w:t xml:space="preserve"> on 12</w:t>
      </w:r>
      <w:r w:rsidR="00BD755A" w:rsidRPr="00513682">
        <w:rPr>
          <w:sz w:val="28"/>
          <w:szCs w:val="28"/>
          <w:vertAlign w:val="superscript"/>
        </w:rPr>
        <w:t>th</w:t>
      </w:r>
      <w:r w:rsidR="00BD755A">
        <w:rPr>
          <w:sz w:val="28"/>
          <w:szCs w:val="28"/>
        </w:rPr>
        <w:t xml:space="preserve"> January 2022</w:t>
      </w:r>
      <w:r w:rsidR="002522BC">
        <w:rPr>
          <w:sz w:val="28"/>
          <w:szCs w:val="28"/>
        </w:rPr>
        <w:t xml:space="preserve">. The </w:t>
      </w:r>
      <w:r w:rsidR="002522BC" w:rsidRPr="00513682">
        <w:rPr>
          <w:b/>
          <w:bCs/>
          <w:sz w:val="28"/>
          <w:szCs w:val="28"/>
        </w:rPr>
        <w:t>Delimitation Order</w:t>
      </w:r>
      <w:r w:rsidR="002522BC">
        <w:rPr>
          <w:sz w:val="28"/>
          <w:szCs w:val="28"/>
        </w:rPr>
        <w:t xml:space="preserve"> was issued </w:t>
      </w:r>
      <w:r w:rsidR="00F831D3">
        <w:rPr>
          <w:sz w:val="28"/>
          <w:szCs w:val="28"/>
        </w:rPr>
        <w:t xml:space="preserve">four </w:t>
      </w:r>
      <w:r w:rsidR="00F831D3">
        <w:rPr>
          <w:sz w:val="28"/>
          <w:szCs w:val="28"/>
        </w:rPr>
        <w:lastRenderedPageBreak/>
        <w:t>months</w:t>
      </w:r>
      <w:r w:rsidR="002522BC">
        <w:rPr>
          <w:sz w:val="28"/>
          <w:szCs w:val="28"/>
        </w:rPr>
        <w:t xml:space="preserve"> </w:t>
      </w:r>
      <w:r w:rsidR="00BD755A">
        <w:rPr>
          <w:sz w:val="28"/>
          <w:szCs w:val="28"/>
        </w:rPr>
        <w:t xml:space="preserve">after </w:t>
      </w:r>
      <w:r w:rsidR="00F831D3">
        <w:rPr>
          <w:sz w:val="28"/>
          <w:szCs w:val="28"/>
        </w:rPr>
        <w:t>(13</w:t>
      </w:r>
      <w:r w:rsidR="00F831D3" w:rsidRPr="00C523B0">
        <w:rPr>
          <w:sz w:val="28"/>
          <w:szCs w:val="28"/>
          <w:vertAlign w:val="superscript"/>
        </w:rPr>
        <w:t>th</w:t>
      </w:r>
      <w:r w:rsidR="00F831D3">
        <w:rPr>
          <w:sz w:val="28"/>
          <w:szCs w:val="28"/>
        </w:rPr>
        <w:t xml:space="preserve"> January to 13</w:t>
      </w:r>
      <w:r w:rsidR="00F831D3" w:rsidRPr="00C523B0">
        <w:rPr>
          <w:sz w:val="28"/>
          <w:szCs w:val="28"/>
          <w:vertAlign w:val="superscript"/>
        </w:rPr>
        <w:t>th</w:t>
      </w:r>
      <w:r w:rsidR="00F831D3">
        <w:rPr>
          <w:sz w:val="28"/>
          <w:szCs w:val="28"/>
        </w:rPr>
        <w:t xml:space="preserve"> April 2022)</w:t>
      </w:r>
      <w:r w:rsidR="00BD755A">
        <w:rPr>
          <w:sz w:val="28"/>
          <w:szCs w:val="28"/>
        </w:rPr>
        <w:t>.</w:t>
      </w:r>
      <w:r w:rsidR="002522BC">
        <w:rPr>
          <w:sz w:val="28"/>
          <w:szCs w:val="28"/>
        </w:rPr>
        <w:t xml:space="preserve"> </w:t>
      </w:r>
      <w:r w:rsidR="00F831D3">
        <w:rPr>
          <w:sz w:val="28"/>
          <w:szCs w:val="28"/>
        </w:rPr>
        <w:t xml:space="preserve"> </w:t>
      </w:r>
      <w:r w:rsidR="00580DB7">
        <w:rPr>
          <w:sz w:val="28"/>
          <w:szCs w:val="28"/>
        </w:rPr>
        <w:t>The question that arises is whether the applicant</w:t>
      </w:r>
      <w:r w:rsidR="00BD755A">
        <w:rPr>
          <w:sz w:val="28"/>
          <w:szCs w:val="28"/>
        </w:rPr>
        <w:t xml:space="preserve">s’ attack has merit. </w:t>
      </w:r>
      <w:r w:rsidR="00580DB7">
        <w:rPr>
          <w:sz w:val="28"/>
          <w:szCs w:val="28"/>
        </w:rPr>
        <w:t xml:space="preserve">This necessitates </w:t>
      </w:r>
      <w:r w:rsidR="00BD755A">
        <w:rPr>
          <w:sz w:val="28"/>
          <w:szCs w:val="28"/>
        </w:rPr>
        <w:t>an interrogation of whether s</w:t>
      </w:r>
      <w:r w:rsidR="00580DB7">
        <w:rPr>
          <w:sz w:val="28"/>
          <w:szCs w:val="28"/>
        </w:rPr>
        <w:t xml:space="preserve">ection 67(3) </w:t>
      </w:r>
      <w:r w:rsidR="00BD755A">
        <w:rPr>
          <w:sz w:val="28"/>
          <w:szCs w:val="28"/>
        </w:rPr>
        <w:t xml:space="preserve">requires that a </w:t>
      </w:r>
      <w:r w:rsidR="00580DB7">
        <w:rPr>
          <w:sz w:val="28"/>
          <w:szCs w:val="28"/>
        </w:rPr>
        <w:t>Delimitation Order necessarily</w:t>
      </w:r>
      <w:r w:rsidR="00BD755A">
        <w:rPr>
          <w:sz w:val="28"/>
          <w:szCs w:val="28"/>
        </w:rPr>
        <w:t xml:space="preserve"> need to be</w:t>
      </w:r>
      <w:r w:rsidR="00580DB7">
        <w:rPr>
          <w:sz w:val="28"/>
          <w:szCs w:val="28"/>
        </w:rPr>
        <w:t xml:space="preserve"> issued within the prescribed period or whether it may be issued within a reasonable time </w:t>
      </w:r>
      <w:r w:rsidR="00BD755A">
        <w:rPr>
          <w:sz w:val="28"/>
          <w:szCs w:val="28"/>
        </w:rPr>
        <w:t xml:space="preserve">after its expiry. </w:t>
      </w:r>
      <w:r w:rsidR="00580DB7">
        <w:rPr>
          <w:sz w:val="28"/>
          <w:szCs w:val="28"/>
        </w:rPr>
        <w:t>The word used in relation to the review i</w:t>
      </w:r>
      <w:r w:rsidR="002522BC">
        <w:rPr>
          <w:sz w:val="28"/>
          <w:szCs w:val="28"/>
        </w:rPr>
        <w:t>n</w:t>
      </w:r>
      <w:r w:rsidR="00580DB7">
        <w:rPr>
          <w:sz w:val="28"/>
          <w:szCs w:val="28"/>
        </w:rPr>
        <w:t xml:space="preserve"> sub</w:t>
      </w:r>
      <w:r w:rsidR="00BD755A">
        <w:rPr>
          <w:sz w:val="28"/>
          <w:szCs w:val="28"/>
        </w:rPr>
        <w:t>-</w:t>
      </w:r>
      <w:r w:rsidR="00580DB7">
        <w:rPr>
          <w:sz w:val="28"/>
          <w:szCs w:val="28"/>
        </w:rPr>
        <w:t xml:space="preserve">section </w:t>
      </w:r>
      <w:r w:rsidR="002522BC">
        <w:rPr>
          <w:sz w:val="28"/>
          <w:szCs w:val="28"/>
        </w:rPr>
        <w:t>(</w:t>
      </w:r>
      <w:r w:rsidR="00580DB7">
        <w:rPr>
          <w:sz w:val="28"/>
          <w:szCs w:val="28"/>
        </w:rPr>
        <w:t>3</w:t>
      </w:r>
      <w:r w:rsidR="002522BC">
        <w:rPr>
          <w:sz w:val="28"/>
          <w:szCs w:val="28"/>
        </w:rPr>
        <w:t xml:space="preserve">) </w:t>
      </w:r>
      <w:r w:rsidR="00580DB7">
        <w:rPr>
          <w:sz w:val="28"/>
          <w:szCs w:val="28"/>
        </w:rPr>
        <w:t xml:space="preserve">is </w:t>
      </w:r>
      <w:r w:rsidR="002522BC">
        <w:rPr>
          <w:sz w:val="28"/>
          <w:szCs w:val="28"/>
        </w:rPr>
        <w:t>“</w:t>
      </w:r>
      <w:r w:rsidR="00580DB7">
        <w:rPr>
          <w:sz w:val="28"/>
          <w:szCs w:val="28"/>
        </w:rPr>
        <w:t>shall</w:t>
      </w:r>
      <w:r w:rsidR="002522BC">
        <w:rPr>
          <w:sz w:val="28"/>
          <w:szCs w:val="28"/>
        </w:rPr>
        <w:t xml:space="preserve">” </w:t>
      </w:r>
      <w:r w:rsidR="00580DB7">
        <w:rPr>
          <w:sz w:val="28"/>
          <w:szCs w:val="28"/>
        </w:rPr>
        <w:t xml:space="preserve">and the one used in relation to </w:t>
      </w:r>
      <w:r w:rsidR="00BD755A">
        <w:rPr>
          <w:sz w:val="28"/>
          <w:szCs w:val="28"/>
        </w:rPr>
        <w:t xml:space="preserve">the issuance </w:t>
      </w:r>
      <w:r w:rsidR="00580DB7">
        <w:rPr>
          <w:sz w:val="28"/>
          <w:szCs w:val="28"/>
        </w:rPr>
        <w:t>of</w:t>
      </w:r>
      <w:r w:rsidR="00CF48F1">
        <w:rPr>
          <w:sz w:val="28"/>
          <w:szCs w:val="28"/>
        </w:rPr>
        <w:t xml:space="preserve"> a </w:t>
      </w:r>
      <w:r w:rsidR="00580DB7">
        <w:rPr>
          <w:sz w:val="28"/>
          <w:szCs w:val="28"/>
        </w:rPr>
        <w:t xml:space="preserve">Delimitation Order is </w:t>
      </w:r>
      <w:r w:rsidR="002522BC">
        <w:rPr>
          <w:sz w:val="28"/>
          <w:szCs w:val="28"/>
        </w:rPr>
        <w:t>“</w:t>
      </w:r>
      <w:r w:rsidR="00580DB7">
        <w:rPr>
          <w:sz w:val="28"/>
          <w:szCs w:val="28"/>
        </w:rPr>
        <w:t>may</w:t>
      </w:r>
      <w:r w:rsidR="002522BC">
        <w:rPr>
          <w:sz w:val="28"/>
          <w:szCs w:val="28"/>
        </w:rPr>
        <w:t>”</w:t>
      </w:r>
      <w:r w:rsidR="00580DB7">
        <w:rPr>
          <w:sz w:val="28"/>
          <w:szCs w:val="28"/>
        </w:rPr>
        <w:t xml:space="preserve">. </w:t>
      </w:r>
    </w:p>
    <w:p w14:paraId="59B1DFE6" w14:textId="77777777" w:rsidR="00A6473A" w:rsidRDefault="00A6473A" w:rsidP="00F831D3">
      <w:pPr>
        <w:pStyle w:val="NormalWeb"/>
        <w:shd w:val="clear" w:color="auto" w:fill="FFFFFF"/>
        <w:spacing w:before="144" w:beforeAutospacing="0" w:after="288" w:afterAutospacing="0" w:line="480" w:lineRule="atLeast"/>
        <w:ind w:left="720" w:hanging="720"/>
        <w:jc w:val="both"/>
        <w:rPr>
          <w:sz w:val="28"/>
          <w:szCs w:val="28"/>
        </w:rPr>
      </w:pPr>
    </w:p>
    <w:p w14:paraId="7893B9CF" w14:textId="17E7591E" w:rsidR="0086508C" w:rsidRDefault="00BD755A" w:rsidP="00F831D3">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9206BB">
        <w:rPr>
          <w:sz w:val="28"/>
          <w:szCs w:val="28"/>
        </w:rPr>
        <w:t>50</w:t>
      </w:r>
      <w:r>
        <w:rPr>
          <w:sz w:val="28"/>
          <w:szCs w:val="28"/>
        </w:rPr>
        <w:t>]</w:t>
      </w:r>
      <w:r>
        <w:rPr>
          <w:sz w:val="28"/>
          <w:szCs w:val="28"/>
        </w:rPr>
        <w:tab/>
      </w:r>
      <w:r w:rsidR="00580DB7">
        <w:rPr>
          <w:sz w:val="28"/>
          <w:szCs w:val="28"/>
        </w:rPr>
        <w:t xml:space="preserve">Ordinarily the word </w:t>
      </w:r>
      <w:r w:rsidR="002522BC">
        <w:rPr>
          <w:sz w:val="28"/>
          <w:szCs w:val="28"/>
        </w:rPr>
        <w:t>“</w:t>
      </w:r>
      <w:r w:rsidR="00580DB7">
        <w:rPr>
          <w:sz w:val="28"/>
          <w:szCs w:val="28"/>
        </w:rPr>
        <w:t>shall</w:t>
      </w:r>
      <w:r w:rsidR="002522BC">
        <w:rPr>
          <w:sz w:val="28"/>
          <w:szCs w:val="28"/>
        </w:rPr>
        <w:t>”</w:t>
      </w:r>
      <w:r w:rsidR="00580DB7">
        <w:rPr>
          <w:sz w:val="28"/>
          <w:szCs w:val="28"/>
        </w:rPr>
        <w:t xml:space="preserve"> </w:t>
      </w:r>
      <w:proofErr w:type="gramStart"/>
      <w:r w:rsidR="00580DB7">
        <w:rPr>
          <w:sz w:val="28"/>
          <w:szCs w:val="28"/>
        </w:rPr>
        <w:t>means</w:t>
      </w:r>
      <w:proofErr w:type="gramEnd"/>
      <w:r w:rsidR="00580DB7">
        <w:rPr>
          <w:sz w:val="28"/>
          <w:szCs w:val="28"/>
        </w:rPr>
        <w:t xml:space="preserve"> that it is peremptory to </w:t>
      </w:r>
      <w:r>
        <w:rPr>
          <w:sz w:val="28"/>
          <w:szCs w:val="28"/>
        </w:rPr>
        <w:t>strictly comply with the law.</w:t>
      </w:r>
      <w:r w:rsidR="00CF48F1">
        <w:rPr>
          <w:sz w:val="28"/>
          <w:szCs w:val="28"/>
        </w:rPr>
        <w:t xml:space="preserve"> W</w:t>
      </w:r>
      <w:r w:rsidR="00580DB7">
        <w:rPr>
          <w:sz w:val="28"/>
          <w:szCs w:val="28"/>
        </w:rPr>
        <w:t>hereas</w:t>
      </w:r>
      <w:r w:rsidR="002522BC">
        <w:rPr>
          <w:sz w:val="28"/>
          <w:szCs w:val="28"/>
        </w:rPr>
        <w:t>,</w:t>
      </w:r>
      <w:r w:rsidR="00580DB7">
        <w:rPr>
          <w:sz w:val="28"/>
          <w:szCs w:val="28"/>
        </w:rPr>
        <w:t xml:space="preserve"> the word </w:t>
      </w:r>
      <w:r w:rsidR="002522BC">
        <w:rPr>
          <w:sz w:val="28"/>
          <w:szCs w:val="28"/>
        </w:rPr>
        <w:t>“</w:t>
      </w:r>
      <w:r w:rsidR="00580DB7">
        <w:rPr>
          <w:sz w:val="28"/>
          <w:szCs w:val="28"/>
        </w:rPr>
        <w:t>may</w:t>
      </w:r>
      <w:r w:rsidR="002522BC">
        <w:rPr>
          <w:sz w:val="28"/>
          <w:szCs w:val="28"/>
        </w:rPr>
        <w:t>”</w:t>
      </w:r>
      <w:r w:rsidR="00580DB7">
        <w:rPr>
          <w:sz w:val="28"/>
          <w:szCs w:val="28"/>
        </w:rPr>
        <w:t xml:space="preserve"> </w:t>
      </w:r>
      <w:proofErr w:type="gramStart"/>
      <w:r w:rsidR="00CF48F1">
        <w:rPr>
          <w:sz w:val="28"/>
          <w:szCs w:val="28"/>
        </w:rPr>
        <w:t>requires</w:t>
      </w:r>
      <w:proofErr w:type="gramEnd"/>
      <w:r w:rsidR="00CF48F1">
        <w:rPr>
          <w:sz w:val="28"/>
          <w:szCs w:val="28"/>
        </w:rPr>
        <w:t xml:space="preserve"> substantial compliance.</w:t>
      </w:r>
      <w:r w:rsidR="00580DB7">
        <w:rPr>
          <w:sz w:val="28"/>
          <w:szCs w:val="28"/>
        </w:rPr>
        <w:t xml:space="preserve">  This means that it is</w:t>
      </w:r>
      <w:r w:rsidR="00CF48F1">
        <w:rPr>
          <w:sz w:val="28"/>
          <w:szCs w:val="28"/>
        </w:rPr>
        <w:t xml:space="preserve"> peremptory</w:t>
      </w:r>
      <w:r w:rsidR="00580DB7">
        <w:rPr>
          <w:sz w:val="28"/>
          <w:szCs w:val="28"/>
        </w:rPr>
        <w:t xml:space="preserve"> that a review of constituency boundaries be done within the prescribed </w:t>
      </w:r>
      <w:proofErr w:type="gramStart"/>
      <w:r w:rsidR="00580DB7">
        <w:rPr>
          <w:sz w:val="28"/>
          <w:szCs w:val="28"/>
        </w:rPr>
        <w:t>period</w:t>
      </w:r>
      <w:proofErr w:type="gramEnd"/>
      <w:r w:rsidR="00580DB7">
        <w:rPr>
          <w:sz w:val="28"/>
          <w:szCs w:val="28"/>
        </w:rPr>
        <w:t xml:space="preserve"> </w:t>
      </w:r>
      <w:r w:rsidR="002522BC">
        <w:rPr>
          <w:sz w:val="28"/>
          <w:szCs w:val="28"/>
        </w:rPr>
        <w:t xml:space="preserve">but the </w:t>
      </w:r>
      <w:r w:rsidR="00CF48F1">
        <w:rPr>
          <w:sz w:val="28"/>
          <w:szCs w:val="28"/>
        </w:rPr>
        <w:t xml:space="preserve">issuance of </w:t>
      </w:r>
      <w:r w:rsidR="002522BC">
        <w:rPr>
          <w:sz w:val="28"/>
          <w:szCs w:val="28"/>
        </w:rPr>
        <w:t>a Delimitation</w:t>
      </w:r>
      <w:r w:rsidR="00580DB7">
        <w:rPr>
          <w:sz w:val="28"/>
          <w:szCs w:val="28"/>
        </w:rPr>
        <w:t xml:space="preserve"> </w:t>
      </w:r>
      <w:r w:rsidR="00A60F16">
        <w:rPr>
          <w:sz w:val="28"/>
          <w:szCs w:val="28"/>
        </w:rPr>
        <w:t xml:space="preserve">Order </w:t>
      </w:r>
      <w:r w:rsidR="002522BC">
        <w:rPr>
          <w:sz w:val="28"/>
          <w:szCs w:val="28"/>
        </w:rPr>
        <w:t xml:space="preserve">is </w:t>
      </w:r>
      <w:r w:rsidR="00CF48F1">
        <w:rPr>
          <w:sz w:val="28"/>
          <w:szCs w:val="28"/>
        </w:rPr>
        <w:t>directory. However, this distinction between “peremptory” and “directory” is not necessarily determinative of whether failure to complete the review on 12</w:t>
      </w:r>
      <w:r w:rsidR="00CF48F1" w:rsidRPr="00513682">
        <w:rPr>
          <w:sz w:val="28"/>
          <w:szCs w:val="28"/>
          <w:vertAlign w:val="superscript"/>
        </w:rPr>
        <w:t>th</w:t>
      </w:r>
      <w:r w:rsidR="00CF48F1">
        <w:rPr>
          <w:sz w:val="28"/>
          <w:szCs w:val="28"/>
        </w:rPr>
        <w:t xml:space="preserve"> January 2022 and to issue the </w:t>
      </w:r>
      <w:r w:rsidR="00CF48F1" w:rsidRPr="00513682">
        <w:rPr>
          <w:b/>
          <w:bCs/>
          <w:sz w:val="28"/>
          <w:szCs w:val="28"/>
        </w:rPr>
        <w:t>Delimitation Order</w:t>
      </w:r>
      <w:r w:rsidR="004F2C27">
        <w:rPr>
          <w:b/>
          <w:bCs/>
          <w:sz w:val="28"/>
          <w:szCs w:val="28"/>
        </w:rPr>
        <w:t xml:space="preserve"> </w:t>
      </w:r>
      <w:r w:rsidR="004F2C27" w:rsidRPr="00513682">
        <w:rPr>
          <w:sz w:val="28"/>
          <w:szCs w:val="28"/>
        </w:rPr>
        <w:t>inevitably</w:t>
      </w:r>
      <w:r w:rsidR="004F2C27">
        <w:rPr>
          <w:b/>
          <w:bCs/>
          <w:sz w:val="28"/>
          <w:szCs w:val="28"/>
        </w:rPr>
        <w:t xml:space="preserve"> </w:t>
      </w:r>
      <w:r w:rsidR="0084033A">
        <w:rPr>
          <w:sz w:val="28"/>
          <w:szCs w:val="28"/>
        </w:rPr>
        <w:t>r</w:t>
      </w:r>
      <w:r w:rsidR="00CF48F1">
        <w:rPr>
          <w:sz w:val="28"/>
          <w:szCs w:val="28"/>
        </w:rPr>
        <w:t>esults in their nullity. What matters is whether the object sought to be achieved by the injunct</w:t>
      </w:r>
      <w:r w:rsidR="00BF1391">
        <w:rPr>
          <w:sz w:val="28"/>
          <w:szCs w:val="28"/>
        </w:rPr>
        <w:t xml:space="preserve">ion </w:t>
      </w:r>
      <w:r w:rsidR="00CF48F1">
        <w:rPr>
          <w:sz w:val="28"/>
          <w:szCs w:val="28"/>
        </w:rPr>
        <w:t>to do a review and alter constituency boundaries has indeed been achieved</w:t>
      </w:r>
      <w:r w:rsidR="001A5BE5">
        <w:rPr>
          <w:rStyle w:val="FootnoteReference"/>
          <w:sz w:val="28"/>
          <w:szCs w:val="28"/>
        </w:rPr>
        <w:footnoteReference w:id="24"/>
      </w:r>
      <w:r w:rsidR="00CF48F1">
        <w:rPr>
          <w:sz w:val="28"/>
          <w:szCs w:val="28"/>
        </w:rPr>
        <w:t xml:space="preserve">. </w:t>
      </w:r>
    </w:p>
    <w:p w14:paraId="21529038" w14:textId="77777777" w:rsidR="00A6473A" w:rsidRDefault="00A6473A" w:rsidP="00F831D3">
      <w:pPr>
        <w:pStyle w:val="NormalWeb"/>
        <w:shd w:val="clear" w:color="auto" w:fill="FFFFFF"/>
        <w:spacing w:before="144" w:beforeAutospacing="0" w:after="288" w:afterAutospacing="0" w:line="480" w:lineRule="atLeast"/>
        <w:ind w:left="720" w:hanging="720"/>
        <w:jc w:val="both"/>
        <w:rPr>
          <w:sz w:val="28"/>
          <w:szCs w:val="28"/>
        </w:rPr>
      </w:pPr>
    </w:p>
    <w:p w14:paraId="0C1925A2" w14:textId="2D06F994" w:rsidR="00534495" w:rsidRDefault="0086508C" w:rsidP="00AE20A5">
      <w:pPr>
        <w:pStyle w:val="NormalWeb"/>
        <w:shd w:val="clear" w:color="auto" w:fill="FFFFFF"/>
        <w:spacing w:before="144" w:beforeAutospacing="0" w:after="288" w:afterAutospacing="0" w:line="480" w:lineRule="atLeast"/>
        <w:ind w:left="720" w:hanging="720"/>
        <w:jc w:val="both"/>
        <w:rPr>
          <w:sz w:val="28"/>
          <w:szCs w:val="28"/>
        </w:rPr>
      </w:pPr>
      <w:r>
        <w:rPr>
          <w:sz w:val="28"/>
          <w:szCs w:val="28"/>
        </w:rPr>
        <w:t>[5</w:t>
      </w:r>
      <w:r w:rsidR="009206BB">
        <w:rPr>
          <w:sz w:val="28"/>
          <w:szCs w:val="28"/>
        </w:rPr>
        <w:t>1</w:t>
      </w:r>
      <w:r>
        <w:rPr>
          <w:sz w:val="28"/>
          <w:szCs w:val="28"/>
        </w:rPr>
        <w:t>]</w:t>
      </w:r>
      <w:r>
        <w:rPr>
          <w:sz w:val="28"/>
          <w:szCs w:val="28"/>
        </w:rPr>
        <w:tab/>
      </w:r>
      <w:r w:rsidR="00A60F16">
        <w:rPr>
          <w:sz w:val="28"/>
          <w:szCs w:val="28"/>
        </w:rPr>
        <w:t>Th</w:t>
      </w:r>
      <w:r w:rsidR="000B6E80">
        <w:rPr>
          <w:sz w:val="28"/>
          <w:szCs w:val="28"/>
        </w:rPr>
        <w:t xml:space="preserve">e answer to this question whether the applicants’ contention has merit is in the negative. The negative answer </w:t>
      </w:r>
      <w:r w:rsidR="00A60F16">
        <w:rPr>
          <w:sz w:val="28"/>
          <w:szCs w:val="28"/>
        </w:rPr>
        <w:t xml:space="preserve">is fortified by </w:t>
      </w:r>
      <w:r w:rsidR="00B230CD">
        <w:rPr>
          <w:sz w:val="28"/>
          <w:szCs w:val="28"/>
        </w:rPr>
        <w:t>sub</w:t>
      </w:r>
      <w:r w:rsidR="00774164">
        <w:rPr>
          <w:sz w:val="28"/>
          <w:szCs w:val="28"/>
        </w:rPr>
        <w:t>-</w:t>
      </w:r>
      <w:r w:rsidR="00B230CD">
        <w:rPr>
          <w:sz w:val="28"/>
          <w:szCs w:val="28"/>
        </w:rPr>
        <w:t xml:space="preserve">section </w:t>
      </w:r>
      <w:r w:rsidR="002522BC">
        <w:rPr>
          <w:sz w:val="28"/>
          <w:szCs w:val="28"/>
        </w:rPr>
        <w:t>(</w:t>
      </w:r>
      <w:r w:rsidR="00B230CD">
        <w:rPr>
          <w:sz w:val="28"/>
          <w:szCs w:val="28"/>
        </w:rPr>
        <w:t>4</w:t>
      </w:r>
      <w:r w:rsidR="002522BC">
        <w:rPr>
          <w:sz w:val="28"/>
          <w:szCs w:val="28"/>
        </w:rPr>
        <w:t xml:space="preserve">) </w:t>
      </w:r>
      <w:r w:rsidR="00B230CD">
        <w:rPr>
          <w:sz w:val="28"/>
          <w:szCs w:val="28"/>
        </w:rPr>
        <w:t xml:space="preserve">which provides that a Delimitation Order only comes into effect “upon dissolution of Parliament after it was made”. This suggests that it is not obligatory for the IEC to publish the Order in the Gazette before the expiry of the period for review. </w:t>
      </w:r>
      <w:r w:rsidR="00B85FF5">
        <w:rPr>
          <w:sz w:val="28"/>
          <w:szCs w:val="28"/>
        </w:rPr>
        <w:t xml:space="preserve">Rather, it is obligatory that it be published in the gazette before </w:t>
      </w:r>
      <w:r w:rsidR="00B85FF5">
        <w:rPr>
          <w:sz w:val="28"/>
          <w:szCs w:val="28"/>
        </w:rPr>
        <w:lastRenderedPageBreak/>
        <w:t xml:space="preserve">dissolution of Parliament which is the time that it will take effect. </w:t>
      </w:r>
      <w:r w:rsidR="000B6E80">
        <w:rPr>
          <w:sz w:val="28"/>
          <w:szCs w:val="28"/>
        </w:rPr>
        <w:t xml:space="preserve">In the same vein the object to review constituency boundaries had been achieved when the objections were called for in January 2022. The objections were not about the review process itself but the proposed draft Order to alter constituency boundaries. </w:t>
      </w:r>
      <w:r w:rsidR="00B85FF5">
        <w:rPr>
          <w:sz w:val="28"/>
          <w:szCs w:val="28"/>
        </w:rPr>
        <w:t>Th</w:t>
      </w:r>
      <w:r w:rsidR="00743A08">
        <w:rPr>
          <w:sz w:val="28"/>
          <w:szCs w:val="28"/>
        </w:rPr>
        <w:t>u</w:t>
      </w:r>
      <w:r w:rsidR="000B6E80">
        <w:rPr>
          <w:sz w:val="28"/>
          <w:szCs w:val="28"/>
        </w:rPr>
        <w:t xml:space="preserve">s, </w:t>
      </w:r>
      <w:r w:rsidR="00743A08">
        <w:rPr>
          <w:sz w:val="28"/>
          <w:szCs w:val="28"/>
        </w:rPr>
        <w:t>navigating away from narrow peering at words, the</w:t>
      </w:r>
      <w:r w:rsidR="00B85FF5">
        <w:rPr>
          <w:sz w:val="28"/>
          <w:szCs w:val="28"/>
        </w:rPr>
        <w:t xml:space="preserve"> Court does not see any purpose</w:t>
      </w:r>
      <w:r w:rsidR="000B6E80">
        <w:rPr>
          <w:sz w:val="28"/>
          <w:szCs w:val="28"/>
        </w:rPr>
        <w:t xml:space="preserve">, </w:t>
      </w:r>
      <w:r w:rsidR="00B85FF5">
        <w:rPr>
          <w:sz w:val="28"/>
          <w:szCs w:val="28"/>
        </w:rPr>
        <w:t xml:space="preserve">and none was suggested for linking the period of the review with the issuance of the </w:t>
      </w:r>
      <w:r w:rsidR="00B85FF5" w:rsidRPr="00513682">
        <w:rPr>
          <w:b/>
          <w:bCs/>
          <w:sz w:val="28"/>
          <w:szCs w:val="28"/>
        </w:rPr>
        <w:t>Delimitation Order</w:t>
      </w:r>
      <w:r w:rsidR="00B85FF5">
        <w:rPr>
          <w:sz w:val="28"/>
          <w:szCs w:val="28"/>
        </w:rPr>
        <w:t>. Nor does</w:t>
      </w:r>
      <w:r w:rsidR="008212E8">
        <w:rPr>
          <w:sz w:val="28"/>
          <w:szCs w:val="28"/>
        </w:rPr>
        <w:t xml:space="preserve"> the Court</w:t>
      </w:r>
      <w:r w:rsidR="00B85FF5">
        <w:rPr>
          <w:sz w:val="28"/>
          <w:szCs w:val="28"/>
        </w:rPr>
        <w:t xml:space="preserve"> see anything fatal in</w:t>
      </w:r>
      <w:r w:rsidR="008212E8">
        <w:rPr>
          <w:sz w:val="28"/>
          <w:szCs w:val="28"/>
        </w:rPr>
        <w:t xml:space="preserve"> the</w:t>
      </w:r>
      <w:r w:rsidR="00B85FF5">
        <w:rPr>
          <w:sz w:val="28"/>
          <w:szCs w:val="28"/>
        </w:rPr>
        <w:t xml:space="preserve"> Delimitation </w:t>
      </w:r>
      <w:r w:rsidR="008212E8">
        <w:rPr>
          <w:sz w:val="28"/>
          <w:szCs w:val="28"/>
        </w:rPr>
        <w:t xml:space="preserve">Order being issued </w:t>
      </w:r>
      <w:r w:rsidR="00B85FF5">
        <w:rPr>
          <w:sz w:val="28"/>
          <w:szCs w:val="28"/>
        </w:rPr>
        <w:t xml:space="preserve">after the end of the prescribed period for review.  </w:t>
      </w:r>
      <w:r w:rsidR="000B6E80">
        <w:rPr>
          <w:sz w:val="28"/>
          <w:szCs w:val="28"/>
        </w:rPr>
        <w:t xml:space="preserve">All that the IEC </w:t>
      </w:r>
      <w:r w:rsidR="004F2C27">
        <w:rPr>
          <w:sz w:val="28"/>
          <w:szCs w:val="28"/>
        </w:rPr>
        <w:t xml:space="preserve">has </w:t>
      </w:r>
      <w:r w:rsidR="000B6E80">
        <w:rPr>
          <w:sz w:val="28"/>
          <w:szCs w:val="28"/>
        </w:rPr>
        <w:t xml:space="preserve">done are effective to bring about the achievement of the review of constituency boundaries and their alteration. </w:t>
      </w:r>
    </w:p>
    <w:p w14:paraId="7FA15B7C" w14:textId="77777777" w:rsidR="00F72649" w:rsidRDefault="00F72649" w:rsidP="00AE20A5">
      <w:pPr>
        <w:pStyle w:val="NormalWeb"/>
        <w:shd w:val="clear" w:color="auto" w:fill="FFFFFF"/>
        <w:spacing w:before="144" w:beforeAutospacing="0" w:after="288" w:afterAutospacing="0" w:line="480" w:lineRule="atLeast"/>
        <w:ind w:left="720" w:hanging="720"/>
        <w:jc w:val="both"/>
        <w:rPr>
          <w:sz w:val="28"/>
          <w:szCs w:val="28"/>
        </w:rPr>
      </w:pPr>
    </w:p>
    <w:p w14:paraId="008FC738" w14:textId="2283BF65" w:rsidR="00534495" w:rsidRDefault="00534495" w:rsidP="00F72649">
      <w:pPr>
        <w:pStyle w:val="NormalWeb"/>
        <w:shd w:val="clear" w:color="auto" w:fill="FFFFFF"/>
        <w:spacing w:before="0" w:beforeAutospacing="0" w:after="0" w:afterAutospacing="0"/>
        <w:jc w:val="both"/>
        <w:rPr>
          <w:b/>
          <w:bCs/>
          <w:sz w:val="32"/>
          <w:szCs w:val="32"/>
        </w:rPr>
      </w:pPr>
      <w:r w:rsidRPr="00EB3DDE">
        <w:rPr>
          <w:b/>
          <w:bCs/>
          <w:sz w:val="32"/>
          <w:szCs w:val="32"/>
        </w:rPr>
        <w:t>Is the voter population in each constituency below or above the population quota by ten per cent?</w:t>
      </w:r>
    </w:p>
    <w:p w14:paraId="335245AE" w14:textId="77777777" w:rsidR="00716FEE" w:rsidRPr="00EB3DDE" w:rsidRDefault="00716FEE" w:rsidP="00963BA7">
      <w:pPr>
        <w:pStyle w:val="NormalWeb"/>
        <w:shd w:val="clear" w:color="auto" w:fill="FFFFFF"/>
        <w:spacing w:before="0" w:beforeAutospacing="0" w:after="0" w:afterAutospacing="0"/>
        <w:ind w:left="720"/>
        <w:jc w:val="both"/>
        <w:rPr>
          <w:b/>
          <w:bCs/>
          <w:sz w:val="32"/>
          <w:szCs w:val="32"/>
        </w:rPr>
      </w:pPr>
    </w:p>
    <w:p w14:paraId="21B8AFE9" w14:textId="679DF771" w:rsidR="00534495" w:rsidRDefault="00534495" w:rsidP="00EB3DDE">
      <w:pPr>
        <w:pStyle w:val="NormalWeb"/>
        <w:shd w:val="clear" w:color="auto" w:fill="FFFFFF"/>
        <w:spacing w:before="0" w:beforeAutospacing="0" w:after="0" w:afterAutospacing="0" w:line="480" w:lineRule="auto"/>
        <w:ind w:left="720" w:hanging="720"/>
        <w:jc w:val="both"/>
        <w:rPr>
          <w:sz w:val="28"/>
          <w:szCs w:val="28"/>
        </w:rPr>
      </w:pPr>
      <w:r>
        <w:rPr>
          <w:sz w:val="28"/>
          <w:szCs w:val="28"/>
        </w:rPr>
        <w:t>[</w:t>
      </w:r>
      <w:r w:rsidR="002677E3">
        <w:rPr>
          <w:sz w:val="28"/>
          <w:szCs w:val="28"/>
        </w:rPr>
        <w:t>5</w:t>
      </w:r>
      <w:r w:rsidR="009206BB">
        <w:rPr>
          <w:sz w:val="28"/>
          <w:szCs w:val="28"/>
        </w:rPr>
        <w:t>2</w:t>
      </w:r>
      <w:r>
        <w:rPr>
          <w:sz w:val="28"/>
          <w:szCs w:val="28"/>
        </w:rPr>
        <w:t>]</w:t>
      </w:r>
      <w:r>
        <w:rPr>
          <w:sz w:val="28"/>
          <w:szCs w:val="28"/>
        </w:rPr>
        <w:tab/>
        <w:t>The applicants contend that the IEC has failed to comply with section 67(2) of the Constitution in the following respects:</w:t>
      </w:r>
    </w:p>
    <w:p w14:paraId="3C3E5F59" w14:textId="322A8D1B" w:rsidR="00963BA7" w:rsidRDefault="00351828" w:rsidP="00AE20A5">
      <w:pPr>
        <w:pStyle w:val="NormalWeb"/>
        <w:shd w:val="clear" w:color="auto" w:fill="FFFFFF"/>
        <w:spacing w:before="144" w:beforeAutospacing="0" w:after="288" w:afterAutospacing="0" w:line="480" w:lineRule="auto"/>
        <w:ind w:left="2160" w:hanging="720"/>
        <w:jc w:val="both"/>
        <w:rPr>
          <w:sz w:val="28"/>
          <w:szCs w:val="28"/>
        </w:rPr>
      </w:pPr>
      <w:r>
        <w:rPr>
          <w:sz w:val="28"/>
          <w:szCs w:val="28"/>
        </w:rPr>
        <w:t>5</w:t>
      </w:r>
      <w:r w:rsidR="009206BB">
        <w:rPr>
          <w:sz w:val="28"/>
          <w:szCs w:val="28"/>
        </w:rPr>
        <w:t>2</w:t>
      </w:r>
      <w:r>
        <w:rPr>
          <w:sz w:val="28"/>
          <w:szCs w:val="28"/>
        </w:rPr>
        <w:t>.</w:t>
      </w:r>
      <w:r w:rsidR="00534495">
        <w:rPr>
          <w:sz w:val="28"/>
          <w:szCs w:val="28"/>
        </w:rPr>
        <w:t>1</w:t>
      </w:r>
      <w:r w:rsidR="00534495">
        <w:rPr>
          <w:sz w:val="28"/>
          <w:szCs w:val="28"/>
        </w:rPr>
        <w:tab/>
        <w:t>It has made wide variations between constituencies in the same district and thereby failed in its obligation to distribute equally the voter numbers in each district and between overlapping “administrative districts”.</w:t>
      </w:r>
    </w:p>
    <w:p w14:paraId="0F348348" w14:textId="25742398" w:rsidR="00963BA7" w:rsidRDefault="00351828" w:rsidP="00AE20A5">
      <w:pPr>
        <w:pStyle w:val="NormalWeb"/>
        <w:shd w:val="clear" w:color="auto" w:fill="FFFFFF"/>
        <w:spacing w:before="144" w:beforeAutospacing="0" w:after="288" w:afterAutospacing="0" w:line="480" w:lineRule="atLeast"/>
        <w:ind w:left="2160" w:hanging="720"/>
        <w:jc w:val="both"/>
        <w:rPr>
          <w:sz w:val="28"/>
          <w:szCs w:val="28"/>
        </w:rPr>
      </w:pPr>
      <w:r>
        <w:rPr>
          <w:sz w:val="28"/>
          <w:szCs w:val="28"/>
        </w:rPr>
        <w:t>5</w:t>
      </w:r>
      <w:r w:rsidR="009206BB">
        <w:rPr>
          <w:sz w:val="28"/>
          <w:szCs w:val="28"/>
        </w:rPr>
        <w:t>2</w:t>
      </w:r>
      <w:r w:rsidR="00534495">
        <w:rPr>
          <w:sz w:val="28"/>
          <w:szCs w:val="28"/>
        </w:rPr>
        <w:t>.2</w:t>
      </w:r>
      <w:r w:rsidR="00534495">
        <w:rPr>
          <w:sz w:val="28"/>
          <w:szCs w:val="28"/>
        </w:rPr>
        <w:tab/>
        <w:t>It has failed to ensure that the apportionment of voters in all constituencies or in respect of constituencies in a district does not exceed or fall short of the population quota by more than ten percent.</w:t>
      </w:r>
    </w:p>
    <w:p w14:paraId="0086DA94" w14:textId="46AC23C8" w:rsidR="00534495" w:rsidRDefault="00351828" w:rsidP="00AE20A5">
      <w:pPr>
        <w:pStyle w:val="NormalWeb"/>
        <w:shd w:val="clear" w:color="auto" w:fill="FFFFFF"/>
        <w:spacing w:before="144" w:beforeAutospacing="0" w:after="288" w:afterAutospacing="0" w:line="480" w:lineRule="atLeast"/>
        <w:ind w:left="2160" w:hanging="720"/>
        <w:jc w:val="both"/>
        <w:rPr>
          <w:sz w:val="28"/>
          <w:szCs w:val="28"/>
        </w:rPr>
      </w:pPr>
      <w:r>
        <w:rPr>
          <w:sz w:val="28"/>
          <w:szCs w:val="28"/>
        </w:rPr>
        <w:lastRenderedPageBreak/>
        <w:t>5</w:t>
      </w:r>
      <w:r w:rsidR="009206BB">
        <w:rPr>
          <w:sz w:val="28"/>
          <w:szCs w:val="28"/>
        </w:rPr>
        <w:t>2</w:t>
      </w:r>
      <w:r w:rsidR="00534495">
        <w:rPr>
          <w:sz w:val="28"/>
          <w:szCs w:val="28"/>
        </w:rPr>
        <w:t>.3</w:t>
      </w:r>
      <w:r w:rsidR="00534495">
        <w:rPr>
          <w:sz w:val="28"/>
          <w:szCs w:val="28"/>
        </w:rPr>
        <w:tab/>
        <w:t>In dividing constituencies, the IEC is not b</w:t>
      </w:r>
      <w:r w:rsidR="007E7BC2">
        <w:rPr>
          <w:sz w:val="28"/>
          <w:szCs w:val="28"/>
        </w:rPr>
        <w:t>o</w:t>
      </w:r>
      <w:r w:rsidR="00534495">
        <w:rPr>
          <w:sz w:val="28"/>
          <w:szCs w:val="28"/>
        </w:rPr>
        <w:t xml:space="preserve">und to limit </w:t>
      </w:r>
      <w:r w:rsidR="00E4302A">
        <w:rPr>
          <w:sz w:val="28"/>
          <w:szCs w:val="28"/>
        </w:rPr>
        <w:t xml:space="preserve">constituency </w:t>
      </w:r>
      <w:r w:rsidR="00534495">
        <w:rPr>
          <w:sz w:val="28"/>
          <w:szCs w:val="28"/>
        </w:rPr>
        <w:t xml:space="preserve"> boundaries</w:t>
      </w:r>
      <w:r w:rsidR="00E4302A">
        <w:rPr>
          <w:sz w:val="28"/>
          <w:szCs w:val="28"/>
        </w:rPr>
        <w:t xml:space="preserve"> within administrative boundaries of </w:t>
      </w:r>
      <w:r w:rsidR="00534495">
        <w:rPr>
          <w:sz w:val="28"/>
          <w:szCs w:val="28"/>
        </w:rPr>
        <w:t xml:space="preserve"> </w:t>
      </w:r>
      <w:r w:rsidR="000B6E80">
        <w:rPr>
          <w:sz w:val="28"/>
          <w:szCs w:val="28"/>
        </w:rPr>
        <w:t>D</w:t>
      </w:r>
      <w:r w:rsidR="00534495">
        <w:rPr>
          <w:sz w:val="28"/>
          <w:szCs w:val="28"/>
        </w:rPr>
        <w:t>istrict</w:t>
      </w:r>
      <w:r w:rsidR="00E4302A">
        <w:rPr>
          <w:sz w:val="28"/>
          <w:szCs w:val="28"/>
        </w:rPr>
        <w:t>s</w:t>
      </w:r>
      <w:r w:rsidR="00534495">
        <w:rPr>
          <w:sz w:val="28"/>
          <w:szCs w:val="28"/>
        </w:rPr>
        <w:t>.</w:t>
      </w:r>
    </w:p>
    <w:p w14:paraId="54E57723" w14:textId="77777777" w:rsidR="0042466A" w:rsidRDefault="0042466A" w:rsidP="00AE20A5">
      <w:pPr>
        <w:pStyle w:val="NormalWeb"/>
        <w:shd w:val="clear" w:color="auto" w:fill="FFFFFF"/>
        <w:spacing w:before="144" w:beforeAutospacing="0" w:after="288" w:afterAutospacing="0" w:line="480" w:lineRule="atLeast"/>
        <w:ind w:left="2160" w:hanging="720"/>
        <w:jc w:val="both"/>
        <w:rPr>
          <w:sz w:val="28"/>
          <w:szCs w:val="28"/>
        </w:rPr>
      </w:pPr>
    </w:p>
    <w:p w14:paraId="64C24CAB" w14:textId="02A277FF" w:rsidR="00534495" w:rsidRDefault="00534495" w:rsidP="003443B4">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351828">
        <w:rPr>
          <w:sz w:val="28"/>
          <w:szCs w:val="28"/>
        </w:rPr>
        <w:t>5</w:t>
      </w:r>
      <w:r w:rsidR="009206BB">
        <w:rPr>
          <w:sz w:val="28"/>
          <w:szCs w:val="28"/>
        </w:rPr>
        <w:t>3</w:t>
      </w:r>
      <w:r>
        <w:rPr>
          <w:sz w:val="28"/>
          <w:szCs w:val="28"/>
        </w:rPr>
        <w:t>]</w:t>
      </w:r>
      <w:r>
        <w:rPr>
          <w:sz w:val="28"/>
          <w:szCs w:val="28"/>
        </w:rPr>
        <w:tab/>
        <w:t>The IEC’s counter argument is that the applicants misconstrue its obligations in that:</w:t>
      </w:r>
    </w:p>
    <w:p w14:paraId="63CDFE42" w14:textId="2DE2324D" w:rsidR="00963BA7" w:rsidRDefault="00351828" w:rsidP="00AE20A5">
      <w:pPr>
        <w:pStyle w:val="NormalWeb"/>
        <w:shd w:val="clear" w:color="auto" w:fill="FFFFFF"/>
        <w:spacing w:before="144" w:beforeAutospacing="0" w:after="288" w:afterAutospacing="0" w:line="480" w:lineRule="atLeast"/>
        <w:ind w:left="2160" w:hanging="720"/>
        <w:jc w:val="both"/>
        <w:rPr>
          <w:sz w:val="28"/>
          <w:szCs w:val="28"/>
        </w:rPr>
      </w:pPr>
      <w:r>
        <w:rPr>
          <w:sz w:val="28"/>
          <w:szCs w:val="28"/>
        </w:rPr>
        <w:t>5</w:t>
      </w:r>
      <w:r w:rsidR="009206BB">
        <w:rPr>
          <w:sz w:val="28"/>
          <w:szCs w:val="28"/>
        </w:rPr>
        <w:t>3</w:t>
      </w:r>
      <w:r w:rsidR="00534495">
        <w:rPr>
          <w:sz w:val="28"/>
          <w:szCs w:val="28"/>
        </w:rPr>
        <w:t>.1</w:t>
      </w:r>
      <w:r w:rsidR="00534495">
        <w:rPr>
          <w:sz w:val="28"/>
          <w:szCs w:val="28"/>
        </w:rPr>
        <w:tab/>
        <w:t>It distributes voter number</w:t>
      </w:r>
      <w:r w:rsidR="007E7BC2">
        <w:rPr>
          <w:sz w:val="28"/>
          <w:szCs w:val="28"/>
        </w:rPr>
        <w:t>s</w:t>
      </w:r>
      <w:r w:rsidR="00534495">
        <w:rPr>
          <w:sz w:val="28"/>
          <w:szCs w:val="28"/>
        </w:rPr>
        <w:t xml:space="preserve"> per constituency and not by </w:t>
      </w:r>
      <w:r w:rsidR="000B6E80">
        <w:rPr>
          <w:sz w:val="28"/>
          <w:szCs w:val="28"/>
        </w:rPr>
        <w:t>D</w:t>
      </w:r>
      <w:r w:rsidR="00534495">
        <w:rPr>
          <w:sz w:val="28"/>
          <w:szCs w:val="28"/>
        </w:rPr>
        <w:t>istrict</w:t>
      </w:r>
      <w:r w:rsidR="00E077BE">
        <w:rPr>
          <w:sz w:val="28"/>
          <w:szCs w:val="28"/>
        </w:rPr>
        <w:t xml:space="preserve">.  It does so </w:t>
      </w:r>
      <w:proofErr w:type="gramStart"/>
      <w:r w:rsidR="00E077BE">
        <w:rPr>
          <w:sz w:val="28"/>
          <w:szCs w:val="28"/>
        </w:rPr>
        <w:t>using</w:t>
      </w:r>
      <w:proofErr w:type="gramEnd"/>
      <w:r w:rsidR="00E077BE">
        <w:rPr>
          <w:sz w:val="28"/>
          <w:szCs w:val="28"/>
        </w:rPr>
        <w:t xml:space="preserve"> the template of voter population quota</w:t>
      </w:r>
      <w:r w:rsidR="000B6E80">
        <w:rPr>
          <w:sz w:val="28"/>
          <w:szCs w:val="28"/>
        </w:rPr>
        <w:t xml:space="preserve"> according to</w:t>
      </w:r>
      <w:r w:rsidR="00E077BE">
        <w:rPr>
          <w:sz w:val="28"/>
          <w:szCs w:val="28"/>
        </w:rPr>
        <w:t xml:space="preserve"> which each constituency voter number should not exceed</w:t>
      </w:r>
      <w:r w:rsidR="000B6E80">
        <w:rPr>
          <w:sz w:val="28"/>
          <w:szCs w:val="28"/>
        </w:rPr>
        <w:t xml:space="preserve"> it</w:t>
      </w:r>
      <w:r w:rsidR="00E077BE">
        <w:rPr>
          <w:sz w:val="28"/>
          <w:szCs w:val="28"/>
        </w:rPr>
        <w:t xml:space="preserve"> or fall short</w:t>
      </w:r>
      <w:r w:rsidR="000B6E80">
        <w:rPr>
          <w:sz w:val="28"/>
          <w:szCs w:val="28"/>
        </w:rPr>
        <w:t xml:space="preserve"> of it</w:t>
      </w:r>
      <w:r w:rsidR="00E077BE">
        <w:rPr>
          <w:sz w:val="28"/>
          <w:szCs w:val="28"/>
        </w:rPr>
        <w:t xml:space="preserve"> by more than ten per</w:t>
      </w:r>
      <w:r w:rsidR="000B6E80">
        <w:rPr>
          <w:sz w:val="28"/>
          <w:szCs w:val="28"/>
        </w:rPr>
        <w:t xml:space="preserve"> </w:t>
      </w:r>
      <w:r w:rsidR="00E077BE">
        <w:rPr>
          <w:sz w:val="28"/>
          <w:szCs w:val="28"/>
        </w:rPr>
        <w:t>cent.</w:t>
      </w:r>
    </w:p>
    <w:p w14:paraId="221D8D1C" w14:textId="59B08472" w:rsidR="00963BA7" w:rsidRDefault="00351828" w:rsidP="00AE20A5">
      <w:pPr>
        <w:pStyle w:val="NormalWeb"/>
        <w:shd w:val="clear" w:color="auto" w:fill="FFFFFF"/>
        <w:spacing w:before="144" w:beforeAutospacing="0" w:after="288" w:afterAutospacing="0" w:line="480" w:lineRule="atLeast"/>
        <w:ind w:left="2160" w:hanging="720"/>
        <w:jc w:val="both"/>
        <w:rPr>
          <w:sz w:val="28"/>
          <w:szCs w:val="28"/>
        </w:rPr>
      </w:pPr>
      <w:r>
        <w:rPr>
          <w:sz w:val="28"/>
          <w:szCs w:val="28"/>
        </w:rPr>
        <w:t>5</w:t>
      </w:r>
      <w:r w:rsidR="009206BB">
        <w:rPr>
          <w:sz w:val="28"/>
          <w:szCs w:val="28"/>
        </w:rPr>
        <w:t>3</w:t>
      </w:r>
      <w:r w:rsidR="00E077BE">
        <w:rPr>
          <w:sz w:val="28"/>
          <w:szCs w:val="28"/>
        </w:rPr>
        <w:t>.2</w:t>
      </w:r>
      <w:r w:rsidR="00E077BE">
        <w:rPr>
          <w:sz w:val="28"/>
          <w:szCs w:val="28"/>
        </w:rPr>
        <w:tab/>
        <w:t xml:space="preserve">The population quota number </w:t>
      </w:r>
      <w:r w:rsidR="0017638C">
        <w:rPr>
          <w:sz w:val="28"/>
          <w:szCs w:val="28"/>
        </w:rPr>
        <w:t xml:space="preserve">is </w:t>
      </w:r>
      <w:r w:rsidR="00E077BE">
        <w:rPr>
          <w:sz w:val="28"/>
          <w:szCs w:val="28"/>
        </w:rPr>
        <w:t xml:space="preserve">determined </w:t>
      </w:r>
      <w:r w:rsidR="0017638C">
        <w:rPr>
          <w:sz w:val="28"/>
          <w:szCs w:val="28"/>
        </w:rPr>
        <w:t xml:space="preserve">to be 15,507 and </w:t>
      </w:r>
      <w:r w:rsidR="00E077BE">
        <w:rPr>
          <w:sz w:val="28"/>
          <w:szCs w:val="28"/>
        </w:rPr>
        <w:t>appears in the inception document titled “Review of constituency boundaries 2018”</w:t>
      </w:r>
      <w:r w:rsidR="0017638C">
        <w:rPr>
          <w:sz w:val="28"/>
          <w:szCs w:val="28"/>
        </w:rPr>
        <w:t>.</w:t>
      </w:r>
    </w:p>
    <w:p w14:paraId="413D04D6" w14:textId="63D5FD67" w:rsidR="00963BA7" w:rsidRDefault="00351828" w:rsidP="00E82AFF">
      <w:pPr>
        <w:pStyle w:val="NormalWeb"/>
        <w:shd w:val="clear" w:color="auto" w:fill="FFFFFF"/>
        <w:spacing w:before="144" w:beforeAutospacing="0" w:after="288" w:afterAutospacing="0" w:line="480" w:lineRule="atLeast"/>
        <w:ind w:left="2160" w:hanging="720"/>
        <w:jc w:val="both"/>
        <w:rPr>
          <w:sz w:val="28"/>
          <w:szCs w:val="28"/>
        </w:rPr>
      </w:pPr>
      <w:r>
        <w:rPr>
          <w:sz w:val="28"/>
          <w:szCs w:val="28"/>
        </w:rPr>
        <w:t>5</w:t>
      </w:r>
      <w:r w:rsidR="009206BB">
        <w:rPr>
          <w:sz w:val="28"/>
          <w:szCs w:val="28"/>
        </w:rPr>
        <w:t>3</w:t>
      </w:r>
      <w:r w:rsidR="00E077BE">
        <w:rPr>
          <w:sz w:val="28"/>
          <w:szCs w:val="28"/>
        </w:rPr>
        <w:t>.3</w:t>
      </w:r>
      <w:r w:rsidR="00E077BE">
        <w:rPr>
          <w:sz w:val="28"/>
          <w:szCs w:val="28"/>
        </w:rPr>
        <w:tab/>
        <w:t>The upper limit of ten per</w:t>
      </w:r>
      <w:r w:rsidR="0017638C">
        <w:rPr>
          <w:sz w:val="28"/>
          <w:szCs w:val="28"/>
        </w:rPr>
        <w:t xml:space="preserve"> </w:t>
      </w:r>
      <w:r w:rsidR="00E077BE">
        <w:rPr>
          <w:sz w:val="28"/>
          <w:szCs w:val="28"/>
        </w:rPr>
        <w:t>cent of 15,507 is 17,058.  The lower limit is 13,956.</w:t>
      </w:r>
    </w:p>
    <w:p w14:paraId="1F55AF88" w14:textId="0FD9D87B" w:rsidR="00E077BE" w:rsidRDefault="00351828" w:rsidP="00E82AFF">
      <w:pPr>
        <w:pStyle w:val="NormalWeb"/>
        <w:shd w:val="clear" w:color="auto" w:fill="FFFFFF"/>
        <w:spacing w:before="144" w:beforeAutospacing="0" w:after="288" w:afterAutospacing="0" w:line="480" w:lineRule="atLeast"/>
        <w:ind w:left="2160" w:hanging="720"/>
        <w:jc w:val="both"/>
        <w:rPr>
          <w:sz w:val="28"/>
          <w:szCs w:val="28"/>
        </w:rPr>
      </w:pPr>
      <w:r>
        <w:rPr>
          <w:sz w:val="28"/>
          <w:szCs w:val="28"/>
        </w:rPr>
        <w:t>5</w:t>
      </w:r>
      <w:r w:rsidR="009206BB">
        <w:rPr>
          <w:sz w:val="28"/>
          <w:szCs w:val="28"/>
        </w:rPr>
        <w:t>3</w:t>
      </w:r>
      <w:r w:rsidR="00E077BE">
        <w:rPr>
          <w:sz w:val="28"/>
          <w:szCs w:val="28"/>
        </w:rPr>
        <w:t>.4</w:t>
      </w:r>
      <w:r w:rsidR="00E077BE">
        <w:rPr>
          <w:sz w:val="28"/>
          <w:szCs w:val="28"/>
        </w:rPr>
        <w:tab/>
        <w:t xml:space="preserve">The applicants’ calculation of differences in percentages is based on a wrong formula of comparing the </w:t>
      </w:r>
      <w:r w:rsidR="007E7BC2">
        <w:rPr>
          <w:sz w:val="28"/>
          <w:szCs w:val="28"/>
        </w:rPr>
        <w:t xml:space="preserve">voter </w:t>
      </w:r>
      <w:r w:rsidR="00E077BE">
        <w:rPr>
          <w:sz w:val="28"/>
          <w:szCs w:val="28"/>
        </w:rPr>
        <w:t xml:space="preserve">numbers between constituencies </w:t>
      </w:r>
      <w:r w:rsidR="0017638C">
        <w:rPr>
          <w:sz w:val="28"/>
          <w:szCs w:val="28"/>
        </w:rPr>
        <w:t xml:space="preserve">in a District </w:t>
      </w:r>
      <w:r w:rsidR="00E077BE">
        <w:rPr>
          <w:sz w:val="28"/>
          <w:szCs w:val="28"/>
        </w:rPr>
        <w:t>and not on the voter number</w:t>
      </w:r>
      <w:r w:rsidR="007E7BC2">
        <w:rPr>
          <w:sz w:val="28"/>
          <w:szCs w:val="28"/>
        </w:rPr>
        <w:t>s</w:t>
      </w:r>
      <w:r w:rsidR="00E077BE">
        <w:rPr>
          <w:sz w:val="28"/>
          <w:szCs w:val="28"/>
        </w:rPr>
        <w:t xml:space="preserve"> in each constituency.</w:t>
      </w:r>
    </w:p>
    <w:p w14:paraId="3352997C" w14:textId="77777777" w:rsidR="00A6473A" w:rsidRDefault="00A6473A" w:rsidP="00E82AFF">
      <w:pPr>
        <w:pStyle w:val="NormalWeb"/>
        <w:shd w:val="clear" w:color="auto" w:fill="FFFFFF"/>
        <w:spacing w:before="144" w:beforeAutospacing="0" w:after="288" w:afterAutospacing="0" w:line="480" w:lineRule="atLeast"/>
        <w:ind w:left="2160" w:hanging="720"/>
        <w:jc w:val="both"/>
        <w:rPr>
          <w:sz w:val="28"/>
          <w:szCs w:val="28"/>
        </w:rPr>
      </w:pPr>
    </w:p>
    <w:p w14:paraId="325BBB16" w14:textId="4A0853C0" w:rsidR="00FF4BC4" w:rsidRDefault="00E077BE" w:rsidP="003443B4">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743A08">
        <w:rPr>
          <w:sz w:val="28"/>
          <w:szCs w:val="28"/>
        </w:rPr>
        <w:t>5</w:t>
      </w:r>
      <w:r w:rsidR="009206BB">
        <w:rPr>
          <w:sz w:val="28"/>
          <w:szCs w:val="28"/>
        </w:rPr>
        <w:t>4</w:t>
      </w:r>
      <w:r>
        <w:rPr>
          <w:sz w:val="28"/>
          <w:szCs w:val="28"/>
        </w:rPr>
        <w:t>]</w:t>
      </w:r>
      <w:r>
        <w:rPr>
          <w:sz w:val="28"/>
          <w:szCs w:val="28"/>
        </w:rPr>
        <w:tab/>
        <w:t xml:space="preserve">The Court finds merit in the IEC’s contentions save in one important respect, which is that it concedes that in some of the constituencies, the voter numbers are either below or above the population quota by more than </w:t>
      </w:r>
      <w:r>
        <w:rPr>
          <w:sz w:val="28"/>
          <w:szCs w:val="28"/>
        </w:rPr>
        <w:lastRenderedPageBreak/>
        <w:t>ten per</w:t>
      </w:r>
      <w:r w:rsidR="0017638C">
        <w:rPr>
          <w:sz w:val="28"/>
          <w:szCs w:val="28"/>
        </w:rPr>
        <w:t xml:space="preserve"> </w:t>
      </w:r>
      <w:r>
        <w:rPr>
          <w:sz w:val="28"/>
          <w:szCs w:val="28"/>
        </w:rPr>
        <w:t>cent.  The</w:t>
      </w:r>
      <w:r w:rsidR="002476E5">
        <w:rPr>
          <w:sz w:val="28"/>
          <w:szCs w:val="28"/>
        </w:rPr>
        <w:t xml:space="preserve"> following table </w:t>
      </w:r>
      <w:r w:rsidR="0017638C">
        <w:rPr>
          <w:sz w:val="28"/>
          <w:szCs w:val="28"/>
        </w:rPr>
        <w:t xml:space="preserve">is </w:t>
      </w:r>
      <w:r w:rsidR="002476E5">
        <w:rPr>
          <w:sz w:val="28"/>
          <w:szCs w:val="28"/>
        </w:rPr>
        <w:t xml:space="preserve">a full picture of voter population per constituency in terms of the </w:t>
      </w:r>
      <w:r w:rsidR="002677E3" w:rsidRPr="00513682">
        <w:rPr>
          <w:b/>
          <w:bCs/>
          <w:sz w:val="28"/>
          <w:szCs w:val="28"/>
        </w:rPr>
        <w:t>D</w:t>
      </w:r>
      <w:r w:rsidR="002476E5" w:rsidRPr="00513682">
        <w:rPr>
          <w:b/>
          <w:bCs/>
          <w:sz w:val="28"/>
          <w:szCs w:val="28"/>
        </w:rPr>
        <w:t xml:space="preserve">elimitation </w:t>
      </w:r>
      <w:r w:rsidR="002677E3" w:rsidRPr="00513682">
        <w:rPr>
          <w:b/>
          <w:bCs/>
          <w:sz w:val="28"/>
          <w:szCs w:val="28"/>
        </w:rPr>
        <w:t>O</w:t>
      </w:r>
      <w:r w:rsidR="002476E5" w:rsidRPr="00513682">
        <w:rPr>
          <w:b/>
          <w:bCs/>
          <w:sz w:val="28"/>
          <w:szCs w:val="28"/>
        </w:rPr>
        <w:t>rder:</w:t>
      </w:r>
    </w:p>
    <w:tbl>
      <w:tblPr>
        <w:tblpPr w:leftFromText="180" w:rightFromText="180" w:vertAnchor="text" w:horzAnchor="margin" w:tblpXSpec="center" w:tblpY="-1439"/>
        <w:tblW w:w="1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19"/>
        <w:gridCol w:w="1266"/>
        <w:gridCol w:w="1418"/>
        <w:gridCol w:w="1559"/>
        <w:gridCol w:w="1559"/>
        <w:gridCol w:w="1975"/>
      </w:tblGrid>
      <w:tr w:rsidR="002416B0" w14:paraId="7149D218" w14:textId="77777777" w:rsidTr="002416B0">
        <w:trPr>
          <w:trHeight w:val="1350"/>
        </w:trPr>
        <w:tc>
          <w:tcPr>
            <w:tcW w:w="12318" w:type="dxa"/>
            <w:gridSpan w:val="7"/>
          </w:tcPr>
          <w:p w14:paraId="61B80329" w14:textId="77777777" w:rsidR="002416B0" w:rsidRDefault="002416B0" w:rsidP="002416B0">
            <w:pPr>
              <w:jc w:val="center"/>
              <w:rPr>
                <w:sz w:val="28"/>
                <w:szCs w:val="28"/>
              </w:rPr>
            </w:pPr>
            <w:r>
              <w:rPr>
                <w:sz w:val="28"/>
                <w:szCs w:val="28"/>
              </w:rPr>
              <w:lastRenderedPageBreak/>
              <w:tab/>
            </w:r>
          </w:p>
          <w:p w14:paraId="6B5E38F3" w14:textId="77777777" w:rsidR="002416B0" w:rsidRDefault="002416B0" w:rsidP="002416B0">
            <w:pPr>
              <w:jc w:val="center"/>
              <w:rPr>
                <w:b/>
                <w:bCs/>
                <w:sz w:val="28"/>
                <w:szCs w:val="28"/>
              </w:rPr>
            </w:pPr>
            <w:r>
              <w:rPr>
                <w:b/>
                <w:bCs/>
                <w:sz w:val="28"/>
                <w:szCs w:val="28"/>
              </w:rPr>
              <w:t xml:space="preserve">CONSTITUENCY VOTER POPULATION NUMBERS  </w:t>
            </w:r>
          </w:p>
          <w:p w14:paraId="18BBA230" w14:textId="77777777" w:rsidR="002416B0" w:rsidRDefault="002416B0" w:rsidP="002416B0">
            <w:pPr>
              <w:jc w:val="center"/>
              <w:rPr>
                <w:sz w:val="28"/>
                <w:szCs w:val="28"/>
              </w:rPr>
            </w:pPr>
          </w:p>
        </w:tc>
      </w:tr>
      <w:tr w:rsidR="002416B0" w:rsidRPr="002416B0" w14:paraId="6EEA9DAE" w14:textId="77777777" w:rsidTr="002416B0">
        <w:trPr>
          <w:trHeight w:val="351"/>
        </w:trPr>
        <w:tc>
          <w:tcPr>
            <w:tcW w:w="2122" w:type="dxa"/>
          </w:tcPr>
          <w:p w14:paraId="380DC793" w14:textId="77777777" w:rsidR="002416B0" w:rsidRPr="002416B0" w:rsidRDefault="002416B0" w:rsidP="002416B0">
            <w:pPr>
              <w:jc w:val="center"/>
              <w:rPr>
                <w:b/>
                <w:bCs/>
              </w:rPr>
            </w:pPr>
            <w:r w:rsidRPr="002416B0">
              <w:rPr>
                <w:b/>
                <w:bCs/>
              </w:rPr>
              <w:t xml:space="preserve">District </w:t>
            </w:r>
          </w:p>
        </w:tc>
        <w:tc>
          <w:tcPr>
            <w:tcW w:w="2419" w:type="dxa"/>
          </w:tcPr>
          <w:p w14:paraId="03AE18C4" w14:textId="77777777" w:rsidR="002416B0" w:rsidRPr="002416B0" w:rsidRDefault="002416B0" w:rsidP="002416B0">
            <w:pPr>
              <w:jc w:val="center"/>
              <w:rPr>
                <w:b/>
                <w:bCs/>
              </w:rPr>
            </w:pPr>
            <w:r w:rsidRPr="002416B0">
              <w:rPr>
                <w:b/>
                <w:bCs/>
              </w:rPr>
              <w:t xml:space="preserve">Constituency Name &amp; Number </w:t>
            </w:r>
          </w:p>
        </w:tc>
        <w:tc>
          <w:tcPr>
            <w:tcW w:w="1266" w:type="dxa"/>
          </w:tcPr>
          <w:p w14:paraId="48F8B9D2" w14:textId="77777777" w:rsidR="002416B0" w:rsidRPr="002416B0" w:rsidRDefault="002416B0" w:rsidP="002416B0">
            <w:pPr>
              <w:jc w:val="center"/>
              <w:rPr>
                <w:b/>
                <w:bCs/>
              </w:rPr>
            </w:pPr>
            <w:r w:rsidRPr="002416B0">
              <w:rPr>
                <w:b/>
                <w:bCs/>
              </w:rPr>
              <w:t>Voters Number</w:t>
            </w:r>
          </w:p>
        </w:tc>
        <w:tc>
          <w:tcPr>
            <w:tcW w:w="1418" w:type="dxa"/>
          </w:tcPr>
          <w:p w14:paraId="08FD83FC" w14:textId="77777777" w:rsidR="002416B0" w:rsidRPr="002416B0" w:rsidRDefault="002416B0" w:rsidP="002416B0">
            <w:pPr>
              <w:jc w:val="center"/>
              <w:rPr>
                <w:b/>
                <w:bCs/>
              </w:rPr>
            </w:pPr>
            <w:r w:rsidRPr="002416B0">
              <w:rPr>
                <w:b/>
                <w:bCs/>
              </w:rPr>
              <w:t>Population Quota</w:t>
            </w:r>
          </w:p>
        </w:tc>
        <w:tc>
          <w:tcPr>
            <w:tcW w:w="1559" w:type="dxa"/>
          </w:tcPr>
          <w:p w14:paraId="00BD1419" w14:textId="77777777" w:rsidR="002416B0" w:rsidRPr="002416B0" w:rsidRDefault="002416B0" w:rsidP="002416B0">
            <w:pPr>
              <w:jc w:val="center"/>
              <w:rPr>
                <w:b/>
                <w:bCs/>
              </w:rPr>
            </w:pPr>
            <w:r w:rsidRPr="002416B0">
              <w:rPr>
                <w:b/>
                <w:bCs/>
              </w:rPr>
              <w:t>Upper Limit</w:t>
            </w:r>
          </w:p>
        </w:tc>
        <w:tc>
          <w:tcPr>
            <w:tcW w:w="1559" w:type="dxa"/>
          </w:tcPr>
          <w:p w14:paraId="70B8A360" w14:textId="77777777" w:rsidR="002416B0" w:rsidRPr="002416B0" w:rsidRDefault="002416B0" w:rsidP="002416B0">
            <w:pPr>
              <w:jc w:val="center"/>
              <w:rPr>
                <w:b/>
                <w:bCs/>
              </w:rPr>
            </w:pPr>
            <w:r w:rsidRPr="002416B0">
              <w:rPr>
                <w:b/>
                <w:bCs/>
              </w:rPr>
              <w:t>Lower Limit</w:t>
            </w:r>
          </w:p>
        </w:tc>
        <w:tc>
          <w:tcPr>
            <w:tcW w:w="1975" w:type="dxa"/>
            <w:shd w:val="clear" w:color="auto" w:fill="auto"/>
          </w:tcPr>
          <w:p w14:paraId="76607EBA" w14:textId="77777777" w:rsidR="002416B0" w:rsidRPr="002416B0" w:rsidRDefault="002416B0" w:rsidP="002416B0">
            <w:pPr>
              <w:jc w:val="center"/>
              <w:rPr>
                <w:b/>
                <w:bCs/>
              </w:rPr>
            </w:pPr>
            <w:r w:rsidRPr="002416B0">
              <w:rPr>
                <w:b/>
                <w:bCs/>
              </w:rPr>
              <w:t>Compliance</w:t>
            </w:r>
          </w:p>
        </w:tc>
      </w:tr>
      <w:tr w:rsidR="002416B0" w14:paraId="46459102" w14:textId="77777777" w:rsidTr="002416B0">
        <w:trPr>
          <w:trHeight w:val="377"/>
        </w:trPr>
        <w:tc>
          <w:tcPr>
            <w:tcW w:w="2122" w:type="dxa"/>
          </w:tcPr>
          <w:p w14:paraId="39AFFCA5" w14:textId="77777777" w:rsidR="002416B0" w:rsidRPr="00C523B0" w:rsidRDefault="002416B0" w:rsidP="002416B0">
            <w:pPr>
              <w:jc w:val="center"/>
              <w:rPr>
                <w:b/>
                <w:bCs/>
              </w:rPr>
            </w:pPr>
            <w:r w:rsidRPr="00C523B0">
              <w:rPr>
                <w:b/>
                <w:bCs/>
              </w:rPr>
              <w:t xml:space="preserve">Butha – Buthe </w:t>
            </w:r>
          </w:p>
        </w:tc>
        <w:tc>
          <w:tcPr>
            <w:tcW w:w="2419" w:type="dxa"/>
            <w:shd w:val="clear" w:color="auto" w:fill="auto"/>
          </w:tcPr>
          <w:p w14:paraId="2F7C1717" w14:textId="77777777" w:rsidR="002416B0" w:rsidRPr="00DD2A69" w:rsidRDefault="002416B0" w:rsidP="002416B0">
            <w:pPr>
              <w:pStyle w:val="ListParagraph"/>
              <w:numPr>
                <w:ilvl w:val="0"/>
                <w:numId w:val="2"/>
              </w:numPr>
              <w:rPr>
                <w:b/>
                <w:bCs/>
              </w:rPr>
            </w:pPr>
            <w:proofErr w:type="spellStart"/>
            <w:r w:rsidRPr="00DD2A69">
              <w:rPr>
                <w:b/>
                <w:bCs/>
              </w:rPr>
              <w:t>Mechachane</w:t>
            </w:r>
            <w:proofErr w:type="spellEnd"/>
          </w:p>
        </w:tc>
        <w:tc>
          <w:tcPr>
            <w:tcW w:w="1266" w:type="dxa"/>
            <w:shd w:val="clear" w:color="auto" w:fill="auto"/>
          </w:tcPr>
          <w:p w14:paraId="468E9C54" w14:textId="77777777" w:rsidR="002416B0" w:rsidRPr="00DD2A69" w:rsidRDefault="002416B0" w:rsidP="002416B0">
            <w:pPr>
              <w:rPr>
                <w:b/>
                <w:bCs/>
              </w:rPr>
            </w:pPr>
            <w:r w:rsidRPr="00DD2A69">
              <w:rPr>
                <w:b/>
                <w:bCs/>
              </w:rPr>
              <w:t>12,977</w:t>
            </w:r>
          </w:p>
        </w:tc>
        <w:tc>
          <w:tcPr>
            <w:tcW w:w="1418" w:type="dxa"/>
            <w:shd w:val="clear" w:color="auto" w:fill="auto"/>
          </w:tcPr>
          <w:p w14:paraId="68102D96" w14:textId="77777777" w:rsidR="002416B0" w:rsidRPr="00DD2A69" w:rsidRDefault="002416B0" w:rsidP="002416B0">
            <w:pPr>
              <w:rPr>
                <w:b/>
                <w:bCs/>
              </w:rPr>
            </w:pPr>
            <w:r w:rsidRPr="00DD2A69">
              <w:rPr>
                <w:b/>
                <w:bCs/>
              </w:rPr>
              <w:t>15,507</w:t>
            </w:r>
          </w:p>
        </w:tc>
        <w:tc>
          <w:tcPr>
            <w:tcW w:w="1559" w:type="dxa"/>
            <w:shd w:val="clear" w:color="auto" w:fill="auto"/>
          </w:tcPr>
          <w:p w14:paraId="4FB1C2FC" w14:textId="3BCC6639" w:rsidR="002416B0" w:rsidRPr="00DD2A69" w:rsidRDefault="002416B0" w:rsidP="002416B0">
            <w:pPr>
              <w:jc w:val="center"/>
              <w:rPr>
                <w:b/>
                <w:bCs/>
              </w:rPr>
            </w:pPr>
            <w:r>
              <w:rPr>
                <w:b/>
                <w:bCs/>
              </w:rPr>
              <w:t xml:space="preserve">    </w:t>
            </w:r>
            <w:r w:rsidRPr="00DD2A69">
              <w:rPr>
                <w:b/>
                <w:bCs/>
              </w:rPr>
              <w:t>17,058</w:t>
            </w:r>
          </w:p>
        </w:tc>
        <w:tc>
          <w:tcPr>
            <w:tcW w:w="1559" w:type="dxa"/>
            <w:shd w:val="clear" w:color="auto" w:fill="auto"/>
          </w:tcPr>
          <w:p w14:paraId="7192222C" w14:textId="7985AFA0" w:rsidR="002416B0" w:rsidRPr="00DD2A69" w:rsidRDefault="002416B0" w:rsidP="002416B0">
            <w:pPr>
              <w:jc w:val="center"/>
              <w:rPr>
                <w:b/>
                <w:bCs/>
              </w:rPr>
            </w:pPr>
            <w:r>
              <w:rPr>
                <w:b/>
                <w:bCs/>
              </w:rPr>
              <w:t xml:space="preserve">   </w:t>
            </w:r>
            <w:r w:rsidRPr="00DD2A69">
              <w:rPr>
                <w:b/>
                <w:bCs/>
              </w:rPr>
              <w:t>13,956</w:t>
            </w:r>
          </w:p>
        </w:tc>
        <w:tc>
          <w:tcPr>
            <w:tcW w:w="1975" w:type="dxa"/>
            <w:shd w:val="clear" w:color="auto" w:fill="auto"/>
          </w:tcPr>
          <w:p w14:paraId="0E35F004" w14:textId="77777777" w:rsidR="002416B0" w:rsidRPr="002416B0" w:rsidRDefault="002416B0" w:rsidP="002416B0">
            <w:pPr>
              <w:jc w:val="center"/>
              <w:rPr>
                <w:b/>
                <w:bCs/>
              </w:rPr>
            </w:pPr>
            <w:r w:rsidRPr="002416B0">
              <w:rPr>
                <w:b/>
                <w:bCs/>
              </w:rPr>
              <w:t xml:space="preserve">No </w:t>
            </w:r>
          </w:p>
        </w:tc>
      </w:tr>
      <w:tr w:rsidR="002416B0" w14:paraId="4B8BFAE7" w14:textId="77777777" w:rsidTr="002416B0">
        <w:trPr>
          <w:trHeight w:val="377"/>
        </w:trPr>
        <w:tc>
          <w:tcPr>
            <w:tcW w:w="2122" w:type="dxa"/>
            <w:vMerge w:val="restart"/>
          </w:tcPr>
          <w:p w14:paraId="75D8E578" w14:textId="77777777" w:rsidR="002416B0" w:rsidRPr="003E1391" w:rsidRDefault="002416B0" w:rsidP="002416B0">
            <w:pPr>
              <w:jc w:val="center"/>
              <w:rPr>
                <w:b/>
                <w:bCs/>
              </w:rPr>
            </w:pPr>
          </w:p>
        </w:tc>
        <w:tc>
          <w:tcPr>
            <w:tcW w:w="2419" w:type="dxa"/>
            <w:shd w:val="clear" w:color="auto" w:fill="auto"/>
          </w:tcPr>
          <w:p w14:paraId="1CE83471" w14:textId="77777777" w:rsidR="002416B0" w:rsidRDefault="002416B0" w:rsidP="002416B0">
            <w:pPr>
              <w:pStyle w:val="ListParagraph"/>
              <w:numPr>
                <w:ilvl w:val="0"/>
                <w:numId w:val="2"/>
              </w:numPr>
            </w:pPr>
            <w:proofErr w:type="spellStart"/>
            <w:r>
              <w:t>Hololo</w:t>
            </w:r>
            <w:proofErr w:type="spellEnd"/>
          </w:p>
        </w:tc>
        <w:tc>
          <w:tcPr>
            <w:tcW w:w="1266" w:type="dxa"/>
            <w:shd w:val="clear" w:color="auto" w:fill="auto"/>
          </w:tcPr>
          <w:p w14:paraId="133092AB" w14:textId="77777777" w:rsidR="002416B0" w:rsidRDefault="002416B0" w:rsidP="002416B0">
            <w:r>
              <w:t xml:space="preserve">15,950 </w:t>
            </w:r>
          </w:p>
        </w:tc>
        <w:tc>
          <w:tcPr>
            <w:tcW w:w="1418" w:type="dxa"/>
            <w:shd w:val="clear" w:color="auto" w:fill="auto"/>
          </w:tcPr>
          <w:p w14:paraId="497765C4" w14:textId="77777777" w:rsidR="002416B0" w:rsidRDefault="002416B0" w:rsidP="002416B0">
            <w:r>
              <w:t>15,507</w:t>
            </w:r>
          </w:p>
        </w:tc>
        <w:tc>
          <w:tcPr>
            <w:tcW w:w="1559" w:type="dxa"/>
            <w:shd w:val="clear" w:color="auto" w:fill="auto"/>
          </w:tcPr>
          <w:p w14:paraId="0487DA29" w14:textId="78F1639D" w:rsidR="002416B0" w:rsidRDefault="002416B0" w:rsidP="002416B0">
            <w:pPr>
              <w:jc w:val="center"/>
            </w:pPr>
            <w:r>
              <w:t xml:space="preserve">    17,058</w:t>
            </w:r>
          </w:p>
        </w:tc>
        <w:tc>
          <w:tcPr>
            <w:tcW w:w="1559" w:type="dxa"/>
            <w:shd w:val="clear" w:color="auto" w:fill="auto"/>
          </w:tcPr>
          <w:p w14:paraId="6AC91515" w14:textId="77777777" w:rsidR="002416B0" w:rsidRDefault="002416B0" w:rsidP="002416B0">
            <w:r>
              <w:t xml:space="preserve">       13,956</w:t>
            </w:r>
          </w:p>
        </w:tc>
        <w:tc>
          <w:tcPr>
            <w:tcW w:w="1975" w:type="dxa"/>
            <w:shd w:val="clear" w:color="auto" w:fill="auto"/>
          </w:tcPr>
          <w:p w14:paraId="3F3ABDB1" w14:textId="77777777" w:rsidR="002416B0" w:rsidRDefault="002416B0" w:rsidP="002416B0">
            <w:pPr>
              <w:jc w:val="center"/>
            </w:pPr>
            <w:r>
              <w:t>Yes</w:t>
            </w:r>
          </w:p>
        </w:tc>
      </w:tr>
      <w:tr w:rsidR="002416B0" w14:paraId="10B0A6AF" w14:textId="77777777" w:rsidTr="002416B0">
        <w:trPr>
          <w:trHeight w:val="377"/>
        </w:trPr>
        <w:tc>
          <w:tcPr>
            <w:tcW w:w="2122" w:type="dxa"/>
            <w:vMerge/>
          </w:tcPr>
          <w:p w14:paraId="54255452" w14:textId="77777777" w:rsidR="002416B0" w:rsidRPr="003E1391" w:rsidRDefault="002416B0" w:rsidP="002416B0">
            <w:pPr>
              <w:jc w:val="center"/>
              <w:rPr>
                <w:b/>
                <w:bCs/>
              </w:rPr>
            </w:pPr>
          </w:p>
        </w:tc>
        <w:tc>
          <w:tcPr>
            <w:tcW w:w="2419" w:type="dxa"/>
            <w:shd w:val="clear" w:color="auto" w:fill="auto"/>
          </w:tcPr>
          <w:p w14:paraId="3720B6EA" w14:textId="77777777" w:rsidR="002416B0" w:rsidRDefault="002416B0" w:rsidP="002416B0">
            <w:pPr>
              <w:pStyle w:val="ListParagraph"/>
              <w:numPr>
                <w:ilvl w:val="0"/>
                <w:numId w:val="2"/>
              </w:numPr>
            </w:pPr>
            <w:proofErr w:type="spellStart"/>
            <w:r>
              <w:t>Motete</w:t>
            </w:r>
            <w:proofErr w:type="spellEnd"/>
          </w:p>
        </w:tc>
        <w:tc>
          <w:tcPr>
            <w:tcW w:w="1266" w:type="dxa"/>
            <w:shd w:val="clear" w:color="auto" w:fill="auto"/>
          </w:tcPr>
          <w:p w14:paraId="7D1602C6" w14:textId="77777777" w:rsidR="002416B0" w:rsidRDefault="002416B0" w:rsidP="002416B0">
            <w:r>
              <w:t>14,366</w:t>
            </w:r>
          </w:p>
        </w:tc>
        <w:tc>
          <w:tcPr>
            <w:tcW w:w="1418" w:type="dxa"/>
            <w:shd w:val="clear" w:color="auto" w:fill="auto"/>
          </w:tcPr>
          <w:p w14:paraId="507568FB" w14:textId="77777777" w:rsidR="002416B0" w:rsidRDefault="002416B0" w:rsidP="002416B0">
            <w:r>
              <w:t>15,507</w:t>
            </w:r>
          </w:p>
        </w:tc>
        <w:tc>
          <w:tcPr>
            <w:tcW w:w="1559" w:type="dxa"/>
            <w:shd w:val="clear" w:color="auto" w:fill="auto"/>
          </w:tcPr>
          <w:p w14:paraId="4349332F" w14:textId="77777777" w:rsidR="002416B0" w:rsidRDefault="002416B0" w:rsidP="002416B0">
            <w:r>
              <w:t xml:space="preserve">        17,058</w:t>
            </w:r>
          </w:p>
        </w:tc>
        <w:tc>
          <w:tcPr>
            <w:tcW w:w="1559" w:type="dxa"/>
            <w:shd w:val="clear" w:color="auto" w:fill="auto"/>
          </w:tcPr>
          <w:p w14:paraId="6A3D6F48" w14:textId="77777777" w:rsidR="002416B0" w:rsidRDefault="002416B0" w:rsidP="002416B0">
            <w:r>
              <w:t xml:space="preserve">       13,956</w:t>
            </w:r>
          </w:p>
        </w:tc>
        <w:tc>
          <w:tcPr>
            <w:tcW w:w="1975" w:type="dxa"/>
            <w:shd w:val="clear" w:color="auto" w:fill="auto"/>
          </w:tcPr>
          <w:p w14:paraId="51E31BDC" w14:textId="77777777" w:rsidR="002416B0" w:rsidRDefault="002416B0" w:rsidP="002416B0">
            <w:pPr>
              <w:jc w:val="center"/>
            </w:pPr>
            <w:r>
              <w:t>Yes</w:t>
            </w:r>
          </w:p>
        </w:tc>
      </w:tr>
      <w:tr w:rsidR="002416B0" w14:paraId="7A3A5116" w14:textId="77777777" w:rsidTr="002416B0">
        <w:trPr>
          <w:trHeight w:val="346"/>
        </w:trPr>
        <w:tc>
          <w:tcPr>
            <w:tcW w:w="2122" w:type="dxa"/>
            <w:vMerge/>
          </w:tcPr>
          <w:p w14:paraId="63F7404B" w14:textId="77777777" w:rsidR="002416B0" w:rsidRPr="003E1391" w:rsidRDefault="002416B0" w:rsidP="002416B0">
            <w:pPr>
              <w:jc w:val="center"/>
              <w:rPr>
                <w:b/>
                <w:bCs/>
              </w:rPr>
            </w:pPr>
          </w:p>
        </w:tc>
        <w:tc>
          <w:tcPr>
            <w:tcW w:w="2419" w:type="dxa"/>
            <w:shd w:val="clear" w:color="auto" w:fill="auto"/>
          </w:tcPr>
          <w:p w14:paraId="1F6A6A58" w14:textId="77777777" w:rsidR="002416B0" w:rsidRDefault="002416B0" w:rsidP="002416B0">
            <w:pPr>
              <w:pStyle w:val="ListParagraph"/>
              <w:numPr>
                <w:ilvl w:val="0"/>
                <w:numId w:val="2"/>
              </w:numPr>
            </w:pPr>
            <w:proofErr w:type="spellStart"/>
            <w:r>
              <w:t>Qalo</w:t>
            </w:r>
            <w:proofErr w:type="spellEnd"/>
          </w:p>
        </w:tc>
        <w:tc>
          <w:tcPr>
            <w:tcW w:w="1266" w:type="dxa"/>
            <w:shd w:val="clear" w:color="auto" w:fill="auto"/>
          </w:tcPr>
          <w:p w14:paraId="507E776D" w14:textId="77777777" w:rsidR="002416B0" w:rsidRDefault="002416B0" w:rsidP="002416B0">
            <w:r>
              <w:t>14,957</w:t>
            </w:r>
          </w:p>
        </w:tc>
        <w:tc>
          <w:tcPr>
            <w:tcW w:w="1418" w:type="dxa"/>
            <w:shd w:val="clear" w:color="auto" w:fill="auto"/>
          </w:tcPr>
          <w:p w14:paraId="1EB8790D" w14:textId="77777777" w:rsidR="002416B0" w:rsidRDefault="002416B0" w:rsidP="002416B0">
            <w:r>
              <w:t>15,507</w:t>
            </w:r>
          </w:p>
        </w:tc>
        <w:tc>
          <w:tcPr>
            <w:tcW w:w="1559" w:type="dxa"/>
            <w:shd w:val="clear" w:color="auto" w:fill="auto"/>
          </w:tcPr>
          <w:p w14:paraId="2608A325" w14:textId="77777777" w:rsidR="002416B0" w:rsidRDefault="002416B0" w:rsidP="002416B0">
            <w:r>
              <w:t xml:space="preserve">        17,058</w:t>
            </w:r>
          </w:p>
        </w:tc>
        <w:tc>
          <w:tcPr>
            <w:tcW w:w="1559" w:type="dxa"/>
            <w:shd w:val="clear" w:color="auto" w:fill="auto"/>
          </w:tcPr>
          <w:p w14:paraId="3467777E" w14:textId="77777777" w:rsidR="002416B0" w:rsidRDefault="002416B0" w:rsidP="002416B0">
            <w:r>
              <w:t xml:space="preserve">       13,956</w:t>
            </w:r>
          </w:p>
        </w:tc>
        <w:tc>
          <w:tcPr>
            <w:tcW w:w="1975" w:type="dxa"/>
            <w:shd w:val="clear" w:color="auto" w:fill="auto"/>
          </w:tcPr>
          <w:p w14:paraId="005FE755" w14:textId="77777777" w:rsidR="002416B0" w:rsidRDefault="002416B0" w:rsidP="002416B0">
            <w:pPr>
              <w:jc w:val="center"/>
            </w:pPr>
            <w:r>
              <w:t>Yes</w:t>
            </w:r>
          </w:p>
        </w:tc>
      </w:tr>
      <w:tr w:rsidR="002416B0" w14:paraId="1263E42A" w14:textId="77777777" w:rsidTr="002416B0">
        <w:trPr>
          <w:trHeight w:val="377"/>
        </w:trPr>
        <w:tc>
          <w:tcPr>
            <w:tcW w:w="2122" w:type="dxa"/>
            <w:vMerge/>
          </w:tcPr>
          <w:p w14:paraId="2A45B574" w14:textId="77777777" w:rsidR="002416B0" w:rsidRPr="003E1391" w:rsidRDefault="002416B0" w:rsidP="002416B0">
            <w:pPr>
              <w:jc w:val="center"/>
              <w:rPr>
                <w:b/>
                <w:bCs/>
              </w:rPr>
            </w:pPr>
          </w:p>
        </w:tc>
        <w:tc>
          <w:tcPr>
            <w:tcW w:w="2419" w:type="dxa"/>
            <w:shd w:val="clear" w:color="auto" w:fill="auto"/>
          </w:tcPr>
          <w:p w14:paraId="4F4ED9C3" w14:textId="77777777" w:rsidR="002416B0" w:rsidRDefault="002416B0" w:rsidP="002416B0">
            <w:pPr>
              <w:pStyle w:val="ListParagraph"/>
              <w:numPr>
                <w:ilvl w:val="0"/>
                <w:numId w:val="2"/>
              </w:numPr>
            </w:pPr>
            <w:r>
              <w:t>Butha - Buthe</w:t>
            </w:r>
          </w:p>
        </w:tc>
        <w:tc>
          <w:tcPr>
            <w:tcW w:w="1266" w:type="dxa"/>
            <w:shd w:val="clear" w:color="auto" w:fill="auto"/>
          </w:tcPr>
          <w:p w14:paraId="1F04F7A4" w14:textId="77777777" w:rsidR="002416B0" w:rsidRDefault="002416B0" w:rsidP="002416B0">
            <w:r>
              <w:t>14,466</w:t>
            </w:r>
          </w:p>
        </w:tc>
        <w:tc>
          <w:tcPr>
            <w:tcW w:w="1418" w:type="dxa"/>
            <w:shd w:val="clear" w:color="auto" w:fill="auto"/>
          </w:tcPr>
          <w:p w14:paraId="1C9D1457" w14:textId="77777777" w:rsidR="002416B0" w:rsidRDefault="002416B0" w:rsidP="002416B0">
            <w:r>
              <w:t>15,507</w:t>
            </w:r>
          </w:p>
        </w:tc>
        <w:tc>
          <w:tcPr>
            <w:tcW w:w="1559" w:type="dxa"/>
            <w:shd w:val="clear" w:color="auto" w:fill="auto"/>
          </w:tcPr>
          <w:p w14:paraId="51220534" w14:textId="77777777" w:rsidR="002416B0" w:rsidRDefault="002416B0" w:rsidP="002416B0">
            <w:r>
              <w:t xml:space="preserve">        17,085</w:t>
            </w:r>
          </w:p>
        </w:tc>
        <w:tc>
          <w:tcPr>
            <w:tcW w:w="1559" w:type="dxa"/>
            <w:shd w:val="clear" w:color="auto" w:fill="auto"/>
          </w:tcPr>
          <w:p w14:paraId="212E6D31" w14:textId="77777777" w:rsidR="002416B0" w:rsidRDefault="002416B0" w:rsidP="002416B0">
            <w:r>
              <w:t xml:space="preserve">       13,956</w:t>
            </w:r>
          </w:p>
        </w:tc>
        <w:tc>
          <w:tcPr>
            <w:tcW w:w="1975" w:type="dxa"/>
            <w:shd w:val="clear" w:color="auto" w:fill="auto"/>
          </w:tcPr>
          <w:p w14:paraId="0D1FA75A" w14:textId="77777777" w:rsidR="002416B0" w:rsidRDefault="002416B0" w:rsidP="002416B0">
            <w:pPr>
              <w:jc w:val="center"/>
            </w:pPr>
            <w:r>
              <w:t>Yes</w:t>
            </w:r>
          </w:p>
        </w:tc>
      </w:tr>
      <w:tr w:rsidR="002416B0" w14:paraId="34E8C30A" w14:textId="77777777" w:rsidTr="002416B0">
        <w:trPr>
          <w:trHeight w:val="377"/>
        </w:trPr>
        <w:tc>
          <w:tcPr>
            <w:tcW w:w="2122" w:type="dxa"/>
          </w:tcPr>
          <w:p w14:paraId="1D34E924" w14:textId="77777777" w:rsidR="002416B0" w:rsidRPr="003E1391" w:rsidRDefault="002416B0" w:rsidP="002416B0">
            <w:pPr>
              <w:jc w:val="both"/>
              <w:rPr>
                <w:b/>
                <w:bCs/>
              </w:rPr>
            </w:pPr>
            <w:r>
              <w:rPr>
                <w:b/>
                <w:bCs/>
              </w:rPr>
              <w:t xml:space="preserve">Leribe </w:t>
            </w:r>
          </w:p>
        </w:tc>
        <w:tc>
          <w:tcPr>
            <w:tcW w:w="2419" w:type="dxa"/>
            <w:shd w:val="clear" w:color="auto" w:fill="auto"/>
          </w:tcPr>
          <w:p w14:paraId="11E0C14E" w14:textId="77777777" w:rsidR="002416B0" w:rsidRDefault="002416B0" w:rsidP="002416B0">
            <w:pPr>
              <w:pStyle w:val="ListParagraph"/>
              <w:numPr>
                <w:ilvl w:val="0"/>
                <w:numId w:val="2"/>
              </w:numPr>
              <w:jc w:val="both"/>
            </w:pPr>
            <w:proofErr w:type="gramStart"/>
            <w:r>
              <w:t>.</w:t>
            </w:r>
            <w:proofErr w:type="spellStart"/>
            <w:r>
              <w:t>Maliba</w:t>
            </w:r>
            <w:proofErr w:type="spellEnd"/>
            <w:proofErr w:type="gramEnd"/>
            <w:r>
              <w:t xml:space="preserve">- </w:t>
            </w:r>
            <w:proofErr w:type="spellStart"/>
            <w:r>
              <w:t>Matšo</w:t>
            </w:r>
            <w:proofErr w:type="spellEnd"/>
          </w:p>
        </w:tc>
        <w:tc>
          <w:tcPr>
            <w:tcW w:w="1266" w:type="dxa"/>
            <w:shd w:val="clear" w:color="auto" w:fill="auto"/>
          </w:tcPr>
          <w:p w14:paraId="76647BCA" w14:textId="77777777" w:rsidR="002416B0" w:rsidRDefault="002416B0" w:rsidP="002416B0">
            <w:r>
              <w:t>15,414</w:t>
            </w:r>
          </w:p>
        </w:tc>
        <w:tc>
          <w:tcPr>
            <w:tcW w:w="1418" w:type="dxa"/>
            <w:shd w:val="clear" w:color="auto" w:fill="auto"/>
          </w:tcPr>
          <w:p w14:paraId="07EDE5E7" w14:textId="77777777" w:rsidR="002416B0" w:rsidRDefault="002416B0" w:rsidP="002416B0">
            <w:r>
              <w:t>15,507</w:t>
            </w:r>
          </w:p>
        </w:tc>
        <w:tc>
          <w:tcPr>
            <w:tcW w:w="1559" w:type="dxa"/>
            <w:shd w:val="clear" w:color="auto" w:fill="auto"/>
          </w:tcPr>
          <w:p w14:paraId="4C998996" w14:textId="77777777" w:rsidR="002416B0" w:rsidRDefault="002416B0" w:rsidP="002416B0">
            <w:r>
              <w:t xml:space="preserve">        17,085</w:t>
            </w:r>
          </w:p>
        </w:tc>
        <w:tc>
          <w:tcPr>
            <w:tcW w:w="1559" w:type="dxa"/>
            <w:shd w:val="clear" w:color="auto" w:fill="auto"/>
          </w:tcPr>
          <w:p w14:paraId="394021F3" w14:textId="77777777" w:rsidR="002416B0" w:rsidRDefault="002416B0" w:rsidP="002416B0">
            <w:r>
              <w:t xml:space="preserve">       13,956</w:t>
            </w:r>
          </w:p>
        </w:tc>
        <w:tc>
          <w:tcPr>
            <w:tcW w:w="1975" w:type="dxa"/>
            <w:shd w:val="clear" w:color="auto" w:fill="auto"/>
          </w:tcPr>
          <w:p w14:paraId="6C6334AD" w14:textId="77777777" w:rsidR="002416B0" w:rsidRDefault="002416B0" w:rsidP="002416B0">
            <w:pPr>
              <w:jc w:val="center"/>
            </w:pPr>
            <w:r>
              <w:t>Yes</w:t>
            </w:r>
          </w:p>
        </w:tc>
      </w:tr>
      <w:tr w:rsidR="002416B0" w:rsidRPr="002416B0" w14:paraId="202330ED" w14:textId="77777777" w:rsidTr="002416B0">
        <w:trPr>
          <w:trHeight w:val="377"/>
        </w:trPr>
        <w:tc>
          <w:tcPr>
            <w:tcW w:w="2122" w:type="dxa"/>
            <w:vMerge w:val="restart"/>
          </w:tcPr>
          <w:p w14:paraId="608F2994" w14:textId="77777777" w:rsidR="002416B0" w:rsidRDefault="002416B0" w:rsidP="002416B0">
            <w:pPr>
              <w:jc w:val="both"/>
              <w:rPr>
                <w:b/>
                <w:bCs/>
              </w:rPr>
            </w:pPr>
          </w:p>
        </w:tc>
        <w:tc>
          <w:tcPr>
            <w:tcW w:w="2419" w:type="dxa"/>
            <w:shd w:val="clear" w:color="auto" w:fill="auto"/>
          </w:tcPr>
          <w:p w14:paraId="6F3AEF86" w14:textId="77777777" w:rsidR="002416B0" w:rsidRPr="00DD2A69" w:rsidRDefault="002416B0" w:rsidP="002416B0">
            <w:pPr>
              <w:pStyle w:val="ListParagraph"/>
              <w:numPr>
                <w:ilvl w:val="0"/>
                <w:numId w:val="2"/>
              </w:numPr>
              <w:jc w:val="both"/>
              <w:rPr>
                <w:b/>
                <w:bCs/>
              </w:rPr>
            </w:pPr>
            <w:proofErr w:type="spellStart"/>
            <w:r w:rsidRPr="00DD2A69">
              <w:rPr>
                <w:b/>
                <w:bCs/>
              </w:rPr>
              <w:t>Mphosong</w:t>
            </w:r>
            <w:proofErr w:type="spellEnd"/>
          </w:p>
        </w:tc>
        <w:tc>
          <w:tcPr>
            <w:tcW w:w="1266" w:type="dxa"/>
            <w:shd w:val="clear" w:color="auto" w:fill="auto"/>
          </w:tcPr>
          <w:p w14:paraId="4303E2F0" w14:textId="77777777" w:rsidR="002416B0" w:rsidRPr="00DD2A69" w:rsidRDefault="002416B0" w:rsidP="002416B0">
            <w:pPr>
              <w:rPr>
                <w:b/>
                <w:bCs/>
              </w:rPr>
            </w:pPr>
            <w:r w:rsidRPr="00DD2A69">
              <w:rPr>
                <w:b/>
                <w:bCs/>
              </w:rPr>
              <w:t>17,380</w:t>
            </w:r>
          </w:p>
        </w:tc>
        <w:tc>
          <w:tcPr>
            <w:tcW w:w="1418" w:type="dxa"/>
            <w:shd w:val="clear" w:color="auto" w:fill="auto"/>
          </w:tcPr>
          <w:p w14:paraId="0725E363" w14:textId="77777777" w:rsidR="002416B0" w:rsidRPr="00DD2A69" w:rsidRDefault="002416B0" w:rsidP="002416B0">
            <w:pPr>
              <w:rPr>
                <w:b/>
                <w:bCs/>
              </w:rPr>
            </w:pPr>
            <w:r w:rsidRPr="00DD2A69">
              <w:rPr>
                <w:b/>
                <w:bCs/>
              </w:rPr>
              <w:t>15,507</w:t>
            </w:r>
          </w:p>
        </w:tc>
        <w:tc>
          <w:tcPr>
            <w:tcW w:w="1559" w:type="dxa"/>
            <w:shd w:val="clear" w:color="auto" w:fill="auto"/>
          </w:tcPr>
          <w:p w14:paraId="53910A68" w14:textId="77777777" w:rsidR="002416B0" w:rsidRPr="00DD2A69" w:rsidRDefault="002416B0" w:rsidP="002416B0">
            <w:pPr>
              <w:rPr>
                <w:b/>
                <w:bCs/>
              </w:rPr>
            </w:pPr>
            <w:r w:rsidRPr="00DD2A69">
              <w:rPr>
                <w:b/>
                <w:bCs/>
              </w:rPr>
              <w:t xml:space="preserve">        17,085</w:t>
            </w:r>
          </w:p>
        </w:tc>
        <w:tc>
          <w:tcPr>
            <w:tcW w:w="1559" w:type="dxa"/>
            <w:shd w:val="clear" w:color="auto" w:fill="auto"/>
          </w:tcPr>
          <w:p w14:paraId="7E490F85" w14:textId="77777777" w:rsidR="002416B0" w:rsidRPr="00DD2A69" w:rsidRDefault="002416B0" w:rsidP="002416B0">
            <w:pPr>
              <w:rPr>
                <w:b/>
                <w:bCs/>
              </w:rPr>
            </w:pPr>
            <w:r w:rsidRPr="00DD2A69">
              <w:rPr>
                <w:b/>
                <w:bCs/>
              </w:rPr>
              <w:t xml:space="preserve">       13,956</w:t>
            </w:r>
          </w:p>
        </w:tc>
        <w:tc>
          <w:tcPr>
            <w:tcW w:w="1975" w:type="dxa"/>
            <w:shd w:val="clear" w:color="auto" w:fill="auto"/>
          </w:tcPr>
          <w:p w14:paraId="53E5560E" w14:textId="77777777" w:rsidR="002416B0" w:rsidRPr="002416B0" w:rsidRDefault="002416B0" w:rsidP="002416B0">
            <w:pPr>
              <w:jc w:val="center"/>
              <w:rPr>
                <w:b/>
                <w:bCs/>
              </w:rPr>
            </w:pPr>
            <w:r w:rsidRPr="002416B0">
              <w:rPr>
                <w:b/>
                <w:bCs/>
              </w:rPr>
              <w:t>No</w:t>
            </w:r>
          </w:p>
        </w:tc>
      </w:tr>
      <w:tr w:rsidR="002416B0" w14:paraId="45F0CCB8" w14:textId="77777777" w:rsidTr="002416B0">
        <w:trPr>
          <w:trHeight w:val="377"/>
        </w:trPr>
        <w:tc>
          <w:tcPr>
            <w:tcW w:w="2122" w:type="dxa"/>
            <w:vMerge/>
          </w:tcPr>
          <w:p w14:paraId="0118C5C6" w14:textId="77777777" w:rsidR="002416B0" w:rsidRDefault="002416B0" w:rsidP="002416B0">
            <w:pPr>
              <w:jc w:val="both"/>
              <w:rPr>
                <w:b/>
                <w:bCs/>
              </w:rPr>
            </w:pPr>
          </w:p>
        </w:tc>
        <w:tc>
          <w:tcPr>
            <w:tcW w:w="2419" w:type="dxa"/>
            <w:shd w:val="clear" w:color="auto" w:fill="auto"/>
          </w:tcPr>
          <w:p w14:paraId="2E67EFF5" w14:textId="77777777" w:rsidR="002416B0" w:rsidRDefault="002416B0" w:rsidP="002416B0">
            <w:pPr>
              <w:pStyle w:val="ListParagraph"/>
              <w:numPr>
                <w:ilvl w:val="0"/>
                <w:numId w:val="2"/>
              </w:numPr>
              <w:jc w:val="both"/>
            </w:pPr>
            <w:proofErr w:type="spellStart"/>
            <w:r>
              <w:t>Thaba</w:t>
            </w:r>
            <w:proofErr w:type="spellEnd"/>
            <w:r>
              <w:t xml:space="preserve"> - </w:t>
            </w:r>
            <w:proofErr w:type="spellStart"/>
            <w:r>
              <w:t>Patšoa</w:t>
            </w:r>
            <w:proofErr w:type="spellEnd"/>
          </w:p>
        </w:tc>
        <w:tc>
          <w:tcPr>
            <w:tcW w:w="1266" w:type="dxa"/>
            <w:shd w:val="clear" w:color="auto" w:fill="auto"/>
          </w:tcPr>
          <w:p w14:paraId="646D583A" w14:textId="77777777" w:rsidR="002416B0" w:rsidRDefault="002416B0" w:rsidP="002416B0">
            <w:r>
              <w:t>15,620</w:t>
            </w:r>
          </w:p>
        </w:tc>
        <w:tc>
          <w:tcPr>
            <w:tcW w:w="1418" w:type="dxa"/>
            <w:shd w:val="clear" w:color="auto" w:fill="auto"/>
          </w:tcPr>
          <w:p w14:paraId="51DEA6B0" w14:textId="77777777" w:rsidR="002416B0" w:rsidRDefault="002416B0" w:rsidP="002416B0">
            <w:r>
              <w:t>15,507</w:t>
            </w:r>
          </w:p>
        </w:tc>
        <w:tc>
          <w:tcPr>
            <w:tcW w:w="1559" w:type="dxa"/>
            <w:shd w:val="clear" w:color="auto" w:fill="auto"/>
          </w:tcPr>
          <w:p w14:paraId="65AD8899" w14:textId="77777777" w:rsidR="002416B0" w:rsidRDefault="002416B0" w:rsidP="002416B0">
            <w:r>
              <w:t xml:space="preserve">        17,085</w:t>
            </w:r>
          </w:p>
        </w:tc>
        <w:tc>
          <w:tcPr>
            <w:tcW w:w="1559" w:type="dxa"/>
            <w:shd w:val="clear" w:color="auto" w:fill="auto"/>
          </w:tcPr>
          <w:p w14:paraId="4D5E4D8B" w14:textId="77777777" w:rsidR="002416B0" w:rsidRDefault="002416B0" w:rsidP="002416B0">
            <w:r>
              <w:t xml:space="preserve">       13,956</w:t>
            </w:r>
          </w:p>
        </w:tc>
        <w:tc>
          <w:tcPr>
            <w:tcW w:w="1975" w:type="dxa"/>
            <w:shd w:val="clear" w:color="auto" w:fill="auto"/>
          </w:tcPr>
          <w:p w14:paraId="35D19FEB" w14:textId="77777777" w:rsidR="002416B0" w:rsidRDefault="002416B0" w:rsidP="002416B0">
            <w:pPr>
              <w:jc w:val="center"/>
            </w:pPr>
            <w:r>
              <w:t>Yes</w:t>
            </w:r>
          </w:p>
        </w:tc>
      </w:tr>
      <w:tr w:rsidR="002416B0" w14:paraId="1ED9719D" w14:textId="77777777" w:rsidTr="002416B0">
        <w:trPr>
          <w:trHeight w:val="377"/>
        </w:trPr>
        <w:tc>
          <w:tcPr>
            <w:tcW w:w="2122" w:type="dxa"/>
            <w:vMerge/>
          </w:tcPr>
          <w:p w14:paraId="41EA7A39" w14:textId="77777777" w:rsidR="002416B0" w:rsidRDefault="002416B0" w:rsidP="002416B0">
            <w:pPr>
              <w:jc w:val="both"/>
              <w:rPr>
                <w:b/>
                <w:bCs/>
              </w:rPr>
            </w:pPr>
          </w:p>
        </w:tc>
        <w:tc>
          <w:tcPr>
            <w:tcW w:w="2419" w:type="dxa"/>
            <w:shd w:val="clear" w:color="auto" w:fill="auto"/>
          </w:tcPr>
          <w:p w14:paraId="5B5FAC34" w14:textId="77777777" w:rsidR="002416B0" w:rsidRDefault="002416B0" w:rsidP="002416B0">
            <w:pPr>
              <w:pStyle w:val="ListParagraph"/>
              <w:numPr>
                <w:ilvl w:val="0"/>
                <w:numId w:val="2"/>
              </w:numPr>
              <w:jc w:val="both"/>
            </w:pPr>
            <w:proofErr w:type="spellStart"/>
            <w:r>
              <w:t>Mahobong</w:t>
            </w:r>
            <w:proofErr w:type="spellEnd"/>
          </w:p>
        </w:tc>
        <w:tc>
          <w:tcPr>
            <w:tcW w:w="1266" w:type="dxa"/>
            <w:shd w:val="clear" w:color="auto" w:fill="auto"/>
          </w:tcPr>
          <w:p w14:paraId="005E3C62" w14:textId="77777777" w:rsidR="002416B0" w:rsidRDefault="002416B0" w:rsidP="002416B0">
            <w:r>
              <w:t>14,239</w:t>
            </w:r>
          </w:p>
        </w:tc>
        <w:tc>
          <w:tcPr>
            <w:tcW w:w="1418" w:type="dxa"/>
            <w:shd w:val="clear" w:color="auto" w:fill="auto"/>
          </w:tcPr>
          <w:p w14:paraId="3A3F27E3" w14:textId="77777777" w:rsidR="002416B0" w:rsidRDefault="002416B0" w:rsidP="002416B0">
            <w:r>
              <w:t>15,507</w:t>
            </w:r>
          </w:p>
        </w:tc>
        <w:tc>
          <w:tcPr>
            <w:tcW w:w="1559" w:type="dxa"/>
            <w:shd w:val="clear" w:color="auto" w:fill="auto"/>
          </w:tcPr>
          <w:p w14:paraId="23E9F05B" w14:textId="77777777" w:rsidR="002416B0" w:rsidRDefault="002416B0" w:rsidP="002416B0">
            <w:r>
              <w:t xml:space="preserve">        17,085</w:t>
            </w:r>
          </w:p>
        </w:tc>
        <w:tc>
          <w:tcPr>
            <w:tcW w:w="1559" w:type="dxa"/>
            <w:shd w:val="clear" w:color="auto" w:fill="auto"/>
          </w:tcPr>
          <w:p w14:paraId="60B6A075" w14:textId="77777777" w:rsidR="002416B0" w:rsidRDefault="002416B0" w:rsidP="002416B0">
            <w:r>
              <w:t xml:space="preserve">       13,956</w:t>
            </w:r>
          </w:p>
        </w:tc>
        <w:tc>
          <w:tcPr>
            <w:tcW w:w="1975" w:type="dxa"/>
            <w:shd w:val="clear" w:color="auto" w:fill="auto"/>
          </w:tcPr>
          <w:p w14:paraId="59369AB2" w14:textId="77777777" w:rsidR="002416B0" w:rsidRDefault="002416B0" w:rsidP="002416B0">
            <w:pPr>
              <w:jc w:val="center"/>
            </w:pPr>
            <w:r>
              <w:t>Yes</w:t>
            </w:r>
          </w:p>
        </w:tc>
      </w:tr>
      <w:tr w:rsidR="002416B0" w14:paraId="14F2D028" w14:textId="77777777" w:rsidTr="002416B0">
        <w:trPr>
          <w:trHeight w:val="377"/>
        </w:trPr>
        <w:tc>
          <w:tcPr>
            <w:tcW w:w="2122" w:type="dxa"/>
            <w:vMerge/>
          </w:tcPr>
          <w:p w14:paraId="16E84A70" w14:textId="77777777" w:rsidR="002416B0" w:rsidRDefault="002416B0" w:rsidP="002416B0">
            <w:pPr>
              <w:jc w:val="both"/>
              <w:rPr>
                <w:b/>
                <w:bCs/>
              </w:rPr>
            </w:pPr>
          </w:p>
        </w:tc>
        <w:tc>
          <w:tcPr>
            <w:tcW w:w="2419" w:type="dxa"/>
            <w:shd w:val="clear" w:color="auto" w:fill="auto"/>
          </w:tcPr>
          <w:p w14:paraId="687C5937" w14:textId="77777777" w:rsidR="002416B0" w:rsidRDefault="002416B0" w:rsidP="002416B0">
            <w:pPr>
              <w:pStyle w:val="ListParagraph"/>
              <w:numPr>
                <w:ilvl w:val="0"/>
                <w:numId w:val="2"/>
              </w:numPr>
              <w:jc w:val="both"/>
            </w:pPr>
            <w:r>
              <w:t xml:space="preserve">Pela - </w:t>
            </w:r>
            <w:proofErr w:type="spellStart"/>
            <w:r>
              <w:t>Tšoeu</w:t>
            </w:r>
            <w:proofErr w:type="spellEnd"/>
          </w:p>
        </w:tc>
        <w:tc>
          <w:tcPr>
            <w:tcW w:w="1266" w:type="dxa"/>
            <w:shd w:val="clear" w:color="auto" w:fill="auto"/>
          </w:tcPr>
          <w:p w14:paraId="05778B78" w14:textId="77777777" w:rsidR="002416B0" w:rsidRDefault="002416B0" w:rsidP="002416B0">
            <w:r>
              <w:t>14,195</w:t>
            </w:r>
          </w:p>
        </w:tc>
        <w:tc>
          <w:tcPr>
            <w:tcW w:w="1418" w:type="dxa"/>
            <w:shd w:val="clear" w:color="auto" w:fill="auto"/>
          </w:tcPr>
          <w:p w14:paraId="562E3111" w14:textId="77777777" w:rsidR="002416B0" w:rsidRDefault="002416B0" w:rsidP="002416B0">
            <w:r>
              <w:t>15,507</w:t>
            </w:r>
          </w:p>
        </w:tc>
        <w:tc>
          <w:tcPr>
            <w:tcW w:w="1559" w:type="dxa"/>
            <w:shd w:val="clear" w:color="auto" w:fill="auto"/>
          </w:tcPr>
          <w:p w14:paraId="451D350A" w14:textId="77777777" w:rsidR="002416B0" w:rsidRDefault="002416B0" w:rsidP="002416B0">
            <w:r>
              <w:t xml:space="preserve">        17,085</w:t>
            </w:r>
          </w:p>
        </w:tc>
        <w:tc>
          <w:tcPr>
            <w:tcW w:w="1559" w:type="dxa"/>
            <w:shd w:val="clear" w:color="auto" w:fill="auto"/>
          </w:tcPr>
          <w:p w14:paraId="0C888EA3" w14:textId="77777777" w:rsidR="002416B0" w:rsidRDefault="002416B0" w:rsidP="002416B0">
            <w:r>
              <w:t xml:space="preserve">       13,956</w:t>
            </w:r>
          </w:p>
        </w:tc>
        <w:tc>
          <w:tcPr>
            <w:tcW w:w="1975" w:type="dxa"/>
            <w:shd w:val="clear" w:color="auto" w:fill="auto"/>
          </w:tcPr>
          <w:p w14:paraId="6DD4BA0F" w14:textId="77777777" w:rsidR="002416B0" w:rsidRDefault="002416B0" w:rsidP="002416B0">
            <w:pPr>
              <w:jc w:val="center"/>
            </w:pPr>
            <w:r>
              <w:t>Yes</w:t>
            </w:r>
          </w:p>
        </w:tc>
      </w:tr>
      <w:tr w:rsidR="002416B0" w14:paraId="7B823F6A" w14:textId="77777777" w:rsidTr="002416B0">
        <w:trPr>
          <w:trHeight w:val="377"/>
        </w:trPr>
        <w:tc>
          <w:tcPr>
            <w:tcW w:w="2122" w:type="dxa"/>
            <w:vMerge/>
          </w:tcPr>
          <w:p w14:paraId="42284800" w14:textId="77777777" w:rsidR="002416B0" w:rsidRDefault="002416B0" w:rsidP="002416B0">
            <w:pPr>
              <w:jc w:val="both"/>
              <w:rPr>
                <w:b/>
                <w:bCs/>
              </w:rPr>
            </w:pPr>
          </w:p>
        </w:tc>
        <w:tc>
          <w:tcPr>
            <w:tcW w:w="2419" w:type="dxa"/>
            <w:shd w:val="clear" w:color="auto" w:fill="auto"/>
          </w:tcPr>
          <w:p w14:paraId="1E5F0E0E" w14:textId="77777777" w:rsidR="002416B0" w:rsidRDefault="002416B0" w:rsidP="002416B0">
            <w:pPr>
              <w:pStyle w:val="ListParagraph"/>
              <w:numPr>
                <w:ilvl w:val="0"/>
                <w:numId w:val="2"/>
              </w:numPr>
              <w:jc w:val="both"/>
            </w:pPr>
            <w:proofErr w:type="spellStart"/>
            <w:r>
              <w:t>Matlakeng</w:t>
            </w:r>
            <w:proofErr w:type="spellEnd"/>
          </w:p>
        </w:tc>
        <w:tc>
          <w:tcPr>
            <w:tcW w:w="1266" w:type="dxa"/>
            <w:shd w:val="clear" w:color="auto" w:fill="auto"/>
          </w:tcPr>
          <w:p w14:paraId="3FAAF1B3" w14:textId="77777777" w:rsidR="002416B0" w:rsidRDefault="002416B0" w:rsidP="002416B0">
            <w:r>
              <w:t>15,725</w:t>
            </w:r>
          </w:p>
        </w:tc>
        <w:tc>
          <w:tcPr>
            <w:tcW w:w="1418" w:type="dxa"/>
            <w:shd w:val="clear" w:color="auto" w:fill="auto"/>
          </w:tcPr>
          <w:p w14:paraId="1C0725DD" w14:textId="77777777" w:rsidR="002416B0" w:rsidRDefault="002416B0" w:rsidP="002416B0">
            <w:r>
              <w:t>15,507</w:t>
            </w:r>
          </w:p>
        </w:tc>
        <w:tc>
          <w:tcPr>
            <w:tcW w:w="1559" w:type="dxa"/>
            <w:shd w:val="clear" w:color="auto" w:fill="auto"/>
          </w:tcPr>
          <w:p w14:paraId="59444DD9" w14:textId="77777777" w:rsidR="002416B0" w:rsidRDefault="002416B0" w:rsidP="002416B0">
            <w:r>
              <w:t xml:space="preserve">        17,085</w:t>
            </w:r>
          </w:p>
        </w:tc>
        <w:tc>
          <w:tcPr>
            <w:tcW w:w="1559" w:type="dxa"/>
            <w:shd w:val="clear" w:color="auto" w:fill="auto"/>
          </w:tcPr>
          <w:p w14:paraId="2C6B715F" w14:textId="77777777" w:rsidR="002416B0" w:rsidRDefault="002416B0" w:rsidP="002416B0">
            <w:r>
              <w:t xml:space="preserve">       13,956</w:t>
            </w:r>
          </w:p>
        </w:tc>
        <w:tc>
          <w:tcPr>
            <w:tcW w:w="1975" w:type="dxa"/>
            <w:shd w:val="clear" w:color="auto" w:fill="auto"/>
          </w:tcPr>
          <w:p w14:paraId="30E926CC" w14:textId="77777777" w:rsidR="002416B0" w:rsidRDefault="002416B0" w:rsidP="002416B0">
            <w:pPr>
              <w:jc w:val="center"/>
            </w:pPr>
            <w:r>
              <w:t>Yes</w:t>
            </w:r>
          </w:p>
        </w:tc>
      </w:tr>
      <w:tr w:rsidR="002416B0" w14:paraId="7BE385A4" w14:textId="77777777" w:rsidTr="002416B0">
        <w:trPr>
          <w:trHeight w:val="377"/>
        </w:trPr>
        <w:tc>
          <w:tcPr>
            <w:tcW w:w="2122" w:type="dxa"/>
            <w:vMerge/>
          </w:tcPr>
          <w:p w14:paraId="4EC7C782" w14:textId="77777777" w:rsidR="002416B0" w:rsidRDefault="002416B0" w:rsidP="002416B0">
            <w:pPr>
              <w:jc w:val="both"/>
              <w:rPr>
                <w:b/>
                <w:bCs/>
              </w:rPr>
            </w:pPr>
          </w:p>
        </w:tc>
        <w:tc>
          <w:tcPr>
            <w:tcW w:w="2419" w:type="dxa"/>
            <w:shd w:val="clear" w:color="auto" w:fill="auto"/>
          </w:tcPr>
          <w:p w14:paraId="613DA5C2" w14:textId="77777777" w:rsidR="002416B0" w:rsidRDefault="002416B0" w:rsidP="002416B0">
            <w:pPr>
              <w:pStyle w:val="ListParagraph"/>
              <w:numPr>
                <w:ilvl w:val="0"/>
                <w:numId w:val="2"/>
              </w:numPr>
              <w:jc w:val="both"/>
            </w:pPr>
            <w:r>
              <w:t>Leribe</w:t>
            </w:r>
          </w:p>
        </w:tc>
        <w:tc>
          <w:tcPr>
            <w:tcW w:w="1266" w:type="dxa"/>
            <w:shd w:val="clear" w:color="auto" w:fill="auto"/>
          </w:tcPr>
          <w:p w14:paraId="150CF406" w14:textId="77777777" w:rsidR="002416B0" w:rsidRDefault="002416B0" w:rsidP="002416B0">
            <w:r>
              <w:t>16,065</w:t>
            </w:r>
          </w:p>
        </w:tc>
        <w:tc>
          <w:tcPr>
            <w:tcW w:w="1418" w:type="dxa"/>
            <w:shd w:val="clear" w:color="auto" w:fill="auto"/>
          </w:tcPr>
          <w:p w14:paraId="2CFA36EA" w14:textId="77777777" w:rsidR="002416B0" w:rsidRDefault="002416B0" w:rsidP="002416B0">
            <w:r>
              <w:t>15,507</w:t>
            </w:r>
          </w:p>
        </w:tc>
        <w:tc>
          <w:tcPr>
            <w:tcW w:w="1559" w:type="dxa"/>
            <w:shd w:val="clear" w:color="auto" w:fill="auto"/>
          </w:tcPr>
          <w:p w14:paraId="16197358" w14:textId="77777777" w:rsidR="002416B0" w:rsidRDefault="002416B0" w:rsidP="002416B0">
            <w:r>
              <w:t xml:space="preserve">        17,085</w:t>
            </w:r>
          </w:p>
        </w:tc>
        <w:tc>
          <w:tcPr>
            <w:tcW w:w="1559" w:type="dxa"/>
            <w:shd w:val="clear" w:color="auto" w:fill="auto"/>
          </w:tcPr>
          <w:p w14:paraId="696AC39E" w14:textId="77777777" w:rsidR="002416B0" w:rsidRDefault="002416B0" w:rsidP="002416B0">
            <w:r>
              <w:t xml:space="preserve">       13,956</w:t>
            </w:r>
          </w:p>
        </w:tc>
        <w:tc>
          <w:tcPr>
            <w:tcW w:w="1975" w:type="dxa"/>
            <w:shd w:val="clear" w:color="auto" w:fill="auto"/>
          </w:tcPr>
          <w:p w14:paraId="3FDF7DA2" w14:textId="77777777" w:rsidR="002416B0" w:rsidRDefault="002416B0" w:rsidP="002416B0">
            <w:pPr>
              <w:jc w:val="center"/>
            </w:pPr>
            <w:r>
              <w:t>Yes</w:t>
            </w:r>
          </w:p>
        </w:tc>
      </w:tr>
      <w:tr w:rsidR="002416B0" w14:paraId="7E423BA8" w14:textId="77777777" w:rsidTr="002416B0">
        <w:trPr>
          <w:trHeight w:val="377"/>
        </w:trPr>
        <w:tc>
          <w:tcPr>
            <w:tcW w:w="2122" w:type="dxa"/>
            <w:vMerge/>
          </w:tcPr>
          <w:p w14:paraId="628AE3F4" w14:textId="77777777" w:rsidR="002416B0" w:rsidRDefault="002416B0" w:rsidP="002416B0">
            <w:pPr>
              <w:jc w:val="both"/>
              <w:rPr>
                <w:b/>
                <w:bCs/>
              </w:rPr>
            </w:pPr>
          </w:p>
        </w:tc>
        <w:tc>
          <w:tcPr>
            <w:tcW w:w="2419" w:type="dxa"/>
            <w:shd w:val="clear" w:color="auto" w:fill="auto"/>
          </w:tcPr>
          <w:p w14:paraId="0557FFC1" w14:textId="77777777" w:rsidR="002416B0" w:rsidRDefault="002416B0" w:rsidP="002416B0">
            <w:pPr>
              <w:pStyle w:val="ListParagraph"/>
              <w:numPr>
                <w:ilvl w:val="0"/>
                <w:numId w:val="2"/>
              </w:numPr>
              <w:jc w:val="both"/>
            </w:pPr>
            <w:proofErr w:type="spellStart"/>
            <w:r>
              <w:t>Hlotse</w:t>
            </w:r>
            <w:proofErr w:type="spellEnd"/>
          </w:p>
        </w:tc>
        <w:tc>
          <w:tcPr>
            <w:tcW w:w="1266" w:type="dxa"/>
            <w:shd w:val="clear" w:color="auto" w:fill="auto"/>
          </w:tcPr>
          <w:p w14:paraId="1BFB491C" w14:textId="77777777" w:rsidR="002416B0" w:rsidRDefault="002416B0" w:rsidP="002416B0">
            <w:r>
              <w:t>16,463</w:t>
            </w:r>
          </w:p>
        </w:tc>
        <w:tc>
          <w:tcPr>
            <w:tcW w:w="1418" w:type="dxa"/>
            <w:shd w:val="clear" w:color="auto" w:fill="auto"/>
          </w:tcPr>
          <w:p w14:paraId="12308147" w14:textId="77777777" w:rsidR="002416B0" w:rsidRDefault="002416B0" w:rsidP="002416B0">
            <w:r>
              <w:t>15,507</w:t>
            </w:r>
          </w:p>
        </w:tc>
        <w:tc>
          <w:tcPr>
            <w:tcW w:w="1559" w:type="dxa"/>
            <w:shd w:val="clear" w:color="auto" w:fill="auto"/>
          </w:tcPr>
          <w:p w14:paraId="69DC4CEB" w14:textId="77777777" w:rsidR="002416B0" w:rsidRDefault="002416B0" w:rsidP="002416B0">
            <w:r>
              <w:t xml:space="preserve">        17,085</w:t>
            </w:r>
          </w:p>
        </w:tc>
        <w:tc>
          <w:tcPr>
            <w:tcW w:w="1559" w:type="dxa"/>
            <w:shd w:val="clear" w:color="auto" w:fill="auto"/>
          </w:tcPr>
          <w:p w14:paraId="437FC231" w14:textId="77777777" w:rsidR="002416B0" w:rsidRDefault="002416B0" w:rsidP="002416B0">
            <w:r>
              <w:t xml:space="preserve">       13,956</w:t>
            </w:r>
          </w:p>
        </w:tc>
        <w:tc>
          <w:tcPr>
            <w:tcW w:w="1975" w:type="dxa"/>
            <w:shd w:val="clear" w:color="auto" w:fill="auto"/>
          </w:tcPr>
          <w:p w14:paraId="17499E15" w14:textId="77777777" w:rsidR="002416B0" w:rsidRDefault="002416B0" w:rsidP="002416B0">
            <w:pPr>
              <w:jc w:val="center"/>
            </w:pPr>
            <w:r>
              <w:t>Yes</w:t>
            </w:r>
          </w:p>
        </w:tc>
      </w:tr>
      <w:tr w:rsidR="002416B0" w:rsidRPr="002416B0" w14:paraId="0FA4F1B6" w14:textId="77777777" w:rsidTr="002416B0">
        <w:trPr>
          <w:trHeight w:val="377"/>
        </w:trPr>
        <w:tc>
          <w:tcPr>
            <w:tcW w:w="2122" w:type="dxa"/>
            <w:vMerge/>
          </w:tcPr>
          <w:p w14:paraId="4DF7866E" w14:textId="77777777" w:rsidR="002416B0" w:rsidRDefault="002416B0" w:rsidP="002416B0">
            <w:pPr>
              <w:jc w:val="both"/>
              <w:rPr>
                <w:b/>
                <w:bCs/>
              </w:rPr>
            </w:pPr>
          </w:p>
        </w:tc>
        <w:tc>
          <w:tcPr>
            <w:tcW w:w="2419" w:type="dxa"/>
            <w:shd w:val="clear" w:color="auto" w:fill="auto"/>
          </w:tcPr>
          <w:p w14:paraId="2BED011B" w14:textId="77777777" w:rsidR="002416B0" w:rsidRPr="00DD2A69" w:rsidRDefault="002416B0" w:rsidP="002416B0">
            <w:pPr>
              <w:pStyle w:val="ListParagraph"/>
              <w:numPr>
                <w:ilvl w:val="0"/>
                <w:numId w:val="2"/>
              </w:numPr>
              <w:jc w:val="both"/>
              <w:rPr>
                <w:b/>
                <w:bCs/>
              </w:rPr>
            </w:pPr>
            <w:proofErr w:type="spellStart"/>
            <w:r w:rsidRPr="00DD2A69">
              <w:rPr>
                <w:b/>
                <w:bCs/>
              </w:rPr>
              <w:t>Tsikoane</w:t>
            </w:r>
            <w:proofErr w:type="spellEnd"/>
          </w:p>
        </w:tc>
        <w:tc>
          <w:tcPr>
            <w:tcW w:w="1266" w:type="dxa"/>
            <w:shd w:val="clear" w:color="auto" w:fill="auto"/>
          </w:tcPr>
          <w:p w14:paraId="3E5025CD" w14:textId="77777777" w:rsidR="002416B0" w:rsidRPr="00DD2A69" w:rsidRDefault="002416B0" w:rsidP="002416B0">
            <w:pPr>
              <w:rPr>
                <w:b/>
                <w:bCs/>
              </w:rPr>
            </w:pPr>
            <w:r w:rsidRPr="00DD2A69">
              <w:rPr>
                <w:b/>
                <w:bCs/>
              </w:rPr>
              <w:t>17,574</w:t>
            </w:r>
          </w:p>
        </w:tc>
        <w:tc>
          <w:tcPr>
            <w:tcW w:w="1418" w:type="dxa"/>
            <w:shd w:val="clear" w:color="auto" w:fill="auto"/>
          </w:tcPr>
          <w:p w14:paraId="23C6FDC5" w14:textId="77777777" w:rsidR="002416B0" w:rsidRPr="00DD2A69" w:rsidRDefault="002416B0" w:rsidP="002416B0">
            <w:pPr>
              <w:rPr>
                <w:b/>
                <w:bCs/>
              </w:rPr>
            </w:pPr>
            <w:r w:rsidRPr="00DD2A69">
              <w:rPr>
                <w:b/>
                <w:bCs/>
              </w:rPr>
              <w:t>15,507</w:t>
            </w:r>
          </w:p>
        </w:tc>
        <w:tc>
          <w:tcPr>
            <w:tcW w:w="1559" w:type="dxa"/>
            <w:shd w:val="clear" w:color="auto" w:fill="auto"/>
          </w:tcPr>
          <w:p w14:paraId="24022F4E" w14:textId="77777777" w:rsidR="002416B0" w:rsidRPr="00DD2A69" w:rsidRDefault="002416B0" w:rsidP="002416B0">
            <w:pPr>
              <w:rPr>
                <w:b/>
                <w:bCs/>
              </w:rPr>
            </w:pPr>
            <w:r w:rsidRPr="00DD2A69">
              <w:rPr>
                <w:b/>
                <w:bCs/>
              </w:rPr>
              <w:t xml:space="preserve">        17,085</w:t>
            </w:r>
          </w:p>
        </w:tc>
        <w:tc>
          <w:tcPr>
            <w:tcW w:w="1559" w:type="dxa"/>
            <w:shd w:val="clear" w:color="auto" w:fill="auto"/>
          </w:tcPr>
          <w:p w14:paraId="02DD9AC8" w14:textId="77777777" w:rsidR="002416B0" w:rsidRPr="00DD2A69" w:rsidRDefault="002416B0" w:rsidP="002416B0">
            <w:pPr>
              <w:rPr>
                <w:b/>
                <w:bCs/>
              </w:rPr>
            </w:pPr>
            <w:r w:rsidRPr="00DD2A69">
              <w:rPr>
                <w:b/>
                <w:bCs/>
              </w:rPr>
              <w:t xml:space="preserve">       13,956</w:t>
            </w:r>
          </w:p>
        </w:tc>
        <w:tc>
          <w:tcPr>
            <w:tcW w:w="1975" w:type="dxa"/>
            <w:shd w:val="clear" w:color="auto" w:fill="auto"/>
          </w:tcPr>
          <w:p w14:paraId="0A879D29" w14:textId="77777777" w:rsidR="002416B0" w:rsidRPr="002416B0" w:rsidRDefault="002416B0" w:rsidP="002416B0">
            <w:pPr>
              <w:jc w:val="center"/>
              <w:rPr>
                <w:b/>
                <w:bCs/>
              </w:rPr>
            </w:pPr>
            <w:r w:rsidRPr="002416B0">
              <w:rPr>
                <w:b/>
                <w:bCs/>
              </w:rPr>
              <w:t>No</w:t>
            </w:r>
          </w:p>
        </w:tc>
      </w:tr>
      <w:tr w:rsidR="002416B0" w14:paraId="7B0A5C37" w14:textId="77777777" w:rsidTr="002416B0">
        <w:trPr>
          <w:trHeight w:val="377"/>
        </w:trPr>
        <w:tc>
          <w:tcPr>
            <w:tcW w:w="2122" w:type="dxa"/>
            <w:vMerge/>
          </w:tcPr>
          <w:p w14:paraId="45D985FC" w14:textId="77777777" w:rsidR="002416B0" w:rsidRDefault="002416B0" w:rsidP="002416B0">
            <w:pPr>
              <w:jc w:val="both"/>
              <w:rPr>
                <w:b/>
                <w:bCs/>
              </w:rPr>
            </w:pPr>
          </w:p>
        </w:tc>
        <w:tc>
          <w:tcPr>
            <w:tcW w:w="2419" w:type="dxa"/>
            <w:shd w:val="clear" w:color="auto" w:fill="auto"/>
          </w:tcPr>
          <w:p w14:paraId="44F5EBF3" w14:textId="77777777" w:rsidR="002416B0" w:rsidRDefault="002416B0" w:rsidP="002416B0">
            <w:pPr>
              <w:pStyle w:val="ListParagraph"/>
              <w:numPr>
                <w:ilvl w:val="0"/>
                <w:numId w:val="2"/>
              </w:numPr>
              <w:jc w:val="both"/>
            </w:pPr>
            <w:proofErr w:type="spellStart"/>
            <w:r>
              <w:t>Maputsoe</w:t>
            </w:r>
            <w:proofErr w:type="spellEnd"/>
          </w:p>
        </w:tc>
        <w:tc>
          <w:tcPr>
            <w:tcW w:w="1266" w:type="dxa"/>
            <w:shd w:val="clear" w:color="auto" w:fill="auto"/>
          </w:tcPr>
          <w:p w14:paraId="2969B1E1" w14:textId="77777777" w:rsidR="002416B0" w:rsidRDefault="002416B0" w:rsidP="002416B0">
            <w:r>
              <w:t>16,970</w:t>
            </w:r>
          </w:p>
        </w:tc>
        <w:tc>
          <w:tcPr>
            <w:tcW w:w="1418" w:type="dxa"/>
            <w:shd w:val="clear" w:color="auto" w:fill="auto"/>
          </w:tcPr>
          <w:p w14:paraId="56D9CE18" w14:textId="77777777" w:rsidR="002416B0" w:rsidRDefault="002416B0" w:rsidP="002416B0">
            <w:r>
              <w:t>15,507</w:t>
            </w:r>
          </w:p>
        </w:tc>
        <w:tc>
          <w:tcPr>
            <w:tcW w:w="1559" w:type="dxa"/>
            <w:shd w:val="clear" w:color="auto" w:fill="auto"/>
          </w:tcPr>
          <w:p w14:paraId="7CC441E3" w14:textId="77777777" w:rsidR="002416B0" w:rsidRDefault="002416B0" w:rsidP="002416B0">
            <w:r>
              <w:t xml:space="preserve">        17,085</w:t>
            </w:r>
          </w:p>
        </w:tc>
        <w:tc>
          <w:tcPr>
            <w:tcW w:w="1559" w:type="dxa"/>
            <w:shd w:val="clear" w:color="auto" w:fill="auto"/>
          </w:tcPr>
          <w:p w14:paraId="10209322" w14:textId="77777777" w:rsidR="002416B0" w:rsidRDefault="002416B0" w:rsidP="002416B0">
            <w:r>
              <w:t xml:space="preserve">       13,956</w:t>
            </w:r>
          </w:p>
        </w:tc>
        <w:tc>
          <w:tcPr>
            <w:tcW w:w="1975" w:type="dxa"/>
            <w:shd w:val="clear" w:color="auto" w:fill="auto"/>
          </w:tcPr>
          <w:p w14:paraId="4CB947F5" w14:textId="77777777" w:rsidR="002416B0" w:rsidRDefault="002416B0" w:rsidP="002416B0">
            <w:pPr>
              <w:jc w:val="center"/>
            </w:pPr>
            <w:r>
              <w:t>Yes</w:t>
            </w:r>
          </w:p>
        </w:tc>
      </w:tr>
      <w:tr w:rsidR="002416B0" w:rsidRPr="002416B0" w14:paraId="01D886EF" w14:textId="77777777" w:rsidTr="002416B0">
        <w:trPr>
          <w:trHeight w:val="377"/>
        </w:trPr>
        <w:tc>
          <w:tcPr>
            <w:tcW w:w="2122" w:type="dxa"/>
            <w:vMerge/>
          </w:tcPr>
          <w:p w14:paraId="57809E7E" w14:textId="77777777" w:rsidR="002416B0" w:rsidRDefault="002416B0" w:rsidP="002416B0">
            <w:pPr>
              <w:jc w:val="both"/>
              <w:rPr>
                <w:b/>
                <w:bCs/>
              </w:rPr>
            </w:pPr>
          </w:p>
        </w:tc>
        <w:tc>
          <w:tcPr>
            <w:tcW w:w="2419" w:type="dxa"/>
            <w:shd w:val="clear" w:color="auto" w:fill="auto"/>
          </w:tcPr>
          <w:p w14:paraId="7C4D32FE" w14:textId="77777777" w:rsidR="002416B0" w:rsidRPr="00DD2A69" w:rsidRDefault="002416B0" w:rsidP="002416B0">
            <w:pPr>
              <w:pStyle w:val="ListParagraph"/>
              <w:numPr>
                <w:ilvl w:val="0"/>
                <w:numId w:val="2"/>
              </w:numPr>
              <w:jc w:val="both"/>
              <w:rPr>
                <w:b/>
                <w:bCs/>
              </w:rPr>
            </w:pPr>
            <w:proofErr w:type="spellStart"/>
            <w:r w:rsidRPr="00DD2A69">
              <w:rPr>
                <w:b/>
                <w:bCs/>
              </w:rPr>
              <w:t>Moselinyane</w:t>
            </w:r>
            <w:proofErr w:type="spellEnd"/>
          </w:p>
        </w:tc>
        <w:tc>
          <w:tcPr>
            <w:tcW w:w="1266" w:type="dxa"/>
            <w:shd w:val="clear" w:color="auto" w:fill="auto"/>
          </w:tcPr>
          <w:p w14:paraId="38AA37B4" w14:textId="77777777" w:rsidR="002416B0" w:rsidRPr="00DD2A69" w:rsidRDefault="002416B0" w:rsidP="002416B0">
            <w:pPr>
              <w:rPr>
                <w:b/>
                <w:bCs/>
              </w:rPr>
            </w:pPr>
            <w:r w:rsidRPr="00DD2A69">
              <w:rPr>
                <w:b/>
                <w:bCs/>
              </w:rPr>
              <w:t>22,883</w:t>
            </w:r>
          </w:p>
        </w:tc>
        <w:tc>
          <w:tcPr>
            <w:tcW w:w="1418" w:type="dxa"/>
            <w:shd w:val="clear" w:color="auto" w:fill="auto"/>
          </w:tcPr>
          <w:p w14:paraId="7527D0ED" w14:textId="77777777" w:rsidR="002416B0" w:rsidRPr="00DD2A69" w:rsidRDefault="002416B0" w:rsidP="002416B0">
            <w:pPr>
              <w:rPr>
                <w:b/>
                <w:bCs/>
              </w:rPr>
            </w:pPr>
            <w:r w:rsidRPr="00DD2A69">
              <w:rPr>
                <w:b/>
                <w:bCs/>
              </w:rPr>
              <w:t>15,507</w:t>
            </w:r>
          </w:p>
        </w:tc>
        <w:tc>
          <w:tcPr>
            <w:tcW w:w="1559" w:type="dxa"/>
            <w:shd w:val="clear" w:color="auto" w:fill="auto"/>
          </w:tcPr>
          <w:p w14:paraId="1386FA74" w14:textId="77777777" w:rsidR="002416B0" w:rsidRPr="00DD2A69" w:rsidRDefault="002416B0" w:rsidP="002416B0">
            <w:pPr>
              <w:rPr>
                <w:b/>
                <w:bCs/>
              </w:rPr>
            </w:pPr>
            <w:r w:rsidRPr="00DD2A69">
              <w:rPr>
                <w:b/>
                <w:bCs/>
              </w:rPr>
              <w:t xml:space="preserve">        17,085</w:t>
            </w:r>
          </w:p>
        </w:tc>
        <w:tc>
          <w:tcPr>
            <w:tcW w:w="1559" w:type="dxa"/>
            <w:shd w:val="clear" w:color="auto" w:fill="auto"/>
          </w:tcPr>
          <w:p w14:paraId="3C42EC6A" w14:textId="330732F0" w:rsidR="002416B0" w:rsidRPr="00DD2A69" w:rsidRDefault="002416B0" w:rsidP="002416B0">
            <w:pPr>
              <w:rPr>
                <w:b/>
                <w:bCs/>
              </w:rPr>
            </w:pPr>
            <w:r w:rsidRPr="00DD2A69">
              <w:rPr>
                <w:b/>
                <w:bCs/>
              </w:rPr>
              <w:t xml:space="preserve">      </w:t>
            </w:r>
            <w:r w:rsidR="00A6473A">
              <w:rPr>
                <w:b/>
                <w:bCs/>
              </w:rPr>
              <w:t xml:space="preserve"> </w:t>
            </w:r>
            <w:r w:rsidRPr="00DD2A69">
              <w:rPr>
                <w:b/>
                <w:bCs/>
              </w:rPr>
              <w:t>13,956</w:t>
            </w:r>
          </w:p>
        </w:tc>
        <w:tc>
          <w:tcPr>
            <w:tcW w:w="1975" w:type="dxa"/>
            <w:shd w:val="clear" w:color="auto" w:fill="auto"/>
          </w:tcPr>
          <w:p w14:paraId="6E7461CA" w14:textId="77777777" w:rsidR="002416B0" w:rsidRPr="002416B0" w:rsidRDefault="002416B0" w:rsidP="002416B0">
            <w:pPr>
              <w:jc w:val="center"/>
              <w:rPr>
                <w:b/>
                <w:bCs/>
              </w:rPr>
            </w:pPr>
            <w:r w:rsidRPr="002416B0">
              <w:rPr>
                <w:b/>
                <w:bCs/>
              </w:rPr>
              <w:t>No</w:t>
            </w:r>
          </w:p>
        </w:tc>
      </w:tr>
      <w:tr w:rsidR="002416B0" w14:paraId="6215F0C1" w14:textId="77777777" w:rsidTr="002416B0">
        <w:trPr>
          <w:trHeight w:val="377"/>
        </w:trPr>
        <w:tc>
          <w:tcPr>
            <w:tcW w:w="2122" w:type="dxa"/>
            <w:vMerge/>
          </w:tcPr>
          <w:p w14:paraId="6ABD3EBC" w14:textId="77777777" w:rsidR="002416B0" w:rsidRDefault="002416B0" w:rsidP="002416B0">
            <w:pPr>
              <w:jc w:val="both"/>
              <w:rPr>
                <w:b/>
                <w:bCs/>
              </w:rPr>
            </w:pPr>
          </w:p>
        </w:tc>
        <w:tc>
          <w:tcPr>
            <w:tcW w:w="2419" w:type="dxa"/>
            <w:shd w:val="clear" w:color="auto" w:fill="auto"/>
          </w:tcPr>
          <w:p w14:paraId="791CB02D" w14:textId="77777777" w:rsidR="002416B0" w:rsidRDefault="002416B0" w:rsidP="002416B0">
            <w:pPr>
              <w:pStyle w:val="ListParagraph"/>
              <w:numPr>
                <w:ilvl w:val="0"/>
                <w:numId w:val="2"/>
              </w:numPr>
              <w:jc w:val="both"/>
            </w:pPr>
            <w:proofErr w:type="spellStart"/>
            <w:r>
              <w:t>Peka</w:t>
            </w:r>
            <w:proofErr w:type="spellEnd"/>
          </w:p>
        </w:tc>
        <w:tc>
          <w:tcPr>
            <w:tcW w:w="1266" w:type="dxa"/>
            <w:shd w:val="clear" w:color="auto" w:fill="auto"/>
          </w:tcPr>
          <w:p w14:paraId="5C9FA52F" w14:textId="77777777" w:rsidR="002416B0" w:rsidRDefault="002416B0" w:rsidP="002416B0">
            <w:r>
              <w:t>14,559</w:t>
            </w:r>
          </w:p>
        </w:tc>
        <w:tc>
          <w:tcPr>
            <w:tcW w:w="1418" w:type="dxa"/>
            <w:shd w:val="clear" w:color="auto" w:fill="auto"/>
          </w:tcPr>
          <w:p w14:paraId="7390D935" w14:textId="77777777" w:rsidR="002416B0" w:rsidRDefault="002416B0" w:rsidP="002416B0">
            <w:r>
              <w:t>15,507</w:t>
            </w:r>
          </w:p>
        </w:tc>
        <w:tc>
          <w:tcPr>
            <w:tcW w:w="1559" w:type="dxa"/>
            <w:shd w:val="clear" w:color="auto" w:fill="auto"/>
          </w:tcPr>
          <w:p w14:paraId="16E9BDFE" w14:textId="77777777" w:rsidR="002416B0" w:rsidRDefault="002416B0" w:rsidP="002416B0">
            <w:r>
              <w:t xml:space="preserve">        17,085</w:t>
            </w:r>
          </w:p>
        </w:tc>
        <w:tc>
          <w:tcPr>
            <w:tcW w:w="1559" w:type="dxa"/>
            <w:shd w:val="clear" w:color="auto" w:fill="auto"/>
          </w:tcPr>
          <w:p w14:paraId="202A76F1" w14:textId="363A024C" w:rsidR="002416B0" w:rsidRDefault="002416B0" w:rsidP="002416B0">
            <w:r>
              <w:t xml:space="preserve">      </w:t>
            </w:r>
            <w:r w:rsidR="00A6473A">
              <w:t xml:space="preserve"> </w:t>
            </w:r>
            <w:r>
              <w:t>13,956</w:t>
            </w:r>
          </w:p>
        </w:tc>
        <w:tc>
          <w:tcPr>
            <w:tcW w:w="1975" w:type="dxa"/>
            <w:shd w:val="clear" w:color="auto" w:fill="auto"/>
          </w:tcPr>
          <w:p w14:paraId="1821C1D6" w14:textId="77777777" w:rsidR="002416B0" w:rsidRDefault="002416B0" w:rsidP="002416B0">
            <w:pPr>
              <w:jc w:val="center"/>
            </w:pPr>
            <w:r>
              <w:t>Yes</w:t>
            </w:r>
          </w:p>
        </w:tc>
      </w:tr>
      <w:tr w:rsidR="002416B0" w:rsidRPr="002416B0" w14:paraId="4ADED8E6" w14:textId="77777777" w:rsidTr="002416B0">
        <w:trPr>
          <w:trHeight w:val="377"/>
        </w:trPr>
        <w:tc>
          <w:tcPr>
            <w:tcW w:w="2122" w:type="dxa"/>
            <w:vMerge/>
          </w:tcPr>
          <w:p w14:paraId="7EC1F6EC" w14:textId="77777777" w:rsidR="002416B0" w:rsidRDefault="002416B0" w:rsidP="002416B0">
            <w:pPr>
              <w:jc w:val="both"/>
              <w:rPr>
                <w:b/>
                <w:bCs/>
              </w:rPr>
            </w:pPr>
          </w:p>
        </w:tc>
        <w:tc>
          <w:tcPr>
            <w:tcW w:w="2419" w:type="dxa"/>
            <w:shd w:val="clear" w:color="auto" w:fill="auto"/>
          </w:tcPr>
          <w:p w14:paraId="722AC1A1" w14:textId="77777777" w:rsidR="002416B0" w:rsidRPr="00DD2A69" w:rsidRDefault="002416B0" w:rsidP="002416B0">
            <w:pPr>
              <w:pStyle w:val="ListParagraph"/>
              <w:numPr>
                <w:ilvl w:val="0"/>
                <w:numId w:val="2"/>
              </w:numPr>
              <w:jc w:val="both"/>
              <w:rPr>
                <w:b/>
                <w:bCs/>
              </w:rPr>
            </w:pPr>
            <w:proofErr w:type="spellStart"/>
            <w:r w:rsidRPr="00DD2A69">
              <w:rPr>
                <w:b/>
                <w:bCs/>
              </w:rPr>
              <w:t>Kolonyama</w:t>
            </w:r>
            <w:proofErr w:type="spellEnd"/>
          </w:p>
        </w:tc>
        <w:tc>
          <w:tcPr>
            <w:tcW w:w="1266" w:type="dxa"/>
            <w:shd w:val="clear" w:color="auto" w:fill="auto"/>
          </w:tcPr>
          <w:p w14:paraId="6D532E1A" w14:textId="77777777" w:rsidR="002416B0" w:rsidRPr="00DD2A69" w:rsidRDefault="002416B0" w:rsidP="002416B0">
            <w:pPr>
              <w:rPr>
                <w:b/>
                <w:bCs/>
              </w:rPr>
            </w:pPr>
            <w:r w:rsidRPr="00DD2A69">
              <w:rPr>
                <w:b/>
                <w:bCs/>
              </w:rPr>
              <w:t>13,870</w:t>
            </w:r>
          </w:p>
        </w:tc>
        <w:tc>
          <w:tcPr>
            <w:tcW w:w="1418" w:type="dxa"/>
            <w:shd w:val="clear" w:color="auto" w:fill="auto"/>
          </w:tcPr>
          <w:p w14:paraId="2B1C9BF3" w14:textId="77777777" w:rsidR="002416B0" w:rsidRPr="00DD2A69" w:rsidRDefault="002416B0" w:rsidP="002416B0">
            <w:pPr>
              <w:rPr>
                <w:b/>
                <w:bCs/>
              </w:rPr>
            </w:pPr>
            <w:r w:rsidRPr="00DD2A69">
              <w:rPr>
                <w:b/>
                <w:bCs/>
              </w:rPr>
              <w:t>15,507</w:t>
            </w:r>
          </w:p>
        </w:tc>
        <w:tc>
          <w:tcPr>
            <w:tcW w:w="1559" w:type="dxa"/>
            <w:shd w:val="clear" w:color="auto" w:fill="auto"/>
          </w:tcPr>
          <w:p w14:paraId="0397808A" w14:textId="77777777" w:rsidR="002416B0" w:rsidRPr="00DD2A69" w:rsidRDefault="002416B0" w:rsidP="002416B0">
            <w:pPr>
              <w:rPr>
                <w:b/>
                <w:bCs/>
              </w:rPr>
            </w:pPr>
            <w:r w:rsidRPr="00DD2A69">
              <w:rPr>
                <w:b/>
                <w:bCs/>
              </w:rPr>
              <w:t xml:space="preserve">        17,085</w:t>
            </w:r>
          </w:p>
        </w:tc>
        <w:tc>
          <w:tcPr>
            <w:tcW w:w="1559" w:type="dxa"/>
            <w:shd w:val="clear" w:color="auto" w:fill="auto"/>
          </w:tcPr>
          <w:p w14:paraId="662AD7A4" w14:textId="6A76E0AB" w:rsidR="002416B0" w:rsidRPr="00DD2A69" w:rsidRDefault="002416B0" w:rsidP="002416B0">
            <w:pPr>
              <w:rPr>
                <w:b/>
                <w:bCs/>
              </w:rPr>
            </w:pPr>
            <w:r w:rsidRPr="00DD2A69">
              <w:rPr>
                <w:b/>
                <w:bCs/>
              </w:rPr>
              <w:t xml:space="preserve">      </w:t>
            </w:r>
            <w:r w:rsidR="00A6473A">
              <w:rPr>
                <w:b/>
                <w:bCs/>
              </w:rPr>
              <w:t xml:space="preserve"> </w:t>
            </w:r>
            <w:r w:rsidRPr="00DD2A69">
              <w:rPr>
                <w:b/>
                <w:bCs/>
              </w:rPr>
              <w:t>13,956</w:t>
            </w:r>
          </w:p>
        </w:tc>
        <w:tc>
          <w:tcPr>
            <w:tcW w:w="1975" w:type="dxa"/>
            <w:shd w:val="clear" w:color="auto" w:fill="auto"/>
          </w:tcPr>
          <w:p w14:paraId="149FA08C" w14:textId="77777777" w:rsidR="002416B0" w:rsidRPr="002416B0" w:rsidRDefault="002416B0" w:rsidP="002416B0">
            <w:pPr>
              <w:jc w:val="center"/>
              <w:rPr>
                <w:b/>
                <w:bCs/>
              </w:rPr>
            </w:pPr>
            <w:r w:rsidRPr="002416B0">
              <w:rPr>
                <w:b/>
                <w:bCs/>
              </w:rPr>
              <w:t>No</w:t>
            </w:r>
          </w:p>
        </w:tc>
      </w:tr>
      <w:tr w:rsidR="002416B0" w14:paraId="19F48187" w14:textId="77777777" w:rsidTr="002416B0">
        <w:trPr>
          <w:trHeight w:val="377"/>
        </w:trPr>
        <w:tc>
          <w:tcPr>
            <w:tcW w:w="2122" w:type="dxa"/>
          </w:tcPr>
          <w:p w14:paraId="6233D8AD" w14:textId="77777777" w:rsidR="002416B0" w:rsidRDefault="002416B0" w:rsidP="002416B0">
            <w:pPr>
              <w:jc w:val="both"/>
              <w:rPr>
                <w:b/>
                <w:bCs/>
              </w:rPr>
            </w:pPr>
            <w:r>
              <w:rPr>
                <w:b/>
                <w:bCs/>
              </w:rPr>
              <w:t>Berea</w:t>
            </w:r>
          </w:p>
        </w:tc>
        <w:tc>
          <w:tcPr>
            <w:tcW w:w="2419" w:type="dxa"/>
            <w:shd w:val="clear" w:color="auto" w:fill="auto"/>
          </w:tcPr>
          <w:p w14:paraId="7A0C5EFA" w14:textId="77777777" w:rsidR="002416B0" w:rsidRDefault="002416B0" w:rsidP="002416B0">
            <w:pPr>
              <w:pStyle w:val="ListParagraph"/>
              <w:numPr>
                <w:ilvl w:val="0"/>
                <w:numId w:val="2"/>
              </w:numPr>
              <w:jc w:val="both"/>
            </w:pPr>
            <w:proofErr w:type="spellStart"/>
            <w:r>
              <w:t>Mosalemane</w:t>
            </w:r>
            <w:proofErr w:type="spellEnd"/>
          </w:p>
        </w:tc>
        <w:tc>
          <w:tcPr>
            <w:tcW w:w="1266" w:type="dxa"/>
            <w:shd w:val="clear" w:color="auto" w:fill="auto"/>
          </w:tcPr>
          <w:p w14:paraId="47A49FDF" w14:textId="77777777" w:rsidR="002416B0" w:rsidRDefault="002416B0" w:rsidP="002416B0">
            <w:r>
              <w:t>14,004</w:t>
            </w:r>
          </w:p>
        </w:tc>
        <w:tc>
          <w:tcPr>
            <w:tcW w:w="1418" w:type="dxa"/>
            <w:shd w:val="clear" w:color="auto" w:fill="auto"/>
          </w:tcPr>
          <w:p w14:paraId="1195FC04" w14:textId="77777777" w:rsidR="002416B0" w:rsidRDefault="002416B0" w:rsidP="002416B0">
            <w:r>
              <w:t>15,507</w:t>
            </w:r>
          </w:p>
        </w:tc>
        <w:tc>
          <w:tcPr>
            <w:tcW w:w="1559" w:type="dxa"/>
            <w:shd w:val="clear" w:color="auto" w:fill="auto"/>
          </w:tcPr>
          <w:p w14:paraId="41F1DC4D" w14:textId="77777777" w:rsidR="002416B0" w:rsidRDefault="002416B0" w:rsidP="002416B0">
            <w:r>
              <w:t xml:space="preserve">        17,085</w:t>
            </w:r>
          </w:p>
        </w:tc>
        <w:tc>
          <w:tcPr>
            <w:tcW w:w="1559" w:type="dxa"/>
            <w:shd w:val="clear" w:color="auto" w:fill="auto"/>
          </w:tcPr>
          <w:p w14:paraId="769D4E4F" w14:textId="6D95EFC3" w:rsidR="002416B0" w:rsidRDefault="002416B0" w:rsidP="002416B0">
            <w:r>
              <w:t xml:space="preserve">      </w:t>
            </w:r>
            <w:r w:rsidR="00A6473A">
              <w:t xml:space="preserve"> </w:t>
            </w:r>
            <w:r>
              <w:t>13,956</w:t>
            </w:r>
          </w:p>
        </w:tc>
        <w:tc>
          <w:tcPr>
            <w:tcW w:w="1975" w:type="dxa"/>
            <w:shd w:val="clear" w:color="auto" w:fill="auto"/>
          </w:tcPr>
          <w:p w14:paraId="0BD232D3" w14:textId="77777777" w:rsidR="002416B0" w:rsidRDefault="002416B0" w:rsidP="002416B0">
            <w:pPr>
              <w:jc w:val="center"/>
            </w:pPr>
            <w:r>
              <w:t>Yes</w:t>
            </w:r>
          </w:p>
        </w:tc>
      </w:tr>
      <w:tr w:rsidR="002416B0" w14:paraId="0A224EA0" w14:textId="77777777" w:rsidTr="002416B0">
        <w:trPr>
          <w:trHeight w:val="377"/>
        </w:trPr>
        <w:tc>
          <w:tcPr>
            <w:tcW w:w="2122" w:type="dxa"/>
            <w:vMerge w:val="restart"/>
          </w:tcPr>
          <w:p w14:paraId="5419C659" w14:textId="77777777" w:rsidR="002416B0" w:rsidRDefault="002416B0" w:rsidP="002416B0">
            <w:pPr>
              <w:jc w:val="both"/>
              <w:rPr>
                <w:b/>
                <w:bCs/>
              </w:rPr>
            </w:pPr>
          </w:p>
        </w:tc>
        <w:tc>
          <w:tcPr>
            <w:tcW w:w="2419" w:type="dxa"/>
            <w:shd w:val="clear" w:color="auto" w:fill="auto"/>
          </w:tcPr>
          <w:p w14:paraId="7BDB27E9" w14:textId="77777777" w:rsidR="002416B0" w:rsidRDefault="002416B0" w:rsidP="002416B0">
            <w:pPr>
              <w:pStyle w:val="ListParagraph"/>
              <w:numPr>
                <w:ilvl w:val="0"/>
                <w:numId w:val="2"/>
              </w:numPr>
              <w:jc w:val="both"/>
            </w:pPr>
            <w:r>
              <w:t>‘</w:t>
            </w:r>
            <w:proofErr w:type="spellStart"/>
            <w:r>
              <w:t>Makhoroana</w:t>
            </w:r>
            <w:proofErr w:type="spellEnd"/>
          </w:p>
        </w:tc>
        <w:tc>
          <w:tcPr>
            <w:tcW w:w="1266" w:type="dxa"/>
            <w:shd w:val="clear" w:color="auto" w:fill="auto"/>
          </w:tcPr>
          <w:p w14:paraId="2196FED9" w14:textId="77777777" w:rsidR="002416B0" w:rsidRDefault="002416B0" w:rsidP="002416B0">
            <w:r>
              <w:t>14,143</w:t>
            </w:r>
          </w:p>
        </w:tc>
        <w:tc>
          <w:tcPr>
            <w:tcW w:w="1418" w:type="dxa"/>
            <w:shd w:val="clear" w:color="auto" w:fill="auto"/>
          </w:tcPr>
          <w:p w14:paraId="38BB7F35" w14:textId="77777777" w:rsidR="002416B0" w:rsidRDefault="002416B0" w:rsidP="002416B0">
            <w:r>
              <w:t>15,507</w:t>
            </w:r>
          </w:p>
        </w:tc>
        <w:tc>
          <w:tcPr>
            <w:tcW w:w="1559" w:type="dxa"/>
            <w:shd w:val="clear" w:color="auto" w:fill="auto"/>
          </w:tcPr>
          <w:p w14:paraId="0C0BECD3" w14:textId="77777777" w:rsidR="002416B0" w:rsidRDefault="002416B0" w:rsidP="002416B0">
            <w:r>
              <w:t xml:space="preserve">        17,085</w:t>
            </w:r>
          </w:p>
        </w:tc>
        <w:tc>
          <w:tcPr>
            <w:tcW w:w="1559" w:type="dxa"/>
            <w:shd w:val="clear" w:color="auto" w:fill="auto"/>
          </w:tcPr>
          <w:p w14:paraId="40890297" w14:textId="2C1BFE68" w:rsidR="002416B0" w:rsidRDefault="002416B0" w:rsidP="002416B0">
            <w:r>
              <w:t xml:space="preserve">      </w:t>
            </w:r>
            <w:r w:rsidR="00A6473A">
              <w:t xml:space="preserve"> </w:t>
            </w:r>
            <w:r>
              <w:t>13,956</w:t>
            </w:r>
          </w:p>
        </w:tc>
        <w:tc>
          <w:tcPr>
            <w:tcW w:w="1975" w:type="dxa"/>
            <w:shd w:val="clear" w:color="auto" w:fill="auto"/>
          </w:tcPr>
          <w:p w14:paraId="63352D93" w14:textId="77777777" w:rsidR="002416B0" w:rsidRDefault="002416B0" w:rsidP="002416B0">
            <w:pPr>
              <w:jc w:val="center"/>
            </w:pPr>
            <w:r>
              <w:t>Yes</w:t>
            </w:r>
          </w:p>
        </w:tc>
      </w:tr>
      <w:tr w:rsidR="002416B0" w14:paraId="2F84B235" w14:textId="77777777" w:rsidTr="002416B0">
        <w:trPr>
          <w:trHeight w:val="377"/>
        </w:trPr>
        <w:tc>
          <w:tcPr>
            <w:tcW w:w="2122" w:type="dxa"/>
            <w:vMerge/>
          </w:tcPr>
          <w:p w14:paraId="612F0B04" w14:textId="77777777" w:rsidR="002416B0" w:rsidRDefault="002416B0" w:rsidP="002416B0">
            <w:pPr>
              <w:jc w:val="both"/>
              <w:rPr>
                <w:b/>
                <w:bCs/>
              </w:rPr>
            </w:pPr>
          </w:p>
        </w:tc>
        <w:tc>
          <w:tcPr>
            <w:tcW w:w="2419" w:type="dxa"/>
            <w:shd w:val="clear" w:color="auto" w:fill="auto"/>
          </w:tcPr>
          <w:p w14:paraId="64C68FD0" w14:textId="77777777" w:rsidR="002416B0" w:rsidRDefault="002416B0" w:rsidP="002416B0">
            <w:pPr>
              <w:pStyle w:val="ListParagraph"/>
              <w:numPr>
                <w:ilvl w:val="0"/>
                <w:numId w:val="2"/>
              </w:numPr>
              <w:jc w:val="both"/>
            </w:pPr>
            <w:r>
              <w:t>Bela - Bela</w:t>
            </w:r>
          </w:p>
        </w:tc>
        <w:tc>
          <w:tcPr>
            <w:tcW w:w="1266" w:type="dxa"/>
            <w:shd w:val="clear" w:color="auto" w:fill="auto"/>
          </w:tcPr>
          <w:p w14:paraId="308805F7" w14:textId="77777777" w:rsidR="002416B0" w:rsidRDefault="002416B0" w:rsidP="002416B0">
            <w:r>
              <w:t>14,005</w:t>
            </w:r>
          </w:p>
        </w:tc>
        <w:tc>
          <w:tcPr>
            <w:tcW w:w="1418" w:type="dxa"/>
            <w:shd w:val="clear" w:color="auto" w:fill="auto"/>
          </w:tcPr>
          <w:p w14:paraId="6D59A1AE" w14:textId="77777777" w:rsidR="002416B0" w:rsidRDefault="002416B0" w:rsidP="002416B0">
            <w:r>
              <w:t>15,507</w:t>
            </w:r>
          </w:p>
        </w:tc>
        <w:tc>
          <w:tcPr>
            <w:tcW w:w="1559" w:type="dxa"/>
            <w:shd w:val="clear" w:color="auto" w:fill="auto"/>
          </w:tcPr>
          <w:p w14:paraId="229C7EF5" w14:textId="77777777" w:rsidR="002416B0" w:rsidRDefault="002416B0" w:rsidP="002416B0">
            <w:r>
              <w:t xml:space="preserve">        17,085</w:t>
            </w:r>
          </w:p>
        </w:tc>
        <w:tc>
          <w:tcPr>
            <w:tcW w:w="1559" w:type="dxa"/>
            <w:shd w:val="clear" w:color="auto" w:fill="auto"/>
          </w:tcPr>
          <w:p w14:paraId="68BF4276" w14:textId="48FBAB48" w:rsidR="002416B0" w:rsidRDefault="002416B0" w:rsidP="002416B0">
            <w:r>
              <w:t xml:space="preserve">      </w:t>
            </w:r>
            <w:r w:rsidR="00A6473A">
              <w:t xml:space="preserve"> </w:t>
            </w:r>
            <w:r>
              <w:t>13,956</w:t>
            </w:r>
          </w:p>
        </w:tc>
        <w:tc>
          <w:tcPr>
            <w:tcW w:w="1975" w:type="dxa"/>
            <w:shd w:val="clear" w:color="auto" w:fill="auto"/>
          </w:tcPr>
          <w:p w14:paraId="0C659152" w14:textId="77777777" w:rsidR="002416B0" w:rsidRDefault="002416B0" w:rsidP="002416B0">
            <w:pPr>
              <w:jc w:val="center"/>
            </w:pPr>
            <w:r>
              <w:t>Yes</w:t>
            </w:r>
          </w:p>
        </w:tc>
      </w:tr>
      <w:tr w:rsidR="002416B0" w14:paraId="443E5FC3" w14:textId="77777777" w:rsidTr="002416B0">
        <w:trPr>
          <w:trHeight w:val="377"/>
        </w:trPr>
        <w:tc>
          <w:tcPr>
            <w:tcW w:w="2122" w:type="dxa"/>
            <w:vMerge/>
          </w:tcPr>
          <w:p w14:paraId="10B576AB" w14:textId="77777777" w:rsidR="002416B0" w:rsidRDefault="002416B0" w:rsidP="002416B0">
            <w:pPr>
              <w:jc w:val="both"/>
              <w:rPr>
                <w:b/>
                <w:bCs/>
              </w:rPr>
            </w:pPr>
          </w:p>
        </w:tc>
        <w:tc>
          <w:tcPr>
            <w:tcW w:w="2419" w:type="dxa"/>
            <w:shd w:val="clear" w:color="auto" w:fill="auto"/>
          </w:tcPr>
          <w:p w14:paraId="1C9648AD" w14:textId="77777777" w:rsidR="002416B0" w:rsidRDefault="002416B0" w:rsidP="002416B0">
            <w:pPr>
              <w:pStyle w:val="ListParagraph"/>
              <w:numPr>
                <w:ilvl w:val="0"/>
                <w:numId w:val="2"/>
              </w:numPr>
              <w:jc w:val="both"/>
            </w:pPr>
            <w:proofErr w:type="spellStart"/>
            <w:r>
              <w:t>Malimong</w:t>
            </w:r>
            <w:proofErr w:type="spellEnd"/>
          </w:p>
        </w:tc>
        <w:tc>
          <w:tcPr>
            <w:tcW w:w="1266" w:type="dxa"/>
            <w:shd w:val="clear" w:color="auto" w:fill="auto"/>
          </w:tcPr>
          <w:p w14:paraId="4C6EE46C" w14:textId="77777777" w:rsidR="002416B0" w:rsidRDefault="002416B0" w:rsidP="002416B0">
            <w:r>
              <w:t>15,383</w:t>
            </w:r>
          </w:p>
        </w:tc>
        <w:tc>
          <w:tcPr>
            <w:tcW w:w="1418" w:type="dxa"/>
            <w:shd w:val="clear" w:color="auto" w:fill="auto"/>
          </w:tcPr>
          <w:p w14:paraId="553DD953" w14:textId="77777777" w:rsidR="002416B0" w:rsidRDefault="002416B0" w:rsidP="002416B0">
            <w:r>
              <w:t>15,507</w:t>
            </w:r>
          </w:p>
        </w:tc>
        <w:tc>
          <w:tcPr>
            <w:tcW w:w="1559" w:type="dxa"/>
            <w:shd w:val="clear" w:color="auto" w:fill="auto"/>
          </w:tcPr>
          <w:p w14:paraId="40C73A0A" w14:textId="77777777" w:rsidR="002416B0" w:rsidRDefault="002416B0" w:rsidP="002416B0">
            <w:r>
              <w:t xml:space="preserve">        17,085</w:t>
            </w:r>
          </w:p>
        </w:tc>
        <w:tc>
          <w:tcPr>
            <w:tcW w:w="1559" w:type="dxa"/>
            <w:shd w:val="clear" w:color="auto" w:fill="auto"/>
          </w:tcPr>
          <w:p w14:paraId="360A7942" w14:textId="79E6B847" w:rsidR="002416B0" w:rsidRDefault="002416B0" w:rsidP="002416B0">
            <w:r>
              <w:t xml:space="preserve">      </w:t>
            </w:r>
            <w:r w:rsidR="00A6473A">
              <w:t xml:space="preserve"> </w:t>
            </w:r>
            <w:r>
              <w:t>13,956</w:t>
            </w:r>
          </w:p>
        </w:tc>
        <w:tc>
          <w:tcPr>
            <w:tcW w:w="1975" w:type="dxa"/>
            <w:shd w:val="clear" w:color="auto" w:fill="auto"/>
          </w:tcPr>
          <w:p w14:paraId="4ADABAD5" w14:textId="77777777" w:rsidR="002416B0" w:rsidRDefault="002416B0" w:rsidP="002416B0">
            <w:pPr>
              <w:jc w:val="center"/>
            </w:pPr>
            <w:r>
              <w:t>Yes</w:t>
            </w:r>
          </w:p>
        </w:tc>
      </w:tr>
      <w:tr w:rsidR="002416B0" w14:paraId="66AD3398" w14:textId="77777777" w:rsidTr="002416B0">
        <w:trPr>
          <w:trHeight w:val="377"/>
        </w:trPr>
        <w:tc>
          <w:tcPr>
            <w:tcW w:w="2122" w:type="dxa"/>
            <w:vMerge/>
          </w:tcPr>
          <w:p w14:paraId="27EC8246" w14:textId="77777777" w:rsidR="002416B0" w:rsidRDefault="002416B0" w:rsidP="002416B0">
            <w:pPr>
              <w:jc w:val="both"/>
              <w:rPr>
                <w:b/>
                <w:bCs/>
              </w:rPr>
            </w:pPr>
          </w:p>
        </w:tc>
        <w:tc>
          <w:tcPr>
            <w:tcW w:w="2419" w:type="dxa"/>
            <w:shd w:val="clear" w:color="auto" w:fill="auto"/>
          </w:tcPr>
          <w:p w14:paraId="374E8761" w14:textId="77777777" w:rsidR="002416B0" w:rsidRDefault="002416B0" w:rsidP="002416B0">
            <w:pPr>
              <w:pStyle w:val="ListParagraph"/>
              <w:numPr>
                <w:ilvl w:val="0"/>
                <w:numId w:val="2"/>
              </w:numPr>
              <w:jc w:val="both"/>
            </w:pPr>
            <w:proofErr w:type="spellStart"/>
            <w:r>
              <w:t>Khafung</w:t>
            </w:r>
            <w:proofErr w:type="spellEnd"/>
          </w:p>
        </w:tc>
        <w:tc>
          <w:tcPr>
            <w:tcW w:w="1266" w:type="dxa"/>
            <w:shd w:val="clear" w:color="auto" w:fill="auto"/>
          </w:tcPr>
          <w:p w14:paraId="5AAC66CF" w14:textId="77777777" w:rsidR="002416B0" w:rsidRDefault="002416B0" w:rsidP="002416B0">
            <w:r>
              <w:t>13,956</w:t>
            </w:r>
          </w:p>
        </w:tc>
        <w:tc>
          <w:tcPr>
            <w:tcW w:w="1418" w:type="dxa"/>
            <w:shd w:val="clear" w:color="auto" w:fill="auto"/>
          </w:tcPr>
          <w:p w14:paraId="22F0F37C" w14:textId="77777777" w:rsidR="002416B0" w:rsidRDefault="002416B0" w:rsidP="002416B0">
            <w:r>
              <w:t>15,507</w:t>
            </w:r>
          </w:p>
        </w:tc>
        <w:tc>
          <w:tcPr>
            <w:tcW w:w="1559" w:type="dxa"/>
            <w:shd w:val="clear" w:color="auto" w:fill="auto"/>
          </w:tcPr>
          <w:p w14:paraId="10B99F30" w14:textId="77777777" w:rsidR="002416B0" w:rsidRDefault="002416B0" w:rsidP="002416B0">
            <w:r>
              <w:t xml:space="preserve">        17,085</w:t>
            </w:r>
          </w:p>
        </w:tc>
        <w:tc>
          <w:tcPr>
            <w:tcW w:w="1559" w:type="dxa"/>
            <w:shd w:val="clear" w:color="auto" w:fill="auto"/>
          </w:tcPr>
          <w:p w14:paraId="3C1C9E53" w14:textId="233874CE" w:rsidR="002416B0" w:rsidRDefault="002416B0" w:rsidP="002416B0">
            <w:r>
              <w:t xml:space="preserve">      </w:t>
            </w:r>
            <w:r w:rsidR="00A6473A">
              <w:t xml:space="preserve"> </w:t>
            </w:r>
            <w:r>
              <w:t>13,956</w:t>
            </w:r>
          </w:p>
        </w:tc>
        <w:tc>
          <w:tcPr>
            <w:tcW w:w="1975" w:type="dxa"/>
            <w:shd w:val="clear" w:color="auto" w:fill="auto"/>
          </w:tcPr>
          <w:p w14:paraId="30F29E3C" w14:textId="77777777" w:rsidR="002416B0" w:rsidRDefault="002416B0" w:rsidP="002416B0">
            <w:pPr>
              <w:jc w:val="center"/>
            </w:pPr>
            <w:r>
              <w:t>Yes</w:t>
            </w:r>
          </w:p>
        </w:tc>
      </w:tr>
      <w:tr w:rsidR="002416B0" w14:paraId="170AC72E" w14:textId="77777777" w:rsidTr="002416B0">
        <w:trPr>
          <w:trHeight w:val="377"/>
        </w:trPr>
        <w:tc>
          <w:tcPr>
            <w:tcW w:w="2122" w:type="dxa"/>
            <w:vMerge/>
          </w:tcPr>
          <w:p w14:paraId="1DA13938" w14:textId="77777777" w:rsidR="002416B0" w:rsidRDefault="002416B0" w:rsidP="002416B0">
            <w:pPr>
              <w:jc w:val="both"/>
              <w:rPr>
                <w:b/>
                <w:bCs/>
              </w:rPr>
            </w:pPr>
          </w:p>
        </w:tc>
        <w:tc>
          <w:tcPr>
            <w:tcW w:w="2419" w:type="dxa"/>
            <w:shd w:val="clear" w:color="auto" w:fill="auto"/>
          </w:tcPr>
          <w:p w14:paraId="4D1CDB81" w14:textId="77777777" w:rsidR="002416B0" w:rsidRDefault="002416B0" w:rsidP="002416B0">
            <w:pPr>
              <w:pStyle w:val="ListParagraph"/>
              <w:numPr>
                <w:ilvl w:val="0"/>
                <w:numId w:val="2"/>
              </w:numPr>
              <w:jc w:val="both"/>
            </w:pPr>
            <w:proofErr w:type="spellStart"/>
            <w:r>
              <w:t>Teya</w:t>
            </w:r>
            <w:proofErr w:type="spellEnd"/>
            <w:r>
              <w:t xml:space="preserve"> - </w:t>
            </w:r>
            <w:proofErr w:type="spellStart"/>
            <w:r>
              <w:t>Teyaneng</w:t>
            </w:r>
            <w:proofErr w:type="spellEnd"/>
          </w:p>
        </w:tc>
        <w:tc>
          <w:tcPr>
            <w:tcW w:w="1266" w:type="dxa"/>
            <w:shd w:val="clear" w:color="auto" w:fill="auto"/>
          </w:tcPr>
          <w:p w14:paraId="671DCC9C" w14:textId="77777777" w:rsidR="002416B0" w:rsidRDefault="002416B0" w:rsidP="002416B0">
            <w:r>
              <w:t>14,160</w:t>
            </w:r>
          </w:p>
        </w:tc>
        <w:tc>
          <w:tcPr>
            <w:tcW w:w="1418" w:type="dxa"/>
            <w:shd w:val="clear" w:color="auto" w:fill="auto"/>
          </w:tcPr>
          <w:p w14:paraId="7D3F7A53" w14:textId="77777777" w:rsidR="002416B0" w:rsidRDefault="002416B0" w:rsidP="002416B0">
            <w:r>
              <w:t>15,507</w:t>
            </w:r>
          </w:p>
        </w:tc>
        <w:tc>
          <w:tcPr>
            <w:tcW w:w="1559" w:type="dxa"/>
            <w:shd w:val="clear" w:color="auto" w:fill="auto"/>
          </w:tcPr>
          <w:p w14:paraId="0744B373" w14:textId="77777777" w:rsidR="002416B0" w:rsidRDefault="002416B0" w:rsidP="002416B0">
            <w:r>
              <w:t xml:space="preserve">        17,085</w:t>
            </w:r>
          </w:p>
        </w:tc>
        <w:tc>
          <w:tcPr>
            <w:tcW w:w="1559" w:type="dxa"/>
            <w:shd w:val="clear" w:color="auto" w:fill="auto"/>
          </w:tcPr>
          <w:p w14:paraId="71A4E877" w14:textId="47E5C3CC" w:rsidR="002416B0" w:rsidRDefault="002416B0" w:rsidP="002416B0">
            <w:r>
              <w:t xml:space="preserve">      </w:t>
            </w:r>
            <w:r w:rsidR="00A6473A">
              <w:t xml:space="preserve"> </w:t>
            </w:r>
            <w:r>
              <w:t>13,956</w:t>
            </w:r>
          </w:p>
        </w:tc>
        <w:tc>
          <w:tcPr>
            <w:tcW w:w="1975" w:type="dxa"/>
            <w:shd w:val="clear" w:color="auto" w:fill="auto"/>
          </w:tcPr>
          <w:p w14:paraId="5E770514" w14:textId="77777777" w:rsidR="002416B0" w:rsidRDefault="002416B0" w:rsidP="002416B0">
            <w:pPr>
              <w:jc w:val="center"/>
            </w:pPr>
            <w:r>
              <w:t>Yes</w:t>
            </w:r>
          </w:p>
        </w:tc>
      </w:tr>
      <w:tr w:rsidR="002416B0" w14:paraId="4075D0F6" w14:textId="77777777" w:rsidTr="002416B0">
        <w:trPr>
          <w:trHeight w:val="377"/>
        </w:trPr>
        <w:tc>
          <w:tcPr>
            <w:tcW w:w="2122" w:type="dxa"/>
            <w:vMerge/>
          </w:tcPr>
          <w:p w14:paraId="1387ED4E" w14:textId="77777777" w:rsidR="002416B0" w:rsidRDefault="002416B0" w:rsidP="002416B0">
            <w:pPr>
              <w:jc w:val="both"/>
              <w:rPr>
                <w:b/>
                <w:bCs/>
              </w:rPr>
            </w:pPr>
          </w:p>
        </w:tc>
        <w:tc>
          <w:tcPr>
            <w:tcW w:w="2419" w:type="dxa"/>
            <w:shd w:val="clear" w:color="auto" w:fill="auto"/>
          </w:tcPr>
          <w:p w14:paraId="60A788A6" w14:textId="77777777" w:rsidR="002416B0" w:rsidRPr="00DD2A69" w:rsidRDefault="002416B0" w:rsidP="002416B0">
            <w:pPr>
              <w:pStyle w:val="ListParagraph"/>
              <w:numPr>
                <w:ilvl w:val="0"/>
                <w:numId w:val="2"/>
              </w:numPr>
              <w:jc w:val="both"/>
              <w:rPr>
                <w:b/>
                <w:bCs/>
              </w:rPr>
            </w:pPr>
            <w:proofErr w:type="spellStart"/>
            <w:r w:rsidRPr="00DD2A69">
              <w:rPr>
                <w:b/>
                <w:bCs/>
              </w:rPr>
              <w:t>Tšoana</w:t>
            </w:r>
            <w:proofErr w:type="spellEnd"/>
            <w:r w:rsidRPr="00DD2A69">
              <w:rPr>
                <w:b/>
                <w:bCs/>
              </w:rPr>
              <w:t xml:space="preserve"> - </w:t>
            </w:r>
            <w:proofErr w:type="spellStart"/>
            <w:r w:rsidRPr="00DD2A69">
              <w:rPr>
                <w:b/>
                <w:bCs/>
              </w:rPr>
              <w:t>Makhulo</w:t>
            </w:r>
            <w:proofErr w:type="spellEnd"/>
          </w:p>
        </w:tc>
        <w:tc>
          <w:tcPr>
            <w:tcW w:w="1266" w:type="dxa"/>
            <w:shd w:val="clear" w:color="auto" w:fill="auto"/>
          </w:tcPr>
          <w:p w14:paraId="163234CE" w14:textId="77777777" w:rsidR="002416B0" w:rsidRPr="00DD2A69" w:rsidRDefault="002416B0" w:rsidP="002416B0">
            <w:pPr>
              <w:rPr>
                <w:b/>
                <w:bCs/>
              </w:rPr>
            </w:pPr>
            <w:r w:rsidRPr="00DD2A69">
              <w:rPr>
                <w:b/>
                <w:bCs/>
              </w:rPr>
              <w:t>13,240</w:t>
            </w:r>
          </w:p>
        </w:tc>
        <w:tc>
          <w:tcPr>
            <w:tcW w:w="1418" w:type="dxa"/>
            <w:shd w:val="clear" w:color="auto" w:fill="auto"/>
          </w:tcPr>
          <w:p w14:paraId="1F2076EA" w14:textId="77777777" w:rsidR="002416B0" w:rsidRPr="00DD2A69" w:rsidRDefault="002416B0" w:rsidP="002416B0">
            <w:pPr>
              <w:rPr>
                <w:b/>
                <w:bCs/>
              </w:rPr>
            </w:pPr>
            <w:r w:rsidRPr="00DD2A69">
              <w:rPr>
                <w:b/>
                <w:bCs/>
              </w:rPr>
              <w:t>15,507</w:t>
            </w:r>
          </w:p>
        </w:tc>
        <w:tc>
          <w:tcPr>
            <w:tcW w:w="1559" w:type="dxa"/>
            <w:shd w:val="clear" w:color="auto" w:fill="auto"/>
          </w:tcPr>
          <w:p w14:paraId="3B7EABB3" w14:textId="77777777" w:rsidR="002416B0" w:rsidRPr="00DD2A69" w:rsidRDefault="002416B0" w:rsidP="002416B0">
            <w:pPr>
              <w:rPr>
                <w:b/>
                <w:bCs/>
              </w:rPr>
            </w:pPr>
            <w:r w:rsidRPr="00DD2A69">
              <w:rPr>
                <w:b/>
                <w:bCs/>
              </w:rPr>
              <w:t xml:space="preserve">        17,085</w:t>
            </w:r>
          </w:p>
        </w:tc>
        <w:tc>
          <w:tcPr>
            <w:tcW w:w="1559" w:type="dxa"/>
            <w:shd w:val="clear" w:color="auto" w:fill="auto"/>
          </w:tcPr>
          <w:p w14:paraId="058DD0D1" w14:textId="54955574" w:rsidR="002416B0" w:rsidRPr="00DD2A69" w:rsidRDefault="002416B0" w:rsidP="002416B0">
            <w:pPr>
              <w:rPr>
                <w:b/>
                <w:bCs/>
              </w:rPr>
            </w:pPr>
            <w:r w:rsidRPr="00DD2A69">
              <w:rPr>
                <w:b/>
                <w:bCs/>
              </w:rPr>
              <w:t xml:space="preserve">      </w:t>
            </w:r>
            <w:r w:rsidR="00A6473A">
              <w:rPr>
                <w:b/>
                <w:bCs/>
              </w:rPr>
              <w:t xml:space="preserve"> </w:t>
            </w:r>
            <w:r w:rsidRPr="00DD2A69">
              <w:rPr>
                <w:b/>
                <w:bCs/>
              </w:rPr>
              <w:t>13,956</w:t>
            </w:r>
          </w:p>
        </w:tc>
        <w:tc>
          <w:tcPr>
            <w:tcW w:w="1975" w:type="dxa"/>
            <w:shd w:val="clear" w:color="auto" w:fill="auto"/>
          </w:tcPr>
          <w:p w14:paraId="2C908CC9" w14:textId="77777777" w:rsidR="002416B0" w:rsidRPr="002416B0" w:rsidRDefault="002416B0" w:rsidP="002416B0">
            <w:pPr>
              <w:jc w:val="center"/>
              <w:rPr>
                <w:b/>
                <w:bCs/>
              </w:rPr>
            </w:pPr>
            <w:r w:rsidRPr="002416B0">
              <w:rPr>
                <w:b/>
                <w:bCs/>
              </w:rPr>
              <w:t>No</w:t>
            </w:r>
          </w:p>
        </w:tc>
      </w:tr>
      <w:tr w:rsidR="002416B0" w14:paraId="76882556" w14:textId="77777777" w:rsidTr="002416B0">
        <w:trPr>
          <w:trHeight w:val="377"/>
        </w:trPr>
        <w:tc>
          <w:tcPr>
            <w:tcW w:w="2122" w:type="dxa"/>
            <w:vMerge/>
          </w:tcPr>
          <w:p w14:paraId="02DE5453" w14:textId="77777777" w:rsidR="002416B0" w:rsidRDefault="002416B0" w:rsidP="002416B0">
            <w:pPr>
              <w:jc w:val="both"/>
              <w:rPr>
                <w:b/>
                <w:bCs/>
              </w:rPr>
            </w:pPr>
          </w:p>
        </w:tc>
        <w:tc>
          <w:tcPr>
            <w:tcW w:w="2419" w:type="dxa"/>
            <w:shd w:val="clear" w:color="auto" w:fill="auto"/>
          </w:tcPr>
          <w:p w14:paraId="2655974C" w14:textId="77777777" w:rsidR="002416B0" w:rsidRDefault="002416B0" w:rsidP="002416B0">
            <w:pPr>
              <w:pStyle w:val="ListParagraph"/>
              <w:numPr>
                <w:ilvl w:val="0"/>
                <w:numId w:val="2"/>
              </w:numPr>
              <w:jc w:val="both"/>
            </w:pPr>
            <w:proofErr w:type="spellStart"/>
            <w:r>
              <w:t>Thuathe</w:t>
            </w:r>
            <w:proofErr w:type="spellEnd"/>
          </w:p>
        </w:tc>
        <w:tc>
          <w:tcPr>
            <w:tcW w:w="1266" w:type="dxa"/>
            <w:shd w:val="clear" w:color="auto" w:fill="auto"/>
          </w:tcPr>
          <w:p w14:paraId="3C99F95B" w14:textId="77777777" w:rsidR="002416B0" w:rsidRDefault="002416B0" w:rsidP="002416B0">
            <w:r>
              <w:t>15,050</w:t>
            </w:r>
          </w:p>
        </w:tc>
        <w:tc>
          <w:tcPr>
            <w:tcW w:w="1418" w:type="dxa"/>
            <w:shd w:val="clear" w:color="auto" w:fill="auto"/>
          </w:tcPr>
          <w:p w14:paraId="79FFF21F" w14:textId="77777777" w:rsidR="002416B0" w:rsidRDefault="002416B0" w:rsidP="002416B0">
            <w:r>
              <w:t>15,507</w:t>
            </w:r>
          </w:p>
        </w:tc>
        <w:tc>
          <w:tcPr>
            <w:tcW w:w="1559" w:type="dxa"/>
            <w:shd w:val="clear" w:color="auto" w:fill="auto"/>
          </w:tcPr>
          <w:p w14:paraId="6AF875D6" w14:textId="77777777" w:rsidR="002416B0" w:rsidRDefault="002416B0" w:rsidP="002416B0">
            <w:r>
              <w:t xml:space="preserve">        17,085</w:t>
            </w:r>
          </w:p>
        </w:tc>
        <w:tc>
          <w:tcPr>
            <w:tcW w:w="1559" w:type="dxa"/>
            <w:shd w:val="clear" w:color="auto" w:fill="auto"/>
          </w:tcPr>
          <w:p w14:paraId="58CD8635" w14:textId="7FFC3601" w:rsidR="002416B0" w:rsidRDefault="002416B0" w:rsidP="002416B0">
            <w:r>
              <w:t xml:space="preserve">      </w:t>
            </w:r>
            <w:r w:rsidR="00A6473A">
              <w:t xml:space="preserve"> </w:t>
            </w:r>
            <w:r>
              <w:t>13,956</w:t>
            </w:r>
          </w:p>
        </w:tc>
        <w:tc>
          <w:tcPr>
            <w:tcW w:w="1975" w:type="dxa"/>
            <w:shd w:val="clear" w:color="auto" w:fill="auto"/>
          </w:tcPr>
          <w:p w14:paraId="5FA275A5" w14:textId="77777777" w:rsidR="002416B0" w:rsidRDefault="002416B0" w:rsidP="002416B0">
            <w:pPr>
              <w:jc w:val="center"/>
            </w:pPr>
            <w:r>
              <w:t xml:space="preserve">Yes </w:t>
            </w:r>
          </w:p>
        </w:tc>
      </w:tr>
      <w:tr w:rsidR="002416B0" w14:paraId="4D3C464A" w14:textId="77777777" w:rsidTr="002416B0">
        <w:trPr>
          <w:trHeight w:val="377"/>
        </w:trPr>
        <w:tc>
          <w:tcPr>
            <w:tcW w:w="2122" w:type="dxa"/>
            <w:vMerge/>
          </w:tcPr>
          <w:p w14:paraId="600D51BF" w14:textId="77777777" w:rsidR="002416B0" w:rsidRDefault="002416B0" w:rsidP="002416B0">
            <w:pPr>
              <w:jc w:val="both"/>
              <w:rPr>
                <w:b/>
                <w:bCs/>
              </w:rPr>
            </w:pPr>
          </w:p>
        </w:tc>
        <w:tc>
          <w:tcPr>
            <w:tcW w:w="2419" w:type="dxa"/>
            <w:shd w:val="clear" w:color="auto" w:fill="auto"/>
          </w:tcPr>
          <w:p w14:paraId="7A05EFD0" w14:textId="77777777" w:rsidR="002416B0" w:rsidRDefault="002416B0" w:rsidP="002416B0">
            <w:pPr>
              <w:pStyle w:val="ListParagraph"/>
              <w:numPr>
                <w:ilvl w:val="0"/>
                <w:numId w:val="2"/>
              </w:numPr>
              <w:jc w:val="both"/>
            </w:pPr>
            <w:proofErr w:type="spellStart"/>
            <w:r>
              <w:t>Mokhethoaneng</w:t>
            </w:r>
            <w:proofErr w:type="spellEnd"/>
          </w:p>
        </w:tc>
        <w:tc>
          <w:tcPr>
            <w:tcW w:w="1266" w:type="dxa"/>
            <w:shd w:val="clear" w:color="auto" w:fill="auto"/>
          </w:tcPr>
          <w:p w14:paraId="50CE0030" w14:textId="77777777" w:rsidR="002416B0" w:rsidRDefault="002416B0" w:rsidP="002416B0">
            <w:r>
              <w:t>16,739</w:t>
            </w:r>
          </w:p>
        </w:tc>
        <w:tc>
          <w:tcPr>
            <w:tcW w:w="1418" w:type="dxa"/>
            <w:shd w:val="clear" w:color="auto" w:fill="auto"/>
          </w:tcPr>
          <w:p w14:paraId="09EA1492" w14:textId="77777777" w:rsidR="002416B0" w:rsidRDefault="002416B0" w:rsidP="002416B0">
            <w:r>
              <w:t>15,507</w:t>
            </w:r>
          </w:p>
        </w:tc>
        <w:tc>
          <w:tcPr>
            <w:tcW w:w="1559" w:type="dxa"/>
            <w:shd w:val="clear" w:color="auto" w:fill="auto"/>
          </w:tcPr>
          <w:p w14:paraId="7423E46D" w14:textId="18AF90C7" w:rsidR="002416B0" w:rsidRDefault="002416B0" w:rsidP="002416B0">
            <w:r>
              <w:t xml:space="preserve">        17,085</w:t>
            </w:r>
          </w:p>
        </w:tc>
        <w:tc>
          <w:tcPr>
            <w:tcW w:w="1559" w:type="dxa"/>
            <w:shd w:val="clear" w:color="auto" w:fill="auto"/>
          </w:tcPr>
          <w:p w14:paraId="1FFF1D10" w14:textId="5A4FC46E" w:rsidR="002416B0" w:rsidRDefault="00A6473A" w:rsidP="002416B0">
            <w:pPr>
              <w:jc w:val="center"/>
            </w:pPr>
            <w:r>
              <w:t xml:space="preserve">  </w:t>
            </w:r>
            <w:r w:rsidR="002416B0">
              <w:t>13,956</w:t>
            </w:r>
          </w:p>
        </w:tc>
        <w:tc>
          <w:tcPr>
            <w:tcW w:w="1975" w:type="dxa"/>
            <w:shd w:val="clear" w:color="auto" w:fill="auto"/>
          </w:tcPr>
          <w:p w14:paraId="190AC535" w14:textId="77777777" w:rsidR="002416B0" w:rsidRDefault="002416B0" w:rsidP="002416B0">
            <w:pPr>
              <w:jc w:val="center"/>
            </w:pPr>
            <w:r>
              <w:t>Yes</w:t>
            </w:r>
          </w:p>
        </w:tc>
      </w:tr>
      <w:tr w:rsidR="002416B0" w14:paraId="2973B85A" w14:textId="77777777" w:rsidTr="002416B0">
        <w:trPr>
          <w:trHeight w:val="377"/>
        </w:trPr>
        <w:tc>
          <w:tcPr>
            <w:tcW w:w="2122" w:type="dxa"/>
            <w:vMerge/>
          </w:tcPr>
          <w:p w14:paraId="1C615C07" w14:textId="77777777" w:rsidR="002416B0" w:rsidRDefault="002416B0" w:rsidP="002416B0">
            <w:pPr>
              <w:jc w:val="both"/>
              <w:rPr>
                <w:b/>
                <w:bCs/>
              </w:rPr>
            </w:pPr>
          </w:p>
        </w:tc>
        <w:tc>
          <w:tcPr>
            <w:tcW w:w="2419" w:type="dxa"/>
            <w:shd w:val="clear" w:color="auto" w:fill="auto"/>
          </w:tcPr>
          <w:p w14:paraId="5E143588" w14:textId="77777777" w:rsidR="002416B0" w:rsidRDefault="002416B0" w:rsidP="002416B0">
            <w:pPr>
              <w:pStyle w:val="ListParagraph"/>
              <w:numPr>
                <w:ilvl w:val="0"/>
                <w:numId w:val="2"/>
              </w:numPr>
              <w:jc w:val="both"/>
            </w:pPr>
            <w:proofErr w:type="spellStart"/>
            <w:r>
              <w:t>Khubetsoana</w:t>
            </w:r>
            <w:proofErr w:type="spellEnd"/>
          </w:p>
        </w:tc>
        <w:tc>
          <w:tcPr>
            <w:tcW w:w="1266" w:type="dxa"/>
            <w:shd w:val="clear" w:color="auto" w:fill="auto"/>
          </w:tcPr>
          <w:p w14:paraId="48569D10" w14:textId="77777777" w:rsidR="002416B0" w:rsidRDefault="002416B0" w:rsidP="002416B0">
            <w:r>
              <w:t>17,015</w:t>
            </w:r>
          </w:p>
        </w:tc>
        <w:tc>
          <w:tcPr>
            <w:tcW w:w="1418" w:type="dxa"/>
            <w:shd w:val="clear" w:color="auto" w:fill="auto"/>
          </w:tcPr>
          <w:p w14:paraId="3DD455EA" w14:textId="77777777" w:rsidR="002416B0" w:rsidRDefault="002416B0" w:rsidP="002416B0">
            <w:r>
              <w:t>15,507</w:t>
            </w:r>
          </w:p>
        </w:tc>
        <w:tc>
          <w:tcPr>
            <w:tcW w:w="1559" w:type="dxa"/>
            <w:shd w:val="clear" w:color="auto" w:fill="auto"/>
          </w:tcPr>
          <w:p w14:paraId="15F0C974" w14:textId="77777777" w:rsidR="002416B0" w:rsidRDefault="002416B0" w:rsidP="002416B0">
            <w:r>
              <w:t xml:space="preserve">       17,085</w:t>
            </w:r>
          </w:p>
        </w:tc>
        <w:tc>
          <w:tcPr>
            <w:tcW w:w="1559" w:type="dxa"/>
            <w:shd w:val="clear" w:color="auto" w:fill="auto"/>
          </w:tcPr>
          <w:p w14:paraId="516D19A4" w14:textId="412F883A" w:rsidR="002416B0" w:rsidRDefault="00A6473A" w:rsidP="002416B0">
            <w:pPr>
              <w:jc w:val="center"/>
            </w:pPr>
            <w:r>
              <w:t xml:space="preserve"> </w:t>
            </w:r>
            <w:r w:rsidR="002416B0">
              <w:t>13,956</w:t>
            </w:r>
          </w:p>
        </w:tc>
        <w:tc>
          <w:tcPr>
            <w:tcW w:w="1975" w:type="dxa"/>
            <w:shd w:val="clear" w:color="auto" w:fill="auto"/>
          </w:tcPr>
          <w:p w14:paraId="617D92C0" w14:textId="77777777" w:rsidR="002416B0" w:rsidRDefault="002416B0" w:rsidP="002416B0">
            <w:pPr>
              <w:jc w:val="center"/>
            </w:pPr>
            <w:r>
              <w:t>Yes</w:t>
            </w:r>
          </w:p>
        </w:tc>
      </w:tr>
      <w:tr w:rsidR="002416B0" w14:paraId="14DBB8F3" w14:textId="77777777" w:rsidTr="002416B0">
        <w:trPr>
          <w:trHeight w:val="377"/>
        </w:trPr>
        <w:tc>
          <w:tcPr>
            <w:tcW w:w="2122" w:type="dxa"/>
            <w:vMerge/>
          </w:tcPr>
          <w:p w14:paraId="57741E0D" w14:textId="77777777" w:rsidR="002416B0" w:rsidRDefault="002416B0" w:rsidP="002416B0">
            <w:pPr>
              <w:jc w:val="both"/>
              <w:rPr>
                <w:b/>
                <w:bCs/>
              </w:rPr>
            </w:pPr>
          </w:p>
        </w:tc>
        <w:tc>
          <w:tcPr>
            <w:tcW w:w="2419" w:type="dxa"/>
            <w:shd w:val="clear" w:color="auto" w:fill="auto"/>
          </w:tcPr>
          <w:p w14:paraId="1CB1ABE5" w14:textId="77777777" w:rsidR="002416B0" w:rsidRDefault="002416B0" w:rsidP="002416B0">
            <w:pPr>
              <w:pStyle w:val="ListParagraph"/>
              <w:numPr>
                <w:ilvl w:val="0"/>
                <w:numId w:val="2"/>
              </w:numPr>
              <w:jc w:val="both"/>
            </w:pPr>
            <w:proofErr w:type="spellStart"/>
            <w:r>
              <w:t>Mabote</w:t>
            </w:r>
            <w:proofErr w:type="spellEnd"/>
          </w:p>
        </w:tc>
        <w:tc>
          <w:tcPr>
            <w:tcW w:w="1266" w:type="dxa"/>
            <w:shd w:val="clear" w:color="auto" w:fill="auto"/>
          </w:tcPr>
          <w:p w14:paraId="671C3B7E" w14:textId="77777777" w:rsidR="002416B0" w:rsidRDefault="002416B0" w:rsidP="002416B0">
            <w:r>
              <w:t>16,064</w:t>
            </w:r>
          </w:p>
        </w:tc>
        <w:tc>
          <w:tcPr>
            <w:tcW w:w="1418" w:type="dxa"/>
            <w:shd w:val="clear" w:color="auto" w:fill="auto"/>
          </w:tcPr>
          <w:p w14:paraId="41233FAB" w14:textId="77777777" w:rsidR="002416B0" w:rsidRDefault="002416B0" w:rsidP="002416B0">
            <w:r>
              <w:t>15,507</w:t>
            </w:r>
          </w:p>
        </w:tc>
        <w:tc>
          <w:tcPr>
            <w:tcW w:w="1559" w:type="dxa"/>
            <w:shd w:val="clear" w:color="auto" w:fill="auto"/>
          </w:tcPr>
          <w:p w14:paraId="004E565F" w14:textId="39576EAB" w:rsidR="002416B0" w:rsidRDefault="002416B0" w:rsidP="002416B0">
            <w:pPr>
              <w:jc w:val="center"/>
            </w:pPr>
            <w:r>
              <w:t xml:space="preserve">  17,085</w:t>
            </w:r>
          </w:p>
        </w:tc>
        <w:tc>
          <w:tcPr>
            <w:tcW w:w="1559" w:type="dxa"/>
            <w:shd w:val="clear" w:color="auto" w:fill="auto"/>
          </w:tcPr>
          <w:p w14:paraId="5854266B" w14:textId="5789F1DC" w:rsidR="002416B0" w:rsidRDefault="00A6473A" w:rsidP="002416B0">
            <w:pPr>
              <w:jc w:val="center"/>
            </w:pPr>
            <w:r>
              <w:t xml:space="preserve"> </w:t>
            </w:r>
            <w:r w:rsidR="002416B0">
              <w:t>13,956</w:t>
            </w:r>
          </w:p>
        </w:tc>
        <w:tc>
          <w:tcPr>
            <w:tcW w:w="1975" w:type="dxa"/>
            <w:shd w:val="clear" w:color="auto" w:fill="auto"/>
          </w:tcPr>
          <w:p w14:paraId="2F52C1A6" w14:textId="77777777" w:rsidR="002416B0" w:rsidRDefault="002416B0" w:rsidP="002416B0">
            <w:pPr>
              <w:jc w:val="center"/>
            </w:pPr>
            <w:r>
              <w:t>Yes</w:t>
            </w:r>
          </w:p>
        </w:tc>
      </w:tr>
      <w:tr w:rsidR="002416B0" w14:paraId="76738A2A" w14:textId="77777777" w:rsidTr="002416B0">
        <w:trPr>
          <w:trHeight w:val="377"/>
        </w:trPr>
        <w:tc>
          <w:tcPr>
            <w:tcW w:w="2122" w:type="dxa"/>
          </w:tcPr>
          <w:p w14:paraId="4C530C3B" w14:textId="77777777" w:rsidR="002416B0" w:rsidRDefault="002416B0" w:rsidP="002416B0">
            <w:pPr>
              <w:jc w:val="both"/>
              <w:rPr>
                <w:b/>
                <w:bCs/>
              </w:rPr>
            </w:pPr>
            <w:r>
              <w:rPr>
                <w:b/>
                <w:bCs/>
              </w:rPr>
              <w:t xml:space="preserve">Maseru </w:t>
            </w:r>
          </w:p>
        </w:tc>
        <w:tc>
          <w:tcPr>
            <w:tcW w:w="2419" w:type="dxa"/>
            <w:shd w:val="clear" w:color="auto" w:fill="auto"/>
          </w:tcPr>
          <w:p w14:paraId="290917FD" w14:textId="77777777" w:rsidR="002416B0" w:rsidRDefault="002416B0" w:rsidP="002416B0">
            <w:pPr>
              <w:pStyle w:val="ListParagraph"/>
              <w:numPr>
                <w:ilvl w:val="0"/>
                <w:numId w:val="2"/>
              </w:numPr>
              <w:jc w:val="both"/>
            </w:pPr>
            <w:proofErr w:type="spellStart"/>
            <w:r>
              <w:t>Motimposo</w:t>
            </w:r>
            <w:proofErr w:type="spellEnd"/>
          </w:p>
        </w:tc>
        <w:tc>
          <w:tcPr>
            <w:tcW w:w="1266" w:type="dxa"/>
            <w:shd w:val="clear" w:color="auto" w:fill="auto"/>
          </w:tcPr>
          <w:p w14:paraId="5CEA159B" w14:textId="77777777" w:rsidR="002416B0" w:rsidRDefault="002416B0" w:rsidP="002416B0">
            <w:r>
              <w:t>16,727</w:t>
            </w:r>
          </w:p>
        </w:tc>
        <w:tc>
          <w:tcPr>
            <w:tcW w:w="1418" w:type="dxa"/>
            <w:shd w:val="clear" w:color="auto" w:fill="auto"/>
          </w:tcPr>
          <w:p w14:paraId="1B4BCD34" w14:textId="77777777" w:rsidR="002416B0" w:rsidRDefault="002416B0" w:rsidP="002416B0">
            <w:r>
              <w:t>15,507</w:t>
            </w:r>
          </w:p>
        </w:tc>
        <w:tc>
          <w:tcPr>
            <w:tcW w:w="1559" w:type="dxa"/>
            <w:shd w:val="clear" w:color="auto" w:fill="auto"/>
          </w:tcPr>
          <w:p w14:paraId="460BFAF6" w14:textId="52367F74" w:rsidR="002416B0" w:rsidRDefault="002416B0" w:rsidP="002416B0">
            <w:pPr>
              <w:jc w:val="center"/>
            </w:pPr>
            <w:r>
              <w:t xml:space="preserve">  17,085</w:t>
            </w:r>
          </w:p>
        </w:tc>
        <w:tc>
          <w:tcPr>
            <w:tcW w:w="1559" w:type="dxa"/>
            <w:shd w:val="clear" w:color="auto" w:fill="auto"/>
          </w:tcPr>
          <w:p w14:paraId="54A79C9D" w14:textId="62106820" w:rsidR="002416B0" w:rsidRDefault="00A6473A" w:rsidP="002416B0">
            <w:pPr>
              <w:jc w:val="center"/>
            </w:pPr>
            <w:r>
              <w:t xml:space="preserve"> </w:t>
            </w:r>
            <w:r w:rsidR="002416B0">
              <w:t>13,956</w:t>
            </w:r>
          </w:p>
        </w:tc>
        <w:tc>
          <w:tcPr>
            <w:tcW w:w="1975" w:type="dxa"/>
            <w:shd w:val="clear" w:color="auto" w:fill="auto"/>
          </w:tcPr>
          <w:p w14:paraId="3D30066E" w14:textId="77777777" w:rsidR="002416B0" w:rsidRDefault="002416B0" w:rsidP="002416B0">
            <w:pPr>
              <w:jc w:val="center"/>
            </w:pPr>
            <w:r>
              <w:t>Yes</w:t>
            </w:r>
          </w:p>
        </w:tc>
      </w:tr>
      <w:tr w:rsidR="002416B0" w14:paraId="1B17AD53" w14:textId="77777777" w:rsidTr="002416B0">
        <w:trPr>
          <w:trHeight w:val="377"/>
        </w:trPr>
        <w:tc>
          <w:tcPr>
            <w:tcW w:w="2122" w:type="dxa"/>
            <w:vMerge w:val="restart"/>
          </w:tcPr>
          <w:p w14:paraId="49887627" w14:textId="77777777" w:rsidR="002416B0" w:rsidRDefault="002416B0" w:rsidP="002416B0">
            <w:pPr>
              <w:jc w:val="both"/>
              <w:rPr>
                <w:b/>
                <w:bCs/>
              </w:rPr>
            </w:pPr>
          </w:p>
        </w:tc>
        <w:tc>
          <w:tcPr>
            <w:tcW w:w="2419" w:type="dxa"/>
            <w:shd w:val="clear" w:color="auto" w:fill="auto"/>
          </w:tcPr>
          <w:p w14:paraId="13298A9D" w14:textId="77777777" w:rsidR="002416B0" w:rsidRDefault="002416B0" w:rsidP="002416B0">
            <w:pPr>
              <w:pStyle w:val="ListParagraph"/>
              <w:numPr>
                <w:ilvl w:val="0"/>
                <w:numId w:val="2"/>
              </w:numPr>
              <w:jc w:val="both"/>
            </w:pPr>
            <w:proofErr w:type="spellStart"/>
            <w:r>
              <w:t>Majoe</w:t>
            </w:r>
            <w:proofErr w:type="spellEnd"/>
            <w:r>
              <w:t xml:space="preserve"> – A- </w:t>
            </w:r>
            <w:proofErr w:type="spellStart"/>
            <w:r>
              <w:t>Litšoene</w:t>
            </w:r>
            <w:proofErr w:type="spellEnd"/>
          </w:p>
        </w:tc>
        <w:tc>
          <w:tcPr>
            <w:tcW w:w="1266" w:type="dxa"/>
            <w:shd w:val="clear" w:color="auto" w:fill="auto"/>
          </w:tcPr>
          <w:p w14:paraId="3BB777B6" w14:textId="77777777" w:rsidR="002416B0" w:rsidRDefault="002416B0" w:rsidP="002416B0">
            <w:r>
              <w:t>14,190</w:t>
            </w:r>
          </w:p>
        </w:tc>
        <w:tc>
          <w:tcPr>
            <w:tcW w:w="1418" w:type="dxa"/>
            <w:shd w:val="clear" w:color="auto" w:fill="auto"/>
          </w:tcPr>
          <w:p w14:paraId="08785052" w14:textId="77777777" w:rsidR="002416B0" w:rsidRDefault="002416B0" w:rsidP="002416B0">
            <w:r>
              <w:t>15,507</w:t>
            </w:r>
          </w:p>
        </w:tc>
        <w:tc>
          <w:tcPr>
            <w:tcW w:w="1559" w:type="dxa"/>
            <w:shd w:val="clear" w:color="auto" w:fill="auto"/>
          </w:tcPr>
          <w:p w14:paraId="0AAE0D0B" w14:textId="0FC458D7" w:rsidR="002416B0" w:rsidRDefault="002416B0" w:rsidP="002416B0">
            <w:pPr>
              <w:jc w:val="center"/>
            </w:pPr>
            <w:r>
              <w:t xml:space="preserve"> 17,085</w:t>
            </w:r>
          </w:p>
        </w:tc>
        <w:tc>
          <w:tcPr>
            <w:tcW w:w="1559" w:type="dxa"/>
            <w:shd w:val="clear" w:color="auto" w:fill="auto"/>
          </w:tcPr>
          <w:p w14:paraId="52371BC3" w14:textId="2A778059" w:rsidR="002416B0" w:rsidRDefault="00A6473A" w:rsidP="002416B0">
            <w:pPr>
              <w:jc w:val="center"/>
            </w:pPr>
            <w:r>
              <w:t xml:space="preserve"> </w:t>
            </w:r>
            <w:r w:rsidR="002416B0">
              <w:t>13,956</w:t>
            </w:r>
          </w:p>
        </w:tc>
        <w:tc>
          <w:tcPr>
            <w:tcW w:w="1975" w:type="dxa"/>
            <w:shd w:val="clear" w:color="auto" w:fill="auto"/>
          </w:tcPr>
          <w:p w14:paraId="2730ED98" w14:textId="77777777" w:rsidR="002416B0" w:rsidRDefault="002416B0" w:rsidP="002416B0">
            <w:pPr>
              <w:jc w:val="center"/>
            </w:pPr>
            <w:r>
              <w:t>Yes</w:t>
            </w:r>
          </w:p>
        </w:tc>
      </w:tr>
      <w:tr w:rsidR="002416B0" w14:paraId="107EE81B" w14:textId="77777777" w:rsidTr="002416B0">
        <w:trPr>
          <w:trHeight w:val="377"/>
        </w:trPr>
        <w:tc>
          <w:tcPr>
            <w:tcW w:w="2122" w:type="dxa"/>
            <w:vMerge/>
          </w:tcPr>
          <w:p w14:paraId="7660F91A" w14:textId="77777777" w:rsidR="002416B0" w:rsidRDefault="002416B0" w:rsidP="002416B0">
            <w:pPr>
              <w:jc w:val="both"/>
              <w:rPr>
                <w:b/>
                <w:bCs/>
              </w:rPr>
            </w:pPr>
          </w:p>
        </w:tc>
        <w:tc>
          <w:tcPr>
            <w:tcW w:w="2419" w:type="dxa"/>
            <w:shd w:val="clear" w:color="auto" w:fill="auto"/>
          </w:tcPr>
          <w:p w14:paraId="0141643E" w14:textId="77777777" w:rsidR="002416B0" w:rsidRDefault="002416B0" w:rsidP="002416B0">
            <w:pPr>
              <w:pStyle w:val="ListParagraph"/>
              <w:numPr>
                <w:ilvl w:val="0"/>
                <w:numId w:val="2"/>
              </w:numPr>
              <w:jc w:val="both"/>
            </w:pPr>
            <w:r>
              <w:t>Stadium Area</w:t>
            </w:r>
          </w:p>
        </w:tc>
        <w:tc>
          <w:tcPr>
            <w:tcW w:w="1266" w:type="dxa"/>
            <w:shd w:val="clear" w:color="auto" w:fill="auto"/>
          </w:tcPr>
          <w:p w14:paraId="44AF537F" w14:textId="77777777" w:rsidR="002416B0" w:rsidRDefault="002416B0" w:rsidP="002416B0">
            <w:r>
              <w:t>15,992</w:t>
            </w:r>
          </w:p>
        </w:tc>
        <w:tc>
          <w:tcPr>
            <w:tcW w:w="1418" w:type="dxa"/>
            <w:shd w:val="clear" w:color="auto" w:fill="auto"/>
          </w:tcPr>
          <w:p w14:paraId="15231917" w14:textId="77777777" w:rsidR="002416B0" w:rsidRDefault="002416B0" w:rsidP="002416B0">
            <w:r>
              <w:t>15,507</w:t>
            </w:r>
          </w:p>
        </w:tc>
        <w:tc>
          <w:tcPr>
            <w:tcW w:w="1559" w:type="dxa"/>
            <w:shd w:val="clear" w:color="auto" w:fill="auto"/>
          </w:tcPr>
          <w:p w14:paraId="7E864026" w14:textId="77777777" w:rsidR="002416B0" w:rsidRDefault="002416B0" w:rsidP="002416B0">
            <w:pPr>
              <w:jc w:val="center"/>
            </w:pPr>
            <w:r>
              <w:t>17,085</w:t>
            </w:r>
          </w:p>
        </w:tc>
        <w:tc>
          <w:tcPr>
            <w:tcW w:w="1559" w:type="dxa"/>
            <w:shd w:val="clear" w:color="auto" w:fill="auto"/>
          </w:tcPr>
          <w:p w14:paraId="7F57E5DD" w14:textId="45839F50" w:rsidR="002416B0" w:rsidRDefault="00A6473A" w:rsidP="002416B0">
            <w:pPr>
              <w:jc w:val="center"/>
            </w:pPr>
            <w:r>
              <w:t xml:space="preserve"> </w:t>
            </w:r>
            <w:r w:rsidR="002416B0">
              <w:t>13,956</w:t>
            </w:r>
          </w:p>
        </w:tc>
        <w:tc>
          <w:tcPr>
            <w:tcW w:w="1975" w:type="dxa"/>
            <w:shd w:val="clear" w:color="auto" w:fill="auto"/>
          </w:tcPr>
          <w:p w14:paraId="6A1A5D6C" w14:textId="77777777" w:rsidR="002416B0" w:rsidRDefault="002416B0" w:rsidP="002416B0">
            <w:pPr>
              <w:jc w:val="center"/>
            </w:pPr>
            <w:r>
              <w:t>Yes</w:t>
            </w:r>
          </w:p>
        </w:tc>
      </w:tr>
      <w:tr w:rsidR="002416B0" w14:paraId="67BE15EA" w14:textId="77777777" w:rsidTr="002416B0">
        <w:trPr>
          <w:trHeight w:val="377"/>
        </w:trPr>
        <w:tc>
          <w:tcPr>
            <w:tcW w:w="2122" w:type="dxa"/>
            <w:vMerge/>
          </w:tcPr>
          <w:p w14:paraId="6F9B0E8D" w14:textId="77777777" w:rsidR="002416B0" w:rsidRDefault="002416B0" w:rsidP="002416B0">
            <w:pPr>
              <w:jc w:val="both"/>
              <w:rPr>
                <w:b/>
                <w:bCs/>
              </w:rPr>
            </w:pPr>
          </w:p>
        </w:tc>
        <w:tc>
          <w:tcPr>
            <w:tcW w:w="2419" w:type="dxa"/>
            <w:shd w:val="clear" w:color="auto" w:fill="auto"/>
          </w:tcPr>
          <w:p w14:paraId="2A8A20A6" w14:textId="77777777" w:rsidR="002416B0" w:rsidRDefault="002416B0" w:rsidP="002416B0">
            <w:pPr>
              <w:pStyle w:val="ListParagraph"/>
              <w:numPr>
                <w:ilvl w:val="0"/>
                <w:numId w:val="2"/>
              </w:numPr>
              <w:jc w:val="both"/>
            </w:pPr>
            <w:r>
              <w:t>Maseru</w:t>
            </w:r>
          </w:p>
        </w:tc>
        <w:tc>
          <w:tcPr>
            <w:tcW w:w="1266" w:type="dxa"/>
            <w:shd w:val="clear" w:color="auto" w:fill="auto"/>
          </w:tcPr>
          <w:p w14:paraId="101349AA" w14:textId="77777777" w:rsidR="002416B0" w:rsidRDefault="002416B0" w:rsidP="002416B0">
            <w:r>
              <w:t>15,857</w:t>
            </w:r>
          </w:p>
        </w:tc>
        <w:tc>
          <w:tcPr>
            <w:tcW w:w="1418" w:type="dxa"/>
            <w:shd w:val="clear" w:color="auto" w:fill="auto"/>
          </w:tcPr>
          <w:p w14:paraId="4EFDAB90" w14:textId="77777777" w:rsidR="002416B0" w:rsidRDefault="002416B0" w:rsidP="002416B0">
            <w:r>
              <w:t>15,507</w:t>
            </w:r>
          </w:p>
        </w:tc>
        <w:tc>
          <w:tcPr>
            <w:tcW w:w="1559" w:type="dxa"/>
            <w:shd w:val="clear" w:color="auto" w:fill="auto"/>
          </w:tcPr>
          <w:p w14:paraId="74ABA4FA" w14:textId="77777777" w:rsidR="002416B0" w:rsidRDefault="002416B0" w:rsidP="002416B0">
            <w:pPr>
              <w:jc w:val="center"/>
            </w:pPr>
            <w:r>
              <w:t>17,085</w:t>
            </w:r>
          </w:p>
        </w:tc>
        <w:tc>
          <w:tcPr>
            <w:tcW w:w="1559" w:type="dxa"/>
            <w:shd w:val="clear" w:color="auto" w:fill="auto"/>
          </w:tcPr>
          <w:p w14:paraId="77E4F9B6" w14:textId="658396C1" w:rsidR="002416B0" w:rsidRDefault="00A6473A" w:rsidP="002416B0">
            <w:pPr>
              <w:jc w:val="center"/>
            </w:pPr>
            <w:r>
              <w:t xml:space="preserve"> </w:t>
            </w:r>
            <w:r w:rsidR="002416B0">
              <w:t>13,956</w:t>
            </w:r>
          </w:p>
        </w:tc>
        <w:tc>
          <w:tcPr>
            <w:tcW w:w="1975" w:type="dxa"/>
            <w:shd w:val="clear" w:color="auto" w:fill="auto"/>
          </w:tcPr>
          <w:p w14:paraId="264CB4BA" w14:textId="77777777" w:rsidR="002416B0" w:rsidRDefault="002416B0" w:rsidP="002416B0">
            <w:pPr>
              <w:jc w:val="center"/>
            </w:pPr>
            <w:r>
              <w:t>Yes</w:t>
            </w:r>
          </w:p>
        </w:tc>
      </w:tr>
      <w:tr w:rsidR="002416B0" w14:paraId="62CBC7D9" w14:textId="77777777" w:rsidTr="002416B0">
        <w:trPr>
          <w:trHeight w:val="377"/>
        </w:trPr>
        <w:tc>
          <w:tcPr>
            <w:tcW w:w="2122" w:type="dxa"/>
            <w:vMerge/>
          </w:tcPr>
          <w:p w14:paraId="025BA3C1" w14:textId="77777777" w:rsidR="002416B0" w:rsidRDefault="002416B0" w:rsidP="002416B0">
            <w:pPr>
              <w:jc w:val="both"/>
              <w:rPr>
                <w:b/>
                <w:bCs/>
              </w:rPr>
            </w:pPr>
          </w:p>
        </w:tc>
        <w:tc>
          <w:tcPr>
            <w:tcW w:w="2419" w:type="dxa"/>
            <w:shd w:val="clear" w:color="auto" w:fill="auto"/>
          </w:tcPr>
          <w:p w14:paraId="10A5CC41" w14:textId="77777777" w:rsidR="002416B0" w:rsidRDefault="002416B0" w:rsidP="002416B0">
            <w:pPr>
              <w:pStyle w:val="ListParagraph"/>
              <w:numPr>
                <w:ilvl w:val="0"/>
                <w:numId w:val="2"/>
              </w:numPr>
              <w:jc w:val="both"/>
            </w:pPr>
            <w:proofErr w:type="spellStart"/>
            <w:r>
              <w:t>Thetsane</w:t>
            </w:r>
            <w:proofErr w:type="spellEnd"/>
          </w:p>
        </w:tc>
        <w:tc>
          <w:tcPr>
            <w:tcW w:w="1266" w:type="dxa"/>
            <w:shd w:val="clear" w:color="auto" w:fill="auto"/>
          </w:tcPr>
          <w:p w14:paraId="43998260" w14:textId="77777777" w:rsidR="002416B0" w:rsidRDefault="002416B0" w:rsidP="002416B0">
            <w:r>
              <w:t>14,834</w:t>
            </w:r>
          </w:p>
        </w:tc>
        <w:tc>
          <w:tcPr>
            <w:tcW w:w="1418" w:type="dxa"/>
            <w:shd w:val="clear" w:color="auto" w:fill="auto"/>
          </w:tcPr>
          <w:p w14:paraId="732B8685" w14:textId="77777777" w:rsidR="002416B0" w:rsidRDefault="002416B0" w:rsidP="002416B0">
            <w:r>
              <w:t>15,507</w:t>
            </w:r>
          </w:p>
        </w:tc>
        <w:tc>
          <w:tcPr>
            <w:tcW w:w="1559" w:type="dxa"/>
            <w:shd w:val="clear" w:color="auto" w:fill="auto"/>
          </w:tcPr>
          <w:p w14:paraId="67D4A0DD" w14:textId="77777777" w:rsidR="002416B0" w:rsidRDefault="002416B0" w:rsidP="002416B0">
            <w:pPr>
              <w:jc w:val="center"/>
            </w:pPr>
            <w:r>
              <w:t>17,085</w:t>
            </w:r>
          </w:p>
        </w:tc>
        <w:tc>
          <w:tcPr>
            <w:tcW w:w="1559" w:type="dxa"/>
            <w:shd w:val="clear" w:color="auto" w:fill="auto"/>
          </w:tcPr>
          <w:p w14:paraId="632C248F" w14:textId="77777777" w:rsidR="002416B0" w:rsidRDefault="002416B0" w:rsidP="002416B0">
            <w:pPr>
              <w:jc w:val="center"/>
            </w:pPr>
            <w:r>
              <w:t>13,956</w:t>
            </w:r>
          </w:p>
        </w:tc>
        <w:tc>
          <w:tcPr>
            <w:tcW w:w="1975" w:type="dxa"/>
            <w:shd w:val="clear" w:color="auto" w:fill="auto"/>
          </w:tcPr>
          <w:p w14:paraId="2F837FD4" w14:textId="77777777" w:rsidR="002416B0" w:rsidRDefault="002416B0" w:rsidP="002416B0">
            <w:pPr>
              <w:jc w:val="center"/>
            </w:pPr>
            <w:r>
              <w:t>Yes</w:t>
            </w:r>
          </w:p>
        </w:tc>
      </w:tr>
      <w:tr w:rsidR="002416B0" w14:paraId="02EE26DB" w14:textId="77777777" w:rsidTr="002416B0">
        <w:trPr>
          <w:trHeight w:val="377"/>
        </w:trPr>
        <w:tc>
          <w:tcPr>
            <w:tcW w:w="2122" w:type="dxa"/>
            <w:vMerge/>
          </w:tcPr>
          <w:p w14:paraId="3EBEB5E3" w14:textId="77777777" w:rsidR="002416B0" w:rsidRDefault="002416B0" w:rsidP="002416B0">
            <w:pPr>
              <w:jc w:val="both"/>
              <w:rPr>
                <w:b/>
                <w:bCs/>
              </w:rPr>
            </w:pPr>
          </w:p>
        </w:tc>
        <w:tc>
          <w:tcPr>
            <w:tcW w:w="2419" w:type="dxa"/>
            <w:shd w:val="clear" w:color="auto" w:fill="auto"/>
          </w:tcPr>
          <w:p w14:paraId="35548814" w14:textId="77777777" w:rsidR="002416B0" w:rsidRDefault="002416B0" w:rsidP="002416B0">
            <w:pPr>
              <w:pStyle w:val="ListParagraph"/>
              <w:numPr>
                <w:ilvl w:val="0"/>
                <w:numId w:val="2"/>
              </w:numPr>
              <w:jc w:val="both"/>
            </w:pPr>
            <w:proofErr w:type="spellStart"/>
            <w:r>
              <w:t>Tsolo</w:t>
            </w:r>
            <w:proofErr w:type="spellEnd"/>
          </w:p>
        </w:tc>
        <w:tc>
          <w:tcPr>
            <w:tcW w:w="1266" w:type="dxa"/>
            <w:shd w:val="clear" w:color="auto" w:fill="auto"/>
          </w:tcPr>
          <w:p w14:paraId="06F52D1A" w14:textId="77777777" w:rsidR="002416B0" w:rsidRDefault="002416B0" w:rsidP="002416B0">
            <w:r>
              <w:t>15,654</w:t>
            </w:r>
          </w:p>
        </w:tc>
        <w:tc>
          <w:tcPr>
            <w:tcW w:w="1418" w:type="dxa"/>
            <w:shd w:val="clear" w:color="auto" w:fill="auto"/>
          </w:tcPr>
          <w:p w14:paraId="06CFFD04" w14:textId="77777777" w:rsidR="002416B0" w:rsidRDefault="002416B0" w:rsidP="002416B0">
            <w:r>
              <w:t>15,507</w:t>
            </w:r>
          </w:p>
        </w:tc>
        <w:tc>
          <w:tcPr>
            <w:tcW w:w="1559" w:type="dxa"/>
            <w:shd w:val="clear" w:color="auto" w:fill="auto"/>
          </w:tcPr>
          <w:p w14:paraId="742A2943" w14:textId="77777777" w:rsidR="002416B0" w:rsidRDefault="002416B0" w:rsidP="002416B0">
            <w:pPr>
              <w:jc w:val="center"/>
            </w:pPr>
            <w:r>
              <w:t>17,085</w:t>
            </w:r>
          </w:p>
        </w:tc>
        <w:tc>
          <w:tcPr>
            <w:tcW w:w="1559" w:type="dxa"/>
            <w:shd w:val="clear" w:color="auto" w:fill="auto"/>
          </w:tcPr>
          <w:p w14:paraId="107DF2FE" w14:textId="77777777" w:rsidR="002416B0" w:rsidRDefault="002416B0" w:rsidP="002416B0">
            <w:pPr>
              <w:jc w:val="center"/>
            </w:pPr>
            <w:r>
              <w:t>13,956</w:t>
            </w:r>
          </w:p>
        </w:tc>
        <w:tc>
          <w:tcPr>
            <w:tcW w:w="1975" w:type="dxa"/>
            <w:shd w:val="clear" w:color="auto" w:fill="auto"/>
          </w:tcPr>
          <w:p w14:paraId="4ADFB34B" w14:textId="77777777" w:rsidR="002416B0" w:rsidRDefault="002416B0" w:rsidP="002416B0">
            <w:pPr>
              <w:jc w:val="center"/>
            </w:pPr>
            <w:r>
              <w:t>Yes</w:t>
            </w:r>
          </w:p>
        </w:tc>
      </w:tr>
      <w:tr w:rsidR="002416B0" w14:paraId="786269C1" w14:textId="77777777" w:rsidTr="002416B0">
        <w:trPr>
          <w:trHeight w:val="377"/>
        </w:trPr>
        <w:tc>
          <w:tcPr>
            <w:tcW w:w="2122" w:type="dxa"/>
            <w:vMerge/>
          </w:tcPr>
          <w:p w14:paraId="05555489" w14:textId="77777777" w:rsidR="002416B0" w:rsidRDefault="002416B0" w:rsidP="002416B0">
            <w:pPr>
              <w:jc w:val="both"/>
              <w:rPr>
                <w:b/>
                <w:bCs/>
              </w:rPr>
            </w:pPr>
          </w:p>
        </w:tc>
        <w:tc>
          <w:tcPr>
            <w:tcW w:w="2419" w:type="dxa"/>
            <w:shd w:val="clear" w:color="auto" w:fill="auto"/>
          </w:tcPr>
          <w:p w14:paraId="3598CF5C" w14:textId="77777777" w:rsidR="002416B0" w:rsidRDefault="002416B0" w:rsidP="002416B0">
            <w:pPr>
              <w:pStyle w:val="ListParagraph"/>
              <w:numPr>
                <w:ilvl w:val="0"/>
                <w:numId w:val="2"/>
              </w:numPr>
              <w:jc w:val="both"/>
            </w:pPr>
            <w:proofErr w:type="spellStart"/>
            <w:r>
              <w:t>Likotsi</w:t>
            </w:r>
            <w:proofErr w:type="spellEnd"/>
          </w:p>
        </w:tc>
        <w:tc>
          <w:tcPr>
            <w:tcW w:w="1266" w:type="dxa"/>
            <w:shd w:val="clear" w:color="auto" w:fill="auto"/>
          </w:tcPr>
          <w:p w14:paraId="4257C0BF" w14:textId="77777777" w:rsidR="002416B0" w:rsidRDefault="002416B0" w:rsidP="002416B0">
            <w:r>
              <w:t>16,020</w:t>
            </w:r>
          </w:p>
        </w:tc>
        <w:tc>
          <w:tcPr>
            <w:tcW w:w="1418" w:type="dxa"/>
            <w:shd w:val="clear" w:color="auto" w:fill="auto"/>
          </w:tcPr>
          <w:p w14:paraId="3B8A431E" w14:textId="77777777" w:rsidR="002416B0" w:rsidRDefault="002416B0" w:rsidP="002416B0">
            <w:r>
              <w:t>15,507</w:t>
            </w:r>
          </w:p>
        </w:tc>
        <w:tc>
          <w:tcPr>
            <w:tcW w:w="1559" w:type="dxa"/>
            <w:shd w:val="clear" w:color="auto" w:fill="auto"/>
          </w:tcPr>
          <w:p w14:paraId="423DA6AC" w14:textId="77777777" w:rsidR="002416B0" w:rsidRDefault="002416B0" w:rsidP="002416B0">
            <w:pPr>
              <w:jc w:val="center"/>
            </w:pPr>
            <w:r>
              <w:t>17,085</w:t>
            </w:r>
          </w:p>
        </w:tc>
        <w:tc>
          <w:tcPr>
            <w:tcW w:w="1559" w:type="dxa"/>
            <w:shd w:val="clear" w:color="auto" w:fill="auto"/>
          </w:tcPr>
          <w:p w14:paraId="522FE6FB" w14:textId="77777777" w:rsidR="002416B0" w:rsidRDefault="002416B0" w:rsidP="002416B0">
            <w:pPr>
              <w:jc w:val="center"/>
            </w:pPr>
            <w:r>
              <w:t>13,956</w:t>
            </w:r>
          </w:p>
        </w:tc>
        <w:tc>
          <w:tcPr>
            <w:tcW w:w="1975" w:type="dxa"/>
            <w:shd w:val="clear" w:color="auto" w:fill="auto"/>
          </w:tcPr>
          <w:p w14:paraId="12BD0480" w14:textId="77777777" w:rsidR="002416B0" w:rsidRDefault="002416B0" w:rsidP="002416B0">
            <w:pPr>
              <w:jc w:val="center"/>
            </w:pPr>
            <w:r>
              <w:t>Yes</w:t>
            </w:r>
          </w:p>
        </w:tc>
      </w:tr>
      <w:tr w:rsidR="002416B0" w14:paraId="2B4D24E6" w14:textId="77777777" w:rsidTr="002416B0">
        <w:trPr>
          <w:trHeight w:val="377"/>
        </w:trPr>
        <w:tc>
          <w:tcPr>
            <w:tcW w:w="2122" w:type="dxa"/>
            <w:vMerge/>
          </w:tcPr>
          <w:p w14:paraId="72800759" w14:textId="77777777" w:rsidR="002416B0" w:rsidRDefault="002416B0" w:rsidP="002416B0">
            <w:pPr>
              <w:jc w:val="both"/>
              <w:rPr>
                <w:b/>
                <w:bCs/>
              </w:rPr>
            </w:pPr>
          </w:p>
        </w:tc>
        <w:tc>
          <w:tcPr>
            <w:tcW w:w="2419" w:type="dxa"/>
            <w:shd w:val="clear" w:color="auto" w:fill="auto"/>
          </w:tcPr>
          <w:p w14:paraId="34A6D373" w14:textId="77777777" w:rsidR="002416B0" w:rsidRDefault="002416B0" w:rsidP="002416B0">
            <w:pPr>
              <w:pStyle w:val="ListParagraph"/>
              <w:numPr>
                <w:ilvl w:val="0"/>
                <w:numId w:val="2"/>
              </w:numPr>
              <w:jc w:val="both"/>
            </w:pPr>
            <w:proofErr w:type="spellStart"/>
            <w:r>
              <w:t>Qoaling</w:t>
            </w:r>
            <w:proofErr w:type="spellEnd"/>
          </w:p>
        </w:tc>
        <w:tc>
          <w:tcPr>
            <w:tcW w:w="1266" w:type="dxa"/>
            <w:shd w:val="clear" w:color="auto" w:fill="auto"/>
          </w:tcPr>
          <w:p w14:paraId="7F0AAED3" w14:textId="77777777" w:rsidR="002416B0" w:rsidRDefault="002416B0" w:rsidP="002416B0">
            <w:r>
              <w:t>15,784</w:t>
            </w:r>
          </w:p>
        </w:tc>
        <w:tc>
          <w:tcPr>
            <w:tcW w:w="1418" w:type="dxa"/>
            <w:shd w:val="clear" w:color="auto" w:fill="auto"/>
          </w:tcPr>
          <w:p w14:paraId="57E1E2DD" w14:textId="77777777" w:rsidR="002416B0" w:rsidRDefault="002416B0" w:rsidP="002416B0">
            <w:r>
              <w:t>15,507</w:t>
            </w:r>
          </w:p>
        </w:tc>
        <w:tc>
          <w:tcPr>
            <w:tcW w:w="1559" w:type="dxa"/>
            <w:shd w:val="clear" w:color="auto" w:fill="auto"/>
          </w:tcPr>
          <w:p w14:paraId="0FC92F33" w14:textId="77777777" w:rsidR="002416B0" w:rsidRDefault="002416B0" w:rsidP="002416B0">
            <w:pPr>
              <w:jc w:val="center"/>
            </w:pPr>
            <w:r>
              <w:t>17,085</w:t>
            </w:r>
          </w:p>
        </w:tc>
        <w:tc>
          <w:tcPr>
            <w:tcW w:w="1559" w:type="dxa"/>
            <w:shd w:val="clear" w:color="auto" w:fill="auto"/>
          </w:tcPr>
          <w:p w14:paraId="3424751F" w14:textId="77777777" w:rsidR="002416B0" w:rsidRDefault="002416B0" w:rsidP="002416B0">
            <w:pPr>
              <w:jc w:val="center"/>
            </w:pPr>
            <w:r>
              <w:t>13,956</w:t>
            </w:r>
          </w:p>
        </w:tc>
        <w:tc>
          <w:tcPr>
            <w:tcW w:w="1975" w:type="dxa"/>
            <w:shd w:val="clear" w:color="auto" w:fill="auto"/>
          </w:tcPr>
          <w:p w14:paraId="75ADE593" w14:textId="77777777" w:rsidR="002416B0" w:rsidRDefault="002416B0" w:rsidP="002416B0">
            <w:pPr>
              <w:jc w:val="center"/>
            </w:pPr>
            <w:r>
              <w:t>Yes</w:t>
            </w:r>
          </w:p>
        </w:tc>
      </w:tr>
      <w:tr w:rsidR="002416B0" w14:paraId="3CD11114" w14:textId="77777777" w:rsidTr="002416B0">
        <w:trPr>
          <w:trHeight w:val="377"/>
        </w:trPr>
        <w:tc>
          <w:tcPr>
            <w:tcW w:w="2122" w:type="dxa"/>
            <w:vMerge/>
          </w:tcPr>
          <w:p w14:paraId="498D65FE" w14:textId="77777777" w:rsidR="002416B0" w:rsidRDefault="002416B0" w:rsidP="002416B0">
            <w:pPr>
              <w:jc w:val="both"/>
              <w:rPr>
                <w:b/>
                <w:bCs/>
              </w:rPr>
            </w:pPr>
          </w:p>
        </w:tc>
        <w:tc>
          <w:tcPr>
            <w:tcW w:w="2419" w:type="dxa"/>
            <w:shd w:val="clear" w:color="auto" w:fill="auto"/>
          </w:tcPr>
          <w:p w14:paraId="508EA454" w14:textId="77777777" w:rsidR="002416B0" w:rsidRDefault="002416B0" w:rsidP="002416B0">
            <w:pPr>
              <w:pStyle w:val="ListParagraph"/>
              <w:numPr>
                <w:ilvl w:val="0"/>
                <w:numId w:val="2"/>
              </w:numPr>
              <w:jc w:val="both"/>
            </w:pPr>
            <w:proofErr w:type="spellStart"/>
            <w:r>
              <w:t>Lithoteng</w:t>
            </w:r>
            <w:proofErr w:type="spellEnd"/>
          </w:p>
        </w:tc>
        <w:tc>
          <w:tcPr>
            <w:tcW w:w="1266" w:type="dxa"/>
            <w:shd w:val="clear" w:color="auto" w:fill="auto"/>
          </w:tcPr>
          <w:p w14:paraId="0B43094E" w14:textId="77777777" w:rsidR="002416B0" w:rsidRDefault="002416B0" w:rsidP="002416B0">
            <w:r>
              <w:t>15,670</w:t>
            </w:r>
          </w:p>
        </w:tc>
        <w:tc>
          <w:tcPr>
            <w:tcW w:w="1418" w:type="dxa"/>
            <w:shd w:val="clear" w:color="auto" w:fill="auto"/>
          </w:tcPr>
          <w:p w14:paraId="25C8A032" w14:textId="77777777" w:rsidR="002416B0" w:rsidRDefault="002416B0" w:rsidP="002416B0">
            <w:r>
              <w:t>15,507</w:t>
            </w:r>
          </w:p>
        </w:tc>
        <w:tc>
          <w:tcPr>
            <w:tcW w:w="1559" w:type="dxa"/>
            <w:shd w:val="clear" w:color="auto" w:fill="auto"/>
          </w:tcPr>
          <w:p w14:paraId="1CB6741C" w14:textId="77777777" w:rsidR="002416B0" w:rsidRDefault="002416B0" w:rsidP="002416B0">
            <w:pPr>
              <w:jc w:val="center"/>
            </w:pPr>
            <w:r>
              <w:t>17,085</w:t>
            </w:r>
          </w:p>
        </w:tc>
        <w:tc>
          <w:tcPr>
            <w:tcW w:w="1559" w:type="dxa"/>
            <w:shd w:val="clear" w:color="auto" w:fill="auto"/>
          </w:tcPr>
          <w:p w14:paraId="1E9116C3" w14:textId="77777777" w:rsidR="002416B0" w:rsidRDefault="002416B0" w:rsidP="002416B0">
            <w:pPr>
              <w:jc w:val="center"/>
            </w:pPr>
            <w:r>
              <w:t>13,956</w:t>
            </w:r>
          </w:p>
        </w:tc>
        <w:tc>
          <w:tcPr>
            <w:tcW w:w="1975" w:type="dxa"/>
            <w:shd w:val="clear" w:color="auto" w:fill="auto"/>
          </w:tcPr>
          <w:p w14:paraId="3F230058" w14:textId="77777777" w:rsidR="002416B0" w:rsidRDefault="002416B0" w:rsidP="002416B0">
            <w:pPr>
              <w:jc w:val="center"/>
            </w:pPr>
            <w:r>
              <w:t>Yes</w:t>
            </w:r>
          </w:p>
        </w:tc>
      </w:tr>
      <w:tr w:rsidR="002416B0" w14:paraId="313913E4" w14:textId="77777777" w:rsidTr="002416B0">
        <w:trPr>
          <w:trHeight w:val="377"/>
        </w:trPr>
        <w:tc>
          <w:tcPr>
            <w:tcW w:w="2122" w:type="dxa"/>
            <w:vMerge/>
          </w:tcPr>
          <w:p w14:paraId="3B88EF54" w14:textId="77777777" w:rsidR="002416B0" w:rsidRDefault="002416B0" w:rsidP="002416B0">
            <w:pPr>
              <w:jc w:val="both"/>
              <w:rPr>
                <w:b/>
                <w:bCs/>
              </w:rPr>
            </w:pPr>
          </w:p>
        </w:tc>
        <w:tc>
          <w:tcPr>
            <w:tcW w:w="2419" w:type="dxa"/>
            <w:shd w:val="clear" w:color="auto" w:fill="auto"/>
          </w:tcPr>
          <w:p w14:paraId="0F5232CC" w14:textId="77777777" w:rsidR="002416B0" w:rsidRDefault="002416B0" w:rsidP="002416B0">
            <w:pPr>
              <w:pStyle w:val="ListParagraph"/>
              <w:numPr>
                <w:ilvl w:val="0"/>
                <w:numId w:val="2"/>
              </w:numPr>
              <w:jc w:val="both"/>
            </w:pPr>
            <w:proofErr w:type="spellStart"/>
            <w:r>
              <w:t>Abia</w:t>
            </w:r>
            <w:proofErr w:type="spellEnd"/>
          </w:p>
        </w:tc>
        <w:tc>
          <w:tcPr>
            <w:tcW w:w="1266" w:type="dxa"/>
            <w:shd w:val="clear" w:color="auto" w:fill="auto"/>
          </w:tcPr>
          <w:p w14:paraId="5F73884F" w14:textId="77777777" w:rsidR="002416B0" w:rsidRDefault="002416B0" w:rsidP="002416B0">
            <w:r>
              <w:t>15,742</w:t>
            </w:r>
          </w:p>
        </w:tc>
        <w:tc>
          <w:tcPr>
            <w:tcW w:w="1418" w:type="dxa"/>
            <w:shd w:val="clear" w:color="auto" w:fill="auto"/>
          </w:tcPr>
          <w:p w14:paraId="6E41347C" w14:textId="77777777" w:rsidR="002416B0" w:rsidRDefault="002416B0" w:rsidP="002416B0">
            <w:r>
              <w:t>15,507</w:t>
            </w:r>
          </w:p>
        </w:tc>
        <w:tc>
          <w:tcPr>
            <w:tcW w:w="1559" w:type="dxa"/>
            <w:shd w:val="clear" w:color="auto" w:fill="auto"/>
          </w:tcPr>
          <w:p w14:paraId="56876791" w14:textId="77777777" w:rsidR="002416B0" w:rsidRDefault="002416B0" w:rsidP="002416B0">
            <w:pPr>
              <w:jc w:val="center"/>
            </w:pPr>
            <w:r>
              <w:t>17,085</w:t>
            </w:r>
          </w:p>
        </w:tc>
        <w:tc>
          <w:tcPr>
            <w:tcW w:w="1559" w:type="dxa"/>
            <w:shd w:val="clear" w:color="auto" w:fill="auto"/>
          </w:tcPr>
          <w:p w14:paraId="239CFC85" w14:textId="77777777" w:rsidR="002416B0" w:rsidRDefault="002416B0" w:rsidP="002416B0">
            <w:pPr>
              <w:jc w:val="center"/>
            </w:pPr>
            <w:r>
              <w:t>13,956</w:t>
            </w:r>
          </w:p>
        </w:tc>
        <w:tc>
          <w:tcPr>
            <w:tcW w:w="1975" w:type="dxa"/>
            <w:shd w:val="clear" w:color="auto" w:fill="auto"/>
          </w:tcPr>
          <w:p w14:paraId="589041CC" w14:textId="77777777" w:rsidR="002416B0" w:rsidRDefault="002416B0" w:rsidP="002416B0">
            <w:pPr>
              <w:jc w:val="center"/>
            </w:pPr>
            <w:r>
              <w:t>Yes</w:t>
            </w:r>
          </w:p>
        </w:tc>
      </w:tr>
      <w:tr w:rsidR="002416B0" w14:paraId="216807E9" w14:textId="77777777" w:rsidTr="002416B0">
        <w:trPr>
          <w:trHeight w:val="377"/>
        </w:trPr>
        <w:tc>
          <w:tcPr>
            <w:tcW w:w="2122" w:type="dxa"/>
            <w:vMerge/>
          </w:tcPr>
          <w:p w14:paraId="75BCD111" w14:textId="77777777" w:rsidR="002416B0" w:rsidRDefault="002416B0" w:rsidP="002416B0">
            <w:pPr>
              <w:jc w:val="both"/>
              <w:rPr>
                <w:b/>
                <w:bCs/>
              </w:rPr>
            </w:pPr>
          </w:p>
        </w:tc>
        <w:tc>
          <w:tcPr>
            <w:tcW w:w="2419" w:type="dxa"/>
            <w:shd w:val="clear" w:color="auto" w:fill="auto"/>
          </w:tcPr>
          <w:p w14:paraId="67AD5EB4" w14:textId="77777777" w:rsidR="002416B0" w:rsidRDefault="002416B0" w:rsidP="002416B0">
            <w:pPr>
              <w:pStyle w:val="ListParagraph"/>
              <w:numPr>
                <w:ilvl w:val="0"/>
                <w:numId w:val="2"/>
              </w:numPr>
              <w:jc w:val="both"/>
            </w:pPr>
            <w:proofErr w:type="spellStart"/>
            <w:r>
              <w:t>Lithabaneng</w:t>
            </w:r>
            <w:proofErr w:type="spellEnd"/>
          </w:p>
        </w:tc>
        <w:tc>
          <w:tcPr>
            <w:tcW w:w="1266" w:type="dxa"/>
            <w:shd w:val="clear" w:color="auto" w:fill="auto"/>
          </w:tcPr>
          <w:p w14:paraId="0116FE07" w14:textId="77777777" w:rsidR="002416B0" w:rsidRDefault="002416B0" w:rsidP="002416B0">
            <w:r>
              <w:t>14,928</w:t>
            </w:r>
          </w:p>
        </w:tc>
        <w:tc>
          <w:tcPr>
            <w:tcW w:w="1418" w:type="dxa"/>
            <w:shd w:val="clear" w:color="auto" w:fill="auto"/>
          </w:tcPr>
          <w:p w14:paraId="6A1C15D4" w14:textId="77777777" w:rsidR="002416B0" w:rsidRDefault="002416B0" w:rsidP="002416B0">
            <w:r>
              <w:t>15,507</w:t>
            </w:r>
          </w:p>
        </w:tc>
        <w:tc>
          <w:tcPr>
            <w:tcW w:w="1559" w:type="dxa"/>
            <w:shd w:val="clear" w:color="auto" w:fill="auto"/>
          </w:tcPr>
          <w:p w14:paraId="527E4433" w14:textId="77777777" w:rsidR="002416B0" w:rsidRDefault="002416B0" w:rsidP="002416B0">
            <w:pPr>
              <w:jc w:val="center"/>
            </w:pPr>
            <w:r>
              <w:t>17,085</w:t>
            </w:r>
          </w:p>
        </w:tc>
        <w:tc>
          <w:tcPr>
            <w:tcW w:w="1559" w:type="dxa"/>
            <w:shd w:val="clear" w:color="auto" w:fill="auto"/>
          </w:tcPr>
          <w:p w14:paraId="510B4A31" w14:textId="77777777" w:rsidR="002416B0" w:rsidRDefault="002416B0" w:rsidP="002416B0">
            <w:pPr>
              <w:jc w:val="center"/>
            </w:pPr>
            <w:r>
              <w:t>13,956</w:t>
            </w:r>
          </w:p>
        </w:tc>
        <w:tc>
          <w:tcPr>
            <w:tcW w:w="1975" w:type="dxa"/>
            <w:shd w:val="clear" w:color="auto" w:fill="auto"/>
          </w:tcPr>
          <w:p w14:paraId="392A28B2" w14:textId="77777777" w:rsidR="002416B0" w:rsidRDefault="002416B0" w:rsidP="002416B0">
            <w:pPr>
              <w:jc w:val="center"/>
            </w:pPr>
            <w:r>
              <w:t>Yes</w:t>
            </w:r>
          </w:p>
        </w:tc>
      </w:tr>
      <w:tr w:rsidR="002416B0" w14:paraId="06A59D38" w14:textId="77777777" w:rsidTr="002416B0">
        <w:trPr>
          <w:trHeight w:val="377"/>
        </w:trPr>
        <w:tc>
          <w:tcPr>
            <w:tcW w:w="2122" w:type="dxa"/>
            <w:vMerge/>
          </w:tcPr>
          <w:p w14:paraId="2F0447EB" w14:textId="77777777" w:rsidR="002416B0" w:rsidRDefault="002416B0" w:rsidP="002416B0">
            <w:pPr>
              <w:jc w:val="both"/>
              <w:rPr>
                <w:b/>
                <w:bCs/>
              </w:rPr>
            </w:pPr>
          </w:p>
        </w:tc>
        <w:tc>
          <w:tcPr>
            <w:tcW w:w="2419" w:type="dxa"/>
            <w:shd w:val="clear" w:color="auto" w:fill="auto"/>
          </w:tcPr>
          <w:p w14:paraId="5247C6C8" w14:textId="77777777" w:rsidR="002416B0" w:rsidRDefault="002416B0" w:rsidP="002416B0">
            <w:pPr>
              <w:pStyle w:val="ListParagraph"/>
              <w:numPr>
                <w:ilvl w:val="0"/>
                <w:numId w:val="2"/>
              </w:numPr>
              <w:jc w:val="both"/>
            </w:pPr>
            <w:proofErr w:type="spellStart"/>
            <w:r>
              <w:t>Matala</w:t>
            </w:r>
            <w:proofErr w:type="spellEnd"/>
          </w:p>
        </w:tc>
        <w:tc>
          <w:tcPr>
            <w:tcW w:w="1266" w:type="dxa"/>
            <w:shd w:val="clear" w:color="auto" w:fill="auto"/>
          </w:tcPr>
          <w:p w14:paraId="26A1BA47" w14:textId="77777777" w:rsidR="002416B0" w:rsidRDefault="002416B0" w:rsidP="002416B0">
            <w:r>
              <w:t>14,239</w:t>
            </w:r>
          </w:p>
        </w:tc>
        <w:tc>
          <w:tcPr>
            <w:tcW w:w="1418" w:type="dxa"/>
            <w:shd w:val="clear" w:color="auto" w:fill="auto"/>
          </w:tcPr>
          <w:p w14:paraId="2574048B" w14:textId="77777777" w:rsidR="002416B0" w:rsidRDefault="002416B0" w:rsidP="002416B0">
            <w:r>
              <w:t>15,507</w:t>
            </w:r>
          </w:p>
        </w:tc>
        <w:tc>
          <w:tcPr>
            <w:tcW w:w="1559" w:type="dxa"/>
            <w:shd w:val="clear" w:color="auto" w:fill="auto"/>
          </w:tcPr>
          <w:p w14:paraId="6EDF1EA9" w14:textId="77777777" w:rsidR="002416B0" w:rsidRDefault="002416B0" w:rsidP="002416B0">
            <w:pPr>
              <w:jc w:val="center"/>
            </w:pPr>
            <w:r>
              <w:t>17,085</w:t>
            </w:r>
          </w:p>
        </w:tc>
        <w:tc>
          <w:tcPr>
            <w:tcW w:w="1559" w:type="dxa"/>
            <w:shd w:val="clear" w:color="auto" w:fill="auto"/>
          </w:tcPr>
          <w:p w14:paraId="00A83541" w14:textId="77777777" w:rsidR="002416B0" w:rsidRDefault="002416B0" w:rsidP="002416B0">
            <w:pPr>
              <w:jc w:val="center"/>
            </w:pPr>
            <w:r>
              <w:t>13,956</w:t>
            </w:r>
          </w:p>
        </w:tc>
        <w:tc>
          <w:tcPr>
            <w:tcW w:w="1975" w:type="dxa"/>
            <w:shd w:val="clear" w:color="auto" w:fill="auto"/>
          </w:tcPr>
          <w:p w14:paraId="500FBBD4" w14:textId="77777777" w:rsidR="002416B0" w:rsidRDefault="002416B0" w:rsidP="002416B0">
            <w:pPr>
              <w:jc w:val="center"/>
            </w:pPr>
            <w:r>
              <w:t>Yes</w:t>
            </w:r>
          </w:p>
        </w:tc>
      </w:tr>
      <w:tr w:rsidR="002416B0" w14:paraId="00BF20F3" w14:textId="77777777" w:rsidTr="002416B0">
        <w:trPr>
          <w:trHeight w:val="377"/>
        </w:trPr>
        <w:tc>
          <w:tcPr>
            <w:tcW w:w="2122" w:type="dxa"/>
            <w:vMerge/>
          </w:tcPr>
          <w:p w14:paraId="1A8D2D2F" w14:textId="77777777" w:rsidR="002416B0" w:rsidRDefault="002416B0" w:rsidP="002416B0">
            <w:pPr>
              <w:jc w:val="both"/>
              <w:rPr>
                <w:b/>
                <w:bCs/>
              </w:rPr>
            </w:pPr>
          </w:p>
        </w:tc>
        <w:tc>
          <w:tcPr>
            <w:tcW w:w="2419" w:type="dxa"/>
            <w:shd w:val="clear" w:color="auto" w:fill="auto"/>
          </w:tcPr>
          <w:p w14:paraId="350B34A0" w14:textId="77777777" w:rsidR="002416B0" w:rsidRDefault="002416B0" w:rsidP="002416B0">
            <w:pPr>
              <w:pStyle w:val="ListParagraph"/>
              <w:numPr>
                <w:ilvl w:val="0"/>
                <w:numId w:val="2"/>
              </w:numPr>
              <w:jc w:val="both"/>
            </w:pPr>
            <w:proofErr w:type="spellStart"/>
            <w:r>
              <w:t>Thaba-Bosiu</w:t>
            </w:r>
            <w:proofErr w:type="spellEnd"/>
          </w:p>
        </w:tc>
        <w:tc>
          <w:tcPr>
            <w:tcW w:w="1266" w:type="dxa"/>
            <w:shd w:val="clear" w:color="auto" w:fill="auto"/>
          </w:tcPr>
          <w:p w14:paraId="09EE9BB8" w14:textId="77777777" w:rsidR="002416B0" w:rsidRDefault="002416B0" w:rsidP="002416B0">
            <w:r>
              <w:t>15,835</w:t>
            </w:r>
          </w:p>
        </w:tc>
        <w:tc>
          <w:tcPr>
            <w:tcW w:w="1418" w:type="dxa"/>
            <w:shd w:val="clear" w:color="auto" w:fill="auto"/>
          </w:tcPr>
          <w:p w14:paraId="21D8A129" w14:textId="77777777" w:rsidR="002416B0" w:rsidRDefault="002416B0" w:rsidP="002416B0">
            <w:r>
              <w:t>15,507</w:t>
            </w:r>
          </w:p>
        </w:tc>
        <w:tc>
          <w:tcPr>
            <w:tcW w:w="1559" w:type="dxa"/>
            <w:shd w:val="clear" w:color="auto" w:fill="auto"/>
          </w:tcPr>
          <w:p w14:paraId="0EAB6808" w14:textId="77777777" w:rsidR="002416B0" w:rsidRDefault="002416B0" w:rsidP="002416B0">
            <w:pPr>
              <w:jc w:val="center"/>
            </w:pPr>
            <w:r>
              <w:t>17,085</w:t>
            </w:r>
          </w:p>
        </w:tc>
        <w:tc>
          <w:tcPr>
            <w:tcW w:w="1559" w:type="dxa"/>
            <w:shd w:val="clear" w:color="auto" w:fill="auto"/>
          </w:tcPr>
          <w:p w14:paraId="60C2AEFB" w14:textId="77777777" w:rsidR="002416B0" w:rsidRDefault="002416B0" w:rsidP="002416B0">
            <w:pPr>
              <w:jc w:val="center"/>
            </w:pPr>
            <w:r>
              <w:t>13,956</w:t>
            </w:r>
          </w:p>
        </w:tc>
        <w:tc>
          <w:tcPr>
            <w:tcW w:w="1975" w:type="dxa"/>
            <w:shd w:val="clear" w:color="auto" w:fill="auto"/>
          </w:tcPr>
          <w:p w14:paraId="27BFB63E" w14:textId="77777777" w:rsidR="002416B0" w:rsidRDefault="002416B0" w:rsidP="002416B0">
            <w:pPr>
              <w:jc w:val="center"/>
            </w:pPr>
            <w:r>
              <w:t>Yes</w:t>
            </w:r>
          </w:p>
        </w:tc>
      </w:tr>
      <w:tr w:rsidR="002416B0" w14:paraId="6EECA73A" w14:textId="77777777" w:rsidTr="002416B0">
        <w:trPr>
          <w:trHeight w:val="377"/>
        </w:trPr>
        <w:tc>
          <w:tcPr>
            <w:tcW w:w="2122" w:type="dxa"/>
            <w:vMerge/>
          </w:tcPr>
          <w:p w14:paraId="3F5FB523" w14:textId="77777777" w:rsidR="002416B0" w:rsidRDefault="002416B0" w:rsidP="002416B0">
            <w:pPr>
              <w:jc w:val="both"/>
              <w:rPr>
                <w:b/>
                <w:bCs/>
              </w:rPr>
            </w:pPr>
          </w:p>
        </w:tc>
        <w:tc>
          <w:tcPr>
            <w:tcW w:w="2419" w:type="dxa"/>
            <w:shd w:val="clear" w:color="auto" w:fill="auto"/>
          </w:tcPr>
          <w:p w14:paraId="55B4D5A8" w14:textId="77777777" w:rsidR="002416B0" w:rsidRDefault="002416B0" w:rsidP="002416B0">
            <w:pPr>
              <w:pStyle w:val="ListParagraph"/>
              <w:numPr>
                <w:ilvl w:val="0"/>
                <w:numId w:val="2"/>
              </w:numPr>
              <w:jc w:val="both"/>
            </w:pPr>
            <w:proofErr w:type="spellStart"/>
            <w:r>
              <w:t>Machache</w:t>
            </w:r>
            <w:proofErr w:type="spellEnd"/>
          </w:p>
        </w:tc>
        <w:tc>
          <w:tcPr>
            <w:tcW w:w="1266" w:type="dxa"/>
            <w:shd w:val="clear" w:color="auto" w:fill="auto"/>
          </w:tcPr>
          <w:p w14:paraId="15758073" w14:textId="77777777" w:rsidR="002416B0" w:rsidRDefault="002416B0" w:rsidP="002416B0">
            <w:r>
              <w:t>16,168</w:t>
            </w:r>
          </w:p>
        </w:tc>
        <w:tc>
          <w:tcPr>
            <w:tcW w:w="1418" w:type="dxa"/>
            <w:shd w:val="clear" w:color="auto" w:fill="auto"/>
          </w:tcPr>
          <w:p w14:paraId="57CD7D43" w14:textId="77777777" w:rsidR="002416B0" w:rsidRDefault="002416B0" w:rsidP="002416B0">
            <w:r>
              <w:t>15,507</w:t>
            </w:r>
          </w:p>
        </w:tc>
        <w:tc>
          <w:tcPr>
            <w:tcW w:w="1559" w:type="dxa"/>
            <w:shd w:val="clear" w:color="auto" w:fill="auto"/>
          </w:tcPr>
          <w:p w14:paraId="014B6A1B" w14:textId="77777777" w:rsidR="002416B0" w:rsidRDefault="002416B0" w:rsidP="002416B0">
            <w:pPr>
              <w:jc w:val="center"/>
            </w:pPr>
            <w:r>
              <w:t>17,085</w:t>
            </w:r>
          </w:p>
        </w:tc>
        <w:tc>
          <w:tcPr>
            <w:tcW w:w="1559" w:type="dxa"/>
            <w:shd w:val="clear" w:color="auto" w:fill="auto"/>
          </w:tcPr>
          <w:p w14:paraId="45323D77" w14:textId="77777777" w:rsidR="002416B0" w:rsidRDefault="002416B0" w:rsidP="002416B0">
            <w:pPr>
              <w:jc w:val="center"/>
            </w:pPr>
            <w:r>
              <w:t>13,956</w:t>
            </w:r>
          </w:p>
        </w:tc>
        <w:tc>
          <w:tcPr>
            <w:tcW w:w="1975" w:type="dxa"/>
            <w:shd w:val="clear" w:color="auto" w:fill="auto"/>
          </w:tcPr>
          <w:p w14:paraId="336CC5CA" w14:textId="77777777" w:rsidR="002416B0" w:rsidRDefault="002416B0" w:rsidP="002416B0">
            <w:pPr>
              <w:jc w:val="center"/>
            </w:pPr>
            <w:r>
              <w:t>Yes</w:t>
            </w:r>
          </w:p>
        </w:tc>
      </w:tr>
      <w:tr w:rsidR="002416B0" w14:paraId="1B0478D8" w14:textId="77777777" w:rsidTr="002416B0">
        <w:trPr>
          <w:trHeight w:val="377"/>
        </w:trPr>
        <w:tc>
          <w:tcPr>
            <w:tcW w:w="2122" w:type="dxa"/>
            <w:vMerge/>
          </w:tcPr>
          <w:p w14:paraId="07D85BE7" w14:textId="77777777" w:rsidR="002416B0" w:rsidRDefault="002416B0" w:rsidP="002416B0">
            <w:pPr>
              <w:jc w:val="both"/>
              <w:rPr>
                <w:b/>
                <w:bCs/>
              </w:rPr>
            </w:pPr>
          </w:p>
        </w:tc>
        <w:tc>
          <w:tcPr>
            <w:tcW w:w="2419" w:type="dxa"/>
            <w:shd w:val="clear" w:color="auto" w:fill="auto"/>
          </w:tcPr>
          <w:p w14:paraId="124A5BE7" w14:textId="77777777" w:rsidR="002416B0" w:rsidRDefault="002416B0" w:rsidP="002416B0">
            <w:pPr>
              <w:pStyle w:val="ListParagraph"/>
              <w:numPr>
                <w:ilvl w:val="0"/>
                <w:numId w:val="2"/>
              </w:numPr>
              <w:jc w:val="both"/>
            </w:pPr>
            <w:proofErr w:type="spellStart"/>
            <w:r>
              <w:t>Thaba</w:t>
            </w:r>
            <w:proofErr w:type="spellEnd"/>
            <w:r>
              <w:t xml:space="preserve"> - </w:t>
            </w:r>
            <w:proofErr w:type="spellStart"/>
            <w:r>
              <w:t>Putsoa</w:t>
            </w:r>
            <w:proofErr w:type="spellEnd"/>
          </w:p>
        </w:tc>
        <w:tc>
          <w:tcPr>
            <w:tcW w:w="1266" w:type="dxa"/>
            <w:shd w:val="clear" w:color="auto" w:fill="auto"/>
          </w:tcPr>
          <w:p w14:paraId="49B45C1F" w14:textId="77777777" w:rsidR="002416B0" w:rsidRDefault="002416B0" w:rsidP="002416B0">
            <w:r>
              <w:t>14,165</w:t>
            </w:r>
          </w:p>
        </w:tc>
        <w:tc>
          <w:tcPr>
            <w:tcW w:w="1418" w:type="dxa"/>
            <w:shd w:val="clear" w:color="auto" w:fill="auto"/>
          </w:tcPr>
          <w:p w14:paraId="273EFBBD" w14:textId="77777777" w:rsidR="002416B0" w:rsidRDefault="002416B0" w:rsidP="002416B0">
            <w:r>
              <w:t>15,507</w:t>
            </w:r>
          </w:p>
        </w:tc>
        <w:tc>
          <w:tcPr>
            <w:tcW w:w="1559" w:type="dxa"/>
            <w:shd w:val="clear" w:color="auto" w:fill="auto"/>
          </w:tcPr>
          <w:p w14:paraId="364C3968" w14:textId="77777777" w:rsidR="002416B0" w:rsidRDefault="002416B0" w:rsidP="002416B0">
            <w:pPr>
              <w:jc w:val="center"/>
            </w:pPr>
            <w:r>
              <w:t>17,085</w:t>
            </w:r>
          </w:p>
        </w:tc>
        <w:tc>
          <w:tcPr>
            <w:tcW w:w="1559" w:type="dxa"/>
            <w:shd w:val="clear" w:color="auto" w:fill="auto"/>
          </w:tcPr>
          <w:p w14:paraId="25432A04" w14:textId="77777777" w:rsidR="002416B0" w:rsidRDefault="002416B0" w:rsidP="002416B0">
            <w:pPr>
              <w:jc w:val="center"/>
            </w:pPr>
            <w:r>
              <w:t>13,956</w:t>
            </w:r>
          </w:p>
        </w:tc>
        <w:tc>
          <w:tcPr>
            <w:tcW w:w="1975" w:type="dxa"/>
            <w:shd w:val="clear" w:color="auto" w:fill="auto"/>
          </w:tcPr>
          <w:p w14:paraId="1CAFB020" w14:textId="77777777" w:rsidR="002416B0" w:rsidRDefault="002416B0" w:rsidP="002416B0">
            <w:pPr>
              <w:jc w:val="center"/>
            </w:pPr>
            <w:r>
              <w:t>Yes</w:t>
            </w:r>
          </w:p>
        </w:tc>
      </w:tr>
      <w:tr w:rsidR="002416B0" w14:paraId="4EC9457E" w14:textId="77777777" w:rsidTr="002416B0">
        <w:trPr>
          <w:trHeight w:val="377"/>
        </w:trPr>
        <w:tc>
          <w:tcPr>
            <w:tcW w:w="2122" w:type="dxa"/>
            <w:vMerge/>
          </w:tcPr>
          <w:p w14:paraId="159CB94F" w14:textId="77777777" w:rsidR="002416B0" w:rsidRDefault="002416B0" w:rsidP="002416B0">
            <w:pPr>
              <w:jc w:val="both"/>
              <w:rPr>
                <w:b/>
                <w:bCs/>
              </w:rPr>
            </w:pPr>
          </w:p>
        </w:tc>
        <w:tc>
          <w:tcPr>
            <w:tcW w:w="2419" w:type="dxa"/>
            <w:shd w:val="clear" w:color="auto" w:fill="auto"/>
          </w:tcPr>
          <w:p w14:paraId="387DC013" w14:textId="77777777" w:rsidR="002416B0" w:rsidRDefault="002416B0" w:rsidP="002416B0">
            <w:pPr>
              <w:pStyle w:val="ListParagraph"/>
              <w:numPr>
                <w:ilvl w:val="0"/>
                <w:numId w:val="2"/>
              </w:numPr>
              <w:jc w:val="both"/>
            </w:pPr>
            <w:proofErr w:type="spellStart"/>
            <w:r>
              <w:t>Maama</w:t>
            </w:r>
            <w:proofErr w:type="spellEnd"/>
          </w:p>
        </w:tc>
        <w:tc>
          <w:tcPr>
            <w:tcW w:w="1266" w:type="dxa"/>
            <w:shd w:val="clear" w:color="auto" w:fill="auto"/>
          </w:tcPr>
          <w:p w14:paraId="4B3E7178" w14:textId="77777777" w:rsidR="002416B0" w:rsidRDefault="002416B0" w:rsidP="002416B0">
            <w:r>
              <w:t>15,167</w:t>
            </w:r>
          </w:p>
        </w:tc>
        <w:tc>
          <w:tcPr>
            <w:tcW w:w="1418" w:type="dxa"/>
            <w:shd w:val="clear" w:color="auto" w:fill="auto"/>
          </w:tcPr>
          <w:p w14:paraId="3593D6E5" w14:textId="77777777" w:rsidR="002416B0" w:rsidRDefault="002416B0" w:rsidP="002416B0">
            <w:r>
              <w:t>15,507</w:t>
            </w:r>
          </w:p>
        </w:tc>
        <w:tc>
          <w:tcPr>
            <w:tcW w:w="1559" w:type="dxa"/>
            <w:shd w:val="clear" w:color="auto" w:fill="auto"/>
          </w:tcPr>
          <w:p w14:paraId="03A7E1EB" w14:textId="77777777" w:rsidR="002416B0" w:rsidRDefault="002416B0" w:rsidP="002416B0">
            <w:pPr>
              <w:jc w:val="center"/>
            </w:pPr>
            <w:r>
              <w:t>17,085</w:t>
            </w:r>
          </w:p>
        </w:tc>
        <w:tc>
          <w:tcPr>
            <w:tcW w:w="1559" w:type="dxa"/>
            <w:shd w:val="clear" w:color="auto" w:fill="auto"/>
          </w:tcPr>
          <w:p w14:paraId="5A9295DD" w14:textId="77777777" w:rsidR="002416B0" w:rsidRDefault="002416B0" w:rsidP="002416B0">
            <w:pPr>
              <w:jc w:val="center"/>
            </w:pPr>
            <w:r>
              <w:t>13,956</w:t>
            </w:r>
          </w:p>
        </w:tc>
        <w:tc>
          <w:tcPr>
            <w:tcW w:w="1975" w:type="dxa"/>
            <w:shd w:val="clear" w:color="auto" w:fill="auto"/>
          </w:tcPr>
          <w:p w14:paraId="448C208B" w14:textId="77777777" w:rsidR="002416B0" w:rsidRDefault="002416B0" w:rsidP="002416B0">
            <w:pPr>
              <w:jc w:val="center"/>
            </w:pPr>
            <w:r>
              <w:t>Yes</w:t>
            </w:r>
          </w:p>
        </w:tc>
      </w:tr>
      <w:tr w:rsidR="002416B0" w14:paraId="3FD1AC84" w14:textId="77777777" w:rsidTr="002416B0">
        <w:trPr>
          <w:trHeight w:val="377"/>
        </w:trPr>
        <w:tc>
          <w:tcPr>
            <w:tcW w:w="2122" w:type="dxa"/>
            <w:vMerge/>
          </w:tcPr>
          <w:p w14:paraId="1A7BDA2D" w14:textId="77777777" w:rsidR="002416B0" w:rsidRDefault="002416B0" w:rsidP="002416B0">
            <w:pPr>
              <w:jc w:val="both"/>
              <w:rPr>
                <w:b/>
                <w:bCs/>
              </w:rPr>
            </w:pPr>
          </w:p>
        </w:tc>
        <w:tc>
          <w:tcPr>
            <w:tcW w:w="2419" w:type="dxa"/>
            <w:shd w:val="clear" w:color="auto" w:fill="auto"/>
          </w:tcPr>
          <w:p w14:paraId="1C6DBD4D" w14:textId="77777777" w:rsidR="002416B0" w:rsidRDefault="002416B0" w:rsidP="002416B0">
            <w:pPr>
              <w:pStyle w:val="ListParagraph"/>
              <w:numPr>
                <w:ilvl w:val="0"/>
                <w:numId w:val="2"/>
              </w:numPr>
              <w:jc w:val="both"/>
            </w:pPr>
            <w:r>
              <w:t>Koro-Koro</w:t>
            </w:r>
          </w:p>
        </w:tc>
        <w:tc>
          <w:tcPr>
            <w:tcW w:w="1266" w:type="dxa"/>
            <w:shd w:val="clear" w:color="auto" w:fill="auto"/>
          </w:tcPr>
          <w:p w14:paraId="3903FB5B" w14:textId="77777777" w:rsidR="002416B0" w:rsidRDefault="002416B0" w:rsidP="002416B0">
            <w:r>
              <w:t>16,363</w:t>
            </w:r>
          </w:p>
        </w:tc>
        <w:tc>
          <w:tcPr>
            <w:tcW w:w="1418" w:type="dxa"/>
            <w:shd w:val="clear" w:color="auto" w:fill="auto"/>
          </w:tcPr>
          <w:p w14:paraId="68CE975D" w14:textId="77777777" w:rsidR="002416B0" w:rsidRDefault="002416B0" w:rsidP="002416B0">
            <w:r>
              <w:t>15,507</w:t>
            </w:r>
          </w:p>
        </w:tc>
        <w:tc>
          <w:tcPr>
            <w:tcW w:w="1559" w:type="dxa"/>
            <w:shd w:val="clear" w:color="auto" w:fill="auto"/>
          </w:tcPr>
          <w:p w14:paraId="5891CBA9" w14:textId="77777777" w:rsidR="002416B0" w:rsidRDefault="002416B0" w:rsidP="002416B0">
            <w:pPr>
              <w:jc w:val="center"/>
            </w:pPr>
            <w:r>
              <w:t>17,085</w:t>
            </w:r>
          </w:p>
        </w:tc>
        <w:tc>
          <w:tcPr>
            <w:tcW w:w="1559" w:type="dxa"/>
            <w:shd w:val="clear" w:color="auto" w:fill="auto"/>
          </w:tcPr>
          <w:p w14:paraId="6C3EFC6A" w14:textId="77777777" w:rsidR="002416B0" w:rsidRDefault="002416B0" w:rsidP="002416B0">
            <w:pPr>
              <w:jc w:val="center"/>
            </w:pPr>
            <w:r>
              <w:t>13,956</w:t>
            </w:r>
          </w:p>
        </w:tc>
        <w:tc>
          <w:tcPr>
            <w:tcW w:w="1975" w:type="dxa"/>
            <w:shd w:val="clear" w:color="auto" w:fill="auto"/>
          </w:tcPr>
          <w:p w14:paraId="47666F89" w14:textId="77777777" w:rsidR="002416B0" w:rsidRDefault="002416B0" w:rsidP="002416B0">
            <w:pPr>
              <w:jc w:val="center"/>
            </w:pPr>
            <w:r>
              <w:t>Yes</w:t>
            </w:r>
          </w:p>
        </w:tc>
      </w:tr>
      <w:tr w:rsidR="002416B0" w14:paraId="685C085E" w14:textId="77777777" w:rsidTr="002416B0">
        <w:trPr>
          <w:trHeight w:val="377"/>
        </w:trPr>
        <w:tc>
          <w:tcPr>
            <w:tcW w:w="2122" w:type="dxa"/>
            <w:vMerge/>
          </w:tcPr>
          <w:p w14:paraId="69D4244F" w14:textId="77777777" w:rsidR="002416B0" w:rsidRDefault="002416B0" w:rsidP="002416B0">
            <w:pPr>
              <w:jc w:val="both"/>
              <w:rPr>
                <w:b/>
                <w:bCs/>
              </w:rPr>
            </w:pPr>
          </w:p>
        </w:tc>
        <w:tc>
          <w:tcPr>
            <w:tcW w:w="2419" w:type="dxa"/>
            <w:shd w:val="clear" w:color="auto" w:fill="auto"/>
          </w:tcPr>
          <w:p w14:paraId="0A81DB2C" w14:textId="77777777" w:rsidR="002416B0" w:rsidRDefault="002416B0" w:rsidP="002416B0">
            <w:pPr>
              <w:pStyle w:val="ListParagraph"/>
              <w:numPr>
                <w:ilvl w:val="0"/>
                <w:numId w:val="2"/>
              </w:numPr>
              <w:jc w:val="both"/>
            </w:pPr>
            <w:proofErr w:type="spellStart"/>
            <w:r>
              <w:t>Qeme</w:t>
            </w:r>
            <w:proofErr w:type="spellEnd"/>
          </w:p>
        </w:tc>
        <w:tc>
          <w:tcPr>
            <w:tcW w:w="1266" w:type="dxa"/>
            <w:shd w:val="clear" w:color="auto" w:fill="auto"/>
          </w:tcPr>
          <w:p w14:paraId="32C1CCC0" w14:textId="77777777" w:rsidR="002416B0" w:rsidRDefault="002416B0" w:rsidP="002416B0">
            <w:r>
              <w:t>14,722</w:t>
            </w:r>
          </w:p>
        </w:tc>
        <w:tc>
          <w:tcPr>
            <w:tcW w:w="1418" w:type="dxa"/>
            <w:shd w:val="clear" w:color="auto" w:fill="auto"/>
          </w:tcPr>
          <w:p w14:paraId="4FD8AA34" w14:textId="77777777" w:rsidR="002416B0" w:rsidRDefault="002416B0" w:rsidP="002416B0">
            <w:r>
              <w:t>15,507</w:t>
            </w:r>
          </w:p>
        </w:tc>
        <w:tc>
          <w:tcPr>
            <w:tcW w:w="1559" w:type="dxa"/>
            <w:shd w:val="clear" w:color="auto" w:fill="auto"/>
          </w:tcPr>
          <w:p w14:paraId="46067F88" w14:textId="77777777" w:rsidR="002416B0" w:rsidRDefault="002416B0" w:rsidP="002416B0">
            <w:pPr>
              <w:jc w:val="center"/>
            </w:pPr>
            <w:r>
              <w:t>17,085</w:t>
            </w:r>
          </w:p>
        </w:tc>
        <w:tc>
          <w:tcPr>
            <w:tcW w:w="1559" w:type="dxa"/>
            <w:shd w:val="clear" w:color="auto" w:fill="auto"/>
          </w:tcPr>
          <w:p w14:paraId="02575ACD" w14:textId="77777777" w:rsidR="002416B0" w:rsidRDefault="002416B0" w:rsidP="002416B0">
            <w:pPr>
              <w:jc w:val="center"/>
            </w:pPr>
            <w:r>
              <w:t>13,956</w:t>
            </w:r>
          </w:p>
        </w:tc>
        <w:tc>
          <w:tcPr>
            <w:tcW w:w="1975" w:type="dxa"/>
            <w:shd w:val="clear" w:color="auto" w:fill="auto"/>
          </w:tcPr>
          <w:p w14:paraId="6C432E81" w14:textId="77777777" w:rsidR="002416B0" w:rsidRDefault="002416B0" w:rsidP="002416B0">
            <w:pPr>
              <w:jc w:val="center"/>
            </w:pPr>
            <w:r>
              <w:t>Yes</w:t>
            </w:r>
          </w:p>
        </w:tc>
      </w:tr>
      <w:tr w:rsidR="002416B0" w14:paraId="3E81C144" w14:textId="77777777" w:rsidTr="002416B0">
        <w:trPr>
          <w:trHeight w:val="377"/>
        </w:trPr>
        <w:tc>
          <w:tcPr>
            <w:tcW w:w="2122" w:type="dxa"/>
            <w:vMerge/>
          </w:tcPr>
          <w:p w14:paraId="2DB9F882" w14:textId="77777777" w:rsidR="002416B0" w:rsidRDefault="002416B0" w:rsidP="002416B0">
            <w:pPr>
              <w:jc w:val="both"/>
              <w:rPr>
                <w:b/>
                <w:bCs/>
              </w:rPr>
            </w:pPr>
          </w:p>
        </w:tc>
        <w:tc>
          <w:tcPr>
            <w:tcW w:w="2419" w:type="dxa"/>
            <w:shd w:val="clear" w:color="auto" w:fill="auto"/>
          </w:tcPr>
          <w:p w14:paraId="527F5E74" w14:textId="77777777" w:rsidR="002416B0" w:rsidRDefault="002416B0" w:rsidP="002416B0">
            <w:pPr>
              <w:pStyle w:val="ListParagraph"/>
              <w:numPr>
                <w:ilvl w:val="0"/>
                <w:numId w:val="2"/>
              </w:numPr>
              <w:jc w:val="both"/>
            </w:pPr>
            <w:proofErr w:type="spellStart"/>
            <w:r>
              <w:t>Rothe</w:t>
            </w:r>
            <w:proofErr w:type="spellEnd"/>
          </w:p>
        </w:tc>
        <w:tc>
          <w:tcPr>
            <w:tcW w:w="1266" w:type="dxa"/>
            <w:shd w:val="clear" w:color="auto" w:fill="auto"/>
          </w:tcPr>
          <w:p w14:paraId="7B577010" w14:textId="77777777" w:rsidR="002416B0" w:rsidRDefault="002416B0" w:rsidP="002416B0">
            <w:r>
              <w:t>14,269</w:t>
            </w:r>
          </w:p>
        </w:tc>
        <w:tc>
          <w:tcPr>
            <w:tcW w:w="1418" w:type="dxa"/>
            <w:shd w:val="clear" w:color="auto" w:fill="auto"/>
          </w:tcPr>
          <w:p w14:paraId="6473138A" w14:textId="77777777" w:rsidR="002416B0" w:rsidRDefault="002416B0" w:rsidP="002416B0">
            <w:r>
              <w:t>15,507</w:t>
            </w:r>
          </w:p>
        </w:tc>
        <w:tc>
          <w:tcPr>
            <w:tcW w:w="1559" w:type="dxa"/>
            <w:shd w:val="clear" w:color="auto" w:fill="auto"/>
          </w:tcPr>
          <w:p w14:paraId="2DC18D8B" w14:textId="77777777" w:rsidR="002416B0" w:rsidRDefault="002416B0" w:rsidP="002416B0">
            <w:pPr>
              <w:jc w:val="center"/>
            </w:pPr>
            <w:r>
              <w:t>17,085</w:t>
            </w:r>
          </w:p>
        </w:tc>
        <w:tc>
          <w:tcPr>
            <w:tcW w:w="1559" w:type="dxa"/>
            <w:shd w:val="clear" w:color="auto" w:fill="auto"/>
          </w:tcPr>
          <w:p w14:paraId="755FE35C" w14:textId="77777777" w:rsidR="002416B0" w:rsidRDefault="002416B0" w:rsidP="002416B0">
            <w:pPr>
              <w:jc w:val="center"/>
            </w:pPr>
            <w:r>
              <w:t>13,956</w:t>
            </w:r>
          </w:p>
        </w:tc>
        <w:tc>
          <w:tcPr>
            <w:tcW w:w="1975" w:type="dxa"/>
            <w:shd w:val="clear" w:color="auto" w:fill="auto"/>
          </w:tcPr>
          <w:p w14:paraId="7AA246C4" w14:textId="77777777" w:rsidR="002416B0" w:rsidRDefault="002416B0" w:rsidP="002416B0">
            <w:pPr>
              <w:jc w:val="center"/>
            </w:pPr>
            <w:r>
              <w:t>Yes</w:t>
            </w:r>
          </w:p>
        </w:tc>
      </w:tr>
      <w:tr w:rsidR="002416B0" w14:paraId="2B0394EA" w14:textId="77777777" w:rsidTr="002416B0">
        <w:trPr>
          <w:trHeight w:val="377"/>
        </w:trPr>
        <w:tc>
          <w:tcPr>
            <w:tcW w:w="2122" w:type="dxa"/>
            <w:vMerge/>
          </w:tcPr>
          <w:p w14:paraId="12E0357B" w14:textId="77777777" w:rsidR="002416B0" w:rsidRDefault="002416B0" w:rsidP="002416B0">
            <w:pPr>
              <w:jc w:val="both"/>
              <w:rPr>
                <w:b/>
                <w:bCs/>
              </w:rPr>
            </w:pPr>
          </w:p>
        </w:tc>
        <w:tc>
          <w:tcPr>
            <w:tcW w:w="2419" w:type="dxa"/>
            <w:shd w:val="clear" w:color="auto" w:fill="auto"/>
          </w:tcPr>
          <w:p w14:paraId="3E70791D" w14:textId="77777777" w:rsidR="002416B0" w:rsidRDefault="002416B0" w:rsidP="002416B0">
            <w:pPr>
              <w:pStyle w:val="ListParagraph"/>
              <w:numPr>
                <w:ilvl w:val="0"/>
                <w:numId w:val="2"/>
              </w:numPr>
              <w:jc w:val="both"/>
            </w:pPr>
            <w:proofErr w:type="spellStart"/>
            <w:r>
              <w:t>Matsieng</w:t>
            </w:r>
            <w:proofErr w:type="spellEnd"/>
          </w:p>
        </w:tc>
        <w:tc>
          <w:tcPr>
            <w:tcW w:w="1266" w:type="dxa"/>
            <w:shd w:val="clear" w:color="auto" w:fill="auto"/>
          </w:tcPr>
          <w:p w14:paraId="7BE327AC" w14:textId="77777777" w:rsidR="002416B0" w:rsidRDefault="002416B0" w:rsidP="002416B0">
            <w:r>
              <w:t>15,374</w:t>
            </w:r>
          </w:p>
        </w:tc>
        <w:tc>
          <w:tcPr>
            <w:tcW w:w="1418" w:type="dxa"/>
            <w:shd w:val="clear" w:color="auto" w:fill="auto"/>
          </w:tcPr>
          <w:p w14:paraId="5475DF07" w14:textId="77777777" w:rsidR="002416B0" w:rsidRDefault="002416B0" w:rsidP="002416B0">
            <w:r>
              <w:t>15,507</w:t>
            </w:r>
          </w:p>
        </w:tc>
        <w:tc>
          <w:tcPr>
            <w:tcW w:w="1559" w:type="dxa"/>
            <w:shd w:val="clear" w:color="auto" w:fill="auto"/>
          </w:tcPr>
          <w:p w14:paraId="48F9FEF6" w14:textId="77777777" w:rsidR="002416B0" w:rsidRDefault="002416B0" w:rsidP="002416B0">
            <w:pPr>
              <w:jc w:val="center"/>
            </w:pPr>
            <w:r>
              <w:t>17,085</w:t>
            </w:r>
          </w:p>
        </w:tc>
        <w:tc>
          <w:tcPr>
            <w:tcW w:w="1559" w:type="dxa"/>
            <w:shd w:val="clear" w:color="auto" w:fill="auto"/>
          </w:tcPr>
          <w:p w14:paraId="39B70107" w14:textId="77777777" w:rsidR="002416B0" w:rsidRDefault="002416B0" w:rsidP="002416B0">
            <w:pPr>
              <w:jc w:val="center"/>
            </w:pPr>
            <w:r>
              <w:t>13,956</w:t>
            </w:r>
          </w:p>
        </w:tc>
        <w:tc>
          <w:tcPr>
            <w:tcW w:w="1975" w:type="dxa"/>
            <w:shd w:val="clear" w:color="auto" w:fill="auto"/>
          </w:tcPr>
          <w:p w14:paraId="3CAF4555" w14:textId="77777777" w:rsidR="002416B0" w:rsidRDefault="002416B0" w:rsidP="002416B0">
            <w:pPr>
              <w:jc w:val="center"/>
            </w:pPr>
            <w:r>
              <w:t>Yes</w:t>
            </w:r>
          </w:p>
        </w:tc>
      </w:tr>
      <w:tr w:rsidR="002416B0" w14:paraId="44BD2FF7" w14:textId="77777777" w:rsidTr="002416B0">
        <w:trPr>
          <w:trHeight w:val="377"/>
        </w:trPr>
        <w:tc>
          <w:tcPr>
            <w:tcW w:w="2122" w:type="dxa"/>
            <w:vMerge/>
          </w:tcPr>
          <w:p w14:paraId="43748FFA" w14:textId="77777777" w:rsidR="002416B0" w:rsidRDefault="002416B0" w:rsidP="002416B0">
            <w:pPr>
              <w:jc w:val="both"/>
              <w:rPr>
                <w:b/>
                <w:bCs/>
              </w:rPr>
            </w:pPr>
          </w:p>
        </w:tc>
        <w:tc>
          <w:tcPr>
            <w:tcW w:w="2419" w:type="dxa"/>
            <w:shd w:val="clear" w:color="auto" w:fill="auto"/>
          </w:tcPr>
          <w:p w14:paraId="69C441C9" w14:textId="77777777" w:rsidR="002416B0" w:rsidRDefault="002416B0" w:rsidP="002416B0">
            <w:pPr>
              <w:pStyle w:val="ListParagraph"/>
              <w:numPr>
                <w:ilvl w:val="0"/>
                <w:numId w:val="2"/>
              </w:numPr>
              <w:jc w:val="both"/>
            </w:pPr>
            <w:proofErr w:type="spellStart"/>
            <w:r>
              <w:t>Makhaleng</w:t>
            </w:r>
            <w:proofErr w:type="spellEnd"/>
          </w:p>
        </w:tc>
        <w:tc>
          <w:tcPr>
            <w:tcW w:w="1266" w:type="dxa"/>
            <w:shd w:val="clear" w:color="auto" w:fill="auto"/>
          </w:tcPr>
          <w:p w14:paraId="291C9F4D" w14:textId="77777777" w:rsidR="002416B0" w:rsidRDefault="002416B0" w:rsidP="002416B0">
            <w:r>
              <w:t>14,643</w:t>
            </w:r>
          </w:p>
        </w:tc>
        <w:tc>
          <w:tcPr>
            <w:tcW w:w="1418" w:type="dxa"/>
            <w:shd w:val="clear" w:color="auto" w:fill="auto"/>
          </w:tcPr>
          <w:p w14:paraId="4A181A4C" w14:textId="77777777" w:rsidR="002416B0" w:rsidRDefault="002416B0" w:rsidP="002416B0">
            <w:r>
              <w:t>15,507</w:t>
            </w:r>
          </w:p>
        </w:tc>
        <w:tc>
          <w:tcPr>
            <w:tcW w:w="1559" w:type="dxa"/>
            <w:shd w:val="clear" w:color="auto" w:fill="auto"/>
          </w:tcPr>
          <w:p w14:paraId="19B5C0D6" w14:textId="77777777" w:rsidR="002416B0" w:rsidRDefault="002416B0" w:rsidP="002416B0">
            <w:pPr>
              <w:jc w:val="center"/>
            </w:pPr>
            <w:r>
              <w:t>17,085</w:t>
            </w:r>
          </w:p>
        </w:tc>
        <w:tc>
          <w:tcPr>
            <w:tcW w:w="1559" w:type="dxa"/>
            <w:shd w:val="clear" w:color="auto" w:fill="auto"/>
          </w:tcPr>
          <w:p w14:paraId="6CB38271" w14:textId="77777777" w:rsidR="002416B0" w:rsidRDefault="002416B0" w:rsidP="002416B0">
            <w:pPr>
              <w:jc w:val="center"/>
            </w:pPr>
            <w:r>
              <w:t>13,956</w:t>
            </w:r>
          </w:p>
        </w:tc>
        <w:tc>
          <w:tcPr>
            <w:tcW w:w="1975" w:type="dxa"/>
            <w:shd w:val="clear" w:color="auto" w:fill="auto"/>
          </w:tcPr>
          <w:p w14:paraId="3DA02BCD" w14:textId="77777777" w:rsidR="002416B0" w:rsidRDefault="002416B0" w:rsidP="002416B0">
            <w:pPr>
              <w:jc w:val="center"/>
            </w:pPr>
            <w:r>
              <w:t>Yes</w:t>
            </w:r>
          </w:p>
        </w:tc>
      </w:tr>
      <w:tr w:rsidR="002416B0" w14:paraId="68EA1F60" w14:textId="77777777" w:rsidTr="002416B0">
        <w:trPr>
          <w:trHeight w:val="377"/>
        </w:trPr>
        <w:tc>
          <w:tcPr>
            <w:tcW w:w="2122" w:type="dxa"/>
            <w:vMerge/>
          </w:tcPr>
          <w:p w14:paraId="28E5DE10" w14:textId="77777777" w:rsidR="002416B0" w:rsidRDefault="002416B0" w:rsidP="002416B0">
            <w:pPr>
              <w:jc w:val="both"/>
              <w:rPr>
                <w:b/>
                <w:bCs/>
              </w:rPr>
            </w:pPr>
          </w:p>
        </w:tc>
        <w:tc>
          <w:tcPr>
            <w:tcW w:w="2419" w:type="dxa"/>
            <w:shd w:val="clear" w:color="auto" w:fill="auto"/>
          </w:tcPr>
          <w:p w14:paraId="1584E2A8" w14:textId="77777777" w:rsidR="002416B0" w:rsidRDefault="002416B0" w:rsidP="002416B0">
            <w:pPr>
              <w:pStyle w:val="ListParagraph"/>
              <w:numPr>
                <w:ilvl w:val="0"/>
                <w:numId w:val="2"/>
              </w:numPr>
              <w:jc w:val="both"/>
            </w:pPr>
            <w:r>
              <w:t>‘</w:t>
            </w:r>
            <w:proofErr w:type="spellStart"/>
            <w:r>
              <w:t>Maletsunyane</w:t>
            </w:r>
            <w:proofErr w:type="spellEnd"/>
          </w:p>
        </w:tc>
        <w:tc>
          <w:tcPr>
            <w:tcW w:w="1266" w:type="dxa"/>
            <w:shd w:val="clear" w:color="auto" w:fill="auto"/>
          </w:tcPr>
          <w:p w14:paraId="25F80E84" w14:textId="77777777" w:rsidR="002416B0" w:rsidRDefault="002416B0" w:rsidP="002416B0">
            <w:r>
              <w:t>13,977</w:t>
            </w:r>
          </w:p>
        </w:tc>
        <w:tc>
          <w:tcPr>
            <w:tcW w:w="1418" w:type="dxa"/>
            <w:shd w:val="clear" w:color="auto" w:fill="auto"/>
          </w:tcPr>
          <w:p w14:paraId="38519C5F" w14:textId="77777777" w:rsidR="002416B0" w:rsidRDefault="002416B0" w:rsidP="002416B0">
            <w:r>
              <w:t>15,507</w:t>
            </w:r>
          </w:p>
        </w:tc>
        <w:tc>
          <w:tcPr>
            <w:tcW w:w="1559" w:type="dxa"/>
            <w:shd w:val="clear" w:color="auto" w:fill="auto"/>
          </w:tcPr>
          <w:p w14:paraId="2DE8A7C1" w14:textId="77777777" w:rsidR="002416B0" w:rsidRDefault="002416B0" w:rsidP="002416B0">
            <w:pPr>
              <w:jc w:val="center"/>
            </w:pPr>
            <w:r>
              <w:t>17,085</w:t>
            </w:r>
          </w:p>
        </w:tc>
        <w:tc>
          <w:tcPr>
            <w:tcW w:w="1559" w:type="dxa"/>
            <w:shd w:val="clear" w:color="auto" w:fill="auto"/>
          </w:tcPr>
          <w:p w14:paraId="51785647" w14:textId="77777777" w:rsidR="002416B0" w:rsidRDefault="002416B0" w:rsidP="002416B0">
            <w:pPr>
              <w:jc w:val="center"/>
            </w:pPr>
            <w:r>
              <w:t>13,956</w:t>
            </w:r>
          </w:p>
        </w:tc>
        <w:tc>
          <w:tcPr>
            <w:tcW w:w="1975" w:type="dxa"/>
            <w:shd w:val="clear" w:color="auto" w:fill="auto"/>
          </w:tcPr>
          <w:p w14:paraId="1092C05B" w14:textId="77777777" w:rsidR="002416B0" w:rsidRDefault="002416B0" w:rsidP="002416B0">
            <w:pPr>
              <w:jc w:val="center"/>
            </w:pPr>
            <w:r>
              <w:t>Yes</w:t>
            </w:r>
          </w:p>
        </w:tc>
      </w:tr>
      <w:tr w:rsidR="002416B0" w14:paraId="4A662186" w14:textId="77777777" w:rsidTr="002416B0">
        <w:trPr>
          <w:trHeight w:val="377"/>
        </w:trPr>
        <w:tc>
          <w:tcPr>
            <w:tcW w:w="2122" w:type="dxa"/>
          </w:tcPr>
          <w:p w14:paraId="78C2882E" w14:textId="77777777" w:rsidR="002416B0" w:rsidRDefault="002416B0" w:rsidP="002416B0">
            <w:pPr>
              <w:jc w:val="both"/>
              <w:rPr>
                <w:b/>
                <w:bCs/>
              </w:rPr>
            </w:pPr>
            <w:r>
              <w:rPr>
                <w:b/>
                <w:bCs/>
              </w:rPr>
              <w:t>Mafeteng</w:t>
            </w:r>
          </w:p>
        </w:tc>
        <w:tc>
          <w:tcPr>
            <w:tcW w:w="2419" w:type="dxa"/>
            <w:shd w:val="clear" w:color="auto" w:fill="auto"/>
          </w:tcPr>
          <w:p w14:paraId="59EF328A" w14:textId="77777777" w:rsidR="002416B0" w:rsidRDefault="002416B0" w:rsidP="002416B0">
            <w:pPr>
              <w:pStyle w:val="ListParagraph"/>
              <w:numPr>
                <w:ilvl w:val="0"/>
                <w:numId w:val="2"/>
              </w:numPr>
              <w:jc w:val="both"/>
            </w:pPr>
            <w:proofErr w:type="spellStart"/>
            <w:r>
              <w:t>Thaba</w:t>
            </w:r>
            <w:proofErr w:type="spellEnd"/>
            <w:r>
              <w:t xml:space="preserve"> -</w:t>
            </w:r>
            <w:proofErr w:type="spellStart"/>
            <w:r>
              <w:t>Pechela</w:t>
            </w:r>
            <w:proofErr w:type="spellEnd"/>
          </w:p>
        </w:tc>
        <w:tc>
          <w:tcPr>
            <w:tcW w:w="1266" w:type="dxa"/>
            <w:shd w:val="clear" w:color="auto" w:fill="auto"/>
          </w:tcPr>
          <w:p w14:paraId="4872AC47" w14:textId="77777777" w:rsidR="002416B0" w:rsidRDefault="002416B0" w:rsidP="002416B0">
            <w:r>
              <w:t>14,060</w:t>
            </w:r>
          </w:p>
        </w:tc>
        <w:tc>
          <w:tcPr>
            <w:tcW w:w="1418" w:type="dxa"/>
            <w:shd w:val="clear" w:color="auto" w:fill="auto"/>
          </w:tcPr>
          <w:p w14:paraId="7247F8F4" w14:textId="77777777" w:rsidR="002416B0" w:rsidRDefault="002416B0" w:rsidP="002416B0">
            <w:r>
              <w:t>15,507</w:t>
            </w:r>
          </w:p>
        </w:tc>
        <w:tc>
          <w:tcPr>
            <w:tcW w:w="1559" w:type="dxa"/>
            <w:shd w:val="clear" w:color="auto" w:fill="auto"/>
          </w:tcPr>
          <w:p w14:paraId="4E26AEB0" w14:textId="77777777" w:rsidR="002416B0" w:rsidRDefault="002416B0" w:rsidP="002416B0">
            <w:pPr>
              <w:jc w:val="center"/>
            </w:pPr>
            <w:r>
              <w:t>17,085</w:t>
            </w:r>
          </w:p>
        </w:tc>
        <w:tc>
          <w:tcPr>
            <w:tcW w:w="1559" w:type="dxa"/>
            <w:shd w:val="clear" w:color="auto" w:fill="auto"/>
          </w:tcPr>
          <w:p w14:paraId="3D086E21" w14:textId="77777777" w:rsidR="002416B0" w:rsidRDefault="002416B0" w:rsidP="002416B0">
            <w:pPr>
              <w:jc w:val="center"/>
            </w:pPr>
            <w:r>
              <w:t>13,956</w:t>
            </w:r>
          </w:p>
        </w:tc>
        <w:tc>
          <w:tcPr>
            <w:tcW w:w="1975" w:type="dxa"/>
            <w:shd w:val="clear" w:color="auto" w:fill="auto"/>
          </w:tcPr>
          <w:p w14:paraId="0775B9D0" w14:textId="77777777" w:rsidR="002416B0" w:rsidRDefault="002416B0" w:rsidP="002416B0">
            <w:pPr>
              <w:jc w:val="center"/>
            </w:pPr>
            <w:r>
              <w:t>Yes</w:t>
            </w:r>
          </w:p>
        </w:tc>
      </w:tr>
      <w:tr w:rsidR="002416B0" w14:paraId="27F16253" w14:textId="77777777" w:rsidTr="002416B0">
        <w:trPr>
          <w:trHeight w:val="377"/>
        </w:trPr>
        <w:tc>
          <w:tcPr>
            <w:tcW w:w="2122" w:type="dxa"/>
            <w:vMerge w:val="restart"/>
          </w:tcPr>
          <w:p w14:paraId="4B20FE07" w14:textId="77777777" w:rsidR="002416B0" w:rsidRDefault="002416B0" w:rsidP="002416B0">
            <w:pPr>
              <w:jc w:val="both"/>
              <w:rPr>
                <w:b/>
                <w:bCs/>
              </w:rPr>
            </w:pPr>
          </w:p>
        </w:tc>
        <w:tc>
          <w:tcPr>
            <w:tcW w:w="2419" w:type="dxa"/>
            <w:shd w:val="clear" w:color="auto" w:fill="auto"/>
          </w:tcPr>
          <w:p w14:paraId="4BBE1F0B" w14:textId="77777777" w:rsidR="002416B0" w:rsidRPr="00DD2A69" w:rsidRDefault="002416B0" w:rsidP="002416B0">
            <w:pPr>
              <w:pStyle w:val="ListParagraph"/>
              <w:numPr>
                <w:ilvl w:val="0"/>
                <w:numId w:val="2"/>
              </w:numPr>
              <w:jc w:val="both"/>
              <w:rPr>
                <w:b/>
                <w:bCs/>
              </w:rPr>
            </w:pPr>
            <w:proofErr w:type="spellStart"/>
            <w:r w:rsidRPr="00DD2A69">
              <w:rPr>
                <w:b/>
                <w:bCs/>
              </w:rPr>
              <w:t>Phoqoane</w:t>
            </w:r>
            <w:proofErr w:type="spellEnd"/>
          </w:p>
        </w:tc>
        <w:tc>
          <w:tcPr>
            <w:tcW w:w="1266" w:type="dxa"/>
            <w:shd w:val="clear" w:color="auto" w:fill="auto"/>
          </w:tcPr>
          <w:p w14:paraId="57B9D44B" w14:textId="77777777" w:rsidR="002416B0" w:rsidRPr="00DD2A69" w:rsidRDefault="002416B0" w:rsidP="002416B0">
            <w:pPr>
              <w:rPr>
                <w:b/>
                <w:bCs/>
              </w:rPr>
            </w:pPr>
            <w:r w:rsidRPr="00DD2A69">
              <w:rPr>
                <w:b/>
                <w:bCs/>
              </w:rPr>
              <w:t>17,781</w:t>
            </w:r>
          </w:p>
        </w:tc>
        <w:tc>
          <w:tcPr>
            <w:tcW w:w="1418" w:type="dxa"/>
            <w:shd w:val="clear" w:color="auto" w:fill="auto"/>
          </w:tcPr>
          <w:p w14:paraId="0F121F49" w14:textId="77777777" w:rsidR="002416B0" w:rsidRPr="00DD2A69" w:rsidRDefault="002416B0" w:rsidP="002416B0">
            <w:pPr>
              <w:rPr>
                <w:b/>
                <w:bCs/>
              </w:rPr>
            </w:pPr>
            <w:r w:rsidRPr="00DD2A69">
              <w:rPr>
                <w:b/>
                <w:bCs/>
              </w:rPr>
              <w:t>15,507</w:t>
            </w:r>
          </w:p>
        </w:tc>
        <w:tc>
          <w:tcPr>
            <w:tcW w:w="1559" w:type="dxa"/>
            <w:shd w:val="clear" w:color="auto" w:fill="auto"/>
          </w:tcPr>
          <w:p w14:paraId="4546E56C" w14:textId="77777777" w:rsidR="002416B0" w:rsidRPr="00DD2A69" w:rsidRDefault="002416B0" w:rsidP="002416B0">
            <w:pPr>
              <w:jc w:val="center"/>
              <w:rPr>
                <w:b/>
                <w:bCs/>
              </w:rPr>
            </w:pPr>
            <w:r w:rsidRPr="00DD2A69">
              <w:rPr>
                <w:b/>
                <w:bCs/>
              </w:rPr>
              <w:t>17,085</w:t>
            </w:r>
          </w:p>
        </w:tc>
        <w:tc>
          <w:tcPr>
            <w:tcW w:w="1559" w:type="dxa"/>
            <w:shd w:val="clear" w:color="auto" w:fill="auto"/>
          </w:tcPr>
          <w:p w14:paraId="4BDC3906" w14:textId="77777777" w:rsidR="002416B0" w:rsidRPr="00DD2A69" w:rsidRDefault="002416B0" w:rsidP="002416B0">
            <w:pPr>
              <w:jc w:val="center"/>
              <w:rPr>
                <w:b/>
                <w:bCs/>
              </w:rPr>
            </w:pPr>
            <w:r w:rsidRPr="00DD2A69">
              <w:rPr>
                <w:b/>
                <w:bCs/>
              </w:rPr>
              <w:t>13,956</w:t>
            </w:r>
          </w:p>
        </w:tc>
        <w:tc>
          <w:tcPr>
            <w:tcW w:w="1975" w:type="dxa"/>
            <w:shd w:val="clear" w:color="auto" w:fill="auto"/>
          </w:tcPr>
          <w:p w14:paraId="5A847E62" w14:textId="77777777" w:rsidR="002416B0" w:rsidRPr="002416B0" w:rsidRDefault="002416B0" w:rsidP="002416B0">
            <w:pPr>
              <w:jc w:val="center"/>
              <w:rPr>
                <w:b/>
                <w:bCs/>
              </w:rPr>
            </w:pPr>
            <w:r w:rsidRPr="002416B0">
              <w:rPr>
                <w:b/>
                <w:bCs/>
              </w:rPr>
              <w:t>No</w:t>
            </w:r>
          </w:p>
        </w:tc>
      </w:tr>
      <w:tr w:rsidR="002416B0" w14:paraId="38FC4A31" w14:textId="77777777" w:rsidTr="002416B0">
        <w:trPr>
          <w:trHeight w:val="377"/>
        </w:trPr>
        <w:tc>
          <w:tcPr>
            <w:tcW w:w="2122" w:type="dxa"/>
            <w:vMerge/>
          </w:tcPr>
          <w:p w14:paraId="7255D321" w14:textId="77777777" w:rsidR="002416B0" w:rsidRDefault="002416B0" w:rsidP="002416B0">
            <w:pPr>
              <w:jc w:val="both"/>
              <w:rPr>
                <w:b/>
                <w:bCs/>
              </w:rPr>
            </w:pPr>
          </w:p>
        </w:tc>
        <w:tc>
          <w:tcPr>
            <w:tcW w:w="2419" w:type="dxa"/>
            <w:shd w:val="clear" w:color="auto" w:fill="auto"/>
          </w:tcPr>
          <w:p w14:paraId="6191960B" w14:textId="77777777" w:rsidR="002416B0" w:rsidRPr="00DD2A69" w:rsidRDefault="002416B0" w:rsidP="002416B0">
            <w:pPr>
              <w:pStyle w:val="ListParagraph"/>
              <w:numPr>
                <w:ilvl w:val="0"/>
                <w:numId w:val="2"/>
              </w:numPr>
              <w:jc w:val="both"/>
              <w:rPr>
                <w:b/>
                <w:bCs/>
              </w:rPr>
            </w:pPr>
            <w:bookmarkStart w:id="3" w:name="_Hlk110502351"/>
            <w:proofErr w:type="spellStart"/>
            <w:r w:rsidRPr="00DD2A69">
              <w:rPr>
                <w:b/>
                <w:bCs/>
              </w:rPr>
              <w:t>Matelile</w:t>
            </w:r>
            <w:bookmarkEnd w:id="3"/>
            <w:proofErr w:type="spellEnd"/>
          </w:p>
        </w:tc>
        <w:tc>
          <w:tcPr>
            <w:tcW w:w="1266" w:type="dxa"/>
            <w:shd w:val="clear" w:color="auto" w:fill="auto"/>
          </w:tcPr>
          <w:p w14:paraId="293603FB" w14:textId="77777777" w:rsidR="002416B0" w:rsidRPr="00DD2A69" w:rsidRDefault="002416B0" w:rsidP="002416B0">
            <w:pPr>
              <w:rPr>
                <w:b/>
                <w:bCs/>
              </w:rPr>
            </w:pPr>
            <w:r w:rsidRPr="00DD2A69">
              <w:rPr>
                <w:b/>
                <w:bCs/>
              </w:rPr>
              <w:t>13,822</w:t>
            </w:r>
          </w:p>
        </w:tc>
        <w:tc>
          <w:tcPr>
            <w:tcW w:w="1418" w:type="dxa"/>
            <w:shd w:val="clear" w:color="auto" w:fill="auto"/>
          </w:tcPr>
          <w:p w14:paraId="184381D0" w14:textId="77777777" w:rsidR="002416B0" w:rsidRPr="00DD2A69" w:rsidRDefault="002416B0" w:rsidP="002416B0">
            <w:pPr>
              <w:rPr>
                <w:b/>
                <w:bCs/>
              </w:rPr>
            </w:pPr>
            <w:r w:rsidRPr="00DD2A69">
              <w:rPr>
                <w:b/>
                <w:bCs/>
              </w:rPr>
              <w:t>15,507</w:t>
            </w:r>
          </w:p>
        </w:tc>
        <w:tc>
          <w:tcPr>
            <w:tcW w:w="1559" w:type="dxa"/>
            <w:shd w:val="clear" w:color="auto" w:fill="auto"/>
          </w:tcPr>
          <w:p w14:paraId="70D7C2EE" w14:textId="77777777" w:rsidR="002416B0" w:rsidRPr="00DD2A69" w:rsidRDefault="002416B0" w:rsidP="002416B0">
            <w:pPr>
              <w:jc w:val="center"/>
              <w:rPr>
                <w:b/>
                <w:bCs/>
              </w:rPr>
            </w:pPr>
            <w:r w:rsidRPr="00DD2A69">
              <w:rPr>
                <w:b/>
                <w:bCs/>
              </w:rPr>
              <w:t>17,085</w:t>
            </w:r>
          </w:p>
        </w:tc>
        <w:tc>
          <w:tcPr>
            <w:tcW w:w="1559" w:type="dxa"/>
            <w:shd w:val="clear" w:color="auto" w:fill="auto"/>
          </w:tcPr>
          <w:p w14:paraId="205E1169" w14:textId="77777777" w:rsidR="002416B0" w:rsidRPr="00DD2A69" w:rsidRDefault="002416B0" w:rsidP="002416B0">
            <w:pPr>
              <w:jc w:val="center"/>
              <w:rPr>
                <w:b/>
                <w:bCs/>
              </w:rPr>
            </w:pPr>
            <w:r w:rsidRPr="00DD2A69">
              <w:rPr>
                <w:b/>
                <w:bCs/>
              </w:rPr>
              <w:t>13,956</w:t>
            </w:r>
          </w:p>
        </w:tc>
        <w:tc>
          <w:tcPr>
            <w:tcW w:w="1975" w:type="dxa"/>
            <w:shd w:val="clear" w:color="auto" w:fill="auto"/>
          </w:tcPr>
          <w:p w14:paraId="53CEA0D1" w14:textId="77777777" w:rsidR="002416B0" w:rsidRPr="002416B0" w:rsidRDefault="002416B0" w:rsidP="002416B0">
            <w:pPr>
              <w:jc w:val="center"/>
              <w:rPr>
                <w:b/>
                <w:bCs/>
              </w:rPr>
            </w:pPr>
            <w:r w:rsidRPr="002416B0">
              <w:rPr>
                <w:b/>
                <w:bCs/>
              </w:rPr>
              <w:t>No</w:t>
            </w:r>
          </w:p>
        </w:tc>
      </w:tr>
      <w:tr w:rsidR="002416B0" w14:paraId="3EC19157" w14:textId="77777777" w:rsidTr="002416B0">
        <w:trPr>
          <w:trHeight w:val="377"/>
        </w:trPr>
        <w:tc>
          <w:tcPr>
            <w:tcW w:w="2122" w:type="dxa"/>
            <w:vMerge/>
          </w:tcPr>
          <w:p w14:paraId="41B71297" w14:textId="77777777" w:rsidR="002416B0" w:rsidRDefault="002416B0" w:rsidP="002416B0">
            <w:pPr>
              <w:jc w:val="both"/>
              <w:rPr>
                <w:b/>
                <w:bCs/>
              </w:rPr>
            </w:pPr>
          </w:p>
        </w:tc>
        <w:tc>
          <w:tcPr>
            <w:tcW w:w="2419" w:type="dxa"/>
            <w:shd w:val="clear" w:color="auto" w:fill="auto"/>
          </w:tcPr>
          <w:p w14:paraId="27510E10" w14:textId="77777777" w:rsidR="002416B0" w:rsidRDefault="002416B0" w:rsidP="002416B0">
            <w:pPr>
              <w:pStyle w:val="ListParagraph"/>
              <w:numPr>
                <w:ilvl w:val="0"/>
                <w:numId w:val="2"/>
              </w:numPr>
              <w:jc w:val="both"/>
            </w:pPr>
            <w:proofErr w:type="spellStart"/>
            <w:r>
              <w:t>Maliepetsane</w:t>
            </w:r>
            <w:proofErr w:type="spellEnd"/>
          </w:p>
        </w:tc>
        <w:tc>
          <w:tcPr>
            <w:tcW w:w="1266" w:type="dxa"/>
            <w:shd w:val="clear" w:color="auto" w:fill="auto"/>
          </w:tcPr>
          <w:p w14:paraId="6B95422B" w14:textId="77777777" w:rsidR="002416B0" w:rsidRDefault="002416B0" w:rsidP="002416B0">
            <w:r>
              <w:t>16,034</w:t>
            </w:r>
          </w:p>
        </w:tc>
        <w:tc>
          <w:tcPr>
            <w:tcW w:w="1418" w:type="dxa"/>
            <w:shd w:val="clear" w:color="auto" w:fill="auto"/>
          </w:tcPr>
          <w:p w14:paraId="58185AF7" w14:textId="77777777" w:rsidR="002416B0" w:rsidRDefault="002416B0" w:rsidP="002416B0">
            <w:r>
              <w:t>15,507</w:t>
            </w:r>
          </w:p>
        </w:tc>
        <w:tc>
          <w:tcPr>
            <w:tcW w:w="1559" w:type="dxa"/>
            <w:shd w:val="clear" w:color="auto" w:fill="auto"/>
          </w:tcPr>
          <w:p w14:paraId="39668C93" w14:textId="77777777" w:rsidR="002416B0" w:rsidRDefault="002416B0" w:rsidP="002416B0">
            <w:pPr>
              <w:jc w:val="center"/>
            </w:pPr>
            <w:r>
              <w:t>17,085</w:t>
            </w:r>
          </w:p>
        </w:tc>
        <w:tc>
          <w:tcPr>
            <w:tcW w:w="1559" w:type="dxa"/>
            <w:shd w:val="clear" w:color="auto" w:fill="auto"/>
          </w:tcPr>
          <w:p w14:paraId="2E2BAAE3" w14:textId="77777777" w:rsidR="002416B0" w:rsidRDefault="002416B0" w:rsidP="002416B0">
            <w:pPr>
              <w:jc w:val="center"/>
            </w:pPr>
            <w:r>
              <w:t>13,956</w:t>
            </w:r>
          </w:p>
        </w:tc>
        <w:tc>
          <w:tcPr>
            <w:tcW w:w="1975" w:type="dxa"/>
            <w:shd w:val="clear" w:color="auto" w:fill="auto"/>
          </w:tcPr>
          <w:p w14:paraId="5C4784E1" w14:textId="77777777" w:rsidR="002416B0" w:rsidRDefault="002416B0" w:rsidP="002416B0">
            <w:pPr>
              <w:jc w:val="center"/>
            </w:pPr>
            <w:r>
              <w:t>Yes</w:t>
            </w:r>
          </w:p>
        </w:tc>
      </w:tr>
      <w:tr w:rsidR="002416B0" w14:paraId="7BE194C2" w14:textId="77777777" w:rsidTr="002416B0">
        <w:trPr>
          <w:trHeight w:val="377"/>
        </w:trPr>
        <w:tc>
          <w:tcPr>
            <w:tcW w:w="2122" w:type="dxa"/>
            <w:vMerge/>
          </w:tcPr>
          <w:p w14:paraId="22F19C23" w14:textId="77777777" w:rsidR="002416B0" w:rsidRDefault="002416B0" w:rsidP="002416B0">
            <w:pPr>
              <w:jc w:val="both"/>
              <w:rPr>
                <w:b/>
                <w:bCs/>
              </w:rPr>
            </w:pPr>
          </w:p>
        </w:tc>
        <w:tc>
          <w:tcPr>
            <w:tcW w:w="2419" w:type="dxa"/>
            <w:shd w:val="clear" w:color="auto" w:fill="auto"/>
          </w:tcPr>
          <w:p w14:paraId="29FFA2EA" w14:textId="77777777" w:rsidR="002416B0" w:rsidRDefault="002416B0" w:rsidP="002416B0">
            <w:pPr>
              <w:pStyle w:val="ListParagraph"/>
              <w:numPr>
                <w:ilvl w:val="0"/>
                <w:numId w:val="2"/>
              </w:numPr>
              <w:jc w:val="both"/>
            </w:pPr>
            <w:proofErr w:type="spellStart"/>
            <w:r>
              <w:t>Thabana</w:t>
            </w:r>
            <w:proofErr w:type="spellEnd"/>
            <w:r>
              <w:t>-Morena</w:t>
            </w:r>
          </w:p>
        </w:tc>
        <w:tc>
          <w:tcPr>
            <w:tcW w:w="1266" w:type="dxa"/>
            <w:shd w:val="clear" w:color="auto" w:fill="auto"/>
          </w:tcPr>
          <w:p w14:paraId="4F19A753" w14:textId="77777777" w:rsidR="002416B0" w:rsidRDefault="002416B0" w:rsidP="002416B0">
            <w:r>
              <w:t>16,134</w:t>
            </w:r>
          </w:p>
        </w:tc>
        <w:tc>
          <w:tcPr>
            <w:tcW w:w="1418" w:type="dxa"/>
            <w:shd w:val="clear" w:color="auto" w:fill="auto"/>
          </w:tcPr>
          <w:p w14:paraId="2634FD76" w14:textId="77777777" w:rsidR="002416B0" w:rsidRDefault="002416B0" w:rsidP="002416B0">
            <w:r>
              <w:t>15,507</w:t>
            </w:r>
          </w:p>
        </w:tc>
        <w:tc>
          <w:tcPr>
            <w:tcW w:w="1559" w:type="dxa"/>
            <w:shd w:val="clear" w:color="auto" w:fill="auto"/>
          </w:tcPr>
          <w:p w14:paraId="59EC5755" w14:textId="77777777" w:rsidR="002416B0" w:rsidRDefault="002416B0" w:rsidP="002416B0">
            <w:pPr>
              <w:jc w:val="center"/>
            </w:pPr>
            <w:r>
              <w:t>17,085</w:t>
            </w:r>
          </w:p>
        </w:tc>
        <w:tc>
          <w:tcPr>
            <w:tcW w:w="1559" w:type="dxa"/>
            <w:shd w:val="clear" w:color="auto" w:fill="auto"/>
          </w:tcPr>
          <w:p w14:paraId="5ADF2BF2" w14:textId="77777777" w:rsidR="002416B0" w:rsidRDefault="002416B0" w:rsidP="002416B0">
            <w:pPr>
              <w:jc w:val="center"/>
            </w:pPr>
            <w:r>
              <w:t>13,956</w:t>
            </w:r>
          </w:p>
        </w:tc>
        <w:tc>
          <w:tcPr>
            <w:tcW w:w="1975" w:type="dxa"/>
            <w:shd w:val="clear" w:color="auto" w:fill="auto"/>
          </w:tcPr>
          <w:p w14:paraId="3EA5DB79" w14:textId="77777777" w:rsidR="002416B0" w:rsidRDefault="002416B0" w:rsidP="002416B0">
            <w:pPr>
              <w:jc w:val="center"/>
            </w:pPr>
            <w:r>
              <w:t>Yes</w:t>
            </w:r>
          </w:p>
        </w:tc>
      </w:tr>
      <w:tr w:rsidR="002416B0" w14:paraId="4987E098" w14:textId="77777777" w:rsidTr="002416B0">
        <w:trPr>
          <w:trHeight w:val="377"/>
        </w:trPr>
        <w:tc>
          <w:tcPr>
            <w:tcW w:w="2122" w:type="dxa"/>
            <w:vMerge/>
          </w:tcPr>
          <w:p w14:paraId="1814D495" w14:textId="77777777" w:rsidR="002416B0" w:rsidRDefault="002416B0" w:rsidP="002416B0">
            <w:pPr>
              <w:jc w:val="both"/>
              <w:rPr>
                <w:b/>
                <w:bCs/>
              </w:rPr>
            </w:pPr>
          </w:p>
        </w:tc>
        <w:tc>
          <w:tcPr>
            <w:tcW w:w="2419" w:type="dxa"/>
            <w:shd w:val="clear" w:color="auto" w:fill="auto"/>
          </w:tcPr>
          <w:p w14:paraId="722C2693" w14:textId="77777777" w:rsidR="002416B0" w:rsidRDefault="002416B0" w:rsidP="002416B0">
            <w:pPr>
              <w:pStyle w:val="ListParagraph"/>
              <w:numPr>
                <w:ilvl w:val="0"/>
                <w:numId w:val="2"/>
              </w:numPr>
              <w:jc w:val="both"/>
            </w:pPr>
            <w:proofErr w:type="spellStart"/>
            <w:r>
              <w:t>Qalabane</w:t>
            </w:r>
            <w:proofErr w:type="spellEnd"/>
          </w:p>
        </w:tc>
        <w:tc>
          <w:tcPr>
            <w:tcW w:w="1266" w:type="dxa"/>
            <w:shd w:val="clear" w:color="auto" w:fill="auto"/>
          </w:tcPr>
          <w:p w14:paraId="22D0DC6D" w14:textId="77777777" w:rsidR="002416B0" w:rsidRDefault="002416B0" w:rsidP="002416B0">
            <w:r>
              <w:t>15,842</w:t>
            </w:r>
          </w:p>
        </w:tc>
        <w:tc>
          <w:tcPr>
            <w:tcW w:w="1418" w:type="dxa"/>
            <w:shd w:val="clear" w:color="auto" w:fill="auto"/>
          </w:tcPr>
          <w:p w14:paraId="41A5015D" w14:textId="77777777" w:rsidR="002416B0" w:rsidRDefault="002416B0" w:rsidP="002416B0">
            <w:r>
              <w:t>15,507</w:t>
            </w:r>
          </w:p>
        </w:tc>
        <w:tc>
          <w:tcPr>
            <w:tcW w:w="1559" w:type="dxa"/>
            <w:shd w:val="clear" w:color="auto" w:fill="auto"/>
          </w:tcPr>
          <w:p w14:paraId="7232165D" w14:textId="77777777" w:rsidR="002416B0" w:rsidRDefault="002416B0" w:rsidP="002416B0">
            <w:pPr>
              <w:jc w:val="center"/>
            </w:pPr>
            <w:r>
              <w:t>17,085</w:t>
            </w:r>
          </w:p>
        </w:tc>
        <w:tc>
          <w:tcPr>
            <w:tcW w:w="1559" w:type="dxa"/>
            <w:shd w:val="clear" w:color="auto" w:fill="auto"/>
          </w:tcPr>
          <w:p w14:paraId="0690D5DD" w14:textId="77777777" w:rsidR="002416B0" w:rsidRDefault="002416B0" w:rsidP="002416B0">
            <w:pPr>
              <w:jc w:val="center"/>
            </w:pPr>
            <w:r>
              <w:t>13,956</w:t>
            </w:r>
          </w:p>
        </w:tc>
        <w:tc>
          <w:tcPr>
            <w:tcW w:w="1975" w:type="dxa"/>
            <w:shd w:val="clear" w:color="auto" w:fill="auto"/>
          </w:tcPr>
          <w:p w14:paraId="7D693E4C" w14:textId="77777777" w:rsidR="002416B0" w:rsidRDefault="002416B0" w:rsidP="002416B0">
            <w:pPr>
              <w:jc w:val="center"/>
            </w:pPr>
            <w:r>
              <w:t>Yes</w:t>
            </w:r>
          </w:p>
        </w:tc>
      </w:tr>
      <w:tr w:rsidR="002416B0" w14:paraId="35E74449" w14:textId="77777777" w:rsidTr="002416B0">
        <w:trPr>
          <w:trHeight w:val="377"/>
        </w:trPr>
        <w:tc>
          <w:tcPr>
            <w:tcW w:w="2122" w:type="dxa"/>
            <w:vMerge/>
          </w:tcPr>
          <w:p w14:paraId="7CC01223" w14:textId="77777777" w:rsidR="002416B0" w:rsidRDefault="002416B0" w:rsidP="002416B0">
            <w:pPr>
              <w:jc w:val="both"/>
              <w:rPr>
                <w:b/>
                <w:bCs/>
              </w:rPr>
            </w:pPr>
          </w:p>
        </w:tc>
        <w:tc>
          <w:tcPr>
            <w:tcW w:w="2419" w:type="dxa"/>
            <w:shd w:val="clear" w:color="auto" w:fill="auto"/>
          </w:tcPr>
          <w:p w14:paraId="6F84D0A2" w14:textId="77777777" w:rsidR="002416B0" w:rsidRDefault="002416B0" w:rsidP="002416B0">
            <w:pPr>
              <w:pStyle w:val="ListParagraph"/>
              <w:numPr>
                <w:ilvl w:val="0"/>
                <w:numId w:val="2"/>
              </w:numPr>
              <w:jc w:val="both"/>
            </w:pPr>
            <w:r>
              <w:t>Mafeteng</w:t>
            </w:r>
          </w:p>
        </w:tc>
        <w:tc>
          <w:tcPr>
            <w:tcW w:w="1266" w:type="dxa"/>
            <w:shd w:val="clear" w:color="auto" w:fill="auto"/>
          </w:tcPr>
          <w:p w14:paraId="5544C3DF" w14:textId="77777777" w:rsidR="002416B0" w:rsidRDefault="002416B0" w:rsidP="002416B0">
            <w:r>
              <w:t>16,982</w:t>
            </w:r>
          </w:p>
        </w:tc>
        <w:tc>
          <w:tcPr>
            <w:tcW w:w="1418" w:type="dxa"/>
            <w:shd w:val="clear" w:color="auto" w:fill="auto"/>
          </w:tcPr>
          <w:p w14:paraId="4A1B26F1" w14:textId="77777777" w:rsidR="002416B0" w:rsidRDefault="002416B0" w:rsidP="002416B0">
            <w:r>
              <w:t>15,507</w:t>
            </w:r>
          </w:p>
        </w:tc>
        <w:tc>
          <w:tcPr>
            <w:tcW w:w="1559" w:type="dxa"/>
            <w:shd w:val="clear" w:color="auto" w:fill="auto"/>
          </w:tcPr>
          <w:p w14:paraId="0EB1B8BB" w14:textId="77777777" w:rsidR="002416B0" w:rsidRDefault="002416B0" w:rsidP="002416B0">
            <w:pPr>
              <w:jc w:val="center"/>
            </w:pPr>
            <w:r>
              <w:t>17,085</w:t>
            </w:r>
          </w:p>
        </w:tc>
        <w:tc>
          <w:tcPr>
            <w:tcW w:w="1559" w:type="dxa"/>
            <w:shd w:val="clear" w:color="auto" w:fill="auto"/>
          </w:tcPr>
          <w:p w14:paraId="530894DB" w14:textId="77777777" w:rsidR="002416B0" w:rsidRDefault="002416B0" w:rsidP="002416B0">
            <w:pPr>
              <w:jc w:val="center"/>
            </w:pPr>
            <w:r>
              <w:t>13,956</w:t>
            </w:r>
          </w:p>
        </w:tc>
        <w:tc>
          <w:tcPr>
            <w:tcW w:w="1975" w:type="dxa"/>
            <w:shd w:val="clear" w:color="auto" w:fill="auto"/>
          </w:tcPr>
          <w:p w14:paraId="0B4374DF" w14:textId="77777777" w:rsidR="002416B0" w:rsidRDefault="002416B0" w:rsidP="002416B0">
            <w:pPr>
              <w:jc w:val="center"/>
            </w:pPr>
            <w:r>
              <w:t>Yes</w:t>
            </w:r>
          </w:p>
        </w:tc>
      </w:tr>
      <w:tr w:rsidR="002416B0" w14:paraId="7DBF982F" w14:textId="77777777" w:rsidTr="002416B0">
        <w:trPr>
          <w:trHeight w:val="377"/>
        </w:trPr>
        <w:tc>
          <w:tcPr>
            <w:tcW w:w="2122" w:type="dxa"/>
            <w:tcBorders>
              <w:bottom w:val="single" w:sz="4" w:space="0" w:color="auto"/>
            </w:tcBorders>
          </w:tcPr>
          <w:p w14:paraId="043383FB" w14:textId="77777777" w:rsidR="002416B0" w:rsidRDefault="002416B0" w:rsidP="002416B0">
            <w:pPr>
              <w:jc w:val="both"/>
              <w:rPr>
                <w:b/>
                <w:bCs/>
              </w:rPr>
            </w:pPr>
            <w:r>
              <w:rPr>
                <w:b/>
                <w:bCs/>
              </w:rPr>
              <w:t>Mohale’s Hoek</w:t>
            </w:r>
          </w:p>
        </w:tc>
        <w:tc>
          <w:tcPr>
            <w:tcW w:w="2419" w:type="dxa"/>
            <w:shd w:val="clear" w:color="auto" w:fill="auto"/>
          </w:tcPr>
          <w:p w14:paraId="475AF765" w14:textId="77777777" w:rsidR="002416B0" w:rsidRDefault="002416B0" w:rsidP="002416B0">
            <w:pPr>
              <w:pStyle w:val="ListParagraph"/>
              <w:numPr>
                <w:ilvl w:val="0"/>
                <w:numId w:val="2"/>
              </w:numPr>
              <w:jc w:val="both"/>
            </w:pPr>
            <w:proofErr w:type="spellStart"/>
            <w:r>
              <w:t>Taung</w:t>
            </w:r>
            <w:proofErr w:type="spellEnd"/>
          </w:p>
        </w:tc>
        <w:tc>
          <w:tcPr>
            <w:tcW w:w="1266" w:type="dxa"/>
            <w:shd w:val="clear" w:color="auto" w:fill="auto"/>
          </w:tcPr>
          <w:p w14:paraId="07D1B4E9" w14:textId="77777777" w:rsidR="002416B0" w:rsidRDefault="002416B0" w:rsidP="002416B0">
            <w:r>
              <w:t>14,329</w:t>
            </w:r>
          </w:p>
        </w:tc>
        <w:tc>
          <w:tcPr>
            <w:tcW w:w="1418" w:type="dxa"/>
            <w:shd w:val="clear" w:color="auto" w:fill="auto"/>
          </w:tcPr>
          <w:p w14:paraId="1316129C" w14:textId="77777777" w:rsidR="002416B0" w:rsidRDefault="002416B0" w:rsidP="002416B0">
            <w:r>
              <w:t>15,507</w:t>
            </w:r>
          </w:p>
        </w:tc>
        <w:tc>
          <w:tcPr>
            <w:tcW w:w="1559" w:type="dxa"/>
            <w:shd w:val="clear" w:color="auto" w:fill="auto"/>
          </w:tcPr>
          <w:p w14:paraId="50D4947B" w14:textId="77777777" w:rsidR="002416B0" w:rsidRDefault="002416B0" w:rsidP="002416B0">
            <w:pPr>
              <w:jc w:val="center"/>
            </w:pPr>
            <w:r>
              <w:t>17,085</w:t>
            </w:r>
          </w:p>
        </w:tc>
        <w:tc>
          <w:tcPr>
            <w:tcW w:w="1559" w:type="dxa"/>
            <w:shd w:val="clear" w:color="auto" w:fill="auto"/>
          </w:tcPr>
          <w:p w14:paraId="06511A2A" w14:textId="77777777" w:rsidR="002416B0" w:rsidRDefault="002416B0" w:rsidP="002416B0">
            <w:pPr>
              <w:jc w:val="center"/>
            </w:pPr>
            <w:r>
              <w:t>13,956</w:t>
            </w:r>
          </w:p>
        </w:tc>
        <w:tc>
          <w:tcPr>
            <w:tcW w:w="1975" w:type="dxa"/>
            <w:shd w:val="clear" w:color="auto" w:fill="auto"/>
          </w:tcPr>
          <w:p w14:paraId="70656AD0" w14:textId="77777777" w:rsidR="002416B0" w:rsidRDefault="002416B0" w:rsidP="002416B0">
            <w:pPr>
              <w:jc w:val="center"/>
            </w:pPr>
            <w:r>
              <w:t>Yes</w:t>
            </w:r>
          </w:p>
        </w:tc>
      </w:tr>
      <w:tr w:rsidR="002416B0" w14:paraId="4E3C0E32" w14:textId="77777777" w:rsidTr="002416B0">
        <w:trPr>
          <w:trHeight w:val="377"/>
        </w:trPr>
        <w:tc>
          <w:tcPr>
            <w:tcW w:w="2122" w:type="dxa"/>
            <w:vMerge w:val="restart"/>
            <w:tcBorders>
              <w:top w:val="single" w:sz="4" w:space="0" w:color="auto"/>
              <w:left w:val="single" w:sz="4" w:space="0" w:color="auto"/>
              <w:bottom w:val="nil"/>
              <w:right w:val="single" w:sz="4" w:space="0" w:color="auto"/>
            </w:tcBorders>
          </w:tcPr>
          <w:p w14:paraId="3A3E2F32" w14:textId="77777777" w:rsidR="002416B0" w:rsidRDefault="002416B0" w:rsidP="002416B0">
            <w:pPr>
              <w:jc w:val="both"/>
              <w:rPr>
                <w:b/>
                <w:bCs/>
              </w:rPr>
            </w:pPr>
          </w:p>
        </w:tc>
        <w:tc>
          <w:tcPr>
            <w:tcW w:w="2419" w:type="dxa"/>
            <w:tcBorders>
              <w:left w:val="single" w:sz="4" w:space="0" w:color="auto"/>
            </w:tcBorders>
            <w:shd w:val="clear" w:color="auto" w:fill="auto"/>
          </w:tcPr>
          <w:p w14:paraId="7EA56F32" w14:textId="77777777" w:rsidR="002416B0" w:rsidRDefault="002416B0" w:rsidP="002416B0">
            <w:pPr>
              <w:pStyle w:val="ListParagraph"/>
              <w:numPr>
                <w:ilvl w:val="0"/>
                <w:numId w:val="2"/>
              </w:numPr>
              <w:jc w:val="both"/>
            </w:pPr>
            <w:proofErr w:type="spellStart"/>
            <w:r>
              <w:t>Mpharane</w:t>
            </w:r>
            <w:proofErr w:type="spellEnd"/>
          </w:p>
        </w:tc>
        <w:tc>
          <w:tcPr>
            <w:tcW w:w="1266" w:type="dxa"/>
            <w:shd w:val="clear" w:color="auto" w:fill="auto"/>
          </w:tcPr>
          <w:p w14:paraId="2BA7CFCB" w14:textId="77777777" w:rsidR="002416B0" w:rsidRDefault="002416B0" w:rsidP="002416B0">
            <w:r>
              <w:t>14,336</w:t>
            </w:r>
          </w:p>
        </w:tc>
        <w:tc>
          <w:tcPr>
            <w:tcW w:w="1418" w:type="dxa"/>
            <w:shd w:val="clear" w:color="auto" w:fill="auto"/>
          </w:tcPr>
          <w:p w14:paraId="5FDB77AF" w14:textId="77777777" w:rsidR="002416B0" w:rsidRDefault="002416B0" w:rsidP="002416B0">
            <w:r>
              <w:t>15,507</w:t>
            </w:r>
          </w:p>
        </w:tc>
        <w:tc>
          <w:tcPr>
            <w:tcW w:w="1559" w:type="dxa"/>
            <w:shd w:val="clear" w:color="auto" w:fill="auto"/>
          </w:tcPr>
          <w:p w14:paraId="018B65B8" w14:textId="77777777" w:rsidR="002416B0" w:rsidRDefault="002416B0" w:rsidP="002416B0">
            <w:pPr>
              <w:jc w:val="center"/>
            </w:pPr>
            <w:r>
              <w:t>17,085</w:t>
            </w:r>
          </w:p>
        </w:tc>
        <w:tc>
          <w:tcPr>
            <w:tcW w:w="1559" w:type="dxa"/>
            <w:shd w:val="clear" w:color="auto" w:fill="auto"/>
          </w:tcPr>
          <w:p w14:paraId="5BCA01F5" w14:textId="77777777" w:rsidR="002416B0" w:rsidRDefault="002416B0" w:rsidP="002416B0">
            <w:pPr>
              <w:jc w:val="center"/>
            </w:pPr>
            <w:r>
              <w:t>13,956</w:t>
            </w:r>
          </w:p>
        </w:tc>
        <w:tc>
          <w:tcPr>
            <w:tcW w:w="1975" w:type="dxa"/>
            <w:shd w:val="clear" w:color="auto" w:fill="auto"/>
          </w:tcPr>
          <w:p w14:paraId="6FBA0418" w14:textId="77777777" w:rsidR="002416B0" w:rsidRDefault="002416B0" w:rsidP="002416B0">
            <w:pPr>
              <w:jc w:val="center"/>
            </w:pPr>
            <w:r>
              <w:t>Yes</w:t>
            </w:r>
          </w:p>
        </w:tc>
      </w:tr>
      <w:tr w:rsidR="002416B0" w14:paraId="0DB9CD3A" w14:textId="77777777" w:rsidTr="002416B0">
        <w:trPr>
          <w:trHeight w:val="377"/>
        </w:trPr>
        <w:tc>
          <w:tcPr>
            <w:tcW w:w="2122" w:type="dxa"/>
            <w:vMerge/>
            <w:tcBorders>
              <w:top w:val="nil"/>
              <w:left w:val="single" w:sz="4" w:space="0" w:color="auto"/>
              <w:bottom w:val="nil"/>
              <w:right w:val="single" w:sz="4" w:space="0" w:color="auto"/>
            </w:tcBorders>
          </w:tcPr>
          <w:p w14:paraId="70F96934" w14:textId="77777777" w:rsidR="002416B0" w:rsidRDefault="002416B0" w:rsidP="002416B0">
            <w:pPr>
              <w:jc w:val="both"/>
              <w:rPr>
                <w:b/>
                <w:bCs/>
              </w:rPr>
            </w:pPr>
          </w:p>
        </w:tc>
        <w:tc>
          <w:tcPr>
            <w:tcW w:w="2419" w:type="dxa"/>
            <w:tcBorders>
              <w:left w:val="single" w:sz="4" w:space="0" w:color="auto"/>
            </w:tcBorders>
            <w:shd w:val="clear" w:color="auto" w:fill="auto"/>
          </w:tcPr>
          <w:p w14:paraId="2B45F650" w14:textId="77777777" w:rsidR="002416B0" w:rsidRPr="00DD2A69" w:rsidRDefault="002416B0" w:rsidP="002416B0">
            <w:pPr>
              <w:pStyle w:val="ListParagraph"/>
              <w:numPr>
                <w:ilvl w:val="0"/>
                <w:numId w:val="2"/>
              </w:numPr>
              <w:jc w:val="both"/>
              <w:rPr>
                <w:b/>
                <w:bCs/>
              </w:rPr>
            </w:pPr>
            <w:r w:rsidRPr="00DD2A69">
              <w:rPr>
                <w:b/>
                <w:bCs/>
              </w:rPr>
              <w:t>Mohale’s Hoek</w:t>
            </w:r>
          </w:p>
        </w:tc>
        <w:tc>
          <w:tcPr>
            <w:tcW w:w="1266" w:type="dxa"/>
            <w:shd w:val="clear" w:color="auto" w:fill="auto"/>
          </w:tcPr>
          <w:p w14:paraId="36072FCF" w14:textId="77777777" w:rsidR="002416B0" w:rsidRPr="00DD2A69" w:rsidRDefault="002416B0" w:rsidP="002416B0">
            <w:pPr>
              <w:rPr>
                <w:b/>
                <w:bCs/>
              </w:rPr>
            </w:pPr>
            <w:r w:rsidRPr="00DD2A69">
              <w:rPr>
                <w:b/>
                <w:bCs/>
              </w:rPr>
              <w:t>19,824</w:t>
            </w:r>
          </w:p>
        </w:tc>
        <w:tc>
          <w:tcPr>
            <w:tcW w:w="1418" w:type="dxa"/>
            <w:shd w:val="clear" w:color="auto" w:fill="auto"/>
          </w:tcPr>
          <w:p w14:paraId="4CC1DC62" w14:textId="77777777" w:rsidR="002416B0" w:rsidRPr="00DD2A69" w:rsidRDefault="002416B0" w:rsidP="002416B0">
            <w:pPr>
              <w:rPr>
                <w:b/>
                <w:bCs/>
              </w:rPr>
            </w:pPr>
            <w:r w:rsidRPr="00DD2A69">
              <w:rPr>
                <w:b/>
                <w:bCs/>
              </w:rPr>
              <w:t>15,507</w:t>
            </w:r>
          </w:p>
        </w:tc>
        <w:tc>
          <w:tcPr>
            <w:tcW w:w="1559" w:type="dxa"/>
            <w:shd w:val="clear" w:color="auto" w:fill="auto"/>
          </w:tcPr>
          <w:p w14:paraId="443080AE" w14:textId="77777777" w:rsidR="002416B0" w:rsidRPr="00DD2A69" w:rsidRDefault="002416B0" w:rsidP="002416B0">
            <w:pPr>
              <w:jc w:val="center"/>
              <w:rPr>
                <w:b/>
                <w:bCs/>
              </w:rPr>
            </w:pPr>
            <w:r w:rsidRPr="00DD2A69">
              <w:rPr>
                <w:b/>
                <w:bCs/>
              </w:rPr>
              <w:t>17,085</w:t>
            </w:r>
          </w:p>
        </w:tc>
        <w:tc>
          <w:tcPr>
            <w:tcW w:w="1559" w:type="dxa"/>
            <w:shd w:val="clear" w:color="auto" w:fill="auto"/>
          </w:tcPr>
          <w:p w14:paraId="13C56E54" w14:textId="77777777" w:rsidR="002416B0" w:rsidRPr="00DD2A69" w:rsidRDefault="002416B0" w:rsidP="002416B0">
            <w:pPr>
              <w:jc w:val="center"/>
              <w:rPr>
                <w:b/>
                <w:bCs/>
              </w:rPr>
            </w:pPr>
            <w:r w:rsidRPr="00DD2A69">
              <w:rPr>
                <w:b/>
                <w:bCs/>
              </w:rPr>
              <w:t>13,956</w:t>
            </w:r>
          </w:p>
        </w:tc>
        <w:tc>
          <w:tcPr>
            <w:tcW w:w="1975" w:type="dxa"/>
            <w:shd w:val="clear" w:color="auto" w:fill="auto"/>
          </w:tcPr>
          <w:p w14:paraId="18263B33" w14:textId="77777777" w:rsidR="002416B0" w:rsidRPr="002416B0" w:rsidRDefault="002416B0" w:rsidP="002416B0">
            <w:pPr>
              <w:jc w:val="center"/>
              <w:rPr>
                <w:b/>
                <w:bCs/>
              </w:rPr>
            </w:pPr>
            <w:r w:rsidRPr="002416B0">
              <w:rPr>
                <w:b/>
                <w:bCs/>
              </w:rPr>
              <w:t>No</w:t>
            </w:r>
          </w:p>
        </w:tc>
      </w:tr>
      <w:tr w:rsidR="002416B0" w14:paraId="04414547" w14:textId="77777777" w:rsidTr="002416B0">
        <w:trPr>
          <w:trHeight w:val="377"/>
        </w:trPr>
        <w:tc>
          <w:tcPr>
            <w:tcW w:w="2122" w:type="dxa"/>
            <w:vMerge/>
            <w:tcBorders>
              <w:top w:val="nil"/>
              <w:left w:val="single" w:sz="4" w:space="0" w:color="auto"/>
              <w:bottom w:val="nil"/>
              <w:right w:val="single" w:sz="4" w:space="0" w:color="auto"/>
            </w:tcBorders>
          </w:tcPr>
          <w:p w14:paraId="2C02D84D" w14:textId="77777777" w:rsidR="002416B0" w:rsidRDefault="002416B0" w:rsidP="002416B0">
            <w:pPr>
              <w:jc w:val="both"/>
              <w:rPr>
                <w:b/>
                <w:bCs/>
              </w:rPr>
            </w:pPr>
          </w:p>
        </w:tc>
        <w:tc>
          <w:tcPr>
            <w:tcW w:w="2419" w:type="dxa"/>
            <w:tcBorders>
              <w:left w:val="single" w:sz="4" w:space="0" w:color="auto"/>
            </w:tcBorders>
            <w:shd w:val="clear" w:color="auto" w:fill="auto"/>
          </w:tcPr>
          <w:p w14:paraId="0430DE97" w14:textId="77777777" w:rsidR="002416B0" w:rsidRDefault="002416B0" w:rsidP="002416B0">
            <w:pPr>
              <w:pStyle w:val="ListParagraph"/>
              <w:numPr>
                <w:ilvl w:val="0"/>
                <w:numId w:val="2"/>
              </w:numPr>
              <w:jc w:val="both"/>
            </w:pPr>
            <w:proofErr w:type="spellStart"/>
            <w:r>
              <w:t>Mekaling</w:t>
            </w:r>
            <w:proofErr w:type="spellEnd"/>
          </w:p>
        </w:tc>
        <w:tc>
          <w:tcPr>
            <w:tcW w:w="1266" w:type="dxa"/>
            <w:shd w:val="clear" w:color="auto" w:fill="auto"/>
          </w:tcPr>
          <w:p w14:paraId="61D7E773" w14:textId="77777777" w:rsidR="002416B0" w:rsidRDefault="002416B0" w:rsidP="002416B0">
            <w:r>
              <w:t>17,051</w:t>
            </w:r>
          </w:p>
        </w:tc>
        <w:tc>
          <w:tcPr>
            <w:tcW w:w="1418" w:type="dxa"/>
            <w:shd w:val="clear" w:color="auto" w:fill="auto"/>
          </w:tcPr>
          <w:p w14:paraId="32D70124" w14:textId="77777777" w:rsidR="002416B0" w:rsidRDefault="002416B0" w:rsidP="002416B0">
            <w:r>
              <w:t>15,507</w:t>
            </w:r>
          </w:p>
        </w:tc>
        <w:tc>
          <w:tcPr>
            <w:tcW w:w="1559" w:type="dxa"/>
            <w:shd w:val="clear" w:color="auto" w:fill="auto"/>
          </w:tcPr>
          <w:p w14:paraId="7D539E29" w14:textId="77777777" w:rsidR="002416B0" w:rsidRDefault="002416B0" w:rsidP="002416B0">
            <w:pPr>
              <w:jc w:val="center"/>
            </w:pPr>
            <w:r>
              <w:t>17,085</w:t>
            </w:r>
          </w:p>
        </w:tc>
        <w:tc>
          <w:tcPr>
            <w:tcW w:w="1559" w:type="dxa"/>
            <w:shd w:val="clear" w:color="auto" w:fill="auto"/>
          </w:tcPr>
          <w:p w14:paraId="0BE7942B" w14:textId="77777777" w:rsidR="002416B0" w:rsidRDefault="002416B0" w:rsidP="002416B0">
            <w:pPr>
              <w:jc w:val="center"/>
            </w:pPr>
            <w:r>
              <w:t>13,956</w:t>
            </w:r>
          </w:p>
        </w:tc>
        <w:tc>
          <w:tcPr>
            <w:tcW w:w="1975" w:type="dxa"/>
            <w:shd w:val="clear" w:color="auto" w:fill="auto"/>
          </w:tcPr>
          <w:p w14:paraId="4E2BE01B" w14:textId="77777777" w:rsidR="002416B0" w:rsidRDefault="002416B0" w:rsidP="002416B0">
            <w:pPr>
              <w:jc w:val="center"/>
            </w:pPr>
            <w:r>
              <w:t>Yes</w:t>
            </w:r>
          </w:p>
        </w:tc>
      </w:tr>
      <w:tr w:rsidR="002416B0" w14:paraId="0B61FC35" w14:textId="77777777" w:rsidTr="002416B0">
        <w:trPr>
          <w:trHeight w:val="312"/>
        </w:trPr>
        <w:tc>
          <w:tcPr>
            <w:tcW w:w="2122" w:type="dxa"/>
            <w:vMerge w:val="restart"/>
            <w:tcBorders>
              <w:top w:val="nil"/>
              <w:left w:val="single" w:sz="4" w:space="0" w:color="auto"/>
              <w:bottom w:val="nil"/>
              <w:right w:val="single" w:sz="4" w:space="0" w:color="auto"/>
            </w:tcBorders>
          </w:tcPr>
          <w:p w14:paraId="570B639F" w14:textId="77777777" w:rsidR="002416B0" w:rsidRPr="00BE06F2" w:rsidRDefault="002416B0" w:rsidP="002416B0">
            <w:pPr>
              <w:jc w:val="center"/>
            </w:pPr>
          </w:p>
        </w:tc>
        <w:tc>
          <w:tcPr>
            <w:tcW w:w="2419" w:type="dxa"/>
            <w:tcBorders>
              <w:left w:val="single" w:sz="4" w:space="0" w:color="auto"/>
            </w:tcBorders>
            <w:shd w:val="clear" w:color="auto" w:fill="auto"/>
          </w:tcPr>
          <w:p w14:paraId="6AF9B8C1" w14:textId="77777777" w:rsidR="002416B0" w:rsidRPr="00DD2A69" w:rsidRDefault="002416B0" w:rsidP="002416B0">
            <w:pPr>
              <w:pStyle w:val="ListParagraph"/>
              <w:numPr>
                <w:ilvl w:val="0"/>
                <w:numId w:val="2"/>
              </w:numPr>
              <w:rPr>
                <w:b/>
                <w:bCs/>
              </w:rPr>
            </w:pPr>
            <w:proofErr w:type="spellStart"/>
            <w:r w:rsidRPr="00DD2A69">
              <w:rPr>
                <w:b/>
                <w:bCs/>
              </w:rPr>
              <w:t>Phamong</w:t>
            </w:r>
            <w:proofErr w:type="spellEnd"/>
          </w:p>
        </w:tc>
        <w:tc>
          <w:tcPr>
            <w:tcW w:w="1266" w:type="dxa"/>
            <w:shd w:val="clear" w:color="auto" w:fill="auto"/>
          </w:tcPr>
          <w:p w14:paraId="0931B6D5" w14:textId="77777777" w:rsidR="002416B0" w:rsidRPr="00DD2A69" w:rsidRDefault="002416B0" w:rsidP="002416B0">
            <w:pPr>
              <w:jc w:val="both"/>
              <w:rPr>
                <w:b/>
                <w:bCs/>
              </w:rPr>
            </w:pPr>
            <w:r w:rsidRPr="00DD2A69">
              <w:rPr>
                <w:b/>
                <w:bCs/>
              </w:rPr>
              <w:t xml:space="preserve">19,861  </w:t>
            </w:r>
          </w:p>
        </w:tc>
        <w:tc>
          <w:tcPr>
            <w:tcW w:w="1418" w:type="dxa"/>
            <w:shd w:val="clear" w:color="auto" w:fill="auto"/>
          </w:tcPr>
          <w:p w14:paraId="533FC073" w14:textId="77777777" w:rsidR="002416B0" w:rsidRPr="00DD2A69" w:rsidRDefault="002416B0" w:rsidP="002416B0">
            <w:pPr>
              <w:jc w:val="both"/>
              <w:rPr>
                <w:b/>
                <w:bCs/>
              </w:rPr>
            </w:pPr>
            <w:r w:rsidRPr="00DD2A69">
              <w:rPr>
                <w:b/>
                <w:bCs/>
              </w:rPr>
              <w:t>15,507</w:t>
            </w:r>
          </w:p>
        </w:tc>
        <w:tc>
          <w:tcPr>
            <w:tcW w:w="1559" w:type="dxa"/>
            <w:shd w:val="clear" w:color="auto" w:fill="auto"/>
          </w:tcPr>
          <w:p w14:paraId="4FC6E906" w14:textId="77777777" w:rsidR="002416B0" w:rsidRPr="00DD2A69" w:rsidRDefault="002416B0" w:rsidP="002416B0">
            <w:pPr>
              <w:jc w:val="center"/>
              <w:rPr>
                <w:b/>
                <w:bCs/>
              </w:rPr>
            </w:pPr>
            <w:r w:rsidRPr="00DD2A69">
              <w:rPr>
                <w:b/>
                <w:bCs/>
              </w:rPr>
              <w:t>17,058</w:t>
            </w:r>
          </w:p>
        </w:tc>
        <w:tc>
          <w:tcPr>
            <w:tcW w:w="1559" w:type="dxa"/>
            <w:shd w:val="clear" w:color="auto" w:fill="auto"/>
          </w:tcPr>
          <w:p w14:paraId="1CE65E94" w14:textId="77777777" w:rsidR="002416B0" w:rsidRPr="00DD2A69" w:rsidRDefault="002416B0" w:rsidP="002416B0">
            <w:pPr>
              <w:jc w:val="center"/>
              <w:rPr>
                <w:b/>
                <w:bCs/>
              </w:rPr>
            </w:pPr>
            <w:r w:rsidRPr="00DD2A69">
              <w:rPr>
                <w:b/>
                <w:bCs/>
              </w:rPr>
              <w:t>13,956</w:t>
            </w:r>
          </w:p>
        </w:tc>
        <w:tc>
          <w:tcPr>
            <w:tcW w:w="1975" w:type="dxa"/>
            <w:shd w:val="clear" w:color="auto" w:fill="auto"/>
          </w:tcPr>
          <w:p w14:paraId="4CC70D9C" w14:textId="77777777" w:rsidR="002416B0" w:rsidRPr="002416B0" w:rsidRDefault="002416B0" w:rsidP="002416B0">
            <w:pPr>
              <w:jc w:val="center"/>
              <w:rPr>
                <w:b/>
                <w:bCs/>
              </w:rPr>
            </w:pPr>
            <w:r w:rsidRPr="002416B0">
              <w:rPr>
                <w:b/>
                <w:bCs/>
              </w:rPr>
              <w:t>No</w:t>
            </w:r>
          </w:p>
        </w:tc>
      </w:tr>
      <w:tr w:rsidR="002416B0" w14:paraId="4F0AE290" w14:textId="77777777" w:rsidTr="002416B0">
        <w:trPr>
          <w:trHeight w:val="299"/>
        </w:trPr>
        <w:tc>
          <w:tcPr>
            <w:tcW w:w="2122" w:type="dxa"/>
            <w:vMerge/>
            <w:tcBorders>
              <w:top w:val="nil"/>
              <w:left w:val="single" w:sz="4" w:space="0" w:color="auto"/>
              <w:bottom w:val="nil"/>
              <w:right w:val="single" w:sz="4" w:space="0" w:color="auto"/>
            </w:tcBorders>
          </w:tcPr>
          <w:p w14:paraId="49152B42" w14:textId="77777777" w:rsidR="002416B0" w:rsidRPr="00BE06F2" w:rsidRDefault="002416B0" w:rsidP="002416B0">
            <w:pPr>
              <w:jc w:val="center"/>
            </w:pPr>
          </w:p>
        </w:tc>
        <w:tc>
          <w:tcPr>
            <w:tcW w:w="2419" w:type="dxa"/>
            <w:tcBorders>
              <w:left w:val="single" w:sz="4" w:space="0" w:color="auto"/>
            </w:tcBorders>
            <w:shd w:val="clear" w:color="auto" w:fill="auto"/>
          </w:tcPr>
          <w:p w14:paraId="4C29710C" w14:textId="77777777" w:rsidR="002416B0" w:rsidRPr="00DD2A69" w:rsidRDefault="002416B0" w:rsidP="002416B0">
            <w:pPr>
              <w:pStyle w:val="ListParagraph"/>
              <w:numPr>
                <w:ilvl w:val="0"/>
                <w:numId w:val="2"/>
              </w:numPr>
              <w:jc w:val="both"/>
              <w:rPr>
                <w:b/>
                <w:bCs/>
              </w:rPr>
            </w:pPr>
            <w:proofErr w:type="spellStart"/>
            <w:r w:rsidRPr="00DD2A69">
              <w:rPr>
                <w:b/>
                <w:bCs/>
              </w:rPr>
              <w:t>Hloahloeng</w:t>
            </w:r>
            <w:proofErr w:type="spellEnd"/>
            <w:r w:rsidRPr="00DD2A69">
              <w:rPr>
                <w:b/>
                <w:bCs/>
              </w:rPr>
              <w:t xml:space="preserve">  </w:t>
            </w:r>
          </w:p>
        </w:tc>
        <w:tc>
          <w:tcPr>
            <w:tcW w:w="1266" w:type="dxa"/>
            <w:shd w:val="clear" w:color="auto" w:fill="auto"/>
          </w:tcPr>
          <w:p w14:paraId="6CE2ACAD" w14:textId="77777777" w:rsidR="002416B0" w:rsidRPr="00DD2A69" w:rsidRDefault="002416B0" w:rsidP="002416B0">
            <w:pPr>
              <w:jc w:val="both"/>
              <w:rPr>
                <w:b/>
                <w:bCs/>
              </w:rPr>
            </w:pPr>
            <w:r w:rsidRPr="00DD2A69">
              <w:rPr>
                <w:b/>
                <w:bCs/>
              </w:rPr>
              <w:t>13,824</w:t>
            </w:r>
          </w:p>
        </w:tc>
        <w:tc>
          <w:tcPr>
            <w:tcW w:w="1418" w:type="dxa"/>
            <w:shd w:val="clear" w:color="auto" w:fill="auto"/>
          </w:tcPr>
          <w:p w14:paraId="4F076873" w14:textId="77777777" w:rsidR="002416B0" w:rsidRPr="00DD2A69" w:rsidRDefault="002416B0" w:rsidP="002416B0">
            <w:pPr>
              <w:jc w:val="both"/>
              <w:rPr>
                <w:b/>
                <w:bCs/>
              </w:rPr>
            </w:pPr>
            <w:r w:rsidRPr="00DD2A69">
              <w:rPr>
                <w:b/>
                <w:bCs/>
              </w:rPr>
              <w:t>15,507</w:t>
            </w:r>
          </w:p>
        </w:tc>
        <w:tc>
          <w:tcPr>
            <w:tcW w:w="1559" w:type="dxa"/>
            <w:shd w:val="clear" w:color="auto" w:fill="auto"/>
          </w:tcPr>
          <w:p w14:paraId="6A3EEA80" w14:textId="77777777" w:rsidR="002416B0" w:rsidRPr="00DD2A69" w:rsidRDefault="002416B0" w:rsidP="002416B0">
            <w:pPr>
              <w:jc w:val="center"/>
              <w:rPr>
                <w:b/>
                <w:bCs/>
              </w:rPr>
            </w:pPr>
            <w:r w:rsidRPr="00DD2A69">
              <w:rPr>
                <w:b/>
                <w:bCs/>
              </w:rPr>
              <w:t>17,058</w:t>
            </w:r>
          </w:p>
        </w:tc>
        <w:tc>
          <w:tcPr>
            <w:tcW w:w="1559" w:type="dxa"/>
            <w:shd w:val="clear" w:color="auto" w:fill="auto"/>
          </w:tcPr>
          <w:p w14:paraId="0AB731D4" w14:textId="77777777" w:rsidR="002416B0" w:rsidRPr="00DD2A69" w:rsidRDefault="002416B0" w:rsidP="002416B0">
            <w:pPr>
              <w:jc w:val="center"/>
              <w:rPr>
                <w:b/>
                <w:bCs/>
              </w:rPr>
            </w:pPr>
            <w:r w:rsidRPr="00DD2A69">
              <w:rPr>
                <w:b/>
                <w:bCs/>
              </w:rPr>
              <w:t>13,956</w:t>
            </w:r>
          </w:p>
        </w:tc>
        <w:tc>
          <w:tcPr>
            <w:tcW w:w="1975" w:type="dxa"/>
            <w:shd w:val="clear" w:color="auto" w:fill="auto"/>
          </w:tcPr>
          <w:p w14:paraId="30FF5920" w14:textId="77777777" w:rsidR="002416B0" w:rsidRPr="002416B0" w:rsidRDefault="002416B0" w:rsidP="002416B0">
            <w:pPr>
              <w:jc w:val="center"/>
              <w:rPr>
                <w:b/>
                <w:bCs/>
              </w:rPr>
            </w:pPr>
            <w:r w:rsidRPr="002416B0">
              <w:rPr>
                <w:b/>
                <w:bCs/>
              </w:rPr>
              <w:t>No</w:t>
            </w:r>
          </w:p>
        </w:tc>
      </w:tr>
      <w:tr w:rsidR="002416B0" w14:paraId="1C225605" w14:textId="77777777" w:rsidTr="002416B0">
        <w:trPr>
          <w:trHeight w:val="377"/>
        </w:trPr>
        <w:tc>
          <w:tcPr>
            <w:tcW w:w="2122" w:type="dxa"/>
            <w:vMerge/>
            <w:tcBorders>
              <w:top w:val="nil"/>
              <w:left w:val="single" w:sz="4" w:space="0" w:color="auto"/>
              <w:bottom w:val="nil"/>
              <w:right w:val="single" w:sz="4" w:space="0" w:color="auto"/>
            </w:tcBorders>
          </w:tcPr>
          <w:p w14:paraId="6FA28228" w14:textId="77777777" w:rsidR="002416B0" w:rsidRPr="00BE06F2" w:rsidRDefault="002416B0" w:rsidP="002416B0">
            <w:pPr>
              <w:jc w:val="center"/>
            </w:pPr>
          </w:p>
        </w:tc>
        <w:tc>
          <w:tcPr>
            <w:tcW w:w="2419" w:type="dxa"/>
            <w:tcBorders>
              <w:left w:val="single" w:sz="4" w:space="0" w:color="auto"/>
            </w:tcBorders>
            <w:shd w:val="clear" w:color="auto" w:fill="auto"/>
          </w:tcPr>
          <w:p w14:paraId="48681C30" w14:textId="77777777" w:rsidR="002416B0" w:rsidRPr="00DD2A69" w:rsidRDefault="002416B0" w:rsidP="002416B0">
            <w:pPr>
              <w:pStyle w:val="ListParagraph"/>
              <w:numPr>
                <w:ilvl w:val="0"/>
                <w:numId w:val="2"/>
              </w:numPr>
              <w:jc w:val="both"/>
              <w:rPr>
                <w:b/>
                <w:bCs/>
              </w:rPr>
            </w:pPr>
            <w:proofErr w:type="spellStart"/>
            <w:r w:rsidRPr="00DD2A69">
              <w:rPr>
                <w:b/>
                <w:bCs/>
              </w:rPr>
              <w:t>Moyeni</w:t>
            </w:r>
            <w:proofErr w:type="spellEnd"/>
            <w:r w:rsidRPr="00DD2A69">
              <w:rPr>
                <w:b/>
                <w:bCs/>
              </w:rPr>
              <w:t xml:space="preserve"> </w:t>
            </w:r>
          </w:p>
        </w:tc>
        <w:tc>
          <w:tcPr>
            <w:tcW w:w="1266" w:type="dxa"/>
            <w:shd w:val="clear" w:color="auto" w:fill="auto"/>
          </w:tcPr>
          <w:p w14:paraId="5D0E2764" w14:textId="77777777" w:rsidR="002416B0" w:rsidRPr="00DD2A69" w:rsidRDefault="002416B0" w:rsidP="002416B0">
            <w:pPr>
              <w:jc w:val="both"/>
              <w:rPr>
                <w:b/>
                <w:bCs/>
              </w:rPr>
            </w:pPr>
            <w:r w:rsidRPr="00DD2A69">
              <w:rPr>
                <w:b/>
                <w:bCs/>
              </w:rPr>
              <w:t>19,789</w:t>
            </w:r>
          </w:p>
        </w:tc>
        <w:tc>
          <w:tcPr>
            <w:tcW w:w="1418" w:type="dxa"/>
            <w:shd w:val="clear" w:color="auto" w:fill="auto"/>
          </w:tcPr>
          <w:p w14:paraId="030A0BE3" w14:textId="77777777" w:rsidR="002416B0" w:rsidRPr="00DD2A69" w:rsidRDefault="002416B0" w:rsidP="002416B0">
            <w:pPr>
              <w:jc w:val="both"/>
              <w:rPr>
                <w:b/>
                <w:bCs/>
              </w:rPr>
            </w:pPr>
            <w:r w:rsidRPr="00DD2A69">
              <w:rPr>
                <w:b/>
                <w:bCs/>
              </w:rPr>
              <w:t>15,507</w:t>
            </w:r>
          </w:p>
        </w:tc>
        <w:tc>
          <w:tcPr>
            <w:tcW w:w="1559" w:type="dxa"/>
            <w:shd w:val="clear" w:color="auto" w:fill="auto"/>
          </w:tcPr>
          <w:p w14:paraId="3376ADCD" w14:textId="77777777" w:rsidR="002416B0" w:rsidRPr="00DD2A69" w:rsidRDefault="002416B0" w:rsidP="002416B0">
            <w:pPr>
              <w:jc w:val="center"/>
              <w:rPr>
                <w:b/>
                <w:bCs/>
              </w:rPr>
            </w:pPr>
            <w:r w:rsidRPr="00DD2A69">
              <w:rPr>
                <w:b/>
                <w:bCs/>
              </w:rPr>
              <w:t>17,058</w:t>
            </w:r>
          </w:p>
        </w:tc>
        <w:tc>
          <w:tcPr>
            <w:tcW w:w="1559" w:type="dxa"/>
            <w:shd w:val="clear" w:color="auto" w:fill="auto"/>
          </w:tcPr>
          <w:p w14:paraId="6AF65D00" w14:textId="77777777" w:rsidR="002416B0" w:rsidRPr="00DD2A69" w:rsidRDefault="002416B0" w:rsidP="002416B0">
            <w:pPr>
              <w:jc w:val="center"/>
              <w:rPr>
                <w:b/>
                <w:bCs/>
              </w:rPr>
            </w:pPr>
            <w:r w:rsidRPr="00DD2A69">
              <w:rPr>
                <w:b/>
                <w:bCs/>
              </w:rPr>
              <w:t>13,956</w:t>
            </w:r>
          </w:p>
        </w:tc>
        <w:tc>
          <w:tcPr>
            <w:tcW w:w="1975" w:type="dxa"/>
            <w:shd w:val="clear" w:color="auto" w:fill="auto"/>
          </w:tcPr>
          <w:p w14:paraId="085ABD71" w14:textId="77777777" w:rsidR="002416B0" w:rsidRPr="002416B0" w:rsidRDefault="002416B0" w:rsidP="002416B0">
            <w:pPr>
              <w:jc w:val="center"/>
              <w:rPr>
                <w:b/>
                <w:bCs/>
              </w:rPr>
            </w:pPr>
            <w:r w:rsidRPr="002416B0">
              <w:rPr>
                <w:b/>
                <w:bCs/>
              </w:rPr>
              <w:t>No</w:t>
            </w:r>
          </w:p>
        </w:tc>
      </w:tr>
      <w:tr w:rsidR="002416B0" w14:paraId="45791B01" w14:textId="77777777" w:rsidTr="002416B0">
        <w:trPr>
          <w:trHeight w:val="377"/>
        </w:trPr>
        <w:tc>
          <w:tcPr>
            <w:tcW w:w="2122" w:type="dxa"/>
            <w:vMerge/>
            <w:tcBorders>
              <w:top w:val="nil"/>
              <w:left w:val="single" w:sz="4" w:space="0" w:color="auto"/>
              <w:bottom w:val="nil"/>
              <w:right w:val="single" w:sz="4" w:space="0" w:color="auto"/>
            </w:tcBorders>
          </w:tcPr>
          <w:p w14:paraId="6C4AB99B" w14:textId="77777777" w:rsidR="002416B0" w:rsidRPr="00BE06F2" w:rsidRDefault="002416B0" w:rsidP="002416B0">
            <w:pPr>
              <w:jc w:val="center"/>
            </w:pPr>
          </w:p>
        </w:tc>
        <w:tc>
          <w:tcPr>
            <w:tcW w:w="2419" w:type="dxa"/>
            <w:tcBorders>
              <w:left w:val="single" w:sz="4" w:space="0" w:color="auto"/>
            </w:tcBorders>
            <w:shd w:val="clear" w:color="auto" w:fill="auto"/>
          </w:tcPr>
          <w:p w14:paraId="09BF6D91" w14:textId="77777777" w:rsidR="002416B0" w:rsidRPr="00BE06F2" w:rsidRDefault="002416B0" w:rsidP="002416B0">
            <w:pPr>
              <w:pStyle w:val="ListParagraph"/>
              <w:numPr>
                <w:ilvl w:val="0"/>
                <w:numId w:val="2"/>
              </w:numPr>
              <w:jc w:val="both"/>
            </w:pPr>
            <w:proofErr w:type="spellStart"/>
            <w:r>
              <w:t>Sempe</w:t>
            </w:r>
            <w:proofErr w:type="spellEnd"/>
          </w:p>
        </w:tc>
        <w:tc>
          <w:tcPr>
            <w:tcW w:w="1266" w:type="dxa"/>
            <w:shd w:val="clear" w:color="auto" w:fill="auto"/>
          </w:tcPr>
          <w:p w14:paraId="0FDB09B4" w14:textId="77777777" w:rsidR="002416B0" w:rsidRPr="00BE06F2" w:rsidRDefault="002416B0" w:rsidP="002416B0">
            <w:pPr>
              <w:jc w:val="both"/>
            </w:pPr>
            <w:r>
              <w:t>14,731</w:t>
            </w:r>
          </w:p>
        </w:tc>
        <w:tc>
          <w:tcPr>
            <w:tcW w:w="1418" w:type="dxa"/>
            <w:shd w:val="clear" w:color="auto" w:fill="auto"/>
          </w:tcPr>
          <w:p w14:paraId="610FF071" w14:textId="77777777" w:rsidR="002416B0" w:rsidRPr="00BE06F2" w:rsidRDefault="002416B0" w:rsidP="002416B0">
            <w:pPr>
              <w:jc w:val="both"/>
            </w:pPr>
            <w:r w:rsidRPr="00BE06F2">
              <w:t>15,507</w:t>
            </w:r>
          </w:p>
        </w:tc>
        <w:tc>
          <w:tcPr>
            <w:tcW w:w="1559" w:type="dxa"/>
            <w:shd w:val="clear" w:color="auto" w:fill="auto"/>
          </w:tcPr>
          <w:p w14:paraId="3B8805C7" w14:textId="77777777" w:rsidR="002416B0" w:rsidRPr="00BE06F2" w:rsidRDefault="002416B0" w:rsidP="002416B0">
            <w:pPr>
              <w:jc w:val="center"/>
            </w:pPr>
            <w:r w:rsidRPr="00BE06F2">
              <w:t>17,058</w:t>
            </w:r>
          </w:p>
        </w:tc>
        <w:tc>
          <w:tcPr>
            <w:tcW w:w="1559" w:type="dxa"/>
            <w:shd w:val="clear" w:color="auto" w:fill="auto"/>
          </w:tcPr>
          <w:p w14:paraId="6C527E41" w14:textId="77777777" w:rsidR="002416B0" w:rsidRPr="00BE06F2" w:rsidRDefault="002416B0" w:rsidP="002416B0">
            <w:pPr>
              <w:jc w:val="center"/>
            </w:pPr>
            <w:r w:rsidRPr="00BE06F2">
              <w:t>13,956</w:t>
            </w:r>
          </w:p>
        </w:tc>
        <w:tc>
          <w:tcPr>
            <w:tcW w:w="1975" w:type="dxa"/>
            <w:shd w:val="clear" w:color="auto" w:fill="auto"/>
          </w:tcPr>
          <w:p w14:paraId="33C27116" w14:textId="77777777" w:rsidR="002416B0" w:rsidRPr="00BE06F2" w:rsidRDefault="002416B0" w:rsidP="002416B0">
            <w:pPr>
              <w:jc w:val="center"/>
            </w:pPr>
            <w:r>
              <w:t>Yes</w:t>
            </w:r>
          </w:p>
        </w:tc>
      </w:tr>
      <w:tr w:rsidR="002416B0" w14:paraId="2310AF69" w14:textId="77777777" w:rsidTr="002416B0">
        <w:trPr>
          <w:trHeight w:val="70"/>
        </w:trPr>
        <w:tc>
          <w:tcPr>
            <w:tcW w:w="2122" w:type="dxa"/>
            <w:vMerge/>
            <w:tcBorders>
              <w:top w:val="nil"/>
              <w:left w:val="single" w:sz="4" w:space="0" w:color="auto"/>
              <w:bottom w:val="nil"/>
              <w:right w:val="single" w:sz="4" w:space="0" w:color="auto"/>
            </w:tcBorders>
          </w:tcPr>
          <w:p w14:paraId="520DD02D" w14:textId="77777777" w:rsidR="002416B0" w:rsidRPr="00BE06F2" w:rsidRDefault="002416B0" w:rsidP="002416B0">
            <w:pPr>
              <w:jc w:val="center"/>
            </w:pPr>
            <w:bookmarkStart w:id="4" w:name="_Hlk110502545"/>
          </w:p>
        </w:tc>
        <w:tc>
          <w:tcPr>
            <w:tcW w:w="2419" w:type="dxa"/>
            <w:tcBorders>
              <w:left w:val="single" w:sz="4" w:space="0" w:color="auto"/>
            </w:tcBorders>
            <w:shd w:val="clear" w:color="auto" w:fill="auto"/>
          </w:tcPr>
          <w:p w14:paraId="76F82DE1" w14:textId="77777777" w:rsidR="002416B0" w:rsidRPr="00DD2A69" w:rsidRDefault="002416B0" w:rsidP="002416B0">
            <w:pPr>
              <w:pStyle w:val="ListParagraph"/>
              <w:numPr>
                <w:ilvl w:val="0"/>
                <w:numId w:val="2"/>
              </w:numPr>
              <w:jc w:val="both"/>
              <w:rPr>
                <w:b/>
                <w:bCs/>
              </w:rPr>
            </w:pPr>
            <w:r w:rsidRPr="00DD2A69">
              <w:rPr>
                <w:b/>
                <w:bCs/>
              </w:rPr>
              <w:t xml:space="preserve">Mt. </w:t>
            </w:r>
            <w:proofErr w:type="spellStart"/>
            <w:r w:rsidRPr="00DD2A69">
              <w:rPr>
                <w:b/>
                <w:bCs/>
              </w:rPr>
              <w:t>Moorosi</w:t>
            </w:r>
            <w:proofErr w:type="spellEnd"/>
          </w:p>
        </w:tc>
        <w:tc>
          <w:tcPr>
            <w:tcW w:w="1266" w:type="dxa"/>
            <w:shd w:val="clear" w:color="auto" w:fill="auto"/>
          </w:tcPr>
          <w:p w14:paraId="2A050148" w14:textId="77777777" w:rsidR="002416B0" w:rsidRPr="00DD2A69" w:rsidRDefault="002416B0" w:rsidP="002416B0">
            <w:pPr>
              <w:jc w:val="both"/>
              <w:rPr>
                <w:b/>
                <w:bCs/>
              </w:rPr>
            </w:pPr>
            <w:r w:rsidRPr="00DD2A69">
              <w:rPr>
                <w:b/>
                <w:bCs/>
              </w:rPr>
              <w:t>17,334</w:t>
            </w:r>
          </w:p>
        </w:tc>
        <w:tc>
          <w:tcPr>
            <w:tcW w:w="1418" w:type="dxa"/>
            <w:shd w:val="clear" w:color="auto" w:fill="auto"/>
          </w:tcPr>
          <w:p w14:paraId="1D0EFA67" w14:textId="77777777" w:rsidR="002416B0" w:rsidRPr="00DD2A69" w:rsidRDefault="002416B0" w:rsidP="002416B0">
            <w:pPr>
              <w:jc w:val="both"/>
              <w:rPr>
                <w:b/>
                <w:bCs/>
              </w:rPr>
            </w:pPr>
            <w:r w:rsidRPr="00DD2A69">
              <w:rPr>
                <w:b/>
                <w:bCs/>
              </w:rPr>
              <w:t>15,507</w:t>
            </w:r>
          </w:p>
        </w:tc>
        <w:tc>
          <w:tcPr>
            <w:tcW w:w="1559" w:type="dxa"/>
            <w:shd w:val="clear" w:color="auto" w:fill="auto"/>
          </w:tcPr>
          <w:p w14:paraId="62A913B0" w14:textId="77777777" w:rsidR="002416B0" w:rsidRPr="00DD2A69" w:rsidRDefault="002416B0" w:rsidP="002416B0">
            <w:pPr>
              <w:jc w:val="center"/>
              <w:rPr>
                <w:b/>
                <w:bCs/>
              </w:rPr>
            </w:pPr>
            <w:r w:rsidRPr="00DD2A69">
              <w:rPr>
                <w:b/>
                <w:bCs/>
              </w:rPr>
              <w:t>17,058</w:t>
            </w:r>
          </w:p>
        </w:tc>
        <w:tc>
          <w:tcPr>
            <w:tcW w:w="1559" w:type="dxa"/>
            <w:shd w:val="clear" w:color="auto" w:fill="auto"/>
          </w:tcPr>
          <w:p w14:paraId="0B6531B7" w14:textId="77777777" w:rsidR="002416B0" w:rsidRPr="00DD2A69" w:rsidRDefault="002416B0" w:rsidP="002416B0">
            <w:pPr>
              <w:jc w:val="center"/>
              <w:rPr>
                <w:b/>
                <w:bCs/>
              </w:rPr>
            </w:pPr>
            <w:r w:rsidRPr="00DD2A69">
              <w:rPr>
                <w:b/>
                <w:bCs/>
              </w:rPr>
              <w:t>13,956</w:t>
            </w:r>
          </w:p>
        </w:tc>
        <w:tc>
          <w:tcPr>
            <w:tcW w:w="1975" w:type="dxa"/>
            <w:shd w:val="clear" w:color="auto" w:fill="auto"/>
          </w:tcPr>
          <w:p w14:paraId="4430E6BD" w14:textId="77777777" w:rsidR="002416B0" w:rsidRPr="002416B0" w:rsidRDefault="002416B0" w:rsidP="002416B0">
            <w:pPr>
              <w:jc w:val="center"/>
              <w:rPr>
                <w:b/>
                <w:bCs/>
              </w:rPr>
            </w:pPr>
            <w:r w:rsidRPr="002416B0">
              <w:rPr>
                <w:b/>
                <w:bCs/>
              </w:rPr>
              <w:t>No</w:t>
            </w:r>
          </w:p>
        </w:tc>
      </w:tr>
      <w:tr w:rsidR="002416B0" w14:paraId="59B734D8" w14:textId="77777777" w:rsidTr="002416B0">
        <w:trPr>
          <w:trHeight w:val="299"/>
        </w:trPr>
        <w:tc>
          <w:tcPr>
            <w:tcW w:w="2122" w:type="dxa"/>
            <w:vMerge/>
            <w:tcBorders>
              <w:top w:val="nil"/>
              <w:left w:val="single" w:sz="4" w:space="0" w:color="auto"/>
              <w:bottom w:val="single" w:sz="4" w:space="0" w:color="auto"/>
              <w:right w:val="single" w:sz="4" w:space="0" w:color="auto"/>
            </w:tcBorders>
          </w:tcPr>
          <w:p w14:paraId="52262550" w14:textId="77777777" w:rsidR="002416B0" w:rsidRPr="00BE06F2" w:rsidRDefault="002416B0" w:rsidP="002416B0">
            <w:pPr>
              <w:jc w:val="center"/>
            </w:pPr>
          </w:p>
        </w:tc>
        <w:tc>
          <w:tcPr>
            <w:tcW w:w="2419" w:type="dxa"/>
            <w:tcBorders>
              <w:left w:val="single" w:sz="4" w:space="0" w:color="auto"/>
            </w:tcBorders>
            <w:shd w:val="clear" w:color="auto" w:fill="auto"/>
          </w:tcPr>
          <w:p w14:paraId="1C72438F" w14:textId="77777777" w:rsidR="002416B0" w:rsidRPr="00DD2A69" w:rsidRDefault="002416B0" w:rsidP="002416B0">
            <w:pPr>
              <w:pStyle w:val="ListParagraph"/>
              <w:numPr>
                <w:ilvl w:val="0"/>
                <w:numId w:val="2"/>
              </w:numPr>
              <w:jc w:val="both"/>
              <w:rPr>
                <w:b/>
                <w:bCs/>
              </w:rPr>
            </w:pPr>
            <w:proofErr w:type="spellStart"/>
            <w:r w:rsidRPr="00DD2A69">
              <w:rPr>
                <w:b/>
                <w:bCs/>
              </w:rPr>
              <w:t>Qhoali</w:t>
            </w:r>
            <w:proofErr w:type="spellEnd"/>
            <w:r w:rsidRPr="00DD2A69">
              <w:rPr>
                <w:b/>
                <w:bCs/>
              </w:rPr>
              <w:t xml:space="preserve"> </w:t>
            </w:r>
          </w:p>
        </w:tc>
        <w:tc>
          <w:tcPr>
            <w:tcW w:w="1266" w:type="dxa"/>
            <w:shd w:val="clear" w:color="auto" w:fill="auto"/>
          </w:tcPr>
          <w:p w14:paraId="66968217" w14:textId="77777777" w:rsidR="002416B0" w:rsidRPr="00DD2A69" w:rsidRDefault="002416B0" w:rsidP="002416B0">
            <w:pPr>
              <w:jc w:val="both"/>
              <w:rPr>
                <w:b/>
                <w:bCs/>
              </w:rPr>
            </w:pPr>
            <w:r w:rsidRPr="00DD2A69">
              <w:rPr>
                <w:b/>
                <w:bCs/>
              </w:rPr>
              <w:t>17,458</w:t>
            </w:r>
          </w:p>
        </w:tc>
        <w:tc>
          <w:tcPr>
            <w:tcW w:w="1418" w:type="dxa"/>
            <w:shd w:val="clear" w:color="auto" w:fill="auto"/>
          </w:tcPr>
          <w:p w14:paraId="37098E96" w14:textId="77777777" w:rsidR="002416B0" w:rsidRPr="00DD2A69" w:rsidRDefault="002416B0" w:rsidP="002416B0">
            <w:pPr>
              <w:jc w:val="both"/>
              <w:rPr>
                <w:b/>
                <w:bCs/>
              </w:rPr>
            </w:pPr>
            <w:r w:rsidRPr="00DD2A69">
              <w:rPr>
                <w:b/>
                <w:bCs/>
              </w:rPr>
              <w:t>15,507</w:t>
            </w:r>
          </w:p>
        </w:tc>
        <w:tc>
          <w:tcPr>
            <w:tcW w:w="1559" w:type="dxa"/>
            <w:shd w:val="clear" w:color="auto" w:fill="auto"/>
          </w:tcPr>
          <w:p w14:paraId="04AFEF5B" w14:textId="77777777" w:rsidR="002416B0" w:rsidRPr="00DD2A69" w:rsidRDefault="002416B0" w:rsidP="002416B0">
            <w:pPr>
              <w:jc w:val="center"/>
              <w:rPr>
                <w:b/>
                <w:bCs/>
              </w:rPr>
            </w:pPr>
            <w:r w:rsidRPr="00DD2A69">
              <w:rPr>
                <w:b/>
                <w:bCs/>
              </w:rPr>
              <w:t>17,058</w:t>
            </w:r>
          </w:p>
        </w:tc>
        <w:tc>
          <w:tcPr>
            <w:tcW w:w="1559" w:type="dxa"/>
            <w:shd w:val="clear" w:color="auto" w:fill="auto"/>
          </w:tcPr>
          <w:p w14:paraId="6C7E27E2" w14:textId="77777777" w:rsidR="002416B0" w:rsidRPr="00DD2A69" w:rsidRDefault="002416B0" w:rsidP="002416B0">
            <w:pPr>
              <w:jc w:val="center"/>
              <w:rPr>
                <w:b/>
                <w:bCs/>
              </w:rPr>
            </w:pPr>
            <w:r w:rsidRPr="00DD2A69">
              <w:rPr>
                <w:b/>
                <w:bCs/>
              </w:rPr>
              <w:t>13,956</w:t>
            </w:r>
          </w:p>
        </w:tc>
        <w:tc>
          <w:tcPr>
            <w:tcW w:w="1975" w:type="dxa"/>
            <w:shd w:val="clear" w:color="auto" w:fill="auto"/>
          </w:tcPr>
          <w:p w14:paraId="3ECD0149" w14:textId="77777777" w:rsidR="002416B0" w:rsidRPr="002416B0" w:rsidRDefault="002416B0" w:rsidP="002416B0">
            <w:pPr>
              <w:jc w:val="center"/>
              <w:rPr>
                <w:b/>
                <w:bCs/>
              </w:rPr>
            </w:pPr>
            <w:r w:rsidRPr="002416B0">
              <w:rPr>
                <w:b/>
                <w:bCs/>
              </w:rPr>
              <w:t>No</w:t>
            </w:r>
          </w:p>
        </w:tc>
      </w:tr>
      <w:tr w:rsidR="002416B0" w14:paraId="344D6C8C" w14:textId="77777777" w:rsidTr="002416B0">
        <w:trPr>
          <w:trHeight w:val="299"/>
        </w:trPr>
        <w:tc>
          <w:tcPr>
            <w:tcW w:w="2122" w:type="dxa"/>
            <w:tcBorders>
              <w:top w:val="single" w:sz="4" w:space="0" w:color="auto"/>
            </w:tcBorders>
          </w:tcPr>
          <w:p w14:paraId="64732ED0" w14:textId="77777777" w:rsidR="002416B0" w:rsidRPr="00C523B0" w:rsidRDefault="002416B0" w:rsidP="002416B0">
            <w:pPr>
              <w:jc w:val="center"/>
              <w:rPr>
                <w:b/>
                <w:bCs/>
              </w:rPr>
            </w:pPr>
            <w:proofErr w:type="spellStart"/>
            <w:r w:rsidRPr="00C523B0">
              <w:rPr>
                <w:b/>
                <w:bCs/>
              </w:rPr>
              <w:t>Qhacha’s</w:t>
            </w:r>
            <w:proofErr w:type="spellEnd"/>
            <w:r w:rsidRPr="00C523B0">
              <w:rPr>
                <w:b/>
                <w:bCs/>
              </w:rPr>
              <w:t xml:space="preserve"> Nek</w:t>
            </w:r>
          </w:p>
        </w:tc>
        <w:tc>
          <w:tcPr>
            <w:tcW w:w="2419" w:type="dxa"/>
            <w:shd w:val="clear" w:color="auto" w:fill="auto"/>
          </w:tcPr>
          <w:p w14:paraId="31D7D46E" w14:textId="77777777" w:rsidR="002416B0" w:rsidRPr="00DD2A69" w:rsidRDefault="002416B0" w:rsidP="002416B0">
            <w:pPr>
              <w:pStyle w:val="ListParagraph"/>
              <w:numPr>
                <w:ilvl w:val="0"/>
                <w:numId w:val="2"/>
              </w:numPr>
              <w:jc w:val="both"/>
              <w:rPr>
                <w:b/>
                <w:bCs/>
              </w:rPr>
            </w:pPr>
            <w:r w:rsidRPr="00DD2A69">
              <w:rPr>
                <w:b/>
                <w:bCs/>
              </w:rPr>
              <w:t xml:space="preserve">Qacha’s Nek  </w:t>
            </w:r>
          </w:p>
        </w:tc>
        <w:tc>
          <w:tcPr>
            <w:tcW w:w="1266" w:type="dxa"/>
            <w:shd w:val="clear" w:color="auto" w:fill="auto"/>
          </w:tcPr>
          <w:p w14:paraId="3FFD44E5" w14:textId="77777777" w:rsidR="002416B0" w:rsidRPr="00DD2A69" w:rsidRDefault="002416B0" w:rsidP="002416B0">
            <w:pPr>
              <w:jc w:val="both"/>
              <w:rPr>
                <w:b/>
                <w:bCs/>
              </w:rPr>
            </w:pPr>
            <w:r w:rsidRPr="00DD2A69">
              <w:rPr>
                <w:b/>
                <w:bCs/>
              </w:rPr>
              <w:t>18,401</w:t>
            </w:r>
          </w:p>
        </w:tc>
        <w:tc>
          <w:tcPr>
            <w:tcW w:w="1418" w:type="dxa"/>
            <w:shd w:val="clear" w:color="auto" w:fill="auto"/>
          </w:tcPr>
          <w:p w14:paraId="7248E339" w14:textId="77777777" w:rsidR="002416B0" w:rsidRPr="00DD2A69" w:rsidRDefault="002416B0" w:rsidP="002416B0">
            <w:pPr>
              <w:jc w:val="both"/>
              <w:rPr>
                <w:b/>
                <w:bCs/>
              </w:rPr>
            </w:pPr>
            <w:r w:rsidRPr="00DD2A69">
              <w:rPr>
                <w:b/>
                <w:bCs/>
              </w:rPr>
              <w:t>15,507</w:t>
            </w:r>
          </w:p>
        </w:tc>
        <w:tc>
          <w:tcPr>
            <w:tcW w:w="1559" w:type="dxa"/>
            <w:shd w:val="clear" w:color="auto" w:fill="auto"/>
          </w:tcPr>
          <w:p w14:paraId="71420055" w14:textId="77777777" w:rsidR="002416B0" w:rsidRPr="00DD2A69" w:rsidRDefault="002416B0" w:rsidP="002416B0">
            <w:pPr>
              <w:jc w:val="center"/>
              <w:rPr>
                <w:b/>
                <w:bCs/>
              </w:rPr>
            </w:pPr>
            <w:r w:rsidRPr="00DD2A69">
              <w:rPr>
                <w:b/>
                <w:bCs/>
              </w:rPr>
              <w:t>17,058</w:t>
            </w:r>
          </w:p>
        </w:tc>
        <w:tc>
          <w:tcPr>
            <w:tcW w:w="1559" w:type="dxa"/>
            <w:shd w:val="clear" w:color="auto" w:fill="auto"/>
          </w:tcPr>
          <w:p w14:paraId="0C13BC30" w14:textId="77777777" w:rsidR="002416B0" w:rsidRPr="00DD2A69" w:rsidRDefault="002416B0" w:rsidP="002416B0">
            <w:pPr>
              <w:jc w:val="center"/>
              <w:rPr>
                <w:b/>
                <w:bCs/>
              </w:rPr>
            </w:pPr>
            <w:r w:rsidRPr="00DD2A69">
              <w:rPr>
                <w:b/>
                <w:bCs/>
              </w:rPr>
              <w:t>13,956</w:t>
            </w:r>
          </w:p>
        </w:tc>
        <w:tc>
          <w:tcPr>
            <w:tcW w:w="1975" w:type="dxa"/>
            <w:shd w:val="clear" w:color="auto" w:fill="auto"/>
          </w:tcPr>
          <w:p w14:paraId="6C2721ED" w14:textId="77777777" w:rsidR="002416B0" w:rsidRPr="002416B0" w:rsidRDefault="002416B0" w:rsidP="002416B0">
            <w:pPr>
              <w:jc w:val="center"/>
              <w:rPr>
                <w:b/>
                <w:bCs/>
              </w:rPr>
            </w:pPr>
            <w:r w:rsidRPr="002416B0">
              <w:rPr>
                <w:b/>
                <w:bCs/>
              </w:rPr>
              <w:t>No</w:t>
            </w:r>
          </w:p>
        </w:tc>
      </w:tr>
      <w:tr w:rsidR="002416B0" w14:paraId="3841C1B3" w14:textId="77777777" w:rsidTr="002416B0">
        <w:trPr>
          <w:trHeight w:val="338"/>
        </w:trPr>
        <w:tc>
          <w:tcPr>
            <w:tcW w:w="2122" w:type="dxa"/>
            <w:vMerge w:val="restart"/>
          </w:tcPr>
          <w:p w14:paraId="1949FC9F" w14:textId="77777777" w:rsidR="002416B0" w:rsidRPr="00BE06F2" w:rsidRDefault="002416B0" w:rsidP="002416B0">
            <w:pPr>
              <w:jc w:val="center"/>
            </w:pPr>
          </w:p>
        </w:tc>
        <w:tc>
          <w:tcPr>
            <w:tcW w:w="2419" w:type="dxa"/>
            <w:shd w:val="clear" w:color="auto" w:fill="auto"/>
          </w:tcPr>
          <w:p w14:paraId="466D175C" w14:textId="77777777" w:rsidR="002416B0" w:rsidRPr="00DD2A69" w:rsidRDefault="002416B0" w:rsidP="002416B0">
            <w:pPr>
              <w:pStyle w:val="ListParagraph"/>
              <w:numPr>
                <w:ilvl w:val="0"/>
                <w:numId w:val="2"/>
              </w:numPr>
              <w:jc w:val="both"/>
              <w:rPr>
                <w:b/>
                <w:bCs/>
              </w:rPr>
            </w:pPr>
            <w:proofErr w:type="spellStart"/>
            <w:r w:rsidRPr="00DD2A69">
              <w:rPr>
                <w:b/>
                <w:bCs/>
              </w:rPr>
              <w:t>Lebakeng</w:t>
            </w:r>
            <w:proofErr w:type="spellEnd"/>
            <w:r w:rsidRPr="00DD2A69">
              <w:rPr>
                <w:b/>
                <w:bCs/>
              </w:rPr>
              <w:t xml:space="preserve">     </w:t>
            </w:r>
          </w:p>
        </w:tc>
        <w:tc>
          <w:tcPr>
            <w:tcW w:w="1266" w:type="dxa"/>
            <w:shd w:val="clear" w:color="auto" w:fill="auto"/>
          </w:tcPr>
          <w:p w14:paraId="6225F5B8" w14:textId="77777777" w:rsidR="002416B0" w:rsidRPr="00DD2A69" w:rsidRDefault="002416B0" w:rsidP="002416B0">
            <w:pPr>
              <w:jc w:val="both"/>
              <w:rPr>
                <w:b/>
                <w:bCs/>
              </w:rPr>
            </w:pPr>
            <w:r w:rsidRPr="00DD2A69">
              <w:rPr>
                <w:b/>
                <w:bCs/>
              </w:rPr>
              <w:t>12,806</w:t>
            </w:r>
          </w:p>
        </w:tc>
        <w:tc>
          <w:tcPr>
            <w:tcW w:w="1418" w:type="dxa"/>
            <w:shd w:val="clear" w:color="auto" w:fill="auto"/>
          </w:tcPr>
          <w:p w14:paraId="655070C1" w14:textId="77777777" w:rsidR="002416B0" w:rsidRPr="00DD2A69" w:rsidRDefault="002416B0" w:rsidP="002416B0">
            <w:pPr>
              <w:jc w:val="both"/>
              <w:rPr>
                <w:b/>
                <w:bCs/>
              </w:rPr>
            </w:pPr>
            <w:r w:rsidRPr="00DD2A69">
              <w:rPr>
                <w:b/>
                <w:bCs/>
              </w:rPr>
              <w:t>15,507</w:t>
            </w:r>
          </w:p>
        </w:tc>
        <w:tc>
          <w:tcPr>
            <w:tcW w:w="1559" w:type="dxa"/>
            <w:shd w:val="clear" w:color="auto" w:fill="auto"/>
          </w:tcPr>
          <w:p w14:paraId="5A027EF1" w14:textId="77777777" w:rsidR="002416B0" w:rsidRPr="00DD2A69" w:rsidRDefault="002416B0" w:rsidP="002416B0">
            <w:pPr>
              <w:jc w:val="center"/>
              <w:rPr>
                <w:b/>
                <w:bCs/>
              </w:rPr>
            </w:pPr>
            <w:r w:rsidRPr="00DD2A69">
              <w:rPr>
                <w:b/>
                <w:bCs/>
              </w:rPr>
              <w:t>17,058</w:t>
            </w:r>
          </w:p>
        </w:tc>
        <w:tc>
          <w:tcPr>
            <w:tcW w:w="1559" w:type="dxa"/>
            <w:shd w:val="clear" w:color="auto" w:fill="auto"/>
          </w:tcPr>
          <w:p w14:paraId="2CCCD3CB" w14:textId="77777777" w:rsidR="002416B0" w:rsidRPr="00DD2A69" w:rsidRDefault="002416B0" w:rsidP="002416B0">
            <w:pPr>
              <w:jc w:val="center"/>
              <w:rPr>
                <w:b/>
                <w:bCs/>
              </w:rPr>
            </w:pPr>
            <w:r w:rsidRPr="00DD2A69">
              <w:rPr>
                <w:b/>
                <w:bCs/>
              </w:rPr>
              <w:t>13,956</w:t>
            </w:r>
          </w:p>
        </w:tc>
        <w:tc>
          <w:tcPr>
            <w:tcW w:w="1975" w:type="dxa"/>
            <w:shd w:val="clear" w:color="auto" w:fill="auto"/>
          </w:tcPr>
          <w:p w14:paraId="48E5F055" w14:textId="77777777" w:rsidR="002416B0" w:rsidRPr="002416B0" w:rsidRDefault="002416B0" w:rsidP="002416B0">
            <w:pPr>
              <w:jc w:val="center"/>
              <w:rPr>
                <w:b/>
                <w:bCs/>
              </w:rPr>
            </w:pPr>
            <w:r w:rsidRPr="002416B0">
              <w:rPr>
                <w:b/>
                <w:bCs/>
              </w:rPr>
              <w:t>No</w:t>
            </w:r>
          </w:p>
        </w:tc>
      </w:tr>
      <w:tr w:rsidR="002416B0" w14:paraId="4CBBD9B0" w14:textId="77777777" w:rsidTr="002416B0">
        <w:trPr>
          <w:trHeight w:val="338"/>
        </w:trPr>
        <w:tc>
          <w:tcPr>
            <w:tcW w:w="2122" w:type="dxa"/>
            <w:vMerge/>
          </w:tcPr>
          <w:p w14:paraId="4DB0BB2E" w14:textId="77777777" w:rsidR="002416B0" w:rsidRPr="00BE06F2" w:rsidRDefault="002416B0" w:rsidP="002416B0">
            <w:pPr>
              <w:jc w:val="center"/>
            </w:pPr>
          </w:p>
        </w:tc>
        <w:tc>
          <w:tcPr>
            <w:tcW w:w="2419" w:type="dxa"/>
            <w:shd w:val="clear" w:color="auto" w:fill="auto"/>
          </w:tcPr>
          <w:p w14:paraId="1009B4AC" w14:textId="77777777" w:rsidR="002416B0" w:rsidRPr="00DD2A69" w:rsidRDefault="002416B0" w:rsidP="002416B0">
            <w:pPr>
              <w:pStyle w:val="ListParagraph"/>
              <w:numPr>
                <w:ilvl w:val="0"/>
                <w:numId w:val="2"/>
              </w:numPr>
              <w:jc w:val="both"/>
              <w:rPr>
                <w:b/>
                <w:bCs/>
              </w:rPr>
            </w:pPr>
            <w:proofErr w:type="spellStart"/>
            <w:r w:rsidRPr="00DD2A69">
              <w:rPr>
                <w:b/>
                <w:bCs/>
              </w:rPr>
              <w:t>Tsoelike</w:t>
            </w:r>
            <w:proofErr w:type="spellEnd"/>
            <w:r w:rsidRPr="00DD2A69">
              <w:rPr>
                <w:b/>
                <w:bCs/>
              </w:rPr>
              <w:t xml:space="preserve"> </w:t>
            </w:r>
          </w:p>
        </w:tc>
        <w:tc>
          <w:tcPr>
            <w:tcW w:w="1266" w:type="dxa"/>
            <w:shd w:val="clear" w:color="auto" w:fill="auto"/>
          </w:tcPr>
          <w:p w14:paraId="5F64DF9B" w14:textId="77777777" w:rsidR="002416B0" w:rsidRPr="00DD2A69" w:rsidRDefault="002416B0" w:rsidP="002416B0">
            <w:pPr>
              <w:jc w:val="both"/>
              <w:rPr>
                <w:b/>
                <w:bCs/>
              </w:rPr>
            </w:pPr>
            <w:r w:rsidRPr="00DD2A69">
              <w:rPr>
                <w:b/>
                <w:bCs/>
              </w:rPr>
              <w:t>12,749</w:t>
            </w:r>
          </w:p>
        </w:tc>
        <w:tc>
          <w:tcPr>
            <w:tcW w:w="1418" w:type="dxa"/>
            <w:shd w:val="clear" w:color="auto" w:fill="auto"/>
          </w:tcPr>
          <w:p w14:paraId="3BE33532" w14:textId="77777777" w:rsidR="002416B0" w:rsidRPr="00DD2A69" w:rsidRDefault="002416B0" w:rsidP="002416B0">
            <w:pPr>
              <w:jc w:val="both"/>
              <w:rPr>
                <w:b/>
                <w:bCs/>
              </w:rPr>
            </w:pPr>
            <w:r w:rsidRPr="00DD2A69">
              <w:rPr>
                <w:b/>
                <w:bCs/>
              </w:rPr>
              <w:t>15,507</w:t>
            </w:r>
          </w:p>
        </w:tc>
        <w:tc>
          <w:tcPr>
            <w:tcW w:w="1559" w:type="dxa"/>
            <w:shd w:val="clear" w:color="auto" w:fill="auto"/>
          </w:tcPr>
          <w:p w14:paraId="167C8A9F" w14:textId="77777777" w:rsidR="002416B0" w:rsidRPr="00DD2A69" w:rsidRDefault="002416B0" w:rsidP="002416B0">
            <w:pPr>
              <w:jc w:val="center"/>
              <w:rPr>
                <w:b/>
                <w:bCs/>
              </w:rPr>
            </w:pPr>
            <w:r w:rsidRPr="00DD2A69">
              <w:rPr>
                <w:b/>
                <w:bCs/>
              </w:rPr>
              <w:t>17,058</w:t>
            </w:r>
          </w:p>
        </w:tc>
        <w:tc>
          <w:tcPr>
            <w:tcW w:w="1559" w:type="dxa"/>
            <w:shd w:val="clear" w:color="auto" w:fill="auto"/>
          </w:tcPr>
          <w:p w14:paraId="42DEA5DE" w14:textId="77777777" w:rsidR="002416B0" w:rsidRPr="00DD2A69" w:rsidRDefault="002416B0" w:rsidP="002416B0">
            <w:pPr>
              <w:jc w:val="center"/>
              <w:rPr>
                <w:b/>
                <w:bCs/>
              </w:rPr>
            </w:pPr>
            <w:r w:rsidRPr="00DD2A69">
              <w:rPr>
                <w:b/>
                <w:bCs/>
              </w:rPr>
              <w:t>13,956</w:t>
            </w:r>
          </w:p>
        </w:tc>
        <w:tc>
          <w:tcPr>
            <w:tcW w:w="1975" w:type="dxa"/>
            <w:shd w:val="clear" w:color="auto" w:fill="auto"/>
          </w:tcPr>
          <w:p w14:paraId="728E00A6" w14:textId="77777777" w:rsidR="002416B0" w:rsidRPr="002416B0" w:rsidRDefault="002416B0" w:rsidP="002416B0">
            <w:pPr>
              <w:jc w:val="center"/>
              <w:rPr>
                <w:b/>
                <w:bCs/>
              </w:rPr>
            </w:pPr>
            <w:r w:rsidRPr="002416B0">
              <w:rPr>
                <w:b/>
                <w:bCs/>
              </w:rPr>
              <w:t>No</w:t>
            </w:r>
          </w:p>
        </w:tc>
      </w:tr>
      <w:tr w:rsidR="002416B0" w14:paraId="5B3F6EE0" w14:textId="77777777" w:rsidTr="002416B0">
        <w:trPr>
          <w:trHeight w:val="338"/>
        </w:trPr>
        <w:tc>
          <w:tcPr>
            <w:tcW w:w="2122" w:type="dxa"/>
          </w:tcPr>
          <w:p w14:paraId="5D9B18AA" w14:textId="77777777" w:rsidR="002416B0" w:rsidRPr="00C523B0" w:rsidRDefault="002416B0" w:rsidP="002416B0">
            <w:pPr>
              <w:jc w:val="center"/>
              <w:rPr>
                <w:b/>
                <w:bCs/>
              </w:rPr>
            </w:pPr>
            <w:proofErr w:type="spellStart"/>
            <w:r w:rsidRPr="00C523B0">
              <w:rPr>
                <w:b/>
                <w:bCs/>
              </w:rPr>
              <w:t>T</w:t>
            </w:r>
            <w:r>
              <w:rPr>
                <w:b/>
                <w:bCs/>
              </w:rPr>
              <w:t>haba</w:t>
            </w:r>
            <w:proofErr w:type="spellEnd"/>
            <w:r>
              <w:rPr>
                <w:b/>
                <w:bCs/>
              </w:rPr>
              <w:t xml:space="preserve"> - </w:t>
            </w:r>
            <w:proofErr w:type="spellStart"/>
            <w:r>
              <w:rPr>
                <w:b/>
                <w:bCs/>
              </w:rPr>
              <w:t>Tseka</w:t>
            </w:r>
            <w:proofErr w:type="spellEnd"/>
          </w:p>
        </w:tc>
        <w:tc>
          <w:tcPr>
            <w:tcW w:w="2419" w:type="dxa"/>
            <w:shd w:val="clear" w:color="auto" w:fill="auto"/>
          </w:tcPr>
          <w:p w14:paraId="220E28E5" w14:textId="77777777" w:rsidR="002416B0" w:rsidRPr="00DD2A69" w:rsidRDefault="002416B0" w:rsidP="002416B0">
            <w:pPr>
              <w:pStyle w:val="ListParagraph"/>
              <w:numPr>
                <w:ilvl w:val="0"/>
                <w:numId w:val="2"/>
              </w:numPr>
              <w:jc w:val="both"/>
              <w:rPr>
                <w:b/>
                <w:bCs/>
              </w:rPr>
            </w:pPr>
            <w:proofErr w:type="spellStart"/>
            <w:r w:rsidRPr="00DD2A69">
              <w:rPr>
                <w:b/>
                <w:bCs/>
              </w:rPr>
              <w:t>Mantsonyane</w:t>
            </w:r>
            <w:proofErr w:type="spellEnd"/>
            <w:r w:rsidRPr="00DD2A69">
              <w:rPr>
                <w:b/>
                <w:bCs/>
              </w:rPr>
              <w:t xml:space="preserve"> </w:t>
            </w:r>
          </w:p>
        </w:tc>
        <w:tc>
          <w:tcPr>
            <w:tcW w:w="1266" w:type="dxa"/>
            <w:shd w:val="clear" w:color="auto" w:fill="auto"/>
          </w:tcPr>
          <w:p w14:paraId="1443ABB1" w14:textId="77777777" w:rsidR="002416B0" w:rsidRPr="00DD2A69" w:rsidRDefault="002416B0" w:rsidP="002416B0">
            <w:pPr>
              <w:jc w:val="both"/>
              <w:rPr>
                <w:b/>
                <w:bCs/>
              </w:rPr>
            </w:pPr>
            <w:r w:rsidRPr="00DD2A69">
              <w:rPr>
                <w:b/>
                <w:bCs/>
              </w:rPr>
              <w:t>13,863</w:t>
            </w:r>
          </w:p>
        </w:tc>
        <w:tc>
          <w:tcPr>
            <w:tcW w:w="1418" w:type="dxa"/>
            <w:shd w:val="clear" w:color="auto" w:fill="auto"/>
          </w:tcPr>
          <w:p w14:paraId="031E5842" w14:textId="77777777" w:rsidR="002416B0" w:rsidRPr="00DD2A69" w:rsidRDefault="002416B0" w:rsidP="002416B0">
            <w:pPr>
              <w:jc w:val="both"/>
              <w:rPr>
                <w:b/>
                <w:bCs/>
              </w:rPr>
            </w:pPr>
            <w:r w:rsidRPr="00DD2A69">
              <w:rPr>
                <w:b/>
                <w:bCs/>
              </w:rPr>
              <w:t>15,507</w:t>
            </w:r>
          </w:p>
        </w:tc>
        <w:tc>
          <w:tcPr>
            <w:tcW w:w="1559" w:type="dxa"/>
            <w:shd w:val="clear" w:color="auto" w:fill="auto"/>
          </w:tcPr>
          <w:p w14:paraId="3E2C7CDF" w14:textId="77777777" w:rsidR="002416B0" w:rsidRPr="00DD2A69" w:rsidRDefault="002416B0" w:rsidP="002416B0">
            <w:pPr>
              <w:jc w:val="center"/>
              <w:rPr>
                <w:b/>
                <w:bCs/>
              </w:rPr>
            </w:pPr>
            <w:r w:rsidRPr="00DD2A69">
              <w:rPr>
                <w:b/>
                <w:bCs/>
              </w:rPr>
              <w:t>17,058</w:t>
            </w:r>
          </w:p>
        </w:tc>
        <w:tc>
          <w:tcPr>
            <w:tcW w:w="1559" w:type="dxa"/>
            <w:shd w:val="clear" w:color="auto" w:fill="auto"/>
          </w:tcPr>
          <w:p w14:paraId="4BBF46E3" w14:textId="77777777" w:rsidR="002416B0" w:rsidRPr="00DD2A69" w:rsidRDefault="002416B0" w:rsidP="002416B0">
            <w:pPr>
              <w:jc w:val="center"/>
              <w:rPr>
                <w:b/>
                <w:bCs/>
              </w:rPr>
            </w:pPr>
            <w:r w:rsidRPr="00DD2A69">
              <w:rPr>
                <w:b/>
                <w:bCs/>
              </w:rPr>
              <w:t>13,956</w:t>
            </w:r>
          </w:p>
        </w:tc>
        <w:tc>
          <w:tcPr>
            <w:tcW w:w="1975" w:type="dxa"/>
            <w:shd w:val="clear" w:color="auto" w:fill="auto"/>
          </w:tcPr>
          <w:p w14:paraId="040F5513" w14:textId="77777777" w:rsidR="002416B0" w:rsidRPr="002416B0" w:rsidRDefault="002416B0" w:rsidP="002416B0">
            <w:pPr>
              <w:jc w:val="center"/>
              <w:rPr>
                <w:b/>
                <w:bCs/>
              </w:rPr>
            </w:pPr>
            <w:r w:rsidRPr="002416B0">
              <w:rPr>
                <w:b/>
                <w:bCs/>
              </w:rPr>
              <w:t>No</w:t>
            </w:r>
          </w:p>
        </w:tc>
      </w:tr>
      <w:tr w:rsidR="002416B0" w14:paraId="02335A64" w14:textId="77777777" w:rsidTr="002416B0">
        <w:trPr>
          <w:trHeight w:val="338"/>
        </w:trPr>
        <w:tc>
          <w:tcPr>
            <w:tcW w:w="2122" w:type="dxa"/>
            <w:vMerge w:val="restart"/>
          </w:tcPr>
          <w:p w14:paraId="2B8D7153" w14:textId="77777777" w:rsidR="002416B0" w:rsidRPr="00BE06F2" w:rsidRDefault="002416B0" w:rsidP="002416B0">
            <w:pPr>
              <w:jc w:val="center"/>
            </w:pPr>
          </w:p>
        </w:tc>
        <w:tc>
          <w:tcPr>
            <w:tcW w:w="2419" w:type="dxa"/>
            <w:shd w:val="clear" w:color="auto" w:fill="auto"/>
          </w:tcPr>
          <w:p w14:paraId="6C4150D8" w14:textId="77777777" w:rsidR="002416B0" w:rsidRPr="00BE06F2" w:rsidRDefault="002416B0" w:rsidP="002416B0">
            <w:pPr>
              <w:pStyle w:val="ListParagraph"/>
              <w:numPr>
                <w:ilvl w:val="0"/>
                <w:numId w:val="2"/>
              </w:numPr>
              <w:jc w:val="both"/>
            </w:pPr>
            <w:proofErr w:type="spellStart"/>
            <w:r w:rsidRPr="00BE06F2">
              <w:t>Thaba-Moea</w:t>
            </w:r>
            <w:proofErr w:type="spellEnd"/>
            <w:r w:rsidRPr="00BE06F2">
              <w:t xml:space="preserve"> </w:t>
            </w:r>
          </w:p>
        </w:tc>
        <w:tc>
          <w:tcPr>
            <w:tcW w:w="1266" w:type="dxa"/>
            <w:shd w:val="clear" w:color="auto" w:fill="auto"/>
          </w:tcPr>
          <w:p w14:paraId="20C76A8D" w14:textId="77777777" w:rsidR="002416B0" w:rsidRPr="00BE06F2" w:rsidRDefault="002416B0" w:rsidP="002416B0">
            <w:pPr>
              <w:jc w:val="both"/>
            </w:pPr>
            <w:r w:rsidRPr="00BE06F2">
              <w:t>12,807</w:t>
            </w:r>
          </w:p>
        </w:tc>
        <w:tc>
          <w:tcPr>
            <w:tcW w:w="1418" w:type="dxa"/>
            <w:shd w:val="clear" w:color="auto" w:fill="auto"/>
          </w:tcPr>
          <w:p w14:paraId="1D4F7546" w14:textId="77777777" w:rsidR="002416B0" w:rsidRPr="00BE06F2" w:rsidRDefault="002416B0" w:rsidP="002416B0">
            <w:pPr>
              <w:jc w:val="both"/>
            </w:pPr>
            <w:r w:rsidRPr="00BE06F2">
              <w:t>15,507</w:t>
            </w:r>
          </w:p>
        </w:tc>
        <w:tc>
          <w:tcPr>
            <w:tcW w:w="1559" w:type="dxa"/>
            <w:shd w:val="clear" w:color="auto" w:fill="auto"/>
          </w:tcPr>
          <w:p w14:paraId="0C52ADF0" w14:textId="77777777" w:rsidR="002416B0" w:rsidRPr="00BE06F2" w:rsidRDefault="002416B0" w:rsidP="002416B0">
            <w:pPr>
              <w:jc w:val="center"/>
            </w:pPr>
            <w:r w:rsidRPr="00BE06F2">
              <w:t>17,058</w:t>
            </w:r>
          </w:p>
        </w:tc>
        <w:tc>
          <w:tcPr>
            <w:tcW w:w="1559" w:type="dxa"/>
            <w:shd w:val="clear" w:color="auto" w:fill="auto"/>
          </w:tcPr>
          <w:p w14:paraId="5AE789CE" w14:textId="77777777" w:rsidR="002416B0" w:rsidRPr="00BE06F2" w:rsidRDefault="002416B0" w:rsidP="002416B0">
            <w:pPr>
              <w:jc w:val="center"/>
            </w:pPr>
            <w:r w:rsidRPr="00BE06F2">
              <w:t>13,956</w:t>
            </w:r>
          </w:p>
        </w:tc>
        <w:tc>
          <w:tcPr>
            <w:tcW w:w="1975" w:type="dxa"/>
            <w:shd w:val="clear" w:color="auto" w:fill="auto"/>
          </w:tcPr>
          <w:p w14:paraId="7F9E97D2" w14:textId="77777777" w:rsidR="002416B0" w:rsidRPr="002416B0" w:rsidRDefault="002416B0" w:rsidP="002416B0">
            <w:pPr>
              <w:jc w:val="center"/>
              <w:rPr>
                <w:b/>
                <w:bCs/>
              </w:rPr>
            </w:pPr>
            <w:r w:rsidRPr="002416B0">
              <w:rPr>
                <w:b/>
                <w:bCs/>
              </w:rPr>
              <w:t>No</w:t>
            </w:r>
          </w:p>
        </w:tc>
      </w:tr>
      <w:bookmarkEnd w:id="4"/>
      <w:tr w:rsidR="002416B0" w14:paraId="57AACFEC" w14:textId="77777777" w:rsidTr="002416B0">
        <w:trPr>
          <w:trHeight w:val="338"/>
        </w:trPr>
        <w:tc>
          <w:tcPr>
            <w:tcW w:w="2122" w:type="dxa"/>
            <w:vMerge/>
          </w:tcPr>
          <w:p w14:paraId="071F4EA0" w14:textId="77777777" w:rsidR="002416B0" w:rsidRPr="00BE06F2" w:rsidRDefault="002416B0" w:rsidP="002416B0">
            <w:pPr>
              <w:jc w:val="center"/>
            </w:pPr>
          </w:p>
        </w:tc>
        <w:tc>
          <w:tcPr>
            <w:tcW w:w="2419" w:type="dxa"/>
            <w:shd w:val="clear" w:color="auto" w:fill="auto"/>
          </w:tcPr>
          <w:p w14:paraId="57180E9E" w14:textId="77777777" w:rsidR="002416B0" w:rsidRPr="00BE06F2" w:rsidRDefault="002416B0" w:rsidP="002416B0">
            <w:pPr>
              <w:pStyle w:val="ListParagraph"/>
              <w:numPr>
                <w:ilvl w:val="0"/>
                <w:numId w:val="2"/>
              </w:numPr>
              <w:jc w:val="both"/>
            </w:pPr>
            <w:proofErr w:type="spellStart"/>
            <w:r>
              <w:t>Thaba</w:t>
            </w:r>
            <w:proofErr w:type="spellEnd"/>
            <w:r>
              <w:t xml:space="preserve">- </w:t>
            </w:r>
            <w:proofErr w:type="spellStart"/>
            <w:r>
              <w:t>Tseka</w:t>
            </w:r>
            <w:proofErr w:type="spellEnd"/>
          </w:p>
        </w:tc>
        <w:tc>
          <w:tcPr>
            <w:tcW w:w="1266" w:type="dxa"/>
            <w:shd w:val="clear" w:color="auto" w:fill="auto"/>
          </w:tcPr>
          <w:p w14:paraId="50F5A099" w14:textId="77777777" w:rsidR="002416B0" w:rsidRPr="00BE06F2" w:rsidRDefault="002416B0" w:rsidP="002416B0">
            <w:pPr>
              <w:jc w:val="both"/>
            </w:pPr>
            <w:r>
              <w:t>16,834</w:t>
            </w:r>
          </w:p>
        </w:tc>
        <w:tc>
          <w:tcPr>
            <w:tcW w:w="1418" w:type="dxa"/>
            <w:shd w:val="clear" w:color="auto" w:fill="auto"/>
          </w:tcPr>
          <w:p w14:paraId="7A1EFCFF" w14:textId="77777777" w:rsidR="002416B0" w:rsidRPr="00BE06F2" w:rsidRDefault="002416B0" w:rsidP="002416B0">
            <w:pPr>
              <w:jc w:val="both"/>
            </w:pPr>
            <w:r w:rsidRPr="00BE06F2">
              <w:t>15,507</w:t>
            </w:r>
          </w:p>
        </w:tc>
        <w:tc>
          <w:tcPr>
            <w:tcW w:w="1559" w:type="dxa"/>
            <w:shd w:val="clear" w:color="auto" w:fill="auto"/>
          </w:tcPr>
          <w:p w14:paraId="11DCC6AA" w14:textId="77777777" w:rsidR="002416B0" w:rsidRPr="00BE06F2" w:rsidRDefault="002416B0" w:rsidP="002416B0">
            <w:pPr>
              <w:jc w:val="center"/>
            </w:pPr>
            <w:r w:rsidRPr="00BE06F2">
              <w:t>17,058</w:t>
            </w:r>
          </w:p>
        </w:tc>
        <w:tc>
          <w:tcPr>
            <w:tcW w:w="1559" w:type="dxa"/>
            <w:shd w:val="clear" w:color="auto" w:fill="auto"/>
          </w:tcPr>
          <w:p w14:paraId="5DBE1D54" w14:textId="77777777" w:rsidR="002416B0" w:rsidRPr="00BE06F2" w:rsidRDefault="002416B0" w:rsidP="002416B0">
            <w:pPr>
              <w:jc w:val="center"/>
            </w:pPr>
            <w:r w:rsidRPr="00BE06F2">
              <w:t>13,956</w:t>
            </w:r>
          </w:p>
        </w:tc>
        <w:tc>
          <w:tcPr>
            <w:tcW w:w="1975" w:type="dxa"/>
            <w:shd w:val="clear" w:color="auto" w:fill="auto"/>
          </w:tcPr>
          <w:p w14:paraId="61781AD9" w14:textId="77777777" w:rsidR="002416B0" w:rsidRPr="002416B0" w:rsidRDefault="002416B0" w:rsidP="002416B0">
            <w:pPr>
              <w:jc w:val="center"/>
              <w:rPr>
                <w:b/>
                <w:bCs/>
              </w:rPr>
            </w:pPr>
            <w:r w:rsidRPr="002416B0">
              <w:rPr>
                <w:b/>
                <w:bCs/>
              </w:rPr>
              <w:t>Yes</w:t>
            </w:r>
          </w:p>
        </w:tc>
      </w:tr>
      <w:tr w:rsidR="002416B0" w14:paraId="200076D3" w14:textId="77777777" w:rsidTr="002416B0">
        <w:trPr>
          <w:trHeight w:val="338"/>
        </w:trPr>
        <w:tc>
          <w:tcPr>
            <w:tcW w:w="2122" w:type="dxa"/>
            <w:vMerge/>
          </w:tcPr>
          <w:p w14:paraId="4EF76973" w14:textId="77777777" w:rsidR="002416B0" w:rsidRPr="00BE06F2" w:rsidRDefault="002416B0" w:rsidP="002416B0">
            <w:pPr>
              <w:jc w:val="center"/>
            </w:pPr>
          </w:p>
        </w:tc>
        <w:tc>
          <w:tcPr>
            <w:tcW w:w="2419" w:type="dxa"/>
            <w:shd w:val="clear" w:color="auto" w:fill="auto"/>
          </w:tcPr>
          <w:p w14:paraId="04953D05" w14:textId="77777777" w:rsidR="002416B0" w:rsidRDefault="002416B0" w:rsidP="002416B0">
            <w:pPr>
              <w:pStyle w:val="ListParagraph"/>
              <w:numPr>
                <w:ilvl w:val="0"/>
                <w:numId w:val="2"/>
              </w:numPr>
              <w:jc w:val="both"/>
            </w:pPr>
            <w:proofErr w:type="spellStart"/>
            <w:r>
              <w:t>Semena</w:t>
            </w:r>
            <w:proofErr w:type="spellEnd"/>
          </w:p>
        </w:tc>
        <w:tc>
          <w:tcPr>
            <w:tcW w:w="1266" w:type="dxa"/>
            <w:shd w:val="clear" w:color="auto" w:fill="auto"/>
          </w:tcPr>
          <w:p w14:paraId="6C528CEE" w14:textId="77777777" w:rsidR="002416B0" w:rsidRDefault="002416B0" w:rsidP="002416B0">
            <w:pPr>
              <w:jc w:val="both"/>
            </w:pPr>
            <w:r>
              <w:t>16,843</w:t>
            </w:r>
          </w:p>
        </w:tc>
        <w:tc>
          <w:tcPr>
            <w:tcW w:w="1418" w:type="dxa"/>
            <w:shd w:val="clear" w:color="auto" w:fill="auto"/>
          </w:tcPr>
          <w:p w14:paraId="35F5756E" w14:textId="77777777" w:rsidR="002416B0" w:rsidRPr="00BE06F2" w:rsidRDefault="002416B0" w:rsidP="002416B0">
            <w:pPr>
              <w:jc w:val="both"/>
            </w:pPr>
            <w:r w:rsidRPr="00BE06F2">
              <w:t>15,507</w:t>
            </w:r>
          </w:p>
        </w:tc>
        <w:tc>
          <w:tcPr>
            <w:tcW w:w="1559" w:type="dxa"/>
            <w:shd w:val="clear" w:color="auto" w:fill="auto"/>
          </w:tcPr>
          <w:p w14:paraId="24A6D740" w14:textId="77777777" w:rsidR="002416B0" w:rsidRPr="00BE06F2" w:rsidRDefault="002416B0" w:rsidP="002416B0">
            <w:pPr>
              <w:jc w:val="center"/>
            </w:pPr>
            <w:r w:rsidRPr="00BE06F2">
              <w:t>17,058</w:t>
            </w:r>
          </w:p>
        </w:tc>
        <w:tc>
          <w:tcPr>
            <w:tcW w:w="1559" w:type="dxa"/>
            <w:shd w:val="clear" w:color="auto" w:fill="auto"/>
          </w:tcPr>
          <w:p w14:paraId="2F9C875F" w14:textId="77777777" w:rsidR="002416B0" w:rsidRPr="00BE06F2" w:rsidRDefault="002416B0" w:rsidP="002416B0">
            <w:pPr>
              <w:jc w:val="center"/>
            </w:pPr>
            <w:r w:rsidRPr="00BE06F2">
              <w:t>13,956</w:t>
            </w:r>
          </w:p>
        </w:tc>
        <w:tc>
          <w:tcPr>
            <w:tcW w:w="1975" w:type="dxa"/>
            <w:shd w:val="clear" w:color="auto" w:fill="auto"/>
          </w:tcPr>
          <w:p w14:paraId="2302082D" w14:textId="77777777" w:rsidR="002416B0" w:rsidRDefault="002416B0" w:rsidP="002416B0">
            <w:pPr>
              <w:jc w:val="center"/>
            </w:pPr>
            <w:r>
              <w:t>Yes</w:t>
            </w:r>
          </w:p>
        </w:tc>
      </w:tr>
      <w:tr w:rsidR="002416B0" w14:paraId="75D7ADF5" w14:textId="77777777" w:rsidTr="002416B0">
        <w:trPr>
          <w:trHeight w:val="455"/>
        </w:trPr>
        <w:tc>
          <w:tcPr>
            <w:tcW w:w="2122" w:type="dxa"/>
            <w:vMerge/>
          </w:tcPr>
          <w:p w14:paraId="4CDB3346" w14:textId="77777777" w:rsidR="002416B0" w:rsidRPr="00BE06F2" w:rsidRDefault="002416B0" w:rsidP="002416B0">
            <w:pPr>
              <w:jc w:val="center"/>
            </w:pPr>
          </w:p>
        </w:tc>
        <w:tc>
          <w:tcPr>
            <w:tcW w:w="2419" w:type="dxa"/>
            <w:shd w:val="clear" w:color="auto" w:fill="auto"/>
          </w:tcPr>
          <w:p w14:paraId="104AEE3B" w14:textId="77777777" w:rsidR="002416B0" w:rsidRDefault="002416B0" w:rsidP="002416B0">
            <w:pPr>
              <w:pStyle w:val="ListParagraph"/>
              <w:numPr>
                <w:ilvl w:val="0"/>
                <w:numId w:val="2"/>
              </w:numPr>
              <w:jc w:val="both"/>
            </w:pPr>
            <w:proofErr w:type="spellStart"/>
            <w:r>
              <w:t>Mashai</w:t>
            </w:r>
            <w:proofErr w:type="spellEnd"/>
          </w:p>
        </w:tc>
        <w:tc>
          <w:tcPr>
            <w:tcW w:w="1266" w:type="dxa"/>
            <w:shd w:val="clear" w:color="auto" w:fill="auto"/>
          </w:tcPr>
          <w:p w14:paraId="25A21332" w14:textId="77777777" w:rsidR="002416B0" w:rsidRDefault="002416B0" w:rsidP="002416B0">
            <w:pPr>
              <w:jc w:val="both"/>
            </w:pPr>
            <w:r>
              <w:t>14,521</w:t>
            </w:r>
          </w:p>
        </w:tc>
        <w:tc>
          <w:tcPr>
            <w:tcW w:w="1418" w:type="dxa"/>
            <w:shd w:val="clear" w:color="auto" w:fill="auto"/>
          </w:tcPr>
          <w:p w14:paraId="55C71CC3" w14:textId="77777777" w:rsidR="002416B0" w:rsidRPr="00BE06F2" w:rsidRDefault="002416B0" w:rsidP="002416B0">
            <w:pPr>
              <w:jc w:val="both"/>
            </w:pPr>
            <w:r w:rsidRPr="00BE06F2">
              <w:t>15,507</w:t>
            </w:r>
          </w:p>
        </w:tc>
        <w:tc>
          <w:tcPr>
            <w:tcW w:w="1559" w:type="dxa"/>
            <w:shd w:val="clear" w:color="auto" w:fill="auto"/>
          </w:tcPr>
          <w:p w14:paraId="52A73623" w14:textId="77777777" w:rsidR="002416B0" w:rsidRPr="00BE06F2" w:rsidRDefault="002416B0" w:rsidP="002416B0">
            <w:pPr>
              <w:jc w:val="center"/>
            </w:pPr>
            <w:r w:rsidRPr="00BE06F2">
              <w:t>17,058</w:t>
            </w:r>
          </w:p>
        </w:tc>
        <w:tc>
          <w:tcPr>
            <w:tcW w:w="1559" w:type="dxa"/>
            <w:shd w:val="clear" w:color="auto" w:fill="auto"/>
          </w:tcPr>
          <w:p w14:paraId="73D4B9A0" w14:textId="77777777" w:rsidR="002416B0" w:rsidRPr="00BE06F2" w:rsidRDefault="002416B0" w:rsidP="002416B0">
            <w:pPr>
              <w:jc w:val="center"/>
            </w:pPr>
            <w:r w:rsidRPr="00BE06F2">
              <w:t>13,956</w:t>
            </w:r>
          </w:p>
        </w:tc>
        <w:tc>
          <w:tcPr>
            <w:tcW w:w="1975" w:type="dxa"/>
            <w:shd w:val="clear" w:color="auto" w:fill="auto"/>
          </w:tcPr>
          <w:p w14:paraId="42E211F5" w14:textId="77777777" w:rsidR="002416B0" w:rsidRDefault="002416B0" w:rsidP="002416B0">
            <w:pPr>
              <w:jc w:val="center"/>
            </w:pPr>
            <w:r>
              <w:t>Yes</w:t>
            </w:r>
          </w:p>
        </w:tc>
      </w:tr>
      <w:tr w:rsidR="002416B0" w14:paraId="4CA0DF58" w14:textId="77777777" w:rsidTr="002416B0">
        <w:trPr>
          <w:trHeight w:val="338"/>
        </w:trPr>
        <w:tc>
          <w:tcPr>
            <w:tcW w:w="2122" w:type="dxa"/>
          </w:tcPr>
          <w:p w14:paraId="6E39748E" w14:textId="77777777" w:rsidR="002416B0" w:rsidRPr="00C523B0" w:rsidRDefault="002416B0" w:rsidP="002416B0">
            <w:pPr>
              <w:jc w:val="center"/>
              <w:rPr>
                <w:b/>
                <w:bCs/>
              </w:rPr>
            </w:pPr>
            <w:r w:rsidRPr="00C523B0">
              <w:rPr>
                <w:b/>
                <w:bCs/>
              </w:rPr>
              <w:t xml:space="preserve">Mokhotlong  </w:t>
            </w:r>
          </w:p>
        </w:tc>
        <w:tc>
          <w:tcPr>
            <w:tcW w:w="2419" w:type="dxa"/>
            <w:shd w:val="clear" w:color="auto" w:fill="auto"/>
          </w:tcPr>
          <w:p w14:paraId="2D3962CC" w14:textId="77777777" w:rsidR="002416B0" w:rsidRDefault="002416B0" w:rsidP="002416B0">
            <w:pPr>
              <w:pStyle w:val="ListParagraph"/>
              <w:numPr>
                <w:ilvl w:val="0"/>
                <w:numId w:val="2"/>
              </w:numPr>
              <w:jc w:val="both"/>
            </w:pPr>
            <w:proofErr w:type="spellStart"/>
            <w:r>
              <w:t>Malingoaneng</w:t>
            </w:r>
            <w:proofErr w:type="spellEnd"/>
          </w:p>
        </w:tc>
        <w:tc>
          <w:tcPr>
            <w:tcW w:w="1266" w:type="dxa"/>
            <w:shd w:val="clear" w:color="auto" w:fill="auto"/>
          </w:tcPr>
          <w:p w14:paraId="0D9005A7" w14:textId="77777777" w:rsidR="002416B0" w:rsidRDefault="002416B0" w:rsidP="002416B0">
            <w:pPr>
              <w:jc w:val="both"/>
            </w:pPr>
            <w:r>
              <w:t>14,371</w:t>
            </w:r>
          </w:p>
        </w:tc>
        <w:tc>
          <w:tcPr>
            <w:tcW w:w="1418" w:type="dxa"/>
            <w:shd w:val="clear" w:color="auto" w:fill="auto"/>
          </w:tcPr>
          <w:p w14:paraId="69358D77" w14:textId="77777777" w:rsidR="002416B0" w:rsidRPr="00BE06F2" w:rsidRDefault="002416B0" w:rsidP="002416B0">
            <w:pPr>
              <w:jc w:val="both"/>
            </w:pPr>
            <w:r w:rsidRPr="00BE06F2">
              <w:t>15,507</w:t>
            </w:r>
          </w:p>
        </w:tc>
        <w:tc>
          <w:tcPr>
            <w:tcW w:w="1559" w:type="dxa"/>
            <w:shd w:val="clear" w:color="auto" w:fill="auto"/>
          </w:tcPr>
          <w:p w14:paraId="4680F81B" w14:textId="77777777" w:rsidR="002416B0" w:rsidRPr="00BE06F2" w:rsidRDefault="002416B0" w:rsidP="002416B0">
            <w:pPr>
              <w:jc w:val="center"/>
            </w:pPr>
            <w:r w:rsidRPr="00BE06F2">
              <w:t>17,058</w:t>
            </w:r>
          </w:p>
        </w:tc>
        <w:tc>
          <w:tcPr>
            <w:tcW w:w="1559" w:type="dxa"/>
            <w:shd w:val="clear" w:color="auto" w:fill="auto"/>
          </w:tcPr>
          <w:p w14:paraId="5CBAF089" w14:textId="77777777" w:rsidR="002416B0" w:rsidRPr="00BE06F2" w:rsidRDefault="002416B0" w:rsidP="002416B0">
            <w:pPr>
              <w:jc w:val="center"/>
            </w:pPr>
            <w:r w:rsidRPr="00BE06F2">
              <w:t>13,956</w:t>
            </w:r>
          </w:p>
        </w:tc>
        <w:tc>
          <w:tcPr>
            <w:tcW w:w="1975" w:type="dxa"/>
            <w:shd w:val="clear" w:color="auto" w:fill="auto"/>
          </w:tcPr>
          <w:p w14:paraId="0AAA919D" w14:textId="77777777" w:rsidR="002416B0" w:rsidRDefault="002416B0" w:rsidP="002416B0">
            <w:pPr>
              <w:jc w:val="center"/>
            </w:pPr>
            <w:r>
              <w:t>Yes</w:t>
            </w:r>
          </w:p>
        </w:tc>
      </w:tr>
      <w:tr w:rsidR="002416B0" w14:paraId="5C900DD9" w14:textId="77777777" w:rsidTr="002416B0">
        <w:trPr>
          <w:trHeight w:val="338"/>
        </w:trPr>
        <w:tc>
          <w:tcPr>
            <w:tcW w:w="2122" w:type="dxa"/>
            <w:vMerge w:val="restart"/>
          </w:tcPr>
          <w:p w14:paraId="52A50C5B" w14:textId="77777777" w:rsidR="002416B0" w:rsidRPr="00BE06F2" w:rsidRDefault="002416B0" w:rsidP="002416B0">
            <w:pPr>
              <w:jc w:val="center"/>
            </w:pPr>
          </w:p>
        </w:tc>
        <w:tc>
          <w:tcPr>
            <w:tcW w:w="2419" w:type="dxa"/>
            <w:shd w:val="clear" w:color="auto" w:fill="auto"/>
          </w:tcPr>
          <w:p w14:paraId="20D7F3A6" w14:textId="77777777" w:rsidR="002416B0" w:rsidRDefault="002416B0" w:rsidP="002416B0">
            <w:pPr>
              <w:pStyle w:val="ListParagraph"/>
              <w:numPr>
                <w:ilvl w:val="0"/>
                <w:numId w:val="2"/>
              </w:numPr>
              <w:jc w:val="both"/>
            </w:pPr>
            <w:proofErr w:type="spellStart"/>
            <w:r>
              <w:t>Senqu</w:t>
            </w:r>
            <w:proofErr w:type="spellEnd"/>
          </w:p>
        </w:tc>
        <w:tc>
          <w:tcPr>
            <w:tcW w:w="1266" w:type="dxa"/>
            <w:shd w:val="clear" w:color="auto" w:fill="auto"/>
          </w:tcPr>
          <w:p w14:paraId="17AAF30F" w14:textId="77777777" w:rsidR="002416B0" w:rsidRDefault="002416B0" w:rsidP="002416B0">
            <w:pPr>
              <w:jc w:val="both"/>
            </w:pPr>
            <w:r>
              <w:t>14,077</w:t>
            </w:r>
          </w:p>
        </w:tc>
        <w:tc>
          <w:tcPr>
            <w:tcW w:w="1418" w:type="dxa"/>
            <w:shd w:val="clear" w:color="auto" w:fill="auto"/>
          </w:tcPr>
          <w:p w14:paraId="143B526E" w14:textId="77777777" w:rsidR="002416B0" w:rsidRPr="00BE06F2" w:rsidRDefault="002416B0" w:rsidP="002416B0">
            <w:pPr>
              <w:jc w:val="both"/>
            </w:pPr>
            <w:r w:rsidRPr="00BE06F2">
              <w:t>15,507</w:t>
            </w:r>
          </w:p>
        </w:tc>
        <w:tc>
          <w:tcPr>
            <w:tcW w:w="1559" w:type="dxa"/>
            <w:shd w:val="clear" w:color="auto" w:fill="auto"/>
          </w:tcPr>
          <w:p w14:paraId="42D6007B" w14:textId="77777777" w:rsidR="002416B0" w:rsidRPr="00BE06F2" w:rsidRDefault="002416B0" w:rsidP="002416B0">
            <w:pPr>
              <w:jc w:val="center"/>
            </w:pPr>
            <w:r w:rsidRPr="00BE06F2">
              <w:t>17,058</w:t>
            </w:r>
          </w:p>
        </w:tc>
        <w:tc>
          <w:tcPr>
            <w:tcW w:w="1559" w:type="dxa"/>
            <w:shd w:val="clear" w:color="auto" w:fill="auto"/>
          </w:tcPr>
          <w:p w14:paraId="26DD4334" w14:textId="77777777" w:rsidR="002416B0" w:rsidRPr="00BE06F2" w:rsidRDefault="002416B0" w:rsidP="002416B0">
            <w:pPr>
              <w:jc w:val="center"/>
            </w:pPr>
            <w:r w:rsidRPr="00BE06F2">
              <w:t>13,956</w:t>
            </w:r>
          </w:p>
        </w:tc>
        <w:tc>
          <w:tcPr>
            <w:tcW w:w="1975" w:type="dxa"/>
            <w:shd w:val="clear" w:color="auto" w:fill="auto"/>
          </w:tcPr>
          <w:p w14:paraId="1167F789" w14:textId="77777777" w:rsidR="002416B0" w:rsidRDefault="002416B0" w:rsidP="002416B0">
            <w:pPr>
              <w:jc w:val="center"/>
            </w:pPr>
            <w:r>
              <w:t>Yes</w:t>
            </w:r>
          </w:p>
        </w:tc>
      </w:tr>
      <w:tr w:rsidR="002416B0" w14:paraId="5A3063BB" w14:textId="77777777" w:rsidTr="002416B0">
        <w:trPr>
          <w:trHeight w:val="338"/>
        </w:trPr>
        <w:tc>
          <w:tcPr>
            <w:tcW w:w="2122" w:type="dxa"/>
            <w:vMerge/>
          </w:tcPr>
          <w:p w14:paraId="1D7017D3" w14:textId="77777777" w:rsidR="002416B0" w:rsidRPr="00BE06F2" w:rsidRDefault="002416B0" w:rsidP="002416B0">
            <w:pPr>
              <w:jc w:val="center"/>
            </w:pPr>
          </w:p>
        </w:tc>
        <w:tc>
          <w:tcPr>
            <w:tcW w:w="2419" w:type="dxa"/>
            <w:shd w:val="clear" w:color="auto" w:fill="auto"/>
          </w:tcPr>
          <w:p w14:paraId="704EB2E5" w14:textId="77777777" w:rsidR="002416B0" w:rsidRDefault="002416B0" w:rsidP="002416B0">
            <w:pPr>
              <w:pStyle w:val="ListParagraph"/>
              <w:numPr>
                <w:ilvl w:val="0"/>
                <w:numId w:val="2"/>
              </w:numPr>
              <w:jc w:val="both"/>
            </w:pPr>
            <w:r>
              <w:t>Mokhotlong</w:t>
            </w:r>
          </w:p>
        </w:tc>
        <w:tc>
          <w:tcPr>
            <w:tcW w:w="1266" w:type="dxa"/>
            <w:shd w:val="clear" w:color="auto" w:fill="auto"/>
          </w:tcPr>
          <w:p w14:paraId="1631F2B4" w14:textId="77777777" w:rsidR="002416B0" w:rsidRDefault="002416B0" w:rsidP="002416B0">
            <w:pPr>
              <w:jc w:val="both"/>
            </w:pPr>
            <w:r>
              <w:t>14,422</w:t>
            </w:r>
          </w:p>
        </w:tc>
        <w:tc>
          <w:tcPr>
            <w:tcW w:w="1418" w:type="dxa"/>
            <w:shd w:val="clear" w:color="auto" w:fill="auto"/>
          </w:tcPr>
          <w:p w14:paraId="1538B271" w14:textId="77777777" w:rsidR="002416B0" w:rsidRPr="00BE06F2" w:rsidRDefault="002416B0" w:rsidP="002416B0">
            <w:pPr>
              <w:jc w:val="both"/>
            </w:pPr>
            <w:r w:rsidRPr="00BE06F2">
              <w:t>15,507</w:t>
            </w:r>
          </w:p>
        </w:tc>
        <w:tc>
          <w:tcPr>
            <w:tcW w:w="1559" w:type="dxa"/>
            <w:shd w:val="clear" w:color="auto" w:fill="auto"/>
          </w:tcPr>
          <w:p w14:paraId="3B2264BB" w14:textId="77777777" w:rsidR="002416B0" w:rsidRPr="00BE06F2" w:rsidRDefault="002416B0" w:rsidP="002416B0">
            <w:pPr>
              <w:jc w:val="center"/>
            </w:pPr>
            <w:r w:rsidRPr="00BE06F2">
              <w:t>17,058</w:t>
            </w:r>
          </w:p>
        </w:tc>
        <w:tc>
          <w:tcPr>
            <w:tcW w:w="1559" w:type="dxa"/>
            <w:shd w:val="clear" w:color="auto" w:fill="auto"/>
          </w:tcPr>
          <w:p w14:paraId="317F1EF2" w14:textId="77777777" w:rsidR="002416B0" w:rsidRPr="00BE06F2" w:rsidRDefault="002416B0" w:rsidP="002416B0">
            <w:pPr>
              <w:jc w:val="center"/>
            </w:pPr>
            <w:r w:rsidRPr="00BE06F2">
              <w:t>13,956</w:t>
            </w:r>
          </w:p>
        </w:tc>
        <w:tc>
          <w:tcPr>
            <w:tcW w:w="1975" w:type="dxa"/>
            <w:shd w:val="clear" w:color="auto" w:fill="auto"/>
          </w:tcPr>
          <w:p w14:paraId="74D2E88D" w14:textId="77777777" w:rsidR="002416B0" w:rsidRDefault="002416B0" w:rsidP="002416B0">
            <w:pPr>
              <w:jc w:val="center"/>
            </w:pPr>
            <w:r>
              <w:t>Yes</w:t>
            </w:r>
          </w:p>
        </w:tc>
      </w:tr>
      <w:tr w:rsidR="002416B0" w14:paraId="6F7255A1" w14:textId="77777777" w:rsidTr="002416B0">
        <w:trPr>
          <w:trHeight w:val="338"/>
        </w:trPr>
        <w:tc>
          <w:tcPr>
            <w:tcW w:w="2122" w:type="dxa"/>
            <w:vMerge/>
          </w:tcPr>
          <w:p w14:paraId="0D6ED62D" w14:textId="77777777" w:rsidR="002416B0" w:rsidRPr="00BE06F2" w:rsidRDefault="002416B0" w:rsidP="002416B0">
            <w:pPr>
              <w:jc w:val="center"/>
            </w:pPr>
          </w:p>
        </w:tc>
        <w:tc>
          <w:tcPr>
            <w:tcW w:w="2419" w:type="dxa"/>
            <w:shd w:val="clear" w:color="auto" w:fill="auto"/>
          </w:tcPr>
          <w:p w14:paraId="701B3CA2" w14:textId="77777777" w:rsidR="002416B0" w:rsidRPr="00DD2A69" w:rsidRDefault="002416B0" w:rsidP="002416B0">
            <w:pPr>
              <w:pStyle w:val="ListParagraph"/>
              <w:numPr>
                <w:ilvl w:val="0"/>
                <w:numId w:val="2"/>
              </w:numPr>
              <w:jc w:val="both"/>
              <w:rPr>
                <w:b/>
                <w:bCs/>
              </w:rPr>
            </w:pPr>
            <w:proofErr w:type="spellStart"/>
            <w:r w:rsidRPr="00DD2A69">
              <w:rPr>
                <w:b/>
                <w:bCs/>
              </w:rPr>
              <w:t>Bobatsi</w:t>
            </w:r>
            <w:proofErr w:type="spellEnd"/>
            <w:r w:rsidRPr="00DD2A69">
              <w:rPr>
                <w:b/>
                <w:bCs/>
              </w:rPr>
              <w:t xml:space="preserve"> </w:t>
            </w:r>
          </w:p>
        </w:tc>
        <w:tc>
          <w:tcPr>
            <w:tcW w:w="1266" w:type="dxa"/>
            <w:shd w:val="clear" w:color="auto" w:fill="auto"/>
          </w:tcPr>
          <w:p w14:paraId="5FF20D35" w14:textId="77777777" w:rsidR="002416B0" w:rsidRPr="00DD2A69" w:rsidRDefault="002416B0" w:rsidP="002416B0">
            <w:pPr>
              <w:jc w:val="both"/>
              <w:rPr>
                <w:b/>
                <w:bCs/>
              </w:rPr>
            </w:pPr>
            <w:r w:rsidRPr="00DD2A69">
              <w:rPr>
                <w:b/>
                <w:bCs/>
              </w:rPr>
              <w:t>13,070</w:t>
            </w:r>
          </w:p>
        </w:tc>
        <w:tc>
          <w:tcPr>
            <w:tcW w:w="1418" w:type="dxa"/>
            <w:shd w:val="clear" w:color="auto" w:fill="auto"/>
          </w:tcPr>
          <w:p w14:paraId="63F19BEB" w14:textId="77777777" w:rsidR="002416B0" w:rsidRPr="00DD2A69" w:rsidRDefault="002416B0" w:rsidP="002416B0">
            <w:pPr>
              <w:jc w:val="both"/>
              <w:rPr>
                <w:b/>
                <w:bCs/>
              </w:rPr>
            </w:pPr>
            <w:r w:rsidRPr="00DD2A69">
              <w:rPr>
                <w:b/>
                <w:bCs/>
              </w:rPr>
              <w:t>15,507</w:t>
            </w:r>
          </w:p>
        </w:tc>
        <w:tc>
          <w:tcPr>
            <w:tcW w:w="1559" w:type="dxa"/>
            <w:shd w:val="clear" w:color="auto" w:fill="auto"/>
          </w:tcPr>
          <w:p w14:paraId="46F77544" w14:textId="77777777" w:rsidR="002416B0" w:rsidRPr="00DD2A69" w:rsidRDefault="002416B0" w:rsidP="002416B0">
            <w:pPr>
              <w:jc w:val="center"/>
              <w:rPr>
                <w:b/>
                <w:bCs/>
              </w:rPr>
            </w:pPr>
            <w:r w:rsidRPr="00DD2A69">
              <w:rPr>
                <w:b/>
                <w:bCs/>
              </w:rPr>
              <w:t>17,058</w:t>
            </w:r>
          </w:p>
        </w:tc>
        <w:tc>
          <w:tcPr>
            <w:tcW w:w="1559" w:type="dxa"/>
            <w:shd w:val="clear" w:color="auto" w:fill="auto"/>
          </w:tcPr>
          <w:p w14:paraId="1E5A84F3" w14:textId="77777777" w:rsidR="002416B0" w:rsidRPr="00DD2A69" w:rsidRDefault="002416B0" w:rsidP="002416B0">
            <w:pPr>
              <w:jc w:val="center"/>
              <w:rPr>
                <w:b/>
                <w:bCs/>
              </w:rPr>
            </w:pPr>
            <w:r w:rsidRPr="00DD2A69">
              <w:rPr>
                <w:b/>
                <w:bCs/>
              </w:rPr>
              <w:t>13,956</w:t>
            </w:r>
          </w:p>
        </w:tc>
        <w:tc>
          <w:tcPr>
            <w:tcW w:w="1975" w:type="dxa"/>
            <w:shd w:val="clear" w:color="auto" w:fill="auto"/>
          </w:tcPr>
          <w:p w14:paraId="11AB308D" w14:textId="77777777" w:rsidR="002416B0" w:rsidRPr="002416B0" w:rsidRDefault="002416B0" w:rsidP="002416B0">
            <w:pPr>
              <w:jc w:val="center"/>
              <w:rPr>
                <w:b/>
                <w:bCs/>
              </w:rPr>
            </w:pPr>
            <w:r w:rsidRPr="002416B0">
              <w:rPr>
                <w:b/>
                <w:bCs/>
              </w:rPr>
              <w:t>No</w:t>
            </w:r>
          </w:p>
        </w:tc>
      </w:tr>
    </w:tbl>
    <w:p w14:paraId="4E05EADE" w14:textId="1C7652C3" w:rsidR="00E077BE" w:rsidRDefault="00E077BE" w:rsidP="00A6029D">
      <w:pPr>
        <w:pStyle w:val="NormalWeb"/>
        <w:shd w:val="clear" w:color="auto" w:fill="FFFFFF"/>
        <w:spacing w:before="144" w:beforeAutospacing="0" w:after="288" w:afterAutospacing="0" w:line="480" w:lineRule="atLeast"/>
        <w:jc w:val="both"/>
        <w:rPr>
          <w:sz w:val="28"/>
          <w:szCs w:val="28"/>
        </w:rPr>
      </w:pPr>
    </w:p>
    <w:p w14:paraId="5A29B4B8" w14:textId="65E67998" w:rsidR="00E077BE" w:rsidRDefault="00E077BE" w:rsidP="00523BD5">
      <w:pPr>
        <w:pStyle w:val="NormalWeb"/>
        <w:shd w:val="clear" w:color="auto" w:fill="FFFFFF"/>
        <w:spacing w:before="144" w:beforeAutospacing="0" w:after="288" w:afterAutospacing="0" w:line="480" w:lineRule="atLeast"/>
        <w:jc w:val="both"/>
        <w:rPr>
          <w:sz w:val="28"/>
          <w:szCs w:val="28"/>
        </w:rPr>
      </w:pPr>
    </w:p>
    <w:p w14:paraId="4DFAB3B4" w14:textId="03C093B7" w:rsidR="002677E3" w:rsidRDefault="002476E5">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743A08">
        <w:rPr>
          <w:sz w:val="28"/>
          <w:szCs w:val="28"/>
        </w:rPr>
        <w:t>5</w:t>
      </w:r>
      <w:r w:rsidR="009206BB">
        <w:rPr>
          <w:sz w:val="28"/>
          <w:szCs w:val="28"/>
        </w:rPr>
        <w:t>5</w:t>
      </w:r>
      <w:r>
        <w:rPr>
          <w:sz w:val="28"/>
          <w:szCs w:val="28"/>
        </w:rPr>
        <w:t>]</w:t>
      </w:r>
      <w:r>
        <w:rPr>
          <w:sz w:val="28"/>
          <w:szCs w:val="28"/>
        </w:rPr>
        <w:tab/>
        <w:t>Th</w:t>
      </w:r>
      <w:r w:rsidR="0017638C">
        <w:rPr>
          <w:sz w:val="28"/>
          <w:szCs w:val="28"/>
        </w:rPr>
        <w:t xml:space="preserve">e highlighted parts of this table show </w:t>
      </w:r>
      <w:r>
        <w:rPr>
          <w:sz w:val="28"/>
          <w:szCs w:val="28"/>
        </w:rPr>
        <w:t>that twenty constituencies are non-compliant in that they are either below or above the population quota by more than ten per</w:t>
      </w:r>
      <w:r w:rsidR="0017638C">
        <w:rPr>
          <w:sz w:val="28"/>
          <w:szCs w:val="28"/>
        </w:rPr>
        <w:t xml:space="preserve"> </w:t>
      </w:r>
      <w:r>
        <w:rPr>
          <w:sz w:val="28"/>
          <w:szCs w:val="28"/>
        </w:rPr>
        <w:t>cent.</w:t>
      </w:r>
      <w:r w:rsidR="006A5F0B">
        <w:rPr>
          <w:sz w:val="28"/>
          <w:szCs w:val="28"/>
        </w:rPr>
        <w:t xml:space="preserve"> </w:t>
      </w:r>
      <w:r>
        <w:rPr>
          <w:sz w:val="28"/>
          <w:szCs w:val="28"/>
        </w:rPr>
        <w:t>T</w:t>
      </w:r>
      <w:r w:rsidR="00523BD5">
        <w:rPr>
          <w:sz w:val="28"/>
          <w:szCs w:val="28"/>
        </w:rPr>
        <w:t>he IEC concedes that</w:t>
      </w:r>
      <w:r w:rsidR="0017638C">
        <w:rPr>
          <w:sz w:val="28"/>
          <w:szCs w:val="28"/>
        </w:rPr>
        <w:t xml:space="preserve"> this is </w:t>
      </w:r>
      <w:proofErr w:type="gramStart"/>
      <w:r w:rsidR="0017638C">
        <w:rPr>
          <w:sz w:val="28"/>
          <w:szCs w:val="28"/>
        </w:rPr>
        <w:t>so</w:t>
      </w:r>
      <w:r>
        <w:rPr>
          <w:sz w:val="28"/>
          <w:szCs w:val="28"/>
        </w:rPr>
        <w:t>,</w:t>
      </w:r>
      <w:r w:rsidR="00A6473A">
        <w:rPr>
          <w:sz w:val="28"/>
          <w:szCs w:val="28"/>
        </w:rPr>
        <w:t xml:space="preserve"> </w:t>
      </w:r>
      <w:r>
        <w:rPr>
          <w:sz w:val="28"/>
          <w:szCs w:val="28"/>
        </w:rPr>
        <w:t xml:space="preserve"> but</w:t>
      </w:r>
      <w:proofErr w:type="gramEnd"/>
      <w:r>
        <w:rPr>
          <w:sz w:val="28"/>
          <w:szCs w:val="28"/>
        </w:rPr>
        <w:t xml:space="preserve"> seeks to</w:t>
      </w:r>
      <w:r w:rsidR="00523BD5">
        <w:rPr>
          <w:sz w:val="28"/>
          <w:szCs w:val="28"/>
        </w:rPr>
        <w:t xml:space="preserve"> justify this non-compliance</w:t>
      </w:r>
      <w:r>
        <w:rPr>
          <w:sz w:val="28"/>
          <w:szCs w:val="28"/>
        </w:rPr>
        <w:t xml:space="preserve"> </w:t>
      </w:r>
      <w:r w:rsidR="00513E98">
        <w:rPr>
          <w:sz w:val="28"/>
          <w:szCs w:val="28"/>
        </w:rPr>
        <w:t xml:space="preserve">in respect of </w:t>
      </w:r>
      <w:r w:rsidR="0017638C">
        <w:rPr>
          <w:sz w:val="28"/>
          <w:szCs w:val="28"/>
        </w:rPr>
        <w:t xml:space="preserve">some and not all. </w:t>
      </w:r>
      <w:r w:rsidR="00523BD5">
        <w:rPr>
          <w:sz w:val="28"/>
          <w:szCs w:val="28"/>
        </w:rPr>
        <w:t xml:space="preserve">  </w:t>
      </w:r>
    </w:p>
    <w:p w14:paraId="0DEF8277" w14:textId="77777777" w:rsidR="00A6473A" w:rsidRDefault="00A6473A">
      <w:pPr>
        <w:pStyle w:val="NormalWeb"/>
        <w:shd w:val="clear" w:color="auto" w:fill="FFFFFF"/>
        <w:spacing w:before="144" w:beforeAutospacing="0" w:after="288" w:afterAutospacing="0" w:line="480" w:lineRule="atLeast"/>
        <w:ind w:left="720" w:hanging="720"/>
        <w:jc w:val="both"/>
        <w:rPr>
          <w:sz w:val="28"/>
          <w:szCs w:val="28"/>
        </w:rPr>
      </w:pPr>
    </w:p>
    <w:p w14:paraId="59ABB94E" w14:textId="386CBE70" w:rsidR="00E077BE" w:rsidRDefault="002677E3">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743A08">
        <w:rPr>
          <w:sz w:val="28"/>
          <w:szCs w:val="28"/>
        </w:rPr>
        <w:t>5</w:t>
      </w:r>
      <w:r w:rsidR="009206BB">
        <w:rPr>
          <w:sz w:val="28"/>
          <w:szCs w:val="28"/>
        </w:rPr>
        <w:t>6</w:t>
      </w:r>
      <w:r>
        <w:rPr>
          <w:sz w:val="28"/>
          <w:szCs w:val="28"/>
        </w:rPr>
        <w:t>]</w:t>
      </w:r>
      <w:r>
        <w:rPr>
          <w:sz w:val="28"/>
          <w:szCs w:val="28"/>
        </w:rPr>
        <w:tab/>
      </w:r>
      <w:r w:rsidR="0017638C">
        <w:rPr>
          <w:sz w:val="28"/>
          <w:szCs w:val="28"/>
        </w:rPr>
        <w:t>T</w:t>
      </w:r>
      <w:r w:rsidR="00513E98">
        <w:rPr>
          <w:sz w:val="28"/>
          <w:szCs w:val="28"/>
        </w:rPr>
        <w:t xml:space="preserve">he reasons for justifying the non – compliance are difficult terrains, </w:t>
      </w:r>
      <w:r w:rsidR="0017638C">
        <w:rPr>
          <w:sz w:val="28"/>
          <w:szCs w:val="28"/>
        </w:rPr>
        <w:t>in</w:t>
      </w:r>
      <w:r w:rsidR="00513E98">
        <w:rPr>
          <w:sz w:val="28"/>
          <w:szCs w:val="28"/>
        </w:rPr>
        <w:t xml:space="preserve">accessibility of services, population sparsity, community conflicts and proximity of employment. All these reasons </w:t>
      </w:r>
      <w:r w:rsidR="0017638C">
        <w:rPr>
          <w:sz w:val="28"/>
          <w:szCs w:val="28"/>
        </w:rPr>
        <w:t xml:space="preserve">fall in the category of factors </w:t>
      </w:r>
      <w:r w:rsidR="00513E98">
        <w:rPr>
          <w:sz w:val="28"/>
          <w:szCs w:val="28"/>
        </w:rPr>
        <w:t>mentioned in section 67(2) (a) to (e). According to the proviso to th</w:t>
      </w:r>
      <w:r w:rsidR="0017638C">
        <w:rPr>
          <w:sz w:val="28"/>
          <w:szCs w:val="28"/>
        </w:rPr>
        <w:t xml:space="preserve">is </w:t>
      </w:r>
      <w:r w:rsidR="00513E98">
        <w:rPr>
          <w:sz w:val="28"/>
          <w:szCs w:val="28"/>
        </w:rPr>
        <w:t>section consideration</w:t>
      </w:r>
      <w:r w:rsidR="0017638C">
        <w:rPr>
          <w:sz w:val="28"/>
          <w:szCs w:val="28"/>
        </w:rPr>
        <w:t xml:space="preserve"> of these factors</w:t>
      </w:r>
      <w:r w:rsidR="00513E98">
        <w:rPr>
          <w:sz w:val="28"/>
          <w:szCs w:val="28"/>
        </w:rPr>
        <w:t xml:space="preserve"> is still subject to the requirement that the ten per</w:t>
      </w:r>
      <w:r w:rsidR="0017638C">
        <w:rPr>
          <w:sz w:val="28"/>
          <w:szCs w:val="28"/>
        </w:rPr>
        <w:t xml:space="preserve"> </w:t>
      </w:r>
      <w:r w:rsidR="00513E98">
        <w:rPr>
          <w:sz w:val="28"/>
          <w:szCs w:val="28"/>
        </w:rPr>
        <w:t xml:space="preserve">cent threshold must still be observed. </w:t>
      </w:r>
      <w:r w:rsidR="00523BD5">
        <w:rPr>
          <w:sz w:val="28"/>
          <w:szCs w:val="28"/>
        </w:rPr>
        <w:t xml:space="preserve">The proviso to section 67(2) is couched in mandatory language </w:t>
      </w:r>
      <w:r w:rsidR="00513E98">
        <w:rPr>
          <w:sz w:val="28"/>
          <w:szCs w:val="28"/>
        </w:rPr>
        <w:t xml:space="preserve">by use of the </w:t>
      </w:r>
      <w:r w:rsidR="00523BD5">
        <w:rPr>
          <w:sz w:val="28"/>
          <w:szCs w:val="28"/>
        </w:rPr>
        <w:t xml:space="preserve">words “shall not exceed or </w:t>
      </w:r>
      <w:r w:rsidR="006A5F0B">
        <w:rPr>
          <w:sz w:val="28"/>
          <w:szCs w:val="28"/>
        </w:rPr>
        <w:t>f</w:t>
      </w:r>
      <w:r w:rsidR="00523BD5">
        <w:rPr>
          <w:sz w:val="28"/>
          <w:szCs w:val="28"/>
        </w:rPr>
        <w:t>all short of the population quota by more than</w:t>
      </w:r>
      <w:r w:rsidR="00513E98">
        <w:rPr>
          <w:sz w:val="28"/>
          <w:szCs w:val="28"/>
        </w:rPr>
        <w:t xml:space="preserve"> ten percent”.</w:t>
      </w:r>
      <w:r w:rsidR="00523BD5">
        <w:rPr>
          <w:sz w:val="28"/>
          <w:szCs w:val="28"/>
        </w:rPr>
        <w:t xml:space="preserve">  This indicates</w:t>
      </w:r>
      <w:r w:rsidR="00B95FED">
        <w:rPr>
          <w:sz w:val="28"/>
          <w:szCs w:val="28"/>
        </w:rPr>
        <w:t xml:space="preserve"> that</w:t>
      </w:r>
      <w:r w:rsidR="00523BD5">
        <w:rPr>
          <w:sz w:val="28"/>
          <w:szCs w:val="28"/>
        </w:rPr>
        <w:t xml:space="preserve"> a red line</w:t>
      </w:r>
      <w:r w:rsidR="0017638C">
        <w:rPr>
          <w:sz w:val="28"/>
          <w:szCs w:val="28"/>
        </w:rPr>
        <w:t xml:space="preserve"> has been drawn by the Constitution</w:t>
      </w:r>
      <w:r w:rsidR="00523BD5">
        <w:rPr>
          <w:sz w:val="28"/>
          <w:szCs w:val="28"/>
        </w:rPr>
        <w:t xml:space="preserve"> that dare not be crossed.  Crossing it is a breach of the Constitution as the supreme law </w:t>
      </w:r>
      <w:r w:rsidR="00523BD5">
        <w:rPr>
          <w:sz w:val="28"/>
          <w:szCs w:val="28"/>
        </w:rPr>
        <w:lastRenderedPageBreak/>
        <w:t>of the land</w:t>
      </w:r>
      <w:r w:rsidR="00F543B1">
        <w:rPr>
          <w:rStyle w:val="FootnoteReference"/>
          <w:sz w:val="28"/>
          <w:szCs w:val="28"/>
        </w:rPr>
        <w:footnoteReference w:id="25"/>
      </w:r>
      <w:r w:rsidR="00523BD5">
        <w:rPr>
          <w:sz w:val="28"/>
          <w:szCs w:val="28"/>
        </w:rPr>
        <w:t xml:space="preserve">. </w:t>
      </w:r>
      <w:r w:rsidR="00E077BE">
        <w:rPr>
          <w:sz w:val="28"/>
          <w:szCs w:val="28"/>
        </w:rPr>
        <w:tab/>
      </w:r>
      <w:r w:rsidR="00523BD5">
        <w:rPr>
          <w:sz w:val="28"/>
          <w:szCs w:val="28"/>
        </w:rPr>
        <w:t>The imperatives of the rule of law demand that crossing th</w:t>
      </w:r>
      <w:r w:rsidR="006E5F78">
        <w:rPr>
          <w:sz w:val="28"/>
          <w:szCs w:val="28"/>
        </w:rPr>
        <w:t xml:space="preserve">is </w:t>
      </w:r>
      <w:r w:rsidR="00523BD5">
        <w:rPr>
          <w:sz w:val="28"/>
          <w:szCs w:val="28"/>
        </w:rPr>
        <w:t>red line be declared null and void in terms of section 2 of the Constitution.</w:t>
      </w:r>
      <w:r w:rsidR="00513E98">
        <w:rPr>
          <w:sz w:val="28"/>
          <w:szCs w:val="28"/>
        </w:rPr>
        <w:t xml:space="preserve"> Therefore, the Court does not accept that the justification by the IEC is constitutionally permissible.  </w:t>
      </w:r>
    </w:p>
    <w:p w14:paraId="3ED292CC" w14:textId="77777777" w:rsidR="00A6473A" w:rsidRDefault="00A6473A">
      <w:pPr>
        <w:pStyle w:val="NormalWeb"/>
        <w:shd w:val="clear" w:color="auto" w:fill="FFFFFF"/>
        <w:spacing w:before="144" w:beforeAutospacing="0" w:after="288" w:afterAutospacing="0" w:line="480" w:lineRule="atLeast"/>
        <w:ind w:left="720" w:hanging="720"/>
        <w:jc w:val="both"/>
        <w:rPr>
          <w:sz w:val="28"/>
          <w:szCs w:val="28"/>
        </w:rPr>
      </w:pPr>
    </w:p>
    <w:p w14:paraId="058B5982" w14:textId="6C3F9124" w:rsidR="006E5F78" w:rsidRDefault="006E5F78">
      <w:pPr>
        <w:pStyle w:val="NormalWeb"/>
        <w:shd w:val="clear" w:color="auto" w:fill="FFFFFF"/>
        <w:spacing w:before="144" w:beforeAutospacing="0" w:after="288" w:afterAutospacing="0" w:line="480" w:lineRule="atLeast"/>
        <w:ind w:left="720" w:hanging="720"/>
        <w:jc w:val="both"/>
        <w:rPr>
          <w:sz w:val="28"/>
          <w:szCs w:val="28"/>
        </w:rPr>
      </w:pPr>
      <w:r>
        <w:rPr>
          <w:sz w:val="28"/>
          <w:szCs w:val="28"/>
        </w:rPr>
        <w:t>[5</w:t>
      </w:r>
      <w:r w:rsidR="009206BB">
        <w:rPr>
          <w:sz w:val="28"/>
          <w:szCs w:val="28"/>
        </w:rPr>
        <w:t>7</w:t>
      </w:r>
      <w:r>
        <w:rPr>
          <w:sz w:val="28"/>
          <w:szCs w:val="28"/>
        </w:rPr>
        <w:t>]</w:t>
      </w:r>
      <w:r>
        <w:rPr>
          <w:sz w:val="28"/>
          <w:szCs w:val="28"/>
        </w:rPr>
        <w:tab/>
        <w:t>The permissible justifications in the Constitution a</w:t>
      </w:r>
      <w:r w:rsidR="00B95FED">
        <w:rPr>
          <w:sz w:val="28"/>
          <w:szCs w:val="28"/>
        </w:rPr>
        <w:t>r</w:t>
      </w:r>
      <w:r>
        <w:rPr>
          <w:sz w:val="28"/>
          <w:szCs w:val="28"/>
        </w:rPr>
        <w:t xml:space="preserve">e only provided for in respect of limitations of fundamental human rights and freedoms in the Bill of Rights. </w:t>
      </w:r>
      <w:r w:rsidR="004F2C27">
        <w:rPr>
          <w:sz w:val="28"/>
          <w:szCs w:val="28"/>
        </w:rPr>
        <w:t>Outside the Bill of Rights</w:t>
      </w:r>
      <w:r>
        <w:rPr>
          <w:sz w:val="28"/>
          <w:szCs w:val="28"/>
        </w:rPr>
        <w:t xml:space="preserve">, the Constitution does not brook any justification for its breach. </w:t>
      </w:r>
    </w:p>
    <w:p w14:paraId="5DAFFDE6" w14:textId="77777777" w:rsidR="00F72649" w:rsidRDefault="00F72649">
      <w:pPr>
        <w:pStyle w:val="NormalWeb"/>
        <w:shd w:val="clear" w:color="auto" w:fill="FFFFFF"/>
        <w:spacing w:before="144" w:beforeAutospacing="0" w:after="288" w:afterAutospacing="0" w:line="480" w:lineRule="atLeast"/>
        <w:ind w:left="720" w:hanging="720"/>
        <w:jc w:val="both"/>
        <w:rPr>
          <w:sz w:val="28"/>
          <w:szCs w:val="28"/>
        </w:rPr>
      </w:pPr>
    </w:p>
    <w:p w14:paraId="33862921" w14:textId="58F1A7BA" w:rsidR="00E5576D" w:rsidRDefault="00E5576D" w:rsidP="00F72649">
      <w:pPr>
        <w:pStyle w:val="NormalWeb"/>
        <w:shd w:val="clear" w:color="auto" w:fill="FFFFFF"/>
        <w:spacing w:before="0" w:beforeAutospacing="0" w:after="0" w:afterAutospacing="0"/>
        <w:jc w:val="both"/>
        <w:rPr>
          <w:b/>
          <w:bCs/>
          <w:sz w:val="32"/>
          <w:szCs w:val="32"/>
        </w:rPr>
      </w:pPr>
      <w:r w:rsidRPr="00EB3DDE">
        <w:rPr>
          <w:b/>
          <w:bCs/>
          <w:sz w:val="32"/>
          <w:szCs w:val="32"/>
        </w:rPr>
        <w:t xml:space="preserve">Is the </w:t>
      </w:r>
      <w:r w:rsidR="008362AC">
        <w:rPr>
          <w:b/>
          <w:bCs/>
          <w:sz w:val="32"/>
          <w:szCs w:val="32"/>
        </w:rPr>
        <w:t>IEC bound to delimit constituency boundaries within the administrative boundaries of the country</w:t>
      </w:r>
      <w:r w:rsidRPr="00EB3DDE">
        <w:rPr>
          <w:b/>
          <w:bCs/>
          <w:sz w:val="32"/>
          <w:szCs w:val="32"/>
        </w:rPr>
        <w:t>?</w:t>
      </w:r>
    </w:p>
    <w:p w14:paraId="25C0E886" w14:textId="2F567A38" w:rsidR="008362AC" w:rsidRDefault="008362AC" w:rsidP="00E82AFF">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743A08">
        <w:rPr>
          <w:sz w:val="28"/>
          <w:szCs w:val="28"/>
        </w:rPr>
        <w:t>5</w:t>
      </w:r>
      <w:r w:rsidR="009206BB">
        <w:rPr>
          <w:sz w:val="28"/>
          <w:szCs w:val="28"/>
        </w:rPr>
        <w:t>8</w:t>
      </w:r>
      <w:r>
        <w:rPr>
          <w:sz w:val="28"/>
          <w:szCs w:val="28"/>
        </w:rPr>
        <w:t>]</w:t>
      </w:r>
      <w:r>
        <w:rPr>
          <w:sz w:val="28"/>
          <w:szCs w:val="28"/>
        </w:rPr>
        <w:tab/>
        <w:t xml:space="preserve">The applicants </w:t>
      </w:r>
      <w:r w:rsidR="00743A08">
        <w:rPr>
          <w:sz w:val="28"/>
          <w:szCs w:val="28"/>
        </w:rPr>
        <w:t xml:space="preserve">further </w:t>
      </w:r>
      <w:r>
        <w:rPr>
          <w:sz w:val="28"/>
          <w:szCs w:val="28"/>
        </w:rPr>
        <w:t xml:space="preserve">contend that the IEC </w:t>
      </w:r>
      <w:r w:rsidR="0091674D">
        <w:rPr>
          <w:sz w:val="28"/>
          <w:szCs w:val="28"/>
        </w:rPr>
        <w:t xml:space="preserve">acted unreasonably by confining the boundaries of each constituency within the administrative boundaries </w:t>
      </w:r>
      <w:r w:rsidR="006E5F78">
        <w:rPr>
          <w:sz w:val="28"/>
          <w:szCs w:val="28"/>
        </w:rPr>
        <w:t xml:space="preserve">of Districts </w:t>
      </w:r>
      <w:r w:rsidR="0091674D">
        <w:rPr>
          <w:sz w:val="28"/>
          <w:szCs w:val="28"/>
        </w:rPr>
        <w:t xml:space="preserve">thereby </w:t>
      </w:r>
      <w:r w:rsidR="006E5F78">
        <w:rPr>
          <w:sz w:val="28"/>
          <w:szCs w:val="28"/>
        </w:rPr>
        <w:t xml:space="preserve">making it to </w:t>
      </w:r>
      <w:r w:rsidR="0091674D">
        <w:rPr>
          <w:sz w:val="28"/>
          <w:szCs w:val="28"/>
        </w:rPr>
        <w:t xml:space="preserve">fail to observe the ten percent threshold provided for </w:t>
      </w:r>
      <w:r>
        <w:rPr>
          <w:sz w:val="28"/>
          <w:szCs w:val="28"/>
        </w:rPr>
        <w:t>in section 67(2) of the Constitution</w:t>
      </w:r>
      <w:r w:rsidR="00D27E14">
        <w:rPr>
          <w:sz w:val="28"/>
          <w:szCs w:val="28"/>
        </w:rPr>
        <w:t>.</w:t>
      </w:r>
      <w:r w:rsidR="00025E47">
        <w:rPr>
          <w:sz w:val="28"/>
          <w:szCs w:val="28"/>
        </w:rPr>
        <w:t xml:space="preserve"> </w:t>
      </w:r>
      <w:r w:rsidR="00D47A02">
        <w:rPr>
          <w:sz w:val="28"/>
          <w:szCs w:val="28"/>
        </w:rPr>
        <w:t xml:space="preserve">Section </w:t>
      </w:r>
      <w:r w:rsidR="00025E47">
        <w:rPr>
          <w:sz w:val="28"/>
          <w:szCs w:val="28"/>
        </w:rPr>
        <w:t>67(1) of the Constitution</w:t>
      </w:r>
      <w:r w:rsidR="006E5F78">
        <w:rPr>
          <w:sz w:val="28"/>
          <w:szCs w:val="28"/>
        </w:rPr>
        <w:t>,</w:t>
      </w:r>
      <w:r w:rsidR="00D47A02">
        <w:rPr>
          <w:sz w:val="28"/>
          <w:szCs w:val="28"/>
        </w:rPr>
        <w:t xml:space="preserve"> which obligates </w:t>
      </w:r>
      <w:r w:rsidR="00025E47">
        <w:rPr>
          <w:sz w:val="28"/>
          <w:szCs w:val="28"/>
        </w:rPr>
        <w:t xml:space="preserve">the IEC </w:t>
      </w:r>
      <w:r w:rsidR="00D47A02">
        <w:rPr>
          <w:sz w:val="28"/>
          <w:szCs w:val="28"/>
        </w:rPr>
        <w:t xml:space="preserve">to divide the country into eighty constituencies </w:t>
      </w:r>
      <w:r w:rsidR="00025E47">
        <w:rPr>
          <w:sz w:val="28"/>
          <w:szCs w:val="28"/>
        </w:rPr>
        <w:t xml:space="preserve">for purposes of elections to the National </w:t>
      </w:r>
      <w:r w:rsidR="00D47A02">
        <w:rPr>
          <w:sz w:val="28"/>
          <w:szCs w:val="28"/>
        </w:rPr>
        <w:t>Assembly</w:t>
      </w:r>
      <w:r w:rsidR="006E5F78">
        <w:rPr>
          <w:sz w:val="28"/>
          <w:szCs w:val="28"/>
        </w:rPr>
        <w:t>,</w:t>
      </w:r>
      <w:r w:rsidR="00D47A02">
        <w:rPr>
          <w:sz w:val="28"/>
          <w:szCs w:val="28"/>
        </w:rPr>
        <w:t xml:space="preserve"> makes no reference to administrative district boundaries</w:t>
      </w:r>
      <w:r w:rsidR="006E5F78">
        <w:rPr>
          <w:sz w:val="28"/>
          <w:szCs w:val="28"/>
        </w:rPr>
        <w:t xml:space="preserve"> being the geographical localities of the constituencies</w:t>
      </w:r>
      <w:r w:rsidR="00D47A02">
        <w:rPr>
          <w:sz w:val="28"/>
          <w:szCs w:val="28"/>
        </w:rPr>
        <w:t>.</w:t>
      </w:r>
      <w:bookmarkStart w:id="6" w:name="_Hlk110456777"/>
      <w:r w:rsidR="00D47A02">
        <w:rPr>
          <w:sz w:val="28"/>
          <w:szCs w:val="28"/>
        </w:rPr>
        <w:t xml:space="preserve"> </w:t>
      </w:r>
      <w:bookmarkEnd w:id="6"/>
      <w:r w:rsidR="00D47A02">
        <w:rPr>
          <w:sz w:val="28"/>
          <w:szCs w:val="28"/>
        </w:rPr>
        <w:t xml:space="preserve">Again, </w:t>
      </w:r>
      <w:r w:rsidR="0091674D">
        <w:rPr>
          <w:sz w:val="28"/>
          <w:szCs w:val="28"/>
        </w:rPr>
        <w:t>if constituenc</w:t>
      </w:r>
      <w:r w:rsidR="00743A08">
        <w:rPr>
          <w:sz w:val="28"/>
          <w:szCs w:val="28"/>
        </w:rPr>
        <w:t>y</w:t>
      </w:r>
      <w:r w:rsidR="0091674D">
        <w:rPr>
          <w:sz w:val="28"/>
          <w:szCs w:val="28"/>
        </w:rPr>
        <w:t xml:space="preserve"> boundaries were to be confined to administrative district boundaries</w:t>
      </w:r>
      <w:r w:rsidR="00743A08">
        <w:rPr>
          <w:sz w:val="28"/>
          <w:szCs w:val="28"/>
        </w:rPr>
        <w:t>,</w:t>
      </w:r>
      <w:r w:rsidR="0091674D">
        <w:rPr>
          <w:sz w:val="28"/>
          <w:szCs w:val="28"/>
        </w:rPr>
        <w:t xml:space="preserve"> </w:t>
      </w:r>
      <w:r w:rsidR="00D47A02">
        <w:rPr>
          <w:sz w:val="28"/>
          <w:szCs w:val="28"/>
        </w:rPr>
        <w:t>v</w:t>
      </w:r>
      <w:r w:rsidR="000D54B9">
        <w:rPr>
          <w:sz w:val="28"/>
          <w:szCs w:val="28"/>
        </w:rPr>
        <w:t xml:space="preserve">oter parity would never be achieved </w:t>
      </w:r>
      <w:r w:rsidR="00D47A02">
        <w:rPr>
          <w:sz w:val="28"/>
          <w:szCs w:val="28"/>
        </w:rPr>
        <w:t>as districts are not evenly populated</w:t>
      </w:r>
      <w:r w:rsidR="00A635BA">
        <w:rPr>
          <w:sz w:val="28"/>
          <w:szCs w:val="28"/>
        </w:rPr>
        <w:t xml:space="preserve">. </w:t>
      </w:r>
      <w:r w:rsidR="000D54B9">
        <w:rPr>
          <w:sz w:val="28"/>
          <w:szCs w:val="28"/>
        </w:rPr>
        <w:t xml:space="preserve">  </w:t>
      </w:r>
      <w:r w:rsidR="00A635BA">
        <w:rPr>
          <w:sz w:val="28"/>
          <w:szCs w:val="28"/>
        </w:rPr>
        <w:t xml:space="preserve">Thus, the applicants’ contention has merit. </w:t>
      </w:r>
    </w:p>
    <w:p w14:paraId="239B9594" w14:textId="77777777" w:rsidR="00A6473A" w:rsidRDefault="00A6473A" w:rsidP="00E82AFF">
      <w:pPr>
        <w:pStyle w:val="NormalWeb"/>
        <w:shd w:val="clear" w:color="auto" w:fill="FFFFFF"/>
        <w:spacing w:before="144" w:beforeAutospacing="0" w:after="288" w:afterAutospacing="0" w:line="480" w:lineRule="atLeast"/>
        <w:ind w:left="720" w:hanging="720"/>
        <w:jc w:val="both"/>
        <w:rPr>
          <w:sz w:val="28"/>
          <w:szCs w:val="28"/>
        </w:rPr>
      </w:pPr>
    </w:p>
    <w:p w14:paraId="4E54FC03" w14:textId="05D86A4E" w:rsidR="00523BD5" w:rsidRPr="00D972C4" w:rsidRDefault="00523BD5" w:rsidP="00EB3DDE">
      <w:pPr>
        <w:pStyle w:val="NormalWeb"/>
        <w:shd w:val="clear" w:color="auto" w:fill="FFFFFF"/>
        <w:spacing w:before="144" w:beforeAutospacing="0" w:after="0" w:afterAutospacing="0"/>
        <w:ind w:left="720" w:hanging="720"/>
        <w:jc w:val="both"/>
        <w:rPr>
          <w:b/>
          <w:bCs/>
          <w:sz w:val="28"/>
          <w:szCs w:val="28"/>
        </w:rPr>
      </w:pPr>
      <w:r w:rsidRPr="00D972C4">
        <w:rPr>
          <w:b/>
          <w:bCs/>
          <w:sz w:val="28"/>
          <w:szCs w:val="28"/>
        </w:rPr>
        <w:lastRenderedPageBreak/>
        <w:t>V.</w:t>
      </w:r>
      <w:r w:rsidRPr="00D972C4">
        <w:rPr>
          <w:b/>
          <w:bCs/>
          <w:sz w:val="28"/>
          <w:szCs w:val="28"/>
        </w:rPr>
        <w:tab/>
      </w:r>
      <w:r w:rsidRPr="00D972C4">
        <w:rPr>
          <w:b/>
          <w:bCs/>
          <w:sz w:val="28"/>
          <w:szCs w:val="28"/>
          <w:u w:val="single"/>
        </w:rPr>
        <w:t>DISPOSITION</w:t>
      </w:r>
    </w:p>
    <w:p w14:paraId="4618DEA2" w14:textId="129389FC" w:rsidR="00CC5641" w:rsidRPr="008543F1" w:rsidRDefault="00CC5641" w:rsidP="00C523B0">
      <w:pPr>
        <w:pStyle w:val="NormalWeb"/>
        <w:shd w:val="clear" w:color="auto" w:fill="FFFFFF"/>
        <w:spacing w:before="144" w:beforeAutospacing="0" w:after="288" w:afterAutospacing="0" w:line="480" w:lineRule="atLeast"/>
        <w:rPr>
          <w:b/>
          <w:bCs/>
          <w:sz w:val="32"/>
          <w:szCs w:val="32"/>
        </w:rPr>
      </w:pPr>
      <w:r w:rsidRPr="008543F1">
        <w:rPr>
          <w:b/>
          <w:bCs/>
          <w:sz w:val="32"/>
          <w:szCs w:val="32"/>
        </w:rPr>
        <w:t xml:space="preserve">Effects of the </w:t>
      </w:r>
      <w:r w:rsidR="006E5F78" w:rsidRPr="008543F1">
        <w:rPr>
          <w:b/>
          <w:bCs/>
          <w:sz w:val="32"/>
          <w:szCs w:val="32"/>
        </w:rPr>
        <w:t>c</w:t>
      </w:r>
      <w:r w:rsidRPr="008543F1">
        <w:rPr>
          <w:b/>
          <w:bCs/>
          <w:sz w:val="32"/>
          <w:szCs w:val="32"/>
        </w:rPr>
        <w:t xml:space="preserve">onstitutional </w:t>
      </w:r>
      <w:r w:rsidR="006E5F78" w:rsidRPr="008543F1">
        <w:rPr>
          <w:b/>
          <w:bCs/>
          <w:sz w:val="32"/>
          <w:szCs w:val="32"/>
        </w:rPr>
        <w:t>l</w:t>
      </w:r>
      <w:r w:rsidRPr="008543F1">
        <w:rPr>
          <w:b/>
          <w:bCs/>
          <w:sz w:val="32"/>
          <w:szCs w:val="32"/>
        </w:rPr>
        <w:t>apses</w:t>
      </w:r>
    </w:p>
    <w:p w14:paraId="242743DD" w14:textId="22C62370" w:rsidR="001D646C" w:rsidRDefault="00FF4BC4">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6E5F78">
        <w:rPr>
          <w:sz w:val="28"/>
          <w:szCs w:val="28"/>
        </w:rPr>
        <w:t>5</w:t>
      </w:r>
      <w:r w:rsidR="009206BB">
        <w:rPr>
          <w:sz w:val="28"/>
          <w:szCs w:val="28"/>
        </w:rPr>
        <w:t>9</w:t>
      </w:r>
      <w:r>
        <w:rPr>
          <w:sz w:val="28"/>
          <w:szCs w:val="28"/>
        </w:rPr>
        <w:t>]</w:t>
      </w:r>
      <w:r>
        <w:rPr>
          <w:sz w:val="28"/>
          <w:szCs w:val="28"/>
        </w:rPr>
        <w:tab/>
      </w:r>
      <w:r w:rsidR="001D646C">
        <w:rPr>
          <w:sz w:val="28"/>
          <w:szCs w:val="28"/>
        </w:rPr>
        <w:t xml:space="preserve">The court is asked to review and set aside the </w:t>
      </w:r>
      <w:r w:rsidR="001D646C" w:rsidRPr="00513682">
        <w:rPr>
          <w:b/>
          <w:bCs/>
          <w:sz w:val="28"/>
          <w:szCs w:val="28"/>
        </w:rPr>
        <w:t>Delimitation Order</w:t>
      </w:r>
      <w:r w:rsidR="001D646C">
        <w:rPr>
          <w:sz w:val="28"/>
          <w:szCs w:val="28"/>
        </w:rPr>
        <w:t xml:space="preserve"> as irregular, unlawful and therefore null and void. This can only</w:t>
      </w:r>
      <w:r w:rsidR="006E5F78">
        <w:rPr>
          <w:sz w:val="28"/>
          <w:szCs w:val="28"/>
        </w:rPr>
        <w:t xml:space="preserve"> be done if it is </w:t>
      </w:r>
      <w:r w:rsidR="001D646C">
        <w:rPr>
          <w:sz w:val="28"/>
          <w:szCs w:val="28"/>
        </w:rPr>
        <w:t xml:space="preserve">inconsistent with </w:t>
      </w:r>
      <w:r w:rsidR="00B95FED">
        <w:rPr>
          <w:sz w:val="28"/>
          <w:szCs w:val="28"/>
        </w:rPr>
        <w:t>s</w:t>
      </w:r>
      <w:r w:rsidR="001D646C">
        <w:rPr>
          <w:sz w:val="28"/>
          <w:szCs w:val="28"/>
        </w:rPr>
        <w:t xml:space="preserve">ection 67(2) in that some constituencies are not compliant with the threshold as the applicants contend in their founding papers.  </w:t>
      </w:r>
    </w:p>
    <w:p w14:paraId="264A3CE8" w14:textId="77777777" w:rsidR="00A6473A" w:rsidRDefault="00A6473A">
      <w:pPr>
        <w:pStyle w:val="NormalWeb"/>
        <w:shd w:val="clear" w:color="auto" w:fill="FFFFFF"/>
        <w:spacing w:before="144" w:beforeAutospacing="0" w:after="288" w:afterAutospacing="0" w:line="480" w:lineRule="atLeast"/>
        <w:ind w:left="720" w:hanging="720"/>
        <w:jc w:val="both"/>
        <w:rPr>
          <w:sz w:val="28"/>
          <w:szCs w:val="28"/>
        </w:rPr>
      </w:pPr>
    </w:p>
    <w:p w14:paraId="4321B42F" w14:textId="468BCFBF" w:rsidR="00CC5641" w:rsidRDefault="001D646C" w:rsidP="00CC5641">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9206BB">
        <w:rPr>
          <w:sz w:val="28"/>
          <w:szCs w:val="28"/>
        </w:rPr>
        <w:t>60</w:t>
      </w:r>
      <w:r>
        <w:rPr>
          <w:sz w:val="28"/>
          <w:szCs w:val="28"/>
        </w:rPr>
        <w:t>]</w:t>
      </w:r>
      <w:r>
        <w:rPr>
          <w:sz w:val="28"/>
          <w:szCs w:val="28"/>
        </w:rPr>
        <w:tab/>
      </w:r>
      <w:r w:rsidR="00FD3F9C">
        <w:rPr>
          <w:sz w:val="28"/>
          <w:szCs w:val="28"/>
        </w:rPr>
        <w:t>Reviewing and setting aside the</w:t>
      </w:r>
      <w:r w:rsidR="00FD3F9C" w:rsidRPr="00FD3F9C">
        <w:rPr>
          <w:sz w:val="28"/>
          <w:szCs w:val="28"/>
        </w:rPr>
        <w:t xml:space="preserve"> </w:t>
      </w:r>
      <w:r w:rsidR="00FD3F9C" w:rsidRPr="00513682">
        <w:rPr>
          <w:b/>
          <w:bCs/>
          <w:sz w:val="28"/>
          <w:szCs w:val="28"/>
        </w:rPr>
        <w:t>Delimitation Order</w:t>
      </w:r>
      <w:r w:rsidR="00FD3F9C">
        <w:rPr>
          <w:sz w:val="28"/>
          <w:szCs w:val="28"/>
        </w:rPr>
        <w:t xml:space="preserve"> in respect of the twenty non – compliant constituencies would lead to the following constitutional problems: </w:t>
      </w:r>
    </w:p>
    <w:p w14:paraId="7F0A45EA" w14:textId="084E53DA" w:rsidR="00CC5641" w:rsidRDefault="00CC5641" w:rsidP="00CC5641">
      <w:pPr>
        <w:pStyle w:val="NormalWeb"/>
        <w:shd w:val="clear" w:color="auto" w:fill="FFFFFF"/>
        <w:spacing w:before="144" w:beforeAutospacing="0" w:after="288" w:afterAutospacing="0" w:line="480" w:lineRule="atLeast"/>
        <w:ind w:left="2160" w:hanging="720"/>
        <w:jc w:val="both"/>
        <w:rPr>
          <w:sz w:val="28"/>
          <w:szCs w:val="28"/>
        </w:rPr>
      </w:pPr>
      <w:r>
        <w:rPr>
          <w:sz w:val="28"/>
          <w:szCs w:val="28"/>
        </w:rPr>
        <w:t>(a)</w:t>
      </w:r>
      <w:r>
        <w:rPr>
          <w:sz w:val="28"/>
          <w:szCs w:val="28"/>
        </w:rPr>
        <w:tab/>
        <w:t xml:space="preserve">Persons who have registered to vote in the twenty non-compliant constituencies would be denied the right to vote and </w:t>
      </w:r>
      <w:r w:rsidR="006E5F78">
        <w:rPr>
          <w:sz w:val="28"/>
          <w:szCs w:val="28"/>
        </w:rPr>
        <w:t xml:space="preserve">thereby </w:t>
      </w:r>
      <w:r>
        <w:rPr>
          <w:sz w:val="28"/>
          <w:szCs w:val="28"/>
        </w:rPr>
        <w:t>effectively disenfranchised.</w:t>
      </w:r>
    </w:p>
    <w:p w14:paraId="48290FDA" w14:textId="1892F885" w:rsidR="00CC5641" w:rsidRDefault="00CC5641" w:rsidP="00CC5641">
      <w:pPr>
        <w:pStyle w:val="NormalWeb"/>
        <w:shd w:val="clear" w:color="auto" w:fill="FFFFFF"/>
        <w:spacing w:before="144" w:beforeAutospacing="0" w:after="288" w:afterAutospacing="0" w:line="480" w:lineRule="atLeast"/>
        <w:ind w:left="2160" w:hanging="720"/>
        <w:jc w:val="both"/>
        <w:rPr>
          <w:sz w:val="28"/>
          <w:szCs w:val="28"/>
        </w:rPr>
      </w:pPr>
      <w:r>
        <w:rPr>
          <w:sz w:val="28"/>
          <w:szCs w:val="28"/>
        </w:rPr>
        <w:t>(b)</w:t>
      </w:r>
      <w:r>
        <w:rPr>
          <w:sz w:val="28"/>
          <w:szCs w:val="28"/>
        </w:rPr>
        <w:tab/>
        <w:t xml:space="preserve">If elections </w:t>
      </w:r>
      <w:r w:rsidR="006E5F78">
        <w:rPr>
          <w:sz w:val="28"/>
          <w:szCs w:val="28"/>
        </w:rPr>
        <w:t xml:space="preserve">do not proceed </w:t>
      </w:r>
      <w:r>
        <w:rPr>
          <w:sz w:val="28"/>
          <w:szCs w:val="28"/>
        </w:rPr>
        <w:t>there will be no</w:t>
      </w:r>
      <w:r w:rsidR="006E5F78">
        <w:rPr>
          <w:sz w:val="28"/>
          <w:szCs w:val="28"/>
        </w:rPr>
        <w:t xml:space="preserve"> representatives in the</w:t>
      </w:r>
      <w:r>
        <w:rPr>
          <w:sz w:val="28"/>
          <w:szCs w:val="28"/>
        </w:rPr>
        <w:t xml:space="preserve"> National Assembly.  </w:t>
      </w:r>
      <w:r w:rsidR="006E5F78">
        <w:rPr>
          <w:sz w:val="28"/>
          <w:szCs w:val="28"/>
        </w:rPr>
        <w:t>N</w:t>
      </w:r>
      <w:r>
        <w:rPr>
          <w:sz w:val="28"/>
          <w:szCs w:val="28"/>
        </w:rPr>
        <w:t>o laws will be made and there will be no new Government.  Our democratic project will be in serious danger of collapse</w:t>
      </w:r>
      <w:r w:rsidR="00430A8E">
        <w:rPr>
          <w:sz w:val="28"/>
          <w:szCs w:val="28"/>
        </w:rPr>
        <w:t>.</w:t>
      </w:r>
      <w:r w:rsidR="006E5F78">
        <w:rPr>
          <w:sz w:val="28"/>
          <w:szCs w:val="28"/>
        </w:rPr>
        <w:t xml:space="preserve"> </w:t>
      </w:r>
    </w:p>
    <w:p w14:paraId="6A52031F" w14:textId="726A0D9F" w:rsidR="00CC5641" w:rsidRDefault="00CC5641" w:rsidP="00CC5641">
      <w:pPr>
        <w:pStyle w:val="NormalWeb"/>
        <w:shd w:val="clear" w:color="auto" w:fill="FFFFFF"/>
        <w:spacing w:before="144" w:beforeAutospacing="0" w:after="288" w:afterAutospacing="0" w:line="480" w:lineRule="atLeast"/>
        <w:ind w:left="2160" w:hanging="720"/>
        <w:jc w:val="both"/>
        <w:rPr>
          <w:sz w:val="28"/>
          <w:szCs w:val="28"/>
        </w:rPr>
      </w:pPr>
      <w:r>
        <w:rPr>
          <w:sz w:val="28"/>
          <w:szCs w:val="28"/>
        </w:rPr>
        <w:t>(c)</w:t>
      </w:r>
      <w:r>
        <w:rPr>
          <w:sz w:val="28"/>
          <w:szCs w:val="28"/>
        </w:rPr>
        <w:tab/>
        <w:t xml:space="preserve">If elections are held in order to avoid (a) and (b) above, the National Assembly will have a membership of representatives some of whom represent constituencies which are not constitutionally in order.  The </w:t>
      </w:r>
      <w:r w:rsidR="006E5F78">
        <w:rPr>
          <w:sz w:val="28"/>
          <w:szCs w:val="28"/>
        </w:rPr>
        <w:t xml:space="preserve">integrity of the </w:t>
      </w:r>
      <w:r w:rsidR="00430A8E">
        <w:rPr>
          <w:sz w:val="28"/>
          <w:szCs w:val="28"/>
        </w:rPr>
        <w:t>democratic</w:t>
      </w:r>
      <w:r w:rsidR="006E5F78">
        <w:rPr>
          <w:sz w:val="28"/>
          <w:szCs w:val="28"/>
        </w:rPr>
        <w:t xml:space="preserve"> </w:t>
      </w:r>
      <w:r w:rsidR="00430A8E">
        <w:rPr>
          <w:sz w:val="28"/>
          <w:szCs w:val="28"/>
        </w:rPr>
        <w:t xml:space="preserve">process </w:t>
      </w:r>
      <w:r w:rsidR="00A809BA">
        <w:rPr>
          <w:sz w:val="28"/>
          <w:szCs w:val="28"/>
        </w:rPr>
        <w:t xml:space="preserve">will be </w:t>
      </w:r>
      <w:proofErr w:type="gramStart"/>
      <w:r w:rsidR="00A809BA">
        <w:rPr>
          <w:sz w:val="28"/>
          <w:szCs w:val="28"/>
        </w:rPr>
        <w:t>questioned</w:t>
      </w:r>
      <w:proofErr w:type="gramEnd"/>
      <w:r w:rsidR="00430A8E">
        <w:rPr>
          <w:sz w:val="28"/>
          <w:szCs w:val="28"/>
        </w:rPr>
        <w:t xml:space="preserve"> and d</w:t>
      </w:r>
      <w:r w:rsidR="00BD5DFE">
        <w:rPr>
          <w:sz w:val="28"/>
          <w:szCs w:val="28"/>
        </w:rPr>
        <w:t xml:space="preserve">emocracy will slowly erode. </w:t>
      </w:r>
    </w:p>
    <w:p w14:paraId="2BF480A3" w14:textId="77777777" w:rsidR="00A6473A" w:rsidRDefault="00FF4BC4" w:rsidP="00CC5641">
      <w:pPr>
        <w:pStyle w:val="NormalWeb"/>
        <w:shd w:val="clear" w:color="auto" w:fill="FFFFFF"/>
        <w:spacing w:before="144" w:beforeAutospacing="0" w:after="288" w:afterAutospacing="0" w:line="480" w:lineRule="atLeast"/>
        <w:ind w:left="720" w:hanging="720"/>
        <w:jc w:val="both"/>
        <w:rPr>
          <w:sz w:val="28"/>
          <w:szCs w:val="28"/>
        </w:rPr>
      </w:pPr>
      <w:r>
        <w:rPr>
          <w:sz w:val="28"/>
          <w:szCs w:val="28"/>
        </w:rPr>
        <w:lastRenderedPageBreak/>
        <w:t>[6</w:t>
      </w:r>
      <w:r w:rsidR="009206BB">
        <w:rPr>
          <w:sz w:val="28"/>
          <w:szCs w:val="28"/>
        </w:rPr>
        <w:t>1</w:t>
      </w:r>
      <w:r>
        <w:rPr>
          <w:sz w:val="28"/>
          <w:szCs w:val="28"/>
        </w:rPr>
        <w:t>]</w:t>
      </w:r>
      <w:r w:rsidR="00CC5641">
        <w:rPr>
          <w:sz w:val="28"/>
          <w:szCs w:val="28"/>
        </w:rPr>
        <w:tab/>
        <w:t>The applicants</w:t>
      </w:r>
      <w:r w:rsidR="00FD3F9C">
        <w:rPr>
          <w:sz w:val="28"/>
          <w:szCs w:val="28"/>
        </w:rPr>
        <w:t>’</w:t>
      </w:r>
      <w:r w:rsidR="00CC5641">
        <w:rPr>
          <w:sz w:val="28"/>
          <w:szCs w:val="28"/>
        </w:rPr>
        <w:t xml:space="preserve"> </w:t>
      </w:r>
      <w:r w:rsidR="00FD3F9C">
        <w:rPr>
          <w:sz w:val="28"/>
          <w:szCs w:val="28"/>
        </w:rPr>
        <w:t xml:space="preserve">initial contention was that the solution to these </w:t>
      </w:r>
      <w:r w:rsidR="00240C83">
        <w:rPr>
          <w:sz w:val="28"/>
          <w:szCs w:val="28"/>
        </w:rPr>
        <w:t>problems is</w:t>
      </w:r>
      <w:r w:rsidR="00CC5641">
        <w:rPr>
          <w:sz w:val="28"/>
          <w:szCs w:val="28"/>
        </w:rPr>
        <w:t xml:space="preserve"> to hold the elections on the basis of</w:t>
      </w:r>
      <w:r w:rsidR="00240C83">
        <w:rPr>
          <w:sz w:val="28"/>
          <w:szCs w:val="28"/>
        </w:rPr>
        <w:t xml:space="preserve"> “constituency boundaries as determined in their review in 2018”. This contention was abandoned during the course of oral argument when it became clear that there </w:t>
      </w:r>
      <w:r w:rsidR="00A809BA">
        <w:rPr>
          <w:sz w:val="28"/>
          <w:szCs w:val="28"/>
        </w:rPr>
        <w:t xml:space="preserve">is </w:t>
      </w:r>
      <w:r w:rsidR="00240C83">
        <w:rPr>
          <w:sz w:val="28"/>
          <w:szCs w:val="28"/>
        </w:rPr>
        <w:t>no review of 2018 which resulted in the alteration</w:t>
      </w:r>
      <w:r w:rsidR="005F5DB4">
        <w:rPr>
          <w:sz w:val="28"/>
          <w:szCs w:val="28"/>
        </w:rPr>
        <w:t xml:space="preserve"> of</w:t>
      </w:r>
      <w:r w:rsidR="00240C83">
        <w:rPr>
          <w:sz w:val="28"/>
          <w:szCs w:val="28"/>
        </w:rPr>
        <w:t xml:space="preserve"> constituency boundaries. </w:t>
      </w:r>
      <w:r w:rsidR="00A809BA">
        <w:rPr>
          <w:sz w:val="28"/>
          <w:szCs w:val="28"/>
        </w:rPr>
        <w:t>T</w:t>
      </w:r>
      <w:r w:rsidR="00863988">
        <w:rPr>
          <w:sz w:val="28"/>
          <w:szCs w:val="28"/>
        </w:rPr>
        <w:t>his contention could have only meant that elections be held using the 2010 constituency boundaries</w:t>
      </w:r>
      <w:r w:rsidR="005F5DB4">
        <w:rPr>
          <w:sz w:val="28"/>
          <w:szCs w:val="28"/>
        </w:rPr>
        <w:t xml:space="preserve">. </w:t>
      </w:r>
      <w:r w:rsidR="00863988">
        <w:rPr>
          <w:sz w:val="28"/>
          <w:szCs w:val="28"/>
        </w:rPr>
        <w:t>Th</w:t>
      </w:r>
      <w:r w:rsidR="00A809BA">
        <w:rPr>
          <w:sz w:val="28"/>
          <w:szCs w:val="28"/>
        </w:rPr>
        <w:t xml:space="preserve">is </w:t>
      </w:r>
      <w:r w:rsidR="00863988">
        <w:rPr>
          <w:sz w:val="28"/>
          <w:szCs w:val="28"/>
        </w:rPr>
        <w:t>proposition ignore</w:t>
      </w:r>
      <w:r w:rsidR="00A809BA">
        <w:rPr>
          <w:sz w:val="28"/>
          <w:szCs w:val="28"/>
        </w:rPr>
        <w:t>s</w:t>
      </w:r>
      <w:r w:rsidR="00863988">
        <w:rPr>
          <w:sz w:val="28"/>
          <w:szCs w:val="28"/>
        </w:rPr>
        <w:t xml:space="preserve"> population </w:t>
      </w:r>
      <w:r w:rsidR="005F5DB4">
        <w:rPr>
          <w:sz w:val="28"/>
          <w:szCs w:val="28"/>
        </w:rPr>
        <w:t xml:space="preserve">growth </w:t>
      </w:r>
      <w:r w:rsidR="00863988">
        <w:rPr>
          <w:sz w:val="28"/>
          <w:szCs w:val="28"/>
        </w:rPr>
        <w:t xml:space="preserve">since the 2010 constituency delimitation. In </w:t>
      </w:r>
      <w:r w:rsidR="005F5DB4">
        <w:rPr>
          <w:sz w:val="28"/>
          <w:szCs w:val="28"/>
        </w:rPr>
        <w:t>fact,</w:t>
      </w:r>
      <w:r w:rsidR="00863988">
        <w:rPr>
          <w:sz w:val="28"/>
          <w:szCs w:val="28"/>
        </w:rPr>
        <w:t xml:space="preserve"> according to </w:t>
      </w:r>
      <w:r w:rsidR="00430A8E">
        <w:rPr>
          <w:sz w:val="28"/>
          <w:szCs w:val="28"/>
        </w:rPr>
        <w:t xml:space="preserve">the </w:t>
      </w:r>
      <w:r w:rsidR="00A809BA">
        <w:rPr>
          <w:sz w:val="28"/>
          <w:szCs w:val="28"/>
        </w:rPr>
        <w:t xml:space="preserve">document titled </w:t>
      </w:r>
      <w:r w:rsidR="00A809BA">
        <w:rPr>
          <w:b/>
          <w:bCs/>
          <w:sz w:val="28"/>
          <w:szCs w:val="28"/>
        </w:rPr>
        <w:t>‘</w:t>
      </w:r>
      <w:r w:rsidR="00A809BA">
        <w:rPr>
          <w:sz w:val="28"/>
          <w:szCs w:val="28"/>
        </w:rPr>
        <w:t>Review of constituency boundaries 2018’</w:t>
      </w:r>
      <w:r w:rsidR="00863988">
        <w:rPr>
          <w:sz w:val="28"/>
          <w:szCs w:val="28"/>
        </w:rPr>
        <w:t>, voter population across the country was 1,153,529</w:t>
      </w:r>
      <w:r w:rsidR="00A809BA">
        <w:rPr>
          <w:sz w:val="28"/>
          <w:szCs w:val="28"/>
        </w:rPr>
        <w:t xml:space="preserve"> in 2010</w:t>
      </w:r>
      <w:r w:rsidR="00863988">
        <w:rPr>
          <w:sz w:val="28"/>
          <w:szCs w:val="28"/>
        </w:rPr>
        <w:t xml:space="preserve"> and 1,240</w:t>
      </w:r>
      <w:r w:rsidR="005F5DB4">
        <w:rPr>
          <w:sz w:val="28"/>
          <w:szCs w:val="28"/>
        </w:rPr>
        <w:t>,537 in 201</w:t>
      </w:r>
      <w:r w:rsidR="00430A8E">
        <w:rPr>
          <w:sz w:val="28"/>
          <w:szCs w:val="28"/>
        </w:rPr>
        <w:t>6</w:t>
      </w:r>
      <w:r w:rsidR="00A809BA">
        <w:rPr>
          <w:sz w:val="28"/>
          <w:szCs w:val="28"/>
        </w:rPr>
        <w:t>.</w:t>
      </w:r>
      <w:r w:rsidR="005F5DB4">
        <w:rPr>
          <w:sz w:val="28"/>
          <w:szCs w:val="28"/>
        </w:rPr>
        <w:t xml:space="preserve"> </w:t>
      </w:r>
      <w:r w:rsidR="00863988">
        <w:rPr>
          <w:sz w:val="28"/>
          <w:szCs w:val="28"/>
        </w:rPr>
        <w:t xml:space="preserve">  </w:t>
      </w:r>
      <w:r w:rsidR="00CC5641">
        <w:rPr>
          <w:sz w:val="28"/>
          <w:szCs w:val="28"/>
        </w:rPr>
        <w:t xml:space="preserve">  </w:t>
      </w:r>
    </w:p>
    <w:p w14:paraId="674EAFCD" w14:textId="090F531F" w:rsidR="00CC5641" w:rsidRDefault="00CC5641" w:rsidP="00CC5641">
      <w:pPr>
        <w:pStyle w:val="NormalWeb"/>
        <w:shd w:val="clear" w:color="auto" w:fill="FFFFFF"/>
        <w:spacing w:before="144" w:beforeAutospacing="0" w:after="288" w:afterAutospacing="0" w:line="480" w:lineRule="atLeast"/>
        <w:ind w:left="720" w:hanging="720"/>
        <w:jc w:val="both"/>
        <w:rPr>
          <w:sz w:val="28"/>
          <w:szCs w:val="28"/>
        </w:rPr>
      </w:pPr>
      <w:r>
        <w:rPr>
          <w:sz w:val="28"/>
          <w:szCs w:val="28"/>
        </w:rPr>
        <w:t xml:space="preserve"> </w:t>
      </w:r>
    </w:p>
    <w:p w14:paraId="056B57F6" w14:textId="77777777" w:rsidR="00A6473A" w:rsidRDefault="00FF4BC4" w:rsidP="0084033A">
      <w:pPr>
        <w:pStyle w:val="NormalWeb"/>
        <w:shd w:val="clear" w:color="auto" w:fill="FFFFFF"/>
        <w:spacing w:before="144" w:beforeAutospacing="0" w:after="288" w:afterAutospacing="0" w:line="480" w:lineRule="atLeast"/>
        <w:ind w:left="720" w:hanging="720"/>
        <w:jc w:val="both"/>
        <w:rPr>
          <w:sz w:val="28"/>
          <w:szCs w:val="28"/>
        </w:rPr>
      </w:pPr>
      <w:r>
        <w:rPr>
          <w:sz w:val="28"/>
          <w:szCs w:val="28"/>
        </w:rPr>
        <w:t>[6</w:t>
      </w:r>
      <w:r w:rsidR="009206BB">
        <w:rPr>
          <w:sz w:val="28"/>
          <w:szCs w:val="28"/>
        </w:rPr>
        <w:t>2</w:t>
      </w:r>
      <w:r>
        <w:rPr>
          <w:sz w:val="28"/>
          <w:szCs w:val="28"/>
        </w:rPr>
        <w:t>]</w:t>
      </w:r>
      <w:r w:rsidR="00CC5641">
        <w:rPr>
          <w:sz w:val="28"/>
          <w:szCs w:val="28"/>
        </w:rPr>
        <w:tab/>
        <w:t>The IEC’s job is to delimit constituency boundaries</w:t>
      </w:r>
      <w:r w:rsidR="00240C83">
        <w:rPr>
          <w:sz w:val="28"/>
          <w:szCs w:val="28"/>
        </w:rPr>
        <w:t>. It is also to hold election</w:t>
      </w:r>
      <w:r w:rsidR="00CC5641">
        <w:rPr>
          <w:sz w:val="28"/>
          <w:szCs w:val="28"/>
        </w:rPr>
        <w:t xml:space="preserve">s and not to withhold them.   </w:t>
      </w:r>
      <w:r w:rsidR="00A809BA">
        <w:rPr>
          <w:sz w:val="28"/>
          <w:szCs w:val="28"/>
        </w:rPr>
        <w:t xml:space="preserve">But holding general elections on the basis of constitutionally flawed constituencies </w:t>
      </w:r>
      <w:r w:rsidR="000424B5">
        <w:rPr>
          <w:sz w:val="28"/>
          <w:szCs w:val="28"/>
        </w:rPr>
        <w:t xml:space="preserve">constitutes a subvention of the principle of voter parity and equal representation which are the building blocks of ‘a sovereign democratic kingdom’ proclaimed in section 1 of the Constitution.  </w:t>
      </w:r>
    </w:p>
    <w:p w14:paraId="371779C9" w14:textId="5DF7C5C7" w:rsidR="00CC5641" w:rsidRDefault="00CC5641" w:rsidP="0084033A">
      <w:pPr>
        <w:pStyle w:val="NormalWeb"/>
        <w:shd w:val="clear" w:color="auto" w:fill="FFFFFF"/>
        <w:spacing w:before="144" w:beforeAutospacing="0" w:after="288" w:afterAutospacing="0" w:line="480" w:lineRule="atLeast"/>
        <w:ind w:left="720" w:hanging="720"/>
        <w:jc w:val="both"/>
        <w:rPr>
          <w:sz w:val="28"/>
          <w:szCs w:val="28"/>
        </w:rPr>
      </w:pPr>
      <w:r>
        <w:rPr>
          <w:sz w:val="28"/>
          <w:szCs w:val="28"/>
        </w:rPr>
        <w:tab/>
        <w:t xml:space="preserve"> </w:t>
      </w:r>
    </w:p>
    <w:p w14:paraId="1AA7EFA9" w14:textId="1AA0B1F6" w:rsidR="00CC5641" w:rsidRDefault="00FF4BC4" w:rsidP="00CC5641">
      <w:pPr>
        <w:pStyle w:val="NormalWeb"/>
        <w:shd w:val="clear" w:color="auto" w:fill="FFFFFF"/>
        <w:spacing w:before="144" w:beforeAutospacing="0" w:after="288" w:afterAutospacing="0" w:line="480" w:lineRule="atLeast"/>
        <w:ind w:left="720" w:hanging="720"/>
        <w:jc w:val="both"/>
        <w:rPr>
          <w:sz w:val="28"/>
          <w:szCs w:val="28"/>
        </w:rPr>
      </w:pPr>
      <w:r>
        <w:rPr>
          <w:sz w:val="28"/>
          <w:szCs w:val="28"/>
        </w:rPr>
        <w:t>[6</w:t>
      </w:r>
      <w:r w:rsidR="009206BB">
        <w:rPr>
          <w:sz w:val="28"/>
          <w:szCs w:val="28"/>
        </w:rPr>
        <w:t>3</w:t>
      </w:r>
      <w:r>
        <w:rPr>
          <w:sz w:val="28"/>
          <w:szCs w:val="28"/>
        </w:rPr>
        <w:t>]</w:t>
      </w:r>
      <w:r w:rsidR="00CC5641">
        <w:rPr>
          <w:sz w:val="28"/>
          <w:szCs w:val="28"/>
        </w:rPr>
        <w:tab/>
        <w:t>A</w:t>
      </w:r>
      <w:r w:rsidR="001942FA">
        <w:rPr>
          <w:sz w:val="28"/>
          <w:szCs w:val="28"/>
        </w:rPr>
        <w:t xml:space="preserve"> literal interpretation of</w:t>
      </w:r>
      <w:r w:rsidR="00CC5641">
        <w:rPr>
          <w:sz w:val="28"/>
          <w:szCs w:val="28"/>
        </w:rPr>
        <w:t xml:space="preserve"> section 84 is </w:t>
      </w:r>
      <w:r w:rsidR="001942FA">
        <w:rPr>
          <w:sz w:val="28"/>
          <w:szCs w:val="28"/>
        </w:rPr>
        <w:t xml:space="preserve">that it is </w:t>
      </w:r>
      <w:r w:rsidR="00CC5641">
        <w:rPr>
          <w:sz w:val="28"/>
          <w:szCs w:val="28"/>
        </w:rPr>
        <w:t xml:space="preserve">unyielding </w:t>
      </w:r>
      <w:r w:rsidR="005B422B">
        <w:rPr>
          <w:sz w:val="28"/>
          <w:szCs w:val="28"/>
        </w:rPr>
        <w:t xml:space="preserve">in </w:t>
      </w:r>
      <w:r w:rsidR="00CC5641">
        <w:rPr>
          <w:sz w:val="28"/>
          <w:szCs w:val="28"/>
        </w:rPr>
        <w:t>that</w:t>
      </w:r>
      <w:r w:rsidR="005B422B">
        <w:rPr>
          <w:sz w:val="28"/>
          <w:szCs w:val="28"/>
        </w:rPr>
        <w:t xml:space="preserve"> </w:t>
      </w:r>
      <w:r w:rsidR="001942FA">
        <w:rPr>
          <w:sz w:val="28"/>
          <w:szCs w:val="28"/>
        </w:rPr>
        <w:t xml:space="preserve">elections should be held within </w:t>
      </w:r>
      <w:r w:rsidR="00CC5641">
        <w:rPr>
          <w:sz w:val="28"/>
          <w:szCs w:val="28"/>
        </w:rPr>
        <w:t>the prescribed period</w:t>
      </w:r>
      <w:r w:rsidR="001942FA">
        <w:rPr>
          <w:sz w:val="28"/>
          <w:szCs w:val="28"/>
        </w:rPr>
        <w:t xml:space="preserve"> of three months after dissolution of Parliament</w:t>
      </w:r>
      <w:r w:rsidR="00CC5641">
        <w:rPr>
          <w:sz w:val="28"/>
          <w:szCs w:val="28"/>
        </w:rPr>
        <w:t xml:space="preserve">. </w:t>
      </w:r>
      <w:r w:rsidR="001942FA">
        <w:rPr>
          <w:sz w:val="28"/>
          <w:szCs w:val="28"/>
        </w:rPr>
        <w:t xml:space="preserve">Such interpretation would collide the section with section 67 whose purpose is to ensure that what is done within those three months is constitutionally in order. Therefore section </w:t>
      </w:r>
      <w:r w:rsidR="005B422B">
        <w:rPr>
          <w:sz w:val="28"/>
          <w:szCs w:val="28"/>
        </w:rPr>
        <w:t>84</w:t>
      </w:r>
      <w:r w:rsidR="001942FA">
        <w:rPr>
          <w:sz w:val="28"/>
          <w:szCs w:val="28"/>
        </w:rPr>
        <w:t xml:space="preserve"> must be given a purposeful interpretation which is that elections of a responsible </w:t>
      </w:r>
      <w:r w:rsidR="001942FA">
        <w:rPr>
          <w:sz w:val="28"/>
          <w:szCs w:val="28"/>
        </w:rPr>
        <w:lastRenderedPageBreak/>
        <w:t>Government must be held within the prescribed period if the alter</w:t>
      </w:r>
      <w:r w:rsidR="00B95FED">
        <w:rPr>
          <w:sz w:val="28"/>
          <w:szCs w:val="28"/>
        </w:rPr>
        <w:t xml:space="preserve">ation </w:t>
      </w:r>
      <w:r w:rsidR="001942FA">
        <w:rPr>
          <w:sz w:val="28"/>
          <w:szCs w:val="28"/>
        </w:rPr>
        <w:t xml:space="preserve"> of constituency boundaries has been validly done. </w:t>
      </w:r>
      <w:r w:rsidR="005B422B">
        <w:rPr>
          <w:sz w:val="28"/>
          <w:szCs w:val="28"/>
        </w:rPr>
        <w:t xml:space="preserve"> </w:t>
      </w:r>
    </w:p>
    <w:p w14:paraId="37A1DF7E" w14:textId="0ECFB060" w:rsidR="00CC5641" w:rsidRDefault="00CC5641" w:rsidP="009206BB">
      <w:pPr>
        <w:pStyle w:val="NormalWeb"/>
        <w:shd w:val="clear" w:color="auto" w:fill="FFFFFF"/>
        <w:spacing w:before="144" w:beforeAutospacing="0" w:after="288" w:afterAutospacing="0" w:line="480" w:lineRule="atLeast"/>
        <w:jc w:val="both"/>
        <w:rPr>
          <w:sz w:val="28"/>
          <w:szCs w:val="28"/>
        </w:rPr>
      </w:pPr>
    </w:p>
    <w:p w14:paraId="458F1EA1" w14:textId="021A24BB" w:rsidR="00DD66C0" w:rsidRDefault="004F681B" w:rsidP="00CC5641">
      <w:pPr>
        <w:pStyle w:val="NormalWeb"/>
        <w:shd w:val="clear" w:color="auto" w:fill="FFFFFF"/>
        <w:spacing w:before="144" w:beforeAutospacing="0" w:after="288" w:afterAutospacing="0" w:line="480" w:lineRule="atLeast"/>
        <w:ind w:left="720" w:hanging="720"/>
        <w:jc w:val="both"/>
        <w:rPr>
          <w:sz w:val="28"/>
          <w:szCs w:val="28"/>
        </w:rPr>
      </w:pPr>
      <w:r>
        <w:rPr>
          <w:sz w:val="28"/>
          <w:szCs w:val="28"/>
        </w:rPr>
        <w:t>[6</w:t>
      </w:r>
      <w:r w:rsidR="000424B5">
        <w:rPr>
          <w:sz w:val="28"/>
          <w:szCs w:val="28"/>
        </w:rPr>
        <w:t>4</w:t>
      </w:r>
      <w:r>
        <w:rPr>
          <w:sz w:val="28"/>
          <w:szCs w:val="28"/>
        </w:rPr>
        <w:t>]</w:t>
      </w:r>
      <w:r>
        <w:rPr>
          <w:sz w:val="28"/>
          <w:szCs w:val="28"/>
        </w:rPr>
        <w:tab/>
      </w:r>
      <w:r w:rsidR="000424B5">
        <w:rPr>
          <w:sz w:val="28"/>
          <w:szCs w:val="28"/>
        </w:rPr>
        <w:t xml:space="preserve">In its research </w:t>
      </w:r>
      <w:r>
        <w:rPr>
          <w:sz w:val="28"/>
          <w:szCs w:val="28"/>
        </w:rPr>
        <w:t xml:space="preserve">the Court </w:t>
      </w:r>
      <w:r w:rsidR="000424B5">
        <w:rPr>
          <w:sz w:val="28"/>
          <w:szCs w:val="28"/>
        </w:rPr>
        <w:t xml:space="preserve">found and </w:t>
      </w:r>
      <w:r>
        <w:rPr>
          <w:sz w:val="28"/>
          <w:szCs w:val="28"/>
        </w:rPr>
        <w:t xml:space="preserve">considered the case of </w:t>
      </w:r>
      <w:r w:rsidRPr="001B36E1">
        <w:rPr>
          <w:b/>
          <w:bCs/>
          <w:sz w:val="28"/>
          <w:szCs w:val="28"/>
        </w:rPr>
        <w:t>Ru</w:t>
      </w:r>
      <w:r w:rsidR="001B36E1" w:rsidRPr="001B36E1">
        <w:rPr>
          <w:b/>
          <w:bCs/>
          <w:sz w:val="28"/>
          <w:szCs w:val="28"/>
        </w:rPr>
        <w:t>ssell v The Attorney General for the State of Saint Vincent and Grenadines and Others (Saint Vincent and The Grenadines)</w:t>
      </w:r>
      <w:r w:rsidR="001B36E1">
        <w:rPr>
          <w:rStyle w:val="FootnoteReference"/>
          <w:sz w:val="28"/>
          <w:szCs w:val="28"/>
        </w:rPr>
        <w:footnoteReference w:id="26"/>
      </w:r>
      <w:r w:rsidR="0074067B" w:rsidRPr="0074067B">
        <w:rPr>
          <w:sz w:val="28"/>
          <w:szCs w:val="28"/>
        </w:rPr>
        <w:t>.</w:t>
      </w:r>
      <w:r w:rsidR="001B36E1">
        <w:rPr>
          <w:sz w:val="28"/>
          <w:szCs w:val="28"/>
        </w:rPr>
        <w:t xml:space="preserve"> </w:t>
      </w:r>
      <w:r w:rsidR="000424B5">
        <w:rPr>
          <w:sz w:val="28"/>
          <w:szCs w:val="28"/>
        </w:rPr>
        <w:t xml:space="preserve">This authority was not referred to by Counsel in their heads of argument. </w:t>
      </w:r>
      <w:r w:rsidR="0074067B">
        <w:rPr>
          <w:sz w:val="28"/>
          <w:szCs w:val="28"/>
        </w:rPr>
        <w:t>T</w:t>
      </w:r>
      <w:r w:rsidR="001B36E1">
        <w:rPr>
          <w:sz w:val="28"/>
          <w:szCs w:val="28"/>
        </w:rPr>
        <w:t xml:space="preserve">he Privy Council had to interpret </w:t>
      </w:r>
      <w:r w:rsidR="00973AF2">
        <w:rPr>
          <w:sz w:val="28"/>
          <w:szCs w:val="28"/>
        </w:rPr>
        <w:t xml:space="preserve">sections 33 and 49 </w:t>
      </w:r>
      <w:r w:rsidR="008823D4">
        <w:rPr>
          <w:sz w:val="28"/>
          <w:szCs w:val="28"/>
        </w:rPr>
        <w:t xml:space="preserve">of </w:t>
      </w:r>
      <w:r w:rsidR="001B36E1">
        <w:rPr>
          <w:sz w:val="28"/>
          <w:szCs w:val="28"/>
        </w:rPr>
        <w:t xml:space="preserve">the Constitution </w:t>
      </w:r>
      <w:r w:rsidR="00973AF2">
        <w:rPr>
          <w:sz w:val="28"/>
          <w:szCs w:val="28"/>
        </w:rPr>
        <w:t>of Saint Vincent and the Grenadines. S</w:t>
      </w:r>
      <w:r w:rsidR="001B36E1">
        <w:rPr>
          <w:sz w:val="28"/>
          <w:szCs w:val="28"/>
        </w:rPr>
        <w:t xml:space="preserve">ection 33 provided for </w:t>
      </w:r>
      <w:r w:rsidR="00973AF2">
        <w:rPr>
          <w:sz w:val="28"/>
          <w:szCs w:val="28"/>
        </w:rPr>
        <w:t xml:space="preserve">the appointment of a Constituency Boundaries Commission </w:t>
      </w:r>
      <w:r w:rsidR="008823D4">
        <w:rPr>
          <w:sz w:val="28"/>
          <w:szCs w:val="28"/>
        </w:rPr>
        <w:t xml:space="preserve">to </w:t>
      </w:r>
      <w:r w:rsidR="001B36E1">
        <w:rPr>
          <w:sz w:val="28"/>
          <w:szCs w:val="28"/>
        </w:rPr>
        <w:t xml:space="preserve">review and </w:t>
      </w:r>
      <w:r w:rsidR="008823D4">
        <w:rPr>
          <w:sz w:val="28"/>
          <w:szCs w:val="28"/>
        </w:rPr>
        <w:t xml:space="preserve">delimit </w:t>
      </w:r>
      <w:r w:rsidR="001B36E1">
        <w:rPr>
          <w:sz w:val="28"/>
          <w:szCs w:val="28"/>
        </w:rPr>
        <w:t>constituenc</w:t>
      </w:r>
      <w:r w:rsidR="008823D4">
        <w:rPr>
          <w:sz w:val="28"/>
          <w:szCs w:val="28"/>
        </w:rPr>
        <w:t xml:space="preserve">y </w:t>
      </w:r>
      <w:r w:rsidR="001B36E1">
        <w:rPr>
          <w:sz w:val="28"/>
          <w:szCs w:val="28"/>
        </w:rPr>
        <w:t xml:space="preserve">boundaries </w:t>
      </w:r>
      <w:r w:rsidR="0074067B">
        <w:rPr>
          <w:sz w:val="28"/>
          <w:szCs w:val="28"/>
        </w:rPr>
        <w:t xml:space="preserve">to observe </w:t>
      </w:r>
      <w:r w:rsidR="001B36E1">
        <w:rPr>
          <w:sz w:val="28"/>
          <w:szCs w:val="28"/>
        </w:rPr>
        <w:t xml:space="preserve">voter parity whenever a population census was held. Section 49 </w:t>
      </w:r>
      <w:r w:rsidR="008823D4">
        <w:rPr>
          <w:sz w:val="28"/>
          <w:szCs w:val="28"/>
        </w:rPr>
        <w:t xml:space="preserve">provided that </w:t>
      </w:r>
      <w:r w:rsidR="00973AF2">
        <w:rPr>
          <w:sz w:val="28"/>
          <w:szCs w:val="28"/>
        </w:rPr>
        <w:t>“</w:t>
      </w:r>
      <w:r w:rsidR="001B36E1">
        <w:rPr>
          <w:sz w:val="28"/>
          <w:szCs w:val="28"/>
        </w:rPr>
        <w:t xml:space="preserve">elections shall be held </w:t>
      </w:r>
      <w:r w:rsidR="00973AF2">
        <w:rPr>
          <w:sz w:val="28"/>
          <w:szCs w:val="28"/>
        </w:rPr>
        <w:t>at such time within ninety days after any dissolution of Parliament</w:t>
      </w:r>
      <w:r w:rsidR="008823D4">
        <w:rPr>
          <w:sz w:val="28"/>
          <w:szCs w:val="28"/>
        </w:rPr>
        <w:t>…”</w:t>
      </w:r>
      <w:r w:rsidR="0074067B">
        <w:rPr>
          <w:sz w:val="28"/>
          <w:szCs w:val="28"/>
        </w:rPr>
        <w:t>.</w:t>
      </w:r>
      <w:r w:rsidR="00973AF2">
        <w:rPr>
          <w:sz w:val="28"/>
          <w:szCs w:val="28"/>
        </w:rPr>
        <w:t xml:space="preserve"> </w:t>
      </w:r>
      <w:r w:rsidR="001B36E1">
        <w:rPr>
          <w:sz w:val="28"/>
          <w:szCs w:val="28"/>
        </w:rPr>
        <w:t xml:space="preserve"> </w:t>
      </w:r>
      <w:r w:rsidR="008823D4">
        <w:rPr>
          <w:sz w:val="28"/>
          <w:szCs w:val="28"/>
        </w:rPr>
        <w:t xml:space="preserve">There were constitutional lapses in the appointment of the Commission </w:t>
      </w:r>
      <w:r w:rsidR="00DD66C0">
        <w:rPr>
          <w:sz w:val="28"/>
          <w:szCs w:val="28"/>
        </w:rPr>
        <w:t xml:space="preserve">which led to the </w:t>
      </w:r>
      <w:r w:rsidR="008823D4">
        <w:rPr>
          <w:sz w:val="28"/>
          <w:szCs w:val="28"/>
        </w:rPr>
        <w:t xml:space="preserve">elections </w:t>
      </w:r>
      <w:r w:rsidR="00DD66C0">
        <w:rPr>
          <w:sz w:val="28"/>
          <w:szCs w:val="28"/>
        </w:rPr>
        <w:t xml:space="preserve">being held </w:t>
      </w:r>
      <w:r w:rsidR="008823D4">
        <w:rPr>
          <w:sz w:val="28"/>
          <w:szCs w:val="28"/>
        </w:rPr>
        <w:t>with</w:t>
      </w:r>
      <w:r w:rsidR="00DD66C0">
        <w:rPr>
          <w:sz w:val="28"/>
          <w:szCs w:val="28"/>
        </w:rPr>
        <w:t xml:space="preserve">out the reviewed and altered </w:t>
      </w:r>
      <w:r w:rsidR="008823D4">
        <w:rPr>
          <w:sz w:val="28"/>
          <w:szCs w:val="28"/>
        </w:rPr>
        <w:t>constituencies</w:t>
      </w:r>
      <w:r w:rsidR="00DD66C0">
        <w:rPr>
          <w:sz w:val="28"/>
          <w:szCs w:val="28"/>
        </w:rPr>
        <w:t xml:space="preserve"> contrary to section 33</w:t>
      </w:r>
      <w:r w:rsidR="008823D4">
        <w:rPr>
          <w:sz w:val="28"/>
          <w:szCs w:val="28"/>
        </w:rPr>
        <w:t xml:space="preserve">. </w:t>
      </w:r>
    </w:p>
    <w:p w14:paraId="3FFFBB6D" w14:textId="77777777" w:rsidR="00A6473A" w:rsidRDefault="00A6473A" w:rsidP="00CC5641">
      <w:pPr>
        <w:pStyle w:val="NormalWeb"/>
        <w:shd w:val="clear" w:color="auto" w:fill="FFFFFF"/>
        <w:spacing w:before="144" w:beforeAutospacing="0" w:after="288" w:afterAutospacing="0" w:line="480" w:lineRule="atLeast"/>
        <w:ind w:left="720" w:hanging="720"/>
        <w:jc w:val="both"/>
        <w:rPr>
          <w:sz w:val="28"/>
          <w:szCs w:val="28"/>
        </w:rPr>
      </w:pPr>
    </w:p>
    <w:p w14:paraId="08C251DA" w14:textId="50C625DB" w:rsidR="007449FB" w:rsidRDefault="00DD66C0" w:rsidP="00CC5641">
      <w:pPr>
        <w:pStyle w:val="NormalWeb"/>
        <w:shd w:val="clear" w:color="auto" w:fill="FFFFFF"/>
        <w:spacing w:before="144" w:beforeAutospacing="0" w:after="288" w:afterAutospacing="0" w:line="480" w:lineRule="atLeast"/>
        <w:ind w:left="720" w:hanging="720"/>
        <w:jc w:val="both"/>
        <w:rPr>
          <w:sz w:val="28"/>
          <w:szCs w:val="28"/>
        </w:rPr>
      </w:pPr>
      <w:r>
        <w:rPr>
          <w:sz w:val="28"/>
          <w:szCs w:val="28"/>
        </w:rPr>
        <w:t>[6</w:t>
      </w:r>
      <w:r w:rsidR="000424B5">
        <w:rPr>
          <w:sz w:val="28"/>
          <w:szCs w:val="28"/>
        </w:rPr>
        <w:t>5</w:t>
      </w:r>
      <w:r>
        <w:rPr>
          <w:sz w:val="28"/>
          <w:szCs w:val="28"/>
        </w:rPr>
        <w:t>]</w:t>
      </w:r>
      <w:r>
        <w:rPr>
          <w:sz w:val="28"/>
          <w:szCs w:val="28"/>
        </w:rPr>
        <w:tab/>
      </w:r>
      <w:r w:rsidR="008823D4">
        <w:rPr>
          <w:sz w:val="28"/>
          <w:szCs w:val="28"/>
        </w:rPr>
        <w:t>The Privy Council h</w:t>
      </w:r>
      <w:r>
        <w:rPr>
          <w:sz w:val="28"/>
          <w:szCs w:val="28"/>
        </w:rPr>
        <w:t xml:space="preserve">eld that the </w:t>
      </w:r>
      <w:r w:rsidR="008823D4">
        <w:rPr>
          <w:sz w:val="28"/>
          <w:szCs w:val="28"/>
        </w:rPr>
        <w:t>appointment of a Boundaries Commission was not a condition precedent to a valid election</w:t>
      </w:r>
      <w:r>
        <w:rPr>
          <w:sz w:val="28"/>
          <w:szCs w:val="28"/>
        </w:rPr>
        <w:t>. It dismissed the argument that a fresh delineation of the boundaries must be completed before election</w:t>
      </w:r>
      <w:r w:rsidR="006766A6">
        <w:rPr>
          <w:sz w:val="28"/>
          <w:szCs w:val="28"/>
        </w:rPr>
        <w:t>s were held</w:t>
      </w:r>
      <w:r>
        <w:rPr>
          <w:sz w:val="28"/>
          <w:szCs w:val="28"/>
        </w:rPr>
        <w:t xml:space="preserve"> </w:t>
      </w:r>
      <w:r w:rsidR="006766A6">
        <w:rPr>
          <w:sz w:val="28"/>
          <w:szCs w:val="28"/>
        </w:rPr>
        <w:t xml:space="preserve">on the ground that </w:t>
      </w:r>
      <w:r>
        <w:rPr>
          <w:sz w:val="28"/>
          <w:szCs w:val="28"/>
        </w:rPr>
        <w:t>it flew in the face of section 49 which required elections to be held within ninety days of the dissolution of Parliament as doing otherwise would leave the State with no Government.</w:t>
      </w:r>
      <w:r w:rsidR="007449FB">
        <w:rPr>
          <w:sz w:val="28"/>
          <w:szCs w:val="28"/>
        </w:rPr>
        <w:t xml:space="preserve"> </w:t>
      </w:r>
    </w:p>
    <w:p w14:paraId="5CA72A8F" w14:textId="77777777" w:rsidR="00A6473A" w:rsidRDefault="00A6473A" w:rsidP="00CC5641">
      <w:pPr>
        <w:pStyle w:val="NormalWeb"/>
        <w:shd w:val="clear" w:color="auto" w:fill="FFFFFF"/>
        <w:spacing w:before="144" w:beforeAutospacing="0" w:after="288" w:afterAutospacing="0" w:line="480" w:lineRule="atLeast"/>
        <w:ind w:left="720" w:hanging="720"/>
        <w:jc w:val="both"/>
        <w:rPr>
          <w:sz w:val="28"/>
          <w:szCs w:val="28"/>
        </w:rPr>
      </w:pPr>
    </w:p>
    <w:p w14:paraId="6663EC20" w14:textId="14188E49" w:rsidR="00E1125A" w:rsidRDefault="007449FB" w:rsidP="00CC5641">
      <w:pPr>
        <w:pStyle w:val="NormalWeb"/>
        <w:shd w:val="clear" w:color="auto" w:fill="FFFFFF"/>
        <w:spacing w:before="144" w:beforeAutospacing="0" w:after="288" w:afterAutospacing="0" w:line="480" w:lineRule="atLeast"/>
        <w:ind w:left="720" w:hanging="720"/>
        <w:jc w:val="both"/>
        <w:rPr>
          <w:sz w:val="28"/>
          <w:szCs w:val="28"/>
        </w:rPr>
      </w:pPr>
      <w:r>
        <w:rPr>
          <w:sz w:val="28"/>
          <w:szCs w:val="28"/>
        </w:rPr>
        <w:lastRenderedPageBreak/>
        <w:t>[6</w:t>
      </w:r>
      <w:r w:rsidR="000424B5">
        <w:rPr>
          <w:sz w:val="28"/>
          <w:szCs w:val="28"/>
        </w:rPr>
        <w:t>6</w:t>
      </w:r>
      <w:r>
        <w:rPr>
          <w:sz w:val="28"/>
          <w:szCs w:val="28"/>
        </w:rPr>
        <w:t>]</w:t>
      </w:r>
      <w:r>
        <w:rPr>
          <w:sz w:val="28"/>
          <w:szCs w:val="28"/>
        </w:rPr>
        <w:tab/>
      </w:r>
      <w:r w:rsidR="000424B5">
        <w:rPr>
          <w:sz w:val="28"/>
          <w:szCs w:val="28"/>
        </w:rPr>
        <w:t xml:space="preserve">But, the </w:t>
      </w:r>
      <w:r>
        <w:rPr>
          <w:sz w:val="28"/>
          <w:szCs w:val="28"/>
        </w:rPr>
        <w:t>Court is not persuaded by th</w:t>
      </w:r>
      <w:r w:rsidR="000424B5">
        <w:rPr>
          <w:sz w:val="28"/>
          <w:szCs w:val="28"/>
        </w:rPr>
        <w:t xml:space="preserve">is </w:t>
      </w:r>
      <w:r>
        <w:rPr>
          <w:sz w:val="28"/>
          <w:szCs w:val="28"/>
        </w:rPr>
        <w:t>reasoning</w:t>
      </w:r>
      <w:r w:rsidR="000424B5">
        <w:rPr>
          <w:sz w:val="28"/>
          <w:szCs w:val="28"/>
        </w:rPr>
        <w:t xml:space="preserve">. It fails to make the necessary </w:t>
      </w:r>
      <w:r>
        <w:rPr>
          <w:sz w:val="28"/>
          <w:szCs w:val="28"/>
        </w:rPr>
        <w:t xml:space="preserve">link between installing a new Government and the right to elect </w:t>
      </w:r>
      <w:r w:rsidR="000424B5">
        <w:rPr>
          <w:sz w:val="28"/>
          <w:szCs w:val="28"/>
        </w:rPr>
        <w:t xml:space="preserve">that Government </w:t>
      </w:r>
      <w:r>
        <w:rPr>
          <w:sz w:val="28"/>
          <w:szCs w:val="28"/>
        </w:rPr>
        <w:t>by a process which gives effect to the principles of voter parity in section 67(2) of the Constitution</w:t>
      </w:r>
      <w:r w:rsidR="000424B5">
        <w:rPr>
          <w:sz w:val="28"/>
          <w:szCs w:val="28"/>
        </w:rPr>
        <w:t xml:space="preserve">. </w:t>
      </w:r>
      <w:r>
        <w:rPr>
          <w:sz w:val="28"/>
          <w:szCs w:val="28"/>
        </w:rPr>
        <w:t xml:space="preserve">Tellingly, </w:t>
      </w:r>
      <w:r w:rsidR="0074067B">
        <w:rPr>
          <w:sz w:val="28"/>
          <w:szCs w:val="28"/>
        </w:rPr>
        <w:t xml:space="preserve">the delay in holding </w:t>
      </w:r>
      <w:r>
        <w:rPr>
          <w:sz w:val="28"/>
          <w:szCs w:val="28"/>
        </w:rPr>
        <w:t xml:space="preserve">elections </w:t>
      </w:r>
      <w:r w:rsidR="0074067B">
        <w:rPr>
          <w:sz w:val="28"/>
          <w:szCs w:val="28"/>
        </w:rPr>
        <w:t xml:space="preserve">in order to ensure that constituencies are constitutionally compliant does </w:t>
      </w:r>
      <w:r>
        <w:rPr>
          <w:sz w:val="28"/>
          <w:szCs w:val="28"/>
        </w:rPr>
        <w:t>not mean</w:t>
      </w:r>
      <w:r w:rsidR="0074067B">
        <w:rPr>
          <w:sz w:val="28"/>
          <w:szCs w:val="28"/>
        </w:rPr>
        <w:t xml:space="preserve"> that</w:t>
      </w:r>
      <w:r>
        <w:rPr>
          <w:sz w:val="28"/>
          <w:szCs w:val="28"/>
        </w:rPr>
        <w:t xml:space="preserve"> there would be no Government </w:t>
      </w:r>
      <w:r w:rsidR="0074067B">
        <w:rPr>
          <w:sz w:val="28"/>
          <w:szCs w:val="28"/>
        </w:rPr>
        <w:t>as there can never be a vacuum.</w:t>
      </w:r>
      <w:r w:rsidR="000424B5">
        <w:rPr>
          <w:sz w:val="28"/>
          <w:szCs w:val="28"/>
        </w:rPr>
        <w:t xml:space="preserve"> If necessary, the current Government should hold fort until all constituencies can hold elections.</w:t>
      </w:r>
    </w:p>
    <w:p w14:paraId="0D17544C" w14:textId="77777777" w:rsidR="00A6473A" w:rsidRDefault="00A6473A" w:rsidP="00CC5641">
      <w:pPr>
        <w:pStyle w:val="NormalWeb"/>
        <w:shd w:val="clear" w:color="auto" w:fill="FFFFFF"/>
        <w:spacing w:before="144" w:beforeAutospacing="0" w:after="288" w:afterAutospacing="0" w:line="480" w:lineRule="atLeast"/>
        <w:ind w:left="720" w:hanging="720"/>
        <w:jc w:val="both"/>
        <w:rPr>
          <w:sz w:val="28"/>
          <w:szCs w:val="28"/>
        </w:rPr>
      </w:pPr>
    </w:p>
    <w:p w14:paraId="72C27DC7" w14:textId="77777777" w:rsidR="008543F1" w:rsidRDefault="00E1125A" w:rsidP="001D7CA3">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0424B5">
        <w:rPr>
          <w:sz w:val="28"/>
          <w:szCs w:val="28"/>
        </w:rPr>
        <w:t>67</w:t>
      </w:r>
      <w:r>
        <w:rPr>
          <w:sz w:val="28"/>
          <w:szCs w:val="28"/>
        </w:rPr>
        <w:t>]</w:t>
      </w:r>
      <w:r>
        <w:rPr>
          <w:sz w:val="28"/>
          <w:szCs w:val="28"/>
        </w:rPr>
        <w:tab/>
        <w:t xml:space="preserve">Constitutionally compliant constituencies </w:t>
      </w:r>
      <w:r w:rsidR="00AA2268">
        <w:rPr>
          <w:sz w:val="28"/>
          <w:szCs w:val="28"/>
        </w:rPr>
        <w:t>are</w:t>
      </w:r>
      <w:r>
        <w:rPr>
          <w:sz w:val="28"/>
          <w:szCs w:val="28"/>
        </w:rPr>
        <w:t xml:space="preserve"> a </w:t>
      </w:r>
      <w:r w:rsidRPr="00E1125A">
        <w:rPr>
          <w:i/>
          <w:iCs/>
          <w:sz w:val="28"/>
          <w:szCs w:val="28"/>
        </w:rPr>
        <w:t>sine qua non</w:t>
      </w:r>
      <w:r>
        <w:rPr>
          <w:sz w:val="28"/>
          <w:szCs w:val="28"/>
        </w:rPr>
        <w:t xml:space="preserve"> for holding</w:t>
      </w:r>
      <w:r w:rsidR="001D7CA3">
        <w:rPr>
          <w:sz w:val="28"/>
          <w:szCs w:val="28"/>
        </w:rPr>
        <w:t xml:space="preserve"> credible </w:t>
      </w:r>
      <w:r>
        <w:rPr>
          <w:sz w:val="28"/>
          <w:szCs w:val="28"/>
        </w:rPr>
        <w:t>elections</w:t>
      </w:r>
      <w:r w:rsidR="001D7CA3">
        <w:rPr>
          <w:sz w:val="28"/>
          <w:szCs w:val="28"/>
        </w:rPr>
        <w:t>.</w:t>
      </w:r>
      <w:r>
        <w:rPr>
          <w:sz w:val="28"/>
          <w:szCs w:val="28"/>
        </w:rPr>
        <w:t xml:space="preserve"> </w:t>
      </w:r>
      <w:r w:rsidR="001D7CA3">
        <w:rPr>
          <w:sz w:val="28"/>
          <w:szCs w:val="28"/>
        </w:rPr>
        <w:t>T</w:t>
      </w:r>
      <w:r>
        <w:rPr>
          <w:sz w:val="28"/>
          <w:szCs w:val="28"/>
        </w:rPr>
        <w:t xml:space="preserve">he </w:t>
      </w:r>
      <w:r w:rsidR="0074067B">
        <w:rPr>
          <w:sz w:val="28"/>
          <w:szCs w:val="28"/>
        </w:rPr>
        <w:t>holding of elections</w:t>
      </w:r>
      <w:r>
        <w:rPr>
          <w:sz w:val="28"/>
          <w:szCs w:val="28"/>
        </w:rPr>
        <w:t xml:space="preserve"> within</w:t>
      </w:r>
      <w:r w:rsidR="0074067B">
        <w:rPr>
          <w:sz w:val="28"/>
          <w:szCs w:val="28"/>
        </w:rPr>
        <w:t xml:space="preserve"> </w:t>
      </w:r>
      <w:r>
        <w:rPr>
          <w:sz w:val="28"/>
          <w:szCs w:val="28"/>
        </w:rPr>
        <w:t>the</w:t>
      </w:r>
      <w:r w:rsidR="001D7CA3">
        <w:rPr>
          <w:sz w:val="28"/>
          <w:szCs w:val="28"/>
        </w:rPr>
        <w:t xml:space="preserve"> three months</w:t>
      </w:r>
      <w:r>
        <w:rPr>
          <w:sz w:val="28"/>
          <w:szCs w:val="28"/>
        </w:rPr>
        <w:t xml:space="preserve"> period prescribed by section 84 of the Constitution is premised on existence of </w:t>
      </w:r>
      <w:r w:rsidR="00551675">
        <w:rPr>
          <w:sz w:val="28"/>
          <w:szCs w:val="28"/>
        </w:rPr>
        <w:t xml:space="preserve">eighty </w:t>
      </w:r>
      <w:r>
        <w:rPr>
          <w:sz w:val="28"/>
          <w:szCs w:val="28"/>
        </w:rPr>
        <w:t xml:space="preserve">constitutionally compliant constituencies. It follows that if there is a problem with constituencies, no elections can be held </w:t>
      </w:r>
      <w:r w:rsidR="001D7CA3">
        <w:rPr>
          <w:sz w:val="28"/>
          <w:szCs w:val="28"/>
        </w:rPr>
        <w:t xml:space="preserve">within the prescribed period if the problem is not addressed. </w:t>
      </w:r>
      <w:r w:rsidR="00AA2268">
        <w:rPr>
          <w:sz w:val="28"/>
          <w:szCs w:val="28"/>
        </w:rPr>
        <w:t xml:space="preserve">Based on the doctrine of objective constitutional validity, the twenty constituencies are invalid. </w:t>
      </w:r>
      <w:r w:rsidR="00127F5C">
        <w:rPr>
          <w:sz w:val="28"/>
          <w:szCs w:val="28"/>
        </w:rPr>
        <w:t xml:space="preserve">Even </w:t>
      </w:r>
      <w:r w:rsidR="00AA2268">
        <w:rPr>
          <w:sz w:val="28"/>
          <w:szCs w:val="28"/>
        </w:rPr>
        <w:t xml:space="preserve">absent a declarator </w:t>
      </w:r>
      <w:r w:rsidR="00127F5C">
        <w:rPr>
          <w:sz w:val="28"/>
          <w:szCs w:val="28"/>
        </w:rPr>
        <w:t>regarding the</w:t>
      </w:r>
      <w:r w:rsidR="00AA2268">
        <w:rPr>
          <w:sz w:val="28"/>
          <w:szCs w:val="28"/>
        </w:rPr>
        <w:t>ir invalidity</w:t>
      </w:r>
      <w:r w:rsidR="00127F5C">
        <w:rPr>
          <w:sz w:val="28"/>
          <w:szCs w:val="28"/>
        </w:rPr>
        <w:t>, the</w:t>
      </w:r>
      <w:r w:rsidR="00AA2268">
        <w:rPr>
          <w:sz w:val="28"/>
          <w:szCs w:val="28"/>
        </w:rPr>
        <w:t xml:space="preserve"> </w:t>
      </w:r>
      <w:r w:rsidR="00127F5C">
        <w:rPr>
          <w:sz w:val="28"/>
          <w:szCs w:val="28"/>
        </w:rPr>
        <w:t>Constitution already</w:t>
      </w:r>
      <w:r w:rsidR="00AA2268">
        <w:rPr>
          <w:sz w:val="28"/>
          <w:szCs w:val="28"/>
        </w:rPr>
        <w:t xml:space="preserve"> does not recognise them by virtue of its Supremacy Clause (section 2) which</w:t>
      </w:r>
      <w:r w:rsidR="00127F5C">
        <w:rPr>
          <w:sz w:val="28"/>
          <w:szCs w:val="28"/>
        </w:rPr>
        <w:t xml:space="preserve"> considers them void.   As a result, going ahead </w:t>
      </w:r>
      <w:r w:rsidR="001D7CA3">
        <w:rPr>
          <w:sz w:val="28"/>
          <w:szCs w:val="28"/>
        </w:rPr>
        <w:t xml:space="preserve">to hold </w:t>
      </w:r>
      <w:r w:rsidR="00127F5C">
        <w:rPr>
          <w:sz w:val="28"/>
          <w:szCs w:val="28"/>
        </w:rPr>
        <w:t xml:space="preserve">elections </w:t>
      </w:r>
      <w:r w:rsidR="00AA2268">
        <w:rPr>
          <w:sz w:val="28"/>
          <w:szCs w:val="28"/>
        </w:rPr>
        <w:t xml:space="preserve">before </w:t>
      </w:r>
      <w:r w:rsidR="00127F5C">
        <w:rPr>
          <w:sz w:val="28"/>
          <w:szCs w:val="28"/>
        </w:rPr>
        <w:t>the constituencies</w:t>
      </w:r>
      <w:r w:rsidR="00AA2268">
        <w:rPr>
          <w:sz w:val="28"/>
          <w:szCs w:val="28"/>
        </w:rPr>
        <w:t xml:space="preserve"> are</w:t>
      </w:r>
      <w:r w:rsidR="00127F5C">
        <w:rPr>
          <w:sz w:val="28"/>
          <w:szCs w:val="28"/>
        </w:rPr>
        <w:t xml:space="preserve"> corrected, will be tantamount to </w:t>
      </w:r>
      <w:r w:rsidR="001D7CA3">
        <w:rPr>
          <w:sz w:val="28"/>
          <w:szCs w:val="28"/>
        </w:rPr>
        <w:t xml:space="preserve">conducting elections on the basis of legally flawed </w:t>
      </w:r>
      <w:r w:rsidR="00127F5C">
        <w:rPr>
          <w:sz w:val="28"/>
          <w:szCs w:val="28"/>
        </w:rPr>
        <w:t xml:space="preserve">constituencies thereby desecrating the Constitution. </w:t>
      </w:r>
    </w:p>
    <w:p w14:paraId="4744DAFD" w14:textId="77777777" w:rsidR="008543F1" w:rsidRDefault="008543F1" w:rsidP="001D7CA3">
      <w:pPr>
        <w:pStyle w:val="NormalWeb"/>
        <w:shd w:val="clear" w:color="auto" w:fill="FFFFFF"/>
        <w:spacing w:before="144" w:beforeAutospacing="0" w:after="288" w:afterAutospacing="0" w:line="480" w:lineRule="atLeast"/>
        <w:ind w:left="720" w:hanging="720"/>
        <w:jc w:val="both"/>
        <w:rPr>
          <w:sz w:val="28"/>
          <w:szCs w:val="28"/>
        </w:rPr>
      </w:pPr>
    </w:p>
    <w:p w14:paraId="76C12A95" w14:textId="77777777" w:rsidR="008543F1" w:rsidRDefault="008543F1" w:rsidP="001D7CA3">
      <w:pPr>
        <w:pStyle w:val="NormalWeb"/>
        <w:shd w:val="clear" w:color="auto" w:fill="FFFFFF"/>
        <w:spacing w:before="144" w:beforeAutospacing="0" w:after="288" w:afterAutospacing="0" w:line="480" w:lineRule="atLeast"/>
        <w:ind w:left="720" w:hanging="720"/>
        <w:jc w:val="both"/>
        <w:rPr>
          <w:sz w:val="28"/>
          <w:szCs w:val="28"/>
        </w:rPr>
      </w:pPr>
    </w:p>
    <w:p w14:paraId="63A675EC" w14:textId="3791FDC4" w:rsidR="00351828" w:rsidRDefault="00351828" w:rsidP="001D7CA3">
      <w:pPr>
        <w:pStyle w:val="NormalWeb"/>
        <w:shd w:val="clear" w:color="auto" w:fill="FFFFFF"/>
        <w:spacing w:before="144" w:beforeAutospacing="0" w:after="288" w:afterAutospacing="0" w:line="480" w:lineRule="atLeast"/>
        <w:ind w:left="720" w:hanging="720"/>
        <w:jc w:val="both"/>
        <w:rPr>
          <w:sz w:val="28"/>
          <w:szCs w:val="28"/>
        </w:rPr>
      </w:pPr>
      <w:r>
        <w:rPr>
          <w:sz w:val="28"/>
          <w:szCs w:val="28"/>
        </w:rPr>
        <w:tab/>
      </w:r>
    </w:p>
    <w:p w14:paraId="50185673" w14:textId="2FB63709" w:rsidR="001D7CA3" w:rsidRPr="008543F1" w:rsidRDefault="001D7CA3" w:rsidP="0084033A">
      <w:pPr>
        <w:pStyle w:val="NormalWeb"/>
        <w:shd w:val="clear" w:color="auto" w:fill="FFFFFF"/>
        <w:spacing w:before="144" w:beforeAutospacing="0" w:after="288" w:afterAutospacing="0" w:line="480" w:lineRule="atLeast"/>
        <w:ind w:left="720" w:hanging="720"/>
        <w:jc w:val="both"/>
        <w:rPr>
          <w:b/>
          <w:bCs/>
          <w:sz w:val="32"/>
          <w:szCs w:val="32"/>
        </w:rPr>
      </w:pPr>
      <w:r w:rsidRPr="008543F1">
        <w:rPr>
          <w:b/>
          <w:bCs/>
          <w:sz w:val="32"/>
          <w:szCs w:val="32"/>
        </w:rPr>
        <w:lastRenderedPageBreak/>
        <w:t>What must be done?</w:t>
      </w:r>
    </w:p>
    <w:p w14:paraId="0406BBE0" w14:textId="2169F878" w:rsidR="00351828" w:rsidRDefault="00351828" w:rsidP="00351828">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1D7CA3">
        <w:rPr>
          <w:sz w:val="28"/>
          <w:szCs w:val="28"/>
        </w:rPr>
        <w:t>68</w:t>
      </w:r>
      <w:r>
        <w:rPr>
          <w:sz w:val="28"/>
          <w:szCs w:val="28"/>
        </w:rPr>
        <w:t>]</w:t>
      </w:r>
      <w:r>
        <w:rPr>
          <w:sz w:val="28"/>
          <w:szCs w:val="28"/>
        </w:rPr>
        <w:tab/>
      </w:r>
      <w:r w:rsidR="00F21EF5">
        <w:rPr>
          <w:sz w:val="28"/>
          <w:szCs w:val="28"/>
        </w:rPr>
        <w:t>The Court considered whether the twenty non-compliant constituencies c</w:t>
      </w:r>
      <w:r w:rsidR="001D7CA3">
        <w:rPr>
          <w:sz w:val="28"/>
          <w:szCs w:val="28"/>
        </w:rPr>
        <w:t xml:space="preserve">an </w:t>
      </w:r>
      <w:r w:rsidR="00F21EF5">
        <w:rPr>
          <w:sz w:val="28"/>
          <w:szCs w:val="28"/>
        </w:rPr>
        <w:t>be severed from the rest</w:t>
      </w:r>
      <w:r w:rsidR="00F15284">
        <w:rPr>
          <w:sz w:val="28"/>
          <w:szCs w:val="28"/>
        </w:rPr>
        <w:t xml:space="preserve">. The </w:t>
      </w:r>
      <w:r>
        <w:rPr>
          <w:sz w:val="28"/>
          <w:szCs w:val="28"/>
        </w:rPr>
        <w:t xml:space="preserve">test of severance or severability is laid in </w:t>
      </w:r>
      <w:r w:rsidRPr="003E3843">
        <w:rPr>
          <w:b/>
          <w:bCs/>
          <w:sz w:val="28"/>
          <w:szCs w:val="28"/>
        </w:rPr>
        <w:t xml:space="preserve">R v. </w:t>
      </w:r>
      <w:proofErr w:type="spellStart"/>
      <w:r w:rsidRPr="003E3843">
        <w:rPr>
          <w:b/>
          <w:bCs/>
          <w:sz w:val="28"/>
          <w:szCs w:val="28"/>
        </w:rPr>
        <w:t>Phoofolo</w:t>
      </w:r>
      <w:proofErr w:type="spellEnd"/>
      <w:r w:rsidRPr="00312915">
        <w:rPr>
          <w:rStyle w:val="FootnoteReference"/>
          <w:sz w:val="28"/>
          <w:szCs w:val="28"/>
        </w:rPr>
        <w:footnoteReference w:id="27"/>
      </w:r>
      <w:r w:rsidRPr="00312915">
        <w:rPr>
          <w:sz w:val="28"/>
          <w:szCs w:val="28"/>
        </w:rPr>
        <w:t xml:space="preserve"> </w:t>
      </w:r>
      <w:r>
        <w:rPr>
          <w:sz w:val="28"/>
          <w:szCs w:val="28"/>
        </w:rPr>
        <w:t>as follows:</w:t>
      </w:r>
    </w:p>
    <w:p w14:paraId="11622B63" w14:textId="77777777" w:rsidR="00351828" w:rsidRPr="007739F6" w:rsidRDefault="00351828" w:rsidP="00351828">
      <w:pPr>
        <w:pStyle w:val="NormalWeb"/>
        <w:shd w:val="clear" w:color="auto" w:fill="FFFFFF"/>
        <w:spacing w:before="144" w:beforeAutospacing="0" w:after="288" w:afterAutospacing="0"/>
        <w:ind w:left="2160"/>
        <w:jc w:val="both"/>
      </w:pPr>
      <w:r w:rsidRPr="007739F6">
        <w:t xml:space="preserve">“The classical case on the test of ‘severability’ is the decision in </w:t>
      </w:r>
      <w:r w:rsidRPr="00EE0EE6">
        <w:rPr>
          <w:i/>
          <w:iCs/>
        </w:rPr>
        <w:t>Johannesburg City Council v. Chesterfield House (Pty) Ltd</w:t>
      </w:r>
      <w:r w:rsidRPr="007739F6">
        <w:t xml:space="preserve"> 1952(3) SA 809 (A) in which it was stated that:</w:t>
      </w:r>
    </w:p>
    <w:p w14:paraId="7E27327A" w14:textId="77777777" w:rsidR="00351828" w:rsidRPr="007739F6" w:rsidRDefault="00351828" w:rsidP="00351828">
      <w:pPr>
        <w:pStyle w:val="NormalWeb"/>
        <w:shd w:val="clear" w:color="auto" w:fill="FFFFFF"/>
        <w:spacing w:before="144" w:beforeAutospacing="0" w:after="288" w:afterAutospacing="0"/>
        <w:ind w:left="2880"/>
        <w:jc w:val="both"/>
        <w:rPr>
          <w:sz w:val="20"/>
          <w:szCs w:val="20"/>
        </w:rPr>
      </w:pPr>
      <w:r w:rsidRPr="007739F6">
        <w:rPr>
          <w:sz w:val="20"/>
          <w:szCs w:val="20"/>
        </w:rPr>
        <w:t>‘Where it is possible to separate the good from the bad in a statute and the good is not dependent on the bad, then that part of the statute which is good must be given effect to, provided that what remains carries out the main object of the statute.</w:t>
      </w:r>
      <w:r w:rsidRPr="007739F6">
        <w:rPr>
          <w:sz w:val="20"/>
          <w:szCs w:val="20"/>
        </w:rPr>
        <w:tab/>
      </w:r>
    </w:p>
    <w:p w14:paraId="659927F2" w14:textId="58BBB855" w:rsidR="00351828" w:rsidRDefault="00351828" w:rsidP="00C523B0">
      <w:pPr>
        <w:pStyle w:val="NormalWeb"/>
        <w:shd w:val="clear" w:color="auto" w:fill="FFFFFF"/>
        <w:spacing w:before="144" w:beforeAutospacing="0" w:after="288" w:afterAutospacing="0"/>
        <w:ind w:left="2880"/>
        <w:jc w:val="both"/>
        <w:rPr>
          <w:sz w:val="20"/>
          <w:szCs w:val="20"/>
        </w:rPr>
      </w:pPr>
      <w:r w:rsidRPr="007739F6">
        <w:rPr>
          <w:sz w:val="20"/>
          <w:szCs w:val="20"/>
        </w:rPr>
        <w:t xml:space="preserve">Where, however, the task of separating the bad from the good is of such complication that it is impracticable to do so, the whole statute must be declared </w:t>
      </w:r>
      <w:r w:rsidRPr="007739F6">
        <w:rPr>
          <w:i/>
          <w:iCs/>
          <w:sz w:val="20"/>
          <w:szCs w:val="20"/>
        </w:rPr>
        <w:t>ultra-vires</w:t>
      </w:r>
      <w:r w:rsidRPr="007739F6">
        <w:rPr>
          <w:sz w:val="20"/>
          <w:szCs w:val="20"/>
        </w:rPr>
        <w:t>.”</w:t>
      </w:r>
    </w:p>
    <w:p w14:paraId="349B78D6" w14:textId="77777777" w:rsidR="00A6473A" w:rsidRPr="00C523B0" w:rsidRDefault="00A6473A" w:rsidP="00C523B0">
      <w:pPr>
        <w:pStyle w:val="NormalWeb"/>
        <w:shd w:val="clear" w:color="auto" w:fill="FFFFFF"/>
        <w:spacing w:before="144" w:beforeAutospacing="0" w:after="288" w:afterAutospacing="0"/>
        <w:ind w:left="2880"/>
        <w:jc w:val="both"/>
        <w:rPr>
          <w:sz w:val="20"/>
          <w:szCs w:val="20"/>
        </w:rPr>
      </w:pPr>
    </w:p>
    <w:p w14:paraId="767F45FC" w14:textId="4B77690E" w:rsidR="00A635BA" w:rsidRDefault="00351828" w:rsidP="00CC08AE">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1D7CA3">
        <w:rPr>
          <w:sz w:val="28"/>
          <w:szCs w:val="28"/>
        </w:rPr>
        <w:t>69</w:t>
      </w:r>
      <w:r>
        <w:rPr>
          <w:sz w:val="28"/>
          <w:szCs w:val="28"/>
        </w:rPr>
        <w:t>]</w:t>
      </w:r>
      <w:r>
        <w:rPr>
          <w:sz w:val="28"/>
          <w:szCs w:val="28"/>
        </w:rPr>
        <w:tab/>
      </w:r>
      <w:r w:rsidR="00F15284">
        <w:rPr>
          <w:sz w:val="28"/>
          <w:szCs w:val="28"/>
        </w:rPr>
        <w:t>It is not possible to sever because elections have to be held on the same date throughout the Kingdom</w:t>
      </w:r>
      <w:r w:rsidR="0041583E">
        <w:rPr>
          <w:sz w:val="28"/>
          <w:szCs w:val="28"/>
        </w:rPr>
        <w:t xml:space="preserve"> in terms of section 80 of the </w:t>
      </w:r>
      <w:r w:rsidR="0041583E" w:rsidRPr="00C523B0">
        <w:rPr>
          <w:b/>
          <w:bCs/>
          <w:sz w:val="28"/>
          <w:szCs w:val="28"/>
        </w:rPr>
        <w:t>Electoral Act, 2011</w:t>
      </w:r>
      <w:r w:rsidR="0041583E">
        <w:rPr>
          <w:sz w:val="28"/>
          <w:szCs w:val="28"/>
        </w:rPr>
        <w:t xml:space="preserve">. </w:t>
      </w:r>
      <w:r w:rsidR="00E33421">
        <w:rPr>
          <w:sz w:val="28"/>
          <w:szCs w:val="28"/>
        </w:rPr>
        <w:t xml:space="preserve">The Constitution and the Act do not provide for partial or staggered elections. </w:t>
      </w:r>
      <w:r w:rsidR="001D7CA3">
        <w:rPr>
          <w:sz w:val="28"/>
          <w:szCs w:val="28"/>
        </w:rPr>
        <w:t>The eighty members of the National Assembly must be elected on the same day and enter the Parliament on the</w:t>
      </w:r>
      <w:r w:rsidR="00430A8E">
        <w:rPr>
          <w:sz w:val="28"/>
          <w:szCs w:val="28"/>
        </w:rPr>
        <w:t xml:space="preserve"> same</w:t>
      </w:r>
      <w:r w:rsidR="001D7CA3">
        <w:rPr>
          <w:sz w:val="28"/>
          <w:szCs w:val="28"/>
        </w:rPr>
        <w:t xml:space="preserve"> day with the other forty elected in accordance with the principle of proportional representation. </w:t>
      </w:r>
    </w:p>
    <w:p w14:paraId="3F062A95" w14:textId="77777777" w:rsidR="00A6473A" w:rsidRDefault="00A6473A" w:rsidP="00CC08AE">
      <w:pPr>
        <w:pStyle w:val="NormalWeb"/>
        <w:shd w:val="clear" w:color="auto" w:fill="FFFFFF"/>
        <w:spacing w:before="144" w:beforeAutospacing="0" w:after="288" w:afterAutospacing="0" w:line="480" w:lineRule="atLeast"/>
        <w:ind w:left="720" w:hanging="720"/>
        <w:jc w:val="both"/>
        <w:rPr>
          <w:sz w:val="28"/>
          <w:szCs w:val="28"/>
        </w:rPr>
      </w:pPr>
    </w:p>
    <w:p w14:paraId="26E30BD7" w14:textId="6A9C7091" w:rsidR="00FA6DFB" w:rsidRDefault="00E7674A" w:rsidP="00C523B0">
      <w:pPr>
        <w:pStyle w:val="NormalWeb"/>
        <w:shd w:val="clear" w:color="auto" w:fill="FFFFFF"/>
        <w:spacing w:before="144" w:beforeAutospacing="0" w:after="0" w:afterAutospacing="0" w:line="480" w:lineRule="auto"/>
        <w:ind w:left="720" w:hanging="720"/>
        <w:jc w:val="both"/>
        <w:rPr>
          <w:sz w:val="28"/>
          <w:szCs w:val="28"/>
        </w:rPr>
      </w:pPr>
      <w:r>
        <w:rPr>
          <w:sz w:val="28"/>
          <w:szCs w:val="28"/>
        </w:rPr>
        <w:t>[</w:t>
      </w:r>
      <w:r w:rsidR="001D7CA3">
        <w:rPr>
          <w:sz w:val="28"/>
          <w:szCs w:val="28"/>
        </w:rPr>
        <w:t>70</w:t>
      </w:r>
      <w:r>
        <w:rPr>
          <w:sz w:val="28"/>
          <w:szCs w:val="28"/>
        </w:rPr>
        <w:t>]</w:t>
      </w:r>
      <w:r>
        <w:rPr>
          <w:sz w:val="28"/>
          <w:szCs w:val="28"/>
        </w:rPr>
        <w:tab/>
        <w:t>The applicants’ prayer in paragraph 2.1</w:t>
      </w:r>
      <w:r w:rsidR="00AA2268">
        <w:rPr>
          <w:sz w:val="28"/>
          <w:szCs w:val="28"/>
        </w:rPr>
        <w:t xml:space="preserve"> </w:t>
      </w:r>
      <w:r>
        <w:rPr>
          <w:sz w:val="28"/>
          <w:szCs w:val="28"/>
        </w:rPr>
        <w:t xml:space="preserve">of the Notice of Motion is that the </w:t>
      </w:r>
      <w:r w:rsidRPr="00513682">
        <w:rPr>
          <w:b/>
          <w:bCs/>
          <w:sz w:val="28"/>
          <w:szCs w:val="28"/>
        </w:rPr>
        <w:t>Delimitation Order</w:t>
      </w:r>
      <w:r>
        <w:rPr>
          <w:sz w:val="28"/>
          <w:szCs w:val="28"/>
        </w:rPr>
        <w:t xml:space="preserve"> should be reviewed and set aside as irregular, unlawful and therefore null and void for non-compliance with section 67(2). This prayer is too broad in that it seeks the invalidation of the entire </w:t>
      </w:r>
      <w:r w:rsidRPr="00513682">
        <w:rPr>
          <w:b/>
          <w:bCs/>
          <w:sz w:val="28"/>
          <w:szCs w:val="28"/>
        </w:rPr>
        <w:lastRenderedPageBreak/>
        <w:t>Delimitation Order</w:t>
      </w:r>
      <w:r>
        <w:rPr>
          <w:sz w:val="28"/>
          <w:szCs w:val="28"/>
        </w:rPr>
        <w:t xml:space="preserve">. The powers of this Court in terms of section 2 of the Constitution is to declare a law or an act null and void only to the extent of it being inconsistent with the Constitution. This in itself calls for a partial invalidation proportionate to the constitutional inconsistency. Thus, the </w:t>
      </w:r>
      <w:r w:rsidRPr="00513682">
        <w:rPr>
          <w:b/>
          <w:bCs/>
          <w:sz w:val="28"/>
          <w:szCs w:val="28"/>
        </w:rPr>
        <w:t>Delimitation Order</w:t>
      </w:r>
      <w:r>
        <w:rPr>
          <w:sz w:val="28"/>
          <w:szCs w:val="28"/>
        </w:rPr>
        <w:t xml:space="preserve"> can only be voided in respect of the tw</w:t>
      </w:r>
      <w:r w:rsidR="00BD5DFE">
        <w:rPr>
          <w:sz w:val="28"/>
          <w:szCs w:val="28"/>
        </w:rPr>
        <w:t xml:space="preserve">enty </w:t>
      </w:r>
      <w:r>
        <w:rPr>
          <w:sz w:val="28"/>
          <w:szCs w:val="28"/>
        </w:rPr>
        <w:t xml:space="preserve">non-compliant constituencies. </w:t>
      </w:r>
      <w:r w:rsidR="001D7CA3">
        <w:rPr>
          <w:sz w:val="28"/>
          <w:szCs w:val="28"/>
        </w:rPr>
        <w:t xml:space="preserve">But this does not mean that elections in the compliant constituencies shall be held. </w:t>
      </w:r>
    </w:p>
    <w:p w14:paraId="0E974DBC" w14:textId="77777777" w:rsidR="00A6473A" w:rsidRDefault="00A6473A" w:rsidP="00C523B0">
      <w:pPr>
        <w:pStyle w:val="NormalWeb"/>
        <w:shd w:val="clear" w:color="auto" w:fill="FFFFFF"/>
        <w:spacing w:before="144" w:beforeAutospacing="0" w:after="0" w:afterAutospacing="0" w:line="480" w:lineRule="auto"/>
        <w:ind w:left="720" w:hanging="720"/>
        <w:jc w:val="both"/>
        <w:rPr>
          <w:sz w:val="28"/>
          <w:szCs w:val="28"/>
        </w:rPr>
      </w:pPr>
    </w:p>
    <w:p w14:paraId="41A15D44" w14:textId="21D7EF01" w:rsidR="00E7674A" w:rsidRDefault="00E7674A" w:rsidP="00E7674A">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7A183F">
        <w:rPr>
          <w:sz w:val="28"/>
          <w:szCs w:val="28"/>
        </w:rPr>
        <w:t>7</w:t>
      </w:r>
      <w:r w:rsidR="001D7CA3">
        <w:rPr>
          <w:sz w:val="28"/>
          <w:szCs w:val="28"/>
        </w:rPr>
        <w:t>1</w:t>
      </w:r>
      <w:r>
        <w:rPr>
          <w:sz w:val="28"/>
          <w:szCs w:val="28"/>
        </w:rPr>
        <w:t>]</w:t>
      </w:r>
      <w:r>
        <w:rPr>
          <w:sz w:val="28"/>
          <w:szCs w:val="28"/>
        </w:rPr>
        <w:tab/>
        <w:t>Be that as it may</w:t>
      </w:r>
      <w:r w:rsidR="007A183F">
        <w:rPr>
          <w:sz w:val="28"/>
          <w:szCs w:val="28"/>
        </w:rPr>
        <w:t xml:space="preserve">, </w:t>
      </w:r>
      <w:r>
        <w:rPr>
          <w:sz w:val="28"/>
          <w:szCs w:val="28"/>
        </w:rPr>
        <w:t>the IEC is granted special powers to take correcti</w:t>
      </w:r>
      <w:r w:rsidR="00B95FED">
        <w:rPr>
          <w:sz w:val="28"/>
          <w:szCs w:val="28"/>
        </w:rPr>
        <w:t>ve</w:t>
      </w:r>
      <w:r>
        <w:rPr>
          <w:sz w:val="28"/>
          <w:szCs w:val="28"/>
        </w:rPr>
        <w:t xml:space="preserve"> measures in terms of </w:t>
      </w:r>
      <w:r w:rsidR="00BB6809">
        <w:rPr>
          <w:sz w:val="28"/>
          <w:szCs w:val="28"/>
        </w:rPr>
        <w:t>s</w:t>
      </w:r>
      <w:r>
        <w:rPr>
          <w:sz w:val="28"/>
          <w:szCs w:val="28"/>
        </w:rPr>
        <w:t xml:space="preserve">ection 142 (1) of the Act which grants it the following special powers:  </w:t>
      </w:r>
    </w:p>
    <w:p w14:paraId="6683DD95" w14:textId="30BD736F" w:rsidR="00E7674A" w:rsidRPr="00C523B0" w:rsidRDefault="00E7674A" w:rsidP="008543F1">
      <w:pPr>
        <w:pStyle w:val="NormalWeb"/>
        <w:shd w:val="clear" w:color="auto" w:fill="FFFFFF"/>
        <w:spacing w:before="144" w:beforeAutospacing="0" w:after="288" w:afterAutospacing="0"/>
        <w:ind w:left="2160"/>
        <w:jc w:val="both"/>
      </w:pPr>
      <w:r w:rsidRPr="00C523B0">
        <w:t>“142</w:t>
      </w:r>
      <w:r w:rsidR="00551675">
        <w:t>.</w:t>
      </w:r>
      <w:r w:rsidRPr="00C523B0">
        <w:t xml:space="preserve"> (1)</w:t>
      </w:r>
      <w:r w:rsidRPr="00C523B0">
        <w:tab/>
        <w:t>If it appears to the Commission that, by</w:t>
      </w:r>
      <w:r w:rsidR="00B95FED">
        <w:t xml:space="preserve"> of</w:t>
      </w:r>
      <w:r w:rsidRPr="00C523B0">
        <w:t xml:space="preserve"> reason any mistake or emergency, the provision of this Act cannot be applied, the Commission may, by particular or general instructions –</w:t>
      </w:r>
    </w:p>
    <w:p w14:paraId="6BD87BD6" w14:textId="77777777" w:rsidR="00E7674A" w:rsidRPr="00C523B0" w:rsidRDefault="00E7674A" w:rsidP="008543F1">
      <w:pPr>
        <w:pStyle w:val="NormalWeb"/>
        <w:numPr>
          <w:ilvl w:val="0"/>
          <w:numId w:val="3"/>
        </w:numPr>
        <w:shd w:val="clear" w:color="auto" w:fill="FFFFFF"/>
        <w:spacing w:before="144" w:beforeAutospacing="0" w:after="288" w:afterAutospacing="0"/>
        <w:jc w:val="both"/>
      </w:pPr>
      <w:r w:rsidRPr="00C523B0">
        <w:t>extend the time for doing of any act;</w:t>
      </w:r>
    </w:p>
    <w:p w14:paraId="6B13B15B" w14:textId="77777777" w:rsidR="00E7674A" w:rsidRPr="00C523B0" w:rsidRDefault="00E7674A" w:rsidP="008543F1">
      <w:pPr>
        <w:pStyle w:val="NormalWeb"/>
        <w:numPr>
          <w:ilvl w:val="0"/>
          <w:numId w:val="3"/>
        </w:numPr>
        <w:shd w:val="clear" w:color="auto" w:fill="FFFFFF"/>
        <w:spacing w:before="144" w:beforeAutospacing="0" w:after="288" w:afterAutospacing="0"/>
        <w:jc w:val="both"/>
      </w:pPr>
      <w:r w:rsidRPr="00C523B0">
        <w:t>increase the number of electoral officers or voting stations;</w:t>
      </w:r>
    </w:p>
    <w:p w14:paraId="6D87F08F" w14:textId="77777777" w:rsidR="00E7674A" w:rsidRPr="00C523B0" w:rsidRDefault="00E7674A" w:rsidP="008543F1">
      <w:pPr>
        <w:pStyle w:val="NormalWeb"/>
        <w:numPr>
          <w:ilvl w:val="0"/>
          <w:numId w:val="3"/>
        </w:numPr>
        <w:shd w:val="clear" w:color="auto" w:fill="FFFFFF"/>
        <w:spacing w:before="144" w:beforeAutospacing="0" w:after="288" w:afterAutospacing="0"/>
        <w:jc w:val="both"/>
      </w:pPr>
      <w:r w:rsidRPr="00C523B0">
        <w:t>adapt any such provision in order to achieve the purposes of this Act to the extent necessary to meet the exigencies of the situation.</w:t>
      </w:r>
    </w:p>
    <w:p w14:paraId="13248B93" w14:textId="3B542A58" w:rsidR="00E7674A" w:rsidRDefault="00E7674A" w:rsidP="008543F1">
      <w:pPr>
        <w:pStyle w:val="NormalWeb"/>
        <w:shd w:val="clear" w:color="auto" w:fill="FFFFFF"/>
        <w:spacing w:before="144" w:beforeAutospacing="0" w:after="288" w:afterAutospacing="0"/>
        <w:ind w:left="2160"/>
        <w:jc w:val="both"/>
        <w:rPr>
          <w:sz w:val="28"/>
          <w:szCs w:val="28"/>
        </w:rPr>
      </w:pPr>
      <w:r w:rsidRPr="00C523B0">
        <w:t>(2)</w:t>
      </w:r>
      <w:r w:rsidRPr="00C523B0">
        <w:tab/>
        <w:t>The Commission may suspend registration during an emergency”.</w:t>
      </w:r>
      <w:r>
        <w:rPr>
          <w:sz w:val="28"/>
          <w:szCs w:val="28"/>
        </w:rPr>
        <w:t xml:space="preserve"> </w:t>
      </w:r>
    </w:p>
    <w:p w14:paraId="26E94BBC" w14:textId="77777777" w:rsidR="008543F1" w:rsidRDefault="008543F1" w:rsidP="008543F1">
      <w:pPr>
        <w:pStyle w:val="NormalWeb"/>
        <w:shd w:val="clear" w:color="auto" w:fill="FFFFFF"/>
        <w:spacing w:before="144" w:beforeAutospacing="0" w:after="288" w:afterAutospacing="0"/>
        <w:ind w:left="2160"/>
        <w:jc w:val="both"/>
        <w:rPr>
          <w:sz w:val="28"/>
          <w:szCs w:val="28"/>
        </w:rPr>
      </w:pPr>
    </w:p>
    <w:p w14:paraId="7C0B2FFC" w14:textId="5D8DDDB7" w:rsidR="00E7674A" w:rsidRDefault="00E7674A" w:rsidP="00E7674A">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46B45">
        <w:rPr>
          <w:sz w:val="28"/>
          <w:szCs w:val="28"/>
        </w:rPr>
        <w:t>7</w:t>
      </w:r>
      <w:r w:rsidR="001D7CA3">
        <w:rPr>
          <w:sz w:val="28"/>
          <w:szCs w:val="28"/>
        </w:rPr>
        <w:t>2</w:t>
      </w:r>
      <w:r>
        <w:rPr>
          <w:sz w:val="28"/>
          <w:szCs w:val="28"/>
        </w:rPr>
        <w:t>]</w:t>
      </w:r>
      <w:r>
        <w:rPr>
          <w:sz w:val="28"/>
          <w:szCs w:val="28"/>
        </w:rPr>
        <w:tab/>
        <w:t xml:space="preserve">The question is whether the words “if it appears to the Commission that, by any mistake or emergency the provision of this Act cannot be applied” would cover the facts in this case whereby the IEC has altered constituency </w:t>
      </w:r>
      <w:r>
        <w:rPr>
          <w:sz w:val="28"/>
          <w:szCs w:val="28"/>
        </w:rPr>
        <w:lastRenderedPageBreak/>
        <w:t>boundaries in a manner that offends the ten per</w:t>
      </w:r>
      <w:r w:rsidR="00B95FED">
        <w:rPr>
          <w:sz w:val="28"/>
          <w:szCs w:val="28"/>
        </w:rPr>
        <w:t xml:space="preserve"> </w:t>
      </w:r>
      <w:r>
        <w:rPr>
          <w:sz w:val="28"/>
          <w:szCs w:val="28"/>
        </w:rPr>
        <w:t>cent threshold in section 67(2)</w:t>
      </w:r>
      <w:r w:rsidR="00B95FED">
        <w:rPr>
          <w:sz w:val="28"/>
          <w:szCs w:val="28"/>
        </w:rPr>
        <w:t xml:space="preserve"> of</w:t>
      </w:r>
      <w:r>
        <w:rPr>
          <w:sz w:val="28"/>
          <w:szCs w:val="28"/>
        </w:rPr>
        <w:t xml:space="preserve"> the Constitution. Differently </w:t>
      </w:r>
      <w:r w:rsidR="001D7CA3">
        <w:rPr>
          <w:sz w:val="28"/>
          <w:szCs w:val="28"/>
        </w:rPr>
        <w:t>asked,</w:t>
      </w:r>
      <w:r>
        <w:rPr>
          <w:sz w:val="28"/>
          <w:szCs w:val="28"/>
        </w:rPr>
        <w:t xml:space="preserve"> does holding of elections in relation to a non-compliant constituency render the provisions of the Electoral Act inapplicable</w:t>
      </w:r>
      <w:r w:rsidR="001D7CA3">
        <w:rPr>
          <w:sz w:val="28"/>
          <w:szCs w:val="28"/>
        </w:rPr>
        <w:t>?</w:t>
      </w:r>
      <w:r>
        <w:rPr>
          <w:sz w:val="28"/>
          <w:szCs w:val="28"/>
        </w:rPr>
        <w:t xml:space="preserve"> The answer is found in one of the purposes of the </w:t>
      </w:r>
      <w:r w:rsidRPr="00513682">
        <w:rPr>
          <w:b/>
          <w:bCs/>
          <w:sz w:val="28"/>
          <w:szCs w:val="28"/>
        </w:rPr>
        <w:t>Electoral Act</w:t>
      </w:r>
      <w:r w:rsidR="006D749C" w:rsidRPr="00513682">
        <w:rPr>
          <w:b/>
          <w:bCs/>
          <w:sz w:val="28"/>
          <w:szCs w:val="28"/>
        </w:rPr>
        <w:t>, 2011</w:t>
      </w:r>
      <w:r w:rsidR="006D749C">
        <w:rPr>
          <w:sz w:val="28"/>
          <w:szCs w:val="28"/>
        </w:rPr>
        <w:t xml:space="preserve"> </w:t>
      </w:r>
      <w:r>
        <w:rPr>
          <w:sz w:val="28"/>
          <w:szCs w:val="28"/>
        </w:rPr>
        <w:t xml:space="preserve">which is “to provide for periodic elections under a system of universal and equal suffrage”. This purpose speaks to the principle of voter parity in section 67(2) of the </w:t>
      </w:r>
      <w:r w:rsidR="006D749C">
        <w:rPr>
          <w:sz w:val="28"/>
          <w:szCs w:val="28"/>
        </w:rPr>
        <w:t>Constitution. Thus</w:t>
      </w:r>
      <w:r>
        <w:rPr>
          <w:sz w:val="28"/>
          <w:szCs w:val="28"/>
        </w:rPr>
        <w:t xml:space="preserve"> understood, </w:t>
      </w:r>
      <w:r w:rsidR="006D749C">
        <w:rPr>
          <w:sz w:val="28"/>
          <w:szCs w:val="28"/>
        </w:rPr>
        <w:t xml:space="preserve">altering a </w:t>
      </w:r>
      <w:r>
        <w:rPr>
          <w:sz w:val="28"/>
          <w:szCs w:val="28"/>
        </w:rPr>
        <w:t>constituency</w:t>
      </w:r>
      <w:r w:rsidR="006D749C">
        <w:rPr>
          <w:sz w:val="28"/>
          <w:szCs w:val="28"/>
        </w:rPr>
        <w:t xml:space="preserve"> </w:t>
      </w:r>
      <w:r>
        <w:rPr>
          <w:sz w:val="28"/>
          <w:szCs w:val="28"/>
        </w:rPr>
        <w:t xml:space="preserve">boundary </w:t>
      </w:r>
      <w:r w:rsidR="006D749C">
        <w:rPr>
          <w:sz w:val="28"/>
          <w:szCs w:val="28"/>
        </w:rPr>
        <w:t>contrary to v</w:t>
      </w:r>
      <w:r>
        <w:rPr>
          <w:sz w:val="28"/>
          <w:szCs w:val="28"/>
        </w:rPr>
        <w:t xml:space="preserve">oter parity principle is </w:t>
      </w:r>
      <w:r w:rsidR="00430A8E">
        <w:rPr>
          <w:sz w:val="28"/>
          <w:szCs w:val="28"/>
        </w:rPr>
        <w:t xml:space="preserve">undoubtedly a </w:t>
      </w:r>
      <w:r>
        <w:rPr>
          <w:sz w:val="28"/>
          <w:szCs w:val="28"/>
        </w:rPr>
        <w:t xml:space="preserve">mistake which defeats the attainment of this object of the Act. </w:t>
      </w:r>
      <w:r w:rsidR="001942FA">
        <w:rPr>
          <w:sz w:val="28"/>
          <w:szCs w:val="28"/>
        </w:rPr>
        <w:t xml:space="preserve">Then the </w:t>
      </w:r>
      <w:r>
        <w:rPr>
          <w:sz w:val="28"/>
          <w:szCs w:val="28"/>
        </w:rPr>
        <w:t xml:space="preserve">IEC is empowered to </w:t>
      </w:r>
      <w:r w:rsidR="001942FA">
        <w:rPr>
          <w:sz w:val="28"/>
          <w:szCs w:val="28"/>
        </w:rPr>
        <w:t xml:space="preserve">correct such a mistake before elections are held.  Otherwise elections will be held on the basis of constitutionally flawed constituencies - something which is not constitutionally permissible. </w:t>
      </w:r>
    </w:p>
    <w:p w14:paraId="267FAD11" w14:textId="77777777" w:rsidR="00A6473A" w:rsidRDefault="00A6473A" w:rsidP="00E7674A">
      <w:pPr>
        <w:pStyle w:val="NormalWeb"/>
        <w:shd w:val="clear" w:color="auto" w:fill="FFFFFF"/>
        <w:spacing w:before="144" w:beforeAutospacing="0" w:after="288" w:afterAutospacing="0" w:line="480" w:lineRule="atLeast"/>
        <w:ind w:left="720" w:hanging="720"/>
        <w:jc w:val="both"/>
        <w:rPr>
          <w:sz w:val="28"/>
          <w:szCs w:val="28"/>
        </w:rPr>
      </w:pPr>
    </w:p>
    <w:p w14:paraId="543CCF7B" w14:textId="0B1F3B1F" w:rsidR="00E7674A" w:rsidRDefault="00E7674A" w:rsidP="00E7674A">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46B45">
        <w:rPr>
          <w:sz w:val="28"/>
          <w:szCs w:val="28"/>
        </w:rPr>
        <w:t>7</w:t>
      </w:r>
      <w:r w:rsidR="006D749C">
        <w:rPr>
          <w:sz w:val="28"/>
          <w:szCs w:val="28"/>
        </w:rPr>
        <w:t>3</w:t>
      </w:r>
      <w:r>
        <w:rPr>
          <w:sz w:val="28"/>
          <w:szCs w:val="28"/>
        </w:rPr>
        <w:t>]</w:t>
      </w:r>
      <w:r>
        <w:rPr>
          <w:sz w:val="28"/>
          <w:szCs w:val="28"/>
        </w:rPr>
        <w:tab/>
        <w:t xml:space="preserve">The Court takes judicial notice </w:t>
      </w:r>
      <w:r w:rsidR="00CA0E64">
        <w:rPr>
          <w:sz w:val="28"/>
          <w:szCs w:val="28"/>
        </w:rPr>
        <w:t xml:space="preserve">of the fact that during the pendency of this case, </w:t>
      </w:r>
      <w:r>
        <w:rPr>
          <w:sz w:val="28"/>
          <w:szCs w:val="28"/>
        </w:rPr>
        <w:t>the King by Proclamation appointed 7</w:t>
      </w:r>
      <w:r w:rsidRPr="004A7510">
        <w:rPr>
          <w:sz w:val="28"/>
          <w:szCs w:val="28"/>
          <w:vertAlign w:val="superscript"/>
        </w:rPr>
        <w:t>th</w:t>
      </w:r>
      <w:r>
        <w:rPr>
          <w:sz w:val="28"/>
          <w:szCs w:val="28"/>
        </w:rPr>
        <w:t xml:space="preserve"> October 2022 as the date of elections. This is the target date the IEC should chaise in the course of taking any corrective measures in respect of the non – compliant constituencies to ensure that elections are held on the proclaimed date.</w:t>
      </w:r>
      <w:r w:rsidR="00CA0E64">
        <w:rPr>
          <w:sz w:val="28"/>
          <w:szCs w:val="28"/>
        </w:rPr>
        <w:t xml:space="preserve"> The IEC has powers to take corrective measures in terms of section 142</w:t>
      </w:r>
      <w:r w:rsidR="0098464D">
        <w:rPr>
          <w:sz w:val="28"/>
          <w:szCs w:val="28"/>
        </w:rPr>
        <w:t xml:space="preserve"> (1) (c)</w:t>
      </w:r>
      <w:r w:rsidR="00CA0E64">
        <w:rPr>
          <w:sz w:val="28"/>
          <w:szCs w:val="28"/>
        </w:rPr>
        <w:t xml:space="preserve"> of the Electoral Act by adapting the section 153 procedure of changing constituency boundaries</w:t>
      </w:r>
      <w:r w:rsidR="0098464D">
        <w:rPr>
          <w:sz w:val="28"/>
          <w:szCs w:val="28"/>
        </w:rPr>
        <w:t xml:space="preserve"> “to the extent necessary to meet the exigencies of the situation”.  </w:t>
      </w:r>
      <w:r w:rsidR="00CA0E64">
        <w:rPr>
          <w:sz w:val="28"/>
          <w:szCs w:val="28"/>
        </w:rPr>
        <w:t xml:space="preserve">  </w:t>
      </w:r>
    </w:p>
    <w:p w14:paraId="482BD4DA" w14:textId="5F0B3600" w:rsidR="00A6473A" w:rsidRDefault="00A6473A" w:rsidP="00E7674A">
      <w:pPr>
        <w:pStyle w:val="NormalWeb"/>
        <w:shd w:val="clear" w:color="auto" w:fill="FFFFFF"/>
        <w:spacing w:before="144" w:beforeAutospacing="0" w:after="288" w:afterAutospacing="0" w:line="480" w:lineRule="atLeast"/>
        <w:ind w:left="720" w:hanging="720"/>
        <w:jc w:val="both"/>
        <w:rPr>
          <w:sz w:val="28"/>
          <w:szCs w:val="28"/>
        </w:rPr>
      </w:pPr>
    </w:p>
    <w:p w14:paraId="4C237B83" w14:textId="08461E72" w:rsidR="008543F1" w:rsidRDefault="008543F1" w:rsidP="00E7674A">
      <w:pPr>
        <w:pStyle w:val="NormalWeb"/>
        <w:shd w:val="clear" w:color="auto" w:fill="FFFFFF"/>
        <w:spacing w:before="144" w:beforeAutospacing="0" w:after="288" w:afterAutospacing="0" w:line="480" w:lineRule="atLeast"/>
        <w:ind w:left="720" w:hanging="720"/>
        <w:jc w:val="both"/>
        <w:rPr>
          <w:sz w:val="28"/>
          <w:szCs w:val="28"/>
        </w:rPr>
      </w:pPr>
    </w:p>
    <w:p w14:paraId="050AA454" w14:textId="77777777" w:rsidR="008543F1" w:rsidRDefault="008543F1" w:rsidP="00E7674A">
      <w:pPr>
        <w:pStyle w:val="NormalWeb"/>
        <w:shd w:val="clear" w:color="auto" w:fill="FFFFFF"/>
        <w:spacing w:before="144" w:beforeAutospacing="0" w:after="288" w:afterAutospacing="0" w:line="480" w:lineRule="atLeast"/>
        <w:ind w:left="720" w:hanging="720"/>
        <w:jc w:val="both"/>
        <w:rPr>
          <w:sz w:val="28"/>
          <w:szCs w:val="28"/>
        </w:rPr>
      </w:pPr>
    </w:p>
    <w:p w14:paraId="32DA100C" w14:textId="4169175A" w:rsidR="00A46B45" w:rsidRPr="00E71254" w:rsidRDefault="007A183F" w:rsidP="00BD5DFE">
      <w:pPr>
        <w:pStyle w:val="NormalWeb"/>
        <w:shd w:val="clear" w:color="auto" w:fill="FFFFFF"/>
        <w:spacing w:before="144" w:beforeAutospacing="0" w:after="288" w:afterAutospacing="0" w:line="480" w:lineRule="atLeast"/>
        <w:ind w:left="720"/>
        <w:jc w:val="both"/>
        <w:rPr>
          <w:b/>
          <w:bCs/>
          <w:sz w:val="28"/>
          <w:szCs w:val="28"/>
          <w:u w:val="single"/>
        </w:rPr>
      </w:pPr>
      <w:r w:rsidRPr="00E71254">
        <w:rPr>
          <w:b/>
          <w:bCs/>
          <w:sz w:val="28"/>
          <w:szCs w:val="28"/>
          <w:u w:val="single"/>
        </w:rPr>
        <w:lastRenderedPageBreak/>
        <w:t>Costs</w:t>
      </w:r>
    </w:p>
    <w:p w14:paraId="247FDF3E" w14:textId="549178B3" w:rsidR="00A46B45" w:rsidRDefault="00A46B45" w:rsidP="00BD5DFE">
      <w:pPr>
        <w:pStyle w:val="NormalWeb"/>
        <w:shd w:val="clear" w:color="auto" w:fill="FFFFFF"/>
        <w:spacing w:before="144" w:beforeAutospacing="0" w:after="288" w:afterAutospacing="0" w:line="480" w:lineRule="atLeast"/>
        <w:ind w:left="720" w:hanging="720"/>
        <w:jc w:val="both"/>
        <w:rPr>
          <w:sz w:val="28"/>
          <w:szCs w:val="28"/>
        </w:rPr>
      </w:pPr>
      <w:r>
        <w:rPr>
          <w:sz w:val="28"/>
          <w:szCs w:val="28"/>
        </w:rPr>
        <w:t>[7</w:t>
      </w:r>
      <w:r w:rsidR="006D749C">
        <w:rPr>
          <w:sz w:val="28"/>
          <w:szCs w:val="28"/>
        </w:rPr>
        <w:t>4</w:t>
      </w:r>
      <w:r>
        <w:rPr>
          <w:sz w:val="28"/>
          <w:szCs w:val="28"/>
        </w:rPr>
        <w:t>]</w:t>
      </w:r>
      <w:r>
        <w:rPr>
          <w:sz w:val="28"/>
          <w:szCs w:val="28"/>
        </w:rPr>
        <w:tab/>
        <w:t>The applicants have</w:t>
      </w:r>
      <w:r w:rsidR="006D749C">
        <w:rPr>
          <w:sz w:val="28"/>
          <w:szCs w:val="28"/>
        </w:rPr>
        <w:t xml:space="preserve"> only</w:t>
      </w:r>
      <w:r>
        <w:rPr>
          <w:sz w:val="28"/>
          <w:szCs w:val="28"/>
        </w:rPr>
        <w:t xml:space="preserve"> partially succeeded in relation to prayer 2.1 where they sought a review and setting aside of the entire </w:t>
      </w:r>
      <w:r w:rsidRPr="00513682">
        <w:rPr>
          <w:b/>
          <w:bCs/>
          <w:sz w:val="28"/>
          <w:szCs w:val="28"/>
        </w:rPr>
        <w:t>Delimitation Order</w:t>
      </w:r>
      <w:r>
        <w:rPr>
          <w:sz w:val="28"/>
          <w:szCs w:val="28"/>
        </w:rPr>
        <w:t xml:space="preserve"> as null and void. </w:t>
      </w:r>
      <w:r w:rsidR="006D749C">
        <w:rPr>
          <w:sz w:val="28"/>
          <w:szCs w:val="28"/>
        </w:rPr>
        <w:t>But t</w:t>
      </w:r>
      <w:r w:rsidR="003B351F">
        <w:rPr>
          <w:sz w:val="28"/>
          <w:szCs w:val="28"/>
        </w:rPr>
        <w:t>hey have also succeeded in prayer 5 where they sought a declaratory order that the IEC is not obliged to limit boundaries of constituencies within administrative boundaries</w:t>
      </w:r>
      <w:r w:rsidR="006D749C">
        <w:rPr>
          <w:sz w:val="28"/>
          <w:szCs w:val="28"/>
        </w:rPr>
        <w:t xml:space="preserve"> of the ten Districts</w:t>
      </w:r>
      <w:r w:rsidR="003B351F">
        <w:rPr>
          <w:sz w:val="28"/>
          <w:szCs w:val="28"/>
        </w:rPr>
        <w:t xml:space="preserve">.  However, they </w:t>
      </w:r>
      <w:r w:rsidR="006D749C">
        <w:rPr>
          <w:sz w:val="28"/>
          <w:szCs w:val="28"/>
        </w:rPr>
        <w:t xml:space="preserve">have failed </w:t>
      </w:r>
      <w:r w:rsidR="003B351F">
        <w:rPr>
          <w:sz w:val="28"/>
          <w:szCs w:val="28"/>
        </w:rPr>
        <w:t>in their attack against the decision to conduct and commission the review of constituencies and</w:t>
      </w:r>
      <w:r w:rsidR="006D749C">
        <w:rPr>
          <w:sz w:val="28"/>
          <w:szCs w:val="28"/>
        </w:rPr>
        <w:t xml:space="preserve"> to</w:t>
      </w:r>
      <w:r>
        <w:rPr>
          <w:sz w:val="28"/>
          <w:szCs w:val="28"/>
        </w:rPr>
        <w:t xml:space="preserve"> invalidat</w:t>
      </w:r>
      <w:r w:rsidR="006D749C">
        <w:rPr>
          <w:sz w:val="28"/>
          <w:szCs w:val="28"/>
        </w:rPr>
        <w:t>e</w:t>
      </w:r>
      <w:r>
        <w:rPr>
          <w:sz w:val="28"/>
          <w:szCs w:val="28"/>
        </w:rPr>
        <w:t xml:space="preserve"> the </w:t>
      </w:r>
      <w:r w:rsidRPr="00513682">
        <w:rPr>
          <w:b/>
          <w:bCs/>
          <w:sz w:val="28"/>
          <w:szCs w:val="28"/>
        </w:rPr>
        <w:t>Delimitation Order</w:t>
      </w:r>
      <w:r>
        <w:rPr>
          <w:sz w:val="28"/>
          <w:szCs w:val="28"/>
        </w:rPr>
        <w:t xml:space="preserve"> for having be</w:t>
      </w:r>
      <w:r w:rsidR="003B351F">
        <w:rPr>
          <w:sz w:val="28"/>
          <w:szCs w:val="28"/>
        </w:rPr>
        <w:t xml:space="preserve">en </w:t>
      </w:r>
      <w:r>
        <w:rPr>
          <w:sz w:val="28"/>
          <w:szCs w:val="28"/>
        </w:rPr>
        <w:t xml:space="preserve">issued beyond the eight to ten years period of review. They are therefore entitled to 50% of their costs. </w:t>
      </w:r>
    </w:p>
    <w:p w14:paraId="6BD04C22" w14:textId="77777777" w:rsidR="00A6473A" w:rsidRDefault="00A6473A" w:rsidP="00BD5DFE">
      <w:pPr>
        <w:pStyle w:val="NormalWeb"/>
        <w:shd w:val="clear" w:color="auto" w:fill="FFFFFF"/>
        <w:spacing w:before="144" w:beforeAutospacing="0" w:after="288" w:afterAutospacing="0" w:line="480" w:lineRule="atLeast"/>
        <w:ind w:left="720" w:hanging="720"/>
        <w:jc w:val="both"/>
        <w:rPr>
          <w:sz w:val="28"/>
          <w:szCs w:val="28"/>
        </w:rPr>
      </w:pPr>
    </w:p>
    <w:p w14:paraId="2AB54169" w14:textId="5B21AD7E" w:rsidR="00A46B45" w:rsidRPr="00E71254" w:rsidRDefault="00A46B45" w:rsidP="00BD5DFE">
      <w:pPr>
        <w:pStyle w:val="NormalWeb"/>
        <w:shd w:val="clear" w:color="auto" w:fill="FFFFFF"/>
        <w:spacing w:before="144" w:beforeAutospacing="0" w:after="288" w:afterAutospacing="0" w:line="480" w:lineRule="atLeast"/>
        <w:ind w:left="720"/>
        <w:jc w:val="both"/>
        <w:rPr>
          <w:b/>
          <w:bCs/>
          <w:sz w:val="28"/>
          <w:szCs w:val="28"/>
          <w:u w:val="single"/>
        </w:rPr>
      </w:pPr>
      <w:r w:rsidRPr="00E71254">
        <w:rPr>
          <w:b/>
          <w:bCs/>
          <w:sz w:val="28"/>
          <w:szCs w:val="28"/>
          <w:u w:val="single"/>
        </w:rPr>
        <w:t>Order</w:t>
      </w:r>
    </w:p>
    <w:p w14:paraId="150E63FD" w14:textId="4E487508" w:rsidR="00A46B45" w:rsidRDefault="00A46B45" w:rsidP="00E7674A">
      <w:pPr>
        <w:pStyle w:val="NormalWeb"/>
        <w:shd w:val="clear" w:color="auto" w:fill="FFFFFF"/>
        <w:spacing w:before="144" w:beforeAutospacing="0" w:after="288" w:afterAutospacing="0" w:line="480" w:lineRule="atLeast"/>
        <w:ind w:left="720" w:hanging="720"/>
        <w:jc w:val="both"/>
        <w:rPr>
          <w:sz w:val="28"/>
          <w:szCs w:val="28"/>
        </w:rPr>
      </w:pPr>
      <w:r>
        <w:rPr>
          <w:sz w:val="28"/>
          <w:szCs w:val="28"/>
        </w:rPr>
        <w:t>[7</w:t>
      </w:r>
      <w:r w:rsidR="006D749C">
        <w:rPr>
          <w:sz w:val="28"/>
          <w:szCs w:val="28"/>
        </w:rPr>
        <w:t>5</w:t>
      </w:r>
      <w:r>
        <w:rPr>
          <w:sz w:val="28"/>
          <w:szCs w:val="28"/>
        </w:rPr>
        <w:t>]</w:t>
      </w:r>
      <w:r>
        <w:rPr>
          <w:sz w:val="28"/>
          <w:szCs w:val="28"/>
        </w:rPr>
        <w:tab/>
        <w:t>In the result the following order is made:</w:t>
      </w:r>
    </w:p>
    <w:p w14:paraId="48AA26B5" w14:textId="363BFF0C" w:rsidR="002C2B76" w:rsidRDefault="002C2B76" w:rsidP="002C2B76">
      <w:pPr>
        <w:pStyle w:val="NormalWeb"/>
        <w:shd w:val="clear" w:color="auto" w:fill="FFFFFF"/>
        <w:spacing w:before="144" w:beforeAutospacing="0" w:after="288" w:afterAutospacing="0" w:line="480" w:lineRule="atLeast"/>
        <w:ind w:left="1440" w:hanging="720"/>
        <w:jc w:val="both"/>
        <w:rPr>
          <w:sz w:val="28"/>
          <w:szCs w:val="28"/>
        </w:rPr>
      </w:pPr>
      <w:r>
        <w:rPr>
          <w:sz w:val="28"/>
          <w:szCs w:val="28"/>
        </w:rPr>
        <w:t>1.</w:t>
      </w:r>
      <w:r w:rsidR="00A46B45">
        <w:rPr>
          <w:sz w:val="28"/>
          <w:szCs w:val="28"/>
        </w:rPr>
        <w:tab/>
      </w:r>
      <w:r>
        <w:rPr>
          <w:sz w:val="28"/>
          <w:szCs w:val="28"/>
        </w:rPr>
        <w:t>The</w:t>
      </w:r>
      <w:r w:rsidR="006D749C">
        <w:rPr>
          <w:sz w:val="28"/>
          <w:szCs w:val="28"/>
        </w:rPr>
        <w:t xml:space="preserve"> Constituency</w:t>
      </w:r>
      <w:r>
        <w:rPr>
          <w:sz w:val="28"/>
          <w:szCs w:val="28"/>
        </w:rPr>
        <w:t xml:space="preserve"> Delimitation Order</w:t>
      </w:r>
      <w:r w:rsidR="006D749C">
        <w:rPr>
          <w:sz w:val="28"/>
          <w:szCs w:val="28"/>
        </w:rPr>
        <w:t>, Legal Notice No. 37 of 2022,</w:t>
      </w:r>
      <w:r>
        <w:rPr>
          <w:sz w:val="28"/>
          <w:szCs w:val="28"/>
        </w:rPr>
        <w:t xml:space="preserve"> is declared unconstitutional and set aside in respect of the following twenty constituencies:</w:t>
      </w:r>
    </w:p>
    <w:p w14:paraId="1B15954B" w14:textId="46E1022C" w:rsidR="002C2B76" w:rsidRPr="00207F60" w:rsidRDefault="002C2B76" w:rsidP="00CC08AE">
      <w:pPr>
        <w:pStyle w:val="NormalWeb"/>
        <w:shd w:val="clear" w:color="auto" w:fill="FFFFFF"/>
        <w:spacing w:before="120" w:beforeAutospacing="0" w:after="120" w:afterAutospacing="0" w:line="360" w:lineRule="auto"/>
        <w:ind w:left="1440" w:hanging="720"/>
        <w:jc w:val="both"/>
        <w:rPr>
          <w:sz w:val="28"/>
          <w:szCs w:val="28"/>
        </w:rPr>
      </w:pPr>
      <w:r>
        <w:rPr>
          <w:sz w:val="28"/>
          <w:szCs w:val="28"/>
        </w:rPr>
        <w:tab/>
        <w:t>(a)</w:t>
      </w:r>
      <w:r>
        <w:rPr>
          <w:sz w:val="28"/>
          <w:szCs w:val="28"/>
        </w:rPr>
        <w:tab/>
      </w:r>
      <w:r w:rsidR="009206BB">
        <w:rPr>
          <w:sz w:val="28"/>
          <w:szCs w:val="28"/>
        </w:rPr>
        <w:t>No</w:t>
      </w:r>
      <w:r w:rsidR="00F543B1">
        <w:rPr>
          <w:sz w:val="28"/>
          <w:szCs w:val="28"/>
        </w:rPr>
        <w:t>. 01:</w:t>
      </w:r>
      <w:r w:rsidR="009206BB">
        <w:rPr>
          <w:sz w:val="28"/>
          <w:szCs w:val="28"/>
        </w:rPr>
        <w:t xml:space="preserve"> </w:t>
      </w:r>
      <w:proofErr w:type="spellStart"/>
      <w:r w:rsidR="00F323CB" w:rsidRPr="00207F60">
        <w:rPr>
          <w:sz w:val="28"/>
          <w:szCs w:val="28"/>
        </w:rPr>
        <w:t>Mechachane</w:t>
      </w:r>
      <w:proofErr w:type="spellEnd"/>
      <w:r w:rsidR="006D749C">
        <w:rPr>
          <w:sz w:val="28"/>
          <w:szCs w:val="28"/>
        </w:rPr>
        <w:t xml:space="preserve"> </w:t>
      </w:r>
    </w:p>
    <w:p w14:paraId="3BC14D12" w14:textId="369304A5" w:rsidR="00F323CB" w:rsidRPr="00207F60" w:rsidRDefault="00F323CB"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(b)</w:t>
      </w:r>
      <w:r w:rsidRPr="00207F60">
        <w:rPr>
          <w:sz w:val="28"/>
          <w:szCs w:val="28"/>
        </w:rPr>
        <w:tab/>
      </w:r>
      <w:r w:rsidR="00F543B1">
        <w:rPr>
          <w:sz w:val="28"/>
          <w:szCs w:val="28"/>
        </w:rPr>
        <w:t xml:space="preserve">No.7: </w:t>
      </w:r>
      <w:proofErr w:type="spellStart"/>
      <w:r w:rsidRPr="00207F60">
        <w:rPr>
          <w:sz w:val="28"/>
          <w:szCs w:val="28"/>
        </w:rPr>
        <w:t>Mphosong</w:t>
      </w:r>
      <w:proofErr w:type="spellEnd"/>
      <w:r w:rsidR="00F543B1">
        <w:rPr>
          <w:sz w:val="28"/>
          <w:szCs w:val="28"/>
        </w:rPr>
        <w:t>:</w:t>
      </w:r>
      <w:r w:rsidR="0056775F">
        <w:rPr>
          <w:sz w:val="28"/>
          <w:szCs w:val="28"/>
        </w:rPr>
        <w:t>;</w:t>
      </w:r>
    </w:p>
    <w:p w14:paraId="5F3A47CF" w14:textId="6800181D" w:rsidR="00F323CB" w:rsidRPr="00207F60" w:rsidRDefault="00F323CB"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(c)</w:t>
      </w:r>
      <w:r w:rsidRPr="00207F60">
        <w:rPr>
          <w:sz w:val="28"/>
          <w:szCs w:val="28"/>
        </w:rPr>
        <w:tab/>
      </w:r>
      <w:r w:rsidR="00F543B1">
        <w:rPr>
          <w:sz w:val="28"/>
          <w:szCs w:val="28"/>
        </w:rPr>
        <w:t xml:space="preserve">No.14: </w:t>
      </w:r>
      <w:proofErr w:type="spellStart"/>
      <w:r w:rsidRPr="00207F60">
        <w:rPr>
          <w:sz w:val="28"/>
          <w:szCs w:val="28"/>
        </w:rPr>
        <w:t>Tsikoane</w:t>
      </w:r>
      <w:proofErr w:type="spellEnd"/>
      <w:r w:rsidR="0056775F">
        <w:rPr>
          <w:sz w:val="28"/>
          <w:szCs w:val="28"/>
        </w:rPr>
        <w:t xml:space="preserve"> </w:t>
      </w:r>
    </w:p>
    <w:p w14:paraId="1D44EE25" w14:textId="66AA0C51" w:rsidR="00F323CB" w:rsidRDefault="00F323CB"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(d)</w:t>
      </w:r>
      <w:r w:rsidRPr="00207F60">
        <w:rPr>
          <w:sz w:val="28"/>
          <w:szCs w:val="28"/>
        </w:rPr>
        <w:tab/>
      </w:r>
      <w:r w:rsidR="00F543B1">
        <w:rPr>
          <w:sz w:val="28"/>
          <w:szCs w:val="28"/>
        </w:rPr>
        <w:t xml:space="preserve">No.16: </w:t>
      </w:r>
      <w:proofErr w:type="spellStart"/>
      <w:r w:rsidRPr="00207F60">
        <w:rPr>
          <w:sz w:val="28"/>
          <w:szCs w:val="28"/>
        </w:rPr>
        <w:t>Moselinyane</w:t>
      </w:r>
      <w:proofErr w:type="spellEnd"/>
      <w:r w:rsidR="0056775F">
        <w:rPr>
          <w:sz w:val="28"/>
          <w:szCs w:val="28"/>
        </w:rPr>
        <w:t>;</w:t>
      </w:r>
    </w:p>
    <w:p w14:paraId="40645871" w14:textId="24A75BF7" w:rsidR="00F323CB" w:rsidRPr="00207F60" w:rsidRDefault="00F323CB" w:rsidP="00CC08AE">
      <w:pPr>
        <w:pStyle w:val="NormalWeb"/>
        <w:shd w:val="clear" w:color="auto" w:fill="FFFFFF"/>
        <w:spacing w:before="120" w:beforeAutospacing="0" w:after="120" w:afterAutospacing="0" w:line="360" w:lineRule="auto"/>
        <w:ind w:left="1440" w:hanging="720"/>
        <w:jc w:val="both"/>
        <w:rPr>
          <w:sz w:val="28"/>
          <w:szCs w:val="28"/>
        </w:rPr>
      </w:pPr>
      <w:r>
        <w:rPr>
          <w:sz w:val="28"/>
          <w:szCs w:val="28"/>
        </w:rPr>
        <w:tab/>
        <w:t>(e)</w:t>
      </w:r>
      <w:r>
        <w:rPr>
          <w:sz w:val="28"/>
          <w:szCs w:val="28"/>
        </w:rPr>
        <w:tab/>
      </w:r>
      <w:r w:rsidR="00F543B1">
        <w:rPr>
          <w:sz w:val="28"/>
          <w:szCs w:val="28"/>
        </w:rPr>
        <w:t xml:space="preserve">No.18: </w:t>
      </w:r>
      <w:proofErr w:type="spellStart"/>
      <w:r w:rsidRPr="00207F60">
        <w:rPr>
          <w:sz w:val="28"/>
          <w:szCs w:val="28"/>
        </w:rPr>
        <w:t>Kolonyama</w:t>
      </w:r>
      <w:proofErr w:type="spellEnd"/>
      <w:r w:rsidR="0056775F">
        <w:rPr>
          <w:sz w:val="28"/>
          <w:szCs w:val="28"/>
        </w:rPr>
        <w:t>;</w:t>
      </w:r>
    </w:p>
    <w:p w14:paraId="7F77783C" w14:textId="19C3BB55" w:rsidR="00F323CB" w:rsidRPr="00207F60" w:rsidRDefault="00F323CB"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(f)</w:t>
      </w:r>
      <w:r w:rsidRPr="00207F60">
        <w:rPr>
          <w:sz w:val="28"/>
          <w:szCs w:val="28"/>
        </w:rPr>
        <w:tab/>
      </w:r>
      <w:r w:rsidR="00F543B1">
        <w:rPr>
          <w:sz w:val="28"/>
          <w:szCs w:val="28"/>
        </w:rPr>
        <w:t xml:space="preserve">No.25: </w:t>
      </w:r>
      <w:proofErr w:type="spellStart"/>
      <w:r w:rsidRPr="00207F60">
        <w:rPr>
          <w:sz w:val="28"/>
          <w:szCs w:val="28"/>
        </w:rPr>
        <w:t>Tšoana</w:t>
      </w:r>
      <w:proofErr w:type="spellEnd"/>
      <w:r w:rsidRPr="00207F60">
        <w:rPr>
          <w:sz w:val="28"/>
          <w:szCs w:val="28"/>
        </w:rPr>
        <w:t xml:space="preserve"> – </w:t>
      </w:r>
      <w:proofErr w:type="spellStart"/>
      <w:r w:rsidRPr="00207F60">
        <w:rPr>
          <w:sz w:val="28"/>
          <w:szCs w:val="28"/>
        </w:rPr>
        <w:t>Makhulo</w:t>
      </w:r>
      <w:proofErr w:type="spellEnd"/>
      <w:r w:rsidR="0056775F">
        <w:rPr>
          <w:sz w:val="28"/>
          <w:szCs w:val="28"/>
        </w:rPr>
        <w:t xml:space="preserve"> </w:t>
      </w:r>
    </w:p>
    <w:p w14:paraId="299D8B4E" w14:textId="5070F197" w:rsidR="00F323CB" w:rsidRPr="00207F60" w:rsidRDefault="00F323CB"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(g)</w:t>
      </w:r>
      <w:r w:rsidRPr="00207F60">
        <w:rPr>
          <w:sz w:val="28"/>
          <w:szCs w:val="28"/>
        </w:rPr>
        <w:tab/>
      </w:r>
      <w:r w:rsidR="00F543B1">
        <w:rPr>
          <w:sz w:val="28"/>
          <w:szCs w:val="28"/>
        </w:rPr>
        <w:t xml:space="preserve">No.53: </w:t>
      </w:r>
      <w:proofErr w:type="spellStart"/>
      <w:r w:rsidR="00847EAE" w:rsidRPr="00207F60">
        <w:rPr>
          <w:sz w:val="28"/>
          <w:szCs w:val="28"/>
        </w:rPr>
        <w:t>Phoqoane</w:t>
      </w:r>
      <w:proofErr w:type="spellEnd"/>
      <w:r w:rsidR="0056775F">
        <w:rPr>
          <w:sz w:val="28"/>
          <w:szCs w:val="28"/>
        </w:rPr>
        <w:t xml:space="preserve"> </w:t>
      </w:r>
    </w:p>
    <w:p w14:paraId="6E96D38B" w14:textId="14708CF6"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(h)</w:t>
      </w:r>
      <w:r w:rsidRPr="00207F60">
        <w:rPr>
          <w:sz w:val="28"/>
          <w:szCs w:val="28"/>
        </w:rPr>
        <w:tab/>
      </w:r>
      <w:r w:rsidR="00F543B1">
        <w:rPr>
          <w:sz w:val="28"/>
          <w:szCs w:val="28"/>
        </w:rPr>
        <w:t xml:space="preserve">No.54: </w:t>
      </w:r>
      <w:proofErr w:type="spellStart"/>
      <w:r w:rsidRPr="00207F60">
        <w:rPr>
          <w:sz w:val="28"/>
          <w:szCs w:val="28"/>
        </w:rPr>
        <w:t>Matelile</w:t>
      </w:r>
      <w:proofErr w:type="spellEnd"/>
      <w:r w:rsidR="0056775F">
        <w:rPr>
          <w:sz w:val="28"/>
          <w:szCs w:val="28"/>
        </w:rPr>
        <w:t xml:space="preserve"> </w:t>
      </w:r>
    </w:p>
    <w:p w14:paraId="647827C2" w14:textId="3CDC6CB2"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lastRenderedPageBreak/>
        <w:tab/>
        <w:t>(</w:t>
      </w:r>
      <w:proofErr w:type="spellStart"/>
      <w:r w:rsidRPr="00207F60">
        <w:rPr>
          <w:sz w:val="28"/>
          <w:szCs w:val="28"/>
        </w:rPr>
        <w:t>i</w:t>
      </w:r>
      <w:proofErr w:type="spellEnd"/>
      <w:r w:rsidRPr="00207F60">
        <w:rPr>
          <w:sz w:val="28"/>
          <w:szCs w:val="28"/>
        </w:rPr>
        <w:t>)</w:t>
      </w:r>
      <w:r w:rsidRPr="00207F60">
        <w:rPr>
          <w:sz w:val="28"/>
          <w:szCs w:val="28"/>
        </w:rPr>
        <w:tab/>
      </w:r>
      <w:r w:rsidR="00F543B1">
        <w:rPr>
          <w:sz w:val="28"/>
          <w:szCs w:val="28"/>
        </w:rPr>
        <w:t xml:space="preserve">No.61: </w:t>
      </w:r>
      <w:r w:rsidRPr="00207F60">
        <w:rPr>
          <w:sz w:val="28"/>
          <w:szCs w:val="28"/>
        </w:rPr>
        <w:t>Mohale’s Hoek</w:t>
      </w:r>
      <w:r w:rsidR="0056775F">
        <w:rPr>
          <w:sz w:val="28"/>
          <w:szCs w:val="28"/>
        </w:rPr>
        <w:t>;</w:t>
      </w:r>
    </w:p>
    <w:p w14:paraId="52FEC696" w14:textId="6BDCA6AF"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(j)</w:t>
      </w:r>
      <w:r w:rsidRPr="00207F60">
        <w:rPr>
          <w:sz w:val="28"/>
          <w:szCs w:val="28"/>
        </w:rPr>
        <w:tab/>
      </w:r>
      <w:r w:rsidR="00F543B1">
        <w:rPr>
          <w:sz w:val="28"/>
          <w:szCs w:val="28"/>
        </w:rPr>
        <w:t xml:space="preserve">No.63: </w:t>
      </w:r>
      <w:proofErr w:type="spellStart"/>
      <w:r w:rsidRPr="00207F60">
        <w:rPr>
          <w:sz w:val="28"/>
          <w:szCs w:val="28"/>
        </w:rPr>
        <w:t>Phamong</w:t>
      </w:r>
      <w:proofErr w:type="spellEnd"/>
      <w:r w:rsidR="0056775F">
        <w:rPr>
          <w:sz w:val="28"/>
          <w:szCs w:val="28"/>
        </w:rPr>
        <w:t xml:space="preserve"> </w:t>
      </w:r>
    </w:p>
    <w:p w14:paraId="36F6CE2E" w14:textId="0AF37B7E"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(k)</w:t>
      </w:r>
      <w:r w:rsidRPr="00207F60">
        <w:rPr>
          <w:sz w:val="28"/>
          <w:szCs w:val="28"/>
        </w:rPr>
        <w:tab/>
      </w:r>
      <w:r w:rsidR="00F543B1">
        <w:rPr>
          <w:sz w:val="28"/>
          <w:szCs w:val="28"/>
        </w:rPr>
        <w:t xml:space="preserve">No. 64: </w:t>
      </w:r>
      <w:proofErr w:type="spellStart"/>
      <w:r w:rsidRPr="00207F60">
        <w:rPr>
          <w:sz w:val="28"/>
          <w:szCs w:val="28"/>
        </w:rPr>
        <w:t>Hloahloeng</w:t>
      </w:r>
      <w:proofErr w:type="spellEnd"/>
      <w:r w:rsidR="0056775F">
        <w:rPr>
          <w:sz w:val="28"/>
          <w:szCs w:val="28"/>
        </w:rPr>
        <w:t>;</w:t>
      </w:r>
    </w:p>
    <w:p w14:paraId="7FFEA034" w14:textId="45A81CEC"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(l)</w:t>
      </w:r>
      <w:r w:rsidRPr="00207F60">
        <w:rPr>
          <w:sz w:val="28"/>
          <w:szCs w:val="28"/>
        </w:rPr>
        <w:tab/>
      </w:r>
      <w:r w:rsidR="00F543B1">
        <w:rPr>
          <w:sz w:val="28"/>
          <w:szCs w:val="28"/>
        </w:rPr>
        <w:t xml:space="preserve">No.65: </w:t>
      </w:r>
      <w:proofErr w:type="spellStart"/>
      <w:r w:rsidRPr="00207F60">
        <w:rPr>
          <w:sz w:val="28"/>
          <w:szCs w:val="28"/>
        </w:rPr>
        <w:t>Moyeni</w:t>
      </w:r>
      <w:proofErr w:type="spellEnd"/>
      <w:r w:rsidR="0056775F">
        <w:rPr>
          <w:sz w:val="28"/>
          <w:szCs w:val="28"/>
        </w:rPr>
        <w:t>;</w:t>
      </w:r>
    </w:p>
    <w:p w14:paraId="6EA8815E" w14:textId="5D6A631F"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(m)</w:t>
      </w:r>
      <w:r w:rsidRPr="00207F60">
        <w:rPr>
          <w:sz w:val="28"/>
          <w:szCs w:val="28"/>
        </w:rPr>
        <w:tab/>
      </w:r>
      <w:r w:rsidR="00F543B1">
        <w:rPr>
          <w:sz w:val="28"/>
          <w:szCs w:val="28"/>
        </w:rPr>
        <w:t xml:space="preserve">No.67: </w:t>
      </w:r>
      <w:r w:rsidRPr="00207F60">
        <w:rPr>
          <w:sz w:val="28"/>
          <w:szCs w:val="28"/>
        </w:rPr>
        <w:t xml:space="preserve">Mt. </w:t>
      </w:r>
      <w:proofErr w:type="spellStart"/>
      <w:r w:rsidRPr="00207F60">
        <w:rPr>
          <w:sz w:val="28"/>
          <w:szCs w:val="28"/>
        </w:rPr>
        <w:t>Moorosi</w:t>
      </w:r>
      <w:proofErr w:type="spellEnd"/>
      <w:r w:rsidR="0056775F">
        <w:rPr>
          <w:sz w:val="28"/>
          <w:szCs w:val="28"/>
        </w:rPr>
        <w:t>;</w:t>
      </w:r>
    </w:p>
    <w:p w14:paraId="5CE9CB22" w14:textId="556990D9"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(n)</w:t>
      </w:r>
      <w:r w:rsidRPr="00207F60">
        <w:rPr>
          <w:sz w:val="28"/>
          <w:szCs w:val="28"/>
        </w:rPr>
        <w:tab/>
      </w:r>
      <w:r w:rsidR="00F543B1">
        <w:rPr>
          <w:sz w:val="28"/>
          <w:szCs w:val="28"/>
        </w:rPr>
        <w:t xml:space="preserve">No.68: </w:t>
      </w:r>
      <w:proofErr w:type="spellStart"/>
      <w:r w:rsidRPr="00207F60">
        <w:rPr>
          <w:sz w:val="28"/>
          <w:szCs w:val="28"/>
        </w:rPr>
        <w:t>Qhoali</w:t>
      </w:r>
      <w:proofErr w:type="spellEnd"/>
      <w:r w:rsidR="0056775F">
        <w:rPr>
          <w:sz w:val="28"/>
          <w:szCs w:val="28"/>
        </w:rPr>
        <w:t>;</w:t>
      </w:r>
    </w:p>
    <w:p w14:paraId="66F77220" w14:textId="4DE6C6F3" w:rsidR="00847EAE" w:rsidRPr="00207F60" w:rsidRDefault="00847EAE" w:rsidP="0084033A">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(o)</w:t>
      </w:r>
      <w:r w:rsidRPr="00207F60">
        <w:rPr>
          <w:sz w:val="28"/>
          <w:szCs w:val="28"/>
        </w:rPr>
        <w:tab/>
      </w:r>
      <w:r w:rsidR="00F543B1">
        <w:rPr>
          <w:sz w:val="28"/>
          <w:szCs w:val="28"/>
        </w:rPr>
        <w:t xml:space="preserve">No.69: </w:t>
      </w:r>
      <w:r w:rsidRPr="00207F60">
        <w:rPr>
          <w:sz w:val="28"/>
          <w:szCs w:val="28"/>
        </w:rPr>
        <w:t>Qacha’s Nek</w:t>
      </w:r>
      <w:r w:rsidR="0056775F">
        <w:rPr>
          <w:sz w:val="28"/>
          <w:szCs w:val="28"/>
        </w:rPr>
        <w:t>;</w:t>
      </w:r>
      <w:r w:rsidRPr="00207F60">
        <w:rPr>
          <w:sz w:val="28"/>
          <w:szCs w:val="28"/>
        </w:rPr>
        <w:t xml:space="preserve">  </w:t>
      </w:r>
    </w:p>
    <w:p w14:paraId="5CB45613" w14:textId="0E5AB280"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w:t>
      </w:r>
      <w:r w:rsidR="0056775F">
        <w:rPr>
          <w:sz w:val="28"/>
          <w:szCs w:val="28"/>
        </w:rPr>
        <w:t>p</w:t>
      </w:r>
      <w:r w:rsidRPr="00207F60">
        <w:rPr>
          <w:sz w:val="28"/>
          <w:szCs w:val="28"/>
        </w:rPr>
        <w:t>)</w:t>
      </w:r>
      <w:r w:rsidRPr="00207F60">
        <w:rPr>
          <w:sz w:val="28"/>
          <w:szCs w:val="28"/>
        </w:rPr>
        <w:tab/>
      </w:r>
      <w:r w:rsidR="00F543B1">
        <w:rPr>
          <w:sz w:val="28"/>
          <w:szCs w:val="28"/>
        </w:rPr>
        <w:t xml:space="preserve">No.70: </w:t>
      </w:r>
      <w:proofErr w:type="spellStart"/>
      <w:r w:rsidRPr="00207F60">
        <w:rPr>
          <w:sz w:val="28"/>
          <w:szCs w:val="28"/>
        </w:rPr>
        <w:t>Lebakeng</w:t>
      </w:r>
      <w:proofErr w:type="spellEnd"/>
      <w:r w:rsidR="0056775F">
        <w:rPr>
          <w:sz w:val="28"/>
          <w:szCs w:val="28"/>
        </w:rPr>
        <w:t>;</w:t>
      </w:r>
    </w:p>
    <w:p w14:paraId="7D28D959" w14:textId="3900B0AD" w:rsidR="00847EAE" w:rsidRPr="00207F60" w:rsidRDefault="00847EAE" w:rsidP="0084033A">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w:t>
      </w:r>
      <w:r w:rsidR="0056775F">
        <w:rPr>
          <w:sz w:val="28"/>
          <w:szCs w:val="28"/>
        </w:rPr>
        <w:t>q</w:t>
      </w:r>
      <w:r w:rsidRPr="00207F60">
        <w:rPr>
          <w:sz w:val="28"/>
          <w:szCs w:val="28"/>
        </w:rPr>
        <w:t>)</w:t>
      </w:r>
      <w:r w:rsidRPr="00207F60">
        <w:rPr>
          <w:sz w:val="28"/>
          <w:szCs w:val="28"/>
        </w:rPr>
        <w:tab/>
      </w:r>
      <w:r w:rsidR="00F543B1">
        <w:rPr>
          <w:sz w:val="28"/>
          <w:szCs w:val="28"/>
        </w:rPr>
        <w:t xml:space="preserve">No.71: </w:t>
      </w:r>
      <w:proofErr w:type="spellStart"/>
      <w:r w:rsidRPr="00207F60">
        <w:rPr>
          <w:sz w:val="28"/>
          <w:szCs w:val="28"/>
        </w:rPr>
        <w:t>Tsoelike</w:t>
      </w:r>
      <w:proofErr w:type="spellEnd"/>
      <w:r w:rsidR="0056775F">
        <w:rPr>
          <w:sz w:val="28"/>
          <w:szCs w:val="28"/>
        </w:rPr>
        <w:t>;</w:t>
      </w:r>
    </w:p>
    <w:p w14:paraId="740ACCA9" w14:textId="6A86A7EC"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w:t>
      </w:r>
      <w:r w:rsidR="0056775F">
        <w:rPr>
          <w:sz w:val="28"/>
          <w:szCs w:val="28"/>
        </w:rPr>
        <w:t>r</w:t>
      </w:r>
      <w:r w:rsidRPr="00207F60">
        <w:rPr>
          <w:sz w:val="28"/>
          <w:szCs w:val="28"/>
        </w:rPr>
        <w:t>)</w:t>
      </w:r>
      <w:r w:rsidRPr="00207F60">
        <w:rPr>
          <w:sz w:val="28"/>
          <w:szCs w:val="28"/>
        </w:rPr>
        <w:tab/>
      </w:r>
      <w:r w:rsidR="00F543B1">
        <w:rPr>
          <w:sz w:val="28"/>
          <w:szCs w:val="28"/>
        </w:rPr>
        <w:t xml:space="preserve">No.72: </w:t>
      </w:r>
      <w:proofErr w:type="spellStart"/>
      <w:r w:rsidRPr="00207F60">
        <w:rPr>
          <w:sz w:val="28"/>
          <w:szCs w:val="28"/>
        </w:rPr>
        <w:t>Mantsonyane</w:t>
      </w:r>
      <w:proofErr w:type="spellEnd"/>
      <w:r w:rsidR="0056775F">
        <w:rPr>
          <w:sz w:val="28"/>
          <w:szCs w:val="28"/>
        </w:rPr>
        <w:t>;</w:t>
      </w:r>
    </w:p>
    <w:p w14:paraId="5D1EACBA" w14:textId="4AE50916"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w:t>
      </w:r>
      <w:r w:rsidR="0056775F">
        <w:rPr>
          <w:sz w:val="28"/>
          <w:szCs w:val="28"/>
        </w:rPr>
        <w:t>s</w:t>
      </w:r>
      <w:r w:rsidRPr="00207F60">
        <w:rPr>
          <w:sz w:val="28"/>
          <w:szCs w:val="28"/>
        </w:rPr>
        <w:t>)</w:t>
      </w:r>
      <w:r w:rsidRPr="00207F60">
        <w:rPr>
          <w:sz w:val="28"/>
          <w:szCs w:val="28"/>
        </w:rPr>
        <w:tab/>
      </w:r>
      <w:r w:rsidR="00F543B1">
        <w:rPr>
          <w:sz w:val="28"/>
          <w:szCs w:val="28"/>
        </w:rPr>
        <w:t xml:space="preserve">No.73: </w:t>
      </w:r>
      <w:proofErr w:type="spellStart"/>
      <w:r w:rsidRPr="00207F60">
        <w:rPr>
          <w:sz w:val="28"/>
          <w:szCs w:val="28"/>
        </w:rPr>
        <w:t>Thaba-Moea</w:t>
      </w:r>
      <w:proofErr w:type="spellEnd"/>
      <w:r w:rsidR="0056775F">
        <w:rPr>
          <w:sz w:val="28"/>
          <w:szCs w:val="28"/>
        </w:rPr>
        <w:t>; and</w:t>
      </w:r>
    </w:p>
    <w:p w14:paraId="2DD30AC7" w14:textId="13B33BE7" w:rsidR="00847EAE" w:rsidRPr="00207F60" w:rsidRDefault="00847EAE" w:rsidP="00CC08AE">
      <w:pPr>
        <w:pStyle w:val="NormalWeb"/>
        <w:shd w:val="clear" w:color="auto" w:fill="FFFFFF"/>
        <w:spacing w:before="120" w:beforeAutospacing="0" w:after="120" w:afterAutospacing="0" w:line="360" w:lineRule="auto"/>
        <w:ind w:left="1440" w:hanging="720"/>
        <w:jc w:val="both"/>
        <w:rPr>
          <w:sz w:val="28"/>
          <w:szCs w:val="28"/>
        </w:rPr>
      </w:pPr>
      <w:r w:rsidRPr="00207F60">
        <w:rPr>
          <w:sz w:val="28"/>
          <w:szCs w:val="28"/>
        </w:rPr>
        <w:tab/>
        <w:t>(</w:t>
      </w:r>
      <w:r w:rsidR="0056775F">
        <w:rPr>
          <w:sz w:val="28"/>
          <w:szCs w:val="28"/>
        </w:rPr>
        <w:t>t</w:t>
      </w:r>
      <w:r w:rsidRPr="00207F60">
        <w:rPr>
          <w:sz w:val="28"/>
          <w:szCs w:val="28"/>
        </w:rPr>
        <w:t>)</w:t>
      </w:r>
      <w:r w:rsidRPr="00207F60">
        <w:rPr>
          <w:sz w:val="28"/>
          <w:szCs w:val="28"/>
        </w:rPr>
        <w:tab/>
      </w:r>
      <w:r w:rsidR="00F543B1">
        <w:rPr>
          <w:sz w:val="28"/>
          <w:szCs w:val="28"/>
        </w:rPr>
        <w:t>No.8</w:t>
      </w:r>
      <w:r w:rsidR="001B4CDD">
        <w:rPr>
          <w:sz w:val="28"/>
          <w:szCs w:val="28"/>
        </w:rPr>
        <w:t>0</w:t>
      </w:r>
      <w:r w:rsidR="00F543B1">
        <w:rPr>
          <w:sz w:val="28"/>
          <w:szCs w:val="28"/>
        </w:rPr>
        <w:t xml:space="preserve">: </w:t>
      </w:r>
      <w:proofErr w:type="spellStart"/>
      <w:r w:rsidRPr="00207F60">
        <w:rPr>
          <w:sz w:val="28"/>
          <w:szCs w:val="28"/>
        </w:rPr>
        <w:t>Bobatsi</w:t>
      </w:r>
      <w:proofErr w:type="spellEnd"/>
      <w:r w:rsidR="00D3396F">
        <w:rPr>
          <w:sz w:val="28"/>
          <w:szCs w:val="28"/>
        </w:rPr>
        <w:t>.</w:t>
      </w:r>
      <w:r w:rsidR="0056775F">
        <w:rPr>
          <w:sz w:val="28"/>
          <w:szCs w:val="28"/>
        </w:rPr>
        <w:t xml:space="preserve"> </w:t>
      </w:r>
    </w:p>
    <w:p w14:paraId="7595F637" w14:textId="613038F4" w:rsidR="007A183F" w:rsidRDefault="007A183F" w:rsidP="002C2B76">
      <w:pPr>
        <w:pStyle w:val="NormalWeb"/>
        <w:shd w:val="clear" w:color="auto" w:fill="FFFFFF"/>
        <w:spacing w:before="144" w:beforeAutospacing="0" w:after="288" w:afterAutospacing="0" w:line="480" w:lineRule="atLeast"/>
        <w:ind w:left="1440" w:hanging="720"/>
        <w:jc w:val="both"/>
        <w:rPr>
          <w:sz w:val="28"/>
          <w:szCs w:val="28"/>
        </w:rPr>
      </w:pPr>
      <w:r>
        <w:rPr>
          <w:sz w:val="28"/>
          <w:szCs w:val="28"/>
        </w:rPr>
        <w:t>2.</w:t>
      </w:r>
      <w:r>
        <w:rPr>
          <w:sz w:val="28"/>
          <w:szCs w:val="28"/>
        </w:rPr>
        <w:tab/>
        <w:t>It is declared that in reviewing boundaries of constituencies the IEC is not bound to limit boundaries of such constituencies within the</w:t>
      </w:r>
      <w:r w:rsidR="00207F60">
        <w:rPr>
          <w:sz w:val="28"/>
          <w:szCs w:val="28"/>
        </w:rPr>
        <w:t xml:space="preserve"> </w:t>
      </w:r>
      <w:r>
        <w:rPr>
          <w:sz w:val="28"/>
          <w:szCs w:val="28"/>
        </w:rPr>
        <w:t>administrative</w:t>
      </w:r>
      <w:r w:rsidR="0056775F">
        <w:rPr>
          <w:sz w:val="28"/>
          <w:szCs w:val="28"/>
        </w:rPr>
        <w:t xml:space="preserve"> boundaries of the Districts. </w:t>
      </w:r>
      <w:r w:rsidR="00207F60">
        <w:rPr>
          <w:sz w:val="28"/>
          <w:szCs w:val="28"/>
        </w:rPr>
        <w:t xml:space="preserve"> </w:t>
      </w:r>
    </w:p>
    <w:p w14:paraId="12B299D3" w14:textId="32C0B08A" w:rsidR="002C2B76" w:rsidRDefault="00AF24DD" w:rsidP="002C2B76">
      <w:pPr>
        <w:pStyle w:val="NormalWeb"/>
        <w:shd w:val="clear" w:color="auto" w:fill="FFFFFF"/>
        <w:spacing w:before="144" w:beforeAutospacing="0" w:after="288" w:afterAutospacing="0" w:line="480" w:lineRule="atLeast"/>
        <w:ind w:left="1440" w:hanging="720"/>
        <w:jc w:val="both"/>
        <w:rPr>
          <w:sz w:val="28"/>
          <w:szCs w:val="28"/>
        </w:rPr>
      </w:pPr>
      <w:r>
        <w:rPr>
          <w:sz w:val="28"/>
          <w:szCs w:val="28"/>
        </w:rPr>
        <w:t>3</w:t>
      </w:r>
      <w:r w:rsidR="002C2B76">
        <w:rPr>
          <w:sz w:val="28"/>
          <w:szCs w:val="28"/>
        </w:rPr>
        <w:t>.</w:t>
      </w:r>
      <w:r w:rsidR="002C2B76">
        <w:rPr>
          <w:sz w:val="28"/>
          <w:szCs w:val="28"/>
        </w:rPr>
        <w:tab/>
        <w:t>The rest of the prayers are dismissed.</w:t>
      </w:r>
    </w:p>
    <w:p w14:paraId="067E72BC" w14:textId="043B4A07" w:rsidR="00D972C4" w:rsidRDefault="00AF24DD" w:rsidP="00F57F7D">
      <w:pPr>
        <w:pStyle w:val="NormalWeb"/>
        <w:shd w:val="clear" w:color="auto" w:fill="FFFFFF"/>
        <w:spacing w:before="144" w:beforeAutospacing="0" w:after="288" w:afterAutospacing="0" w:line="480" w:lineRule="atLeast"/>
        <w:ind w:left="1440" w:hanging="720"/>
        <w:jc w:val="both"/>
        <w:rPr>
          <w:sz w:val="28"/>
          <w:szCs w:val="28"/>
        </w:rPr>
      </w:pPr>
      <w:r>
        <w:rPr>
          <w:sz w:val="28"/>
          <w:szCs w:val="28"/>
        </w:rPr>
        <w:t>4</w:t>
      </w:r>
      <w:r w:rsidR="002C2B76">
        <w:rPr>
          <w:sz w:val="28"/>
          <w:szCs w:val="28"/>
        </w:rPr>
        <w:t>.</w:t>
      </w:r>
      <w:r w:rsidR="002C2B76">
        <w:rPr>
          <w:sz w:val="28"/>
          <w:szCs w:val="28"/>
        </w:rPr>
        <w:tab/>
        <w:t>The first respondent to pay 50% of the applicants’ costs.</w:t>
      </w:r>
    </w:p>
    <w:p w14:paraId="71938ED6" w14:textId="77777777" w:rsidR="00A6473A" w:rsidRDefault="00A6473A" w:rsidP="00F57F7D">
      <w:pPr>
        <w:pStyle w:val="NormalWeb"/>
        <w:shd w:val="clear" w:color="auto" w:fill="FFFFFF"/>
        <w:spacing w:before="144" w:beforeAutospacing="0" w:after="288" w:afterAutospacing="0" w:line="480" w:lineRule="atLeast"/>
        <w:ind w:left="1440" w:hanging="720"/>
        <w:jc w:val="both"/>
        <w:rPr>
          <w:sz w:val="28"/>
          <w:szCs w:val="28"/>
        </w:rPr>
      </w:pPr>
    </w:p>
    <w:p w14:paraId="3468F65F" w14:textId="3BB76C37" w:rsidR="00DB14A8" w:rsidRPr="00C57385" w:rsidRDefault="00C57385" w:rsidP="00207F60">
      <w:pPr>
        <w:pStyle w:val="NormalWeb"/>
        <w:shd w:val="clear" w:color="auto" w:fill="FFFFFF"/>
        <w:spacing w:before="0" w:beforeAutospacing="0" w:after="0" w:afterAutospacing="0"/>
        <w:rPr>
          <w:b/>
          <w:bCs/>
          <w:sz w:val="28"/>
          <w:szCs w:val="28"/>
        </w:rPr>
      </w:pPr>
      <w:r w:rsidRPr="00C57385">
        <w:rPr>
          <w:b/>
          <w:bCs/>
          <w:sz w:val="28"/>
          <w:szCs w:val="28"/>
        </w:rPr>
        <w:t>_</w:t>
      </w:r>
      <w:r w:rsidR="00F57F7D">
        <w:rPr>
          <w:b/>
          <w:bCs/>
          <w:sz w:val="28"/>
          <w:szCs w:val="28"/>
        </w:rPr>
        <w:t>_</w:t>
      </w:r>
      <w:r w:rsidRPr="00C57385">
        <w:rPr>
          <w:b/>
          <w:bCs/>
          <w:sz w:val="28"/>
          <w:szCs w:val="28"/>
        </w:rPr>
        <w:t>____________</w:t>
      </w:r>
      <w:r w:rsidR="00CC08AE">
        <w:rPr>
          <w:b/>
          <w:bCs/>
          <w:sz w:val="28"/>
          <w:szCs w:val="28"/>
        </w:rPr>
        <w:tab/>
      </w:r>
      <w:r w:rsidR="00207F60">
        <w:rPr>
          <w:b/>
          <w:bCs/>
          <w:sz w:val="28"/>
          <w:szCs w:val="28"/>
        </w:rPr>
        <w:tab/>
      </w:r>
      <w:r w:rsidR="00207F60">
        <w:rPr>
          <w:b/>
          <w:bCs/>
          <w:sz w:val="28"/>
          <w:szCs w:val="28"/>
        </w:rPr>
        <w:tab/>
        <w:t>_________________</w:t>
      </w:r>
      <w:r w:rsidR="00207F60">
        <w:rPr>
          <w:b/>
          <w:bCs/>
          <w:sz w:val="28"/>
          <w:szCs w:val="28"/>
        </w:rPr>
        <w:tab/>
        <w:t>_________________</w:t>
      </w:r>
    </w:p>
    <w:p w14:paraId="24345EE0" w14:textId="70C5EB2A" w:rsidR="001B4CDD" w:rsidRDefault="001B4CDD" w:rsidP="00207F60">
      <w:pPr>
        <w:pStyle w:val="NormalWeb"/>
        <w:shd w:val="clear" w:color="auto" w:fill="FFFFFF"/>
        <w:spacing w:before="0" w:beforeAutospacing="0" w:after="0" w:afterAutospacing="0"/>
        <w:ind w:left="720" w:hanging="720"/>
        <w:rPr>
          <w:b/>
          <w:bCs/>
          <w:sz w:val="28"/>
          <w:szCs w:val="28"/>
        </w:rPr>
      </w:pPr>
    </w:p>
    <w:p w14:paraId="6E7B1980" w14:textId="4DA3E927" w:rsidR="00C57385" w:rsidRPr="00C57385" w:rsidRDefault="00C57385" w:rsidP="00207F60">
      <w:pPr>
        <w:pStyle w:val="NormalWeb"/>
        <w:shd w:val="clear" w:color="auto" w:fill="FFFFFF"/>
        <w:spacing w:before="0" w:beforeAutospacing="0" w:after="0" w:afterAutospacing="0"/>
        <w:ind w:left="720" w:hanging="720"/>
        <w:rPr>
          <w:b/>
          <w:bCs/>
          <w:sz w:val="28"/>
          <w:szCs w:val="28"/>
        </w:rPr>
      </w:pPr>
      <w:r w:rsidRPr="00C57385">
        <w:rPr>
          <w:b/>
          <w:bCs/>
          <w:sz w:val="28"/>
          <w:szCs w:val="28"/>
        </w:rPr>
        <w:t>S.P. SAKOANE</w:t>
      </w:r>
      <w:r w:rsidR="003B351F">
        <w:rPr>
          <w:b/>
          <w:bCs/>
          <w:sz w:val="28"/>
          <w:szCs w:val="28"/>
        </w:rPr>
        <w:t xml:space="preserve"> CJ</w:t>
      </w:r>
      <w:r w:rsidR="00207F60">
        <w:rPr>
          <w:b/>
          <w:bCs/>
          <w:sz w:val="28"/>
          <w:szCs w:val="28"/>
        </w:rPr>
        <w:tab/>
      </w:r>
      <w:r w:rsidR="00207F60">
        <w:rPr>
          <w:b/>
          <w:bCs/>
          <w:sz w:val="28"/>
          <w:szCs w:val="28"/>
        </w:rPr>
        <w:tab/>
        <w:t xml:space="preserve">A.R. </w:t>
      </w:r>
      <w:r w:rsidR="00090B98">
        <w:rPr>
          <w:b/>
          <w:bCs/>
          <w:sz w:val="28"/>
          <w:szCs w:val="28"/>
        </w:rPr>
        <w:t xml:space="preserve">MATHABA </w:t>
      </w:r>
      <w:r w:rsidR="003B351F">
        <w:rPr>
          <w:b/>
          <w:bCs/>
          <w:sz w:val="28"/>
          <w:szCs w:val="28"/>
        </w:rPr>
        <w:t>J</w:t>
      </w:r>
      <w:r w:rsidR="00090B98">
        <w:rPr>
          <w:b/>
          <w:bCs/>
          <w:sz w:val="28"/>
          <w:szCs w:val="28"/>
        </w:rPr>
        <w:tab/>
      </w:r>
      <w:r w:rsidR="009206BB">
        <w:rPr>
          <w:b/>
          <w:bCs/>
          <w:sz w:val="28"/>
          <w:szCs w:val="28"/>
        </w:rPr>
        <w:t>M.</w:t>
      </w:r>
      <w:r w:rsidR="00CC08AE">
        <w:rPr>
          <w:b/>
          <w:bCs/>
          <w:sz w:val="28"/>
          <w:szCs w:val="28"/>
        </w:rPr>
        <w:t>J.</w:t>
      </w:r>
      <w:r w:rsidR="009206BB">
        <w:rPr>
          <w:b/>
          <w:bCs/>
          <w:sz w:val="28"/>
          <w:szCs w:val="28"/>
        </w:rPr>
        <w:t xml:space="preserve"> </w:t>
      </w:r>
      <w:r w:rsidR="00207F60">
        <w:rPr>
          <w:b/>
          <w:bCs/>
          <w:sz w:val="28"/>
          <w:szCs w:val="28"/>
        </w:rPr>
        <w:t xml:space="preserve">MAKHETHA </w:t>
      </w:r>
      <w:r w:rsidR="003B351F">
        <w:rPr>
          <w:b/>
          <w:bCs/>
          <w:sz w:val="28"/>
          <w:szCs w:val="28"/>
        </w:rPr>
        <w:t>J</w:t>
      </w:r>
    </w:p>
    <w:p w14:paraId="2D165D81" w14:textId="6BBE62A9" w:rsidR="00C57385" w:rsidRDefault="00C57385" w:rsidP="00C57385">
      <w:pPr>
        <w:pStyle w:val="NormalWeb"/>
        <w:shd w:val="clear" w:color="auto" w:fill="FFFFFF"/>
        <w:spacing w:before="144" w:beforeAutospacing="0" w:after="288" w:afterAutospacing="0" w:line="480" w:lineRule="atLeast"/>
        <w:ind w:left="720" w:hanging="720"/>
        <w:jc w:val="center"/>
        <w:rPr>
          <w:sz w:val="28"/>
          <w:szCs w:val="28"/>
        </w:rPr>
      </w:pPr>
    </w:p>
    <w:p w14:paraId="01DBD4BA" w14:textId="77777777" w:rsidR="004A05F0" w:rsidRDefault="004A05F0" w:rsidP="00C57385">
      <w:pPr>
        <w:pStyle w:val="NormalWeb"/>
        <w:shd w:val="clear" w:color="auto" w:fill="FFFFFF"/>
        <w:spacing w:before="144" w:beforeAutospacing="0" w:after="288" w:afterAutospacing="0" w:line="480" w:lineRule="atLeast"/>
        <w:ind w:left="720" w:hanging="720"/>
        <w:jc w:val="center"/>
        <w:rPr>
          <w:sz w:val="28"/>
          <w:szCs w:val="28"/>
        </w:rPr>
      </w:pPr>
    </w:p>
    <w:p w14:paraId="5B4DEC98" w14:textId="1205E001" w:rsidR="00252271" w:rsidRDefault="00963BA7" w:rsidP="009B4C1A">
      <w:pPr>
        <w:pStyle w:val="NormalWeb"/>
        <w:shd w:val="clear" w:color="auto" w:fill="FFFFFF"/>
        <w:spacing w:before="144" w:beforeAutospacing="0" w:after="288" w:afterAutospacing="0"/>
        <w:jc w:val="both"/>
        <w:rPr>
          <w:sz w:val="28"/>
          <w:szCs w:val="28"/>
        </w:rPr>
      </w:pPr>
      <w:r>
        <w:rPr>
          <w:sz w:val="28"/>
          <w:szCs w:val="28"/>
        </w:rPr>
        <w:lastRenderedPageBreak/>
        <w:t>For the Applicants:</w:t>
      </w:r>
      <w:r w:rsidR="003B351F">
        <w:rPr>
          <w:sz w:val="28"/>
          <w:szCs w:val="28"/>
        </w:rPr>
        <w:t xml:space="preserve">  M.E Teele KC</w:t>
      </w:r>
    </w:p>
    <w:p w14:paraId="40406E9D" w14:textId="056F238B" w:rsidR="00963BA7" w:rsidRDefault="00963BA7" w:rsidP="009B4C1A">
      <w:pPr>
        <w:pStyle w:val="NormalWeb"/>
        <w:shd w:val="clear" w:color="auto" w:fill="FFFFFF"/>
        <w:spacing w:before="144" w:beforeAutospacing="0" w:after="288" w:afterAutospacing="0"/>
        <w:ind w:left="720" w:hanging="720"/>
        <w:jc w:val="both"/>
        <w:rPr>
          <w:sz w:val="28"/>
          <w:szCs w:val="28"/>
        </w:rPr>
      </w:pPr>
      <w:r>
        <w:rPr>
          <w:sz w:val="28"/>
          <w:szCs w:val="28"/>
        </w:rPr>
        <w:t xml:space="preserve">For the </w:t>
      </w:r>
      <w:r w:rsidR="003B351F">
        <w:rPr>
          <w:sz w:val="28"/>
          <w:szCs w:val="28"/>
        </w:rPr>
        <w:t>1</w:t>
      </w:r>
      <w:r w:rsidR="003B351F" w:rsidRPr="003B351F">
        <w:rPr>
          <w:sz w:val="28"/>
          <w:szCs w:val="28"/>
          <w:vertAlign w:val="superscript"/>
        </w:rPr>
        <w:t>st</w:t>
      </w:r>
      <w:r w:rsidR="003B351F">
        <w:rPr>
          <w:sz w:val="28"/>
          <w:szCs w:val="28"/>
        </w:rPr>
        <w:t xml:space="preserve"> </w:t>
      </w:r>
      <w:r>
        <w:rPr>
          <w:sz w:val="28"/>
          <w:szCs w:val="28"/>
        </w:rPr>
        <w:t>Respondent:</w:t>
      </w:r>
      <w:r w:rsidR="00D3396F">
        <w:rPr>
          <w:sz w:val="28"/>
          <w:szCs w:val="28"/>
        </w:rPr>
        <w:t xml:space="preserve"> </w:t>
      </w:r>
      <w:r w:rsidR="001B4CDD">
        <w:rPr>
          <w:sz w:val="28"/>
          <w:szCs w:val="28"/>
        </w:rPr>
        <w:t>K</w:t>
      </w:r>
      <w:r w:rsidR="0056775F">
        <w:rPr>
          <w:sz w:val="28"/>
          <w:szCs w:val="28"/>
        </w:rPr>
        <w:t>.</w:t>
      </w:r>
      <w:r w:rsidR="003B351F">
        <w:rPr>
          <w:sz w:val="28"/>
          <w:szCs w:val="28"/>
        </w:rPr>
        <w:t xml:space="preserve"> </w:t>
      </w:r>
      <w:proofErr w:type="spellStart"/>
      <w:r w:rsidR="003B351F">
        <w:rPr>
          <w:sz w:val="28"/>
          <w:szCs w:val="28"/>
        </w:rPr>
        <w:t>Letuka</w:t>
      </w:r>
      <w:proofErr w:type="spellEnd"/>
    </w:p>
    <w:p w14:paraId="4135DB66" w14:textId="05346D9A" w:rsidR="003B351F" w:rsidRDefault="003B351F" w:rsidP="009B4C1A">
      <w:pPr>
        <w:pStyle w:val="NormalWeb"/>
        <w:shd w:val="clear" w:color="auto" w:fill="FFFFFF"/>
        <w:spacing w:before="144" w:beforeAutospacing="0" w:after="288" w:afterAutospacing="0"/>
        <w:ind w:left="720" w:hanging="720"/>
        <w:jc w:val="both"/>
        <w:rPr>
          <w:sz w:val="28"/>
          <w:szCs w:val="28"/>
        </w:rPr>
      </w:pPr>
      <w:r>
        <w:rPr>
          <w:sz w:val="28"/>
          <w:szCs w:val="28"/>
        </w:rPr>
        <w:t xml:space="preserve">For the </w:t>
      </w:r>
      <w:r w:rsidR="009B4C1A">
        <w:rPr>
          <w:sz w:val="28"/>
          <w:szCs w:val="28"/>
        </w:rPr>
        <w:t>10</w:t>
      </w:r>
      <w:r w:rsidR="009B4C1A" w:rsidRPr="009B4C1A">
        <w:rPr>
          <w:sz w:val="28"/>
          <w:szCs w:val="28"/>
          <w:vertAlign w:val="superscript"/>
        </w:rPr>
        <w:t>th</w:t>
      </w:r>
      <w:r w:rsidR="009B4C1A">
        <w:rPr>
          <w:sz w:val="28"/>
          <w:szCs w:val="28"/>
        </w:rPr>
        <w:t xml:space="preserve"> Respondent: Mr. C. </w:t>
      </w:r>
      <w:r w:rsidR="0056775F">
        <w:rPr>
          <w:sz w:val="28"/>
          <w:szCs w:val="28"/>
        </w:rPr>
        <w:t xml:space="preserve">J </w:t>
      </w:r>
      <w:proofErr w:type="spellStart"/>
      <w:r w:rsidR="009B4C1A">
        <w:rPr>
          <w:sz w:val="28"/>
          <w:szCs w:val="28"/>
        </w:rPr>
        <w:t>Lephuthing</w:t>
      </w:r>
      <w:proofErr w:type="spellEnd"/>
    </w:p>
    <w:p w14:paraId="5010A754" w14:textId="7613075E" w:rsidR="009B4C1A" w:rsidRDefault="009B4C1A" w:rsidP="009B4C1A">
      <w:pPr>
        <w:pStyle w:val="NormalWeb"/>
        <w:shd w:val="clear" w:color="auto" w:fill="FFFFFF"/>
        <w:spacing w:before="144" w:beforeAutospacing="0" w:after="288" w:afterAutospacing="0"/>
        <w:ind w:left="720" w:hanging="720"/>
        <w:jc w:val="both"/>
        <w:rPr>
          <w:sz w:val="28"/>
          <w:szCs w:val="28"/>
        </w:rPr>
      </w:pPr>
      <w:r>
        <w:rPr>
          <w:sz w:val="28"/>
          <w:szCs w:val="28"/>
        </w:rPr>
        <w:t>For the 36</w:t>
      </w:r>
      <w:r w:rsidRPr="009B4C1A">
        <w:rPr>
          <w:sz w:val="28"/>
          <w:szCs w:val="28"/>
          <w:vertAlign w:val="superscript"/>
        </w:rPr>
        <w:t>th</w:t>
      </w:r>
      <w:r>
        <w:rPr>
          <w:sz w:val="28"/>
          <w:szCs w:val="28"/>
        </w:rPr>
        <w:t xml:space="preserve"> and 39</w:t>
      </w:r>
      <w:r w:rsidRPr="009B4C1A">
        <w:rPr>
          <w:sz w:val="28"/>
          <w:szCs w:val="28"/>
          <w:vertAlign w:val="superscript"/>
        </w:rPr>
        <w:t>th</w:t>
      </w:r>
      <w:r>
        <w:rPr>
          <w:sz w:val="28"/>
          <w:szCs w:val="28"/>
        </w:rPr>
        <w:t xml:space="preserve"> Respondents: M. </w:t>
      </w:r>
      <w:proofErr w:type="spellStart"/>
      <w:r>
        <w:rPr>
          <w:sz w:val="28"/>
          <w:szCs w:val="28"/>
        </w:rPr>
        <w:t>Rasekoai</w:t>
      </w:r>
      <w:proofErr w:type="spellEnd"/>
    </w:p>
    <w:p w14:paraId="028AF307" w14:textId="530E8FE4" w:rsidR="009B4C1A" w:rsidRDefault="009B4C1A" w:rsidP="009B4C1A">
      <w:pPr>
        <w:pStyle w:val="NormalWeb"/>
        <w:shd w:val="clear" w:color="auto" w:fill="FFFFFF"/>
        <w:spacing w:before="144" w:beforeAutospacing="0" w:after="288" w:afterAutospacing="0"/>
        <w:ind w:left="720" w:hanging="720"/>
        <w:jc w:val="both"/>
        <w:rPr>
          <w:sz w:val="28"/>
          <w:szCs w:val="28"/>
        </w:rPr>
      </w:pPr>
      <w:r>
        <w:rPr>
          <w:sz w:val="28"/>
          <w:szCs w:val="28"/>
        </w:rPr>
        <w:t>For the 52</w:t>
      </w:r>
      <w:r w:rsidRPr="009B4C1A">
        <w:rPr>
          <w:sz w:val="28"/>
          <w:szCs w:val="28"/>
          <w:vertAlign w:val="superscript"/>
        </w:rPr>
        <w:t>nd</w:t>
      </w:r>
      <w:r>
        <w:rPr>
          <w:sz w:val="28"/>
          <w:szCs w:val="28"/>
        </w:rPr>
        <w:t xml:space="preserve"> Respondent: F. </w:t>
      </w:r>
      <w:proofErr w:type="spellStart"/>
      <w:r>
        <w:rPr>
          <w:sz w:val="28"/>
          <w:szCs w:val="28"/>
        </w:rPr>
        <w:t>Sehapi</w:t>
      </w:r>
      <w:proofErr w:type="spellEnd"/>
    </w:p>
    <w:p w14:paraId="29363316" w14:textId="203CE5F0" w:rsidR="00252271" w:rsidRDefault="00252271" w:rsidP="002C2821">
      <w:pPr>
        <w:pStyle w:val="NormalWeb"/>
        <w:shd w:val="clear" w:color="auto" w:fill="FFFFFF"/>
        <w:spacing w:before="144" w:beforeAutospacing="0" w:after="288" w:afterAutospacing="0" w:line="480" w:lineRule="atLeast"/>
        <w:ind w:left="720" w:hanging="720"/>
        <w:jc w:val="both"/>
        <w:rPr>
          <w:sz w:val="28"/>
          <w:szCs w:val="28"/>
        </w:rPr>
      </w:pPr>
      <w:r>
        <w:rPr>
          <w:sz w:val="28"/>
          <w:szCs w:val="28"/>
        </w:rPr>
        <w:t xml:space="preserve">  </w:t>
      </w:r>
    </w:p>
    <w:p w14:paraId="2607D4F4" w14:textId="77777777" w:rsidR="00495667" w:rsidRDefault="00495667" w:rsidP="002C2821">
      <w:pPr>
        <w:pStyle w:val="NormalWeb"/>
        <w:shd w:val="clear" w:color="auto" w:fill="FFFFFF"/>
        <w:spacing w:before="144" w:beforeAutospacing="0" w:after="288" w:afterAutospacing="0" w:line="480" w:lineRule="atLeast"/>
        <w:ind w:left="720" w:hanging="720"/>
        <w:jc w:val="both"/>
        <w:rPr>
          <w:color w:val="242121"/>
          <w:sz w:val="28"/>
          <w:szCs w:val="28"/>
        </w:rPr>
      </w:pPr>
    </w:p>
    <w:p w14:paraId="51A7392B" w14:textId="1748F5C0" w:rsidR="00576D67" w:rsidRDefault="00576D67" w:rsidP="00576D67">
      <w:pPr>
        <w:pStyle w:val="NormalWeb"/>
        <w:shd w:val="clear" w:color="auto" w:fill="FFFFFF"/>
        <w:spacing w:before="144" w:beforeAutospacing="0" w:after="288" w:afterAutospacing="0" w:line="480" w:lineRule="atLeast"/>
        <w:jc w:val="both"/>
        <w:rPr>
          <w:color w:val="242121"/>
          <w:sz w:val="28"/>
          <w:szCs w:val="28"/>
        </w:rPr>
      </w:pPr>
    </w:p>
    <w:p w14:paraId="65087308" w14:textId="77777777" w:rsidR="00576D67" w:rsidRPr="00576D67" w:rsidRDefault="00576D67" w:rsidP="00576D67">
      <w:pPr>
        <w:pStyle w:val="NormalWeb"/>
        <w:shd w:val="clear" w:color="auto" w:fill="FFFFFF"/>
        <w:spacing w:before="144" w:beforeAutospacing="0" w:after="288" w:afterAutospacing="0" w:line="480" w:lineRule="atLeast"/>
        <w:jc w:val="both"/>
        <w:rPr>
          <w:color w:val="242121"/>
          <w:sz w:val="28"/>
          <w:szCs w:val="28"/>
        </w:rPr>
      </w:pPr>
    </w:p>
    <w:p w14:paraId="30F31FF7" w14:textId="50BEF3EE" w:rsidR="00576D67" w:rsidRDefault="00576D67" w:rsidP="00D25840">
      <w:pPr>
        <w:spacing w:line="480" w:lineRule="auto"/>
        <w:ind w:left="720" w:hanging="720"/>
        <w:jc w:val="both"/>
        <w:rPr>
          <w:sz w:val="28"/>
          <w:szCs w:val="28"/>
        </w:rPr>
      </w:pPr>
    </w:p>
    <w:p w14:paraId="72DCADBC" w14:textId="77777777" w:rsidR="00726DC4" w:rsidRDefault="00726DC4" w:rsidP="00067579">
      <w:pPr>
        <w:spacing w:line="480" w:lineRule="auto"/>
        <w:ind w:left="720" w:hanging="720"/>
        <w:jc w:val="both"/>
        <w:rPr>
          <w:sz w:val="28"/>
          <w:szCs w:val="28"/>
        </w:rPr>
      </w:pPr>
    </w:p>
    <w:p w14:paraId="65A534E2" w14:textId="77777777" w:rsidR="00BE38D9" w:rsidRDefault="00BE38D9" w:rsidP="00BE38D9">
      <w:pPr>
        <w:spacing w:line="480" w:lineRule="auto"/>
        <w:ind w:left="2160" w:hanging="720"/>
        <w:jc w:val="both"/>
        <w:rPr>
          <w:sz w:val="28"/>
          <w:szCs w:val="28"/>
        </w:rPr>
      </w:pPr>
    </w:p>
    <w:p w14:paraId="222863A3" w14:textId="72D1D05A" w:rsidR="00BE38D9" w:rsidRDefault="00BE38D9" w:rsidP="00BE38D9">
      <w:pPr>
        <w:rPr>
          <w:sz w:val="28"/>
          <w:szCs w:val="28"/>
        </w:rPr>
      </w:pPr>
    </w:p>
    <w:p w14:paraId="7632F465" w14:textId="77777777" w:rsidR="00067579" w:rsidRDefault="00067579" w:rsidP="00BE38D9"/>
    <w:sectPr w:rsidR="00067579" w:rsidSect="000F72F8">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437A" w14:textId="77777777" w:rsidR="00A41878" w:rsidRDefault="00A41878" w:rsidP="00D25840">
      <w:r>
        <w:separator/>
      </w:r>
    </w:p>
  </w:endnote>
  <w:endnote w:type="continuationSeparator" w:id="0">
    <w:p w14:paraId="521AB089" w14:textId="77777777" w:rsidR="00A41878" w:rsidRDefault="00A41878" w:rsidP="00D2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Rmn 12p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429062"/>
      <w:docPartObj>
        <w:docPartGallery w:val="Page Numbers (Bottom of Page)"/>
        <w:docPartUnique/>
      </w:docPartObj>
    </w:sdtPr>
    <w:sdtEndPr>
      <w:rPr>
        <w:noProof/>
      </w:rPr>
    </w:sdtEndPr>
    <w:sdtContent>
      <w:p w14:paraId="4CC74DEC" w14:textId="04645AB9" w:rsidR="008543F1" w:rsidRDefault="00854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6CF49" w14:textId="77777777" w:rsidR="008543F1" w:rsidRDefault="0085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7CB3" w14:textId="77777777" w:rsidR="00A41878" w:rsidRDefault="00A41878" w:rsidP="00D25840">
      <w:r>
        <w:separator/>
      </w:r>
    </w:p>
  </w:footnote>
  <w:footnote w:type="continuationSeparator" w:id="0">
    <w:p w14:paraId="3E586AE8" w14:textId="77777777" w:rsidR="00A41878" w:rsidRDefault="00A41878" w:rsidP="00D25840">
      <w:r>
        <w:continuationSeparator/>
      </w:r>
    </w:p>
  </w:footnote>
  <w:footnote w:id="1">
    <w:p w14:paraId="54A4BB30" w14:textId="738FF002" w:rsidR="008543F1" w:rsidRPr="00035B30" w:rsidRDefault="008543F1">
      <w:pPr>
        <w:pStyle w:val="FootnoteText"/>
        <w:rPr>
          <w:lang w:val="en-GB"/>
        </w:rPr>
      </w:pPr>
      <w:r>
        <w:rPr>
          <w:rStyle w:val="FootnoteReference"/>
        </w:rPr>
        <w:footnoteRef/>
      </w:r>
      <w:r>
        <w:t xml:space="preserve"> </w:t>
      </w:r>
      <w:r>
        <w:rPr>
          <w:lang w:val="en-GB"/>
        </w:rPr>
        <w:t xml:space="preserve">The age to vote was brought down from twenty-one years to eighteen by section 2 of the Second Amendment to the Constitution (Act No.7 of 1997) </w:t>
      </w:r>
    </w:p>
  </w:footnote>
  <w:footnote w:id="2">
    <w:p w14:paraId="1A9C07EE" w14:textId="77777777" w:rsidR="008543F1" w:rsidRPr="00D25840" w:rsidRDefault="008543F1" w:rsidP="003560C9">
      <w:pPr>
        <w:pStyle w:val="FootnoteText"/>
        <w:rPr>
          <w:lang w:val="en-ZA"/>
        </w:rPr>
      </w:pPr>
      <w:r>
        <w:rPr>
          <w:rStyle w:val="FootnoteReference"/>
        </w:rPr>
        <w:footnoteRef/>
      </w:r>
      <w:r>
        <w:t xml:space="preserve"> </w:t>
      </w:r>
      <w:r>
        <w:rPr>
          <w:lang w:val="en-ZA"/>
        </w:rPr>
        <w:t>Democratic Alliance and others v. Acting NDPP and others 2012(6) BCLR 613 (SCA) paras [27]-[31]</w:t>
      </w:r>
    </w:p>
  </w:footnote>
  <w:footnote w:id="3">
    <w:p w14:paraId="6EE8FB5E" w14:textId="77777777" w:rsidR="008543F1" w:rsidRPr="00576D67" w:rsidRDefault="008543F1" w:rsidP="003560C9">
      <w:pPr>
        <w:pStyle w:val="FootnoteText"/>
        <w:rPr>
          <w:lang w:val="en-ZA"/>
        </w:rPr>
      </w:pPr>
      <w:r>
        <w:rPr>
          <w:rStyle w:val="FootnoteReference"/>
        </w:rPr>
        <w:footnoteRef/>
      </w:r>
      <w:r>
        <w:t xml:space="preserve"> </w:t>
      </w:r>
      <w:r>
        <w:rPr>
          <w:lang w:val="en-ZA"/>
        </w:rPr>
        <w:t xml:space="preserve">Electoral Commission v. </w:t>
      </w:r>
      <w:r>
        <w:rPr>
          <w:lang w:val="en-ZA"/>
        </w:rPr>
        <w:t>Mhlope and others 2016 (8) BCLR 987 (CC)</w:t>
      </w:r>
    </w:p>
  </w:footnote>
  <w:footnote w:id="4">
    <w:p w14:paraId="7B00310B" w14:textId="77777777" w:rsidR="008543F1" w:rsidRPr="00CE62A3" w:rsidRDefault="008543F1" w:rsidP="003560C9">
      <w:pPr>
        <w:pStyle w:val="FootnoteText"/>
        <w:rPr>
          <w:lang w:val="en-ZA"/>
        </w:rPr>
      </w:pPr>
      <w:r>
        <w:rPr>
          <w:rStyle w:val="FootnoteReference"/>
        </w:rPr>
        <w:footnoteRef/>
      </w:r>
      <w:r>
        <w:t xml:space="preserve"> </w:t>
      </w:r>
      <w:r>
        <w:t>Mazibuko v. City of Johannesburg 2010 (4) SA 1 (CC) para 73</w:t>
      </w:r>
    </w:p>
  </w:footnote>
  <w:footnote w:id="5">
    <w:p w14:paraId="5166626A" w14:textId="77777777" w:rsidR="008543F1" w:rsidRPr="007D7B57" w:rsidRDefault="008543F1" w:rsidP="003560C9">
      <w:pPr>
        <w:pStyle w:val="FootnoteText"/>
        <w:rPr>
          <w:lang w:val="en-ZA"/>
        </w:rPr>
      </w:pPr>
      <w:r>
        <w:rPr>
          <w:rStyle w:val="FootnoteReference"/>
        </w:rPr>
        <w:footnoteRef/>
      </w:r>
      <w:r>
        <w:t xml:space="preserve"> </w:t>
      </w:r>
      <w:r>
        <w:t>Sekoati And Others v. President of the Court-Martial And Others LAC (1995-99) 812 at 820 E-G</w:t>
      </w:r>
    </w:p>
  </w:footnote>
  <w:footnote w:id="6">
    <w:p w14:paraId="2D8F3D43" w14:textId="77777777" w:rsidR="008543F1" w:rsidRPr="00666433" w:rsidRDefault="008543F1" w:rsidP="00B27F26">
      <w:pPr>
        <w:pStyle w:val="FootnoteText"/>
        <w:rPr>
          <w:lang w:val="en-ZA"/>
        </w:rPr>
      </w:pPr>
      <w:r>
        <w:rPr>
          <w:rStyle w:val="FootnoteReference"/>
        </w:rPr>
        <w:footnoteRef/>
      </w:r>
      <w:r>
        <w:t xml:space="preserve"> </w:t>
      </w:r>
      <w:r>
        <w:rPr>
          <w:lang w:val="en-ZA"/>
        </w:rPr>
        <w:t>IEC’s Answering Affidavit para 9.2</w:t>
      </w:r>
    </w:p>
  </w:footnote>
  <w:footnote w:id="7">
    <w:p w14:paraId="6B2DEE9B" w14:textId="77777777" w:rsidR="008543F1" w:rsidRPr="00666433" w:rsidRDefault="008543F1" w:rsidP="00B27F26">
      <w:pPr>
        <w:pStyle w:val="FootnoteText"/>
        <w:rPr>
          <w:lang w:val="en-ZA"/>
        </w:rPr>
      </w:pPr>
      <w:r>
        <w:rPr>
          <w:rStyle w:val="FootnoteReference"/>
        </w:rPr>
        <w:footnoteRef/>
      </w:r>
      <w:r>
        <w:t xml:space="preserve"> Ibid</w:t>
      </w:r>
    </w:p>
  </w:footnote>
  <w:footnote w:id="8">
    <w:p w14:paraId="539358B0" w14:textId="77777777" w:rsidR="008543F1" w:rsidRPr="002C2821" w:rsidRDefault="008543F1" w:rsidP="0099574F">
      <w:pPr>
        <w:pStyle w:val="FootnoteText"/>
        <w:rPr>
          <w:lang w:val="en-ZA"/>
        </w:rPr>
      </w:pPr>
      <w:r>
        <w:rPr>
          <w:rStyle w:val="FootnoteReference"/>
        </w:rPr>
        <w:footnoteRef/>
      </w:r>
      <w:r>
        <w:t xml:space="preserve"> </w:t>
      </w:r>
      <w:r>
        <w:rPr>
          <w:lang w:val="en-ZA"/>
        </w:rPr>
        <w:t>Answering Affidavit para 19.3</w:t>
      </w:r>
    </w:p>
  </w:footnote>
  <w:footnote w:id="9">
    <w:p w14:paraId="5C27A425" w14:textId="77777777" w:rsidR="008543F1" w:rsidRPr="00666433" w:rsidRDefault="008543F1" w:rsidP="00B27F26">
      <w:pPr>
        <w:pStyle w:val="FootnoteText"/>
        <w:rPr>
          <w:lang w:val="en-ZA"/>
        </w:rPr>
      </w:pPr>
      <w:r>
        <w:rPr>
          <w:rStyle w:val="FootnoteReference"/>
        </w:rPr>
        <w:footnoteRef/>
      </w:r>
      <w:r>
        <w:t xml:space="preserve"> </w:t>
      </w:r>
      <w:r>
        <w:rPr>
          <w:lang w:val="en-ZA"/>
        </w:rPr>
        <w:t>Ibid. See also Replying Affidavit para 13</w:t>
      </w:r>
    </w:p>
  </w:footnote>
  <w:footnote w:id="10">
    <w:p w14:paraId="6609800C" w14:textId="77777777" w:rsidR="008543F1" w:rsidRPr="009262E9" w:rsidRDefault="008543F1" w:rsidP="002236BE">
      <w:pPr>
        <w:pStyle w:val="FootnoteText"/>
        <w:rPr>
          <w:lang w:val="en-ZA"/>
        </w:rPr>
      </w:pPr>
      <w:r>
        <w:rPr>
          <w:rStyle w:val="FootnoteReference"/>
        </w:rPr>
        <w:footnoteRef/>
      </w:r>
      <w:r>
        <w:t xml:space="preserve"> </w:t>
      </w:r>
      <w:r>
        <w:rPr>
          <w:lang w:val="en-ZA"/>
        </w:rPr>
        <w:t>Footnote 5 para 9.4</w:t>
      </w:r>
    </w:p>
  </w:footnote>
  <w:footnote w:id="11">
    <w:p w14:paraId="588A75CC" w14:textId="77777777" w:rsidR="008543F1" w:rsidRPr="001A0CBF" w:rsidRDefault="008543F1" w:rsidP="002236BE">
      <w:pPr>
        <w:pStyle w:val="FootnoteText"/>
        <w:rPr>
          <w:lang w:val="en-ZA"/>
        </w:rPr>
      </w:pPr>
      <w:r>
        <w:rPr>
          <w:rStyle w:val="FootnoteReference"/>
        </w:rPr>
        <w:footnoteRef/>
      </w:r>
      <w:r>
        <w:t xml:space="preserve"> </w:t>
      </w:r>
      <w:r>
        <w:rPr>
          <w:lang w:val="en-ZA"/>
        </w:rPr>
        <w:t>Ibid</w:t>
      </w:r>
    </w:p>
  </w:footnote>
  <w:footnote w:id="12">
    <w:p w14:paraId="34637928" w14:textId="77777777" w:rsidR="008543F1" w:rsidRPr="001A0CBF" w:rsidRDefault="008543F1" w:rsidP="002236BE">
      <w:pPr>
        <w:pStyle w:val="FootnoteText"/>
        <w:rPr>
          <w:lang w:val="en-ZA"/>
        </w:rPr>
      </w:pPr>
      <w:r>
        <w:rPr>
          <w:rStyle w:val="FootnoteReference"/>
        </w:rPr>
        <w:footnoteRef/>
      </w:r>
      <w:r>
        <w:t xml:space="preserve"> </w:t>
      </w:r>
      <w:r>
        <w:rPr>
          <w:lang w:val="en-ZA"/>
        </w:rPr>
        <w:t>Footnote 5 para 9.5</w:t>
      </w:r>
    </w:p>
  </w:footnote>
  <w:footnote w:id="13">
    <w:p w14:paraId="10A1EA8A" w14:textId="77777777" w:rsidR="008543F1" w:rsidRPr="001A0CBF" w:rsidRDefault="008543F1" w:rsidP="00772D41">
      <w:pPr>
        <w:pStyle w:val="FootnoteText"/>
        <w:rPr>
          <w:lang w:val="en-ZA"/>
        </w:rPr>
      </w:pPr>
      <w:r>
        <w:rPr>
          <w:rStyle w:val="FootnoteReference"/>
        </w:rPr>
        <w:footnoteRef/>
      </w:r>
      <w:r>
        <w:t xml:space="preserve"> </w:t>
      </w:r>
      <w:r>
        <w:rPr>
          <w:lang w:val="en-ZA"/>
        </w:rPr>
        <w:t>Founding Affidavit para 29</w:t>
      </w:r>
    </w:p>
  </w:footnote>
  <w:footnote w:id="14">
    <w:p w14:paraId="7C5F1A03" w14:textId="77777777" w:rsidR="008543F1" w:rsidRPr="001A0CBF" w:rsidRDefault="008543F1" w:rsidP="00772D41">
      <w:pPr>
        <w:pStyle w:val="FootnoteText"/>
        <w:rPr>
          <w:lang w:val="en-ZA"/>
        </w:rPr>
      </w:pPr>
      <w:r>
        <w:rPr>
          <w:rStyle w:val="FootnoteReference"/>
        </w:rPr>
        <w:footnoteRef/>
      </w:r>
      <w:r>
        <w:t xml:space="preserve"> </w:t>
      </w:r>
      <w:r>
        <w:rPr>
          <w:lang w:val="en-ZA"/>
        </w:rPr>
        <w:t>Annexures A7 and 8 to the Founding Affidavit</w:t>
      </w:r>
    </w:p>
  </w:footnote>
  <w:footnote w:id="15">
    <w:p w14:paraId="0888FB5B" w14:textId="77777777" w:rsidR="008543F1" w:rsidRPr="002C2821" w:rsidRDefault="008543F1" w:rsidP="002236BE">
      <w:pPr>
        <w:pStyle w:val="FootnoteText"/>
        <w:rPr>
          <w:lang w:val="en-ZA"/>
        </w:rPr>
      </w:pPr>
      <w:r>
        <w:rPr>
          <w:rStyle w:val="FootnoteReference"/>
        </w:rPr>
        <w:footnoteRef/>
      </w:r>
      <w:r>
        <w:t xml:space="preserve"> </w:t>
      </w:r>
      <w:r>
        <w:rPr>
          <w:lang w:val="en-ZA"/>
        </w:rPr>
        <w:t>Answering Affidavit para 9.9</w:t>
      </w:r>
    </w:p>
  </w:footnote>
  <w:footnote w:id="16">
    <w:p w14:paraId="77D118BF" w14:textId="77777777" w:rsidR="008543F1" w:rsidRPr="009262E9" w:rsidRDefault="008543F1" w:rsidP="00B27F26">
      <w:pPr>
        <w:pStyle w:val="FootnoteText"/>
        <w:rPr>
          <w:lang w:val="en-ZA"/>
        </w:rPr>
      </w:pPr>
      <w:r>
        <w:rPr>
          <w:rStyle w:val="FootnoteReference"/>
        </w:rPr>
        <w:footnoteRef/>
      </w:r>
      <w:r>
        <w:t xml:space="preserve"> </w:t>
      </w:r>
      <w:r>
        <w:rPr>
          <w:lang w:val="en-ZA"/>
        </w:rPr>
        <w:t>Footnote 5 at para 9.3</w:t>
      </w:r>
    </w:p>
  </w:footnote>
  <w:footnote w:id="17">
    <w:p w14:paraId="2BAF5A83" w14:textId="77777777" w:rsidR="008543F1" w:rsidRPr="009262E9" w:rsidRDefault="008543F1" w:rsidP="00B27F26">
      <w:pPr>
        <w:pStyle w:val="FootnoteText"/>
        <w:rPr>
          <w:lang w:val="en-ZA"/>
        </w:rPr>
      </w:pPr>
      <w:r>
        <w:rPr>
          <w:rStyle w:val="FootnoteReference"/>
        </w:rPr>
        <w:footnoteRef/>
      </w:r>
      <w:r>
        <w:t xml:space="preserve"> </w:t>
      </w:r>
      <w:r>
        <w:rPr>
          <w:lang w:val="en-ZA"/>
        </w:rPr>
        <w:t>Op.cit. paras 9.3 and 9.4</w:t>
      </w:r>
    </w:p>
  </w:footnote>
  <w:footnote w:id="18">
    <w:p w14:paraId="3FB16613" w14:textId="77777777" w:rsidR="008543F1" w:rsidRPr="002C2821" w:rsidRDefault="008543F1" w:rsidP="00B27F26">
      <w:pPr>
        <w:pStyle w:val="FootnoteText"/>
        <w:rPr>
          <w:lang w:val="en-ZA"/>
        </w:rPr>
      </w:pPr>
      <w:r>
        <w:rPr>
          <w:rStyle w:val="FootnoteReference"/>
        </w:rPr>
        <w:footnoteRef/>
      </w:r>
      <w:r>
        <w:t xml:space="preserve"> </w:t>
      </w:r>
      <w:r>
        <w:rPr>
          <w:lang w:val="en-ZA"/>
        </w:rPr>
        <w:t>Founding Affidavit paras 19.1-19.10 read with para 19.4 of Answering Affidavit</w:t>
      </w:r>
    </w:p>
  </w:footnote>
  <w:footnote w:id="19">
    <w:p w14:paraId="79172B40" w14:textId="51CE3EA4" w:rsidR="008543F1" w:rsidRPr="001740C8" w:rsidRDefault="008543F1">
      <w:pPr>
        <w:pStyle w:val="FootnoteText"/>
        <w:rPr>
          <w:lang w:val="en-GB"/>
        </w:rPr>
      </w:pPr>
      <w:r>
        <w:rPr>
          <w:rStyle w:val="FootnoteReference"/>
        </w:rPr>
        <w:footnoteRef/>
      </w:r>
      <w:r>
        <w:t xml:space="preserve"> 1974 (4) SA 633 at 645 C-E</w:t>
      </w:r>
    </w:p>
  </w:footnote>
  <w:footnote w:id="20">
    <w:p w14:paraId="5D196C65" w14:textId="75CD1C7E" w:rsidR="008543F1" w:rsidRPr="00C523B0" w:rsidRDefault="008543F1">
      <w:pPr>
        <w:pStyle w:val="FootnoteText"/>
        <w:rPr>
          <w:lang w:val="en-GB"/>
        </w:rPr>
      </w:pPr>
      <w:r>
        <w:rPr>
          <w:rStyle w:val="FootnoteReference"/>
        </w:rPr>
        <w:footnoteRef/>
      </w:r>
      <w:r>
        <w:t xml:space="preserve"> </w:t>
      </w:r>
      <w:bookmarkStart w:id="2" w:name="_Hlk110541051"/>
      <w:r>
        <w:t xml:space="preserve">Delhi Metro Rail Corporation Ltd v </w:t>
      </w:r>
      <w:r>
        <w:t xml:space="preserve">Tarun Pal Singh Civil Appeal </w:t>
      </w:r>
      <w:bookmarkEnd w:id="2"/>
      <w:r>
        <w:t>No.19356 of 2017 page 10</w:t>
      </w:r>
    </w:p>
  </w:footnote>
  <w:footnote w:id="21">
    <w:p w14:paraId="5581C600" w14:textId="182D458D" w:rsidR="008543F1" w:rsidRPr="00D84272" w:rsidRDefault="008543F1">
      <w:pPr>
        <w:pStyle w:val="FootnoteText"/>
        <w:rPr>
          <w:lang w:val="en-ZA"/>
        </w:rPr>
      </w:pPr>
      <w:r>
        <w:rPr>
          <w:rStyle w:val="FootnoteReference"/>
        </w:rPr>
        <w:footnoteRef/>
      </w:r>
      <w:r>
        <w:t xml:space="preserve"> </w:t>
      </w:r>
      <w:r>
        <w:rPr>
          <w:lang w:val="en-ZA"/>
        </w:rPr>
        <w:t>Reference re Prov. Electoral Boundaries (</w:t>
      </w:r>
      <w:r>
        <w:rPr>
          <w:lang w:val="en-ZA"/>
        </w:rPr>
        <w:t>Sask) [1991]2 S.C.R. 158 at 170</w:t>
      </w:r>
    </w:p>
  </w:footnote>
  <w:footnote w:id="22">
    <w:p w14:paraId="4608C284" w14:textId="26349CD2" w:rsidR="008543F1" w:rsidRPr="008338FE" w:rsidRDefault="008543F1">
      <w:pPr>
        <w:pStyle w:val="FootnoteText"/>
        <w:rPr>
          <w:lang w:val="en-ZA"/>
        </w:rPr>
      </w:pPr>
      <w:r>
        <w:rPr>
          <w:rStyle w:val="FootnoteReference"/>
        </w:rPr>
        <w:footnoteRef/>
      </w:r>
      <w:r>
        <w:t xml:space="preserve"> </w:t>
      </w:r>
      <w:r>
        <w:rPr>
          <w:lang w:val="en-ZA"/>
        </w:rPr>
        <w:t>Op.cit. pp 183-185</w:t>
      </w:r>
    </w:p>
  </w:footnote>
  <w:footnote w:id="23">
    <w:p w14:paraId="20278F4B" w14:textId="5F82FBD8" w:rsidR="008543F1" w:rsidRPr="00C523B0" w:rsidRDefault="008543F1">
      <w:pPr>
        <w:pStyle w:val="FootnoteText"/>
        <w:rPr>
          <w:lang w:val="en-GB"/>
        </w:rPr>
      </w:pPr>
      <w:r>
        <w:rPr>
          <w:rStyle w:val="FootnoteReference"/>
        </w:rPr>
        <w:footnoteRef/>
      </w:r>
      <w:r>
        <w:t xml:space="preserve"> </w:t>
      </w:r>
      <w:r>
        <w:rPr>
          <w:lang w:val="en-GB"/>
        </w:rPr>
        <w:t>Plascon –  Evans Paints Ltd v Van Riebeeck Paints (Pty) Ltd [1984] (3) 623 (A)</w:t>
      </w:r>
    </w:p>
  </w:footnote>
  <w:footnote w:id="24">
    <w:p w14:paraId="589ABE05" w14:textId="639E7909" w:rsidR="008543F1" w:rsidRPr="00513682" w:rsidRDefault="008543F1">
      <w:pPr>
        <w:pStyle w:val="FootnoteText"/>
        <w:rPr>
          <w:lang w:val="en-GB"/>
        </w:rPr>
      </w:pPr>
      <w:r>
        <w:rPr>
          <w:rStyle w:val="FootnoteReference"/>
        </w:rPr>
        <w:footnoteRef/>
      </w:r>
      <w:r>
        <w:t xml:space="preserve"> </w:t>
      </w:r>
      <w:r>
        <w:rPr>
          <w:lang w:val="en-GB"/>
        </w:rPr>
        <w:t>NEHAWU v Minister of Public Service 2022 (6) BCLR 673 (CC) paras [71] – [72].</w:t>
      </w:r>
    </w:p>
  </w:footnote>
  <w:footnote w:id="25">
    <w:p w14:paraId="6DDA3226" w14:textId="086628BD" w:rsidR="008543F1" w:rsidRPr="005D498C" w:rsidRDefault="008543F1">
      <w:pPr>
        <w:pStyle w:val="FootnoteText"/>
        <w:rPr>
          <w:lang w:val="en-GB"/>
        </w:rPr>
      </w:pPr>
      <w:r>
        <w:rPr>
          <w:rStyle w:val="FootnoteReference"/>
        </w:rPr>
        <w:footnoteRef/>
      </w:r>
      <w:r>
        <w:t xml:space="preserve"> </w:t>
      </w:r>
      <w:r>
        <w:rPr>
          <w:lang w:val="en-GB"/>
        </w:rPr>
        <w:t xml:space="preserve">O’Donavan v Attorney General [1961] IR 114; </w:t>
      </w:r>
      <w:bookmarkStart w:id="5" w:name="_Hlk110850493"/>
      <w:r>
        <w:rPr>
          <w:lang w:val="en-GB"/>
        </w:rPr>
        <w:t xml:space="preserve">O’Malley v </w:t>
      </w:r>
      <w:r>
        <w:rPr>
          <w:lang w:val="en-GB"/>
        </w:rPr>
        <w:t>An Taoiseach [1990] ILRM 461</w:t>
      </w:r>
    </w:p>
    <w:bookmarkEnd w:id="5"/>
  </w:footnote>
  <w:footnote w:id="26">
    <w:p w14:paraId="7D295312" w14:textId="235C53AE" w:rsidR="008543F1" w:rsidRPr="001B36E1" w:rsidRDefault="008543F1">
      <w:pPr>
        <w:pStyle w:val="FootnoteText"/>
        <w:rPr>
          <w:lang w:val="en-GB"/>
        </w:rPr>
      </w:pPr>
      <w:r>
        <w:rPr>
          <w:rStyle w:val="FootnoteReference"/>
        </w:rPr>
        <w:footnoteRef/>
      </w:r>
      <w:r>
        <w:t xml:space="preserve"> </w:t>
      </w:r>
      <w:r>
        <w:rPr>
          <w:lang w:val="en-GB"/>
        </w:rPr>
        <w:t>[1997 UKPC 23 (15</w:t>
      </w:r>
      <w:r w:rsidRPr="001B36E1">
        <w:rPr>
          <w:vertAlign w:val="superscript"/>
          <w:lang w:val="en-GB"/>
        </w:rPr>
        <w:t>th</w:t>
      </w:r>
      <w:r>
        <w:rPr>
          <w:lang w:val="en-GB"/>
        </w:rPr>
        <w:t xml:space="preserve"> </w:t>
      </w:r>
      <w:r>
        <w:rPr>
          <w:lang w:val="en-GB"/>
        </w:rPr>
        <w:t>May, 1997)</w:t>
      </w:r>
    </w:p>
  </w:footnote>
  <w:footnote w:id="27">
    <w:p w14:paraId="36628566" w14:textId="77777777" w:rsidR="008543F1" w:rsidRPr="003F37B4" w:rsidRDefault="008543F1" w:rsidP="00351828">
      <w:pPr>
        <w:pStyle w:val="FootnoteText"/>
        <w:rPr>
          <w:lang w:val="en-ZA"/>
        </w:rPr>
      </w:pPr>
      <w:r>
        <w:rPr>
          <w:rStyle w:val="FootnoteReference"/>
        </w:rPr>
        <w:footnoteRef/>
      </w:r>
      <w:r>
        <w:t xml:space="preserve"> </w:t>
      </w:r>
      <w:r>
        <w:rPr>
          <w:lang w:val="en-ZA"/>
        </w:rPr>
        <w:t>LAC (1990-94)1 at 10G-I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41C19"/>
    <w:multiLevelType w:val="hybridMultilevel"/>
    <w:tmpl w:val="3F3C6B02"/>
    <w:lvl w:ilvl="0" w:tplc="9B92DF4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C77168A"/>
    <w:multiLevelType w:val="hybridMultilevel"/>
    <w:tmpl w:val="FCE8E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3334B"/>
    <w:multiLevelType w:val="hybridMultilevel"/>
    <w:tmpl w:val="12F6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8C3C76"/>
    <w:multiLevelType w:val="hybridMultilevel"/>
    <w:tmpl w:val="54E2CE66"/>
    <w:lvl w:ilvl="0" w:tplc="AE1E31D0">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D9"/>
    <w:rsid w:val="0000500A"/>
    <w:rsid w:val="00012954"/>
    <w:rsid w:val="00024F44"/>
    <w:rsid w:val="00025E47"/>
    <w:rsid w:val="00026228"/>
    <w:rsid w:val="000348B0"/>
    <w:rsid w:val="00035B30"/>
    <w:rsid w:val="00036CF6"/>
    <w:rsid w:val="000424B5"/>
    <w:rsid w:val="00044C78"/>
    <w:rsid w:val="00047A81"/>
    <w:rsid w:val="0005488B"/>
    <w:rsid w:val="00067579"/>
    <w:rsid w:val="00067E7A"/>
    <w:rsid w:val="00072168"/>
    <w:rsid w:val="00090B98"/>
    <w:rsid w:val="00094DAB"/>
    <w:rsid w:val="000A48CF"/>
    <w:rsid w:val="000A65E3"/>
    <w:rsid w:val="000B1261"/>
    <w:rsid w:val="000B6E80"/>
    <w:rsid w:val="000B767E"/>
    <w:rsid w:val="000C307C"/>
    <w:rsid w:val="000C59BB"/>
    <w:rsid w:val="000C737E"/>
    <w:rsid w:val="000D54B9"/>
    <w:rsid w:val="000E66FB"/>
    <w:rsid w:val="000F352B"/>
    <w:rsid w:val="000F72F8"/>
    <w:rsid w:val="001171E7"/>
    <w:rsid w:val="00122AA6"/>
    <w:rsid w:val="00124EE3"/>
    <w:rsid w:val="00127F5C"/>
    <w:rsid w:val="00130398"/>
    <w:rsid w:val="00131910"/>
    <w:rsid w:val="00144193"/>
    <w:rsid w:val="00145B6B"/>
    <w:rsid w:val="00154A08"/>
    <w:rsid w:val="0016027B"/>
    <w:rsid w:val="00165574"/>
    <w:rsid w:val="001740C8"/>
    <w:rsid w:val="0017638C"/>
    <w:rsid w:val="001805AB"/>
    <w:rsid w:val="00184C81"/>
    <w:rsid w:val="0018679E"/>
    <w:rsid w:val="001942FA"/>
    <w:rsid w:val="001A0CBF"/>
    <w:rsid w:val="001A1B85"/>
    <w:rsid w:val="001A5BE5"/>
    <w:rsid w:val="001A6EC9"/>
    <w:rsid w:val="001B36E1"/>
    <w:rsid w:val="001B4CDD"/>
    <w:rsid w:val="001B5238"/>
    <w:rsid w:val="001C334B"/>
    <w:rsid w:val="001C3B90"/>
    <w:rsid w:val="001D1799"/>
    <w:rsid w:val="001D646C"/>
    <w:rsid w:val="001D7CA3"/>
    <w:rsid w:val="001E07A2"/>
    <w:rsid w:val="002007FC"/>
    <w:rsid w:val="00200E91"/>
    <w:rsid w:val="00207F60"/>
    <w:rsid w:val="002124BA"/>
    <w:rsid w:val="00221C2B"/>
    <w:rsid w:val="002236BE"/>
    <w:rsid w:val="002318EF"/>
    <w:rsid w:val="002353CA"/>
    <w:rsid w:val="00240C83"/>
    <w:rsid w:val="002416B0"/>
    <w:rsid w:val="00243EEA"/>
    <w:rsid w:val="002443B0"/>
    <w:rsid w:val="002446D8"/>
    <w:rsid w:val="00244C8E"/>
    <w:rsid w:val="002476E5"/>
    <w:rsid w:val="002479A1"/>
    <w:rsid w:val="00252271"/>
    <w:rsid w:val="002522BC"/>
    <w:rsid w:val="00256BEC"/>
    <w:rsid w:val="00266170"/>
    <w:rsid w:val="002677E3"/>
    <w:rsid w:val="00270FFB"/>
    <w:rsid w:val="00282521"/>
    <w:rsid w:val="0028768D"/>
    <w:rsid w:val="0029255B"/>
    <w:rsid w:val="00292E8B"/>
    <w:rsid w:val="0029548A"/>
    <w:rsid w:val="00295F00"/>
    <w:rsid w:val="002B17DE"/>
    <w:rsid w:val="002B47A7"/>
    <w:rsid w:val="002B5088"/>
    <w:rsid w:val="002C2821"/>
    <w:rsid w:val="002C2B76"/>
    <w:rsid w:val="002C3704"/>
    <w:rsid w:val="002E29C6"/>
    <w:rsid w:val="00305F5B"/>
    <w:rsid w:val="00331ED5"/>
    <w:rsid w:val="00335292"/>
    <w:rsid w:val="003443B4"/>
    <w:rsid w:val="00351828"/>
    <w:rsid w:val="003560C9"/>
    <w:rsid w:val="003620DC"/>
    <w:rsid w:val="00393D6A"/>
    <w:rsid w:val="003B081B"/>
    <w:rsid w:val="003B351F"/>
    <w:rsid w:val="003B4506"/>
    <w:rsid w:val="003E1391"/>
    <w:rsid w:val="003E7F39"/>
    <w:rsid w:val="003F0B06"/>
    <w:rsid w:val="0041583E"/>
    <w:rsid w:val="0042466A"/>
    <w:rsid w:val="00425124"/>
    <w:rsid w:val="00430A8E"/>
    <w:rsid w:val="00442DB0"/>
    <w:rsid w:val="00451BA7"/>
    <w:rsid w:val="00471DE8"/>
    <w:rsid w:val="004751E3"/>
    <w:rsid w:val="00477D1B"/>
    <w:rsid w:val="00480420"/>
    <w:rsid w:val="0048391A"/>
    <w:rsid w:val="00484348"/>
    <w:rsid w:val="00495667"/>
    <w:rsid w:val="00497D83"/>
    <w:rsid w:val="004A0591"/>
    <w:rsid w:val="004A05F0"/>
    <w:rsid w:val="004A0A67"/>
    <w:rsid w:val="004A2C2F"/>
    <w:rsid w:val="004B1853"/>
    <w:rsid w:val="004B36B6"/>
    <w:rsid w:val="004C44E7"/>
    <w:rsid w:val="004D2673"/>
    <w:rsid w:val="004D77EF"/>
    <w:rsid w:val="004F2C27"/>
    <w:rsid w:val="004F681B"/>
    <w:rsid w:val="00503E2D"/>
    <w:rsid w:val="005070D5"/>
    <w:rsid w:val="00513682"/>
    <w:rsid w:val="00513E98"/>
    <w:rsid w:val="0052221D"/>
    <w:rsid w:val="00523BD5"/>
    <w:rsid w:val="005318F0"/>
    <w:rsid w:val="00531F06"/>
    <w:rsid w:val="005340BA"/>
    <w:rsid w:val="00534495"/>
    <w:rsid w:val="00551675"/>
    <w:rsid w:val="0056471B"/>
    <w:rsid w:val="0056775F"/>
    <w:rsid w:val="0057672A"/>
    <w:rsid w:val="00576D67"/>
    <w:rsid w:val="00580DB7"/>
    <w:rsid w:val="00581D3A"/>
    <w:rsid w:val="00586438"/>
    <w:rsid w:val="00590504"/>
    <w:rsid w:val="005A6D05"/>
    <w:rsid w:val="005B422B"/>
    <w:rsid w:val="005D3D0A"/>
    <w:rsid w:val="005D498C"/>
    <w:rsid w:val="005D5308"/>
    <w:rsid w:val="005F5DB4"/>
    <w:rsid w:val="00623F7B"/>
    <w:rsid w:val="00626882"/>
    <w:rsid w:val="006303E2"/>
    <w:rsid w:val="006368A5"/>
    <w:rsid w:val="00641B95"/>
    <w:rsid w:val="006423B6"/>
    <w:rsid w:val="00666433"/>
    <w:rsid w:val="006700ED"/>
    <w:rsid w:val="006704E4"/>
    <w:rsid w:val="00671EDC"/>
    <w:rsid w:val="00675000"/>
    <w:rsid w:val="006766A6"/>
    <w:rsid w:val="006769AB"/>
    <w:rsid w:val="006837C8"/>
    <w:rsid w:val="006A5F0B"/>
    <w:rsid w:val="006B5649"/>
    <w:rsid w:val="006B7FAE"/>
    <w:rsid w:val="006D749C"/>
    <w:rsid w:val="006E5F78"/>
    <w:rsid w:val="006F018B"/>
    <w:rsid w:val="006F3F05"/>
    <w:rsid w:val="006F7935"/>
    <w:rsid w:val="00706E4B"/>
    <w:rsid w:val="00712202"/>
    <w:rsid w:val="00716FEE"/>
    <w:rsid w:val="00726DC4"/>
    <w:rsid w:val="0074067B"/>
    <w:rsid w:val="00743A08"/>
    <w:rsid w:val="007449FB"/>
    <w:rsid w:val="007459F2"/>
    <w:rsid w:val="007726A2"/>
    <w:rsid w:val="00772825"/>
    <w:rsid w:val="00772D41"/>
    <w:rsid w:val="00772F6E"/>
    <w:rsid w:val="00773B17"/>
    <w:rsid w:val="00774164"/>
    <w:rsid w:val="00792DFF"/>
    <w:rsid w:val="007935F1"/>
    <w:rsid w:val="007A183F"/>
    <w:rsid w:val="007A40B6"/>
    <w:rsid w:val="007A511A"/>
    <w:rsid w:val="007D7B57"/>
    <w:rsid w:val="007E0960"/>
    <w:rsid w:val="007E7BC2"/>
    <w:rsid w:val="00800366"/>
    <w:rsid w:val="00817434"/>
    <w:rsid w:val="008212E8"/>
    <w:rsid w:val="0082153B"/>
    <w:rsid w:val="00832610"/>
    <w:rsid w:val="00832F6A"/>
    <w:rsid w:val="008338FE"/>
    <w:rsid w:val="008362AC"/>
    <w:rsid w:val="0084033A"/>
    <w:rsid w:val="00847EAE"/>
    <w:rsid w:val="0085343F"/>
    <w:rsid w:val="008543F1"/>
    <w:rsid w:val="00854B13"/>
    <w:rsid w:val="00857B4E"/>
    <w:rsid w:val="00863988"/>
    <w:rsid w:val="0086508C"/>
    <w:rsid w:val="00875009"/>
    <w:rsid w:val="008823D4"/>
    <w:rsid w:val="00882448"/>
    <w:rsid w:val="0089019A"/>
    <w:rsid w:val="00897B27"/>
    <w:rsid w:val="008A16D4"/>
    <w:rsid w:val="008A672E"/>
    <w:rsid w:val="008D1A04"/>
    <w:rsid w:val="008E1056"/>
    <w:rsid w:val="008E3A09"/>
    <w:rsid w:val="008E52EF"/>
    <w:rsid w:val="0090779C"/>
    <w:rsid w:val="0091674D"/>
    <w:rsid w:val="009206BB"/>
    <w:rsid w:val="009262E9"/>
    <w:rsid w:val="00931C82"/>
    <w:rsid w:val="00933729"/>
    <w:rsid w:val="00940B92"/>
    <w:rsid w:val="00963BA7"/>
    <w:rsid w:val="0096662B"/>
    <w:rsid w:val="00973AF2"/>
    <w:rsid w:val="0097724E"/>
    <w:rsid w:val="009818BC"/>
    <w:rsid w:val="00983EF7"/>
    <w:rsid w:val="0098464D"/>
    <w:rsid w:val="0099574F"/>
    <w:rsid w:val="009A3F4C"/>
    <w:rsid w:val="009B4C1A"/>
    <w:rsid w:val="009C1E03"/>
    <w:rsid w:val="00A15FFB"/>
    <w:rsid w:val="00A1790F"/>
    <w:rsid w:val="00A41878"/>
    <w:rsid w:val="00A46B45"/>
    <w:rsid w:val="00A52143"/>
    <w:rsid w:val="00A57581"/>
    <w:rsid w:val="00A6029D"/>
    <w:rsid w:val="00A602A9"/>
    <w:rsid w:val="00A60F16"/>
    <w:rsid w:val="00A635BA"/>
    <w:rsid w:val="00A6473A"/>
    <w:rsid w:val="00A711BC"/>
    <w:rsid w:val="00A7265C"/>
    <w:rsid w:val="00A809BA"/>
    <w:rsid w:val="00AA2268"/>
    <w:rsid w:val="00AA28FA"/>
    <w:rsid w:val="00AB1119"/>
    <w:rsid w:val="00AB492C"/>
    <w:rsid w:val="00AB6544"/>
    <w:rsid w:val="00AD0FF4"/>
    <w:rsid w:val="00AE20A5"/>
    <w:rsid w:val="00AF0263"/>
    <w:rsid w:val="00AF24DD"/>
    <w:rsid w:val="00B10404"/>
    <w:rsid w:val="00B17D82"/>
    <w:rsid w:val="00B21B3D"/>
    <w:rsid w:val="00B230CD"/>
    <w:rsid w:val="00B23EC3"/>
    <w:rsid w:val="00B27F26"/>
    <w:rsid w:val="00B3015D"/>
    <w:rsid w:val="00B342A0"/>
    <w:rsid w:val="00B40929"/>
    <w:rsid w:val="00B4397E"/>
    <w:rsid w:val="00B44790"/>
    <w:rsid w:val="00B4702A"/>
    <w:rsid w:val="00B81FD5"/>
    <w:rsid w:val="00B85FF5"/>
    <w:rsid w:val="00B94745"/>
    <w:rsid w:val="00B95FED"/>
    <w:rsid w:val="00BA3EED"/>
    <w:rsid w:val="00BB13A6"/>
    <w:rsid w:val="00BB6809"/>
    <w:rsid w:val="00BC44B3"/>
    <w:rsid w:val="00BC567F"/>
    <w:rsid w:val="00BD5DFE"/>
    <w:rsid w:val="00BD755A"/>
    <w:rsid w:val="00BD75A2"/>
    <w:rsid w:val="00BE38D9"/>
    <w:rsid w:val="00BE5E49"/>
    <w:rsid w:val="00BF1391"/>
    <w:rsid w:val="00C03606"/>
    <w:rsid w:val="00C105AE"/>
    <w:rsid w:val="00C2268C"/>
    <w:rsid w:val="00C2631C"/>
    <w:rsid w:val="00C304BB"/>
    <w:rsid w:val="00C35DD6"/>
    <w:rsid w:val="00C35EE3"/>
    <w:rsid w:val="00C40E2C"/>
    <w:rsid w:val="00C43356"/>
    <w:rsid w:val="00C523B0"/>
    <w:rsid w:val="00C57385"/>
    <w:rsid w:val="00C70744"/>
    <w:rsid w:val="00C72F15"/>
    <w:rsid w:val="00C8148C"/>
    <w:rsid w:val="00C9739B"/>
    <w:rsid w:val="00CA0E64"/>
    <w:rsid w:val="00CB1597"/>
    <w:rsid w:val="00CC08AE"/>
    <w:rsid w:val="00CC5641"/>
    <w:rsid w:val="00CE62A3"/>
    <w:rsid w:val="00CF43FE"/>
    <w:rsid w:val="00CF48F1"/>
    <w:rsid w:val="00D1308D"/>
    <w:rsid w:val="00D2201F"/>
    <w:rsid w:val="00D25840"/>
    <w:rsid w:val="00D27E14"/>
    <w:rsid w:val="00D3396F"/>
    <w:rsid w:val="00D47A02"/>
    <w:rsid w:val="00D54302"/>
    <w:rsid w:val="00D6196F"/>
    <w:rsid w:val="00D63FEF"/>
    <w:rsid w:val="00D70C5B"/>
    <w:rsid w:val="00D71E64"/>
    <w:rsid w:val="00D84272"/>
    <w:rsid w:val="00D84481"/>
    <w:rsid w:val="00D8768B"/>
    <w:rsid w:val="00D93BD9"/>
    <w:rsid w:val="00D93C0B"/>
    <w:rsid w:val="00D972C4"/>
    <w:rsid w:val="00DA039F"/>
    <w:rsid w:val="00DA1E0B"/>
    <w:rsid w:val="00DB14A8"/>
    <w:rsid w:val="00DB2A97"/>
    <w:rsid w:val="00DC1093"/>
    <w:rsid w:val="00DC5D16"/>
    <w:rsid w:val="00DD2A69"/>
    <w:rsid w:val="00DD66C0"/>
    <w:rsid w:val="00DE0DB6"/>
    <w:rsid w:val="00DE2A29"/>
    <w:rsid w:val="00DF217C"/>
    <w:rsid w:val="00E02C14"/>
    <w:rsid w:val="00E072D4"/>
    <w:rsid w:val="00E077BE"/>
    <w:rsid w:val="00E1125A"/>
    <w:rsid w:val="00E24D35"/>
    <w:rsid w:val="00E33421"/>
    <w:rsid w:val="00E4302A"/>
    <w:rsid w:val="00E46244"/>
    <w:rsid w:val="00E52BAC"/>
    <w:rsid w:val="00E5576D"/>
    <w:rsid w:val="00E71254"/>
    <w:rsid w:val="00E7674A"/>
    <w:rsid w:val="00E7684A"/>
    <w:rsid w:val="00E82AFF"/>
    <w:rsid w:val="00E83DA4"/>
    <w:rsid w:val="00E84968"/>
    <w:rsid w:val="00EA6909"/>
    <w:rsid w:val="00EB3DDE"/>
    <w:rsid w:val="00EB40E7"/>
    <w:rsid w:val="00EC7079"/>
    <w:rsid w:val="00EE1DD0"/>
    <w:rsid w:val="00F01FDB"/>
    <w:rsid w:val="00F04449"/>
    <w:rsid w:val="00F15284"/>
    <w:rsid w:val="00F21EF5"/>
    <w:rsid w:val="00F263E7"/>
    <w:rsid w:val="00F323CB"/>
    <w:rsid w:val="00F45F37"/>
    <w:rsid w:val="00F543B1"/>
    <w:rsid w:val="00F54476"/>
    <w:rsid w:val="00F56D46"/>
    <w:rsid w:val="00F57F7D"/>
    <w:rsid w:val="00F714BA"/>
    <w:rsid w:val="00F71F14"/>
    <w:rsid w:val="00F72649"/>
    <w:rsid w:val="00F7359D"/>
    <w:rsid w:val="00F73945"/>
    <w:rsid w:val="00F76715"/>
    <w:rsid w:val="00F831D3"/>
    <w:rsid w:val="00F85D6B"/>
    <w:rsid w:val="00FA061B"/>
    <w:rsid w:val="00FA379C"/>
    <w:rsid w:val="00FA5D0E"/>
    <w:rsid w:val="00FA6DFB"/>
    <w:rsid w:val="00FB0763"/>
    <w:rsid w:val="00FB7A31"/>
    <w:rsid w:val="00FC0551"/>
    <w:rsid w:val="00FD3F9C"/>
    <w:rsid w:val="00FF4B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1AB6"/>
  <w15:chartTrackingRefBased/>
  <w15:docId w15:val="{87A36409-FEE2-4C83-82D9-C069968D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8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8D9"/>
    <w:pPr>
      <w:ind w:left="720"/>
      <w:contextualSpacing/>
    </w:pPr>
  </w:style>
  <w:style w:type="paragraph" w:styleId="FootnoteText">
    <w:name w:val="footnote text"/>
    <w:basedOn w:val="Normal"/>
    <w:link w:val="FootnoteTextChar"/>
    <w:uiPriority w:val="99"/>
    <w:unhideWhenUsed/>
    <w:rsid w:val="00D25840"/>
    <w:rPr>
      <w:sz w:val="20"/>
      <w:szCs w:val="20"/>
    </w:rPr>
  </w:style>
  <w:style w:type="character" w:customStyle="1" w:styleId="FootnoteTextChar">
    <w:name w:val="Footnote Text Char"/>
    <w:basedOn w:val="DefaultParagraphFont"/>
    <w:link w:val="FootnoteText"/>
    <w:uiPriority w:val="99"/>
    <w:rsid w:val="00D2584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25840"/>
    <w:rPr>
      <w:vertAlign w:val="superscript"/>
    </w:rPr>
  </w:style>
  <w:style w:type="paragraph" w:styleId="NormalWeb">
    <w:name w:val="Normal (Web)"/>
    <w:basedOn w:val="Normal"/>
    <w:uiPriority w:val="99"/>
    <w:unhideWhenUsed/>
    <w:rsid w:val="00576D67"/>
    <w:pPr>
      <w:spacing w:before="100" w:beforeAutospacing="1" w:after="100" w:afterAutospacing="1"/>
    </w:pPr>
    <w:rPr>
      <w:lang w:val="en-ZA" w:eastAsia="en-ZA"/>
    </w:rPr>
  </w:style>
  <w:style w:type="paragraph" w:styleId="Header">
    <w:name w:val="header"/>
    <w:basedOn w:val="Normal"/>
    <w:link w:val="HeaderChar"/>
    <w:uiPriority w:val="99"/>
    <w:unhideWhenUsed/>
    <w:rsid w:val="00F54476"/>
    <w:pPr>
      <w:tabs>
        <w:tab w:val="center" w:pos="4513"/>
        <w:tab w:val="right" w:pos="9026"/>
      </w:tabs>
    </w:pPr>
  </w:style>
  <w:style w:type="character" w:customStyle="1" w:styleId="HeaderChar">
    <w:name w:val="Header Char"/>
    <w:basedOn w:val="DefaultParagraphFont"/>
    <w:link w:val="Header"/>
    <w:uiPriority w:val="99"/>
    <w:rsid w:val="00F5447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476"/>
    <w:pPr>
      <w:tabs>
        <w:tab w:val="center" w:pos="4513"/>
        <w:tab w:val="right" w:pos="9026"/>
      </w:tabs>
    </w:pPr>
  </w:style>
  <w:style w:type="character" w:customStyle="1" w:styleId="FooterChar">
    <w:name w:val="Footer Char"/>
    <w:basedOn w:val="DefaultParagraphFont"/>
    <w:link w:val="Footer"/>
    <w:uiPriority w:val="99"/>
    <w:rsid w:val="00F5447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714BA"/>
    <w:rPr>
      <w:sz w:val="16"/>
      <w:szCs w:val="16"/>
    </w:rPr>
  </w:style>
  <w:style w:type="paragraph" w:styleId="CommentText">
    <w:name w:val="annotation text"/>
    <w:basedOn w:val="Normal"/>
    <w:link w:val="CommentTextChar"/>
    <w:uiPriority w:val="99"/>
    <w:semiHidden/>
    <w:unhideWhenUsed/>
    <w:rsid w:val="00F714BA"/>
    <w:rPr>
      <w:sz w:val="20"/>
      <w:szCs w:val="20"/>
    </w:rPr>
  </w:style>
  <w:style w:type="character" w:customStyle="1" w:styleId="CommentTextChar">
    <w:name w:val="Comment Text Char"/>
    <w:basedOn w:val="DefaultParagraphFont"/>
    <w:link w:val="CommentText"/>
    <w:uiPriority w:val="99"/>
    <w:semiHidden/>
    <w:rsid w:val="00F714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14BA"/>
    <w:rPr>
      <w:b/>
      <w:bCs/>
    </w:rPr>
  </w:style>
  <w:style w:type="character" w:customStyle="1" w:styleId="CommentSubjectChar">
    <w:name w:val="Comment Subject Char"/>
    <w:basedOn w:val="CommentTextChar"/>
    <w:link w:val="CommentSubject"/>
    <w:uiPriority w:val="99"/>
    <w:semiHidden/>
    <w:rsid w:val="00F714B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7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B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869776">
      <w:bodyDiv w:val="1"/>
      <w:marLeft w:val="0"/>
      <w:marRight w:val="0"/>
      <w:marTop w:val="0"/>
      <w:marBottom w:val="0"/>
      <w:divBdr>
        <w:top w:val="none" w:sz="0" w:space="0" w:color="auto"/>
        <w:left w:val="none" w:sz="0" w:space="0" w:color="auto"/>
        <w:bottom w:val="none" w:sz="0" w:space="0" w:color="auto"/>
        <w:right w:val="none" w:sz="0" w:space="0" w:color="auto"/>
      </w:divBdr>
    </w:div>
    <w:div w:id="1241865844">
      <w:bodyDiv w:val="1"/>
      <w:marLeft w:val="0"/>
      <w:marRight w:val="0"/>
      <w:marTop w:val="0"/>
      <w:marBottom w:val="0"/>
      <w:divBdr>
        <w:top w:val="none" w:sz="0" w:space="0" w:color="auto"/>
        <w:left w:val="none" w:sz="0" w:space="0" w:color="auto"/>
        <w:bottom w:val="none" w:sz="0" w:space="0" w:color="auto"/>
        <w:right w:val="none" w:sz="0" w:space="0" w:color="auto"/>
      </w:divBdr>
    </w:div>
    <w:div w:id="1324503776">
      <w:bodyDiv w:val="1"/>
      <w:marLeft w:val="0"/>
      <w:marRight w:val="0"/>
      <w:marTop w:val="0"/>
      <w:marBottom w:val="0"/>
      <w:divBdr>
        <w:top w:val="none" w:sz="0" w:space="0" w:color="auto"/>
        <w:left w:val="none" w:sz="0" w:space="0" w:color="auto"/>
        <w:bottom w:val="none" w:sz="0" w:space="0" w:color="auto"/>
        <w:right w:val="none" w:sz="0" w:space="0" w:color="auto"/>
      </w:divBdr>
    </w:div>
    <w:div w:id="1972006970">
      <w:bodyDiv w:val="1"/>
      <w:marLeft w:val="0"/>
      <w:marRight w:val="0"/>
      <w:marTop w:val="0"/>
      <w:marBottom w:val="0"/>
      <w:divBdr>
        <w:top w:val="none" w:sz="0" w:space="0" w:color="auto"/>
        <w:left w:val="none" w:sz="0" w:space="0" w:color="auto"/>
        <w:bottom w:val="none" w:sz="0" w:space="0" w:color="auto"/>
        <w:right w:val="none" w:sz="0" w:space="0" w:color="auto"/>
      </w:divBdr>
    </w:div>
    <w:div w:id="20262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06125-7B1E-4582-B2D9-46F465BE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9580</Words>
  <Characters>54612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JSC</dc:creator>
  <cp:keywords/>
  <dc:description/>
  <cp:lastModifiedBy>Secretary JSC</cp:lastModifiedBy>
  <cp:revision>10</cp:revision>
  <cp:lastPrinted>2022-08-09T07:21:00Z</cp:lastPrinted>
  <dcterms:created xsi:type="dcterms:W3CDTF">2022-08-08T14:12:00Z</dcterms:created>
  <dcterms:modified xsi:type="dcterms:W3CDTF">2022-08-09T07:24:00Z</dcterms:modified>
</cp:coreProperties>
</file>