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58B0F" w14:textId="77777777" w:rsidR="0090367A" w:rsidRDefault="0090367A" w:rsidP="0090367A">
      <w:pPr>
        <w:jc w:val="center"/>
        <w:rPr>
          <w:b/>
          <w:sz w:val="34"/>
          <w:szCs w:val="34"/>
          <w:u w:val="single"/>
        </w:rPr>
      </w:pPr>
    </w:p>
    <w:p w14:paraId="5164B0F0" w14:textId="77777777" w:rsidR="0090367A" w:rsidRDefault="0090367A" w:rsidP="0090367A">
      <w:pPr>
        <w:jc w:val="center"/>
        <w:rPr>
          <w:b/>
          <w:sz w:val="34"/>
          <w:szCs w:val="34"/>
          <w:u w:val="single"/>
        </w:rPr>
      </w:pPr>
    </w:p>
    <w:p w14:paraId="1EE4D602" w14:textId="77777777" w:rsidR="0090367A" w:rsidRDefault="0090367A" w:rsidP="0090367A">
      <w:pPr>
        <w:jc w:val="center"/>
        <w:rPr>
          <w:b/>
          <w:sz w:val="34"/>
          <w:szCs w:val="34"/>
          <w:u w:val="single"/>
        </w:rPr>
      </w:pPr>
    </w:p>
    <w:p w14:paraId="4BF2D701" w14:textId="77777777" w:rsidR="0090367A" w:rsidRDefault="0090367A" w:rsidP="0090367A">
      <w:pPr>
        <w:jc w:val="center"/>
        <w:rPr>
          <w:b/>
          <w:sz w:val="34"/>
          <w:szCs w:val="34"/>
          <w:u w:val="single"/>
        </w:rPr>
      </w:pPr>
    </w:p>
    <w:p w14:paraId="3E2F17C2" w14:textId="77777777" w:rsidR="0090367A" w:rsidRDefault="0090367A" w:rsidP="0090367A">
      <w:pPr>
        <w:jc w:val="center"/>
        <w:rPr>
          <w:b/>
          <w:sz w:val="34"/>
          <w:szCs w:val="34"/>
          <w:u w:val="single"/>
        </w:rPr>
      </w:pPr>
      <w:r>
        <w:rPr>
          <w:b/>
          <w:sz w:val="34"/>
          <w:szCs w:val="34"/>
          <w:u w:val="single"/>
        </w:rPr>
        <w:t>IN THE HIGH COURT OF LESOTHO</w:t>
      </w:r>
    </w:p>
    <w:p w14:paraId="2FAF3183" w14:textId="77777777" w:rsidR="0090367A" w:rsidRDefault="0090367A" w:rsidP="0090367A">
      <w:pPr>
        <w:jc w:val="center"/>
        <w:rPr>
          <w:b/>
          <w:sz w:val="34"/>
          <w:szCs w:val="34"/>
        </w:rPr>
      </w:pPr>
    </w:p>
    <w:p w14:paraId="6F0B45BB" w14:textId="77777777" w:rsidR="0090367A" w:rsidRDefault="0090367A" w:rsidP="0090367A">
      <w:pPr>
        <w:jc w:val="both"/>
        <w:rPr>
          <w:b/>
          <w:sz w:val="28"/>
          <w:szCs w:val="28"/>
        </w:rPr>
      </w:pPr>
      <w:r>
        <w:rPr>
          <w:b/>
          <w:sz w:val="28"/>
          <w:szCs w:val="28"/>
        </w:rPr>
        <w:t>Held at Maseru</w:t>
      </w:r>
    </w:p>
    <w:p w14:paraId="1E7EFA4A" w14:textId="7C28355E" w:rsidR="0090367A" w:rsidRDefault="0090367A" w:rsidP="0090367A">
      <w:pPr>
        <w:jc w:val="right"/>
        <w:rPr>
          <w:b/>
          <w:sz w:val="30"/>
          <w:szCs w:val="30"/>
        </w:rPr>
      </w:pPr>
      <w:r>
        <w:rPr>
          <w:b/>
          <w:sz w:val="30"/>
          <w:szCs w:val="30"/>
        </w:rPr>
        <w:t>CIV/T/594/2013</w:t>
      </w:r>
    </w:p>
    <w:p w14:paraId="0854BD55" w14:textId="77777777" w:rsidR="0090367A" w:rsidRDefault="0090367A" w:rsidP="0090367A">
      <w:pPr>
        <w:rPr>
          <w:b/>
          <w:sz w:val="30"/>
          <w:szCs w:val="30"/>
        </w:rPr>
      </w:pPr>
    </w:p>
    <w:p w14:paraId="35F00E31" w14:textId="77777777" w:rsidR="0090367A" w:rsidRDefault="0090367A" w:rsidP="0090367A">
      <w:pPr>
        <w:jc w:val="both"/>
        <w:rPr>
          <w:sz w:val="30"/>
          <w:szCs w:val="30"/>
        </w:rPr>
      </w:pPr>
      <w:r>
        <w:rPr>
          <w:sz w:val="30"/>
          <w:szCs w:val="30"/>
        </w:rPr>
        <w:t>In the matter between:</w:t>
      </w:r>
    </w:p>
    <w:p w14:paraId="555D3D00" w14:textId="77777777" w:rsidR="0090367A" w:rsidRDefault="0090367A" w:rsidP="0090367A">
      <w:pPr>
        <w:jc w:val="both"/>
        <w:rPr>
          <w:sz w:val="30"/>
          <w:szCs w:val="30"/>
        </w:rPr>
      </w:pPr>
    </w:p>
    <w:p w14:paraId="74FA029D" w14:textId="77777777" w:rsidR="0090367A" w:rsidRDefault="0090367A" w:rsidP="0090367A">
      <w:pPr>
        <w:jc w:val="both"/>
        <w:rPr>
          <w:b/>
          <w:sz w:val="30"/>
          <w:szCs w:val="30"/>
        </w:rPr>
      </w:pPr>
    </w:p>
    <w:p w14:paraId="3643242B" w14:textId="733F393F" w:rsidR="0090367A" w:rsidRDefault="0090367A" w:rsidP="006A0CE5">
      <w:pPr>
        <w:spacing w:line="276" w:lineRule="auto"/>
        <w:jc w:val="both"/>
        <w:rPr>
          <w:b/>
          <w:sz w:val="28"/>
          <w:szCs w:val="28"/>
        </w:rPr>
      </w:pPr>
      <w:r>
        <w:rPr>
          <w:b/>
          <w:sz w:val="28"/>
          <w:szCs w:val="28"/>
        </w:rPr>
        <w:t>LEHLOHONOLO MASIENYANE</w:t>
      </w:r>
      <w:r>
        <w:rPr>
          <w:b/>
          <w:sz w:val="28"/>
          <w:szCs w:val="28"/>
        </w:rPr>
        <w:tab/>
      </w:r>
      <w:r>
        <w:rPr>
          <w:b/>
          <w:sz w:val="28"/>
          <w:szCs w:val="28"/>
        </w:rPr>
        <w:tab/>
      </w:r>
      <w:r>
        <w:rPr>
          <w:b/>
          <w:sz w:val="28"/>
          <w:szCs w:val="28"/>
        </w:rPr>
        <w:tab/>
      </w:r>
      <w:r>
        <w:rPr>
          <w:b/>
          <w:sz w:val="28"/>
          <w:szCs w:val="28"/>
        </w:rPr>
        <w:tab/>
        <w:t xml:space="preserve">    1</w:t>
      </w:r>
      <w:r>
        <w:rPr>
          <w:b/>
          <w:sz w:val="28"/>
          <w:szCs w:val="28"/>
          <w:vertAlign w:val="superscript"/>
        </w:rPr>
        <w:t>ST</w:t>
      </w:r>
      <w:r>
        <w:rPr>
          <w:b/>
          <w:sz w:val="28"/>
          <w:szCs w:val="28"/>
        </w:rPr>
        <w:t xml:space="preserve"> APPLICANT</w:t>
      </w:r>
    </w:p>
    <w:p w14:paraId="48CF4516" w14:textId="77777777" w:rsidR="0090367A" w:rsidRDefault="0090367A" w:rsidP="006A0CE5">
      <w:pPr>
        <w:spacing w:line="276" w:lineRule="auto"/>
        <w:jc w:val="both"/>
        <w:rPr>
          <w:b/>
          <w:sz w:val="28"/>
          <w:szCs w:val="28"/>
        </w:rPr>
      </w:pPr>
    </w:p>
    <w:p w14:paraId="529A3110" w14:textId="5B0276C9" w:rsidR="0090367A" w:rsidRDefault="0090367A" w:rsidP="006A0CE5">
      <w:pPr>
        <w:spacing w:line="276" w:lineRule="auto"/>
        <w:jc w:val="both"/>
        <w:rPr>
          <w:b/>
          <w:sz w:val="28"/>
          <w:szCs w:val="28"/>
        </w:rPr>
      </w:pPr>
      <w:r>
        <w:rPr>
          <w:b/>
          <w:sz w:val="28"/>
          <w:szCs w:val="28"/>
        </w:rPr>
        <w:t>‘MAKABELO MASIENYANE</w:t>
      </w:r>
      <w:r>
        <w:rPr>
          <w:b/>
          <w:sz w:val="28"/>
          <w:szCs w:val="28"/>
        </w:rPr>
        <w:tab/>
      </w:r>
      <w:r>
        <w:rPr>
          <w:b/>
          <w:sz w:val="28"/>
          <w:szCs w:val="28"/>
        </w:rPr>
        <w:tab/>
      </w:r>
      <w:r>
        <w:rPr>
          <w:b/>
          <w:sz w:val="28"/>
          <w:szCs w:val="28"/>
        </w:rPr>
        <w:tab/>
      </w:r>
      <w:r>
        <w:rPr>
          <w:b/>
          <w:sz w:val="28"/>
          <w:szCs w:val="28"/>
        </w:rPr>
        <w:tab/>
        <w:t xml:space="preserve">    2</w:t>
      </w:r>
      <w:r>
        <w:rPr>
          <w:b/>
          <w:sz w:val="28"/>
          <w:szCs w:val="28"/>
          <w:vertAlign w:val="superscript"/>
        </w:rPr>
        <w:t>ND</w:t>
      </w:r>
      <w:r>
        <w:rPr>
          <w:b/>
          <w:sz w:val="28"/>
          <w:szCs w:val="28"/>
        </w:rPr>
        <w:t xml:space="preserve"> APPLICANT</w:t>
      </w:r>
    </w:p>
    <w:p w14:paraId="72220187" w14:textId="0893DF54" w:rsidR="0090367A" w:rsidRDefault="0090367A" w:rsidP="006A0CE5">
      <w:pPr>
        <w:spacing w:line="276" w:lineRule="auto"/>
        <w:jc w:val="both"/>
        <w:rPr>
          <w:b/>
          <w:sz w:val="28"/>
          <w:szCs w:val="28"/>
        </w:rPr>
      </w:pPr>
      <w:r>
        <w:rPr>
          <w:b/>
          <w:sz w:val="28"/>
          <w:szCs w:val="28"/>
        </w:rPr>
        <w:tab/>
      </w:r>
      <w:r>
        <w:rPr>
          <w:b/>
          <w:sz w:val="28"/>
          <w:szCs w:val="28"/>
        </w:rPr>
        <w:tab/>
      </w:r>
      <w:r>
        <w:rPr>
          <w:b/>
          <w:sz w:val="28"/>
          <w:szCs w:val="28"/>
        </w:rPr>
        <w:tab/>
      </w:r>
      <w:r>
        <w:rPr>
          <w:b/>
          <w:sz w:val="28"/>
          <w:szCs w:val="28"/>
        </w:rPr>
        <w:tab/>
      </w:r>
    </w:p>
    <w:p w14:paraId="1DA19627" w14:textId="77777777" w:rsidR="0090367A" w:rsidRDefault="0090367A" w:rsidP="006A0CE5">
      <w:pPr>
        <w:spacing w:line="276" w:lineRule="auto"/>
        <w:jc w:val="both"/>
        <w:rPr>
          <w:sz w:val="28"/>
          <w:szCs w:val="28"/>
        </w:rPr>
      </w:pPr>
      <w:r>
        <w:rPr>
          <w:b/>
          <w:sz w:val="30"/>
          <w:szCs w:val="30"/>
        </w:rPr>
        <w:t xml:space="preserve"> </w:t>
      </w:r>
      <w:r>
        <w:rPr>
          <w:sz w:val="28"/>
          <w:szCs w:val="28"/>
        </w:rPr>
        <w:t>And</w:t>
      </w:r>
    </w:p>
    <w:p w14:paraId="5B0A0CA4" w14:textId="77777777" w:rsidR="0090367A" w:rsidRDefault="0090367A" w:rsidP="006A0CE5">
      <w:pPr>
        <w:spacing w:line="276" w:lineRule="auto"/>
        <w:jc w:val="both"/>
        <w:rPr>
          <w:sz w:val="28"/>
          <w:szCs w:val="28"/>
        </w:rPr>
      </w:pPr>
    </w:p>
    <w:p w14:paraId="2B93CB71" w14:textId="46D6D20D" w:rsidR="0090367A" w:rsidRDefault="0090367A" w:rsidP="006A0CE5">
      <w:pPr>
        <w:spacing w:line="276" w:lineRule="auto"/>
        <w:rPr>
          <w:b/>
          <w:color w:val="000000" w:themeColor="text1"/>
          <w:sz w:val="28"/>
          <w:szCs w:val="28"/>
        </w:rPr>
      </w:pPr>
      <w:r>
        <w:rPr>
          <w:b/>
          <w:color w:val="000000" w:themeColor="text1"/>
          <w:sz w:val="28"/>
          <w:szCs w:val="28"/>
        </w:rPr>
        <w:t>MALOTI MOUNTAIN BREWERY</w:t>
      </w:r>
      <w:r>
        <w:rPr>
          <w:b/>
          <w:color w:val="000000" w:themeColor="text1"/>
          <w:sz w:val="28"/>
          <w:szCs w:val="28"/>
        </w:rPr>
        <w:tab/>
        <w:t xml:space="preserve">                       1</w:t>
      </w:r>
      <w:r w:rsidRPr="0090367A">
        <w:rPr>
          <w:b/>
          <w:color w:val="000000" w:themeColor="text1"/>
          <w:sz w:val="28"/>
          <w:szCs w:val="28"/>
          <w:vertAlign w:val="superscript"/>
        </w:rPr>
        <w:t>ST</w:t>
      </w:r>
      <w:r>
        <w:rPr>
          <w:b/>
          <w:color w:val="000000" w:themeColor="text1"/>
          <w:sz w:val="28"/>
          <w:szCs w:val="28"/>
        </w:rPr>
        <w:t xml:space="preserve"> DEFENDANT </w:t>
      </w:r>
    </w:p>
    <w:p w14:paraId="7A07921E" w14:textId="0F7D825C" w:rsidR="0090367A" w:rsidRDefault="0090367A" w:rsidP="006A0CE5">
      <w:pPr>
        <w:spacing w:line="276" w:lineRule="auto"/>
        <w:rPr>
          <w:b/>
          <w:color w:val="000000" w:themeColor="text1"/>
          <w:sz w:val="28"/>
          <w:szCs w:val="28"/>
        </w:rPr>
      </w:pPr>
    </w:p>
    <w:p w14:paraId="5CFEC7D4" w14:textId="58640516" w:rsidR="0090367A" w:rsidRDefault="0090367A" w:rsidP="006A0CE5">
      <w:pPr>
        <w:spacing w:line="276" w:lineRule="auto"/>
        <w:rPr>
          <w:b/>
          <w:color w:val="000000" w:themeColor="text1"/>
          <w:sz w:val="28"/>
          <w:szCs w:val="28"/>
        </w:rPr>
      </w:pPr>
      <w:r>
        <w:rPr>
          <w:b/>
          <w:color w:val="000000" w:themeColor="text1"/>
          <w:sz w:val="28"/>
          <w:szCs w:val="28"/>
        </w:rPr>
        <w:t>TEBOHO SOSA TSEPANE                                               2</w:t>
      </w:r>
      <w:r w:rsidRPr="0090367A">
        <w:rPr>
          <w:b/>
          <w:color w:val="000000" w:themeColor="text1"/>
          <w:sz w:val="28"/>
          <w:szCs w:val="28"/>
          <w:vertAlign w:val="superscript"/>
        </w:rPr>
        <w:t>ND</w:t>
      </w:r>
      <w:r>
        <w:rPr>
          <w:b/>
          <w:color w:val="000000" w:themeColor="text1"/>
          <w:sz w:val="28"/>
          <w:szCs w:val="28"/>
        </w:rPr>
        <w:t xml:space="preserve"> DEFENDANT</w:t>
      </w:r>
    </w:p>
    <w:p w14:paraId="05A9382B" w14:textId="5902B32C" w:rsidR="0090367A" w:rsidRDefault="0090367A" w:rsidP="0090367A">
      <w:pPr>
        <w:rPr>
          <w:b/>
          <w:color w:val="000000" w:themeColor="text1"/>
          <w:sz w:val="28"/>
          <w:szCs w:val="28"/>
        </w:rPr>
      </w:pPr>
    </w:p>
    <w:p w14:paraId="57A079CC" w14:textId="77777777" w:rsidR="0090367A" w:rsidRDefault="0090367A" w:rsidP="0090367A">
      <w:pPr>
        <w:rPr>
          <w:b/>
          <w:sz w:val="28"/>
          <w:szCs w:val="28"/>
        </w:rPr>
      </w:pPr>
    </w:p>
    <w:p w14:paraId="47DC8304" w14:textId="44153185" w:rsidR="0090367A" w:rsidRPr="006A0CE5" w:rsidRDefault="006A0CE5" w:rsidP="0090367A">
      <w:pPr>
        <w:rPr>
          <w:bCs/>
          <w:sz w:val="28"/>
          <w:szCs w:val="28"/>
        </w:rPr>
      </w:pPr>
      <w:r w:rsidRPr="00C92A51">
        <w:rPr>
          <w:bCs/>
          <w:sz w:val="28"/>
          <w:szCs w:val="28"/>
          <w:u w:val="single"/>
        </w:rPr>
        <w:t>Neutral Citation</w:t>
      </w:r>
      <w:r>
        <w:rPr>
          <w:bCs/>
          <w:sz w:val="28"/>
          <w:szCs w:val="28"/>
        </w:rPr>
        <w:t xml:space="preserve">: Masienyane and Another v. Maluti Mountain Brewery and Others </w:t>
      </w:r>
      <w:r w:rsidR="00C92A51">
        <w:rPr>
          <w:bCs/>
          <w:sz w:val="28"/>
          <w:szCs w:val="28"/>
        </w:rPr>
        <w:t xml:space="preserve">[2021] </w:t>
      </w:r>
      <w:r>
        <w:rPr>
          <w:bCs/>
          <w:sz w:val="28"/>
          <w:szCs w:val="28"/>
        </w:rPr>
        <w:t xml:space="preserve">LSHC 5 </w:t>
      </w:r>
      <w:r w:rsidR="00C92A51">
        <w:rPr>
          <w:bCs/>
          <w:sz w:val="28"/>
          <w:szCs w:val="28"/>
        </w:rPr>
        <w:t xml:space="preserve"> Civ </w:t>
      </w:r>
      <w:r>
        <w:rPr>
          <w:bCs/>
          <w:sz w:val="28"/>
          <w:szCs w:val="28"/>
        </w:rPr>
        <w:t>(</w:t>
      </w:r>
      <w:r w:rsidR="00C92A51">
        <w:rPr>
          <w:bCs/>
          <w:sz w:val="28"/>
          <w:szCs w:val="28"/>
        </w:rPr>
        <w:t>1</w:t>
      </w:r>
      <w:r w:rsidR="00AA626E">
        <w:rPr>
          <w:bCs/>
          <w:sz w:val="28"/>
          <w:szCs w:val="28"/>
        </w:rPr>
        <w:t>5</w:t>
      </w:r>
      <w:bookmarkStart w:id="0" w:name="_GoBack"/>
      <w:bookmarkEnd w:id="0"/>
      <w:r>
        <w:rPr>
          <w:bCs/>
          <w:sz w:val="28"/>
          <w:szCs w:val="28"/>
        </w:rPr>
        <w:t xml:space="preserve"> February 2021)</w:t>
      </w:r>
    </w:p>
    <w:p w14:paraId="719B0F89" w14:textId="77777777" w:rsidR="0090367A" w:rsidRDefault="0090367A" w:rsidP="0090367A">
      <w:pPr>
        <w:rPr>
          <w:b/>
          <w:sz w:val="28"/>
          <w:szCs w:val="28"/>
        </w:rPr>
      </w:pPr>
    </w:p>
    <w:p w14:paraId="2FB983CE" w14:textId="66D94342" w:rsidR="0090367A" w:rsidRDefault="0090367A" w:rsidP="0090367A">
      <w:pPr>
        <w:spacing w:line="360" w:lineRule="auto"/>
        <w:jc w:val="both"/>
        <w:rPr>
          <w:b/>
          <w:sz w:val="28"/>
          <w:szCs w:val="28"/>
        </w:rPr>
      </w:pPr>
      <w:r>
        <w:rPr>
          <w:b/>
          <w:sz w:val="28"/>
          <w:szCs w:val="28"/>
        </w:rPr>
        <w:t>CORAM</w:t>
      </w:r>
      <w:r>
        <w:rPr>
          <w:sz w:val="28"/>
          <w:szCs w:val="28"/>
        </w:rPr>
        <w:t>:</w:t>
      </w:r>
      <w:r>
        <w:rPr>
          <w:sz w:val="28"/>
          <w:szCs w:val="28"/>
        </w:rPr>
        <w:tab/>
      </w:r>
      <w:r w:rsidR="00C92A51">
        <w:rPr>
          <w:sz w:val="28"/>
          <w:szCs w:val="28"/>
        </w:rPr>
        <w:tab/>
      </w:r>
      <w:r w:rsidRPr="0090367A">
        <w:rPr>
          <w:b/>
          <w:bCs/>
          <w:sz w:val="28"/>
          <w:szCs w:val="28"/>
        </w:rPr>
        <w:t>S.P. SAKOANE J.</w:t>
      </w:r>
      <w:r w:rsidRPr="0090367A">
        <w:rPr>
          <w:b/>
          <w:bCs/>
          <w:sz w:val="28"/>
          <w:szCs w:val="28"/>
        </w:rPr>
        <w:tab/>
      </w:r>
      <w:r>
        <w:rPr>
          <w:sz w:val="28"/>
          <w:szCs w:val="28"/>
        </w:rPr>
        <w:tab/>
      </w:r>
      <w:r>
        <w:rPr>
          <w:sz w:val="28"/>
          <w:szCs w:val="28"/>
        </w:rPr>
        <w:tab/>
      </w:r>
    </w:p>
    <w:p w14:paraId="00F78463" w14:textId="37F6303D" w:rsidR="0090367A" w:rsidRDefault="0090367A" w:rsidP="0090367A">
      <w:pPr>
        <w:spacing w:line="360" w:lineRule="auto"/>
        <w:jc w:val="both"/>
        <w:rPr>
          <w:b/>
          <w:sz w:val="28"/>
          <w:szCs w:val="28"/>
        </w:rPr>
      </w:pPr>
      <w:r>
        <w:rPr>
          <w:b/>
          <w:sz w:val="28"/>
          <w:szCs w:val="28"/>
        </w:rPr>
        <w:t>HEARD</w:t>
      </w:r>
      <w:r>
        <w:rPr>
          <w:sz w:val="28"/>
          <w:szCs w:val="28"/>
        </w:rPr>
        <w:t>:</w:t>
      </w:r>
      <w:r>
        <w:rPr>
          <w:sz w:val="28"/>
          <w:szCs w:val="28"/>
        </w:rPr>
        <w:tab/>
      </w:r>
      <w:r w:rsidR="00C92A51">
        <w:rPr>
          <w:sz w:val="28"/>
          <w:szCs w:val="28"/>
        </w:rPr>
        <w:tab/>
      </w:r>
      <w:r w:rsidR="00C92A51" w:rsidRPr="00C92A51">
        <w:rPr>
          <w:b/>
          <w:bCs/>
          <w:sz w:val="28"/>
          <w:szCs w:val="28"/>
        </w:rPr>
        <w:t>25 SEPTEMBER 2020</w:t>
      </w:r>
    </w:p>
    <w:p w14:paraId="329E732D" w14:textId="0B1F8A66" w:rsidR="0090367A" w:rsidRDefault="0090367A" w:rsidP="0090367A">
      <w:pPr>
        <w:spacing w:line="360" w:lineRule="auto"/>
        <w:jc w:val="both"/>
        <w:rPr>
          <w:b/>
          <w:sz w:val="28"/>
          <w:szCs w:val="28"/>
        </w:rPr>
      </w:pPr>
      <w:r>
        <w:rPr>
          <w:b/>
          <w:sz w:val="28"/>
          <w:szCs w:val="28"/>
        </w:rPr>
        <w:t>DELIVERED</w:t>
      </w:r>
      <w:r>
        <w:rPr>
          <w:sz w:val="28"/>
          <w:szCs w:val="28"/>
        </w:rPr>
        <w:t>:</w:t>
      </w:r>
      <w:r>
        <w:rPr>
          <w:sz w:val="28"/>
          <w:szCs w:val="28"/>
        </w:rPr>
        <w:tab/>
      </w:r>
      <w:r w:rsidR="00C92A51" w:rsidRPr="00C92A51">
        <w:rPr>
          <w:b/>
          <w:bCs/>
          <w:sz w:val="28"/>
          <w:szCs w:val="28"/>
        </w:rPr>
        <w:t>1</w:t>
      </w:r>
      <w:r w:rsidR="0052374C">
        <w:rPr>
          <w:b/>
          <w:bCs/>
          <w:sz w:val="28"/>
          <w:szCs w:val="28"/>
        </w:rPr>
        <w:t>5</w:t>
      </w:r>
      <w:r w:rsidR="00C92A51" w:rsidRPr="00C92A51">
        <w:rPr>
          <w:b/>
          <w:bCs/>
          <w:sz w:val="28"/>
          <w:szCs w:val="28"/>
        </w:rPr>
        <w:t xml:space="preserve"> FEBRUARY 2021</w:t>
      </w:r>
      <w:r>
        <w:rPr>
          <w:sz w:val="28"/>
          <w:szCs w:val="28"/>
        </w:rPr>
        <w:tab/>
      </w:r>
      <w:r>
        <w:rPr>
          <w:sz w:val="28"/>
          <w:szCs w:val="28"/>
        </w:rPr>
        <w:tab/>
      </w:r>
    </w:p>
    <w:p w14:paraId="522A25F5" w14:textId="35FEFB8D" w:rsidR="006A0CE5" w:rsidRDefault="006A0CE5" w:rsidP="0090367A">
      <w:pPr>
        <w:ind w:left="864" w:right="864"/>
        <w:jc w:val="center"/>
        <w:rPr>
          <w:b/>
          <w:sz w:val="32"/>
          <w:szCs w:val="32"/>
          <w:u w:val="single"/>
        </w:rPr>
      </w:pPr>
    </w:p>
    <w:p w14:paraId="12051802" w14:textId="77777777" w:rsidR="006A0CE5" w:rsidRDefault="006A0CE5" w:rsidP="0090367A">
      <w:pPr>
        <w:ind w:left="864" w:right="864"/>
        <w:jc w:val="center"/>
        <w:rPr>
          <w:b/>
          <w:sz w:val="32"/>
          <w:szCs w:val="32"/>
          <w:u w:val="single"/>
        </w:rPr>
      </w:pPr>
    </w:p>
    <w:p w14:paraId="6D679B34" w14:textId="77777777" w:rsidR="0090367A" w:rsidRDefault="0090367A" w:rsidP="0090367A">
      <w:pPr>
        <w:ind w:left="864" w:right="864"/>
        <w:jc w:val="center"/>
        <w:rPr>
          <w:b/>
          <w:sz w:val="32"/>
          <w:szCs w:val="32"/>
          <w:u w:val="single"/>
        </w:rPr>
      </w:pPr>
      <w:r>
        <w:rPr>
          <w:b/>
          <w:sz w:val="32"/>
          <w:szCs w:val="32"/>
          <w:u w:val="single"/>
        </w:rPr>
        <w:t>SUMMARY</w:t>
      </w:r>
    </w:p>
    <w:p w14:paraId="3ABA1273" w14:textId="77777777" w:rsidR="0090367A" w:rsidRDefault="0090367A" w:rsidP="0090367A">
      <w:pPr>
        <w:ind w:left="864" w:right="864"/>
        <w:jc w:val="center"/>
        <w:rPr>
          <w:b/>
          <w:sz w:val="32"/>
          <w:szCs w:val="32"/>
          <w:u w:val="single"/>
        </w:rPr>
      </w:pPr>
    </w:p>
    <w:p w14:paraId="09CCC7BF" w14:textId="737976FB" w:rsidR="0090367A" w:rsidRDefault="00C92A51" w:rsidP="00C92A51">
      <w:pPr>
        <w:ind w:left="737" w:right="737"/>
        <w:jc w:val="both"/>
        <w:rPr>
          <w:sz w:val="28"/>
          <w:szCs w:val="28"/>
        </w:rPr>
      </w:pPr>
      <w:r>
        <w:rPr>
          <w:sz w:val="28"/>
          <w:szCs w:val="28"/>
        </w:rPr>
        <w:t>Civil procedure – application to set aside an irregular step or proceedings – service of notice to amend summons – defendant failing to object before expiry of 14 days – whether computati</w:t>
      </w:r>
      <w:r w:rsidR="0052374C">
        <w:rPr>
          <w:sz w:val="28"/>
          <w:szCs w:val="28"/>
        </w:rPr>
        <w:t>on</w:t>
      </w:r>
      <w:r>
        <w:rPr>
          <w:sz w:val="28"/>
          <w:szCs w:val="28"/>
        </w:rPr>
        <w:t xml:space="preserve"> of the period for objection includes weekends – High Court Rules 1, 4(4), 30 and 33. </w:t>
      </w:r>
    </w:p>
    <w:p w14:paraId="737D8B0F" w14:textId="5A70E458" w:rsidR="0090367A" w:rsidRPr="000927CA" w:rsidRDefault="000927CA" w:rsidP="0090367A">
      <w:pPr>
        <w:jc w:val="both"/>
        <w:rPr>
          <w:b/>
          <w:bCs/>
          <w:sz w:val="28"/>
          <w:szCs w:val="28"/>
          <w:u w:val="single"/>
        </w:rPr>
      </w:pPr>
      <w:r w:rsidRPr="000927CA">
        <w:rPr>
          <w:b/>
          <w:bCs/>
          <w:sz w:val="28"/>
          <w:szCs w:val="28"/>
          <w:u w:val="single"/>
        </w:rPr>
        <w:lastRenderedPageBreak/>
        <w:t>ANNOTATIONS</w:t>
      </w:r>
    </w:p>
    <w:p w14:paraId="6159EE13" w14:textId="01858AC8" w:rsidR="006A0CE5" w:rsidRDefault="006A0CE5" w:rsidP="0090367A">
      <w:pPr>
        <w:rPr>
          <w:b/>
          <w:sz w:val="36"/>
          <w:szCs w:val="36"/>
          <w:u w:val="single"/>
        </w:rPr>
      </w:pPr>
    </w:p>
    <w:p w14:paraId="7B29C73C" w14:textId="3DABE8A4" w:rsidR="006A0CE5" w:rsidRDefault="006A0CE5" w:rsidP="0090367A">
      <w:pPr>
        <w:rPr>
          <w:bCs/>
          <w:sz w:val="28"/>
          <w:szCs w:val="28"/>
        </w:rPr>
      </w:pPr>
      <w:r w:rsidRPr="006A0CE5">
        <w:rPr>
          <w:bCs/>
          <w:sz w:val="28"/>
          <w:szCs w:val="28"/>
        </w:rPr>
        <w:t>STA</w:t>
      </w:r>
      <w:r>
        <w:rPr>
          <w:bCs/>
          <w:sz w:val="28"/>
          <w:szCs w:val="28"/>
        </w:rPr>
        <w:t>TUTE:</w:t>
      </w:r>
    </w:p>
    <w:p w14:paraId="0708AD54" w14:textId="6725D365" w:rsidR="006A0CE5" w:rsidRDefault="006A0CE5" w:rsidP="0090367A">
      <w:pPr>
        <w:rPr>
          <w:bCs/>
          <w:sz w:val="28"/>
          <w:szCs w:val="28"/>
        </w:rPr>
      </w:pPr>
      <w:r>
        <w:rPr>
          <w:bCs/>
          <w:sz w:val="28"/>
          <w:szCs w:val="28"/>
        </w:rPr>
        <w:t>High Court Rules No.9 of 1980</w:t>
      </w:r>
    </w:p>
    <w:p w14:paraId="312BB883" w14:textId="755245DD" w:rsidR="006A0CE5" w:rsidRDefault="006A0CE5" w:rsidP="0090367A">
      <w:pPr>
        <w:rPr>
          <w:bCs/>
          <w:sz w:val="28"/>
          <w:szCs w:val="28"/>
        </w:rPr>
      </w:pPr>
    </w:p>
    <w:p w14:paraId="704F2C0A" w14:textId="77777777" w:rsidR="006A0CE5" w:rsidRPr="006A0CE5" w:rsidRDefault="006A0CE5" w:rsidP="0090367A">
      <w:pPr>
        <w:rPr>
          <w:bCs/>
          <w:sz w:val="28"/>
          <w:szCs w:val="28"/>
        </w:rPr>
      </w:pPr>
    </w:p>
    <w:p w14:paraId="2BAEC648" w14:textId="77777777" w:rsidR="006A0CE5" w:rsidRDefault="006A0CE5" w:rsidP="0090367A">
      <w:pPr>
        <w:rPr>
          <w:b/>
          <w:sz w:val="36"/>
          <w:szCs w:val="36"/>
          <w:u w:val="single"/>
        </w:rPr>
      </w:pPr>
    </w:p>
    <w:p w14:paraId="4FCAA802" w14:textId="520F2FEF" w:rsidR="0090367A" w:rsidRDefault="003106A8" w:rsidP="0090367A">
      <w:pPr>
        <w:rPr>
          <w:b/>
          <w:sz w:val="36"/>
          <w:szCs w:val="36"/>
          <w:u w:val="single"/>
        </w:rPr>
      </w:pPr>
      <w:r>
        <w:rPr>
          <w:b/>
          <w:sz w:val="36"/>
          <w:szCs w:val="36"/>
          <w:u w:val="single"/>
        </w:rPr>
        <w:t>________________________________________________</w:t>
      </w:r>
    </w:p>
    <w:p w14:paraId="7FA7975A" w14:textId="77777777" w:rsidR="0090367A" w:rsidRDefault="0090367A" w:rsidP="0090367A">
      <w:pPr>
        <w:jc w:val="both"/>
        <w:rPr>
          <w:b/>
          <w:sz w:val="28"/>
          <w:szCs w:val="28"/>
          <w:u w:val="single"/>
        </w:rPr>
      </w:pPr>
    </w:p>
    <w:p w14:paraId="3305F54F" w14:textId="28AC5152" w:rsidR="003106A8" w:rsidRPr="003106A8" w:rsidRDefault="003106A8" w:rsidP="003106A8">
      <w:pPr>
        <w:pStyle w:val="ListParagraph"/>
        <w:ind w:left="1080"/>
        <w:rPr>
          <w:b/>
          <w:sz w:val="44"/>
          <w:szCs w:val="44"/>
        </w:rPr>
      </w:pPr>
      <w:r>
        <w:rPr>
          <w:b/>
          <w:sz w:val="44"/>
          <w:szCs w:val="44"/>
        </w:rPr>
        <w:t xml:space="preserve">                        </w:t>
      </w:r>
      <w:r w:rsidRPr="003106A8">
        <w:rPr>
          <w:b/>
          <w:sz w:val="44"/>
          <w:szCs w:val="44"/>
        </w:rPr>
        <w:t>RULING</w:t>
      </w:r>
    </w:p>
    <w:p w14:paraId="78CE2AA8" w14:textId="53D53C14" w:rsidR="003106A8" w:rsidRPr="003106A8" w:rsidRDefault="003106A8" w:rsidP="003106A8">
      <w:pPr>
        <w:jc w:val="both"/>
        <w:rPr>
          <w:b/>
          <w:sz w:val="28"/>
          <w:szCs w:val="28"/>
          <w:u w:val="single"/>
        </w:rPr>
      </w:pPr>
      <w:r>
        <w:rPr>
          <w:b/>
          <w:sz w:val="28"/>
          <w:szCs w:val="28"/>
          <w:u w:val="single"/>
        </w:rPr>
        <w:t>________________________________________________________________</w:t>
      </w:r>
    </w:p>
    <w:p w14:paraId="5B8606CC" w14:textId="77777777" w:rsidR="003106A8" w:rsidRDefault="003106A8" w:rsidP="003106A8">
      <w:pPr>
        <w:pStyle w:val="ListParagraph"/>
        <w:ind w:left="1080"/>
        <w:jc w:val="both"/>
        <w:rPr>
          <w:b/>
          <w:sz w:val="28"/>
          <w:szCs w:val="28"/>
          <w:u w:val="single"/>
        </w:rPr>
      </w:pPr>
    </w:p>
    <w:p w14:paraId="43AB4C82" w14:textId="77777777" w:rsidR="003106A8" w:rsidRDefault="003106A8" w:rsidP="003106A8">
      <w:pPr>
        <w:pStyle w:val="ListParagraph"/>
        <w:ind w:left="1080"/>
        <w:jc w:val="both"/>
        <w:rPr>
          <w:b/>
          <w:sz w:val="28"/>
          <w:szCs w:val="28"/>
          <w:u w:val="single"/>
        </w:rPr>
      </w:pPr>
    </w:p>
    <w:p w14:paraId="5B66526D" w14:textId="451CAF67" w:rsidR="0090367A" w:rsidRDefault="0090367A" w:rsidP="0090367A">
      <w:pPr>
        <w:pStyle w:val="ListParagraph"/>
        <w:numPr>
          <w:ilvl w:val="0"/>
          <w:numId w:val="1"/>
        </w:numPr>
        <w:jc w:val="both"/>
        <w:rPr>
          <w:b/>
          <w:sz w:val="28"/>
          <w:szCs w:val="28"/>
          <w:u w:val="single"/>
        </w:rPr>
      </w:pPr>
      <w:r>
        <w:rPr>
          <w:b/>
          <w:sz w:val="28"/>
          <w:szCs w:val="28"/>
          <w:u w:val="single"/>
        </w:rPr>
        <w:t>INTRODUCTION</w:t>
      </w:r>
    </w:p>
    <w:p w14:paraId="77D95448" w14:textId="77777777" w:rsidR="003106A8" w:rsidRDefault="003106A8" w:rsidP="003106A8">
      <w:pPr>
        <w:pStyle w:val="ListParagraph"/>
        <w:ind w:left="1080"/>
        <w:jc w:val="both"/>
        <w:rPr>
          <w:b/>
          <w:sz w:val="28"/>
          <w:szCs w:val="28"/>
          <w:u w:val="single"/>
        </w:rPr>
      </w:pPr>
    </w:p>
    <w:p w14:paraId="7F750DD0" w14:textId="77777777" w:rsidR="0090367A" w:rsidRDefault="0090367A" w:rsidP="0090367A">
      <w:pPr>
        <w:ind w:left="360"/>
        <w:jc w:val="both"/>
        <w:rPr>
          <w:sz w:val="28"/>
          <w:szCs w:val="28"/>
        </w:rPr>
      </w:pPr>
    </w:p>
    <w:p w14:paraId="3A349839" w14:textId="1165C7A3" w:rsidR="0090367A" w:rsidRDefault="0090367A" w:rsidP="0090367A">
      <w:pPr>
        <w:spacing w:line="480" w:lineRule="auto"/>
        <w:ind w:left="720" w:hanging="720"/>
        <w:jc w:val="both"/>
        <w:rPr>
          <w:sz w:val="28"/>
          <w:szCs w:val="28"/>
        </w:rPr>
      </w:pPr>
      <w:r>
        <w:rPr>
          <w:sz w:val="28"/>
          <w:szCs w:val="28"/>
        </w:rPr>
        <w:t>[1]</w:t>
      </w:r>
      <w:r>
        <w:rPr>
          <w:sz w:val="28"/>
          <w:szCs w:val="28"/>
        </w:rPr>
        <w:tab/>
      </w:r>
      <w:r w:rsidR="003106A8">
        <w:rPr>
          <w:sz w:val="28"/>
          <w:szCs w:val="28"/>
        </w:rPr>
        <w:t xml:space="preserve">This is an </w:t>
      </w:r>
      <w:r w:rsidR="00E54F1F">
        <w:rPr>
          <w:sz w:val="28"/>
          <w:szCs w:val="28"/>
        </w:rPr>
        <w:t xml:space="preserve">interlocutory </w:t>
      </w:r>
      <w:r w:rsidR="003106A8">
        <w:rPr>
          <w:sz w:val="28"/>
          <w:szCs w:val="28"/>
        </w:rPr>
        <w:t xml:space="preserve">application brought in terms of Rule 33 of the </w:t>
      </w:r>
      <w:r w:rsidR="003106A8" w:rsidRPr="00B62459">
        <w:rPr>
          <w:b/>
          <w:bCs/>
          <w:sz w:val="28"/>
          <w:szCs w:val="28"/>
        </w:rPr>
        <w:t>High Court Rules, 1980</w:t>
      </w:r>
      <w:r w:rsidR="003106A8">
        <w:rPr>
          <w:sz w:val="28"/>
          <w:szCs w:val="28"/>
        </w:rPr>
        <w:t xml:space="preserve"> to amend summons and pleadings.  The plaintiffs filed a notice to amend together with the proposed amendment in Court before the lapse of the fourteen days within which the defendants were entitled to consider demurring or objecting.</w:t>
      </w:r>
    </w:p>
    <w:p w14:paraId="0EC091AF" w14:textId="77777777" w:rsidR="0090367A" w:rsidRDefault="0090367A" w:rsidP="0090367A">
      <w:pPr>
        <w:spacing w:line="480" w:lineRule="auto"/>
        <w:ind w:left="720" w:hanging="720"/>
        <w:jc w:val="both"/>
        <w:rPr>
          <w:sz w:val="28"/>
          <w:szCs w:val="28"/>
        </w:rPr>
      </w:pPr>
    </w:p>
    <w:p w14:paraId="0CA1AB49" w14:textId="2859661C" w:rsidR="0090367A" w:rsidRDefault="0090367A" w:rsidP="0090367A">
      <w:pPr>
        <w:spacing w:line="480" w:lineRule="auto"/>
        <w:ind w:left="720" w:hanging="720"/>
        <w:jc w:val="both"/>
        <w:rPr>
          <w:sz w:val="28"/>
          <w:szCs w:val="28"/>
        </w:rPr>
      </w:pPr>
      <w:r>
        <w:rPr>
          <w:sz w:val="28"/>
          <w:szCs w:val="28"/>
        </w:rPr>
        <w:t>[2]</w:t>
      </w:r>
      <w:r>
        <w:rPr>
          <w:sz w:val="28"/>
          <w:szCs w:val="28"/>
        </w:rPr>
        <w:tab/>
      </w:r>
      <w:r w:rsidR="00950900">
        <w:rPr>
          <w:sz w:val="28"/>
          <w:szCs w:val="28"/>
        </w:rPr>
        <w:t>The defendants object to the application as an irregular step or proceeding and apply that it be set aside in terms of Rule 30.</w:t>
      </w:r>
    </w:p>
    <w:p w14:paraId="74875CCF" w14:textId="08006B7C" w:rsidR="00950900" w:rsidRDefault="00950900" w:rsidP="0090367A">
      <w:pPr>
        <w:spacing w:line="480" w:lineRule="auto"/>
        <w:ind w:left="720" w:hanging="720"/>
        <w:jc w:val="both"/>
        <w:rPr>
          <w:sz w:val="28"/>
          <w:szCs w:val="28"/>
        </w:rPr>
      </w:pPr>
    </w:p>
    <w:p w14:paraId="1328384F" w14:textId="22DABE5A" w:rsidR="00950900" w:rsidRPr="00C85E00" w:rsidRDefault="00950900" w:rsidP="0090367A">
      <w:pPr>
        <w:spacing w:line="480" w:lineRule="auto"/>
        <w:ind w:left="720" w:hanging="720"/>
        <w:jc w:val="both"/>
        <w:rPr>
          <w:b/>
          <w:bCs/>
          <w:sz w:val="32"/>
          <w:szCs w:val="32"/>
        </w:rPr>
      </w:pPr>
      <w:r w:rsidRPr="00C85E00">
        <w:rPr>
          <w:b/>
          <w:bCs/>
          <w:sz w:val="32"/>
          <w:szCs w:val="32"/>
        </w:rPr>
        <w:t>Relief</w:t>
      </w:r>
    </w:p>
    <w:p w14:paraId="6E96D436" w14:textId="14F00A4C" w:rsidR="00950900" w:rsidRDefault="00950900" w:rsidP="0090367A">
      <w:pPr>
        <w:spacing w:line="480" w:lineRule="auto"/>
        <w:ind w:left="720" w:hanging="720"/>
        <w:jc w:val="both"/>
        <w:rPr>
          <w:sz w:val="28"/>
          <w:szCs w:val="28"/>
        </w:rPr>
      </w:pPr>
      <w:r>
        <w:rPr>
          <w:sz w:val="28"/>
          <w:szCs w:val="28"/>
        </w:rPr>
        <w:t>[3]</w:t>
      </w:r>
      <w:r>
        <w:rPr>
          <w:sz w:val="28"/>
          <w:szCs w:val="28"/>
        </w:rPr>
        <w:tab/>
        <w:t>On 13 February, the defendants’ attorney filed a Rule 30 application to set aside the filing of the proposed amendments as an irregular step or proceeding.  The relief sought is couched in this language:</w:t>
      </w:r>
    </w:p>
    <w:p w14:paraId="57C7BEB4" w14:textId="7444DFEA" w:rsidR="00950900" w:rsidRDefault="00950900" w:rsidP="00B62459">
      <w:pPr>
        <w:ind w:left="2880" w:hanging="720"/>
        <w:jc w:val="both"/>
      </w:pPr>
      <w:r w:rsidRPr="00B62459">
        <w:lastRenderedPageBreak/>
        <w:t>“1.</w:t>
      </w:r>
      <w:r w:rsidRPr="00B62459">
        <w:tab/>
        <w:t>Setting aside the plaintiff’s Amended Summons dated 7</w:t>
      </w:r>
      <w:r w:rsidRPr="00B62459">
        <w:rPr>
          <w:vertAlign w:val="superscript"/>
        </w:rPr>
        <w:t>th</w:t>
      </w:r>
      <w:r w:rsidRPr="00B62459">
        <w:t xml:space="preserve"> February 2018 which was served by the Plaintiff on the First Defendant on 7</w:t>
      </w:r>
      <w:r w:rsidRPr="00B62459">
        <w:rPr>
          <w:vertAlign w:val="superscript"/>
        </w:rPr>
        <w:t>th</w:t>
      </w:r>
      <w:r w:rsidRPr="00B62459">
        <w:t xml:space="preserve"> February, 2018 as being an irregular step or proceeding;</w:t>
      </w:r>
    </w:p>
    <w:p w14:paraId="114F0035" w14:textId="77777777" w:rsidR="00B62459" w:rsidRPr="00B62459" w:rsidRDefault="00B62459" w:rsidP="00B62459">
      <w:pPr>
        <w:ind w:left="2880" w:hanging="720"/>
        <w:jc w:val="both"/>
      </w:pPr>
    </w:p>
    <w:p w14:paraId="2C42D646" w14:textId="1EC7AFD2" w:rsidR="00950900" w:rsidRDefault="00950900" w:rsidP="00B62459">
      <w:pPr>
        <w:ind w:left="2880" w:hanging="720"/>
        <w:jc w:val="both"/>
      </w:pPr>
      <w:r w:rsidRPr="00B62459">
        <w:t>2.</w:t>
      </w:r>
      <w:r w:rsidRPr="00B62459">
        <w:tab/>
        <w:t>Awarding costs of this application to the First Defendant;</w:t>
      </w:r>
    </w:p>
    <w:p w14:paraId="6DB0D876" w14:textId="77777777" w:rsidR="00B62459" w:rsidRPr="00B62459" w:rsidRDefault="00B62459" w:rsidP="00B62459">
      <w:pPr>
        <w:ind w:left="2880" w:hanging="720"/>
        <w:jc w:val="both"/>
      </w:pPr>
    </w:p>
    <w:p w14:paraId="5874D15E" w14:textId="5B04E956" w:rsidR="00950900" w:rsidRDefault="00950900" w:rsidP="00B62459">
      <w:pPr>
        <w:ind w:left="2880" w:hanging="720"/>
        <w:jc w:val="both"/>
      </w:pPr>
      <w:r w:rsidRPr="00B62459">
        <w:t>3.</w:t>
      </w:r>
      <w:r w:rsidRPr="00B62459">
        <w:tab/>
        <w:t>Granting such further and/or</w:t>
      </w:r>
      <w:r w:rsidR="00C85E00" w:rsidRPr="00B62459">
        <w:t xml:space="preserve"> alternative relief to the First Defendant as the Honourable Court deems fit.”</w:t>
      </w:r>
    </w:p>
    <w:p w14:paraId="66786AD9" w14:textId="77777777" w:rsidR="00B62459" w:rsidRPr="00B62459" w:rsidRDefault="00B62459" w:rsidP="00B62459">
      <w:pPr>
        <w:ind w:left="2880" w:hanging="720"/>
        <w:jc w:val="both"/>
      </w:pPr>
    </w:p>
    <w:p w14:paraId="03403A32" w14:textId="520532C8" w:rsidR="00C85E00" w:rsidRDefault="00C85E00" w:rsidP="00C85E00">
      <w:pPr>
        <w:spacing w:line="480" w:lineRule="auto"/>
        <w:jc w:val="both"/>
        <w:rPr>
          <w:sz w:val="28"/>
          <w:szCs w:val="28"/>
        </w:rPr>
      </w:pPr>
    </w:p>
    <w:p w14:paraId="2C7A04D9" w14:textId="1D215472" w:rsidR="00C85E00" w:rsidRPr="00C85E00" w:rsidRDefault="00C85E00" w:rsidP="00C85E00">
      <w:pPr>
        <w:pStyle w:val="ListParagraph"/>
        <w:numPr>
          <w:ilvl w:val="0"/>
          <w:numId w:val="1"/>
        </w:numPr>
        <w:spacing w:line="480" w:lineRule="auto"/>
        <w:jc w:val="both"/>
        <w:rPr>
          <w:b/>
          <w:bCs/>
          <w:sz w:val="28"/>
          <w:szCs w:val="28"/>
          <w:u w:val="single"/>
        </w:rPr>
      </w:pPr>
      <w:r w:rsidRPr="00C85E00">
        <w:rPr>
          <w:b/>
          <w:bCs/>
          <w:sz w:val="28"/>
          <w:szCs w:val="28"/>
          <w:u w:val="single"/>
        </w:rPr>
        <w:t>DISCUSSION</w:t>
      </w:r>
    </w:p>
    <w:p w14:paraId="54830338" w14:textId="662A55BC" w:rsidR="00C85E00" w:rsidRPr="00C85E00" w:rsidRDefault="00C85E00" w:rsidP="00C85E00">
      <w:pPr>
        <w:spacing w:line="480" w:lineRule="auto"/>
        <w:jc w:val="both"/>
        <w:rPr>
          <w:b/>
          <w:bCs/>
          <w:sz w:val="32"/>
          <w:szCs w:val="32"/>
        </w:rPr>
      </w:pPr>
      <w:r w:rsidRPr="00C85E00">
        <w:rPr>
          <w:b/>
          <w:bCs/>
          <w:sz w:val="32"/>
          <w:szCs w:val="32"/>
        </w:rPr>
        <w:t>The facts</w:t>
      </w:r>
    </w:p>
    <w:p w14:paraId="012804F6" w14:textId="389963E5" w:rsidR="00C85E00" w:rsidRDefault="00C85E00" w:rsidP="00C85E00">
      <w:pPr>
        <w:spacing w:line="480" w:lineRule="auto"/>
        <w:ind w:left="720" w:hanging="720"/>
        <w:jc w:val="both"/>
        <w:rPr>
          <w:sz w:val="28"/>
          <w:szCs w:val="28"/>
        </w:rPr>
      </w:pPr>
      <w:r>
        <w:rPr>
          <w:sz w:val="28"/>
          <w:szCs w:val="28"/>
        </w:rPr>
        <w:t>[</w:t>
      </w:r>
      <w:r w:rsidR="00112D03">
        <w:rPr>
          <w:sz w:val="28"/>
          <w:szCs w:val="28"/>
        </w:rPr>
        <w:t>4</w:t>
      </w:r>
      <w:r>
        <w:rPr>
          <w:sz w:val="28"/>
          <w:szCs w:val="28"/>
        </w:rPr>
        <w:t>]</w:t>
      </w:r>
      <w:r>
        <w:rPr>
          <w:sz w:val="28"/>
          <w:szCs w:val="28"/>
        </w:rPr>
        <w:tab/>
        <w:t>The plaintiffs’ notice to amend together with the proposed amendments were served on the 1</w:t>
      </w:r>
      <w:r w:rsidRPr="00C85E00">
        <w:rPr>
          <w:sz w:val="28"/>
          <w:szCs w:val="28"/>
          <w:vertAlign w:val="superscript"/>
        </w:rPr>
        <w:t>st</w:t>
      </w:r>
      <w:r>
        <w:rPr>
          <w:sz w:val="28"/>
          <w:szCs w:val="28"/>
        </w:rPr>
        <w:t xml:space="preserve"> defendant’s attorneys on 23 January 2018 and filed in Court on 24 January.</w:t>
      </w:r>
    </w:p>
    <w:p w14:paraId="6D892449" w14:textId="4141EFD1" w:rsidR="00CA267C" w:rsidRDefault="00CA267C" w:rsidP="00C85E00">
      <w:pPr>
        <w:spacing w:line="480" w:lineRule="auto"/>
        <w:ind w:left="720" w:hanging="720"/>
        <w:jc w:val="both"/>
        <w:rPr>
          <w:sz w:val="28"/>
          <w:szCs w:val="28"/>
        </w:rPr>
      </w:pPr>
    </w:p>
    <w:p w14:paraId="199A02F7" w14:textId="0754BBDE" w:rsidR="00CA267C" w:rsidRDefault="00CA267C" w:rsidP="00C85E00">
      <w:pPr>
        <w:spacing w:line="480" w:lineRule="auto"/>
        <w:ind w:left="720" w:hanging="720"/>
        <w:jc w:val="both"/>
        <w:rPr>
          <w:sz w:val="28"/>
          <w:szCs w:val="28"/>
        </w:rPr>
      </w:pPr>
      <w:r>
        <w:rPr>
          <w:sz w:val="28"/>
          <w:szCs w:val="28"/>
        </w:rPr>
        <w:t>[</w:t>
      </w:r>
      <w:r w:rsidR="00112D03">
        <w:rPr>
          <w:sz w:val="28"/>
          <w:szCs w:val="28"/>
        </w:rPr>
        <w:t>5</w:t>
      </w:r>
      <w:r>
        <w:rPr>
          <w:sz w:val="28"/>
          <w:szCs w:val="28"/>
        </w:rPr>
        <w:t>]</w:t>
      </w:r>
      <w:r>
        <w:rPr>
          <w:sz w:val="28"/>
          <w:szCs w:val="28"/>
        </w:rPr>
        <w:tab/>
        <w:t>The 1</w:t>
      </w:r>
      <w:r w:rsidRPr="00CA267C">
        <w:rPr>
          <w:sz w:val="28"/>
          <w:szCs w:val="28"/>
          <w:vertAlign w:val="superscript"/>
        </w:rPr>
        <w:t>st</w:t>
      </w:r>
      <w:r>
        <w:rPr>
          <w:sz w:val="28"/>
          <w:szCs w:val="28"/>
        </w:rPr>
        <w:t xml:space="preserve"> defendant’s Rule 30 application to set aside the plaintiff’s notice of amendments was filed in Court on 13 February and served on the plaintiff’s attorneys the same day.</w:t>
      </w:r>
    </w:p>
    <w:p w14:paraId="308F1AEE" w14:textId="7D08F506" w:rsidR="00CA267C" w:rsidRDefault="00CA267C" w:rsidP="00C85E00">
      <w:pPr>
        <w:spacing w:line="480" w:lineRule="auto"/>
        <w:ind w:left="720" w:hanging="720"/>
        <w:jc w:val="both"/>
        <w:rPr>
          <w:sz w:val="28"/>
          <w:szCs w:val="28"/>
        </w:rPr>
      </w:pPr>
    </w:p>
    <w:p w14:paraId="5BACDBD7" w14:textId="600029DB" w:rsidR="00CA267C" w:rsidRDefault="00CA267C" w:rsidP="00C85E00">
      <w:pPr>
        <w:spacing w:line="480" w:lineRule="auto"/>
        <w:ind w:left="720" w:hanging="720"/>
        <w:jc w:val="both"/>
        <w:rPr>
          <w:sz w:val="28"/>
          <w:szCs w:val="28"/>
        </w:rPr>
      </w:pPr>
      <w:r>
        <w:rPr>
          <w:sz w:val="28"/>
          <w:szCs w:val="28"/>
        </w:rPr>
        <w:t>[</w:t>
      </w:r>
      <w:r w:rsidR="00112D03">
        <w:rPr>
          <w:sz w:val="28"/>
          <w:szCs w:val="28"/>
        </w:rPr>
        <w:t>6</w:t>
      </w:r>
      <w:r>
        <w:rPr>
          <w:sz w:val="28"/>
          <w:szCs w:val="28"/>
        </w:rPr>
        <w:t>]</w:t>
      </w:r>
      <w:r>
        <w:rPr>
          <w:sz w:val="28"/>
          <w:szCs w:val="28"/>
        </w:rPr>
        <w:tab/>
        <w:t>The query raised by the 1</w:t>
      </w:r>
      <w:r w:rsidR="00570D4E" w:rsidRPr="00570D4E">
        <w:rPr>
          <w:sz w:val="28"/>
          <w:szCs w:val="28"/>
          <w:vertAlign w:val="superscript"/>
        </w:rPr>
        <w:t>s</w:t>
      </w:r>
      <w:r w:rsidRPr="00570D4E">
        <w:rPr>
          <w:sz w:val="28"/>
          <w:szCs w:val="28"/>
          <w:vertAlign w:val="superscript"/>
        </w:rPr>
        <w:t>t</w:t>
      </w:r>
      <w:r w:rsidR="00570D4E">
        <w:rPr>
          <w:sz w:val="28"/>
          <w:szCs w:val="28"/>
        </w:rPr>
        <w:t xml:space="preserve"> </w:t>
      </w:r>
      <w:r>
        <w:rPr>
          <w:sz w:val="28"/>
          <w:szCs w:val="28"/>
        </w:rPr>
        <w:t>defendant is couched in the following terms:</w:t>
      </w:r>
    </w:p>
    <w:p w14:paraId="4269B206" w14:textId="16A9F020" w:rsidR="00CA267C" w:rsidRDefault="00CA267C" w:rsidP="000927CA">
      <w:pPr>
        <w:ind w:left="2160"/>
        <w:jc w:val="both"/>
      </w:pPr>
      <w:r w:rsidRPr="000927CA">
        <w:t>“In terms of Rule 33 (2) the First Defendant had 14 (FOURTEEN) days from the date of the delivery of the Plaintiffs</w:t>
      </w:r>
      <w:r w:rsidR="006A0CE5">
        <w:t>’</w:t>
      </w:r>
      <w:r w:rsidRPr="000927CA">
        <w:t xml:space="preserve"> Notice of Intention to Amend, which was delivered on the 23 January, 2018 to object to the proposed amendment of the Plaintiff’s Summons and Declaration.  The Plaintiffs’ Amended Summons and Declaration were delivered on the 7</w:t>
      </w:r>
      <w:r w:rsidRPr="000927CA">
        <w:rPr>
          <w:vertAlign w:val="superscript"/>
        </w:rPr>
        <w:t>th</w:t>
      </w:r>
      <w:r w:rsidRPr="000927CA">
        <w:t xml:space="preserve"> Febr</w:t>
      </w:r>
      <w:r w:rsidR="00D245B7" w:rsidRPr="000927CA">
        <w:t>u</w:t>
      </w:r>
      <w:r w:rsidRPr="000927CA">
        <w:t>ary 2018, before the time allowed to the First Defendant to serve and file its Notice of Objection had expired.”</w:t>
      </w:r>
    </w:p>
    <w:p w14:paraId="65A6E2FA" w14:textId="77777777" w:rsidR="000927CA" w:rsidRPr="000927CA" w:rsidRDefault="000927CA" w:rsidP="000927CA">
      <w:pPr>
        <w:ind w:left="2160"/>
        <w:jc w:val="both"/>
      </w:pPr>
    </w:p>
    <w:p w14:paraId="7A8A0B3C" w14:textId="1CDDF549" w:rsidR="00D245B7" w:rsidRDefault="00D245B7" w:rsidP="00D245B7">
      <w:pPr>
        <w:spacing w:line="480" w:lineRule="auto"/>
        <w:jc w:val="both"/>
        <w:rPr>
          <w:sz w:val="28"/>
          <w:szCs w:val="28"/>
        </w:rPr>
      </w:pPr>
    </w:p>
    <w:p w14:paraId="0A17A7FF" w14:textId="5B784203" w:rsidR="00D245B7" w:rsidRDefault="00D245B7" w:rsidP="00D245B7">
      <w:pPr>
        <w:spacing w:line="480" w:lineRule="auto"/>
        <w:ind w:left="720" w:hanging="720"/>
        <w:jc w:val="both"/>
        <w:rPr>
          <w:sz w:val="28"/>
          <w:szCs w:val="28"/>
        </w:rPr>
      </w:pPr>
      <w:r>
        <w:rPr>
          <w:sz w:val="28"/>
          <w:szCs w:val="28"/>
        </w:rPr>
        <w:lastRenderedPageBreak/>
        <w:t>[</w:t>
      </w:r>
      <w:r w:rsidR="00112D03">
        <w:rPr>
          <w:sz w:val="28"/>
          <w:szCs w:val="28"/>
        </w:rPr>
        <w:t>7</w:t>
      </w:r>
      <w:r>
        <w:rPr>
          <w:sz w:val="28"/>
          <w:szCs w:val="28"/>
        </w:rPr>
        <w:t>]</w:t>
      </w:r>
      <w:r>
        <w:rPr>
          <w:sz w:val="28"/>
          <w:szCs w:val="28"/>
        </w:rPr>
        <w:tab/>
        <w:t>What emerges from the terms of the 1</w:t>
      </w:r>
      <w:r w:rsidRPr="00D245B7">
        <w:rPr>
          <w:sz w:val="28"/>
          <w:szCs w:val="28"/>
          <w:vertAlign w:val="superscript"/>
        </w:rPr>
        <w:t>st</w:t>
      </w:r>
      <w:r>
        <w:rPr>
          <w:sz w:val="28"/>
          <w:szCs w:val="28"/>
        </w:rPr>
        <w:t xml:space="preserve"> defendant’s objection is that it is conceded that it received the plaintiff’s notice of intention to amend on 23 January.  The amended summons and declaration were delivered to it on 7 February.  The issue is whether the filing in Court was done in non-observance of the 14 days for the 1</w:t>
      </w:r>
      <w:r w:rsidRPr="00D245B7">
        <w:rPr>
          <w:sz w:val="28"/>
          <w:szCs w:val="28"/>
          <w:vertAlign w:val="superscript"/>
        </w:rPr>
        <w:t>st</w:t>
      </w:r>
      <w:r>
        <w:rPr>
          <w:sz w:val="28"/>
          <w:szCs w:val="28"/>
        </w:rPr>
        <w:t xml:space="preserve"> defendant to consider raising any objection.</w:t>
      </w:r>
    </w:p>
    <w:p w14:paraId="4F299746" w14:textId="099D36D8" w:rsidR="00D245B7" w:rsidRDefault="00D245B7" w:rsidP="00D245B7">
      <w:pPr>
        <w:spacing w:line="480" w:lineRule="auto"/>
        <w:ind w:left="720" w:hanging="720"/>
        <w:jc w:val="both"/>
        <w:rPr>
          <w:sz w:val="28"/>
          <w:szCs w:val="28"/>
        </w:rPr>
      </w:pPr>
    </w:p>
    <w:p w14:paraId="6F4DAAD9" w14:textId="4EC4E26E" w:rsidR="00D245B7" w:rsidRDefault="00D245B7" w:rsidP="00D245B7">
      <w:pPr>
        <w:spacing w:line="480" w:lineRule="auto"/>
        <w:ind w:left="720" w:hanging="720"/>
        <w:jc w:val="both"/>
        <w:rPr>
          <w:sz w:val="28"/>
          <w:szCs w:val="28"/>
        </w:rPr>
      </w:pPr>
      <w:r>
        <w:rPr>
          <w:sz w:val="28"/>
          <w:szCs w:val="28"/>
        </w:rPr>
        <w:t>[</w:t>
      </w:r>
      <w:r w:rsidR="00112D03">
        <w:rPr>
          <w:sz w:val="28"/>
          <w:szCs w:val="28"/>
        </w:rPr>
        <w:t>8</w:t>
      </w:r>
      <w:r>
        <w:rPr>
          <w:sz w:val="28"/>
          <w:szCs w:val="28"/>
        </w:rPr>
        <w:t>]</w:t>
      </w:r>
      <w:r>
        <w:rPr>
          <w:sz w:val="28"/>
          <w:szCs w:val="28"/>
        </w:rPr>
        <w:tab/>
        <w:t>Computation of the 14 days must start from the day the notice of intention to amend was delivered.  The 1</w:t>
      </w:r>
      <w:r w:rsidRPr="00D245B7">
        <w:rPr>
          <w:sz w:val="28"/>
          <w:szCs w:val="28"/>
          <w:vertAlign w:val="superscript"/>
        </w:rPr>
        <w:t>st</w:t>
      </w:r>
      <w:r>
        <w:rPr>
          <w:sz w:val="28"/>
          <w:szCs w:val="28"/>
        </w:rPr>
        <w:t xml:space="preserve"> defendant’s right to object to the proposed amendments must be exercised positively or negatively within those 14 days.  Failure to raise an objection in writing within 14 days of the delivery of the notice to amend yields a deemed agreement to amend: Vide Rule 33 (3).</w:t>
      </w:r>
    </w:p>
    <w:p w14:paraId="07E927B6" w14:textId="16A51E4D" w:rsidR="00D245B7" w:rsidRDefault="00D245B7" w:rsidP="00D245B7">
      <w:pPr>
        <w:spacing w:line="480" w:lineRule="auto"/>
        <w:ind w:left="720" w:hanging="720"/>
        <w:jc w:val="both"/>
        <w:rPr>
          <w:sz w:val="28"/>
          <w:szCs w:val="28"/>
        </w:rPr>
      </w:pPr>
    </w:p>
    <w:p w14:paraId="578837C1" w14:textId="7DBC92C1" w:rsidR="00D245B7" w:rsidRDefault="00D245B7" w:rsidP="00D245B7">
      <w:pPr>
        <w:spacing w:line="480" w:lineRule="auto"/>
        <w:ind w:left="720" w:hanging="720"/>
        <w:jc w:val="both"/>
        <w:rPr>
          <w:sz w:val="28"/>
          <w:szCs w:val="28"/>
        </w:rPr>
      </w:pPr>
      <w:r>
        <w:rPr>
          <w:sz w:val="28"/>
          <w:szCs w:val="28"/>
        </w:rPr>
        <w:t>[</w:t>
      </w:r>
      <w:r w:rsidR="00112D03">
        <w:rPr>
          <w:sz w:val="28"/>
          <w:szCs w:val="28"/>
        </w:rPr>
        <w:t>9</w:t>
      </w:r>
      <w:r>
        <w:rPr>
          <w:sz w:val="28"/>
          <w:szCs w:val="28"/>
        </w:rPr>
        <w:t>]</w:t>
      </w:r>
      <w:r>
        <w:rPr>
          <w:sz w:val="28"/>
          <w:szCs w:val="28"/>
        </w:rPr>
        <w:tab/>
        <w:t xml:space="preserve">Following the deemed agreement to amend, the plaintiff would be within </w:t>
      </w:r>
      <w:r w:rsidR="00E54F1F">
        <w:rPr>
          <w:sz w:val="28"/>
          <w:szCs w:val="28"/>
        </w:rPr>
        <w:t xml:space="preserve">their </w:t>
      </w:r>
      <w:r>
        <w:rPr>
          <w:sz w:val="28"/>
          <w:szCs w:val="28"/>
        </w:rPr>
        <w:t>rights to file the amendment in court within seven days after the expiry of the fourteen days: Vide Rule 33 (5).</w:t>
      </w:r>
    </w:p>
    <w:p w14:paraId="2A63726C" w14:textId="77777777" w:rsidR="00CE0CB5" w:rsidRDefault="00CE0CB5" w:rsidP="00D245B7">
      <w:pPr>
        <w:spacing w:line="480" w:lineRule="auto"/>
        <w:ind w:left="720" w:hanging="720"/>
        <w:jc w:val="both"/>
        <w:rPr>
          <w:sz w:val="28"/>
          <w:szCs w:val="28"/>
        </w:rPr>
      </w:pPr>
    </w:p>
    <w:p w14:paraId="2253EB9B" w14:textId="288FA96D" w:rsidR="0022118E" w:rsidRDefault="0022118E" w:rsidP="00D245B7">
      <w:pPr>
        <w:spacing w:line="480" w:lineRule="auto"/>
        <w:ind w:left="720" w:hanging="720"/>
        <w:jc w:val="both"/>
        <w:rPr>
          <w:sz w:val="28"/>
          <w:szCs w:val="28"/>
        </w:rPr>
      </w:pPr>
      <w:r>
        <w:rPr>
          <w:sz w:val="28"/>
          <w:szCs w:val="28"/>
        </w:rPr>
        <w:t>[1</w:t>
      </w:r>
      <w:r w:rsidR="00112D03">
        <w:rPr>
          <w:sz w:val="28"/>
          <w:szCs w:val="28"/>
        </w:rPr>
        <w:t>0</w:t>
      </w:r>
      <w:r>
        <w:rPr>
          <w:sz w:val="28"/>
          <w:szCs w:val="28"/>
        </w:rPr>
        <w:t>]</w:t>
      </w:r>
      <w:r>
        <w:rPr>
          <w:sz w:val="28"/>
          <w:szCs w:val="28"/>
        </w:rPr>
        <w:tab/>
        <w:t xml:space="preserve">Miss </w:t>
      </w:r>
      <w:r w:rsidRPr="00927354">
        <w:rPr>
          <w:i/>
          <w:iCs/>
          <w:sz w:val="28"/>
          <w:szCs w:val="28"/>
        </w:rPr>
        <w:t>Lephatsa</w:t>
      </w:r>
      <w:r>
        <w:rPr>
          <w:sz w:val="28"/>
          <w:szCs w:val="28"/>
        </w:rPr>
        <w:t xml:space="preserve"> for the plaintiffs, submitted that the 1</w:t>
      </w:r>
      <w:r w:rsidRPr="0022118E">
        <w:rPr>
          <w:sz w:val="28"/>
          <w:szCs w:val="28"/>
          <w:vertAlign w:val="superscript"/>
        </w:rPr>
        <w:t>st</w:t>
      </w:r>
      <w:r>
        <w:rPr>
          <w:sz w:val="28"/>
          <w:szCs w:val="28"/>
        </w:rPr>
        <w:t xml:space="preserve"> defendant’s attorneys were served with the notice to amend befo</w:t>
      </w:r>
      <w:r w:rsidR="00927354">
        <w:rPr>
          <w:sz w:val="28"/>
          <w:szCs w:val="28"/>
        </w:rPr>
        <w:t>r</w:t>
      </w:r>
      <w:r>
        <w:rPr>
          <w:sz w:val="28"/>
          <w:szCs w:val="28"/>
        </w:rPr>
        <w:t>e same had been filed in court.  The fourteen days period commenced on 23 January and expired on 5 February</w:t>
      </w:r>
      <w:r w:rsidR="00927354">
        <w:rPr>
          <w:sz w:val="28"/>
          <w:szCs w:val="28"/>
        </w:rPr>
        <w:t xml:space="preserve">.  This computation of days is inclusive of Saturdays and Sundays.  </w:t>
      </w:r>
      <w:r w:rsidR="00927354">
        <w:rPr>
          <w:sz w:val="28"/>
          <w:szCs w:val="28"/>
        </w:rPr>
        <w:lastRenderedPageBreak/>
        <w:t xml:space="preserve">Miss </w:t>
      </w:r>
      <w:r w:rsidR="00927354" w:rsidRPr="008650FA">
        <w:rPr>
          <w:i/>
          <w:iCs/>
          <w:sz w:val="28"/>
          <w:szCs w:val="28"/>
        </w:rPr>
        <w:t xml:space="preserve">Taka </w:t>
      </w:r>
      <w:r w:rsidR="00927354">
        <w:rPr>
          <w:sz w:val="28"/>
          <w:szCs w:val="28"/>
        </w:rPr>
        <w:t>for the 1</w:t>
      </w:r>
      <w:r w:rsidR="00927354" w:rsidRPr="00927354">
        <w:rPr>
          <w:sz w:val="28"/>
          <w:szCs w:val="28"/>
          <w:vertAlign w:val="superscript"/>
        </w:rPr>
        <w:t>st</w:t>
      </w:r>
      <w:r w:rsidR="00927354">
        <w:rPr>
          <w:sz w:val="28"/>
          <w:szCs w:val="28"/>
        </w:rPr>
        <w:t xml:space="preserve"> defendant, counters by submitting that the calculation of the fourteen days her client was entitled </w:t>
      </w:r>
      <w:r w:rsidR="008650FA">
        <w:rPr>
          <w:sz w:val="28"/>
          <w:szCs w:val="28"/>
        </w:rPr>
        <w:t>to consider</w:t>
      </w:r>
      <w:r w:rsidR="00927354">
        <w:rPr>
          <w:sz w:val="28"/>
          <w:szCs w:val="28"/>
        </w:rPr>
        <w:t xml:space="preserve"> objecting does not include Saturdays and Sundays because such days are not c</w:t>
      </w:r>
      <w:r w:rsidR="005373AC">
        <w:rPr>
          <w:sz w:val="28"/>
          <w:szCs w:val="28"/>
        </w:rPr>
        <w:t>o</w:t>
      </w:r>
      <w:r w:rsidR="00927354">
        <w:rPr>
          <w:sz w:val="28"/>
          <w:szCs w:val="28"/>
        </w:rPr>
        <w:t xml:space="preserve">urt days as defined under Rule 1 of the </w:t>
      </w:r>
      <w:r w:rsidR="00927354" w:rsidRPr="008650FA">
        <w:rPr>
          <w:b/>
          <w:bCs/>
          <w:sz w:val="28"/>
          <w:szCs w:val="28"/>
        </w:rPr>
        <w:t>High Court Rules</w:t>
      </w:r>
      <w:r w:rsidR="00927354">
        <w:rPr>
          <w:sz w:val="28"/>
          <w:szCs w:val="28"/>
        </w:rPr>
        <w:t>.</w:t>
      </w:r>
    </w:p>
    <w:p w14:paraId="3436F5CB" w14:textId="3B803773" w:rsidR="006D2FD2" w:rsidRDefault="006D2FD2" w:rsidP="00D245B7">
      <w:pPr>
        <w:spacing w:line="480" w:lineRule="auto"/>
        <w:ind w:left="720" w:hanging="720"/>
        <w:jc w:val="both"/>
        <w:rPr>
          <w:sz w:val="28"/>
          <w:szCs w:val="28"/>
        </w:rPr>
      </w:pPr>
    </w:p>
    <w:p w14:paraId="40DC144A" w14:textId="464E8B58" w:rsidR="006D2FD2" w:rsidRDefault="006D2FD2" w:rsidP="00D245B7">
      <w:pPr>
        <w:spacing w:line="480" w:lineRule="auto"/>
        <w:ind w:left="720" w:hanging="720"/>
        <w:jc w:val="both"/>
        <w:rPr>
          <w:sz w:val="28"/>
          <w:szCs w:val="28"/>
        </w:rPr>
      </w:pPr>
      <w:r>
        <w:rPr>
          <w:sz w:val="28"/>
          <w:szCs w:val="28"/>
        </w:rPr>
        <w:t>[1</w:t>
      </w:r>
      <w:r w:rsidR="00112D03">
        <w:rPr>
          <w:sz w:val="28"/>
          <w:szCs w:val="28"/>
        </w:rPr>
        <w:t>1</w:t>
      </w:r>
      <w:r>
        <w:rPr>
          <w:sz w:val="28"/>
          <w:szCs w:val="28"/>
        </w:rPr>
        <w:t>]</w:t>
      </w:r>
      <w:r>
        <w:rPr>
          <w:sz w:val="28"/>
          <w:szCs w:val="28"/>
        </w:rPr>
        <w:tab/>
        <w:t>With this consideration in mind, she submitted further that the fourteen days expired on 9 February.  For this reason, delivery of the amended summons on 7 February was before the expiry of the fourteen days and there</w:t>
      </w:r>
      <w:r w:rsidR="009071F4">
        <w:rPr>
          <w:sz w:val="28"/>
          <w:szCs w:val="28"/>
        </w:rPr>
        <w:t>fore</w:t>
      </w:r>
      <w:r>
        <w:rPr>
          <w:sz w:val="28"/>
          <w:szCs w:val="28"/>
        </w:rPr>
        <w:t xml:space="preserve"> irregular.</w:t>
      </w:r>
    </w:p>
    <w:p w14:paraId="73531121" w14:textId="54C51CF1" w:rsidR="006D2FD2" w:rsidRDefault="006D2FD2" w:rsidP="00D245B7">
      <w:pPr>
        <w:spacing w:line="480" w:lineRule="auto"/>
        <w:ind w:left="720" w:hanging="720"/>
        <w:jc w:val="both"/>
        <w:rPr>
          <w:sz w:val="28"/>
          <w:szCs w:val="28"/>
        </w:rPr>
      </w:pPr>
    </w:p>
    <w:p w14:paraId="28F4306E" w14:textId="08878A07" w:rsidR="006D2FD2" w:rsidRPr="006D2FD2" w:rsidRDefault="006D2FD2" w:rsidP="00D245B7">
      <w:pPr>
        <w:spacing w:line="480" w:lineRule="auto"/>
        <w:ind w:left="720" w:hanging="720"/>
        <w:jc w:val="both"/>
        <w:rPr>
          <w:b/>
          <w:bCs/>
          <w:sz w:val="32"/>
          <w:szCs w:val="32"/>
        </w:rPr>
      </w:pPr>
      <w:r w:rsidRPr="006D2FD2">
        <w:rPr>
          <w:b/>
          <w:bCs/>
          <w:sz w:val="32"/>
          <w:szCs w:val="32"/>
        </w:rPr>
        <w:t>Service of process</w:t>
      </w:r>
    </w:p>
    <w:p w14:paraId="19384A1C" w14:textId="18D5E0F7" w:rsidR="006D2FD2" w:rsidRDefault="006D2FD2" w:rsidP="00D245B7">
      <w:pPr>
        <w:spacing w:line="480" w:lineRule="auto"/>
        <w:ind w:left="720" w:hanging="720"/>
        <w:jc w:val="both"/>
        <w:rPr>
          <w:sz w:val="28"/>
          <w:szCs w:val="28"/>
        </w:rPr>
      </w:pPr>
      <w:r>
        <w:rPr>
          <w:sz w:val="28"/>
          <w:szCs w:val="28"/>
        </w:rPr>
        <w:t>[1</w:t>
      </w:r>
      <w:r w:rsidR="00112D03">
        <w:rPr>
          <w:sz w:val="28"/>
          <w:szCs w:val="28"/>
        </w:rPr>
        <w:t>2</w:t>
      </w:r>
      <w:r>
        <w:rPr>
          <w:sz w:val="28"/>
          <w:szCs w:val="28"/>
        </w:rPr>
        <w:t>]</w:t>
      </w:r>
      <w:r>
        <w:rPr>
          <w:sz w:val="28"/>
          <w:szCs w:val="28"/>
        </w:rPr>
        <w:tab/>
        <w:t>Rule 4 (4) provides days on which summons and notice of proceedings may be served as follows:</w:t>
      </w:r>
    </w:p>
    <w:p w14:paraId="7AEAA84A" w14:textId="5A5D0725" w:rsidR="006D2FD2" w:rsidRPr="000927CA" w:rsidRDefault="006D2FD2" w:rsidP="000927CA">
      <w:pPr>
        <w:ind w:left="2160"/>
        <w:jc w:val="both"/>
      </w:pPr>
      <w:r w:rsidRPr="000927CA">
        <w:t xml:space="preserve">“No service of any civil summons, process, or notice or any proceeding in any civil action, other than the issue or execution of a warrant of arrest, shall </w:t>
      </w:r>
      <w:r w:rsidR="005373AC">
        <w:t xml:space="preserve">be </w:t>
      </w:r>
      <w:r w:rsidRPr="000927CA">
        <w:t>effected on a Sunday unless the court or judge directs such service.”</w:t>
      </w:r>
    </w:p>
    <w:p w14:paraId="51601BB8" w14:textId="6F143D67" w:rsidR="006D2FD2" w:rsidRDefault="006D2FD2" w:rsidP="00D245B7">
      <w:pPr>
        <w:spacing w:line="480" w:lineRule="auto"/>
        <w:ind w:left="720" w:hanging="720"/>
        <w:jc w:val="both"/>
        <w:rPr>
          <w:sz w:val="28"/>
          <w:szCs w:val="28"/>
        </w:rPr>
      </w:pPr>
    </w:p>
    <w:p w14:paraId="76849745" w14:textId="3C85DBC9" w:rsidR="006D2FD2" w:rsidRDefault="006D2FD2" w:rsidP="00D245B7">
      <w:pPr>
        <w:spacing w:line="480" w:lineRule="auto"/>
        <w:ind w:left="720" w:hanging="720"/>
        <w:jc w:val="both"/>
        <w:rPr>
          <w:sz w:val="28"/>
          <w:szCs w:val="28"/>
        </w:rPr>
      </w:pPr>
      <w:r>
        <w:rPr>
          <w:sz w:val="28"/>
          <w:szCs w:val="28"/>
        </w:rPr>
        <w:t>[1</w:t>
      </w:r>
      <w:r w:rsidR="00112D03">
        <w:rPr>
          <w:sz w:val="28"/>
          <w:szCs w:val="28"/>
        </w:rPr>
        <w:t>3</w:t>
      </w:r>
      <w:r>
        <w:rPr>
          <w:sz w:val="28"/>
          <w:szCs w:val="28"/>
        </w:rPr>
        <w:t>]</w:t>
      </w:r>
      <w:r>
        <w:rPr>
          <w:sz w:val="28"/>
          <w:szCs w:val="28"/>
        </w:rPr>
        <w:tab/>
        <w:t>This sub-rule answers the question on what days a notice of proceedings or summons can be served.  It must be read with Rule 1 which provides for computation of court days in the following manner:</w:t>
      </w:r>
    </w:p>
    <w:p w14:paraId="2BA4E671" w14:textId="46F8B44E" w:rsidR="006D2FD2" w:rsidRDefault="006D2FD2" w:rsidP="000927CA">
      <w:pPr>
        <w:ind w:left="2160"/>
        <w:jc w:val="both"/>
      </w:pPr>
      <w:r w:rsidRPr="000927CA">
        <w:t>“’days’ shall mean court days except that in the computation of time express</w:t>
      </w:r>
      <w:r w:rsidR="009071F4">
        <w:t>ed</w:t>
      </w:r>
      <w:r w:rsidRPr="000927CA">
        <w:t xml:space="preserve"> in days prescribed by these rules and fixed by any order of court, Saturdays shall be included except those Saturdays which are public holidays.  Provided that when the last day of the number of days prescribed is a </w:t>
      </w:r>
      <w:r w:rsidR="00F23856" w:rsidRPr="000927CA">
        <w:t>non-court</w:t>
      </w:r>
      <w:r w:rsidRPr="000927CA">
        <w:t xml:space="preserve"> day or Saturday the time shall end on the next court day following.”</w:t>
      </w:r>
    </w:p>
    <w:p w14:paraId="504D0F0D" w14:textId="77777777" w:rsidR="005373AC" w:rsidRPr="000927CA" w:rsidRDefault="005373AC" w:rsidP="000927CA">
      <w:pPr>
        <w:ind w:left="2160"/>
        <w:jc w:val="both"/>
      </w:pPr>
    </w:p>
    <w:p w14:paraId="582659EA" w14:textId="77777777" w:rsidR="009071F4" w:rsidRDefault="009071F4" w:rsidP="0090367A">
      <w:pPr>
        <w:spacing w:line="480" w:lineRule="auto"/>
        <w:ind w:left="720" w:hanging="720"/>
        <w:jc w:val="both"/>
        <w:rPr>
          <w:sz w:val="28"/>
          <w:szCs w:val="28"/>
        </w:rPr>
      </w:pPr>
    </w:p>
    <w:p w14:paraId="3134D8A7" w14:textId="2CB934AB" w:rsidR="0090367A" w:rsidRDefault="006D2FD2" w:rsidP="0090367A">
      <w:pPr>
        <w:spacing w:line="480" w:lineRule="auto"/>
        <w:ind w:left="720" w:hanging="720"/>
        <w:jc w:val="both"/>
        <w:rPr>
          <w:sz w:val="28"/>
          <w:szCs w:val="28"/>
        </w:rPr>
      </w:pPr>
      <w:r>
        <w:rPr>
          <w:sz w:val="28"/>
          <w:szCs w:val="28"/>
        </w:rPr>
        <w:t>[1</w:t>
      </w:r>
      <w:r w:rsidR="00112D03">
        <w:rPr>
          <w:sz w:val="28"/>
          <w:szCs w:val="28"/>
        </w:rPr>
        <w:t>4</w:t>
      </w:r>
      <w:r>
        <w:rPr>
          <w:sz w:val="28"/>
          <w:szCs w:val="28"/>
        </w:rPr>
        <w:t>]</w:t>
      </w:r>
      <w:r>
        <w:rPr>
          <w:sz w:val="28"/>
          <w:szCs w:val="28"/>
        </w:rPr>
        <w:tab/>
        <w:t xml:space="preserve">Thus, Saturdays are included in the computation of the fourteen </w:t>
      </w:r>
      <w:r w:rsidR="00112D03">
        <w:rPr>
          <w:sz w:val="28"/>
          <w:szCs w:val="28"/>
        </w:rPr>
        <w:t>days’ notice</w:t>
      </w:r>
      <w:r w:rsidR="006A0CE5">
        <w:rPr>
          <w:sz w:val="28"/>
          <w:szCs w:val="28"/>
        </w:rPr>
        <w:t xml:space="preserve"> period </w:t>
      </w:r>
      <w:r w:rsidR="009071F4">
        <w:rPr>
          <w:sz w:val="28"/>
          <w:szCs w:val="28"/>
        </w:rPr>
        <w:t>for a party to</w:t>
      </w:r>
      <w:r w:rsidR="006A0CE5">
        <w:rPr>
          <w:sz w:val="28"/>
          <w:szCs w:val="28"/>
        </w:rPr>
        <w:t xml:space="preserve"> respond negatively</w:t>
      </w:r>
      <w:r>
        <w:rPr>
          <w:sz w:val="28"/>
          <w:szCs w:val="28"/>
        </w:rPr>
        <w:t xml:space="preserve"> to a notice to amend.</w:t>
      </w:r>
    </w:p>
    <w:p w14:paraId="12D9D84E" w14:textId="4A4BE0E8" w:rsidR="006D2FD2" w:rsidRDefault="006D2FD2" w:rsidP="0090367A">
      <w:pPr>
        <w:spacing w:line="480" w:lineRule="auto"/>
        <w:ind w:left="720" w:hanging="720"/>
        <w:jc w:val="both"/>
        <w:rPr>
          <w:sz w:val="28"/>
          <w:szCs w:val="28"/>
        </w:rPr>
      </w:pPr>
    </w:p>
    <w:p w14:paraId="5C000370" w14:textId="6207407E" w:rsidR="006D2FD2" w:rsidRDefault="006D2FD2" w:rsidP="0090367A">
      <w:pPr>
        <w:spacing w:line="480" w:lineRule="auto"/>
        <w:ind w:left="720" w:hanging="720"/>
        <w:jc w:val="both"/>
        <w:rPr>
          <w:sz w:val="28"/>
          <w:szCs w:val="28"/>
        </w:rPr>
      </w:pPr>
      <w:r>
        <w:rPr>
          <w:sz w:val="28"/>
          <w:szCs w:val="28"/>
        </w:rPr>
        <w:t>[1</w:t>
      </w:r>
      <w:r w:rsidR="00112D03">
        <w:rPr>
          <w:sz w:val="28"/>
          <w:szCs w:val="28"/>
        </w:rPr>
        <w:t>5</w:t>
      </w:r>
      <w:r>
        <w:rPr>
          <w:sz w:val="28"/>
          <w:szCs w:val="28"/>
        </w:rPr>
        <w:t>]</w:t>
      </w:r>
      <w:r>
        <w:rPr>
          <w:sz w:val="28"/>
          <w:szCs w:val="28"/>
        </w:rPr>
        <w:tab/>
        <w:t xml:space="preserve">Therefore, in computing the fourteen </w:t>
      </w:r>
      <w:r w:rsidR="00112D03">
        <w:rPr>
          <w:sz w:val="28"/>
          <w:szCs w:val="28"/>
        </w:rPr>
        <w:t>days’ notice</w:t>
      </w:r>
      <w:r>
        <w:rPr>
          <w:sz w:val="28"/>
          <w:szCs w:val="28"/>
        </w:rPr>
        <w:t xml:space="preserve"> period, it is </w:t>
      </w:r>
      <w:r w:rsidR="00112D03">
        <w:rPr>
          <w:sz w:val="28"/>
          <w:szCs w:val="28"/>
        </w:rPr>
        <w:t xml:space="preserve">only </w:t>
      </w:r>
      <w:r w:rsidR="009071F4">
        <w:rPr>
          <w:sz w:val="28"/>
          <w:szCs w:val="28"/>
        </w:rPr>
        <w:t>public holidays and Sun</w:t>
      </w:r>
      <w:r w:rsidR="00112D03">
        <w:rPr>
          <w:sz w:val="28"/>
          <w:szCs w:val="28"/>
        </w:rPr>
        <w:t>days which are excluded.  These Sundays</w:t>
      </w:r>
      <w:r w:rsidR="009071F4">
        <w:rPr>
          <w:sz w:val="28"/>
          <w:szCs w:val="28"/>
        </w:rPr>
        <w:t xml:space="preserve"> are</w:t>
      </w:r>
      <w:r w:rsidR="00112D03">
        <w:rPr>
          <w:sz w:val="28"/>
          <w:szCs w:val="28"/>
        </w:rPr>
        <w:t xml:space="preserve"> of 28 January and 4 February.  This means that the fourteen days to be reckoned with ended on 6 February. Delivery of the amended </w:t>
      </w:r>
      <w:r w:rsidR="006A0CE5">
        <w:rPr>
          <w:sz w:val="28"/>
          <w:szCs w:val="28"/>
        </w:rPr>
        <w:t xml:space="preserve">summons </w:t>
      </w:r>
      <w:r w:rsidR="00112D03">
        <w:rPr>
          <w:sz w:val="28"/>
          <w:szCs w:val="28"/>
        </w:rPr>
        <w:t>on 7 February was then after the expiry of the fourteen days’ notice given on 23 January.</w:t>
      </w:r>
    </w:p>
    <w:p w14:paraId="784AA74B" w14:textId="6300E719" w:rsidR="00112D03" w:rsidRDefault="00112D03" w:rsidP="0090367A">
      <w:pPr>
        <w:spacing w:line="480" w:lineRule="auto"/>
        <w:ind w:left="720" w:hanging="720"/>
        <w:jc w:val="both"/>
        <w:rPr>
          <w:sz w:val="28"/>
          <w:szCs w:val="28"/>
        </w:rPr>
      </w:pPr>
    </w:p>
    <w:p w14:paraId="34AE97DA" w14:textId="4A45B867" w:rsidR="00112D03" w:rsidRPr="00112D03" w:rsidRDefault="00112D03" w:rsidP="00112D03">
      <w:pPr>
        <w:pStyle w:val="ListParagraph"/>
        <w:numPr>
          <w:ilvl w:val="0"/>
          <w:numId w:val="1"/>
        </w:numPr>
        <w:spacing w:line="480" w:lineRule="auto"/>
        <w:jc w:val="both"/>
        <w:rPr>
          <w:b/>
          <w:bCs/>
          <w:sz w:val="28"/>
          <w:szCs w:val="28"/>
          <w:u w:val="single"/>
        </w:rPr>
      </w:pPr>
      <w:r w:rsidRPr="00112D03">
        <w:rPr>
          <w:b/>
          <w:bCs/>
          <w:sz w:val="28"/>
          <w:szCs w:val="28"/>
          <w:u w:val="single"/>
        </w:rPr>
        <w:t>CONCLUSION</w:t>
      </w:r>
    </w:p>
    <w:p w14:paraId="65054B74" w14:textId="52B2B43C" w:rsidR="00112D03" w:rsidRDefault="00112D03" w:rsidP="0090367A">
      <w:pPr>
        <w:spacing w:line="480" w:lineRule="auto"/>
        <w:ind w:left="720" w:hanging="720"/>
        <w:jc w:val="both"/>
        <w:rPr>
          <w:sz w:val="28"/>
          <w:szCs w:val="28"/>
        </w:rPr>
      </w:pPr>
      <w:r>
        <w:rPr>
          <w:sz w:val="28"/>
          <w:szCs w:val="28"/>
        </w:rPr>
        <w:t>[16]</w:t>
      </w:r>
      <w:r>
        <w:rPr>
          <w:sz w:val="28"/>
          <w:szCs w:val="28"/>
        </w:rPr>
        <w:tab/>
        <w:t>By failing to raise an objection on or before 6 February, the 1</w:t>
      </w:r>
      <w:r w:rsidRPr="00112D03">
        <w:rPr>
          <w:sz w:val="28"/>
          <w:szCs w:val="28"/>
          <w:vertAlign w:val="superscript"/>
        </w:rPr>
        <w:t>st</w:t>
      </w:r>
      <w:r>
        <w:rPr>
          <w:sz w:val="28"/>
          <w:szCs w:val="28"/>
        </w:rPr>
        <w:t xml:space="preserve"> defendant is deemed to have agreed </w:t>
      </w:r>
      <w:r w:rsidR="009071F4">
        <w:rPr>
          <w:sz w:val="28"/>
          <w:szCs w:val="28"/>
        </w:rPr>
        <w:t>to</w:t>
      </w:r>
      <w:r>
        <w:rPr>
          <w:sz w:val="28"/>
          <w:szCs w:val="28"/>
        </w:rPr>
        <w:t xml:space="preserve"> the amendment according to Rule 33 </w:t>
      </w:r>
      <w:r w:rsidR="005373AC">
        <w:rPr>
          <w:sz w:val="28"/>
          <w:szCs w:val="28"/>
        </w:rPr>
        <w:t>(</w:t>
      </w:r>
      <w:r>
        <w:rPr>
          <w:sz w:val="28"/>
          <w:szCs w:val="28"/>
        </w:rPr>
        <w:t>3).  It follows that its objection is without merit.</w:t>
      </w:r>
    </w:p>
    <w:p w14:paraId="42D190F0" w14:textId="77777777" w:rsidR="006A0CE5" w:rsidRDefault="006A0CE5" w:rsidP="0090367A">
      <w:pPr>
        <w:spacing w:line="480" w:lineRule="auto"/>
        <w:ind w:left="720" w:hanging="720"/>
        <w:jc w:val="both"/>
        <w:rPr>
          <w:sz w:val="28"/>
          <w:szCs w:val="28"/>
        </w:rPr>
      </w:pPr>
    </w:p>
    <w:p w14:paraId="37453E30" w14:textId="4D849F2C" w:rsidR="00112D03" w:rsidRPr="00112D03" w:rsidRDefault="00112D03" w:rsidP="0090367A">
      <w:pPr>
        <w:spacing w:line="480" w:lineRule="auto"/>
        <w:ind w:left="720" w:hanging="720"/>
        <w:jc w:val="both"/>
        <w:rPr>
          <w:b/>
          <w:bCs/>
          <w:sz w:val="32"/>
          <w:szCs w:val="32"/>
          <w:u w:val="single"/>
        </w:rPr>
      </w:pPr>
      <w:r w:rsidRPr="00112D03">
        <w:rPr>
          <w:b/>
          <w:bCs/>
          <w:sz w:val="32"/>
          <w:szCs w:val="32"/>
          <w:u w:val="single"/>
        </w:rPr>
        <w:t>Order</w:t>
      </w:r>
    </w:p>
    <w:p w14:paraId="73DB43E2" w14:textId="4FFE5674" w:rsidR="00112D03" w:rsidRDefault="00112D03" w:rsidP="0090367A">
      <w:pPr>
        <w:spacing w:line="480" w:lineRule="auto"/>
        <w:ind w:left="720" w:hanging="720"/>
        <w:jc w:val="both"/>
        <w:rPr>
          <w:sz w:val="28"/>
          <w:szCs w:val="28"/>
        </w:rPr>
      </w:pPr>
      <w:r>
        <w:rPr>
          <w:sz w:val="28"/>
          <w:szCs w:val="28"/>
        </w:rPr>
        <w:t>[17]</w:t>
      </w:r>
      <w:r>
        <w:rPr>
          <w:sz w:val="28"/>
          <w:szCs w:val="28"/>
        </w:rPr>
        <w:tab/>
        <w:t>In the result, the following or</w:t>
      </w:r>
      <w:r w:rsidR="009071F4">
        <w:rPr>
          <w:sz w:val="28"/>
          <w:szCs w:val="28"/>
        </w:rPr>
        <w:t>der</w:t>
      </w:r>
      <w:r>
        <w:rPr>
          <w:sz w:val="28"/>
          <w:szCs w:val="28"/>
        </w:rPr>
        <w:t xml:space="preserve"> is made:</w:t>
      </w:r>
    </w:p>
    <w:p w14:paraId="342280B3" w14:textId="515AE4B2" w:rsidR="00112D03" w:rsidRDefault="00112D03" w:rsidP="0090367A">
      <w:pPr>
        <w:spacing w:line="480" w:lineRule="auto"/>
        <w:ind w:left="720" w:hanging="720"/>
        <w:jc w:val="both"/>
        <w:rPr>
          <w:sz w:val="28"/>
          <w:szCs w:val="28"/>
        </w:rPr>
      </w:pPr>
      <w:r>
        <w:rPr>
          <w:sz w:val="28"/>
          <w:szCs w:val="28"/>
        </w:rPr>
        <w:tab/>
      </w:r>
      <w:r>
        <w:rPr>
          <w:sz w:val="28"/>
          <w:szCs w:val="28"/>
        </w:rPr>
        <w:tab/>
        <w:t>1.</w:t>
      </w:r>
      <w:r>
        <w:rPr>
          <w:sz w:val="28"/>
          <w:szCs w:val="28"/>
        </w:rPr>
        <w:tab/>
        <w:t>The objection is dismissed with costs.</w:t>
      </w:r>
    </w:p>
    <w:p w14:paraId="27046452" w14:textId="6E896797" w:rsidR="00112D03" w:rsidRDefault="00112D03" w:rsidP="0090367A">
      <w:pPr>
        <w:spacing w:line="480" w:lineRule="auto"/>
        <w:ind w:left="720" w:hanging="720"/>
        <w:jc w:val="both"/>
        <w:rPr>
          <w:sz w:val="28"/>
          <w:szCs w:val="28"/>
        </w:rPr>
      </w:pPr>
    </w:p>
    <w:p w14:paraId="285808D6" w14:textId="5457D2AE" w:rsidR="00112D03" w:rsidRDefault="00112D03" w:rsidP="0090367A">
      <w:pPr>
        <w:spacing w:line="480" w:lineRule="auto"/>
        <w:ind w:left="720" w:hanging="720"/>
        <w:jc w:val="both"/>
        <w:rPr>
          <w:sz w:val="28"/>
          <w:szCs w:val="28"/>
        </w:rPr>
      </w:pPr>
    </w:p>
    <w:p w14:paraId="7FDCB72C" w14:textId="5D9CD521" w:rsidR="00112D03" w:rsidRDefault="00112D03" w:rsidP="00112D03">
      <w:pPr>
        <w:ind w:left="3240" w:hanging="360"/>
        <w:rPr>
          <w:sz w:val="28"/>
          <w:szCs w:val="28"/>
        </w:rPr>
      </w:pPr>
      <w:r>
        <w:rPr>
          <w:sz w:val="28"/>
          <w:szCs w:val="28"/>
        </w:rPr>
        <w:lastRenderedPageBreak/>
        <w:t xml:space="preserve">    __________________</w:t>
      </w:r>
    </w:p>
    <w:p w14:paraId="516C0314" w14:textId="77777777" w:rsidR="00112D03" w:rsidRPr="004739B2" w:rsidRDefault="00112D03" w:rsidP="00112D03">
      <w:pPr>
        <w:ind w:left="360" w:hanging="360"/>
        <w:jc w:val="center"/>
        <w:rPr>
          <w:b/>
          <w:sz w:val="28"/>
          <w:szCs w:val="28"/>
        </w:rPr>
      </w:pPr>
      <w:r w:rsidRPr="004739B2">
        <w:rPr>
          <w:b/>
          <w:sz w:val="28"/>
          <w:szCs w:val="28"/>
        </w:rPr>
        <w:t>S.P. SAKOANE</w:t>
      </w:r>
    </w:p>
    <w:p w14:paraId="37BEE5EA" w14:textId="77777777" w:rsidR="00112D03" w:rsidRPr="004739B2" w:rsidRDefault="00112D03" w:rsidP="00112D03">
      <w:pPr>
        <w:ind w:left="360" w:hanging="360"/>
        <w:jc w:val="center"/>
        <w:rPr>
          <w:b/>
          <w:sz w:val="28"/>
          <w:szCs w:val="28"/>
        </w:rPr>
      </w:pPr>
      <w:r w:rsidRPr="004739B2">
        <w:rPr>
          <w:b/>
          <w:sz w:val="28"/>
          <w:szCs w:val="28"/>
        </w:rPr>
        <w:t>JUDGE</w:t>
      </w:r>
    </w:p>
    <w:p w14:paraId="31871F12" w14:textId="77777777" w:rsidR="00112D03" w:rsidRDefault="00112D03" w:rsidP="00112D03">
      <w:pPr>
        <w:spacing w:line="480" w:lineRule="auto"/>
        <w:ind w:left="360" w:hanging="360"/>
        <w:jc w:val="both"/>
        <w:rPr>
          <w:b/>
          <w:sz w:val="28"/>
          <w:szCs w:val="28"/>
        </w:rPr>
      </w:pPr>
    </w:p>
    <w:p w14:paraId="27BFBFF2" w14:textId="77777777" w:rsidR="00112D03" w:rsidRPr="004739B2" w:rsidRDefault="00112D03" w:rsidP="00112D03">
      <w:pPr>
        <w:spacing w:line="480" w:lineRule="auto"/>
        <w:ind w:left="360" w:hanging="360"/>
        <w:jc w:val="both"/>
        <w:rPr>
          <w:b/>
          <w:sz w:val="28"/>
          <w:szCs w:val="28"/>
        </w:rPr>
      </w:pPr>
    </w:p>
    <w:p w14:paraId="0233688E" w14:textId="41C407BF" w:rsidR="00112D03" w:rsidRDefault="00112D03" w:rsidP="00112D03">
      <w:pPr>
        <w:ind w:left="4320" w:hanging="4320"/>
        <w:rPr>
          <w:sz w:val="28"/>
          <w:szCs w:val="28"/>
        </w:rPr>
      </w:pPr>
      <w:r w:rsidRPr="004739B2">
        <w:rPr>
          <w:b/>
          <w:sz w:val="28"/>
          <w:szCs w:val="28"/>
        </w:rPr>
        <w:t xml:space="preserve">For the </w:t>
      </w:r>
      <w:r>
        <w:rPr>
          <w:b/>
          <w:sz w:val="28"/>
          <w:szCs w:val="28"/>
        </w:rPr>
        <w:t>Plaintiffs</w:t>
      </w:r>
      <w:r w:rsidRPr="004739B2">
        <w:rPr>
          <w:b/>
          <w:sz w:val="28"/>
          <w:szCs w:val="28"/>
        </w:rPr>
        <w:t>:</w:t>
      </w:r>
      <w:r>
        <w:rPr>
          <w:b/>
          <w:sz w:val="28"/>
          <w:szCs w:val="28"/>
        </w:rPr>
        <w:t xml:space="preserve">     </w:t>
      </w:r>
      <w:r w:rsidR="006A0CE5" w:rsidRPr="006A0CE5">
        <w:rPr>
          <w:bCs/>
          <w:sz w:val="28"/>
          <w:szCs w:val="28"/>
        </w:rPr>
        <w:t>L.M.A</w:t>
      </w:r>
      <w:r>
        <w:rPr>
          <w:b/>
          <w:sz w:val="28"/>
          <w:szCs w:val="28"/>
        </w:rPr>
        <w:t xml:space="preserve"> </w:t>
      </w:r>
      <w:r>
        <w:rPr>
          <w:sz w:val="28"/>
          <w:szCs w:val="28"/>
        </w:rPr>
        <w:t>Lephatsa</w:t>
      </w:r>
    </w:p>
    <w:p w14:paraId="093EC790" w14:textId="77777777" w:rsidR="00112D03" w:rsidRDefault="00112D03" w:rsidP="00112D03">
      <w:pPr>
        <w:ind w:left="4320" w:hanging="4320"/>
        <w:rPr>
          <w:b/>
          <w:sz w:val="28"/>
          <w:szCs w:val="28"/>
        </w:rPr>
      </w:pPr>
      <w:r>
        <w:rPr>
          <w:b/>
          <w:sz w:val="28"/>
          <w:szCs w:val="28"/>
        </w:rPr>
        <w:tab/>
      </w:r>
      <w:r>
        <w:rPr>
          <w:b/>
          <w:sz w:val="28"/>
          <w:szCs w:val="28"/>
        </w:rPr>
        <w:tab/>
      </w:r>
    </w:p>
    <w:p w14:paraId="487A86BA" w14:textId="77777777" w:rsidR="00112D03" w:rsidRPr="004739B2" w:rsidRDefault="00112D03" w:rsidP="00112D03">
      <w:pPr>
        <w:ind w:left="360" w:hanging="360"/>
        <w:rPr>
          <w:b/>
          <w:sz w:val="28"/>
          <w:szCs w:val="28"/>
        </w:rPr>
      </w:pPr>
    </w:p>
    <w:p w14:paraId="5C50735D" w14:textId="416AF51B" w:rsidR="00112D03" w:rsidRDefault="00112D03" w:rsidP="000927CA">
      <w:pPr>
        <w:ind w:left="4320" w:hanging="4320"/>
        <w:rPr>
          <w:sz w:val="28"/>
          <w:szCs w:val="28"/>
        </w:rPr>
      </w:pPr>
      <w:r w:rsidRPr="004739B2">
        <w:rPr>
          <w:b/>
          <w:sz w:val="28"/>
          <w:szCs w:val="28"/>
        </w:rPr>
        <w:t xml:space="preserve">For the </w:t>
      </w:r>
      <w:r>
        <w:rPr>
          <w:b/>
          <w:sz w:val="28"/>
          <w:szCs w:val="28"/>
        </w:rPr>
        <w:t>1</w:t>
      </w:r>
      <w:r w:rsidRPr="002C2267">
        <w:rPr>
          <w:b/>
          <w:sz w:val="28"/>
          <w:szCs w:val="28"/>
          <w:vertAlign w:val="superscript"/>
        </w:rPr>
        <w:t>st</w:t>
      </w:r>
      <w:r>
        <w:rPr>
          <w:b/>
          <w:sz w:val="28"/>
          <w:szCs w:val="28"/>
        </w:rPr>
        <w:t xml:space="preserve"> Respondent</w:t>
      </w:r>
      <w:r w:rsidRPr="004739B2">
        <w:rPr>
          <w:b/>
          <w:sz w:val="28"/>
          <w:szCs w:val="28"/>
        </w:rPr>
        <w:t>:</w:t>
      </w:r>
      <w:r>
        <w:rPr>
          <w:b/>
          <w:sz w:val="28"/>
          <w:szCs w:val="28"/>
        </w:rPr>
        <w:t xml:space="preserve">   </w:t>
      </w:r>
      <w:r w:rsidR="006A0CE5" w:rsidRPr="006A0CE5">
        <w:rPr>
          <w:bCs/>
          <w:sz w:val="28"/>
          <w:szCs w:val="28"/>
        </w:rPr>
        <w:t>M.</w:t>
      </w:r>
      <w:r w:rsidR="006A0CE5">
        <w:rPr>
          <w:b/>
          <w:sz w:val="28"/>
          <w:szCs w:val="28"/>
        </w:rPr>
        <w:t xml:space="preserve"> </w:t>
      </w:r>
      <w:r w:rsidR="000927CA">
        <w:rPr>
          <w:sz w:val="28"/>
          <w:szCs w:val="28"/>
        </w:rPr>
        <w:t>Taka</w:t>
      </w:r>
    </w:p>
    <w:sectPr w:rsidR="00112D03" w:rsidSect="00F23856">
      <w:footerReference w:type="defaul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2621E" w14:textId="77777777" w:rsidR="00C06CF5" w:rsidRDefault="00C06CF5" w:rsidP="00F23856">
      <w:r>
        <w:separator/>
      </w:r>
    </w:p>
  </w:endnote>
  <w:endnote w:type="continuationSeparator" w:id="0">
    <w:p w14:paraId="5E5B0A31" w14:textId="77777777" w:rsidR="00C06CF5" w:rsidRDefault="00C06CF5" w:rsidP="00F2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160828"/>
      <w:docPartObj>
        <w:docPartGallery w:val="Page Numbers (Bottom of Page)"/>
        <w:docPartUnique/>
      </w:docPartObj>
    </w:sdtPr>
    <w:sdtEndPr>
      <w:rPr>
        <w:noProof/>
      </w:rPr>
    </w:sdtEndPr>
    <w:sdtContent>
      <w:p w14:paraId="4A3B5902" w14:textId="65340051" w:rsidR="00F23856" w:rsidRDefault="00F238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BA0AF0" w14:textId="77777777" w:rsidR="00F23856" w:rsidRDefault="00F23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7A64" w14:textId="77777777" w:rsidR="00C06CF5" w:rsidRDefault="00C06CF5" w:rsidP="00F23856">
      <w:r>
        <w:separator/>
      </w:r>
    </w:p>
  </w:footnote>
  <w:footnote w:type="continuationSeparator" w:id="0">
    <w:p w14:paraId="1F8347AD" w14:textId="77777777" w:rsidR="00C06CF5" w:rsidRDefault="00C06CF5" w:rsidP="00F23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EBB"/>
    <w:multiLevelType w:val="multilevel"/>
    <w:tmpl w:val="5B6E1D9A"/>
    <w:lvl w:ilvl="0">
      <w:start w:val="1"/>
      <w:numFmt w:val="upperRoman"/>
      <w:lvlText w:val="%1."/>
      <w:lvlJc w:val="left"/>
      <w:pPr>
        <w:ind w:left="1080" w:hanging="720"/>
      </w:pPr>
    </w:lvl>
    <w:lvl w:ilvl="1">
      <w:start w:val="1"/>
      <w:numFmt w:val="decimal"/>
      <w:isLgl/>
      <w:lvlText w:val="%1.%2"/>
      <w:lvlJc w:val="left"/>
      <w:pPr>
        <w:ind w:left="3600" w:hanging="720"/>
      </w:pPr>
    </w:lvl>
    <w:lvl w:ilvl="2">
      <w:start w:val="1"/>
      <w:numFmt w:val="decimal"/>
      <w:isLgl/>
      <w:lvlText w:val="%1.%2.%3"/>
      <w:lvlJc w:val="left"/>
      <w:pPr>
        <w:ind w:left="6120" w:hanging="720"/>
      </w:pPr>
    </w:lvl>
    <w:lvl w:ilvl="3">
      <w:start w:val="1"/>
      <w:numFmt w:val="decimal"/>
      <w:isLgl/>
      <w:lvlText w:val="%1.%2.%3.%4"/>
      <w:lvlJc w:val="left"/>
      <w:pPr>
        <w:ind w:left="8640" w:hanging="720"/>
      </w:pPr>
    </w:lvl>
    <w:lvl w:ilvl="4">
      <w:start w:val="1"/>
      <w:numFmt w:val="decimal"/>
      <w:isLgl/>
      <w:lvlText w:val="%1.%2.%3.%4.%5"/>
      <w:lvlJc w:val="left"/>
      <w:pPr>
        <w:ind w:left="11520" w:hanging="1080"/>
      </w:pPr>
    </w:lvl>
    <w:lvl w:ilvl="5">
      <w:start w:val="1"/>
      <w:numFmt w:val="decimal"/>
      <w:isLgl/>
      <w:lvlText w:val="%1.%2.%3.%4.%5.%6"/>
      <w:lvlJc w:val="left"/>
      <w:pPr>
        <w:ind w:left="14040" w:hanging="1080"/>
      </w:pPr>
    </w:lvl>
    <w:lvl w:ilvl="6">
      <w:start w:val="1"/>
      <w:numFmt w:val="decimal"/>
      <w:isLgl/>
      <w:lvlText w:val="%1.%2.%3.%4.%5.%6.%7"/>
      <w:lvlJc w:val="left"/>
      <w:pPr>
        <w:ind w:left="16920" w:hanging="1440"/>
      </w:pPr>
    </w:lvl>
    <w:lvl w:ilvl="7">
      <w:start w:val="1"/>
      <w:numFmt w:val="decimal"/>
      <w:isLgl/>
      <w:lvlText w:val="%1.%2.%3.%4.%5.%6.%7.%8"/>
      <w:lvlJc w:val="left"/>
      <w:pPr>
        <w:ind w:left="19440" w:hanging="1440"/>
      </w:pPr>
    </w:lvl>
    <w:lvl w:ilvl="8">
      <w:start w:val="1"/>
      <w:numFmt w:val="decimal"/>
      <w:isLgl/>
      <w:lvlText w:val="%1.%2.%3.%4.%5.%6.%7.%8.%9"/>
      <w:lvlJc w:val="left"/>
      <w:pPr>
        <w:ind w:left="22320" w:hanging="1800"/>
      </w:pPr>
    </w:lvl>
  </w:abstractNum>
  <w:abstractNum w:abstractNumId="1" w15:restartNumberingAfterBreak="0">
    <w:nsid w:val="5EAB1F85"/>
    <w:multiLevelType w:val="hybridMultilevel"/>
    <w:tmpl w:val="C3DA2D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7A"/>
    <w:rsid w:val="000927CA"/>
    <w:rsid w:val="00112D03"/>
    <w:rsid w:val="0022118E"/>
    <w:rsid w:val="003106A8"/>
    <w:rsid w:val="003B5DC4"/>
    <w:rsid w:val="0052374C"/>
    <w:rsid w:val="00535143"/>
    <w:rsid w:val="005373AC"/>
    <w:rsid w:val="00570D4E"/>
    <w:rsid w:val="005C6B12"/>
    <w:rsid w:val="00603858"/>
    <w:rsid w:val="006A0CE5"/>
    <w:rsid w:val="006D2FD2"/>
    <w:rsid w:val="008650FA"/>
    <w:rsid w:val="008B7767"/>
    <w:rsid w:val="0090367A"/>
    <w:rsid w:val="009071F4"/>
    <w:rsid w:val="00927354"/>
    <w:rsid w:val="00950900"/>
    <w:rsid w:val="00AA626E"/>
    <w:rsid w:val="00B62459"/>
    <w:rsid w:val="00C06CF5"/>
    <w:rsid w:val="00C85E00"/>
    <w:rsid w:val="00C92A51"/>
    <w:rsid w:val="00CA267C"/>
    <w:rsid w:val="00CE0CB5"/>
    <w:rsid w:val="00D245B7"/>
    <w:rsid w:val="00E54F1F"/>
    <w:rsid w:val="00F238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9DEB"/>
  <w15:chartTrackingRefBased/>
  <w15:docId w15:val="{EA043394-63A3-4D03-8767-3CF931BE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36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7A"/>
    <w:pPr>
      <w:ind w:left="720"/>
      <w:contextualSpacing/>
    </w:pPr>
  </w:style>
  <w:style w:type="paragraph" w:styleId="Header">
    <w:name w:val="header"/>
    <w:basedOn w:val="Normal"/>
    <w:link w:val="HeaderChar"/>
    <w:uiPriority w:val="99"/>
    <w:unhideWhenUsed/>
    <w:rsid w:val="00F23856"/>
    <w:pPr>
      <w:tabs>
        <w:tab w:val="center" w:pos="4513"/>
        <w:tab w:val="right" w:pos="9026"/>
      </w:tabs>
    </w:pPr>
  </w:style>
  <w:style w:type="character" w:customStyle="1" w:styleId="HeaderChar">
    <w:name w:val="Header Char"/>
    <w:basedOn w:val="DefaultParagraphFont"/>
    <w:link w:val="Header"/>
    <w:uiPriority w:val="99"/>
    <w:rsid w:val="00F238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3856"/>
    <w:pPr>
      <w:tabs>
        <w:tab w:val="center" w:pos="4513"/>
        <w:tab w:val="right" w:pos="9026"/>
      </w:tabs>
    </w:pPr>
  </w:style>
  <w:style w:type="character" w:customStyle="1" w:styleId="FooterChar">
    <w:name w:val="Footer Char"/>
    <w:basedOn w:val="DefaultParagraphFont"/>
    <w:link w:val="Footer"/>
    <w:uiPriority w:val="99"/>
    <w:rsid w:val="00F2385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23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4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Maseketso Leokaoke</dc:creator>
  <cp:keywords/>
  <dc:description/>
  <cp:lastModifiedBy>Maseketso Leokaoke</cp:lastModifiedBy>
  <cp:revision>14</cp:revision>
  <cp:lastPrinted>2021-02-15T07:12:00Z</cp:lastPrinted>
  <dcterms:created xsi:type="dcterms:W3CDTF">2020-11-10T06:44:00Z</dcterms:created>
  <dcterms:modified xsi:type="dcterms:W3CDTF">2021-02-16T08:09:00Z</dcterms:modified>
</cp:coreProperties>
</file>