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BFD" w:rsidRDefault="00702BFD" w:rsidP="00604874">
      <w:pPr>
        <w:spacing w:after="0" w:line="240" w:lineRule="auto"/>
        <w:jc w:val="center"/>
        <w:rPr>
          <w:rFonts w:ascii="Times New Roman" w:hAnsi="Times New Roman" w:cs="Times New Roman"/>
          <w:b/>
          <w:sz w:val="28"/>
          <w:szCs w:val="28"/>
        </w:rPr>
      </w:pPr>
    </w:p>
    <w:p w:rsidR="008145F9" w:rsidRDefault="008145F9" w:rsidP="00604874">
      <w:pPr>
        <w:spacing w:after="0" w:line="240" w:lineRule="auto"/>
        <w:jc w:val="center"/>
        <w:rPr>
          <w:rFonts w:ascii="Times New Roman" w:hAnsi="Times New Roman" w:cs="Times New Roman"/>
          <w:b/>
          <w:sz w:val="28"/>
          <w:szCs w:val="28"/>
        </w:rPr>
      </w:pPr>
    </w:p>
    <w:p w:rsidR="008145F9" w:rsidRDefault="008145F9" w:rsidP="00604874">
      <w:pPr>
        <w:spacing w:after="0" w:line="240" w:lineRule="auto"/>
        <w:jc w:val="center"/>
        <w:rPr>
          <w:rFonts w:ascii="Times New Roman" w:hAnsi="Times New Roman" w:cs="Times New Roman"/>
          <w:b/>
          <w:sz w:val="28"/>
          <w:szCs w:val="28"/>
        </w:rPr>
      </w:pPr>
    </w:p>
    <w:p w:rsidR="008145F9" w:rsidRDefault="008145F9" w:rsidP="00604874">
      <w:pPr>
        <w:spacing w:after="0" w:line="240" w:lineRule="auto"/>
        <w:jc w:val="center"/>
        <w:rPr>
          <w:rFonts w:ascii="Times New Roman" w:hAnsi="Times New Roman" w:cs="Times New Roman"/>
          <w:b/>
          <w:sz w:val="28"/>
          <w:szCs w:val="28"/>
        </w:rPr>
      </w:pPr>
    </w:p>
    <w:p w:rsidR="00702BFD" w:rsidRDefault="00702BFD" w:rsidP="00604874">
      <w:pPr>
        <w:spacing w:after="0" w:line="240" w:lineRule="auto"/>
        <w:jc w:val="center"/>
        <w:rPr>
          <w:rFonts w:ascii="Times New Roman" w:hAnsi="Times New Roman" w:cs="Times New Roman"/>
          <w:b/>
          <w:sz w:val="28"/>
          <w:szCs w:val="28"/>
        </w:rPr>
      </w:pPr>
    </w:p>
    <w:p w:rsidR="00702BFD" w:rsidRDefault="00702BFD" w:rsidP="00604874">
      <w:pPr>
        <w:spacing w:after="0" w:line="240" w:lineRule="auto"/>
        <w:jc w:val="center"/>
        <w:rPr>
          <w:rFonts w:ascii="Times New Roman" w:hAnsi="Times New Roman" w:cs="Times New Roman"/>
          <w:b/>
          <w:sz w:val="28"/>
          <w:szCs w:val="28"/>
        </w:rPr>
      </w:pPr>
    </w:p>
    <w:p w:rsidR="00702BFD" w:rsidRDefault="00702BFD" w:rsidP="00604874">
      <w:pPr>
        <w:spacing w:after="0" w:line="240" w:lineRule="auto"/>
        <w:jc w:val="center"/>
        <w:rPr>
          <w:rFonts w:ascii="Times New Roman" w:hAnsi="Times New Roman" w:cs="Times New Roman"/>
          <w:b/>
          <w:sz w:val="28"/>
          <w:szCs w:val="28"/>
        </w:rPr>
      </w:pPr>
    </w:p>
    <w:p w:rsidR="00702BFD" w:rsidRDefault="00702BFD" w:rsidP="00604874">
      <w:pPr>
        <w:spacing w:after="0" w:line="240" w:lineRule="auto"/>
        <w:jc w:val="center"/>
        <w:rPr>
          <w:rFonts w:ascii="Times New Roman" w:hAnsi="Times New Roman" w:cs="Times New Roman"/>
          <w:b/>
          <w:sz w:val="28"/>
          <w:szCs w:val="28"/>
        </w:rPr>
      </w:pPr>
    </w:p>
    <w:p w:rsidR="00702BFD" w:rsidRDefault="00702BFD" w:rsidP="00604874">
      <w:pPr>
        <w:spacing w:after="0" w:line="240" w:lineRule="auto"/>
        <w:jc w:val="center"/>
        <w:rPr>
          <w:rFonts w:ascii="Times New Roman" w:hAnsi="Times New Roman" w:cs="Times New Roman"/>
          <w:b/>
          <w:sz w:val="28"/>
          <w:szCs w:val="28"/>
        </w:rPr>
      </w:pPr>
    </w:p>
    <w:p w:rsidR="00702BFD" w:rsidRDefault="00702BFD" w:rsidP="00604874">
      <w:pPr>
        <w:spacing w:after="0" w:line="240" w:lineRule="auto"/>
        <w:jc w:val="center"/>
        <w:rPr>
          <w:rFonts w:ascii="Times New Roman" w:hAnsi="Times New Roman" w:cs="Times New Roman"/>
          <w:b/>
          <w:sz w:val="28"/>
          <w:szCs w:val="28"/>
        </w:rPr>
      </w:pPr>
    </w:p>
    <w:p w:rsidR="00C46315" w:rsidRPr="00A0326F" w:rsidRDefault="00C46315" w:rsidP="00604874">
      <w:pPr>
        <w:spacing w:after="0" w:line="240" w:lineRule="auto"/>
        <w:jc w:val="center"/>
        <w:rPr>
          <w:rFonts w:ascii="Times New Roman" w:hAnsi="Times New Roman" w:cs="Times New Roman"/>
          <w:b/>
          <w:sz w:val="28"/>
          <w:szCs w:val="28"/>
        </w:rPr>
      </w:pPr>
      <w:r w:rsidRPr="00A0326F">
        <w:rPr>
          <w:rFonts w:ascii="Times New Roman" w:hAnsi="Times New Roman" w:cs="Times New Roman"/>
          <w:b/>
          <w:sz w:val="28"/>
          <w:szCs w:val="28"/>
        </w:rPr>
        <w:t>IN THE HIGH COURT OF LESOTHO</w:t>
      </w:r>
    </w:p>
    <w:p w:rsidR="00517129" w:rsidRPr="00A0326F" w:rsidRDefault="00517129" w:rsidP="00604874">
      <w:pPr>
        <w:spacing w:after="0" w:line="240" w:lineRule="auto"/>
        <w:jc w:val="center"/>
        <w:rPr>
          <w:rFonts w:ascii="Times New Roman" w:hAnsi="Times New Roman" w:cs="Times New Roman"/>
          <w:b/>
          <w:sz w:val="28"/>
          <w:szCs w:val="28"/>
        </w:rPr>
      </w:pPr>
      <w:r w:rsidRPr="00A0326F">
        <w:rPr>
          <w:rFonts w:ascii="Times New Roman" w:hAnsi="Times New Roman" w:cs="Times New Roman"/>
          <w:b/>
          <w:sz w:val="28"/>
          <w:szCs w:val="28"/>
        </w:rPr>
        <w:t>(COMMERCIAL DIVISION)</w:t>
      </w:r>
    </w:p>
    <w:p w:rsidR="00C46315" w:rsidRPr="00A0326F" w:rsidRDefault="00C46315" w:rsidP="00C46315">
      <w:pPr>
        <w:rPr>
          <w:rFonts w:ascii="Times New Roman" w:hAnsi="Times New Roman" w:cs="Times New Roman"/>
          <w:b/>
          <w:sz w:val="28"/>
          <w:szCs w:val="28"/>
        </w:rPr>
      </w:pPr>
    </w:p>
    <w:p w:rsidR="00C46315" w:rsidRPr="00A0326F" w:rsidRDefault="00C46315" w:rsidP="00952592">
      <w:pPr>
        <w:spacing w:after="0" w:line="480" w:lineRule="auto"/>
        <w:rPr>
          <w:rFonts w:ascii="Times New Roman" w:hAnsi="Times New Roman" w:cs="Times New Roman"/>
          <w:b/>
          <w:sz w:val="28"/>
          <w:szCs w:val="28"/>
        </w:rPr>
      </w:pPr>
      <w:r w:rsidRPr="00A0326F">
        <w:rPr>
          <w:rFonts w:ascii="Times New Roman" w:hAnsi="Times New Roman" w:cs="Times New Roman"/>
          <w:b/>
          <w:sz w:val="28"/>
          <w:szCs w:val="28"/>
        </w:rPr>
        <w:t>HEL</w:t>
      </w:r>
      <w:r w:rsidR="00A0326F">
        <w:rPr>
          <w:rFonts w:ascii="Times New Roman" w:hAnsi="Times New Roman" w:cs="Times New Roman"/>
          <w:b/>
          <w:sz w:val="28"/>
          <w:szCs w:val="28"/>
        </w:rPr>
        <w:t xml:space="preserve">D AT MASERU </w:t>
      </w:r>
      <w:r w:rsidR="00A0326F">
        <w:rPr>
          <w:rFonts w:ascii="Times New Roman" w:hAnsi="Times New Roman" w:cs="Times New Roman"/>
          <w:b/>
          <w:sz w:val="28"/>
          <w:szCs w:val="28"/>
        </w:rPr>
        <w:tab/>
      </w:r>
      <w:r w:rsidR="00A0326F">
        <w:rPr>
          <w:rFonts w:ascii="Times New Roman" w:hAnsi="Times New Roman" w:cs="Times New Roman"/>
          <w:b/>
          <w:sz w:val="28"/>
          <w:szCs w:val="28"/>
        </w:rPr>
        <w:tab/>
      </w:r>
      <w:r w:rsidR="00A0326F">
        <w:rPr>
          <w:rFonts w:ascii="Times New Roman" w:hAnsi="Times New Roman" w:cs="Times New Roman"/>
          <w:b/>
          <w:sz w:val="28"/>
          <w:szCs w:val="28"/>
        </w:rPr>
        <w:tab/>
      </w:r>
      <w:r w:rsidR="00A0326F">
        <w:rPr>
          <w:rFonts w:ascii="Times New Roman" w:hAnsi="Times New Roman" w:cs="Times New Roman"/>
          <w:b/>
          <w:sz w:val="28"/>
          <w:szCs w:val="28"/>
        </w:rPr>
        <w:tab/>
      </w:r>
      <w:r w:rsidR="00A0326F">
        <w:rPr>
          <w:rFonts w:ascii="Times New Roman" w:hAnsi="Times New Roman" w:cs="Times New Roman"/>
          <w:b/>
          <w:sz w:val="28"/>
          <w:szCs w:val="28"/>
        </w:rPr>
        <w:tab/>
      </w:r>
      <w:r w:rsidR="00A0326F">
        <w:rPr>
          <w:rFonts w:ascii="Times New Roman" w:hAnsi="Times New Roman" w:cs="Times New Roman"/>
          <w:b/>
          <w:sz w:val="28"/>
          <w:szCs w:val="28"/>
        </w:rPr>
        <w:tab/>
      </w:r>
      <w:r w:rsidR="008F45C8">
        <w:rPr>
          <w:rFonts w:ascii="Times New Roman" w:hAnsi="Times New Roman" w:cs="Times New Roman"/>
          <w:b/>
          <w:sz w:val="28"/>
          <w:szCs w:val="28"/>
        </w:rPr>
        <w:t xml:space="preserve">       </w:t>
      </w:r>
      <w:r w:rsidR="00517129" w:rsidRPr="00A0326F">
        <w:rPr>
          <w:rFonts w:ascii="Times New Roman" w:hAnsi="Times New Roman" w:cs="Times New Roman"/>
          <w:b/>
          <w:sz w:val="28"/>
          <w:szCs w:val="28"/>
        </w:rPr>
        <w:t>CCT/ 0421/ 2017</w:t>
      </w:r>
    </w:p>
    <w:p w:rsidR="00C46315" w:rsidRPr="00A0326F" w:rsidRDefault="00C46315" w:rsidP="00952592">
      <w:pPr>
        <w:spacing w:after="0" w:line="480" w:lineRule="auto"/>
        <w:rPr>
          <w:rFonts w:ascii="Times New Roman" w:hAnsi="Times New Roman" w:cs="Times New Roman"/>
          <w:b/>
          <w:sz w:val="28"/>
          <w:szCs w:val="28"/>
        </w:rPr>
      </w:pPr>
    </w:p>
    <w:p w:rsidR="00C46315" w:rsidRPr="00A0326F" w:rsidRDefault="00EE0825" w:rsidP="00952592">
      <w:pPr>
        <w:spacing w:after="0" w:line="480" w:lineRule="auto"/>
        <w:rPr>
          <w:rFonts w:ascii="Times New Roman" w:hAnsi="Times New Roman" w:cs="Times New Roman"/>
          <w:b/>
          <w:sz w:val="28"/>
          <w:szCs w:val="28"/>
        </w:rPr>
      </w:pPr>
      <w:r w:rsidRPr="00A0326F">
        <w:rPr>
          <w:rFonts w:ascii="Times New Roman" w:hAnsi="Times New Roman" w:cs="Times New Roman"/>
          <w:b/>
          <w:sz w:val="28"/>
          <w:szCs w:val="28"/>
        </w:rPr>
        <w:t>JEREMANE RAMATHEBANE</w:t>
      </w:r>
      <w:r w:rsidR="00C46315" w:rsidRPr="00A0326F">
        <w:rPr>
          <w:rFonts w:ascii="Times New Roman" w:hAnsi="Times New Roman" w:cs="Times New Roman"/>
          <w:b/>
          <w:sz w:val="28"/>
          <w:szCs w:val="28"/>
        </w:rPr>
        <w:tab/>
      </w:r>
      <w:r w:rsidR="00C46315" w:rsidRPr="00A0326F">
        <w:rPr>
          <w:rFonts w:ascii="Times New Roman" w:hAnsi="Times New Roman" w:cs="Times New Roman"/>
          <w:b/>
          <w:sz w:val="28"/>
          <w:szCs w:val="28"/>
        </w:rPr>
        <w:tab/>
      </w:r>
      <w:r w:rsidR="00C46315" w:rsidRPr="00A0326F">
        <w:rPr>
          <w:rFonts w:ascii="Times New Roman" w:hAnsi="Times New Roman" w:cs="Times New Roman"/>
          <w:b/>
          <w:sz w:val="28"/>
          <w:szCs w:val="28"/>
        </w:rPr>
        <w:tab/>
      </w:r>
      <w:r w:rsidR="00A0326F">
        <w:rPr>
          <w:rFonts w:ascii="Times New Roman" w:hAnsi="Times New Roman" w:cs="Times New Roman"/>
          <w:b/>
          <w:sz w:val="28"/>
          <w:szCs w:val="28"/>
        </w:rPr>
        <w:tab/>
      </w:r>
      <w:r w:rsidR="009E7BE3">
        <w:rPr>
          <w:rFonts w:ascii="Times New Roman" w:hAnsi="Times New Roman" w:cs="Times New Roman"/>
          <w:b/>
          <w:sz w:val="28"/>
          <w:szCs w:val="28"/>
        </w:rPr>
        <w:tab/>
      </w:r>
      <w:r w:rsidR="00C46315" w:rsidRPr="00A0326F">
        <w:rPr>
          <w:rFonts w:ascii="Times New Roman" w:hAnsi="Times New Roman" w:cs="Times New Roman"/>
          <w:b/>
          <w:sz w:val="28"/>
          <w:szCs w:val="28"/>
        </w:rPr>
        <w:t>APPLICANT</w:t>
      </w:r>
    </w:p>
    <w:p w:rsidR="00C46315" w:rsidRPr="00A0326F" w:rsidRDefault="00C46315" w:rsidP="00952592">
      <w:pPr>
        <w:spacing w:after="0" w:line="480" w:lineRule="auto"/>
        <w:rPr>
          <w:rFonts w:ascii="Times New Roman" w:hAnsi="Times New Roman" w:cs="Times New Roman"/>
          <w:b/>
          <w:sz w:val="28"/>
          <w:szCs w:val="28"/>
        </w:rPr>
      </w:pPr>
      <w:r w:rsidRPr="00A0326F">
        <w:rPr>
          <w:rFonts w:ascii="Times New Roman" w:hAnsi="Times New Roman" w:cs="Times New Roman"/>
          <w:b/>
          <w:sz w:val="28"/>
          <w:szCs w:val="28"/>
        </w:rPr>
        <w:t>AND</w:t>
      </w:r>
    </w:p>
    <w:p w:rsidR="00C46315" w:rsidRPr="00A0326F" w:rsidRDefault="00EE0825" w:rsidP="00952592">
      <w:pPr>
        <w:spacing w:after="0" w:line="480" w:lineRule="auto"/>
        <w:rPr>
          <w:rFonts w:ascii="Times New Roman" w:hAnsi="Times New Roman" w:cs="Times New Roman"/>
          <w:b/>
          <w:sz w:val="28"/>
          <w:szCs w:val="28"/>
        </w:rPr>
      </w:pPr>
      <w:r w:rsidRPr="00A0326F">
        <w:rPr>
          <w:rFonts w:ascii="Times New Roman" w:hAnsi="Times New Roman" w:cs="Times New Roman"/>
          <w:b/>
          <w:sz w:val="28"/>
          <w:szCs w:val="28"/>
        </w:rPr>
        <w:t xml:space="preserve">NEDBANK </w:t>
      </w:r>
      <w:r w:rsidR="00016F2E" w:rsidRPr="00A0326F">
        <w:rPr>
          <w:rFonts w:ascii="Times New Roman" w:hAnsi="Times New Roman" w:cs="Times New Roman"/>
          <w:b/>
          <w:sz w:val="28"/>
          <w:szCs w:val="28"/>
        </w:rPr>
        <w:t>LESOTHO LTD</w:t>
      </w:r>
      <w:r w:rsidR="00C46315" w:rsidRPr="00A0326F">
        <w:rPr>
          <w:rFonts w:ascii="Times New Roman" w:hAnsi="Times New Roman" w:cs="Times New Roman"/>
          <w:b/>
          <w:sz w:val="28"/>
          <w:szCs w:val="28"/>
        </w:rPr>
        <w:tab/>
      </w:r>
      <w:r w:rsidR="00C46315" w:rsidRPr="00A0326F">
        <w:rPr>
          <w:rFonts w:ascii="Times New Roman" w:hAnsi="Times New Roman" w:cs="Times New Roman"/>
          <w:b/>
          <w:sz w:val="28"/>
          <w:szCs w:val="28"/>
        </w:rPr>
        <w:tab/>
      </w:r>
      <w:r w:rsidR="00C46315" w:rsidRPr="00A0326F">
        <w:rPr>
          <w:rFonts w:ascii="Times New Roman" w:hAnsi="Times New Roman" w:cs="Times New Roman"/>
          <w:b/>
          <w:sz w:val="28"/>
          <w:szCs w:val="28"/>
        </w:rPr>
        <w:tab/>
      </w:r>
      <w:r w:rsidR="00C46315" w:rsidRPr="00A0326F">
        <w:rPr>
          <w:rFonts w:ascii="Times New Roman" w:hAnsi="Times New Roman" w:cs="Times New Roman"/>
          <w:b/>
          <w:sz w:val="28"/>
          <w:szCs w:val="28"/>
        </w:rPr>
        <w:tab/>
      </w:r>
      <w:r w:rsidR="008F45C8">
        <w:rPr>
          <w:rFonts w:ascii="Times New Roman" w:hAnsi="Times New Roman" w:cs="Times New Roman"/>
          <w:b/>
          <w:sz w:val="28"/>
          <w:szCs w:val="28"/>
        </w:rPr>
        <w:tab/>
      </w:r>
      <w:r w:rsidR="00C46315" w:rsidRPr="00A0326F">
        <w:rPr>
          <w:rFonts w:ascii="Times New Roman" w:hAnsi="Times New Roman" w:cs="Times New Roman"/>
          <w:b/>
          <w:sz w:val="28"/>
          <w:szCs w:val="28"/>
        </w:rPr>
        <w:t>1</w:t>
      </w:r>
      <w:r w:rsidR="00C46315" w:rsidRPr="00A0326F">
        <w:rPr>
          <w:rFonts w:ascii="Times New Roman" w:hAnsi="Times New Roman" w:cs="Times New Roman"/>
          <w:b/>
          <w:sz w:val="28"/>
          <w:szCs w:val="28"/>
          <w:vertAlign w:val="superscript"/>
        </w:rPr>
        <w:t>ST</w:t>
      </w:r>
      <w:r w:rsidR="00C46315" w:rsidRPr="00A0326F">
        <w:rPr>
          <w:rFonts w:ascii="Times New Roman" w:hAnsi="Times New Roman" w:cs="Times New Roman"/>
          <w:b/>
          <w:sz w:val="28"/>
          <w:szCs w:val="28"/>
        </w:rPr>
        <w:t xml:space="preserve"> RESPONDENT</w:t>
      </w:r>
    </w:p>
    <w:p w:rsidR="00C46315" w:rsidRPr="00A0326F" w:rsidRDefault="00EE0825" w:rsidP="00952592">
      <w:pPr>
        <w:spacing w:after="0" w:line="480" w:lineRule="auto"/>
        <w:rPr>
          <w:rFonts w:ascii="Times New Roman" w:hAnsi="Times New Roman" w:cs="Times New Roman"/>
          <w:b/>
          <w:sz w:val="28"/>
          <w:szCs w:val="28"/>
        </w:rPr>
      </w:pPr>
      <w:r w:rsidRPr="00A0326F">
        <w:rPr>
          <w:rFonts w:ascii="Times New Roman" w:hAnsi="Times New Roman" w:cs="Times New Roman"/>
          <w:b/>
          <w:sz w:val="28"/>
          <w:szCs w:val="28"/>
        </w:rPr>
        <w:t>THE DEPUTY SHERIFF (Mr</w:t>
      </w:r>
      <w:r w:rsidR="00B57465">
        <w:rPr>
          <w:rFonts w:ascii="Times New Roman" w:hAnsi="Times New Roman" w:cs="Times New Roman"/>
          <w:b/>
          <w:sz w:val="28"/>
          <w:szCs w:val="28"/>
        </w:rPr>
        <w:t xml:space="preserve"> </w:t>
      </w:r>
      <w:r w:rsidR="006C7873">
        <w:rPr>
          <w:rFonts w:ascii="Times New Roman" w:hAnsi="Times New Roman" w:cs="Times New Roman"/>
          <w:b/>
          <w:sz w:val="28"/>
          <w:szCs w:val="28"/>
        </w:rPr>
        <w:t>M</w:t>
      </w:r>
      <w:r w:rsidRPr="00A0326F">
        <w:rPr>
          <w:rFonts w:ascii="Times New Roman" w:hAnsi="Times New Roman" w:cs="Times New Roman"/>
          <w:b/>
          <w:sz w:val="28"/>
          <w:szCs w:val="28"/>
        </w:rPr>
        <w:t xml:space="preserve">okhothu)   </w:t>
      </w:r>
      <w:r w:rsidR="008F45C8">
        <w:rPr>
          <w:rFonts w:ascii="Times New Roman" w:hAnsi="Times New Roman" w:cs="Times New Roman"/>
          <w:b/>
          <w:sz w:val="28"/>
          <w:szCs w:val="28"/>
        </w:rPr>
        <w:tab/>
      </w:r>
      <w:r w:rsidR="008F45C8">
        <w:rPr>
          <w:rFonts w:ascii="Times New Roman" w:hAnsi="Times New Roman" w:cs="Times New Roman"/>
          <w:b/>
          <w:sz w:val="28"/>
          <w:szCs w:val="28"/>
        </w:rPr>
        <w:tab/>
      </w:r>
      <w:r w:rsidR="00C46315" w:rsidRPr="00A0326F">
        <w:rPr>
          <w:rFonts w:ascii="Times New Roman" w:hAnsi="Times New Roman" w:cs="Times New Roman"/>
          <w:b/>
          <w:sz w:val="28"/>
          <w:szCs w:val="28"/>
        </w:rPr>
        <w:t>2</w:t>
      </w:r>
      <w:r w:rsidR="00C46315" w:rsidRPr="00A0326F">
        <w:rPr>
          <w:rFonts w:ascii="Times New Roman" w:hAnsi="Times New Roman" w:cs="Times New Roman"/>
          <w:b/>
          <w:sz w:val="28"/>
          <w:szCs w:val="28"/>
          <w:vertAlign w:val="superscript"/>
        </w:rPr>
        <w:t>ND</w:t>
      </w:r>
      <w:r w:rsidR="00C46315" w:rsidRPr="00A0326F">
        <w:rPr>
          <w:rFonts w:ascii="Times New Roman" w:hAnsi="Times New Roman" w:cs="Times New Roman"/>
          <w:b/>
          <w:sz w:val="28"/>
          <w:szCs w:val="28"/>
        </w:rPr>
        <w:t xml:space="preserve"> RESPONDENT</w:t>
      </w:r>
    </w:p>
    <w:p w:rsidR="00C46315" w:rsidRDefault="00823A87" w:rsidP="00952592">
      <w:pPr>
        <w:spacing w:after="0" w:line="480" w:lineRule="auto"/>
        <w:rPr>
          <w:rFonts w:ascii="Times New Roman" w:hAnsi="Times New Roman" w:cs="Times New Roman"/>
          <w:bCs/>
          <w:sz w:val="28"/>
          <w:szCs w:val="28"/>
        </w:rPr>
      </w:pPr>
      <w:r>
        <w:rPr>
          <w:rFonts w:ascii="Times New Roman" w:hAnsi="Times New Roman" w:cs="Times New Roman"/>
          <w:b/>
          <w:sz w:val="28"/>
          <w:szCs w:val="28"/>
        </w:rPr>
        <w:t xml:space="preserve">Neutral Citation: </w:t>
      </w:r>
      <w:r w:rsidRPr="00823A87">
        <w:rPr>
          <w:rFonts w:ascii="Times New Roman" w:hAnsi="Times New Roman" w:cs="Times New Roman"/>
          <w:bCs/>
          <w:sz w:val="28"/>
          <w:szCs w:val="28"/>
        </w:rPr>
        <w:t xml:space="preserve">Jeremane Ramathebane v Nedbank Lesotho Ltd and </w:t>
      </w:r>
      <w:r w:rsidR="00CF214F">
        <w:rPr>
          <w:rFonts w:ascii="Times New Roman" w:hAnsi="Times New Roman" w:cs="Times New Roman"/>
          <w:bCs/>
          <w:sz w:val="28"/>
          <w:szCs w:val="28"/>
        </w:rPr>
        <w:t xml:space="preserve">another </w:t>
      </w:r>
      <w:r w:rsidR="006C7873">
        <w:rPr>
          <w:rFonts w:ascii="Times New Roman" w:hAnsi="Times New Roman" w:cs="Times New Roman"/>
          <w:bCs/>
          <w:sz w:val="28"/>
          <w:szCs w:val="28"/>
        </w:rPr>
        <w:t>CCT/0421/2017 [2021] LSHC</w:t>
      </w:r>
      <w:r w:rsidR="00FE4B76">
        <w:rPr>
          <w:rFonts w:ascii="Times New Roman" w:hAnsi="Times New Roman" w:cs="Times New Roman"/>
          <w:bCs/>
          <w:sz w:val="28"/>
          <w:szCs w:val="28"/>
        </w:rPr>
        <w:t xml:space="preserve"> 148</w:t>
      </w:r>
      <w:r w:rsidR="006C7873">
        <w:rPr>
          <w:rFonts w:ascii="Times New Roman" w:hAnsi="Times New Roman" w:cs="Times New Roman"/>
          <w:bCs/>
          <w:sz w:val="28"/>
          <w:szCs w:val="28"/>
        </w:rPr>
        <w:t xml:space="preserve"> COM (10</w:t>
      </w:r>
      <w:r w:rsidR="006C7873" w:rsidRPr="006C7873">
        <w:rPr>
          <w:rFonts w:ascii="Times New Roman" w:hAnsi="Times New Roman" w:cs="Times New Roman"/>
          <w:bCs/>
          <w:sz w:val="28"/>
          <w:szCs w:val="28"/>
          <w:vertAlign w:val="superscript"/>
        </w:rPr>
        <w:t>th</w:t>
      </w:r>
      <w:r w:rsidR="006C7873">
        <w:rPr>
          <w:rFonts w:ascii="Times New Roman" w:hAnsi="Times New Roman" w:cs="Times New Roman"/>
          <w:bCs/>
          <w:sz w:val="28"/>
          <w:szCs w:val="28"/>
        </w:rPr>
        <w:t xml:space="preserve"> December, 2021)</w:t>
      </w:r>
    </w:p>
    <w:p w:rsidR="00DE0AC8" w:rsidRPr="00823A87" w:rsidRDefault="00DE0AC8" w:rsidP="00952592">
      <w:pPr>
        <w:spacing w:after="0" w:line="480" w:lineRule="auto"/>
        <w:rPr>
          <w:rFonts w:ascii="Times New Roman" w:hAnsi="Times New Roman" w:cs="Times New Roman"/>
          <w:bCs/>
          <w:sz w:val="28"/>
          <w:szCs w:val="28"/>
          <w:u w:val="single"/>
        </w:rPr>
      </w:pPr>
    </w:p>
    <w:p w:rsidR="00C46315" w:rsidRPr="00A0326F" w:rsidRDefault="00C67166" w:rsidP="00DE0AC8">
      <w:pPr>
        <w:jc w:val="center"/>
        <w:rPr>
          <w:rFonts w:ascii="Times New Roman" w:hAnsi="Times New Roman" w:cs="Times New Roman"/>
          <w:b/>
          <w:sz w:val="28"/>
          <w:szCs w:val="28"/>
        </w:rPr>
      </w:pPr>
      <w:r w:rsidRPr="00A0326F">
        <w:rPr>
          <w:rFonts w:ascii="Times New Roman" w:hAnsi="Times New Roman" w:cs="Times New Roman"/>
          <w:b/>
          <w:sz w:val="28"/>
          <w:szCs w:val="28"/>
        </w:rPr>
        <w:t>JUDGEMENT</w:t>
      </w:r>
    </w:p>
    <w:p w:rsidR="00C46315" w:rsidRPr="00A0326F" w:rsidRDefault="00C46315" w:rsidP="00C46315">
      <w:pPr>
        <w:rPr>
          <w:rFonts w:ascii="Times New Roman" w:hAnsi="Times New Roman" w:cs="Times New Roman"/>
          <w:b/>
          <w:sz w:val="28"/>
          <w:szCs w:val="28"/>
        </w:rPr>
      </w:pPr>
    </w:p>
    <w:p w:rsidR="00FE4B76" w:rsidRPr="001527C3" w:rsidRDefault="00EE0825" w:rsidP="00C46315">
      <w:pPr>
        <w:rPr>
          <w:rFonts w:ascii="Times New Roman" w:hAnsi="Times New Roman" w:cs="Times New Roman"/>
          <w:bCs/>
          <w:sz w:val="28"/>
          <w:szCs w:val="28"/>
        </w:rPr>
      </w:pPr>
      <w:r w:rsidRPr="001527C3">
        <w:rPr>
          <w:rFonts w:ascii="Times New Roman" w:hAnsi="Times New Roman" w:cs="Times New Roman"/>
          <w:bCs/>
          <w:sz w:val="28"/>
          <w:szCs w:val="28"/>
        </w:rPr>
        <w:t xml:space="preserve">CORUM: </w:t>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Pr="001527C3">
        <w:rPr>
          <w:rFonts w:ascii="Times New Roman" w:hAnsi="Times New Roman" w:cs="Times New Roman"/>
          <w:bCs/>
          <w:sz w:val="28"/>
          <w:szCs w:val="28"/>
        </w:rPr>
        <w:tab/>
      </w:r>
      <w:r w:rsidR="008F45C8" w:rsidRPr="001527C3">
        <w:rPr>
          <w:rFonts w:ascii="Times New Roman" w:hAnsi="Times New Roman" w:cs="Times New Roman"/>
          <w:bCs/>
          <w:sz w:val="28"/>
          <w:szCs w:val="28"/>
        </w:rPr>
        <w:tab/>
      </w:r>
      <w:r w:rsidR="008F45C8" w:rsidRPr="001527C3">
        <w:rPr>
          <w:rFonts w:ascii="Times New Roman" w:hAnsi="Times New Roman" w:cs="Times New Roman"/>
          <w:bCs/>
          <w:sz w:val="28"/>
          <w:szCs w:val="28"/>
        </w:rPr>
        <w:tab/>
      </w:r>
      <w:r w:rsidR="008F45C8" w:rsidRPr="001527C3">
        <w:rPr>
          <w:rFonts w:ascii="Times New Roman" w:hAnsi="Times New Roman" w:cs="Times New Roman"/>
          <w:bCs/>
          <w:sz w:val="28"/>
          <w:szCs w:val="28"/>
        </w:rPr>
        <w:tab/>
      </w:r>
      <w:r w:rsidRPr="001527C3">
        <w:rPr>
          <w:rFonts w:ascii="Times New Roman" w:hAnsi="Times New Roman" w:cs="Times New Roman"/>
          <w:bCs/>
          <w:sz w:val="28"/>
          <w:szCs w:val="28"/>
        </w:rPr>
        <w:t>M</w:t>
      </w:r>
      <w:r w:rsidR="008F45C8" w:rsidRPr="001527C3">
        <w:rPr>
          <w:rFonts w:ascii="Times New Roman" w:hAnsi="Times New Roman" w:cs="Times New Roman"/>
          <w:bCs/>
          <w:sz w:val="28"/>
          <w:szCs w:val="28"/>
        </w:rPr>
        <w:t>ATHABA J</w:t>
      </w:r>
    </w:p>
    <w:p w:rsidR="00C46315" w:rsidRPr="001527C3" w:rsidRDefault="00C46315" w:rsidP="001527C3">
      <w:pPr>
        <w:tabs>
          <w:tab w:val="left" w:pos="5385"/>
        </w:tabs>
        <w:rPr>
          <w:rFonts w:ascii="Times New Roman" w:hAnsi="Times New Roman" w:cs="Times New Roman"/>
          <w:bCs/>
          <w:sz w:val="28"/>
          <w:szCs w:val="28"/>
        </w:rPr>
      </w:pPr>
      <w:r w:rsidRPr="001527C3">
        <w:rPr>
          <w:rFonts w:ascii="Times New Roman" w:hAnsi="Times New Roman" w:cs="Times New Roman"/>
          <w:bCs/>
          <w:sz w:val="28"/>
          <w:szCs w:val="28"/>
        </w:rPr>
        <w:t xml:space="preserve">DATE OF HEARING </w:t>
      </w:r>
      <w:r w:rsidRPr="001527C3">
        <w:rPr>
          <w:rFonts w:ascii="Times New Roman" w:hAnsi="Times New Roman" w:cs="Times New Roman"/>
          <w:bCs/>
          <w:sz w:val="28"/>
          <w:szCs w:val="28"/>
        </w:rPr>
        <w:tab/>
      </w:r>
      <w:r w:rsidR="008F45C8" w:rsidRPr="001527C3">
        <w:rPr>
          <w:rFonts w:ascii="Times New Roman" w:hAnsi="Times New Roman" w:cs="Times New Roman"/>
          <w:bCs/>
          <w:sz w:val="28"/>
          <w:szCs w:val="28"/>
        </w:rPr>
        <w:tab/>
      </w:r>
      <w:r w:rsidR="008F45C8" w:rsidRPr="001527C3">
        <w:rPr>
          <w:rFonts w:ascii="Times New Roman" w:hAnsi="Times New Roman" w:cs="Times New Roman"/>
          <w:bCs/>
          <w:sz w:val="28"/>
          <w:szCs w:val="28"/>
        </w:rPr>
        <w:tab/>
      </w:r>
      <w:r w:rsidR="008F45C8" w:rsidRPr="008F45C8">
        <w:rPr>
          <w:rFonts w:ascii="Times New Roman" w:hAnsi="Times New Roman" w:cs="Times New Roman"/>
          <w:bCs/>
          <w:sz w:val="28"/>
          <w:szCs w:val="28"/>
        </w:rPr>
        <w:t>1</w:t>
      </w:r>
      <w:r w:rsidR="008F45C8" w:rsidRPr="008F45C8">
        <w:rPr>
          <w:rFonts w:ascii="Times New Roman" w:hAnsi="Times New Roman" w:cs="Times New Roman"/>
          <w:bCs/>
          <w:sz w:val="28"/>
          <w:szCs w:val="28"/>
          <w:vertAlign w:val="superscript"/>
        </w:rPr>
        <w:t xml:space="preserve">st </w:t>
      </w:r>
      <w:r w:rsidR="008F45C8" w:rsidRPr="001527C3">
        <w:rPr>
          <w:rFonts w:ascii="Times New Roman" w:hAnsi="Times New Roman" w:cs="Times New Roman"/>
          <w:bCs/>
          <w:sz w:val="28"/>
          <w:szCs w:val="28"/>
        </w:rPr>
        <w:t>December 2021</w:t>
      </w:r>
    </w:p>
    <w:p w:rsidR="00C46315" w:rsidRPr="001527C3" w:rsidRDefault="00C46315" w:rsidP="00C46315">
      <w:pPr>
        <w:rPr>
          <w:rFonts w:ascii="Times New Roman" w:hAnsi="Times New Roman" w:cs="Times New Roman"/>
          <w:bCs/>
          <w:sz w:val="28"/>
          <w:szCs w:val="28"/>
        </w:rPr>
      </w:pPr>
      <w:r w:rsidRPr="001527C3">
        <w:rPr>
          <w:rFonts w:ascii="Times New Roman" w:hAnsi="Times New Roman" w:cs="Times New Roman"/>
          <w:bCs/>
          <w:sz w:val="28"/>
          <w:szCs w:val="28"/>
        </w:rPr>
        <w:t>DATE OF RULING:</w:t>
      </w:r>
      <w:r w:rsidRPr="00A0326F">
        <w:rPr>
          <w:rFonts w:ascii="Times New Roman" w:hAnsi="Times New Roman" w:cs="Times New Roman"/>
          <w:b/>
          <w:sz w:val="28"/>
          <w:szCs w:val="28"/>
        </w:rPr>
        <w:t xml:space="preserve"> </w:t>
      </w:r>
      <w:r w:rsidR="0032746E" w:rsidRPr="00A0326F">
        <w:rPr>
          <w:rFonts w:ascii="Times New Roman" w:hAnsi="Times New Roman" w:cs="Times New Roman"/>
          <w:b/>
          <w:sz w:val="28"/>
          <w:szCs w:val="28"/>
        </w:rPr>
        <w:t xml:space="preserve">                                                     </w:t>
      </w:r>
      <w:r w:rsidR="008F45C8">
        <w:rPr>
          <w:rFonts w:ascii="Times New Roman" w:hAnsi="Times New Roman" w:cs="Times New Roman"/>
          <w:b/>
          <w:sz w:val="28"/>
          <w:szCs w:val="28"/>
        </w:rPr>
        <w:tab/>
      </w:r>
      <w:r w:rsidR="008F45C8" w:rsidRPr="001527C3">
        <w:rPr>
          <w:rFonts w:ascii="Times New Roman" w:hAnsi="Times New Roman" w:cs="Times New Roman"/>
          <w:bCs/>
          <w:sz w:val="28"/>
          <w:szCs w:val="28"/>
        </w:rPr>
        <w:t>10</w:t>
      </w:r>
      <w:r w:rsidR="008F45C8" w:rsidRPr="001527C3">
        <w:rPr>
          <w:rFonts w:ascii="Times New Roman" w:hAnsi="Times New Roman" w:cs="Times New Roman"/>
          <w:bCs/>
          <w:sz w:val="28"/>
          <w:szCs w:val="28"/>
          <w:vertAlign w:val="superscript"/>
        </w:rPr>
        <w:t>th</w:t>
      </w:r>
      <w:r w:rsidR="008F45C8" w:rsidRPr="001527C3">
        <w:rPr>
          <w:rFonts w:ascii="Times New Roman" w:hAnsi="Times New Roman" w:cs="Times New Roman"/>
          <w:bCs/>
          <w:sz w:val="28"/>
          <w:szCs w:val="28"/>
        </w:rPr>
        <w:t xml:space="preserve"> December 2021</w:t>
      </w:r>
    </w:p>
    <w:p w:rsidR="00702BFD" w:rsidRDefault="00702BFD" w:rsidP="00A0326F">
      <w:pPr>
        <w:jc w:val="both"/>
        <w:rPr>
          <w:rFonts w:ascii="Times New Roman" w:hAnsi="Times New Roman" w:cs="Times New Roman"/>
          <w:b/>
          <w:i/>
          <w:iCs/>
          <w:sz w:val="28"/>
          <w:szCs w:val="28"/>
        </w:rPr>
      </w:pPr>
    </w:p>
    <w:p w:rsidR="00C46315" w:rsidRPr="00A0326F" w:rsidRDefault="00C46315" w:rsidP="00A0326F">
      <w:pPr>
        <w:jc w:val="both"/>
        <w:rPr>
          <w:rFonts w:ascii="Times New Roman" w:hAnsi="Times New Roman" w:cs="Times New Roman"/>
          <w:b/>
          <w:i/>
          <w:iCs/>
          <w:sz w:val="28"/>
          <w:szCs w:val="28"/>
        </w:rPr>
      </w:pPr>
      <w:r w:rsidRPr="00A0326F">
        <w:rPr>
          <w:rFonts w:ascii="Times New Roman" w:hAnsi="Times New Roman" w:cs="Times New Roman"/>
          <w:b/>
          <w:i/>
          <w:iCs/>
          <w:sz w:val="28"/>
          <w:szCs w:val="28"/>
        </w:rPr>
        <w:lastRenderedPageBreak/>
        <w:t>Summary</w:t>
      </w:r>
    </w:p>
    <w:p w:rsidR="00C46315" w:rsidRDefault="000D7300" w:rsidP="00A0326F">
      <w:pPr>
        <w:jc w:val="both"/>
        <w:rPr>
          <w:rFonts w:ascii="Times New Roman" w:hAnsi="Times New Roman" w:cs="Times New Roman"/>
          <w:bCs/>
          <w:i/>
          <w:iCs/>
          <w:sz w:val="28"/>
          <w:szCs w:val="28"/>
        </w:rPr>
      </w:pPr>
      <w:r w:rsidRPr="00A0326F">
        <w:rPr>
          <w:rFonts w:ascii="Times New Roman" w:hAnsi="Times New Roman" w:cs="Times New Roman"/>
          <w:bCs/>
          <w:i/>
          <w:iCs/>
          <w:sz w:val="28"/>
          <w:szCs w:val="28"/>
        </w:rPr>
        <w:t>Rescission</w:t>
      </w:r>
      <w:r w:rsidR="00527480" w:rsidRPr="00A0326F">
        <w:rPr>
          <w:rFonts w:ascii="Times New Roman" w:hAnsi="Times New Roman" w:cs="Times New Roman"/>
          <w:bCs/>
          <w:i/>
          <w:iCs/>
          <w:sz w:val="28"/>
          <w:szCs w:val="28"/>
        </w:rPr>
        <w:t xml:space="preserve"> of summary </w:t>
      </w:r>
      <w:r w:rsidRPr="00A0326F">
        <w:rPr>
          <w:rFonts w:ascii="Times New Roman" w:hAnsi="Times New Roman" w:cs="Times New Roman"/>
          <w:bCs/>
          <w:i/>
          <w:iCs/>
          <w:sz w:val="28"/>
          <w:szCs w:val="28"/>
        </w:rPr>
        <w:t>judgment</w:t>
      </w:r>
      <w:r w:rsidR="00527480" w:rsidRPr="00A0326F">
        <w:rPr>
          <w:rFonts w:ascii="Times New Roman" w:hAnsi="Times New Roman" w:cs="Times New Roman"/>
          <w:bCs/>
          <w:i/>
          <w:iCs/>
          <w:sz w:val="28"/>
          <w:szCs w:val="28"/>
        </w:rPr>
        <w:t xml:space="preserve">- </w:t>
      </w:r>
      <w:r w:rsidR="004A6184" w:rsidRPr="00A0326F">
        <w:rPr>
          <w:rFonts w:ascii="Times New Roman" w:hAnsi="Times New Roman" w:cs="Times New Roman"/>
          <w:bCs/>
          <w:i/>
          <w:iCs/>
          <w:sz w:val="28"/>
          <w:szCs w:val="28"/>
        </w:rPr>
        <w:t>Rule 45(1</w:t>
      </w:r>
      <w:r w:rsidRPr="00A0326F">
        <w:rPr>
          <w:rFonts w:ascii="Times New Roman" w:hAnsi="Times New Roman" w:cs="Times New Roman"/>
          <w:bCs/>
          <w:i/>
          <w:iCs/>
          <w:sz w:val="28"/>
          <w:szCs w:val="28"/>
        </w:rPr>
        <w:t>)(</w:t>
      </w:r>
      <w:r w:rsidR="004A6184" w:rsidRPr="00A0326F">
        <w:rPr>
          <w:rFonts w:ascii="Times New Roman" w:hAnsi="Times New Roman" w:cs="Times New Roman"/>
          <w:bCs/>
          <w:i/>
          <w:iCs/>
          <w:sz w:val="28"/>
          <w:szCs w:val="28"/>
        </w:rPr>
        <w:t>a</w:t>
      </w:r>
      <w:r w:rsidRPr="00A0326F">
        <w:rPr>
          <w:rFonts w:ascii="Times New Roman" w:hAnsi="Times New Roman" w:cs="Times New Roman"/>
          <w:bCs/>
          <w:i/>
          <w:iCs/>
          <w:sz w:val="28"/>
          <w:szCs w:val="28"/>
        </w:rPr>
        <w:t>) -</w:t>
      </w:r>
      <w:r w:rsidR="00FE2F0C">
        <w:rPr>
          <w:rFonts w:ascii="Times New Roman" w:hAnsi="Times New Roman" w:cs="Times New Roman"/>
          <w:bCs/>
          <w:i/>
          <w:iCs/>
          <w:sz w:val="28"/>
          <w:szCs w:val="28"/>
        </w:rPr>
        <w:t>J</w:t>
      </w:r>
      <w:r w:rsidRPr="00A0326F">
        <w:rPr>
          <w:rFonts w:ascii="Times New Roman" w:hAnsi="Times New Roman" w:cs="Times New Roman"/>
          <w:bCs/>
          <w:i/>
          <w:iCs/>
          <w:sz w:val="28"/>
          <w:szCs w:val="28"/>
        </w:rPr>
        <w:t>udgment</w:t>
      </w:r>
      <w:r w:rsidR="00BB4104" w:rsidRPr="00A0326F">
        <w:rPr>
          <w:rFonts w:ascii="Times New Roman" w:hAnsi="Times New Roman" w:cs="Times New Roman"/>
          <w:bCs/>
          <w:i/>
          <w:iCs/>
          <w:sz w:val="28"/>
          <w:szCs w:val="28"/>
        </w:rPr>
        <w:t xml:space="preserve"> granted in the absence of the applicant</w:t>
      </w:r>
      <w:r w:rsidR="00FE2F0C">
        <w:rPr>
          <w:rFonts w:ascii="Times New Roman" w:hAnsi="Times New Roman" w:cs="Times New Roman"/>
          <w:bCs/>
          <w:i/>
          <w:iCs/>
          <w:sz w:val="28"/>
          <w:szCs w:val="28"/>
        </w:rPr>
        <w:t xml:space="preserve"> in circumstances where the applicant had not filed affidavit to resist summary judgment application </w:t>
      </w:r>
      <w:r w:rsidR="00BB4104" w:rsidRPr="00A0326F">
        <w:rPr>
          <w:rFonts w:ascii="Times New Roman" w:hAnsi="Times New Roman" w:cs="Times New Roman"/>
          <w:bCs/>
          <w:i/>
          <w:iCs/>
          <w:sz w:val="28"/>
          <w:szCs w:val="28"/>
        </w:rPr>
        <w:t xml:space="preserve">- </w:t>
      </w:r>
      <w:r w:rsidR="00FE2F0C">
        <w:rPr>
          <w:rFonts w:ascii="Times New Roman" w:hAnsi="Times New Roman" w:cs="Times New Roman"/>
          <w:bCs/>
          <w:i/>
          <w:iCs/>
          <w:sz w:val="28"/>
          <w:szCs w:val="28"/>
        </w:rPr>
        <w:t>O</w:t>
      </w:r>
      <w:r w:rsidR="00BB4104" w:rsidRPr="00A0326F">
        <w:rPr>
          <w:rFonts w:ascii="Times New Roman" w:hAnsi="Times New Roman" w:cs="Times New Roman"/>
          <w:bCs/>
          <w:i/>
          <w:iCs/>
          <w:sz w:val="28"/>
          <w:szCs w:val="28"/>
        </w:rPr>
        <w:t xml:space="preserve">rder </w:t>
      </w:r>
      <w:r w:rsidR="00FE2F0C">
        <w:rPr>
          <w:rFonts w:ascii="Times New Roman" w:hAnsi="Times New Roman" w:cs="Times New Roman"/>
          <w:bCs/>
          <w:i/>
          <w:iCs/>
          <w:sz w:val="28"/>
          <w:szCs w:val="28"/>
        </w:rPr>
        <w:t xml:space="preserve">not </w:t>
      </w:r>
      <w:r w:rsidR="00BB4104" w:rsidRPr="00A0326F">
        <w:rPr>
          <w:rFonts w:ascii="Times New Roman" w:hAnsi="Times New Roman" w:cs="Times New Roman"/>
          <w:bCs/>
          <w:i/>
          <w:iCs/>
          <w:sz w:val="28"/>
          <w:szCs w:val="28"/>
        </w:rPr>
        <w:t xml:space="preserve">erroneously </w:t>
      </w:r>
      <w:r w:rsidR="00FE2F0C">
        <w:rPr>
          <w:rFonts w:ascii="Times New Roman" w:hAnsi="Times New Roman" w:cs="Times New Roman"/>
          <w:bCs/>
          <w:i/>
          <w:iCs/>
          <w:sz w:val="28"/>
          <w:szCs w:val="28"/>
        </w:rPr>
        <w:t xml:space="preserve">sought or </w:t>
      </w:r>
      <w:r w:rsidR="00BB4104" w:rsidRPr="00A0326F">
        <w:rPr>
          <w:rFonts w:ascii="Times New Roman" w:hAnsi="Times New Roman" w:cs="Times New Roman"/>
          <w:bCs/>
          <w:i/>
          <w:iCs/>
          <w:sz w:val="28"/>
          <w:szCs w:val="28"/>
        </w:rPr>
        <w:t>granted</w:t>
      </w:r>
      <w:r w:rsidR="00FE2F0C">
        <w:rPr>
          <w:rFonts w:ascii="Times New Roman" w:hAnsi="Times New Roman" w:cs="Times New Roman"/>
          <w:bCs/>
          <w:i/>
          <w:iCs/>
          <w:sz w:val="28"/>
          <w:szCs w:val="28"/>
        </w:rPr>
        <w:t>.</w:t>
      </w:r>
    </w:p>
    <w:p w:rsidR="00DB528C" w:rsidRPr="00A0326F" w:rsidRDefault="00DB528C" w:rsidP="00A0326F">
      <w:pPr>
        <w:jc w:val="both"/>
        <w:rPr>
          <w:rFonts w:ascii="Times New Roman" w:hAnsi="Times New Roman" w:cs="Times New Roman"/>
          <w:bCs/>
          <w:i/>
          <w:iCs/>
          <w:sz w:val="28"/>
          <w:szCs w:val="28"/>
        </w:rPr>
      </w:pPr>
    </w:p>
    <w:p w:rsidR="00C46315" w:rsidRPr="00A0326F" w:rsidRDefault="00C46315" w:rsidP="00A0326F">
      <w:pPr>
        <w:jc w:val="both"/>
        <w:rPr>
          <w:rFonts w:ascii="Times New Roman" w:hAnsi="Times New Roman" w:cs="Times New Roman"/>
          <w:b/>
          <w:sz w:val="28"/>
          <w:szCs w:val="28"/>
          <w:u w:val="single"/>
        </w:rPr>
      </w:pPr>
      <w:r w:rsidRPr="00A0326F">
        <w:rPr>
          <w:rFonts w:ascii="Times New Roman" w:hAnsi="Times New Roman" w:cs="Times New Roman"/>
          <w:b/>
          <w:sz w:val="28"/>
          <w:szCs w:val="28"/>
          <w:u w:val="single"/>
        </w:rPr>
        <w:t>Annotations:</w:t>
      </w:r>
    </w:p>
    <w:p w:rsidR="00C46315" w:rsidRPr="00A0326F" w:rsidRDefault="00C46315" w:rsidP="00A0326F">
      <w:pPr>
        <w:jc w:val="both"/>
        <w:rPr>
          <w:rFonts w:ascii="Times New Roman" w:hAnsi="Times New Roman" w:cs="Times New Roman"/>
          <w:b/>
          <w:sz w:val="28"/>
          <w:szCs w:val="28"/>
          <w:u w:val="single"/>
        </w:rPr>
      </w:pPr>
      <w:r w:rsidRPr="00A0326F">
        <w:rPr>
          <w:rFonts w:ascii="Times New Roman" w:hAnsi="Times New Roman" w:cs="Times New Roman"/>
          <w:b/>
          <w:sz w:val="28"/>
          <w:szCs w:val="28"/>
          <w:u w:val="single"/>
        </w:rPr>
        <w:t>Statu</w:t>
      </w:r>
      <w:r w:rsidR="00472863">
        <w:rPr>
          <w:rFonts w:ascii="Times New Roman" w:hAnsi="Times New Roman" w:cs="Times New Roman"/>
          <w:b/>
          <w:sz w:val="28"/>
          <w:szCs w:val="28"/>
          <w:u w:val="single"/>
        </w:rPr>
        <w:t>t</w:t>
      </w:r>
      <w:bookmarkStart w:id="0" w:name="_GoBack"/>
      <w:bookmarkEnd w:id="0"/>
      <w:r w:rsidRPr="00A0326F">
        <w:rPr>
          <w:rFonts w:ascii="Times New Roman" w:hAnsi="Times New Roman" w:cs="Times New Roman"/>
          <w:b/>
          <w:sz w:val="28"/>
          <w:szCs w:val="28"/>
          <w:u w:val="single"/>
        </w:rPr>
        <w:t>es:</w:t>
      </w:r>
    </w:p>
    <w:p w:rsidR="00C46315" w:rsidRPr="0055302C" w:rsidRDefault="00163138" w:rsidP="00A0326F">
      <w:pPr>
        <w:jc w:val="both"/>
        <w:rPr>
          <w:rFonts w:ascii="Times New Roman" w:hAnsi="Times New Roman" w:cs="Times New Roman"/>
          <w:bCs/>
          <w:color w:val="FF0000"/>
          <w:sz w:val="28"/>
          <w:szCs w:val="28"/>
        </w:rPr>
      </w:pPr>
      <w:r w:rsidRPr="00702BFD">
        <w:rPr>
          <w:rFonts w:ascii="Times New Roman" w:hAnsi="Times New Roman" w:cs="Times New Roman"/>
          <w:bCs/>
          <w:sz w:val="28"/>
          <w:szCs w:val="28"/>
        </w:rPr>
        <w:t>High Court Rules, 1980</w:t>
      </w:r>
    </w:p>
    <w:p w:rsidR="00C46315" w:rsidRDefault="00BF4A5F" w:rsidP="00A0326F">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Cited </w:t>
      </w:r>
      <w:r w:rsidR="00C46315" w:rsidRPr="00A0326F">
        <w:rPr>
          <w:rFonts w:ascii="Times New Roman" w:hAnsi="Times New Roman" w:cs="Times New Roman"/>
          <w:b/>
          <w:sz w:val="28"/>
          <w:szCs w:val="28"/>
          <w:u w:val="single"/>
        </w:rPr>
        <w:t>Cases:</w:t>
      </w:r>
    </w:p>
    <w:p w:rsidR="001545FD" w:rsidRPr="007433D6" w:rsidRDefault="001545FD" w:rsidP="001545FD">
      <w:pPr>
        <w:jc w:val="both"/>
        <w:rPr>
          <w:rFonts w:ascii="Times New Roman" w:hAnsi="Times New Roman" w:cs="Times New Roman"/>
          <w:sz w:val="28"/>
          <w:szCs w:val="28"/>
          <w:u w:val="single"/>
        </w:rPr>
      </w:pPr>
      <w:r w:rsidRPr="00384738">
        <w:rPr>
          <w:rFonts w:ascii="Times New Roman" w:hAnsi="Times New Roman" w:cs="Times New Roman"/>
          <w:sz w:val="28"/>
          <w:szCs w:val="28"/>
          <w:u w:val="single"/>
        </w:rPr>
        <w:t>Lesotho</w:t>
      </w:r>
    </w:p>
    <w:p w:rsidR="001545FD" w:rsidRPr="00702BFD" w:rsidRDefault="001545FD" w:rsidP="001545FD">
      <w:pPr>
        <w:jc w:val="both"/>
        <w:rPr>
          <w:rFonts w:ascii="Times New Roman" w:hAnsi="Times New Roman" w:cs="Times New Roman"/>
          <w:sz w:val="28"/>
          <w:szCs w:val="28"/>
        </w:rPr>
      </w:pPr>
      <w:r w:rsidRPr="00702BFD">
        <w:rPr>
          <w:rFonts w:ascii="Times New Roman" w:hAnsi="Times New Roman" w:cs="Times New Roman"/>
          <w:sz w:val="28"/>
          <w:szCs w:val="28"/>
        </w:rPr>
        <w:t xml:space="preserve">CGM Industrial (pty) Ltd v Adelfang Computing (Pty) Ltd LAC (2007- 2008) </w:t>
      </w:r>
    </w:p>
    <w:p w:rsidR="001545FD" w:rsidRPr="00702BFD" w:rsidRDefault="001545FD" w:rsidP="001545FD">
      <w:pPr>
        <w:spacing w:after="0" w:line="480" w:lineRule="auto"/>
        <w:jc w:val="both"/>
        <w:rPr>
          <w:rFonts w:ascii="Times New Roman" w:hAnsi="Times New Roman" w:cs="Times New Roman"/>
          <w:sz w:val="28"/>
          <w:szCs w:val="28"/>
        </w:rPr>
      </w:pPr>
      <w:r w:rsidRPr="00702BFD">
        <w:rPr>
          <w:rFonts w:ascii="Times New Roman" w:hAnsi="Times New Roman" w:cs="Times New Roman"/>
          <w:sz w:val="28"/>
          <w:szCs w:val="28"/>
        </w:rPr>
        <w:t xml:space="preserve">Dodi Store v Herschel Foods (Pty) Ltd 1982 – 84 LLR 378 </w:t>
      </w:r>
    </w:p>
    <w:p w:rsidR="001545FD" w:rsidRPr="00702BFD" w:rsidRDefault="001545FD" w:rsidP="001545FD">
      <w:pPr>
        <w:jc w:val="both"/>
        <w:rPr>
          <w:rFonts w:ascii="Times New Roman" w:eastAsia="Times New Roman" w:hAnsi="Times New Roman" w:cs="Times New Roman"/>
          <w:sz w:val="28"/>
          <w:szCs w:val="28"/>
          <w:lang w:val="en-GB"/>
        </w:rPr>
      </w:pPr>
      <w:r w:rsidRPr="00702BFD">
        <w:rPr>
          <w:rFonts w:ascii="Times New Roman" w:eastAsia="Times New Roman" w:hAnsi="Times New Roman" w:cs="Times New Roman"/>
          <w:iCs/>
          <w:sz w:val="28"/>
          <w:szCs w:val="28"/>
          <w:lang w:val="en-GB"/>
        </w:rPr>
        <w:t xml:space="preserve">Kose Mafereka v Tlali Lefeta and Another </w:t>
      </w:r>
      <w:r w:rsidRPr="00702BFD">
        <w:rPr>
          <w:rFonts w:ascii="Times New Roman" w:eastAsia="Times New Roman" w:hAnsi="Times New Roman" w:cs="Times New Roman"/>
          <w:sz w:val="28"/>
          <w:szCs w:val="28"/>
          <w:lang w:val="en-GB"/>
        </w:rPr>
        <w:t>CIV/APN  510/93</w:t>
      </w:r>
    </w:p>
    <w:p w:rsidR="001545FD" w:rsidRPr="00702BFD" w:rsidRDefault="001545FD" w:rsidP="001545FD">
      <w:pPr>
        <w:jc w:val="both"/>
        <w:rPr>
          <w:rFonts w:ascii="Times New Roman" w:hAnsi="Times New Roman" w:cs="Times New Roman"/>
          <w:lang w:val="en-GB"/>
        </w:rPr>
      </w:pPr>
      <w:r w:rsidRPr="00702BFD">
        <w:rPr>
          <w:rFonts w:ascii="Times New Roman" w:eastAsia="Times New Roman" w:hAnsi="Times New Roman" w:cs="Times New Roman"/>
          <w:iCs/>
          <w:sz w:val="28"/>
          <w:szCs w:val="28"/>
          <w:lang w:val="en-GB"/>
        </w:rPr>
        <w:t xml:space="preserve">Napo Thamae and Another v Agnes Kotelo And Another </w:t>
      </w:r>
      <w:r w:rsidRPr="00702BFD">
        <w:rPr>
          <w:rFonts w:ascii="Times New Roman" w:eastAsia="Times New Roman" w:hAnsi="Times New Roman" w:cs="Times New Roman"/>
          <w:sz w:val="28"/>
          <w:szCs w:val="28"/>
          <w:lang w:val="en-GB"/>
        </w:rPr>
        <w:t>C of A (CIV) No 16/2005</w:t>
      </w:r>
    </w:p>
    <w:p w:rsidR="001545FD" w:rsidRDefault="001545FD" w:rsidP="001545FD">
      <w:pPr>
        <w:jc w:val="both"/>
        <w:rPr>
          <w:rFonts w:ascii="Times New Roman" w:hAnsi="Times New Roman" w:cs="Times New Roman"/>
          <w:sz w:val="28"/>
          <w:szCs w:val="28"/>
        </w:rPr>
      </w:pPr>
      <w:r w:rsidRPr="00702BFD">
        <w:rPr>
          <w:rFonts w:ascii="Times New Roman" w:hAnsi="Times New Roman" w:cs="Times New Roman"/>
          <w:sz w:val="28"/>
          <w:szCs w:val="28"/>
        </w:rPr>
        <w:t>Olaf Leen v First National Bank Cof A (CIV) No, 16A/16</w:t>
      </w:r>
    </w:p>
    <w:p w:rsidR="00DB528C" w:rsidRPr="00702BFD" w:rsidRDefault="00DB528C" w:rsidP="001545FD">
      <w:pPr>
        <w:jc w:val="both"/>
        <w:rPr>
          <w:rFonts w:ascii="Times New Roman" w:hAnsi="Times New Roman" w:cs="Times New Roman"/>
          <w:sz w:val="28"/>
          <w:szCs w:val="28"/>
        </w:rPr>
      </w:pPr>
    </w:p>
    <w:p w:rsidR="001545FD" w:rsidRPr="00702BFD" w:rsidRDefault="001545FD" w:rsidP="001545FD">
      <w:pPr>
        <w:rPr>
          <w:rFonts w:ascii="Times New Roman" w:hAnsi="Times New Roman" w:cs="Times New Roman"/>
          <w:sz w:val="28"/>
          <w:szCs w:val="28"/>
          <w:u w:val="single"/>
        </w:rPr>
      </w:pPr>
      <w:r w:rsidRPr="00702BFD">
        <w:rPr>
          <w:rFonts w:ascii="Times New Roman" w:hAnsi="Times New Roman" w:cs="Times New Roman"/>
          <w:sz w:val="28"/>
          <w:szCs w:val="28"/>
          <w:u w:val="single"/>
        </w:rPr>
        <w:t>South Africa</w:t>
      </w:r>
    </w:p>
    <w:p w:rsidR="001545FD" w:rsidRPr="00702BFD" w:rsidRDefault="001545FD" w:rsidP="001545FD">
      <w:pPr>
        <w:spacing w:after="0" w:line="480" w:lineRule="auto"/>
        <w:jc w:val="both"/>
        <w:rPr>
          <w:rFonts w:ascii="Times New Roman" w:eastAsia="Times New Roman" w:hAnsi="Times New Roman"/>
          <w:sz w:val="28"/>
          <w:szCs w:val="28"/>
          <w:lang w:val="en-GB"/>
        </w:rPr>
      </w:pPr>
      <w:r w:rsidRPr="00702BFD">
        <w:rPr>
          <w:rFonts w:ascii="Times New Roman" w:eastAsia="Times New Roman" w:hAnsi="Times New Roman"/>
          <w:sz w:val="28"/>
          <w:szCs w:val="28"/>
          <w:lang w:val="en-GB"/>
        </w:rPr>
        <w:t>Colyn v Tiger Food Industries Limited trading as Meadow Feed Mills Cape [2003] 2 ALL SA 113</w:t>
      </w:r>
    </w:p>
    <w:p w:rsidR="001545FD" w:rsidRPr="00702BFD" w:rsidRDefault="001545FD" w:rsidP="001545FD">
      <w:pPr>
        <w:jc w:val="both"/>
        <w:rPr>
          <w:rFonts w:ascii="Times New Roman" w:hAnsi="Times New Roman" w:cs="Times New Roman"/>
          <w:sz w:val="28"/>
          <w:szCs w:val="28"/>
          <w:lang w:val="en-GB"/>
        </w:rPr>
      </w:pPr>
      <w:r w:rsidRPr="00702BFD">
        <w:rPr>
          <w:rFonts w:ascii="Times New Roman" w:hAnsi="Times New Roman" w:cs="Times New Roman"/>
          <w:sz w:val="28"/>
          <w:szCs w:val="28"/>
          <w:lang w:val="en-GB"/>
        </w:rPr>
        <w:t xml:space="preserve">De Wet v Western Bank Ltd 1977 (4) SA 770 (T) </w:t>
      </w:r>
    </w:p>
    <w:p w:rsidR="001545FD" w:rsidRPr="00702BFD" w:rsidRDefault="001545FD" w:rsidP="001545FD">
      <w:pPr>
        <w:spacing w:after="0" w:line="480" w:lineRule="auto"/>
        <w:jc w:val="both"/>
        <w:rPr>
          <w:rFonts w:ascii="Times New Roman" w:hAnsi="Times New Roman" w:cs="Times New Roman"/>
          <w:sz w:val="28"/>
          <w:szCs w:val="28"/>
        </w:rPr>
      </w:pPr>
      <w:r w:rsidRPr="00702BFD">
        <w:rPr>
          <w:rFonts w:ascii="Times New Roman" w:hAnsi="Times New Roman" w:cs="Times New Roman"/>
          <w:sz w:val="28"/>
          <w:szCs w:val="28"/>
        </w:rPr>
        <w:t>Deputy Sheriff Witwatersrand v Goldberg 1905 T.S 680</w:t>
      </w:r>
    </w:p>
    <w:p w:rsidR="001545FD" w:rsidRPr="00702BFD" w:rsidRDefault="001545FD" w:rsidP="001545FD">
      <w:pPr>
        <w:spacing w:after="0" w:line="480" w:lineRule="auto"/>
        <w:jc w:val="both"/>
        <w:rPr>
          <w:rFonts w:ascii="Times New Roman" w:eastAsiaTheme="minorHAnsi" w:hAnsi="Times New Roman"/>
          <w:sz w:val="24"/>
          <w:szCs w:val="24"/>
          <w:lang w:val="en-GB" w:eastAsia="en-GB"/>
        </w:rPr>
      </w:pPr>
      <w:r w:rsidRPr="00702BFD">
        <w:rPr>
          <w:rFonts w:ascii="Times New Roman" w:eastAsia="Times New Roman" w:hAnsi="Times New Roman"/>
          <w:sz w:val="28"/>
          <w:szCs w:val="28"/>
          <w:lang w:val="en-GB"/>
        </w:rPr>
        <w:t>JC Schutte v Nedbank Limited Case No73759/17</w:t>
      </w:r>
    </w:p>
    <w:p w:rsidR="000C668C" w:rsidRDefault="000C668C" w:rsidP="001545FD">
      <w:pPr>
        <w:jc w:val="both"/>
        <w:rPr>
          <w:rFonts w:ascii="Times New Roman" w:hAnsi="Times New Roman" w:cs="Times New Roman"/>
          <w:sz w:val="28"/>
          <w:szCs w:val="28"/>
        </w:rPr>
      </w:pPr>
    </w:p>
    <w:p w:rsidR="001545FD" w:rsidRPr="0092548D" w:rsidRDefault="001545FD" w:rsidP="001545FD">
      <w:pPr>
        <w:jc w:val="both"/>
        <w:rPr>
          <w:rFonts w:ascii="Times New Roman" w:hAnsi="Times New Roman" w:cs="Times New Roman"/>
          <w:sz w:val="28"/>
          <w:szCs w:val="28"/>
        </w:rPr>
      </w:pPr>
      <w:r w:rsidRPr="0092548D">
        <w:rPr>
          <w:rFonts w:ascii="Times New Roman" w:hAnsi="Times New Roman" w:cs="Times New Roman"/>
          <w:sz w:val="28"/>
          <w:szCs w:val="28"/>
        </w:rPr>
        <w:lastRenderedPageBreak/>
        <w:t>Joob Investments (Pty) Limited v Stocks MavundlaZek Joint Venture</w:t>
      </w:r>
      <w:r w:rsidR="0092548D">
        <w:rPr>
          <w:rFonts w:ascii="Times New Roman" w:hAnsi="Times New Roman" w:cs="Times New Roman"/>
          <w:sz w:val="28"/>
          <w:szCs w:val="28"/>
        </w:rPr>
        <w:t xml:space="preserve"> </w:t>
      </w:r>
      <w:r w:rsidRPr="0092548D">
        <w:rPr>
          <w:rFonts w:ascii="Times New Roman" w:hAnsi="Times New Roman" w:cs="Times New Roman"/>
          <w:sz w:val="28"/>
          <w:szCs w:val="28"/>
        </w:rPr>
        <w:t>2009 (5) (SCA)</w:t>
      </w:r>
    </w:p>
    <w:p w:rsidR="001545FD" w:rsidRPr="00702BFD" w:rsidRDefault="001545FD" w:rsidP="001545FD">
      <w:pPr>
        <w:jc w:val="both"/>
        <w:rPr>
          <w:lang w:val="en-GB"/>
        </w:rPr>
      </w:pPr>
      <w:r w:rsidRPr="00702BFD">
        <w:rPr>
          <w:rFonts w:ascii="Times New Roman" w:hAnsi="Times New Roman" w:cs="Times New Roman"/>
          <w:sz w:val="28"/>
          <w:szCs w:val="28"/>
        </w:rPr>
        <w:t xml:space="preserve">Katritsis v De Macedo </w:t>
      </w:r>
      <w:r w:rsidRPr="00702BFD">
        <w:rPr>
          <w:rFonts w:ascii="Times New Roman" w:hAnsi="Times New Roman" w:cs="Times New Roman"/>
          <w:sz w:val="28"/>
          <w:szCs w:val="28"/>
          <w:lang w:val="en-GB"/>
        </w:rPr>
        <w:t>1966 (1) SA 613 (A)</w:t>
      </w:r>
      <w:r w:rsidRPr="00702BFD">
        <w:rPr>
          <w:lang w:val="en-GB"/>
        </w:rPr>
        <w:t xml:space="preserve"> </w:t>
      </w:r>
    </w:p>
    <w:p w:rsidR="001545FD" w:rsidRPr="00702BFD" w:rsidRDefault="001545FD" w:rsidP="001545FD">
      <w:pPr>
        <w:jc w:val="both"/>
        <w:rPr>
          <w:rFonts w:ascii="Times New Roman" w:hAnsi="Times New Roman" w:cs="Times New Roman"/>
          <w:sz w:val="28"/>
          <w:szCs w:val="28"/>
        </w:rPr>
      </w:pPr>
      <w:r w:rsidRPr="00702BFD">
        <w:rPr>
          <w:rFonts w:ascii="Times New Roman" w:hAnsi="Times New Roman" w:cs="Times New Roman"/>
          <w:sz w:val="28"/>
          <w:szCs w:val="28"/>
        </w:rPr>
        <w:t xml:space="preserve">Maharaj v Baclays National Bank ltd 1976 (1) SA 418 </w:t>
      </w:r>
    </w:p>
    <w:p w:rsidR="001545FD" w:rsidRPr="00702BFD" w:rsidRDefault="001545FD" w:rsidP="001545FD">
      <w:pPr>
        <w:jc w:val="both"/>
        <w:rPr>
          <w:rFonts w:ascii="Times New Roman" w:hAnsi="Times New Roman" w:cs="Times New Roman"/>
          <w:sz w:val="28"/>
          <w:szCs w:val="28"/>
        </w:rPr>
      </w:pPr>
      <w:r w:rsidRPr="00702BFD">
        <w:rPr>
          <w:rFonts w:ascii="Times New Roman" w:hAnsi="Times New Roman" w:cs="Times New Roman"/>
          <w:sz w:val="28"/>
          <w:szCs w:val="28"/>
        </w:rPr>
        <w:t xml:space="preserve">Mutebwa v Mutebwa 2001 (2) SA 193 (T) </w:t>
      </w:r>
    </w:p>
    <w:p w:rsidR="0055302C" w:rsidRDefault="001545FD" w:rsidP="001545FD">
      <w:pPr>
        <w:pStyle w:val="Textbody"/>
        <w:spacing w:line="480" w:lineRule="auto"/>
        <w:jc w:val="both"/>
        <w:rPr>
          <w:sz w:val="28"/>
          <w:szCs w:val="28"/>
          <w:lang w:val="en-US" w:eastAsia="en-US"/>
        </w:rPr>
      </w:pPr>
      <w:r w:rsidRPr="00702BFD">
        <w:rPr>
          <w:sz w:val="28"/>
          <w:szCs w:val="28"/>
          <w:lang w:val="en-US" w:eastAsia="en-US"/>
        </w:rPr>
        <w:t>Pansera Builders (Pty) Ltd v Van der Merwe (t/a Van der Merwe’s Transport) 1986 (3) SA 654 (C)</w:t>
      </w:r>
    </w:p>
    <w:p w:rsidR="00DB528C" w:rsidRDefault="001545FD" w:rsidP="00DB528C">
      <w:pPr>
        <w:pStyle w:val="Textbody"/>
        <w:spacing w:line="480" w:lineRule="auto"/>
        <w:jc w:val="both"/>
        <w:rPr>
          <w:sz w:val="28"/>
          <w:szCs w:val="28"/>
        </w:rPr>
      </w:pPr>
      <w:r w:rsidRPr="00702BFD">
        <w:rPr>
          <w:sz w:val="28"/>
          <w:szCs w:val="28"/>
        </w:rPr>
        <w:t>Plascon – Evans Paints Limited v Van Riebeck Paints 1984 (3) SA 623</w:t>
      </w:r>
    </w:p>
    <w:p w:rsidR="004220CA" w:rsidRPr="00DB528C" w:rsidRDefault="001545FD" w:rsidP="00DB528C">
      <w:pPr>
        <w:pStyle w:val="Textbody"/>
        <w:spacing w:line="480" w:lineRule="auto"/>
        <w:jc w:val="both"/>
        <w:rPr>
          <w:sz w:val="28"/>
          <w:szCs w:val="28"/>
          <w:lang w:val="en-US" w:eastAsia="en-US"/>
        </w:rPr>
      </w:pPr>
      <w:r w:rsidRPr="00702BFD">
        <w:rPr>
          <w:sz w:val="28"/>
          <w:szCs w:val="28"/>
        </w:rPr>
        <w:t>Silber v OzenWholessalers (Pty) Ltd 1954 (2) SA 345 (AD)</w:t>
      </w:r>
    </w:p>
    <w:p w:rsidR="001545FD" w:rsidRPr="00702BFD" w:rsidRDefault="001545FD" w:rsidP="001545FD">
      <w:pPr>
        <w:jc w:val="both"/>
        <w:rPr>
          <w:rFonts w:ascii="Times New Roman" w:hAnsi="Times New Roman" w:cs="Times New Roman"/>
          <w:color w:val="000000"/>
          <w:sz w:val="28"/>
          <w:szCs w:val="28"/>
        </w:rPr>
      </w:pPr>
      <w:r w:rsidRPr="00702BFD">
        <w:rPr>
          <w:rFonts w:ascii="Times New Roman" w:hAnsi="Times New Roman" w:cs="Times New Roman"/>
          <w:sz w:val="28"/>
          <w:szCs w:val="28"/>
        </w:rPr>
        <w:t>Taso</w:t>
      </w:r>
      <w:r w:rsidR="0055302C">
        <w:rPr>
          <w:rFonts w:ascii="Times New Roman" w:hAnsi="Times New Roman" w:cs="Times New Roman"/>
          <w:sz w:val="28"/>
          <w:szCs w:val="28"/>
        </w:rPr>
        <w:t xml:space="preserve"> </w:t>
      </w:r>
      <w:r w:rsidRPr="00702BFD">
        <w:rPr>
          <w:rFonts w:ascii="Times New Roman" w:hAnsi="Times New Roman" w:cs="Times New Roman"/>
          <w:sz w:val="28"/>
          <w:szCs w:val="28"/>
        </w:rPr>
        <w:t>Anastasiou and Others v Katie K.P Jordaan</w:t>
      </w:r>
      <w:r w:rsidRPr="00702BFD">
        <w:rPr>
          <w:rFonts w:ascii="Times New Roman" w:hAnsi="Times New Roman" w:cs="Times New Roman"/>
          <w:color w:val="000000"/>
          <w:sz w:val="28"/>
          <w:szCs w:val="28"/>
        </w:rPr>
        <w:t xml:space="preserve"> (18524/2015) [2016] ZAGPJHC 288 (31 October 2016)</w:t>
      </w:r>
    </w:p>
    <w:p w:rsidR="001545FD" w:rsidRPr="00702BFD" w:rsidRDefault="001545FD" w:rsidP="001545FD">
      <w:pPr>
        <w:spacing w:after="0" w:line="480" w:lineRule="auto"/>
        <w:jc w:val="both"/>
        <w:rPr>
          <w:rFonts w:ascii="Times New Roman" w:eastAsia="Times New Roman" w:hAnsi="Times New Roman"/>
          <w:sz w:val="28"/>
          <w:szCs w:val="28"/>
          <w:lang w:val="en-GB"/>
        </w:rPr>
      </w:pPr>
      <w:r w:rsidRPr="00702BFD">
        <w:rPr>
          <w:rFonts w:ascii="Times New Roman" w:eastAsia="Times New Roman" w:hAnsi="Times New Roman"/>
          <w:sz w:val="28"/>
          <w:szCs w:val="28"/>
          <w:lang w:val="en-GB"/>
        </w:rPr>
        <w:t>Tshivhase Royal Council v Tshivhase: Tshivhase v Tshivhase 1992 (4) SA 852</w:t>
      </w:r>
    </w:p>
    <w:p w:rsidR="001545FD" w:rsidRPr="00702BFD" w:rsidRDefault="001545FD" w:rsidP="001545FD">
      <w:pPr>
        <w:spacing w:after="0" w:line="480" w:lineRule="auto"/>
        <w:jc w:val="both"/>
        <w:rPr>
          <w:rFonts w:ascii="Times New Roman" w:eastAsia="Times New Roman" w:hAnsi="Times New Roman"/>
          <w:sz w:val="28"/>
          <w:szCs w:val="28"/>
          <w:lang w:val="en-GB"/>
        </w:rPr>
      </w:pPr>
      <w:r w:rsidRPr="00702BFD">
        <w:rPr>
          <w:rFonts w:ascii="Times New Roman" w:eastAsia="Times New Roman" w:hAnsi="Times New Roman"/>
          <w:sz w:val="28"/>
          <w:szCs w:val="28"/>
          <w:lang w:val="en-GB"/>
        </w:rPr>
        <w:t xml:space="preserve"> Van Der Merwe v Bonaero Park (EDMS) BPK 1998 (1) SA 697</w:t>
      </w:r>
    </w:p>
    <w:p w:rsidR="00DB528C" w:rsidRDefault="00DB528C" w:rsidP="00A0326F">
      <w:pPr>
        <w:spacing w:after="0" w:line="480" w:lineRule="auto"/>
        <w:jc w:val="both"/>
        <w:rPr>
          <w:rFonts w:ascii="Times New Roman" w:hAnsi="Times New Roman" w:cs="Times New Roman"/>
          <w:b/>
          <w:bCs/>
          <w:sz w:val="28"/>
          <w:szCs w:val="28"/>
          <w:u w:val="single"/>
        </w:rPr>
      </w:pPr>
    </w:p>
    <w:p w:rsidR="0055302C" w:rsidRPr="0055302C" w:rsidRDefault="00C46315" w:rsidP="00A0326F">
      <w:pPr>
        <w:spacing w:after="0" w:line="480" w:lineRule="auto"/>
        <w:jc w:val="both"/>
        <w:rPr>
          <w:rFonts w:ascii="Times New Roman" w:hAnsi="Times New Roman" w:cs="Times New Roman"/>
          <w:b/>
          <w:bCs/>
          <w:sz w:val="28"/>
          <w:szCs w:val="28"/>
          <w:u w:val="single"/>
        </w:rPr>
      </w:pPr>
      <w:r w:rsidRPr="00BF7F74">
        <w:rPr>
          <w:rFonts w:ascii="Times New Roman" w:hAnsi="Times New Roman" w:cs="Times New Roman"/>
          <w:b/>
          <w:bCs/>
          <w:sz w:val="28"/>
          <w:szCs w:val="28"/>
          <w:u w:val="single"/>
        </w:rPr>
        <w:t>INTRODUCTION</w:t>
      </w:r>
      <w:r w:rsidR="00BF7F74">
        <w:rPr>
          <w:rFonts w:ascii="Times New Roman" w:hAnsi="Times New Roman" w:cs="Times New Roman"/>
          <w:b/>
          <w:bCs/>
          <w:sz w:val="28"/>
          <w:szCs w:val="28"/>
          <w:u w:val="single"/>
        </w:rPr>
        <w:t>:</w:t>
      </w:r>
    </w:p>
    <w:p w:rsidR="00952592" w:rsidRDefault="00C46315" w:rsidP="00A0326F">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sidRPr="00A0326F">
        <w:rPr>
          <w:rFonts w:ascii="Times New Roman" w:eastAsia="Times New Roman" w:hAnsi="Times New Roman" w:cs="Times New Roman"/>
          <w:color w:val="333333"/>
          <w:sz w:val="28"/>
          <w:szCs w:val="28"/>
        </w:rPr>
        <w:t>[1</w:t>
      </w:r>
      <w:r w:rsidR="00D30109" w:rsidRPr="00A0326F">
        <w:rPr>
          <w:rFonts w:ascii="Times New Roman" w:eastAsia="Times New Roman" w:hAnsi="Times New Roman" w:cs="Times New Roman"/>
          <w:color w:val="333333"/>
          <w:sz w:val="28"/>
          <w:szCs w:val="28"/>
        </w:rPr>
        <w:t xml:space="preserve">] </w:t>
      </w:r>
      <w:r w:rsidR="00952592">
        <w:rPr>
          <w:rFonts w:ascii="Times New Roman" w:eastAsia="Times New Roman" w:hAnsi="Times New Roman" w:cs="Times New Roman"/>
          <w:color w:val="333333"/>
          <w:sz w:val="28"/>
          <w:szCs w:val="28"/>
        </w:rPr>
        <w:tab/>
      </w:r>
      <w:r w:rsidR="00952592">
        <w:rPr>
          <w:rFonts w:ascii="Times New Roman" w:eastAsia="Times New Roman" w:hAnsi="Times New Roman" w:cs="Times New Roman"/>
          <w:color w:val="333333"/>
          <w:sz w:val="28"/>
          <w:szCs w:val="28"/>
        </w:rPr>
        <w:tab/>
      </w:r>
      <w:r w:rsidR="00D30109" w:rsidRPr="00A0326F">
        <w:rPr>
          <w:rFonts w:ascii="Times New Roman" w:eastAsia="Times New Roman" w:hAnsi="Times New Roman" w:cs="Times New Roman"/>
          <w:color w:val="333333"/>
          <w:sz w:val="28"/>
          <w:szCs w:val="28"/>
        </w:rPr>
        <w:t xml:space="preserve">This is an application for stay of execution and rescission of summary </w:t>
      </w:r>
      <w:r w:rsidR="0071515F">
        <w:rPr>
          <w:rFonts w:ascii="Times New Roman" w:eastAsia="Times New Roman" w:hAnsi="Times New Roman" w:cs="Times New Roman"/>
          <w:color w:val="333333"/>
          <w:sz w:val="28"/>
          <w:szCs w:val="28"/>
        </w:rPr>
        <w:t>j</w:t>
      </w:r>
      <w:r w:rsidR="00D30109" w:rsidRPr="00A0326F">
        <w:rPr>
          <w:rFonts w:ascii="Times New Roman" w:eastAsia="Times New Roman" w:hAnsi="Times New Roman" w:cs="Times New Roman"/>
          <w:color w:val="333333"/>
          <w:sz w:val="28"/>
          <w:szCs w:val="28"/>
        </w:rPr>
        <w:t>udgement granted</w:t>
      </w:r>
      <w:r w:rsidR="00464A84" w:rsidRPr="00A0326F">
        <w:rPr>
          <w:rFonts w:ascii="Times New Roman" w:eastAsia="Times New Roman" w:hAnsi="Times New Roman" w:cs="Times New Roman"/>
          <w:color w:val="333333"/>
          <w:sz w:val="28"/>
          <w:szCs w:val="28"/>
        </w:rPr>
        <w:t xml:space="preserve"> on default</w:t>
      </w:r>
      <w:r w:rsidR="004C36C1" w:rsidRPr="00A0326F">
        <w:rPr>
          <w:rFonts w:ascii="Times New Roman" w:eastAsia="Times New Roman" w:hAnsi="Times New Roman" w:cs="Times New Roman"/>
          <w:color w:val="333333"/>
          <w:sz w:val="28"/>
          <w:szCs w:val="28"/>
        </w:rPr>
        <w:t xml:space="preserve"> by</w:t>
      </w:r>
      <w:r w:rsidR="007670A5">
        <w:rPr>
          <w:rFonts w:ascii="Times New Roman" w:eastAsia="Times New Roman" w:hAnsi="Times New Roman" w:cs="Times New Roman"/>
          <w:color w:val="333333"/>
          <w:sz w:val="28"/>
          <w:szCs w:val="28"/>
        </w:rPr>
        <w:t xml:space="preserve"> </w:t>
      </w:r>
      <w:r w:rsidR="00952592">
        <w:rPr>
          <w:rFonts w:ascii="Times New Roman" w:eastAsia="Times New Roman" w:hAnsi="Times New Roman" w:cs="Times New Roman"/>
          <w:color w:val="333333"/>
          <w:sz w:val="28"/>
          <w:szCs w:val="28"/>
        </w:rPr>
        <w:t xml:space="preserve">Chaka – Makhooane J, as she then was, </w:t>
      </w:r>
      <w:r w:rsidR="00D30109" w:rsidRPr="00A0326F">
        <w:rPr>
          <w:rFonts w:ascii="Times New Roman" w:eastAsia="Times New Roman" w:hAnsi="Times New Roman" w:cs="Times New Roman"/>
          <w:color w:val="333333"/>
          <w:sz w:val="28"/>
          <w:szCs w:val="28"/>
        </w:rPr>
        <w:t>on the 26th February 2018.</w:t>
      </w:r>
      <w:r w:rsidR="00DF5E12" w:rsidRPr="00A0326F">
        <w:rPr>
          <w:rFonts w:ascii="Times New Roman" w:eastAsia="Times New Roman" w:hAnsi="Times New Roman" w:cs="Times New Roman"/>
          <w:color w:val="333333"/>
          <w:sz w:val="28"/>
          <w:szCs w:val="28"/>
        </w:rPr>
        <w:t xml:space="preserve"> The</w:t>
      </w:r>
      <w:r w:rsidR="00952592">
        <w:rPr>
          <w:rFonts w:ascii="Times New Roman" w:eastAsia="Times New Roman" w:hAnsi="Times New Roman" w:cs="Times New Roman"/>
          <w:color w:val="333333"/>
          <w:sz w:val="28"/>
          <w:szCs w:val="28"/>
        </w:rPr>
        <w:t xml:space="preserve"> a</w:t>
      </w:r>
      <w:r w:rsidR="00DF5E12" w:rsidRPr="00A0326F">
        <w:rPr>
          <w:rFonts w:ascii="Times New Roman" w:eastAsia="Times New Roman" w:hAnsi="Times New Roman" w:cs="Times New Roman"/>
          <w:color w:val="333333"/>
          <w:sz w:val="28"/>
          <w:szCs w:val="28"/>
        </w:rPr>
        <w:t>pplication was brought on an urgent basis on the 19</w:t>
      </w:r>
      <w:r w:rsidR="00DF5E12" w:rsidRPr="00A0326F">
        <w:rPr>
          <w:rFonts w:ascii="Times New Roman" w:eastAsia="Times New Roman" w:hAnsi="Times New Roman" w:cs="Times New Roman"/>
          <w:color w:val="333333"/>
          <w:sz w:val="28"/>
          <w:szCs w:val="28"/>
          <w:vertAlign w:val="superscript"/>
        </w:rPr>
        <w:t>th</w:t>
      </w:r>
      <w:r w:rsidR="00DF5E12" w:rsidRPr="00A0326F">
        <w:rPr>
          <w:rFonts w:ascii="Times New Roman" w:eastAsia="Times New Roman" w:hAnsi="Times New Roman" w:cs="Times New Roman"/>
          <w:color w:val="333333"/>
          <w:sz w:val="28"/>
          <w:szCs w:val="28"/>
        </w:rPr>
        <w:t xml:space="preserve"> September </w:t>
      </w:r>
      <w:r w:rsidR="004C36C1" w:rsidRPr="00A0326F">
        <w:rPr>
          <w:rFonts w:ascii="Times New Roman" w:eastAsia="Times New Roman" w:hAnsi="Times New Roman" w:cs="Times New Roman"/>
          <w:color w:val="333333"/>
          <w:sz w:val="28"/>
          <w:szCs w:val="28"/>
        </w:rPr>
        <w:t>2018</w:t>
      </w:r>
      <w:r w:rsidR="005D7B0C">
        <w:rPr>
          <w:rFonts w:ascii="Times New Roman" w:eastAsia="Times New Roman" w:hAnsi="Times New Roman" w:cs="Times New Roman"/>
          <w:color w:val="333333"/>
          <w:sz w:val="28"/>
          <w:szCs w:val="28"/>
        </w:rPr>
        <w:t xml:space="preserve">.  The applicant is </w:t>
      </w:r>
      <w:r w:rsidR="004C36C1" w:rsidRPr="00A0326F">
        <w:rPr>
          <w:rFonts w:ascii="Times New Roman" w:eastAsia="Times New Roman" w:hAnsi="Times New Roman" w:cs="Times New Roman"/>
          <w:color w:val="333333"/>
          <w:sz w:val="28"/>
          <w:szCs w:val="28"/>
        </w:rPr>
        <w:t>seeking</w:t>
      </w:r>
      <w:r w:rsidRPr="00A0326F">
        <w:rPr>
          <w:rFonts w:ascii="Times New Roman" w:eastAsia="Times New Roman" w:hAnsi="Times New Roman" w:cs="Times New Roman"/>
          <w:color w:val="333333"/>
          <w:sz w:val="28"/>
          <w:szCs w:val="28"/>
        </w:rPr>
        <w:t xml:space="preserve"> prayers</w:t>
      </w:r>
      <w:r w:rsidR="00952592">
        <w:rPr>
          <w:rFonts w:ascii="Times New Roman" w:eastAsia="Times New Roman" w:hAnsi="Times New Roman" w:cs="Times New Roman"/>
          <w:color w:val="333333"/>
          <w:sz w:val="28"/>
          <w:szCs w:val="28"/>
        </w:rPr>
        <w:t xml:space="preserve"> in the following terms: </w:t>
      </w:r>
    </w:p>
    <w:p w:rsidR="00952592" w:rsidRPr="009440E3" w:rsidRDefault="00952592" w:rsidP="009C2E3D">
      <w:pPr>
        <w:shd w:val="clear" w:color="auto" w:fill="FFFFFF"/>
        <w:spacing w:after="0" w:line="480" w:lineRule="auto"/>
        <w:ind w:left="1440" w:hanging="720"/>
        <w:jc w:val="both"/>
        <w:textAlignment w:val="baseline"/>
        <w:rPr>
          <w:rFonts w:ascii="Times New Roman" w:eastAsia="Times New Roman" w:hAnsi="Times New Roman" w:cs="Times New Roman"/>
          <w:color w:val="333333"/>
          <w:sz w:val="24"/>
          <w:szCs w:val="24"/>
        </w:rPr>
      </w:pPr>
      <w:r w:rsidRPr="009440E3">
        <w:rPr>
          <w:rFonts w:ascii="Times New Roman" w:eastAsia="Times New Roman" w:hAnsi="Times New Roman" w:cs="Times New Roman"/>
          <w:color w:val="333333"/>
          <w:sz w:val="24"/>
          <w:szCs w:val="24"/>
        </w:rPr>
        <w:t>“1.</w:t>
      </w:r>
      <w:r w:rsidRPr="009440E3">
        <w:rPr>
          <w:rFonts w:ascii="Times New Roman" w:eastAsia="Times New Roman" w:hAnsi="Times New Roman" w:cs="Times New Roman"/>
          <w:color w:val="333333"/>
          <w:sz w:val="24"/>
          <w:szCs w:val="24"/>
        </w:rPr>
        <w:tab/>
      </w:r>
      <w:r w:rsidR="00C46315" w:rsidRPr="009440E3">
        <w:rPr>
          <w:rFonts w:ascii="Times New Roman" w:eastAsia="Times New Roman" w:hAnsi="Times New Roman" w:cs="Times New Roman"/>
          <w:color w:val="333333"/>
          <w:sz w:val="24"/>
          <w:szCs w:val="24"/>
        </w:rPr>
        <w:t>T</w:t>
      </w:r>
      <w:r w:rsidR="00DF5E12" w:rsidRPr="009440E3">
        <w:rPr>
          <w:rFonts w:ascii="Times New Roman" w:eastAsia="Times New Roman" w:hAnsi="Times New Roman" w:cs="Times New Roman"/>
          <w:color w:val="333333"/>
          <w:sz w:val="24"/>
          <w:szCs w:val="24"/>
        </w:rPr>
        <w:t>hat a</w:t>
      </w:r>
      <w:r w:rsidR="00C46315" w:rsidRPr="009440E3">
        <w:rPr>
          <w:rFonts w:ascii="Times New Roman" w:eastAsia="Times New Roman" w:hAnsi="Times New Roman" w:cs="Times New Roman"/>
          <w:color w:val="333333"/>
          <w:sz w:val="24"/>
          <w:szCs w:val="24"/>
        </w:rPr>
        <w:t xml:space="preserve"> rule </w:t>
      </w:r>
      <w:r w:rsidR="00C46315" w:rsidRPr="009440E3">
        <w:rPr>
          <w:rFonts w:ascii="Times New Roman" w:eastAsia="Times New Roman" w:hAnsi="Times New Roman" w:cs="Times New Roman"/>
          <w:i/>
          <w:iCs/>
          <w:color w:val="333333"/>
          <w:sz w:val="24"/>
          <w:szCs w:val="24"/>
        </w:rPr>
        <w:t>nisi</w:t>
      </w:r>
      <w:r w:rsidR="00C46315" w:rsidRPr="009440E3">
        <w:rPr>
          <w:rFonts w:ascii="Times New Roman" w:eastAsia="Times New Roman" w:hAnsi="Times New Roman" w:cs="Times New Roman"/>
          <w:color w:val="333333"/>
          <w:sz w:val="24"/>
          <w:szCs w:val="24"/>
        </w:rPr>
        <w:t xml:space="preserve"> be issued </w:t>
      </w:r>
      <w:r w:rsidR="00DF5E12" w:rsidRPr="009440E3">
        <w:rPr>
          <w:rFonts w:ascii="Times New Roman" w:eastAsia="Times New Roman" w:hAnsi="Times New Roman" w:cs="Times New Roman"/>
          <w:color w:val="333333"/>
          <w:sz w:val="24"/>
          <w:szCs w:val="24"/>
        </w:rPr>
        <w:t>returnable on the date to be determined by this Honourable C</w:t>
      </w:r>
      <w:r w:rsidR="00C46315" w:rsidRPr="009440E3">
        <w:rPr>
          <w:rFonts w:ascii="Times New Roman" w:eastAsia="Times New Roman" w:hAnsi="Times New Roman" w:cs="Times New Roman"/>
          <w:color w:val="333333"/>
          <w:sz w:val="24"/>
          <w:szCs w:val="24"/>
        </w:rPr>
        <w:t xml:space="preserve">ourt calling upon the respondents to show cause </w:t>
      </w:r>
      <w:r w:rsidR="00DF5E12" w:rsidRPr="009440E3">
        <w:rPr>
          <w:rFonts w:ascii="Times New Roman" w:eastAsia="Times New Roman" w:hAnsi="Times New Roman" w:cs="Times New Roman"/>
          <w:color w:val="333333"/>
          <w:sz w:val="24"/>
          <w:szCs w:val="24"/>
        </w:rPr>
        <w:t>(if any) why:-</w:t>
      </w:r>
    </w:p>
    <w:p w:rsidR="00C46315" w:rsidRPr="009440E3" w:rsidRDefault="00952592" w:rsidP="00952592">
      <w:pPr>
        <w:pStyle w:val="ListParagraph"/>
        <w:shd w:val="clear" w:color="auto" w:fill="FFFFFF"/>
        <w:spacing w:after="0" w:line="480" w:lineRule="auto"/>
        <w:ind w:left="2160" w:hanging="720"/>
        <w:jc w:val="both"/>
        <w:textAlignment w:val="baseline"/>
        <w:rPr>
          <w:rFonts w:ascii="Times New Roman" w:eastAsia="Times New Roman" w:hAnsi="Times New Roman" w:cs="Times New Roman"/>
          <w:color w:val="333333"/>
          <w:sz w:val="24"/>
          <w:szCs w:val="24"/>
        </w:rPr>
      </w:pPr>
      <w:r w:rsidRPr="009440E3">
        <w:rPr>
          <w:rFonts w:ascii="Times New Roman" w:eastAsia="Times New Roman" w:hAnsi="Times New Roman" w:cs="Times New Roman"/>
          <w:color w:val="333333"/>
          <w:sz w:val="24"/>
          <w:szCs w:val="24"/>
        </w:rPr>
        <w:lastRenderedPageBreak/>
        <w:t>a)</w:t>
      </w:r>
      <w:r w:rsidRPr="009440E3">
        <w:rPr>
          <w:rFonts w:ascii="Times New Roman" w:eastAsia="Times New Roman" w:hAnsi="Times New Roman" w:cs="Times New Roman"/>
          <w:color w:val="333333"/>
          <w:sz w:val="24"/>
          <w:szCs w:val="24"/>
        </w:rPr>
        <w:tab/>
      </w:r>
      <w:r w:rsidR="00DF5E12" w:rsidRPr="009440E3">
        <w:rPr>
          <w:rFonts w:ascii="Times New Roman" w:eastAsia="Times New Roman" w:hAnsi="Times New Roman" w:cs="Times New Roman"/>
          <w:color w:val="333333"/>
          <w:sz w:val="24"/>
          <w:szCs w:val="24"/>
        </w:rPr>
        <w:t>Execution of Judgement in CCT/0421/17 shall not be stayed pending the finalization hereof;</w:t>
      </w:r>
    </w:p>
    <w:p w:rsidR="009C2E3D" w:rsidRPr="009440E3" w:rsidRDefault="00952592" w:rsidP="009C2E3D">
      <w:pPr>
        <w:pStyle w:val="ListParagraph"/>
        <w:shd w:val="clear" w:color="auto" w:fill="FFFFFF"/>
        <w:spacing w:after="0" w:line="480" w:lineRule="auto"/>
        <w:ind w:left="2160" w:hanging="720"/>
        <w:jc w:val="both"/>
        <w:textAlignment w:val="baseline"/>
        <w:rPr>
          <w:rFonts w:ascii="Times New Roman" w:eastAsia="Times New Roman" w:hAnsi="Times New Roman" w:cs="Times New Roman"/>
          <w:color w:val="333333"/>
          <w:sz w:val="24"/>
          <w:szCs w:val="24"/>
        </w:rPr>
      </w:pPr>
      <w:r w:rsidRPr="009440E3">
        <w:rPr>
          <w:rFonts w:ascii="Times New Roman" w:eastAsia="Times New Roman" w:hAnsi="Times New Roman" w:cs="Times New Roman"/>
          <w:color w:val="333333"/>
          <w:sz w:val="24"/>
          <w:szCs w:val="24"/>
        </w:rPr>
        <w:t>b)</w:t>
      </w:r>
      <w:r w:rsidRPr="009440E3">
        <w:rPr>
          <w:rFonts w:ascii="Times New Roman" w:eastAsia="Times New Roman" w:hAnsi="Times New Roman" w:cs="Times New Roman"/>
          <w:color w:val="333333"/>
          <w:sz w:val="24"/>
          <w:szCs w:val="24"/>
        </w:rPr>
        <w:tab/>
        <w:t>The Ju</w:t>
      </w:r>
      <w:r w:rsidR="00DF5E12" w:rsidRPr="009440E3">
        <w:rPr>
          <w:rFonts w:ascii="Times New Roman" w:eastAsia="Times New Roman" w:hAnsi="Times New Roman" w:cs="Times New Roman"/>
          <w:color w:val="333333"/>
          <w:sz w:val="24"/>
          <w:szCs w:val="24"/>
        </w:rPr>
        <w:t>dgement in CCT/0421/17 shall not be rescinded;</w:t>
      </w:r>
    </w:p>
    <w:p w:rsidR="0008235E" w:rsidRPr="009440E3" w:rsidRDefault="009C2E3D" w:rsidP="009C2E3D">
      <w:pPr>
        <w:pStyle w:val="ListParagraph"/>
        <w:shd w:val="clear" w:color="auto" w:fill="FFFFFF"/>
        <w:spacing w:after="0" w:line="480" w:lineRule="auto"/>
        <w:ind w:left="2160" w:hanging="720"/>
        <w:jc w:val="both"/>
        <w:textAlignment w:val="baseline"/>
        <w:rPr>
          <w:rFonts w:ascii="Times New Roman" w:eastAsia="Times New Roman" w:hAnsi="Times New Roman" w:cs="Times New Roman"/>
          <w:color w:val="333333"/>
          <w:sz w:val="24"/>
          <w:szCs w:val="24"/>
        </w:rPr>
      </w:pPr>
      <w:r w:rsidRPr="009440E3">
        <w:rPr>
          <w:rFonts w:ascii="Times New Roman" w:eastAsia="Times New Roman" w:hAnsi="Times New Roman" w:cs="Times New Roman"/>
          <w:color w:val="333333"/>
          <w:sz w:val="24"/>
          <w:szCs w:val="24"/>
        </w:rPr>
        <w:t>c)</w:t>
      </w:r>
      <w:r w:rsidRPr="009440E3">
        <w:rPr>
          <w:rFonts w:ascii="Times New Roman" w:eastAsia="Times New Roman" w:hAnsi="Times New Roman" w:cs="Times New Roman"/>
          <w:color w:val="333333"/>
          <w:sz w:val="24"/>
          <w:szCs w:val="24"/>
        </w:rPr>
        <w:tab/>
        <w:t xml:space="preserve">The </w:t>
      </w:r>
      <w:r w:rsidR="0008235E" w:rsidRPr="009440E3">
        <w:rPr>
          <w:rFonts w:ascii="Times New Roman" w:eastAsia="Times New Roman" w:hAnsi="Times New Roman" w:cs="Times New Roman"/>
          <w:color w:val="333333"/>
          <w:sz w:val="24"/>
          <w:szCs w:val="24"/>
        </w:rPr>
        <w:t>Rules as to form and notice shall not be dispensed with on account of urgency;</w:t>
      </w:r>
    </w:p>
    <w:p w:rsidR="0008235E" w:rsidRPr="009440E3" w:rsidRDefault="009C2E3D" w:rsidP="009C2E3D">
      <w:pPr>
        <w:pStyle w:val="ListParagraph"/>
        <w:shd w:val="clear" w:color="auto" w:fill="FFFFFF"/>
        <w:spacing w:after="0" w:line="480" w:lineRule="auto"/>
        <w:ind w:left="2160" w:hanging="720"/>
        <w:jc w:val="both"/>
        <w:textAlignment w:val="baseline"/>
        <w:rPr>
          <w:rFonts w:ascii="Times New Roman" w:eastAsia="Times New Roman" w:hAnsi="Times New Roman" w:cs="Times New Roman"/>
          <w:color w:val="333333"/>
          <w:sz w:val="24"/>
          <w:szCs w:val="24"/>
        </w:rPr>
      </w:pPr>
      <w:r w:rsidRPr="009440E3">
        <w:rPr>
          <w:rFonts w:ascii="Times New Roman" w:eastAsia="Times New Roman" w:hAnsi="Times New Roman" w:cs="Times New Roman"/>
          <w:color w:val="333333"/>
          <w:sz w:val="24"/>
          <w:szCs w:val="24"/>
        </w:rPr>
        <w:t>d)</w:t>
      </w:r>
      <w:r w:rsidRPr="009440E3">
        <w:rPr>
          <w:rFonts w:ascii="Times New Roman" w:eastAsia="Times New Roman" w:hAnsi="Times New Roman" w:cs="Times New Roman"/>
          <w:color w:val="333333"/>
          <w:sz w:val="24"/>
          <w:szCs w:val="24"/>
        </w:rPr>
        <w:tab/>
        <w:t xml:space="preserve">The </w:t>
      </w:r>
      <w:r w:rsidR="0008235E" w:rsidRPr="009440E3">
        <w:rPr>
          <w:rFonts w:ascii="Times New Roman" w:eastAsia="Times New Roman" w:hAnsi="Times New Roman" w:cs="Times New Roman"/>
          <w:color w:val="333333"/>
          <w:sz w:val="24"/>
          <w:szCs w:val="24"/>
        </w:rPr>
        <w:t>Respondents Shall not be directed to pay costs hereof only in the event of their opposition hereto;</w:t>
      </w:r>
    </w:p>
    <w:p w:rsidR="009C2E3D" w:rsidRDefault="009C2E3D" w:rsidP="009440E3">
      <w:pPr>
        <w:pStyle w:val="ListParagraph"/>
        <w:shd w:val="clear" w:color="auto" w:fill="FFFFFF"/>
        <w:spacing w:after="0" w:line="480" w:lineRule="auto"/>
        <w:ind w:left="2160" w:hanging="720"/>
        <w:jc w:val="both"/>
        <w:textAlignment w:val="baseline"/>
        <w:rPr>
          <w:rFonts w:ascii="Times New Roman" w:eastAsia="Times New Roman" w:hAnsi="Times New Roman" w:cs="Times New Roman"/>
          <w:color w:val="333333"/>
          <w:sz w:val="24"/>
          <w:szCs w:val="24"/>
        </w:rPr>
      </w:pPr>
      <w:r w:rsidRPr="009440E3">
        <w:rPr>
          <w:rFonts w:ascii="Times New Roman" w:eastAsia="Times New Roman" w:hAnsi="Times New Roman" w:cs="Times New Roman"/>
          <w:color w:val="333333"/>
          <w:sz w:val="24"/>
          <w:szCs w:val="24"/>
        </w:rPr>
        <w:t>e)</w:t>
      </w:r>
      <w:r w:rsidRPr="009440E3">
        <w:rPr>
          <w:rFonts w:ascii="Times New Roman" w:eastAsia="Times New Roman" w:hAnsi="Times New Roman" w:cs="Times New Roman"/>
          <w:color w:val="333333"/>
          <w:sz w:val="24"/>
          <w:szCs w:val="24"/>
        </w:rPr>
        <w:tab/>
      </w:r>
      <w:r w:rsidR="0008235E" w:rsidRPr="009440E3">
        <w:rPr>
          <w:rFonts w:ascii="Times New Roman" w:eastAsia="Times New Roman" w:hAnsi="Times New Roman" w:cs="Times New Roman"/>
          <w:color w:val="333333"/>
          <w:sz w:val="24"/>
          <w:szCs w:val="24"/>
        </w:rPr>
        <w:t>The applicant shall not be granted further and/ or alternative relief</w:t>
      </w:r>
      <w:r w:rsidRPr="009440E3">
        <w:rPr>
          <w:rFonts w:ascii="Times New Roman" w:eastAsia="Times New Roman" w:hAnsi="Times New Roman" w:cs="Times New Roman"/>
          <w:color w:val="333333"/>
          <w:sz w:val="24"/>
          <w:szCs w:val="24"/>
        </w:rPr>
        <w:t>;</w:t>
      </w:r>
    </w:p>
    <w:p w:rsidR="00BF7F74" w:rsidRPr="009440E3" w:rsidRDefault="00BF7F74" w:rsidP="009440E3">
      <w:pPr>
        <w:pStyle w:val="ListParagraph"/>
        <w:shd w:val="clear" w:color="auto" w:fill="FFFFFF"/>
        <w:spacing w:after="0" w:line="480" w:lineRule="auto"/>
        <w:ind w:left="2160" w:hanging="720"/>
        <w:jc w:val="both"/>
        <w:textAlignment w:val="baseline"/>
        <w:rPr>
          <w:rFonts w:ascii="Times New Roman" w:eastAsia="Times New Roman" w:hAnsi="Times New Roman" w:cs="Times New Roman"/>
          <w:color w:val="333333"/>
          <w:sz w:val="24"/>
          <w:szCs w:val="24"/>
        </w:rPr>
      </w:pPr>
    </w:p>
    <w:p w:rsidR="009440E3" w:rsidRPr="009440E3" w:rsidRDefault="009C2E3D" w:rsidP="00B66EF1">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9440E3">
        <w:rPr>
          <w:rFonts w:ascii="Times New Roman" w:eastAsia="Times New Roman" w:hAnsi="Times New Roman" w:cs="Times New Roman"/>
          <w:color w:val="333333"/>
          <w:sz w:val="24"/>
          <w:szCs w:val="24"/>
        </w:rPr>
        <w:tab/>
        <w:t>2.</w:t>
      </w:r>
      <w:r w:rsidRPr="009440E3">
        <w:rPr>
          <w:rFonts w:ascii="Times New Roman" w:eastAsia="Times New Roman" w:hAnsi="Times New Roman" w:cs="Times New Roman"/>
          <w:color w:val="333333"/>
          <w:sz w:val="24"/>
          <w:szCs w:val="24"/>
        </w:rPr>
        <w:tab/>
      </w:r>
      <w:r w:rsidR="0008235E" w:rsidRPr="009440E3">
        <w:rPr>
          <w:rFonts w:ascii="Times New Roman" w:eastAsia="Times New Roman" w:hAnsi="Times New Roman" w:cs="Times New Roman"/>
          <w:color w:val="333333"/>
          <w:sz w:val="24"/>
          <w:szCs w:val="24"/>
        </w:rPr>
        <w:t>That prayers 1(a) and (c)</w:t>
      </w:r>
      <w:r w:rsidR="00C46315" w:rsidRPr="009440E3">
        <w:rPr>
          <w:rFonts w:ascii="Times New Roman" w:eastAsia="Times New Roman" w:hAnsi="Times New Roman" w:cs="Times New Roman"/>
          <w:color w:val="333333"/>
          <w:sz w:val="24"/>
          <w:szCs w:val="24"/>
        </w:rPr>
        <w:t xml:space="preserve"> operate with immediate effect as </w:t>
      </w:r>
      <w:r w:rsidR="0008235E" w:rsidRPr="009440E3">
        <w:rPr>
          <w:rFonts w:ascii="Times New Roman" w:eastAsia="Times New Roman" w:hAnsi="Times New Roman" w:cs="Times New Roman"/>
          <w:color w:val="333333"/>
          <w:sz w:val="24"/>
          <w:szCs w:val="24"/>
        </w:rPr>
        <w:t>an interim Court Order pending the finalization hereof.</w:t>
      </w:r>
      <w:r w:rsidR="009440E3" w:rsidRPr="009440E3">
        <w:rPr>
          <w:rFonts w:ascii="Times New Roman" w:eastAsia="Times New Roman" w:hAnsi="Times New Roman" w:cs="Times New Roman"/>
          <w:color w:val="333333"/>
          <w:sz w:val="24"/>
          <w:szCs w:val="24"/>
        </w:rPr>
        <w:t>”</w:t>
      </w:r>
    </w:p>
    <w:p w:rsidR="00C46315" w:rsidRPr="00A0326F" w:rsidRDefault="00C46315" w:rsidP="00A0326F">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sidRPr="00A0326F">
        <w:rPr>
          <w:rFonts w:ascii="Times New Roman" w:eastAsia="Times New Roman" w:hAnsi="Times New Roman" w:cs="Times New Roman"/>
          <w:color w:val="333333"/>
          <w:sz w:val="28"/>
          <w:szCs w:val="28"/>
        </w:rPr>
        <w:t>The</w:t>
      </w:r>
      <w:r w:rsidR="00395A5F">
        <w:rPr>
          <w:rFonts w:ascii="Times New Roman" w:eastAsia="Times New Roman" w:hAnsi="Times New Roman" w:cs="Times New Roman"/>
          <w:color w:val="333333"/>
          <w:sz w:val="28"/>
          <w:szCs w:val="28"/>
        </w:rPr>
        <w:t>re is nothing in the Court file to indicate that the</w:t>
      </w:r>
      <w:r w:rsidR="007670A5">
        <w:rPr>
          <w:rFonts w:ascii="Times New Roman" w:eastAsia="Times New Roman" w:hAnsi="Times New Roman" w:cs="Times New Roman"/>
          <w:color w:val="333333"/>
          <w:sz w:val="28"/>
          <w:szCs w:val="28"/>
        </w:rPr>
        <w:t xml:space="preserve"> </w:t>
      </w:r>
      <w:r w:rsidR="00395A5F">
        <w:rPr>
          <w:rFonts w:ascii="Times New Roman" w:eastAsia="Times New Roman" w:hAnsi="Times New Roman" w:cs="Times New Roman"/>
          <w:color w:val="333333"/>
          <w:sz w:val="28"/>
          <w:szCs w:val="28"/>
        </w:rPr>
        <w:t xml:space="preserve">interim relief was pursued or granted. The </w:t>
      </w:r>
      <w:r w:rsidRPr="00A0326F">
        <w:rPr>
          <w:rFonts w:ascii="Times New Roman" w:eastAsia="Times New Roman" w:hAnsi="Times New Roman" w:cs="Times New Roman"/>
          <w:color w:val="333333"/>
          <w:sz w:val="28"/>
          <w:szCs w:val="28"/>
        </w:rPr>
        <w:t>application is opposed</w:t>
      </w:r>
      <w:r w:rsidR="003D58C9">
        <w:rPr>
          <w:rFonts w:ascii="Times New Roman" w:eastAsia="Times New Roman" w:hAnsi="Times New Roman" w:cs="Times New Roman"/>
          <w:color w:val="333333"/>
          <w:sz w:val="28"/>
          <w:szCs w:val="28"/>
        </w:rPr>
        <w:t xml:space="preserve"> by the first respondent</w:t>
      </w:r>
      <w:r w:rsidRPr="00A0326F">
        <w:rPr>
          <w:rFonts w:ascii="Times New Roman" w:eastAsia="Times New Roman" w:hAnsi="Times New Roman" w:cs="Times New Roman"/>
          <w:color w:val="333333"/>
          <w:sz w:val="28"/>
          <w:szCs w:val="28"/>
        </w:rPr>
        <w:t>.</w:t>
      </w:r>
    </w:p>
    <w:p w:rsidR="00C46315" w:rsidRPr="00A0326F" w:rsidRDefault="00C46315" w:rsidP="00A0326F">
      <w:pPr>
        <w:shd w:val="clear" w:color="auto" w:fill="FFFFFF"/>
        <w:spacing w:after="225" w:line="240" w:lineRule="auto"/>
        <w:jc w:val="both"/>
        <w:textAlignment w:val="baseline"/>
        <w:rPr>
          <w:rFonts w:ascii="Times New Roman" w:eastAsia="Times New Roman" w:hAnsi="Times New Roman" w:cs="Times New Roman"/>
          <w:color w:val="333333"/>
          <w:sz w:val="28"/>
          <w:szCs w:val="28"/>
        </w:rPr>
      </w:pPr>
      <w:r w:rsidRPr="00A0326F">
        <w:rPr>
          <w:rFonts w:ascii="Times New Roman" w:eastAsia="Times New Roman" w:hAnsi="Times New Roman" w:cs="Times New Roman"/>
          <w:color w:val="333333"/>
          <w:sz w:val="28"/>
          <w:szCs w:val="28"/>
        </w:rPr>
        <w:t> </w:t>
      </w:r>
    </w:p>
    <w:p w:rsidR="00C46315" w:rsidRPr="00A0326F" w:rsidRDefault="00C46315" w:rsidP="00A0326F">
      <w:pPr>
        <w:spacing w:after="0" w:line="480" w:lineRule="auto"/>
        <w:jc w:val="both"/>
        <w:rPr>
          <w:rFonts w:ascii="Times New Roman" w:hAnsi="Times New Roman" w:cs="Times New Roman"/>
          <w:b/>
          <w:bCs/>
          <w:sz w:val="28"/>
          <w:szCs w:val="28"/>
          <w:u w:val="single"/>
        </w:rPr>
      </w:pPr>
      <w:r w:rsidRPr="00A0326F">
        <w:rPr>
          <w:rFonts w:ascii="Times New Roman" w:hAnsi="Times New Roman" w:cs="Times New Roman"/>
          <w:b/>
          <w:bCs/>
          <w:sz w:val="28"/>
          <w:szCs w:val="28"/>
          <w:u w:val="single"/>
        </w:rPr>
        <w:t>BACKGROUND</w:t>
      </w:r>
      <w:r w:rsidR="00BF7F74">
        <w:rPr>
          <w:rFonts w:ascii="Times New Roman" w:hAnsi="Times New Roman" w:cs="Times New Roman"/>
          <w:b/>
          <w:bCs/>
          <w:sz w:val="28"/>
          <w:szCs w:val="28"/>
          <w:u w:val="single"/>
        </w:rPr>
        <w:t>:</w:t>
      </w:r>
    </w:p>
    <w:p w:rsidR="00EE22E9" w:rsidRPr="00A0326F" w:rsidRDefault="00194143" w:rsidP="00A0326F">
      <w:pPr>
        <w:spacing w:after="0" w:line="480" w:lineRule="auto"/>
        <w:jc w:val="both"/>
        <w:rPr>
          <w:rFonts w:ascii="Times New Roman" w:hAnsi="Times New Roman" w:cs="Times New Roman"/>
          <w:sz w:val="28"/>
          <w:szCs w:val="28"/>
        </w:rPr>
      </w:pPr>
      <w:r w:rsidRPr="00A0326F">
        <w:rPr>
          <w:rFonts w:ascii="Times New Roman" w:hAnsi="Times New Roman" w:cs="Times New Roman"/>
          <w:sz w:val="28"/>
          <w:szCs w:val="28"/>
        </w:rPr>
        <w:t>[2</w:t>
      </w:r>
      <w:r w:rsidR="00C46315" w:rsidRPr="00A0326F">
        <w:rPr>
          <w:rFonts w:ascii="Times New Roman" w:hAnsi="Times New Roman" w:cs="Times New Roman"/>
          <w:sz w:val="28"/>
          <w:szCs w:val="28"/>
        </w:rPr>
        <w:t>]</w:t>
      </w:r>
      <w:r w:rsidR="00BF7F74">
        <w:rPr>
          <w:rFonts w:ascii="Times New Roman" w:hAnsi="Times New Roman" w:cs="Times New Roman"/>
          <w:sz w:val="28"/>
          <w:szCs w:val="28"/>
        </w:rPr>
        <w:tab/>
      </w:r>
      <w:r w:rsidR="00BF7F74">
        <w:rPr>
          <w:rFonts w:ascii="Times New Roman" w:hAnsi="Times New Roman" w:cs="Times New Roman"/>
          <w:sz w:val="28"/>
          <w:szCs w:val="28"/>
        </w:rPr>
        <w:tab/>
      </w:r>
      <w:r w:rsidRPr="00A0326F">
        <w:rPr>
          <w:rFonts w:ascii="Times New Roman" w:hAnsi="Times New Roman" w:cs="Times New Roman"/>
          <w:sz w:val="28"/>
          <w:szCs w:val="28"/>
        </w:rPr>
        <w:t>The</w:t>
      </w:r>
      <w:r w:rsidR="0071515F">
        <w:rPr>
          <w:rFonts w:ascii="Times New Roman" w:hAnsi="Times New Roman" w:cs="Times New Roman"/>
          <w:sz w:val="28"/>
          <w:szCs w:val="28"/>
        </w:rPr>
        <w:t xml:space="preserve"> first </w:t>
      </w:r>
      <w:r w:rsidR="00627501">
        <w:rPr>
          <w:rFonts w:ascii="Times New Roman" w:hAnsi="Times New Roman" w:cs="Times New Roman"/>
          <w:sz w:val="28"/>
          <w:szCs w:val="28"/>
        </w:rPr>
        <w:t xml:space="preserve">respondent issued out summons as plaintiff against applicant as defendant in the trial on the </w:t>
      </w:r>
      <w:r w:rsidRPr="00A0326F">
        <w:rPr>
          <w:rFonts w:ascii="Times New Roman" w:hAnsi="Times New Roman" w:cs="Times New Roman"/>
          <w:sz w:val="28"/>
          <w:szCs w:val="28"/>
        </w:rPr>
        <w:t>5</w:t>
      </w:r>
      <w:r w:rsidRPr="00A0326F">
        <w:rPr>
          <w:rFonts w:ascii="Times New Roman" w:hAnsi="Times New Roman" w:cs="Times New Roman"/>
          <w:sz w:val="28"/>
          <w:szCs w:val="28"/>
          <w:vertAlign w:val="superscript"/>
        </w:rPr>
        <w:t>th</w:t>
      </w:r>
      <w:r w:rsidRPr="00A0326F">
        <w:rPr>
          <w:rFonts w:ascii="Times New Roman" w:hAnsi="Times New Roman" w:cs="Times New Roman"/>
          <w:sz w:val="28"/>
          <w:szCs w:val="28"/>
        </w:rPr>
        <w:t xml:space="preserve"> December 2017 claiming </w:t>
      </w:r>
      <w:r w:rsidR="00BF7F74">
        <w:rPr>
          <w:rFonts w:ascii="Times New Roman" w:hAnsi="Times New Roman" w:cs="Times New Roman"/>
          <w:sz w:val="28"/>
          <w:szCs w:val="28"/>
        </w:rPr>
        <w:t>amongst others p</w:t>
      </w:r>
      <w:r w:rsidRPr="00A0326F">
        <w:rPr>
          <w:rFonts w:ascii="Times New Roman" w:hAnsi="Times New Roman" w:cs="Times New Roman"/>
          <w:sz w:val="28"/>
          <w:szCs w:val="28"/>
        </w:rPr>
        <w:t xml:space="preserve">ayment of the sum of M113, 971.55 </w:t>
      </w:r>
      <w:r w:rsidR="00401716" w:rsidRPr="00A0326F">
        <w:rPr>
          <w:rFonts w:ascii="Times New Roman" w:hAnsi="Times New Roman" w:cs="Times New Roman"/>
          <w:sz w:val="28"/>
          <w:szCs w:val="28"/>
        </w:rPr>
        <w:t>(One</w:t>
      </w:r>
      <w:r w:rsidRPr="00A0326F">
        <w:rPr>
          <w:rFonts w:ascii="Times New Roman" w:hAnsi="Times New Roman" w:cs="Times New Roman"/>
          <w:sz w:val="28"/>
          <w:szCs w:val="28"/>
        </w:rPr>
        <w:t xml:space="preserve"> Hundred and Thirteen Thousand</w:t>
      </w:r>
      <w:r w:rsidR="0055302C">
        <w:rPr>
          <w:rFonts w:ascii="Times New Roman" w:hAnsi="Times New Roman" w:cs="Times New Roman"/>
          <w:sz w:val="28"/>
          <w:szCs w:val="28"/>
        </w:rPr>
        <w:t>,</w:t>
      </w:r>
      <w:r w:rsidRPr="00A0326F">
        <w:rPr>
          <w:rFonts w:ascii="Times New Roman" w:hAnsi="Times New Roman" w:cs="Times New Roman"/>
          <w:sz w:val="28"/>
          <w:szCs w:val="28"/>
        </w:rPr>
        <w:t xml:space="preserve"> Nine </w:t>
      </w:r>
      <w:r w:rsidR="00401716" w:rsidRPr="00A0326F">
        <w:rPr>
          <w:rFonts w:ascii="Times New Roman" w:hAnsi="Times New Roman" w:cs="Times New Roman"/>
          <w:sz w:val="28"/>
          <w:szCs w:val="28"/>
        </w:rPr>
        <w:t>Hundred and Seventy One Maloti</w:t>
      </w:r>
      <w:r w:rsidRPr="00A0326F">
        <w:rPr>
          <w:rFonts w:ascii="Times New Roman" w:hAnsi="Times New Roman" w:cs="Times New Roman"/>
          <w:sz w:val="28"/>
          <w:szCs w:val="28"/>
        </w:rPr>
        <w:t xml:space="preserve"> and Fifty Five Lisente)</w:t>
      </w:r>
      <w:r w:rsidR="00BF7F74">
        <w:rPr>
          <w:rFonts w:ascii="Times New Roman" w:hAnsi="Times New Roman" w:cs="Times New Roman"/>
          <w:sz w:val="28"/>
          <w:szCs w:val="28"/>
        </w:rPr>
        <w:t>, i</w:t>
      </w:r>
      <w:r w:rsidRPr="00A0326F">
        <w:rPr>
          <w:rFonts w:ascii="Times New Roman" w:hAnsi="Times New Roman" w:cs="Times New Roman"/>
          <w:sz w:val="28"/>
          <w:szCs w:val="28"/>
        </w:rPr>
        <w:t>nterest thereon at the prime rate plus 10% per annum from the 12</w:t>
      </w:r>
      <w:r w:rsidRPr="00A0326F">
        <w:rPr>
          <w:rFonts w:ascii="Times New Roman" w:hAnsi="Times New Roman" w:cs="Times New Roman"/>
          <w:sz w:val="28"/>
          <w:szCs w:val="28"/>
          <w:vertAlign w:val="superscript"/>
        </w:rPr>
        <w:t>th</w:t>
      </w:r>
      <w:r w:rsidRPr="00A0326F">
        <w:rPr>
          <w:rFonts w:ascii="Times New Roman" w:hAnsi="Times New Roman" w:cs="Times New Roman"/>
          <w:sz w:val="28"/>
          <w:szCs w:val="28"/>
        </w:rPr>
        <w:t xml:space="preserve"> September 2017 to date of payment</w:t>
      </w:r>
      <w:r w:rsidR="00BF7F74">
        <w:rPr>
          <w:rFonts w:ascii="Times New Roman" w:hAnsi="Times New Roman" w:cs="Times New Roman"/>
          <w:sz w:val="28"/>
          <w:szCs w:val="28"/>
        </w:rPr>
        <w:t xml:space="preserve"> and c</w:t>
      </w:r>
      <w:r w:rsidRPr="00A0326F">
        <w:rPr>
          <w:rFonts w:ascii="Times New Roman" w:hAnsi="Times New Roman" w:cs="Times New Roman"/>
          <w:sz w:val="28"/>
          <w:szCs w:val="28"/>
        </w:rPr>
        <w:t>osts of suit on attorney and client scale</w:t>
      </w:r>
      <w:r w:rsidR="00BF7F74">
        <w:rPr>
          <w:rFonts w:ascii="Times New Roman" w:hAnsi="Times New Roman" w:cs="Times New Roman"/>
          <w:sz w:val="28"/>
          <w:szCs w:val="28"/>
        </w:rPr>
        <w:t xml:space="preserve">. </w:t>
      </w:r>
    </w:p>
    <w:p w:rsidR="00EE22E9" w:rsidRPr="00A0326F" w:rsidRDefault="00194143" w:rsidP="00A0326F">
      <w:pPr>
        <w:spacing w:after="0" w:line="480" w:lineRule="auto"/>
        <w:jc w:val="both"/>
        <w:rPr>
          <w:rFonts w:ascii="Times New Roman" w:hAnsi="Times New Roman" w:cs="Times New Roman"/>
          <w:sz w:val="28"/>
          <w:szCs w:val="28"/>
        </w:rPr>
      </w:pPr>
      <w:r w:rsidRPr="00A0326F">
        <w:rPr>
          <w:rFonts w:ascii="Times New Roman" w:hAnsi="Times New Roman" w:cs="Times New Roman"/>
          <w:sz w:val="28"/>
          <w:szCs w:val="28"/>
        </w:rPr>
        <w:t xml:space="preserve">[3] </w:t>
      </w:r>
      <w:r w:rsidR="004F66C2">
        <w:rPr>
          <w:rFonts w:ascii="Times New Roman" w:hAnsi="Times New Roman" w:cs="Times New Roman"/>
          <w:sz w:val="28"/>
          <w:szCs w:val="28"/>
        </w:rPr>
        <w:tab/>
      </w:r>
      <w:r w:rsidR="004F66C2">
        <w:rPr>
          <w:rFonts w:ascii="Times New Roman" w:hAnsi="Times New Roman" w:cs="Times New Roman"/>
          <w:sz w:val="28"/>
          <w:szCs w:val="28"/>
        </w:rPr>
        <w:tab/>
      </w:r>
      <w:r w:rsidRPr="00A0326F">
        <w:rPr>
          <w:rFonts w:ascii="Times New Roman" w:hAnsi="Times New Roman" w:cs="Times New Roman"/>
          <w:sz w:val="28"/>
          <w:szCs w:val="28"/>
        </w:rPr>
        <w:t xml:space="preserve">The </w:t>
      </w:r>
      <w:r w:rsidR="00627501">
        <w:rPr>
          <w:rFonts w:ascii="Times New Roman" w:hAnsi="Times New Roman" w:cs="Times New Roman"/>
          <w:sz w:val="28"/>
          <w:szCs w:val="28"/>
        </w:rPr>
        <w:t xml:space="preserve">applicant </w:t>
      </w:r>
      <w:r w:rsidRPr="00A0326F">
        <w:rPr>
          <w:rFonts w:ascii="Times New Roman" w:hAnsi="Times New Roman" w:cs="Times New Roman"/>
          <w:sz w:val="28"/>
          <w:szCs w:val="28"/>
        </w:rPr>
        <w:t xml:space="preserve">subsequently served the </w:t>
      </w:r>
      <w:r w:rsidR="0071515F">
        <w:rPr>
          <w:rFonts w:ascii="Times New Roman" w:hAnsi="Times New Roman" w:cs="Times New Roman"/>
          <w:sz w:val="28"/>
          <w:szCs w:val="28"/>
        </w:rPr>
        <w:t xml:space="preserve">first </w:t>
      </w:r>
      <w:r w:rsidR="00627501">
        <w:rPr>
          <w:rFonts w:ascii="Times New Roman" w:hAnsi="Times New Roman" w:cs="Times New Roman"/>
          <w:sz w:val="28"/>
          <w:szCs w:val="28"/>
        </w:rPr>
        <w:t xml:space="preserve">respondent </w:t>
      </w:r>
      <w:r w:rsidRPr="00A0326F">
        <w:rPr>
          <w:rFonts w:ascii="Times New Roman" w:hAnsi="Times New Roman" w:cs="Times New Roman"/>
          <w:sz w:val="28"/>
          <w:szCs w:val="28"/>
        </w:rPr>
        <w:t xml:space="preserve">with notice of </w:t>
      </w:r>
      <w:r w:rsidR="004F66C2">
        <w:rPr>
          <w:rFonts w:ascii="Times New Roman" w:hAnsi="Times New Roman" w:cs="Times New Roman"/>
          <w:sz w:val="28"/>
          <w:szCs w:val="28"/>
        </w:rPr>
        <w:t xml:space="preserve">appearance </w:t>
      </w:r>
      <w:r w:rsidRPr="00A0326F">
        <w:rPr>
          <w:rFonts w:ascii="Times New Roman" w:hAnsi="Times New Roman" w:cs="Times New Roman"/>
          <w:sz w:val="28"/>
          <w:szCs w:val="28"/>
        </w:rPr>
        <w:t>to defend on the 12</w:t>
      </w:r>
      <w:r w:rsidRPr="00A0326F">
        <w:rPr>
          <w:rFonts w:ascii="Times New Roman" w:hAnsi="Times New Roman" w:cs="Times New Roman"/>
          <w:sz w:val="28"/>
          <w:szCs w:val="28"/>
          <w:vertAlign w:val="superscript"/>
        </w:rPr>
        <w:t>th</w:t>
      </w:r>
      <w:r w:rsidRPr="00A0326F">
        <w:rPr>
          <w:rFonts w:ascii="Times New Roman" w:hAnsi="Times New Roman" w:cs="Times New Roman"/>
          <w:sz w:val="28"/>
          <w:szCs w:val="28"/>
        </w:rPr>
        <w:t xml:space="preserve"> December 2017</w:t>
      </w:r>
      <w:r w:rsidR="00627501">
        <w:rPr>
          <w:rFonts w:ascii="Times New Roman" w:hAnsi="Times New Roman" w:cs="Times New Roman"/>
          <w:sz w:val="28"/>
          <w:szCs w:val="28"/>
        </w:rPr>
        <w:t xml:space="preserve"> and filed it in Court </w:t>
      </w:r>
      <w:r w:rsidR="004F66C2">
        <w:rPr>
          <w:rFonts w:ascii="Times New Roman" w:hAnsi="Times New Roman" w:cs="Times New Roman"/>
          <w:sz w:val="28"/>
          <w:szCs w:val="28"/>
        </w:rPr>
        <w:t xml:space="preserve">on the </w:t>
      </w:r>
      <w:r w:rsidR="004F66C2">
        <w:rPr>
          <w:rFonts w:ascii="Times New Roman" w:hAnsi="Times New Roman" w:cs="Times New Roman"/>
          <w:sz w:val="28"/>
          <w:szCs w:val="28"/>
        </w:rPr>
        <w:lastRenderedPageBreak/>
        <w:t>13</w:t>
      </w:r>
      <w:r w:rsidR="004F66C2" w:rsidRPr="004F66C2">
        <w:rPr>
          <w:rFonts w:ascii="Times New Roman" w:hAnsi="Times New Roman" w:cs="Times New Roman"/>
          <w:sz w:val="28"/>
          <w:szCs w:val="28"/>
          <w:vertAlign w:val="superscript"/>
        </w:rPr>
        <w:t>th</w:t>
      </w:r>
      <w:r w:rsidR="004F66C2">
        <w:rPr>
          <w:rFonts w:ascii="Times New Roman" w:hAnsi="Times New Roman" w:cs="Times New Roman"/>
          <w:sz w:val="28"/>
          <w:szCs w:val="28"/>
        </w:rPr>
        <w:t xml:space="preserve"> December 2017. O</w:t>
      </w:r>
      <w:r w:rsidRPr="00A0326F">
        <w:rPr>
          <w:rFonts w:ascii="Times New Roman" w:hAnsi="Times New Roman" w:cs="Times New Roman"/>
          <w:sz w:val="28"/>
          <w:szCs w:val="28"/>
        </w:rPr>
        <w:t>n the 19</w:t>
      </w:r>
      <w:r w:rsidRPr="00A0326F">
        <w:rPr>
          <w:rFonts w:ascii="Times New Roman" w:hAnsi="Times New Roman" w:cs="Times New Roman"/>
          <w:sz w:val="28"/>
          <w:szCs w:val="28"/>
          <w:vertAlign w:val="superscript"/>
        </w:rPr>
        <w:t>th</w:t>
      </w:r>
      <w:r w:rsidRPr="00A0326F">
        <w:rPr>
          <w:rFonts w:ascii="Times New Roman" w:hAnsi="Times New Roman" w:cs="Times New Roman"/>
          <w:sz w:val="28"/>
          <w:szCs w:val="28"/>
        </w:rPr>
        <w:t xml:space="preserve"> of January 2018 the </w:t>
      </w:r>
      <w:r w:rsidR="0071515F">
        <w:rPr>
          <w:rFonts w:ascii="Times New Roman" w:hAnsi="Times New Roman" w:cs="Times New Roman"/>
          <w:sz w:val="28"/>
          <w:szCs w:val="28"/>
        </w:rPr>
        <w:t xml:space="preserve">first </w:t>
      </w:r>
      <w:r w:rsidR="00627501">
        <w:rPr>
          <w:rFonts w:ascii="Times New Roman" w:hAnsi="Times New Roman" w:cs="Times New Roman"/>
          <w:sz w:val="28"/>
          <w:szCs w:val="28"/>
        </w:rPr>
        <w:t xml:space="preserve">respondent </w:t>
      </w:r>
      <w:r w:rsidR="004F66C2">
        <w:rPr>
          <w:rFonts w:ascii="Times New Roman" w:hAnsi="Times New Roman" w:cs="Times New Roman"/>
          <w:sz w:val="28"/>
          <w:szCs w:val="28"/>
        </w:rPr>
        <w:t xml:space="preserve">served the </w:t>
      </w:r>
      <w:r w:rsidR="00627501">
        <w:rPr>
          <w:rFonts w:ascii="Times New Roman" w:hAnsi="Times New Roman" w:cs="Times New Roman"/>
          <w:sz w:val="28"/>
          <w:szCs w:val="28"/>
        </w:rPr>
        <w:t xml:space="preserve">applicant </w:t>
      </w:r>
      <w:r w:rsidR="004F66C2">
        <w:rPr>
          <w:rFonts w:ascii="Times New Roman" w:hAnsi="Times New Roman" w:cs="Times New Roman"/>
          <w:sz w:val="28"/>
          <w:szCs w:val="28"/>
        </w:rPr>
        <w:t xml:space="preserve">with a notice of application for </w:t>
      </w:r>
      <w:r w:rsidR="00495930">
        <w:rPr>
          <w:rFonts w:ascii="Times New Roman" w:hAnsi="Times New Roman" w:cs="Times New Roman"/>
          <w:sz w:val="28"/>
          <w:szCs w:val="28"/>
        </w:rPr>
        <w:t>s</w:t>
      </w:r>
      <w:r w:rsidR="004F66C2">
        <w:rPr>
          <w:rFonts w:ascii="Times New Roman" w:hAnsi="Times New Roman" w:cs="Times New Roman"/>
          <w:sz w:val="28"/>
          <w:szCs w:val="28"/>
        </w:rPr>
        <w:t xml:space="preserve">ummary </w:t>
      </w:r>
      <w:r w:rsidR="00495930">
        <w:rPr>
          <w:rFonts w:ascii="Times New Roman" w:hAnsi="Times New Roman" w:cs="Times New Roman"/>
          <w:sz w:val="28"/>
          <w:szCs w:val="28"/>
        </w:rPr>
        <w:t>j</w:t>
      </w:r>
      <w:r w:rsidR="004F66C2">
        <w:rPr>
          <w:rFonts w:ascii="Times New Roman" w:hAnsi="Times New Roman" w:cs="Times New Roman"/>
          <w:sz w:val="28"/>
          <w:szCs w:val="28"/>
        </w:rPr>
        <w:t xml:space="preserve">udgment </w:t>
      </w:r>
      <w:r w:rsidR="00EE22E9">
        <w:rPr>
          <w:rFonts w:ascii="Times New Roman" w:hAnsi="Times New Roman" w:cs="Times New Roman"/>
          <w:sz w:val="28"/>
          <w:szCs w:val="28"/>
        </w:rPr>
        <w:t>with a set down for the 20</w:t>
      </w:r>
      <w:r w:rsidR="00EE22E9" w:rsidRPr="00EE22E9">
        <w:rPr>
          <w:rFonts w:ascii="Times New Roman" w:hAnsi="Times New Roman" w:cs="Times New Roman"/>
          <w:sz w:val="28"/>
          <w:szCs w:val="28"/>
          <w:vertAlign w:val="superscript"/>
        </w:rPr>
        <w:t>th</w:t>
      </w:r>
      <w:r w:rsidR="00EE22E9">
        <w:rPr>
          <w:rFonts w:ascii="Times New Roman" w:hAnsi="Times New Roman" w:cs="Times New Roman"/>
          <w:sz w:val="28"/>
          <w:szCs w:val="28"/>
        </w:rPr>
        <w:t xml:space="preserve"> February 2018. The application was filed the same day it was served. </w:t>
      </w:r>
    </w:p>
    <w:p w:rsidR="00FB3C42" w:rsidRDefault="00194143" w:rsidP="00A0326F">
      <w:pPr>
        <w:spacing w:after="0" w:line="480" w:lineRule="auto"/>
        <w:jc w:val="both"/>
        <w:rPr>
          <w:rFonts w:ascii="Times New Roman" w:hAnsi="Times New Roman" w:cs="Times New Roman"/>
          <w:sz w:val="28"/>
          <w:szCs w:val="28"/>
        </w:rPr>
      </w:pPr>
      <w:r w:rsidRPr="00A0326F">
        <w:rPr>
          <w:rFonts w:ascii="Times New Roman" w:hAnsi="Times New Roman" w:cs="Times New Roman"/>
          <w:sz w:val="28"/>
          <w:szCs w:val="28"/>
        </w:rPr>
        <w:t xml:space="preserve">[4] </w:t>
      </w:r>
      <w:r w:rsidR="00EE22E9">
        <w:rPr>
          <w:rFonts w:ascii="Times New Roman" w:hAnsi="Times New Roman" w:cs="Times New Roman"/>
          <w:sz w:val="28"/>
          <w:szCs w:val="28"/>
        </w:rPr>
        <w:tab/>
      </w:r>
      <w:r w:rsidR="00EE22E9">
        <w:rPr>
          <w:rFonts w:ascii="Times New Roman" w:hAnsi="Times New Roman" w:cs="Times New Roman"/>
          <w:sz w:val="28"/>
          <w:szCs w:val="28"/>
        </w:rPr>
        <w:tab/>
        <w:t xml:space="preserve">The application for </w:t>
      </w:r>
      <w:r w:rsidR="00495930">
        <w:rPr>
          <w:rFonts w:ascii="Times New Roman" w:hAnsi="Times New Roman" w:cs="Times New Roman"/>
          <w:sz w:val="28"/>
          <w:szCs w:val="28"/>
        </w:rPr>
        <w:t>s</w:t>
      </w:r>
      <w:r w:rsidR="00EE22E9">
        <w:rPr>
          <w:rFonts w:ascii="Times New Roman" w:hAnsi="Times New Roman" w:cs="Times New Roman"/>
          <w:sz w:val="28"/>
          <w:szCs w:val="28"/>
        </w:rPr>
        <w:t xml:space="preserve">ummary </w:t>
      </w:r>
      <w:r w:rsidR="00495930">
        <w:rPr>
          <w:rFonts w:ascii="Times New Roman" w:hAnsi="Times New Roman" w:cs="Times New Roman"/>
          <w:sz w:val="28"/>
          <w:szCs w:val="28"/>
        </w:rPr>
        <w:t>j</w:t>
      </w:r>
      <w:r w:rsidR="00EE22E9">
        <w:rPr>
          <w:rFonts w:ascii="Times New Roman" w:hAnsi="Times New Roman" w:cs="Times New Roman"/>
          <w:sz w:val="28"/>
          <w:szCs w:val="28"/>
        </w:rPr>
        <w:t>udgement could not proceed on the 20</w:t>
      </w:r>
      <w:r w:rsidR="00EE22E9" w:rsidRPr="00EE22E9">
        <w:rPr>
          <w:rFonts w:ascii="Times New Roman" w:hAnsi="Times New Roman" w:cs="Times New Roman"/>
          <w:sz w:val="28"/>
          <w:szCs w:val="28"/>
          <w:vertAlign w:val="superscript"/>
        </w:rPr>
        <w:t>th</w:t>
      </w:r>
      <w:r w:rsidR="00EE22E9">
        <w:rPr>
          <w:rFonts w:ascii="Times New Roman" w:hAnsi="Times New Roman" w:cs="Times New Roman"/>
          <w:sz w:val="28"/>
          <w:szCs w:val="28"/>
        </w:rPr>
        <w:t xml:space="preserve"> February 2018 because the Court was ceased with a constitutional case in the Constitutional Court as a result of which </w:t>
      </w:r>
      <w:r w:rsidR="007C0C47">
        <w:rPr>
          <w:rFonts w:ascii="Times New Roman" w:hAnsi="Times New Roman" w:cs="Times New Roman"/>
          <w:sz w:val="28"/>
          <w:szCs w:val="28"/>
        </w:rPr>
        <w:t xml:space="preserve">all </w:t>
      </w:r>
      <w:r w:rsidR="00EE22E9">
        <w:rPr>
          <w:rFonts w:ascii="Times New Roman" w:hAnsi="Times New Roman" w:cs="Times New Roman"/>
          <w:sz w:val="28"/>
          <w:szCs w:val="28"/>
        </w:rPr>
        <w:t>the matters that</w:t>
      </w:r>
      <w:r w:rsidR="007C0C47">
        <w:rPr>
          <w:rFonts w:ascii="Times New Roman" w:hAnsi="Times New Roman" w:cs="Times New Roman"/>
          <w:sz w:val="28"/>
          <w:szCs w:val="28"/>
        </w:rPr>
        <w:t xml:space="preserve"> could not be </w:t>
      </w:r>
      <w:r w:rsidR="00EE22E9">
        <w:rPr>
          <w:rFonts w:ascii="Times New Roman" w:hAnsi="Times New Roman" w:cs="Times New Roman"/>
          <w:sz w:val="28"/>
          <w:szCs w:val="28"/>
        </w:rPr>
        <w:t>heard on the 20</w:t>
      </w:r>
      <w:r w:rsidR="00EE22E9" w:rsidRPr="00EE22E9">
        <w:rPr>
          <w:rFonts w:ascii="Times New Roman" w:hAnsi="Times New Roman" w:cs="Times New Roman"/>
          <w:sz w:val="28"/>
          <w:szCs w:val="28"/>
          <w:vertAlign w:val="superscript"/>
        </w:rPr>
        <w:t>th</w:t>
      </w:r>
      <w:r w:rsidR="00EE22E9">
        <w:rPr>
          <w:rFonts w:ascii="Times New Roman" w:hAnsi="Times New Roman" w:cs="Times New Roman"/>
          <w:sz w:val="28"/>
          <w:szCs w:val="28"/>
        </w:rPr>
        <w:t xml:space="preserve"> February 2018 were </w:t>
      </w:r>
      <w:r w:rsidR="007C0C47">
        <w:rPr>
          <w:rFonts w:ascii="Times New Roman" w:hAnsi="Times New Roman" w:cs="Times New Roman"/>
          <w:sz w:val="28"/>
          <w:szCs w:val="28"/>
        </w:rPr>
        <w:t>set down for hearing on the 26</w:t>
      </w:r>
      <w:r w:rsidR="007C0C47" w:rsidRPr="007C0C47">
        <w:rPr>
          <w:rFonts w:ascii="Times New Roman" w:hAnsi="Times New Roman" w:cs="Times New Roman"/>
          <w:sz w:val="28"/>
          <w:szCs w:val="28"/>
          <w:vertAlign w:val="superscript"/>
        </w:rPr>
        <w:t>th</w:t>
      </w:r>
      <w:r w:rsidR="007C0C47">
        <w:rPr>
          <w:rFonts w:ascii="Times New Roman" w:hAnsi="Times New Roman" w:cs="Times New Roman"/>
          <w:sz w:val="28"/>
          <w:szCs w:val="28"/>
        </w:rPr>
        <w:t xml:space="preserve"> February 2018 by the Registrar. </w:t>
      </w:r>
    </w:p>
    <w:p w:rsidR="001E51CA" w:rsidRDefault="00FB3C42" w:rsidP="00A0326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007C0C47">
        <w:rPr>
          <w:rFonts w:ascii="Times New Roman" w:hAnsi="Times New Roman" w:cs="Times New Roman"/>
          <w:sz w:val="28"/>
          <w:szCs w:val="28"/>
        </w:rPr>
        <w:t xml:space="preserve">I have confirmed from </w:t>
      </w:r>
      <w:r>
        <w:rPr>
          <w:rFonts w:ascii="Times New Roman" w:hAnsi="Times New Roman" w:cs="Times New Roman"/>
          <w:sz w:val="28"/>
          <w:szCs w:val="28"/>
        </w:rPr>
        <w:t>the roll</w:t>
      </w:r>
      <w:r w:rsidR="003C102B">
        <w:rPr>
          <w:rFonts w:ascii="Times New Roman" w:hAnsi="Times New Roman" w:cs="Times New Roman"/>
          <w:sz w:val="28"/>
          <w:szCs w:val="28"/>
        </w:rPr>
        <w:t xml:space="preserve"> for the 26</w:t>
      </w:r>
      <w:r w:rsidR="003C102B" w:rsidRPr="003C102B">
        <w:rPr>
          <w:rFonts w:ascii="Times New Roman" w:hAnsi="Times New Roman" w:cs="Times New Roman"/>
          <w:sz w:val="28"/>
          <w:szCs w:val="28"/>
          <w:vertAlign w:val="superscript"/>
        </w:rPr>
        <w:t>th</w:t>
      </w:r>
      <w:r w:rsidR="003C102B">
        <w:rPr>
          <w:rFonts w:ascii="Times New Roman" w:hAnsi="Times New Roman" w:cs="Times New Roman"/>
          <w:sz w:val="28"/>
          <w:szCs w:val="28"/>
        </w:rPr>
        <w:t xml:space="preserve"> February 2018</w:t>
      </w:r>
      <w:r>
        <w:rPr>
          <w:rFonts w:ascii="Times New Roman" w:hAnsi="Times New Roman" w:cs="Times New Roman"/>
          <w:sz w:val="28"/>
          <w:szCs w:val="28"/>
        </w:rPr>
        <w:t xml:space="preserve"> annexed to the</w:t>
      </w:r>
      <w:r w:rsidR="0071515F">
        <w:rPr>
          <w:rFonts w:ascii="Times New Roman" w:hAnsi="Times New Roman" w:cs="Times New Roman"/>
          <w:sz w:val="28"/>
          <w:szCs w:val="28"/>
        </w:rPr>
        <w:t xml:space="preserve"> first r</w:t>
      </w:r>
      <w:r>
        <w:rPr>
          <w:rFonts w:ascii="Times New Roman" w:hAnsi="Times New Roman" w:cs="Times New Roman"/>
          <w:sz w:val="28"/>
          <w:szCs w:val="28"/>
        </w:rPr>
        <w:t>espondent’s answering affidavit that i</w:t>
      </w:r>
      <w:r w:rsidR="007C0C47">
        <w:rPr>
          <w:rFonts w:ascii="Times New Roman" w:hAnsi="Times New Roman" w:cs="Times New Roman"/>
          <w:sz w:val="28"/>
          <w:szCs w:val="28"/>
        </w:rPr>
        <w:t xml:space="preserve">ndeed the matter is </w:t>
      </w:r>
      <w:r w:rsidR="003C102B">
        <w:rPr>
          <w:rFonts w:ascii="Times New Roman" w:hAnsi="Times New Roman" w:cs="Times New Roman"/>
          <w:sz w:val="28"/>
          <w:szCs w:val="28"/>
        </w:rPr>
        <w:t xml:space="preserve">number one on the list </w:t>
      </w:r>
      <w:r w:rsidR="007C0C47">
        <w:rPr>
          <w:rFonts w:ascii="Times New Roman" w:hAnsi="Times New Roman" w:cs="Times New Roman"/>
          <w:sz w:val="28"/>
          <w:szCs w:val="28"/>
        </w:rPr>
        <w:t>before Chaka – Mak</w:t>
      </w:r>
      <w:r w:rsidR="003C102B">
        <w:rPr>
          <w:rFonts w:ascii="Times New Roman" w:hAnsi="Times New Roman" w:cs="Times New Roman"/>
          <w:sz w:val="28"/>
          <w:szCs w:val="28"/>
        </w:rPr>
        <w:t>h</w:t>
      </w:r>
      <w:r w:rsidR="007C0C47">
        <w:rPr>
          <w:rFonts w:ascii="Times New Roman" w:hAnsi="Times New Roman" w:cs="Times New Roman"/>
          <w:sz w:val="28"/>
          <w:szCs w:val="28"/>
        </w:rPr>
        <w:t xml:space="preserve">oane J, as she then was. </w:t>
      </w:r>
      <w:r w:rsidR="00194143" w:rsidRPr="00A0326F">
        <w:rPr>
          <w:rFonts w:ascii="Times New Roman" w:hAnsi="Times New Roman" w:cs="Times New Roman"/>
          <w:sz w:val="28"/>
          <w:szCs w:val="28"/>
        </w:rPr>
        <w:t xml:space="preserve">The </w:t>
      </w:r>
      <w:r w:rsidR="007C0C47">
        <w:rPr>
          <w:rFonts w:ascii="Times New Roman" w:hAnsi="Times New Roman" w:cs="Times New Roman"/>
          <w:sz w:val="28"/>
          <w:szCs w:val="28"/>
        </w:rPr>
        <w:t xml:space="preserve">application for </w:t>
      </w:r>
      <w:r w:rsidR="00495930">
        <w:rPr>
          <w:rFonts w:ascii="Times New Roman" w:hAnsi="Times New Roman" w:cs="Times New Roman"/>
          <w:sz w:val="28"/>
          <w:szCs w:val="28"/>
        </w:rPr>
        <w:t>s</w:t>
      </w:r>
      <w:r w:rsidR="00194143" w:rsidRPr="00A0326F">
        <w:rPr>
          <w:rFonts w:ascii="Times New Roman" w:hAnsi="Times New Roman" w:cs="Times New Roman"/>
          <w:sz w:val="28"/>
          <w:szCs w:val="28"/>
        </w:rPr>
        <w:t xml:space="preserve">ummary </w:t>
      </w:r>
      <w:r w:rsidR="00495930">
        <w:rPr>
          <w:rFonts w:ascii="Times New Roman" w:hAnsi="Times New Roman" w:cs="Times New Roman"/>
          <w:sz w:val="28"/>
          <w:szCs w:val="28"/>
        </w:rPr>
        <w:t>j</w:t>
      </w:r>
      <w:r w:rsidR="00194143" w:rsidRPr="00A0326F">
        <w:rPr>
          <w:rFonts w:ascii="Times New Roman" w:hAnsi="Times New Roman" w:cs="Times New Roman"/>
          <w:sz w:val="28"/>
          <w:szCs w:val="28"/>
        </w:rPr>
        <w:t>udgement was</w:t>
      </w:r>
      <w:r>
        <w:rPr>
          <w:rFonts w:ascii="Times New Roman" w:hAnsi="Times New Roman" w:cs="Times New Roman"/>
          <w:sz w:val="28"/>
          <w:szCs w:val="28"/>
        </w:rPr>
        <w:t xml:space="preserve">, as a result, moved and </w:t>
      </w:r>
      <w:r w:rsidR="00194143" w:rsidRPr="00A0326F">
        <w:rPr>
          <w:rFonts w:ascii="Times New Roman" w:hAnsi="Times New Roman" w:cs="Times New Roman"/>
          <w:sz w:val="28"/>
          <w:szCs w:val="28"/>
        </w:rPr>
        <w:t xml:space="preserve">granted on the </w:t>
      </w:r>
      <w:r w:rsidR="007C0C47">
        <w:rPr>
          <w:rFonts w:ascii="Times New Roman" w:hAnsi="Times New Roman" w:cs="Times New Roman"/>
          <w:sz w:val="28"/>
          <w:szCs w:val="28"/>
        </w:rPr>
        <w:t>26</w:t>
      </w:r>
      <w:r w:rsidR="007C0C47" w:rsidRPr="007C0C47">
        <w:rPr>
          <w:rFonts w:ascii="Times New Roman" w:hAnsi="Times New Roman" w:cs="Times New Roman"/>
          <w:sz w:val="28"/>
          <w:szCs w:val="28"/>
          <w:vertAlign w:val="superscript"/>
        </w:rPr>
        <w:t>th</w:t>
      </w:r>
      <w:r w:rsidR="007C0C47">
        <w:rPr>
          <w:rFonts w:ascii="Times New Roman" w:hAnsi="Times New Roman" w:cs="Times New Roman"/>
          <w:sz w:val="28"/>
          <w:szCs w:val="28"/>
        </w:rPr>
        <w:t xml:space="preserve"> February 2018. </w:t>
      </w:r>
    </w:p>
    <w:p w:rsidR="007D0920" w:rsidRDefault="001E51CA" w:rsidP="00A0326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ab/>
      </w:r>
      <w:r w:rsidR="00113AA4">
        <w:rPr>
          <w:rFonts w:ascii="Times New Roman" w:hAnsi="Times New Roman" w:cs="Times New Roman"/>
          <w:sz w:val="28"/>
          <w:szCs w:val="28"/>
        </w:rPr>
        <w:t xml:space="preserve">It was only on the </w:t>
      </w:r>
      <w:r>
        <w:rPr>
          <w:rFonts w:ascii="Times New Roman" w:hAnsi="Times New Roman" w:cs="Times New Roman"/>
          <w:sz w:val="28"/>
          <w:szCs w:val="28"/>
        </w:rPr>
        <w:t>26</w:t>
      </w:r>
      <w:r w:rsidRPr="001E51CA">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2018 at </w:t>
      </w:r>
      <w:r w:rsidR="009714E0">
        <w:rPr>
          <w:rFonts w:ascii="Times New Roman" w:hAnsi="Times New Roman" w:cs="Times New Roman"/>
          <w:sz w:val="28"/>
          <w:szCs w:val="28"/>
        </w:rPr>
        <w:t>09h19</w:t>
      </w:r>
      <w:r w:rsidR="00113AA4">
        <w:rPr>
          <w:rFonts w:ascii="Times New Roman" w:hAnsi="Times New Roman" w:cs="Times New Roman"/>
          <w:sz w:val="28"/>
          <w:szCs w:val="28"/>
        </w:rPr>
        <w:t xml:space="preserve"> that the applicant served </w:t>
      </w:r>
      <w:r w:rsidR="009714E0">
        <w:rPr>
          <w:rFonts w:ascii="Times New Roman" w:hAnsi="Times New Roman" w:cs="Times New Roman"/>
          <w:sz w:val="28"/>
          <w:szCs w:val="28"/>
        </w:rPr>
        <w:t xml:space="preserve">the </w:t>
      </w:r>
      <w:r w:rsidR="0071515F">
        <w:rPr>
          <w:rFonts w:ascii="Times New Roman" w:hAnsi="Times New Roman" w:cs="Times New Roman"/>
          <w:sz w:val="28"/>
          <w:szCs w:val="28"/>
        </w:rPr>
        <w:t xml:space="preserve">first </w:t>
      </w:r>
      <w:r w:rsidR="009714E0">
        <w:rPr>
          <w:rFonts w:ascii="Times New Roman" w:hAnsi="Times New Roman" w:cs="Times New Roman"/>
          <w:sz w:val="28"/>
          <w:szCs w:val="28"/>
        </w:rPr>
        <w:t>respondent</w:t>
      </w:r>
      <w:r>
        <w:rPr>
          <w:rFonts w:ascii="Times New Roman" w:hAnsi="Times New Roman" w:cs="Times New Roman"/>
          <w:sz w:val="28"/>
          <w:szCs w:val="28"/>
        </w:rPr>
        <w:t xml:space="preserve">‘s legal representatives at their offices with an affidavit </w:t>
      </w:r>
      <w:r w:rsidR="009714E0">
        <w:rPr>
          <w:rFonts w:ascii="Times New Roman" w:hAnsi="Times New Roman" w:cs="Times New Roman"/>
          <w:sz w:val="28"/>
          <w:szCs w:val="28"/>
        </w:rPr>
        <w:t xml:space="preserve">resisting the </w:t>
      </w:r>
      <w:r w:rsidR="00495930">
        <w:rPr>
          <w:rFonts w:ascii="Times New Roman" w:hAnsi="Times New Roman" w:cs="Times New Roman"/>
          <w:sz w:val="28"/>
          <w:szCs w:val="28"/>
        </w:rPr>
        <w:t>s</w:t>
      </w:r>
      <w:r w:rsidR="009714E0">
        <w:rPr>
          <w:rFonts w:ascii="Times New Roman" w:hAnsi="Times New Roman" w:cs="Times New Roman"/>
          <w:sz w:val="28"/>
          <w:szCs w:val="28"/>
        </w:rPr>
        <w:t xml:space="preserve">ummary </w:t>
      </w:r>
      <w:r w:rsidR="00495930">
        <w:rPr>
          <w:rFonts w:ascii="Times New Roman" w:hAnsi="Times New Roman" w:cs="Times New Roman"/>
          <w:sz w:val="28"/>
          <w:szCs w:val="28"/>
        </w:rPr>
        <w:t>j</w:t>
      </w:r>
      <w:r w:rsidR="009714E0">
        <w:rPr>
          <w:rFonts w:ascii="Times New Roman" w:hAnsi="Times New Roman" w:cs="Times New Roman"/>
          <w:sz w:val="28"/>
          <w:szCs w:val="28"/>
        </w:rPr>
        <w:t xml:space="preserve">udgment. </w:t>
      </w:r>
      <w:r w:rsidR="00C46FBD">
        <w:rPr>
          <w:rFonts w:ascii="Times New Roman" w:hAnsi="Times New Roman" w:cs="Times New Roman"/>
          <w:sz w:val="28"/>
          <w:szCs w:val="28"/>
        </w:rPr>
        <w:t>This affidavit was only filed in Court on the 8</w:t>
      </w:r>
      <w:r w:rsidR="00C46FBD" w:rsidRPr="00C46FBD">
        <w:rPr>
          <w:rFonts w:ascii="Times New Roman" w:hAnsi="Times New Roman" w:cs="Times New Roman"/>
          <w:sz w:val="28"/>
          <w:szCs w:val="28"/>
          <w:vertAlign w:val="superscript"/>
        </w:rPr>
        <w:t>th</w:t>
      </w:r>
      <w:r w:rsidR="00C46FBD">
        <w:rPr>
          <w:rFonts w:ascii="Times New Roman" w:hAnsi="Times New Roman" w:cs="Times New Roman"/>
          <w:sz w:val="28"/>
          <w:szCs w:val="28"/>
        </w:rPr>
        <w:t xml:space="preserve"> March 2018. </w:t>
      </w:r>
      <w:r w:rsidR="00E95F0B">
        <w:rPr>
          <w:rFonts w:ascii="Times New Roman" w:hAnsi="Times New Roman" w:cs="Times New Roman"/>
          <w:sz w:val="28"/>
          <w:szCs w:val="28"/>
        </w:rPr>
        <w:t>The</w:t>
      </w:r>
      <w:r w:rsidR="0071515F">
        <w:rPr>
          <w:rFonts w:ascii="Times New Roman" w:hAnsi="Times New Roman" w:cs="Times New Roman"/>
          <w:sz w:val="28"/>
          <w:szCs w:val="28"/>
        </w:rPr>
        <w:t xml:space="preserve"> first </w:t>
      </w:r>
      <w:r w:rsidR="00E95F0B">
        <w:rPr>
          <w:rFonts w:ascii="Times New Roman" w:hAnsi="Times New Roman" w:cs="Times New Roman"/>
          <w:sz w:val="28"/>
          <w:szCs w:val="28"/>
        </w:rPr>
        <w:t xml:space="preserve">respondent contends that at the time the affidavit was so served, its legal representative, Mr. </w:t>
      </w:r>
      <w:r w:rsidR="00E95F0B" w:rsidRPr="0071515F">
        <w:rPr>
          <w:rFonts w:ascii="Times New Roman" w:hAnsi="Times New Roman" w:cs="Times New Roman"/>
          <w:i/>
          <w:iCs/>
          <w:sz w:val="28"/>
          <w:szCs w:val="28"/>
        </w:rPr>
        <w:t>Fiee</w:t>
      </w:r>
      <w:r w:rsidR="00E95F0B">
        <w:rPr>
          <w:rFonts w:ascii="Times New Roman" w:hAnsi="Times New Roman" w:cs="Times New Roman"/>
          <w:sz w:val="28"/>
          <w:szCs w:val="28"/>
        </w:rPr>
        <w:t>, was already at the Court</w:t>
      </w:r>
      <w:r w:rsidR="007D0920">
        <w:rPr>
          <w:rFonts w:ascii="Times New Roman" w:hAnsi="Times New Roman" w:cs="Times New Roman"/>
          <w:sz w:val="28"/>
          <w:szCs w:val="28"/>
        </w:rPr>
        <w:t xml:space="preserve"> as a result of which he was not aware of it</w:t>
      </w:r>
      <w:r w:rsidR="00E95F0B">
        <w:rPr>
          <w:rFonts w:ascii="Times New Roman" w:hAnsi="Times New Roman" w:cs="Times New Roman"/>
          <w:sz w:val="28"/>
          <w:szCs w:val="28"/>
        </w:rPr>
        <w:t xml:space="preserve">. </w:t>
      </w:r>
    </w:p>
    <w:p w:rsidR="008F62E1" w:rsidRDefault="007D0920" w:rsidP="00A0326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ab/>
      </w:r>
      <w:bookmarkStart w:id="1" w:name="_Hlk89769438"/>
      <w:r>
        <w:rPr>
          <w:rFonts w:ascii="Times New Roman" w:hAnsi="Times New Roman" w:cs="Times New Roman"/>
          <w:sz w:val="28"/>
          <w:szCs w:val="28"/>
        </w:rPr>
        <w:t xml:space="preserve">Mr. </w:t>
      </w:r>
      <w:r w:rsidRPr="0071515F">
        <w:rPr>
          <w:rFonts w:ascii="Times New Roman" w:hAnsi="Times New Roman" w:cs="Times New Roman"/>
          <w:i/>
          <w:iCs/>
          <w:sz w:val="28"/>
          <w:szCs w:val="28"/>
        </w:rPr>
        <w:t>Fiee</w:t>
      </w:r>
      <w:r>
        <w:rPr>
          <w:rFonts w:ascii="Times New Roman" w:hAnsi="Times New Roman" w:cs="Times New Roman"/>
          <w:sz w:val="28"/>
          <w:szCs w:val="28"/>
        </w:rPr>
        <w:t xml:space="preserve"> has not filed a supporting affidavit to confirm that he was already at the Court when the affidavit was served </w:t>
      </w:r>
      <w:r w:rsidR="00D927F5">
        <w:rPr>
          <w:rFonts w:ascii="Times New Roman" w:hAnsi="Times New Roman" w:cs="Times New Roman"/>
          <w:sz w:val="28"/>
          <w:szCs w:val="28"/>
        </w:rPr>
        <w:t>at his office</w:t>
      </w:r>
      <w:r w:rsidR="00113AA4">
        <w:rPr>
          <w:rFonts w:ascii="Times New Roman" w:hAnsi="Times New Roman" w:cs="Times New Roman"/>
          <w:sz w:val="28"/>
          <w:szCs w:val="28"/>
        </w:rPr>
        <w:t>s</w:t>
      </w:r>
      <w:r w:rsidR="00D927F5">
        <w:rPr>
          <w:rFonts w:ascii="Times New Roman" w:hAnsi="Times New Roman" w:cs="Times New Roman"/>
          <w:sz w:val="28"/>
          <w:szCs w:val="28"/>
        </w:rPr>
        <w:t xml:space="preserve">. </w:t>
      </w:r>
      <w:r>
        <w:rPr>
          <w:rFonts w:ascii="Times New Roman" w:hAnsi="Times New Roman" w:cs="Times New Roman"/>
          <w:sz w:val="28"/>
          <w:szCs w:val="28"/>
        </w:rPr>
        <w:t xml:space="preserve">The averments </w:t>
      </w:r>
      <w:bookmarkEnd w:id="1"/>
      <w:r>
        <w:rPr>
          <w:rFonts w:ascii="Times New Roman" w:hAnsi="Times New Roman" w:cs="Times New Roman"/>
          <w:sz w:val="28"/>
          <w:szCs w:val="28"/>
        </w:rPr>
        <w:t xml:space="preserve">in this regard are therefore hearsay. </w:t>
      </w:r>
      <w:r w:rsidR="00E95F0B">
        <w:rPr>
          <w:rFonts w:ascii="Times New Roman" w:hAnsi="Times New Roman" w:cs="Times New Roman"/>
          <w:sz w:val="28"/>
          <w:szCs w:val="28"/>
        </w:rPr>
        <w:t xml:space="preserve">However, </w:t>
      </w:r>
      <w:r>
        <w:rPr>
          <w:rFonts w:ascii="Times New Roman" w:hAnsi="Times New Roman" w:cs="Times New Roman"/>
          <w:sz w:val="28"/>
          <w:szCs w:val="28"/>
        </w:rPr>
        <w:t xml:space="preserve">it is clear from the Court record </w:t>
      </w:r>
      <w:r>
        <w:rPr>
          <w:rFonts w:ascii="Times New Roman" w:hAnsi="Times New Roman" w:cs="Times New Roman"/>
          <w:sz w:val="28"/>
          <w:szCs w:val="28"/>
        </w:rPr>
        <w:lastRenderedPageBreak/>
        <w:t>that it is Mr</w:t>
      </w:r>
      <w:r w:rsidRPr="0071515F">
        <w:rPr>
          <w:rFonts w:ascii="Times New Roman" w:hAnsi="Times New Roman" w:cs="Times New Roman"/>
          <w:i/>
          <w:iCs/>
          <w:sz w:val="28"/>
          <w:szCs w:val="28"/>
        </w:rPr>
        <w:t>. Fiee</w:t>
      </w:r>
      <w:r>
        <w:rPr>
          <w:rFonts w:ascii="Times New Roman" w:hAnsi="Times New Roman" w:cs="Times New Roman"/>
          <w:sz w:val="28"/>
          <w:szCs w:val="28"/>
        </w:rPr>
        <w:t xml:space="preserve"> who moved the application for </w:t>
      </w:r>
      <w:r w:rsidR="00495930">
        <w:rPr>
          <w:rFonts w:ascii="Times New Roman" w:hAnsi="Times New Roman" w:cs="Times New Roman"/>
          <w:sz w:val="28"/>
          <w:szCs w:val="28"/>
        </w:rPr>
        <w:t>s</w:t>
      </w:r>
      <w:r>
        <w:rPr>
          <w:rFonts w:ascii="Times New Roman" w:hAnsi="Times New Roman" w:cs="Times New Roman"/>
          <w:sz w:val="28"/>
          <w:szCs w:val="28"/>
        </w:rPr>
        <w:t xml:space="preserve">ummary </w:t>
      </w:r>
      <w:r w:rsidR="00495930">
        <w:rPr>
          <w:rFonts w:ascii="Times New Roman" w:hAnsi="Times New Roman" w:cs="Times New Roman"/>
          <w:sz w:val="28"/>
          <w:szCs w:val="28"/>
        </w:rPr>
        <w:t>j</w:t>
      </w:r>
      <w:r>
        <w:rPr>
          <w:rFonts w:ascii="Times New Roman" w:hAnsi="Times New Roman" w:cs="Times New Roman"/>
          <w:sz w:val="28"/>
          <w:szCs w:val="28"/>
        </w:rPr>
        <w:t>udgment on the 26</w:t>
      </w:r>
      <w:r w:rsidRPr="007D0920">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2018. Taking into account that </w:t>
      </w:r>
      <w:r w:rsidR="0071515F">
        <w:rPr>
          <w:rFonts w:ascii="Times New Roman" w:hAnsi="Times New Roman" w:cs="Times New Roman"/>
          <w:sz w:val="28"/>
          <w:szCs w:val="28"/>
        </w:rPr>
        <w:t xml:space="preserve">the </w:t>
      </w:r>
      <w:r>
        <w:rPr>
          <w:rFonts w:ascii="Times New Roman" w:hAnsi="Times New Roman" w:cs="Times New Roman"/>
          <w:sz w:val="28"/>
          <w:szCs w:val="28"/>
        </w:rPr>
        <w:t xml:space="preserve">business of this Court starts at 9h30 and that the matter was the first on the roll, I have no reason </w:t>
      </w:r>
      <w:r w:rsidR="00805D2F">
        <w:rPr>
          <w:rFonts w:ascii="Times New Roman" w:hAnsi="Times New Roman" w:cs="Times New Roman"/>
          <w:sz w:val="28"/>
          <w:szCs w:val="28"/>
        </w:rPr>
        <w:t xml:space="preserve">to doubt </w:t>
      </w:r>
      <w:r>
        <w:rPr>
          <w:rFonts w:ascii="Times New Roman" w:hAnsi="Times New Roman" w:cs="Times New Roman"/>
          <w:sz w:val="28"/>
          <w:szCs w:val="28"/>
        </w:rPr>
        <w:t xml:space="preserve"> that Mr. </w:t>
      </w:r>
      <w:r w:rsidRPr="003D58C9">
        <w:rPr>
          <w:rFonts w:ascii="Times New Roman" w:hAnsi="Times New Roman" w:cs="Times New Roman"/>
          <w:i/>
          <w:iCs/>
          <w:sz w:val="28"/>
          <w:szCs w:val="28"/>
        </w:rPr>
        <w:t>Fiee</w:t>
      </w:r>
      <w:r w:rsidR="007670A5">
        <w:rPr>
          <w:rFonts w:ascii="Times New Roman" w:hAnsi="Times New Roman" w:cs="Times New Roman"/>
          <w:i/>
          <w:iCs/>
          <w:sz w:val="28"/>
          <w:szCs w:val="28"/>
        </w:rPr>
        <w:t xml:space="preserve"> </w:t>
      </w:r>
      <w:r w:rsidR="00D927F5">
        <w:rPr>
          <w:rFonts w:ascii="Times New Roman" w:hAnsi="Times New Roman" w:cs="Times New Roman"/>
          <w:sz w:val="28"/>
          <w:szCs w:val="28"/>
        </w:rPr>
        <w:t>was already at the Court at t</w:t>
      </w:r>
      <w:r>
        <w:rPr>
          <w:rFonts w:ascii="Times New Roman" w:hAnsi="Times New Roman" w:cs="Times New Roman"/>
          <w:sz w:val="28"/>
          <w:szCs w:val="28"/>
        </w:rPr>
        <w:t xml:space="preserve">he time his office received </w:t>
      </w:r>
      <w:r w:rsidR="00113AA4">
        <w:rPr>
          <w:rFonts w:ascii="Times New Roman" w:hAnsi="Times New Roman" w:cs="Times New Roman"/>
          <w:sz w:val="28"/>
          <w:szCs w:val="28"/>
        </w:rPr>
        <w:t>the</w:t>
      </w:r>
      <w:r>
        <w:rPr>
          <w:rFonts w:ascii="Times New Roman" w:hAnsi="Times New Roman" w:cs="Times New Roman"/>
          <w:sz w:val="28"/>
          <w:szCs w:val="28"/>
        </w:rPr>
        <w:t xml:space="preserve"> affidavit from the applica</w:t>
      </w:r>
      <w:r w:rsidR="00C46FBD">
        <w:rPr>
          <w:rFonts w:ascii="Times New Roman" w:hAnsi="Times New Roman" w:cs="Times New Roman"/>
          <w:sz w:val="28"/>
          <w:szCs w:val="28"/>
        </w:rPr>
        <w:t xml:space="preserve">nt </w:t>
      </w:r>
      <w:r>
        <w:rPr>
          <w:rFonts w:ascii="Times New Roman" w:hAnsi="Times New Roman" w:cs="Times New Roman"/>
          <w:sz w:val="28"/>
          <w:szCs w:val="28"/>
        </w:rPr>
        <w:t xml:space="preserve">resisting the </w:t>
      </w:r>
      <w:r w:rsidR="00D927F5">
        <w:rPr>
          <w:rFonts w:ascii="Times New Roman" w:hAnsi="Times New Roman" w:cs="Times New Roman"/>
          <w:sz w:val="28"/>
          <w:szCs w:val="28"/>
        </w:rPr>
        <w:t xml:space="preserve">application for summary judgment. </w:t>
      </w:r>
    </w:p>
    <w:p w:rsidR="008012ED" w:rsidRDefault="008F62E1" w:rsidP="00A0326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ab/>
      </w:r>
      <w:r w:rsidR="00FF10FB" w:rsidRPr="00FF10FB">
        <w:rPr>
          <w:rFonts w:ascii="Times New Roman" w:hAnsi="Times New Roman" w:cs="Times New Roman"/>
          <w:i/>
          <w:iCs/>
          <w:sz w:val="28"/>
          <w:szCs w:val="28"/>
        </w:rPr>
        <w:t>Ex facie</w:t>
      </w:r>
      <w:r w:rsidR="007670A5">
        <w:rPr>
          <w:rFonts w:ascii="Times New Roman" w:hAnsi="Times New Roman" w:cs="Times New Roman"/>
          <w:i/>
          <w:iCs/>
          <w:sz w:val="28"/>
          <w:szCs w:val="28"/>
        </w:rPr>
        <w:t xml:space="preserve"> </w:t>
      </w:r>
      <w:r w:rsidR="00FF10FB">
        <w:rPr>
          <w:rFonts w:ascii="Times New Roman" w:hAnsi="Times New Roman" w:cs="Times New Roman"/>
          <w:sz w:val="28"/>
          <w:szCs w:val="28"/>
        </w:rPr>
        <w:t>the return of service, the applica</w:t>
      </w:r>
      <w:r w:rsidR="00495930">
        <w:rPr>
          <w:rFonts w:ascii="Times New Roman" w:hAnsi="Times New Roman" w:cs="Times New Roman"/>
          <w:sz w:val="28"/>
          <w:szCs w:val="28"/>
        </w:rPr>
        <w:t xml:space="preserve">nt </w:t>
      </w:r>
      <w:r w:rsidR="00FF10FB">
        <w:rPr>
          <w:rFonts w:ascii="Times New Roman" w:hAnsi="Times New Roman" w:cs="Times New Roman"/>
          <w:sz w:val="28"/>
          <w:szCs w:val="28"/>
        </w:rPr>
        <w:t>was served with a writ</w:t>
      </w:r>
      <w:r w:rsidR="005E7D78">
        <w:rPr>
          <w:rFonts w:ascii="Times New Roman" w:hAnsi="Times New Roman" w:cs="Times New Roman"/>
          <w:sz w:val="28"/>
          <w:szCs w:val="28"/>
        </w:rPr>
        <w:t xml:space="preserve"> </w:t>
      </w:r>
      <w:r w:rsidR="00FF10FB">
        <w:rPr>
          <w:rFonts w:ascii="Times New Roman" w:hAnsi="Times New Roman" w:cs="Times New Roman"/>
          <w:sz w:val="28"/>
          <w:szCs w:val="28"/>
        </w:rPr>
        <w:t xml:space="preserve">of execution on the </w:t>
      </w:r>
      <w:r w:rsidR="00D927F5">
        <w:rPr>
          <w:rFonts w:ascii="Times New Roman" w:hAnsi="Times New Roman" w:cs="Times New Roman"/>
          <w:sz w:val="28"/>
          <w:szCs w:val="28"/>
        </w:rPr>
        <w:t>13</w:t>
      </w:r>
      <w:r w:rsidR="00D927F5" w:rsidRPr="00D927F5">
        <w:rPr>
          <w:rFonts w:ascii="Times New Roman" w:hAnsi="Times New Roman" w:cs="Times New Roman"/>
          <w:sz w:val="28"/>
          <w:szCs w:val="28"/>
          <w:vertAlign w:val="superscript"/>
        </w:rPr>
        <w:t>th</w:t>
      </w:r>
      <w:r w:rsidR="002B72DD">
        <w:rPr>
          <w:rFonts w:ascii="Times New Roman" w:hAnsi="Times New Roman" w:cs="Times New Roman"/>
          <w:sz w:val="28"/>
          <w:szCs w:val="28"/>
        </w:rPr>
        <w:t>March 201</w:t>
      </w:r>
      <w:r w:rsidR="00113AA4">
        <w:rPr>
          <w:rFonts w:ascii="Times New Roman" w:hAnsi="Times New Roman" w:cs="Times New Roman"/>
          <w:sz w:val="28"/>
          <w:szCs w:val="28"/>
        </w:rPr>
        <w:t>7</w:t>
      </w:r>
      <w:r w:rsidR="00D927F5">
        <w:rPr>
          <w:rFonts w:ascii="Times New Roman" w:hAnsi="Times New Roman" w:cs="Times New Roman"/>
          <w:sz w:val="28"/>
          <w:szCs w:val="28"/>
        </w:rPr>
        <w:t xml:space="preserve"> whereupon </w:t>
      </w:r>
      <w:r>
        <w:rPr>
          <w:rFonts w:ascii="Times New Roman" w:hAnsi="Times New Roman" w:cs="Times New Roman"/>
          <w:sz w:val="28"/>
          <w:szCs w:val="28"/>
        </w:rPr>
        <w:t xml:space="preserve">a tractor was </w:t>
      </w:r>
      <w:r w:rsidR="00D927F5">
        <w:rPr>
          <w:rFonts w:ascii="Times New Roman" w:hAnsi="Times New Roman" w:cs="Times New Roman"/>
          <w:sz w:val="28"/>
          <w:szCs w:val="28"/>
        </w:rPr>
        <w:t>attached</w:t>
      </w:r>
      <w:r w:rsidR="002B72DD">
        <w:rPr>
          <w:rFonts w:ascii="Times New Roman" w:hAnsi="Times New Roman" w:cs="Times New Roman"/>
          <w:sz w:val="28"/>
          <w:szCs w:val="28"/>
        </w:rPr>
        <w:t xml:space="preserve">. </w:t>
      </w:r>
      <w:r w:rsidR="00D430C6">
        <w:rPr>
          <w:rFonts w:ascii="Times New Roman" w:hAnsi="Times New Roman" w:cs="Times New Roman"/>
          <w:sz w:val="28"/>
          <w:szCs w:val="28"/>
        </w:rPr>
        <w:t xml:space="preserve">I </w:t>
      </w:r>
      <w:r>
        <w:rPr>
          <w:rFonts w:ascii="Times New Roman" w:hAnsi="Times New Roman" w:cs="Times New Roman"/>
          <w:sz w:val="28"/>
          <w:szCs w:val="28"/>
        </w:rPr>
        <w:t xml:space="preserve">have every reason to believe that the year </w:t>
      </w:r>
      <w:r w:rsidR="00D430C6">
        <w:rPr>
          <w:rFonts w:ascii="Times New Roman" w:hAnsi="Times New Roman" w:cs="Times New Roman"/>
          <w:sz w:val="28"/>
          <w:szCs w:val="28"/>
        </w:rPr>
        <w:t xml:space="preserve">2017 </w:t>
      </w:r>
      <w:r>
        <w:rPr>
          <w:rFonts w:ascii="Times New Roman" w:hAnsi="Times New Roman" w:cs="Times New Roman"/>
          <w:sz w:val="28"/>
          <w:szCs w:val="28"/>
        </w:rPr>
        <w:t xml:space="preserve">in this regard is </w:t>
      </w:r>
      <w:r w:rsidR="00D430C6">
        <w:rPr>
          <w:rFonts w:ascii="Times New Roman" w:hAnsi="Times New Roman" w:cs="Times New Roman"/>
          <w:sz w:val="28"/>
          <w:szCs w:val="28"/>
        </w:rPr>
        <w:t xml:space="preserve">a genuine mistake. The </w:t>
      </w:r>
      <w:r>
        <w:rPr>
          <w:rFonts w:ascii="Times New Roman" w:hAnsi="Times New Roman" w:cs="Times New Roman"/>
          <w:sz w:val="28"/>
          <w:szCs w:val="28"/>
        </w:rPr>
        <w:t xml:space="preserve">action </w:t>
      </w:r>
      <w:r w:rsidR="00D430C6">
        <w:rPr>
          <w:rFonts w:ascii="Times New Roman" w:hAnsi="Times New Roman" w:cs="Times New Roman"/>
          <w:sz w:val="28"/>
          <w:szCs w:val="28"/>
        </w:rPr>
        <w:t>giving birth to the</w:t>
      </w:r>
      <w:r w:rsidR="006E6F12">
        <w:rPr>
          <w:rFonts w:ascii="Times New Roman" w:hAnsi="Times New Roman" w:cs="Times New Roman"/>
          <w:sz w:val="28"/>
          <w:szCs w:val="28"/>
        </w:rPr>
        <w:t xml:space="preserve"> summary judgment and</w:t>
      </w:r>
      <w:r w:rsidR="00805D2F">
        <w:rPr>
          <w:rFonts w:ascii="Times New Roman" w:hAnsi="Times New Roman" w:cs="Times New Roman"/>
          <w:sz w:val="28"/>
          <w:szCs w:val="28"/>
        </w:rPr>
        <w:t xml:space="preserve"> the</w:t>
      </w:r>
      <w:r w:rsidR="006E6F12">
        <w:rPr>
          <w:rFonts w:ascii="Times New Roman" w:hAnsi="Times New Roman" w:cs="Times New Roman"/>
          <w:sz w:val="28"/>
          <w:szCs w:val="28"/>
        </w:rPr>
        <w:t xml:space="preserve"> consequent </w:t>
      </w:r>
      <w:r w:rsidR="00D430C6">
        <w:rPr>
          <w:rFonts w:ascii="Times New Roman" w:hAnsi="Times New Roman" w:cs="Times New Roman"/>
          <w:sz w:val="28"/>
          <w:szCs w:val="28"/>
        </w:rPr>
        <w:t xml:space="preserve">writ of execution </w:t>
      </w:r>
      <w:r>
        <w:rPr>
          <w:rFonts w:ascii="Times New Roman" w:hAnsi="Times New Roman" w:cs="Times New Roman"/>
          <w:sz w:val="28"/>
          <w:szCs w:val="28"/>
        </w:rPr>
        <w:t>only commenced in December 2017</w:t>
      </w:r>
      <w:r w:rsidR="006E6F12">
        <w:rPr>
          <w:rFonts w:ascii="Times New Roman" w:hAnsi="Times New Roman" w:cs="Times New Roman"/>
          <w:sz w:val="28"/>
          <w:szCs w:val="28"/>
        </w:rPr>
        <w:t xml:space="preserve">. </w:t>
      </w:r>
      <w:r w:rsidR="00D430C6">
        <w:rPr>
          <w:rFonts w:ascii="Times New Roman" w:hAnsi="Times New Roman" w:cs="Times New Roman"/>
          <w:sz w:val="28"/>
          <w:szCs w:val="28"/>
        </w:rPr>
        <w:t>In fact, the return of service is dated the 14</w:t>
      </w:r>
      <w:r w:rsidR="00D430C6" w:rsidRPr="00C53568">
        <w:rPr>
          <w:rFonts w:ascii="Times New Roman" w:hAnsi="Times New Roman" w:cs="Times New Roman"/>
          <w:sz w:val="28"/>
          <w:szCs w:val="28"/>
          <w:vertAlign w:val="superscript"/>
        </w:rPr>
        <w:t>th</w:t>
      </w:r>
      <w:r w:rsidR="00D430C6">
        <w:rPr>
          <w:rFonts w:ascii="Times New Roman" w:hAnsi="Times New Roman" w:cs="Times New Roman"/>
          <w:sz w:val="28"/>
          <w:szCs w:val="28"/>
        </w:rPr>
        <w:t xml:space="preserve"> March 2018.  The second responde</w:t>
      </w:r>
      <w:r w:rsidR="0055302C">
        <w:rPr>
          <w:rFonts w:ascii="Times New Roman" w:hAnsi="Times New Roman" w:cs="Times New Roman"/>
          <w:sz w:val="28"/>
          <w:szCs w:val="28"/>
        </w:rPr>
        <w:t>nt</w:t>
      </w:r>
      <w:r>
        <w:rPr>
          <w:rFonts w:ascii="Times New Roman" w:hAnsi="Times New Roman" w:cs="Times New Roman"/>
          <w:sz w:val="28"/>
          <w:szCs w:val="28"/>
        </w:rPr>
        <w:t xml:space="preserve">‘s </w:t>
      </w:r>
      <w:r w:rsidR="00D430C6">
        <w:rPr>
          <w:rFonts w:ascii="Times New Roman" w:hAnsi="Times New Roman" w:cs="Times New Roman"/>
          <w:sz w:val="28"/>
          <w:szCs w:val="28"/>
        </w:rPr>
        <w:t>supporting</w:t>
      </w:r>
      <w:r w:rsidR="005E7D78">
        <w:rPr>
          <w:rFonts w:ascii="Times New Roman" w:hAnsi="Times New Roman" w:cs="Times New Roman"/>
          <w:sz w:val="28"/>
          <w:szCs w:val="28"/>
        </w:rPr>
        <w:t xml:space="preserve"> affidavit</w:t>
      </w:r>
      <w:r w:rsidR="00D430C6">
        <w:rPr>
          <w:rFonts w:ascii="Times New Roman" w:hAnsi="Times New Roman" w:cs="Times New Roman"/>
          <w:sz w:val="28"/>
          <w:szCs w:val="28"/>
        </w:rPr>
        <w:t xml:space="preserve"> which confirms that </w:t>
      </w:r>
      <w:r>
        <w:rPr>
          <w:rFonts w:ascii="Times New Roman" w:hAnsi="Times New Roman" w:cs="Times New Roman"/>
          <w:sz w:val="28"/>
          <w:szCs w:val="28"/>
        </w:rPr>
        <w:t xml:space="preserve">service </w:t>
      </w:r>
      <w:r w:rsidR="00D430C6">
        <w:rPr>
          <w:rFonts w:ascii="Times New Roman" w:hAnsi="Times New Roman" w:cs="Times New Roman"/>
          <w:sz w:val="28"/>
          <w:szCs w:val="28"/>
        </w:rPr>
        <w:t>was effected on the 13</w:t>
      </w:r>
      <w:r w:rsidR="00D430C6" w:rsidRPr="00C53568">
        <w:rPr>
          <w:rFonts w:ascii="Times New Roman" w:hAnsi="Times New Roman" w:cs="Times New Roman"/>
          <w:sz w:val="28"/>
          <w:szCs w:val="28"/>
          <w:vertAlign w:val="superscript"/>
        </w:rPr>
        <w:t>th</w:t>
      </w:r>
      <w:r w:rsidR="00D430C6">
        <w:rPr>
          <w:rFonts w:ascii="Times New Roman" w:hAnsi="Times New Roman" w:cs="Times New Roman"/>
          <w:sz w:val="28"/>
          <w:szCs w:val="28"/>
        </w:rPr>
        <w:t xml:space="preserve"> March 2018</w:t>
      </w:r>
      <w:r w:rsidR="005E7D78">
        <w:rPr>
          <w:rFonts w:ascii="Times New Roman" w:hAnsi="Times New Roman" w:cs="Times New Roman"/>
          <w:sz w:val="28"/>
          <w:szCs w:val="28"/>
        </w:rPr>
        <w:t xml:space="preserve"> </w:t>
      </w:r>
      <w:r w:rsidR="00D430C6">
        <w:rPr>
          <w:rFonts w:ascii="Times New Roman" w:hAnsi="Times New Roman" w:cs="Times New Roman"/>
          <w:sz w:val="28"/>
          <w:szCs w:val="28"/>
        </w:rPr>
        <w:t>puts the issue to bed</w:t>
      </w:r>
      <w:r>
        <w:rPr>
          <w:rFonts w:ascii="Times New Roman" w:hAnsi="Times New Roman" w:cs="Times New Roman"/>
          <w:sz w:val="28"/>
          <w:szCs w:val="28"/>
        </w:rPr>
        <w:t xml:space="preserve">. </w:t>
      </w:r>
      <w:r w:rsidR="008012ED">
        <w:rPr>
          <w:rFonts w:ascii="Times New Roman" w:hAnsi="Times New Roman" w:cs="Times New Roman"/>
          <w:sz w:val="28"/>
          <w:szCs w:val="28"/>
        </w:rPr>
        <w:t>However, a</w:t>
      </w:r>
      <w:r w:rsidR="00FF10FB">
        <w:rPr>
          <w:rFonts w:ascii="Times New Roman" w:hAnsi="Times New Roman" w:cs="Times New Roman"/>
          <w:sz w:val="28"/>
          <w:szCs w:val="28"/>
        </w:rPr>
        <w:t>ccording to the applicant, he only became aware on the 14</w:t>
      </w:r>
      <w:r w:rsidR="00FF10FB" w:rsidRPr="00FF10FB">
        <w:rPr>
          <w:rFonts w:ascii="Times New Roman" w:hAnsi="Times New Roman" w:cs="Times New Roman"/>
          <w:sz w:val="28"/>
          <w:szCs w:val="28"/>
          <w:vertAlign w:val="superscript"/>
        </w:rPr>
        <w:t>th</w:t>
      </w:r>
      <w:r w:rsidR="00FF10FB">
        <w:rPr>
          <w:rFonts w:ascii="Times New Roman" w:hAnsi="Times New Roman" w:cs="Times New Roman"/>
          <w:sz w:val="28"/>
          <w:szCs w:val="28"/>
        </w:rPr>
        <w:t xml:space="preserve"> September 2018</w:t>
      </w:r>
      <w:r w:rsidR="00495930">
        <w:rPr>
          <w:rFonts w:ascii="Times New Roman" w:hAnsi="Times New Roman" w:cs="Times New Roman"/>
          <w:sz w:val="28"/>
          <w:szCs w:val="28"/>
        </w:rPr>
        <w:t xml:space="preserve"> that his property had been attached pursuant to a writ of execution when the deputy sheriff came to remove it. He asserts that he subsequently established that </w:t>
      </w:r>
      <w:r w:rsidR="00FF10FB">
        <w:rPr>
          <w:rFonts w:ascii="Times New Roman" w:hAnsi="Times New Roman" w:cs="Times New Roman"/>
          <w:sz w:val="28"/>
          <w:szCs w:val="28"/>
        </w:rPr>
        <w:t xml:space="preserve">a summary judgment was obtained against him. </w:t>
      </w:r>
      <w:r w:rsidR="008012ED">
        <w:rPr>
          <w:rFonts w:ascii="Times New Roman" w:hAnsi="Times New Roman" w:cs="Times New Roman"/>
          <w:sz w:val="28"/>
          <w:szCs w:val="28"/>
        </w:rPr>
        <w:t>I will return to this apparent dispute of fact later in the judgment.</w:t>
      </w:r>
    </w:p>
    <w:p w:rsidR="00495930" w:rsidRPr="00A0326F" w:rsidRDefault="008012ED" w:rsidP="00A0326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ab/>
      </w:r>
      <w:r w:rsidR="00194143" w:rsidRPr="00A0326F">
        <w:rPr>
          <w:rFonts w:ascii="Times New Roman" w:hAnsi="Times New Roman" w:cs="Times New Roman"/>
          <w:sz w:val="28"/>
          <w:szCs w:val="28"/>
        </w:rPr>
        <w:t>It is against this backdro</w:t>
      </w:r>
      <w:r w:rsidR="00401716" w:rsidRPr="00A0326F">
        <w:rPr>
          <w:rFonts w:ascii="Times New Roman" w:hAnsi="Times New Roman" w:cs="Times New Roman"/>
          <w:sz w:val="28"/>
          <w:szCs w:val="28"/>
        </w:rPr>
        <w:t xml:space="preserve">p that the </w:t>
      </w:r>
      <w:r w:rsidR="00D927F5">
        <w:rPr>
          <w:rFonts w:ascii="Times New Roman" w:hAnsi="Times New Roman" w:cs="Times New Roman"/>
          <w:sz w:val="28"/>
          <w:szCs w:val="28"/>
        </w:rPr>
        <w:t xml:space="preserve">applicant </w:t>
      </w:r>
      <w:r w:rsidR="00194143" w:rsidRPr="00A0326F">
        <w:rPr>
          <w:rFonts w:ascii="Times New Roman" w:hAnsi="Times New Roman" w:cs="Times New Roman"/>
          <w:sz w:val="28"/>
          <w:szCs w:val="28"/>
        </w:rPr>
        <w:t>filed an urgent application for stay of execution and rescission</w:t>
      </w:r>
      <w:r w:rsidR="00495930">
        <w:rPr>
          <w:rFonts w:ascii="Times New Roman" w:hAnsi="Times New Roman" w:cs="Times New Roman"/>
          <w:sz w:val="28"/>
          <w:szCs w:val="28"/>
        </w:rPr>
        <w:t xml:space="preserve"> of summary judgement</w:t>
      </w:r>
      <w:r w:rsidR="00FF10FB">
        <w:rPr>
          <w:rFonts w:ascii="Times New Roman" w:hAnsi="Times New Roman" w:cs="Times New Roman"/>
          <w:sz w:val="28"/>
          <w:szCs w:val="28"/>
        </w:rPr>
        <w:t>.</w:t>
      </w:r>
      <w:r w:rsidR="005E7D78">
        <w:rPr>
          <w:rFonts w:ascii="Times New Roman" w:hAnsi="Times New Roman" w:cs="Times New Roman"/>
          <w:sz w:val="28"/>
          <w:szCs w:val="28"/>
        </w:rPr>
        <w:t xml:space="preserve"> </w:t>
      </w:r>
      <w:r>
        <w:rPr>
          <w:rFonts w:ascii="Times New Roman" w:hAnsi="Times New Roman" w:cs="Times New Roman"/>
          <w:sz w:val="28"/>
          <w:szCs w:val="28"/>
        </w:rPr>
        <w:t xml:space="preserve">The pleadings were closed without the applicant filing a replying affidavit and the matter was argued </w:t>
      </w:r>
      <w:r w:rsidR="00310BFD" w:rsidRPr="00A0326F">
        <w:rPr>
          <w:rFonts w:ascii="Times New Roman" w:hAnsi="Times New Roman" w:cs="Times New Roman"/>
          <w:sz w:val="28"/>
          <w:szCs w:val="28"/>
        </w:rPr>
        <w:t>befor</w:t>
      </w:r>
      <w:r>
        <w:rPr>
          <w:rFonts w:ascii="Times New Roman" w:hAnsi="Times New Roman" w:cs="Times New Roman"/>
          <w:sz w:val="28"/>
          <w:szCs w:val="28"/>
        </w:rPr>
        <w:t>e</w:t>
      </w:r>
      <w:r w:rsidR="00310BFD" w:rsidRPr="00A0326F">
        <w:rPr>
          <w:rFonts w:ascii="Times New Roman" w:hAnsi="Times New Roman" w:cs="Times New Roman"/>
          <w:sz w:val="28"/>
          <w:szCs w:val="28"/>
        </w:rPr>
        <w:t xml:space="preserve"> Chaka- Makhooane</w:t>
      </w:r>
      <w:r w:rsidR="005E7D78">
        <w:rPr>
          <w:rFonts w:ascii="Times New Roman" w:hAnsi="Times New Roman" w:cs="Times New Roman"/>
          <w:sz w:val="28"/>
          <w:szCs w:val="28"/>
        </w:rPr>
        <w:t xml:space="preserve"> </w:t>
      </w:r>
      <w:r>
        <w:rPr>
          <w:rFonts w:ascii="Times New Roman" w:hAnsi="Times New Roman" w:cs="Times New Roman"/>
          <w:sz w:val="28"/>
          <w:szCs w:val="28"/>
        </w:rPr>
        <w:t>J</w:t>
      </w:r>
      <w:r w:rsidR="009E5E88">
        <w:rPr>
          <w:rFonts w:ascii="Times New Roman" w:hAnsi="Times New Roman" w:cs="Times New Roman"/>
          <w:sz w:val="28"/>
          <w:szCs w:val="28"/>
        </w:rPr>
        <w:t>,</w:t>
      </w:r>
      <w:r w:rsidR="005E7D78">
        <w:rPr>
          <w:rFonts w:ascii="Times New Roman" w:hAnsi="Times New Roman" w:cs="Times New Roman"/>
          <w:sz w:val="28"/>
          <w:szCs w:val="28"/>
        </w:rPr>
        <w:t xml:space="preserve"> </w:t>
      </w:r>
      <w:r w:rsidR="00310BFD" w:rsidRPr="00A0326F">
        <w:rPr>
          <w:rFonts w:ascii="Times New Roman" w:hAnsi="Times New Roman" w:cs="Times New Roman"/>
          <w:sz w:val="28"/>
          <w:szCs w:val="28"/>
        </w:rPr>
        <w:t xml:space="preserve">as she then </w:t>
      </w:r>
      <w:r w:rsidR="00202BA5" w:rsidRPr="00A0326F">
        <w:rPr>
          <w:rFonts w:ascii="Times New Roman" w:hAnsi="Times New Roman" w:cs="Times New Roman"/>
          <w:sz w:val="28"/>
          <w:szCs w:val="28"/>
        </w:rPr>
        <w:t>was</w:t>
      </w:r>
      <w:r w:rsidR="00BD5C4D">
        <w:rPr>
          <w:rFonts w:ascii="Times New Roman" w:hAnsi="Times New Roman" w:cs="Times New Roman"/>
          <w:sz w:val="28"/>
          <w:szCs w:val="28"/>
        </w:rPr>
        <w:t>,</w:t>
      </w:r>
      <w:r w:rsidR="005E7D78">
        <w:rPr>
          <w:rFonts w:ascii="Times New Roman" w:hAnsi="Times New Roman" w:cs="Times New Roman"/>
          <w:sz w:val="28"/>
          <w:szCs w:val="28"/>
        </w:rPr>
        <w:t xml:space="preserve"> </w:t>
      </w:r>
      <w:r>
        <w:rPr>
          <w:rFonts w:ascii="Times New Roman" w:hAnsi="Times New Roman" w:cs="Times New Roman"/>
          <w:sz w:val="28"/>
          <w:szCs w:val="28"/>
        </w:rPr>
        <w:t>on the 6</w:t>
      </w:r>
      <w:r w:rsidRPr="008012ED">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2019. The ruling was reserved to the 24</w:t>
      </w:r>
      <w:r w:rsidRPr="008012ED">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2019. However, </w:t>
      </w:r>
      <w:r w:rsidR="009E5E88">
        <w:rPr>
          <w:rFonts w:ascii="Times New Roman" w:hAnsi="Times New Roman" w:cs="Times New Roman"/>
          <w:sz w:val="28"/>
          <w:szCs w:val="28"/>
        </w:rPr>
        <w:t xml:space="preserve">Chaka – </w:t>
      </w:r>
      <w:r w:rsidR="009E5E88">
        <w:rPr>
          <w:rFonts w:ascii="Times New Roman" w:hAnsi="Times New Roman" w:cs="Times New Roman"/>
          <w:sz w:val="28"/>
          <w:szCs w:val="28"/>
        </w:rPr>
        <w:lastRenderedPageBreak/>
        <w:t xml:space="preserve">Makhooane J, as she then was, passed on in July 2020 before the ruling was delivered. </w:t>
      </w:r>
    </w:p>
    <w:p w:rsidR="00C46315" w:rsidRPr="00A0326F" w:rsidRDefault="00126844" w:rsidP="00A0326F">
      <w:pPr>
        <w:spacing w:after="0" w:line="480" w:lineRule="auto"/>
        <w:jc w:val="both"/>
        <w:rPr>
          <w:rFonts w:ascii="Times New Roman" w:hAnsi="Times New Roman" w:cs="Times New Roman"/>
          <w:sz w:val="28"/>
          <w:szCs w:val="28"/>
        </w:rPr>
      </w:pPr>
      <w:r w:rsidRPr="00A0326F">
        <w:rPr>
          <w:rFonts w:ascii="Times New Roman" w:hAnsi="Times New Roman" w:cs="Times New Roman"/>
          <w:sz w:val="28"/>
          <w:szCs w:val="28"/>
        </w:rPr>
        <w:t>[</w:t>
      </w:r>
      <w:r w:rsidR="009E5E88">
        <w:rPr>
          <w:rFonts w:ascii="Times New Roman" w:hAnsi="Times New Roman" w:cs="Times New Roman"/>
          <w:sz w:val="28"/>
          <w:szCs w:val="28"/>
        </w:rPr>
        <w:t>10</w:t>
      </w:r>
      <w:r w:rsidRPr="00A0326F">
        <w:rPr>
          <w:rFonts w:ascii="Times New Roman" w:hAnsi="Times New Roman" w:cs="Times New Roman"/>
          <w:sz w:val="28"/>
          <w:szCs w:val="28"/>
        </w:rPr>
        <w:t xml:space="preserve">] </w:t>
      </w:r>
      <w:r w:rsidR="009E5E88">
        <w:rPr>
          <w:rFonts w:ascii="Times New Roman" w:hAnsi="Times New Roman" w:cs="Times New Roman"/>
          <w:sz w:val="28"/>
          <w:szCs w:val="28"/>
        </w:rPr>
        <w:tab/>
      </w:r>
      <w:r w:rsidR="009E5E88">
        <w:rPr>
          <w:rFonts w:ascii="Times New Roman" w:hAnsi="Times New Roman" w:cs="Times New Roman"/>
          <w:sz w:val="28"/>
          <w:szCs w:val="28"/>
        </w:rPr>
        <w:tab/>
      </w:r>
      <w:r w:rsidRPr="00A0326F">
        <w:rPr>
          <w:rFonts w:ascii="Times New Roman" w:hAnsi="Times New Roman" w:cs="Times New Roman"/>
          <w:sz w:val="28"/>
          <w:szCs w:val="28"/>
        </w:rPr>
        <w:t>On the 26</w:t>
      </w:r>
      <w:r w:rsidRPr="00A0326F">
        <w:rPr>
          <w:rFonts w:ascii="Times New Roman" w:hAnsi="Times New Roman" w:cs="Times New Roman"/>
          <w:sz w:val="28"/>
          <w:szCs w:val="28"/>
          <w:vertAlign w:val="superscript"/>
        </w:rPr>
        <w:t>th</w:t>
      </w:r>
      <w:r w:rsidRPr="00A0326F">
        <w:rPr>
          <w:rFonts w:ascii="Times New Roman" w:hAnsi="Times New Roman" w:cs="Times New Roman"/>
          <w:sz w:val="28"/>
          <w:szCs w:val="28"/>
        </w:rPr>
        <w:t xml:space="preserve"> October 2021 </w:t>
      </w:r>
      <w:r w:rsidR="0071515F">
        <w:rPr>
          <w:rFonts w:ascii="Times New Roman" w:hAnsi="Times New Roman" w:cs="Times New Roman"/>
          <w:sz w:val="28"/>
          <w:szCs w:val="28"/>
        </w:rPr>
        <w:t xml:space="preserve">Mrs. </w:t>
      </w:r>
      <w:r w:rsidR="0071515F" w:rsidRPr="0071515F">
        <w:rPr>
          <w:rFonts w:ascii="Times New Roman" w:hAnsi="Times New Roman" w:cs="Times New Roman"/>
          <w:i/>
          <w:iCs/>
          <w:sz w:val="28"/>
          <w:szCs w:val="28"/>
        </w:rPr>
        <w:t>Musi-Mosae</w:t>
      </w:r>
      <w:r w:rsidR="0071515F">
        <w:rPr>
          <w:rFonts w:ascii="Times New Roman" w:hAnsi="Times New Roman" w:cs="Times New Roman"/>
          <w:sz w:val="28"/>
          <w:szCs w:val="28"/>
        </w:rPr>
        <w:t xml:space="preserve">, for the applicant and Mr. </w:t>
      </w:r>
      <w:r w:rsidR="0071515F" w:rsidRPr="0071515F">
        <w:rPr>
          <w:rFonts w:ascii="Times New Roman" w:hAnsi="Times New Roman" w:cs="Times New Roman"/>
          <w:i/>
          <w:iCs/>
          <w:sz w:val="28"/>
          <w:szCs w:val="28"/>
        </w:rPr>
        <w:t>Fiee</w:t>
      </w:r>
      <w:r w:rsidR="0071515F">
        <w:rPr>
          <w:rFonts w:ascii="Times New Roman" w:hAnsi="Times New Roman" w:cs="Times New Roman"/>
          <w:sz w:val="28"/>
          <w:szCs w:val="28"/>
        </w:rPr>
        <w:t>, for the first respondent, appeared before Court where they agreed</w:t>
      </w:r>
      <w:r w:rsidR="005E7D78">
        <w:rPr>
          <w:rFonts w:ascii="Times New Roman" w:hAnsi="Times New Roman" w:cs="Times New Roman"/>
          <w:sz w:val="28"/>
          <w:szCs w:val="28"/>
        </w:rPr>
        <w:t xml:space="preserve"> </w:t>
      </w:r>
      <w:r w:rsidRPr="00A0326F">
        <w:rPr>
          <w:rFonts w:ascii="Times New Roman" w:hAnsi="Times New Roman" w:cs="Times New Roman"/>
          <w:sz w:val="28"/>
          <w:szCs w:val="28"/>
        </w:rPr>
        <w:t xml:space="preserve">that </w:t>
      </w:r>
      <w:r w:rsidR="0071515F">
        <w:rPr>
          <w:rFonts w:ascii="Times New Roman" w:hAnsi="Times New Roman" w:cs="Times New Roman"/>
          <w:sz w:val="28"/>
          <w:szCs w:val="28"/>
        </w:rPr>
        <w:t xml:space="preserve">instead of addressing the Court again, </w:t>
      </w:r>
      <w:r w:rsidR="00BF05C9" w:rsidRPr="00A0326F">
        <w:rPr>
          <w:rFonts w:ascii="Times New Roman" w:hAnsi="Times New Roman" w:cs="Times New Roman"/>
          <w:sz w:val="28"/>
          <w:szCs w:val="28"/>
        </w:rPr>
        <w:t>judgement</w:t>
      </w:r>
      <w:r w:rsidR="005E7D78">
        <w:rPr>
          <w:rFonts w:ascii="Times New Roman" w:hAnsi="Times New Roman" w:cs="Times New Roman"/>
          <w:sz w:val="28"/>
          <w:szCs w:val="28"/>
        </w:rPr>
        <w:t xml:space="preserve"> </w:t>
      </w:r>
      <w:r w:rsidR="0071515F">
        <w:rPr>
          <w:rFonts w:ascii="Times New Roman" w:hAnsi="Times New Roman" w:cs="Times New Roman"/>
          <w:sz w:val="28"/>
          <w:szCs w:val="28"/>
        </w:rPr>
        <w:t xml:space="preserve">should be delivered </w:t>
      </w:r>
      <w:r w:rsidRPr="00A0326F">
        <w:rPr>
          <w:rFonts w:ascii="Times New Roman" w:hAnsi="Times New Roman" w:cs="Times New Roman"/>
          <w:sz w:val="28"/>
          <w:szCs w:val="28"/>
        </w:rPr>
        <w:t>based on the heads of argument filed of record by both parties.</w:t>
      </w:r>
      <w:r w:rsidR="009E5E88">
        <w:rPr>
          <w:rFonts w:ascii="Times New Roman" w:hAnsi="Times New Roman" w:cs="Times New Roman"/>
          <w:sz w:val="28"/>
          <w:szCs w:val="28"/>
        </w:rPr>
        <w:t xml:space="preserve"> The matter was allocated to me on </w:t>
      </w:r>
      <w:r w:rsidR="0071515F">
        <w:rPr>
          <w:rFonts w:ascii="Times New Roman" w:hAnsi="Times New Roman" w:cs="Times New Roman"/>
          <w:sz w:val="28"/>
          <w:szCs w:val="28"/>
        </w:rPr>
        <w:t>t</w:t>
      </w:r>
      <w:r w:rsidR="00401716" w:rsidRPr="00A0326F">
        <w:rPr>
          <w:rFonts w:ascii="Times New Roman" w:hAnsi="Times New Roman" w:cs="Times New Roman"/>
          <w:sz w:val="28"/>
          <w:szCs w:val="28"/>
        </w:rPr>
        <w:t>he 27</w:t>
      </w:r>
      <w:r w:rsidR="00401716" w:rsidRPr="00A0326F">
        <w:rPr>
          <w:rFonts w:ascii="Times New Roman" w:hAnsi="Times New Roman" w:cs="Times New Roman"/>
          <w:sz w:val="28"/>
          <w:szCs w:val="28"/>
          <w:vertAlign w:val="superscript"/>
        </w:rPr>
        <w:t>th</w:t>
      </w:r>
      <w:r w:rsidR="00401716" w:rsidRPr="00A0326F">
        <w:rPr>
          <w:rFonts w:ascii="Times New Roman" w:hAnsi="Times New Roman" w:cs="Times New Roman"/>
          <w:sz w:val="28"/>
          <w:szCs w:val="28"/>
        </w:rPr>
        <w:t xml:space="preserve"> October 2021.</w:t>
      </w:r>
    </w:p>
    <w:p w:rsidR="00401716" w:rsidRPr="00A0326F" w:rsidRDefault="00401716" w:rsidP="00A0326F">
      <w:pPr>
        <w:spacing w:after="0" w:line="480" w:lineRule="auto"/>
        <w:jc w:val="both"/>
        <w:rPr>
          <w:rFonts w:ascii="Times New Roman" w:hAnsi="Times New Roman" w:cs="Times New Roman"/>
          <w:sz w:val="28"/>
          <w:szCs w:val="28"/>
        </w:rPr>
      </w:pPr>
    </w:p>
    <w:p w:rsidR="00230764" w:rsidRPr="00A0326F" w:rsidRDefault="00C46315" w:rsidP="00A0326F">
      <w:pPr>
        <w:spacing w:after="0" w:line="480" w:lineRule="auto"/>
        <w:jc w:val="both"/>
        <w:rPr>
          <w:rFonts w:ascii="Times New Roman" w:hAnsi="Times New Roman" w:cs="Times New Roman"/>
          <w:b/>
          <w:bCs/>
          <w:sz w:val="28"/>
          <w:szCs w:val="28"/>
          <w:u w:val="single"/>
        </w:rPr>
      </w:pPr>
      <w:r w:rsidRPr="00A0326F">
        <w:rPr>
          <w:rFonts w:ascii="Times New Roman" w:hAnsi="Times New Roman" w:cs="Times New Roman"/>
          <w:b/>
          <w:bCs/>
          <w:sz w:val="28"/>
          <w:szCs w:val="28"/>
          <w:u w:val="single"/>
        </w:rPr>
        <w:t>APPLICANT’S CASE</w:t>
      </w:r>
      <w:r w:rsidR="00230764">
        <w:rPr>
          <w:rFonts w:ascii="Times New Roman" w:hAnsi="Times New Roman" w:cs="Times New Roman"/>
          <w:b/>
          <w:bCs/>
          <w:sz w:val="28"/>
          <w:szCs w:val="28"/>
          <w:u w:val="single"/>
        </w:rPr>
        <w:t>:</w:t>
      </w:r>
    </w:p>
    <w:p w:rsidR="00C561A3" w:rsidRDefault="00F175ED" w:rsidP="00C561A3">
      <w:pPr>
        <w:spacing w:after="0" w:line="480" w:lineRule="auto"/>
        <w:jc w:val="both"/>
        <w:rPr>
          <w:rFonts w:ascii="Times New Roman" w:hAnsi="Times New Roman" w:cs="Times New Roman"/>
          <w:bCs/>
          <w:sz w:val="28"/>
          <w:szCs w:val="28"/>
        </w:rPr>
      </w:pPr>
      <w:r w:rsidRPr="00A0326F">
        <w:rPr>
          <w:rFonts w:ascii="Times New Roman" w:hAnsi="Times New Roman" w:cs="Times New Roman"/>
          <w:bCs/>
          <w:sz w:val="28"/>
          <w:szCs w:val="28"/>
        </w:rPr>
        <w:t>[</w:t>
      </w:r>
      <w:r w:rsidR="00230764">
        <w:rPr>
          <w:rFonts w:ascii="Times New Roman" w:hAnsi="Times New Roman" w:cs="Times New Roman"/>
          <w:bCs/>
          <w:sz w:val="28"/>
          <w:szCs w:val="28"/>
        </w:rPr>
        <w:t>11</w:t>
      </w:r>
      <w:r w:rsidR="00C46315" w:rsidRPr="00A0326F">
        <w:rPr>
          <w:rFonts w:ascii="Times New Roman" w:hAnsi="Times New Roman" w:cs="Times New Roman"/>
          <w:bCs/>
          <w:sz w:val="28"/>
          <w:szCs w:val="28"/>
        </w:rPr>
        <w:t xml:space="preserve">] </w:t>
      </w:r>
      <w:r w:rsidR="00230764">
        <w:rPr>
          <w:rFonts w:ascii="Times New Roman" w:hAnsi="Times New Roman" w:cs="Times New Roman"/>
          <w:bCs/>
          <w:sz w:val="28"/>
          <w:szCs w:val="28"/>
        </w:rPr>
        <w:tab/>
      </w:r>
      <w:r w:rsidR="00230764">
        <w:rPr>
          <w:rFonts w:ascii="Times New Roman" w:hAnsi="Times New Roman" w:cs="Times New Roman"/>
          <w:bCs/>
          <w:sz w:val="28"/>
          <w:szCs w:val="28"/>
        </w:rPr>
        <w:tab/>
      </w:r>
      <w:r w:rsidR="00C561A3">
        <w:rPr>
          <w:rFonts w:ascii="Times New Roman" w:hAnsi="Times New Roman" w:cs="Times New Roman"/>
          <w:bCs/>
          <w:sz w:val="28"/>
          <w:szCs w:val="28"/>
        </w:rPr>
        <w:t>It is the applicant‘s case that his erstwhile attorneys were not notified of the fresh date of the 26</w:t>
      </w:r>
      <w:r w:rsidR="00C561A3" w:rsidRPr="00C561A3">
        <w:rPr>
          <w:rFonts w:ascii="Times New Roman" w:hAnsi="Times New Roman" w:cs="Times New Roman"/>
          <w:bCs/>
          <w:sz w:val="28"/>
          <w:szCs w:val="28"/>
          <w:vertAlign w:val="superscript"/>
        </w:rPr>
        <w:t>th</w:t>
      </w:r>
      <w:r w:rsidR="00C561A3">
        <w:rPr>
          <w:rFonts w:ascii="Times New Roman" w:hAnsi="Times New Roman" w:cs="Times New Roman"/>
          <w:bCs/>
          <w:sz w:val="28"/>
          <w:szCs w:val="28"/>
        </w:rPr>
        <w:t xml:space="preserve"> February 2018 on which the application for summary judgment was moved and granted.  He therefore argues that the matter was not properly before Court on the 26</w:t>
      </w:r>
      <w:r w:rsidR="00C561A3" w:rsidRPr="00C561A3">
        <w:rPr>
          <w:rFonts w:ascii="Times New Roman" w:hAnsi="Times New Roman" w:cs="Times New Roman"/>
          <w:bCs/>
          <w:sz w:val="28"/>
          <w:szCs w:val="28"/>
          <w:vertAlign w:val="superscript"/>
        </w:rPr>
        <w:t>th</w:t>
      </w:r>
      <w:r w:rsidR="00C561A3">
        <w:rPr>
          <w:rFonts w:ascii="Times New Roman" w:hAnsi="Times New Roman" w:cs="Times New Roman"/>
          <w:bCs/>
          <w:sz w:val="28"/>
          <w:szCs w:val="28"/>
        </w:rPr>
        <w:t xml:space="preserve"> February 2018 as a result of which summary judgment was erroneously</w:t>
      </w:r>
      <w:r w:rsidR="003D58C9">
        <w:rPr>
          <w:rFonts w:ascii="Times New Roman" w:hAnsi="Times New Roman" w:cs="Times New Roman"/>
          <w:bCs/>
          <w:sz w:val="28"/>
          <w:szCs w:val="28"/>
        </w:rPr>
        <w:t xml:space="preserve"> sought and</w:t>
      </w:r>
      <w:r w:rsidR="00C561A3">
        <w:rPr>
          <w:rFonts w:ascii="Times New Roman" w:hAnsi="Times New Roman" w:cs="Times New Roman"/>
          <w:bCs/>
          <w:sz w:val="28"/>
          <w:szCs w:val="28"/>
        </w:rPr>
        <w:t xml:space="preserve"> granted.  He argues further that he has a </w:t>
      </w:r>
      <w:r w:rsidR="00C561A3" w:rsidRPr="003D58C9">
        <w:rPr>
          <w:rFonts w:ascii="Times New Roman" w:hAnsi="Times New Roman" w:cs="Times New Roman"/>
          <w:bCs/>
          <w:i/>
          <w:iCs/>
          <w:sz w:val="28"/>
          <w:szCs w:val="28"/>
        </w:rPr>
        <w:t>bona fide</w:t>
      </w:r>
      <w:r w:rsidR="005E7D78">
        <w:rPr>
          <w:rFonts w:ascii="Times New Roman" w:hAnsi="Times New Roman" w:cs="Times New Roman"/>
          <w:bCs/>
          <w:i/>
          <w:iCs/>
          <w:sz w:val="28"/>
          <w:szCs w:val="28"/>
        </w:rPr>
        <w:t xml:space="preserve"> </w:t>
      </w:r>
      <w:r w:rsidR="00C561A3">
        <w:rPr>
          <w:rFonts w:ascii="Times New Roman" w:hAnsi="Times New Roman" w:cs="Times New Roman"/>
          <w:bCs/>
          <w:sz w:val="28"/>
          <w:szCs w:val="28"/>
        </w:rPr>
        <w:t xml:space="preserve">defence with prospects of success to the </w:t>
      </w:r>
      <w:r w:rsidR="005B1D0F">
        <w:rPr>
          <w:rFonts w:ascii="Times New Roman" w:hAnsi="Times New Roman" w:cs="Times New Roman"/>
          <w:bCs/>
          <w:sz w:val="28"/>
          <w:szCs w:val="28"/>
        </w:rPr>
        <w:t xml:space="preserve">first </w:t>
      </w:r>
      <w:r w:rsidR="00C561A3">
        <w:rPr>
          <w:rFonts w:ascii="Times New Roman" w:hAnsi="Times New Roman" w:cs="Times New Roman"/>
          <w:bCs/>
          <w:sz w:val="28"/>
          <w:szCs w:val="28"/>
        </w:rPr>
        <w:t xml:space="preserve">respondent’s claim. </w:t>
      </w:r>
    </w:p>
    <w:p w:rsidR="009E7BE3" w:rsidRDefault="009E7BE3" w:rsidP="00A0326F">
      <w:pPr>
        <w:spacing w:after="0" w:line="480" w:lineRule="auto"/>
        <w:jc w:val="both"/>
        <w:rPr>
          <w:rFonts w:ascii="Times New Roman" w:hAnsi="Times New Roman" w:cs="Times New Roman"/>
          <w:b/>
          <w:sz w:val="28"/>
          <w:szCs w:val="28"/>
          <w:u w:val="single"/>
        </w:rPr>
      </w:pPr>
    </w:p>
    <w:p w:rsidR="003D58C9" w:rsidRPr="00A0326F" w:rsidRDefault="006E6F12" w:rsidP="00A0326F">
      <w:pPr>
        <w:spacing w:after="0"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FIRST </w:t>
      </w:r>
      <w:r w:rsidR="00C46315" w:rsidRPr="00A0326F">
        <w:rPr>
          <w:rFonts w:ascii="Times New Roman" w:hAnsi="Times New Roman" w:cs="Times New Roman"/>
          <w:b/>
          <w:sz w:val="28"/>
          <w:szCs w:val="28"/>
          <w:u w:val="single"/>
        </w:rPr>
        <w:t>RESPONDENT’S CASE</w:t>
      </w:r>
      <w:r w:rsidR="003D58C9">
        <w:rPr>
          <w:rFonts w:ascii="Times New Roman" w:hAnsi="Times New Roman" w:cs="Times New Roman"/>
          <w:b/>
          <w:sz w:val="28"/>
          <w:szCs w:val="28"/>
          <w:u w:val="single"/>
        </w:rPr>
        <w:t>:</w:t>
      </w:r>
    </w:p>
    <w:p w:rsidR="00EC27A7" w:rsidRDefault="00C46315" w:rsidP="00A0326F">
      <w:pPr>
        <w:spacing w:after="0" w:line="480" w:lineRule="auto"/>
        <w:jc w:val="both"/>
        <w:rPr>
          <w:rFonts w:ascii="Times New Roman" w:hAnsi="Times New Roman" w:cs="Times New Roman"/>
          <w:sz w:val="28"/>
          <w:szCs w:val="28"/>
        </w:rPr>
      </w:pPr>
      <w:r w:rsidRPr="00A0326F">
        <w:rPr>
          <w:rFonts w:ascii="Times New Roman" w:hAnsi="Times New Roman" w:cs="Times New Roman"/>
          <w:sz w:val="28"/>
          <w:szCs w:val="28"/>
        </w:rPr>
        <w:t>[1</w:t>
      </w:r>
      <w:r w:rsidR="003D58C9">
        <w:rPr>
          <w:rFonts w:ascii="Times New Roman" w:hAnsi="Times New Roman" w:cs="Times New Roman"/>
          <w:sz w:val="28"/>
          <w:szCs w:val="28"/>
        </w:rPr>
        <w:t>2</w:t>
      </w:r>
      <w:r w:rsidRPr="00A0326F">
        <w:rPr>
          <w:rFonts w:ascii="Times New Roman" w:hAnsi="Times New Roman" w:cs="Times New Roman"/>
          <w:sz w:val="28"/>
          <w:szCs w:val="28"/>
        </w:rPr>
        <w:t>]</w:t>
      </w:r>
      <w:r w:rsidR="003D58C9">
        <w:rPr>
          <w:rFonts w:ascii="Times New Roman" w:hAnsi="Times New Roman" w:cs="Times New Roman"/>
          <w:sz w:val="28"/>
          <w:szCs w:val="28"/>
        </w:rPr>
        <w:tab/>
      </w:r>
      <w:r w:rsidR="003D58C9">
        <w:rPr>
          <w:rFonts w:ascii="Times New Roman" w:hAnsi="Times New Roman" w:cs="Times New Roman"/>
          <w:sz w:val="28"/>
          <w:szCs w:val="28"/>
        </w:rPr>
        <w:tab/>
      </w:r>
      <w:r w:rsidRPr="00A0326F">
        <w:rPr>
          <w:rFonts w:ascii="Times New Roman" w:hAnsi="Times New Roman" w:cs="Times New Roman"/>
          <w:sz w:val="28"/>
          <w:szCs w:val="28"/>
        </w:rPr>
        <w:t xml:space="preserve"> It is </w:t>
      </w:r>
      <w:r w:rsidR="001C514A" w:rsidRPr="00A0326F">
        <w:rPr>
          <w:rFonts w:ascii="Times New Roman" w:hAnsi="Times New Roman" w:cs="Times New Roman"/>
          <w:sz w:val="28"/>
          <w:szCs w:val="28"/>
        </w:rPr>
        <w:t>the</w:t>
      </w:r>
      <w:r w:rsidR="005E7D78">
        <w:rPr>
          <w:rFonts w:ascii="Times New Roman" w:hAnsi="Times New Roman" w:cs="Times New Roman"/>
          <w:sz w:val="28"/>
          <w:szCs w:val="28"/>
        </w:rPr>
        <w:t xml:space="preserve"> </w:t>
      </w:r>
      <w:r w:rsidR="000F1A60">
        <w:rPr>
          <w:rFonts w:ascii="Times New Roman" w:hAnsi="Times New Roman" w:cs="Times New Roman"/>
          <w:sz w:val="28"/>
          <w:szCs w:val="28"/>
        </w:rPr>
        <w:t xml:space="preserve">first </w:t>
      </w:r>
      <w:r w:rsidR="001C514A" w:rsidRPr="00A0326F">
        <w:rPr>
          <w:rFonts w:ascii="Times New Roman" w:hAnsi="Times New Roman" w:cs="Times New Roman"/>
          <w:sz w:val="28"/>
          <w:szCs w:val="28"/>
        </w:rPr>
        <w:t xml:space="preserve">respondent’s case that the </w:t>
      </w:r>
      <w:r w:rsidR="000F1A60">
        <w:rPr>
          <w:rFonts w:ascii="Times New Roman" w:hAnsi="Times New Roman" w:cs="Times New Roman"/>
          <w:sz w:val="28"/>
          <w:szCs w:val="28"/>
        </w:rPr>
        <w:t>applicant</w:t>
      </w:r>
      <w:r w:rsidR="003D58C9">
        <w:rPr>
          <w:rFonts w:ascii="Times New Roman" w:hAnsi="Times New Roman" w:cs="Times New Roman"/>
          <w:sz w:val="28"/>
          <w:szCs w:val="28"/>
        </w:rPr>
        <w:t xml:space="preserve">‘s erstwhile attorneys were served with the application for summary judgment </w:t>
      </w:r>
      <w:r w:rsidR="000F1A60">
        <w:rPr>
          <w:rFonts w:ascii="Times New Roman" w:hAnsi="Times New Roman" w:cs="Times New Roman"/>
          <w:sz w:val="28"/>
          <w:szCs w:val="28"/>
        </w:rPr>
        <w:t xml:space="preserve">clearly </w:t>
      </w:r>
      <w:r w:rsidR="003D58C9">
        <w:rPr>
          <w:rFonts w:ascii="Times New Roman" w:hAnsi="Times New Roman" w:cs="Times New Roman"/>
          <w:sz w:val="28"/>
          <w:szCs w:val="28"/>
        </w:rPr>
        <w:t>indicating that it was going to be moved on the 20</w:t>
      </w:r>
      <w:r w:rsidR="003D58C9" w:rsidRPr="003D58C9">
        <w:rPr>
          <w:rFonts w:ascii="Times New Roman" w:hAnsi="Times New Roman" w:cs="Times New Roman"/>
          <w:sz w:val="28"/>
          <w:szCs w:val="28"/>
          <w:vertAlign w:val="superscript"/>
        </w:rPr>
        <w:t>th</w:t>
      </w:r>
      <w:r w:rsidR="003D58C9">
        <w:rPr>
          <w:rFonts w:ascii="Times New Roman" w:hAnsi="Times New Roman" w:cs="Times New Roman"/>
          <w:sz w:val="28"/>
          <w:szCs w:val="28"/>
        </w:rPr>
        <w:t xml:space="preserve"> February 2018. </w:t>
      </w:r>
      <w:r w:rsidR="000F1A60">
        <w:rPr>
          <w:rFonts w:ascii="Times New Roman" w:hAnsi="Times New Roman" w:cs="Times New Roman"/>
          <w:sz w:val="28"/>
          <w:szCs w:val="28"/>
        </w:rPr>
        <w:t xml:space="preserve">The first respondent argues that the </w:t>
      </w:r>
      <w:r w:rsidR="001C514A" w:rsidRPr="00A0326F">
        <w:rPr>
          <w:rFonts w:ascii="Times New Roman" w:hAnsi="Times New Roman" w:cs="Times New Roman"/>
          <w:sz w:val="28"/>
          <w:szCs w:val="28"/>
        </w:rPr>
        <w:t>applicant</w:t>
      </w:r>
      <w:r w:rsidR="000F1A60">
        <w:rPr>
          <w:rFonts w:ascii="Times New Roman" w:hAnsi="Times New Roman" w:cs="Times New Roman"/>
          <w:sz w:val="28"/>
          <w:szCs w:val="28"/>
        </w:rPr>
        <w:t xml:space="preserve"> did not </w:t>
      </w:r>
      <w:r w:rsidR="001C514A" w:rsidRPr="00A0326F">
        <w:rPr>
          <w:rFonts w:ascii="Times New Roman" w:hAnsi="Times New Roman" w:cs="Times New Roman"/>
          <w:sz w:val="28"/>
          <w:szCs w:val="28"/>
        </w:rPr>
        <w:t>file</w:t>
      </w:r>
      <w:r w:rsidR="000F1A60">
        <w:rPr>
          <w:rFonts w:ascii="Times New Roman" w:hAnsi="Times New Roman" w:cs="Times New Roman"/>
          <w:sz w:val="28"/>
          <w:szCs w:val="28"/>
        </w:rPr>
        <w:t xml:space="preserve"> an affidavit</w:t>
      </w:r>
      <w:r w:rsidR="001C514A" w:rsidRPr="00A0326F">
        <w:rPr>
          <w:rFonts w:ascii="Times New Roman" w:hAnsi="Times New Roman" w:cs="Times New Roman"/>
          <w:sz w:val="28"/>
          <w:szCs w:val="28"/>
        </w:rPr>
        <w:t xml:space="preserve"> before </w:t>
      </w:r>
      <w:r w:rsidR="000F1A60">
        <w:rPr>
          <w:rFonts w:ascii="Times New Roman" w:hAnsi="Times New Roman" w:cs="Times New Roman"/>
          <w:sz w:val="28"/>
          <w:szCs w:val="28"/>
        </w:rPr>
        <w:t>C</w:t>
      </w:r>
      <w:r w:rsidR="001C514A" w:rsidRPr="00A0326F">
        <w:rPr>
          <w:rFonts w:ascii="Times New Roman" w:hAnsi="Times New Roman" w:cs="Times New Roman"/>
          <w:sz w:val="28"/>
          <w:szCs w:val="28"/>
        </w:rPr>
        <w:t>ourt in te</w:t>
      </w:r>
      <w:r w:rsidR="0021046B" w:rsidRPr="00A0326F">
        <w:rPr>
          <w:rFonts w:ascii="Times New Roman" w:hAnsi="Times New Roman" w:cs="Times New Roman"/>
          <w:sz w:val="28"/>
          <w:szCs w:val="28"/>
        </w:rPr>
        <w:t>r</w:t>
      </w:r>
      <w:r w:rsidR="001C514A" w:rsidRPr="00A0326F">
        <w:rPr>
          <w:rFonts w:ascii="Times New Roman" w:hAnsi="Times New Roman" w:cs="Times New Roman"/>
          <w:sz w:val="28"/>
          <w:szCs w:val="28"/>
        </w:rPr>
        <w:t xml:space="preserve">ms </w:t>
      </w:r>
      <w:r w:rsidR="001C514A" w:rsidRPr="00A0326F">
        <w:rPr>
          <w:rFonts w:ascii="Times New Roman" w:hAnsi="Times New Roman" w:cs="Times New Roman"/>
          <w:sz w:val="28"/>
          <w:szCs w:val="28"/>
        </w:rPr>
        <w:lastRenderedPageBreak/>
        <w:t xml:space="preserve">of </w:t>
      </w:r>
      <w:r w:rsidR="006E6F12">
        <w:rPr>
          <w:rFonts w:ascii="Times New Roman" w:hAnsi="Times New Roman" w:cs="Times New Roman"/>
          <w:sz w:val="28"/>
          <w:szCs w:val="28"/>
        </w:rPr>
        <w:t>R</w:t>
      </w:r>
      <w:r w:rsidR="001C514A" w:rsidRPr="00A0326F">
        <w:rPr>
          <w:rFonts w:ascii="Times New Roman" w:hAnsi="Times New Roman" w:cs="Times New Roman"/>
          <w:sz w:val="28"/>
          <w:szCs w:val="28"/>
        </w:rPr>
        <w:t xml:space="preserve">ule </w:t>
      </w:r>
      <w:r w:rsidR="0021046B" w:rsidRPr="00A0326F">
        <w:rPr>
          <w:rFonts w:ascii="Times New Roman" w:hAnsi="Times New Roman" w:cs="Times New Roman"/>
          <w:sz w:val="28"/>
          <w:szCs w:val="28"/>
        </w:rPr>
        <w:t>28(3)</w:t>
      </w:r>
      <w:r w:rsidR="0021046B" w:rsidRPr="00A0326F">
        <w:rPr>
          <w:rStyle w:val="FootnoteReference"/>
          <w:rFonts w:ascii="Times New Roman" w:hAnsi="Times New Roman" w:cs="Times New Roman"/>
          <w:sz w:val="28"/>
          <w:szCs w:val="28"/>
        </w:rPr>
        <w:footnoteReference w:id="1"/>
      </w:r>
      <w:r w:rsidR="0021046B" w:rsidRPr="00A0326F">
        <w:rPr>
          <w:rFonts w:ascii="Times New Roman" w:hAnsi="Times New Roman" w:cs="Times New Roman"/>
          <w:sz w:val="28"/>
          <w:szCs w:val="28"/>
        </w:rPr>
        <w:t xml:space="preserve"> which enjoins</w:t>
      </w:r>
      <w:r w:rsidR="000F1A60">
        <w:rPr>
          <w:rFonts w:ascii="Times New Roman" w:hAnsi="Times New Roman" w:cs="Times New Roman"/>
          <w:sz w:val="28"/>
          <w:szCs w:val="28"/>
        </w:rPr>
        <w:t xml:space="preserve"> the party that intends to oppose an application for summary judgement to </w:t>
      </w:r>
      <w:r w:rsidR="0021046B" w:rsidRPr="00A0326F">
        <w:rPr>
          <w:rFonts w:ascii="Times New Roman" w:hAnsi="Times New Roman" w:cs="Times New Roman"/>
          <w:sz w:val="28"/>
          <w:szCs w:val="28"/>
        </w:rPr>
        <w:t xml:space="preserve">deliver its affidavit two court days before the date of hearing </w:t>
      </w:r>
      <w:r w:rsidR="000F1A60">
        <w:rPr>
          <w:rFonts w:ascii="Times New Roman" w:hAnsi="Times New Roman" w:cs="Times New Roman"/>
          <w:sz w:val="28"/>
          <w:szCs w:val="28"/>
        </w:rPr>
        <w:t xml:space="preserve">of summary judgment. As a consequence, so it argues, the matter was unopposed </w:t>
      </w:r>
      <w:r w:rsidR="0021046B" w:rsidRPr="00A0326F">
        <w:rPr>
          <w:rFonts w:ascii="Times New Roman" w:hAnsi="Times New Roman" w:cs="Times New Roman"/>
          <w:sz w:val="28"/>
          <w:szCs w:val="28"/>
        </w:rPr>
        <w:t xml:space="preserve">and </w:t>
      </w:r>
      <w:r w:rsidR="000F1A60">
        <w:rPr>
          <w:rFonts w:ascii="Times New Roman" w:hAnsi="Times New Roman" w:cs="Times New Roman"/>
          <w:sz w:val="28"/>
          <w:szCs w:val="28"/>
        </w:rPr>
        <w:t>there was therefore no obligation to serve the applicant with a notice of set down for the 26</w:t>
      </w:r>
      <w:r w:rsidR="000F1A60" w:rsidRPr="000F1A60">
        <w:rPr>
          <w:rFonts w:ascii="Times New Roman" w:hAnsi="Times New Roman" w:cs="Times New Roman"/>
          <w:sz w:val="28"/>
          <w:szCs w:val="28"/>
          <w:vertAlign w:val="superscript"/>
        </w:rPr>
        <w:t>th</w:t>
      </w:r>
      <w:r w:rsidR="000F1A60">
        <w:rPr>
          <w:rFonts w:ascii="Times New Roman" w:hAnsi="Times New Roman" w:cs="Times New Roman"/>
          <w:sz w:val="28"/>
          <w:szCs w:val="28"/>
        </w:rPr>
        <w:t xml:space="preserve"> February 2018.</w:t>
      </w:r>
      <w:r w:rsidR="00A76975" w:rsidRPr="00A0326F">
        <w:rPr>
          <w:rFonts w:ascii="Times New Roman" w:hAnsi="Times New Roman" w:cs="Times New Roman"/>
          <w:sz w:val="28"/>
          <w:szCs w:val="28"/>
        </w:rPr>
        <w:t xml:space="preserve"> It is also the </w:t>
      </w:r>
      <w:r w:rsidR="0047592A">
        <w:rPr>
          <w:rFonts w:ascii="Times New Roman" w:hAnsi="Times New Roman" w:cs="Times New Roman"/>
          <w:sz w:val="28"/>
          <w:szCs w:val="28"/>
        </w:rPr>
        <w:t xml:space="preserve">first </w:t>
      </w:r>
      <w:r w:rsidR="00A76975" w:rsidRPr="00A0326F">
        <w:rPr>
          <w:rFonts w:ascii="Times New Roman" w:hAnsi="Times New Roman" w:cs="Times New Roman"/>
          <w:sz w:val="28"/>
          <w:szCs w:val="28"/>
        </w:rPr>
        <w:t>respondent’s case that</w:t>
      </w:r>
      <w:r w:rsidR="00E30847">
        <w:rPr>
          <w:rFonts w:ascii="Times New Roman" w:hAnsi="Times New Roman" w:cs="Times New Roman"/>
          <w:sz w:val="28"/>
          <w:szCs w:val="28"/>
        </w:rPr>
        <w:t xml:space="preserve"> </w:t>
      </w:r>
      <w:r w:rsidR="0020143E">
        <w:rPr>
          <w:rFonts w:ascii="Times New Roman" w:hAnsi="Times New Roman" w:cs="Times New Roman"/>
          <w:sz w:val="28"/>
          <w:szCs w:val="28"/>
        </w:rPr>
        <w:t xml:space="preserve">the </w:t>
      </w:r>
      <w:r w:rsidR="0047592A">
        <w:rPr>
          <w:rFonts w:ascii="Times New Roman" w:hAnsi="Times New Roman" w:cs="Times New Roman"/>
          <w:sz w:val="28"/>
          <w:szCs w:val="28"/>
        </w:rPr>
        <w:t>affidavit which was belatedly filed by the applicant in opposition to the summary judgement does not disclose a</w:t>
      </w:r>
      <w:r w:rsidR="002548A5">
        <w:rPr>
          <w:rFonts w:ascii="Times New Roman" w:hAnsi="Times New Roman" w:cs="Times New Roman"/>
          <w:sz w:val="28"/>
          <w:szCs w:val="28"/>
        </w:rPr>
        <w:t xml:space="preserve"> </w:t>
      </w:r>
      <w:r w:rsidR="0020143E" w:rsidRPr="0047592A">
        <w:rPr>
          <w:rFonts w:ascii="Times New Roman" w:hAnsi="Times New Roman" w:cs="Times New Roman"/>
          <w:i/>
          <w:iCs/>
          <w:sz w:val="28"/>
          <w:szCs w:val="28"/>
        </w:rPr>
        <w:t>bona fide</w:t>
      </w:r>
      <w:r w:rsidR="002548A5">
        <w:rPr>
          <w:rFonts w:ascii="Times New Roman" w:hAnsi="Times New Roman" w:cs="Times New Roman"/>
          <w:i/>
          <w:iCs/>
          <w:sz w:val="28"/>
          <w:szCs w:val="28"/>
        </w:rPr>
        <w:t xml:space="preserve"> </w:t>
      </w:r>
      <w:r w:rsidR="0020143E">
        <w:rPr>
          <w:rFonts w:ascii="Times New Roman" w:hAnsi="Times New Roman" w:cs="Times New Roman"/>
          <w:sz w:val="28"/>
          <w:szCs w:val="28"/>
        </w:rPr>
        <w:t>defen</w:t>
      </w:r>
      <w:r w:rsidR="0047592A">
        <w:rPr>
          <w:rFonts w:ascii="Times New Roman" w:hAnsi="Times New Roman" w:cs="Times New Roman"/>
          <w:sz w:val="28"/>
          <w:szCs w:val="28"/>
        </w:rPr>
        <w:t xml:space="preserve">ce contrary to the requirement </w:t>
      </w:r>
      <w:r w:rsidR="00EC27A7">
        <w:rPr>
          <w:rFonts w:ascii="Times New Roman" w:hAnsi="Times New Roman" w:cs="Times New Roman"/>
          <w:sz w:val="28"/>
          <w:szCs w:val="28"/>
        </w:rPr>
        <w:t xml:space="preserve">to </w:t>
      </w:r>
      <w:r w:rsidR="0047592A">
        <w:rPr>
          <w:rFonts w:ascii="Times New Roman" w:hAnsi="Times New Roman" w:cs="Times New Roman"/>
          <w:sz w:val="28"/>
          <w:szCs w:val="28"/>
        </w:rPr>
        <w:t xml:space="preserve">disclose “fully the nature and grounds of the defence and the material facts relied therefor”.  </w:t>
      </w:r>
    </w:p>
    <w:p w:rsidR="00EC27A7" w:rsidRDefault="00EC27A7" w:rsidP="00A0326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Pr>
          <w:rFonts w:ascii="Times New Roman" w:hAnsi="Times New Roman" w:cs="Times New Roman"/>
          <w:sz w:val="28"/>
          <w:szCs w:val="28"/>
        </w:rPr>
        <w:tab/>
        <w:t xml:space="preserve">The first respondent further argues that </w:t>
      </w:r>
      <w:r w:rsidR="001D4A9B">
        <w:rPr>
          <w:rFonts w:ascii="Times New Roman" w:hAnsi="Times New Roman" w:cs="Times New Roman"/>
          <w:sz w:val="28"/>
          <w:szCs w:val="28"/>
        </w:rPr>
        <w:t xml:space="preserve">the </w:t>
      </w:r>
      <w:r>
        <w:rPr>
          <w:rFonts w:ascii="Times New Roman" w:hAnsi="Times New Roman" w:cs="Times New Roman"/>
          <w:sz w:val="28"/>
          <w:szCs w:val="28"/>
        </w:rPr>
        <w:t>application for stay and rescission of judgment is not urgent and that the applicant is not candid with the Court when he says that he only knew of the summary judgment on the 14</w:t>
      </w:r>
      <w:r w:rsidRPr="00EC27A7">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2018. It asserts that the applicant knew of the summary judgment and the writ of execution as far back as March 2018 and made undertaking to settle the claim, </w:t>
      </w:r>
      <w:r w:rsidR="00805D2F">
        <w:rPr>
          <w:rFonts w:ascii="Times New Roman" w:hAnsi="Times New Roman" w:cs="Times New Roman"/>
          <w:sz w:val="28"/>
          <w:szCs w:val="28"/>
        </w:rPr>
        <w:t>thoug</w:t>
      </w:r>
      <w:r w:rsidR="0092508E">
        <w:rPr>
          <w:rFonts w:ascii="Times New Roman" w:hAnsi="Times New Roman" w:cs="Times New Roman"/>
          <w:sz w:val="28"/>
          <w:szCs w:val="28"/>
        </w:rPr>
        <w:t>h</w:t>
      </w:r>
      <w:r>
        <w:rPr>
          <w:rFonts w:ascii="Times New Roman" w:hAnsi="Times New Roman" w:cs="Times New Roman"/>
          <w:sz w:val="28"/>
          <w:szCs w:val="28"/>
        </w:rPr>
        <w:t xml:space="preserve"> it is clear that the applicant did not have </w:t>
      </w:r>
      <w:r w:rsidRPr="00EC27A7">
        <w:rPr>
          <w:rFonts w:ascii="Times New Roman" w:hAnsi="Times New Roman" w:cs="Times New Roman"/>
          <w:i/>
          <w:iCs/>
          <w:sz w:val="28"/>
          <w:szCs w:val="28"/>
        </w:rPr>
        <w:t>bona fide</w:t>
      </w:r>
      <w:r>
        <w:rPr>
          <w:rFonts w:ascii="Times New Roman" w:hAnsi="Times New Roman" w:cs="Times New Roman"/>
          <w:sz w:val="28"/>
          <w:szCs w:val="28"/>
        </w:rPr>
        <w:t xml:space="preserve"> intentions.  </w:t>
      </w:r>
    </w:p>
    <w:p w:rsidR="00654B32" w:rsidRPr="00A0326F" w:rsidRDefault="00654B32" w:rsidP="00A0326F">
      <w:pPr>
        <w:spacing w:after="0" w:line="480" w:lineRule="auto"/>
        <w:jc w:val="both"/>
        <w:rPr>
          <w:rFonts w:ascii="Times New Roman" w:hAnsi="Times New Roman" w:cs="Times New Roman"/>
          <w:sz w:val="28"/>
          <w:szCs w:val="28"/>
        </w:rPr>
      </w:pPr>
    </w:p>
    <w:p w:rsidR="0092508E" w:rsidRDefault="00654B32" w:rsidP="00A0326F">
      <w:pPr>
        <w:spacing w:after="0"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ISSUE FOR DETERMINATION:</w:t>
      </w:r>
    </w:p>
    <w:p w:rsidR="00654B32" w:rsidRPr="0092508E" w:rsidRDefault="00654B32" w:rsidP="00A0326F">
      <w:pPr>
        <w:spacing w:after="0" w:line="480" w:lineRule="auto"/>
        <w:jc w:val="both"/>
        <w:rPr>
          <w:rFonts w:ascii="Times New Roman" w:hAnsi="Times New Roman" w:cs="Times New Roman"/>
          <w:b/>
          <w:sz w:val="28"/>
          <w:szCs w:val="28"/>
          <w:u w:val="single"/>
        </w:rPr>
      </w:pPr>
      <w:r>
        <w:rPr>
          <w:rFonts w:ascii="Times New Roman" w:hAnsi="Times New Roman" w:cs="Times New Roman"/>
          <w:bCs/>
          <w:sz w:val="28"/>
          <w:szCs w:val="28"/>
        </w:rPr>
        <w:t>[14]</w:t>
      </w:r>
      <w:r>
        <w:rPr>
          <w:rFonts w:ascii="Times New Roman" w:hAnsi="Times New Roman" w:cs="Times New Roman"/>
          <w:bCs/>
          <w:sz w:val="28"/>
          <w:szCs w:val="28"/>
        </w:rPr>
        <w:tab/>
      </w:r>
      <w:r>
        <w:rPr>
          <w:rFonts w:ascii="Times New Roman" w:hAnsi="Times New Roman" w:cs="Times New Roman"/>
          <w:bCs/>
          <w:sz w:val="28"/>
          <w:szCs w:val="28"/>
        </w:rPr>
        <w:tab/>
        <w:t>The issue for determination before this Court is whether the summary judgment was erroneously sought and obtained on the 26</w:t>
      </w:r>
      <w:r w:rsidRPr="00654B32">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February 2018. It is unavoidable for me to determine if</w:t>
      </w:r>
      <w:r w:rsidR="000B617A">
        <w:rPr>
          <w:rFonts w:ascii="Times New Roman" w:hAnsi="Times New Roman" w:cs="Times New Roman"/>
          <w:bCs/>
          <w:sz w:val="28"/>
          <w:szCs w:val="28"/>
        </w:rPr>
        <w:t xml:space="preserve"> by virtue of </w:t>
      </w:r>
      <w:r>
        <w:rPr>
          <w:rFonts w:ascii="Times New Roman" w:hAnsi="Times New Roman" w:cs="Times New Roman"/>
          <w:bCs/>
          <w:sz w:val="28"/>
          <w:szCs w:val="28"/>
        </w:rPr>
        <w:t xml:space="preserve">the applicant’s failure </w:t>
      </w:r>
      <w:r>
        <w:rPr>
          <w:rFonts w:ascii="Times New Roman" w:hAnsi="Times New Roman" w:cs="Times New Roman"/>
          <w:bCs/>
          <w:sz w:val="28"/>
          <w:szCs w:val="28"/>
        </w:rPr>
        <w:lastRenderedPageBreak/>
        <w:t>to file an affidavit envisaged under Rule 28 (3) before noon not less than two court days before the 20</w:t>
      </w:r>
      <w:r w:rsidRPr="00654B32">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February 2018, the application for summary judgment became unopposed</w:t>
      </w:r>
      <w:r w:rsidR="000B617A">
        <w:rPr>
          <w:rFonts w:ascii="Times New Roman" w:hAnsi="Times New Roman" w:cs="Times New Roman"/>
          <w:bCs/>
          <w:sz w:val="28"/>
          <w:szCs w:val="28"/>
        </w:rPr>
        <w:t xml:space="preserve"> thus unnecessary for the applicant to be notified of the fresh date of the 26</w:t>
      </w:r>
      <w:r w:rsidR="000B617A" w:rsidRPr="000B617A">
        <w:rPr>
          <w:rFonts w:ascii="Times New Roman" w:hAnsi="Times New Roman" w:cs="Times New Roman"/>
          <w:bCs/>
          <w:sz w:val="28"/>
          <w:szCs w:val="28"/>
          <w:vertAlign w:val="superscript"/>
        </w:rPr>
        <w:t>th</w:t>
      </w:r>
      <w:r w:rsidR="000B617A">
        <w:rPr>
          <w:rFonts w:ascii="Times New Roman" w:hAnsi="Times New Roman" w:cs="Times New Roman"/>
          <w:bCs/>
          <w:sz w:val="28"/>
          <w:szCs w:val="28"/>
        </w:rPr>
        <w:t xml:space="preserve"> February 2018 when the application was moved. </w:t>
      </w:r>
    </w:p>
    <w:p w:rsidR="000B617A" w:rsidRPr="00654B32" w:rsidRDefault="000B617A" w:rsidP="00A0326F">
      <w:pPr>
        <w:spacing w:after="0" w:line="480" w:lineRule="auto"/>
        <w:jc w:val="both"/>
        <w:rPr>
          <w:rFonts w:ascii="Times New Roman" w:hAnsi="Times New Roman" w:cs="Times New Roman"/>
          <w:bCs/>
          <w:sz w:val="28"/>
          <w:szCs w:val="28"/>
        </w:rPr>
      </w:pPr>
    </w:p>
    <w:p w:rsidR="00240117" w:rsidRPr="0092508E" w:rsidRDefault="00C46315" w:rsidP="00A0326F">
      <w:pPr>
        <w:spacing w:after="0" w:line="480" w:lineRule="auto"/>
        <w:jc w:val="both"/>
        <w:rPr>
          <w:rFonts w:ascii="Times New Roman" w:hAnsi="Times New Roman" w:cs="Times New Roman"/>
          <w:b/>
          <w:sz w:val="28"/>
          <w:szCs w:val="28"/>
          <w:u w:val="single"/>
        </w:rPr>
      </w:pPr>
      <w:r w:rsidRPr="00A0326F">
        <w:rPr>
          <w:rFonts w:ascii="Times New Roman" w:hAnsi="Times New Roman" w:cs="Times New Roman"/>
          <w:b/>
          <w:sz w:val="28"/>
          <w:szCs w:val="28"/>
          <w:u w:val="single"/>
        </w:rPr>
        <w:t>ANALYSIS</w:t>
      </w:r>
      <w:r w:rsidR="000B617A">
        <w:rPr>
          <w:rFonts w:ascii="Times New Roman" w:hAnsi="Times New Roman" w:cs="Times New Roman"/>
          <w:b/>
          <w:sz w:val="28"/>
          <w:szCs w:val="28"/>
          <w:u w:val="single"/>
        </w:rPr>
        <w:t>:</w:t>
      </w:r>
    </w:p>
    <w:p w:rsidR="0092508E" w:rsidRDefault="00C46315" w:rsidP="0092508E">
      <w:pPr>
        <w:spacing w:after="0" w:line="480" w:lineRule="auto"/>
        <w:jc w:val="both"/>
        <w:rPr>
          <w:rFonts w:ascii="Times New Roman" w:hAnsi="Times New Roman" w:cs="Times New Roman"/>
          <w:sz w:val="28"/>
          <w:szCs w:val="28"/>
        </w:rPr>
      </w:pPr>
      <w:r w:rsidRPr="00A0326F">
        <w:rPr>
          <w:rFonts w:ascii="Times New Roman" w:hAnsi="Times New Roman" w:cs="Times New Roman"/>
          <w:sz w:val="28"/>
          <w:szCs w:val="28"/>
        </w:rPr>
        <w:t>[</w:t>
      </w:r>
      <w:r w:rsidR="001D4A9B">
        <w:rPr>
          <w:rFonts w:ascii="Times New Roman" w:hAnsi="Times New Roman" w:cs="Times New Roman"/>
          <w:sz w:val="28"/>
          <w:szCs w:val="28"/>
        </w:rPr>
        <w:t>15</w:t>
      </w:r>
      <w:r w:rsidRPr="00A0326F">
        <w:rPr>
          <w:rFonts w:ascii="Times New Roman" w:hAnsi="Times New Roman" w:cs="Times New Roman"/>
          <w:sz w:val="28"/>
          <w:szCs w:val="28"/>
        </w:rPr>
        <w:t xml:space="preserve">] </w:t>
      </w:r>
      <w:r w:rsidR="00901867">
        <w:rPr>
          <w:rFonts w:ascii="Times New Roman" w:hAnsi="Times New Roman" w:cs="Times New Roman"/>
          <w:sz w:val="28"/>
          <w:szCs w:val="28"/>
        </w:rPr>
        <w:tab/>
      </w:r>
      <w:r w:rsidR="00901867">
        <w:rPr>
          <w:rFonts w:ascii="Times New Roman" w:hAnsi="Times New Roman" w:cs="Times New Roman"/>
          <w:sz w:val="28"/>
          <w:szCs w:val="28"/>
        </w:rPr>
        <w:tab/>
      </w:r>
      <w:r w:rsidR="00240117" w:rsidRPr="00A0326F">
        <w:rPr>
          <w:rFonts w:ascii="Times New Roman" w:hAnsi="Times New Roman" w:cs="Times New Roman"/>
          <w:sz w:val="28"/>
          <w:szCs w:val="28"/>
        </w:rPr>
        <w:t>Rule 45(1)</w:t>
      </w:r>
      <w:r w:rsidR="00901867">
        <w:rPr>
          <w:rFonts w:ascii="Times New Roman" w:hAnsi="Times New Roman" w:cs="Times New Roman"/>
          <w:sz w:val="28"/>
          <w:szCs w:val="28"/>
        </w:rPr>
        <w:t>(a)</w:t>
      </w:r>
      <w:r w:rsidR="00240117" w:rsidRPr="00A0326F">
        <w:rPr>
          <w:rFonts w:ascii="Times New Roman" w:hAnsi="Times New Roman" w:cs="Times New Roman"/>
          <w:sz w:val="28"/>
          <w:szCs w:val="28"/>
        </w:rPr>
        <w:t xml:space="preserve"> provides that </w:t>
      </w:r>
      <w:r w:rsidR="00901867">
        <w:rPr>
          <w:rFonts w:ascii="Times New Roman" w:hAnsi="Times New Roman" w:cs="Times New Roman"/>
          <w:sz w:val="28"/>
          <w:szCs w:val="28"/>
        </w:rPr>
        <w:t>t</w:t>
      </w:r>
      <w:r w:rsidR="00A7665B" w:rsidRPr="00A0326F">
        <w:rPr>
          <w:rFonts w:ascii="Times New Roman" w:hAnsi="Times New Roman" w:cs="Times New Roman"/>
          <w:sz w:val="28"/>
          <w:szCs w:val="28"/>
        </w:rPr>
        <w:t xml:space="preserve">he Court </w:t>
      </w:r>
      <w:r w:rsidR="00901867">
        <w:rPr>
          <w:rFonts w:ascii="Times New Roman" w:hAnsi="Times New Roman" w:cs="Times New Roman"/>
          <w:sz w:val="28"/>
          <w:szCs w:val="28"/>
        </w:rPr>
        <w:t>“</w:t>
      </w:r>
      <w:r w:rsidR="00A7665B" w:rsidRPr="00A0326F">
        <w:rPr>
          <w:rFonts w:ascii="Times New Roman" w:hAnsi="Times New Roman" w:cs="Times New Roman"/>
          <w:sz w:val="28"/>
          <w:szCs w:val="28"/>
        </w:rPr>
        <w:t>may in addition to any</w:t>
      </w:r>
      <w:r w:rsidR="00240117" w:rsidRPr="00A0326F">
        <w:rPr>
          <w:rFonts w:ascii="Times New Roman" w:hAnsi="Times New Roman" w:cs="Times New Roman"/>
          <w:sz w:val="28"/>
          <w:szCs w:val="28"/>
        </w:rPr>
        <w:t xml:space="preserve"> other power</w:t>
      </w:r>
      <w:r w:rsidR="00901867">
        <w:rPr>
          <w:rFonts w:ascii="Times New Roman" w:hAnsi="Times New Roman" w:cs="Times New Roman"/>
          <w:sz w:val="28"/>
          <w:szCs w:val="28"/>
        </w:rPr>
        <w:t>s</w:t>
      </w:r>
      <w:r w:rsidR="00240117" w:rsidRPr="00A0326F">
        <w:rPr>
          <w:rFonts w:ascii="Times New Roman" w:hAnsi="Times New Roman" w:cs="Times New Roman"/>
          <w:sz w:val="28"/>
          <w:szCs w:val="28"/>
        </w:rPr>
        <w:t xml:space="preserve"> it may have</w:t>
      </w:r>
      <w:r w:rsidR="001D4A9B">
        <w:rPr>
          <w:rFonts w:ascii="Times New Roman" w:hAnsi="Times New Roman" w:cs="Times New Roman"/>
          <w:sz w:val="28"/>
          <w:szCs w:val="28"/>
        </w:rPr>
        <w:t>,</w:t>
      </w:r>
      <w:r w:rsidR="00E30847">
        <w:rPr>
          <w:rFonts w:ascii="Times New Roman" w:hAnsi="Times New Roman" w:cs="Times New Roman"/>
          <w:sz w:val="28"/>
          <w:szCs w:val="28"/>
        </w:rPr>
        <w:t xml:space="preserve"> </w:t>
      </w:r>
      <w:r w:rsidR="00240117" w:rsidRPr="00901867">
        <w:rPr>
          <w:rFonts w:ascii="Times New Roman" w:hAnsi="Times New Roman" w:cs="Times New Roman"/>
          <w:b/>
          <w:bCs/>
          <w:sz w:val="28"/>
          <w:szCs w:val="28"/>
        </w:rPr>
        <w:t>mero motu</w:t>
      </w:r>
      <w:r w:rsidR="00240117" w:rsidRPr="00A0326F">
        <w:rPr>
          <w:rFonts w:ascii="Times New Roman" w:hAnsi="Times New Roman" w:cs="Times New Roman"/>
          <w:sz w:val="28"/>
          <w:szCs w:val="28"/>
        </w:rPr>
        <w:t xml:space="preserve"> or upon the application of any party affected, rescind or vary</w:t>
      </w:r>
      <w:r w:rsidR="007F2ECD">
        <w:rPr>
          <w:rFonts w:ascii="Times New Roman" w:hAnsi="Times New Roman" w:cs="Times New Roman"/>
          <w:sz w:val="28"/>
          <w:szCs w:val="28"/>
        </w:rPr>
        <w:t xml:space="preserve"> </w:t>
      </w:r>
      <w:r w:rsidR="00240117" w:rsidRPr="00A0326F">
        <w:rPr>
          <w:rFonts w:ascii="Times New Roman" w:hAnsi="Times New Roman" w:cs="Times New Roman"/>
          <w:sz w:val="28"/>
          <w:szCs w:val="28"/>
        </w:rPr>
        <w:t>an order or judgement erroneously sought or erroneously granted</w:t>
      </w:r>
      <w:r w:rsidR="007F2ECD">
        <w:rPr>
          <w:rFonts w:ascii="Times New Roman" w:hAnsi="Times New Roman" w:cs="Times New Roman"/>
          <w:sz w:val="28"/>
          <w:szCs w:val="28"/>
        </w:rPr>
        <w:t xml:space="preserve"> </w:t>
      </w:r>
      <w:r w:rsidR="00240117" w:rsidRPr="00A0326F">
        <w:rPr>
          <w:rFonts w:ascii="Times New Roman" w:hAnsi="Times New Roman" w:cs="Times New Roman"/>
          <w:sz w:val="28"/>
          <w:szCs w:val="28"/>
        </w:rPr>
        <w:t>in the absence of any party affected thereby</w:t>
      </w:r>
      <w:r w:rsidR="00901867">
        <w:rPr>
          <w:rFonts w:ascii="Times New Roman" w:hAnsi="Times New Roman" w:cs="Times New Roman"/>
          <w:sz w:val="28"/>
          <w:szCs w:val="28"/>
        </w:rPr>
        <w:t>”</w:t>
      </w:r>
      <w:r w:rsidR="00646039" w:rsidRPr="00A0326F">
        <w:rPr>
          <w:rFonts w:ascii="Times New Roman" w:hAnsi="Times New Roman" w:cs="Times New Roman"/>
          <w:sz w:val="28"/>
          <w:szCs w:val="28"/>
        </w:rPr>
        <w:t>.</w:t>
      </w:r>
    </w:p>
    <w:p w:rsidR="00901867" w:rsidRPr="0092508E" w:rsidRDefault="00901867" w:rsidP="0092508E">
      <w:pPr>
        <w:spacing w:after="0" w:line="480" w:lineRule="auto"/>
        <w:jc w:val="both"/>
        <w:rPr>
          <w:rFonts w:ascii="Times New Roman" w:hAnsi="Times New Roman" w:cs="Times New Roman"/>
          <w:sz w:val="28"/>
          <w:szCs w:val="28"/>
        </w:rPr>
      </w:pPr>
      <w:r>
        <w:rPr>
          <w:rFonts w:ascii="Times New Roman" w:eastAsia="Times New Roman" w:hAnsi="Times New Roman"/>
          <w:sz w:val="28"/>
          <w:szCs w:val="28"/>
          <w:lang w:val="en-GB"/>
        </w:rPr>
        <w:t>[</w:t>
      </w:r>
      <w:r w:rsidR="001D4A9B">
        <w:rPr>
          <w:rFonts w:ascii="Times New Roman" w:eastAsia="Times New Roman" w:hAnsi="Times New Roman"/>
          <w:sz w:val="28"/>
          <w:szCs w:val="28"/>
          <w:lang w:val="en-GB"/>
        </w:rPr>
        <w:t>16</w:t>
      </w:r>
      <w:r>
        <w:rPr>
          <w:rFonts w:ascii="Times New Roman" w:eastAsia="Times New Roman" w:hAnsi="Times New Roman"/>
          <w:sz w:val="28"/>
          <w:szCs w:val="28"/>
          <w:lang w:val="en-GB"/>
        </w:rPr>
        <w:t>]</w:t>
      </w:r>
      <w:r>
        <w:rPr>
          <w:rFonts w:ascii="Times New Roman" w:eastAsia="Times New Roman" w:hAnsi="Times New Roman"/>
          <w:sz w:val="28"/>
          <w:szCs w:val="28"/>
          <w:lang w:val="en-GB"/>
        </w:rPr>
        <w:tab/>
      </w:r>
      <w:r>
        <w:rPr>
          <w:rFonts w:ascii="Times New Roman" w:eastAsia="Times New Roman" w:hAnsi="Times New Roman"/>
          <w:sz w:val="28"/>
          <w:szCs w:val="28"/>
          <w:lang w:val="en-GB"/>
        </w:rPr>
        <w:tab/>
        <w:t xml:space="preserve">In the unreported judgement of </w:t>
      </w:r>
      <w:r>
        <w:rPr>
          <w:rFonts w:ascii="Times New Roman" w:eastAsia="Times New Roman" w:hAnsi="Times New Roman"/>
          <w:b/>
          <w:bCs/>
          <w:sz w:val="28"/>
          <w:szCs w:val="28"/>
          <w:lang w:val="en-GB"/>
        </w:rPr>
        <w:t>Olaf Leen v First National Bank Lesotho (Pty) Ltd</w:t>
      </w:r>
      <w:r>
        <w:rPr>
          <w:rStyle w:val="FootnoteReference"/>
          <w:rFonts w:ascii="Times New Roman" w:eastAsia="Times New Roman" w:hAnsi="Times New Roman"/>
          <w:b/>
          <w:bCs/>
          <w:sz w:val="28"/>
          <w:szCs w:val="28"/>
          <w:lang w:val="en-GB"/>
        </w:rPr>
        <w:footnoteReference w:id="2"/>
      </w:r>
      <w:r w:rsidR="007F2ECD">
        <w:rPr>
          <w:rFonts w:ascii="Times New Roman" w:eastAsia="Times New Roman" w:hAnsi="Times New Roman"/>
          <w:b/>
          <w:bCs/>
          <w:sz w:val="28"/>
          <w:szCs w:val="28"/>
          <w:lang w:val="en-GB"/>
        </w:rPr>
        <w:t xml:space="preserve"> </w:t>
      </w:r>
      <w:r>
        <w:rPr>
          <w:rFonts w:ascii="Times New Roman" w:eastAsia="Times New Roman" w:hAnsi="Times New Roman"/>
          <w:sz w:val="28"/>
          <w:szCs w:val="28"/>
          <w:lang w:val="en-GB"/>
        </w:rPr>
        <w:t>the Court of Appeal in discussing Rule 45(1)(a) said the following:</w:t>
      </w:r>
    </w:p>
    <w:p w:rsidR="00901867" w:rsidRPr="002D596B" w:rsidRDefault="00901867" w:rsidP="002D596B">
      <w:pPr>
        <w:tabs>
          <w:tab w:val="left" w:pos="1134"/>
        </w:tabs>
        <w:spacing w:after="0" w:line="480" w:lineRule="auto"/>
        <w:ind w:left="1440"/>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“The rule provides that the court may rescind or vary a judgment erroneously sought or erroneously granted in the absence of any party affected thereby. A judgment is granted in error if, as stated in Nyingwa v Moolman 1993 (2) SA 508 at 510 (referred to by the judge a quo) at the time of its issue there existed a fact of which had the judge been aware, he would not have granted the judgment.” </w:t>
      </w:r>
    </w:p>
    <w:p w:rsidR="00C12964" w:rsidRPr="00A0326F" w:rsidRDefault="002D596B" w:rsidP="00A0326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1D4A9B">
        <w:rPr>
          <w:rFonts w:ascii="Times New Roman" w:hAnsi="Times New Roman" w:cs="Times New Roman"/>
          <w:sz w:val="28"/>
          <w:szCs w:val="28"/>
        </w:rPr>
        <w:t>17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84E28" w:rsidRPr="00A0326F">
        <w:rPr>
          <w:rFonts w:ascii="Times New Roman" w:hAnsi="Times New Roman" w:cs="Times New Roman"/>
          <w:sz w:val="28"/>
          <w:szCs w:val="28"/>
        </w:rPr>
        <w:t xml:space="preserve">The applicant </w:t>
      </w:r>
      <w:r>
        <w:rPr>
          <w:rFonts w:ascii="Times New Roman" w:hAnsi="Times New Roman" w:cs="Times New Roman"/>
          <w:sz w:val="28"/>
          <w:szCs w:val="28"/>
        </w:rPr>
        <w:t xml:space="preserve">therefore </w:t>
      </w:r>
      <w:r w:rsidR="00684E28" w:rsidRPr="00A0326F">
        <w:rPr>
          <w:rFonts w:ascii="Times New Roman" w:hAnsi="Times New Roman" w:cs="Times New Roman"/>
          <w:sz w:val="28"/>
          <w:szCs w:val="28"/>
        </w:rPr>
        <w:t>conten</w:t>
      </w:r>
      <w:r w:rsidR="000E22F0">
        <w:rPr>
          <w:rFonts w:ascii="Times New Roman" w:hAnsi="Times New Roman" w:cs="Times New Roman"/>
          <w:sz w:val="28"/>
          <w:szCs w:val="28"/>
        </w:rPr>
        <w:t>d</w:t>
      </w:r>
      <w:r w:rsidR="00684E28" w:rsidRPr="00A0326F">
        <w:rPr>
          <w:rFonts w:ascii="Times New Roman" w:hAnsi="Times New Roman" w:cs="Times New Roman"/>
          <w:sz w:val="28"/>
          <w:szCs w:val="28"/>
        </w:rPr>
        <w:t>s that the judgement was erroneously granted</w:t>
      </w:r>
      <w:r w:rsidR="007F2ECD">
        <w:rPr>
          <w:rFonts w:ascii="Times New Roman" w:hAnsi="Times New Roman" w:cs="Times New Roman"/>
          <w:sz w:val="28"/>
          <w:szCs w:val="28"/>
        </w:rPr>
        <w:t xml:space="preserve"> </w:t>
      </w:r>
      <w:r w:rsidR="00684E28" w:rsidRPr="00A0326F">
        <w:rPr>
          <w:rFonts w:ascii="Times New Roman" w:hAnsi="Times New Roman" w:cs="Times New Roman"/>
          <w:sz w:val="28"/>
          <w:szCs w:val="28"/>
        </w:rPr>
        <w:t xml:space="preserve">as it was granted in </w:t>
      </w:r>
      <w:r>
        <w:rPr>
          <w:rFonts w:ascii="Times New Roman" w:hAnsi="Times New Roman" w:cs="Times New Roman"/>
          <w:sz w:val="28"/>
          <w:szCs w:val="28"/>
        </w:rPr>
        <w:t xml:space="preserve">his </w:t>
      </w:r>
      <w:r w:rsidR="00684E28" w:rsidRPr="00A0326F">
        <w:rPr>
          <w:rFonts w:ascii="Times New Roman" w:hAnsi="Times New Roman" w:cs="Times New Roman"/>
          <w:sz w:val="28"/>
          <w:szCs w:val="28"/>
        </w:rPr>
        <w:t xml:space="preserve">absence and that it affects </w:t>
      </w:r>
      <w:r>
        <w:rPr>
          <w:rFonts w:ascii="Times New Roman" w:hAnsi="Times New Roman" w:cs="Times New Roman"/>
          <w:sz w:val="28"/>
          <w:szCs w:val="28"/>
        </w:rPr>
        <w:t>his</w:t>
      </w:r>
      <w:r w:rsidR="00684E28" w:rsidRPr="00A0326F">
        <w:rPr>
          <w:rFonts w:ascii="Times New Roman" w:hAnsi="Times New Roman" w:cs="Times New Roman"/>
          <w:sz w:val="28"/>
          <w:szCs w:val="28"/>
        </w:rPr>
        <w:t xml:space="preserve"> interests </w:t>
      </w:r>
      <w:r w:rsidR="00684E28" w:rsidRPr="00A0326F">
        <w:rPr>
          <w:rFonts w:ascii="Times New Roman" w:hAnsi="Times New Roman" w:cs="Times New Roman"/>
          <w:sz w:val="28"/>
          <w:szCs w:val="28"/>
        </w:rPr>
        <w:lastRenderedPageBreak/>
        <w:t>because he is facing execution.</w:t>
      </w:r>
      <w:r w:rsidR="007F2ECD">
        <w:rPr>
          <w:rFonts w:ascii="Times New Roman" w:hAnsi="Times New Roman" w:cs="Times New Roman"/>
          <w:sz w:val="28"/>
          <w:szCs w:val="28"/>
        </w:rPr>
        <w:t xml:space="preserve"> </w:t>
      </w:r>
      <w:r w:rsidR="00684E28" w:rsidRPr="00A0326F">
        <w:rPr>
          <w:rFonts w:ascii="Times New Roman" w:hAnsi="Times New Roman" w:cs="Times New Roman"/>
          <w:sz w:val="28"/>
          <w:szCs w:val="28"/>
        </w:rPr>
        <w:t xml:space="preserve">He </w:t>
      </w:r>
      <w:r>
        <w:rPr>
          <w:rFonts w:ascii="Times New Roman" w:hAnsi="Times New Roman" w:cs="Times New Roman"/>
          <w:sz w:val="28"/>
          <w:szCs w:val="28"/>
        </w:rPr>
        <w:t>relies on</w:t>
      </w:r>
      <w:r w:rsidR="007F2ECD">
        <w:rPr>
          <w:rFonts w:ascii="Times New Roman" w:hAnsi="Times New Roman" w:cs="Times New Roman"/>
          <w:sz w:val="28"/>
          <w:szCs w:val="28"/>
        </w:rPr>
        <w:t xml:space="preserve"> </w:t>
      </w:r>
      <w:r w:rsidR="0060515B" w:rsidRPr="002D596B">
        <w:rPr>
          <w:rFonts w:ascii="Times New Roman" w:hAnsi="Times New Roman" w:cs="Times New Roman"/>
          <w:b/>
          <w:iCs/>
          <w:sz w:val="28"/>
          <w:szCs w:val="28"/>
        </w:rPr>
        <w:t>Taso</w:t>
      </w:r>
      <w:r w:rsidR="0092508E">
        <w:rPr>
          <w:rFonts w:ascii="Times New Roman" w:hAnsi="Times New Roman" w:cs="Times New Roman"/>
          <w:b/>
          <w:iCs/>
          <w:sz w:val="28"/>
          <w:szCs w:val="28"/>
        </w:rPr>
        <w:t xml:space="preserve"> </w:t>
      </w:r>
      <w:r w:rsidR="00684E28" w:rsidRPr="002D596B">
        <w:rPr>
          <w:rFonts w:ascii="Times New Roman" w:hAnsi="Times New Roman" w:cs="Times New Roman"/>
          <w:b/>
          <w:iCs/>
          <w:sz w:val="28"/>
          <w:szCs w:val="28"/>
        </w:rPr>
        <w:t>Anastasiou and Others v K.</w:t>
      </w:r>
      <w:r w:rsidR="0092508E">
        <w:rPr>
          <w:rFonts w:ascii="Times New Roman" w:hAnsi="Times New Roman" w:cs="Times New Roman"/>
          <w:b/>
          <w:iCs/>
          <w:sz w:val="28"/>
          <w:szCs w:val="28"/>
        </w:rPr>
        <w:t xml:space="preserve"> </w:t>
      </w:r>
      <w:r w:rsidR="00684E28" w:rsidRPr="002D596B">
        <w:rPr>
          <w:rFonts w:ascii="Times New Roman" w:hAnsi="Times New Roman" w:cs="Times New Roman"/>
          <w:b/>
          <w:iCs/>
          <w:sz w:val="28"/>
          <w:szCs w:val="28"/>
        </w:rPr>
        <w:t>P</w:t>
      </w:r>
      <w:r w:rsidR="0060515B" w:rsidRPr="00A0326F">
        <w:rPr>
          <w:rStyle w:val="FootnoteReference"/>
          <w:rFonts w:ascii="Times New Roman" w:hAnsi="Times New Roman" w:cs="Times New Roman"/>
          <w:sz w:val="28"/>
          <w:szCs w:val="28"/>
        </w:rPr>
        <w:footnoteReference w:id="3"/>
      </w:r>
      <w:r w:rsidR="007F2ECD">
        <w:rPr>
          <w:rFonts w:ascii="Times New Roman" w:hAnsi="Times New Roman" w:cs="Times New Roman"/>
          <w:b/>
          <w:iCs/>
          <w:sz w:val="28"/>
          <w:szCs w:val="28"/>
        </w:rPr>
        <w:t xml:space="preserve"> </w:t>
      </w:r>
      <w:r w:rsidR="0060515B" w:rsidRPr="00A0326F">
        <w:rPr>
          <w:rFonts w:ascii="Times New Roman" w:hAnsi="Times New Roman" w:cs="Times New Roman"/>
          <w:sz w:val="28"/>
          <w:szCs w:val="28"/>
        </w:rPr>
        <w:t xml:space="preserve">where the </w:t>
      </w:r>
      <w:r>
        <w:rPr>
          <w:rFonts w:ascii="Times New Roman" w:hAnsi="Times New Roman" w:cs="Times New Roman"/>
          <w:sz w:val="28"/>
          <w:szCs w:val="28"/>
        </w:rPr>
        <w:t>C</w:t>
      </w:r>
      <w:r w:rsidR="0060515B" w:rsidRPr="00A0326F">
        <w:rPr>
          <w:rFonts w:ascii="Times New Roman" w:hAnsi="Times New Roman" w:cs="Times New Roman"/>
          <w:sz w:val="28"/>
          <w:szCs w:val="28"/>
        </w:rPr>
        <w:t xml:space="preserve">ourt in interpreting a similar </w:t>
      </w:r>
      <w:r>
        <w:rPr>
          <w:rFonts w:ascii="Times New Roman" w:hAnsi="Times New Roman" w:cs="Times New Roman"/>
          <w:sz w:val="28"/>
          <w:szCs w:val="28"/>
        </w:rPr>
        <w:t>R</w:t>
      </w:r>
      <w:r w:rsidR="0060515B" w:rsidRPr="00A0326F">
        <w:rPr>
          <w:rFonts w:ascii="Times New Roman" w:hAnsi="Times New Roman" w:cs="Times New Roman"/>
          <w:sz w:val="28"/>
          <w:szCs w:val="28"/>
        </w:rPr>
        <w:t>ule held that;</w:t>
      </w:r>
    </w:p>
    <w:p w:rsidR="001D4A9B" w:rsidRPr="002D596B" w:rsidRDefault="002D596B" w:rsidP="0092508E">
      <w:pPr>
        <w:spacing w:after="0" w:line="480" w:lineRule="auto"/>
        <w:ind w:left="1440"/>
        <w:jc w:val="both"/>
        <w:rPr>
          <w:rFonts w:ascii="Times New Roman" w:hAnsi="Times New Roman" w:cs="Times New Roman"/>
          <w:iCs/>
          <w:sz w:val="24"/>
          <w:szCs w:val="24"/>
        </w:rPr>
      </w:pPr>
      <w:r w:rsidRPr="002D596B">
        <w:rPr>
          <w:rFonts w:ascii="Times New Roman" w:hAnsi="Times New Roman" w:cs="Times New Roman"/>
          <w:iCs/>
          <w:sz w:val="24"/>
          <w:szCs w:val="24"/>
        </w:rPr>
        <w:t>“</w:t>
      </w:r>
      <w:r w:rsidR="0060515B" w:rsidRPr="002D596B">
        <w:rPr>
          <w:rFonts w:ascii="Times New Roman" w:hAnsi="Times New Roman" w:cs="Times New Roman"/>
          <w:iCs/>
          <w:sz w:val="24"/>
          <w:szCs w:val="24"/>
        </w:rPr>
        <w:t>Prerequisite factors for granting rescission under this rule are the following; Firstly the judgement must have been erroneously sought or granted; Secondly, such judgement must have been grantedin the absence of the applicant; Lastly, the applicant’s right</w:t>
      </w:r>
      <w:r w:rsidR="00607310" w:rsidRPr="002D596B">
        <w:rPr>
          <w:rFonts w:ascii="Times New Roman" w:hAnsi="Times New Roman" w:cs="Times New Roman"/>
          <w:iCs/>
          <w:sz w:val="24"/>
          <w:szCs w:val="24"/>
        </w:rPr>
        <w:t>s or interest must be affected by the judgement</w:t>
      </w:r>
      <w:r w:rsidRPr="002D596B">
        <w:rPr>
          <w:rFonts w:ascii="Times New Roman" w:hAnsi="Times New Roman" w:cs="Times New Roman"/>
          <w:iCs/>
          <w:sz w:val="24"/>
          <w:szCs w:val="24"/>
        </w:rPr>
        <w:t>”.</w:t>
      </w:r>
    </w:p>
    <w:p w:rsidR="0092508E" w:rsidRPr="00D40DE1" w:rsidRDefault="001C514A" w:rsidP="005012EC">
      <w:pPr>
        <w:spacing w:before="240" w:after="0" w:line="480" w:lineRule="auto"/>
        <w:jc w:val="both"/>
        <w:rPr>
          <w:rFonts w:ascii="Times New Roman" w:hAnsi="Times New Roman" w:cs="Times New Roman"/>
          <w:bCs/>
          <w:sz w:val="28"/>
          <w:szCs w:val="28"/>
        </w:rPr>
      </w:pPr>
      <w:r w:rsidRPr="00C12964">
        <w:rPr>
          <w:rFonts w:ascii="Times New Roman" w:hAnsi="Times New Roman" w:cs="Times New Roman"/>
          <w:sz w:val="28"/>
          <w:szCs w:val="28"/>
        </w:rPr>
        <w:t>[</w:t>
      </w:r>
      <w:r w:rsidR="001D4A9B">
        <w:rPr>
          <w:rFonts w:ascii="Times New Roman" w:hAnsi="Times New Roman" w:cs="Times New Roman"/>
          <w:sz w:val="28"/>
          <w:szCs w:val="28"/>
        </w:rPr>
        <w:t>18</w:t>
      </w:r>
      <w:r w:rsidRPr="00C12964">
        <w:rPr>
          <w:rFonts w:ascii="Times New Roman" w:hAnsi="Times New Roman" w:cs="Times New Roman"/>
          <w:sz w:val="28"/>
          <w:szCs w:val="28"/>
        </w:rPr>
        <w:t xml:space="preserve">] </w:t>
      </w:r>
      <w:r w:rsidR="002D596B" w:rsidRPr="00C12964">
        <w:rPr>
          <w:rFonts w:ascii="Times New Roman" w:hAnsi="Times New Roman" w:cs="Times New Roman"/>
          <w:sz w:val="28"/>
          <w:szCs w:val="28"/>
        </w:rPr>
        <w:tab/>
      </w:r>
      <w:r w:rsidR="002D596B" w:rsidRPr="00C12964">
        <w:rPr>
          <w:sz w:val="28"/>
          <w:szCs w:val="28"/>
        </w:rPr>
        <w:tab/>
      </w:r>
      <w:r w:rsidR="00C12964" w:rsidRPr="00C12964">
        <w:rPr>
          <w:rFonts w:ascii="Times New Roman" w:hAnsi="Times New Roman" w:cs="Times New Roman"/>
          <w:sz w:val="28"/>
          <w:szCs w:val="28"/>
        </w:rPr>
        <w:t>In</w:t>
      </w:r>
      <w:r w:rsidR="007F2ECD">
        <w:rPr>
          <w:rFonts w:ascii="Times New Roman" w:hAnsi="Times New Roman" w:cs="Times New Roman"/>
          <w:sz w:val="28"/>
          <w:szCs w:val="28"/>
        </w:rPr>
        <w:t xml:space="preserve"> </w:t>
      </w:r>
      <w:r w:rsidR="00C12964" w:rsidRPr="00C12964">
        <w:rPr>
          <w:rFonts w:ascii="Times New Roman" w:hAnsi="Times New Roman" w:cs="Times New Roman"/>
          <w:b/>
          <w:bCs/>
          <w:sz w:val="28"/>
          <w:szCs w:val="28"/>
        </w:rPr>
        <w:t>Katritsis v De Macedo</w:t>
      </w:r>
      <w:r w:rsidR="00C12964">
        <w:rPr>
          <w:rStyle w:val="FootnoteReference"/>
          <w:rFonts w:ascii="Times New Roman" w:hAnsi="Times New Roman" w:cs="Times New Roman"/>
          <w:b/>
          <w:bCs/>
          <w:sz w:val="28"/>
          <w:szCs w:val="28"/>
        </w:rPr>
        <w:footnoteReference w:id="4"/>
      </w:r>
      <w:r w:rsidR="007F2ECD">
        <w:rPr>
          <w:rFonts w:ascii="Times New Roman" w:hAnsi="Times New Roman" w:cs="Times New Roman"/>
          <w:b/>
          <w:bCs/>
          <w:sz w:val="28"/>
          <w:szCs w:val="28"/>
        </w:rPr>
        <w:t xml:space="preserve"> </w:t>
      </w:r>
      <w:r w:rsidR="00C12964" w:rsidRPr="00C12964">
        <w:rPr>
          <w:rFonts w:ascii="Times New Roman" w:hAnsi="Times New Roman" w:cs="Times New Roman"/>
          <w:sz w:val="28"/>
          <w:szCs w:val="28"/>
        </w:rPr>
        <w:t>t</w:t>
      </w:r>
      <w:r w:rsidR="00C12964" w:rsidRPr="00C12964">
        <w:rPr>
          <w:rFonts w:ascii="Times New Roman" w:hAnsi="Times New Roman" w:cs="Times New Roman"/>
          <w:bCs/>
          <w:sz w:val="28"/>
          <w:szCs w:val="28"/>
        </w:rPr>
        <w:t xml:space="preserve">he </w:t>
      </w:r>
      <w:r w:rsidR="00C12964">
        <w:rPr>
          <w:rFonts w:ascii="Times New Roman" w:hAnsi="Times New Roman" w:cs="Times New Roman"/>
          <w:bCs/>
          <w:sz w:val="28"/>
          <w:szCs w:val="28"/>
        </w:rPr>
        <w:t>C</w:t>
      </w:r>
      <w:r w:rsidR="00C12964" w:rsidRPr="00C12964">
        <w:rPr>
          <w:rFonts w:ascii="Times New Roman" w:hAnsi="Times New Roman" w:cs="Times New Roman"/>
          <w:bCs/>
          <w:sz w:val="28"/>
          <w:szCs w:val="28"/>
        </w:rPr>
        <w:t>ourt held that the concept of default has three components</w:t>
      </w:r>
      <w:r w:rsidR="00C12964">
        <w:rPr>
          <w:rFonts w:ascii="Times New Roman" w:hAnsi="Times New Roman" w:cs="Times New Roman"/>
          <w:bCs/>
          <w:sz w:val="28"/>
          <w:szCs w:val="28"/>
        </w:rPr>
        <w:t xml:space="preserve"> and that it is not confined to failure to file the necessary documents required by the Rules in opposition to the claim, or failure to appear when the case is called, but that it also comprises failure to attend Court during hearing of the matter.</w:t>
      </w:r>
    </w:p>
    <w:p w:rsidR="00D40DE1" w:rsidRDefault="0000420B" w:rsidP="00A0326F">
      <w:pPr>
        <w:pStyle w:val="Textbody"/>
        <w:spacing w:line="480" w:lineRule="auto"/>
        <w:jc w:val="both"/>
        <w:rPr>
          <w:sz w:val="28"/>
          <w:szCs w:val="28"/>
          <w:lang w:val="en-US" w:eastAsia="en-US"/>
        </w:rPr>
      </w:pPr>
      <w:r>
        <w:rPr>
          <w:sz w:val="28"/>
          <w:szCs w:val="28"/>
          <w:lang w:val="en-US" w:eastAsia="en-US"/>
        </w:rPr>
        <w:t>[</w:t>
      </w:r>
      <w:r w:rsidR="001D4A9B">
        <w:rPr>
          <w:sz w:val="28"/>
          <w:szCs w:val="28"/>
          <w:lang w:val="en-US" w:eastAsia="en-US"/>
        </w:rPr>
        <w:t>19</w:t>
      </w:r>
      <w:r>
        <w:rPr>
          <w:sz w:val="28"/>
          <w:szCs w:val="28"/>
          <w:lang w:val="en-US" w:eastAsia="en-US"/>
        </w:rPr>
        <w:t>]</w:t>
      </w:r>
      <w:r>
        <w:rPr>
          <w:sz w:val="28"/>
          <w:szCs w:val="28"/>
          <w:lang w:val="en-US" w:eastAsia="en-US"/>
        </w:rPr>
        <w:tab/>
      </w:r>
      <w:r>
        <w:rPr>
          <w:sz w:val="28"/>
          <w:szCs w:val="28"/>
          <w:lang w:val="en-US" w:eastAsia="en-US"/>
        </w:rPr>
        <w:tab/>
        <w:t xml:space="preserve">I therefore find that the applicant was in default in all material respects. </w:t>
      </w:r>
      <w:r w:rsidR="004D628B">
        <w:rPr>
          <w:sz w:val="28"/>
          <w:szCs w:val="28"/>
          <w:lang w:val="en-US" w:eastAsia="en-US"/>
        </w:rPr>
        <w:t xml:space="preserve">Faced with an application for summary judgment, the applicant had two </w:t>
      </w:r>
      <w:r w:rsidR="00D40DE1">
        <w:rPr>
          <w:sz w:val="28"/>
          <w:szCs w:val="28"/>
          <w:lang w:val="en-US" w:eastAsia="en-US"/>
        </w:rPr>
        <w:t>op</w:t>
      </w:r>
      <w:r w:rsidR="004D628B">
        <w:rPr>
          <w:sz w:val="28"/>
          <w:szCs w:val="28"/>
          <w:lang w:val="en-US" w:eastAsia="en-US"/>
        </w:rPr>
        <w:t>tions</w:t>
      </w:r>
      <w:r w:rsidR="000E22F0">
        <w:rPr>
          <w:rStyle w:val="FootnoteReference"/>
          <w:sz w:val="28"/>
          <w:szCs w:val="28"/>
          <w:lang w:val="en-US" w:eastAsia="en-US"/>
        </w:rPr>
        <w:footnoteReference w:id="5"/>
      </w:r>
      <w:r w:rsidR="004D628B">
        <w:rPr>
          <w:sz w:val="28"/>
          <w:szCs w:val="28"/>
          <w:lang w:val="en-US" w:eastAsia="en-US"/>
        </w:rPr>
        <w:t>. In this regard</w:t>
      </w:r>
      <w:r w:rsidR="00D40DE1">
        <w:rPr>
          <w:sz w:val="28"/>
          <w:szCs w:val="28"/>
          <w:lang w:val="en-US" w:eastAsia="en-US"/>
        </w:rPr>
        <w:t xml:space="preserve"> Rule 28(3) provides as follows:</w:t>
      </w:r>
    </w:p>
    <w:p w:rsidR="00D40DE1" w:rsidRPr="00D40DE1" w:rsidRDefault="00D40DE1" w:rsidP="00D40DE1">
      <w:pPr>
        <w:pStyle w:val="Textbody"/>
        <w:spacing w:line="480" w:lineRule="auto"/>
        <w:ind w:left="2880" w:hanging="1440"/>
        <w:jc w:val="both"/>
        <w:rPr>
          <w:lang w:val="en-US" w:eastAsia="en-US"/>
        </w:rPr>
      </w:pPr>
      <w:r w:rsidRPr="00D40DE1">
        <w:rPr>
          <w:lang w:val="en-US" w:eastAsia="en-US"/>
        </w:rPr>
        <w:t>“(3)</w:t>
      </w:r>
      <w:r w:rsidRPr="00D40DE1">
        <w:rPr>
          <w:lang w:val="en-US" w:eastAsia="en-US"/>
        </w:rPr>
        <w:tab/>
        <w:t xml:space="preserve">Upon the hearing of the application for summary judgment, the defendant may – </w:t>
      </w:r>
    </w:p>
    <w:p w:rsidR="00D40DE1" w:rsidRPr="00D40DE1" w:rsidRDefault="00D40DE1" w:rsidP="00D40DE1">
      <w:pPr>
        <w:pStyle w:val="Textbody"/>
        <w:numPr>
          <w:ilvl w:val="0"/>
          <w:numId w:val="14"/>
        </w:numPr>
        <w:spacing w:line="480" w:lineRule="auto"/>
        <w:jc w:val="both"/>
        <w:rPr>
          <w:lang w:val="en-US" w:eastAsia="en-US"/>
        </w:rPr>
      </w:pPr>
      <w:r w:rsidRPr="00D40DE1">
        <w:rPr>
          <w:lang w:val="en-US" w:eastAsia="en-US"/>
        </w:rPr>
        <w:t>give security to the plaintiff to the satisfaction of the Registrar for any judgment including such costs which may be given; or</w:t>
      </w:r>
    </w:p>
    <w:p w:rsidR="00D40DE1" w:rsidRPr="00D40DE1" w:rsidRDefault="00D40DE1" w:rsidP="00D40DE1">
      <w:pPr>
        <w:pStyle w:val="Textbody"/>
        <w:numPr>
          <w:ilvl w:val="0"/>
          <w:numId w:val="14"/>
        </w:numPr>
        <w:spacing w:line="480" w:lineRule="auto"/>
        <w:jc w:val="both"/>
        <w:rPr>
          <w:lang w:val="en-US" w:eastAsia="en-US"/>
        </w:rPr>
      </w:pPr>
      <w:r w:rsidRPr="00D40DE1">
        <w:rPr>
          <w:lang w:val="en-US" w:eastAsia="en-US"/>
        </w:rPr>
        <w:lastRenderedPageBreak/>
        <w:t xml:space="preserve">satisfy the court by an affidavit or, with leave of the court, by oral evidence of himself or of any other person who can swear positively to the fact, that he has a </w:t>
      </w:r>
      <w:r w:rsidRPr="004E5FFB">
        <w:rPr>
          <w:b/>
          <w:bCs/>
          <w:lang w:val="en-US" w:eastAsia="en-US"/>
        </w:rPr>
        <w:t>bon</w:t>
      </w:r>
      <w:r w:rsidR="004E5FFB" w:rsidRPr="004E5FFB">
        <w:rPr>
          <w:b/>
          <w:bCs/>
          <w:lang w:val="en-US" w:eastAsia="en-US"/>
        </w:rPr>
        <w:t>a</w:t>
      </w:r>
      <w:r w:rsidRPr="004E5FFB">
        <w:rPr>
          <w:b/>
          <w:bCs/>
          <w:lang w:val="en-US" w:eastAsia="en-US"/>
        </w:rPr>
        <w:t xml:space="preserve"> fide</w:t>
      </w:r>
      <w:r w:rsidR="0039539A">
        <w:rPr>
          <w:b/>
          <w:bCs/>
          <w:lang w:val="en-US" w:eastAsia="en-US"/>
        </w:rPr>
        <w:t xml:space="preserve"> </w:t>
      </w:r>
      <w:r w:rsidRPr="00D40DE1">
        <w:rPr>
          <w:lang w:val="en-US" w:eastAsia="en-US"/>
        </w:rPr>
        <w:t xml:space="preserve">defence to the action. </w:t>
      </w:r>
    </w:p>
    <w:p w:rsidR="00D40DE1" w:rsidRPr="00D40DE1" w:rsidRDefault="00D40DE1" w:rsidP="00D40DE1">
      <w:pPr>
        <w:pStyle w:val="Textbody"/>
        <w:spacing w:line="480" w:lineRule="auto"/>
        <w:ind w:left="2160"/>
        <w:jc w:val="both"/>
        <w:rPr>
          <w:lang w:val="en-US" w:eastAsia="en-US"/>
        </w:rPr>
      </w:pPr>
      <w:r w:rsidRPr="00D40DE1">
        <w:rPr>
          <w:lang w:val="en-US" w:eastAsia="en-US"/>
        </w:rPr>
        <w:t xml:space="preserve">Such an affidavit, shall be delivered before noon not less than two court days before the hearing of the application. Such affidavit or oral evidence shall disclose fully the nature and grounds of the defence and the material facts relied upon therefor”. </w:t>
      </w:r>
    </w:p>
    <w:p w:rsidR="001D4A9B" w:rsidRDefault="00D40DE1" w:rsidP="00D40DE1">
      <w:pPr>
        <w:pStyle w:val="Textbody"/>
        <w:spacing w:line="480" w:lineRule="auto"/>
        <w:jc w:val="both"/>
        <w:rPr>
          <w:sz w:val="28"/>
          <w:szCs w:val="28"/>
          <w:lang w:val="en-US" w:eastAsia="en-US"/>
        </w:rPr>
      </w:pPr>
      <w:r>
        <w:rPr>
          <w:sz w:val="28"/>
          <w:szCs w:val="28"/>
          <w:lang w:val="en-US" w:eastAsia="en-US"/>
        </w:rPr>
        <w:t>[</w:t>
      </w:r>
      <w:r w:rsidR="00AC42C9">
        <w:rPr>
          <w:sz w:val="28"/>
          <w:szCs w:val="28"/>
          <w:lang w:val="en-US" w:eastAsia="en-US"/>
        </w:rPr>
        <w:t>20</w:t>
      </w:r>
      <w:r>
        <w:rPr>
          <w:sz w:val="28"/>
          <w:szCs w:val="28"/>
          <w:lang w:val="en-US" w:eastAsia="en-US"/>
        </w:rPr>
        <w:t>]</w:t>
      </w:r>
      <w:r>
        <w:rPr>
          <w:sz w:val="28"/>
          <w:szCs w:val="28"/>
          <w:lang w:val="en-US" w:eastAsia="en-US"/>
        </w:rPr>
        <w:tab/>
      </w:r>
      <w:r>
        <w:rPr>
          <w:sz w:val="28"/>
          <w:szCs w:val="28"/>
          <w:lang w:val="en-US" w:eastAsia="en-US"/>
        </w:rPr>
        <w:tab/>
        <w:t xml:space="preserve">The applicant exercised none of the options stated above. </w:t>
      </w:r>
      <w:r w:rsidR="0039539A">
        <w:rPr>
          <w:sz w:val="28"/>
          <w:szCs w:val="28"/>
          <w:lang w:val="en-US" w:eastAsia="en-US"/>
        </w:rPr>
        <w:t>Neither he nor</w:t>
      </w:r>
      <w:r w:rsidR="004E5FFB">
        <w:rPr>
          <w:sz w:val="28"/>
          <w:szCs w:val="28"/>
          <w:lang w:val="en-US" w:eastAsia="en-US"/>
        </w:rPr>
        <w:t xml:space="preserve"> any person who could swear positively to the fact that </w:t>
      </w:r>
      <w:r w:rsidR="0033056B">
        <w:rPr>
          <w:sz w:val="28"/>
          <w:szCs w:val="28"/>
          <w:lang w:val="en-US" w:eastAsia="en-US"/>
        </w:rPr>
        <w:t xml:space="preserve">the applicant </w:t>
      </w:r>
      <w:r w:rsidR="004E5FFB">
        <w:rPr>
          <w:sz w:val="28"/>
          <w:szCs w:val="28"/>
          <w:lang w:val="en-US" w:eastAsia="en-US"/>
        </w:rPr>
        <w:t xml:space="preserve"> had a </w:t>
      </w:r>
      <w:r w:rsidR="004E5FFB" w:rsidRPr="004E5FFB">
        <w:rPr>
          <w:b/>
          <w:bCs/>
          <w:i/>
          <w:iCs/>
          <w:sz w:val="28"/>
          <w:szCs w:val="28"/>
          <w:lang w:val="en-US" w:eastAsia="en-US"/>
        </w:rPr>
        <w:t>bon</w:t>
      </w:r>
      <w:r w:rsidR="004E5FFB">
        <w:rPr>
          <w:b/>
          <w:bCs/>
          <w:i/>
          <w:iCs/>
          <w:sz w:val="28"/>
          <w:szCs w:val="28"/>
          <w:lang w:val="en-US" w:eastAsia="en-US"/>
        </w:rPr>
        <w:t>a</w:t>
      </w:r>
      <w:r w:rsidR="004E5FFB" w:rsidRPr="004E5FFB">
        <w:rPr>
          <w:b/>
          <w:bCs/>
          <w:i/>
          <w:iCs/>
          <w:sz w:val="28"/>
          <w:szCs w:val="28"/>
          <w:lang w:val="en-US" w:eastAsia="en-US"/>
        </w:rPr>
        <w:t xml:space="preserve"> fide</w:t>
      </w:r>
      <w:r w:rsidR="0039539A">
        <w:rPr>
          <w:b/>
          <w:bCs/>
          <w:i/>
          <w:iCs/>
          <w:sz w:val="28"/>
          <w:szCs w:val="28"/>
          <w:lang w:val="en-US" w:eastAsia="en-US"/>
        </w:rPr>
        <w:t xml:space="preserve"> </w:t>
      </w:r>
      <w:r w:rsidR="004E5FFB">
        <w:rPr>
          <w:sz w:val="28"/>
          <w:szCs w:val="28"/>
          <w:lang w:val="en-US" w:eastAsia="en-US"/>
        </w:rPr>
        <w:t>defence to the action was in Court on the 20</w:t>
      </w:r>
      <w:r w:rsidR="004E5FFB" w:rsidRPr="004E5FFB">
        <w:rPr>
          <w:sz w:val="28"/>
          <w:szCs w:val="28"/>
          <w:vertAlign w:val="superscript"/>
          <w:lang w:val="en-US" w:eastAsia="en-US"/>
        </w:rPr>
        <w:t>th</w:t>
      </w:r>
      <w:r w:rsidR="004E5FFB">
        <w:rPr>
          <w:sz w:val="28"/>
          <w:szCs w:val="28"/>
          <w:lang w:val="en-US" w:eastAsia="en-US"/>
        </w:rPr>
        <w:t xml:space="preserve"> February 2018</w:t>
      </w:r>
      <w:r w:rsidR="001D4A9B">
        <w:rPr>
          <w:sz w:val="28"/>
          <w:szCs w:val="28"/>
          <w:lang w:val="en-US" w:eastAsia="en-US"/>
        </w:rPr>
        <w:t>. It is beyond disputation that the application for summary judgment was served on the applicant’s erstwhile</w:t>
      </w:r>
      <w:r w:rsidR="004D1353">
        <w:rPr>
          <w:sz w:val="28"/>
          <w:szCs w:val="28"/>
          <w:lang w:val="en-US" w:eastAsia="en-US"/>
        </w:rPr>
        <w:t xml:space="preserve"> legal representatives </w:t>
      </w:r>
      <w:r w:rsidR="001D4A9B">
        <w:rPr>
          <w:sz w:val="28"/>
          <w:szCs w:val="28"/>
          <w:lang w:val="en-US" w:eastAsia="en-US"/>
        </w:rPr>
        <w:t>and it clearly stated that it was set down to proceed on the 20</w:t>
      </w:r>
      <w:r w:rsidR="001D4A9B" w:rsidRPr="001D4A9B">
        <w:rPr>
          <w:sz w:val="28"/>
          <w:szCs w:val="28"/>
          <w:vertAlign w:val="superscript"/>
          <w:lang w:val="en-US" w:eastAsia="en-US"/>
        </w:rPr>
        <w:t>th</w:t>
      </w:r>
      <w:r w:rsidR="001D4A9B">
        <w:rPr>
          <w:sz w:val="28"/>
          <w:szCs w:val="28"/>
          <w:lang w:val="en-US" w:eastAsia="en-US"/>
        </w:rPr>
        <w:t xml:space="preserve"> February 2018. </w:t>
      </w:r>
    </w:p>
    <w:p w:rsidR="00E464E8" w:rsidRDefault="001D4A9B" w:rsidP="00D40DE1">
      <w:pPr>
        <w:pStyle w:val="Textbody"/>
        <w:spacing w:line="480" w:lineRule="auto"/>
        <w:jc w:val="both"/>
        <w:rPr>
          <w:sz w:val="28"/>
          <w:szCs w:val="28"/>
          <w:lang w:val="en-US" w:eastAsia="en-US"/>
        </w:rPr>
      </w:pPr>
      <w:r>
        <w:rPr>
          <w:sz w:val="28"/>
          <w:szCs w:val="28"/>
          <w:lang w:val="en-US" w:eastAsia="en-US"/>
        </w:rPr>
        <w:t>[2</w:t>
      </w:r>
      <w:r w:rsidR="00AC42C9">
        <w:rPr>
          <w:sz w:val="28"/>
          <w:szCs w:val="28"/>
          <w:lang w:val="en-US" w:eastAsia="en-US"/>
        </w:rPr>
        <w:t>1</w:t>
      </w:r>
      <w:r>
        <w:rPr>
          <w:sz w:val="28"/>
          <w:szCs w:val="28"/>
          <w:lang w:val="en-US" w:eastAsia="en-US"/>
        </w:rPr>
        <w:t>]</w:t>
      </w:r>
      <w:r>
        <w:rPr>
          <w:sz w:val="28"/>
          <w:szCs w:val="28"/>
          <w:lang w:val="en-US" w:eastAsia="en-US"/>
        </w:rPr>
        <w:tab/>
      </w:r>
      <w:r>
        <w:rPr>
          <w:sz w:val="28"/>
          <w:szCs w:val="28"/>
          <w:lang w:val="en-US" w:eastAsia="en-US"/>
        </w:rPr>
        <w:tab/>
      </w:r>
      <w:r w:rsidR="0000420B">
        <w:rPr>
          <w:sz w:val="28"/>
          <w:szCs w:val="28"/>
          <w:lang w:val="en-US" w:eastAsia="en-US"/>
        </w:rPr>
        <w:t>I know the crisp question is whether the applicant should have been notified that the matter</w:t>
      </w:r>
      <w:r>
        <w:rPr>
          <w:sz w:val="28"/>
          <w:szCs w:val="28"/>
          <w:lang w:val="en-US" w:eastAsia="en-US"/>
        </w:rPr>
        <w:t xml:space="preserve"> did not proceed on the 20</w:t>
      </w:r>
      <w:r w:rsidRPr="001D4A9B">
        <w:rPr>
          <w:sz w:val="28"/>
          <w:szCs w:val="28"/>
          <w:vertAlign w:val="superscript"/>
          <w:lang w:val="en-US" w:eastAsia="en-US"/>
        </w:rPr>
        <w:t>th</w:t>
      </w:r>
      <w:r>
        <w:rPr>
          <w:sz w:val="28"/>
          <w:szCs w:val="28"/>
          <w:lang w:val="en-US" w:eastAsia="en-US"/>
        </w:rPr>
        <w:t xml:space="preserve"> February 2018 and that it was set down to proceed on the 26</w:t>
      </w:r>
      <w:r w:rsidRPr="001D4A9B">
        <w:rPr>
          <w:sz w:val="28"/>
          <w:szCs w:val="28"/>
          <w:vertAlign w:val="superscript"/>
          <w:lang w:val="en-US" w:eastAsia="en-US"/>
        </w:rPr>
        <w:t>th</w:t>
      </w:r>
      <w:r w:rsidR="0000420B">
        <w:rPr>
          <w:sz w:val="28"/>
          <w:szCs w:val="28"/>
          <w:lang w:val="en-US" w:eastAsia="en-US"/>
        </w:rPr>
        <w:t>February 2018</w:t>
      </w:r>
      <w:r>
        <w:rPr>
          <w:sz w:val="28"/>
          <w:szCs w:val="28"/>
          <w:lang w:val="en-US" w:eastAsia="en-US"/>
        </w:rPr>
        <w:t xml:space="preserve">. </w:t>
      </w:r>
      <w:r w:rsidR="0000420B">
        <w:rPr>
          <w:sz w:val="28"/>
          <w:szCs w:val="28"/>
          <w:lang w:val="en-US" w:eastAsia="en-US"/>
        </w:rPr>
        <w:t xml:space="preserve">I find, without hesitation that, with the applicant having </w:t>
      </w:r>
      <w:r w:rsidR="004E5FFB">
        <w:rPr>
          <w:sz w:val="28"/>
          <w:szCs w:val="28"/>
          <w:lang w:val="en-US" w:eastAsia="en-US"/>
        </w:rPr>
        <w:t xml:space="preserve">defaulted on any of the options in </w:t>
      </w:r>
      <w:r w:rsidR="0000420B">
        <w:rPr>
          <w:sz w:val="28"/>
          <w:szCs w:val="28"/>
          <w:lang w:val="en-US" w:eastAsia="en-US"/>
        </w:rPr>
        <w:t>Rule 28(3)</w:t>
      </w:r>
      <w:r w:rsidR="004E5FFB">
        <w:rPr>
          <w:sz w:val="28"/>
          <w:szCs w:val="28"/>
          <w:lang w:val="en-US" w:eastAsia="en-US"/>
        </w:rPr>
        <w:t>,</w:t>
      </w:r>
      <w:r w:rsidR="0000420B">
        <w:rPr>
          <w:sz w:val="28"/>
          <w:szCs w:val="28"/>
          <w:lang w:val="en-US" w:eastAsia="en-US"/>
        </w:rPr>
        <w:t xml:space="preserve"> as well </w:t>
      </w:r>
      <w:r w:rsidR="0039539A">
        <w:rPr>
          <w:sz w:val="28"/>
          <w:szCs w:val="28"/>
          <w:lang w:val="en-US" w:eastAsia="en-US"/>
        </w:rPr>
        <w:t xml:space="preserve">as </w:t>
      </w:r>
      <w:r w:rsidR="005012EC">
        <w:rPr>
          <w:sz w:val="28"/>
          <w:szCs w:val="28"/>
          <w:lang w:val="en-US" w:eastAsia="en-US"/>
        </w:rPr>
        <w:t>not being in attendance on the 20</w:t>
      </w:r>
      <w:r w:rsidR="005012EC" w:rsidRPr="005012EC">
        <w:rPr>
          <w:sz w:val="28"/>
          <w:szCs w:val="28"/>
          <w:vertAlign w:val="superscript"/>
          <w:lang w:val="en-US" w:eastAsia="en-US"/>
        </w:rPr>
        <w:t>th</w:t>
      </w:r>
      <w:r w:rsidR="005012EC">
        <w:rPr>
          <w:sz w:val="28"/>
          <w:szCs w:val="28"/>
          <w:lang w:val="en-US" w:eastAsia="en-US"/>
        </w:rPr>
        <w:t xml:space="preserve"> February 2018, the first respondent was perfectly entitled to treat the application as unopposed and move it without notice to the applicant on the 26</w:t>
      </w:r>
      <w:r w:rsidR="005012EC" w:rsidRPr="005012EC">
        <w:rPr>
          <w:sz w:val="28"/>
          <w:szCs w:val="28"/>
          <w:vertAlign w:val="superscript"/>
          <w:lang w:val="en-US" w:eastAsia="en-US"/>
        </w:rPr>
        <w:t>th</w:t>
      </w:r>
      <w:r w:rsidR="005012EC">
        <w:rPr>
          <w:sz w:val="28"/>
          <w:szCs w:val="28"/>
          <w:lang w:val="en-US" w:eastAsia="en-US"/>
        </w:rPr>
        <w:t xml:space="preserve"> February 2018. </w:t>
      </w:r>
    </w:p>
    <w:p w:rsidR="00B7714B" w:rsidRDefault="00E464E8" w:rsidP="00A0326F">
      <w:pPr>
        <w:pStyle w:val="Textbody"/>
        <w:spacing w:line="480" w:lineRule="auto"/>
        <w:jc w:val="both"/>
        <w:rPr>
          <w:bCs/>
          <w:sz w:val="28"/>
          <w:szCs w:val="28"/>
        </w:rPr>
      </w:pPr>
      <w:r>
        <w:rPr>
          <w:sz w:val="28"/>
          <w:szCs w:val="28"/>
          <w:lang w:val="en-US" w:eastAsia="en-US"/>
        </w:rPr>
        <w:lastRenderedPageBreak/>
        <w:t>[2</w:t>
      </w:r>
      <w:r w:rsidR="00AC42C9">
        <w:rPr>
          <w:sz w:val="28"/>
          <w:szCs w:val="28"/>
          <w:lang w:val="en-US" w:eastAsia="en-US"/>
        </w:rPr>
        <w:t>2</w:t>
      </w:r>
      <w:r>
        <w:rPr>
          <w:sz w:val="28"/>
          <w:szCs w:val="28"/>
          <w:lang w:val="en-US" w:eastAsia="en-US"/>
        </w:rPr>
        <w:t>]</w:t>
      </w:r>
      <w:r>
        <w:rPr>
          <w:sz w:val="28"/>
          <w:szCs w:val="28"/>
          <w:lang w:val="en-US" w:eastAsia="en-US"/>
        </w:rPr>
        <w:tab/>
      </w:r>
      <w:r>
        <w:rPr>
          <w:sz w:val="28"/>
          <w:szCs w:val="28"/>
          <w:lang w:val="en-US" w:eastAsia="en-US"/>
        </w:rPr>
        <w:tab/>
      </w:r>
      <w:r w:rsidR="005B1D0F">
        <w:rPr>
          <w:sz w:val="28"/>
          <w:szCs w:val="28"/>
          <w:lang w:val="en-US" w:eastAsia="en-US"/>
        </w:rPr>
        <w:t>If the applicant seriously intended to resist the summary judgment</w:t>
      </w:r>
      <w:r w:rsidR="00F53E0F">
        <w:rPr>
          <w:sz w:val="28"/>
          <w:szCs w:val="28"/>
          <w:lang w:val="en-US" w:eastAsia="en-US"/>
        </w:rPr>
        <w:t xml:space="preserve"> application</w:t>
      </w:r>
      <w:r w:rsidR="005B1D0F">
        <w:rPr>
          <w:sz w:val="28"/>
          <w:szCs w:val="28"/>
          <w:lang w:val="en-US" w:eastAsia="en-US"/>
        </w:rPr>
        <w:t xml:space="preserve">, he </w:t>
      </w:r>
      <w:r>
        <w:rPr>
          <w:sz w:val="28"/>
          <w:szCs w:val="28"/>
          <w:lang w:val="en-US" w:eastAsia="en-US"/>
        </w:rPr>
        <w:t>had a second chance to</w:t>
      </w:r>
      <w:r w:rsidR="005B1D0F">
        <w:rPr>
          <w:sz w:val="28"/>
          <w:szCs w:val="28"/>
          <w:lang w:val="en-US" w:eastAsia="en-US"/>
        </w:rPr>
        <w:t xml:space="preserve"> file his affidavit </w:t>
      </w:r>
      <w:r w:rsidR="005B1D0F">
        <w:rPr>
          <w:bCs/>
          <w:sz w:val="28"/>
          <w:szCs w:val="28"/>
        </w:rPr>
        <w:t>before noon not less than two court days before the 26</w:t>
      </w:r>
      <w:r w:rsidR="005B1D0F" w:rsidRPr="00654B32">
        <w:rPr>
          <w:bCs/>
          <w:sz w:val="28"/>
          <w:szCs w:val="28"/>
          <w:vertAlign w:val="superscript"/>
        </w:rPr>
        <w:t>th</w:t>
      </w:r>
      <w:r w:rsidR="005B1D0F">
        <w:rPr>
          <w:bCs/>
          <w:sz w:val="28"/>
          <w:szCs w:val="28"/>
        </w:rPr>
        <w:t xml:space="preserve"> February 2018. </w:t>
      </w:r>
      <w:r>
        <w:rPr>
          <w:bCs/>
          <w:sz w:val="28"/>
          <w:szCs w:val="28"/>
        </w:rPr>
        <w:t>In the first place</w:t>
      </w:r>
      <w:r w:rsidR="00B7714B">
        <w:rPr>
          <w:bCs/>
          <w:sz w:val="28"/>
          <w:szCs w:val="28"/>
        </w:rPr>
        <w:t>,</w:t>
      </w:r>
      <w:r>
        <w:rPr>
          <w:bCs/>
          <w:sz w:val="28"/>
          <w:szCs w:val="28"/>
        </w:rPr>
        <w:t xml:space="preserve"> the applicant </w:t>
      </w:r>
      <w:r w:rsidR="00F53E0F">
        <w:rPr>
          <w:bCs/>
          <w:sz w:val="28"/>
          <w:szCs w:val="28"/>
        </w:rPr>
        <w:t>should have exercised the options presented by Rule 28(3) before the 20</w:t>
      </w:r>
      <w:r w:rsidR="00F53E0F" w:rsidRPr="00F53E0F">
        <w:rPr>
          <w:bCs/>
          <w:sz w:val="28"/>
          <w:szCs w:val="28"/>
          <w:vertAlign w:val="superscript"/>
        </w:rPr>
        <w:t>th</w:t>
      </w:r>
      <w:r w:rsidR="00F53E0F">
        <w:rPr>
          <w:bCs/>
          <w:sz w:val="28"/>
          <w:szCs w:val="28"/>
        </w:rPr>
        <w:t xml:space="preserve"> February 2018 or be in Court on the 20</w:t>
      </w:r>
      <w:r w:rsidR="00F53E0F" w:rsidRPr="00F53E0F">
        <w:rPr>
          <w:bCs/>
          <w:sz w:val="28"/>
          <w:szCs w:val="28"/>
          <w:vertAlign w:val="superscript"/>
        </w:rPr>
        <w:t>th</w:t>
      </w:r>
      <w:r w:rsidR="00F53E0F">
        <w:rPr>
          <w:bCs/>
          <w:sz w:val="28"/>
          <w:szCs w:val="28"/>
        </w:rPr>
        <w:t xml:space="preserve"> February 2018 to seek leave to present evidence personally or through another person to demonstrate that he had a </w:t>
      </w:r>
      <w:r w:rsidR="00F53E0F" w:rsidRPr="00F53E0F">
        <w:rPr>
          <w:bCs/>
          <w:i/>
          <w:iCs/>
          <w:sz w:val="28"/>
          <w:szCs w:val="28"/>
        </w:rPr>
        <w:t>bona fide</w:t>
      </w:r>
      <w:r w:rsidR="00F53E0F">
        <w:rPr>
          <w:bCs/>
          <w:sz w:val="28"/>
          <w:szCs w:val="28"/>
        </w:rPr>
        <w:t xml:space="preserve"> defence to the claim.  </w:t>
      </w:r>
    </w:p>
    <w:p w:rsidR="0000420B" w:rsidRPr="004D1353" w:rsidRDefault="00B7714B" w:rsidP="00A0326F">
      <w:pPr>
        <w:pStyle w:val="Textbody"/>
        <w:spacing w:line="480" w:lineRule="auto"/>
        <w:jc w:val="both"/>
        <w:rPr>
          <w:bCs/>
          <w:sz w:val="28"/>
          <w:szCs w:val="28"/>
        </w:rPr>
      </w:pPr>
      <w:r>
        <w:rPr>
          <w:bCs/>
          <w:sz w:val="28"/>
          <w:szCs w:val="28"/>
        </w:rPr>
        <w:t>[2</w:t>
      </w:r>
      <w:r w:rsidR="00AC42C9">
        <w:rPr>
          <w:bCs/>
          <w:sz w:val="28"/>
          <w:szCs w:val="28"/>
        </w:rPr>
        <w:t>3</w:t>
      </w:r>
      <w:r>
        <w:rPr>
          <w:bCs/>
          <w:sz w:val="28"/>
          <w:szCs w:val="28"/>
        </w:rPr>
        <w:t>]</w:t>
      </w:r>
      <w:r>
        <w:rPr>
          <w:bCs/>
          <w:sz w:val="28"/>
          <w:szCs w:val="28"/>
        </w:rPr>
        <w:tab/>
      </w:r>
      <w:r>
        <w:rPr>
          <w:bCs/>
          <w:sz w:val="28"/>
          <w:szCs w:val="28"/>
        </w:rPr>
        <w:tab/>
        <w:t xml:space="preserve">Following the obvious </w:t>
      </w:r>
      <w:r w:rsidR="00F34667">
        <w:rPr>
          <w:bCs/>
          <w:sz w:val="28"/>
          <w:szCs w:val="28"/>
        </w:rPr>
        <w:t xml:space="preserve">sluggishness </w:t>
      </w:r>
      <w:r>
        <w:rPr>
          <w:bCs/>
          <w:sz w:val="28"/>
          <w:szCs w:val="28"/>
        </w:rPr>
        <w:t>stated above, coupled with his absence in Court on the 20</w:t>
      </w:r>
      <w:r w:rsidRPr="00B7714B">
        <w:rPr>
          <w:bCs/>
          <w:sz w:val="28"/>
          <w:szCs w:val="28"/>
          <w:vertAlign w:val="superscript"/>
        </w:rPr>
        <w:t>th</w:t>
      </w:r>
      <w:r>
        <w:rPr>
          <w:bCs/>
          <w:sz w:val="28"/>
          <w:szCs w:val="28"/>
        </w:rPr>
        <w:t xml:space="preserve"> February 2018, a diligent litigant would have, personally or through his </w:t>
      </w:r>
      <w:r w:rsidR="004D1353">
        <w:rPr>
          <w:bCs/>
          <w:sz w:val="28"/>
          <w:szCs w:val="28"/>
        </w:rPr>
        <w:t xml:space="preserve">legal representatives </w:t>
      </w:r>
      <w:r w:rsidR="00E464E8">
        <w:rPr>
          <w:bCs/>
          <w:sz w:val="28"/>
          <w:szCs w:val="28"/>
        </w:rPr>
        <w:t>inquire</w:t>
      </w:r>
      <w:r>
        <w:rPr>
          <w:bCs/>
          <w:sz w:val="28"/>
          <w:szCs w:val="28"/>
        </w:rPr>
        <w:t>d</w:t>
      </w:r>
      <w:r w:rsidR="00E464E8">
        <w:rPr>
          <w:bCs/>
          <w:sz w:val="28"/>
          <w:szCs w:val="28"/>
        </w:rPr>
        <w:t xml:space="preserve"> as to what happened to the matter on the 20</w:t>
      </w:r>
      <w:r w:rsidR="00E464E8" w:rsidRPr="00E464E8">
        <w:rPr>
          <w:bCs/>
          <w:sz w:val="28"/>
          <w:szCs w:val="28"/>
          <w:vertAlign w:val="superscript"/>
        </w:rPr>
        <w:t>th</w:t>
      </w:r>
      <w:r w:rsidR="00E464E8">
        <w:rPr>
          <w:bCs/>
          <w:sz w:val="28"/>
          <w:szCs w:val="28"/>
        </w:rPr>
        <w:t xml:space="preserve"> February 2018. </w:t>
      </w:r>
      <w:r w:rsidR="00F34667">
        <w:rPr>
          <w:bCs/>
          <w:sz w:val="28"/>
          <w:szCs w:val="28"/>
        </w:rPr>
        <w:t>I have every reason to believe that the applicant or his lawyers indeed found out that the matter did not proceed on 20</w:t>
      </w:r>
      <w:r w:rsidR="00F34667" w:rsidRPr="00F34667">
        <w:rPr>
          <w:bCs/>
          <w:sz w:val="28"/>
          <w:szCs w:val="28"/>
          <w:vertAlign w:val="superscript"/>
        </w:rPr>
        <w:t>th</w:t>
      </w:r>
      <w:r w:rsidR="00F34667">
        <w:rPr>
          <w:bCs/>
          <w:sz w:val="28"/>
          <w:szCs w:val="28"/>
        </w:rPr>
        <w:t>February 2018</w:t>
      </w:r>
      <w:r w:rsidR="004D1353">
        <w:rPr>
          <w:bCs/>
          <w:sz w:val="28"/>
          <w:szCs w:val="28"/>
        </w:rPr>
        <w:t xml:space="preserve">. They knew that the matter was </w:t>
      </w:r>
      <w:r w:rsidR="00F34667">
        <w:rPr>
          <w:bCs/>
          <w:sz w:val="28"/>
          <w:szCs w:val="28"/>
        </w:rPr>
        <w:t>‘live’</w:t>
      </w:r>
      <w:r w:rsidR="004D1353">
        <w:rPr>
          <w:bCs/>
          <w:sz w:val="28"/>
          <w:szCs w:val="28"/>
        </w:rPr>
        <w:t xml:space="preserve"> even after the 20</w:t>
      </w:r>
      <w:r w:rsidR="004D1353" w:rsidRPr="004D1353">
        <w:rPr>
          <w:bCs/>
          <w:sz w:val="28"/>
          <w:szCs w:val="28"/>
          <w:vertAlign w:val="superscript"/>
        </w:rPr>
        <w:t>th</w:t>
      </w:r>
      <w:r w:rsidR="004D1353">
        <w:rPr>
          <w:bCs/>
          <w:sz w:val="28"/>
          <w:szCs w:val="28"/>
        </w:rPr>
        <w:t xml:space="preserve"> February 2018. This explains why the first </w:t>
      </w:r>
      <w:r w:rsidR="001562B7">
        <w:rPr>
          <w:bCs/>
          <w:sz w:val="28"/>
          <w:szCs w:val="28"/>
        </w:rPr>
        <w:t>respondent‘s</w:t>
      </w:r>
      <w:r w:rsidR="004D1353">
        <w:rPr>
          <w:bCs/>
          <w:sz w:val="28"/>
          <w:szCs w:val="28"/>
        </w:rPr>
        <w:t xml:space="preserve"> legal representatives were served with the applicant’s affidavit on the 26</w:t>
      </w:r>
      <w:r w:rsidR="004D1353" w:rsidRPr="004D1353">
        <w:rPr>
          <w:bCs/>
          <w:sz w:val="28"/>
          <w:szCs w:val="28"/>
          <w:vertAlign w:val="superscript"/>
        </w:rPr>
        <w:t>th</w:t>
      </w:r>
      <w:r w:rsidR="004D1353">
        <w:rPr>
          <w:bCs/>
          <w:sz w:val="28"/>
          <w:szCs w:val="28"/>
        </w:rPr>
        <w:t xml:space="preserve"> February 2018 though it was a bit late in the day to thwart the first </w:t>
      </w:r>
      <w:r w:rsidR="001562B7">
        <w:rPr>
          <w:bCs/>
          <w:sz w:val="28"/>
          <w:szCs w:val="28"/>
        </w:rPr>
        <w:t>respondent‘s</w:t>
      </w:r>
      <w:r w:rsidR="004D1353">
        <w:rPr>
          <w:bCs/>
          <w:sz w:val="28"/>
          <w:szCs w:val="28"/>
        </w:rPr>
        <w:t xml:space="preserve"> effort to obtain summary judgment. Had the affidavit been filed timeously</w:t>
      </w:r>
      <w:r w:rsidR="0033056B">
        <w:rPr>
          <w:bCs/>
          <w:sz w:val="28"/>
          <w:szCs w:val="28"/>
        </w:rPr>
        <w:t>,</w:t>
      </w:r>
      <w:r w:rsidR="004D1353">
        <w:rPr>
          <w:bCs/>
          <w:sz w:val="28"/>
          <w:szCs w:val="28"/>
        </w:rPr>
        <w:t xml:space="preserve"> the Court would not have disregarded it considering the drastic nature of summary judgment. </w:t>
      </w:r>
    </w:p>
    <w:p w:rsidR="00206F0B" w:rsidRDefault="005012EC" w:rsidP="00A0326F">
      <w:pPr>
        <w:pStyle w:val="Textbody"/>
        <w:spacing w:line="480" w:lineRule="auto"/>
        <w:jc w:val="both"/>
        <w:rPr>
          <w:sz w:val="28"/>
          <w:szCs w:val="28"/>
          <w:lang w:val="en-US" w:eastAsia="en-US"/>
        </w:rPr>
      </w:pPr>
      <w:r>
        <w:rPr>
          <w:sz w:val="28"/>
          <w:szCs w:val="28"/>
          <w:lang w:val="en-US" w:eastAsia="en-US"/>
        </w:rPr>
        <w:t>[2</w:t>
      </w:r>
      <w:r w:rsidR="00AC42C9">
        <w:rPr>
          <w:sz w:val="28"/>
          <w:szCs w:val="28"/>
          <w:lang w:val="en-US" w:eastAsia="en-US"/>
        </w:rPr>
        <w:t>4</w:t>
      </w:r>
      <w:r>
        <w:rPr>
          <w:sz w:val="28"/>
          <w:szCs w:val="28"/>
          <w:lang w:val="en-US" w:eastAsia="en-US"/>
        </w:rPr>
        <w:t>]</w:t>
      </w:r>
      <w:r>
        <w:rPr>
          <w:sz w:val="28"/>
          <w:szCs w:val="28"/>
          <w:lang w:val="en-US" w:eastAsia="en-US"/>
        </w:rPr>
        <w:tab/>
      </w:r>
      <w:r>
        <w:rPr>
          <w:sz w:val="28"/>
          <w:szCs w:val="28"/>
          <w:lang w:val="en-US" w:eastAsia="en-US"/>
        </w:rPr>
        <w:tab/>
      </w:r>
      <w:r w:rsidR="00A7616E">
        <w:rPr>
          <w:sz w:val="28"/>
          <w:szCs w:val="28"/>
          <w:lang w:val="en-US" w:eastAsia="en-US"/>
        </w:rPr>
        <w:t>Having already found in paragraph 2</w:t>
      </w:r>
      <w:r w:rsidR="00AC42C9">
        <w:rPr>
          <w:sz w:val="28"/>
          <w:szCs w:val="28"/>
          <w:lang w:val="en-US" w:eastAsia="en-US"/>
        </w:rPr>
        <w:t>1</w:t>
      </w:r>
      <w:r w:rsidR="00A7616E">
        <w:rPr>
          <w:sz w:val="28"/>
          <w:szCs w:val="28"/>
          <w:lang w:val="en-US" w:eastAsia="en-US"/>
        </w:rPr>
        <w:t xml:space="preserve"> of this judgment that it was not </w:t>
      </w:r>
      <w:r>
        <w:rPr>
          <w:sz w:val="28"/>
          <w:szCs w:val="28"/>
          <w:lang w:val="en-US" w:eastAsia="en-US"/>
        </w:rPr>
        <w:t>necessary for the applicant to be served with a notice of set down for the 26</w:t>
      </w:r>
      <w:r w:rsidRPr="005012EC">
        <w:rPr>
          <w:sz w:val="28"/>
          <w:szCs w:val="28"/>
          <w:vertAlign w:val="superscript"/>
          <w:lang w:val="en-US" w:eastAsia="en-US"/>
        </w:rPr>
        <w:t>th</w:t>
      </w:r>
      <w:r>
        <w:rPr>
          <w:sz w:val="28"/>
          <w:szCs w:val="28"/>
          <w:lang w:val="en-US" w:eastAsia="en-US"/>
        </w:rPr>
        <w:t xml:space="preserve"> February 2018 in </w:t>
      </w:r>
      <w:r w:rsidR="00A7616E">
        <w:rPr>
          <w:sz w:val="28"/>
          <w:szCs w:val="28"/>
          <w:lang w:val="en-US" w:eastAsia="en-US"/>
        </w:rPr>
        <w:t xml:space="preserve">the circumstances where there was no opposition to summary </w:t>
      </w:r>
      <w:r w:rsidR="00A7616E">
        <w:rPr>
          <w:sz w:val="28"/>
          <w:szCs w:val="28"/>
          <w:lang w:val="en-US" w:eastAsia="en-US"/>
        </w:rPr>
        <w:lastRenderedPageBreak/>
        <w:t>judgment application, I conclude that there was no</w:t>
      </w:r>
      <w:r>
        <w:rPr>
          <w:sz w:val="28"/>
          <w:szCs w:val="28"/>
          <w:lang w:val="en-US" w:eastAsia="en-US"/>
        </w:rPr>
        <w:t xml:space="preserve"> procedural irregularity or mistake in respect of the issue of the </w:t>
      </w:r>
      <w:r w:rsidR="00963ECD">
        <w:rPr>
          <w:sz w:val="28"/>
          <w:szCs w:val="28"/>
          <w:lang w:val="en-US" w:eastAsia="en-US"/>
        </w:rPr>
        <w:t xml:space="preserve">summary judgment. </w:t>
      </w:r>
      <w:r>
        <w:rPr>
          <w:sz w:val="28"/>
          <w:szCs w:val="28"/>
          <w:lang w:val="en-US" w:eastAsia="en-US"/>
        </w:rPr>
        <w:t xml:space="preserve">I therefore have no basis to </w:t>
      </w:r>
      <w:r w:rsidR="00F32157">
        <w:rPr>
          <w:sz w:val="28"/>
          <w:szCs w:val="28"/>
          <w:lang w:val="en-US" w:eastAsia="en-US"/>
        </w:rPr>
        <w:t xml:space="preserve">hold </w:t>
      </w:r>
      <w:r>
        <w:rPr>
          <w:sz w:val="28"/>
          <w:szCs w:val="28"/>
          <w:lang w:val="en-US" w:eastAsia="en-US"/>
        </w:rPr>
        <w:t xml:space="preserve">that the </w:t>
      </w:r>
      <w:r w:rsidR="00206F0B">
        <w:rPr>
          <w:sz w:val="28"/>
          <w:szCs w:val="28"/>
          <w:lang w:val="en-US" w:eastAsia="en-US"/>
        </w:rPr>
        <w:t>summary judgment was erroneously sought by the first respondent or erroneously granted by the Court. In the absence of affidavit in terms of Rule 28(3) when the matter was heard on the 26</w:t>
      </w:r>
      <w:r w:rsidR="00206F0B" w:rsidRPr="00206F0B">
        <w:rPr>
          <w:sz w:val="28"/>
          <w:szCs w:val="28"/>
          <w:vertAlign w:val="superscript"/>
          <w:lang w:val="en-US" w:eastAsia="en-US"/>
        </w:rPr>
        <w:t>th</w:t>
      </w:r>
      <w:r w:rsidR="00206F0B">
        <w:rPr>
          <w:sz w:val="28"/>
          <w:szCs w:val="28"/>
          <w:lang w:val="en-US" w:eastAsia="en-US"/>
        </w:rPr>
        <w:t xml:space="preserve"> February 2018, there was no reason for the late Chaka – Makhooane J, as she then was, not to grant </w:t>
      </w:r>
      <w:r w:rsidR="00963ECD">
        <w:rPr>
          <w:sz w:val="28"/>
          <w:szCs w:val="28"/>
          <w:lang w:val="en-US" w:eastAsia="en-US"/>
        </w:rPr>
        <w:t xml:space="preserve">the </w:t>
      </w:r>
      <w:r w:rsidR="00206F0B">
        <w:rPr>
          <w:sz w:val="28"/>
          <w:szCs w:val="28"/>
          <w:lang w:val="en-US" w:eastAsia="en-US"/>
        </w:rPr>
        <w:t>summary judgment.</w:t>
      </w:r>
    </w:p>
    <w:p w:rsidR="00C0037B" w:rsidRPr="0092508E" w:rsidRDefault="00206F0B" w:rsidP="0092508E">
      <w:pPr>
        <w:spacing w:after="0" w:line="480" w:lineRule="auto"/>
        <w:jc w:val="both"/>
        <w:rPr>
          <w:rFonts w:ascii="Times New Roman" w:eastAsiaTheme="minorHAnsi" w:hAnsi="Times New Roman"/>
          <w:sz w:val="24"/>
          <w:szCs w:val="24"/>
          <w:lang w:val="en-GB" w:eastAsia="en-GB"/>
        </w:rPr>
      </w:pPr>
      <w:r w:rsidRPr="004673DE">
        <w:rPr>
          <w:rFonts w:ascii="Times New Roman" w:hAnsi="Times New Roman" w:cs="Times New Roman"/>
          <w:sz w:val="28"/>
          <w:szCs w:val="28"/>
        </w:rPr>
        <w:t>[</w:t>
      </w:r>
      <w:r w:rsidR="00F32157">
        <w:rPr>
          <w:rFonts w:ascii="Times New Roman" w:hAnsi="Times New Roman" w:cs="Times New Roman"/>
          <w:sz w:val="28"/>
          <w:szCs w:val="28"/>
        </w:rPr>
        <w:t>2</w:t>
      </w:r>
      <w:r w:rsidR="00AC42C9">
        <w:rPr>
          <w:rFonts w:ascii="Times New Roman" w:hAnsi="Times New Roman" w:cs="Times New Roman"/>
          <w:sz w:val="28"/>
          <w:szCs w:val="28"/>
        </w:rPr>
        <w:t>5</w:t>
      </w:r>
      <w:r w:rsidRPr="004673DE">
        <w:rPr>
          <w:rFonts w:ascii="Times New Roman" w:hAnsi="Times New Roman" w:cs="Times New Roman"/>
          <w:sz w:val="28"/>
          <w:szCs w:val="28"/>
        </w:rPr>
        <w:t>]</w:t>
      </w:r>
      <w:r w:rsidRPr="004673DE">
        <w:rPr>
          <w:rFonts w:ascii="Times New Roman" w:hAnsi="Times New Roman" w:cs="Times New Roman"/>
          <w:sz w:val="28"/>
          <w:szCs w:val="28"/>
        </w:rPr>
        <w:tab/>
      </w:r>
      <w:r>
        <w:rPr>
          <w:sz w:val="28"/>
          <w:szCs w:val="28"/>
        </w:rPr>
        <w:tab/>
      </w:r>
      <w:r w:rsidRPr="00C0037B">
        <w:rPr>
          <w:rFonts w:ascii="Times New Roman" w:hAnsi="Times New Roman" w:cs="Times New Roman"/>
          <w:sz w:val="28"/>
          <w:szCs w:val="28"/>
        </w:rPr>
        <w:t>Assuming that I am wrong that the first respondent was not obliged to serve the applicant with a notice of set down for the 26</w:t>
      </w:r>
      <w:r w:rsidRPr="00C0037B">
        <w:rPr>
          <w:rFonts w:ascii="Times New Roman" w:hAnsi="Times New Roman" w:cs="Times New Roman"/>
          <w:sz w:val="28"/>
          <w:szCs w:val="28"/>
          <w:vertAlign w:val="superscript"/>
        </w:rPr>
        <w:t>th</w:t>
      </w:r>
      <w:r w:rsidRPr="00C0037B">
        <w:rPr>
          <w:rFonts w:ascii="Times New Roman" w:hAnsi="Times New Roman" w:cs="Times New Roman"/>
          <w:sz w:val="28"/>
          <w:szCs w:val="28"/>
        </w:rPr>
        <w:t xml:space="preserve"> February 2018</w:t>
      </w:r>
      <w:r w:rsidR="00C0037B" w:rsidRPr="00C0037B">
        <w:rPr>
          <w:rFonts w:ascii="Times New Roman" w:hAnsi="Times New Roman" w:cs="Times New Roman"/>
          <w:sz w:val="28"/>
          <w:szCs w:val="28"/>
        </w:rPr>
        <w:t xml:space="preserve"> and that the judgment was therefore erroneously sought and </w:t>
      </w:r>
      <w:r w:rsidR="00963ECD">
        <w:rPr>
          <w:rFonts w:ascii="Times New Roman" w:hAnsi="Times New Roman" w:cs="Times New Roman"/>
          <w:sz w:val="28"/>
          <w:szCs w:val="28"/>
        </w:rPr>
        <w:t xml:space="preserve">granted, </w:t>
      </w:r>
      <w:r w:rsidR="00C0037B" w:rsidRPr="00C0037B">
        <w:rPr>
          <w:rFonts w:ascii="Times New Roman" w:hAnsi="Times New Roman" w:cs="Times New Roman"/>
          <w:sz w:val="28"/>
          <w:szCs w:val="28"/>
        </w:rPr>
        <w:t xml:space="preserve">this is a good case where I would </w:t>
      </w:r>
      <w:r w:rsidR="00963ECD">
        <w:rPr>
          <w:rFonts w:ascii="Times New Roman" w:hAnsi="Times New Roman" w:cs="Times New Roman"/>
          <w:sz w:val="28"/>
          <w:szCs w:val="28"/>
        </w:rPr>
        <w:t xml:space="preserve">still </w:t>
      </w:r>
      <w:r w:rsidR="00C0037B">
        <w:rPr>
          <w:rFonts w:ascii="Times New Roman" w:hAnsi="Times New Roman" w:cs="Times New Roman"/>
          <w:sz w:val="28"/>
          <w:szCs w:val="28"/>
        </w:rPr>
        <w:t xml:space="preserve">refuse rescission application under Rule 45(1). </w:t>
      </w:r>
      <w:r w:rsidR="00C0037B" w:rsidRPr="00C0037B">
        <w:rPr>
          <w:rFonts w:ascii="Times New Roman" w:hAnsi="Times New Roman" w:cs="Times New Roman"/>
          <w:sz w:val="28"/>
          <w:szCs w:val="28"/>
        </w:rPr>
        <w:t>I</w:t>
      </w:r>
      <w:r w:rsidR="001562B7">
        <w:rPr>
          <w:rFonts w:ascii="Times New Roman" w:hAnsi="Times New Roman" w:cs="Times New Roman"/>
          <w:sz w:val="28"/>
          <w:szCs w:val="28"/>
        </w:rPr>
        <w:t xml:space="preserve"> </w:t>
      </w:r>
      <w:r w:rsidR="00963ECD">
        <w:rPr>
          <w:rFonts w:ascii="Times New Roman" w:hAnsi="Times New Roman" w:cs="Times New Roman"/>
          <w:sz w:val="28"/>
          <w:szCs w:val="28"/>
        </w:rPr>
        <w:t>remain persuaded by S</w:t>
      </w:r>
      <w:r w:rsidR="00C0037B" w:rsidRPr="00C0037B">
        <w:rPr>
          <w:rFonts w:ascii="Times New Roman" w:hAnsi="Times New Roman" w:cs="Times New Roman"/>
          <w:sz w:val="28"/>
          <w:szCs w:val="28"/>
        </w:rPr>
        <w:t xml:space="preserve">outh African </w:t>
      </w:r>
      <w:r w:rsidR="00963ECD">
        <w:rPr>
          <w:rFonts w:ascii="Times New Roman" w:hAnsi="Times New Roman" w:cs="Times New Roman"/>
          <w:sz w:val="28"/>
          <w:szCs w:val="28"/>
        </w:rPr>
        <w:t xml:space="preserve">judicial decisions </w:t>
      </w:r>
      <w:r w:rsidR="0079229F">
        <w:rPr>
          <w:rFonts w:ascii="Times New Roman" w:hAnsi="Times New Roman" w:cs="Times New Roman"/>
          <w:sz w:val="28"/>
          <w:szCs w:val="28"/>
        </w:rPr>
        <w:t xml:space="preserve">that a </w:t>
      </w:r>
      <w:r w:rsidR="00C0037B" w:rsidRPr="00C0037B">
        <w:rPr>
          <w:rFonts w:ascii="Times New Roman" w:eastAsia="Times New Roman" w:hAnsi="Times New Roman" w:cs="Times New Roman"/>
          <w:sz w:val="28"/>
          <w:szCs w:val="28"/>
          <w:lang w:val="en-GB"/>
        </w:rPr>
        <w:t xml:space="preserve">Court still has a discretion in </w:t>
      </w:r>
      <w:r w:rsidR="00963ECD" w:rsidRPr="00C0037B">
        <w:rPr>
          <w:rFonts w:ascii="Times New Roman" w:eastAsia="Times New Roman" w:hAnsi="Times New Roman" w:cs="Times New Roman"/>
          <w:sz w:val="28"/>
          <w:szCs w:val="28"/>
          <w:lang w:val="en-GB"/>
        </w:rPr>
        <w:t>appropriate case</w:t>
      </w:r>
      <w:r w:rsidR="00963ECD">
        <w:rPr>
          <w:rFonts w:ascii="Times New Roman" w:eastAsia="Times New Roman" w:hAnsi="Times New Roman" w:cs="Times New Roman"/>
          <w:sz w:val="28"/>
          <w:szCs w:val="28"/>
          <w:lang w:val="en-GB"/>
        </w:rPr>
        <w:t>s</w:t>
      </w:r>
      <w:r w:rsidR="00C0037B" w:rsidRPr="00C0037B">
        <w:rPr>
          <w:rFonts w:ascii="Times New Roman" w:eastAsia="Times New Roman" w:hAnsi="Times New Roman" w:cs="Times New Roman"/>
          <w:sz w:val="28"/>
          <w:szCs w:val="28"/>
          <w:lang w:val="en-GB"/>
        </w:rPr>
        <w:t xml:space="preserve"> to refuse rescission even when jurisdictional facts under rule 42 (1)</w:t>
      </w:r>
      <w:r w:rsidR="0079229F">
        <w:rPr>
          <w:rFonts w:ascii="Times New Roman" w:eastAsia="Times New Roman" w:hAnsi="Times New Roman" w:cs="Times New Roman"/>
          <w:sz w:val="28"/>
          <w:szCs w:val="28"/>
          <w:lang w:val="en-GB"/>
        </w:rPr>
        <w:t xml:space="preserve"> (an equivalent of Rule 45(1)) </w:t>
      </w:r>
      <w:r w:rsidR="00C0037B" w:rsidRPr="00C0037B">
        <w:rPr>
          <w:rFonts w:ascii="Times New Roman" w:eastAsia="Times New Roman" w:hAnsi="Times New Roman" w:cs="Times New Roman"/>
          <w:sz w:val="28"/>
          <w:szCs w:val="28"/>
          <w:lang w:val="en-GB"/>
        </w:rPr>
        <w:t xml:space="preserve">are met. </w:t>
      </w:r>
      <w:r w:rsidR="0079229F" w:rsidRPr="004673DE">
        <w:rPr>
          <w:rFonts w:ascii="Times New Roman" w:eastAsia="Times New Roman" w:hAnsi="Times New Roman" w:cs="Times New Roman"/>
          <w:i/>
          <w:iCs/>
          <w:sz w:val="28"/>
          <w:szCs w:val="28"/>
          <w:lang w:val="en-GB"/>
        </w:rPr>
        <w:t>See</w:t>
      </w:r>
      <w:r w:rsidR="0079229F">
        <w:rPr>
          <w:rFonts w:ascii="Times New Roman" w:eastAsia="Times New Roman" w:hAnsi="Times New Roman" w:cs="Times New Roman"/>
          <w:sz w:val="28"/>
          <w:szCs w:val="28"/>
          <w:lang w:val="en-GB"/>
        </w:rPr>
        <w:t xml:space="preserve">: </w:t>
      </w:r>
      <w:r w:rsidR="0079229F">
        <w:rPr>
          <w:rFonts w:ascii="Times New Roman" w:eastAsia="Times New Roman" w:hAnsi="Times New Roman"/>
          <w:b/>
          <w:bCs/>
          <w:sz w:val="28"/>
          <w:szCs w:val="28"/>
          <w:lang w:val="en-GB"/>
        </w:rPr>
        <w:t xml:space="preserve">Tshivhase Royal Council v Tshivhase: </w:t>
      </w:r>
      <w:bookmarkStart w:id="2" w:name="_Hlk87016075"/>
      <w:r w:rsidR="0079229F">
        <w:rPr>
          <w:rFonts w:ascii="Times New Roman" w:eastAsia="Times New Roman" w:hAnsi="Times New Roman"/>
          <w:b/>
          <w:bCs/>
          <w:sz w:val="28"/>
          <w:szCs w:val="28"/>
          <w:lang w:val="en-GB"/>
        </w:rPr>
        <w:t>Tshivhase</w:t>
      </w:r>
      <w:bookmarkEnd w:id="2"/>
      <w:r w:rsidR="0079229F">
        <w:rPr>
          <w:rFonts w:ascii="Times New Roman" w:eastAsia="Times New Roman" w:hAnsi="Times New Roman"/>
          <w:b/>
          <w:bCs/>
          <w:sz w:val="28"/>
          <w:szCs w:val="28"/>
          <w:lang w:val="en-GB"/>
        </w:rPr>
        <w:t xml:space="preserve"> v Tshivhase</w:t>
      </w:r>
      <w:r w:rsidR="0079229F">
        <w:rPr>
          <w:rStyle w:val="FootnoteReference"/>
          <w:rFonts w:ascii="Times New Roman" w:eastAsia="Times New Roman" w:hAnsi="Times New Roman"/>
          <w:sz w:val="28"/>
          <w:szCs w:val="28"/>
          <w:lang w:val="en-GB"/>
        </w:rPr>
        <w:footnoteReference w:id="6"/>
      </w:r>
      <w:r w:rsidR="0079229F">
        <w:rPr>
          <w:rFonts w:ascii="Times New Roman" w:eastAsia="Times New Roman" w:hAnsi="Times New Roman"/>
          <w:sz w:val="28"/>
          <w:szCs w:val="28"/>
          <w:lang w:val="en-GB"/>
        </w:rPr>
        <w:t xml:space="preserve">;  </w:t>
      </w:r>
      <w:r w:rsidR="0079229F">
        <w:rPr>
          <w:rFonts w:ascii="Times New Roman" w:eastAsia="Times New Roman" w:hAnsi="Times New Roman"/>
          <w:b/>
          <w:bCs/>
          <w:sz w:val="28"/>
          <w:szCs w:val="28"/>
          <w:lang w:val="en-GB"/>
        </w:rPr>
        <w:t>Van Der Merwe v Bonaero Park (EDMS) BPK</w:t>
      </w:r>
      <w:r w:rsidR="0079229F">
        <w:rPr>
          <w:rStyle w:val="FootnoteReference"/>
          <w:rFonts w:ascii="Times New Roman" w:eastAsia="Times New Roman" w:hAnsi="Times New Roman"/>
          <w:sz w:val="28"/>
          <w:szCs w:val="28"/>
          <w:lang w:val="en-GB"/>
        </w:rPr>
        <w:footnoteReference w:id="7"/>
      </w:r>
      <w:r w:rsidR="0079229F">
        <w:rPr>
          <w:rFonts w:ascii="Times New Roman" w:eastAsia="Times New Roman" w:hAnsi="Times New Roman"/>
          <w:sz w:val="28"/>
          <w:szCs w:val="28"/>
          <w:lang w:val="en-GB"/>
        </w:rPr>
        <w:t>;</w:t>
      </w:r>
      <w:r w:rsidR="0079229F">
        <w:rPr>
          <w:rFonts w:ascii="Times New Roman" w:eastAsia="Times New Roman" w:hAnsi="Times New Roman"/>
          <w:b/>
          <w:bCs/>
          <w:sz w:val="28"/>
          <w:szCs w:val="28"/>
          <w:lang w:val="en-GB"/>
        </w:rPr>
        <w:t>Colyn v Tiger Food Industries Limited trading as Meadow Feed Mills Cape</w:t>
      </w:r>
      <w:r w:rsidR="0079229F">
        <w:rPr>
          <w:rStyle w:val="FootnoteReference"/>
          <w:rFonts w:ascii="Times New Roman" w:eastAsia="Times New Roman" w:hAnsi="Times New Roman"/>
          <w:sz w:val="28"/>
          <w:szCs w:val="28"/>
          <w:lang w:val="en-GB"/>
        </w:rPr>
        <w:footnoteReference w:id="8"/>
      </w:r>
      <w:r w:rsidR="0079229F">
        <w:rPr>
          <w:rFonts w:ascii="Times New Roman" w:eastAsia="Times New Roman" w:hAnsi="Times New Roman"/>
          <w:b/>
          <w:bCs/>
          <w:sz w:val="28"/>
          <w:szCs w:val="28"/>
          <w:lang w:val="en-GB"/>
        </w:rPr>
        <w:t>; JC Schutte v Nedbank Limited</w:t>
      </w:r>
      <w:r w:rsidR="0079229F">
        <w:rPr>
          <w:rStyle w:val="FootnoteReference"/>
          <w:rFonts w:ascii="Times New Roman" w:eastAsia="Times New Roman" w:hAnsi="Times New Roman"/>
          <w:sz w:val="28"/>
          <w:szCs w:val="28"/>
          <w:lang w:val="en-GB"/>
        </w:rPr>
        <w:footnoteReference w:id="9"/>
      </w:r>
    </w:p>
    <w:p w:rsidR="004677A3" w:rsidRDefault="00716397" w:rsidP="00C0037B">
      <w:pPr>
        <w:tabs>
          <w:tab w:val="left" w:pos="1134"/>
        </w:tabs>
        <w:spacing w:after="0" w:line="48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lastRenderedPageBreak/>
        <w:t>[</w:t>
      </w:r>
      <w:r w:rsidR="00F32157">
        <w:rPr>
          <w:rFonts w:ascii="Times New Roman" w:eastAsia="Times New Roman" w:hAnsi="Times New Roman" w:cs="Times New Roman"/>
          <w:sz w:val="28"/>
          <w:szCs w:val="28"/>
          <w:lang w:val="en-GB"/>
        </w:rPr>
        <w:t>2</w:t>
      </w:r>
      <w:r w:rsidR="00AC42C9">
        <w:rPr>
          <w:rFonts w:ascii="Times New Roman" w:eastAsia="Times New Roman" w:hAnsi="Times New Roman" w:cs="Times New Roman"/>
          <w:sz w:val="28"/>
          <w:szCs w:val="28"/>
          <w:lang w:val="en-GB"/>
        </w:rPr>
        <w:t>6</w:t>
      </w:r>
      <w:r>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lang w:val="en-GB"/>
        </w:rPr>
        <w:tab/>
      </w:r>
      <w:r>
        <w:rPr>
          <w:rFonts w:ascii="Times New Roman" w:eastAsia="Times New Roman" w:hAnsi="Times New Roman" w:cs="Times New Roman"/>
          <w:sz w:val="28"/>
          <w:szCs w:val="28"/>
          <w:lang w:val="en-GB"/>
        </w:rPr>
        <w:tab/>
        <w:t>While the applicant</w:t>
      </w:r>
      <w:r w:rsidR="00091D66">
        <w:rPr>
          <w:rFonts w:ascii="Times New Roman" w:eastAsia="Times New Roman" w:hAnsi="Times New Roman" w:cs="Times New Roman"/>
          <w:sz w:val="28"/>
          <w:szCs w:val="28"/>
          <w:lang w:val="en-GB"/>
        </w:rPr>
        <w:t xml:space="preserve"> </w:t>
      </w:r>
      <w:r w:rsidR="007A04EE">
        <w:rPr>
          <w:rFonts w:ascii="Times New Roman" w:eastAsia="Times New Roman" w:hAnsi="Times New Roman" w:cs="Times New Roman"/>
          <w:sz w:val="28"/>
          <w:szCs w:val="28"/>
          <w:lang w:val="en-GB"/>
        </w:rPr>
        <w:t xml:space="preserve">is </w:t>
      </w:r>
      <w:r w:rsidR="00AF6A6B">
        <w:rPr>
          <w:rFonts w:ascii="Times New Roman" w:eastAsia="Times New Roman" w:hAnsi="Times New Roman" w:cs="Times New Roman"/>
          <w:sz w:val="28"/>
          <w:szCs w:val="28"/>
          <w:lang w:val="en-GB"/>
        </w:rPr>
        <w:t>certainly not required in the proceedings for summary judgment to prove his defence</w:t>
      </w:r>
      <w:r w:rsidR="00AF6A6B">
        <w:rPr>
          <w:rStyle w:val="FootnoteReference"/>
          <w:rFonts w:ascii="Times New Roman" w:eastAsia="Times New Roman" w:hAnsi="Times New Roman" w:cs="Times New Roman"/>
          <w:sz w:val="28"/>
          <w:szCs w:val="28"/>
          <w:lang w:val="en-GB"/>
        </w:rPr>
        <w:footnoteReference w:id="10"/>
      </w:r>
      <w:r w:rsidR="00AF6A6B">
        <w:rPr>
          <w:rFonts w:ascii="Times New Roman" w:eastAsia="Times New Roman" w:hAnsi="Times New Roman" w:cs="Times New Roman"/>
          <w:sz w:val="28"/>
          <w:szCs w:val="28"/>
          <w:lang w:val="en-GB"/>
        </w:rPr>
        <w:t xml:space="preserve">, </w:t>
      </w:r>
      <w:r w:rsidR="00F32157">
        <w:rPr>
          <w:rFonts w:ascii="Times New Roman" w:eastAsia="Times New Roman" w:hAnsi="Times New Roman" w:cs="Times New Roman"/>
          <w:sz w:val="28"/>
          <w:szCs w:val="28"/>
          <w:lang w:val="en-GB"/>
        </w:rPr>
        <w:t>it bears emphasising that an</w:t>
      </w:r>
      <w:r w:rsidR="00AF6A6B">
        <w:rPr>
          <w:rFonts w:ascii="Times New Roman" w:eastAsia="Times New Roman" w:hAnsi="Times New Roman" w:cs="Times New Roman"/>
          <w:sz w:val="28"/>
          <w:szCs w:val="28"/>
          <w:lang w:val="en-GB"/>
        </w:rPr>
        <w:t xml:space="preserve"> affidavit resisting summary judgment </w:t>
      </w:r>
      <w:r w:rsidR="007A04EE">
        <w:rPr>
          <w:rFonts w:ascii="Times New Roman" w:eastAsia="Times New Roman" w:hAnsi="Times New Roman" w:cs="Times New Roman"/>
          <w:sz w:val="28"/>
          <w:szCs w:val="28"/>
          <w:lang w:val="en-GB"/>
        </w:rPr>
        <w:t>must</w:t>
      </w:r>
      <w:r w:rsidR="00AF6A6B">
        <w:rPr>
          <w:rFonts w:ascii="Times New Roman" w:eastAsia="Times New Roman" w:hAnsi="Times New Roman" w:cs="Times New Roman"/>
          <w:sz w:val="28"/>
          <w:szCs w:val="28"/>
          <w:lang w:val="en-GB"/>
        </w:rPr>
        <w:t xml:space="preserve"> “disclose fully the nature and grounds of the defence and the material facts relied upon therefor”</w:t>
      </w:r>
      <w:r w:rsidR="00AF6A6B">
        <w:rPr>
          <w:rStyle w:val="FootnoteReference"/>
          <w:rFonts w:ascii="Times New Roman" w:eastAsia="Times New Roman" w:hAnsi="Times New Roman" w:cs="Times New Roman"/>
          <w:sz w:val="28"/>
          <w:szCs w:val="28"/>
          <w:lang w:val="en-GB"/>
        </w:rPr>
        <w:footnoteReference w:id="11"/>
      </w:r>
      <w:r w:rsidR="00AF6A6B">
        <w:rPr>
          <w:rFonts w:ascii="Times New Roman" w:eastAsia="Times New Roman" w:hAnsi="Times New Roman" w:cs="Times New Roman"/>
          <w:sz w:val="28"/>
          <w:szCs w:val="28"/>
          <w:lang w:val="en-GB"/>
        </w:rPr>
        <w:t xml:space="preserve">. </w:t>
      </w:r>
    </w:p>
    <w:p w:rsidR="00F32157" w:rsidRDefault="004677A3" w:rsidP="00C0037B">
      <w:pPr>
        <w:tabs>
          <w:tab w:val="left" w:pos="1134"/>
        </w:tabs>
        <w:spacing w:after="0" w:line="48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w:t>
      </w:r>
      <w:r w:rsidR="00F32157">
        <w:rPr>
          <w:rFonts w:ascii="Times New Roman" w:eastAsia="Times New Roman" w:hAnsi="Times New Roman" w:cs="Times New Roman"/>
          <w:sz w:val="28"/>
          <w:szCs w:val="28"/>
          <w:lang w:val="en-GB"/>
        </w:rPr>
        <w:t>2</w:t>
      </w:r>
      <w:r w:rsidR="00AC42C9">
        <w:rPr>
          <w:rFonts w:ascii="Times New Roman" w:eastAsia="Times New Roman" w:hAnsi="Times New Roman" w:cs="Times New Roman"/>
          <w:sz w:val="28"/>
          <w:szCs w:val="28"/>
          <w:lang w:val="en-GB"/>
        </w:rPr>
        <w:t>7</w:t>
      </w:r>
      <w:r>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lang w:val="en-GB"/>
        </w:rPr>
        <w:tab/>
      </w:r>
      <w:r>
        <w:rPr>
          <w:rFonts w:ascii="Times New Roman" w:eastAsia="Times New Roman" w:hAnsi="Times New Roman" w:cs="Times New Roman"/>
          <w:sz w:val="28"/>
          <w:szCs w:val="28"/>
          <w:lang w:val="en-GB"/>
        </w:rPr>
        <w:tab/>
      </w:r>
      <w:r w:rsidR="002C62A9">
        <w:rPr>
          <w:rFonts w:ascii="Times New Roman" w:eastAsia="Times New Roman" w:hAnsi="Times New Roman" w:cs="Times New Roman"/>
          <w:sz w:val="28"/>
          <w:szCs w:val="28"/>
          <w:lang w:val="en-GB"/>
        </w:rPr>
        <w:t>In dealing with a similar situation i</w:t>
      </w:r>
      <w:r>
        <w:rPr>
          <w:rFonts w:ascii="Times New Roman" w:eastAsia="Times New Roman" w:hAnsi="Times New Roman" w:cs="Times New Roman"/>
          <w:sz w:val="28"/>
          <w:szCs w:val="28"/>
          <w:lang w:val="en-GB"/>
        </w:rPr>
        <w:t xml:space="preserve">n </w:t>
      </w:r>
      <w:r w:rsidRPr="002C62A9">
        <w:rPr>
          <w:rFonts w:ascii="Times New Roman" w:eastAsia="Times New Roman" w:hAnsi="Times New Roman" w:cs="Times New Roman"/>
          <w:b/>
          <w:bCs/>
          <w:sz w:val="28"/>
          <w:szCs w:val="28"/>
          <w:lang w:val="en-GB"/>
        </w:rPr>
        <w:t>Maharaj v Barclays National Bank Ltd</w:t>
      </w:r>
      <w:r>
        <w:rPr>
          <w:rStyle w:val="FootnoteReference"/>
          <w:rFonts w:ascii="Times New Roman" w:eastAsia="Times New Roman" w:hAnsi="Times New Roman" w:cs="Times New Roman"/>
          <w:sz w:val="28"/>
          <w:szCs w:val="28"/>
          <w:lang w:val="en-GB"/>
        </w:rPr>
        <w:footnoteReference w:id="12"/>
      </w:r>
      <w:r w:rsidR="00091D66">
        <w:rPr>
          <w:rFonts w:ascii="Times New Roman" w:eastAsia="Times New Roman" w:hAnsi="Times New Roman" w:cs="Times New Roman"/>
          <w:b/>
          <w:bCs/>
          <w:sz w:val="28"/>
          <w:szCs w:val="28"/>
          <w:lang w:val="en-GB"/>
        </w:rPr>
        <w:t xml:space="preserve"> </w:t>
      </w:r>
      <w:r w:rsidR="002C62A9">
        <w:rPr>
          <w:rFonts w:ascii="Times New Roman" w:eastAsia="Times New Roman" w:hAnsi="Times New Roman" w:cs="Times New Roman"/>
          <w:sz w:val="28"/>
          <w:szCs w:val="28"/>
          <w:lang w:val="en-GB"/>
        </w:rPr>
        <w:t xml:space="preserve">Corbett JA </w:t>
      </w:r>
      <w:r>
        <w:rPr>
          <w:rFonts w:ascii="Times New Roman" w:eastAsia="Times New Roman" w:hAnsi="Times New Roman" w:cs="Times New Roman"/>
          <w:sz w:val="28"/>
          <w:szCs w:val="28"/>
          <w:lang w:val="en-GB"/>
        </w:rPr>
        <w:t>said that:</w:t>
      </w:r>
    </w:p>
    <w:p w:rsidR="00477C88" w:rsidRPr="004677A3" w:rsidRDefault="004677A3" w:rsidP="0092508E">
      <w:pPr>
        <w:tabs>
          <w:tab w:val="left" w:pos="1134"/>
        </w:tabs>
        <w:spacing w:after="0" w:line="480" w:lineRule="auto"/>
        <w:ind w:left="1440"/>
        <w:jc w:val="both"/>
        <w:rPr>
          <w:rFonts w:ascii="Times New Roman" w:eastAsia="Times New Roman" w:hAnsi="Times New Roman" w:cs="Times New Roman"/>
          <w:sz w:val="24"/>
          <w:szCs w:val="24"/>
          <w:lang w:val="en-GB"/>
        </w:rPr>
      </w:pPr>
      <w:r w:rsidRPr="004677A3">
        <w:rPr>
          <w:rFonts w:ascii="Times New Roman" w:eastAsia="Times New Roman" w:hAnsi="Times New Roman" w:cs="Times New Roman"/>
          <w:sz w:val="24"/>
          <w:szCs w:val="24"/>
          <w:lang w:val="en-GB"/>
        </w:rPr>
        <w:t xml:space="preserve">“…One of the ways in which a defendant may successfully oppose a claim for summary judgment is by satisfying the Court by affidavit that he has a bona fide defence to the claim. 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 (a) whether the defendant has 'fully' disclosed the nature and grounds of his defence and the material facts upon which it is founded, and (b) whether on the facts so disclosed the defendant appears to have, as to either the whole or part of the claim, a defence which is both bona fide and good in law. If satisfied on these matters the Court must refuse summary judgment, either wholly or in part, as the case may be. The word 'fully', as used in the context of the Rule (and its predecessors), has been the cause of some Judicial controversy in the past. It connotes, in my view, that, while the defendant need not deal exhaustively with the facts and the evidence relied upon to substantiate them, </w:t>
      </w:r>
      <w:r w:rsidRPr="004677A3">
        <w:rPr>
          <w:rFonts w:ascii="Times New Roman" w:eastAsia="Times New Roman" w:hAnsi="Times New Roman" w:cs="Times New Roman"/>
          <w:sz w:val="24"/>
          <w:szCs w:val="24"/>
          <w:lang w:val="en-GB"/>
        </w:rPr>
        <w:lastRenderedPageBreak/>
        <w:t>he must at least disclose his defence and the materialfacts upon which it is based with sufficient particularity and completeness to enable the Court to decide whether the affidavit discloses a bona fide defence”.</w:t>
      </w:r>
    </w:p>
    <w:p w:rsidR="005012EC" w:rsidRPr="00477C88" w:rsidRDefault="00477C88" w:rsidP="00A0326F">
      <w:pPr>
        <w:pStyle w:val="Textbody"/>
        <w:spacing w:line="480" w:lineRule="auto"/>
        <w:jc w:val="both"/>
        <w:rPr>
          <w:sz w:val="28"/>
          <w:szCs w:val="28"/>
          <w:lang w:val="en-US" w:eastAsia="en-US"/>
        </w:rPr>
      </w:pPr>
      <w:r>
        <w:rPr>
          <w:sz w:val="28"/>
          <w:szCs w:val="28"/>
          <w:lang w:val="en-US" w:eastAsia="en-US"/>
        </w:rPr>
        <w:t>[</w:t>
      </w:r>
      <w:r w:rsidR="00F32157">
        <w:rPr>
          <w:sz w:val="28"/>
          <w:szCs w:val="28"/>
          <w:lang w:val="en-US" w:eastAsia="en-US"/>
        </w:rPr>
        <w:t>2</w:t>
      </w:r>
      <w:r w:rsidR="00AC42C9">
        <w:rPr>
          <w:sz w:val="28"/>
          <w:szCs w:val="28"/>
          <w:lang w:val="en-US" w:eastAsia="en-US"/>
        </w:rPr>
        <w:t>8</w:t>
      </w:r>
      <w:r>
        <w:rPr>
          <w:sz w:val="28"/>
          <w:szCs w:val="28"/>
          <w:lang w:val="en-US" w:eastAsia="en-US"/>
        </w:rPr>
        <w:t>]</w:t>
      </w:r>
      <w:r>
        <w:rPr>
          <w:sz w:val="28"/>
          <w:szCs w:val="28"/>
          <w:lang w:val="en-US" w:eastAsia="en-US"/>
        </w:rPr>
        <w:tab/>
      </w:r>
      <w:r>
        <w:rPr>
          <w:sz w:val="28"/>
          <w:szCs w:val="28"/>
          <w:lang w:val="en-US" w:eastAsia="en-US"/>
        </w:rPr>
        <w:tab/>
        <w:t xml:space="preserve">In </w:t>
      </w:r>
      <w:r w:rsidRPr="00477C88">
        <w:rPr>
          <w:b/>
          <w:bCs/>
          <w:sz w:val="28"/>
          <w:szCs w:val="28"/>
          <w:lang w:val="en-US" w:eastAsia="en-US"/>
        </w:rPr>
        <w:t>Joob Investments (Pty) Limited v Stocks MavundlaZek Joint Venture</w:t>
      </w:r>
      <w:r>
        <w:rPr>
          <w:rStyle w:val="FootnoteReference"/>
          <w:b/>
          <w:bCs/>
          <w:sz w:val="28"/>
          <w:szCs w:val="28"/>
          <w:lang w:val="en-US" w:eastAsia="en-US"/>
        </w:rPr>
        <w:footnoteReference w:id="13"/>
      </w:r>
      <w:r w:rsidR="0033056B">
        <w:rPr>
          <w:b/>
          <w:bCs/>
          <w:sz w:val="28"/>
          <w:szCs w:val="28"/>
          <w:lang w:val="en-US" w:eastAsia="en-US"/>
        </w:rPr>
        <w:t xml:space="preserve"> </w:t>
      </w:r>
      <w:r w:rsidR="0033056B">
        <w:rPr>
          <w:sz w:val="28"/>
          <w:szCs w:val="28"/>
          <w:lang w:val="en-US" w:eastAsia="en-US"/>
        </w:rPr>
        <w:t xml:space="preserve">the Court </w:t>
      </w:r>
      <w:r>
        <w:rPr>
          <w:sz w:val="28"/>
          <w:szCs w:val="28"/>
          <w:lang w:val="en-US" w:eastAsia="en-US"/>
        </w:rPr>
        <w:t xml:space="preserve">indicated that in </w:t>
      </w:r>
      <w:r w:rsidRPr="00477C88">
        <w:rPr>
          <w:b/>
          <w:bCs/>
          <w:sz w:val="28"/>
          <w:szCs w:val="28"/>
          <w:lang w:val="en-US" w:eastAsia="en-US"/>
        </w:rPr>
        <w:t>Maharaj</w:t>
      </w:r>
      <w:r>
        <w:rPr>
          <w:sz w:val="28"/>
          <w:szCs w:val="28"/>
          <w:lang w:val="en-US" w:eastAsia="en-US"/>
        </w:rPr>
        <w:t xml:space="preserve"> case, </w:t>
      </w:r>
      <w:r w:rsidRPr="00477C88">
        <w:rPr>
          <w:i/>
          <w:iCs/>
          <w:sz w:val="28"/>
          <w:szCs w:val="28"/>
          <w:lang w:val="en-US" w:eastAsia="en-US"/>
        </w:rPr>
        <w:t>supra</w:t>
      </w:r>
      <w:r>
        <w:rPr>
          <w:sz w:val="28"/>
          <w:szCs w:val="28"/>
          <w:lang w:val="en-US" w:eastAsia="en-US"/>
        </w:rPr>
        <w:t>, Corbette JA was keen to  examin</w:t>
      </w:r>
      <w:r w:rsidR="00160C1E">
        <w:rPr>
          <w:sz w:val="28"/>
          <w:szCs w:val="28"/>
          <w:lang w:val="en-US" w:eastAsia="en-US"/>
        </w:rPr>
        <w:t xml:space="preserve">e </w:t>
      </w:r>
      <w:r>
        <w:rPr>
          <w:sz w:val="28"/>
          <w:szCs w:val="28"/>
          <w:lang w:val="en-US" w:eastAsia="en-US"/>
        </w:rPr>
        <w:t xml:space="preserve"> whether there has been sufficient disclosure by a defendant of the nature and grounds of his defence and the facts upon which it is founded</w:t>
      </w:r>
      <w:r w:rsidR="00160C1E">
        <w:rPr>
          <w:sz w:val="28"/>
          <w:szCs w:val="28"/>
          <w:lang w:val="en-US" w:eastAsia="en-US"/>
        </w:rPr>
        <w:t xml:space="preserve"> as well as to consider if </w:t>
      </w:r>
      <w:r>
        <w:rPr>
          <w:sz w:val="28"/>
          <w:szCs w:val="28"/>
          <w:lang w:val="en-US" w:eastAsia="en-US"/>
        </w:rPr>
        <w:t xml:space="preserve"> the defence so disclosed </w:t>
      </w:r>
      <w:r w:rsidR="00160C1E">
        <w:rPr>
          <w:sz w:val="28"/>
          <w:szCs w:val="28"/>
          <w:lang w:val="en-US" w:eastAsia="en-US"/>
        </w:rPr>
        <w:t xml:space="preserve">was both </w:t>
      </w:r>
      <w:r>
        <w:rPr>
          <w:sz w:val="28"/>
          <w:szCs w:val="28"/>
          <w:lang w:val="en-US" w:eastAsia="en-US"/>
        </w:rPr>
        <w:t xml:space="preserve"> bona fide and good in law</w:t>
      </w:r>
      <w:r w:rsidR="00160C1E">
        <w:rPr>
          <w:sz w:val="28"/>
          <w:szCs w:val="28"/>
          <w:lang w:val="en-US" w:eastAsia="en-US"/>
        </w:rPr>
        <w:t>.</w:t>
      </w:r>
      <w:r>
        <w:rPr>
          <w:sz w:val="28"/>
          <w:szCs w:val="28"/>
          <w:lang w:val="en-US" w:eastAsia="en-US"/>
        </w:rPr>
        <w:t xml:space="preserve"> </w:t>
      </w:r>
      <w:r w:rsidR="000170E1">
        <w:rPr>
          <w:sz w:val="28"/>
          <w:szCs w:val="28"/>
          <w:lang w:val="en-US" w:eastAsia="en-US"/>
        </w:rPr>
        <w:t xml:space="preserve"> Again, where the facts before Court raise doubt as to whether the plaintiff’s case is ‘unanswerable’ summary judgment should be refused. But in the absence of the necessary allegations upon which a defence can be found, it would be contrary to a judicial approach to exercise a discretion against the plaintiff and in favour of the defendant. </w:t>
      </w:r>
      <w:r w:rsidR="000170E1" w:rsidRPr="000170E1">
        <w:rPr>
          <w:i/>
          <w:iCs/>
          <w:sz w:val="28"/>
          <w:szCs w:val="28"/>
          <w:lang w:val="en-US" w:eastAsia="en-US"/>
        </w:rPr>
        <w:t>See</w:t>
      </w:r>
      <w:r w:rsidR="000170E1">
        <w:rPr>
          <w:sz w:val="28"/>
          <w:szCs w:val="28"/>
          <w:lang w:val="en-US" w:eastAsia="en-US"/>
        </w:rPr>
        <w:t xml:space="preserve">: </w:t>
      </w:r>
      <w:r w:rsidR="000170E1" w:rsidRPr="000170E1">
        <w:rPr>
          <w:b/>
          <w:bCs/>
          <w:sz w:val="28"/>
          <w:szCs w:val="28"/>
          <w:lang w:val="en-US" w:eastAsia="en-US"/>
        </w:rPr>
        <w:t>Pansera Builders (Pty) Ltd v Van der Merwe (t/a Van der Merwe’s Transport) 1986 (3) SA 654 (C).</w:t>
      </w:r>
    </w:p>
    <w:p w:rsidR="00206F0B" w:rsidRDefault="00522732" w:rsidP="00A0326F">
      <w:pPr>
        <w:pStyle w:val="Textbody"/>
        <w:spacing w:line="480" w:lineRule="auto"/>
        <w:jc w:val="both"/>
        <w:rPr>
          <w:sz w:val="28"/>
          <w:szCs w:val="28"/>
          <w:lang w:val="en-US" w:eastAsia="en-US"/>
        </w:rPr>
      </w:pPr>
      <w:r>
        <w:rPr>
          <w:sz w:val="28"/>
          <w:szCs w:val="28"/>
          <w:lang w:val="en-US" w:eastAsia="en-US"/>
        </w:rPr>
        <w:t>[</w:t>
      </w:r>
      <w:r w:rsidR="00F32157">
        <w:rPr>
          <w:sz w:val="28"/>
          <w:szCs w:val="28"/>
          <w:lang w:val="en-US" w:eastAsia="en-US"/>
        </w:rPr>
        <w:t>2</w:t>
      </w:r>
      <w:r w:rsidR="00AC42C9">
        <w:rPr>
          <w:sz w:val="28"/>
          <w:szCs w:val="28"/>
          <w:lang w:val="en-US" w:eastAsia="en-US"/>
        </w:rPr>
        <w:t>9</w:t>
      </w:r>
      <w:r>
        <w:rPr>
          <w:sz w:val="28"/>
          <w:szCs w:val="28"/>
          <w:lang w:val="en-US" w:eastAsia="en-US"/>
        </w:rPr>
        <w:t>]</w:t>
      </w:r>
      <w:r>
        <w:rPr>
          <w:sz w:val="28"/>
          <w:szCs w:val="28"/>
          <w:lang w:val="en-US" w:eastAsia="en-US"/>
        </w:rPr>
        <w:tab/>
      </w:r>
      <w:r>
        <w:rPr>
          <w:sz w:val="28"/>
          <w:szCs w:val="28"/>
          <w:lang w:val="en-US" w:eastAsia="en-US"/>
        </w:rPr>
        <w:tab/>
        <w:t>In my view, the applicant’s affidavit which was filed in Court only on the 8</w:t>
      </w:r>
      <w:r w:rsidRPr="00522732">
        <w:rPr>
          <w:sz w:val="28"/>
          <w:szCs w:val="28"/>
          <w:vertAlign w:val="superscript"/>
          <w:lang w:val="en-US" w:eastAsia="en-US"/>
        </w:rPr>
        <w:t>th</w:t>
      </w:r>
      <w:r>
        <w:rPr>
          <w:sz w:val="28"/>
          <w:szCs w:val="28"/>
          <w:lang w:val="en-US" w:eastAsia="en-US"/>
        </w:rPr>
        <w:t xml:space="preserve"> March 2018 </w:t>
      </w:r>
      <w:r w:rsidR="007A04EE">
        <w:rPr>
          <w:sz w:val="28"/>
          <w:szCs w:val="28"/>
          <w:lang w:val="en-US" w:eastAsia="en-US"/>
        </w:rPr>
        <w:t xml:space="preserve">did not </w:t>
      </w:r>
      <w:r>
        <w:rPr>
          <w:sz w:val="28"/>
          <w:szCs w:val="28"/>
          <w:lang w:val="en-US" w:eastAsia="en-US"/>
        </w:rPr>
        <w:t>constitute a sufficient</w:t>
      </w:r>
      <w:r w:rsidR="00843E5F">
        <w:rPr>
          <w:sz w:val="28"/>
          <w:szCs w:val="28"/>
          <w:lang w:val="en-US" w:eastAsia="en-US"/>
        </w:rPr>
        <w:t xml:space="preserve"> </w:t>
      </w:r>
      <w:r>
        <w:rPr>
          <w:sz w:val="28"/>
          <w:szCs w:val="28"/>
          <w:lang w:val="en-US" w:eastAsia="en-US"/>
        </w:rPr>
        <w:t xml:space="preserve">defence to ward off summary judgement even if </w:t>
      </w:r>
      <w:r w:rsidR="00690E17">
        <w:rPr>
          <w:sz w:val="28"/>
          <w:szCs w:val="28"/>
          <w:lang w:val="en-US" w:eastAsia="en-US"/>
        </w:rPr>
        <w:t>it</w:t>
      </w:r>
      <w:r>
        <w:rPr>
          <w:sz w:val="28"/>
          <w:szCs w:val="28"/>
          <w:lang w:val="en-US" w:eastAsia="en-US"/>
        </w:rPr>
        <w:t xml:space="preserve"> had been timeously filed. </w:t>
      </w:r>
      <w:r w:rsidR="00690E17">
        <w:rPr>
          <w:sz w:val="28"/>
          <w:szCs w:val="28"/>
          <w:lang w:val="en-US" w:eastAsia="en-US"/>
        </w:rPr>
        <w:t xml:space="preserve">The affidavit was clearly cobbled together in the hope that by kicking up enough dust, the applicant will postpone the inevitable. </w:t>
      </w:r>
    </w:p>
    <w:p w:rsidR="002440ED" w:rsidRDefault="002440ED" w:rsidP="00A0326F">
      <w:pPr>
        <w:pStyle w:val="Textbody"/>
        <w:spacing w:line="480" w:lineRule="auto"/>
        <w:jc w:val="both"/>
        <w:rPr>
          <w:b/>
          <w:bCs/>
          <w:i/>
          <w:iCs/>
          <w:sz w:val="28"/>
          <w:szCs w:val="28"/>
          <w:lang w:val="en-US" w:eastAsia="en-US"/>
        </w:rPr>
      </w:pPr>
      <w:r w:rsidRPr="002440ED">
        <w:rPr>
          <w:b/>
          <w:bCs/>
          <w:i/>
          <w:iCs/>
          <w:sz w:val="28"/>
          <w:szCs w:val="28"/>
          <w:lang w:val="en-US" w:eastAsia="en-US"/>
        </w:rPr>
        <w:lastRenderedPageBreak/>
        <w:t xml:space="preserve"> </w:t>
      </w:r>
      <w:r w:rsidR="00843E5F">
        <w:rPr>
          <w:b/>
          <w:bCs/>
          <w:i/>
          <w:iCs/>
          <w:sz w:val="28"/>
          <w:szCs w:val="28"/>
          <w:lang w:val="en-US" w:eastAsia="en-US"/>
        </w:rPr>
        <w:t>F</w:t>
      </w:r>
      <w:r w:rsidRPr="002440ED">
        <w:rPr>
          <w:b/>
          <w:bCs/>
          <w:i/>
          <w:iCs/>
          <w:sz w:val="28"/>
          <w:szCs w:val="28"/>
          <w:lang w:val="en-US" w:eastAsia="en-US"/>
        </w:rPr>
        <w:t>irst respondent’s claim</w:t>
      </w:r>
    </w:p>
    <w:p w:rsidR="002440ED" w:rsidRDefault="002440ED" w:rsidP="00A0326F">
      <w:pPr>
        <w:pStyle w:val="Textbody"/>
        <w:spacing w:line="480" w:lineRule="auto"/>
        <w:jc w:val="both"/>
        <w:rPr>
          <w:sz w:val="28"/>
          <w:szCs w:val="28"/>
          <w:lang w:val="en-US" w:eastAsia="en-US"/>
        </w:rPr>
      </w:pPr>
      <w:r>
        <w:rPr>
          <w:sz w:val="28"/>
          <w:szCs w:val="28"/>
          <w:lang w:val="en-US" w:eastAsia="en-US"/>
        </w:rPr>
        <w:t>[</w:t>
      </w:r>
      <w:r w:rsidR="00F818AA">
        <w:rPr>
          <w:sz w:val="28"/>
          <w:szCs w:val="28"/>
          <w:lang w:val="en-US" w:eastAsia="en-US"/>
        </w:rPr>
        <w:t>30</w:t>
      </w:r>
      <w:r>
        <w:rPr>
          <w:sz w:val="28"/>
          <w:szCs w:val="28"/>
          <w:lang w:val="en-US" w:eastAsia="en-US"/>
        </w:rPr>
        <w:t>]</w:t>
      </w:r>
      <w:r>
        <w:rPr>
          <w:sz w:val="28"/>
          <w:szCs w:val="28"/>
          <w:lang w:val="en-US" w:eastAsia="en-US"/>
        </w:rPr>
        <w:tab/>
      </w:r>
      <w:r>
        <w:rPr>
          <w:sz w:val="28"/>
          <w:szCs w:val="28"/>
          <w:lang w:val="en-US" w:eastAsia="en-US"/>
        </w:rPr>
        <w:tab/>
        <w:t>Regarding its claim, the first respondent alleged in its</w:t>
      </w:r>
      <w:r w:rsidR="00F32157">
        <w:rPr>
          <w:sz w:val="28"/>
          <w:szCs w:val="28"/>
          <w:lang w:val="en-US" w:eastAsia="en-US"/>
        </w:rPr>
        <w:t xml:space="preserve"> particulars of claim</w:t>
      </w:r>
      <w:r>
        <w:rPr>
          <w:sz w:val="28"/>
          <w:szCs w:val="28"/>
          <w:lang w:val="en-US" w:eastAsia="en-US"/>
        </w:rPr>
        <w:t xml:space="preserve"> that on or about the 12</w:t>
      </w:r>
      <w:r w:rsidRPr="002440ED">
        <w:rPr>
          <w:sz w:val="28"/>
          <w:szCs w:val="28"/>
          <w:vertAlign w:val="superscript"/>
          <w:lang w:val="en-US" w:eastAsia="en-US"/>
        </w:rPr>
        <w:t>th</w:t>
      </w:r>
      <w:r>
        <w:rPr>
          <w:sz w:val="28"/>
          <w:szCs w:val="28"/>
          <w:lang w:val="en-US" w:eastAsia="en-US"/>
        </w:rPr>
        <w:t xml:space="preserve"> May 2016 it agreed to extend credit facilities in a form of personal loan and an overdraft to the</w:t>
      </w:r>
      <w:r w:rsidR="00F32157">
        <w:rPr>
          <w:sz w:val="28"/>
          <w:szCs w:val="28"/>
          <w:lang w:val="en-US" w:eastAsia="en-US"/>
        </w:rPr>
        <w:t xml:space="preserve"> applicant </w:t>
      </w:r>
      <w:r>
        <w:rPr>
          <w:sz w:val="28"/>
          <w:szCs w:val="28"/>
          <w:lang w:val="en-US" w:eastAsia="en-US"/>
        </w:rPr>
        <w:t>and that a letter in that regard dated the 12</w:t>
      </w:r>
      <w:r w:rsidRPr="002440ED">
        <w:rPr>
          <w:sz w:val="28"/>
          <w:szCs w:val="28"/>
          <w:vertAlign w:val="superscript"/>
          <w:lang w:val="en-US" w:eastAsia="en-US"/>
        </w:rPr>
        <w:t>th</w:t>
      </w:r>
      <w:r>
        <w:rPr>
          <w:sz w:val="28"/>
          <w:szCs w:val="28"/>
          <w:lang w:val="en-US" w:eastAsia="en-US"/>
        </w:rPr>
        <w:t xml:space="preserve"> May 2016 was directed to the </w:t>
      </w:r>
      <w:r w:rsidR="00F32157">
        <w:rPr>
          <w:sz w:val="28"/>
          <w:szCs w:val="28"/>
          <w:lang w:val="en-US" w:eastAsia="en-US"/>
        </w:rPr>
        <w:t>applicant.</w:t>
      </w:r>
      <w:r>
        <w:rPr>
          <w:sz w:val="28"/>
          <w:szCs w:val="28"/>
          <w:lang w:val="en-US" w:eastAsia="en-US"/>
        </w:rPr>
        <w:t xml:space="preserve"> The first respondent has annexed</w:t>
      </w:r>
      <w:r w:rsidR="00F32157">
        <w:rPr>
          <w:sz w:val="28"/>
          <w:szCs w:val="28"/>
          <w:lang w:val="en-US" w:eastAsia="en-US"/>
        </w:rPr>
        <w:t xml:space="preserve"> to its</w:t>
      </w:r>
      <w:r w:rsidR="00160C1E">
        <w:rPr>
          <w:sz w:val="28"/>
          <w:szCs w:val="28"/>
          <w:lang w:val="en-US" w:eastAsia="en-US"/>
        </w:rPr>
        <w:t xml:space="preserve"> particulars of claim</w:t>
      </w:r>
      <w:r w:rsidR="00DE7A83">
        <w:rPr>
          <w:sz w:val="28"/>
          <w:szCs w:val="28"/>
          <w:lang w:val="en-US" w:eastAsia="en-US"/>
        </w:rPr>
        <w:t xml:space="preserve"> as </w:t>
      </w:r>
      <w:r w:rsidR="00DE7A83" w:rsidRPr="001527C3">
        <w:rPr>
          <w:sz w:val="28"/>
          <w:szCs w:val="28"/>
          <w:lang w:val="en-US" w:eastAsia="en-US"/>
        </w:rPr>
        <w:t>annexure A,</w:t>
      </w:r>
      <w:r>
        <w:rPr>
          <w:sz w:val="28"/>
          <w:szCs w:val="28"/>
          <w:lang w:val="en-US" w:eastAsia="en-US"/>
        </w:rPr>
        <w:t xml:space="preserve"> a loan agreement between the parties signed on the 12</w:t>
      </w:r>
      <w:r w:rsidRPr="002440ED">
        <w:rPr>
          <w:sz w:val="28"/>
          <w:szCs w:val="28"/>
          <w:vertAlign w:val="superscript"/>
          <w:lang w:val="en-US" w:eastAsia="en-US"/>
        </w:rPr>
        <w:t>th</w:t>
      </w:r>
      <w:r>
        <w:rPr>
          <w:sz w:val="28"/>
          <w:szCs w:val="28"/>
          <w:lang w:val="en-US" w:eastAsia="en-US"/>
        </w:rPr>
        <w:t xml:space="preserve"> May 2016</w:t>
      </w:r>
      <w:r w:rsidR="00F32157">
        <w:rPr>
          <w:sz w:val="28"/>
          <w:szCs w:val="28"/>
          <w:lang w:val="en-US" w:eastAsia="en-US"/>
        </w:rPr>
        <w:t>.</w:t>
      </w:r>
      <w:r w:rsidR="00843E5F">
        <w:rPr>
          <w:sz w:val="28"/>
          <w:szCs w:val="28"/>
          <w:lang w:val="en-US" w:eastAsia="en-US"/>
        </w:rPr>
        <w:t xml:space="preserve"> </w:t>
      </w:r>
      <w:r w:rsidR="00436196">
        <w:rPr>
          <w:sz w:val="28"/>
          <w:szCs w:val="28"/>
          <w:lang w:val="en-US" w:eastAsia="en-US"/>
        </w:rPr>
        <w:t>It has alleged further that the applicant was to repay the loan by monthly instalments of M8 928.57 inclusive of interest but that the applicant failed to pay the monthly instalments as agreed as a result of which as at the 6</w:t>
      </w:r>
      <w:r w:rsidR="00436196" w:rsidRPr="00436196">
        <w:rPr>
          <w:sz w:val="28"/>
          <w:szCs w:val="28"/>
          <w:vertAlign w:val="superscript"/>
          <w:lang w:val="en-US" w:eastAsia="en-US"/>
        </w:rPr>
        <w:t>th</w:t>
      </w:r>
      <w:r w:rsidR="00436196">
        <w:rPr>
          <w:sz w:val="28"/>
          <w:szCs w:val="28"/>
          <w:lang w:val="en-US" w:eastAsia="en-US"/>
        </w:rPr>
        <w:t xml:space="preserve"> November 2017, the applicant was in arrears in the sum of M6 840.95 while full amount due and payable as at that date was the sum of M113 971.55 together with interest at the prime rate plus 10% per annum which the applicant has failed to pay despite demand. </w:t>
      </w:r>
    </w:p>
    <w:p w:rsidR="00DE7A83" w:rsidRDefault="00436196" w:rsidP="00A0326F">
      <w:pPr>
        <w:pStyle w:val="Textbody"/>
        <w:spacing w:line="480" w:lineRule="auto"/>
        <w:jc w:val="both"/>
        <w:rPr>
          <w:b/>
          <w:bCs/>
          <w:i/>
          <w:iCs/>
          <w:sz w:val="28"/>
          <w:szCs w:val="28"/>
          <w:lang w:val="en-US" w:eastAsia="en-US"/>
        </w:rPr>
      </w:pPr>
      <w:r w:rsidRPr="00436196">
        <w:rPr>
          <w:b/>
          <w:bCs/>
          <w:i/>
          <w:iCs/>
          <w:sz w:val="28"/>
          <w:szCs w:val="28"/>
          <w:lang w:val="en-US" w:eastAsia="en-US"/>
        </w:rPr>
        <w:t xml:space="preserve">Applicant‘s </w:t>
      </w:r>
      <w:r w:rsidR="001E5002" w:rsidRPr="00436196">
        <w:rPr>
          <w:b/>
          <w:bCs/>
          <w:i/>
          <w:iCs/>
          <w:sz w:val="28"/>
          <w:szCs w:val="28"/>
          <w:lang w:val="en-US" w:eastAsia="en-US"/>
        </w:rPr>
        <w:t>defense</w:t>
      </w:r>
    </w:p>
    <w:p w:rsidR="00436196" w:rsidRDefault="00436196" w:rsidP="00A0326F">
      <w:pPr>
        <w:pStyle w:val="Textbody"/>
        <w:spacing w:line="480" w:lineRule="auto"/>
        <w:jc w:val="both"/>
        <w:rPr>
          <w:sz w:val="28"/>
          <w:szCs w:val="28"/>
          <w:lang w:val="en-US" w:eastAsia="en-US"/>
        </w:rPr>
      </w:pPr>
      <w:r>
        <w:rPr>
          <w:sz w:val="28"/>
          <w:szCs w:val="28"/>
          <w:lang w:val="en-US" w:eastAsia="en-US"/>
        </w:rPr>
        <w:t>[</w:t>
      </w:r>
      <w:r w:rsidR="00F32157">
        <w:rPr>
          <w:sz w:val="28"/>
          <w:szCs w:val="28"/>
          <w:lang w:val="en-US" w:eastAsia="en-US"/>
        </w:rPr>
        <w:t>3</w:t>
      </w:r>
      <w:r w:rsidR="00F818AA">
        <w:rPr>
          <w:sz w:val="28"/>
          <w:szCs w:val="28"/>
          <w:lang w:val="en-US" w:eastAsia="en-US"/>
        </w:rPr>
        <w:t>1</w:t>
      </w:r>
      <w:r>
        <w:rPr>
          <w:sz w:val="28"/>
          <w:szCs w:val="28"/>
          <w:lang w:val="en-US" w:eastAsia="en-US"/>
        </w:rPr>
        <w:t>]</w:t>
      </w:r>
      <w:r>
        <w:rPr>
          <w:sz w:val="28"/>
          <w:szCs w:val="28"/>
          <w:lang w:val="en-US" w:eastAsia="en-US"/>
        </w:rPr>
        <w:tab/>
      </w:r>
      <w:r>
        <w:rPr>
          <w:sz w:val="28"/>
          <w:szCs w:val="28"/>
          <w:lang w:val="en-US" w:eastAsia="en-US"/>
        </w:rPr>
        <w:tab/>
        <w:t xml:space="preserve">It </w:t>
      </w:r>
      <w:r w:rsidR="00A5706D">
        <w:rPr>
          <w:sz w:val="28"/>
          <w:szCs w:val="28"/>
          <w:lang w:val="en-US" w:eastAsia="en-US"/>
        </w:rPr>
        <w:t xml:space="preserve">his </w:t>
      </w:r>
      <w:r>
        <w:rPr>
          <w:sz w:val="28"/>
          <w:szCs w:val="28"/>
          <w:lang w:val="en-US" w:eastAsia="en-US"/>
        </w:rPr>
        <w:t>affidavit</w:t>
      </w:r>
      <w:r w:rsidR="00A5706D">
        <w:rPr>
          <w:sz w:val="28"/>
          <w:szCs w:val="28"/>
          <w:lang w:val="en-US" w:eastAsia="en-US"/>
        </w:rPr>
        <w:t xml:space="preserve"> (</w:t>
      </w:r>
      <w:r>
        <w:rPr>
          <w:sz w:val="28"/>
          <w:szCs w:val="28"/>
          <w:lang w:val="en-US" w:eastAsia="en-US"/>
        </w:rPr>
        <w:t>which was belatedly filed</w:t>
      </w:r>
      <w:r w:rsidR="00A5706D">
        <w:rPr>
          <w:sz w:val="28"/>
          <w:szCs w:val="28"/>
          <w:lang w:val="en-US" w:eastAsia="en-US"/>
        </w:rPr>
        <w:t xml:space="preserve">) </w:t>
      </w:r>
      <w:r>
        <w:rPr>
          <w:sz w:val="28"/>
          <w:szCs w:val="28"/>
          <w:lang w:val="en-US" w:eastAsia="en-US"/>
        </w:rPr>
        <w:t xml:space="preserve">resisting the summary judgment application, all that the applicant says is that he never applied for a loan and/or overdraft from the first respondent </w:t>
      </w:r>
      <w:r w:rsidR="005B413E">
        <w:rPr>
          <w:sz w:val="28"/>
          <w:szCs w:val="28"/>
          <w:lang w:val="en-US" w:eastAsia="en-US"/>
        </w:rPr>
        <w:t xml:space="preserve">and that he has been to the offices of the </w:t>
      </w:r>
      <w:r w:rsidR="00F32157">
        <w:rPr>
          <w:sz w:val="28"/>
          <w:szCs w:val="28"/>
          <w:lang w:val="en-US" w:eastAsia="en-US"/>
        </w:rPr>
        <w:t xml:space="preserve">first respondent </w:t>
      </w:r>
      <w:r w:rsidR="00BB4494">
        <w:rPr>
          <w:sz w:val="28"/>
          <w:szCs w:val="28"/>
          <w:lang w:val="en-US" w:eastAsia="en-US"/>
        </w:rPr>
        <w:t xml:space="preserve">several times demanding proof that </w:t>
      </w:r>
      <w:r w:rsidR="00A5706D">
        <w:rPr>
          <w:sz w:val="28"/>
          <w:szCs w:val="28"/>
          <w:lang w:val="en-US" w:eastAsia="en-US"/>
        </w:rPr>
        <w:t xml:space="preserve">he received a loan or overdraft from the first respondent. </w:t>
      </w:r>
    </w:p>
    <w:p w:rsidR="004F5FD4" w:rsidRDefault="001D18A8" w:rsidP="00A0326F">
      <w:pPr>
        <w:pStyle w:val="Textbody"/>
        <w:spacing w:line="480" w:lineRule="auto"/>
        <w:jc w:val="both"/>
        <w:rPr>
          <w:sz w:val="28"/>
          <w:szCs w:val="28"/>
          <w:lang w:val="en-US" w:eastAsia="en-US"/>
        </w:rPr>
      </w:pPr>
      <w:r>
        <w:rPr>
          <w:sz w:val="28"/>
          <w:szCs w:val="28"/>
          <w:lang w:val="en-US" w:eastAsia="en-US"/>
        </w:rPr>
        <w:t>[3</w:t>
      </w:r>
      <w:r w:rsidR="00F818AA">
        <w:rPr>
          <w:sz w:val="28"/>
          <w:szCs w:val="28"/>
          <w:lang w:val="en-US" w:eastAsia="en-US"/>
        </w:rPr>
        <w:t>2</w:t>
      </w:r>
      <w:r>
        <w:rPr>
          <w:sz w:val="28"/>
          <w:szCs w:val="28"/>
          <w:lang w:val="en-US" w:eastAsia="en-US"/>
        </w:rPr>
        <w:t>]</w:t>
      </w:r>
      <w:r>
        <w:rPr>
          <w:sz w:val="28"/>
          <w:szCs w:val="28"/>
          <w:lang w:val="en-US" w:eastAsia="en-US"/>
        </w:rPr>
        <w:tab/>
      </w:r>
      <w:r>
        <w:rPr>
          <w:sz w:val="28"/>
          <w:szCs w:val="28"/>
          <w:lang w:val="en-US" w:eastAsia="en-US"/>
        </w:rPr>
        <w:tab/>
      </w:r>
      <w:r w:rsidR="00F32157">
        <w:rPr>
          <w:sz w:val="28"/>
          <w:szCs w:val="28"/>
          <w:lang w:val="en-US" w:eastAsia="en-US"/>
        </w:rPr>
        <w:t>T</w:t>
      </w:r>
      <w:r w:rsidR="00DB6399">
        <w:rPr>
          <w:sz w:val="28"/>
          <w:szCs w:val="28"/>
          <w:lang w:val="en-US" w:eastAsia="en-US"/>
        </w:rPr>
        <w:t>he</w:t>
      </w:r>
      <w:r w:rsidR="004F5FD4">
        <w:rPr>
          <w:sz w:val="28"/>
          <w:szCs w:val="28"/>
          <w:lang w:val="en-US" w:eastAsia="en-US"/>
        </w:rPr>
        <w:t xml:space="preserve"> applicant’s</w:t>
      </w:r>
      <w:r w:rsidR="00DB6399">
        <w:rPr>
          <w:sz w:val="28"/>
          <w:szCs w:val="28"/>
          <w:lang w:val="en-US" w:eastAsia="en-US"/>
        </w:rPr>
        <w:t xml:space="preserve"> affidavit</w:t>
      </w:r>
      <w:r w:rsidR="004F5FD4">
        <w:rPr>
          <w:sz w:val="28"/>
          <w:szCs w:val="28"/>
          <w:lang w:val="en-US" w:eastAsia="en-US"/>
        </w:rPr>
        <w:t xml:space="preserve"> resisting summary judgment application</w:t>
      </w:r>
      <w:r w:rsidR="00DB6399">
        <w:rPr>
          <w:sz w:val="28"/>
          <w:szCs w:val="28"/>
          <w:lang w:val="en-US" w:eastAsia="en-US"/>
        </w:rPr>
        <w:t xml:space="preserve"> is </w:t>
      </w:r>
      <w:r w:rsidR="00DB6399">
        <w:rPr>
          <w:sz w:val="28"/>
          <w:szCs w:val="28"/>
          <w:lang w:val="en-US" w:eastAsia="en-US"/>
        </w:rPr>
        <w:lastRenderedPageBreak/>
        <w:t xml:space="preserve">hopelessly insufficient – it is evasive and devoid of particulars. </w:t>
      </w:r>
      <w:r>
        <w:rPr>
          <w:sz w:val="28"/>
          <w:szCs w:val="28"/>
          <w:lang w:val="en-US" w:eastAsia="en-US"/>
        </w:rPr>
        <w:t xml:space="preserve"> The</w:t>
      </w:r>
      <w:r w:rsidR="00DB6399">
        <w:rPr>
          <w:sz w:val="28"/>
          <w:szCs w:val="28"/>
          <w:lang w:val="en-US" w:eastAsia="en-US"/>
        </w:rPr>
        <w:t xml:space="preserve"> nub of the first respondent‘s claim is that it entered into a</w:t>
      </w:r>
      <w:r w:rsidR="002F7A7A">
        <w:rPr>
          <w:sz w:val="28"/>
          <w:szCs w:val="28"/>
          <w:lang w:val="en-US" w:eastAsia="en-US"/>
        </w:rPr>
        <w:t xml:space="preserve"> loan</w:t>
      </w:r>
      <w:r w:rsidR="00DB6399">
        <w:rPr>
          <w:sz w:val="28"/>
          <w:szCs w:val="28"/>
          <w:lang w:val="en-US" w:eastAsia="en-US"/>
        </w:rPr>
        <w:t xml:space="preserve"> agreement with the applicant</w:t>
      </w:r>
      <w:r w:rsidR="002F7A7A">
        <w:rPr>
          <w:sz w:val="28"/>
          <w:szCs w:val="28"/>
          <w:lang w:val="en-US" w:eastAsia="en-US"/>
        </w:rPr>
        <w:t>.   The applicant does not deny that he entered into a loan agreement with the first respondent, neither does he challenge or denounce the loan agreement</w:t>
      </w:r>
      <w:r w:rsidR="004F5FD4">
        <w:rPr>
          <w:sz w:val="28"/>
          <w:szCs w:val="28"/>
          <w:lang w:val="en-US" w:eastAsia="en-US"/>
        </w:rPr>
        <w:t>.</w:t>
      </w:r>
      <w:r w:rsidR="00843E5F">
        <w:rPr>
          <w:sz w:val="28"/>
          <w:szCs w:val="28"/>
          <w:lang w:val="en-US" w:eastAsia="en-US"/>
        </w:rPr>
        <w:t xml:space="preserve"> </w:t>
      </w:r>
      <w:r w:rsidR="0050582F">
        <w:rPr>
          <w:sz w:val="28"/>
          <w:szCs w:val="28"/>
          <w:lang w:val="en-US" w:eastAsia="en-US"/>
        </w:rPr>
        <w:t xml:space="preserve">He simply asserts that he never applied for a loan or overdraft without explaining </w:t>
      </w:r>
      <w:r w:rsidR="00E9710B">
        <w:rPr>
          <w:sz w:val="28"/>
          <w:szCs w:val="28"/>
          <w:lang w:val="en-US" w:eastAsia="en-US"/>
        </w:rPr>
        <w:t xml:space="preserve">why </w:t>
      </w:r>
      <w:r w:rsidR="0050582F">
        <w:rPr>
          <w:sz w:val="28"/>
          <w:szCs w:val="28"/>
          <w:lang w:val="en-US" w:eastAsia="en-US"/>
        </w:rPr>
        <w:t>then he entered into the loan agreement.</w:t>
      </w:r>
    </w:p>
    <w:p w:rsidR="00193ED1" w:rsidRDefault="004F5FD4" w:rsidP="00A0326F">
      <w:pPr>
        <w:pStyle w:val="Textbody"/>
        <w:spacing w:line="480" w:lineRule="auto"/>
        <w:jc w:val="both"/>
        <w:rPr>
          <w:sz w:val="28"/>
          <w:szCs w:val="28"/>
          <w:lang w:val="en-US" w:eastAsia="en-US"/>
        </w:rPr>
      </w:pPr>
      <w:r>
        <w:rPr>
          <w:sz w:val="28"/>
          <w:szCs w:val="28"/>
          <w:lang w:val="en-US" w:eastAsia="en-US"/>
        </w:rPr>
        <w:t>[3</w:t>
      </w:r>
      <w:r w:rsidR="00F818AA">
        <w:rPr>
          <w:sz w:val="28"/>
          <w:szCs w:val="28"/>
          <w:lang w:val="en-US" w:eastAsia="en-US"/>
        </w:rPr>
        <w:t>3</w:t>
      </w:r>
      <w:r>
        <w:rPr>
          <w:sz w:val="28"/>
          <w:szCs w:val="28"/>
          <w:lang w:val="en-US" w:eastAsia="en-US"/>
        </w:rPr>
        <w:t>]</w:t>
      </w:r>
      <w:r>
        <w:rPr>
          <w:sz w:val="28"/>
          <w:szCs w:val="28"/>
          <w:lang w:val="en-US" w:eastAsia="en-US"/>
        </w:rPr>
        <w:tab/>
      </w:r>
      <w:r>
        <w:rPr>
          <w:sz w:val="28"/>
          <w:szCs w:val="28"/>
          <w:lang w:val="en-US" w:eastAsia="en-US"/>
        </w:rPr>
        <w:tab/>
      </w:r>
      <w:r w:rsidR="002F7A7A">
        <w:rPr>
          <w:sz w:val="28"/>
          <w:szCs w:val="28"/>
          <w:lang w:val="en-US" w:eastAsia="en-US"/>
        </w:rPr>
        <w:t xml:space="preserve">I observe that the signature appearing under the name of the applicant in the loan agreement is markedly similar to the applicant’s signature in the founding affidavit in respect of rescission application. </w:t>
      </w:r>
      <w:r w:rsidR="0050582F">
        <w:rPr>
          <w:sz w:val="28"/>
          <w:szCs w:val="28"/>
          <w:lang w:val="en-US" w:eastAsia="en-US"/>
        </w:rPr>
        <w:t xml:space="preserve">I have no hesitation in concluding that the defence advanced by the applicant is not </w:t>
      </w:r>
      <w:r w:rsidR="0050582F" w:rsidRPr="0050582F">
        <w:rPr>
          <w:i/>
          <w:iCs/>
          <w:sz w:val="28"/>
          <w:szCs w:val="28"/>
          <w:lang w:val="en-US" w:eastAsia="en-US"/>
        </w:rPr>
        <w:t>bona fide</w:t>
      </w:r>
      <w:r w:rsidR="0050582F">
        <w:rPr>
          <w:sz w:val="28"/>
          <w:szCs w:val="28"/>
          <w:lang w:val="en-US" w:eastAsia="en-US"/>
        </w:rPr>
        <w:t xml:space="preserve"> and is inherently and seriously unconvincing. No material facts have been alleged in support of the defence by the applicant.</w:t>
      </w:r>
    </w:p>
    <w:p w:rsidR="001E5002" w:rsidRDefault="00193ED1" w:rsidP="001E5002">
      <w:pPr>
        <w:pStyle w:val="Textbody"/>
        <w:spacing w:line="480" w:lineRule="auto"/>
        <w:jc w:val="both"/>
        <w:rPr>
          <w:sz w:val="28"/>
          <w:szCs w:val="28"/>
          <w:lang w:val="en-US" w:eastAsia="en-US"/>
        </w:rPr>
      </w:pPr>
      <w:r>
        <w:rPr>
          <w:sz w:val="28"/>
          <w:szCs w:val="28"/>
          <w:lang w:val="en-US" w:eastAsia="en-US"/>
        </w:rPr>
        <w:t>[3</w:t>
      </w:r>
      <w:r w:rsidR="00F818AA">
        <w:rPr>
          <w:sz w:val="28"/>
          <w:szCs w:val="28"/>
          <w:lang w:val="en-US" w:eastAsia="en-US"/>
        </w:rPr>
        <w:t>4</w:t>
      </w:r>
      <w:r>
        <w:rPr>
          <w:sz w:val="28"/>
          <w:szCs w:val="28"/>
          <w:lang w:val="en-US" w:eastAsia="en-US"/>
        </w:rPr>
        <w:t>]</w:t>
      </w:r>
      <w:r>
        <w:rPr>
          <w:sz w:val="28"/>
          <w:szCs w:val="28"/>
          <w:lang w:val="en-US" w:eastAsia="en-US"/>
        </w:rPr>
        <w:tab/>
      </w:r>
      <w:r>
        <w:rPr>
          <w:sz w:val="28"/>
          <w:szCs w:val="28"/>
          <w:lang w:val="en-US" w:eastAsia="en-US"/>
        </w:rPr>
        <w:tab/>
      </w:r>
      <w:r w:rsidR="007A04EE">
        <w:rPr>
          <w:sz w:val="28"/>
          <w:szCs w:val="28"/>
          <w:lang w:val="en-US" w:eastAsia="en-US"/>
        </w:rPr>
        <w:t xml:space="preserve">The first respondent </w:t>
      </w:r>
      <w:r>
        <w:rPr>
          <w:sz w:val="28"/>
          <w:szCs w:val="28"/>
          <w:lang w:val="en-US" w:eastAsia="en-US"/>
        </w:rPr>
        <w:t xml:space="preserve">seems to have gone for an </w:t>
      </w:r>
      <w:r w:rsidR="007A04EE">
        <w:rPr>
          <w:sz w:val="28"/>
          <w:szCs w:val="28"/>
          <w:lang w:val="en-US" w:eastAsia="en-US"/>
        </w:rPr>
        <w:t xml:space="preserve">overkill </w:t>
      </w:r>
      <w:r>
        <w:rPr>
          <w:sz w:val="28"/>
          <w:szCs w:val="28"/>
          <w:lang w:val="en-US" w:eastAsia="en-US"/>
        </w:rPr>
        <w:t xml:space="preserve">when it </w:t>
      </w:r>
      <w:r w:rsidR="007A04EE">
        <w:rPr>
          <w:sz w:val="28"/>
          <w:szCs w:val="28"/>
          <w:lang w:val="en-US" w:eastAsia="en-US"/>
        </w:rPr>
        <w:t xml:space="preserve">annexed to its answering affidavit the </w:t>
      </w:r>
      <w:r w:rsidR="004E40AE">
        <w:rPr>
          <w:sz w:val="28"/>
          <w:szCs w:val="28"/>
          <w:lang w:val="en-US" w:eastAsia="en-US"/>
        </w:rPr>
        <w:t>applicant’s</w:t>
      </w:r>
      <w:r w:rsidR="007A04EE">
        <w:rPr>
          <w:sz w:val="28"/>
          <w:szCs w:val="28"/>
          <w:lang w:val="en-US" w:eastAsia="en-US"/>
        </w:rPr>
        <w:t xml:space="preserve"> letter dated the 13</w:t>
      </w:r>
      <w:r w:rsidR="007A04EE" w:rsidRPr="007A04EE">
        <w:rPr>
          <w:sz w:val="28"/>
          <w:szCs w:val="28"/>
          <w:vertAlign w:val="superscript"/>
          <w:lang w:val="en-US" w:eastAsia="en-US"/>
        </w:rPr>
        <w:t>th</w:t>
      </w:r>
      <w:r w:rsidR="007A04EE">
        <w:rPr>
          <w:sz w:val="28"/>
          <w:szCs w:val="28"/>
          <w:lang w:val="en-US" w:eastAsia="en-US"/>
        </w:rPr>
        <w:t xml:space="preserve"> April 20</w:t>
      </w:r>
      <w:r>
        <w:rPr>
          <w:sz w:val="28"/>
          <w:szCs w:val="28"/>
          <w:lang w:val="en-US" w:eastAsia="en-US"/>
        </w:rPr>
        <w:t>16</w:t>
      </w:r>
      <w:r w:rsidR="007A04EE">
        <w:rPr>
          <w:sz w:val="28"/>
          <w:szCs w:val="28"/>
          <w:lang w:val="en-US" w:eastAsia="en-US"/>
        </w:rPr>
        <w:t xml:space="preserve"> where he applied for a loan.</w:t>
      </w:r>
      <w:r>
        <w:rPr>
          <w:sz w:val="28"/>
          <w:szCs w:val="28"/>
          <w:lang w:val="en-US" w:eastAsia="en-US"/>
        </w:rPr>
        <w:t xml:space="preserve"> This must be a reaction to the applicant’s assertion that he never applied for a loan or overdraft.</w:t>
      </w:r>
      <w:r w:rsidR="007A04EE">
        <w:rPr>
          <w:sz w:val="28"/>
          <w:szCs w:val="28"/>
          <w:lang w:val="en-US" w:eastAsia="en-US"/>
        </w:rPr>
        <w:t xml:space="preserve"> Equally</w:t>
      </w:r>
      <w:r>
        <w:rPr>
          <w:sz w:val="28"/>
          <w:szCs w:val="28"/>
          <w:lang w:val="en-US" w:eastAsia="en-US"/>
        </w:rPr>
        <w:t>,</w:t>
      </w:r>
      <w:r w:rsidR="007A04EE">
        <w:rPr>
          <w:sz w:val="28"/>
          <w:szCs w:val="28"/>
          <w:lang w:val="en-US" w:eastAsia="en-US"/>
        </w:rPr>
        <w:t xml:space="preserve"> the signature on this letter is markedly similar to the applicant’s signature in the founding affidavit. </w:t>
      </w:r>
      <w:r w:rsidR="0050582F">
        <w:rPr>
          <w:sz w:val="28"/>
          <w:szCs w:val="28"/>
          <w:lang w:val="en-US" w:eastAsia="en-US"/>
        </w:rPr>
        <w:t xml:space="preserve">Consequently, </w:t>
      </w:r>
      <w:r w:rsidR="00714C96">
        <w:rPr>
          <w:sz w:val="28"/>
          <w:szCs w:val="28"/>
          <w:lang w:val="en-US" w:eastAsia="en-US"/>
        </w:rPr>
        <w:t xml:space="preserve">even if the applicant had established jurisdictional facts under Rule 45(1), I was not going to exercise my discretion in favour of granting the rescission application </w:t>
      </w:r>
      <w:r>
        <w:rPr>
          <w:sz w:val="28"/>
          <w:szCs w:val="28"/>
          <w:lang w:val="en-US" w:eastAsia="en-US"/>
        </w:rPr>
        <w:t>in the circumstances of this case.</w:t>
      </w:r>
    </w:p>
    <w:p w:rsidR="001E5002" w:rsidRDefault="001E5002" w:rsidP="001E5002">
      <w:pPr>
        <w:pStyle w:val="Textbody"/>
        <w:spacing w:line="480" w:lineRule="auto"/>
        <w:jc w:val="both"/>
        <w:rPr>
          <w:sz w:val="28"/>
          <w:szCs w:val="28"/>
          <w:lang w:val="en-US" w:eastAsia="en-US"/>
        </w:rPr>
      </w:pPr>
    </w:p>
    <w:p w:rsidR="00433A05" w:rsidRPr="001E5002" w:rsidRDefault="003204DF" w:rsidP="001E5002">
      <w:pPr>
        <w:pStyle w:val="Textbody"/>
        <w:spacing w:line="480" w:lineRule="auto"/>
        <w:jc w:val="both"/>
        <w:rPr>
          <w:sz w:val="28"/>
          <w:szCs w:val="28"/>
          <w:lang w:val="en-US" w:eastAsia="en-US"/>
        </w:rPr>
      </w:pPr>
      <w:r w:rsidRPr="0005233D">
        <w:rPr>
          <w:b/>
          <w:bCs/>
          <w:sz w:val="28"/>
          <w:szCs w:val="28"/>
          <w:u w:val="single"/>
          <w:lang w:val="en-US" w:eastAsia="en-US"/>
        </w:rPr>
        <w:t>COMMON LAW RESCISSION</w:t>
      </w:r>
      <w:r>
        <w:rPr>
          <w:b/>
          <w:bCs/>
          <w:sz w:val="28"/>
          <w:szCs w:val="28"/>
          <w:lang w:val="en-US" w:eastAsia="en-US"/>
        </w:rPr>
        <w:t>:</w:t>
      </w:r>
    </w:p>
    <w:p w:rsidR="00A02E19" w:rsidRDefault="002C6496" w:rsidP="000E22F0">
      <w:pPr>
        <w:tabs>
          <w:tab w:val="left" w:pos="1134"/>
        </w:tabs>
        <w:spacing w:after="0" w:line="480" w:lineRule="auto"/>
        <w:jc w:val="both"/>
        <w:rPr>
          <w:rFonts w:ascii="Times New Roman" w:eastAsia="Times New Roman" w:hAnsi="Times New Roman"/>
          <w:sz w:val="28"/>
          <w:szCs w:val="28"/>
          <w:lang w:val="en-GB"/>
        </w:rPr>
      </w:pPr>
      <w:r w:rsidRPr="003204DF">
        <w:rPr>
          <w:rStyle w:val="FontStyle22"/>
          <w:rFonts w:ascii="Times New Roman" w:hAnsi="Times New Roman" w:cs="Times New Roman"/>
          <w:sz w:val="28"/>
          <w:szCs w:val="28"/>
        </w:rPr>
        <w:t>[</w:t>
      </w:r>
      <w:r w:rsidR="00E9710B">
        <w:rPr>
          <w:rStyle w:val="FontStyle22"/>
          <w:rFonts w:ascii="Times New Roman" w:hAnsi="Times New Roman" w:cs="Times New Roman"/>
          <w:sz w:val="28"/>
          <w:szCs w:val="28"/>
        </w:rPr>
        <w:t>3</w:t>
      </w:r>
      <w:r w:rsidR="00F818AA">
        <w:rPr>
          <w:rStyle w:val="FontStyle22"/>
          <w:rFonts w:ascii="Times New Roman" w:hAnsi="Times New Roman" w:cs="Times New Roman"/>
          <w:sz w:val="28"/>
          <w:szCs w:val="28"/>
        </w:rPr>
        <w:t>5</w:t>
      </w:r>
      <w:r w:rsidRPr="003204DF">
        <w:rPr>
          <w:rStyle w:val="FontStyle22"/>
          <w:rFonts w:ascii="Times New Roman" w:hAnsi="Times New Roman" w:cs="Times New Roman"/>
          <w:sz w:val="28"/>
          <w:szCs w:val="28"/>
        </w:rPr>
        <w:t>]</w:t>
      </w:r>
      <w:r>
        <w:rPr>
          <w:rStyle w:val="FontStyle22"/>
          <w:rFonts w:ascii="Arial" w:hAnsi="Arial" w:cs="Arial"/>
        </w:rPr>
        <w:tab/>
      </w:r>
      <w:r>
        <w:rPr>
          <w:rStyle w:val="FontStyle22"/>
          <w:rFonts w:ascii="Arial" w:hAnsi="Arial" w:cs="Arial"/>
        </w:rPr>
        <w:tab/>
      </w:r>
      <w:r w:rsidR="003204DF">
        <w:rPr>
          <w:rStyle w:val="FontStyle22"/>
          <w:rFonts w:ascii="Times New Roman" w:hAnsi="Times New Roman" w:cs="Times New Roman"/>
          <w:sz w:val="28"/>
          <w:szCs w:val="28"/>
        </w:rPr>
        <w:t xml:space="preserve">While the application was brought under </w:t>
      </w:r>
      <w:r w:rsidR="00E9710B">
        <w:rPr>
          <w:rStyle w:val="FontStyle22"/>
          <w:rFonts w:ascii="Times New Roman" w:hAnsi="Times New Roman" w:cs="Times New Roman"/>
          <w:sz w:val="28"/>
          <w:szCs w:val="28"/>
        </w:rPr>
        <w:t>R</w:t>
      </w:r>
      <w:r w:rsidR="003204DF">
        <w:rPr>
          <w:rStyle w:val="FontStyle22"/>
          <w:rFonts w:ascii="Times New Roman" w:hAnsi="Times New Roman" w:cs="Times New Roman"/>
          <w:sz w:val="28"/>
          <w:szCs w:val="28"/>
        </w:rPr>
        <w:t>ule 45 (1) I proceed to consider it under common law as I am no</w:t>
      </w:r>
      <w:r w:rsidR="000E22F0">
        <w:rPr>
          <w:rStyle w:val="FontStyle22"/>
          <w:rFonts w:ascii="Times New Roman" w:hAnsi="Times New Roman" w:cs="Times New Roman"/>
          <w:sz w:val="28"/>
          <w:szCs w:val="28"/>
        </w:rPr>
        <w:t xml:space="preserve">t </w:t>
      </w:r>
      <w:r w:rsidR="003204DF">
        <w:rPr>
          <w:rStyle w:val="FontStyle22"/>
          <w:rFonts w:ascii="Times New Roman" w:hAnsi="Times New Roman" w:cs="Times New Roman"/>
          <w:sz w:val="28"/>
          <w:szCs w:val="28"/>
        </w:rPr>
        <w:t>precluded from doing so</w:t>
      </w:r>
      <w:r w:rsidR="003204DF">
        <w:rPr>
          <w:rStyle w:val="FootnoteReference"/>
          <w:rFonts w:ascii="Times New Roman" w:eastAsia="Times New Roman" w:hAnsi="Times New Roman"/>
          <w:sz w:val="28"/>
          <w:szCs w:val="28"/>
          <w:lang w:val="en-GB"/>
        </w:rPr>
        <w:footnoteReference w:id="14"/>
      </w:r>
      <w:r w:rsidR="003204DF">
        <w:rPr>
          <w:rFonts w:ascii="Times New Roman" w:eastAsia="Times New Roman" w:hAnsi="Times New Roman"/>
          <w:sz w:val="28"/>
          <w:szCs w:val="28"/>
          <w:lang w:val="en-GB"/>
        </w:rPr>
        <w:t xml:space="preserve">. </w:t>
      </w:r>
      <w:r w:rsidR="000E22F0">
        <w:rPr>
          <w:rFonts w:ascii="Times New Roman" w:eastAsia="Times New Roman" w:hAnsi="Times New Roman"/>
          <w:sz w:val="28"/>
          <w:szCs w:val="28"/>
          <w:lang w:val="en-GB"/>
        </w:rPr>
        <w:t xml:space="preserve">I do not see any prejudice to the first respondent as it has filed comprehensive affidavits. </w:t>
      </w:r>
    </w:p>
    <w:p w:rsidR="002C6496" w:rsidRPr="000E22F0" w:rsidRDefault="00A02E19" w:rsidP="000E22F0">
      <w:pPr>
        <w:tabs>
          <w:tab w:val="left" w:pos="1134"/>
        </w:tabs>
        <w:spacing w:after="0" w:line="480" w:lineRule="auto"/>
        <w:jc w:val="both"/>
        <w:rPr>
          <w:rFonts w:ascii="Times New Roman" w:eastAsia="Times New Roman" w:hAnsi="Times New Roman" w:cs="Times New Roman"/>
          <w:sz w:val="28"/>
          <w:szCs w:val="28"/>
          <w:lang w:val="en-GB"/>
        </w:rPr>
      </w:pPr>
      <w:r>
        <w:rPr>
          <w:rFonts w:ascii="Times New Roman" w:eastAsia="Times New Roman" w:hAnsi="Times New Roman"/>
          <w:sz w:val="28"/>
          <w:szCs w:val="28"/>
          <w:lang w:val="en-GB"/>
        </w:rPr>
        <w:t>[</w:t>
      </w:r>
      <w:r w:rsidR="00E9710B">
        <w:rPr>
          <w:rFonts w:ascii="Times New Roman" w:eastAsia="Times New Roman" w:hAnsi="Times New Roman"/>
          <w:sz w:val="28"/>
          <w:szCs w:val="28"/>
          <w:lang w:val="en-GB"/>
        </w:rPr>
        <w:t>3</w:t>
      </w:r>
      <w:r w:rsidR="00F818AA">
        <w:rPr>
          <w:rFonts w:ascii="Times New Roman" w:eastAsia="Times New Roman" w:hAnsi="Times New Roman"/>
          <w:sz w:val="28"/>
          <w:szCs w:val="28"/>
          <w:lang w:val="en-GB"/>
        </w:rPr>
        <w:t>6</w:t>
      </w:r>
      <w:r>
        <w:rPr>
          <w:rFonts w:ascii="Times New Roman" w:eastAsia="Times New Roman" w:hAnsi="Times New Roman"/>
          <w:sz w:val="28"/>
          <w:szCs w:val="28"/>
          <w:lang w:val="en-GB"/>
        </w:rPr>
        <w:t>]</w:t>
      </w:r>
      <w:r>
        <w:rPr>
          <w:rFonts w:ascii="Times New Roman" w:eastAsia="Times New Roman" w:hAnsi="Times New Roman"/>
          <w:sz w:val="28"/>
          <w:szCs w:val="28"/>
          <w:lang w:val="en-GB"/>
        </w:rPr>
        <w:tab/>
      </w:r>
      <w:r>
        <w:rPr>
          <w:rFonts w:ascii="Times New Roman" w:eastAsia="Times New Roman" w:hAnsi="Times New Roman"/>
          <w:sz w:val="28"/>
          <w:szCs w:val="28"/>
          <w:lang w:val="en-GB"/>
        </w:rPr>
        <w:tab/>
      </w:r>
      <w:r w:rsidR="002C6496" w:rsidRPr="000E22F0">
        <w:rPr>
          <w:rFonts w:ascii="Times New Roman" w:hAnsi="Times New Roman" w:cs="Times New Roman"/>
          <w:sz w:val="28"/>
          <w:szCs w:val="28"/>
        </w:rPr>
        <w:t xml:space="preserve">In </w:t>
      </w:r>
      <w:r w:rsidR="002C6496" w:rsidRPr="000E22F0">
        <w:rPr>
          <w:rFonts w:ascii="Times New Roman" w:hAnsi="Times New Roman" w:cs="Times New Roman"/>
          <w:b/>
          <w:i/>
          <w:sz w:val="28"/>
          <w:szCs w:val="28"/>
          <w:u w:val="single"/>
        </w:rPr>
        <w:t>CGM Industrial (Proprietary) Limited v Adelfang Computing (Proprietary) Limited</w:t>
      </w:r>
      <w:r w:rsidR="002C6496" w:rsidRPr="000E22F0">
        <w:rPr>
          <w:rStyle w:val="FootnoteReference"/>
          <w:rFonts w:ascii="Times New Roman" w:hAnsi="Times New Roman" w:cs="Times New Roman"/>
          <w:b/>
          <w:i/>
          <w:sz w:val="28"/>
          <w:szCs w:val="28"/>
        </w:rPr>
        <w:footnoteReference w:id="15"/>
      </w:r>
      <w:r w:rsidR="002C6496" w:rsidRPr="000E22F0">
        <w:rPr>
          <w:rFonts w:ascii="Times New Roman" w:hAnsi="Times New Roman" w:cs="Times New Roman"/>
          <w:b/>
          <w:i/>
          <w:sz w:val="28"/>
          <w:szCs w:val="28"/>
        </w:rPr>
        <w:t>,</w:t>
      </w:r>
      <w:r w:rsidR="002C6496" w:rsidRPr="00E9710B">
        <w:rPr>
          <w:rFonts w:ascii="Times New Roman" w:hAnsi="Times New Roman" w:cs="Times New Roman"/>
          <w:bCs/>
          <w:iCs/>
          <w:sz w:val="28"/>
          <w:szCs w:val="28"/>
        </w:rPr>
        <w:t>Smalberger JA</w:t>
      </w:r>
      <w:r w:rsidR="00831B86">
        <w:rPr>
          <w:rFonts w:ascii="Times New Roman" w:hAnsi="Times New Roman" w:cs="Times New Roman"/>
          <w:bCs/>
          <w:iCs/>
          <w:sz w:val="28"/>
          <w:szCs w:val="28"/>
        </w:rPr>
        <w:t xml:space="preserve"> </w:t>
      </w:r>
      <w:r w:rsidR="002C6496" w:rsidRPr="000E22F0">
        <w:rPr>
          <w:rFonts w:ascii="Times New Roman" w:hAnsi="Times New Roman" w:cs="Times New Roman"/>
          <w:i/>
          <w:sz w:val="28"/>
          <w:szCs w:val="28"/>
        </w:rPr>
        <w:t>,</w:t>
      </w:r>
      <w:r w:rsidR="00E9710B">
        <w:rPr>
          <w:rFonts w:ascii="Times New Roman" w:hAnsi="Times New Roman" w:cs="Times New Roman"/>
          <w:iCs/>
          <w:sz w:val="28"/>
          <w:szCs w:val="28"/>
        </w:rPr>
        <w:t xml:space="preserve">as he then was, </w:t>
      </w:r>
      <w:r w:rsidR="002C6496" w:rsidRPr="000E22F0">
        <w:rPr>
          <w:rFonts w:ascii="Times New Roman" w:hAnsi="Times New Roman" w:cs="Times New Roman"/>
          <w:sz w:val="28"/>
          <w:szCs w:val="28"/>
        </w:rPr>
        <w:t xml:space="preserve"> quoted with approval the decision of Chetty v Law Society, Transvaal 1985 (2) SA 756 (A) at 764 to 765D which set</w:t>
      </w:r>
      <w:r w:rsidR="000E22F0">
        <w:rPr>
          <w:rFonts w:ascii="Times New Roman" w:hAnsi="Times New Roman" w:cs="Times New Roman"/>
          <w:sz w:val="28"/>
          <w:szCs w:val="28"/>
        </w:rPr>
        <w:t>s</w:t>
      </w:r>
      <w:r w:rsidR="002C6496" w:rsidRPr="000E22F0">
        <w:rPr>
          <w:rFonts w:ascii="Times New Roman" w:hAnsi="Times New Roman" w:cs="Times New Roman"/>
          <w:sz w:val="28"/>
          <w:szCs w:val="28"/>
        </w:rPr>
        <w:t xml:space="preserve"> out the principles that apply to an application for </w:t>
      </w:r>
      <w:r w:rsidR="000E22F0" w:rsidRPr="000E22F0">
        <w:rPr>
          <w:rFonts w:ascii="Times New Roman" w:hAnsi="Times New Roman" w:cs="Times New Roman"/>
          <w:sz w:val="28"/>
          <w:szCs w:val="28"/>
        </w:rPr>
        <w:t>rescission</w:t>
      </w:r>
      <w:r w:rsidR="002C6496" w:rsidRPr="000E22F0">
        <w:rPr>
          <w:rFonts w:ascii="Times New Roman" w:hAnsi="Times New Roman" w:cs="Times New Roman"/>
          <w:sz w:val="28"/>
          <w:szCs w:val="28"/>
        </w:rPr>
        <w:t xml:space="preserve"> under the common law as follows:</w:t>
      </w:r>
    </w:p>
    <w:p w:rsidR="002C6496" w:rsidRPr="000E22F0" w:rsidRDefault="002C6496" w:rsidP="002C6496">
      <w:pPr>
        <w:widowControl w:val="0"/>
        <w:spacing w:before="240" w:after="120" w:line="480" w:lineRule="auto"/>
        <w:ind w:left="1440"/>
        <w:jc w:val="both"/>
        <w:outlineLvl w:val="0"/>
        <w:rPr>
          <w:rFonts w:ascii="Times New Roman" w:eastAsia="Times New Roman" w:hAnsi="Times New Roman" w:cs="Times New Roman"/>
          <w:i/>
          <w:sz w:val="24"/>
          <w:szCs w:val="24"/>
          <w:lang w:val="en-GB"/>
        </w:rPr>
      </w:pPr>
      <w:r w:rsidRPr="000E22F0">
        <w:rPr>
          <w:rFonts w:ascii="Times New Roman" w:eastAsia="Times New Roman" w:hAnsi="Times New Roman" w:cs="Times New Roman"/>
          <w:sz w:val="28"/>
          <w:szCs w:val="28"/>
          <w:lang w:val="en-GB"/>
        </w:rPr>
        <w:t>“</w:t>
      </w:r>
      <w:r w:rsidRPr="000E22F0">
        <w:rPr>
          <w:rFonts w:ascii="Times New Roman" w:eastAsia="Times New Roman" w:hAnsi="Times New Roman" w:cs="Times New Roman"/>
          <w:i/>
          <w:sz w:val="24"/>
          <w:szCs w:val="24"/>
          <w:lang w:val="en-GB"/>
        </w:rPr>
        <w:t xml:space="preserve">The appellant’s claim for rescission of the judgment confirming the rule nisi cannot be brought under Rule 31(2) (b) or Rule 42(1), but must be considered in terms of the common law, which empowers the Court to rescind a judgment obtained on default of appearance, provided sufficient cause therefor has been shown.  (See De Wet and Others v Western Bank Ltd 1979 (2) SA 1031 (A) at 1042 and Childerly Estate Stores v Standard Bank of SA Ltd 1924 OPD 163.)  The term ‘sufficient cause’ (or ‘good cause’) defies precise or comprehensive definition, for many and various factors require to be considered.  (See Cairn’s Executors v Gaarn 1912 AD 181 at 186 per INNES JA.)  But it is clear that in </w:t>
      </w:r>
      <w:r w:rsidRPr="000E22F0">
        <w:rPr>
          <w:rFonts w:ascii="Times New Roman" w:eastAsia="Times New Roman" w:hAnsi="Times New Roman" w:cs="Times New Roman"/>
          <w:i/>
          <w:sz w:val="24"/>
          <w:szCs w:val="24"/>
          <w:lang w:val="en-GB"/>
        </w:rPr>
        <w:lastRenderedPageBreak/>
        <w:t>principle and in the long-standing practice of our Courts two essential elements of ‘sufficient cause’ for rescission of a judgment by default are:</w:t>
      </w:r>
    </w:p>
    <w:p w:rsidR="002C6496" w:rsidRPr="000E22F0" w:rsidRDefault="002C6496" w:rsidP="002C6496">
      <w:pPr>
        <w:widowControl w:val="0"/>
        <w:spacing w:before="240" w:after="120" w:line="480" w:lineRule="auto"/>
        <w:ind w:left="2880" w:hanging="720"/>
        <w:jc w:val="both"/>
        <w:outlineLvl w:val="0"/>
        <w:rPr>
          <w:rFonts w:ascii="Times New Roman" w:eastAsia="Times New Roman" w:hAnsi="Times New Roman" w:cs="Times New Roman"/>
          <w:i/>
          <w:sz w:val="24"/>
          <w:szCs w:val="24"/>
          <w:lang w:val="en-GB"/>
        </w:rPr>
      </w:pPr>
      <w:r w:rsidRPr="000E22F0">
        <w:rPr>
          <w:rFonts w:ascii="Times New Roman" w:eastAsia="Times New Roman" w:hAnsi="Times New Roman" w:cs="Times New Roman"/>
          <w:i/>
          <w:sz w:val="24"/>
          <w:szCs w:val="24"/>
          <w:lang w:val="en-GB"/>
        </w:rPr>
        <w:t xml:space="preserve">(i) </w:t>
      </w:r>
      <w:r w:rsidRPr="000E22F0">
        <w:rPr>
          <w:rFonts w:ascii="Times New Roman" w:eastAsia="Times New Roman" w:hAnsi="Times New Roman" w:cs="Times New Roman"/>
          <w:i/>
          <w:sz w:val="24"/>
          <w:szCs w:val="24"/>
          <w:lang w:val="en-GB"/>
        </w:rPr>
        <w:tab/>
        <w:t>that the party seeking relief must present a reasonable and acceptable explanation for his default; and</w:t>
      </w:r>
    </w:p>
    <w:p w:rsidR="002C6496" w:rsidRPr="000E22F0" w:rsidRDefault="002C6496" w:rsidP="002C6496">
      <w:pPr>
        <w:widowControl w:val="0"/>
        <w:spacing w:before="240" w:after="120" w:line="480" w:lineRule="auto"/>
        <w:ind w:left="2880" w:hanging="720"/>
        <w:jc w:val="both"/>
        <w:outlineLvl w:val="0"/>
        <w:rPr>
          <w:rFonts w:ascii="Times New Roman" w:eastAsia="Times New Roman" w:hAnsi="Times New Roman" w:cs="Times New Roman"/>
          <w:i/>
          <w:sz w:val="24"/>
          <w:szCs w:val="24"/>
          <w:lang w:val="en-GB"/>
        </w:rPr>
      </w:pPr>
      <w:r w:rsidRPr="000E22F0">
        <w:rPr>
          <w:rFonts w:ascii="Times New Roman" w:eastAsia="Times New Roman" w:hAnsi="Times New Roman" w:cs="Times New Roman"/>
          <w:i/>
          <w:sz w:val="24"/>
          <w:szCs w:val="24"/>
          <w:lang w:val="en-GB"/>
        </w:rPr>
        <w:t xml:space="preserve">(ii) </w:t>
      </w:r>
      <w:r w:rsidRPr="000E22F0">
        <w:rPr>
          <w:rFonts w:ascii="Times New Roman" w:eastAsia="Times New Roman" w:hAnsi="Times New Roman" w:cs="Times New Roman"/>
          <w:i/>
          <w:sz w:val="24"/>
          <w:szCs w:val="24"/>
          <w:lang w:val="en-GB"/>
        </w:rPr>
        <w:tab/>
        <w:t>that on the merits such party has a bona fide defence which, prima facie, carries some prospect of success.  (De Wet’s case supra at 1042; PE Bosman Transport Works Committee and Others v Piet Bosman Transport (Pty) Ltd 1980 (4) SA 794 (A); Smith NO v Brummer NO and Another; Smith NO v Brummer 1954 (3) SA 352 (O) at 357-8.)”</w:t>
      </w:r>
    </w:p>
    <w:p w:rsidR="00A02E19" w:rsidRPr="00631E5F" w:rsidRDefault="00A02E19" w:rsidP="00631E5F">
      <w:pPr>
        <w:pStyle w:val="Textbody"/>
        <w:spacing w:line="480" w:lineRule="auto"/>
        <w:jc w:val="both"/>
        <w:rPr>
          <w:sz w:val="28"/>
          <w:szCs w:val="28"/>
          <w:lang w:val="en-US" w:eastAsia="en-US"/>
        </w:rPr>
      </w:pPr>
      <w:r w:rsidRPr="00A02E19">
        <w:rPr>
          <w:sz w:val="28"/>
          <w:szCs w:val="28"/>
          <w:lang w:val="en-US" w:eastAsia="en-US"/>
        </w:rPr>
        <w:t>[</w:t>
      </w:r>
      <w:r w:rsidR="00AC42C9">
        <w:rPr>
          <w:sz w:val="28"/>
          <w:szCs w:val="28"/>
          <w:lang w:val="en-US" w:eastAsia="en-US"/>
        </w:rPr>
        <w:t>3</w:t>
      </w:r>
      <w:r w:rsidR="00F818AA">
        <w:rPr>
          <w:sz w:val="28"/>
          <w:szCs w:val="28"/>
          <w:lang w:val="en-US" w:eastAsia="en-US"/>
        </w:rPr>
        <w:t>7</w:t>
      </w:r>
      <w:r w:rsidRPr="00A02E19">
        <w:rPr>
          <w:sz w:val="28"/>
          <w:szCs w:val="28"/>
          <w:lang w:val="en-US" w:eastAsia="en-US"/>
        </w:rPr>
        <w:t>]</w:t>
      </w:r>
      <w:r w:rsidRPr="00A02E19">
        <w:rPr>
          <w:sz w:val="28"/>
          <w:szCs w:val="28"/>
          <w:lang w:val="en-US" w:eastAsia="en-US"/>
        </w:rPr>
        <w:tab/>
      </w:r>
      <w:r w:rsidRPr="00A02E19">
        <w:rPr>
          <w:sz w:val="28"/>
          <w:szCs w:val="28"/>
          <w:lang w:val="en-US" w:eastAsia="en-US"/>
        </w:rPr>
        <w:tab/>
        <w:t xml:space="preserve">In </w:t>
      </w:r>
      <w:r>
        <w:rPr>
          <w:sz w:val="28"/>
          <w:szCs w:val="28"/>
          <w:lang w:val="en-US" w:eastAsia="en-US"/>
        </w:rPr>
        <w:t xml:space="preserve">considering the application for rescission, a Court “should not treat each requirement in a vacuum. There is an obvious inter-relationship between all the requirements and a weakness in one respect can be compensated for by strength in others”. </w:t>
      </w:r>
      <w:r w:rsidRPr="00A02E19">
        <w:rPr>
          <w:i/>
          <w:iCs/>
          <w:sz w:val="28"/>
          <w:szCs w:val="28"/>
          <w:lang w:val="en-US" w:eastAsia="en-US"/>
        </w:rPr>
        <w:t>See</w:t>
      </w:r>
      <w:r>
        <w:rPr>
          <w:sz w:val="28"/>
          <w:szCs w:val="28"/>
          <w:lang w:val="en-US" w:eastAsia="en-US"/>
        </w:rPr>
        <w:t xml:space="preserve">: </w:t>
      </w:r>
      <w:r w:rsidRPr="00A02E19">
        <w:rPr>
          <w:rFonts w:eastAsia="Times New Roman"/>
          <w:b/>
          <w:iCs/>
          <w:sz w:val="28"/>
          <w:szCs w:val="28"/>
          <w:u w:val="single"/>
          <w:lang w:val="en-GB"/>
        </w:rPr>
        <w:t>Napo Thamae and Another v Agnes Kotelo and</w:t>
      </w:r>
      <w:r w:rsidRPr="00631E5F">
        <w:rPr>
          <w:rFonts w:eastAsia="Times New Roman"/>
          <w:b/>
          <w:iCs/>
          <w:sz w:val="28"/>
          <w:szCs w:val="28"/>
          <w:u w:val="single"/>
          <w:lang w:val="en-GB"/>
        </w:rPr>
        <w:t>Another</w:t>
      </w:r>
      <w:r w:rsidR="00831B86">
        <w:rPr>
          <w:rFonts w:eastAsia="Times New Roman"/>
          <w:b/>
          <w:iCs/>
          <w:sz w:val="28"/>
          <w:szCs w:val="28"/>
          <w:u w:val="single"/>
          <w:lang w:val="en-GB"/>
        </w:rPr>
        <w:t xml:space="preserve"> </w:t>
      </w:r>
      <w:r w:rsidR="00CD21CF">
        <w:rPr>
          <w:rFonts w:eastAsia="Times New Roman"/>
          <w:sz w:val="28"/>
          <w:szCs w:val="28"/>
          <w:lang w:val="en-GB"/>
        </w:rPr>
        <w:t>C of A (CIV) No 16/2005, page 13</w:t>
      </w:r>
      <w:r w:rsidR="00631E5F">
        <w:rPr>
          <w:rFonts w:eastAsia="Times New Roman"/>
          <w:sz w:val="28"/>
          <w:szCs w:val="28"/>
          <w:lang w:val="en-GB"/>
        </w:rPr>
        <w:t>.</w:t>
      </w:r>
    </w:p>
    <w:p w:rsidR="00C46315" w:rsidRPr="00A02E19" w:rsidRDefault="00CD21CF" w:rsidP="001E500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8"/>
          <w:szCs w:val="28"/>
          <w:lang w:val="en-GB"/>
        </w:rPr>
        <w:t>[</w:t>
      </w:r>
      <w:r w:rsidR="00AC42C9">
        <w:rPr>
          <w:rFonts w:ascii="Times New Roman" w:eastAsia="Times New Roman" w:hAnsi="Times New Roman" w:cs="Times New Roman"/>
          <w:sz w:val="28"/>
          <w:szCs w:val="28"/>
          <w:lang w:val="en-GB"/>
        </w:rPr>
        <w:t>3</w:t>
      </w:r>
      <w:r w:rsidR="00F818AA">
        <w:rPr>
          <w:rFonts w:ascii="Times New Roman" w:eastAsia="Times New Roman" w:hAnsi="Times New Roman" w:cs="Times New Roman"/>
          <w:sz w:val="28"/>
          <w:szCs w:val="28"/>
          <w:lang w:val="en-GB"/>
        </w:rPr>
        <w:t>8</w:t>
      </w:r>
      <w:r>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lang w:val="en-GB"/>
        </w:rPr>
        <w:tab/>
      </w:r>
      <w:r>
        <w:rPr>
          <w:rFonts w:ascii="Times New Roman" w:eastAsia="Times New Roman" w:hAnsi="Times New Roman" w:cs="Times New Roman"/>
          <w:sz w:val="28"/>
          <w:szCs w:val="28"/>
          <w:lang w:val="en-GB"/>
        </w:rPr>
        <w:tab/>
        <w:t>Again, the Court does not have to delve too deeply into the merits in considering whether the applicant has a bona fide defence. It is sufficient that the defence raised is not excipiable and that on simple facts deposed to, the matter cannot be decided finally as a matter of law.</w:t>
      </w:r>
      <w:r w:rsidR="00831B86">
        <w:rPr>
          <w:rFonts w:ascii="Times New Roman" w:eastAsia="Times New Roman" w:hAnsi="Times New Roman" w:cs="Times New Roman"/>
          <w:sz w:val="28"/>
          <w:szCs w:val="28"/>
          <w:lang w:val="en-GB"/>
        </w:rPr>
        <w:t xml:space="preserve"> </w:t>
      </w:r>
      <w:r w:rsidR="00782846" w:rsidRPr="00782846">
        <w:rPr>
          <w:rFonts w:ascii="Times New Roman" w:eastAsia="Times New Roman" w:hAnsi="Times New Roman" w:cs="Times New Roman"/>
          <w:i/>
          <w:iCs/>
          <w:sz w:val="28"/>
          <w:szCs w:val="28"/>
          <w:lang w:val="en-GB"/>
        </w:rPr>
        <w:t>See:</w:t>
      </w:r>
      <w:r w:rsidR="00831B86">
        <w:rPr>
          <w:rFonts w:ascii="Times New Roman" w:eastAsia="Times New Roman" w:hAnsi="Times New Roman" w:cs="Times New Roman"/>
          <w:i/>
          <w:iCs/>
          <w:sz w:val="28"/>
          <w:szCs w:val="28"/>
          <w:lang w:val="en-GB"/>
        </w:rPr>
        <w:t xml:space="preserve"> </w:t>
      </w:r>
      <w:r w:rsidR="00A02E19" w:rsidRPr="00782846">
        <w:rPr>
          <w:rFonts w:ascii="Times New Roman" w:eastAsia="Times New Roman" w:hAnsi="Times New Roman" w:cs="Times New Roman"/>
          <w:b/>
          <w:iCs/>
          <w:sz w:val="28"/>
          <w:szCs w:val="28"/>
          <w:u w:val="single"/>
          <w:lang w:val="en-GB"/>
        </w:rPr>
        <w:t>Kose</w:t>
      </w:r>
      <w:r w:rsidR="00831B86">
        <w:rPr>
          <w:rFonts w:ascii="Times New Roman" w:eastAsia="Times New Roman" w:hAnsi="Times New Roman" w:cs="Times New Roman"/>
          <w:b/>
          <w:iCs/>
          <w:sz w:val="28"/>
          <w:szCs w:val="28"/>
          <w:u w:val="single"/>
          <w:lang w:val="en-GB"/>
        </w:rPr>
        <w:t xml:space="preserve"> </w:t>
      </w:r>
      <w:r w:rsidR="00A02E19" w:rsidRPr="00782846">
        <w:rPr>
          <w:rFonts w:ascii="Times New Roman" w:eastAsia="Times New Roman" w:hAnsi="Times New Roman" w:cs="Times New Roman"/>
          <w:b/>
          <w:iCs/>
          <w:sz w:val="28"/>
          <w:szCs w:val="28"/>
          <w:u w:val="single"/>
          <w:lang w:val="en-GB"/>
        </w:rPr>
        <w:t>Mafereka v Tlali</w:t>
      </w:r>
      <w:r w:rsidR="00831B86">
        <w:rPr>
          <w:rFonts w:ascii="Times New Roman" w:eastAsia="Times New Roman" w:hAnsi="Times New Roman" w:cs="Times New Roman"/>
          <w:b/>
          <w:iCs/>
          <w:sz w:val="28"/>
          <w:szCs w:val="28"/>
          <w:u w:val="single"/>
          <w:lang w:val="en-GB"/>
        </w:rPr>
        <w:t xml:space="preserve"> </w:t>
      </w:r>
      <w:r w:rsidR="00A02E19" w:rsidRPr="00782846">
        <w:rPr>
          <w:rFonts w:ascii="Times New Roman" w:eastAsia="Times New Roman" w:hAnsi="Times New Roman" w:cs="Times New Roman"/>
          <w:b/>
          <w:iCs/>
          <w:sz w:val="28"/>
          <w:szCs w:val="28"/>
          <w:u w:val="single"/>
          <w:lang w:val="en-GB"/>
        </w:rPr>
        <w:t>Lefeta and Another</w:t>
      </w:r>
      <w:r w:rsidR="00831B86">
        <w:rPr>
          <w:rFonts w:ascii="Times New Roman" w:eastAsia="Times New Roman" w:hAnsi="Times New Roman" w:cs="Times New Roman"/>
          <w:b/>
          <w:iCs/>
          <w:sz w:val="28"/>
          <w:szCs w:val="28"/>
          <w:u w:val="single"/>
          <w:lang w:val="en-GB"/>
        </w:rPr>
        <w:t xml:space="preserve"> </w:t>
      </w:r>
      <w:r w:rsidR="00782846" w:rsidRPr="00631E5F">
        <w:rPr>
          <w:rFonts w:ascii="Times New Roman" w:eastAsia="Times New Roman" w:hAnsi="Times New Roman" w:cs="Times New Roman"/>
          <w:bCs/>
          <w:sz w:val="28"/>
          <w:szCs w:val="28"/>
          <w:lang w:val="en-GB"/>
        </w:rPr>
        <w:t>CIV/APN</w:t>
      </w:r>
      <w:r w:rsidR="00831B86">
        <w:rPr>
          <w:rFonts w:ascii="Times New Roman" w:eastAsia="Times New Roman" w:hAnsi="Times New Roman" w:cs="Times New Roman"/>
          <w:bCs/>
          <w:sz w:val="28"/>
          <w:szCs w:val="28"/>
          <w:lang w:val="en-GB"/>
        </w:rPr>
        <w:t xml:space="preserve"> </w:t>
      </w:r>
      <w:r w:rsidR="00782846" w:rsidRPr="00631E5F">
        <w:rPr>
          <w:rFonts w:ascii="Times New Roman" w:eastAsia="Times New Roman" w:hAnsi="Times New Roman" w:cs="Times New Roman"/>
          <w:bCs/>
          <w:sz w:val="28"/>
          <w:szCs w:val="28"/>
          <w:lang w:val="en-GB"/>
        </w:rPr>
        <w:t xml:space="preserve"> 510/93</w:t>
      </w:r>
      <w:r w:rsidR="00631E5F">
        <w:rPr>
          <w:rFonts w:ascii="Times New Roman" w:eastAsia="Times New Roman" w:hAnsi="Times New Roman" w:cs="Times New Roman"/>
          <w:b/>
          <w:sz w:val="28"/>
          <w:szCs w:val="28"/>
          <w:lang w:val="en-GB"/>
        </w:rPr>
        <w:t xml:space="preserve">, </w:t>
      </w:r>
      <w:r w:rsidR="00631E5F" w:rsidRPr="00631E5F">
        <w:rPr>
          <w:rFonts w:ascii="Times New Roman" w:eastAsia="Times New Roman" w:hAnsi="Times New Roman" w:cs="Times New Roman"/>
          <w:bCs/>
          <w:sz w:val="28"/>
          <w:szCs w:val="28"/>
          <w:lang w:val="en-GB"/>
        </w:rPr>
        <w:t>page 7</w:t>
      </w:r>
      <w:r w:rsidR="00631E5F">
        <w:rPr>
          <w:rFonts w:ascii="Times New Roman" w:eastAsia="Times New Roman" w:hAnsi="Times New Roman" w:cs="Times New Roman"/>
          <w:bCs/>
          <w:sz w:val="28"/>
          <w:szCs w:val="28"/>
          <w:lang w:val="en-GB"/>
        </w:rPr>
        <w:t>.</w:t>
      </w:r>
    </w:p>
    <w:p w:rsidR="008A03ED" w:rsidRDefault="00433A05"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AC42C9">
        <w:rPr>
          <w:rFonts w:ascii="Times New Roman" w:hAnsi="Times New Roman" w:cs="Times New Roman"/>
          <w:sz w:val="28"/>
          <w:szCs w:val="28"/>
        </w:rPr>
        <w:t>3</w:t>
      </w:r>
      <w:r w:rsidR="00F818AA">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3617C">
        <w:rPr>
          <w:rFonts w:ascii="Times New Roman" w:hAnsi="Times New Roman" w:cs="Times New Roman"/>
          <w:sz w:val="28"/>
          <w:szCs w:val="28"/>
        </w:rPr>
        <w:t xml:space="preserve">I observe right away that the applicant has not explained why the affidavit in terms of Rule 28(3) was not filed on time, neither was the affidavit </w:t>
      </w:r>
      <w:r w:rsidR="0063617C">
        <w:rPr>
          <w:rFonts w:ascii="Times New Roman" w:hAnsi="Times New Roman" w:cs="Times New Roman"/>
          <w:sz w:val="28"/>
          <w:szCs w:val="28"/>
        </w:rPr>
        <w:lastRenderedPageBreak/>
        <w:t xml:space="preserve">accompanied by application for condonation. </w:t>
      </w:r>
      <w:r w:rsidR="008A03ED">
        <w:rPr>
          <w:rFonts w:ascii="Times New Roman" w:hAnsi="Times New Roman" w:cs="Times New Roman"/>
          <w:sz w:val="28"/>
          <w:szCs w:val="28"/>
        </w:rPr>
        <w:t xml:space="preserve">In addition, the application for rescission was only filed six months after the applicant was served with a writ of execution and a Court Order. The </w:t>
      </w:r>
      <w:r w:rsidR="0063617C">
        <w:rPr>
          <w:rFonts w:ascii="Times New Roman" w:hAnsi="Times New Roman" w:cs="Times New Roman"/>
          <w:sz w:val="28"/>
          <w:szCs w:val="28"/>
        </w:rPr>
        <w:t xml:space="preserve">applicant wants this Court to believe that he only became aware </w:t>
      </w:r>
      <w:r w:rsidR="00F818AA">
        <w:rPr>
          <w:rFonts w:ascii="Times New Roman" w:hAnsi="Times New Roman" w:cs="Times New Roman"/>
          <w:sz w:val="28"/>
          <w:szCs w:val="28"/>
        </w:rPr>
        <w:t>after the 14</w:t>
      </w:r>
      <w:r w:rsidR="00F818AA" w:rsidRPr="00F818AA">
        <w:rPr>
          <w:rFonts w:ascii="Times New Roman" w:hAnsi="Times New Roman" w:cs="Times New Roman"/>
          <w:sz w:val="28"/>
          <w:szCs w:val="28"/>
          <w:vertAlign w:val="superscript"/>
        </w:rPr>
        <w:t>th</w:t>
      </w:r>
      <w:r w:rsidR="00F818AA">
        <w:rPr>
          <w:rFonts w:ascii="Times New Roman" w:hAnsi="Times New Roman" w:cs="Times New Roman"/>
          <w:sz w:val="28"/>
          <w:szCs w:val="28"/>
        </w:rPr>
        <w:t xml:space="preserve"> September 2018 t</w:t>
      </w:r>
      <w:r w:rsidR="0063617C">
        <w:rPr>
          <w:rFonts w:ascii="Times New Roman" w:hAnsi="Times New Roman" w:cs="Times New Roman"/>
          <w:sz w:val="28"/>
          <w:szCs w:val="28"/>
        </w:rPr>
        <w:t>hat the summary judgment was obtained against him</w:t>
      </w:r>
      <w:r w:rsidR="00F818AA">
        <w:rPr>
          <w:rFonts w:ascii="Times New Roman" w:hAnsi="Times New Roman" w:cs="Times New Roman"/>
          <w:sz w:val="28"/>
          <w:szCs w:val="28"/>
        </w:rPr>
        <w:t xml:space="preserve">. This is around the period that </w:t>
      </w:r>
      <w:r w:rsidR="008A03ED">
        <w:rPr>
          <w:rFonts w:ascii="Times New Roman" w:hAnsi="Times New Roman" w:cs="Times New Roman"/>
          <w:sz w:val="28"/>
          <w:szCs w:val="28"/>
        </w:rPr>
        <w:t xml:space="preserve">the second respondent went to remove the property that had been attached pursuant to the writ of execution. </w:t>
      </w:r>
      <w:r w:rsidR="002D6EE6">
        <w:rPr>
          <w:rFonts w:ascii="Times New Roman" w:hAnsi="Times New Roman" w:cs="Times New Roman"/>
          <w:sz w:val="28"/>
          <w:szCs w:val="28"/>
        </w:rPr>
        <w:t>For reasons that immediately follow, I refuse to</w:t>
      </w:r>
      <w:r w:rsidR="00F818AA">
        <w:rPr>
          <w:rFonts w:ascii="Times New Roman" w:hAnsi="Times New Roman" w:cs="Times New Roman"/>
          <w:sz w:val="28"/>
          <w:szCs w:val="28"/>
        </w:rPr>
        <w:t xml:space="preserve"> allow the applicant to take this Court for a ride. </w:t>
      </w:r>
    </w:p>
    <w:p w:rsidR="00410269" w:rsidRDefault="008A03ED"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F818AA">
        <w:rPr>
          <w:rFonts w:ascii="Times New Roman" w:hAnsi="Times New Roman" w:cs="Times New Roman"/>
          <w:sz w:val="28"/>
          <w:szCs w:val="28"/>
        </w:rPr>
        <w:t>40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w:t>
      </w:r>
      <w:r w:rsidR="0063617C">
        <w:rPr>
          <w:rFonts w:ascii="Times New Roman" w:hAnsi="Times New Roman" w:cs="Times New Roman"/>
          <w:sz w:val="28"/>
          <w:szCs w:val="28"/>
        </w:rPr>
        <w:t xml:space="preserve">he evidence indicates overwhelmingly that the </w:t>
      </w:r>
      <w:r>
        <w:rPr>
          <w:rFonts w:ascii="Times New Roman" w:hAnsi="Times New Roman" w:cs="Times New Roman"/>
          <w:sz w:val="28"/>
          <w:szCs w:val="28"/>
        </w:rPr>
        <w:t>applicant knew way back on the 13</w:t>
      </w:r>
      <w:r w:rsidRPr="008A03ED">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2018 that a summary judgment was obtained against him when he was served with </w:t>
      </w:r>
      <w:r w:rsidR="002D6EE6">
        <w:rPr>
          <w:rFonts w:ascii="Times New Roman" w:hAnsi="Times New Roman" w:cs="Times New Roman"/>
          <w:sz w:val="28"/>
          <w:szCs w:val="28"/>
        </w:rPr>
        <w:t xml:space="preserve">a </w:t>
      </w:r>
      <w:r>
        <w:rPr>
          <w:rFonts w:ascii="Times New Roman" w:hAnsi="Times New Roman" w:cs="Times New Roman"/>
          <w:sz w:val="28"/>
          <w:szCs w:val="28"/>
        </w:rPr>
        <w:t>writ of execution</w:t>
      </w:r>
      <w:r w:rsidR="00F70BA7">
        <w:rPr>
          <w:rFonts w:ascii="Times New Roman" w:hAnsi="Times New Roman" w:cs="Times New Roman"/>
          <w:sz w:val="28"/>
          <w:szCs w:val="28"/>
        </w:rPr>
        <w:t xml:space="preserve"> and the Court Order</w:t>
      </w:r>
      <w:r>
        <w:rPr>
          <w:rFonts w:ascii="Times New Roman" w:hAnsi="Times New Roman" w:cs="Times New Roman"/>
          <w:sz w:val="28"/>
          <w:szCs w:val="28"/>
        </w:rPr>
        <w:t xml:space="preserve">. </w:t>
      </w:r>
      <w:r w:rsidR="00F818AA">
        <w:rPr>
          <w:rFonts w:ascii="Times New Roman" w:hAnsi="Times New Roman" w:cs="Times New Roman"/>
          <w:sz w:val="28"/>
          <w:szCs w:val="28"/>
        </w:rPr>
        <w:t>As it has already been observed</w:t>
      </w:r>
      <w:r w:rsidR="001527C3">
        <w:rPr>
          <w:rFonts w:ascii="Times New Roman" w:hAnsi="Times New Roman" w:cs="Times New Roman"/>
          <w:sz w:val="28"/>
          <w:szCs w:val="28"/>
        </w:rPr>
        <w:t xml:space="preserve">, </w:t>
      </w:r>
      <w:r w:rsidR="00F818AA">
        <w:rPr>
          <w:rFonts w:ascii="Times New Roman" w:hAnsi="Times New Roman" w:cs="Times New Roman"/>
          <w:sz w:val="28"/>
          <w:szCs w:val="28"/>
        </w:rPr>
        <w:t xml:space="preserve">the </w:t>
      </w:r>
      <w:r w:rsidR="00F70BA7">
        <w:rPr>
          <w:rFonts w:ascii="Times New Roman" w:hAnsi="Times New Roman" w:cs="Times New Roman"/>
          <w:sz w:val="28"/>
          <w:szCs w:val="28"/>
        </w:rPr>
        <w:t>second respondent filed the</w:t>
      </w:r>
      <w:r>
        <w:rPr>
          <w:rFonts w:ascii="Times New Roman" w:hAnsi="Times New Roman" w:cs="Times New Roman"/>
          <w:sz w:val="28"/>
          <w:szCs w:val="28"/>
        </w:rPr>
        <w:t xml:space="preserve"> return of service </w:t>
      </w:r>
      <w:r w:rsidR="00F70BA7">
        <w:rPr>
          <w:rFonts w:ascii="Times New Roman" w:hAnsi="Times New Roman" w:cs="Times New Roman"/>
          <w:sz w:val="28"/>
          <w:szCs w:val="28"/>
        </w:rPr>
        <w:t>of record on the 14</w:t>
      </w:r>
      <w:r w:rsidR="00F70BA7" w:rsidRPr="00F70BA7">
        <w:rPr>
          <w:rFonts w:ascii="Times New Roman" w:hAnsi="Times New Roman" w:cs="Times New Roman"/>
          <w:sz w:val="28"/>
          <w:szCs w:val="28"/>
          <w:vertAlign w:val="superscript"/>
        </w:rPr>
        <w:t>th</w:t>
      </w:r>
      <w:r w:rsidR="00F70BA7">
        <w:rPr>
          <w:rFonts w:ascii="Times New Roman" w:hAnsi="Times New Roman" w:cs="Times New Roman"/>
          <w:sz w:val="28"/>
          <w:szCs w:val="28"/>
        </w:rPr>
        <w:t xml:space="preserve"> March 2018 to the effect that he served the applicant with </w:t>
      </w:r>
      <w:r w:rsidR="002D6EE6">
        <w:rPr>
          <w:rFonts w:ascii="Times New Roman" w:hAnsi="Times New Roman" w:cs="Times New Roman"/>
          <w:sz w:val="28"/>
          <w:szCs w:val="28"/>
        </w:rPr>
        <w:t xml:space="preserve">the </w:t>
      </w:r>
      <w:r w:rsidR="00F70BA7">
        <w:rPr>
          <w:rFonts w:ascii="Times New Roman" w:hAnsi="Times New Roman" w:cs="Times New Roman"/>
          <w:sz w:val="28"/>
          <w:szCs w:val="28"/>
        </w:rPr>
        <w:t>writ of execution on the 13</w:t>
      </w:r>
      <w:r w:rsidR="00F70BA7" w:rsidRPr="00F70BA7">
        <w:rPr>
          <w:rFonts w:ascii="Times New Roman" w:hAnsi="Times New Roman" w:cs="Times New Roman"/>
          <w:sz w:val="28"/>
          <w:szCs w:val="28"/>
          <w:vertAlign w:val="superscript"/>
        </w:rPr>
        <w:t>th</w:t>
      </w:r>
      <w:r w:rsidR="00F70BA7">
        <w:rPr>
          <w:rFonts w:ascii="Times New Roman" w:hAnsi="Times New Roman" w:cs="Times New Roman"/>
          <w:sz w:val="28"/>
          <w:szCs w:val="28"/>
        </w:rPr>
        <w:t xml:space="preserve"> March 201</w:t>
      </w:r>
      <w:r w:rsidR="002D6EE6">
        <w:rPr>
          <w:rFonts w:ascii="Times New Roman" w:hAnsi="Times New Roman" w:cs="Times New Roman"/>
          <w:sz w:val="28"/>
          <w:szCs w:val="28"/>
        </w:rPr>
        <w:t>7</w:t>
      </w:r>
      <w:r w:rsidR="00F70BA7">
        <w:rPr>
          <w:rFonts w:ascii="Times New Roman" w:hAnsi="Times New Roman" w:cs="Times New Roman"/>
          <w:sz w:val="28"/>
          <w:szCs w:val="28"/>
        </w:rPr>
        <w:t>.</w:t>
      </w:r>
      <w:r w:rsidR="002D6EE6">
        <w:rPr>
          <w:rFonts w:ascii="Times New Roman" w:hAnsi="Times New Roman" w:cs="Times New Roman"/>
          <w:sz w:val="28"/>
          <w:szCs w:val="28"/>
        </w:rPr>
        <w:t xml:space="preserve"> I </w:t>
      </w:r>
      <w:r w:rsidR="00F818AA">
        <w:rPr>
          <w:rFonts w:ascii="Times New Roman" w:hAnsi="Times New Roman" w:cs="Times New Roman"/>
          <w:sz w:val="28"/>
          <w:szCs w:val="28"/>
        </w:rPr>
        <w:t>have already explained in paragraph 8 of this judgment that 2017 is a genuine mistake and that the correct date should be the 13</w:t>
      </w:r>
      <w:r w:rsidR="00F818AA" w:rsidRPr="00F818AA">
        <w:rPr>
          <w:rFonts w:ascii="Times New Roman" w:hAnsi="Times New Roman" w:cs="Times New Roman"/>
          <w:sz w:val="28"/>
          <w:szCs w:val="28"/>
          <w:vertAlign w:val="superscript"/>
        </w:rPr>
        <w:t>th</w:t>
      </w:r>
      <w:r w:rsidR="00F818AA">
        <w:rPr>
          <w:rFonts w:ascii="Times New Roman" w:hAnsi="Times New Roman" w:cs="Times New Roman"/>
          <w:sz w:val="28"/>
          <w:szCs w:val="28"/>
        </w:rPr>
        <w:t xml:space="preserve"> March 2018 as confirmed by the </w:t>
      </w:r>
      <w:r w:rsidR="001E5002">
        <w:rPr>
          <w:rFonts w:ascii="Times New Roman" w:hAnsi="Times New Roman" w:cs="Times New Roman"/>
          <w:sz w:val="28"/>
          <w:szCs w:val="28"/>
        </w:rPr>
        <w:t>second</w:t>
      </w:r>
      <w:r w:rsidR="00F818AA">
        <w:rPr>
          <w:rFonts w:ascii="Times New Roman" w:hAnsi="Times New Roman" w:cs="Times New Roman"/>
          <w:sz w:val="28"/>
          <w:szCs w:val="28"/>
        </w:rPr>
        <w:t xml:space="preserve"> respondent in his </w:t>
      </w:r>
      <w:r w:rsidR="00F70BA7">
        <w:rPr>
          <w:rFonts w:ascii="Times New Roman" w:hAnsi="Times New Roman" w:cs="Times New Roman"/>
          <w:sz w:val="28"/>
          <w:szCs w:val="28"/>
        </w:rPr>
        <w:t>detailed supporting affidavit</w:t>
      </w:r>
      <w:r w:rsidR="00F818AA">
        <w:rPr>
          <w:rFonts w:ascii="Times New Roman" w:hAnsi="Times New Roman" w:cs="Times New Roman"/>
          <w:sz w:val="28"/>
          <w:szCs w:val="28"/>
        </w:rPr>
        <w:t>.</w:t>
      </w:r>
    </w:p>
    <w:p w:rsidR="00A73CC4" w:rsidRDefault="00410269"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w:t>
      </w:r>
      <w:r w:rsidR="00F818AA">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second respondent further </w:t>
      </w:r>
      <w:r w:rsidR="00F70BA7">
        <w:rPr>
          <w:rFonts w:ascii="Times New Roman" w:hAnsi="Times New Roman" w:cs="Times New Roman"/>
          <w:sz w:val="28"/>
          <w:szCs w:val="28"/>
        </w:rPr>
        <w:t xml:space="preserve">indicates that before he could attach anything at the applicant‘s home, the applicant drove him to his farm in Mohale’s Hoek whereupon he advised him to attach one of his tractors at the farm which he estimated to worth over M300 000.00. </w:t>
      </w:r>
      <w:r>
        <w:rPr>
          <w:rFonts w:ascii="Times New Roman" w:hAnsi="Times New Roman" w:cs="Times New Roman"/>
          <w:sz w:val="28"/>
          <w:szCs w:val="28"/>
        </w:rPr>
        <w:t xml:space="preserve">He asserts that the applicant undertook </w:t>
      </w:r>
      <w:r>
        <w:rPr>
          <w:rFonts w:ascii="Times New Roman" w:hAnsi="Times New Roman" w:cs="Times New Roman"/>
          <w:sz w:val="28"/>
          <w:szCs w:val="28"/>
        </w:rPr>
        <w:lastRenderedPageBreak/>
        <w:t xml:space="preserve">to pay the respondent and indicated that it would not be necessary to remove and sell the tractor in execution. </w:t>
      </w:r>
    </w:p>
    <w:p w:rsidR="002D6EE6" w:rsidRDefault="00A73CC4"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Pr>
          <w:rFonts w:ascii="Times New Roman" w:hAnsi="Times New Roman" w:cs="Times New Roman"/>
          <w:sz w:val="28"/>
          <w:szCs w:val="28"/>
        </w:rPr>
        <w:tab/>
      </w:r>
      <w:r w:rsidR="00410269">
        <w:rPr>
          <w:rFonts w:ascii="Times New Roman" w:hAnsi="Times New Roman" w:cs="Times New Roman"/>
          <w:sz w:val="28"/>
          <w:szCs w:val="28"/>
        </w:rPr>
        <w:t>The second respondent</w:t>
      </w:r>
      <w:r>
        <w:rPr>
          <w:rFonts w:ascii="Times New Roman" w:hAnsi="Times New Roman" w:cs="Times New Roman"/>
          <w:sz w:val="28"/>
          <w:szCs w:val="28"/>
        </w:rPr>
        <w:t xml:space="preserve"> has gone further in his affidavit to indicate that </w:t>
      </w:r>
      <w:r w:rsidR="00410269">
        <w:rPr>
          <w:rFonts w:ascii="Times New Roman" w:hAnsi="Times New Roman" w:cs="Times New Roman"/>
          <w:sz w:val="28"/>
          <w:szCs w:val="28"/>
        </w:rPr>
        <w:t xml:space="preserve">he conveyed the applicant’s undertaking to the first respondent’s legal representatives who instructed him to hold off the removal and the sale in execution as they had also communicated with the applicant’s legal representatives who had confirmed the applicant’s undertaking to pay the first respondent’s claim. </w:t>
      </w:r>
    </w:p>
    <w:p w:rsidR="00E35DAC" w:rsidRDefault="00C53568"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w:t>
      </w:r>
      <w:r w:rsidR="00A73CC4">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At the time he filed the rescission application, the applicant was aware of the return of service and its contents. In fact, he has attached the return of service as annexure “JM2” to his founding affidavit. </w:t>
      </w:r>
      <w:r w:rsidR="00000825">
        <w:rPr>
          <w:rFonts w:ascii="Times New Roman" w:hAnsi="Times New Roman" w:cs="Times New Roman"/>
          <w:sz w:val="28"/>
          <w:szCs w:val="28"/>
        </w:rPr>
        <w:t>T</w:t>
      </w:r>
      <w:r>
        <w:rPr>
          <w:rFonts w:ascii="Times New Roman" w:hAnsi="Times New Roman" w:cs="Times New Roman"/>
          <w:sz w:val="28"/>
          <w:szCs w:val="28"/>
        </w:rPr>
        <w:t>he applicant never challenged the contents of the return of service</w:t>
      </w:r>
      <w:r w:rsidR="00A73CC4">
        <w:rPr>
          <w:rFonts w:ascii="Times New Roman" w:hAnsi="Times New Roman" w:cs="Times New Roman"/>
          <w:sz w:val="28"/>
          <w:szCs w:val="28"/>
        </w:rPr>
        <w:t xml:space="preserve"> regarding the period when the writ of execution was served</w:t>
      </w:r>
      <w:r>
        <w:rPr>
          <w:rFonts w:ascii="Times New Roman" w:hAnsi="Times New Roman" w:cs="Times New Roman"/>
          <w:sz w:val="28"/>
          <w:szCs w:val="28"/>
        </w:rPr>
        <w:t>.</w:t>
      </w:r>
      <w:r w:rsidR="00000825">
        <w:rPr>
          <w:rFonts w:ascii="Times New Roman" w:hAnsi="Times New Roman" w:cs="Times New Roman"/>
          <w:sz w:val="28"/>
          <w:szCs w:val="28"/>
        </w:rPr>
        <w:t xml:space="preserve"> To successfully do </w:t>
      </w:r>
      <w:r w:rsidR="00536D05">
        <w:rPr>
          <w:rFonts w:ascii="Times New Roman" w:hAnsi="Times New Roman" w:cs="Times New Roman"/>
          <w:sz w:val="28"/>
          <w:szCs w:val="28"/>
        </w:rPr>
        <w:t>so, he</w:t>
      </w:r>
      <w:r w:rsidR="00000825">
        <w:rPr>
          <w:rFonts w:ascii="Times New Roman" w:hAnsi="Times New Roman" w:cs="Times New Roman"/>
          <w:sz w:val="28"/>
          <w:szCs w:val="28"/>
        </w:rPr>
        <w:t xml:space="preserve"> would be required to provide the clearest and most satisfactory evidence as the return of service is considered to be</w:t>
      </w:r>
      <w:r w:rsidR="00831B86">
        <w:rPr>
          <w:rFonts w:ascii="Times New Roman" w:hAnsi="Times New Roman" w:cs="Times New Roman"/>
          <w:sz w:val="28"/>
          <w:szCs w:val="28"/>
        </w:rPr>
        <w:t xml:space="preserve"> </w:t>
      </w:r>
      <w:r w:rsidR="00E35DAC" w:rsidRPr="00E35DAC">
        <w:rPr>
          <w:rFonts w:ascii="Times New Roman" w:hAnsi="Times New Roman" w:cs="Times New Roman"/>
          <w:i/>
          <w:iCs/>
          <w:sz w:val="28"/>
          <w:szCs w:val="28"/>
        </w:rPr>
        <w:t>pr</w:t>
      </w:r>
      <w:r w:rsidR="001527C3">
        <w:rPr>
          <w:rFonts w:ascii="Times New Roman" w:hAnsi="Times New Roman" w:cs="Times New Roman"/>
          <w:i/>
          <w:iCs/>
          <w:sz w:val="28"/>
          <w:szCs w:val="28"/>
        </w:rPr>
        <w:t>i</w:t>
      </w:r>
      <w:r w:rsidR="00E35DAC" w:rsidRPr="00E35DAC">
        <w:rPr>
          <w:rFonts w:ascii="Times New Roman" w:hAnsi="Times New Roman" w:cs="Times New Roman"/>
          <w:i/>
          <w:iCs/>
          <w:sz w:val="28"/>
          <w:szCs w:val="28"/>
        </w:rPr>
        <w:t>ma facie</w:t>
      </w:r>
      <w:r w:rsidR="00E35DAC">
        <w:rPr>
          <w:rFonts w:ascii="Times New Roman" w:hAnsi="Times New Roman" w:cs="Times New Roman"/>
          <w:sz w:val="28"/>
          <w:szCs w:val="28"/>
        </w:rPr>
        <w:t xml:space="preserve"> evidence of what is stated therein</w:t>
      </w:r>
      <w:r w:rsidR="00000825">
        <w:rPr>
          <w:rFonts w:ascii="Times New Roman" w:hAnsi="Times New Roman" w:cs="Times New Roman"/>
          <w:sz w:val="28"/>
          <w:szCs w:val="28"/>
        </w:rPr>
        <w:t>.</w:t>
      </w:r>
      <w:r w:rsidR="00831B86">
        <w:rPr>
          <w:rFonts w:ascii="Times New Roman" w:hAnsi="Times New Roman" w:cs="Times New Roman"/>
          <w:sz w:val="28"/>
          <w:szCs w:val="28"/>
        </w:rPr>
        <w:t xml:space="preserve"> </w:t>
      </w:r>
      <w:r w:rsidR="00E35DAC" w:rsidRPr="00E35DAC">
        <w:rPr>
          <w:rFonts w:ascii="Times New Roman" w:hAnsi="Times New Roman" w:cs="Times New Roman"/>
          <w:i/>
          <w:iCs/>
          <w:sz w:val="28"/>
          <w:szCs w:val="28"/>
        </w:rPr>
        <w:t>See</w:t>
      </w:r>
      <w:r w:rsidR="00E35DAC">
        <w:rPr>
          <w:rFonts w:ascii="Times New Roman" w:hAnsi="Times New Roman" w:cs="Times New Roman"/>
          <w:sz w:val="28"/>
          <w:szCs w:val="28"/>
        </w:rPr>
        <w:t xml:space="preserve">: </w:t>
      </w:r>
      <w:r w:rsidR="00E35DAC" w:rsidRPr="00E35DAC">
        <w:rPr>
          <w:rFonts w:ascii="Times New Roman" w:hAnsi="Times New Roman" w:cs="Times New Roman"/>
          <w:b/>
          <w:bCs/>
          <w:sz w:val="28"/>
          <w:szCs w:val="28"/>
        </w:rPr>
        <w:t xml:space="preserve">Deputy Sheriff Witwatersrand v Goldberg </w:t>
      </w:r>
      <w:r w:rsidR="00E35DAC">
        <w:rPr>
          <w:rFonts w:ascii="Times New Roman" w:hAnsi="Times New Roman" w:cs="Times New Roman"/>
          <w:sz w:val="28"/>
          <w:szCs w:val="28"/>
        </w:rPr>
        <w:t xml:space="preserve">1905 T.S 680 at 684 and </w:t>
      </w:r>
      <w:r w:rsidR="00E35DAC" w:rsidRPr="00E35DAC">
        <w:rPr>
          <w:rFonts w:ascii="Times New Roman" w:hAnsi="Times New Roman" w:cs="Times New Roman"/>
          <w:b/>
          <w:bCs/>
          <w:sz w:val="28"/>
          <w:szCs w:val="28"/>
        </w:rPr>
        <w:t xml:space="preserve">Dodi Store v Herschel Foods (Pty) Ltd </w:t>
      </w:r>
      <w:r w:rsidR="00E35DAC">
        <w:rPr>
          <w:rFonts w:ascii="Times New Roman" w:hAnsi="Times New Roman" w:cs="Times New Roman"/>
          <w:sz w:val="28"/>
          <w:szCs w:val="28"/>
        </w:rPr>
        <w:t>1982 – 84 LLR 378 at 379.</w:t>
      </w:r>
    </w:p>
    <w:p w:rsidR="00A73CC4" w:rsidRDefault="00E35DAC"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w:t>
      </w:r>
      <w:r w:rsidR="00A73CC4">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I</w:t>
      </w:r>
      <w:r w:rsidR="00974B3E">
        <w:rPr>
          <w:rFonts w:ascii="Times New Roman" w:hAnsi="Times New Roman" w:cs="Times New Roman"/>
          <w:sz w:val="28"/>
          <w:szCs w:val="28"/>
        </w:rPr>
        <w:t xml:space="preserve"> do not find it awkward in the circumstances of this case that the applicant has not filed a re</w:t>
      </w:r>
      <w:r w:rsidR="001712D6">
        <w:rPr>
          <w:rFonts w:ascii="Times New Roman" w:hAnsi="Times New Roman" w:cs="Times New Roman"/>
          <w:sz w:val="28"/>
          <w:szCs w:val="28"/>
        </w:rPr>
        <w:t>p</w:t>
      </w:r>
      <w:r w:rsidR="00974B3E">
        <w:rPr>
          <w:rFonts w:ascii="Times New Roman" w:hAnsi="Times New Roman" w:cs="Times New Roman"/>
          <w:sz w:val="28"/>
          <w:szCs w:val="28"/>
        </w:rPr>
        <w:t xml:space="preserve">lying affidavit </w:t>
      </w:r>
      <w:r>
        <w:rPr>
          <w:rFonts w:ascii="Times New Roman" w:hAnsi="Times New Roman" w:cs="Times New Roman"/>
          <w:sz w:val="28"/>
          <w:szCs w:val="28"/>
        </w:rPr>
        <w:t>to rebut the damning allegations in the answering and supporting affidavit</w:t>
      </w:r>
      <w:r w:rsidR="00000825">
        <w:rPr>
          <w:rFonts w:ascii="Times New Roman" w:hAnsi="Times New Roman" w:cs="Times New Roman"/>
          <w:sz w:val="28"/>
          <w:szCs w:val="28"/>
        </w:rPr>
        <w:t>s</w:t>
      </w:r>
      <w:r>
        <w:rPr>
          <w:rFonts w:ascii="Times New Roman" w:hAnsi="Times New Roman" w:cs="Times New Roman"/>
          <w:sz w:val="28"/>
          <w:szCs w:val="28"/>
        </w:rPr>
        <w:t xml:space="preserve">. </w:t>
      </w:r>
      <w:r w:rsidR="00974B3E">
        <w:rPr>
          <w:rFonts w:ascii="Times New Roman" w:hAnsi="Times New Roman" w:cs="Times New Roman"/>
          <w:sz w:val="28"/>
          <w:szCs w:val="28"/>
        </w:rPr>
        <w:t xml:space="preserve">But I find it extremely significant. That the applicant never bothered to file a replying affidavit confirms my suspicion that </w:t>
      </w:r>
      <w:r w:rsidR="00974B3E">
        <w:rPr>
          <w:rFonts w:ascii="Times New Roman" w:hAnsi="Times New Roman" w:cs="Times New Roman"/>
          <w:sz w:val="28"/>
          <w:szCs w:val="28"/>
        </w:rPr>
        <w:lastRenderedPageBreak/>
        <w:t xml:space="preserve">he </w:t>
      </w:r>
      <w:r w:rsidR="00000825">
        <w:rPr>
          <w:rFonts w:ascii="Times New Roman" w:hAnsi="Times New Roman" w:cs="Times New Roman"/>
          <w:sz w:val="28"/>
          <w:szCs w:val="28"/>
        </w:rPr>
        <w:t xml:space="preserve">never </w:t>
      </w:r>
      <w:r w:rsidR="00974B3E">
        <w:rPr>
          <w:rFonts w:ascii="Times New Roman" w:hAnsi="Times New Roman" w:cs="Times New Roman"/>
          <w:sz w:val="28"/>
          <w:szCs w:val="28"/>
        </w:rPr>
        <w:t>seriously</w:t>
      </w:r>
      <w:r w:rsidR="00000825">
        <w:rPr>
          <w:rFonts w:ascii="Times New Roman" w:hAnsi="Times New Roman" w:cs="Times New Roman"/>
          <w:sz w:val="28"/>
          <w:szCs w:val="28"/>
        </w:rPr>
        <w:t xml:space="preserve"> intended to resist </w:t>
      </w:r>
      <w:r w:rsidR="00974B3E">
        <w:rPr>
          <w:rFonts w:ascii="Times New Roman" w:hAnsi="Times New Roman" w:cs="Times New Roman"/>
          <w:sz w:val="28"/>
          <w:szCs w:val="28"/>
        </w:rPr>
        <w:t xml:space="preserve">the first respondent‘s claim but is just delaying the inevitable. </w:t>
      </w:r>
    </w:p>
    <w:p w:rsidR="00974B3E" w:rsidRDefault="00A73CC4"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Pr>
          <w:rFonts w:ascii="Times New Roman" w:hAnsi="Times New Roman" w:cs="Times New Roman"/>
          <w:sz w:val="28"/>
          <w:szCs w:val="28"/>
        </w:rPr>
        <w:tab/>
      </w:r>
      <w:r w:rsidR="001B34F2">
        <w:rPr>
          <w:rFonts w:ascii="Times New Roman" w:hAnsi="Times New Roman" w:cs="Times New Roman"/>
          <w:sz w:val="28"/>
          <w:szCs w:val="28"/>
        </w:rPr>
        <w:t>Contrary to the picture which the applicant wanted to portray</w:t>
      </w:r>
      <w:r>
        <w:rPr>
          <w:rFonts w:ascii="Times New Roman" w:hAnsi="Times New Roman" w:cs="Times New Roman"/>
          <w:sz w:val="28"/>
          <w:szCs w:val="28"/>
        </w:rPr>
        <w:t xml:space="preserve"> regarding the period when he became aware of the summary judgment</w:t>
      </w:r>
      <w:r w:rsidR="001B34F2">
        <w:rPr>
          <w:rFonts w:ascii="Times New Roman" w:hAnsi="Times New Roman" w:cs="Times New Roman"/>
          <w:sz w:val="28"/>
          <w:szCs w:val="28"/>
        </w:rPr>
        <w:t>, his f</w:t>
      </w:r>
      <w:r w:rsidR="00974B3E">
        <w:rPr>
          <w:rFonts w:ascii="Times New Roman" w:hAnsi="Times New Roman" w:cs="Times New Roman"/>
          <w:sz w:val="28"/>
          <w:szCs w:val="28"/>
        </w:rPr>
        <w:t xml:space="preserve">ailure to file a replying affidavit means that </w:t>
      </w:r>
      <w:r w:rsidR="001B34F2">
        <w:rPr>
          <w:rFonts w:ascii="Times New Roman" w:hAnsi="Times New Roman" w:cs="Times New Roman"/>
          <w:sz w:val="28"/>
          <w:szCs w:val="28"/>
        </w:rPr>
        <w:t xml:space="preserve">he has not denied that </w:t>
      </w:r>
      <w:r w:rsidR="00E35DAC">
        <w:rPr>
          <w:rFonts w:ascii="Times New Roman" w:hAnsi="Times New Roman" w:cs="Times New Roman"/>
          <w:sz w:val="28"/>
          <w:szCs w:val="28"/>
        </w:rPr>
        <w:t>service of the Court Order and the writ was effected on the 13</w:t>
      </w:r>
      <w:r w:rsidR="00E35DAC" w:rsidRPr="00E35DAC">
        <w:rPr>
          <w:rFonts w:ascii="Times New Roman" w:hAnsi="Times New Roman" w:cs="Times New Roman"/>
          <w:sz w:val="28"/>
          <w:szCs w:val="28"/>
          <w:vertAlign w:val="superscript"/>
        </w:rPr>
        <w:t>th</w:t>
      </w:r>
      <w:r w:rsidR="00E35DAC">
        <w:rPr>
          <w:rFonts w:ascii="Times New Roman" w:hAnsi="Times New Roman" w:cs="Times New Roman"/>
          <w:sz w:val="28"/>
          <w:szCs w:val="28"/>
        </w:rPr>
        <w:t xml:space="preserve"> March 2018. Neither has he denied that he is the one who identified the tractor for attachment whereupon he requested the second respondent not to remove the tractor and undertook to pay the first respondent. </w:t>
      </w:r>
    </w:p>
    <w:p w:rsidR="001B34F2" w:rsidRDefault="00974B3E"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A73CC4">
        <w:rPr>
          <w:rFonts w:ascii="Times New Roman" w:hAnsi="Times New Roman" w:cs="Times New Roman"/>
          <w:sz w:val="28"/>
          <w:szCs w:val="28"/>
        </w:rPr>
        <w:t>46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1B34F2">
        <w:rPr>
          <w:rFonts w:ascii="Times New Roman" w:hAnsi="Times New Roman" w:cs="Times New Roman"/>
          <w:sz w:val="28"/>
          <w:szCs w:val="28"/>
        </w:rPr>
        <w:t xml:space="preserve">I observe that the </w:t>
      </w:r>
      <w:r w:rsidR="00E35DAC">
        <w:rPr>
          <w:rFonts w:ascii="Times New Roman" w:hAnsi="Times New Roman" w:cs="Times New Roman"/>
          <w:sz w:val="28"/>
          <w:szCs w:val="28"/>
        </w:rPr>
        <w:t>second respondent has</w:t>
      </w:r>
      <w:r w:rsidR="001B34F2">
        <w:rPr>
          <w:rFonts w:ascii="Times New Roman" w:hAnsi="Times New Roman" w:cs="Times New Roman"/>
          <w:sz w:val="28"/>
          <w:szCs w:val="28"/>
        </w:rPr>
        <w:t xml:space="preserve"> meticulously</w:t>
      </w:r>
      <w:r w:rsidR="00E35DAC">
        <w:rPr>
          <w:rFonts w:ascii="Times New Roman" w:hAnsi="Times New Roman" w:cs="Times New Roman"/>
          <w:sz w:val="28"/>
          <w:szCs w:val="28"/>
        </w:rPr>
        <w:t xml:space="preserve"> provided a detail</w:t>
      </w:r>
      <w:r w:rsidR="004918D1">
        <w:rPr>
          <w:rFonts w:ascii="Times New Roman" w:hAnsi="Times New Roman" w:cs="Times New Roman"/>
          <w:sz w:val="28"/>
          <w:szCs w:val="28"/>
        </w:rPr>
        <w:t>ed</w:t>
      </w:r>
      <w:r w:rsidR="00E35DAC">
        <w:rPr>
          <w:rFonts w:ascii="Times New Roman" w:hAnsi="Times New Roman" w:cs="Times New Roman"/>
          <w:sz w:val="28"/>
          <w:szCs w:val="28"/>
        </w:rPr>
        <w:t xml:space="preserve"> account of how service was effected and how he ended up attaching the tractor and not removing it. It bears repeating that the applicant has not filed the replying affidavit to dispute evidence tendered in the answering and supporting affidavit</w:t>
      </w:r>
      <w:r w:rsidR="00BB2F8F">
        <w:rPr>
          <w:rFonts w:ascii="Times New Roman" w:hAnsi="Times New Roman" w:cs="Times New Roman"/>
          <w:sz w:val="28"/>
          <w:szCs w:val="28"/>
        </w:rPr>
        <w:t>s</w:t>
      </w:r>
      <w:r w:rsidR="00E35DAC">
        <w:rPr>
          <w:rFonts w:ascii="Times New Roman" w:hAnsi="Times New Roman" w:cs="Times New Roman"/>
          <w:sz w:val="28"/>
          <w:szCs w:val="28"/>
        </w:rPr>
        <w:t>.</w:t>
      </w:r>
      <w:r w:rsidR="007026F4">
        <w:rPr>
          <w:rFonts w:ascii="Times New Roman" w:hAnsi="Times New Roman" w:cs="Times New Roman"/>
          <w:sz w:val="28"/>
          <w:szCs w:val="28"/>
        </w:rPr>
        <w:t xml:space="preserve"> This is a proper case where I have to follow the principles laid down in</w:t>
      </w:r>
      <w:r w:rsidR="001712D6">
        <w:rPr>
          <w:rFonts w:ascii="Times New Roman" w:hAnsi="Times New Roman" w:cs="Times New Roman"/>
          <w:sz w:val="28"/>
          <w:szCs w:val="28"/>
        </w:rPr>
        <w:t xml:space="preserve"> </w:t>
      </w:r>
      <w:r w:rsidRPr="00974B3E">
        <w:rPr>
          <w:rFonts w:ascii="Times New Roman" w:hAnsi="Times New Roman" w:cs="Times New Roman"/>
          <w:b/>
          <w:bCs/>
          <w:sz w:val="28"/>
          <w:szCs w:val="28"/>
        </w:rPr>
        <w:t>Plascon – Evans Paints Limited v Van Riebeck Paints</w:t>
      </w:r>
      <w:r>
        <w:rPr>
          <w:rFonts w:ascii="Times New Roman" w:hAnsi="Times New Roman" w:cs="Times New Roman"/>
          <w:sz w:val="28"/>
          <w:szCs w:val="28"/>
        </w:rPr>
        <w:t xml:space="preserve"> 1984 (3) SA 623 and prefer the version of the respondents. </w:t>
      </w:r>
    </w:p>
    <w:p w:rsidR="00E15BBA" w:rsidRDefault="001B34F2"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A73CC4">
        <w:rPr>
          <w:rFonts w:ascii="Times New Roman" w:hAnsi="Times New Roman" w:cs="Times New Roman"/>
          <w:sz w:val="28"/>
          <w:szCs w:val="28"/>
        </w:rPr>
        <w:t>47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In order for the applicant in the rescission application to show good cause, he must furnish an explanation of his default sufficiently to enable the Court to understand how the default came about and also to assess his conduct and motive. </w:t>
      </w:r>
      <w:r w:rsidRPr="007026F4">
        <w:rPr>
          <w:rFonts w:ascii="Times New Roman" w:hAnsi="Times New Roman" w:cs="Times New Roman"/>
          <w:i/>
          <w:iCs/>
          <w:sz w:val="28"/>
          <w:szCs w:val="28"/>
        </w:rPr>
        <w:t>See</w:t>
      </w:r>
      <w:r>
        <w:rPr>
          <w:rFonts w:ascii="Times New Roman" w:hAnsi="Times New Roman" w:cs="Times New Roman"/>
          <w:sz w:val="28"/>
          <w:szCs w:val="28"/>
        </w:rPr>
        <w:t xml:space="preserve">: </w:t>
      </w:r>
      <w:r w:rsidRPr="007026F4">
        <w:rPr>
          <w:rFonts w:ascii="Times New Roman" w:hAnsi="Times New Roman" w:cs="Times New Roman"/>
          <w:b/>
          <w:bCs/>
          <w:sz w:val="28"/>
          <w:szCs w:val="28"/>
        </w:rPr>
        <w:t>Silber v OzenWholessalers (Pty) Ltd</w:t>
      </w:r>
      <w:r>
        <w:rPr>
          <w:rFonts w:ascii="Times New Roman" w:hAnsi="Times New Roman" w:cs="Times New Roman"/>
          <w:sz w:val="28"/>
          <w:szCs w:val="28"/>
        </w:rPr>
        <w:t xml:space="preserve"> 1954</w:t>
      </w:r>
      <w:r w:rsidR="007026F4">
        <w:rPr>
          <w:rFonts w:ascii="Times New Roman" w:hAnsi="Times New Roman" w:cs="Times New Roman"/>
          <w:sz w:val="28"/>
          <w:szCs w:val="28"/>
        </w:rPr>
        <w:t xml:space="preserve"> (2) SA 345 (AD).  The applicant never bothered to explained why he did not file his affidavit resisting the summary judgment application timeously. He never even saw it fit </w:t>
      </w:r>
      <w:r w:rsidR="007026F4">
        <w:rPr>
          <w:rFonts w:ascii="Times New Roman" w:hAnsi="Times New Roman" w:cs="Times New Roman"/>
          <w:sz w:val="28"/>
          <w:szCs w:val="28"/>
        </w:rPr>
        <w:lastRenderedPageBreak/>
        <w:t>to file a condonation application. This is exacerbated by the fact that the applicant file</w:t>
      </w:r>
      <w:r w:rsidR="00A73CC4">
        <w:rPr>
          <w:rFonts w:ascii="Times New Roman" w:hAnsi="Times New Roman" w:cs="Times New Roman"/>
          <w:sz w:val="28"/>
          <w:szCs w:val="28"/>
        </w:rPr>
        <w:t xml:space="preserve">d </w:t>
      </w:r>
      <w:r w:rsidR="007026F4">
        <w:rPr>
          <w:rFonts w:ascii="Times New Roman" w:hAnsi="Times New Roman" w:cs="Times New Roman"/>
          <w:sz w:val="28"/>
          <w:szCs w:val="28"/>
        </w:rPr>
        <w:t xml:space="preserve">his rescission application only six months after the judgment and the writ came to his notice, still without any explanation. </w:t>
      </w:r>
      <w:r w:rsidR="00E15BBA">
        <w:rPr>
          <w:rFonts w:ascii="Times New Roman" w:hAnsi="Times New Roman" w:cs="Times New Roman"/>
          <w:sz w:val="28"/>
          <w:szCs w:val="28"/>
        </w:rPr>
        <w:t xml:space="preserve">The impression which the applicant wanted to create that he </w:t>
      </w:r>
      <w:r w:rsidR="007026F4">
        <w:rPr>
          <w:rFonts w:ascii="Times New Roman" w:hAnsi="Times New Roman" w:cs="Times New Roman"/>
          <w:sz w:val="28"/>
          <w:szCs w:val="28"/>
        </w:rPr>
        <w:t xml:space="preserve">only knew </w:t>
      </w:r>
      <w:r w:rsidR="00E15BBA">
        <w:rPr>
          <w:rFonts w:ascii="Times New Roman" w:hAnsi="Times New Roman" w:cs="Times New Roman"/>
          <w:sz w:val="28"/>
          <w:szCs w:val="28"/>
        </w:rPr>
        <w:t xml:space="preserve">of the summary judgment and the writ of execution </w:t>
      </w:r>
      <w:r w:rsidR="007026F4">
        <w:rPr>
          <w:rFonts w:ascii="Times New Roman" w:hAnsi="Times New Roman" w:cs="Times New Roman"/>
          <w:sz w:val="28"/>
          <w:szCs w:val="28"/>
        </w:rPr>
        <w:t>after the 14</w:t>
      </w:r>
      <w:r w:rsidR="007026F4" w:rsidRPr="007026F4">
        <w:rPr>
          <w:rFonts w:ascii="Times New Roman" w:hAnsi="Times New Roman" w:cs="Times New Roman"/>
          <w:sz w:val="28"/>
          <w:szCs w:val="28"/>
          <w:vertAlign w:val="superscript"/>
        </w:rPr>
        <w:t>th</w:t>
      </w:r>
      <w:r w:rsidR="007026F4">
        <w:rPr>
          <w:rFonts w:ascii="Times New Roman" w:hAnsi="Times New Roman" w:cs="Times New Roman"/>
          <w:sz w:val="28"/>
          <w:szCs w:val="28"/>
        </w:rPr>
        <w:t xml:space="preserve"> September 2018 </w:t>
      </w:r>
      <w:r w:rsidR="00E15BBA">
        <w:rPr>
          <w:rFonts w:ascii="Times New Roman" w:hAnsi="Times New Roman" w:cs="Times New Roman"/>
          <w:sz w:val="28"/>
          <w:szCs w:val="28"/>
        </w:rPr>
        <w:t xml:space="preserve">quickly </w:t>
      </w:r>
      <w:r w:rsidR="007026F4">
        <w:rPr>
          <w:rFonts w:ascii="Times New Roman" w:hAnsi="Times New Roman" w:cs="Times New Roman"/>
          <w:sz w:val="28"/>
          <w:szCs w:val="28"/>
        </w:rPr>
        <w:t xml:space="preserve">disappeared into nothingness upon interrogation. </w:t>
      </w:r>
    </w:p>
    <w:p w:rsidR="00A73CC4" w:rsidRDefault="00E15BBA"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A73CC4">
        <w:rPr>
          <w:rFonts w:ascii="Times New Roman" w:hAnsi="Times New Roman" w:cs="Times New Roman"/>
          <w:sz w:val="28"/>
          <w:szCs w:val="28"/>
        </w:rPr>
        <w:t>48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Again, I have no basis to find that the applicant has provided a </w:t>
      </w:r>
      <w:r w:rsidRPr="00221CC1">
        <w:rPr>
          <w:rFonts w:ascii="Times New Roman" w:hAnsi="Times New Roman" w:cs="Times New Roman"/>
          <w:i/>
          <w:iCs/>
          <w:sz w:val="28"/>
          <w:szCs w:val="28"/>
        </w:rPr>
        <w:t xml:space="preserve">bona fide </w:t>
      </w:r>
      <w:r>
        <w:rPr>
          <w:rFonts w:ascii="Times New Roman" w:hAnsi="Times New Roman" w:cs="Times New Roman"/>
          <w:sz w:val="28"/>
          <w:szCs w:val="28"/>
        </w:rPr>
        <w:t xml:space="preserve">defence when he has not denied that he entered into a loan agreement with the first respondent and in view of damning uncontroverted evidence that he undertook to pay the first respondent‘s claim at the time he asked the second respondent not to remove the tractor after attachment. </w:t>
      </w:r>
      <w:r w:rsidR="00221CC1">
        <w:rPr>
          <w:rFonts w:ascii="Times New Roman" w:hAnsi="Times New Roman" w:cs="Times New Roman"/>
          <w:sz w:val="28"/>
          <w:szCs w:val="28"/>
        </w:rPr>
        <w:t xml:space="preserve">The </w:t>
      </w:r>
      <w:r w:rsidR="00A73CC4">
        <w:rPr>
          <w:rFonts w:ascii="Times New Roman" w:hAnsi="Times New Roman" w:cs="Times New Roman"/>
          <w:sz w:val="28"/>
          <w:szCs w:val="28"/>
        </w:rPr>
        <w:t xml:space="preserve">particulars of claim </w:t>
      </w:r>
      <w:r w:rsidR="00221CC1">
        <w:rPr>
          <w:rFonts w:ascii="Times New Roman" w:hAnsi="Times New Roman" w:cs="Times New Roman"/>
          <w:sz w:val="28"/>
          <w:szCs w:val="28"/>
        </w:rPr>
        <w:t xml:space="preserve">and the loan agreement attached thereto, together with the answering affidavit from the first respondent provides a detailed account of how the debt and liability came about. </w:t>
      </w:r>
    </w:p>
    <w:p w:rsidR="00536D05" w:rsidRDefault="00A73CC4"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r>
      <w:r>
        <w:rPr>
          <w:rFonts w:ascii="Times New Roman" w:hAnsi="Times New Roman" w:cs="Times New Roman"/>
          <w:sz w:val="28"/>
          <w:szCs w:val="28"/>
        </w:rPr>
        <w:tab/>
      </w:r>
      <w:r w:rsidR="00221CC1">
        <w:rPr>
          <w:rFonts w:ascii="Times New Roman" w:hAnsi="Times New Roman" w:cs="Times New Roman"/>
          <w:sz w:val="28"/>
          <w:szCs w:val="28"/>
        </w:rPr>
        <w:t xml:space="preserve">I therefore find that the applicant has not disclosed the basis of his defence and that whatever his contention is, he does not have prospects of success in the trial. </w:t>
      </w:r>
      <w:r w:rsidR="00C24616">
        <w:rPr>
          <w:rFonts w:ascii="Times New Roman" w:hAnsi="Times New Roman" w:cs="Times New Roman"/>
          <w:sz w:val="28"/>
          <w:szCs w:val="28"/>
        </w:rPr>
        <w:t xml:space="preserve">The applicant cannot say he never applied for a loan or overdraft </w:t>
      </w:r>
      <w:r w:rsidR="00E244FF">
        <w:rPr>
          <w:rFonts w:ascii="Times New Roman" w:hAnsi="Times New Roman" w:cs="Times New Roman"/>
          <w:sz w:val="28"/>
          <w:szCs w:val="28"/>
        </w:rPr>
        <w:t xml:space="preserve">and remain conspicuously silent about the loan agreement which is annexed to the particulars of claim. He equally decided not to file a replying affidavit to denounce his application letter for a loan as well an extract from the ledger showing his liability. On what basis do I then say that the applicant has a </w:t>
      </w:r>
      <w:r w:rsidR="00E244FF" w:rsidRPr="00536D05">
        <w:rPr>
          <w:rFonts w:ascii="Times New Roman" w:hAnsi="Times New Roman" w:cs="Times New Roman"/>
          <w:i/>
          <w:iCs/>
          <w:sz w:val="28"/>
          <w:szCs w:val="28"/>
        </w:rPr>
        <w:t>bona fide</w:t>
      </w:r>
      <w:r w:rsidR="001712D6">
        <w:rPr>
          <w:rFonts w:ascii="Times New Roman" w:hAnsi="Times New Roman" w:cs="Times New Roman"/>
          <w:i/>
          <w:iCs/>
          <w:sz w:val="28"/>
          <w:szCs w:val="28"/>
        </w:rPr>
        <w:t xml:space="preserve"> </w:t>
      </w:r>
      <w:r w:rsidR="00E244FF">
        <w:rPr>
          <w:rFonts w:ascii="Times New Roman" w:hAnsi="Times New Roman" w:cs="Times New Roman"/>
          <w:sz w:val="28"/>
          <w:szCs w:val="28"/>
        </w:rPr>
        <w:t>defence?</w:t>
      </w:r>
    </w:p>
    <w:p w:rsidR="00CB399D" w:rsidRDefault="00E244FF"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A73CC4">
        <w:rPr>
          <w:rFonts w:ascii="Times New Roman" w:hAnsi="Times New Roman" w:cs="Times New Roman"/>
          <w:sz w:val="28"/>
          <w:szCs w:val="28"/>
        </w:rPr>
        <w:t>50</w:t>
      </w:r>
      <w:r w:rsidR="00536D05">
        <w:rPr>
          <w:rFonts w:ascii="Times New Roman" w:hAnsi="Times New Roman" w:cs="Times New Roman"/>
          <w:sz w:val="28"/>
          <w:szCs w:val="28"/>
        </w:rPr>
        <w:t>]</w:t>
      </w:r>
      <w:r w:rsidR="00536D05">
        <w:rPr>
          <w:rFonts w:ascii="Times New Roman" w:hAnsi="Times New Roman" w:cs="Times New Roman"/>
          <w:sz w:val="28"/>
          <w:szCs w:val="28"/>
        </w:rPr>
        <w:tab/>
      </w:r>
      <w:r w:rsidR="00536D05">
        <w:rPr>
          <w:rFonts w:ascii="Times New Roman" w:hAnsi="Times New Roman" w:cs="Times New Roman"/>
          <w:sz w:val="28"/>
          <w:szCs w:val="28"/>
        </w:rPr>
        <w:tab/>
      </w:r>
      <w:r w:rsidR="00124A1E">
        <w:rPr>
          <w:rFonts w:ascii="Times New Roman" w:hAnsi="Times New Roman" w:cs="Times New Roman"/>
          <w:sz w:val="28"/>
          <w:szCs w:val="28"/>
        </w:rPr>
        <w:t xml:space="preserve">In the result, the applicant has not shown that he is entitled to rescission in terms of Rule 45(1) and he has not shown good </w:t>
      </w:r>
      <w:r w:rsidR="00536D05">
        <w:rPr>
          <w:rFonts w:ascii="Times New Roman" w:hAnsi="Times New Roman" w:cs="Times New Roman"/>
          <w:sz w:val="28"/>
          <w:szCs w:val="28"/>
        </w:rPr>
        <w:t>c</w:t>
      </w:r>
      <w:r w:rsidR="00124A1E">
        <w:rPr>
          <w:rFonts w:ascii="Times New Roman" w:hAnsi="Times New Roman" w:cs="Times New Roman"/>
          <w:sz w:val="28"/>
          <w:szCs w:val="28"/>
        </w:rPr>
        <w:t xml:space="preserve">ause for rescission order under common law. </w:t>
      </w:r>
    </w:p>
    <w:p w:rsidR="0005233D" w:rsidRDefault="00CB399D"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w:t>
      </w:r>
      <w:r w:rsidR="00A73CC4">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124A1E">
        <w:rPr>
          <w:rFonts w:ascii="Times New Roman" w:hAnsi="Times New Roman" w:cs="Times New Roman"/>
          <w:sz w:val="28"/>
          <w:szCs w:val="28"/>
        </w:rPr>
        <w:t>I</w:t>
      </w:r>
      <w:r w:rsidR="00536D05">
        <w:rPr>
          <w:rFonts w:ascii="Times New Roman" w:hAnsi="Times New Roman" w:cs="Times New Roman"/>
          <w:sz w:val="28"/>
          <w:szCs w:val="28"/>
        </w:rPr>
        <w:t xml:space="preserve"> have been asked to award costs on attorney and client scale and I am inclined to do just that. The application for stay of execution and rescission is frivolous and manifestly inappropriate – it is devoid of any </w:t>
      </w:r>
      <w:r w:rsidR="00536D05" w:rsidRPr="00536D05">
        <w:rPr>
          <w:rFonts w:ascii="Times New Roman" w:hAnsi="Times New Roman" w:cs="Times New Roman"/>
          <w:i/>
          <w:iCs/>
          <w:sz w:val="28"/>
          <w:szCs w:val="28"/>
        </w:rPr>
        <w:t xml:space="preserve">bona fides. </w:t>
      </w:r>
      <w:r w:rsidR="00536D05">
        <w:rPr>
          <w:rFonts w:ascii="Times New Roman" w:hAnsi="Times New Roman" w:cs="Times New Roman"/>
          <w:sz w:val="28"/>
          <w:szCs w:val="28"/>
        </w:rPr>
        <w:t xml:space="preserve">The applicant insisted that he never applied for a loan or overdraft from the first respondent </w:t>
      </w:r>
      <w:r>
        <w:rPr>
          <w:rFonts w:ascii="Times New Roman" w:hAnsi="Times New Roman" w:cs="Times New Roman"/>
          <w:sz w:val="28"/>
          <w:szCs w:val="28"/>
        </w:rPr>
        <w:t>even when the</w:t>
      </w:r>
      <w:r w:rsidR="00536D05">
        <w:rPr>
          <w:rFonts w:ascii="Times New Roman" w:hAnsi="Times New Roman" w:cs="Times New Roman"/>
          <w:sz w:val="28"/>
          <w:szCs w:val="28"/>
        </w:rPr>
        <w:t xml:space="preserve"> loan agreement </w:t>
      </w:r>
      <w:r>
        <w:rPr>
          <w:rFonts w:ascii="Times New Roman" w:hAnsi="Times New Roman" w:cs="Times New Roman"/>
          <w:sz w:val="28"/>
          <w:szCs w:val="28"/>
        </w:rPr>
        <w:t xml:space="preserve">is </w:t>
      </w:r>
      <w:r w:rsidR="00536D05">
        <w:rPr>
          <w:rFonts w:ascii="Times New Roman" w:hAnsi="Times New Roman" w:cs="Times New Roman"/>
          <w:sz w:val="28"/>
          <w:szCs w:val="28"/>
        </w:rPr>
        <w:t xml:space="preserve">annexed to the summons, which he never denounced. </w:t>
      </w:r>
    </w:p>
    <w:p w:rsidR="0005233D" w:rsidRDefault="0005233D"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Pr>
          <w:rFonts w:ascii="Times New Roman" w:hAnsi="Times New Roman" w:cs="Times New Roman"/>
          <w:sz w:val="28"/>
          <w:szCs w:val="28"/>
        </w:rPr>
        <w:tab/>
      </w:r>
      <w:r w:rsidR="00536D05">
        <w:rPr>
          <w:rFonts w:ascii="Times New Roman" w:hAnsi="Times New Roman" w:cs="Times New Roman"/>
          <w:sz w:val="28"/>
          <w:szCs w:val="28"/>
        </w:rPr>
        <w:t>It remains uncontroverted that the applicant undertook to pay the second respondent at the time that his tractor was attached by the second respondent, which he never did. Rather</w:t>
      </w:r>
      <w:r w:rsidR="001E5002">
        <w:rPr>
          <w:rFonts w:ascii="Times New Roman" w:hAnsi="Times New Roman" w:cs="Times New Roman"/>
          <w:sz w:val="28"/>
          <w:szCs w:val="28"/>
        </w:rPr>
        <w:t xml:space="preserve">, </w:t>
      </w:r>
      <w:r w:rsidR="00536D05">
        <w:rPr>
          <w:rFonts w:ascii="Times New Roman" w:hAnsi="Times New Roman" w:cs="Times New Roman"/>
          <w:sz w:val="28"/>
          <w:szCs w:val="28"/>
        </w:rPr>
        <w:t xml:space="preserve">he launched the application for rescission purely to frustrate </w:t>
      </w:r>
      <w:r w:rsidR="00CB399D">
        <w:rPr>
          <w:rFonts w:ascii="Times New Roman" w:hAnsi="Times New Roman" w:cs="Times New Roman"/>
          <w:sz w:val="28"/>
          <w:szCs w:val="28"/>
        </w:rPr>
        <w:t xml:space="preserve">enforcement </w:t>
      </w:r>
      <w:r w:rsidR="00536D05">
        <w:rPr>
          <w:rFonts w:ascii="Times New Roman" w:hAnsi="Times New Roman" w:cs="Times New Roman"/>
          <w:sz w:val="28"/>
          <w:szCs w:val="28"/>
        </w:rPr>
        <w:t xml:space="preserve">of the writ of execution. </w:t>
      </w:r>
      <w:r w:rsidR="00CB399D">
        <w:rPr>
          <w:rFonts w:ascii="Times New Roman" w:hAnsi="Times New Roman" w:cs="Times New Roman"/>
          <w:sz w:val="28"/>
          <w:szCs w:val="28"/>
        </w:rPr>
        <w:t xml:space="preserve">The first respondent was unnecessarily made to incur legal costs in opposing this frivolous application. </w:t>
      </w:r>
      <w:r>
        <w:rPr>
          <w:rFonts w:ascii="Times New Roman" w:hAnsi="Times New Roman" w:cs="Times New Roman"/>
          <w:sz w:val="28"/>
          <w:szCs w:val="28"/>
        </w:rPr>
        <w:t xml:space="preserve">The applicant has clearly engaged in frivolities with the sole aim of frustrating execution of his property. He surely cannot be allowed to drag the Court along with him. </w:t>
      </w:r>
    </w:p>
    <w:p w:rsidR="001E5002" w:rsidRDefault="001E5002" w:rsidP="008A03ED">
      <w:pPr>
        <w:spacing w:after="0" w:line="480" w:lineRule="auto"/>
        <w:jc w:val="both"/>
        <w:rPr>
          <w:rFonts w:ascii="Times New Roman" w:hAnsi="Times New Roman" w:cs="Times New Roman"/>
          <w:sz w:val="28"/>
          <w:szCs w:val="28"/>
        </w:rPr>
      </w:pPr>
    </w:p>
    <w:p w:rsidR="0005233D" w:rsidRPr="001E5002" w:rsidRDefault="0005233D" w:rsidP="008A03ED">
      <w:pPr>
        <w:spacing w:after="0" w:line="480" w:lineRule="auto"/>
        <w:jc w:val="both"/>
        <w:rPr>
          <w:rFonts w:ascii="Times New Roman" w:hAnsi="Times New Roman" w:cs="Times New Roman"/>
          <w:b/>
          <w:bCs/>
          <w:sz w:val="28"/>
          <w:szCs w:val="28"/>
          <w:u w:val="single"/>
        </w:rPr>
      </w:pPr>
      <w:r w:rsidRPr="0005233D">
        <w:rPr>
          <w:rFonts w:ascii="Times New Roman" w:hAnsi="Times New Roman" w:cs="Times New Roman"/>
          <w:b/>
          <w:bCs/>
          <w:sz w:val="28"/>
          <w:szCs w:val="28"/>
          <w:u w:val="single"/>
        </w:rPr>
        <w:t>ORDER:</w:t>
      </w:r>
    </w:p>
    <w:p w:rsidR="0005233D" w:rsidRDefault="0005233D" w:rsidP="008A03E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Pr>
          <w:rFonts w:ascii="Times New Roman" w:hAnsi="Times New Roman" w:cs="Times New Roman"/>
          <w:sz w:val="28"/>
          <w:szCs w:val="28"/>
        </w:rPr>
        <w:tab/>
      </w:r>
      <w:r w:rsidR="00395A5F">
        <w:rPr>
          <w:rFonts w:ascii="Times New Roman" w:hAnsi="Times New Roman" w:cs="Times New Roman"/>
          <w:sz w:val="28"/>
          <w:szCs w:val="28"/>
        </w:rPr>
        <w:t xml:space="preserve">On the basis of the foregoing, </w:t>
      </w:r>
      <w:r>
        <w:rPr>
          <w:rFonts w:ascii="Times New Roman" w:hAnsi="Times New Roman" w:cs="Times New Roman"/>
          <w:sz w:val="28"/>
          <w:szCs w:val="28"/>
        </w:rPr>
        <w:t>I make the following order:</w:t>
      </w:r>
    </w:p>
    <w:p w:rsidR="0005233D" w:rsidRDefault="0007466D" w:rsidP="0005233D">
      <w:pPr>
        <w:pStyle w:val="ListParagraph"/>
        <w:numPr>
          <w:ilvl w:val="0"/>
          <w:numId w:val="16"/>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00395A5F">
        <w:rPr>
          <w:rFonts w:ascii="Times New Roman" w:hAnsi="Times New Roman" w:cs="Times New Roman"/>
          <w:sz w:val="28"/>
          <w:szCs w:val="28"/>
        </w:rPr>
        <w:t xml:space="preserve">he application for stay of execution and rescission of judgement in CCT/0421/17 is dismissed with costs on attorney and client scale. </w:t>
      </w:r>
    </w:p>
    <w:p w:rsidR="00FE2F0C" w:rsidRDefault="00FE2F0C" w:rsidP="00FE2F0C">
      <w:pPr>
        <w:pStyle w:val="ListParagraph"/>
        <w:spacing w:after="0" w:line="480" w:lineRule="auto"/>
        <w:ind w:left="1800"/>
        <w:jc w:val="both"/>
        <w:rPr>
          <w:rFonts w:ascii="Times New Roman" w:hAnsi="Times New Roman" w:cs="Times New Roman"/>
          <w:sz w:val="28"/>
          <w:szCs w:val="28"/>
        </w:rPr>
      </w:pPr>
    </w:p>
    <w:p w:rsidR="001156A8" w:rsidRPr="001156A8" w:rsidRDefault="001156A8" w:rsidP="001156A8">
      <w:pPr>
        <w:pStyle w:val="NoSpacing"/>
        <w:jc w:val="center"/>
        <w:rPr>
          <w:rFonts w:ascii="Times New Roman" w:hAnsi="Times New Roman" w:cs="Times New Roman"/>
          <w:sz w:val="28"/>
          <w:szCs w:val="28"/>
        </w:rPr>
      </w:pPr>
      <w:r w:rsidRPr="001156A8">
        <w:rPr>
          <w:rFonts w:ascii="Times New Roman" w:hAnsi="Times New Roman" w:cs="Times New Roman"/>
          <w:sz w:val="28"/>
          <w:szCs w:val="28"/>
        </w:rPr>
        <w:t>_______________________</w:t>
      </w:r>
    </w:p>
    <w:p w:rsidR="001156A8" w:rsidRPr="001156A8" w:rsidRDefault="001156A8" w:rsidP="001156A8">
      <w:pPr>
        <w:pStyle w:val="NoSpacing"/>
        <w:jc w:val="center"/>
        <w:rPr>
          <w:rFonts w:ascii="Times New Roman" w:hAnsi="Times New Roman" w:cs="Times New Roman"/>
          <w:sz w:val="28"/>
          <w:szCs w:val="28"/>
        </w:rPr>
      </w:pPr>
      <w:r w:rsidRPr="001156A8">
        <w:rPr>
          <w:rFonts w:ascii="Times New Roman" w:hAnsi="Times New Roman" w:cs="Times New Roman"/>
          <w:sz w:val="28"/>
          <w:szCs w:val="28"/>
        </w:rPr>
        <w:t>R. MATHABA</w:t>
      </w:r>
    </w:p>
    <w:p w:rsidR="001156A8" w:rsidRPr="001156A8" w:rsidRDefault="001156A8" w:rsidP="001156A8">
      <w:pPr>
        <w:pStyle w:val="NoSpacing"/>
        <w:jc w:val="center"/>
        <w:rPr>
          <w:rFonts w:ascii="Times New Roman" w:hAnsi="Times New Roman" w:cs="Times New Roman"/>
          <w:sz w:val="28"/>
          <w:szCs w:val="28"/>
        </w:rPr>
      </w:pPr>
      <w:r w:rsidRPr="001156A8">
        <w:rPr>
          <w:rFonts w:ascii="Times New Roman" w:hAnsi="Times New Roman" w:cs="Times New Roman"/>
          <w:sz w:val="28"/>
          <w:szCs w:val="28"/>
        </w:rPr>
        <w:t>Judge of the High Court</w:t>
      </w:r>
    </w:p>
    <w:p w:rsidR="001156A8" w:rsidRDefault="001156A8" w:rsidP="00395A5F">
      <w:pPr>
        <w:spacing w:after="0" w:line="480" w:lineRule="auto"/>
        <w:jc w:val="both"/>
        <w:rPr>
          <w:rFonts w:ascii="Times New Roman" w:hAnsi="Times New Roman" w:cs="Times New Roman"/>
          <w:sz w:val="28"/>
          <w:szCs w:val="28"/>
        </w:rPr>
      </w:pPr>
    </w:p>
    <w:p w:rsidR="00395A5F" w:rsidRDefault="00395A5F" w:rsidP="00395A5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For the Applicant:  </w:t>
      </w:r>
      <w:r w:rsidR="009E7BE3">
        <w:rPr>
          <w:rFonts w:ascii="Times New Roman" w:hAnsi="Times New Roman" w:cs="Times New Roman"/>
          <w:sz w:val="28"/>
          <w:szCs w:val="28"/>
        </w:rPr>
        <w:tab/>
      </w:r>
      <w:r w:rsidR="009E7BE3">
        <w:rPr>
          <w:rFonts w:ascii="Times New Roman" w:hAnsi="Times New Roman" w:cs="Times New Roman"/>
          <w:sz w:val="28"/>
          <w:szCs w:val="28"/>
        </w:rPr>
        <w:tab/>
      </w:r>
      <w:r>
        <w:rPr>
          <w:rFonts w:ascii="Times New Roman" w:hAnsi="Times New Roman" w:cs="Times New Roman"/>
          <w:sz w:val="28"/>
          <w:szCs w:val="28"/>
        </w:rPr>
        <w:t>Mr. R.D Setlojoane</w:t>
      </w:r>
    </w:p>
    <w:p w:rsidR="00395A5F" w:rsidRPr="00395A5F" w:rsidRDefault="00395A5F" w:rsidP="00395A5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For the First Respondent:</w:t>
      </w:r>
      <w:r w:rsidR="0007466D">
        <w:rPr>
          <w:rFonts w:ascii="Times New Roman" w:hAnsi="Times New Roman" w:cs="Times New Roman"/>
          <w:sz w:val="28"/>
          <w:szCs w:val="28"/>
        </w:rPr>
        <w:t xml:space="preserve"> </w:t>
      </w:r>
      <w:r>
        <w:rPr>
          <w:rFonts w:ascii="Times New Roman" w:hAnsi="Times New Roman" w:cs="Times New Roman"/>
          <w:sz w:val="28"/>
          <w:szCs w:val="28"/>
        </w:rPr>
        <w:t xml:space="preserve"> </w:t>
      </w:r>
      <w:r w:rsidR="009E7BE3">
        <w:rPr>
          <w:rFonts w:ascii="Times New Roman" w:hAnsi="Times New Roman" w:cs="Times New Roman"/>
          <w:sz w:val="28"/>
          <w:szCs w:val="28"/>
        </w:rPr>
        <w:tab/>
      </w:r>
      <w:r>
        <w:rPr>
          <w:rFonts w:ascii="Times New Roman" w:hAnsi="Times New Roman" w:cs="Times New Roman"/>
          <w:sz w:val="28"/>
          <w:szCs w:val="28"/>
        </w:rPr>
        <w:t xml:space="preserve">Mr. </w:t>
      </w:r>
      <w:r w:rsidR="00537804">
        <w:rPr>
          <w:rFonts w:ascii="Times New Roman" w:hAnsi="Times New Roman" w:cs="Times New Roman"/>
          <w:sz w:val="28"/>
          <w:szCs w:val="28"/>
        </w:rPr>
        <w:t xml:space="preserve">E.T </w:t>
      </w:r>
      <w:r>
        <w:rPr>
          <w:rFonts w:ascii="Times New Roman" w:hAnsi="Times New Roman" w:cs="Times New Roman"/>
          <w:sz w:val="28"/>
          <w:szCs w:val="28"/>
        </w:rPr>
        <w:t>Fiee</w:t>
      </w:r>
    </w:p>
    <w:sectPr w:rsidR="00395A5F" w:rsidRPr="00395A5F" w:rsidSect="00A052F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F35" w:rsidRDefault="005A0F35" w:rsidP="00D54756">
      <w:pPr>
        <w:spacing w:after="0" w:line="240" w:lineRule="auto"/>
      </w:pPr>
      <w:r>
        <w:separator/>
      </w:r>
    </w:p>
  </w:endnote>
  <w:endnote w:type="continuationSeparator" w:id="0">
    <w:p w:rsidR="005A0F35" w:rsidRDefault="005A0F35" w:rsidP="00D5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993855"/>
      <w:docPartObj>
        <w:docPartGallery w:val="Page Numbers (Bottom of Page)"/>
        <w:docPartUnique/>
      </w:docPartObj>
    </w:sdtPr>
    <w:sdtEndPr>
      <w:rPr>
        <w:noProof/>
      </w:rPr>
    </w:sdtEndPr>
    <w:sdtContent>
      <w:p w:rsidR="00000825" w:rsidRDefault="004035E1">
        <w:pPr>
          <w:pStyle w:val="Footer"/>
          <w:jc w:val="right"/>
        </w:pPr>
        <w:r>
          <w:fldChar w:fldCharType="begin"/>
        </w:r>
        <w:r w:rsidR="00000825">
          <w:instrText xml:space="preserve"> PAGE   \* MERGEFORMAT </w:instrText>
        </w:r>
        <w:r>
          <w:fldChar w:fldCharType="separate"/>
        </w:r>
        <w:r w:rsidR="001545FD">
          <w:rPr>
            <w:noProof/>
          </w:rPr>
          <w:t>1</w:t>
        </w:r>
        <w:r>
          <w:rPr>
            <w:noProof/>
          </w:rPr>
          <w:fldChar w:fldCharType="end"/>
        </w:r>
      </w:p>
    </w:sdtContent>
  </w:sdt>
  <w:p w:rsidR="00000825" w:rsidRDefault="00000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F35" w:rsidRDefault="005A0F35" w:rsidP="00D54756">
      <w:pPr>
        <w:spacing w:after="0" w:line="240" w:lineRule="auto"/>
      </w:pPr>
      <w:r>
        <w:separator/>
      </w:r>
    </w:p>
  </w:footnote>
  <w:footnote w:type="continuationSeparator" w:id="0">
    <w:p w:rsidR="005A0F35" w:rsidRDefault="005A0F35" w:rsidP="00D54756">
      <w:pPr>
        <w:spacing w:after="0" w:line="240" w:lineRule="auto"/>
      </w:pPr>
      <w:r>
        <w:continuationSeparator/>
      </w:r>
    </w:p>
  </w:footnote>
  <w:footnote w:id="1">
    <w:p w:rsidR="00000825" w:rsidRDefault="00000825">
      <w:pPr>
        <w:pStyle w:val="FootnoteText"/>
      </w:pPr>
      <w:r>
        <w:rPr>
          <w:rStyle w:val="FootnoteReference"/>
        </w:rPr>
        <w:footnoteRef/>
      </w:r>
      <w:r>
        <w:t xml:space="preserve"> High Court Rules 1980</w:t>
      </w:r>
    </w:p>
  </w:footnote>
  <w:footnote w:id="2">
    <w:p w:rsidR="00000825" w:rsidRDefault="00000825" w:rsidP="00901867">
      <w:pPr>
        <w:pStyle w:val="FootnoteText"/>
        <w:rPr>
          <w:rFonts w:ascii="Calibri" w:eastAsia="Calibri" w:hAnsi="Calibri"/>
          <w:lang w:val="en-GB"/>
        </w:rPr>
      </w:pPr>
      <w:r>
        <w:rPr>
          <w:rStyle w:val="FootnoteReference"/>
        </w:rPr>
        <w:footnoteRef/>
      </w:r>
      <w:r>
        <w:rPr>
          <w:lang w:val="en-GB"/>
        </w:rPr>
        <w:t>Case number C of A (CIV) No.16A/16 at page 17 para 28</w:t>
      </w:r>
      <w:r w:rsidR="001D4A9B">
        <w:rPr>
          <w:lang w:val="en-GB"/>
        </w:rPr>
        <w:t>.</w:t>
      </w:r>
    </w:p>
  </w:footnote>
  <w:footnote w:id="3">
    <w:p w:rsidR="00000825" w:rsidRDefault="00000825">
      <w:pPr>
        <w:pStyle w:val="FootnoteText"/>
      </w:pPr>
      <w:r>
        <w:rPr>
          <w:rStyle w:val="FootnoteReference"/>
        </w:rPr>
        <w:footnoteRef/>
      </w:r>
      <w:r>
        <w:t xml:space="preserve"> Case No 18524/2015, Gauteng Local Division (accessed on www. Saflii.org)</w:t>
      </w:r>
    </w:p>
  </w:footnote>
  <w:footnote w:id="4">
    <w:p w:rsidR="00000825" w:rsidRPr="00C12964" w:rsidRDefault="00000825">
      <w:pPr>
        <w:pStyle w:val="FootnoteText"/>
        <w:rPr>
          <w:lang w:val="en-GB"/>
        </w:rPr>
      </w:pPr>
      <w:r>
        <w:rPr>
          <w:rStyle w:val="FootnoteReference"/>
        </w:rPr>
        <w:footnoteRef/>
      </w:r>
      <w:r>
        <w:rPr>
          <w:lang w:val="en-GB"/>
        </w:rPr>
        <w:t>1966(1) SA 613 (A) at 618 B; Morris v Autoquip (Pty) Ltd 1985 (4) SA 398 (WLD; First National Bank of SA Ltd v Myburgh and Another 2002 (4) SA 176 (CPD)</w:t>
      </w:r>
    </w:p>
  </w:footnote>
  <w:footnote w:id="5">
    <w:p w:rsidR="00000825" w:rsidRPr="000E22F0" w:rsidRDefault="00000825">
      <w:pPr>
        <w:pStyle w:val="FootnoteText"/>
        <w:rPr>
          <w:i/>
          <w:iCs/>
          <w:lang w:val="en-GB"/>
        </w:rPr>
      </w:pPr>
      <w:r>
        <w:rPr>
          <w:rStyle w:val="FootnoteReference"/>
        </w:rPr>
        <w:footnoteRef/>
      </w:r>
      <w:r>
        <w:rPr>
          <w:lang w:val="en-GB"/>
        </w:rPr>
        <w:t xml:space="preserve">Olaf Leen, </w:t>
      </w:r>
      <w:r w:rsidRPr="000E22F0">
        <w:rPr>
          <w:i/>
          <w:iCs/>
          <w:lang w:val="en-GB"/>
        </w:rPr>
        <w:t xml:space="preserve">supra. </w:t>
      </w:r>
    </w:p>
  </w:footnote>
  <w:footnote w:id="6">
    <w:p w:rsidR="00000825" w:rsidRDefault="00000825" w:rsidP="0079229F">
      <w:pPr>
        <w:pStyle w:val="FootnoteText"/>
        <w:rPr>
          <w:rFonts w:ascii="Calibri" w:eastAsia="Calibri" w:hAnsi="Calibri"/>
          <w:lang w:val="en-GB"/>
        </w:rPr>
      </w:pPr>
      <w:r>
        <w:rPr>
          <w:rStyle w:val="FootnoteReference"/>
        </w:rPr>
        <w:footnoteRef/>
      </w:r>
      <w:r>
        <w:rPr>
          <w:lang w:val="en-GB"/>
        </w:rPr>
        <w:t xml:space="preserve">1992 </w:t>
      </w:r>
      <w:r w:rsidR="001562B7">
        <w:rPr>
          <w:lang w:val="en-GB"/>
        </w:rPr>
        <w:t xml:space="preserve">(4) </w:t>
      </w:r>
      <w:r>
        <w:rPr>
          <w:lang w:val="en-GB"/>
        </w:rPr>
        <w:t>SA  852 at 863 J AD</w:t>
      </w:r>
    </w:p>
  </w:footnote>
  <w:footnote w:id="7">
    <w:p w:rsidR="00000825" w:rsidRDefault="00000825" w:rsidP="0079229F">
      <w:pPr>
        <w:pStyle w:val="FootnoteText"/>
        <w:rPr>
          <w:lang w:val="en-GB"/>
        </w:rPr>
      </w:pPr>
      <w:r>
        <w:rPr>
          <w:rStyle w:val="FootnoteReference"/>
        </w:rPr>
        <w:footnoteRef/>
      </w:r>
      <w:r>
        <w:rPr>
          <w:lang w:val="en-GB"/>
        </w:rPr>
        <w:t>1998 (1) SA 697 at 702 G-H/I) (TPD)</w:t>
      </w:r>
    </w:p>
  </w:footnote>
  <w:footnote w:id="8">
    <w:p w:rsidR="00000825" w:rsidRDefault="00000825" w:rsidP="0079229F">
      <w:pPr>
        <w:pStyle w:val="FootnoteText"/>
        <w:rPr>
          <w:lang w:val="en-GB"/>
        </w:rPr>
      </w:pPr>
      <w:r>
        <w:rPr>
          <w:rStyle w:val="FootnoteReference"/>
        </w:rPr>
        <w:footnoteRef/>
      </w:r>
      <w:r>
        <w:t xml:space="preserve"> [2003] 2 All SA 113 at 116 para [5] (SCA)</w:t>
      </w:r>
    </w:p>
  </w:footnote>
  <w:footnote w:id="9">
    <w:p w:rsidR="00000825" w:rsidRDefault="00000825" w:rsidP="0079229F">
      <w:pPr>
        <w:pStyle w:val="FootnoteText"/>
        <w:rPr>
          <w:lang w:val="en-GB"/>
        </w:rPr>
      </w:pPr>
      <w:r>
        <w:rPr>
          <w:rStyle w:val="FootnoteReference"/>
        </w:rPr>
        <w:footnoteRef/>
      </w:r>
      <w:r>
        <w:rPr>
          <w:lang w:val="en-GB"/>
        </w:rPr>
        <w:t>Case No: 73759/17 at page 7 to 8</w:t>
      </w:r>
      <w:r w:rsidR="00F32157">
        <w:rPr>
          <w:lang w:val="en-GB"/>
        </w:rPr>
        <w:t>.</w:t>
      </w:r>
    </w:p>
  </w:footnote>
  <w:footnote w:id="10">
    <w:p w:rsidR="00000825" w:rsidRPr="00AF6A6B" w:rsidRDefault="00000825">
      <w:pPr>
        <w:pStyle w:val="FootnoteText"/>
        <w:rPr>
          <w:lang w:val="en-GB"/>
        </w:rPr>
      </w:pPr>
      <w:r>
        <w:rPr>
          <w:rStyle w:val="FootnoteReference"/>
        </w:rPr>
        <w:footnoteRef/>
      </w:r>
      <w:r>
        <w:rPr>
          <w:lang w:val="en-GB"/>
        </w:rPr>
        <w:t>FNB v Meyburgh 2002 (4) SA 176 (E) at para [9] and [10].</w:t>
      </w:r>
    </w:p>
  </w:footnote>
  <w:footnote w:id="11">
    <w:p w:rsidR="00000825" w:rsidRPr="00AF6A6B" w:rsidRDefault="00000825">
      <w:pPr>
        <w:pStyle w:val="FootnoteText"/>
        <w:rPr>
          <w:lang w:val="en-GB"/>
        </w:rPr>
      </w:pPr>
      <w:r>
        <w:rPr>
          <w:rStyle w:val="FootnoteReference"/>
        </w:rPr>
        <w:footnoteRef/>
      </w:r>
      <w:r>
        <w:rPr>
          <w:lang w:val="en-GB"/>
        </w:rPr>
        <w:t>Rule 28 (3)</w:t>
      </w:r>
    </w:p>
  </w:footnote>
  <w:footnote w:id="12">
    <w:p w:rsidR="00000825" w:rsidRPr="004677A3" w:rsidRDefault="00000825">
      <w:pPr>
        <w:pStyle w:val="FootnoteText"/>
        <w:rPr>
          <w:lang w:val="en-GB"/>
        </w:rPr>
      </w:pPr>
      <w:r>
        <w:rPr>
          <w:rStyle w:val="FootnoteReference"/>
        </w:rPr>
        <w:footnoteRef/>
      </w:r>
      <w:r>
        <w:rPr>
          <w:lang w:val="en-GB"/>
        </w:rPr>
        <w:t>1976 (1) SA 418 (A) at 426 A- D</w:t>
      </w:r>
    </w:p>
  </w:footnote>
  <w:footnote w:id="13">
    <w:p w:rsidR="00000825" w:rsidRPr="00477C88" w:rsidRDefault="00000825">
      <w:pPr>
        <w:pStyle w:val="FootnoteText"/>
        <w:rPr>
          <w:lang w:val="en-GB"/>
        </w:rPr>
      </w:pPr>
      <w:r>
        <w:rPr>
          <w:rStyle w:val="FootnoteReference"/>
        </w:rPr>
        <w:footnoteRef/>
      </w:r>
      <w:r>
        <w:rPr>
          <w:lang w:val="en-GB"/>
        </w:rPr>
        <w:t>2009 (5) (SCA) at 31</w:t>
      </w:r>
    </w:p>
  </w:footnote>
  <w:footnote w:id="14">
    <w:p w:rsidR="00000825" w:rsidRPr="00E136D9" w:rsidRDefault="00000825" w:rsidP="003204DF">
      <w:pPr>
        <w:pStyle w:val="FootnoteText"/>
        <w:rPr>
          <w:lang w:val="en-GB"/>
        </w:rPr>
      </w:pPr>
      <w:r>
        <w:rPr>
          <w:rStyle w:val="FootnoteReference"/>
        </w:rPr>
        <w:footnoteRef/>
      </w:r>
      <w:r>
        <w:rPr>
          <w:lang w:val="en-GB"/>
        </w:rPr>
        <w:t>De Wet v Western Bank Ltd 1977 (4) SA 770 (T) at 780H-781A; Mutebwa v Mutebwa 2001(2)SA 193 (TkHC) at paras 11 and 12; CGM Industrial (Pty) Ltd v Adelfang Computing (Pty) Ltd LAC (2007 – 2008) 463 at</w:t>
      </w:r>
      <w:r w:rsidR="007D0734">
        <w:rPr>
          <w:lang w:val="en-GB"/>
        </w:rPr>
        <w:t xml:space="preserve"> 470 para</w:t>
      </w:r>
      <w:r>
        <w:rPr>
          <w:lang w:val="en-GB"/>
        </w:rPr>
        <w:t xml:space="preserve"> [12]</w:t>
      </w:r>
    </w:p>
  </w:footnote>
  <w:footnote w:id="15">
    <w:p w:rsidR="00000825" w:rsidRDefault="00000825" w:rsidP="002C6496">
      <w:pPr>
        <w:pStyle w:val="FootnoteText"/>
      </w:pPr>
      <w:r>
        <w:rPr>
          <w:rStyle w:val="FootnoteReference"/>
        </w:rPr>
        <w:footnoteRef/>
      </w:r>
      <w:r w:rsidR="00AC42C9">
        <w:t>CGM Industrial (Pty) Ltd, supra, page 427 para [19]</w:t>
      </w:r>
      <w:r w:rsidR="00E9710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6C5A"/>
    <w:multiLevelType w:val="hybridMultilevel"/>
    <w:tmpl w:val="D26E3D12"/>
    <w:lvl w:ilvl="0" w:tplc="C3B81EB2">
      <w:start w:val="4"/>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D0526B"/>
    <w:multiLevelType w:val="hybridMultilevel"/>
    <w:tmpl w:val="81D8DF5E"/>
    <w:lvl w:ilvl="0" w:tplc="6BCA9EA4">
      <w:start w:val="3"/>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6877F50"/>
    <w:multiLevelType w:val="hybridMultilevel"/>
    <w:tmpl w:val="C662457E"/>
    <w:lvl w:ilvl="0" w:tplc="9FEA7ACE">
      <w:start w:val="3"/>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1BE2AF4"/>
    <w:multiLevelType w:val="hybridMultilevel"/>
    <w:tmpl w:val="C3B4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02EBA"/>
    <w:multiLevelType w:val="multilevel"/>
    <w:tmpl w:val="7B8AEB86"/>
    <w:lvl w:ilvl="0">
      <w:start w:val="1"/>
      <w:numFmt w:val="lowerLetter"/>
      <w:lvlText w:val="%1)"/>
      <w:lvlJc w:val="left"/>
      <w:pPr>
        <w:tabs>
          <w:tab w:val="num" w:pos="3240"/>
        </w:tabs>
        <w:ind w:left="3240" w:hanging="360"/>
      </w:pPr>
      <w:rPr>
        <w:rFonts w:ascii="Times New Roman" w:eastAsia="Times New Roman" w:hAnsi="Times New Roman" w:cs="Times New Roman"/>
      </w:rPr>
    </w:lvl>
    <w:lvl w:ilvl="1">
      <w:start w:val="1"/>
      <w:numFmt w:val="bullet"/>
      <w:lvlText w:val="-"/>
      <w:lvlJc w:val="left"/>
      <w:pPr>
        <w:ind w:left="3960" w:hanging="360"/>
      </w:pPr>
      <w:rPr>
        <w:rFonts w:ascii="Times New Roman" w:eastAsiaTheme="minorEastAsia" w:hAnsi="Times New Roman" w:cs="Times New Roman" w:hint="default"/>
      </w:r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5" w15:restartNumberingAfterBreak="0">
    <w:nsid w:val="238319CD"/>
    <w:multiLevelType w:val="hybridMultilevel"/>
    <w:tmpl w:val="C7F6D8D6"/>
    <w:lvl w:ilvl="0" w:tplc="6CBE399E">
      <w:start w:val="1"/>
      <w:numFmt w:val="upp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6" w15:restartNumberingAfterBreak="0">
    <w:nsid w:val="298D4472"/>
    <w:multiLevelType w:val="hybridMultilevel"/>
    <w:tmpl w:val="1B5C1A76"/>
    <w:lvl w:ilvl="0" w:tplc="1C86AC72">
      <w:start w:val="1"/>
      <w:numFmt w:val="lowerLetter"/>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2BB571F1"/>
    <w:multiLevelType w:val="multilevel"/>
    <w:tmpl w:val="8D14AF6A"/>
    <w:numStyleLink w:val="JudgmentStyle"/>
  </w:abstractNum>
  <w:abstractNum w:abstractNumId="8" w15:restartNumberingAfterBreak="0">
    <w:nsid w:val="30F3042B"/>
    <w:multiLevelType w:val="hybridMultilevel"/>
    <w:tmpl w:val="4A60C414"/>
    <w:lvl w:ilvl="0" w:tplc="0809000F">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26C1B9F"/>
    <w:multiLevelType w:val="multilevel"/>
    <w:tmpl w:val="8D14AF6A"/>
    <w:styleLink w:val="JudgmentStyle"/>
    <w:lvl w:ilvl="0">
      <w:start w:val="1"/>
      <w:numFmt w:val="decimal"/>
      <w:lvlText w:val="[%1]"/>
      <w:lvlJc w:val="left"/>
      <w:pPr>
        <w:tabs>
          <w:tab w:val="num" w:pos="936"/>
        </w:tabs>
        <w:ind w:left="936" w:hanging="936"/>
      </w:pPr>
      <w:rPr>
        <w:rFonts w:cs="Times New Roman"/>
      </w:rPr>
    </w:lvl>
    <w:lvl w:ilvl="1">
      <w:start w:val="1"/>
      <w:numFmt w:val="decimal"/>
      <w:lvlText w:val="[%1.%2]"/>
      <w:lvlJc w:val="left"/>
      <w:pPr>
        <w:tabs>
          <w:tab w:val="num" w:pos="0"/>
        </w:tabs>
        <w:ind w:left="2126" w:hanging="1190"/>
      </w:pPr>
      <w:rPr>
        <w:rFonts w:cs="Times New Roman"/>
      </w:rPr>
    </w:lvl>
    <w:lvl w:ilvl="2">
      <w:start w:val="1"/>
      <w:numFmt w:val="decimal"/>
      <w:lvlText w:val="[%1.%2.%3]"/>
      <w:lvlJc w:val="left"/>
      <w:pPr>
        <w:tabs>
          <w:tab w:val="num" w:pos="2808"/>
        </w:tabs>
        <w:ind w:left="3402" w:hanging="1276"/>
      </w:pPr>
      <w:rPr>
        <w:rFonts w:cs="Times New Roman"/>
      </w:rPr>
    </w:lvl>
    <w:lvl w:ilvl="3">
      <w:start w:val="1"/>
      <w:numFmt w:val="decimal"/>
      <w:lvlText w:val="[%1.%2.%3.%4]"/>
      <w:lvlJc w:val="left"/>
      <w:pPr>
        <w:tabs>
          <w:tab w:val="num" w:pos="3402"/>
        </w:tabs>
        <w:ind w:left="5103" w:hanging="1701"/>
      </w:pPr>
      <w:rPr>
        <w:rFonts w:cs="Times New Roman"/>
      </w:rPr>
    </w:lvl>
    <w:lvl w:ilvl="4">
      <w:start w:val="1"/>
      <w:numFmt w:val="decimal"/>
      <w:lvlText w:val="[%1.%2.%3.%4.%5]"/>
      <w:lvlJc w:val="left"/>
      <w:pPr>
        <w:tabs>
          <w:tab w:val="num" w:pos="7088"/>
        </w:tabs>
        <w:ind w:left="6804" w:hanging="1701"/>
      </w:pPr>
      <w:rPr>
        <w:rFonts w:cs="Times New Roman"/>
      </w:rPr>
    </w:lvl>
    <w:lvl w:ilvl="5">
      <w:start w:val="1"/>
      <w:numFmt w:val="decimal"/>
      <w:lvlText w:val="[%1.%2.%3.%4.%5.%6]"/>
      <w:lvlJc w:val="left"/>
      <w:pPr>
        <w:tabs>
          <w:tab w:val="num" w:pos="6804"/>
        </w:tabs>
        <w:ind w:left="7881" w:hanging="1077"/>
      </w:pPr>
      <w:rPr>
        <w:rFonts w:cs="Times New Roman"/>
      </w:rPr>
    </w:lvl>
    <w:lvl w:ilvl="6">
      <w:start w:val="1"/>
      <w:numFmt w:val="decimal"/>
      <w:lvlText w:val="[%1.%2.%3.%4.%5.%6.%7]"/>
      <w:lvlJc w:val="left"/>
      <w:pPr>
        <w:tabs>
          <w:tab w:val="num" w:pos="6552"/>
        </w:tabs>
        <w:ind w:left="6552" w:hanging="936"/>
      </w:pPr>
      <w:rPr>
        <w:rFonts w:cs="Times New Roman"/>
      </w:rPr>
    </w:lvl>
    <w:lvl w:ilvl="7">
      <w:start w:val="1"/>
      <w:numFmt w:val="decimal"/>
      <w:lvlText w:val="%1.%2.%3.%4.%5.%6.%7.%8"/>
      <w:lvlJc w:val="left"/>
      <w:pPr>
        <w:tabs>
          <w:tab w:val="num" w:pos="7488"/>
        </w:tabs>
        <w:ind w:left="7488" w:hanging="936"/>
      </w:pPr>
      <w:rPr>
        <w:rFonts w:cs="Times New Roman"/>
      </w:rPr>
    </w:lvl>
    <w:lvl w:ilvl="8">
      <w:start w:val="1"/>
      <w:numFmt w:val="decimal"/>
      <w:lvlText w:val="%1.%2.%3.%4.%5.%6.%7.%8.%9"/>
      <w:lvlJc w:val="left"/>
      <w:pPr>
        <w:tabs>
          <w:tab w:val="num" w:pos="8424"/>
        </w:tabs>
        <w:ind w:left="8424" w:hanging="936"/>
      </w:pPr>
      <w:rPr>
        <w:rFonts w:cs="Times New Roman"/>
      </w:rPr>
    </w:lvl>
  </w:abstractNum>
  <w:abstractNum w:abstractNumId="10" w15:restartNumberingAfterBreak="0">
    <w:nsid w:val="3CEA2957"/>
    <w:multiLevelType w:val="hybridMultilevel"/>
    <w:tmpl w:val="AAC8415C"/>
    <w:lvl w:ilvl="0" w:tplc="472014A0">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3E697626"/>
    <w:multiLevelType w:val="hybridMultilevel"/>
    <w:tmpl w:val="A43ACC56"/>
    <w:lvl w:ilvl="0" w:tplc="B07C26CC">
      <w:start w:val="3"/>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FE97FAF"/>
    <w:multiLevelType w:val="hybridMultilevel"/>
    <w:tmpl w:val="EAFA2A50"/>
    <w:lvl w:ilvl="0" w:tplc="FFAC21C6">
      <w:start w:val="3"/>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54D5066"/>
    <w:multiLevelType w:val="hybridMultilevel"/>
    <w:tmpl w:val="7458E1BE"/>
    <w:lvl w:ilvl="0" w:tplc="C99E6F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F812C86"/>
    <w:multiLevelType w:val="hybridMultilevel"/>
    <w:tmpl w:val="2ADCB752"/>
    <w:lvl w:ilvl="0" w:tplc="101ED112">
      <w:start w:val="3"/>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6177648E"/>
    <w:multiLevelType w:val="hybridMultilevel"/>
    <w:tmpl w:val="341462EC"/>
    <w:lvl w:ilvl="0" w:tplc="56EE3ECA">
      <w:start w:val="3"/>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7006558D"/>
    <w:multiLevelType w:val="multilevel"/>
    <w:tmpl w:val="36A0FD82"/>
    <w:lvl w:ilvl="0">
      <w:start w:val="1"/>
      <w:numFmt w:val="decimal"/>
      <w:lvlText w:val="%1."/>
      <w:lvlJc w:val="left"/>
      <w:pPr>
        <w:tabs>
          <w:tab w:val="num" w:pos="794"/>
        </w:tabs>
        <w:ind w:left="794" w:hanging="794"/>
      </w:pPr>
      <w:rPr>
        <w:b w:val="0"/>
        <w:i w:val="0"/>
      </w:rPr>
    </w:lvl>
    <w:lvl w:ilvl="1">
      <w:start w:val="1"/>
      <w:numFmt w:val="decimal"/>
      <w:lvlText w:val="%1.%2."/>
      <w:lvlJc w:val="left"/>
      <w:pPr>
        <w:tabs>
          <w:tab w:val="num" w:pos="1587"/>
        </w:tabs>
        <w:ind w:left="1587" w:hanging="793"/>
      </w:pPr>
    </w:lvl>
    <w:lvl w:ilvl="2">
      <w:start w:val="1"/>
      <w:numFmt w:val="decimal"/>
      <w:lvlText w:val="%1.%2.%3."/>
      <w:lvlJc w:val="left"/>
      <w:pPr>
        <w:tabs>
          <w:tab w:val="num" w:pos="2381"/>
        </w:tabs>
        <w:ind w:left="2381" w:hanging="794"/>
      </w:pPr>
    </w:lvl>
    <w:lvl w:ilvl="3">
      <w:start w:val="1"/>
      <w:numFmt w:val="decimal"/>
      <w:lvlText w:val="%1.%2.%3.%4"/>
      <w:lvlJc w:val="left"/>
      <w:pPr>
        <w:tabs>
          <w:tab w:val="num" w:pos="3515"/>
        </w:tabs>
        <w:ind w:left="3515" w:hanging="1134"/>
      </w:pPr>
    </w:lvl>
    <w:lvl w:ilvl="4">
      <w:start w:val="1"/>
      <w:numFmt w:val="lowerRoman"/>
      <w:lvlText w:val="(%5)"/>
      <w:lvlJc w:val="left"/>
      <w:pPr>
        <w:tabs>
          <w:tab w:val="num" w:pos="4253"/>
        </w:tabs>
        <w:ind w:left="4253" w:hanging="738"/>
      </w:pPr>
    </w:lvl>
    <w:lvl w:ilvl="5">
      <w:start w:val="1"/>
      <w:numFmt w:val="lowerLetter"/>
      <w:lvlText w:val="(%6)"/>
      <w:lvlJc w:val="left"/>
      <w:pPr>
        <w:tabs>
          <w:tab w:val="num" w:pos="4649"/>
        </w:tabs>
        <w:ind w:left="4649" w:hanging="396"/>
      </w:pPr>
    </w:lvl>
    <w:lvl w:ilvl="6">
      <w:start w:val="1"/>
      <w:numFmt w:val="decimal"/>
      <w:lvlText w:val="(%5)%6.%7."/>
      <w:lvlJc w:val="left"/>
      <w:pPr>
        <w:tabs>
          <w:tab w:val="num" w:pos="5823"/>
        </w:tabs>
        <w:ind w:left="5387" w:hanging="284"/>
      </w:pPr>
    </w:lvl>
    <w:lvl w:ilvl="7">
      <w:start w:val="1"/>
      <w:numFmt w:val="decimal"/>
      <w:lvlText w:val="(%5)%6.%7.%8."/>
      <w:lvlJc w:val="left"/>
      <w:pPr>
        <w:tabs>
          <w:tab w:val="num" w:pos="0"/>
        </w:tabs>
        <w:ind w:left="5760" w:hanging="720"/>
      </w:pPr>
    </w:lvl>
    <w:lvl w:ilvl="8">
      <w:start w:val="1"/>
      <w:numFmt w:val="decimal"/>
      <w:lvlText w:val="(%5)%6.%7.%8.%9."/>
      <w:lvlJc w:val="left"/>
      <w:pPr>
        <w:tabs>
          <w:tab w:val="num" w:pos="0"/>
        </w:tabs>
        <w:ind w:left="6480" w:hanging="720"/>
      </w:pPr>
    </w:lvl>
  </w:abstractNum>
  <w:num w:numId="1">
    <w:abstractNumId w:val="4"/>
  </w:num>
  <w:num w:numId="2">
    <w:abstractNumId w:val="3"/>
  </w:num>
  <w:num w:numId="3">
    <w:abstractNumId w:val="10"/>
  </w:num>
  <w:num w:numId="4">
    <w:abstractNumId w:val="14"/>
  </w:num>
  <w:num w:numId="5">
    <w:abstractNumId w:val="2"/>
  </w:num>
  <w:num w:numId="6">
    <w:abstractNumId w:val="1"/>
  </w:num>
  <w:num w:numId="7">
    <w:abstractNumId w:val="15"/>
  </w:num>
  <w:num w:numId="8">
    <w:abstractNumId w:val="11"/>
  </w:num>
  <w:num w:numId="9">
    <w:abstractNumId w:val="12"/>
  </w:num>
  <w:num w:numId="10">
    <w:abstractNumId w:val="0"/>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15"/>
    <w:rsid w:val="00000825"/>
    <w:rsid w:val="0000420B"/>
    <w:rsid w:val="00016F2E"/>
    <w:rsid w:val="000170E1"/>
    <w:rsid w:val="0005233D"/>
    <w:rsid w:val="00057F3F"/>
    <w:rsid w:val="0007466D"/>
    <w:rsid w:val="000762A0"/>
    <w:rsid w:val="0008235E"/>
    <w:rsid w:val="00091D66"/>
    <w:rsid w:val="000A5DB9"/>
    <w:rsid w:val="000B617A"/>
    <w:rsid w:val="000C668C"/>
    <w:rsid w:val="000D7300"/>
    <w:rsid w:val="000E22F0"/>
    <w:rsid w:val="000F0032"/>
    <w:rsid w:val="000F1A60"/>
    <w:rsid w:val="00113AA4"/>
    <w:rsid w:val="001156A8"/>
    <w:rsid w:val="00124A1E"/>
    <w:rsid w:val="00126844"/>
    <w:rsid w:val="00137DC0"/>
    <w:rsid w:val="001466BA"/>
    <w:rsid w:val="00150B89"/>
    <w:rsid w:val="001527C3"/>
    <w:rsid w:val="001545FD"/>
    <w:rsid w:val="001562B7"/>
    <w:rsid w:val="00160C1E"/>
    <w:rsid w:val="00163138"/>
    <w:rsid w:val="001712D6"/>
    <w:rsid w:val="001829E8"/>
    <w:rsid w:val="00193ED1"/>
    <w:rsid w:val="00194143"/>
    <w:rsid w:val="001B34F2"/>
    <w:rsid w:val="001C514A"/>
    <w:rsid w:val="001D1199"/>
    <w:rsid w:val="001D18A8"/>
    <w:rsid w:val="001D388E"/>
    <w:rsid w:val="001D4A9B"/>
    <w:rsid w:val="001E5002"/>
    <w:rsid w:val="001E51CA"/>
    <w:rsid w:val="0020143E"/>
    <w:rsid w:val="00202BA5"/>
    <w:rsid w:val="00206F0B"/>
    <w:rsid w:val="0021046B"/>
    <w:rsid w:val="0022042F"/>
    <w:rsid w:val="00221CC1"/>
    <w:rsid w:val="00230764"/>
    <w:rsid w:val="00240117"/>
    <w:rsid w:val="002440ED"/>
    <w:rsid w:val="002548A5"/>
    <w:rsid w:val="002605DD"/>
    <w:rsid w:val="002606B8"/>
    <w:rsid w:val="002934A2"/>
    <w:rsid w:val="002A532E"/>
    <w:rsid w:val="002B670E"/>
    <w:rsid w:val="002B72DD"/>
    <w:rsid w:val="002C62A9"/>
    <w:rsid w:val="002C6496"/>
    <w:rsid w:val="002D596B"/>
    <w:rsid w:val="002D6EE6"/>
    <w:rsid w:val="002F7A7A"/>
    <w:rsid w:val="00310BFD"/>
    <w:rsid w:val="0031646A"/>
    <w:rsid w:val="003204DF"/>
    <w:rsid w:val="0032746E"/>
    <w:rsid w:val="0033056B"/>
    <w:rsid w:val="00342B67"/>
    <w:rsid w:val="00351131"/>
    <w:rsid w:val="003514E2"/>
    <w:rsid w:val="00384738"/>
    <w:rsid w:val="00390FE6"/>
    <w:rsid w:val="0039539A"/>
    <w:rsid w:val="00395741"/>
    <w:rsid w:val="00395A5F"/>
    <w:rsid w:val="00396FA8"/>
    <w:rsid w:val="003B1BE4"/>
    <w:rsid w:val="003C102B"/>
    <w:rsid w:val="003D58C9"/>
    <w:rsid w:val="00401716"/>
    <w:rsid w:val="004035E1"/>
    <w:rsid w:val="00410269"/>
    <w:rsid w:val="004220CA"/>
    <w:rsid w:val="00433A05"/>
    <w:rsid w:val="00436196"/>
    <w:rsid w:val="00444410"/>
    <w:rsid w:val="00451497"/>
    <w:rsid w:val="00464A84"/>
    <w:rsid w:val="004673DE"/>
    <w:rsid w:val="004677A3"/>
    <w:rsid w:val="00470BE8"/>
    <w:rsid w:val="00472863"/>
    <w:rsid w:val="0047592A"/>
    <w:rsid w:val="0047739C"/>
    <w:rsid w:val="00477C88"/>
    <w:rsid w:val="004918D1"/>
    <w:rsid w:val="00495930"/>
    <w:rsid w:val="004A6184"/>
    <w:rsid w:val="004C36C1"/>
    <w:rsid w:val="004C432C"/>
    <w:rsid w:val="004D1353"/>
    <w:rsid w:val="004D628B"/>
    <w:rsid w:val="004E40AE"/>
    <w:rsid w:val="004E598B"/>
    <w:rsid w:val="004E5FFB"/>
    <w:rsid w:val="004F5FD4"/>
    <w:rsid w:val="004F63F0"/>
    <w:rsid w:val="004F66C2"/>
    <w:rsid w:val="005012EC"/>
    <w:rsid w:val="0050582F"/>
    <w:rsid w:val="00517129"/>
    <w:rsid w:val="00522732"/>
    <w:rsid w:val="00527480"/>
    <w:rsid w:val="00536D05"/>
    <w:rsid w:val="00537804"/>
    <w:rsid w:val="0055302C"/>
    <w:rsid w:val="0056443D"/>
    <w:rsid w:val="005A0F35"/>
    <w:rsid w:val="005A3EF9"/>
    <w:rsid w:val="005B1D0F"/>
    <w:rsid w:val="005B413E"/>
    <w:rsid w:val="005C40D9"/>
    <w:rsid w:val="005C4B87"/>
    <w:rsid w:val="005D7B0C"/>
    <w:rsid w:val="005E7D78"/>
    <w:rsid w:val="00604874"/>
    <w:rsid w:val="0060515B"/>
    <w:rsid w:val="00607310"/>
    <w:rsid w:val="00627501"/>
    <w:rsid w:val="00631E5F"/>
    <w:rsid w:val="0063617C"/>
    <w:rsid w:val="00646039"/>
    <w:rsid w:val="00654B32"/>
    <w:rsid w:val="00664437"/>
    <w:rsid w:val="00666155"/>
    <w:rsid w:val="00682B1B"/>
    <w:rsid w:val="00684E28"/>
    <w:rsid w:val="00690E17"/>
    <w:rsid w:val="006C7873"/>
    <w:rsid w:val="006D5794"/>
    <w:rsid w:val="006E6F12"/>
    <w:rsid w:val="006F1F5F"/>
    <w:rsid w:val="007026F4"/>
    <w:rsid w:val="00702BFD"/>
    <w:rsid w:val="00714C96"/>
    <w:rsid w:val="0071515F"/>
    <w:rsid w:val="00716397"/>
    <w:rsid w:val="00740A14"/>
    <w:rsid w:val="007433D6"/>
    <w:rsid w:val="00754C10"/>
    <w:rsid w:val="007670A5"/>
    <w:rsid w:val="00782846"/>
    <w:rsid w:val="0079229F"/>
    <w:rsid w:val="007A04EE"/>
    <w:rsid w:val="007B3753"/>
    <w:rsid w:val="007C0C47"/>
    <w:rsid w:val="007C2539"/>
    <w:rsid w:val="007D0734"/>
    <w:rsid w:val="007D0920"/>
    <w:rsid w:val="007F2ECD"/>
    <w:rsid w:val="007F32CC"/>
    <w:rsid w:val="007F491B"/>
    <w:rsid w:val="007F4DA3"/>
    <w:rsid w:val="00801008"/>
    <w:rsid w:val="008012ED"/>
    <w:rsid w:val="00805D2F"/>
    <w:rsid w:val="008145F9"/>
    <w:rsid w:val="00823A87"/>
    <w:rsid w:val="00830973"/>
    <w:rsid w:val="00831B86"/>
    <w:rsid w:val="0083698B"/>
    <w:rsid w:val="00843E5F"/>
    <w:rsid w:val="008916E0"/>
    <w:rsid w:val="008A03ED"/>
    <w:rsid w:val="008A25C3"/>
    <w:rsid w:val="008F01B2"/>
    <w:rsid w:val="008F1954"/>
    <w:rsid w:val="008F45C8"/>
    <w:rsid w:val="008F62E1"/>
    <w:rsid w:val="00901867"/>
    <w:rsid w:val="00903841"/>
    <w:rsid w:val="00923894"/>
    <w:rsid w:val="0092508E"/>
    <w:rsid w:val="0092548D"/>
    <w:rsid w:val="009440E3"/>
    <w:rsid w:val="00952592"/>
    <w:rsid w:val="00963ECD"/>
    <w:rsid w:val="00965D19"/>
    <w:rsid w:val="009714E0"/>
    <w:rsid w:val="00974B3E"/>
    <w:rsid w:val="009C2E3D"/>
    <w:rsid w:val="009E5E88"/>
    <w:rsid w:val="009E7BE3"/>
    <w:rsid w:val="00A02E19"/>
    <w:rsid w:val="00A0326F"/>
    <w:rsid w:val="00A052F8"/>
    <w:rsid w:val="00A0626D"/>
    <w:rsid w:val="00A5706D"/>
    <w:rsid w:val="00A73CC4"/>
    <w:rsid w:val="00A7616E"/>
    <w:rsid w:val="00A7665B"/>
    <w:rsid w:val="00A76975"/>
    <w:rsid w:val="00A82B14"/>
    <w:rsid w:val="00AA4656"/>
    <w:rsid w:val="00AB5DCD"/>
    <w:rsid w:val="00AC42C9"/>
    <w:rsid w:val="00AF6A6B"/>
    <w:rsid w:val="00B56C09"/>
    <w:rsid w:val="00B57465"/>
    <w:rsid w:val="00B66045"/>
    <w:rsid w:val="00B66EF1"/>
    <w:rsid w:val="00B7691D"/>
    <w:rsid w:val="00B7714B"/>
    <w:rsid w:val="00B80672"/>
    <w:rsid w:val="00BA2141"/>
    <w:rsid w:val="00BB0AC0"/>
    <w:rsid w:val="00BB2F8F"/>
    <w:rsid w:val="00BB4104"/>
    <w:rsid w:val="00BB4494"/>
    <w:rsid w:val="00BD5C4D"/>
    <w:rsid w:val="00BF05C9"/>
    <w:rsid w:val="00BF254B"/>
    <w:rsid w:val="00BF4A5F"/>
    <w:rsid w:val="00BF7F74"/>
    <w:rsid w:val="00C0037B"/>
    <w:rsid w:val="00C0339D"/>
    <w:rsid w:val="00C12964"/>
    <w:rsid w:val="00C24616"/>
    <w:rsid w:val="00C46315"/>
    <w:rsid w:val="00C46FBD"/>
    <w:rsid w:val="00C53568"/>
    <w:rsid w:val="00C5490D"/>
    <w:rsid w:val="00C561A3"/>
    <w:rsid w:val="00C57DD4"/>
    <w:rsid w:val="00C67166"/>
    <w:rsid w:val="00CB399D"/>
    <w:rsid w:val="00CD21CF"/>
    <w:rsid w:val="00CF214F"/>
    <w:rsid w:val="00CF6B05"/>
    <w:rsid w:val="00D207C4"/>
    <w:rsid w:val="00D30109"/>
    <w:rsid w:val="00D40DE1"/>
    <w:rsid w:val="00D430C6"/>
    <w:rsid w:val="00D43B47"/>
    <w:rsid w:val="00D54756"/>
    <w:rsid w:val="00D76277"/>
    <w:rsid w:val="00D81882"/>
    <w:rsid w:val="00D927F5"/>
    <w:rsid w:val="00DB528C"/>
    <w:rsid w:val="00DB6399"/>
    <w:rsid w:val="00DE0AC8"/>
    <w:rsid w:val="00DE7A83"/>
    <w:rsid w:val="00DF5E12"/>
    <w:rsid w:val="00E15BBA"/>
    <w:rsid w:val="00E244FF"/>
    <w:rsid w:val="00E2784A"/>
    <w:rsid w:val="00E30847"/>
    <w:rsid w:val="00E35DAC"/>
    <w:rsid w:val="00E464E8"/>
    <w:rsid w:val="00E64EE4"/>
    <w:rsid w:val="00E87993"/>
    <w:rsid w:val="00E95F0B"/>
    <w:rsid w:val="00E9710B"/>
    <w:rsid w:val="00EA3201"/>
    <w:rsid w:val="00EC27A7"/>
    <w:rsid w:val="00EE0825"/>
    <w:rsid w:val="00EE22E9"/>
    <w:rsid w:val="00EE77E3"/>
    <w:rsid w:val="00F1208A"/>
    <w:rsid w:val="00F14683"/>
    <w:rsid w:val="00F175ED"/>
    <w:rsid w:val="00F32157"/>
    <w:rsid w:val="00F34667"/>
    <w:rsid w:val="00F46811"/>
    <w:rsid w:val="00F53E0F"/>
    <w:rsid w:val="00F64DDB"/>
    <w:rsid w:val="00F70BA7"/>
    <w:rsid w:val="00F818AA"/>
    <w:rsid w:val="00F8253B"/>
    <w:rsid w:val="00FA40D4"/>
    <w:rsid w:val="00FB3C42"/>
    <w:rsid w:val="00FC4270"/>
    <w:rsid w:val="00FE2F0C"/>
    <w:rsid w:val="00FE4B76"/>
    <w:rsid w:val="00FF10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9B20"/>
  <w15:docId w15:val="{3CF8C644-8D7C-4BEF-8ABF-45DE11B1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4756"/>
  </w:style>
  <w:style w:type="paragraph" w:styleId="Heading2">
    <w:name w:val="heading 2"/>
    <w:basedOn w:val="Normal"/>
    <w:link w:val="Heading2Char"/>
    <w:uiPriority w:val="9"/>
    <w:qFormat/>
    <w:rsid w:val="007670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C46315"/>
    <w:pPr>
      <w:widowControl w:val="0"/>
      <w:autoSpaceDE w:val="0"/>
      <w:autoSpaceDN w:val="0"/>
      <w:adjustRightInd w:val="0"/>
      <w:spacing w:after="283" w:line="240" w:lineRule="auto"/>
    </w:pPr>
    <w:rPr>
      <w:rFonts w:ascii="Times New Roman" w:hAnsi="Times New Roman" w:cs="Times New Roman"/>
      <w:sz w:val="24"/>
      <w:szCs w:val="24"/>
      <w:lang w:val="en-ZA" w:eastAsia="en-ZA"/>
    </w:rPr>
  </w:style>
  <w:style w:type="paragraph" w:styleId="Footer">
    <w:name w:val="footer"/>
    <w:basedOn w:val="Normal"/>
    <w:link w:val="FooterChar"/>
    <w:uiPriority w:val="99"/>
    <w:unhideWhenUsed/>
    <w:rsid w:val="00C46315"/>
    <w:pPr>
      <w:tabs>
        <w:tab w:val="center" w:pos="4513"/>
        <w:tab w:val="right" w:pos="9026"/>
      </w:tabs>
      <w:spacing w:after="0" w:line="240" w:lineRule="auto"/>
    </w:pPr>
    <w:rPr>
      <w:rFonts w:eastAsiaTheme="minorHAnsi"/>
      <w:lang w:val="en-ZA"/>
    </w:rPr>
  </w:style>
  <w:style w:type="character" w:customStyle="1" w:styleId="FooterChar">
    <w:name w:val="Footer Char"/>
    <w:basedOn w:val="DefaultParagraphFont"/>
    <w:link w:val="Footer"/>
    <w:uiPriority w:val="99"/>
    <w:rsid w:val="00C46315"/>
    <w:rPr>
      <w:rFonts w:eastAsiaTheme="minorHAnsi"/>
      <w:lang w:val="en-ZA"/>
    </w:rPr>
  </w:style>
  <w:style w:type="paragraph" w:styleId="ListParagraph">
    <w:name w:val="List Paragraph"/>
    <w:basedOn w:val="Normal"/>
    <w:uiPriority w:val="1"/>
    <w:qFormat/>
    <w:rsid w:val="00C46315"/>
    <w:pPr>
      <w:ind w:left="720"/>
      <w:contextualSpacing/>
    </w:pPr>
  </w:style>
  <w:style w:type="paragraph" w:styleId="Header">
    <w:name w:val="header"/>
    <w:basedOn w:val="Normal"/>
    <w:link w:val="HeaderChar"/>
    <w:uiPriority w:val="99"/>
    <w:unhideWhenUsed/>
    <w:rsid w:val="00605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15B"/>
  </w:style>
  <w:style w:type="paragraph" w:styleId="FootnoteText">
    <w:name w:val="footnote text"/>
    <w:basedOn w:val="Normal"/>
    <w:link w:val="FootnoteTextChar"/>
    <w:uiPriority w:val="99"/>
    <w:unhideWhenUsed/>
    <w:rsid w:val="0060515B"/>
    <w:pPr>
      <w:spacing w:after="0" w:line="240" w:lineRule="auto"/>
    </w:pPr>
    <w:rPr>
      <w:sz w:val="20"/>
      <w:szCs w:val="20"/>
    </w:rPr>
  </w:style>
  <w:style w:type="character" w:customStyle="1" w:styleId="FootnoteTextChar">
    <w:name w:val="Footnote Text Char"/>
    <w:basedOn w:val="DefaultParagraphFont"/>
    <w:link w:val="FootnoteText"/>
    <w:uiPriority w:val="99"/>
    <w:rsid w:val="0060515B"/>
    <w:rPr>
      <w:sz w:val="20"/>
      <w:szCs w:val="20"/>
    </w:rPr>
  </w:style>
  <w:style w:type="character" w:styleId="FootnoteReference">
    <w:name w:val="footnote reference"/>
    <w:basedOn w:val="DefaultParagraphFont"/>
    <w:unhideWhenUsed/>
    <w:rsid w:val="0060515B"/>
    <w:rPr>
      <w:vertAlign w:val="superscript"/>
    </w:rPr>
  </w:style>
  <w:style w:type="paragraph" w:styleId="NoSpacing">
    <w:name w:val="No Spacing"/>
    <w:uiPriority w:val="1"/>
    <w:qFormat/>
    <w:rsid w:val="00666155"/>
    <w:pPr>
      <w:spacing w:after="0" w:line="240" w:lineRule="auto"/>
    </w:pPr>
  </w:style>
  <w:style w:type="paragraph" w:styleId="NormalWeb">
    <w:name w:val="Normal (Web)"/>
    <w:basedOn w:val="Normal"/>
    <w:uiPriority w:val="99"/>
    <w:semiHidden/>
    <w:unhideWhenUsed/>
    <w:rsid w:val="004444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410"/>
    <w:rPr>
      <w:i/>
      <w:iCs/>
    </w:rPr>
  </w:style>
  <w:style w:type="numbering" w:customStyle="1" w:styleId="JudgmentStyle">
    <w:name w:val="Judgment Style"/>
    <w:rsid w:val="00C12964"/>
    <w:pPr>
      <w:numPr>
        <w:numId w:val="13"/>
      </w:numPr>
    </w:pPr>
  </w:style>
  <w:style w:type="character" w:styleId="CommentReference">
    <w:name w:val="annotation reference"/>
    <w:basedOn w:val="DefaultParagraphFont"/>
    <w:uiPriority w:val="99"/>
    <w:semiHidden/>
    <w:unhideWhenUsed/>
    <w:rsid w:val="000170E1"/>
    <w:rPr>
      <w:sz w:val="16"/>
      <w:szCs w:val="16"/>
    </w:rPr>
  </w:style>
  <w:style w:type="paragraph" w:styleId="CommentText">
    <w:name w:val="annotation text"/>
    <w:basedOn w:val="Normal"/>
    <w:link w:val="CommentTextChar"/>
    <w:uiPriority w:val="99"/>
    <w:semiHidden/>
    <w:unhideWhenUsed/>
    <w:rsid w:val="000170E1"/>
    <w:pPr>
      <w:spacing w:line="240" w:lineRule="auto"/>
    </w:pPr>
    <w:rPr>
      <w:sz w:val="20"/>
      <w:szCs w:val="20"/>
    </w:rPr>
  </w:style>
  <w:style w:type="character" w:customStyle="1" w:styleId="CommentTextChar">
    <w:name w:val="Comment Text Char"/>
    <w:basedOn w:val="DefaultParagraphFont"/>
    <w:link w:val="CommentText"/>
    <w:uiPriority w:val="99"/>
    <w:semiHidden/>
    <w:rsid w:val="000170E1"/>
    <w:rPr>
      <w:sz w:val="20"/>
      <w:szCs w:val="20"/>
    </w:rPr>
  </w:style>
  <w:style w:type="paragraph" w:styleId="CommentSubject">
    <w:name w:val="annotation subject"/>
    <w:basedOn w:val="CommentText"/>
    <w:next w:val="CommentText"/>
    <w:link w:val="CommentSubjectChar"/>
    <w:uiPriority w:val="99"/>
    <w:semiHidden/>
    <w:unhideWhenUsed/>
    <w:rsid w:val="000170E1"/>
    <w:rPr>
      <w:b/>
      <w:bCs/>
    </w:rPr>
  </w:style>
  <w:style w:type="character" w:customStyle="1" w:styleId="CommentSubjectChar">
    <w:name w:val="Comment Subject Char"/>
    <w:basedOn w:val="CommentTextChar"/>
    <w:link w:val="CommentSubject"/>
    <w:uiPriority w:val="99"/>
    <w:semiHidden/>
    <w:rsid w:val="000170E1"/>
    <w:rPr>
      <w:b/>
      <w:bCs/>
      <w:sz w:val="20"/>
      <w:szCs w:val="20"/>
    </w:rPr>
  </w:style>
  <w:style w:type="paragraph" w:styleId="BalloonText">
    <w:name w:val="Balloon Text"/>
    <w:basedOn w:val="Normal"/>
    <w:link w:val="BalloonTextChar"/>
    <w:uiPriority w:val="99"/>
    <w:semiHidden/>
    <w:unhideWhenUsed/>
    <w:rsid w:val="00017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E1"/>
    <w:rPr>
      <w:rFonts w:ascii="Segoe UI" w:hAnsi="Segoe UI" w:cs="Segoe UI"/>
      <w:sz w:val="18"/>
      <w:szCs w:val="18"/>
    </w:rPr>
  </w:style>
  <w:style w:type="character" w:customStyle="1" w:styleId="FontStyle22">
    <w:name w:val="Font Style22"/>
    <w:uiPriority w:val="99"/>
    <w:rsid w:val="002C6496"/>
    <w:rPr>
      <w:rFonts w:ascii="Bookman Old Style" w:hAnsi="Bookman Old Style" w:cs="Bookman Old Style"/>
      <w:sz w:val="22"/>
      <w:szCs w:val="22"/>
    </w:rPr>
  </w:style>
  <w:style w:type="paragraph" w:customStyle="1" w:styleId="Style16">
    <w:name w:val="Style16"/>
    <w:basedOn w:val="Normal"/>
    <w:uiPriority w:val="99"/>
    <w:rsid w:val="002C6496"/>
    <w:pPr>
      <w:widowControl w:val="0"/>
      <w:autoSpaceDE w:val="0"/>
      <w:autoSpaceDN w:val="0"/>
      <w:adjustRightInd w:val="0"/>
      <w:spacing w:after="0" w:line="494" w:lineRule="exact"/>
      <w:ind w:hanging="701"/>
      <w:jc w:val="both"/>
    </w:pPr>
    <w:rPr>
      <w:rFonts w:ascii="Bookman Old Style" w:eastAsia="Times New Roman" w:hAnsi="Bookman Old Style" w:cs="Times New Roman"/>
      <w:sz w:val="24"/>
      <w:szCs w:val="24"/>
    </w:rPr>
  </w:style>
  <w:style w:type="character" w:customStyle="1" w:styleId="Heading2Char">
    <w:name w:val="Heading 2 Char"/>
    <w:basedOn w:val="DefaultParagraphFont"/>
    <w:link w:val="Heading2"/>
    <w:uiPriority w:val="9"/>
    <w:rsid w:val="007670A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9984">
      <w:bodyDiv w:val="1"/>
      <w:marLeft w:val="0"/>
      <w:marRight w:val="0"/>
      <w:marTop w:val="0"/>
      <w:marBottom w:val="0"/>
      <w:divBdr>
        <w:top w:val="none" w:sz="0" w:space="0" w:color="auto"/>
        <w:left w:val="none" w:sz="0" w:space="0" w:color="auto"/>
        <w:bottom w:val="none" w:sz="0" w:space="0" w:color="auto"/>
        <w:right w:val="none" w:sz="0" w:space="0" w:color="auto"/>
      </w:divBdr>
    </w:div>
    <w:div w:id="654800838">
      <w:bodyDiv w:val="1"/>
      <w:marLeft w:val="0"/>
      <w:marRight w:val="0"/>
      <w:marTop w:val="0"/>
      <w:marBottom w:val="0"/>
      <w:divBdr>
        <w:top w:val="none" w:sz="0" w:space="0" w:color="auto"/>
        <w:left w:val="none" w:sz="0" w:space="0" w:color="auto"/>
        <w:bottom w:val="none" w:sz="0" w:space="0" w:color="auto"/>
        <w:right w:val="none" w:sz="0" w:space="0" w:color="auto"/>
      </w:divBdr>
    </w:div>
    <w:div w:id="708842100">
      <w:bodyDiv w:val="1"/>
      <w:marLeft w:val="0"/>
      <w:marRight w:val="0"/>
      <w:marTop w:val="0"/>
      <w:marBottom w:val="0"/>
      <w:divBdr>
        <w:top w:val="none" w:sz="0" w:space="0" w:color="auto"/>
        <w:left w:val="none" w:sz="0" w:space="0" w:color="auto"/>
        <w:bottom w:val="none" w:sz="0" w:space="0" w:color="auto"/>
        <w:right w:val="none" w:sz="0" w:space="0" w:color="auto"/>
      </w:divBdr>
    </w:div>
    <w:div w:id="1208251016">
      <w:bodyDiv w:val="1"/>
      <w:marLeft w:val="0"/>
      <w:marRight w:val="0"/>
      <w:marTop w:val="0"/>
      <w:marBottom w:val="0"/>
      <w:divBdr>
        <w:top w:val="none" w:sz="0" w:space="0" w:color="auto"/>
        <w:left w:val="none" w:sz="0" w:space="0" w:color="auto"/>
        <w:bottom w:val="none" w:sz="0" w:space="0" w:color="auto"/>
        <w:right w:val="none" w:sz="0" w:space="0" w:color="auto"/>
      </w:divBdr>
    </w:div>
    <w:div w:id="1336304338">
      <w:bodyDiv w:val="1"/>
      <w:marLeft w:val="0"/>
      <w:marRight w:val="0"/>
      <w:marTop w:val="0"/>
      <w:marBottom w:val="0"/>
      <w:divBdr>
        <w:top w:val="none" w:sz="0" w:space="0" w:color="auto"/>
        <w:left w:val="none" w:sz="0" w:space="0" w:color="auto"/>
        <w:bottom w:val="none" w:sz="0" w:space="0" w:color="auto"/>
        <w:right w:val="none" w:sz="0" w:space="0" w:color="auto"/>
      </w:divBdr>
    </w:div>
    <w:div w:id="1672679992">
      <w:bodyDiv w:val="1"/>
      <w:marLeft w:val="0"/>
      <w:marRight w:val="0"/>
      <w:marTop w:val="0"/>
      <w:marBottom w:val="0"/>
      <w:divBdr>
        <w:top w:val="none" w:sz="0" w:space="0" w:color="auto"/>
        <w:left w:val="none" w:sz="0" w:space="0" w:color="auto"/>
        <w:bottom w:val="none" w:sz="0" w:space="0" w:color="auto"/>
        <w:right w:val="none" w:sz="0" w:space="0" w:color="auto"/>
      </w:divBdr>
    </w:div>
    <w:div w:id="21283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035D-E3C7-41EA-9FC7-BC3FE064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4893</Words>
  <Characters>27894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Mampole</dc:creator>
  <cp:lastModifiedBy>Limakatso Tsekela</cp:lastModifiedBy>
  <cp:revision>11</cp:revision>
  <cp:lastPrinted>2021-12-13T14:06:00Z</cp:lastPrinted>
  <dcterms:created xsi:type="dcterms:W3CDTF">2021-12-13T13:55:00Z</dcterms:created>
  <dcterms:modified xsi:type="dcterms:W3CDTF">2021-12-13T14:18:00Z</dcterms:modified>
</cp:coreProperties>
</file>