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175" w:rsidRPr="003E7FED" w:rsidRDefault="00B14175">
      <w:pPr>
        <w:tabs>
          <w:tab w:val="left" w:pos="3640"/>
        </w:tabs>
        <w:spacing w:line="240" w:lineRule="auto"/>
        <w:rPr>
          <w:rFonts w:ascii="Times New Roman" w:hAnsi="Times New Roman"/>
          <w:sz w:val="28"/>
          <w:szCs w:val="28"/>
        </w:rPr>
      </w:pPr>
    </w:p>
    <w:p w:rsidR="00690534" w:rsidRDefault="00690534">
      <w:pPr>
        <w:tabs>
          <w:tab w:val="left" w:pos="3640"/>
        </w:tabs>
        <w:spacing w:line="240" w:lineRule="auto"/>
        <w:rPr>
          <w:rFonts w:ascii="Times New Roman" w:hAnsi="Times New Roman"/>
          <w:sz w:val="28"/>
          <w:szCs w:val="28"/>
          <w:lang w:val="en-GB"/>
        </w:rPr>
      </w:pPr>
    </w:p>
    <w:p w:rsidR="00690534" w:rsidRDefault="00690534">
      <w:pPr>
        <w:tabs>
          <w:tab w:val="left" w:pos="3640"/>
        </w:tabs>
        <w:spacing w:line="240" w:lineRule="auto"/>
        <w:rPr>
          <w:rFonts w:ascii="Times New Roman" w:hAnsi="Times New Roman"/>
          <w:sz w:val="28"/>
          <w:szCs w:val="28"/>
          <w:lang w:val="en-GB"/>
        </w:rPr>
      </w:pPr>
    </w:p>
    <w:p w:rsidR="00690534" w:rsidRDefault="00690534">
      <w:pPr>
        <w:tabs>
          <w:tab w:val="left" w:pos="3640"/>
        </w:tabs>
        <w:spacing w:line="240" w:lineRule="auto"/>
        <w:rPr>
          <w:rFonts w:ascii="Times New Roman" w:hAnsi="Times New Roman"/>
          <w:sz w:val="28"/>
          <w:szCs w:val="28"/>
          <w:lang w:val="en-GB"/>
        </w:rPr>
      </w:pPr>
    </w:p>
    <w:p w:rsidR="00B14175" w:rsidRDefault="00B14175">
      <w:pPr>
        <w:spacing w:line="240" w:lineRule="auto"/>
        <w:rPr>
          <w:rFonts w:ascii="Times New Roman" w:hAnsi="Times New Roman"/>
          <w:sz w:val="28"/>
          <w:szCs w:val="28"/>
          <w:lang w:val="en-GB"/>
        </w:rPr>
      </w:pPr>
    </w:p>
    <w:p w:rsidR="00BD7844" w:rsidRDefault="0029376C" w:rsidP="002F6726">
      <w:pPr>
        <w:spacing w:after="0" w:line="240" w:lineRule="auto"/>
        <w:jc w:val="center"/>
        <w:rPr>
          <w:rFonts w:ascii="Times New Roman" w:hAnsi="Times New Roman"/>
          <w:b/>
          <w:sz w:val="32"/>
          <w:szCs w:val="32"/>
          <w:u w:val="single"/>
        </w:rPr>
      </w:pPr>
      <w:r w:rsidRPr="002F6726">
        <w:rPr>
          <w:rFonts w:ascii="Times New Roman" w:hAnsi="Times New Roman"/>
          <w:b/>
          <w:sz w:val="32"/>
          <w:szCs w:val="32"/>
          <w:u w:val="single"/>
        </w:rPr>
        <w:t>IN THE HIGH COURT OF LESOTHO</w:t>
      </w:r>
      <w:r w:rsidR="002F6726">
        <w:rPr>
          <w:rFonts w:ascii="Times New Roman" w:hAnsi="Times New Roman"/>
          <w:b/>
          <w:sz w:val="32"/>
          <w:szCs w:val="32"/>
          <w:u w:val="single"/>
        </w:rPr>
        <w:t xml:space="preserve"> </w:t>
      </w:r>
    </w:p>
    <w:p w:rsidR="00B14175" w:rsidRPr="002F6726" w:rsidRDefault="00BD7844" w:rsidP="002F6726">
      <w:pPr>
        <w:spacing w:after="0" w:line="240" w:lineRule="auto"/>
        <w:jc w:val="center"/>
        <w:rPr>
          <w:rFonts w:ascii="Times New Roman" w:hAnsi="Times New Roman"/>
          <w:b/>
          <w:sz w:val="32"/>
          <w:szCs w:val="32"/>
          <w:u w:val="single"/>
        </w:rPr>
      </w:pPr>
      <w:r>
        <w:rPr>
          <w:rFonts w:ascii="Times New Roman" w:hAnsi="Times New Roman"/>
          <w:b/>
          <w:sz w:val="32"/>
          <w:szCs w:val="32"/>
          <w:u w:val="single"/>
        </w:rPr>
        <w:t>(Commercial Court Division)</w:t>
      </w:r>
    </w:p>
    <w:p w:rsidR="00B14175" w:rsidRDefault="0029376C" w:rsidP="001D20F0">
      <w:pPr>
        <w:spacing w:before="120" w:after="240" w:line="240" w:lineRule="auto"/>
        <w:rPr>
          <w:rFonts w:ascii="Times New Roman" w:hAnsi="Times New Roman"/>
          <w:b/>
          <w:sz w:val="32"/>
          <w:szCs w:val="32"/>
          <w:u w:val="single"/>
        </w:rPr>
      </w:pPr>
      <w:r>
        <w:rPr>
          <w:rFonts w:ascii="Times New Roman" w:hAnsi="Times New Roman"/>
          <w:b/>
          <w:sz w:val="32"/>
          <w:szCs w:val="32"/>
          <w:u w:val="single"/>
        </w:rPr>
        <w:t xml:space="preserve"> </w:t>
      </w:r>
    </w:p>
    <w:p w:rsidR="00B14175" w:rsidRDefault="0029376C" w:rsidP="00A67319">
      <w:pPr>
        <w:spacing w:before="120" w:after="240" w:line="240" w:lineRule="auto"/>
        <w:rPr>
          <w:rFonts w:ascii="Times New Roman" w:hAnsi="Times New Roman"/>
          <w:b/>
          <w:sz w:val="32"/>
          <w:szCs w:val="32"/>
        </w:rPr>
      </w:pPr>
      <w:r>
        <w:rPr>
          <w:rFonts w:ascii="Times New Roman" w:hAnsi="Times New Roman"/>
          <w:b/>
          <w:sz w:val="32"/>
          <w:szCs w:val="32"/>
        </w:rPr>
        <w:t>HELD AT MASERU</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CCT/16</w:t>
      </w:r>
      <w:r w:rsidR="00D13157">
        <w:rPr>
          <w:rFonts w:ascii="Times New Roman" w:hAnsi="Times New Roman"/>
          <w:b/>
          <w:sz w:val="32"/>
          <w:szCs w:val="32"/>
        </w:rPr>
        <w:t>1</w:t>
      </w:r>
      <w:r>
        <w:rPr>
          <w:rFonts w:ascii="Times New Roman" w:hAnsi="Times New Roman"/>
          <w:b/>
          <w:sz w:val="32"/>
          <w:szCs w:val="32"/>
        </w:rPr>
        <w:t>/2013</w:t>
      </w:r>
    </w:p>
    <w:p w:rsidR="00B14175" w:rsidRDefault="0029376C">
      <w:pPr>
        <w:spacing w:before="120" w:after="240" w:line="240" w:lineRule="auto"/>
        <w:rPr>
          <w:rFonts w:ascii="Times New Roman" w:hAnsi="Times New Roman"/>
          <w:sz w:val="32"/>
          <w:szCs w:val="32"/>
        </w:rPr>
      </w:pPr>
      <w:r>
        <w:rPr>
          <w:rFonts w:ascii="Times New Roman" w:hAnsi="Times New Roman"/>
          <w:sz w:val="32"/>
          <w:szCs w:val="32"/>
        </w:rPr>
        <w:t xml:space="preserve">In the matter between: </w:t>
      </w:r>
    </w:p>
    <w:p w:rsidR="00B14175" w:rsidRDefault="00B14175">
      <w:pPr>
        <w:spacing w:before="120" w:after="240" w:line="240" w:lineRule="auto"/>
        <w:rPr>
          <w:rFonts w:ascii="Times New Roman" w:hAnsi="Times New Roman"/>
          <w:sz w:val="32"/>
          <w:szCs w:val="32"/>
        </w:rPr>
      </w:pPr>
    </w:p>
    <w:p w:rsidR="00B14175" w:rsidRDefault="0029376C">
      <w:pPr>
        <w:spacing w:before="120" w:after="240" w:line="240" w:lineRule="auto"/>
      </w:pPr>
      <w:r>
        <w:rPr>
          <w:rFonts w:ascii="Times New Roman" w:hAnsi="Times New Roman"/>
          <w:b/>
          <w:sz w:val="32"/>
          <w:szCs w:val="32"/>
        </w:rPr>
        <w:t>TAU MONETHI</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w:t>
      </w:r>
      <w:r>
        <w:rPr>
          <w:rFonts w:ascii="Times New Roman" w:hAnsi="Times New Roman"/>
          <w:b/>
          <w:sz w:val="32"/>
          <w:szCs w:val="32"/>
        </w:rPr>
        <w:tab/>
        <w:t xml:space="preserve">    PLAINTIFF</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w:t>
      </w:r>
    </w:p>
    <w:p w:rsidR="00B14175" w:rsidRDefault="0029376C">
      <w:pPr>
        <w:spacing w:before="120" w:after="240" w:line="240" w:lineRule="auto"/>
        <w:rPr>
          <w:rFonts w:ascii="Times New Roman" w:hAnsi="Times New Roman"/>
          <w:sz w:val="32"/>
          <w:szCs w:val="32"/>
        </w:rPr>
      </w:pPr>
      <w:r>
        <w:rPr>
          <w:rFonts w:ascii="Times New Roman" w:hAnsi="Times New Roman"/>
          <w:sz w:val="32"/>
          <w:szCs w:val="32"/>
        </w:rPr>
        <w:t>And</w:t>
      </w:r>
    </w:p>
    <w:p w:rsidR="00B14175" w:rsidRDefault="00B14175">
      <w:pPr>
        <w:spacing w:line="240" w:lineRule="auto"/>
        <w:rPr>
          <w:rFonts w:ascii="Times New Roman" w:hAnsi="Times New Roman"/>
          <w:b/>
          <w:sz w:val="32"/>
          <w:szCs w:val="32"/>
        </w:rPr>
      </w:pPr>
    </w:p>
    <w:p w:rsidR="00B14175" w:rsidRDefault="0029376C">
      <w:pPr>
        <w:spacing w:line="240" w:lineRule="auto"/>
        <w:rPr>
          <w:rFonts w:ascii="Times New Roman" w:hAnsi="Times New Roman"/>
          <w:b/>
          <w:sz w:val="32"/>
          <w:szCs w:val="32"/>
        </w:rPr>
      </w:pPr>
      <w:r>
        <w:rPr>
          <w:rFonts w:ascii="Times New Roman" w:hAnsi="Times New Roman"/>
          <w:b/>
          <w:sz w:val="32"/>
          <w:szCs w:val="32"/>
        </w:rPr>
        <w:t>SETS’ABI MOTSETSELA</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DEFENDANT</w:t>
      </w:r>
    </w:p>
    <w:p w:rsidR="00B14175" w:rsidRDefault="00B14175">
      <w:pPr>
        <w:spacing w:line="240" w:lineRule="auto"/>
        <w:rPr>
          <w:rFonts w:ascii="Times New Roman" w:hAnsi="Times New Roman"/>
          <w:b/>
          <w:sz w:val="28"/>
          <w:szCs w:val="28"/>
        </w:rPr>
      </w:pPr>
    </w:p>
    <w:p w:rsidR="00B14175" w:rsidRDefault="0029376C">
      <w:pPr>
        <w:spacing w:line="240" w:lineRule="auto"/>
        <w:rPr>
          <w:rFonts w:ascii="Times New Roman" w:hAnsi="Times New Roman"/>
          <w:b/>
          <w:sz w:val="28"/>
          <w:szCs w:val="28"/>
        </w:rPr>
      </w:pPr>
      <w:r>
        <w:rPr>
          <w:rFonts w:ascii="Times New Roman" w:hAnsi="Times New Roman"/>
          <w:b/>
          <w:sz w:val="28"/>
          <w:szCs w:val="28"/>
        </w:rPr>
        <w:t>Neutral Citation</w:t>
      </w:r>
      <w:r w:rsidR="00690534">
        <w:rPr>
          <w:rFonts w:ascii="Times New Roman" w:hAnsi="Times New Roman"/>
          <w:b/>
          <w:sz w:val="28"/>
          <w:szCs w:val="28"/>
        </w:rPr>
        <w:t xml:space="preserve">: </w:t>
      </w:r>
      <w:r w:rsidR="00690534" w:rsidRPr="00690534">
        <w:rPr>
          <w:rFonts w:ascii="Times New Roman" w:hAnsi="Times New Roman"/>
          <w:bCs/>
          <w:sz w:val="28"/>
          <w:szCs w:val="28"/>
        </w:rPr>
        <w:t xml:space="preserve">Tau </w:t>
      </w:r>
      <w:proofErr w:type="spellStart"/>
      <w:r w:rsidR="00690534" w:rsidRPr="00690534">
        <w:rPr>
          <w:rFonts w:ascii="Times New Roman" w:hAnsi="Times New Roman"/>
          <w:bCs/>
          <w:sz w:val="28"/>
          <w:szCs w:val="28"/>
        </w:rPr>
        <w:t>Monethi</w:t>
      </w:r>
      <w:proofErr w:type="spellEnd"/>
      <w:r w:rsidR="00690534" w:rsidRPr="00690534">
        <w:rPr>
          <w:rFonts w:ascii="Times New Roman" w:hAnsi="Times New Roman"/>
          <w:bCs/>
          <w:sz w:val="28"/>
          <w:szCs w:val="28"/>
        </w:rPr>
        <w:t xml:space="preserve"> v </w:t>
      </w:r>
      <w:proofErr w:type="spellStart"/>
      <w:r w:rsidR="00690534" w:rsidRPr="00690534">
        <w:rPr>
          <w:rFonts w:ascii="Times New Roman" w:hAnsi="Times New Roman"/>
          <w:bCs/>
          <w:sz w:val="28"/>
          <w:szCs w:val="28"/>
        </w:rPr>
        <w:t>Set’sabi</w:t>
      </w:r>
      <w:proofErr w:type="spellEnd"/>
      <w:r w:rsidR="00690534" w:rsidRPr="00690534">
        <w:rPr>
          <w:rFonts w:ascii="Times New Roman" w:hAnsi="Times New Roman"/>
          <w:bCs/>
          <w:sz w:val="28"/>
          <w:szCs w:val="28"/>
        </w:rPr>
        <w:t xml:space="preserve"> </w:t>
      </w:r>
      <w:proofErr w:type="spellStart"/>
      <w:r w:rsidR="00690534" w:rsidRPr="00690534">
        <w:rPr>
          <w:rFonts w:ascii="Times New Roman" w:hAnsi="Times New Roman"/>
          <w:bCs/>
          <w:sz w:val="28"/>
          <w:szCs w:val="28"/>
        </w:rPr>
        <w:t>Motsetsela</w:t>
      </w:r>
      <w:proofErr w:type="spellEnd"/>
      <w:r w:rsidR="00690534">
        <w:rPr>
          <w:rFonts w:ascii="Times New Roman" w:hAnsi="Times New Roman"/>
          <w:bCs/>
          <w:sz w:val="28"/>
          <w:szCs w:val="28"/>
        </w:rPr>
        <w:t xml:space="preserve"> CCT/16</w:t>
      </w:r>
      <w:r w:rsidR="00D13157">
        <w:rPr>
          <w:rFonts w:ascii="Times New Roman" w:hAnsi="Times New Roman"/>
          <w:bCs/>
          <w:sz w:val="28"/>
          <w:szCs w:val="28"/>
        </w:rPr>
        <w:t>1</w:t>
      </w:r>
      <w:r w:rsidR="00690534">
        <w:rPr>
          <w:rFonts w:ascii="Times New Roman" w:hAnsi="Times New Roman"/>
          <w:bCs/>
          <w:sz w:val="28"/>
          <w:szCs w:val="28"/>
        </w:rPr>
        <w:t xml:space="preserve">/2013 [2021] LSHC </w:t>
      </w:r>
      <w:r w:rsidR="0019667A" w:rsidRPr="0019667A">
        <w:rPr>
          <w:rFonts w:ascii="Times New Roman" w:hAnsi="Times New Roman"/>
          <w:bCs/>
          <w:sz w:val="28"/>
          <w:szCs w:val="28"/>
        </w:rPr>
        <w:t>129 COM</w:t>
      </w:r>
      <w:r>
        <w:rPr>
          <w:rFonts w:ascii="Times New Roman" w:hAnsi="Times New Roman"/>
          <w:b/>
          <w:sz w:val="28"/>
          <w:szCs w:val="28"/>
        </w:rPr>
        <w:t xml:space="preserve"> </w:t>
      </w:r>
      <w:r w:rsidR="0019667A" w:rsidRPr="0019667A">
        <w:rPr>
          <w:rFonts w:ascii="Times New Roman" w:hAnsi="Times New Roman"/>
          <w:bCs/>
          <w:sz w:val="28"/>
          <w:szCs w:val="28"/>
        </w:rPr>
        <w:t>(</w:t>
      </w:r>
      <w:r w:rsidR="00B82EF7">
        <w:rPr>
          <w:rFonts w:ascii="Times New Roman" w:hAnsi="Times New Roman"/>
          <w:bCs/>
          <w:sz w:val="28"/>
          <w:szCs w:val="28"/>
        </w:rPr>
        <w:t>17</w:t>
      </w:r>
      <w:r w:rsidR="00B82EF7" w:rsidRPr="00B82EF7">
        <w:rPr>
          <w:rFonts w:ascii="Times New Roman" w:hAnsi="Times New Roman"/>
          <w:bCs/>
          <w:sz w:val="28"/>
          <w:szCs w:val="28"/>
          <w:vertAlign w:val="superscript"/>
        </w:rPr>
        <w:t>th</w:t>
      </w:r>
      <w:r w:rsidR="0019667A" w:rsidRPr="0019667A">
        <w:rPr>
          <w:rFonts w:ascii="Times New Roman" w:hAnsi="Times New Roman"/>
          <w:bCs/>
          <w:sz w:val="28"/>
          <w:szCs w:val="28"/>
        </w:rPr>
        <w:t xml:space="preserve"> </w:t>
      </w:r>
      <w:proofErr w:type="gramStart"/>
      <w:r w:rsidR="0019667A" w:rsidRPr="0019667A">
        <w:rPr>
          <w:rFonts w:ascii="Times New Roman" w:hAnsi="Times New Roman"/>
          <w:bCs/>
          <w:sz w:val="28"/>
          <w:szCs w:val="28"/>
        </w:rPr>
        <w:t>November,</w:t>
      </w:r>
      <w:proofErr w:type="gramEnd"/>
      <w:r w:rsidR="0019667A" w:rsidRPr="0019667A">
        <w:rPr>
          <w:rFonts w:ascii="Times New Roman" w:hAnsi="Times New Roman"/>
          <w:bCs/>
          <w:sz w:val="28"/>
          <w:szCs w:val="28"/>
        </w:rPr>
        <w:t xml:space="preserve"> 2021)</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t xml:space="preserve">  </w:t>
      </w:r>
    </w:p>
    <w:p w:rsidR="00B14175" w:rsidRDefault="00B14175">
      <w:pPr>
        <w:spacing w:after="0" w:line="240" w:lineRule="auto"/>
        <w:rPr>
          <w:rFonts w:ascii="Times New Roman" w:eastAsia="SimSun" w:hAnsi="Times New Roman"/>
          <w:b/>
          <w:sz w:val="28"/>
          <w:szCs w:val="28"/>
        </w:rPr>
      </w:pPr>
    </w:p>
    <w:p w:rsidR="0019667A" w:rsidRDefault="0019667A" w:rsidP="00BB2E6C">
      <w:pPr>
        <w:tabs>
          <w:tab w:val="left" w:pos="1134"/>
        </w:tabs>
        <w:spacing w:after="0" w:line="360" w:lineRule="auto"/>
        <w:rPr>
          <w:rFonts w:ascii="Times New Roman" w:hAnsi="Times New Roman"/>
          <w:b/>
          <w:iCs/>
          <w:sz w:val="28"/>
          <w:szCs w:val="28"/>
          <w:u w:val="single"/>
        </w:rPr>
      </w:pPr>
    </w:p>
    <w:p w:rsidR="00B14175" w:rsidRDefault="0029376C">
      <w:pPr>
        <w:tabs>
          <w:tab w:val="left" w:pos="1134"/>
        </w:tabs>
        <w:spacing w:after="0" w:line="360" w:lineRule="auto"/>
        <w:jc w:val="center"/>
        <w:rPr>
          <w:rFonts w:ascii="Times New Roman" w:hAnsi="Times New Roman"/>
          <w:b/>
          <w:iCs/>
          <w:sz w:val="28"/>
          <w:szCs w:val="28"/>
          <w:u w:val="single"/>
        </w:rPr>
      </w:pPr>
      <w:r>
        <w:rPr>
          <w:rFonts w:ascii="Times New Roman" w:hAnsi="Times New Roman"/>
          <w:b/>
          <w:iCs/>
          <w:sz w:val="28"/>
          <w:szCs w:val="28"/>
          <w:u w:val="single"/>
        </w:rPr>
        <w:t>JUDGMENT</w:t>
      </w:r>
    </w:p>
    <w:p w:rsidR="00B14175" w:rsidRDefault="00B14175">
      <w:pPr>
        <w:tabs>
          <w:tab w:val="left" w:pos="1134"/>
        </w:tabs>
        <w:spacing w:after="0" w:line="360" w:lineRule="auto"/>
        <w:jc w:val="both"/>
        <w:rPr>
          <w:rFonts w:ascii="Times New Roman" w:hAnsi="Times New Roman"/>
          <w:b/>
          <w:iCs/>
          <w:sz w:val="28"/>
          <w:szCs w:val="28"/>
          <w:u w:val="single"/>
        </w:rPr>
      </w:pPr>
    </w:p>
    <w:p w:rsidR="00B14175" w:rsidRDefault="0029376C">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t>CORAM:</w:t>
      </w:r>
      <w:r>
        <w:rPr>
          <w:rFonts w:ascii="Times New Roman" w:hAnsi="Times New Roman"/>
          <w:bCs/>
          <w:iCs/>
          <w:sz w:val="28"/>
          <w:szCs w:val="28"/>
        </w:rPr>
        <w:tab/>
      </w:r>
      <w:r>
        <w:rPr>
          <w:rFonts w:ascii="Times New Roman" w:hAnsi="Times New Roman"/>
          <w:bCs/>
          <w:iCs/>
          <w:sz w:val="28"/>
          <w:szCs w:val="28"/>
        </w:rPr>
        <w:tab/>
        <w:t xml:space="preserve"> </w:t>
      </w:r>
      <w:proofErr w:type="gramStart"/>
      <w:r>
        <w:rPr>
          <w:rFonts w:ascii="Times New Roman" w:hAnsi="Times New Roman"/>
          <w:bCs/>
          <w:iCs/>
          <w:sz w:val="28"/>
          <w:szCs w:val="28"/>
        </w:rPr>
        <w:tab/>
        <w:t xml:space="preserve">  </w:t>
      </w:r>
      <w:r w:rsidR="00962321">
        <w:rPr>
          <w:rFonts w:ascii="Times New Roman" w:hAnsi="Times New Roman"/>
          <w:bCs/>
          <w:iCs/>
          <w:sz w:val="28"/>
          <w:szCs w:val="28"/>
        </w:rPr>
        <w:tab/>
      </w:r>
      <w:proofErr w:type="gramEnd"/>
      <w:r>
        <w:rPr>
          <w:rFonts w:ascii="Times New Roman" w:hAnsi="Times New Roman"/>
          <w:bCs/>
          <w:iCs/>
          <w:sz w:val="28"/>
          <w:szCs w:val="28"/>
        </w:rPr>
        <w:t>MATHABA J</w:t>
      </w:r>
    </w:p>
    <w:p w:rsidR="00B14175" w:rsidRDefault="0029376C">
      <w:pPr>
        <w:tabs>
          <w:tab w:val="left" w:pos="1134"/>
        </w:tabs>
        <w:spacing w:after="240" w:line="360" w:lineRule="auto"/>
        <w:jc w:val="both"/>
      </w:pPr>
      <w:r>
        <w:rPr>
          <w:rFonts w:ascii="Times New Roman" w:hAnsi="Times New Roman"/>
          <w:bCs/>
          <w:iCs/>
          <w:sz w:val="28"/>
          <w:szCs w:val="28"/>
        </w:rPr>
        <w:t xml:space="preserve">HEARD ON: </w:t>
      </w:r>
      <w:r>
        <w:rPr>
          <w:rFonts w:ascii="Times New Roman" w:hAnsi="Times New Roman"/>
          <w:bCs/>
          <w:iCs/>
          <w:sz w:val="28"/>
          <w:szCs w:val="28"/>
        </w:rPr>
        <w:tab/>
      </w:r>
      <w:r w:rsidR="00962321">
        <w:rPr>
          <w:rFonts w:ascii="Times New Roman" w:hAnsi="Times New Roman"/>
          <w:bCs/>
          <w:iCs/>
          <w:sz w:val="28"/>
          <w:szCs w:val="28"/>
        </w:rPr>
        <w:tab/>
      </w:r>
      <w:r>
        <w:rPr>
          <w:rFonts w:ascii="Times New Roman" w:hAnsi="Times New Roman"/>
          <w:bCs/>
          <w:iCs/>
          <w:sz w:val="28"/>
          <w:szCs w:val="28"/>
        </w:rPr>
        <w:t>8</w:t>
      </w:r>
      <w:r>
        <w:rPr>
          <w:rFonts w:ascii="Times New Roman" w:hAnsi="Times New Roman"/>
          <w:bCs/>
          <w:iCs/>
          <w:sz w:val="28"/>
          <w:szCs w:val="28"/>
          <w:vertAlign w:val="superscript"/>
        </w:rPr>
        <w:t xml:space="preserve">th </w:t>
      </w:r>
      <w:r>
        <w:rPr>
          <w:rFonts w:ascii="Times New Roman" w:hAnsi="Times New Roman"/>
          <w:bCs/>
          <w:iCs/>
          <w:sz w:val="28"/>
          <w:szCs w:val="28"/>
        </w:rPr>
        <w:t>November 2021</w:t>
      </w:r>
    </w:p>
    <w:p w:rsidR="00B14175" w:rsidRDefault="0029376C" w:rsidP="002100A8">
      <w:pPr>
        <w:tabs>
          <w:tab w:val="left" w:pos="1134"/>
        </w:tabs>
        <w:spacing w:after="240" w:line="360" w:lineRule="auto"/>
        <w:jc w:val="both"/>
        <w:rPr>
          <w:rFonts w:ascii="Times New Roman" w:hAnsi="Times New Roman"/>
          <w:bCs/>
          <w:iCs/>
          <w:sz w:val="28"/>
          <w:szCs w:val="28"/>
        </w:rPr>
      </w:pPr>
      <w:r>
        <w:rPr>
          <w:rFonts w:ascii="Times New Roman" w:hAnsi="Times New Roman"/>
          <w:bCs/>
          <w:iCs/>
          <w:sz w:val="28"/>
          <w:szCs w:val="28"/>
        </w:rPr>
        <w:t>DELIVERED ON:</w:t>
      </w:r>
      <w:r w:rsidR="002100A8">
        <w:rPr>
          <w:rFonts w:ascii="Times New Roman" w:hAnsi="Times New Roman"/>
          <w:bCs/>
          <w:iCs/>
          <w:sz w:val="28"/>
          <w:szCs w:val="28"/>
        </w:rPr>
        <w:t xml:space="preserve"> </w:t>
      </w:r>
      <w:r w:rsidR="002100A8">
        <w:rPr>
          <w:rFonts w:ascii="Times New Roman" w:hAnsi="Times New Roman"/>
          <w:bCs/>
          <w:iCs/>
          <w:sz w:val="28"/>
          <w:szCs w:val="28"/>
        </w:rPr>
        <w:tab/>
        <w:t>17</w:t>
      </w:r>
      <w:r w:rsidR="002100A8" w:rsidRPr="002100A8">
        <w:rPr>
          <w:rFonts w:ascii="Times New Roman" w:hAnsi="Times New Roman"/>
          <w:bCs/>
          <w:iCs/>
          <w:sz w:val="28"/>
          <w:szCs w:val="28"/>
          <w:vertAlign w:val="superscript"/>
        </w:rPr>
        <w:t>th</w:t>
      </w:r>
      <w:r w:rsidR="002100A8">
        <w:rPr>
          <w:rFonts w:ascii="Times New Roman" w:hAnsi="Times New Roman"/>
          <w:bCs/>
          <w:iCs/>
          <w:sz w:val="28"/>
          <w:szCs w:val="28"/>
        </w:rPr>
        <w:t xml:space="preserve"> </w:t>
      </w:r>
      <w:r>
        <w:rPr>
          <w:rFonts w:ascii="Times New Roman" w:hAnsi="Times New Roman"/>
          <w:bCs/>
          <w:iCs/>
          <w:sz w:val="28"/>
          <w:szCs w:val="28"/>
        </w:rPr>
        <w:t>November 2021</w:t>
      </w:r>
    </w:p>
    <w:p w:rsidR="00E33BF6" w:rsidRPr="002100A8" w:rsidRDefault="00E33BF6" w:rsidP="002100A8">
      <w:pPr>
        <w:tabs>
          <w:tab w:val="left" w:pos="1134"/>
        </w:tabs>
        <w:spacing w:after="240" w:line="360" w:lineRule="auto"/>
        <w:jc w:val="both"/>
        <w:rPr>
          <w:rFonts w:ascii="Times New Roman" w:hAnsi="Times New Roman"/>
          <w:bCs/>
          <w:iCs/>
          <w:sz w:val="28"/>
          <w:szCs w:val="28"/>
        </w:rPr>
      </w:pPr>
      <w:bookmarkStart w:id="0" w:name="_GoBack"/>
      <w:bookmarkEnd w:id="0"/>
    </w:p>
    <w:p w:rsidR="00B14175" w:rsidRDefault="0029376C">
      <w:pPr>
        <w:tabs>
          <w:tab w:val="left" w:pos="1134"/>
        </w:tabs>
        <w:spacing w:after="240" w:line="360" w:lineRule="auto"/>
        <w:jc w:val="center"/>
        <w:rPr>
          <w:rFonts w:ascii="Times New Roman" w:hAnsi="Times New Roman"/>
          <w:b/>
          <w:iCs/>
          <w:sz w:val="28"/>
          <w:szCs w:val="28"/>
        </w:rPr>
      </w:pPr>
      <w:r>
        <w:rPr>
          <w:rFonts w:ascii="Times New Roman" w:hAnsi="Times New Roman"/>
          <w:b/>
          <w:iCs/>
          <w:sz w:val="28"/>
          <w:szCs w:val="28"/>
        </w:rPr>
        <w:lastRenderedPageBreak/>
        <w:t>SUMMARY:</w:t>
      </w:r>
    </w:p>
    <w:p w:rsidR="00B14175" w:rsidRDefault="0029376C">
      <w:pPr>
        <w:tabs>
          <w:tab w:val="left" w:pos="1134"/>
        </w:tabs>
        <w:spacing w:after="240" w:line="360" w:lineRule="auto"/>
        <w:jc w:val="both"/>
        <w:rPr>
          <w:rFonts w:ascii="Times New Roman" w:hAnsi="Times New Roman"/>
          <w:bCs/>
          <w:i/>
          <w:sz w:val="28"/>
          <w:szCs w:val="28"/>
        </w:rPr>
      </w:pPr>
      <w:r>
        <w:rPr>
          <w:rFonts w:ascii="Times New Roman" w:hAnsi="Times New Roman"/>
          <w:bCs/>
          <w:i/>
          <w:sz w:val="28"/>
          <w:szCs w:val="28"/>
        </w:rPr>
        <w:t xml:space="preserve">Contract – Payment for work done and building material – Plaintiff’s claim prescribed – Plaintiff in replication alleging that prescription interrupted by demands - Onus on the Plaintiff to prove allegations in replication – The date the cause of action prescribed is pleaded and not </w:t>
      </w:r>
      <w:proofErr w:type="spellStart"/>
      <w:r>
        <w:rPr>
          <w:rFonts w:ascii="Times New Roman" w:hAnsi="Times New Roman"/>
          <w:bCs/>
          <w:i/>
          <w:sz w:val="28"/>
          <w:szCs w:val="28"/>
        </w:rPr>
        <w:t>issuably</w:t>
      </w:r>
      <w:proofErr w:type="spellEnd"/>
      <w:r>
        <w:rPr>
          <w:rFonts w:ascii="Times New Roman" w:hAnsi="Times New Roman"/>
          <w:bCs/>
          <w:i/>
          <w:sz w:val="28"/>
          <w:szCs w:val="28"/>
        </w:rPr>
        <w:t xml:space="preserve"> denied – </w:t>
      </w:r>
      <w:r w:rsidR="00951694">
        <w:rPr>
          <w:rFonts w:ascii="Times New Roman" w:hAnsi="Times New Roman"/>
          <w:bCs/>
          <w:i/>
          <w:sz w:val="28"/>
          <w:szCs w:val="28"/>
        </w:rPr>
        <w:t xml:space="preserve">judicial admission of fact is conclusive and does not require evidence. </w:t>
      </w:r>
      <w:r>
        <w:rPr>
          <w:rFonts w:ascii="Times New Roman" w:hAnsi="Times New Roman"/>
          <w:bCs/>
          <w:i/>
          <w:sz w:val="28"/>
          <w:szCs w:val="28"/>
        </w:rPr>
        <w:t xml:space="preserve">  </w:t>
      </w:r>
    </w:p>
    <w:p w:rsidR="00B14175" w:rsidRDefault="00B14175">
      <w:pPr>
        <w:tabs>
          <w:tab w:val="left" w:pos="1134"/>
        </w:tabs>
        <w:spacing w:after="240" w:line="360" w:lineRule="auto"/>
        <w:jc w:val="both"/>
        <w:rPr>
          <w:rFonts w:ascii="Times New Roman" w:hAnsi="Times New Roman"/>
          <w:bCs/>
          <w:iCs/>
          <w:sz w:val="28"/>
          <w:szCs w:val="28"/>
        </w:rPr>
      </w:pPr>
    </w:p>
    <w:p w:rsidR="00B14175" w:rsidRDefault="0029376C">
      <w:pPr>
        <w:tabs>
          <w:tab w:val="left" w:pos="1134"/>
        </w:tabs>
        <w:spacing w:after="240" w:line="360" w:lineRule="auto"/>
        <w:jc w:val="both"/>
        <w:rPr>
          <w:rFonts w:ascii="Times New Roman" w:hAnsi="Times New Roman"/>
          <w:b/>
          <w:iCs/>
          <w:sz w:val="28"/>
          <w:szCs w:val="28"/>
          <w:u w:val="single"/>
        </w:rPr>
      </w:pPr>
      <w:r>
        <w:rPr>
          <w:rFonts w:ascii="Times New Roman" w:hAnsi="Times New Roman"/>
          <w:b/>
          <w:iCs/>
          <w:sz w:val="28"/>
          <w:szCs w:val="28"/>
          <w:u w:val="single"/>
        </w:rPr>
        <w:t>ANNOTATIONS:</w:t>
      </w:r>
    </w:p>
    <w:p w:rsidR="006F3D2E" w:rsidRDefault="006F3D2E">
      <w:pPr>
        <w:tabs>
          <w:tab w:val="left" w:pos="1134"/>
        </w:tabs>
        <w:spacing w:after="240" w:line="360" w:lineRule="auto"/>
        <w:jc w:val="both"/>
        <w:rPr>
          <w:rFonts w:ascii="Times New Roman" w:hAnsi="Times New Roman"/>
          <w:bCs/>
          <w:iCs/>
          <w:sz w:val="28"/>
          <w:szCs w:val="28"/>
          <w:u w:val="single"/>
        </w:rPr>
      </w:pPr>
      <w:r w:rsidRPr="006F3D2E">
        <w:rPr>
          <w:rFonts w:ascii="Times New Roman" w:hAnsi="Times New Roman"/>
          <w:bCs/>
          <w:iCs/>
          <w:sz w:val="28"/>
          <w:szCs w:val="28"/>
          <w:u w:val="single"/>
        </w:rPr>
        <w:t>LEGISLATION</w:t>
      </w:r>
    </w:p>
    <w:p w:rsidR="006F3D2E" w:rsidRDefault="006F3D2E">
      <w:pPr>
        <w:tabs>
          <w:tab w:val="left" w:pos="1134"/>
        </w:tabs>
        <w:spacing w:after="240" w:line="360" w:lineRule="auto"/>
        <w:jc w:val="both"/>
        <w:rPr>
          <w:rFonts w:ascii="Times New Roman" w:hAnsi="Times New Roman"/>
          <w:bCs/>
          <w:iCs/>
          <w:sz w:val="28"/>
          <w:szCs w:val="28"/>
        </w:rPr>
      </w:pPr>
      <w:r w:rsidRPr="006F3D2E">
        <w:rPr>
          <w:rFonts w:ascii="Times New Roman" w:hAnsi="Times New Roman"/>
          <w:bCs/>
          <w:iCs/>
          <w:sz w:val="28"/>
          <w:szCs w:val="28"/>
        </w:rPr>
        <w:t>L</w:t>
      </w:r>
      <w:r>
        <w:rPr>
          <w:rFonts w:ascii="Times New Roman" w:hAnsi="Times New Roman"/>
          <w:bCs/>
          <w:iCs/>
          <w:sz w:val="28"/>
          <w:szCs w:val="28"/>
        </w:rPr>
        <w:t>esotho High Court Rules of 1980</w:t>
      </w:r>
    </w:p>
    <w:p w:rsidR="008826FE" w:rsidRDefault="008826FE">
      <w:pPr>
        <w:tabs>
          <w:tab w:val="left" w:pos="1134"/>
        </w:tabs>
        <w:spacing w:after="240" w:line="360" w:lineRule="auto"/>
        <w:jc w:val="both"/>
        <w:rPr>
          <w:rFonts w:ascii="Times New Roman" w:hAnsi="Times New Roman"/>
          <w:bCs/>
          <w:iCs/>
          <w:sz w:val="28"/>
          <w:szCs w:val="28"/>
          <w:u w:val="single"/>
        </w:rPr>
      </w:pPr>
      <w:r w:rsidRPr="008826FE">
        <w:rPr>
          <w:rFonts w:ascii="Times New Roman" w:hAnsi="Times New Roman"/>
          <w:bCs/>
          <w:iCs/>
          <w:sz w:val="28"/>
          <w:szCs w:val="28"/>
          <w:u w:val="single"/>
        </w:rPr>
        <w:t>CITED CASES</w:t>
      </w:r>
    </w:p>
    <w:p w:rsidR="008826FE" w:rsidRDefault="008826FE">
      <w:pPr>
        <w:tabs>
          <w:tab w:val="left" w:pos="1134"/>
        </w:tabs>
        <w:spacing w:after="240" w:line="360" w:lineRule="auto"/>
        <w:jc w:val="both"/>
        <w:rPr>
          <w:rFonts w:ascii="Times New Roman" w:hAnsi="Times New Roman"/>
          <w:bCs/>
          <w:iCs/>
          <w:sz w:val="28"/>
          <w:szCs w:val="28"/>
          <w:u w:val="single"/>
        </w:rPr>
      </w:pPr>
      <w:r>
        <w:rPr>
          <w:rFonts w:ascii="Times New Roman" w:hAnsi="Times New Roman"/>
          <w:bCs/>
          <w:iCs/>
          <w:sz w:val="28"/>
          <w:szCs w:val="28"/>
          <w:u w:val="single"/>
        </w:rPr>
        <w:t>LESOTHO:</w:t>
      </w:r>
    </w:p>
    <w:p w:rsidR="00BB0F12" w:rsidRDefault="00BB0F12">
      <w:pPr>
        <w:tabs>
          <w:tab w:val="left" w:pos="1134"/>
        </w:tabs>
        <w:spacing w:after="240" w:line="360" w:lineRule="auto"/>
        <w:jc w:val="both"/>
        <w:rPr>
          <w:rFonts w:ascii="Times New Roman" w:hAnsi="Times New Roman"/>
          <w:sz w:val="28"/>
          <w:szCs w:val="28"/>
          <w:lang w:val="en-GB"/>
        </w:rPr>
      </w:pPr>
      <w:proofErr w:type="spellStart"/>
      <w:r w:rsidRPr="00BB0F12">
        <w:rPr>
          <w:rFonts w:ascii="Times New Roman" w:hAnsi="Times New Roman"/>
          <w:sz w:val="28"/>
          <w:szCs w:val="28"/>
          <w:lang w:val="en-GB"/>
        </w:rPr>
        <w:t>Fraisers</w:t>
      </w:r>
      <w:proofErr w:type="spellEnd"/>
      <w:r w:rsidRPr="00BB0F12">
        <w:rPr>
          <w:rFonts w:ascii="Times New Roman" w:hAnsi="Times New Roman"/>
          <w:sz w:val="28"/>
          <w:szCs w:val="28"/>
          <w:lang w:val="en-GB"/>
        </w:rPr>
        <w:t xml:space="preserve"> Lesotho Ltd v </w:t>
      </w:r>
      <w:proofErr w:type="spellStart"/>
      <w:r w:rsidRPr="00BB0F12">
        <w:rPr>
          <w:rFonts w:ascii="Times New Roman" w:hAnsi="Times New Roman"/>
          <w:sz w:val="28"/>
          <w:szCs w:val="28"/>
          <w:lang w:val="en-GB"/>
        </w:rPr>
        <w:t>Hata</w:t>
      </w:r>
      <w:proofErr w:type="spellEnd"/>
      <w:r w:rsidRPr="00BB0F12">
        <w:rPr>
          <w:rFonts w:ascii="Times New Roman" w:hAnsi="Times New Roman"/>
          <w:sz w:val="28"/>
          <w:szCs w:val="28"/>
          <w:lang w:val="en-GB"/>
        </w:rPr>
        <w:t xml:space="preserve"> – </w:t>
      </w:r>
      <w:proofErr w:type="spellStart"/>
      <w:r w:rsidRPr="00BB0F12">
        <w:rPr>
          <w:rFonts w:ascii="Times New Roman" w:hAnsi="Times New Roman"/>
          <w:sz w:val="28"/>
          <w:szCs w:val="28"/>
          <w:lang w:val="en-GB"/>
        </w:rPr>
        <w:t>Butle</w:t>
      </w:r>
      <w:proofErr w:type="spellEnd"/>
      <w:r w:rsidRPr="00BB0F12">
        <w:rPr>
          <w:rFonts w:ascii="Times New Roman" w:hAnsi="Times New Roman"/>
          <w:sz w:val="28"/>
          <w:szCs w:val="28"/>
          <w:lang w:val="en-GB"/>
        </w:rPr>
        <w:t xml:space="preserve"> (Pty) Ltd</w:t>
      </w:r>
      <w:r>
        <w:rPr>
          <w:rFonts w:ascii="Times New Roman" w:hAnsi="Times New Roman"/>
          <w:sz w:val="28"/>
          <w:szCs w:val="28"/>
          <w:lang w:val="en-GB"/>
        </w:rPr>
        <w:t xml:space="preserve"> LAC (1995-1999) 698</w:t>
      </w:r>
    </w:p>
    <w:p w:rsidR="00031BCF" w:rsidRPr="00031BCF" w:rsidRDefault="00031BCF">
      <w:pPr>
        <w:tabs>
          <w:tab w:val="left" w:pos="1134"/>
        </w:tabs>
        <w:spacing w:after="240" w:line="360" w:lineRule="auto"/>
        <w:jc w:val="both"/>
        <w:rPr>
          <w:rFonts w:ascii="Times New Roman" w:hAnsi="Times New Roman"/>
          <w:bCs/>
          <w:iCs/>
          <w:sz w:val="28"/>
          <w:szCs w:val="28"/>
        </w:rPr>
      </w:pPr>
      <w:proofErr w:type="spellStart"/>
      <w:r w:rsidRPr="00D93D8E">
        <w:rPr>
          <w:rFonts w:ascii="Times New Roman" w:hAnsi="Times New Roman"/>
          <w:bCs/>
          <w:iCs/>
          <w:sz w:val="28"/>
          <w:szCs w:val="28"/>
        </w:rPr>
        <w:t>Ntoa</w:t>
      </w:r>
      <w:proofErr w:type="spellEnd"/>
      <w:r w:rsidRPr="00D93D8E">
        <w:rPr>
          <w:rFonts w:ascii="Times New Roman" w:hAnsi="Times New Roman"/>
          <w:bCs/>
          <w:iCs/>
          <w:sz w:val="28"/>
          <w:szCs w:val="28"/>
        </w:rPr>
        <w:t xml:space="preserve"> </w:t>
      </w:r>
      <w:proofErr w:type="spellStart"/>
      <w:r w:rsidRPr="00D93D8E">
        <w:rPr>
          <w:rFonts w:ascii="Times New Roman" w:hAnsi="Times New Roman"/>
          <w:bCs/>
          <w:iCs/>
          <w:sz w:val="28"/>
          <w:szCs w:val="28"/>
        </w:rPr>
        <w:t>Abiel</w:t>
      </w:r>
      <w:proofErr w:type="spellEnd"/>
      <w:r w:rsidRPr="00D93D8E">
        <w:rPr>
          <w:rFonts w:ascii="Times New Roman" w:hAnsi="Times New Roman"/>
          <w:bCs/>
          <w:iCs/>
          <w:sz w:val="28"/>
          <w:szCs w:val="28"/>
        </w:rPr>
        <w:t xml:space="preserve"> Bushman v Lesotho Development and Construction (Pty) Ltd</w:t>
      </w:r>
      <w:r>
        <w:rPr>
          <w:rFonts w:ascii="Times New Roman" w:hAnsi="Times New Roman"/>
          <w:bCs/>
          <w:iCs/>
          <w:sz w:val="28"/>
          <w:szCs w:val="28"/>
        </w:rPr>
        <w:t xml:space="preserve"> C of A (C</w:t>
      </w:r>
      <w:r w:rsidR="009A2037">
        <w:rPr>
          <w:rFonts w:ascii="Times New Roman" w:hAnsi="Times New Roman"/>
          <w:bCs/>
          <w:iCs/>
          <w:sz w:val="28"/>
          <w:szCs w:val="28"/>
        </w:rPr>
        <w:t>IV</w:t>
      </w:r>
      <w:r>
        <w:rPr>
          <w:rFonts w:ascii="Times New Roman" w:hAnsi="Times New Roman"/>
          <w:bCs/>
          <w:iCs/>
          <w:sz w:val="28"/>
          <w:szCs w:val="28"/>
        </w:rPr>
        <w:t>) No.3 of 2015</w:t>
      </w:r>
    </w:p>
    <w:p w:rsidR="00264502" w:rsidRDefault="00031BCF" w:rsidP="00264502">
      <w:pPr>
        <w:tabs>
          <w:tab w:val="left" w:pos="1134"/>
        </w:tabs>
        <w:spacing w:after="240" w:line="480" w:lineRule="auto"/>
        <w:jc w:val="both"/>
        <w:rPr>
          <w:rFonts w:ascii="Times New Roman" w:hAnsi="Times New Roman"/>
          <w:bCs/>
          <w:iCs/>
          <w:sz w:val="28"/>
          <w:szCs w:val="28"/>
        </w:rPr>
      </w:pPr>
      <w:proofErr w:type="spellStart"/>
      <w:r w:rsidRPr="00955D6B">
        <w:rPr>
          <w:rFonts w:ascii="Times New Roman" w:hAnsi="Times New Roman"/>
          <w:bCs/>
          <w:iCs/>
          <w:sz w:val="28"/>
          <w:szCs w:val="28"/>
        </w:rPr>
        <w:t>Putsoa</w:t>
      </w:r>
      <w:proofErr w:type="spellEnd"/>
      <w:r w:rsidRPr="00955D6B">
        <w:rPr>
          <w:rFonts w:ascii="Times New Roman" w:hAnsi="Times New Roman"/>
          <w:bCs/>
          <w:iCs/>
          <w:sz w:val="28"/>
          <w:szCs w:val="28"/>
        </w:rPr>
        <w:t xml:space="preserve"> v Attorney General</w:t>
      </w:r>
      <w:r>
        <w:rPr>
          <w:rFonts w:ascii="Times New Roman" w:hAnsi="Times New Roman"/>
          <w:bCs/>
          <w:iCs/>
          <w:sz w:val="28"/>
          <w:szCs w:val="28"/>
        </w:rPr>
        <w:t xml:space="preserve"> C of A (C</w:t>
      </w:r>
      <w:r w:rsidR="009A2037">
        <w:rPr>
          <w:rFonts w:ascii="Times New Roman" w:hAnsi="Times New Roman"/>
          <w:bCs/>
          <w:iCs/>
          <w:sz w:val="28"/>
          <w:szCs w:val="28"/>
        </w:rPr>
        <w:t>IV</w:t>
      </w:r>
      <w:r>
        <w:rPr>
          <w:rFonts w:ascii="Times New Roman" w:hAnsi="Times New Roman"/>
          <w:bCs/>
          <w:iCs/>
          <w:sz w:val="28"/>
          <w:szCs w:val="28"/>
        </w:rPr>
        <w:t>) No. 1/</w:t>
      </w:r>
      <w:r w:rsidR="00264502">
        <w:rPr>
          <w:rFonts w:ascii="Times New Roman" w:hAnsi="Times New Roman"/>
          <w:bCs/>
          <w:iCs/>
          <w:sz w:val="28"/>
          <w:szCs w:val="28"/>
        </w:rPr>
        <w:t>1987</w:t>
      </w:r>
    </w:p>
    <w:p w:rsidR="00AA21A0" w:rsidRDefault="00031BCF" w:rsidP="00264502">
      <w:pPr>
        <w:tabs>
          <w:tab w:val="left" w:pos="1134"/>
        </w:tabs>
        <w:spacing w:after="240" w:line="480" w:lineRule="auto"/>
        <w:jc w:val="both"/>
        <w:rPr>
          <w:rFonts w:ascii="Times New Roman" w:hAnsi="Times New Roman"/>
          <w:bCs/>
          <w:iCs/>
          <w:sz w:val="28"/>
          <w:szCs w:val="28"/>
        </w:rPr>
      </w:pPr>
      <w:r w:rsidRPr="008826FE">
        <w:rPr>
          <w:rFonts w:ascii="Times New Roman" w:hAnsi="Times New Roman"/>
          <w:bCs/>
          <w:iCs/>
          <w:sz w:val="28"/>
          <w:szCs w:val="28"/>
        </w:rPr>
        <w:t xml:space="preserve">The Liquidator of Lesotho Bank v </w:t>
      </w:r>
      <w:proofErr w:type="spellStart"/>
      <w:r w:rsidRPr="008826FE">
        <w:rPr>
          <w:rFonts w:ascii="Times New Roman" w:hAnsi="Times New Roman"/>
          <w:bCs/>
          <w:iCs/>
          <w:sz w:val="28"/>
          <w:szCs w:val="28"/>
        </w:rPr>
        <w:t>Tamuku</w:t>
      </w:r>
      <w:proofErr w:type="spellEnd"/>
      <w:r w:rsidRPr="008826FE">
        <w:rPr>
          <w:rFonts w:ascii="Times New Roman" w:hAnsi="Times New Roman"/>
          <w:bCs/>
          <w:iCs/>
          <w:sz w:val="28"/>
          <w:szCs w:val="28"/>
        </w:rPr>
        <w:t xml:space="preserve"> Michael Molefe </w:t>
      </w:r>
      <w:proofErr w:type="spellStart"/>
      <w:r w:rsidRPr="008826FE">
        <w:rPr>
          <w:rFonts w:ascii="Times New Roman" w:hAnsi="Times New Roman"/>
          <w:bCs/>
          <w:iCs/>
          <w:sz w:val="28"/>
          <w:szCs w:val="28"/>
        </w:rPr>
        <w:t>Nkalai</w:t>
      </w:r>
      <w:proofErr w:type="spellEnd"/>
      <w:r>
        <w:rPr>
          <w:rFonts w:ascii="Times New Roman" w:hAnsi="Times New Roman"/>
          <w:bCs/>
          <w:iCs/>
          <w:sz w:val="28"/>
          <w:szCs w:val="28"/>
        </w:rPr>
        <w:t xml:space="preserve"> </w:t>
      </w:r>
      <w:r w:rsidR="00D32685">
        <w:rPr>
          <w:rFonts w:ascii="Times New Roman" w:hAnsi="Times New Roman"/>
          <w:bCs/>
          <w:iCs/>
          <w:sz w:val="28"/>
          <w:szCs w:val="28"/>
        </w:rPr>
        <w:t>(</w:t>
      </w:r>
      <w:r>
        <w:rPr>
          <w:rFonts w:ascii="Times New Roman" w:hAnsi="Times New Roman"/>
          <w:bCs/>
          <w:iCs/>
          <w:sz w:val="28"/>
          <w:szCs w:val="28"/>
        </w:rPr>
        <w:t>CCT/65/07</w:t>
      </w:r>
      <w:r w:rsidR="00D32685">
        <w:rPr>
          <w:rFonts w:ascii="Times New Roman" w:hAnsi="Times New Roman"/>
          <w:bCs/>
          <w:iCs/>
          <w:sz w:val="28"/>
          <w:szCs w:val="28"/>
        </w:rPr>
        <w:t>) LSHC 49 (10 July 2012)</w:t>
      </w:r>
    </w:p>
    <w:p w:rsidR="00A53389" w:rsidRPr="005F29A3" w:rsidRDefault="00AA21A0" w:rsidP="00A53389">
      <w:pPr>
        <w:tabs>
          <w:tab w:val="left" w:pos="1134"/>
        </w:tabs>
        <w:spacing w:after="240" w:line="480" w:lineRule="auto"/>
        <w:jc w:val="both"/>
        <w:rPr>
          <w:rFonts w:ascii="Times New Roman" w:hAnsi="Times New Roman"/>
          <w:bCs/>
          <w:iCs/>
          <w:sz w:val="28"/>
          <w:szCs w:val="28"/>
          <w:u w:val="single"/>
        </w:rPr>
      </w:pPr>
      <w:r w:rsidRPr="00AA21A0">
        <w:rPr>
          <w:rFonts w:ascii="Times New Roman" w:hAnsi="Times New Roman"/>
          <w:bCs/>
          <w:iCs/>
          <w:sz w:val="28"/>
          <w:szCs w:val="28"/>
          <w:u w:val="single"/>
        </w:rPr>
        <w:t>SOUTH AFRICA</w:t>
      </w:r>
    </w:p>
    <w:p w:rsidR="005F29A3" w:rsidRDefault="009B2059" w:rsidP="00B5028F">
      <w:pPr>
        <w:tabs>
          <w:tab w:val="left" w:pos="1134"/>
        </w:tabs>
        <w:spacing w:after="240" w:line="360" w:lineRule="auto"/>
        <w:jc w:val="both"/>
        <w:rPr>
          <w:rFonts w:ascii="Times New Roman" w:hAnsi="Times New Roman"/>
          <w:bCs/>
          <w:iCs/>
          <w:sz w:val="28"/>
          <w:szCs w:val="28"/>
        </w:rPr>
      </w:pPr>
      <w:r w:rsidRPr="009D48E2">
        <w:rPr>
          <w:rFonts w:ascii="Times New Roman" w:hAnsi="Times New Roman"/>
          <w:bCs/>
          <w:iCs/>
          <w:sz w:val="28"/>
          <w:szCs w:val="28"/>
        </w:rPr>
        <w:t xml:space="preserve">Edwards v </w:t>
      </w:r>
      <w:proofErr w:type="spellStart"/>
      <w:r w:rsidRPr="009D48E2">
        <w:rPr>
          <w:rFonts w:ascii="Times New Roman" w:hAnsi="Times New Roman"/>
          <w:bCs/>
          <w:iCs/>
          <w:sz w:val="28"/>
          <w:szCs w:val="28"/>
        </w:rPr>
        <w:t>Woodnutt</w:t>
      </w:r>
      <w:proofErr w:type="spellEnd"/>
      <w:r w:rsidRPr="009D48E2">
        <w:rPr>
          <w:rFonts w:ascii="Times New Roman" w:hAnsi="Times New Roman"/>
          <w:bCs/>
          <w:iCs/>
          <w:sz w:val="28"/>
          <w:szCs w:val="28"/>
        </w:rPr>
        <w:t>, N.O</w:t>
      </w:r>
      <w:r>
        <w:rPr>
          <w:rFonts w:ascii="Times New Roman" w:hAnsi="Times New Roman"/>
          <w:bCs/>
          <w:iCs/>
          <w:sz w:val="28"/>
          <w:szCs w:val="28"/>
        </w:rPr>
        <w:t xml:space="preserve"> 1968 (4) SA 184</w:t>
      </w:r>
    </w:p>
    <w:p w:rsidR="00B5028F" w:rsidRDefault="00B5028F" w:rsidP="00B5028F">
      <w:pPr>
        <w:tabs>
          <w:tab w:val="left" w:pos="1134"/>
        </w:tabs>
        <w:spacing w:after="240" w:line="360" w:lineRule="auto"/>
        <w:jc w:val="both"/>
        <w:rPr>
          <w:rFonts w:ascii="Times New Roman" w:hAnsi="Times New Roman"/>
          <w:bCs/>
          <w:iCs/>
          <w:sz w:val="28"/>
          <w:szCs w:val="28"/>
        </w:rPr>
      </w:pPr>
      <w:proofErr w:type="spellStart"/>
      <w:r w:rsidRPr="00644860">
        <w:rPr>
          <w:rFonts w:ascii="Times New Roman" w:hAnsi="Times New Roman"/>
          <w:bCs/>
          <w:iCs/>
          <w:sz w:val="28"/>
          <w:szCs w:val="28"/>
        </w:rPr>
        <w:lastRenderedPageBreak/>
        <w:t>Mckenzi</w:t>
      </w:r>
      <w:r w:rsidR="009B0043">
        <w:rPr>
          <w:rFonts w:ascii="Times New Roman" w:hAnsi="Times New Roman"/>
          <w:bCs/>
          <w:iCs/>
          <w:sz w:val="28"/>
          <w:szCs w:val="28"/>
        </w:rPr>
        <w:t>e</w:t>
      </w:r>
      <w:proofErr w:type="spellEnd"/>
      <w:r w:rsidRPr="00644860">
        <w:rPr>
          <w:rFonts w:ascii="Times New Roman" w:hAnsi="Times New Roman"/>
          <w:bCs/>
          <w:iCs/>
          <w:sz w:val="28"/>
          <w:szCs w:val="28"/>
        </w:rPr>
        <w:t xml:space="preserve"> v Farmers’ Co-operative Meat Industries Ltd</w:t>
      </w:r>
      <w:r>
        <w:rPr>
          <w:rFonts w:ascii="Times New Roman" w:hAnsi="Times New Roman"/>
          <w:bCs/>
          <w:iCs/>
          <w:sz w:val="28"/>
          <w:szCs w:val="28"/>
        </w:rPr>
        <w:t xml:space="preserve"> 1922 AD 16</w:t>
      </w:r>
    </w:p>
    <w:p w:rsidR="00123DAB" w:rsidRPr="00123DAB" w:rsidRDefault="00123DAB" w:rsidP="00123DAB">
      <w:pPr>
        <w:tabs>
          <w:tab w:val="left" w:pos="1134"/>
        </w:tabs>
        <w:spacing w:after="240" w:line="480" w:lineRule="auto"/>
        <w:jc w:val="both"/>
        <w:rPr>
          <w:rFonts w:ascii="Times New Roman" w:hAnsi="Times New Roman"/>
          <w:sz w:val="28"/>
          <w:szCs w:val="28"/>
        </w:rPr>
      </w:pPr>
      <w:r w:rsidRPr="001975D5">
        <w:rPr>
          <w:rFonts w:ascii="Times New Roman" w:hAnsi="Times New Roman"/>
          <w:sz w:val="28"/>
          <w:szCs w:val="28"/>
        </w:rPr>
        <w:t>Read v Brown </w:t>
      </w:r>
      <w:r w:rsidR="009B0043">
        <w:rPr>
          <w:rFonts w:ascii="Times New Roman" w:hAnsi="Times New Roman"/>
          <w:sz w:val="28"/>
          <w:szCs w:val="28"/>
        </w:rPr>
        <w:t xml:space="preserve">L.R. </w:t>
      </w:r>
      <w:r w:rsidRPr="001975D5">
        <w:rPr>
          <w:rFonts w:ascii="Times New Roman" w:hAnsi="Times New Roman"/>
          <w:sz w:val="28"/>
          <w:szCs w:val="28"/>
        </w:rPr>
        <w:t>22 QBD 1</w:t>
      </w:r>
      <w:r w:rsidR="009B0043">
        <w:rPr>
          <w:rFonts w:ascii="Times New Roman" w:hAnsi="Times New Roman"/>
          <w:sz w:val="28"/>
          <w:szCs w:val="28"/>
        </w:rPr>
        <w:t>28</w:t>
      </w:r>
    </w:p>
    <w:p w:rsidR="00B5028F" w:rsidRDefault="00B5028F" w:rsidP="00031BCF">
      <w:pPr>
        <w:tabs>
          <w:tab w:val="left" w:pos="1134"/>
        </w:tabs>
        <w:spacing w:after="240" w:line="480" w:lineRule="auto"/>
        <w:jc w:val="both"/>
        <w:rPr>
          <w:rFonts w:ascii="Times New Roman" w:hAnsi="Times New Roman"/>
          <w:bCs/>
          <w:iCs/>
          <w:sz w:val="28"/>
          <w:szCs w:val="28"/>
        </w:rPr>
      </w:pPr>
      <w:r w:rsidRPr="0032033A">
        <w:rPr>
          <w:rFonts w:ascii="Times New Roman" w:hAnsi="Times New Roman"/>
          <w:bCs/>
          <w:iCs/>
          <w:sz w:val="28"/>
          <w:szCs w:val="28"/>
        </w:rPr>
        <w:t xml:space="preserve">Truter and Another v </w:t>
      </w:r>
      <w:proofErr w:type="spellStart"/>
      <w:r w:rsidRPr="0032033A">
        <w:rPr>
          <w:rFonts w:ascii="Times New Roman" w:hAnsi="Times New Roman"/>
          <w:bCs/>
          <w:iCs/>
          <w:sz w:val="28"/>
          <w:szCs w:val="28"/>
        </w:rPr>
        <w:t>Deysel</w:t>
      </w:r>
      <w:proofErr w:type="spellEnd"/>
      <w:r w:rsidRPr="0032033A">
        <w:rPr>
          <w:rFonts w:ascii="Times New Roman" w:hAnsi="Times New Roman"/>
          <w:bCs/>
          <w:iCs/>
          <w:sz w:val="28"/>
          <w:szCs w:val="28"/>
        </w:rPr>
        <w:t xml:space="preserve"> 2006 (4) SA 168 </w:t>
      </w:r>
    </w:p>
    <w:p w:rsidR="00E901B9" w:rsidRDefault="00E901B9" w:rsidP="0032033A">
      <w:pPr>
        <w:tabs>
          <w:tab w:val="left" w:pos="1134"/>
        </w:tabs>
        <w:spacing w:after="240" w:line="480" w:lineRule="auto"/>
        <w:jc w:val="both"/>
        <w:rPr>
          <w:rFonts w:ascii="Times New Roman" w:hAnsi="Times New Roman"/>
          <w:bCs/>
          <w:iCs/>
          <w:sz w:val="28"/>
          <w:szCs w:val="28"/>
        </w:rPr>
      </w:pPr>
      <w:r w:rsidRPr="00E901B9">
        <w:rPr>
          <w:rFonts w:ascii="Times New Roman" w:hAnsi="Times New Roman"/>
          <w:bCs/>
          <w:iCs/>
          <w:sz w:val="28"/>
          <w:szCs w:val="28"/>
        </w:rPr>
        <w:t xml:space="preserve">Willem Daniel </w:t>
      </w:r>
      <w:proofErr w:type="spellStart"/>
      <w:r w:rsidRPr="00E901B9">
        <w:rPr>
          <w:rFonts w:ascii="Times New Roman" w:hAnsi="Times New Roman"/>
          <w:bCs/>
          <w:iCs/>
          <w:sz w:val="28"/>
          <w:szCs w:val="28"/>
        </w:rPr>
        <w:t>Knoesen</w:t>
      </w:r>
      <w:proofErr w:type="spellEnd"/>
      <w:r w:rsidRPr="00E901B9">
        <w:rPr>
          <w:rFonts w:ascii="Times New Roman" w:hAnsi="Times New Roman"/>
          <w:bCs/>
          <w:iCs/>
          <w:sz w:val="28"/>
          <w:szCs w:val="28"/>
        </w:rPr>
        <w:t xml:space="preserve"> and One v </w:t>
      </w:r>
      <w:proofErr w:type="spellStart"/>
      <w:r w:rsidRPr="00E901B9">
        <w:rPr>
          <w:rFonts w:ascii="Times New Roman" w:hAnsi="Times New Roman"/>
          <w:bCs/>
          <w:iCs/>
          <w:sz w:val="28"/>
          <w:szCs w:val="28"/>
        </w:rPr>
        <w:t>Izette</w:t>
      </w:r>
      <w:proofErr w:type="spellEnd"/>
      <w:r w:rsidRPr="00E901B9">
        <w:rPr>
          <w:rFonts w:ascii="Times New Roman" w:hAnsi="Times New Roman"/>
          <w:bCs/>
          <w:iCs/>
          <w:sz w:val="28"/>
          <w:szCs w:val="28"/>
        </w:rPr>
        <w:t xml:space="preserve"> </w:t>
      </w:r>
      <w:proofErr w:type="spellStart"/>
      <w:r w:rsidRPr="00E901B9">
        <w:rPr>
          <w:rFonts w:ascii="Times New Roman" w:hAnsi="Times New Roman"/>
          <w:bCs/>
          <w:iCs/>
          <w:sz w:val="28"/>
          <w:szCs w:val="28"/>
        </w:rPr>
        <w:t>Huijink</w:t>
      </w:r>
      <w:proofErr w:type="spellEnd"/>
      <w:r w:rsidRPr="00E901B9">
        <w:rPr>
          <w:rFonts w:ascii="Times New Roman" w:hAnsi="Times New Roman"/>
          <w:bCs/>
          <w:iCs/>
          <w:sz w:val="28"/>
          <w:szCs w:val="28"/>
        </w:rPr>
        <w:t>-Maritz and Others</w:t>
      </w:r>
      <w:r>
        <w:rPr>
          <w:rFonts w:ascii="Times New Roman" w:hAnsi="Times New Roman"/>
          <w:bCs/>
          <w:iCs/>
          <w:sz w:val="28"/>
          <w:szCs w:val="28"/>
        </w:rPr>
        <w:t xml:space="preserve"> </w:t>
      </w:r>
      <w:r w:rsidR="009E3A1A">
        <w:rPr>
          <w:rFonts w:ascii="Times New Roman" w:hAnsi="Times New Roman"/>
          <w:bCs/>
          <w:iCs/>
          <w:sz w:val="28"/>
          <w:szCs w:val="28"/>
        </w:rPr>
        <w:t>(</w:t>
      </w:r>
      <w:r>
        <w:rPr>
          <w:rFonts w:ascii="Times New Roman" w:hAnsi="Times New Roman"/>
          <w:bCs/>
          <w:iCs/>
          <w:sz w:val="28"/>
          <w:szCs w:val="28"/>
        </w:rPr>
        <w:t>5001/2018</w:t>
      </w:r>
      <w:r w:rsidR="009E3A1A">
        <w:rPr>
          <w:rFonts w:ascii="Times New Roman" w:hAnsi="Times New Roman"/>
          <w:bCs/>
          <w:iCs/>
          <w:sz w:val="28"/>
          <w:szCs w:val="28"/>
        </w:rPr>
        <w:t>) [2019] ZAFSHC 92 (31 May 2019)</w:t>
      </w:r>
    </w:p>
    <w:p w:rsidR="008826FE" w:rsidRPr="00CC1C67" w:rsidRDefault="00A53389">
      <w:pPr>
        <w:tabs>
          <w:tab w:val="left" w:pos="1134"/>
        </w:tabs>
        <w:spacing w:after="240" w:line="360" w:lineRule="auto"/>
        <w:jc w:val="both"/>
        <w:rPr>
          <w:rFonts w:ascii="Times New Roman" w:hAnsi="Times New Roman"/>
          <w:bCs/>
          <w:iCs/>
          <w:sz w:val="28"/>
          <w:szCs w:val="28"/>
        </w:rPr>
      </w:pPr>
      <w:proofErr w:type="spellStart"/>
      <w:r w:rsidRPr="009D48E2">
        <w:rPr>
          <w:rFonts w:ascii="Times New Roman" w:hAnsi="Times New Roman"/>
          <w:bCs/>
          <w:iCs/>
          <w:sz w:val="28"/>
          <w:szCs w:val="28"/>
        </w:rPr>
        <w:t>Y</w:t>
      </w:r>
      <w:r w:rsidR="00DA6347">
        <w:rPr>
          <w:rFonts w:ascii="Times New Roman" w:hAnsi="Times New Roman"/>
          <w:bCs/>
          <w:iCs/>
          <w:sz w:val="28"/>
          <w:szCs w:val="28"/>
        </w:rPr>
        <w:t>u</w:t>
      </w:r>
      <w:r w:rsidRPr="009D48E2">
        <w:rPr>
          <w:rFonts w:ascii="Times New Roman" w:hAnsi="Times New Roman"/>
          <w:bCs/>
          <w:iCs/>
          <w:sz w:val="28"/>
          <w:szCs w:val="28"/>
        </w:rPr>
        <w:t>saf</w:t>
      </w:r>
      <w:proofErr w:type="spellEnd"/>
      <w:r w:rsidRPr="009D48E2">
        <w:rPr>
          <w:rFonts w:ascii="Times New Roman" w:hAnsi="Times New Roman"/>
          <w:bCs/>
          <w:iCs/>
          <w:sz w:val="28"/>
          <w:szCs w:val="28"/>
        </w:rPr>
        <w:t xml:space="preserve"> v Bailey and Others</w:t>
      </w:r>
      <w:r>
        <w:rPr>
          <w:rFonts w:ascii="Times New Roman" w:hAnsi="Times New Roman"/>
          <w:bCs/>
          <w:iCs/>
          <w:sz w:val="28"/>
          <w:szCs w:val="28"/>
        </w:rPr>
        <w:t xml:space="preserve"> 1964 (4) SA 117</w:t>
      </w:r>
    </w:p>
    <w:p w:rsidR="00B3778A" w:rsidRDefault="00B3778A">
      <w:pPr>
        <w:tabs>
          <w:tab w:val="left" w:pos="1134"/>
        </w:tabs>
        <w:spacing w:after="240" w:line="360" w:lineRule="auto"/>
        <w:jc w:val="both"/>
        <w:rPr>
          <w:rFonts w:ascii="Times New Roman" w:hAnsi="Times New Roman"/>
          <w:b/>
          <w:iCs/>
          <w:sz w:val="28"/>
          <w:szCs w:val="28"/>
        </w:rPr>
      </w:pPr>
    </w:p>
    <w:p w:rsidR="00AD1B17" w:rsidRDefault="00AD1B17">
      <w:pPr>
        <w:tabs>
          <w:tab w:val="left" w:pos="1134"/>
        </w:tabs>
        <w:spacing w:after="240" w:line="360" w:lineRule="auto"/>
        <w:jc w:val="both"/>
        <w:rPr>
          <w:rFonts w:ascii="Times New Roman" w:hAnsi="Times New Roman"/>
          <w:b/>
          <w:iCs/>
          <w:sz w:val="28"/>
          <w:szCs w:val="28"/>
        </w:rPr>
      </w:pPr>
    </w:p>
    <w:p w:rsidR="00AD1B17" w:rsidRDefault="00AD1B17">
      <w:pPr>
        <w:tabs>
          <w:tab w:val="left" w:pos="1134"/>
        </w:tabs>
        <w:spacing w:after="240" w:line="360" w:lineRule="auto"/>
        <w:jc w:val="both"/>
        <w:rPr>
          <w:rFonts w:ascii="Times New Roman" w:hAnsi="Times New Roman"/>
          <w:b/>
          <w:iCs/>
          <w:sz w:val="28"/>
          <w:szCs w:val="28"/>
        </w:rPr>
      </w:pPr>
    </w:p>
    <w:p w:rsidR="00AD1B17" w:rsidRDefault="00AD1B17">
      <w:pPr>
        <w:tabs>
          <w:tab w:val="left" w:pos="1134"/>
        </w:tabs>
        <w:spacing w:after="240" w:line="360" w:lineRule="auto"/>
        <w:jc w:val="both"/>
        <w:rPr>
          <w:rFonts w:ascii="Times New Roman" w:hAnsi="Times New Roman"/>
          <w:b/>
          <w:iCs/>
          <w:sz w:val="28"/>
          <w:szCs w:val="28"/>
        </w:rPr>
      </w:pPr>
    </w:p>
    <w:p w:rsidR="00AD1B17" w:rsidRDefault="00AD1B17">
      <w:pPr>
        <w:tabs>
          <w:tab w:val="left" w:pos="1134"/>
        </w:tabs>
        <w:spacing w:after="240" w:line="360" w:lineRule="auto"/>
        <w:jc w:val="both"/>
        <w:rPr>
          <w:rFonts w:ascii="Times New Roman" w:hAnsi="Times New Roman"/>
          <w:b/>
          <w:iCs/>
          <w:sz w:val="28"/>
          <w:szCs w:val="28"/>
        </w:rPr>
      </w:pPr>
    </w:p>
    <w:p w:rsidR="00AD1B17" w:rsidRDefault="00AD1B17">
      <w:pPr>
        <w:tabs>
          <w:tab w:val="left" w:pos="1134"/>
        </w:tabs>
        <w:spacing w:after="240" w:line="360" w:lineRule="auto"/>
        <w:jc w:val="both"/>
        <w:rPr>
          <w:rFonts w:ascii="Times New Roman" w:hAnsi="Times New Roman"/>
          <w:b/>
          <w:iCs/>
          <w:sz w:val="28"/>
          <w:szCs w:val="28"/>
        </w:rPr>
      </w:pPr>
    </w:p>
    <w:p w:rsidR="00537D20" w:rsidRDefault="00537D20">
      <w:pPr>
        <w:tabs>
          <w:tab w:val="left" w:pos="1134"/>
        </w:tabs>
        <w:spacing w:after="240" w:line="360" w:lineRule="auto"/>
        <w:jc w:val="both"/>
        <w:rPr>
          <w:rFonts w:ascii="Times New Roman" w:hAnsi="Times New Roman"/>
          <w:b/>
          <w:iCs/>
          <w:sz w:val="28"/>
          <w:szCs w:val="28"/>
        </w:rPr>
      </w:pPr>
    </w:p>
    <w:p w:rsidR="00537D20" w:rsidRDefault="00537D20">
      <w:pPr>
        <w:tabs>
          <w:tab w:val="left" w:pos="1134"/>
        </w:tabs>
        <w:spacing w:after="240" w:line="360" w:lineRule="auto"/>
        <w:jc w:val="both"/>
        <w:rPr>
          <w:rFonts w:ascii="Times New Roman" w:hAnsi="Times New Roman"/>
          <w:b/>
          <w:iCs/>
          <w:sz w:val="28"/>
          <w:szCs w:val="28"/>
        </w:rPr>
      </w:pPr>
    </w:p>
    <w:p w:rsidR="00537D20" w:rsidRDefault="00537D20">
      <w:pPr>
        <w:tabs>
          <w:tab w:val="left" w:pos="1134"/>
        </w:tabs>
        <w:spacing w:after="240" w:line="360" w:lineRule="auto"/>
        <w:jc w:val="both"/>
        <w:rPr>
          <w:rFonts w:ascii="Times New Roman" w:hAnsi="Times New Roman"/>
          <w:b/>
          <w:iCs/>
          <w:sz w:val="28"/>
          <w:szCs w:val="28"/>
        </w:rPr>
      </w:pPr>
    </w:p>
    <w:p w:rsidR="00537D20" w:rsidRDefault="00537D20">
      <w:pPr>
        <w:tabs>
          <w:tab w:val="left" w:pos="1134"/>
        </w:tabs>
        <w:spacing w:after="240" w:line="360" w:lineRule="auto"/>
        <w:jc w:val="both"/>
        <w:rPr>
          <w:rFonts w:ascii="Times New Roman" w:hAnsi="Times New Roman"/>
          <w:b/>
          <w:iCs/>
          <w:sz w:val="28"/>
          <w:szCs w:val="28"/>
        </w:rPr>
      </w:pPr>
    </w:p>
    <w:p w:rsidR="00537D20" w:rsidRDefault="00537D20">
      <w:pPr>
        <w:tabs>
          <w:tab w:val="left" w:pos="1134"/>
        </w:tabs>
        <w:spacing w:after="240" w:line="360" w:lineRule="auto"/>
        <w:jc w:val="both"/>
        <w:rPr>
          <w:rFonts w:ascii="Times New Roman" w:hAnsi="Times New Roman"/>
          <w:b/>
          <w:iCs/>
          <w:sz w:val="28"/>
          <w:szCs w:val="28"/>
        </w:rPr>
      </w:pPr>
    </w:p>
    <w:p w:rsidR="00537D20" w:rsidRDefault="00537D20">
      <w:pPr>
        <w:tabs>
          <w:tab w:val="left" w:pos="1134"/>
        </w:tabs>
        <w:spacing w:after="240" w:line="360" w:lineRule="auto"/>
        <w:jc w:val="both"/>
        <w:rPr>
          <w:rFonts w:ascii="Times New Roman" w:hAnsi="Times New Roman"/>
          <w:b/>
          <w:iCs/>
          <w:sz w:val="28"/>
          <w:szCs w:val="28"/>
        </w:rPr>
      </w:pPr>
    </w:p>
    <w:p w:rsidR="00537D20" w:rsidRDefault="00537D20">
      <w:pPr>
        <w:tabs>
          <w:tab w:val="left" w:pos="1134"/>
        </w:tabs>
        <w:spacing w:after="240" w:line="360" w:lineRule="auto"/>
        <w:jc w:val="both"/>
        <w:rPr>
          <w:rFonts w:ascii="Times New Roman" w:hAnsi="Times New Roman"/>
          <w:b/>
          <w:iCs/>
          <w:sz w:val="28"/>
          <w:szCs w:val="28"/>
        </w:rPr>
      </w:pPr>
    </w:p>
    <w:p w:rsidR="00A47231" w:rsidRDefault="0029376C">
      <w:pPr>
        <w:tabs>
          <w:tab w:val="left" w:pos="1134"/>
        </w:tabs>
        <w:spacing w:after="240" w:line="360" w:lineRule="auto"/>
        <w:jc w:val="both"/>
        <w:rPr>
          <w:rFonts w:ascii="Times New Roman" w:hAnsi="Times New Roman"/>
          <w:b/>
          <w:iCs/>
          <w:sz w:val="28"/>
          <w:szCs w:val="28"/>
        </w:rPr>
      </w:pPr>
      <w:r>
        <w:rPr>
          <w:rFonts w:ascii="Times New Roman" w:hAnsi="Times New Roman"/>
          <w:b/>
          <w:iCs/>
          <w:sz w:val="28"/>
          <w:szCs w:val="28"/>
        </w:rPr>
        <w:lastRenderedPageBreak/>
        <w:t xml:space="preserve">INTRODUCTION </w:t>
      </w:r>
    </w:p>
    <w:p w:rsidR="00B14175" w:rsidRDefault="0029376C">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[1]</w:t>
      </w:r>
      <w:r>
        <w:rPr>
          <w:rFonts w:ascii="Times New Roman" w:hAnsi="Times New Roman"/>
          <w:b/>
          <w:iCs/>
          <w:sz w:val="28"/>
          <w:szCs w:val="28"/>
        </w:rPr>
        <w:tab/>
      </w:r>
      <w:r>
        <w:rPr>
          <w:rFonts w:ascii="Times New Roman" w:hAnsi="Times New Roman"/>
          <w:bCs/>
          <w:iCs/>
          <w:sz w:val="28"/>
          <w:szCs w:val="28"/>
        </w:rPr>
        <w:t xml:space="preserve">The sole issue for determination at this stage is the question whether the plaintiff ‘s claim against the defendant has prescribed. </w:t>
      </w:r>
    </w:p>
    <w:p w:rsidR="00A47231" w:rsidRDefault="00A47231">
      <w:pPr>
        <w:tabs>
          <w:tab w:val="left" w:pos="1134"/>
        </w:tabs>
        <w:spacing w:after="240" w:line="480" w:lineRule="auto"/>
        <w:jc w:val="both"/>
      </w:pPr>
    </w:p>
    <w:p w:rsidR="00B14175" w:rsidRDefault="0029376C">
      <w:pPr>
        <w:tabs>
          <w:tab w:val="left" w:pos="1134"/>
        </w:tabs>
        <w:spacing w:after="240" w:line="480" w:lineRule="auto"/>
        <w:jc w:val="both"/>
      </w:pPr>
      <w:r>
        <w:rPr>
          <w:rFonts w:ascii="Times New Roman" w:hAnsi="Times New Roman"/>
          <w:bCs/>
          <w:iCs/>
          <w:sz w:val="28"/>
          <w:szCs w:val="28"/>
        </w:rPr>
        <w:t>[2]</w:t>
      </w:r>
      <w:r>
        <w:rPr>
          <w:rFonts w:ascii="Times New Roman" w:hAnsi="Times New Roman"/>
          <w:bCs/>
          <w:iCs/>
          <w:sz w:val="28"/>
          <w:szCs w:val="28"/>
        </w:rPr>
        <w:tab/>
        <w:t xml:space="preserve">On </w:t>
      </w:r>
      <w:r w:rsidR="00EC232E">
        <w:rPr>
          <w:rFonts w:ascii="Times New Roman" w:hAnsi="Times New Roman"/>
          <w:bCs/>
          <w:iCs/>
          <w:sz w:val="28"/>
          <w:szCs w:val="28"/>
        </w:rPr>
        <w:t xml:space="preserve">the </w:t>
      </w:r>
      <w:r>
        <w:rPr>
          <w:rFonts w:ascii="Times New Roman" w:hAnsi="Times New Roman"/>
          <w:bCs/>
          <w:iCs/>
          <w:sz w:val="28"/>
          <w:szCs w:val="28"/>
        </w:rPr>
        <w:t>2</w:t>
      </w:r>
      <w:r>
        <w:rPr>
          <w:rFonts w:ascii="Times New Roman" w:hAnsi="Times New Roman"/>
          <w:bCs/>
          <w:iCs/>
          <w:sz w:val="28"/>
          <w:szCs w:val="28"/>
          <w:vertAlign w:val="superscript"/>
        </w:rPr>
        <w:t>nd</w:t>
      </w:r>
      <w:r>
        <w:rPr>
          <w:rFonts w:ascii="Times New Roman" w:hAnsi="Times New Roman"/>
          <w:bCs/>
          <w:iCs/>
          <w:sz w:val="28"/>
          <w:szCs w:val="28"/>
        </w:rPr>
        <w:t xml:space="preserve"> August 2013</w:t>
      </w:r>
      <w:r w:rsidR="00EC232E">
        <w:rPr>
          <w:rFonts w:ascii="Times New Roman" w:hAnsi="Times New Roman"/>
          <w:bCs/>
          <w:iCs/>
          <w:sz w:val="28"/>
          <w:szCs w:val="28"/>
        </w:rPr>
        <w:t xml:space="preserve"> </w:t>
      </w:r>
      <w:r>
        <w:rPr>
          <w:rFonts w:ascii="Times New Roman" w:hAnsi="Times New Roman"/>
          <w:bCs/>
          <w:iCs/>
          <w:sz w:val="28"/>
          <w:szCs w:val="28"/>
        </w:rPr>
        <w:t xml:space="preserve">the plaintiff issued out summons against the defendant claiming </w:t>
      </w:r>
      <w:r>
        <w:rPr>
          <w:rFonts w:ascii="Times New Roman" w:hAnsi="Times New Roman"/>
          <w:b/>
          <w:iCs/>
          <w:sz w:val="28"/>
          <w:szCs w:val="28"/>
        </w:rPr>
        <w:t>M90,343.91</w:t>
      </w:r>
      <w:r>
        <w:rPr>
          <w:rFonts w:ascii="Times New Roman" w:hAnsi="Times New Roman"/>
          <w:bCs/>
          <w:iCs/>
          <w:sz w:val="28"/>
          <w:szCs w:val="28"/>
        </w:rPr>
        <w:t xml:space="preserve"> and interest at the rate of 18.5% per annum from 31</w:t>
      </w:r>
      <w:r>
        <w:rPr>
          <w:rFonts w:ascii="Times New Roman" w:hAnsi="Times New Roman"/>
          <w:bCs/>
          <w:iCs/>
          <w:sz w:val="28"/>
          <w:szCs w:val="28"/>
          <w:vertAlign w:val="superscript"/>
        </w:rPr>
        <w:t>st</w:t>
      </w:r>
      <w:r>
        <w:rPr>
          <w:rFonts w:ascii="Times New Roman" w:hAnsi="Times New Roman"/>
          <w:bCs/>
          <w:iCs/>
          <w:sz w:val="28"/>
          <w:szCs w:val="28"/>
        </w:rPr>
        <w:t xml:space="preserve"> January 1997 until judgment is entered thereof. The pertinent portions of the declaration alleged as follows:</w:t>
      </w:r>
    </w:p>
    <w:p w:rsidR="00B14175" w:rsidRPr="00D13157" w:rsidRDefault="0029376C">
      <w:pPr>
        <w:tabs>
          <w:tab w:val="left" w:pos="1134"/>
        </w:tabs>
        <w:spacing w:after="240" w:line="480" w:lineRule="auto"/>
        <w:jc w:val="center"/>
        <w:rPr>
          <w:rFonts w:ascii="Times New Roman" w:hAnsi="Times New Roman"/>
          <w:bCs/>
          <w:iCs/>
          <w:sz w:val="24"/>
          <w:szCs w:val="24"/>
        </w:rPr>
      </w:pPr>
      <w:r w:rsidRPr="00D13157">
        <w:rPr>
          <w:rFonts w:ascii="Times New Roman" w:hAnsi="Times New Roman"/>
          <w:bCs/>
          <w:iCs/>
          <w:sz w:val="24"/>
          <w:szCs w:val="24"/>
        </w:rPr>
        <w:t>“(4)</w:t>
      </w:r>
    </w:p>
    <w:p w:rsidR="00B14175" w:rsidRDefault="0029376C">
      <w:pPr>
        <w:tabs>
          <w:tab w:val="left" w:pos="1134"/>
        </w:tabs>
        <w:spacing w:after="240" w:line="480" w:lineRule="auto"/>
        <w:ind w:left="1134"/>
        <w:jc w:val="both"/>
        <w:rPr>
          <w:rFonts w:ascii="Times New Roman" w:hAnsi="Times New Roman"/>
          <w:bCs/>
          <w:iCs/>
          <w:sz w:val="24"/>
          <w:szCs w:val="24"/>
        </w:rPr>
      </w:pPr>
      <w:r>
        <w:rPr>
          <w:rFonts w:ascii="Times New Roman" w:hAnsi="Times New Roman"/>
          <w:bCs/>
          <w:iCs/>
          <w:sz w:val="24"/>
          <w:szCs w:val="24"/>
        </w:rPr>
        <w:t xml:space="preserve">The parties herein entered into a verbal agreement of construction, whereby the Plaintiff was engaged to build a house for the Defendant at Ha </w:t>
      </w:r>
      <w:proofErr w:type="spellStart"/>
      <w:r>
        <w:rPr>
          <w:rFonts w:ascii="Times New Roman" w:hAnsi="Times New Roman"/>
          <w:bCs/>
          <w:iCs/>
          <w:sz w:val="24"/>
          <w:szCs w:val="24"/>
        </w:rPr>
        <w:t>Thetsane</w:t>
      </w:r>
      <w:proofErr w:type="spellEnd"/>
      <w:r>
        <w:rPr>
          <w:rFonts w:ascii="Times New Roman" w:hAnsi="Times New Roman"/>
          <w:bCs/>
          <w:iCs/>
          <w:sz w:val="24"/>
          <w:szCs w:val="24"/>
        </w:rPr>
        <w:t xml:space="preserve"> for an amount of </w:t>
      </w:r>
      <w:r w:rsidRPr="00EC232E">
        <w:rPr>
          <w:rFonts w:ascii="Times New Roman" w:hAnsi="Times New Roman"/>
          <w:b/>
          <w:iCs/>
          <w:sz w:val="24"/>
          <w:szCs w:val="24"/>
        </w:rPr>
        <w:t>M275,937-98</w:t>
      </w:r>
      <w:r>
        <w:rPr>
          <w:rFonts w:ascii="Times New Roman" w:hAnsi="Times New Roman"/>
          <w:bCs/>
          <w:iCs/>
          <w:sz w:val="24"/>
          <w:szCs w:val="24"/>
        </w:rPr>
        <w:t xml:space="preserve"> towards the end of 1996. The contract was to buy the building materials in terms of the agreement, therefor</w:t>
      </w:r>
      <w:r w:rsidR="00EC232E">
        <w:rPr>
          <w:rFonts w:ascii="Times New Roman" w:hAnsi="Times New Roman"/>
          <w:bCs/>
          <w:iCs/>
          <w:sz w:val="24"/>
          <w:szCs w:val="24"/>
        </w:rPr>
        <w:t>e</w:t>
      </w:r>
      <w:r>
        <w:rPr>
          <w:rFonts w:ascii="Times New Roman" w:hAnsi="Times New Roman"/>
          <w:bCs/>
          <w:iCs/>
          <w:sz w:val="24"/>
          <w:szCs w:val="24"/>
        </w:rPr>
        <w:t>, the following materials bought</w:t>
      </w:r>
      <w:r w:rsidR="00EC232E">
        <w:rPr>
          <w:rFonts w:ascii="Times New Roman" w:hAnsi="Times New Roman"/>
          <w:bCs/>
          <w:iCs/>
          <w:sz w:val="24"/>
          <w:szCs w:val="24"/>
        </w:rPr>
        <w:t xml:space="preserve"> (sic)</w:t>
      </w:r>
      <w:r>
        <w:rPr>
          <w:rFonts w:ascii="Times New Roman" w:hAnsi="Times New Roman"/>
          <w:bCs/>
          <w:iCs/>
          <w:sz w:val="24"/>
          <w:szCs w:val="24"/>
        </w:rPr>
        <w:t xml:space="preserve">; loti bricks, beam of blocks, steel pipe to the amount of </w:t>
      </w:r>
      <w:r w:rsidRPr="00EC232E">
        <w:rPr>
          <w:rFonts w:ascii="Times New Roman" w:hAnsi="Times New Roman"/>
          <w:b/>
          <w:iCs/>
          <w:sz w:val="24"/>
          <w:szCs w:val="24"/>
        </w:rPr>
        <w:t>M27,763-91</w:t>
      </w:r>
      <w:r>
        <w:rPr>
          <w:rFonts w:ascii="Times New Roman" w:hAnsi="Times New Roman"/>
          <w:bCs/>
          <w:iCs/>
          <w:sz w:val="24"/>
          <w:szCs w:val="24"/>
        </w:rPr>
        <w:t>. Copies of invoices and the inventory works that were to be performed by Plaintiff herein</w:t>
      </w:r>
      <w:r w:rsidR="00EC232E">
        <w:rPr>
          <w:rFonts w:ascii="Times New Roman" w:hAnsi="Times New Roman"/>
          <w:bCs/>
          <w:iCs/>
          <w:sz w:val="24"/>
          <w:szCs w:val="24"/>
        </w:rPr>
        <w:t xml:space="preserve"> (sic)</w:t>
      </w:r>
      <w:r>
        <w:rPr>
          <w:rFonts w:ascii="Times New Roman" w:hAnsi="Times New Roman"/>
          <w:bCs/>
          <w:iCs/>
          <w:sz w:val="24"/>
          <w:szCs w:val="24"/>
        </w:rPr>
        <w:t xml:space="preserve"> annexed and marked </w:t>
      </w:r>
      <w:r w:rsidRPr="00EC232E">
        <w:rPr>
          <w:rFonts w:ascii="Times New Roman" w:hAnsi="Times New Roman"/>
          <w:b/>
          <w:iCs/>
          <w:sz w:val="24"/>
          <w:szCs w:val="24"/>
        </w:rPr>
        <w:t>TM1, TM2, TM3</w:t>
      </w:r>
      <w:r>
        <w:rPr>
          <w:rFonts w:ascii="Times New Roman" w:hAnsi="Times New Roman"/>
          <w:bCs/>
          <w:iCs/>
          <w:sz w:val="24"/>
          <w:szCs w:val="24"/>
        </w:rPr>
        <w:t xml:space="preserve"> and </w:t>
      </w:r>
      <w:r w:rsidRPr="00EC232E">
        <w:rPr>
          <w:rFonts w:ascii="Times New Roman" w:hAnsi="Times New Roman"/>
          <w:b/>
          <w:iCs/>
          <w:sz w:val="24"/>
          <w:szCs w:val="24"/>
        </w:rPr>
        <w:t xml:space="preserve">TM4 </w:t>
      </w:r>
      <w:r>
        <w:rPr>
          <w:rFonts w:ascii="Times New Roman" w:hAnsi="Times New Roman"/>
          <w:bCs/>
          <w:iCs/>
          <w:sz w:val="24"/>
          <w:szCs w:val="24"/>
        </w:rPr>
        <w:t xml:space="preserve">collectively. </w:t>
      </w:r>
    </w:p>
    <w:p w:rsidR="00B14175" w:rsidRDefault="0029376C">
      <w:pPr>
        <w:tabs>
          <w:tab w:val="left" w:pos="1134"/>
        </w:tabs>
        <w:spacing w:after="240" w:line="480" w:lineRule="auto"/>
        <w:ind w:left="1134"/>
        <w:jc w:val="center"/>
        <w:rPr>
          <w:rFonts w:ascii="Times New Roman" w:hAnsi="Times New Roman"/>
          <w:bCs/>
          <w:iCs/>
          <w:sz w:val="24"/>
          <w:szCs w:val="24"/>
        </w:rPr>
      </w:pPr>
      <w:r>
        <w:rPr>
          <w:rFonts w:ascii="Times New Roman" w:hAnsi="Times New Roman"/>
          <w:bCs/>
          <w:iCs/>
          <w:sz w:val="24"/>
          <w:szCs w:val="24"/>
        </w:rPr>
        <w:t>(5)</w:t>
      </w:r>
    </w:p>
    <w:p w:rsidR="00B14175" w:rsidRPr="00EC232E" w:rsidRDefault="0029376C">
      <w:pPr>
        <w:tabs>
          <w:tab w:val="left" w:pos="1134"/>
        </w:tabs>
        <w:spacing w:after="240" w:line="480" w:lineRule="auto"/>
        <w:ind w:left="1134"/>
        <w:jc w:val="both"/>
        <w:rPr>
          <w:b/>
        </w:rPr>
      </w:pPr>
      <w:r>
        <w:rPr>
          <w:rFonts w:ascii="Times New Roman" w:hAnsi="Times New Roman"/>
          <w:bCs/>
          <w:iCs/>
          <w:sz w:val="24"/>
          <w:szCs w:val="24"/>
        </w:rPr>
        <w:t>Plaintiff constructed ground floor and walls and issue</w:t>
      </w:r>
      <w:r w:rsidR="00EC232E">
        <w:rPr>
          <w:rFonts w:ascii="Times New Roman" w:hAnsi="Times New Roman"/>
          <w:bCs/>
          <w:iCs/>
          <w:sz w:val="24"/>
          <w:szCs w:val="24"/>
        </w:rPr>
        <w:t>d</w:t>
      </w:r>
      <w:r>
        <w:rPr>
          <w:rFonts w:ascii="Times New Roman" w:hAnsi="Times New Roman"/>
          <w:bCs/>
          <w:iCs/>
          <w:sz w:val="24"/>
          <w:szCs w:val="24"/>
        </w:rPr>
        <w:t xml:space="preserve"> an invoice on the 31</w:t>
      </w:r>
      <w:r>
        <w:rPr>
          <w:rFonts w:ascii="Times New Roman" w:hAnsi="Times New Roman"/>
          <w:bCs/>
          <w:iCs/>
          <w:sz w:val="24"/>
          <w:szCs w:val="24"/>
          <w:vertAlign w:val="superscript"/>
        </w:rPr>
        <w:t>st</w:t>
      </w:r>
      <w:r>
        <w:rPr>
          <w:rFonts w:ascii="Times New Roman" w:hAnsi="Times New Roman"/>
          <w:bCs/>
          <w:iCs/>
          <w:sz w:val="24"/>
          <w:szCs w:val="24"/>
        </w:rPr>
        <w:t xml:space="preserve"> January 1997 in the amount of </w:t>
      </w:r>
      <w:r w:rsidRPr="00EC232E">
        <w:rPr>
          <w:rFonts w:ascii="Times New Roman" w:hAnsi="Times New Roman"/>
          <w:b/>
          <w:iCs/>
          <w:sz w:val="24"/>
          <w:szCs w:val="24"/>
        </w:rPr>
        <w:t>M62,580-00</w:t>
      </w:r>
      <w:r>
        <w:rPr>
          <w:rFonts w:ascii="Times New Roman" w:hAnsi="Times New Roman"/>
          <w:bCs/>
          <w:iCs/>
          <w:sz w:val="24"/>
          <w:szCs w:val="24"/>
        </w:rPr>
        <w:t xml:space="preserve">. However, to his dismay the said invoice was never settled. The said issue put Plaintiff on a precarious situation as he was </w:t>
      </w:r>
      <w:r w:rsidR="00EC232E">
        <w:rPr>
          <w:rFonts w:ascii="Times New Roman" w:hAnsi="Times New Roman"/>
          <w:bCs/>
          <w:iCs/>
          <w:sz w:val="24"/>
          <w:szCs w:val="24"/>
        </w:rPr>
        <w:t>un</w:t>
      </w:r>
      <w:r>
        <w:rPr>
          <w:rFonts w:ascii="Times New Roman" w:hAnsi="Times New Roman"/>
          <w:bCs/>
          <w:iCs/>
          <w:sz w:val="24"/>
          <w:szCs w:val="24"/>
        </w:rPr>
        <w:t xml:space="preserve">able to pay his employees and materials from suppliers, as a result had to </w:t>
      </w:r>
      <w:r>
        <w:rPr>
          <w:rFonts w:ascii="Times New Roman" w:hAnsi="Times New Roman"/>
          <w:bCs/>
          <w:iCs/>
          <w:sz w:val="24"/>
          <w:szCs w:val="24"/>
        </w:rPr>
        <w:lastRenderedPageBreak/>
        <w:t xml:space="preserve">discontinue the construction when awaiting payment which was not forthcoming. A copy is attached and marked </w:t>
      </w:r>
      <w:r w:rsidRPr="00EC232E">
        <w:rPr>
          <w:rFonts w:ascii="Times New Roman" w:hAnsi="Times New Roman"/>
          <w:b/>
          <w:iCs/>
          <w:sz w:val="24"/>
          <w:szCs w:val="24"/>
        </w:rPr>
        <w:t>TM5.</w:t>
      </w:r>
    </w:p>
    <w:p w:rsidR="00B14175" w:rsidRDefault="0029376C">
      <w:pPr>
        <w:tabs>
          <w:tab w:val="left" w:pos="1134"/>
        </w:tabs>
        <w:spacing w:after="240" w:line="480" w:lineRule="auto"/>
        <w:ind w:left="1134"/>
        <w:jc w:val="center"/>
        <w:rPr>
          <w:rFonts w:ascii="Times New Roman" w:hAnsi="Times New Roman"/>
          <w:bCs/>
          <w:iCs/>
          <w:sz w:val="24"/>
          <w:szCs w:val="24"/>
        </w:rPr>
      </w:pPr>
      <w:r>
        <w:rPr>
          <w:rFonts w:ascii="Times New Roman" w:hAnsi="Times New Roman"/>
          <w:bCs/>
          <w:iCs/>
          <w:sz w:val="24"/>
          <w:szCs w:val="24"/>
        </w:rPr>
        <w:t>(6)</w:t>
      </w:r>
    </w:p>
    <w:p w:rsidR="00B14175" w:rsidRDefault="0029376C">
      <w:pPr>
        <w:tabs>
          <w:tab w:val="left" w:pos="1134"/>
        </w:tabs>
        <w:spacing w:after="240" w:line="480" w:lineRule="auto"/>
        <w:ind w:left="1134"/>
        <w:jc w:val="both"/>
      </w:pPr>
      <w:r>
        <w:rPr>
          <w:rFonts w:ascii="Times New Roman" w:hAnsi="Times New Roman"/>
          <w:bCs/>
          <w:iCs/>
          <w:sz w:val="24"/>
          <w:szCs w:val="24"/>
        </w:rPr>
        <w:t>On the 21</w:t>
      </w:r>
      <w:r>
        <w:rPr>
          <w:rFonts w:ascii="Times New Roman" w:hAnsi="Times New Roman"/>
          <w:bCs/>
          <w:iCs/>
          <w:sz w:val="24"/>
          <w:szCs w:val="24"/>
          <w:vertAlign w:val="superscript"/>
        </w:rPr>
        <w:t>st</w:t>
      </w:r>
      <w:r>
        <w:rPr>
          <w:rFonts w:ascii="Times New Roman" w:hAnsi="Times New Roman"/>
          <w:bCs/>
          <w:iCs/>
          <w:sz w:val="24"/>
          <w:szCs w:val="24"/>
        </w:rPr>
        <w:t xml:space="preserve"> October 1997 Plaintiff was served with an interim Court order amongst others interdicting him from interfering with the Respondent’s site. A copy of the order is herein annexed and marked </w:t>
      </w:r>
      <w:r w:rsidRPr="00EC232E">
        <w:rPr>
          <w:rFonts w:ascii="Times New Roman" w:hAnsi="Times New Roman"/>
          <w:b/>
          <w:iCs/>
          <w:sz w:val="24"/>
          <w:szCs w:val="24"/>
        </w:rPr>
        <w:t>TM6.</w:t>
      </w:r>
    </w:p>
    <w:p w:rsidR="00B14175" w:rsidRDefault="0029376C">
      <w:pPr>
        <w:tabs>
          <w:tab w:val="left" w:pos="1134"/>
        </w:tabs>
        <w:spacing w:after="240" w:line="480" w:lineRule="auto"/>
        <w:ind w:left="1134"/>
        <w:jc w:val="center"/>
        <w:rPr>
          <w:rFonts w:ascii="Times New Roman" w:hAnsi="Times New Roman"/>
          <w:bCs/>
          <w:iCs/>
          <w:sz w:val="24"/>
          <w:szCs w:val="24"/>
        </w:rPr>
      </w:pPr>
      <w:r>
        <w:rPr>
          <w:rFonts w:ascii="Times New Roman" w:hAnsi="Times New Roman"/>
          <w:bCs/>
          <w:iCs/>
          <w:sz w:val="24"/>
          <w:szCs w:val="24"/>
        </w:rPr>
        <w:t>(7)</w:t>
      </w:r>
    </w:p>
    <w:p w:rsidR="00BA32EE" w:rsidRDefault="0029376C" w:rsidP="00CC1C67">
      <w:pPr>
        <w:tabs>
          <w:tab w:val="left" w:pos="1134"/>
        </w:tabs>
        <w:spacing w:after="240" w:line="480" w:lineRule="auto"/>
        <w:ind w:left="1134"/>
        <w:jc w:val="both"/>
        <w:rPr>
          <w:rFonts w:ascii="Times New Roman" w:hAnsi="Times New Roman"/>
          <w:bCs/>
          <w:iCs/>
          <w:sz w:val="24"/>
          <w:szCs w:val="24"/>
        </w:rPr>
      </w:pPr>
      <w:r>
        <w:rPr>
          <w:rFonts w:ascii="Times New Roman" w:hAnsi="Times New Roman"/>
          <w:bCs/>
          <w:iCs/>
          <w:sz w:val="24"/>
          <w:szCs w:val="24"/>
        </w:rPr>
        <w:t>Defendant’s estate ha</w:t>
      </w:r>
      <w:r w:rsidR="00EC232E">
        <w:rPr>
          <w:rFonts w:ascii="Times New Roman" w:hAnsi="Times New Roman"/>
          <w:bCs/>
          <w:iCs/>
          <w:sz w:val="24"/>
          <w:szCs w:val="24"/>
        </w:rPr>
        <w:t>s</w:t>
      </w:r>
      <w:r>
        <w:rPr>
          <w:rFonts w:ascii="Times New Roman" w:hAnsi="Times New Roman"/>
          <w:bCs/>
          <w:iCs/>
          <w:sz w:val="24"/>
          <w:szCs w:val="24"/>
        </w:rPr>
        <w:t xml:space="preserve"> been unjustly enriched by usurpation of the building material bought by Plaintiff and has failed to pay the work rendered by Plaintiff </w:t>
      </w:r>
      <w:proofErr w:type="gramStart"/>
      <w:r>
        <w:rPr>
          <w:rFonts w:ascii="Times New Roman" w:hAnsi="Times New Roman"/>
          <w:bCs/>
          <w:iCs/>
          <w:sz w:val="24"/>
          <w:szCs w:val="24"/>
        </w:rPr>
        <w:t>in spite of</w:t>
      </w:r>
      <w:proofErr w:type="gramEnd"/>
      <w:r>
        <w:rPr>
          <w:rFonts w:ascii="Times New Roman" w:hAnsi="Times New Roman"/>
          <w:bCs/>
          <w:iCs/>
          <w:sz w:val="24"/>
          <w:szCs w:val="24"/>
        </w:rPr>
        <w:t xml:space="preserve"> several demands made to that effect. Defendant</w:t>
      </w:r>
      <w:r w:rsidR="00EC232E">
        <w:rPr>
          <w:rFonts w:ascii="Times New Roman" w:hAnsi="Times New Roman"/>
          <w:bCs/>
          <w:iCs/>
          <w:sz w:val="24"/>
          <w:szCs w:val="24"/>
        </w:rPr>
        <w:t xml:space="preserve"> has</w:t>
      </w:r>
      <w:r>
        <w:rPr>
          <w:rFonts w:ascii="Times New Roman" w:hAnsi="Times New Roman"/>
          <w:bCs/>
          <w:iCs/>
          <w:sz w:val="24"/>
          <w:szCs w:val="24"/>
        </w:rPr>
        <w:t xml:space="preserve"> neglected, failed and/or refused to pay the outstanding amount”. </w:t>
      </w:r>
    </w:p>
    <w:p w:rsidR="00CC1C67" w:rsidRPr="00CC1C67" w:rsidRDefault="00CC1C67" w:rsidP="00CC1C67">
      <w:pPr>
        <w:tabs>
          <w:tab w:val="left" w:pos="1134"/>
        </w:tabs>
        <w:spacing w:after="240" w:line="480" w:lineRule="auto"/>
        <w:ind w:left="1134"/>
        <w:jc w:val="both"/>
        <w:rPr>
          <w:rFonts w:ascii="Times New Roman" w:hAnsi="Times New Roman"/>
          <w:bCs/>
          <w:iCs/>
          <w:sz w:val="24"/>
          <w:szCs w:val="24"/>
        </w:rPr>
      </w:pPr>
    </w:p>
    <w:p w:rsidR="00A47231" w:rsidRDefault="0029376C">
      <w:pPr>
        <w:tabs>
          <w:tab w:val="left" w:pos="1134"/>
        </w:tabs>
        <w:spacing w:after="240" w:line="480" w:lineRule="auto"/>
        <w:rPr>
          <w:rFonts w:ascii="Times New Roman" w:hAnsi="Times New Roman"/>
          <w:b/>
          <w:iCs/>
          <w:sz w:val="28"/>
          <w:szCs w:val="28"/>
        </w:rPr>
      </w:pPr>
      <w:r>
        <w:rPr>
          <w:rFonts w:ascii="Times New Roman" w:hAnsi="Times New Roman"/>
          <w:b/>
          <w:iCs/>
          <w:sz w:val="28"/>
          <w:szCs w:val="28"/>
        </w:rPr>
        <w:t xml:space="preserve">THE SPECIAL PLEA OF PRESCRIPTION </w:t>
      </w:r>
    </w:p>
    <w:p w:rsidR="00B14175" w:rsidRDefault="0029376C">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[3]</w:t>
      </w:r>
      <w:r>
        <w:rPr>
          <w:rFonts w:ascii="Times New Roman" w:hAnsi="Times New Roman"/>
          <w:bCs/>
          <w:iCs/>
          <w:sz w:val="28"/>
          <w:szCs w:val="28"/>
        </w:rPr>
        <w:tab/>
        <w:t xml:space="preserve">In its plea to the summons and declaration that were amplified by further particulars, the defendant raised the special plea in the following </w:t>
      </w:r>
      <w:proofErr w:type="gramStart"/>
      <w:r>
        <w:rPr>
          <w:rFonts w:ascii="Times New Roman" w:hAnsi="Times New Roman"/>
          <w:bCs/>
          <w:iCs/>
          <w:sz w:val="28"/>
          <w:szCs w:val="28"/>
        </w:rPr>
        <w:t>terms:-</w:t>
      </w:r>
      <w:proofErr w:type="gramEnd"/>
    </w:p>
    <w:p w:rsidR="00B14175" w:rsidRDefault="0029376C">
      <w:pPr>
        <w:tabs>
          <w:tab w:val="left" w:pos="1134"/>
        </w:tabs>
        <w:spacing w:after="240" w:line="480" w:lineRule="auto"/>
        <w:jc w:val="both"/>
      </w:pPr>
      <w:r>
        <w:rPr>
          <w:rFonts w:ascii="Times New Roman" w:hAnsi="Times New Roman"/>
          <w:bCs/>
          <w:iCs/>
          <w:sz w:val="28"/>
          <w:szCs w:val="28"/>
        </w:rPr>
        <w:tab/>
        <w:t>“1.</w:t>
      </w:r>
      <w:r>
        <w:rPr>
          <w:rFonts w:ascii="Times New Roman" w:hAnsi="Times New Roman"/>
          <w:bCs/>
          <w:iCs/>
          <w:sz w:val="28"/>
          <w:szCs w:val="28"/>
        </w:rPr>
        <w:tab/>
      </w:r>
      <w:r>
        <w:rPr>
          <w:rFonts w:ascii="Times New Roman" w:hAnsi="Times New Roman"/>
          <w:b/>
          <w:iCs/>
          <w:sz w:val="28"/>
          <w:szCs w:val="28"/>
        </w:rPr>
        <w:t>SPECIAL PLEA OF PRESCRIPTION</w:t>
      </w:r>
      <w:r>
        <w:rPr>
          <w:rFonts w:ascii="Times New Roman" w:hAnsi="Times New Roman"/>
          <w:bCs/>
          <w:iCs/>
          <w:sz w:val="28"/>
          <w:szCs w:val="28"/>
        </w:rPr>
        <w:t xml:space="preserve"> </w:t>
      </w:r>
    </w:p>
    <w:p w:rsidR="00B14175" w:rsidRDefault="0029376C">
      <w:pPr>
        <w:tabs>
          <w:tab w:val="left" w:pos="1134"/>
        </w:tabs>
        <w:spacing w:after="240" w:line="480" w:lineRule="auto"/>
        <w:ind w:left="2160" w:hanging="2160"/>
      </w:pPr>
      <w:r>
        <w:rPr>
          <w:rFonts w:ascii="Times New Roman" w:hAnsi="Times New Roman"/>
          <w:bCs/>
          <w:iCs/>
          <w:sz w:val="28"/>
          <w:szCs w:val="28"/>
        </w:rPr>
        <w:tab/>
        <w:t>1</w:t>
      </w:r>
      <w:r>
        <w:rPr>
          <w:rFonts w:ascii="Times New Roman" w:hAnsi="Times New Roman"/>
          <w:bCs/>
          <w:iCs/>
          <w:sz w:val="24"/>
          <w:szCs w:val="24"/>
        </w:rPr>
        <w:t>.1</w:t>
      </w:r>
      <w:r>
        <w:rPr>
          <w:rFonts w:ascii="Times New Roman" w:hAnsi="Times New Roman"/>
          <w:bCs/>
          <w:iCs/>
          <w:sz w:val="24"/>
          <w:szCs w:val="24"/>
        </w:rPr>
        <w:tab/>
        <w:t>Defendant pleads that the plaintiff’s claim is based on work and labour rendered and done and materials provided for same on or before 31</w:t>
      </w:r>
      <w:r>
        <w:rPr>
          <w:rFonts w:ascii="Times New Roman" w:hAnsi="Times New Roman"/>
          <w:bCs/>
          <w:iCs/>
          <w:sz w:val="24"/>
          <w:szCs w:val="24"/>
          <w:vertAlign w:val="superscript"/>
        </w:rPr>
        <w:t>st</w:t>
      </w:r>
      <w:r>
        <w:rPr>
          <w:rFonts w:ascii="Times New Roman" w:hAnsi="Times New Roman"/>
          <w:bCs/>
          <w:iCs/>
          <w:sz w:val="24"/>
          <w:szCs w:val="24"/>
        </w:rPr>
        <w:t xml:space="preserve"> January 1997.</w:t>
      </w:r>
    </w:p>
    <w:p w:rsidR="00B14175" w:rsidRDefault="0029376C">
      <w:pPr>
        <w:tabs>
          <w:tab w:val="left" w:pos="1134"/>
        </w:tabs>
        <w:spacing w:after="240" w:line="480" w:lineRule="auto"/>
        <w:ind w:left="2160" w:hanging="2160"/>
        <w:jc w:val="both"/>
        <w:rPr>
          <w:rFonts w:ascii="Times New Roman" w:hAnsi="Times New Roman"/>
          <w:bCs/>
          <w:iCs/>
          <w:sz w:val="24"/>
          <w:szCs w:val="24"/>
        </w:rPr>
      </w:pPr>
      <w:r>
        <w:rPr>
          <w:rFonts w:ascii="Times New Roman" w:hAnsi="Times New Roman"/>
          <w:bCs/>
          <w:iCs/>
          <w:sz w:val="24"/>
          <w:szCs w:val="24"/>
        </w:rPr>
        <w:lastRenderedPageBreak/>
        <w:tab/>
        <w:t>1.2</w:t>
      </w:r>
      <w:r>
        <w:rPr>
          <w:rFonts w:ascii="Times New Roman" w:hAnsi="Times New Roman"/>
          <w:bCs/>
          <w:iCs/>
          <w:sz w:val="24"/>
          <w:szCs w:val="24"/>
        </w:rPr>
        <w:tab/>
        <w:t>The plaintiff’s claim has prescribed and on this ground alone the plaintiff is non-suited in that in terms of section 3 read with section 4 of the Prescription Act No. 6 of 1861 no suit or action upon any liquid document of debt of such a nature as to be capable of sustaining a claim for provisional sentence is capable of being brought a</w:t>
      </w:r>
      <w:r w:rsidR="00DF5FA1">
        <w:rPr>
          <w:rFonts w:ascii="Times New Roman" w:hAnsi="Times New Roman"/>
          <w:bCs/>
          <w:iCs/>
          <w:sz w:val="24"/>
          <w:szCs w:val="24"/>
        </w:rPr>
        <w:t>t</w:t>
      </w:r>
      <w:r>
        <w:rPr>
          <w:rFonts w:ascii="Times New Roman" w:hAnsi="Times New Roman"/>
          <w:bCs/>
          <w:iCs/>
          <w:sz w:val="24"/>
          <w:szCs w:val="24"/>
        </w:rPr>
        <w:t xml:space="preserve"> any time after the expiration of eight (8) years from the time when the cause of action based on such liquid document first accrues.</w:t>
      </w:r>
    </w:p>
    <w:p w:rsidR="00B14175" w:rsidRDefault="0029376C">
      <w:pPr>
        <w:tabs>
          <w:tab w:val="left" w:pos="1134"/>
        </w:tabs>
        <w:spacing w:after="240" w:line="480" w:lineRule="auto"/>
        <w:ind w:left="2160" w:hanging="2160"/>
        <w:jc w:val="both"/>
      </w:pPr>
      <w:r>
        <w:rPr>
          <w:rFonts w:ascii="Times New Roman" w:hAnsi="Times New Roman"/>
          <w:bCs/>
          <w:iCs/>
          <w:sz w:val="24"/>
          <w:szCs w:val="24"/>
        </w:rPr>
        <w:tab/>
        <w:t>1.3</w:t>
      </w:r>
      <w:r>
        <w:rPr>
          <w:rFonts w:ascii="Times New Roman" w:hAnsi="Times New Roman"/>
          <w:bCs/>
          <w:iCs/>
          <w:sz w:val="24"/>
          <w:szCs w:val="24"/>
        </w:rPr>
        <w:tab/>
        <w:t>In the premises the defendant specifically pleads that the plaintiff’s cause of action prescribed commencing on 1</w:t>
      </w:r>
      <w:r>
        <w:rPr>
          <w:rFonts w:ascii="Times New Roman" w:hAnsi="Times New Roman"/>
          <w:bCs/>
          <w:iCs/>
          <w:sz w:val="24"/>
          <w:szCs w:val="24"/>
          <w:vertAlign w:val="superscript"/>
        </w:rPr>
        <w:t xml:space="preserve"> </w:t>
      </w:r>
      <w:r>
        <w:rPr>
          <w:rFonts w:ascii="Times New Roman" w:hAnsi="Times New Roman"/>
          <w:bCs/>
          <w:iCs/>
          <w:sz w:val="24"/>
          <w:szCs w:val="24"/>
        </w:rPr>
        <w:t xml:space="preserve">February 2005 and the running of the prescription has not been interrupted </w:t>
      </w:r>
      <w:r w:rsidR="00D13157">
        <w:rPr>
          <w:rFonts w:ascii="Times New Roman" w:hAnsi="Times New Roman"/>
          <w:bCs/>
          <w:iCs/>
          <w:sz w:val="24"/>
          <w:szCs w:val="24"/>
        </w:rPr>
        <w:t xml:space="preserve">until (sic) </w:t>
      </w:r>
      <w:r>
        <w:rPr>
          <w:rFonts w:ascii="Times New Roman" w:hAnsi="Times New Roman"/>
          <w:bCs/>
          <w:iCs/>
          <w:sz w:val="24"/>
          <w:szCs w:val="24"/>
        </w:rPr>
        <w:t xml:space="preserve">to date.” </w:t>
      </w:r>
    </w:p>
    <w:p w:rsidR="00B14175" w:rsidRDefault="0029376C">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[4]</w:t>
      </w:r>
      <w:r>
        <w:rPr>
          <w:rFonts w:ascii="Times New Roman" w:hAnsi="Times New Roman"/>
          <w:bCs/>
          <w:iCs/>
          <w:sz w:val="28"/>
          <w:szCs w:val="28"/>
        </w:rPr>
        <w:tab/>
        <w:t>In response the plaintiff files replication and reacted as follow</w:t>
      </w:r>
      <w:r w:rsidR="00EC232E">
        <w:rPr>
          <w:rFonts w:ascii="Times New Roman" w:hAnsi="Times New Roman"/>
          <w:bCs/>
          <w:iCs/>
          <w:sz w:val="28"/>
          <w:szCs w:val="28"/>
        </w:rPr>
        <w:t>s</w:t>
      </w:r>
      <w:r>
        <w:rPr>
          <w:rFonts w:ascii="Times New Roman" w:hAnsi="Times New Roman"/>
          <w:bCs/>
          <w:iCs/>
          <w:sz w:val="28"/>
          <w:szCs w:val="28"/>
        </w:rPr>
        <w:t xml:space="preserve"> to the special plea:</w:t>
      </w:r>
    </w:p>
    <w:p w:rsidR="00B14175" w:rsidRDefault="0029376C">
      <w:pPr>
        <w:tabs>
          <w:tab w:val="left" w:pos="1134"/>
        </w:tabs>
        <w:spacing w:after="240" w:line="480" w:lineRule="auto"/>
        <w:jc w:val="center"/>
        <w:rPr>
          <w:rFonts w:ascii="Times New Roman" w:hAnsi="Times New Roman"/>
          <w:b/>
          <w:iCs/>
          <w:sz w:val="24"/>
          <w:szCs w:val="24"/>
        </w:rPr>
      </w:pPr>
      <w:r>
        <w:rPr>
          <w:rFonts w:ascii="Times New Roman" w:hAnsi="Times New Roman"/>
          <w:b/>
          <w:iCs/>
          <w:sz w:val="24"/>
          <w:szCs w:val="24"/>
        </w:rPr>
        <w:t>“(1)</w:t>
      </w:r>
    </w:p>
    <w:p w:rsidR="00B14175" w:rsidRDefault="0029376C">
      <w:pPr>
        <w:tabs>
          <w:tab w:val="left" w:pos="1134"/>
        </w:tabs>
        <w:spacing w:after="240" w:line="480" w:lineRule="auto"/>
        <w:jc w:val="both"/>
      </w:pPr>
      <w:r>
        <w:rPr>
          <w:rFonts w:ascii="Times New Roman" w:hAnsi="Times New Roman"/>
          <w:bCs/>
          <w:iCs/>
          <w:sz w:val="24"/>
          <w:szCs w:val="24"/>
        </w:rPr>
        <w:tab/>
      </w:r>
      <w:r>
        <w:rPr>
          <w:rFonts w:ascii="Times New Roman" w:hAnsi="Times New Roman"/>
          <w:b/>
          <w:iCs/>
          <w:sz w:val="24"/>
          <w:szCs w:val="24"/>
        </w:rPr>
        <w:t>SPECIAL PLEA OF PRESCRIPTION</w:t>
      </w:r>
    </w:p>
    <w:p w:rsidR="00B14175" w:rsidRDefault="0029376C">
      <w:pPr>
        <w:tabs>
          <w:tab w:val="left" w:pos="1134"/>
        </w:tabs>
        <w:spacing w:after="240" w:line="480" w:lineRule="auto"/>
        <w:jc w:val="both"/>
      </w:pPr>
      <w:r>
        <w:rPr>
          <w:rFonts w:ascii="Times New Roman" w:hAnsi="Times New Roman"/>
          <w:bCs/>
          <w:iCs/>
          <w:sz w:val="24"/>
          <w:szCs w:val="24"/>
        </w:rPr>
        <w:tab/>
      </w:r>
      <w:r>
        <w:rPr>
          <w:rFonts w:ascii="Times New Roman" w:hAnsi="Times New Roman"/>
          <w:b/>
          <w:iCs/>
          <w:sz w:val="24"/>
          <w:szCs w:val="24"/>
        </w:rPr>
        <w:t>AD PARA 1 THEREOF</w:t>
      </w:r>
    </w:p>
    <w:p w:rsidR="00B14175" w:rsidRDefault="0029376C">
      <w:pPr>
        <w:pStyle w:val="ListParagraph"/>
        <w:numPr>
          <w:ilvl w:val="1"/>
          <w:numId w:val="1"/>
        </w:numPr>
        <w:tabs>
          <w:tab w:val="left" w:pos="-4626"/>
        </w:tabs>
        <w:spacing w:after="240" w:line="480" w:lineRule="auto"/>
        <w:jc w:val="both"/>
        <w:rPr>
          <w:rFonts w:ascii="Times New Roman" w:hAnsi="Times New Roman"/>
          <w:bCs/>
          <w:iCs/>
          <w:sz w:val="24"/>
          <w:szCs w:val="24"/>
        </w:rPr>
      </w:pPr>
      <w:r>
        <w:rPr>
          <w:rFonts w:ascii="Times New Roman" w:hAnsi="Times New Roman"/>
          <w:bCs/>
          <w:iCs/>
          <w:sz w:val="24"/>
          <w:szCs w:val="24"/>
        </w:rPr>
        <w:t>Contents therein are noted.</w:t>
      </w:r>
    </w:p>
    <w:p w:rsidR="00B14175" w:rsidRDefault="0029376C">
      <w:pPr>
        <w:pStyle w:val="ListParagraph"/>
        <w:numPr>
          <w:ilvl w:val="1"/>
          <w:numId w:val="1"/>
        </w:numPr>
        <w:tabs>
          <w:tab w:val="left" w:pos="-4626"/>
        </w:tabs>
        <w:spacing w:after="240" w:line="480" w:lineRule="auto"/>
        <w:jc w:val="both"/>
        <w:rPr>
          <w:rFonts w:ascii="Times New Roman" w:hAnsi="Times New Roman"/>
          <w:bCs/>
          <w:iCs/>
          <w:sz w:val="24"/>
          <w:szCs w:val="24"/>
        </w:rPr>
      </w:pPr>
      <w:r>
        <w:rPr>
          <w:rFonts w:ascii="Times New Roman" w:hAnsi="Times New Roman"/>
          <w:bCs/>
          <w:iCs/>
          <w:sz w:val="24"/>
          <w:szCs w:val="24"/>
        </w:rPr>
        <w:t xml:space="preserve">Contents therein are refuted. It is a trite principle that a claim does not prescribe where there </w:t>
      </w:r>
      <w:proofErr w:type="gramStart"/>
      <w:r>
        <w:rPr>
          <w:rFonts w:ascii="Times New Roman" w:hAnsi="Times New Roman"/>
          <w:bCs/>
          <w:iCs/>
          <w:sz w:val="24"/>
          <w:szCs w:val="24"/>
        </w:rPr>
        <w:t>has</w:t>
      </w:r>
      <w:proofErr w:type="gramEnd"/>
      <w:r>
        <w:rPr>
          <w:rFonts w:ascii="Times New Roman" w:hAnsi="Times New Roman"/>
          <w:bCs/>
          <w:iCs/>
          <w:sz w:val="24"/>
          <w:szCs w:val="24"/>
        </w:rPr>
        <w:t xml:space="preserve"> been interruptions of demands in between. </w:t>
      </w:r>
    </w:p>
    <w:p w:rsidR="00B14175" w:rsidRDefault="0029376C">
      <w:pPr>
        <w:pStyle w:val="ListParagraph"/>
        <w:numPr>
          <w:ilvl w:val="1"/>
          <w:numId w:val="1"/>
        </w:numPr>
        <w:tabs>
          <w:tab w:val="left" w:pos="-4626"/>
        </w:tabs>
        <w:spacing w:after="240" w:line="480" w:lineRule="auto"/>
        <w:jc w:val="both"/>
        <w:rPr>
          <w:rFonts w:ascii="Times New Roman" w:hAnsi="Times New Roman"/>
          <w:bCs/>
          <w:iCs/>
          <w:sz w:val="24"/>
          <w:szCs w:val="24"/>
        </w:rPr>
      </w:pPr>
      <w:r>
        <w:rPr>
          <w:rFonts w:ascii="Times New Roman" w:hAnsi="Times New Roman"/>
          <w:bCs/>
          <w:iCs/>
          <w:sz w:val="24"/>
          <w:szCs w:val="24"/>
        </w:rPr>
        <w:t xml:space="preserve">Contents there are denied. The </w:t>
      </w:r>
      <w:proofErr w:type="gramStart"/>
      <w:r>
        <w:rPr>
          <w:rFonts w:ascii="Times New Roman" w:hAnsi="Times New Roman"/>
          <w:bCs/>
          <w:iCs/>
          <w:sz w:val="24"/>
          <w:szCs w:val="24"/>
        </w:rPr>
        <w:t>true fact</w:t>
      </w:r>
      <w:proofErr w:type="gramEnd"/>
      <w:r>
        <w:rPr>
          <w:rFonts w:ascii="Times New Roman" w:hAnsi="Times New Roman"/>
          <w:bCs/>
          <w:iCs/>
          <w:sz w:val="24"/>
          <w:szCs w:val="24"/>
        </w:rPr>
        <w:t xml:space="preserve"> is that there have been several verbal demands by Plaintiff.</w:t>
      </w:r>
    </w:p>
    <w:p w:rsidR="00B14175" w:rsidRDefault="0029376C">
      <w:pPr>
        <w:pStyle w:val="ListParagraph"/>
        <w:numPr>
          <w:ilvl w:val="1"/>
          <w:numId w:val="1"/>
        </w:numPr>
        <w:tabs>
          <w:tab w:val="left" w:pos="-4626"/>
        </w:tabs>
        <w:spacing w:after="240" w:line="480" w:lineRule="auto"/>
        <w:jc w:val="both"/>
        <w:rPr>
          <w:rFonts w:ascii="Times New Roman" w:hAnsi="Times New Roman"/>
          <w:bCs/>
          <w:iCs/>
          <w:sz w:val="24"/>
          <w:szCs w:val="24"/>
        </w:rPr>
      </w:pPr>
      <w:r>
        <w:rPr>
          <w:rFonts w:ascii="Times New Roman" w:hAnsi="Times New Roman"/>
          <w:bCs/>
          <w:iCs/>
          <w:sz w:val="24"/>
          <w:szCs w:val="24"/>
        </w:rPr>
        <w:lastRenderedPageBreak/>
        <w:t>Contents therein are denied. However, Plaintiff prays the Honourable Court to grant judgment in his favour because the special plea is baseless.”</w:t>
      </w:r>
    </w:p>
    <w:p w:rsidR="00A47231" w:rsidRPr="00EB7489" w:rsidRDefault="0029376C" w:rsidP="00C825E2">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[5]</w:t>
      </w:r>
      <w:r>
        <w:rPr>
          <w:rFonts w:ascii="Times New Roman" w:hAnsi="Times New Roman"/>
          <w:bCs/>
          <w:iCs/>
          <w:sz w:val="28"/>
          <w:szCs w:val="28"/>
        </w:rPr>
        <w:tab/>
        <w:t>While it is not necessary to deal with the merits of this matter, it may be useful to highlight that, on the merits, the defendant denies liability. The defendant argues that the parties had agreed that the plaintiff’s work would be evaluated upon reaching agreed milestones and payment had to be approved by supervising engineer through a signed certificate. He a</w:t>
      </w:r>
      <w:r w:rsidR="00EC232E">
        <w:rPr>
          <w:rFonts w:ascii="Times New Roman" w:hAnsi="Times New Roman"/>
          <w:bCs/>
          <w:iCs/>
          <w:sz w:val="28"/>
          <w:szCs w:val="28"/>
        </w:rPr>
        <w:t xml:space="preserve">sserts </w:t>
      </w:r>
      <w:r>
        <w:rPr>
          <w:rFonts w:ascii="Times New Roman" w:hAnsi="Times New Roman"/>
          <w:bCs/>
          <w:iCs/>
          <w:sz w:val="28"/>
          <w:szCs w:val="28"/>
        </w:rPr>
        <w:t xml:space="preserve">that the plaintiff failed to complete agreed milestones and refused to be supervised by defendant’s engineer as a result of which the defendant accepted repudiation of agreement and appointed another contractor. He further argues that there were extensive remedial actions on the work done by the plaintiff at great cost for which he holds the plaintiff liable.  In his replication the plaintiff denies that there was a third party appointed to certify his work before payment could be made. </w:t>
      </w:r>
      <w:r w:rsidR="00EB7489">
        <w:rPr>
          <w:rFonts w:ascii="Times New Roman" w:hAnsi="Times New Roman"/>
          <w:bCs/>
          <w:iCs/>
          <w:sz w:val="28"/>
          <w:szCs w:val="28"/>
        </w:rPr>
        <w:t xml:space="preserve">However, Mr. </w:t>
      </w:r>
      <w:proofErr w:type="spellStart"/>
      <w:r w:rsidR="00EB7489" w:rsidRPr="00EB7489">
        <w:rPr>
          <w:rFonts w:ascii="Times New Roman" w:hAnsi="Times New Roman"/>
          <w:bCs/>
          <w:i/>
          <w:sz w:val="28"/>
          <w:szCs w:val="28"/>
        </w:rPr>
        <w:t>Sekatle</w:t>
      </w:r>
      <w:proofErr w:type="spellEnd"/>
      <w:r w:rsidR="00EB7489">
        <w:rPr>
          <w:rFonts w:ascii="Times New Roman" w:hAnsi="Times New Roman"/>
          <w:bCs/>
          <w:i/>
          <w:sz w:val="28"/>
          <w:szCs w:val="28"/>
        </w:rPr>
        <w:t xml:space="preserve"> </w:t>
      </w:r>
      <w:r w:rsidR="00EB7489">
        <w:rPr>
          <w:rFonts w:ascii="Times New Roman" w:hAnsi="Times New Roman"/>
          <w:bCs/>
          <w:iCs/>
          <w:sz w:val="28"/>
          <w:szCs w:val="28"/>
        </w:rPr>
        <w:t xml:space="preserve">divorced himself from denial and argued to the contrary in support of his submission that the claim has not prescribed. </w:t>
      </w:r>
    </w:p>
    <w:p w:rsidR="00B14175" w:rsidRDefault="0029376C">
      <w:pPr>
        <w:spacing w:after="0" w:line="480" w:lineRule="auto"/>
        <w:jc w:val="both"/>
        <w:rPr>
          <w:rFonts w:ascii="Times New Roman" w:hAnsi="Times New Roman"/>
          <w:b/>
          <w:bCs/>
          <w:color w:val="0E101A"/>
          <w:sz w:val="28"/>
          <w:szCs w:val="28"/>
        </w:rPr>
      </w:pPr>
      <w:r>
        <w:rPr>
          <w:rFonts w:ascii="Times New Roman" w:hAnsi="Times New Roman"/>
          <w:b/>
          <w:bCs/>
          <w:color w:val="0E101A"/>
          <w:sz w:val="28"/>
          <w:szCs w:val="28"/>
        </w:rPr>
        <w:t xml:space="preserve">EVALUATION AND LEGAL PRINCIPLES ON PRESCRIPTION </w:t>
      </w:r>
    </w:p>
    <w:p w:rsidR="00B14175" w:rsidRDefault="0029376C">
      <w:pPr>
        <w:spacing w:after="0" w:line="480" w:lineRule="auto"/>
        <w:jc w:val="both"/>
        <w:rPr>
          <w:rFonts w:ascii="Times New Roman" w:hAnsi="Times New Roman"/>
          <w:b/>
          <w:bCs/>
          <w:color w:val="0E101A"/>
          <w:sz w:val="28"/>
          <w:szCs w:val="28"/>
        </w:rPr>
      </w:pPr>
      <w:r>
        <w:rPr>
          <w:rFonts w:ascii="Times New Roman" w:hAnsi="Times New Roman"/>
          <w:b/>
          <w:bCs/>
          <w:color w:val="0E101A"/>
          <w:sz w:val="28"/>
          <w:szCs w:val="28"/>
        </w:rPr>
        <w:t xml:space="preserve"> </w:t>
      </w:r>
    </w:p>
    <w:p w:rsidR="00B14175" w:rsidRDefault="0029376C">
      <w:pPr>
        <w:tabs>
          <w:tab w:val="left" w:pos="1134"/>
        </w:tabs>
        <w:spacing w:after="240" w:line="480" w:lineRule="auto"/>
        <w:jc w:val="both"/>
      </w:pPr>
      <w:r>
        <w:rPr>
          <w:rFonts w:ascii="Times New Roman" w:hAnsi="Times New Roman"/>
          <w:color w:val="0E101A"/>
          <w:sz w:val="28"/>
          <w:szCs w:val="28"/>
        </w:rPr>
        <w:t>[6]</w:t>
      </w:r>
      <w:r>
        <w:rPr>
          <w:rFonts w:ascii="Times New Roman" w:hAnsi="Times New Roman"/>
          <w:color w:val="0E101A"/>
          <w:sz w:val="28"/>
          <w:szCs w:val="28"/>
        </w:rPr>
        <w:tab/>
        <w:t xml:space="preserve">Section 3 of the </w:t>
      </w:r>
      <w:r>
        <w:rPr>
          <w:rFonts w:ascii="Times New Roman" w:hAnsi="Times New Roman"/>
          <w:bCs/>
          <w:iCs/>
          <w:sz w:val="28"/>
          <w:szCs w:val="28"/>
        </w:rPr>
        <w:t xml:space="preserve">Prescription Act No. 6 of 1861 </w:t>
      </w:r>
      <w:proofErr w:type="gramStart"/>
      <w:r>
        <w:rPr>
          <w:rFonts w:ascii="Times New Roman" w:hAnsi="Times New Roman"/>
          <w:bCs/>
          <w:iCs/>
          <w:sz w:val="28"/>
          <w:szCs w:val="28"/>
        </w:rPr>
        <w:t>reads:-</w:t>
      </w:r>
      <w:proofErr w:type="gramEnd"/>
      <w:r>
        <w:rPr>
          <w:rFonts w:ascii="Times New Roman" w:hAnsi="Times New Roman"/>
          <w:bCs/>
          <w:iCs/>
          <w:sz w:val="28"/>
          <w:szCs w:val="28"/>
        </w:rPr>
        <w:t xml:space="preserve"> </w:t>
      </w:r>
    </w:p>
    <w:p w:rsidR="00B14175" w:rsidRDefault="0029376C">
      <w:pPr>
        <w:tabs>
          <w:tab w:val="left" w:pos="1134"/>
        </w:tabs>
        <w:spacing w:after="240" w:line="480" w:lineRule="auto"/>
        <w:ind w:left="2160"/>
        <w:jc w:val="both"/>
        <w:rPr>
          <w:rFonts w:ascii="Times New Roman" w:hAnsi="Times New Roman"/>
          <w:bCs/>
          <w:iCs/>
          <w:sz w:val="24"/>
          <w:szCs w:val="24"/>
        </w:rPr>
      </w:pPr>
      <w:r>
        <w:rPr>
          <w:rFonts w:ascii="Times New Roman" w:hAnsi="Times New Roman"/>
          <w:bCs/>
          <w:iCs/>
          <w:sz w:val="24"/>
          <w:szCs w:val="24"/>
        </w:rPr>
        <w:t xml:space="preserve">“Except as hereafter is excepted, no suit or action upon any bill of exchange, promissory note or other liquid document of debt of such a </w:t>
      </w:r>
      <w:r>
        <w:rPr>
          <w:rFonts w:ascii="Times New Roman" w:hAnsi="Times New Roman"/>
          <w:bCs/>
          <w:iCs/>
          <w:sz w:val="24"/>
          <w:szCs w:val="24"/>
        </w:rPr>
        <w:lastRenderedPageBreak/>
        <w:t>nature as to be capable of sustaining a claim for provisional sentence shall be capable of being brought any time after the expiration of eight years from the time when the cause of action upon such liquid document first accrues: Provided that nothing in this Act contained shall extend to or affect any mortgage bond, general or special, or any judgment of any Court in Basutoland or elsewhere”</w:t>
      </w:r>
    </w:p>
    <w:p w:rsidR="00B14175" w:rsidRDefault="001C103B" w:rsidP="0086356D">
      <w:pPr>
        <w:tabs>
          <w:tab w:val="left" w:pos="1134"/>
        </w:tabs>
        <w:spacing w:after="240" w:line="480" w:lineRule="auto"/>
        <w:jc w:val="both"/>
      </w:pPr>
      <w:r>
        <w:rPr>
          <w:rFonts w:ascii="Times New Roman" w:hAnsi="Times New Roman"/>
          <w:bCs/>
          <w:iCs/>
          <w:sz w:val="28"/>
          <w:szCs w:val="28"/>
        </w:rPr>
        <w:t>I</w:t>
      </w:r>
      <w:r w:rsidR="0029376C">
        <w:rPr>
          <w:rFonts w:ascii="Times New Roman" w:hAnsi="Times New Roman"/>
          <w:bCs/>
          <w:iCs/>
          <w:sz w:val="28"/>
          <w:szCs w:val="28"/>
        </w:rPr>
        <w:t>n terms of section 4(f), section 3 apply to respective suits and actions including “</w:t>
      </w:r>
      <w:r w:rsidR="0029376C">
        <w:rPr>
          <w:rFonts w:ascii="Times New Roman" w:hAnsi="Times New Roman"/>
          <w:bCs/>
          <w:i/>
          <w:sz w:val="28"/>
          <w:szCs w:val="28"/>
        </w:rPr>
        <w:t xml:space="preserve">for money claimed for work and labour done and materials provided for the same”. </w:t>
      </w:r>
    </w:p>
    <w:p w:rsidR="00EB7489" w:rsidRDefault="0029376C">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[7]</w:t>
      </w:r>
      <w:r>
        <w:rPr>
          <w:rFonts w:ascii="Times New Roman" w:hAnsi="Times New Roman"/>
          <w:bCs/>
          <w:iCs/>
          <w:sz w:val="28"/>
          <w:szCs w:val="28"/>
        </w:rPr>
        <w:tab/>
        <w:t xml:space="preserve">In </w:t>
      </w:r>
      <w:proofErr w:type="gramStart"/>
      <w:r>
        <w:rPr>
          <w:rFonts w:ascii="Times New Roman" w:hAnsi="Times New Roman"/>
          <w:b/>
          <w:iCs/>
          <w:sz w:val="28"/>
          <w:szCs w:val="28"/>
        </w:rPr>
        <w:t>The</w:t>
      </w:r>
      <w:proofErr w:type="gramEnd"/>
      <w:r>
        <w:rPr>
          <w:rFonts w:ascii="Times New Roman" w:hAnsi="Times New Roman"/>
          <w:b/>
          <w:iCs/>
          <w:sz w:val="28"/>
          <w:szCs w:val="28"/>
        </w:rPr>
        <w:t xml:space="preserve"> Liquidator of Lesotho Bank v </w:t>
      </w:r>
      <w:proofErr w:type="spellStart"/>
      <w:r>
        <w:rPr>
          <w:rFonts w:ascii="Times New Roman" w:hAnsi="Times New Roman"/>
          <w:b/>
          <w:iCs/>
          <w:sz w:val="28"/>
          <w:szCs w:val="28"/>
        </w:rPr>
        <w:t>Tamuku</w:t>
      </w:r>
      <w:proofErr w:type="spellEnd"/>
      <w:r>
        <w:rPr>
          <w:rFonts w:ascii="Times New Roman" w:hAnsi="Times New Roman"/>
          <w:b/>
          <w:iCs/>
          <w:sz w:val="28"/>
          <w:szCs w:val="28"/>
        </w:rPr>
        <w:t xml:space="preserve"> Michael Molefe </w:t>
      </w:r>
      <w:proofErr w:type="spellStart"/>
      <w:r>
        <w:rPr>
          <w:rFonts w:ascii="Times New Roman" w:hAnsi="Times New Roman"/>
          <w:b/>
          <w:iCs/>
          <w:sz w:val="28"/>
          <w:szCs w:val="28"/>
        </w:rPr>
        <w:t>Nkalai</w:t>
      </w:r>
      <w:proofErr w:type="spellEnd"/>
      <w:r>
        <w:rPr>
          <w:rStyle w:val="FootnoteReference"/>
          <w:rFonts w:ascii="Times New Roman" w:hAnsi="Times New Roman"/>
          <w:bCs/>
          <w:iCs/>
          <w:sz w:val="28"/>
          <w:szCs w:val="28"/>
        </w:rPr>
        <w:footnoteReference w:id="1"/>
      </w:r>
      <w:r>
        <w:rPr>
          <w:rFonts w:ascii="Times New Roman" w:hAnsi="Times New Roman"/>
          <w:b/>
          <w:iCs/>
          <w:sz w:val="28"/>
          <w:szCs w:val="28"/>
        </w:rPr>
        <w:t xml:space="preserve"> </w:t>
      </w:r>
      <w:r>
        <w:rPr>
          <w:rFonts w:ascii="Times New Roman" w:hAnsi="Times New Roman"/>
          <w:bCs/>
          <w:iCs/>
          <w:sz w:val="28"/>
          <w:szCs w:val="28"/>
        </w:rPr>
        <w:t xml:space="preserve">the Court said that the first task of the Court when faced with prescription argument is to ascertain the date from which prescription is to run. </w:t>
      </w:r>
      <w:r w:rsidR="00EB7489">
        <w:rPr>
          <w:rFonts w:ascii="Times New Roman" w:hAnsi="Times New Roman"/>
          <w:bCs/>
          <w:iCs/>
          <w:sz w:val="28"/>
          <w:szCs w:val="28"/>
        </w:rPr>
        <w:t xml:space="preserve">The date from which prescription is </w:t>
      </w:r>
      <w:r w:rsidR="00703EB7">
        <w:rPr>
          <w:rFonts w:ascii="Times New Roman" w:hAnsi="Times New Roman"/>
          <w:bCs/>
          <w:iCs/>
          <w:sz w:val="28"/>
          <w:szCs w:val="28"/>
        </w:rPr>
        <w:t xml:space="preserve">to </w:t>
      </w:r>
      <w:r w:rsidR="00EB7489">
        <w:rPr>
          <w:rFonts w:ascii="Times New Roman" w:hAnsi="Times New Roman"/>
          <w:bCs/>
          <w:iCs/>
          <w:sz w:val="28"/>
          <w:szCs w:val="28"/>
        </w:rPr>
        <w:t>run cannot be determined without first demystifying the meaning of the words “</w:t>
      </w:r>
      <w:r w:rsidR="00EB7489" w:rsidRPr="00EB7489">
        <w:rPr>
          <w:rFonts w:ascii="Times New Roman" w:hAnsi="Times New Roman"/>
          <w:bCs/>
          <w:i/>
          <w:sz w:val="28"/>
          <w:szCs w:val="28"/>
        </w:rPr>
        <w:t>when the cause of action first accrues</w:t>
      </w:r>
      <w:r w:rsidR="00EB7489">
        <w:rPr>
          <w:rFonts w:ascii="Times New Roman" w:hAnsi="Times New Roman"/>
          <w:bCs/>
          <w:iCs/>
          <w:sz w:val="28"/>
          <w:szCs w:val="28"/>
        </w:rPr>
        <w:t>”.</w:t>
      </w:r>
    </w:p>
    <w:p w:rsidR="00A47231" w:rsidRPr="00DA7AF9" w:rsidRDefault="00EB7489" w:rsidP="00EB7489">
      <w:pPr>
        <w:tabs>
          <w:tab w:val="left" w:pos="1134"/>
        </w:tabs>
        <w:spacing w:after="240" w:line="480" w:lineRule="auto"/>
        <w:jc w:val="both"/>
        <w:rPr>
          <w:rFonts w:ascii="Times New Roman" w:hAnsi="Times New Roman"/>
          <w:b/>
          <w:iCs/>
          <w:sz w:val="28"/>
          <w:szCs w:val="28"/>
        </w:rPr>
      </w:pPr>
      <w:r>
        <w:rPr>
          <w:rFonts w:ascii="Times New Roman" w:hAnsi="Times New Roman"/>
          <w:bCs/>
          <w:iCs/>
          <w:sz w:val="28"/>
          <w:szCs w:val="28"/>
        </w:rPr>
        <w:t>[8]</w:t>
      </w:r>
      <w:r>
        <w:rPr>
          <w:rFonts w:ascii="Times New Roman" w:hAnsi="Times New Roman"/>
          <w:bCs/>
          <w:iCs/>
          <w:sz w:val="28"/>
          <w:szCs w:val="28"/>
        </w:rPr>
        <w:tab/>
      </w:r>
      <w:r w:rsidRPr="00EB7489">
        <w:rPr>
          <w:rFonts w:ascii="Times New Roman" w:hAnsi="Times New Roman"/>
          <w:bCs/>
          <w:iCs/>
          <w:sz w:val="28"/>
          <w:szCs w:val="28"/>
        </w:rPr>
        <w:t>In</w:t>
      </w:r>
      <w:r w:rsidRPr="00C34CB6">
        <w:rPr>
          <w:rFonts w:ascii="Times New Roman" w:hAnsi="Times New Roman"/>
          <w:b/>
          <w:iCs/>
          <w:sz w:val="28"/>
          <w:szCs w:val="28"/>
        </w:rPr>
        <w:t xml:space="preserve"> </w:t>
      </w:r>
      <w:proofErr w:type="spellStart"/>
      <w:r w:rsidRPr="00C34CB6">
        <w:rPr>
          <w:rFonts w:ascii="Times New Roman" w:hAnsi="Times New Roman"/>
          <w:b/>
          <w:iCs/>
          <w:sz w:val="28"/>
          <w:szCs w:val="28"/>
        </w:rPr>
        <w:t>Mckenzi</w:t>
      </w:r>
      <w:r w:rsidR="00A73FAA">
        <w:rPr>
          <w:rFonts w:ascii="Times New Roman" w:hAnsi="Times New Roman"/>
          <w:b/>
          <w:iCs/>
          <w:sz w:val="28"/>
          <w:szCs w:val="28"/>
        </w:rPr>
        <w:t>e</w:t>
      </w:r>
      <w:proofErr w:type="spellEnd"/>
      <w:r w:rsidRPr="00C34CB6">
        <w:rPr>
          <w:rFonts w:ascii="Times New Roman" w:hAnsi="Times New Roman"/>
          <w:b/>
          <w:iCs/>
          <w:sz w:val="28"/>
          <w:szCs w:val="28"/>
        </w:rPr>
        <w:t xml:space="preserve"> v Farmers’ Co-operative Meat Industries Ltd</w:t>
      </w:r>
      <w:r>
        <w:rPr>
          <w:rStyle w:val="FootnoteReference"/>
          <w:rFonts w:ascii="Times New Roman" w:hAnsi="Times New Roman"/>
          <w:bCs/>
          <w:iCs/>
          <w:sz w:val="28"/>
          <w:szCs w:val="28"/>
        </w:rPr>
        <w:footnoteReference w:id="2"/>
      </w:r>
      <w:r>
        <w:rPr>
          <w:rFonts w:ascii="Times New Roman" w:hAnsi="Times New Roman"/>
          <w:bCs/>
          <w:iCs/>
          <w:sz w:val="28"/>
          <w:szCs w:val="28"/>
        </w:rPr>
        <w:t xml:space="preserve"> the Court described cause of action for purposes of prescription as </w:t>
      </w:r>
      <w:r w:rsidRPr="001F407E">
        <w:rPr>
          <w:rFonts w:ascii="Times New Roman" w:hAnsi="Times New Roman"/>
          <w:bCs/>
          <w:i/>
          <w:sz w:val="28"/>
          <w:szCs w:val="28"/>
        </w:rPr>
        <w:t xml:space="preserve">“…every fact which it would be necessary for plaintiff to prove, if traversed, in order to support his right to the judgment of the Court. It does not comprise every piece of evidence which is necessary to prove each fact, but every fact which is necessary to be </w:t>
      </w:r>
      <w:r w:rsidRPr="001F407E">
        <w:rPr>
          <w:rFonts w:ascii="Times New Roman" w:hAnsi="Times New Roman"/>
          <w:bCs/>
          <w:i/>
          <w:sz w:val="28"/>
          <w:szCs w:val="28"/>
        </w:rPr>
        <w:lastRenderedPageBreak/>
        <w:t>proved”.</w:t>
      </w:r>
      <w:r>
        <w:rPr>
          <w:rFonts w:ascii="Times New Roman" w:hAnsi="Times New Roman"/>
          <w:bCs/>
          <w:iCs/>
          <w:sz w:val="28"/>
          <w:szCs w:val="28"/>
        </w:rPr>
        <w:t xml:space="preserve"> (emphasis added).  The case was quoted with approval in </w:t>
      </w:r>
      <w:r w:rsidRPr="00DA7AF9">
        <w:rPr>
          <w:rFonts w:ascii="Times New Roman" w:hAnsi="Times New Roman"/>
          <w:b/>
          <w:iCs/>
          <w:sz w:val="28"/>
          <w:szCs w:val="28"/>
        </w:rPr>
        <w:t xml:space="preserve">Truter and Another v </w:t>
      </w:r>
      <w:proofErr w:type="spellStart"/>
      <w:r w:rsidRPr="00DA7AF9">
        <w:rPr>
          <w:rFonts w:ascii="Times New Roman" w:hAnsi="Times New Roman"/>
          <w:b/>
          <w:iCs/>
          <w:sz w:val="28"/>
          <w:szCs w:val="28"/>
        </w:rPr>
        <w:t>Deysel</w:t>
      </w:r>
      <w:proofErr w:type="spellEnd"/>
      <w:r w:rsidRPr="00DA7AF9">
        <w:rPr>
          <w:rFonts w:ascii="Times New Roman" w:hAnsi="Times New Roman"/>
          <w:b/>
          <w:iCs/>
          <w:sz w:val="28"/>
          <w:szCs w:val="28"/>
        </w:rPr>
        <w:t xml:space="preserve"> 2006 (4) SA 168 at 174 para 19. </w:t>
      </w:r>
    </w:p>
    <w:p w:rsidR="00EB7489" w:rsidRDefault="00EB7489" w:rsidP="00EB7489">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703EB7">
        <w:rPr>
          <w:rFonts w:ascii="Times New Roman" w:hAnsi="Times New Roman"/>
          <w:bCs/>
          <w:iCs/>
          <w:sz w:val="28"/>
          <w:szCs w:val="28"/>
        </w:rPr>
        <w:t>9</w:t>
      </w:r>
      <w:r>
        <w:rPr>
          <w:rFonts w:ascii="Times New Roman" w:hAnsi="Times New Roman"/>
          <w:bCs/>
          <w:iCs/>
          <w:sz w:val="28"/>
          <w:szCs w:val="28"/>
        </w:rPr>
        <w:t xml:space="preserve">] </w:t>
      </w:r>
      <w:r>
        <w:rPr>
          <w:rFonts w:ascii="Times New Roman" w:hAnsi="Times New Roman"/>
          <w:bCs/>
          <w:iCs/>
          <w:sz w:val="28"/>
          <w:szCs w:val="28"/>
        </w:rPr>
        <w:tab/>
        <w:t xml:space="preserve">Again, in the unreported case of </w:t>
      </w:r>
      <w:r w:rsidRPr="00627C90">
        <w:rPr>
          <w:rFonts w:ascii="Times New Roman" w:hAnsi="Times New Roman"/>
          <w:b/>
          <w:iCs/>
          <w:sz w:val="28"/>
          <w:szCs w:val="28"/>
        </w:rPr>
        <w:t xml:space="preserve">Willem Daniel </w:t>
      </w:r>
      <w:proofErr w:type="spellStart"/>
      <w:r w:rsidRPr="00627C90">
        <w:rPr>
          <w:rFonts w:ascii="Times New Roman" w:hAnsi="Times New Roman"/>
          <w:b/>
          <w:iCs/>
          <w:sz w:val="28"/>
          <w:szCs w:val="28"/>
        </w:rPr>
        <w:t>Knoesen</w:t>
      </w:r>
      <w:proofErr w:type="spellEnd"/>
      <w:r w:rsidRPr="00627C90">
        <w:rPr>
          <w:rFonts w:ascii="Times New Roman" w:hAnsi="Times New Roman"/>
          <w:b/>
          <w:iCs/>
          <w:sz w:val="28"/>
          <w:szCs w:val="28"/>
        </w:rPr>
        <w:t xml:space="preserve"> and One v </w:t>
      </w:r>
      <w:proofErr w:type="spellStart"/>
      <w:r w:rsidRPr="00627C90">
        <w:rPr>
          <w:rFonts w:ascii="Times New Roman" w:hAnsi="Times New Roman"/>
          <w:b/>
          <w:iCs/>
          <w:sz w:val="28"/>
          <w:szCs w:val="28"/>
        </w:rPr>
        <w:t>Izette</w:t>
      </w:r>
      <w:proofErr w:type="spellEnd"/>
      <w:r w:rsidRPr="00627C90">
        <w:rPr>
          <w:rFonts w:ascii="Times New Roman" w:hAnsi="Times New Roman"/>
          <w:b/>
          <w:iCs/>
          <w:sz w:val="28"/>
          <w:szCs w:val="28"/>
        </w:rPr>
        <w:t xml:space="preserve"> </w:t>
      </w:r>
      <w:proofErr w:type="spellStart"/>
      <w:r w:rsidRPr="00627C90">
        <w:rPr>
          <w:rFonts w:ascii="Times New Roman" w:hAnsi="Times New Roman"/>
          <w:b/>
          <w:iCs/>
          <w:sz w:val="28"/>
          <w:szCs w:val="28"/>
        </w:rPr>
        <w:t>Huijink</w:t>
      </w:r>
      <w:proofErr w:type="spellEnd"/>
      <w:r w:rsidRPr="00627C90">
        <w:rPr>
          <w:rFonts w:ascii="Times New Roman" w:hAnsi="Times New Roman"/>
          <w:b/>
          <w:iCs/>
          <w:sz w:val="28"/>
          <w:szCs w:val="28"/>
        </w:rPr>
        <w:t>-Maritz and Others</w:t>
      </w:r>
      <w:r>
        <w:rPr>
          <w:rStyle w:val="FootnoteReference"/>
          <w:rFonts w:ascii="Times New Roman" w:hAnsi="Times New Roman"/>
          <w:bCs/>
          <w:iCs/>
          <w:sz w:val="28"/>
          <w:szCs w:val="28"/>
        </w:rPr>
        <w:footnoteReference w:id="3"/>
      </w:r>
      <w:r>
        <w:rPr>
          <w:rFonts w:ascii="Times New Roman" w:hAnsi="Times New Roman"/>
          <w:bCs/>
          <w:iCs/>
          <w:sz w:val="28"/>
          <w:szCs w:val="28"/>
        </w:rPr>
        <w:t xml:space="preserve"> the Court said the following:</w:t>
      </w:r>
    </w:p>
    <w:p w:rsidR="00EB7489" w:rsidRDefault="00EB7489" w:rsidP="00EB7489">
      <w:pPr>
        <w:spacing w:after="0" w:line="360" w:lineRule="auto"/>
        <w:ind w:left="851" w:hanging="851"/>
        <w:jc w:val="both"/>
        <w:rPr>
          <w:rFonts w:ascii="Times New Roman" w:hAnsi="Times New Roman"/>
          <w:sz w:val="24"/>
          <w:szCs w:val="24"/>
        </w:rPr>
      </w:pPr>
      <w:r>
        <w:rPr>
          <w:rFonts w:ascii="Times New Roman" w:hAnsi="Times New Roman"/>
          <w:bCs/>
          <w:iCs/>
          <w:sz w:val="28"/>
          <w:szCs w:val="28"/>
        </w:rPr>
        <w:tab/>
      </w:r>
      <w:r w:rsidRPr="00950BCD">
        <w:rPr>
          <w:rFonts w:ascii="Times New Roman" w:hAnsi="Times New Roman"/>
          <w:bCs/>
          <w:iCs/>
          <w:sz w:val="24"/>
          <w:szCs w:val="24"/>
        </w:rPr>
        <w:t>“</w:t>
      </w:r>
      <w:r w:rsidRPr="00950BCD">
        <w:rPr>
          <w:rFonts w:ascii="Times New Roman" w:hAnsi="Times New Roman"/>
          <w:sz w:val="24"/>
          <w:szCs w:val="24"/>
        </w:rPr>
        <w:t>“C</w:t>
      </w:r>
      <w:r w:rsidRPr="00950BCD">
        <w:rPr>
          <w:rFonts w:ascii="Times New Roman" w:hAnsi="Times New Roman"/>
          <w:bCs/>
          <w:sz w:val="24"/>
          <w:szCs w:val="24"/>
        </w:rPr>
        <w:t>ause of action:</w:t>
      </w:r>
      <w:r w:rsidRPr="00950BCD">
        <w:rPr>
          <w:rFonts w:ascii="Times New Roman" w:hAnsi="Times New Roman"/>
          <w:b/>
          <w:bCs/>
          <w:sz w:val="24"/>
          <w:szCs w:val="24"/>
        </w:rPr>
        <w:t xml:space="preserve"> “</w:t>
      </w:r>
      <w:r w:rsidRPr="00950BCD">
        <w:rPr>
          <w:rFonts w:ascii="Times New Roman" w:hAnsi="Times New Roman"/>
          <w:bCs/>
          <w:sz w:val="24"/>
          <w:szCs w:val="24"/>
        </w:rPr>
        <w:t>w</w:t>
      </w:r>
      <w:r w:rsidRPr="00950BCD">
        <w:rPr>
          <w:rFonts w:ascii="Times New Roman" w:hAnsi="Times New Roman"/>
          <w:sz w:val="24"/>
          <w:szCs w:val="24"/>
        </w:rPr>
        <w:t>as defined</w:t>
      </w:r>
      <w:r w:rsidRPr="00950BCD">
        <w:rPr>
          <w:rStyle w:val="FootnoteReference"/>
          <w:rFonts w:ascii="Times New Roman" w:hAnsi="Times New Roman"/>
          <w:sz w:val="24"/>
          <w:szCs w:val="24"/>
        </w:rPr>
        <w:footnoteReference w:id="4"/>
      </w:r>
      <w:r w:rsidRPr="00950BCD">
        <w:rPr>
          <w:rFonts w:ascii="Times New Roman" w:hAnsi="Times New Roman"/>
          <w:sz w:val="24"/>
          <w:szCs w:val="24"/>
        </w:rPr>
        <w:t xml:space="preserve"> by Lord ESHER, MR in </w:t>
      </w:r>
      <w:r w:rsidRPr="00950BCD">
        <w:rPr>
          <w:rFonts w:ascii="Times New Roman" w:hAnsi="Times New Roman"/>
          <w:i/>
          <w:iCs/>
          <w:sz w:val="24"/>
          <w:szCs w:val="24"/>
        </w:rPr>
        <w:t>Read v Brown </w:t>
      </w:r>
      <w:r w:rsidRPr="00950BCD">
        <w:rPr>
          <w:rFonts w:ascii="Times New Roman" w:hAnsi="Times New Roman"/>
          <w:sz w:val="24"/>
          <w:szCs w:val="24"/>
        </w:rPr>
        <w:t>22 QBD 131 to be “every fact which it would be necessary for the plaintiff to prove if traversed, in order to support his right to the judgment of the court. It does not comprise every piece of evidence which is necessary to prove each fact, but every fact which is necessary to be proved”. See also </w:t>
      </w:r>
      <w:r w:rsidRPr="00950BCD">
        <w:rPr>
          <w:rFonts w:ascii="Times New Roman" w:hAnsi="Times New Roman"/>
          <w:i/>
          <w:iCs/>
          <w:sz w:val="24"/>
          <w:szCs w:val="24"/>
        </w:rPr>
        <w:t>Cooke v Gill</w:t>
      </w:r>
      <w:r w:rsidRPr="00950BCD">
        <w:rPr>
          <w:rFonts w:ascii="Times New Roman" w:hAnsi="Times New Roman"/>
          <w:sz w:val="24"/>
          <w:szCs w:val="24"/>
        </w:rPr>
        <w:t>, LR 8 CP 116. </w:t>
      </w:r>
      <w:r w:rsidRPr="00950BCD">
        <w:rPr>
          <w:rFonts w:ascii="Times New Roman" w:hAnsi="Times New Roman"/>
          <w:sz w:val="24"/>
          <w:szCs w:val="24"/>
          <w:u w:val="single"/>
        </w:rPr>
        <w:t>S 64(1)</w:t>
      </w:r>
      <w:r w:rsidRPr="00950BCD">
        <w:rPr>
          <w:rFonts w:ascii="Times New Roman" w:hAnsi="Times New Roman"/>
          <w:sz w:val="24"/>
          <w:szCs w:val="24"/>
        </w:rPr>
        <w:t> of Act </w:t>
      </w:r>
      <w:r w:rsidRPr="00950BCD">
        <w:rPr>
          <w:rFonts w:ascii="Times New Roman" w:hAnsi="Times New Roman"/>
          <w:sz w:val="24"/>
          <w:szCs w:val="24"/>
          <w:u w:val="single"/>
        </w:rPr>
        <w:t>22 of 1916</w:t>
      </w:r>
      <w:r w:rsidRPr="00950BCD">
        <w:rPr>
          <w:rFonts w:ascii="Times New Roman" w:hAnsi="Times New Roman"/>
          <w:sz w:val="24"/>
          <w:szCs w:val="24"/>
        </w:rPr>
        <w:t>: means “every fact which is material to be proved to entitle a plaintiff to succeed in his claim” (</w:t>
      </w:r>
      <w:r w:rsidRPr="00950BCD">
        <w:rPr>
          <w:rFonts w:ascii="Times New Roman" w:hAnsi="Times New Roman"/>
          <w:i/>
          <w:iCs/>
          <w:sz w:val="24"/>
          <w:szCs w:val="24"/>
        </w:rPr>
        <w:t>Lyon v SAR&amp;H </w:t>
      </w:r>
      <w:r w:rsidRPr="00950BCD">
        <w:rPr>
          <w:rFonts w:ascii="Times New Roman" w:hAnsi="Times New Roman"/>
          <w:sz w:val="24"/>
          <w:szCs w:val="24"/>
        </w:rPr>
        <w:t>1930 CPD 276); but it can mean “that particular act on the part of the defendant which gives the plaintiff his cause of complaint”. “A </w:t>
      </w:r>
      <w:r w:rsidRPr="00950BCD">
        <w:rPr>
          <w:rFonts w:ascii="Times New Roman" w:hAnsi="Times New Roman"/>
          <w:i/>
          <w:iCs/>
          <w:sz w:val="24"/>
          <w:szCs w:val="24"/>
        </w:rPr>
        <w:t>cause of action </w:t>
      </w:r>
      <w:r w:rsidRPr="00950BCD">
        <w:rPr>
          <w:rFonts w:ascii="Times New Roman" w:hAnsi="Times New Roman"/>
          <w:sz w:val="24"/>
          <w:szCs w:val="24"/>
        </w:rPr>
        <w:t>accrues, when there is in existence a person who can sue and another who can be sued, and when all the facts have happened which are material to be proved to</w:t>
      </w:r>
      <w:r w:rsidRPr="00924C49">
        <w:rPr>
          <w:rFonts w:ascii="Arial" w:hAnsi="Arial" w:cs="Arial"/>
          <w:sz w:val="24"/>
          <w:szCs w:val="24"/>
        </w:rPr>
        <w:t xml:space="preserve"> </w:t>
      </w:r>
      <w:r w:rsidRPr="00950BCD">
        <w:rPr>
          <w:rFonts w:ascii="Times New Roman" w:hAnsi="Times New Roman"/>
          <w:sz w:val="24"/>
          <w:szCs w:val="24"/>
        </w:rPr>
        <w:t>entitle the plaintiff to succeed” (per GARDINER, JP, adopting s 64 of </w:t>
      </w:r>
      <w:r w:rsidRPr="00950BCD">
        <w:rPr>
          <w:rFonts w:ascii="Times New Roman" w:hAnsi="Times New Roman"/>
          <w:i/>
          <w:iCs/>
          <w:sz w:val="24"/>
          <w:szCs w:val="24"/>
        </w:rPr>
        <w:t>Halsbury</w:t>
      </w:r>
      <w:r w:rsidRPr="00950BCD">
        <w:rPr>
          <w:rFonts w:ascii="Times New Roman" w:hAnsi="Times New Roman"/>
          <w:sz w:val="24"/>
          <w:szCs w:val="24"/>
        </w:rPr>
        <w:t>, xix, in </w:t>
      </w:r>
      <w:r w:rsidRPr="00950BCD">
        <w:rPr>
          <w:rFonts w:ascii="Times New Roman" w:hAnsi="Times New Roman"/>
          <w:i/>
          <w:iCs/>
          <w:sz w:val="24"/>
          <w:szCs w:val="24"/>
        </w:rPr>
        <w:t>Coetzee v SAR&amp;H </w:t>
      </w:r>
      <w:r w:rsidRPr="00950BCD">
        <w:rPr>
          <w:rFonts w:ascii="Times New Roman" w:hAnsi="Times New Roman"/>
          <w:sz w:val="24"/>
          <w:szCs w:val="24"/>
        </w:rPr>
        <w:t>1933 CPD 570). See </w:t>
      </w:r>
      <w:r w:rsidRPr="00950BCD">
        <w:rPr>
          <w:rFonts w:ascii="Times New Roman" w:hAnsi="Times New Roman"/>
          <w:i/>
          <w:iCs/>
          <w:sz w:val="24"/>
          <w:szCs w:val="24"/>
        </w:rPr>
        <w:t>G North &amp; Son v Brewer &amp; Son </w:t>
      </w:r>
      <w:r w:rsidRPr="00950BCD">
        <w:rPr>
          <w:rFonts w:ascii="Times New Roman" w:hAnsi="Times New Roman"/>
          <w:sz w:val="24"/>
          <w:szCs w:val="24"/>
        </w:rPr>
        <w:t>1941 NPD 74; </w:t>
      </w:r>
      <w:proofErr w:type="spellStart"/>
      <w:r w:rsidRPr="00950BCD">
        <w:rPr>
          <w:rFonts w:ascii="Times New Roman" w:hAnsi="Times New Roman"/>
          <w:i/>
          <w:iCs/>
          <w:sz w:val="24"/>
          <w:szCs w:val="24"/>
        </w:rPr>
        <w:t>Beaven</w:t>
      </w:r>
      <w:proofErr w:type="spellEnd"/>
      <w:r w:rsidRPr="00950BCD">
        <w:rPr>
          <w:rFonts w:ascii="Times New Roman" w:hAnsi="Times New Roman"/>
          <w:i/>
          <w:iCs/>
          <w:sz w:val="24"/>
          <w:szCs w:val="24"/>
        </w:rPr>
        <w:t xml:space="preserve"> v </w:t>
      </w:r>
      <w:proofErr w:type="spellStart"/>
      <w:r w:rsidRPr="00950BCD">
        <w:rPr>
          <w:rFonts w:ascii="Times New Roman" w:hAnsi="Times New Roman"/>
          <w:i/>
          <w:iCs/>
          <w:sz w:val="24"/>
          <w:szCs w:val="24"/>
        </w:rPr>
        <w:t>Carelse</w:t>
      </w:r>
      <w:proofErr w:type="spellEnd"/>
      <w:r w:rsidRPr="00950BCD">
        <w:rPr>
          <w:rFonts w:ascii="Times New Roman" w:hAnsi="Times New Roman"/>
          <w:i/>
          <w:iCs/>
          <w:sz w:val="24"/>
          <w:szCs w:val="24"/>
        </w:rPr>
        <w:t> </w:t>
      </w:r>
      <w:r w:rsidRPr="00950BCD">
        <w:rPr>
          <w:rFonts w:ascii="Times New Roman" w:hAnsi="Times New Roman"/>
          <w:sz w:val="24"/>
          <w:szCs w:val="24"/>
        </w:rPr>
        <w:t>1939 CPD 323; </w:t>
      </w:r>
      <w:proofErr w:type="spellStart"/>
      <w:r w:rsidRPr="00950BCD">
        <w:rPr>
          <w:rFonts w:ascii="Times New Roman" w:hAnsi="Times New Roman"/>
          <w:i/>
          <w:iCs/>
          <w:sz w:val="24"/>
          <w:szCs w:val="24"/>
        </w:rPr>
        <w:t>Abrahamse</w:t>
      </w:r>
      <w:proofErr w:type="spellEnd"/>
      <w:r w:rsidRPr="00950BCD">
        <w:rPr>
          <w:rFonts w:ascii="Times New Roman" w:hAnsi="Times New Roman"/>
          <w:i/>
          <w:iCs/>
          <w:sz w:val="24"/>
          <w:szCs w:val="24"/>
        </w:rPr>
        <w:t xml:space="preserve"> &amp; Sons v SAR&amp;H </w:t>
      </w:r>
      <w:r w:rsidRPr="00950BCD">
        <w:rPr>
          <w:rFonts w:ascii="Times New Roman" w:hAnsi="Times New Roman"/>
          <w:sz w:val="24"/>
          <w:szCs w:val="24"/>
        </w:rPr>
        <w:t>1933 CPD 626; </w:t>
      </w:r>
      <w:r w:rsidRPr="00950BCD">
        <w:rPr>
          <w:rFonts w:ascii="Times New Roman" w:hAnsi="Times New Roman"/>
          <w:i/>
          <w:iCs/>
          <w:sz w:val="24"/>
          <w:szCs w:val="24"/>
        </w:rPr>
        <w:t>McKenzie v Farmers’ Co-op Meat Industries Ltd </w:t>
      </w:r>
      <w:r w:rsidRPr="00950BCD">
        <w:rPr>
          <w:rFonts w:ascii="Times New Roman" w:hAnsi="Times New Roman"/>
          <w:sz w:val="24"/>
          <w:szCs w:val="24"/>
        </w:rPr>
        <w:t>1922 AD 16; </w:t>
      </w:r>
      <w:proofErr w:type="spellStart"/>
      <w:r w:rsidRPr="00950BCD">
        <w:rPr>
          <w:rFonts w:ascii="Times New Roman" w:hAnsi="Times New Roman"/>
          <w:i/>
          <w:iCs/>
          <w:sz w:val="24"/>
          <w:szCs w:val="24"/>
        </w:rPr>
        <w:t>Huletts</w:t>
      </w:r>
      <w:proofErr w:type="spellEnd"/>
      <w:r w:rsidRPr="00950BCD">
        <w:rPr>
          <w:rFonts w:ascii="Times New Roman" w:hAnsi="Times New Roman"/>
          <w:i/>
          <w:iCs/>
          <w:sz w:val="24"/>
          <w:szCs w:val="24"/>
        </w:rPr>
        <w:t xml:space="preserve"> v SAR&amp;H </w:t>
      </w:r>
      <w:r w:rsidRPr="00950BCD">
        <w:rPr>
          <w:rFonts w:ascii="Times New Roman" w:hAnsi="Times New Roman"/>
          <w:sz w:val="24"/>
          <w:szCs w:val="24"/>
        </w:rPr>
        <w:t>1945 NPD 413.”</w:t>
      </w:r>
    </w:p>
    <w:p w:rsidR="00EB7489" w:rsidRPr="00950BCD" w:rsidRDefault="00EB7489" w:rsidP="00EB7489">
      <w:pPr>
        <w:spacing w:after="0" w:line="360" w:lineRule="auto"/>
        <w:ind w:left="851" w:hanging="851"/>
        <w:jc w:val="both"/>
        <w:rPr>
          <w:rFonts w:ascii="Times New Roman" w:hAnsi="Times New Roman"/>
          <w:sz w:val="24"/>
          <w:szCs w:val="24"/>
        </w:rPr>
      </w:pPr>
    </w:p>
    <w:p w:rsidR="00EB7489" w:rsidRDefault="00EB7489" w:rsidP="00EB7489">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703EB7">
        <w:rPr>
          <w:rFonts w:ascii="Times New Roman" w:hAnsi="Times New Roman"/>
          <w:bCs/>
          <w:iCs/>
          <w:sz w:val="28"/>
          <w:szCs w:val="28"/>
        </w:rPr>
        <w:t>10</w:t>
      </w:r>
      <w:r>
        <w:rPr>
          <w:rFonts w:ascii="Times New Roman" w:hAnsi="Times New Roman"/>
          <w:bCs/>
          <w:iCs/>
          <w:sz w:val="28"/>
          <w:szCs w:val="28"/>
        </w:rPr>
        <w:t>]</w:t>
      </w:r>
      <w:r>
        <w:rPr>
          <w:rFonts w:ascii="Times New Roman" w:hAnsi="Times New Roman"/>
          <w:bCs/>
          <w:iCs/>
          <w:sz w:val="28"/>
          <w:szCs w:val="28"/>
        </w:rPr>
        <w:tab/>
        <w:t xml:space="preserve">Moreover, in </w:t>
      </w:r>
      <w:r w:rsidRPr="00D2779A">
        <w:rPr>
          <w:rFonts w:ascii="Times New Roman" w:hAnsi="Times New Roman"/>
          <w:b/>
          <w:iCs/>
          <w:sz w:val="28"/>
          <w:szCs w:val="28"/>
        </w:rPr>
        <w:t>The Liquidator of Lesotho Bank</w:t>
      </w:r>
      <w:r>
        <w:rPr>
          <w:rStyle w:val="FootnoteReference"/>
          <w:rFonts w:ascii="Times New Roman" w:hAnsi="Times New Roman"/>
          <w:b/>
          <w:iCs/>
          <w:sz w:val="28"/>
          <w:szCs w:val="28"/>
        </w:rPr>
        <w:footnoteReference w:id="5"/>
      </w:r>
      <w:r>
        <w:rPr>
          <w:rFonts w:ascii="Times New Roman" w:hAnsi="Times New Roman"/>
          <w:bCs/>
          <w:iCs/>
          <w:sz w:val="28"/>
          <w:szCs w:val="28"/>
        </w:rPr>
        <w:t xml:space="preserve">, </w:t>
      </w:r>
      <w:r w:rsidRPr="00D2779A">
        <w:rPr>
          <w:rFonts w:ascii="Times New Roman" w:hAnsi="Times New Roman"/>
          <w:bCs/>
          <w:i/>
          <w:sz w:val="28"/>
          <w:szCs w:val="28"/>
        </w:rPr>
        <w:t>supra</w:t>
      </w:r>
      <w:r>
        <w:rPr>
          <w:rFonts w:ascii="Times New Roman" w:hAnsi="Times New Roman"/>
          <w:bCs/>
          <w:i/>
          <w:sz w:val="28"/>
          <w:szCs w:val="28"/>
        </w:rPr>
        <w:t xml:space="preserve">, </w:t>
      </w:r>
      <w:r>
        <w:rPr>
          <w:rFonts w:ascii="Times New Roman" w:hAnsi="Times New Roman"/>
          <w:bCs/>
          <w:iCs/>
          <w:sz w:val="28"/>
          <w:szCs w:val="28"/>
        </w:rPr>
        <w:t xml:space="preserve">the Court had this to say in </w:t>
      </w:r>
      <w:r w:rsidR="00703EB7">
        <w:rPr>
          <w:rFonts w:ascii="Times New Roman" w:hAnsi="Times New Roman"/>
          <w:bCs/>
          <w:iCs/>
          <w:sz w:val="28"/>
          <w:szCs w:val="28"/>
        </w:rPr>
        <w:t xml:space="preserve">clarifying </w:t>
      </w:r>
      <w:r>
        <w:rPr>
          <w:rFonts w:ascii="Times New Roman" w:hAnsi="Times New Roman"/>
          <w:bCs/>
          <w:iCs/>
          <w:sz w:val="28"/>
          <w:szCs w:val="28"/>
        </w:rPr>
        <w:t xml:space="preserve">what was meant by prescription: </w:t>
      </w:r>
    </w:p>
    <w:p w:rsidR="00EB7489" w:rsidRPr="0018595D" w:rsidRDefault="00EB7489" w:rsidP="00EB7489">
      <w:pPr>
        <w:tabs>
          <w:tab w:val="left" w:pos="1134"/>
        </w:tabs>
        <w:spacing w:after="240" w:line="480" w:lineRule="auto"/>
        <w:ind w:left="1134"/>
        <w:jc w:val="both"/>
        <w:rPr>
          <w:rFonts w:ascii="Times New Roman" w:hAnsi="Times New Roman"/>
          <w:bCs/>
          <w:iCs/>
          <w:sz w:val="24"/>
          <w:szCs w:val="24"/>
        </w:rPr>
      </w:pPr>
      <w:r>
        <w:rPr>
          <w:rFonts w:ascii="Times New Roman" w:hAnsi="Times New Roman"/>
          <w:bCs/>
          <w:iCs/>
          <w:sz w:val="28"/>
          <w:szCs w:val="28"/>
        </w:rPr>
        <w:t>“</w:t>
      </w:r>
      <w:r w:rsidRPr="0018595D">
        <w:rPr>
          <w:rFonts w:ascii="Times New Roman" w:hAnsi="Times New Roman"/>
          <w:bCs/>
          <w:iCs/>
          <w:sz w:val="24"/>
          <w:szCs w:val="24"/>
        </w:rPr>
        <w:t xml:space="preserve">As a rule of thumb, therefore, a cause of action first accrues when the plaintiff first suffers loss or damage. That test establishes the date from which prescription </w:t>
      </w:r>
      <w:r w:rsidRPr="0018595D">
        <w:rPr>
          <w:rFonts w:ascii="Times New Roman" w:hAnsi="Times New Roman"/>
          <w:bCs/>
          <w:iCs/>
          <w:sz w:val="24"/>
          <w:szCs w:val="24"/>
        </w:rPr>
        <w:lastRenderedPageBreak/>
        <w:t xml:space="preserve">is to run, it is a question of fact for the court to consider. There are many instances where this has been brought before the courts. In some </w:t>
      </w:r>
      <w:proofErr w:type="gramStart"/>
      <w:r w:rsidRPr="0018595D">
        <w:rPr>
          <w:rFonts w:ascii="Times New Roman" w:hAnsi="Times New Roman"/>
          <w:bCs/>
          <w:iCs/>
          <w:sz w:val="24"/>
          <w:szCs w:val="24"/>
        </w:rPr>
        <w:t>cases</w:t>
      </w:r>
      <w:proofErr w:type="gramEnd"/>
      <w:r w:rsidRPr="0018595D">
        <w:rPr>
          <w:rFonts w:ascii="Times New Roman" w:hAnsi="Times New Roman"/>
          <w:bCs/>
          <w:iCs/>
          <w:sz w:val="24"/>
          <w:szCs w:val="24"/>
        </w:rPr>
        <w:t xml:space="preserve"> the contract itself will set the time, though this is not the case here. </w:t>
      </w:r>
    </w:p>
    <w:p w:rsidR="00EB7489" w:rsidRPr="0018595D" w:rsidRDefault="00EB7489" w:rsidP="00EB7489">
      <w:pPr>
        <w:tabs>
          <w:tab w:val="left" w:pos="1134"/>
        </w:tabs>
        <w:spacing w:after="240" w:line="480" w:lineRule="auto"/>
        <w:ind w:left="1134"/>
        <w:jc w:val="both"/>
        <w:rPr>
          <w:rFonts w:ascii="Times New Roman" w:hAnsi="Times New Roman"/>
          <w:bCs/>
          <w:iCs/>
          <w:sz w:val="24"/>
          <w:szCs w:val="24"/>
        </w:rPr>
      </w:pPr>
      <w:r w:rsidRPr="0018595D">
        <w:rPr>
          <w:rFonts w:ascii="Times New Roman" w:hAnsi="Times New Roman"/>
          <w:bCs/>
          <w:iCs/>
          <w:sz w:val="24"/>
          <w:szCs w:val="24"/>
        </w:rPr>
        <w:t xml:space="preserve">In practical terms Mr. </w:t>
      </w:r>
      <w:proofErr w:type="spellStart"/>
      <w:r w:rsidRPr="0018595D">
        <w:rPr>
          <w:rFonts w:ascii="Times New Roman" w:hAnsi="Times New Roman"/>
          <w:bCs/>
          <w:iCs/>
          <w:sz w:val="24"/>
          <w:szCs w:val="24"/>
        </w:rPr>
        <w:t>Ntlhoki</w:t>
      </w:r>
      <w:proofErr w:type="spellEnd"/>
      <w:r w:rsidRPr="0018595D">
        <w:rPr>
          <w:rFonts w:ascii="Times New Roman" w:hAnsi="Times New Roman"/>
          <w:bCs/>
          <w:iCs/>
          <w:sz w:val="24"/>
          <w:szCs w:val="24"/>
        </w:rPr>
        <w:t xml:space="preserve"> is nearer the mark. The Act specifies ‘first’ as the qualifier. Looking at annexure ‘C’ to the Declaration (which purports to be a </w:t>
      </w:r>
      <w:proofErr w:type="gramStart"/>
      <w:r w:rsidRPr="0018595D">
        <w:rPr>
          <w:rFonts w:ascii="Times New Roman" w:hAnsi="Times New Roman"/>
          <w:bCs/>
          <w:iCs/>
          <w:sz w:val="24"/>
          <w:szCs w:val="24"/>
        </w:rPr>
        <w:t>print out</w:t>
      </w:r>
      <w:proofErr w:type="gramEnd"/>
      <w:r w:rsidRPr="0018595D">
        <w:rPr>
          <w:rFonts w:ascii="Times New Roman" w:hAnsi="Times New Roman"/>
          <w:bCs/>
          <w:iCs/>
          <w:sz w:val="24"/>
          <w:szCs w:val="24"/>
        </w:rPr>
        <w:t xml:space="preserve"> of the applicant/defendant ‘s statement of account), the applicant/defendant appears to have defaulted in his payments in June 1997. On the material before, this is the first time the plaintiff/defendant is ‘caused damage, (assuming the statement is accurate, of course). It is the time that the plaintiff’s </w:t>
      </w:r>
      <w:proofErr w:type="spellStart"/>
      <w:r w:rsidRPr="0018595D">
        <w:rPr>
          <w:rFonts w:ascii="Times New Roman" w:hAnsi="Times New Roman"/>
          <w:bCs/>
          <w:iCs/>
          <w:sz w:val="24"/>
          <w:szCs w:val="24"/>
        </w:rPr>
        <w:t>‘cause</w:t>
      </w:r>
      <w:proofErr w:type="spellEnd"/>
      <w:r w:rsidRPr="0018595D">
        <w:rPr>
          <w:rFonts w:ascii="Times New Roman" w:hAnsi="Times New Roman"/>
          <w:bCs/>
          <w:iCs/>
          <w:sz w:val="24"/>
          <w:szCs w:val="24"/>
        </w:rPr>
        <w:t xml:space="preserve"> of action first accrued’. As the acti</w:t>
      </w:r>
      <w:r>
        <w:rPr>
          <w:rFonts w:ascii="Times New Roman" w:hAnsi="Times New Roman"/>
          <w:bCs/>
          <w:iCs/>
          <w:sz w:val="24"/>
          <w:szCs w:val="24"/>
        </w:rPr>
        <w:t xml:space="preserve">on </w:t>
      </w:r>
      <w:r w:rsidRPr="0018595D">
        <w:rPr>
          <w:rFonts w:ascii="Times New Roman" w:hAnsi="Times New Roman"/>
          <w:bCs/>
          <w:iCs/>
          <w:sz w:val="24"/>
          <w:szCs w:val="24"/>
        </w:rPr>
        <w:t>herein commenced on 24 August 2007 and June 1997 is to be the date when the cause of action ‘first accrued’</w:t>
      </w:r>
      <w:r>
        <w:rPr>
          <w:rFonts w:ascii="Times New Roman" w:hAnsi="Times New Roman"/>
          <w:bCs/>
          <w:iCs/>
          <w:sz w:val="24"/>
          <w:szCs w:val="24"/>
        </w:rPr>
        <w:t>, i</w:t>
      </w:r>
      <w:r w:rsidRPr="0018595D">
        <w:rPr>
          <w:rFonts w:ascii="Times New Roman" w:hAnsi="Times New Roman"/>
          <w:bCs/>
          <w:iCs/>
          <w:sz w:val="24"/>
          <w:szCs w:val="24"/>
        </w:rPr>
        <w:t xml:space="preserve">t is well outside the 8-year period”. </w:t>
      </w:r>
    </w:p>
    <w:p w:rsidR="00EB7489" w:rsidRPr="000A131F" w:rsidRDefault="00EB7489">
      <w:pPr>
        <w:tabs>
          <w:tab w:val="left" w:pos="1134"/>
        </w:tabs>
        <w:spacing w:after="240" w:line="480" w:lineRule="auto"/>
        <w:jc w:val="both"/>
        <w:rPr>
          <w:rFonts w:ascii="Times New Roman" w:hAnsi="Times New Roman"/>
          <w:bCs/>
          <w:iCs/>
          <w:sz w:val="28"/>
          <w:szCs w:val="28"/>
        </w:rPr>
      </w:pPr>
      <w:r>
        <w:rPr>
          <w:rFonts w:ascii="Times New Roman" w:hAnsi="Times New Roman"/>
          <w:bCs/>
          <w:iCs/>
          <w:sz w:val="24"/>
          <w:szCs w:val="24"/>
        </w:rPr>
        <w:t>[</w:t>
      </w:r>
      <w:r w:rsidR="00703EB7">
        <w:rPr>
          <w:rFonts w:ascii="Times New Roman" w:hAnsi="Times New Roman"/>
          <w:bCs/>
          <w:iCs/>
          <w:sz w:val="24"/>
          <w:szCs w:val="24"/>
        </w:rPr>
        <w:t>11</w:t>
      </w:r>
      <w:r>
        <w:rPr>
          <w:rFonts w:ascii="Times New Roman" w:hAnsi="Times New Roman"/>
          <w:bCs/>
          <w:iCs/>
          <w:sz w:val="24"/>
          <w:szCs w:val="24"/>
        </w:rPr>
        <w:t>]</w:t>
      </w:r>
      <w:r>
        <w:rPr>
          <w:rFonts w:ascii="Times New Roman" w:hAnsi="Times New Roman"/>
          <w:bCs/>
          <w:iCs/>
          <w:sz w:val="24"/>
          <w:szCs w:val="24"/>
        </w:rPr>
        <w:tab/>
      </w:r>
      <w:r w:rsidR="000A131F">
        <w:rPr>
          <w:rFonts w:ascii="Times New Roman" w:hAnsi="Times New Roman"/>
          <w:bCs/>
          <w:iCs/>
          <w:sz w:val="28"/>
          <w:szCs w:val="28"/>
        </w:rPr>
        <w:t xml:space="preserve">According to the summons </w:t>
      </w:r>
      <w:r>
        <w:rPr>
          <w:rFonts w:ascii="Times New Roman" w:hAnsi="Times New Roman"/>
          <w:bCs/>
          <w:iCs/>
          <w:sz w:val="28"/>
          <w:szCs w:val="28"/>
        </w:rPr>
        <w:t xml:space="preserve">as amplified by </w:t>
      </w:r>
      <w:proofErr w:type="gramStart"/>
      <w:r>
        <w:rPr>
          <w:rFonts w:ascii="Times New Roman" w:hAnsi="Times New Roman"/>
          <w:bCs/>
          <w:iCs/>
          <w:sz w:val="28"/>
          <w:szCs w:val="28"/>
        </w:rPr>
        <w:t>further particulars, the</w:t>
      </w:r>
      <w:proofErr w:type="gramEnd"/>
      <w:r>
        <w:rPr>
          <w:rFonts w:ascii="Times New Roman" w:hAnsi="Times New Roman"/>
          <w:bCs/>
          <w:iCs/>
          <w:sz w:val="28"/>
          <w:szCs w:val="28"/>
        </w:rPr>
        <w:t xml:space="preserve"> plaintiff expected payment on the 31</w:t>
      </w:r>
      <w:r w:rsidRPr="00C9298D">
        <w:rPr>
          <w:rFonts w:ascii="Times New Roman" w:hAnsi="Times New Roman"/>
          <w:bCs/>
          <w:iCs/>
          <w:sz w:val="28"/>
          <w:szCs w:val="28"/>
          <w:vertAlign w:val="superscript"/>
        </w:rPr>
        <w:t>st</w:t>
      </w:r>
      <w:r>
        <w:rPr>
          <w:rFonts w:ascii="Times New Roman" w:hAnsi="Times New Roman"/>
          <w:bCs/>
          <w:iCs/>
          <w:sz w:val="28"/>
          <w:szCs w:val="28"/>
        </w:rPr>
        <w:t xml:space="preserve"> January 1997. Accordingly, if the plaintiff was expecting payment on the 31</w:t>
      </w:r>
      <w:r w:rsidRPr="00303CA7">
        <w:rPr>
          <w:rFonts w:ascii="Times New Roman" w:hAnsi="Times New Roman"/>
          <w:bCs/>
          <w:iCs/>
          <w:sz w:val="28"/>
          <w:szCs w:val="28"/>
          <w:vertAlign w:val="superscript"/>
        </w:rPr>
        <w:t>st</w:t>
      </w:r>
      <w:r>
        <w:rPr>
          <w:rFonts w:ascii="Times New Roman" w:hAnsi="Times New Roman"/>
          <w:bCs/>
          <w:iCs/>
          <w:sz w:val="28"/>
          <w:szCs w:val="28"/>
        </w:rPr>
        <w:t xml:space="preserve"> January 1997 and it was not made, that is therefore the date on which the cause of action first accrued. It therefore follows that on the 31</w:t>
      </w:r>
      <w:r w:rsidRPr="004253CA">
        <w:rPr>
          <w:rFonts w:ascii="Times New Roman" w:hAnsi="Times New Roman"/>
          <w:bCs/>
          <w:iCs/>
          <w:sz w:val="28"/>
          <w:szCs w:val="28"/>
          <w:vertAlign w:val="superscript"/>
        </w:rPr>
        <w:t>st</w:t>
      </w:r>
      <w:r>
        <w:rPr>
          <w:rFonts w:ascii="Times New Roman" w:hAnsi="Times New Roman"/>
          <w:bCs/>
          <w:iCs/>
          <w:sz w:val="28"/>
          <w:szCs w:val="28"/>
        </w:rPr>
        <w:t xml:space="preserve"> January 1997 the plaintiff had every fact material to be proved to be entitled to succeed in his claim.  As the action here commenced on the 2</w:t>
      </w:r>
      <w:r w:rsidRPr="00BE39D9">
        <w:rPr>
          <w:rFonts w:ascii="Times New Roman" w:hAnsi="Times New Roman"/>
          <w:bCs/>
          <w:iCs/>
          <w:sz w:val="28"/>
          <w:szCs w:val="28"/>
          <w:vertAlign w:val="superscript"/>
        </w:rPr>
        <w:t>nd</w:t>
      </w:r>
      <w:r>
        <w:rPr>
          <w:rFonts w:ascii="Times New Roman" w:hAnsi="Times New Roman"/>
          <w:bCs/>
          <w:iCs/>
          <w:sz w:val="28"/>
          <w:szCs w:val="28"/>
        </w:rPr>
        <w:t xml:space="preserve"> August 2013 and the 31</w:t>
      </w:r>
      <w:r w:rsidRPr="00BE39D9">
        <w:rPr>
          <w:rFonts w:ascii="Times New Roman" w:hAnsi="Times New Roman"/>
          <w:bCs/>
          <w:iCs/>
          <w:sz w:val="28"/>
          <w:szCs w:val="28"/>
          <w:vertAlign w:val="superscript"/>
        </w:rPr>
        <w:t>st</w:t>
      </w:r>
      <w:r>
        <w:rPr>
          <w:rFonts w:ascii="Times New Roman" w:hAnsi="Times New Roman"/>
          <w:bCs/>
          <w:iCs/>
          <w:sz w:val="28"/>
          <w:szCs w:val="28"/>
        </w:rPr>
        <w:t xml:space="preserve"> January 1997 is the date on which the cause of action first accrued, it is well outside the </w:t>
      </w:r>
      <w:r w:rsidR="00703EB7">
        <w:rPr>
          <w:rFonts w:ascii="Times New Roman" w:hAnsi="Times New Roman"/>
          <w:bCs/>
          <w:iCs/>
          <w:sz w:val="28"/>
          <w:szCs w:val="28"/>
        </w:rPr>
        <w:t>8-year</w:t>
      </w:r>
      <w:r>
        <w:rPr>
          <w:rFonts w:ascii="Times New Roman" w:hAnsi="Times New Roman"/>
          <w:bCs/>
          <w:iCs/>
          <w:sz w:val="28"/>
          <w:szCs w:val="28"/>
        </w:rPr>
        <w:t xml:space="preserve"> period. </w:t>
      </w:r>
    </w:p>
    <w:p w:rsidR="00B14175" w:rsidRDefault="0029376C">
      <w:pPr>
        <w:tabs>
          <w:tab w:val="left" w:pos="1134"/>
        </w:tabs>
        <w:spacing w:after="240" w:line="480" w:lineRule="auto"/>
        <w:jc w:val="both"/>
      </w:pPr>
      <w:r>
        <w:rPr>
          <w:rFonts w:ascii="Times New Roman" w:hAnsi="Times New Roman"/>
          <w:bCs/>
          <w:iCs/>
          <w:sz w:val="28"/>
          <w:szCs w:val="28"/>
        </w:rPr>
        <w:t>[</w:t>
      </w:r>
      <w:r w:rsidR="000A131F">
        <w:rPr>
          <w:rFonts w:ascii="Times New Roman" w:hAnsi="Times New Roman"/>
          <w:bCs/>
          <w:iCs/>
          <w:sz w:val="28"/>
          <w:szCs w:val="28"/>
        </w:rPr>
        <w:t>12</w:t>
      </w:r>
      <w:r>
        <w:rPr>
          <w:rFonts w:ascii="Times New Roman" w:hAnsi="Times New Roman"/>
          <w:bCs/>
          <w:iCs/>
          <w:sz w:val="28"/>
          <w:szCs w:val="28"/>
        </w:rPr>
        <w:t>]</w:t>
      </w:r>
      <w:r>
        <w:rPr>
          <w:rFonts w:ascii="Times New Roman" w:hAnsi="Times New Roman"/>
          <w:bCs/>
          <w:iCs/>
          <w:sz w:val="28"/>
          <w:szCs w:val="28"/>
        </w:rPr>
        <w:tab/>
      </w:r>
      <w:r w:rsidR="000E720E">
        <w:rPr>
          <w:rFonts w:ascii="Times New Roman" w:hAnsi="Times New Roman"/>
          <w:bCs/>
          <w:iCs/>
          <w:sz w:val="28"/>
          <w:szCs w:val="28"/>
        </w:rPr>
        <w:t xml:space="preserve">I have already provided my </w:t>
      </w:r>
      <w:r w:rsidR="000A131F">
        <w:rPr>
          <w:rFonts w:ascii="Times New Roman" w:hAnsi="Times New Roman"/>
          <w:bCs/>
          <w:iCs/>
          <w:sz w:val="28"/>
          <w:szCs w:val="28"/>
        </w:rPr>
        <w:t>analysis and conclusions based on the plaintiff’s own pleadings</w:t>
      </w:r>
      <w:r w:rsidR="000E720E">
        <w:rPr>
          <w:rFonts w:ascii="Times New Roman" w:hAnsi="Times New Roman"/>
          <w:bCs/>
          <w:iCs/>
          <w:sz w:val="28"/>
          <w:szCs w:val="28"/>
        </w:rPr>
        <w:t>. However,</w:t>
      </w:r>
      <w:r w:rsidR="000A131F">
        <w:rPr>
          <w:rFonts w:ascii="Times New Roman" w:hAnsi="Times New Roman"/>
          <w:bCs/>
          <w:iCs/>
          <w:sz w:val="28"/>
          <w:szCs w:val="28"/>
        </w:rPr>
        <w:t xml:space="preserve"> I </w:t>
      </w:r>
      <w:r w:rsidR="000E720E">
        <w:rPr>
          <w:rFonts w:ascii="Times New Roman" w:hAnsi="Times New Roman"/>
          <w:bCs/>
          <w:iCs/>
          <w:sz w:val="28"/>
          <w:szCs w:val="28"/>
        </w:rPr>
        <w:t xml:space="preserve">still find it necessary to </w:t>
      </w:r>
      <w:r w:rsidR="000A131F">
        <w:rPr>
          <w:rFonts w:ascii="Times New Roman" w:hAnsi="Times New Roman"/>
          <w:bCs/>
          <w:iCs/>
          <w:sz w:val="28"/>
          <w:szCs w:val="28"/>
        </w:rPr>
        <w:t xml:space="preserve">proceed </w:t>
      </w:r>
      <w:r w:rsidR="000E720E">
        <w:rPr>
          <w:rFonts w:ascii="Times New Roman" w:hAnsi="Times New Roman"/>
          <w:bCs/>
          <w:iCs/>
          <w:sz w:val="28"/>
          <w:szCs w:val="28"/>
        </w:rPr>
        <w:t xml:space="preserve">and </w:t>
      </w:r>
      <w:r w:rsidR="000A131F">
        <w:rPr>
          <w:rFonts w:ascii="Times New Roman" w:hAnsi="Times New Roman"/>
          <w:bCs/>
          <w:iCs/>
          <w:sz w:val="28"/>
          <w:szCs w:val="28"/>
        </w:rPr>
        <w:t xml:space="preserve"> </w:t>
      </w:r>
      <w:r w:rsidR="000A131F">
        <w:rPr>
          <w:rFonts w:ascii="Times New Roman" w:hAnsi="Times New Roman"/>
          <w:bCs/>
          <w:iCs/>
          <w:sz w:val="28"/>
          <w:szCs w:val="28"/>
        </w:rPr>
        <w:lastRenderedPageBreak/>
        <w:t xml:space="preserve">examine if the defendant </w:t>
      </w:r>
      <w:r w:rsidR="00F8479B">
        <w:rPr>
          <w:rFonts w:ascii="Times New Roman" w:hAnsi="Times New Roman"/>
          <w:bCs/>
          <w:iCs/>
          <w:sz w:val="28"/>
          <w:szCs w:val="28"/>
        </w:rPr>
        <w:t xml:space="preserve">was able to prove his case as far as prescription is concerned </w:t>
      </w:r>
      <w:r w:rsidR="000A131F">
        <w:rPr>
          <w:rFonts w:ascii="Times New Roman" w:hAnsi="Times New Roman"/>
          <w:bCs/>
          <w:iCs/>
          <w:sz w:val="28"/>
          <w:szCs w:val="28"/>
        </w:rPr>
        <w:t xml:space="preserve">in line with the decision of the Court of Appeal in </w:t>
      </w:r>
      <w:proofErr w:type="spellStart"/>
      <w:r>
        <w:rPr>
          <w:rFonts w:ascii="Times New Roman" w:hAnsi="Times New Roman"/>
          <w:b/>
          <w:iCs/>
          <w:sz w:val="28"/>
          <w:szCs w:val="28"/>
        </w:rPr>
        <w:t>Ntoa</w:t>
      </w:r>
      <w:proofErr w:type="spellEnd"/>
      <w:r>
        <w:rPr>
          <w:rFonts w:ascii="Times New Roman" w:hAnsi="Times New Roman"/>
          <w:b/>
          <w:iCs/>
          <w:sz w:val="28"/>
          <w:szCs w:val="28"/>
        </w:rPr>
        <w:t xml:space="preserve"> </w:t>
      </w:r>
      <w:proofErr w:type="spellStart"/>
      <w:r>
        <w:rPr>
          <w:rFonts w:ascii="Times New Roman" w:hAnsi="Times New Roman"/>
          <w:b/>
          <w:iCs/>
          <w:sz w:val="28"/>
          <w:szCs w:val="28"/>
        </w:rPr>
        <w:t>Abiel</w:t>
      </w:r>
      <w:proofErr w:type="spellEnd"/>
      <w:r>
        <w:rPr>
          <w:rFonts w:ascii="Times New Roman" w:hAnsi="Times New Roman"/>
          <w:b/>
          <w:iCs/>
          <w:sz w:val="28"/>
          <w:szCs w:val="28"/>
        </w:rPr>
        <w:t xml:space="preserve"> Bushman v Lesotho Development and Construction (Pty) Ltd</w:t>
      </w:r>
      <w:r>
        <w:rPr>
          <w:rStyle w:val="FootnoteReference"/>
          <w:rFonts w:ascii="Times New Roman" w:hAnsi="Times New Roman"/>
          <w:b/>
          <w:iCs/>
          <w:sz w:val="28"/>
          <w:szCs w:val="28"/>
        </w:rPr>
        <w:footnoteReference w:id="6"/>
      </w:r>
      <w:r w:rsidR="000A131F">
        <w:rPr>
          <w:rFonts w:ascii="Times New Roman" w:hAnsi="Times New Roman"/>
          <w:bCs/>
          <w:iCs/>
          <w:sz w:val="28"/>
          <w:szCs w:val="28"/>
        </w:rPr>
        <w:t xml:space="preserve"> </w:t>
      </w:r>
      <w:r w:rsidR="00F8479B">
        <w:rPr>
          <w:rFonts w:ascii="Times New Roman" w:hAnsi="Times New Roman"/>
          <w:bCs/>
          <w:iCs/>
          <w:sz w:val="28"/>
          <w:szCs w:val="28"/>
        </w:rPr>
        <w:t xml:space="preserve">to the effect that </w:t>
      </w:r>
      <w:r>
        <w:rPr>
          <w:rFonts w:ascii="Times New Roman" w:hAnsi="Times New Roman"/>
          <w:bCs/>
          <w:iCs/>
          <w:sz w:val="28"/>
          <w:szCs w:val="28"/>
        </w:rPr>
        <w:t xml:space="preserve">a party that raises prescription must allege </w:t>
      </w:r>
      <w:bookmarkStart w:id="1" w:name="_Hlk88039571"/>
      <w:r>
        <w:rPr>
          <w:rFonts w:ascii="Times New Roman" w:hAnsi="Times New Roman"/>
          <w:bCs/>
          <w:iCs/>
          <w:sz w:val="28"/>
          <w:szCs w:val="28"/>
        </w:rPr>
        <w:t>and prove the date of the inception of the period of prescription.</w:t>
      </w:r>
      <w:bookmarkEnd w:id="1"/>
      <w:r>
        <w:rPr>
          <w:rFonts w:ascii="Times New Roman" w:hAnsi="Times New Roman"/>
          <w:bCs/>
          <w:iCs/>
          <w:sz w:val="28"/>
          <w:szCs w:val="28"/>
        </w:rPr>
        <w:t xml:space="preserve"> </w:t>
      </w:r>
      <w:r w:rsidR="00F8479B">
        <w:rPr>
          <w:rFonts w:ascii="Times New Roman" w:hAnsi="Times New Roman"/>
          <w:bCs/>
          <w:iCs/>
          <w:sz w:val="28"/>
          <w:szCs w:val="28"/>
        </w:rPr>
        <w:t xml:space="preserve">I do so cognisant of the decision </w:t>
      </w:r>
      <w:proofErr w:type="gramStart"/>
      <w:r w:rsidR="00F8479B">
        <w:rPr>
          <w:rFonts w:ascii="Times New Roman" w:hAnsi="Times New Roman"/>
          <w:bCs/>
          <w:iCs/>
          <w:sz w:val="28"/>
          <w:szCs w:val="28"/>
        </w:rPr>
        <w:t xml:space="preserve">in </w:t>
      </w:r>
      <w:r>
        <w:rPr>
          <w:rFonts w:ascii="Times New Roman" w:hAnsi="Times New Roman"/>
          <w:bCs/>
          <w:iCs/>
          <w:sz w:val="28"/>
          <w:szCs w:val="28"/>
        </w:rPr>
        <w:t xml:space="preserve"> </w:t>
      </w:r>
      <w:proofErr w:type="spellStart"/>
      <w:r>
        <w:rPr>
          <w:rFonts w:ascii="Times New Roman" w:hAnsi="Times New Roman"/>
          <w:b/>
          <w:iCs/>
          <w:sz w:val="28"/>
          <w:szCs w:val="28"/>
        </w:rPr>
        <w:t>Y</w:t>
      </w:r>
      <w:r w:rsidR="004D0D94">
        <w:rPr>
          <w:rFonts w:ascii="Times New Roman" w:hAnsi="Times New Roman"/>
          <w:b/>
          <w:iCs/>
          <w:sz w:val="28"/>
          <w:szCs w:val="28"/>
        </w:rPr>
        <w:t>u</w:t>
      </w:r>
      <w:r>
        <w:rPr>
          <w:rFonts w:ascii="Times New Roman" w:hAnsi="Times New Roman"/>
          <w:b/>
          <w:iCs/>
          <w:sz w:val="28"/>
          <w:szCs w:val="28"/>
        </w:rPr>
        <w:t>saf</w:t>
      </w:r>
      <w:proofErr w:type="spellEnd"/>
      <w:proofErr w:type="gramEnd"/>
      <w:r>
        <w:rPr>
          <w:rFonts w:ascii="Times New Roman" w:hAnsi="Times New Roman"/>
          <w:b/>
          <w:iCs/>
          <w:sz w:val="28"/>
          <w:szCs w:val="28"/>
        </w:rPr>
        <w:t xml:space="preserve"> v Bailey and Others</w:t>
      </w:r>
      <w:r>
        <w:rPr>
          <w:rStyle w:val="FootnoteReference"/>
          <w:rFonts w:ascii="Times New Roman" w:hAnsi="Times New Roman"/>
          <w:b/>
          <w:iCs/>
          <w:sz w:val="28"/>
          <w:szCs w:val="28"/>
        </w:rPr>
        <w:footnoteReference w:id="7"/>
      </w:r>
      <w:r>
        <w:rPr>
          <w:rFonts w:ascii="Times New Roman" w:hAnsi="Times New Roman"/>
          <w:b/>
          <w:iCs/>
          <w:sz w:val="28"/>
          <w:szCs w:val="28"/>
        </w:rPr>
        <w:t xml:space="preserve"> </w:t>
      </w:r>
      <w:r>
        <w:rPr>
          <w:rFonts w:ascii="Times New Roman" w:hAnsi="Times New Roman"/>
          <w:bCs/>
          <w:iCs/>
          <w:sz w:val="28"/>
          <w:szCs w:val="28"/>
        </w:rPr>
        <w:t xml:space="preserve"> </w:t>
      </w:r>
      <w:r w:rsidR="00F8479B">
        <w:rPr>
          <w:rFonts w:ascii="Times New Roman" w:hAnsi="Times New Roman"/>
          <w:bCs/>
          <w:iCs/>
          <w:sz w:val="28"/>
          <w:szCs w:val="28"/>
        </w:rPr>
        <w:t xml:space="preserve">where the </w:t>
      </w:r>
      <w:r>
        <w:rPr>
          <w:rFonts w:ascii="Times New Roman" w:hAnsi="Times New Roman"/>
          <w:bCs/>
          <w:iCs/>
          <w:sz w:val="28"/>
          <w:szCs w:val="28"/>
        </w:rPr>
        <w:t>Court held that the onus was on the plaintiff to satisfy the Court in terms of his replication to the special plea that his claim had not become prescribed before service of summons. It is apposite to indicate</w:t>
      </w:r>
      <w:r w:rsidR="00F8479B">
        <w:rPr>
          <w:rFonts w:ascii="Times New Roman" w:hAnsi="Times New Roman"/>
          <w:bCs/>
          <w:iCs/>
          <w:sz w:val="28"/>
          <w:szCs w:val="28"/>
        </w:rPr>
        <w:t xml:space="preserve"> in the latter case,</w:t>
      </w:r>
      <w:r>
        <w:rPr>
          <w:rFonts w:ascii="Times New Roman" w:hAnsi="Times New Roman"/>
          <w:bCs/>
          <w:iCs/>
          <w:sz w:val="28"/>
          <w:szCs w:val="28"/>
        </w:rPr>
        <w:t xml:space="preserve"> the facts in support of the replication were peculiarly within the knowledge of the plaintiff. </w:t>
      </w:r>
    </w:p>
    <w:p w:rsidR="00B14175" w:rsidRDefault="0029376C">
      <w:pPr>
        <w:tabs>
          <w:tab w:val="left" w:pos="1134"/>
        </w:tabs>
        <w:spacing w:after="240" w:line="480" w:lineRule="auto"/>
        <w:jc w:val="both"/>
      </w:pPr>
      <w:r>
        <w:rPr>
          <w:rFonts w:ascii="Times New Roman" w:hAnsi="Times New Roman"/>
          <w:bCs/>
          <w:iCs/>
          <w:sz w:val="28"/>
          <w:szCs w:val="28"/>
        </w:rPr>
        <w:t>[</w:t>
      </w:r>
      <w:r w:rsidR="00F8479B">
        <w:rPr>
          <w:rFonts w:ascii="Times New Roman" w:hAnsi="Times New Roman"/>
          <w:bCs/>
          <w:iCs/>
          <w:sz w:val="28"/>
          <w:szCs w:val="28"/>
        </w:rPr>
        <w:t>13</w:t>
      </w:r>
      <w:r>
        <w:rPr>
          <w:rFonts w:ascii="Times New Roman" w:hAnsi="Times New Roman"/>
          <w:bCs/>
          <w:iCs/>
          <w:sz w:val="28"/>
          <w:szCs w:val="28"/>
        </w:rPr>
        <w:t>]</w:t>
      </w:r>
      <w:r>
        <w:rPr>
          <w:rFonts w:ascii="Times New Roman" w:hAnsi="Times New Roman"/>
          <w:bCs/>
          <w:iCs/>
          <w:sz w:val="28"/>
          <w:szCs w:val="28"/>
        </w:rPr>
        <w:tab/>
        <w:t xml:space="preserve">In </w:t>
      </w:r>
      <w:r>
        <w:rPr>
          <w:rFonts w:ascii="Times New Roman" w:hAnsi="Times New Roman"/>
          <w:b/>
          <w:iCs/>
          <w:sz w:val="28"/>
          <w:szCs w:val="28"/>
        </w:rPr>
        <w:t xml:space="preserve">Edwards v </w:t>
      </w:r>
      <w:proofErr w:type="spellStart"/>
      <w:r>
        <w:rPr>
          <w:rFonts w:ascii="Times New Roman" w:hAnsi="Times New Roman"/>
          <w:b/>
          <w:iCs/>
          <w:sz w:val="28"/>
          <w:szCs w:val="28"/>
        </w:rPr>
        <w:t>Woodnutt</w:t>
      </w:r>
      <w:proofErr w:type="spellEnd"/>
      <w:r>
        <w:rPr>
          <w:rFonts w:ascii="Times New Roman" w:hAnsi="Times New Roman"/>
          <w:b/>
          <w:iCs/>
          <w:sz w:val="28"/>
          <w:szCs w:val="28"/>
        </w:rPr>
        <w:t xml:space="preserve">, </w:t>
      </w:r>
      <w:proofErr w:type="gramStart"/>
      <w:r>
        <w:rPr>
          <w:rFonts w:ascii="Times New Roman" w:hAnsi="Times New Roman"/>
          <w:b/>
          <w:iCs/>
          <w:sz w:val="28"/>
          <w:szCs w:val="28"/>
        </w:rPr>
        <w:t>N.O</w:t>
      </w:r>
      <w:proofErr w:type="gramEnd"/>
      <w:r>
        <w:rPr>
          <w:rStyle w:val="FootnoteReference"/>
          <w:rFonts w:ascii="Times New Roman" w:hAnsi="Times New Roman"/>
          <w:b/>
          <w:iCs/>
          <w:sz w:val="28"/>
          <w:szCs w:val="28"/>
        </w:rPr>
        <w:footnoteReference w:id="8"/>
      </w:r>
      <w:r>
        <w:rPr>
          <w:rFonts w:ascii="Times New Roman" w:hAnsi="Times New Roman"/>
          <w:b/>
          <w:iCs/>
          <w:sz w:val="28"/>
          <w:szCs w:val="28"/>
        </w:rPr>
        <w:t xml:space="preserve"> </w:t>
      </w:r>
      <w:r>
        <w:rPr>
          <w:rFonts w:ascii="Times New Roman" w:hAnsi="Times New Roman"/>
          <w:bCs/>
          <w:iCs/>
          <w:sz w:val="28"/>
          <w:szCs w:val="28"/>
        </w:rPr>
        <w:t>the Court indicated</w:t>
      </w:r>
      <w:r w:rsidR="00703EB7">
        <w:rPr>
          <w:rFonts w:ascii="Times New Roman" w:hAnsi="Times New Roman"/>
          <w:bCs/>
          <w:iCs/>
          <w:sz w:val="28"/>
          <w:szCs w:val="28"/>
        </w:rPr>
        <w:t xml:space="preserve"> that</w:t>
      </w:r>
      <w:r>
        <w:rPr>
          <w:rFonts w:ascii="Times New Roman" w:hAnsi="Times New Roman"/>
          <w:bCs/>
          <w:iCs/>
          <w:sz w:val="28"/>
          <w:szCs w:val="28"/>
        </w:rPr>
        <w:t xml:space="preserve"> unlike with exception where facts stated in the pleadings must be accepted, evidence may be led in the case of a plea in abatement. While acknowledging that objection to </w:t>
      </w:r>
      <w:r>
        <w:rPr>
          <w:rFonts w:ascii="Times New Roman" w:hAnsi="Times New Roman"/>
          <w:bCs/>
          <w:i/>
          <w:sz w:val="28"/>
          <w:szCs w:val="28"/>
        </w:rPr>
        <w:t>locus standi</w:t>
      </w:r>
      <w:r>
        <w:rPr>
          <w:rFonts w:ascii="Times New Roman" w:hAnsi="Times New Roman"/>
          <w:bCs/>
          <w:iCs/>
          <w:sz w:val="28"/>
          <w:szCs w:val="28"/>
        </w:rPr>
        <w:t xml:space="preserve"> of plaintiff should have been raised by way of special plea and not exception as it was the case, the Court nonetheless entertained the objection without a need for evidence to be led because the defendant did </w:t>
      </w:r>
      <w:bookmarkStart w:id="2" w:name="_Hlk87617933"/>
      <w:r>
        <w:rPr>
          <w:rFonts w:ascii="Times New Roman" w:hAnsi="Times New Roman"/>
          <w:bCs/>
          <w:iCs/>
          <w:sz w:val="28"/>
          <w:szCs w:val="28"/>
        </w:rPr>
        <w:t xml:space="preserve">not rely on a single fact which did not appear in the declaration or challenged any of the facts pleaded. </w:t>
      </w:r>
      <w:bookmarkEnd w:id="2"/>
      <w:r>
        <w:rPr>
          <w:rFonts w:ascii="Times New Roman" w:hAnsi="Times New Roman"/>
          <w:bCs/>
          <w:iCs/>
          <w:sz w:val="28"/>
          <w:szCs w:val="28"/>
        </w:rPr>
        <w:t xml:space="preserve"> It is therefore clear that each case must be treated on its own merits and </w:t>
      </w:r>
      <w:r>
        <w:rPr>
          <w:rFonts w:ascii="Times New Roman" w:hAnsi="Times New Roman"/>
          <w:bCs/>
          <w:iCs/>
          <w:sz w:val="28"/>
          <w:szCs w:val="28"/>
        </w:rPr>
        <w:lastRenderedPageBreak/>
        <w:t>that it is not in all the situations where a plea in abatement is raised that the defendant will be required to le</w:t>
      </w:r>
      <w:r w:rsidR="004D0D94">
        <w:rPr>
          <w:rFonts w:ascii="Times New Roman" w:hAnsi="Times New Roman"/>
          <w:bCs/>
          <w:iCs/>
          <w:sz w:val="28"/>
          <w:szCs w:val="28"/>
        </w:rPr>
        <w:t>a</w:t>
      </w:r>
      <w:r>
        <w:rPr>
          <w:rFonts w:ascii="Times New Roman" w:hAnsi="Times New Roman"/>
          <w:bCs/>
          <w:iCs/>
          <w:sz w:val="28"/>
          <w:szCs w:val="28"/>
        </w:rPr>
        <w:t xml:space="preserve">d evidence. </w:t>
      </w:r>
    </w:p>
    <w:p w:rsidR="00B14175" w:rsidRDefault="0029376C">
      <w:pPr>
        <w:tabs>
          <w:tab w:val="left" w:pos="1134"/>
        </w:tabs>
        <w:spacing w:after="240" w:line="480" w:lineRule="auto"/>
        <w:jc w:val="both"/>
      </w:pPr>
      <w:r>
        <w:rPr>
          <w:rFonts w:ascii="Times New Roman" w:hAnsi="Times New Roman"/>
          <w:bCs/>
          <w:iCs/>
          <w:sz w:val="28"/>
          <w:szCs w:val="28"/>
        </w:rPr>
        <w:t>[1</w:t>
      </w:r>
      <w:r w:rsidR="00F8479B">
        <w:rPr>
          <w:rFonts w:ascii="Times New Roman" w:hAnsi="Times New Roman"/>
          <w:bCs/>
          <w:iCs/>
          <w:sz w:val="28"/>
          <w:szCs w:val="28"/>
        </w:rPr>
        <w:t>4</w:t>
      </w:r>
      <w:r>
        <w:rPr>
          <w:rFonts w:ascii="Times New Roman" w:hAnsi="Times New Roman"/>
          <w:bCs/>
          <w:iCs/>
          <w:sz w:val="28"/>
          <w:szCs w:val="28"/>
        </w:rPr>
        <w:t>]</w:t>
      </w:r>
      <w:r>
        <w:rPr>
          <w:rFonts w:ascii="Times New Roman" w:hAnsi="Times New Roman"/>
          <w:bCs/>
          <w:iCs/>
          <w:sz w:val="28"/>
          <w:szCs w:val="28"/>
        </w:rPr>
        <w:tab/>
        <w:t>I</w:t>
      </w:r>
      <w:r w:rsidR="00F8479B">
        <w:rPr>
          <w:rFonts w:ascii="Times New Roman" w:hAnsi="Times New Roman"/>
          <w:bCs/>
          <w:iCs/>
          <w:sz w:val="28"/>
          <w:szCs w:val="28"/>
        </w:rPr>
        <w:t xml:space="preserve">n </w:t>
      </w:r>
      <w:proofErr w:type="spellStart"/>
      <w:r w:rsidR="00F8479B" w:rsidRPr="00F8479B">
        <w:rPr>
          <w:rFonts w:ascii="Times New Roman" w:hAnsi="Times New Roman"/>
          <w:bCs/>
          <w:i/>
          <w:sz w:val="28"/>
          <w:szCs w:val="28"/>
        </w:rPr>
        <w:t>casu</w:t>
      </w:r>
      <w:proofErr w:type="spellEnd"/>
      <w:r w:rsidR="00F8479B">
        <w:rPr>
          <w:rFonts w:ascii="Times New Roman" w:hAnsi="Times New Roman"/>
          <w:bCs/>
          <w:iCs/>
          <w:sz w:val="28"/>
          <w:szCs w:val="28"/>
        </w:rPr>
        <w:t xml:space="preserve"> the </w:t>
      </w:r>
      <w:r>
        <w:rPr>
          <w:rFonts w:ascii="Times New Roman" w:hAnsi="Times New Roman"/>
          <w:bCs/>
          <w:iCs/>
          <w:sz w:val="28"/>
          <w:szCs w:val="28"/>
        </w:rPr>
        <w:t xml:space="preserve">defendant </w:t>
      </w:r>
      <w:r w:rsidR="00F8479B">
        <w:rPr>
          <w:rFonts w:ascii="Times New Roman" w:hAnsi="Times New Roman"/>
          <w:bCs/>
          <w:iCs/>
          <w:sz w:val="28"/>
          <w:szCs w:val="28"/>
        </w:rPr>
        <w:t xml:space="preserve">is therefore </w:t>
      </w:r>
      <w:r>
        <w:rPr>
          <w:rFonts w:ascii="Times New Roman" w:hAnsi="Times New Roman"/>
          <w:bCs/>
          <w:iCs/>
          <w:sz w:val="28"/>
          <w:szCs w:val="28"/>
        </w:rPr>
        <w:t xml:space="preserve">required to prove the date of the inception of the period of prescription while it </w:t>
      </w:r>
      <w:r w:rsidR="00F8479B">
        <w:rPr>
          <w:rFonts w:ascii="Times New Roman" w:hAnsi="Times New Roman"/>
          <w:bCs/>
          <w:iCs/>
          <w:sz w:val="28"/>
          <w:szCs w:val="28"/>
        </w:rPr>
        <w:t xml:space="preserve">is </w:t>
      </w:r>
      <w:r>
        <w:rPr>
          <w:rFonts w:ascii="Times New Roman" w:hAnsi="Times New Roman"/>
          <w:bCs/>
          <w:iCs/>
          <w:sz w:val="28"/>
          <w:szCs w:val="28"/>
        </w:rPr>
        <w:t xml:space="preserve">for the plaintiff to satisfy the </w:t>
      </w:r>
      <w:r w:rsidR="00F8479B">
        <w:rPr>
          <w:rFonts w:ascii="Times New Roman" w:hAnsi="Times New Roman"/>
          <w:bCs/>
          <w:iCs/>
          <w:sz w:val="28"/>
          <w:szCs w:val="28"/>
        </w:rPr>
        <w:t>C</w:t>
      </w:r>
      <w:r>
        <w:rPr>
          <w:rFonts w:ascii="Times New Roman" w:hAnsi="Times New Roman"/>
          <w:bCs/>
          <w:iCs/>
          <w:sz w:val="28"/>
          <w:szCs w:val="28"/>
        </w:rPr>
        <w:t xml:space="preserve">ourt in terms of his replication that the </w:t>
      </w:r>
      <w:r w:rsidR="00F8479B">
        <w:rPr>
          <w:rFonts w:ascii="Times New Roman" w:hAnsi="Times New Roman"/>
          <w:bCs/>
          <w:iCs/>
          <w:sz w:val="28"/>
          <w:szCs w:val="28"/>
        </w:rPr>
        <w:t>running of the prescription was interrupted by demands. It</w:t>
      </w:r>
      <w:r>
        <w:rPr>
          <w:rFonts w:ascii="Times New Roman" w:hAnsi="Times New Roman"/>
          <w:bCs/>
          <w:iCs/>
          <w:sz w:val="28"/>
          <w:szCs w:val="28"/>
        </w:rPr>
        <w:t xml:space="preserve"> is common cause between the parties that the claim is based on work and labour rendered and done and materials provided for same on or before 31</w:t>
      </w:r>
      <w:r>
        <w:rPr>
          <w:rFonts w:ascii="Times New Roman" w:hAnsi="Times New Roman"/>
          <w:bCs/>
          <w:iCs/>
          <w:sz w:val="28"/>
          <w:szCs w:val="28"/>
          <w:vertAlign w:val="superscript"/>
        </w:rPr>
        <w:t>st</w:t>
      </w:r>
      <w:r>
        <w:rPr>
          <w:rFonts w:ascii="Times New Roman" w:hAnsi="Times New Roman"/>
          <w:bCs/>
          <w:iCs/>
          <w:sz w:val="28"/>
          <w:szCs w:val="28"/>
        </w:rPr>
        <w:t xml:space="preserve"> January 1979</w:t>
      </w:r>
      <w:r>
        <w:rPr>
          <w:rStyle w:val="FootnoteReference"/>
          <w:rFonts w:ascii="Times New Roman" w:hAnsi="Times New Roman"/>
          <w:bCs/>
          <w:iCs/>
          <w:sz w:val="28"/>
          <w:szCs w:val="28"/>
        </w:rPr>
        <w:footnoteReference w:id="9"/>
      </w:r>
      <w:r>
        <w:rPr>
          <w:rFonts w:ascii="Times New Roman" w:hAnsi="Times New Roman"/>
          <w:bCs/>
          <w:iCs/>
          <w:sz w:val="28"/>
          <w:szCs w:val="28"/>
        </w:rPr>
        <w:t xml:space="preserve">. </w:t>
      </w:r>
    </w:p>
    <w:p w:rsidR="00B14175" w:rsidRDefault="0029376C">
      <w:pPr>
        <w:tabs>
          <w:tab w:val="left" w:pos="1134"/>
        </w:tabs>
        <w:spacing w:after="240" w:line="480" w:lineRule="auto"/>
        <w:jc w:val="both"/>
      </w:pPr>
      <w:r>
        <w:rPr>
          <w:rFonts w:ascii="Times New Roman" w:hAnsi="Times New Roman"/>
          <w:bCs/>
          <w:iCs/>
          <w:sz w:val="28"/>
          <w:szCs w:val="28"/>
        </w:rPr>
        <w:t>[1</w:t>
      </w:r>
      <w:r w:rsidR="00F8479B">
        <w:rPr>
          <w:rFonts w:ascii="Times New Roman" w:hAnsi="Times New Roman"/>
          <w:bCs/>
          <w:iCs/>
          <w:sz w:val="28"/>
          <w:szCs w:val="28"/>
        </w:rPr>
        <w:t>5</w:t>
      </w:r>
      <w:r>
        <w:rPr>
          <w:rFonts w:ascii="Times New Roman" w:hAnsi="Times New Roman"/>
          <w:bCs/>
          <w:iCs/>
          <w:sz w:val="28"/>
          <w:szCs w:val="28"/>
        </w:rPr>
        <w:t>]</w:t>
      </w:r>
      <w:r>
        <w:rPr>
          <w:rFonts w:ascii="Times New Roman" w:hAnsi="Times New Roman"/>
          <w:bCs/>
          <w:iCs/>
          <w:sz w:val="28"/>
          <w:szCs w:val="28"/>
        </w:rPr>
        <w:tab/>
        <w:t>The defendant has specifically pleaded that the “</w:t>
      </w:r>
      <w:bookmarkStart w:id="3" w:name="_Hlk88038942"/>
      <w:r>
        <w:rPr>
          <w:rFonts w:ascii="Times New Roman" w:hAnsi="Times New Roman"/>
          <w:bCs/>
          <w:i/>
          <w:sz w:val="28"/>
          <w:szCs w:val="28"/>
        </w:rPr>
        <w:t>plaintiff’s cause of action prescribed commencing on 1</w:t>
      </w:r>
      <w:r>
        <w:rPr>
          <w:rFonts w:ascii="Times New Roman" w:hAnsi="Times New Roman"/>
          <w:bCs/>
          <w:i/>
          <w:sz w:val="28"/>
          <w:szCs w:val="28"/>
          <w:vertAlign w:val="superscript"/>
        </w:rPr>
        <w:t>st</w:t>
      </w:r>
      <w:r>
        <w:rPr>
          <w:rFonts w:ascii="Times New Roman" w:hAnsi="Times New Roman"/>
          <w:bCs/>
          <w:i/>
          <w:sz w:val="28"/>
          <w:szCs w:val="28"/>
        </w:rPr>
        <w:t xml:space="preserve"> February 2005 and the running of the prescription has not been interrupte</w:t>
      </w:r>
      <w:r w:rsidR="00284A74">
        <w:rPr>
          <w:rFonts w:ascii="Times New Roman" w:hAnsi="Times New Roman"/>
          <w:bCs/>
          <w:i/>
          <w:sz w:val="28"/>
          <w:szCs w:val="28"/>
        </w:rPr>
        <w:t>d</w:t>
      </w:r>
      <w:r w:rsidR="00F12550">
        <w:rPr>
          <w:rFonts w:ascii="Times New Roman" w:hAnsi="Times New Roman"/>
          <w:bCs/>
          <w:i/>
          <w:sz w:val="28"/>
          <w:szCs w:val="28"/>
        </w:rPr>
        <w:t xml:space="preserve"> until (sic)</w:t>
      </w:r>
      <w:r>
        <w:rPr>
          <w:rFonts w:ascii="Times New Roman" w:hAnsi="Times New Roman"/>
          <w:bCs/>
          <w:i/>
          <w:sz w:val="28"/>
          <w:szCs w:val="28"/>
        </w:rPr>
        <w:t xml:space="preserve"> to date”</w:t>
      </w:r>
      <w:r>
        <w:rPr>
          <w:rStyle w:val="FootnoteReference"/>
          <w:rFonts w:ascii="Times New Roman" w:hAnsi="Times New Roman"/>
          <w:bCs/>
          <w:i/>
          <w:sz w:val="28"/>
          <w:szCs w:val="28"/>
        </w:rPr>
        <w:footnoteReference w:id="10"/>
      </w:r>
      <w:bookmarkEnd w:id="3"/>
      <w:r>
        <w:rPr>
          <w:rFonts w:ascii="Times New Roman" w:hAnsi="Times New Roman"/>
          <w:bCs/>
          <w:i/>
          <w:sz w:val="28"/>
          <w:szCs w:val="28"/>
        </w:rPr>
        <w:t>.</w:t>
      </w:r>
      <w:r>
        <w:rPr>
          <w:rFonts w:ascii="Times New Roman" w:hAnsi="Times New Roman"/>
          <w:bCs/>
          <w:iCs/>
          <w:sz w:val="28"/>
          <w:szCs w:val="28"/>
        </w:rPr>
        <w:t xml:space="preserve"> In reaction to this straightforward assertion by the defendant, the plaintiff did not pointedly dispute the date on which the cause of action is alleged to have prescribed, he simply said that “</w:t>
      </w:r>
      <w:r>
        <w:rPr>
          <w:rFonts w:ascii="Times New Roman" w:hAnsi="Times New Roman"/>
          <w:bCs/>
          <w:i/>
          <w:sz w:val="28"/>
          <w:szCs w:val="28"/>
        </w:rPr>
        <w:t xml:space="preserve">The Contents therein denied. The </w:t>
      </w:r>
      <w:proofErr w:type="gramStart"/>
      <w:r>
        <w:rPr>
          <w:rFonts w:ascii="Times New Roman" w:hAnsi="Times New Roman"/>
          <w:bCs/>
          <w:i/>
          <w:sz w:val="28"/>
          <w:szCs w:val="28"/>
        </w:rPr>
        <w:t>true fact</w:t>
      </w:r>
      <w:proofErr w:type="gramEnd"/>
      <w:r>
        <w:rPr>
          <w:rFonts w:ascii="Times New Roman" w:hAnsi="Times New Roman"/>
          <w:bCs/>
          <w:i/>
          <w:sz w:val="28"/>
          <w:szCs w:val="28"/>
        </w:rPr>
        <w:t xml:space="preserve"> is that there have been several verbal demands by plaintiff</w:t>
      </w:r>
      <w:r>
        <w:rPr>
          <w:rFonts w:ascii="Times New Roman" w:hAnsi="Times New Roman"/>
          <w:bCs/>
          <w:iCs/>
          <w:sz w:val="28"/>
          <w:szCs w:val="28"/>
        </w:rPr>
        <w:t>”</w:t>
      </w:r>
      <w:r>
        <w:rPr>
          <w:rStyle w:val="FootnoteReference"/>
          <w:rFonts w:ascii="Times New Roman" w:hAnsi="Times New Roman"/>
          <w:bCs/>
          <w:iCs/>
          <w:sz w:val="28"/>
          <w:szCs w:val="28"/>
        </w:rPr>
        <w:footnoteReference w:id="11"/>
      </w:r>
      <w:r>
        <w:rPr>
          <w:rFonts w:ascii="Times New Roman" w:hAnsi="Times New Roman"/>
          <w:bCs/>
          <w:iCs/>
          <w:sz w:val="28"/>
          <w:szCs w:val="28"/>
        </w:rPr>
        <w:t xml:space="preserve">.  </w:t>
      </w:r>
    </w:p>
    <w:p w:rsidR="00B14175" w:rsidRDefault="0029376C">
      <w:pPr>
        <w:tabs>
          <w:tab w:val="left" w:pos="1134"/>
        </w:tabs>
        <w:spacing w:after="240" w:line="480" w:lineRule="auto"/>
        <w:jc w:val="both"/>
      </w:pPr>
      <w:r>
        <w:rPr>
          <w:rFonts w:ascii="Times New Roman" w:hAnsi="Times New Roman"/>
          <w:bCs/>
          <w:iCs/>
          <w:sz w:val="28"/>
          <w:szCs w:val="28"/>
        </w:rPr>
        <w:t>[1</w:t>
      </w:r>
      <w:r w:rsidR="00F838C8">
        <w:rPr>
          <w:rFonts w:ascii="Times New Roman" w:hAnsi="Times New Roman"/>
          <w:bCs/>
          <w:iCs/>
          <w:sz w:val="28"/>
          <w:szCs w:val="28"/>
        </w:rPr>
        <w:t>6</w:t>
      </w:r>
      <w:r>
        <w:rPr>
          <w:rFonts w:ascii="Times New Roman" w:hAnsi="Times New Roman"/>
          <w:bCs/>
          <w:iCs/>
          <w:sz w:val="28"/>
          <w:szCs w:val="28"/>
        </w:rPr>
        <w:t>]</w:t>
      </w:r>
      <w:r>
        <w:rPr>
          <w:rFonts w:ascii="Times New Roman" w:hAnsi="Times New Roman"/>
          <w:bCs/>
          <w:iCs/>
          <w:sz w:val="28"/>
          <w:szCs w:val="28"/>
        </w:rPr>
        <w:tab/>
        <w:t xml:space="preserve">In his spirited submissions, Mr, </w:t>
      </w:r>
      <w:proofErr w:type="spellStart"/>
      <w:r>
        <w:rPr>
          <w:rFonts w:ascii="Times New Roman" w:hAnsi="Times New Roman"/>
          <w:bCs/>
          <w:i/>
          <w:sz w:val="28"/>
          <w:szCs w:val="28"/>
        </w:rPr>
        <w:t>Sekatle</w:t>
      </w:r>
      <w:proofErr w:type="spellEnd"/>
      <w:r>
        <w:rPr>
          <w:rFonts w:ascii="Times New Roman" w:hAnsi="Times New Roman"/>
          <w:bCs/>
          <w:i/>
          <w:sz w:val="28"/>
          <w:szCs w:val="28"/>
        </w:rPr>
        <w:t xml:space="preserve"> </w:t>
      </w:r>
      <w:r>
        <w:rPr>
          <w:rFonts w:ascii="Times New Roman" w:hAnsi="Times New Roman"/>
          <w:bCs/>
          <w:iCs/>
          <w:sz w:val="28"/>
          <w:szCs w:val="28"/>
        </w:rPr>
        <w:t xml:space="preserve">never disputed the date on which prescription is alleged to have commenced. </w:t>
      </w:r>
      <w:r w:rsidR="00F8479B">
        <w:rPr>
          <w:rFonts w:ascii="Times New Roman" w:hAnsi="Times New Roman"/>
          <w:bCs/>
          <w:iCs/>
          <w:sz w:val="28"/>
          <w:szCs w:val="28"/>
        </w:rPr>
        <w:t xml:space="preserve">As it has already been indicated elsewhere in this judgment, </w:t>
      </w:r>
      <w:r>
        <w:rPr>
          <w:rFonts w:ascii="Times New Roman" w:hAnsi="Times New Roman"/>
          <w:bCs/>
          <w:iCs/>
          <w:sz w:val="28"/>
          <w:szCs w:val="28"/>
        </w:rPr>
        <w:t xml:space="preserve">Mr. </w:t>
      </w:r>
      <w:proofErr w:type="spellStart"/>
      <w:r>
        <w:rPr>
          <w:rFonts w:ascii="Times New Roman" w:hAnsi="Times New Roman"/>
          <w:bCs/>
          <w:i/>
          <w:sz w:val="28"/>
          <w:szCs w:val="28"/>
        </w:rPr>
        <w:t>Sekatle</w:t>
      </w:r>
      <w:proofErr w:type="spellEnd"/>
      <w:r>
        <w:rPr>
          <w:rFonts w:ascii="Times New Roman" w:hAnsi="Times New Roman"/>
          <w:bCs/>
          <w:iCs/>
          <w:sz w:val="28"/>
          <w:szCs w:val="28"/>
        </w:rPr>
        <w:t xml:space="preserve"> backtracked on the plaintiff ‘s </w:t>
      </w:r>
      <w:r>
        <w:rPr>
          <w:rFonts w:ascii="Times New Roman" w:hAnsi="Times New Roman"/>
          <w:bCs/>
          <w:iCs/>
          <w:sz w:val="28"/>
          <w:szCs w:val="28"/>
        </w:rPr>
        <w:lastRenderedPageBreak/>
        <w:t xml:space="preserve">denial in the replication that the claim was supposed to be approved by supervising engineer before payment could be effected. He made </w:t>
      </w:r>
      <w:r w:rsidR="00F838C8">
        <w:rPr>
          <w:rFonts w:ascii="Times New Roman" w:hAnsi="Times New Roman"/>
          <w:bCs/>
          <w:iCs/>
          <w:sz w:val="28"/>
          <w:szCs w:val="28"/>
        </w:rPr>
        <w:t xml:space="preserve">a </w:t>
      </w:r>
      <w:r>
        <w:rPr>
          <w:rFonts w:ascii="Times New Roman" w:hAnsi="Times New Roman"/>
          <w:bCs/>
          <w:iCs/>
          <w:sz w:val="28"/>
          <w:szCs w:val="28"/>
        </w:rPr>
        <w:t>self-defeating argument that “</w:t>
      </w:r>
      <w:r>
        <w:rPr>
          <w:rFonts w:ascii="Times New Roman" w:hAnsi="Times New Roman"/>
          <w:bCs/>
          <w:i/>
          <w:sz w:val="28"/>
          <w:szCs w:val="28"/>
        </w:rPr>
        <w:t>prescription will start to run after the approving or disproving of the Plaintiff’s claim, which by itself  is suspension by its own nature and it never happened in this matter in issue, meaning that Plaintiff could sue anytime on the basis of the afore-going.”</w:t>
      </w:r>
      <w:r>
        <w:rPr>
          <w:rStyle w:val="FootnoteReference"/>
          <w:rFonts w:ascii="Times New Roman" w:hAnsi="Times New Roman"/>
          <w:bCs/>
          <w:i/>
          <w:sz w:val="28"/>
          <w:szCs w:val="28"/>
        </w:rPr>
        <w:footnoteReference w:id="12"/>
      </w:r>
      <w:r>
        <w:rPr>
          <w:rFonts w:ascii="Times New Roman" w:hAnsi="Times New Roman"/>
          <w:bCs/>
          <w:i/>
          <w:sz w:val="28"/>
          <w:szCs w:val="28"/>
        </w:rPr>
        <w:t xml:space="preserve"> </w:t>
      </w:r>
      <w:r>
        <w:rPr>
          <w:rFonts w:ascii="Times New Roman" w:hAnsi="Times New Roman"/>
          <w:bCs/>
          <w:iCs/>
          <w:sz w:val="28"/>
          <w:szCs w:val="28"/>
        </w:rPr>
        <w:t xml:space="preserve"> </w:t>
      </w:r>
    </w:p>
    <w:p w:rsidR="00B14175" w:rsidRDefault="0029376C">
      <w:pPr>
        <w:tabs>
          <w:tab w:val="left" w:pos="1134"/>
        </w:tabs>
        <w:spacing w:after="240" w:line="480" w:lineRule="auto"/>
        <w:jc w:val="both"/>
      </w:pPr>
      <w:r>
        <w:rPr>
          <w:rFonts w:ascii="Times New Roman" w:hAnsi="Times New Roman"/>
          <w:bCs/>
          <w:iCs/>
          <w:sz w:val="28"/>
          <w:szCs w:val="28"/>
        </w:rPr>
        <w:t>[1</w:t>
      </w:r>
      <w:r w:rsidR="00F838C8">
        <w:rPr>
          <w:rFonts w:ascii="Times New Roman" w:hAnsi="Times New Roman"/>
          <w:bCs/>
          <w:iCs/>
          <w:sz w:val="28"/>
          <w:szCs w:val="28"/>
        </w:rPr>
        <w:t>7</w:t>
      </w:r>
      <w:r>
        <w:rPr>
          <w:rFonts w:ascii="Times New Roman" w:hAnsi="Times New Roman"/>
          <w:bCs/>
          <w:iCs/>
          <w:sz w:val="28"/>
          <w:szCs w:val="28"/>
        </w:rPr>
        <w:t>]</w:t>
      </w:r>
      <w:r>
        <w:rPr>
          <w:rFonts w:ascii="Times New Roman" w:hAnsi="Times New Roman"/>
          <w:bCs/>
          <w:iCs/>
          <w:sz w:val="28"/>
          <w:szCs w:val="28"/>
        </w:rPr>
        <w:tab/>
        <w:t xml:space="preserve">The main contention of the plaintiff, as I understood Mr. </w:t>
      </w:r>
      <w:proofErr w:type="spellStart"/>
      <w:r>
        <w:rPr>
          <w:rFonts w:ascii="Times New Roman" w:hAnsi="Times New Roman"/>
          <w:bCs/>
          <w:i/>
          <w:sz w:val="28"/>
          <w:szCs w:val="28"/>
        </w:rPr>
        <w:t>Sekatle</w:t>
      </w:r>
      <w:r>
        <w:rPr>
          <w:rFonts w:ascii="Times New Roman" w:hAnsi="Times New Roman"/>
          <w:bCs/>
          <w:iCs/>
          <w:sz w:val="28"/>
          <w:szCs w:val="28"/>
        </w:rPr>
        <w:t>’s</w:t>
      </w:r>
      <w:proofErr w:type="spellEnd"/>
      <w:r>
        <w:rPr>
          <w:rFonts w:ascii="Times New Roman" w:hAnsi="Times New Roman"/>
          <w:bCs/>
          <w:iCs/>
          <w:sz w:val="28"/>
          <w:szCs w:val="28"/>
        </w:rPr>
        <w:t xml:space="preserve"> argument, came to this: In terms of the agreement between the parties, payment had to be authorised by the supervising engineer who never approved or disapproved the plaintiff’s claim in this case. </w:t>
      </w:r>
      <w:proofErr w:type="gramStart"/>
      <w:r>
        <w:rPr>
          <w:rFonts w:ascii="Times New Roman" w:hAnsi="Times New Roman"/>
          <w:bCs/>
          <w:iCs/>
          <w:sz w:val="28"/>
          <w:szCs w:val="28"/>
        </w:rPr>
        <w:t>As a consequence</w:t>
      </w:r>
      <w:proofErr w:type="gramEnd"/>
      <w:r>
        <w:rPr>
          <w:rFonts w:ascii="Times New Roman" w:hAnsi="Times New Roman"/>
          <w:bCs/>
          <w:iCs/>
          <w:sz w:val="28"/>
          <w:szCs w:val="28"/>
        </w:rPr>
        <w:t xml:space="preserve">, so the argument proceeds, the plaintiff could sue anytime since the supervising engineer never approved or disapproved the claim. </w:t>
      </w:r>
    </w:p>
    <w:p w:rsidR="00B14175" w:rsidRDefault="0029376C">
      <w:pPr>
        <w:tabs>
          <w:tab w:val="left" w:pos="1134"/>
        </w:tabs>
        <w:spacing w:after="240" w:line="480" w:lineRule="auto"/>
        <w:jc w:val="both"/>
      </w:pPr>
      <w:r>
        <w:rPr>
          <w:rFonts w:ascii="Times New Roman" w:hAnsi="Times New Roman"/>
          <w:bCs/>
          <w:iCs/>
          <w:sz w:val="28"/>
          <w:szCs w:val="28"/>
        </w:rPr>
        <w:t>[1</w:t>
      </w:r>
      <w:r w:rsidR="00F838C8">
        <w:rPr>
          <w:rFonts w:ascii="Times New Roman" w:hAnsi="Times New Roman"/>
          <w:bCs/>
          <w:iCs/>
          <w:sz w:val="28"/>
          <w:szCs w:val="28"/>
        </w:rPr>
        <w:t>8</w:t>
      </w:r>
      <w:r>
        <w:rPr>
          <w:rFonts w:ascii="Times New Roman" w:hAnsi="Times New Roman"/>
          <w:bCs/>
          <w:iCs/>
          <w:sz w:val="28"/>
          <w:szCs w:val="28"/>
        </w:rPr>
        <w:t>]</w:t>
      </w:r>
      <w:r>
        <w:rPr>
          <w:rFonts w:ascii="Times New Roman" w:hAnsi="Times New Roman"/>
          <w:bCs/>
          <w:iCs/>
          <w:sz w:val="28"/>
          <w:szCs w:val="28"/>
        </w:rPr>
        <w:tab/>
      </w:r>
      <w:r w:rsidR="00F838C8">
        <w:rPr>
          <w:rFonts w:ascii="Times New Roman" w:hAnsi="Times New Roman"/>
          <w:bCs/>
          <w:iCs/>
          <w:sz w:val="28"/>
          <w:szCs w:val="28"/>
        </w:rPr>
        <w:t xml:space="preserve">It bears repeating that </w:t>
      </w:r>
      <w:r>
        <w:rPr>
          <w:rFonts w:ascii="Times New Roman" w:hAnsi="Times New Roman"/>
          <w:bCs/>
          <w:iCs/>
          <w:sz w:val="28"/>
          <w:szCs w:val="28"/>
        </w:rPr>
        <w:t xml:space="preserve">Mr. </w:t>
      </w:r>
      <w:proofErr w:type="spellStart"/>
      <w:r>
        <w:rPr>
          <w:rFonts w:ascii="Times New Roman" w:hAnsi="Times New Roman"/>
          <w:bCs/>
          <w:i/>
          <w:sz w:val="28"/>
          <w:szCs w:val="28"/>
        </w:rPr>
        <w:t>Setlake</w:t>
      </w:r>
      <w:proofErr w:type="spellEnd"/>
      <w:r>
        <w:rPr>
          <w:rFonts w:ascii="Times New Roman" w:hAnsi="Times New Roman"/>
          <w:bCs/>
          <w:iCs/>
          <w:sz w:val="28"/>
          <w:szCs w:val="28"/>
        </w:rPr>
        <w:t xml:space="preserve"> ‘s argument is diametrically opposed to the plaintiff ‘s case as pleaded in the replication. Though the plaintiff conflates architect and supervising engineer in the replication, he denie</w:t>
      </w:r>
      <w:r w:rsidR="00F838C8">
        <w:rPr>
          <w:rFonts w:ascii="Times New Roman" w:hAnsi="Times New Roman"/>
          <w:bCs/>
          <w:iCs/>
          <w:sz w:val="28"/>
          <w:szCs w:val="28"/>
        </w:rPr>
        <w:t>s</w:t>
      </w:r>
      <w:r>
        <w:rPr>
          <w:rFonts w:ascii="Times New Roman" w:hAnsi="Times New Roman"/>
          <w:bCs/>
          <w:iCs/>
          <w:sz w:val="28"/>
          <w:szCs w:val="28"/>
        </w:rPr>
        <w:t xml:space="preserve"> that his work had to be evaluated and that his claim had to be approved. He argues that the first claim was still paid without such an approval</w:t>
      </w:r>
      <w:r>
        <w:rPr>
          <w:rStyle w:val="FootnoteReference"/>
          <w:rFonts w:ascii="Times New Roman" w:hAnsi="Times New Roman"/>
          <w:bCs/>
          <w:iCs/>
          <w:sz w:val="28"/>
          <w:szCs w:val="28"/>
        </w:rPr>
        <w:footnoteReference w:id="13"/>
      </w:r>
      <w:r>
        <w:rPr>
          <w:rFonts w:ascii="Times New Roman" w:hAnsi="Times New Roman"/>
          <w:bCs/>
          <w:iCs/>
          <w:sz w:val="28"/>
          <w:szCs w:val="28"/>
        </w:rPr>
        <w:t>.  The ground upon which the plaintiff resisted the special plea was that the prescription was interrupted by several verbal demands</w:t>
      </w:r>
      <w:r>
        <w:rPr>
          <w:rStyle w:val="FootnoteReference"/>
          <w:rFonts w:ascii="Times New Roman" w:hAnsi="Times New Roman"/>
          <w:bCs/>
          <w:iCs/>
          <w:sz w:val="28"/>
          <w:szCs w:val="28"/>
        </w:rPr>
        <w:footnoteReference w:id="14"/>
      </w:r>
      <w:r>
        <w:rPr>
          <w:rFonts w:ascii="Times New Roman" w:hAnsi="Times New Roman"/>
          <w:bCs/>
          <w:iCs/>
          <w:sz w:val="28"/>
          <w:szCs w:val="28"/>
        </w:rPr>
        <w:t xml:space="preserve">. It was therefore not appropriate for Mr. </w:t>
      </w:r>
      <w:proofErr w:type="spellStart"/>
      <w:r>
        <w:rPr>
          <w:rFonts w:ascii="Times New Roman" w:hAnsi="Times New Roman"/>
          <w:bCs/>
          <w:i/>
          <w:sz w:val="28"/>
          <w:szCs w:val="28"/>
        </w:rPr>
        <w:t>Sekatle</w:t>
      </w:r>
      <w:proofErr w:type="spellEnd"/>
      <w:r>
        <w:rPr>
          <w:rFonts w:ascii="Times New Roman" w:hAnsi="Times New Roman"/>
          <w:bCs/>
          <w:iCs/>
          <w:sz w:val="28"/>
          <w:szCs w:val="28"/>
        </w:rPr>
        <w:t xml:space="preserve"> to argue </w:t>
      </w:r>
      <w:r>
        <w:rPr>
          <w:rFonts w:ascii="Times New Roman" w:hAnsi="Times New Roman"/>
          <w:bCs/>
          <w:iCs/>
          <w:sz w:val="28"/>
          <w:szCs w:val="28"/>
        </w:rPr>
        <w:lastRenderedPageBreak/>
        <w:t xml:space="preserve">the case which his client never pleaded </w:t>
      </w:r>
      <w:r w:rsidR="00F838C8">
        <w:rPr>
          <w:rFonts w:ascii="Times New Roman" w:hAnsi="Times New Roman"/>
          <w:bCs/>
          <w:iCs/>
          <w:sz w:val="28"/>
          <w:szCs w:val="28"/>
        </w:rPr>
        <w:t>and</w:t>
      </w:r>
      <w:r>
        <w:rPr>
          <w:rFonts w:ascii="Times New Roman" w:hAnsi="Times New Roman"/>
          <w:bCs/>
          <w:iCs/>
          <w:sz w:val="28"/>
          <w:szCs w:val="28"/>
        </w:rPr>
        <w:t xml:space="preserve"> had strenuously rejected in his replication. </w:t>
      </w:r>
    </w:p>
    <w:p w:rsidR="00B14175" w:rsidRDefault="0029376C">
      <w:pPr>
        <w:tabs>
          <w:tab w:val="left" w:pos="1134"/>
        </w:tabs>
        <w:spacing w:after="240" w:line="480" w:lineRule="auto"/>
        <w:jc w:val="both"/>
      </w:pPr>
      <w:r>
        <w:rPr>
          <w:rFonts w:ascii="Times New Roman" w:hAnsi="Times New Roman"/>
          <w:bCs/>
          <w:iCs/>
          <w:sz w:val="28"/>
          <w:szCs w:val="28"/>
        </w:rPr>
        <w:t xml:space="preserve"> [</w:t>
      </w:r>
      <w:r w:rsidR="00F838C8">
        <w:rPr>
          <w:rFonts w:ascii="Times New Roman" w:hAnsi="Times New Roman"/>
          <w:bCs/>
          <w:iCs/>
          <w:sz w:val="28"/>
          <w:szCs w:val="28"/>
        </w:rPr>
        <w:t>19</w:t>
      </w:r>
      <w:r>
        <w:rPr>
          <w:rFonts w:ascii="Times New Roman" w:hAnsi="Times New Roman"/>
          <w:bCs/>
          <w:iCs/>
          <w:sz w:val="28"/>
          <w:szCs w:val="28"/>
        </w:rPr>
        <w:t>]</w:t>
      </w:r>
      <w:r>
        <w:rPr>
          <w:rFonts w:ascii="Times New Roman" w:hAnsi="Times New Roman"/>
          <w:bCs/>
          <w:iCs/>
          <w:sz w:val="28"/>
          <w:szCs w:val="28"/>
        </w:rPr>
        <w:tab/>
        <w:t>In terms of Rule 20 (5) of the High Court Rules</w:t>
      </w:r>
      <w:r>
        <w:rPr>
          <w:rStyle w:val="FootnoteReference"/>
          <w:rFonts w:ascii="Times New Roman" w:hAnsi="Times New Roman"/>
          <w:bCs/>
          <w:iCs/>
          <w:sz w:val="28"/>
          <w:szCs w:val="28"/>
        </w:rPr>
        <w:footnoteReference w:id="15"/>
      </w:r>
      <w:r>
        <w:rPr>
          <w:rFonts w:ascii="Times New Roman" w:hAnsi="Times New Roman"/>
          <w:bCs/>
          <w:iCs/>
          <w:sz w:val="28"/>
          <w:szCs w:val="28"/>
        </w:rPr>
        <w:t xml:space="preserve">, “When in any pleading a party denies an allegation of fact in the previous pleading of the opposing party, he shall not do so evasively but shall answer </w:t>
      </w:r>
      <w:proofErr w:type="spellStart"/>
      <w:r>
        <w:rPr>
          <w:rFonts w:ascii="Times New Roman" w:hAnsi="Times New Roman"/>
          <w:bCs/>
          <w:iCs/>
          <w:sz w:val="28"/>
          <w:szCs w:val="28"/>
        </w:rPr>
        <w:t>issuably</w:t>
      </w:r>
      <w:proofErr w:type="spellEnd"/>
      <w:r>
        <w:rPr>
          <w:rFonts w:ascii="Times New Roman" w:hAnsi="Times New Roman"/>
          <w:bCs/>
          <w:iCs/>
          <w:sz w:val="28"/>
          <w:szCs w:val="28"/>
        </w:rPr>
        <w:t xml:space="preserve"> and to the point. Rule 20 (5), </w:t>
      </w:r>
      <w:r>
        <w:rPr>
          <w:rFonts w:ascii="Times New Roman" w:hAnsi="Times New Roman"/>
          <w:bCs/>
          <w:i/>
          <w:sz w:val="28"/>
          <w:szCs w:val="28"/>
        </w:rPr>
        <w:t>supra</w:t>
      </w:r>
      <w:r>
        <w:rPr>
          <w:rFonts w:ascii="Times New Roman" w:hAnsi="Times New Roman"/>
          <w:bCs/>
          <w:iCs/>
          <w:sz w:val="28"/>
          <w:szCs w:val="28"/>
        </w:rPr>
        <w:t xml:space="preserve">, applies </w:t>
      </w:r>
      <w:r>
        <w:rPr>
          <w:rFonts w:ascii="Times New Roman" w:hAnsi="Times New Roman"/>
          <w:bCs/>
          <w:i/>
          <w:sz w:val="28"/>
          <w:szCs w:val="28"/>
        </w:rPr>
        <w:t>mutatis mutandis</w:t>
      </w:r>
      <w:r>
        <w:rPr>
          <w:rFonts w:ascii="Times New Roman" w:hAnsi="Times New Roman"/>
          <w:bCs/>
          <w:iCs/>
          <w:sz w:val="28"/>
          <w:szCs w:val="28"/>
        </w:rPr>
        <w:t xml:space="preserve"> to replication and all subsequent pleadings whether in convention or reconvention.</w:t>
      </w:r>
      <w:r>
        <w:rPr>
          <w:rStyle w:val="FootnoteReference"/>
          <w:rFonts w:ascii="Times New Roman" w:hAnsi="Times New Roman"/>
          <w:bCs/>
          <w:iCs/>
          <w:sz w:val="28"/>
          <w:szCs w:val="28"/>
        </w:rPr>
        <w:footnoteReference w:id="16"/>
      </w:r>
      <w:r>
        <w:rPr>
          <w:rFonts w:ascii="Times New Roman" w:hAnsi="Times New Roman"/>
          <w:bCs/>
          <w:iCs/>
          <w:sz w:val="28"/>
          <w:szCs w:val="28"/>
        </w:rPr>
        <w:t xml:space="preserve"> In addition, in terms of </w:t>
      </w:r>
      <w:r w:rsidR="00F838C8">
        <w:rPr>
          <w:rFonts w:ascii="Times New Roman" w:hAnsi="Times New Roman"/>
          <w:bCs/>
          <w:iCs/>
          <w:sz w:val="28"/>
          <w:szCs w:val="28"/>
        </w:rPr>
        <w:t xml:space="preserve">Rule </w:t>
      </w:r>
      <w:r>
        <w:rPr>
          <w:rFonts w:ascii="Times New Roman" w:hAnsi="Times New Roman"/>
          <w:bCs/>
          <w:iCs/>
          <w:sz w:val="28"/>
          <w:szCs w:val="28"/>
        </w:rPr>
        <w:t>22(4) of the High Court Rules</w:t>
      </w:r>
      <w:r>
        <w:rPr>
          <w:rStyle w:val="FootnoteReference"/>
          <w:rFonts w:ascii="Times New Roman" w:hAnsi="Times New Roman"/>
          <w:bCs/>
          <w:iCs/>
          <w:sz w:val="28"/>
          <w:szCs w:val="28"/>
        </w:rPr>
        <w:footnoteReference w:id="17"/>
      </w:r>
      <w:r>
        <w:rPr>
          <w:rFonts w:ascii="Times New Roman" w:hAnsi="Times New Roman"/>
          <w:bCs/>
          <w:iCs/>
          <w:sz w:val="28"/>
          <w:szCs w:val="28"/>
        </w:rPr>
        <w:t xml:space="preserve"> “</w:t>
      </w:r>
      <w:r>
        <w:rPr>
          <w:rFonts w:ascii="Times New Roman" w:hAnsi="Times New Roman"/>
          <w:bCs/>
          <w:i/>
          <w:sz w:val="28"/>
          <w:szCs w:val="28"/>
        </w:rPr>
        <w:t xml:space="preserve">Every allegation of fact in the declaration, which is not stated in the plea to be denied or to be not admitted, shall be deemed to be admitted. If any explanation or qualification of any denial is necessary, it shall be stated in the plea”. </w:t>
      </w:r>
      <w:r>
        <w:rPr>
          <w:rFonts w:ascii="Times New Roman" w:hAnsi="Times New Roman"/>
          <w:bCs/>
          <w:iCs/>
          <w:sz w:val="28"/>
          <w:szCs w:val="28"/>
        </w:rPr>
        <w:t xml:space="preserve">(emphasis added) </w:t>
      </w:r>
    </w:p>
    <w:p w:rsidR="00B14175" w:rsidRDefault="0029376C">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F838C8">
        <w:rPr>
          <w:rFonts w:ascii="Times New Roman" w:hAnsi="Times New Roman"/>
          <w:bCs/>
          <w:iCs/>
          <w:sz w:val="28"/>
          <w:szCs w:val="28"/>
        </w:rPr>
        <w:t>20</w:t>
      </w:r>
      <w:r>
        <w:rPr>
          <w:rFonts w:ascii="Times New Roman" w:hAnsi="Times New Roman"/>
          <w:bCs/>
          <w:iCs/>
          <w:sz w:val="28"/>
          <w:szCs w:val="28"/>
        </w:rPr>
        <w:t>]</w:t>
      </w:r>
      <w:r>
        <w:rPr>
          <w:rFonts w:ascii="Times New Roman" w:hAnsi="Times New Roman"/>
          <w:bCs/>
          <w:iCs/>
          <w:sz w:val="28"/>
          <w:szCs w:val="28"/>
        </w:rPr>
        <w:tab/>
        <w:t xml:space="preserve">Considering the importance of pointed answers and issuable denials in pleadings as stated in </w:t>
      </w:r>
      <w:proofErr w:type="spellStart"/>
      <w:r>
        <w:rPr>
          <w:rFonts w:ascii="Times New Roman" w:hAnsi="Times New Roman"/>
          <w:b/>
          <w:bCs/>
          <w:sz w:val="28"/>
          <w:szCs w:val="28"/>
          <w:lang w:val="en-GB"/>
        </w:rPr>
        <w:t>Fraisers</w:t>
      </w:r>
      <w:proofErr w:type="spellEnd"/>
      <w:r>
        <w:rPr>
          <w:rFonts w:ascii="Times New Roman" w:hAnsi="Times New Roman"/>
          <w:b/>
          <w:bCs/>
          <w:sz w:val="28"/>
          <w:szCs w:val="28"/>
          <w:lang w:val="en-GB"/>
        </w:rPr>
        <w:t xml:space="preserve"> Lesotho Ltd v </w:t>
      </w:r>
      <w:proofErr w:type="spellStart"/>
      <w:r>
        <w:rPr>
          <w:rFonts w:ascii="Times New Roman" w:hAnsi="Times New Roman"/>
          <w:b/>
          <w:bCs/>
          <w:sz w:val="28"/>
          <w:szCs w:val="28"/>
          <w:lang w:val="en-GB"/>
        </w:rPr>
        <w:t>Hata</w:t>
      </w:r>
      <w:proofErr w:type="spellEnd"/>
      <w:r>
        <w:rPr>
          <w:rFonts w:ascii="Times New Roman" w:hAnsi="Times New Roman"/>
          <w:b/>
          <w:bCs/>
          <w:sz w:val="28"/>
          <w:szCs w:val="28"/>
          <w:lang w:val="en-GB"/>
        </w:rPr>
        <w:t xml:space="preserve"> – </w:t>
      </w:r>
      <w:proofErr w:type="spellStart"/>
      <w:r>
        <w:rPr>
          <w:rFonts w:ascii="Times New Roman" w:hAnsi="Times New Roman"/>
          <w:b/>
          <w:bCs/>
          <w:sz w:val="28"/>
          <w:szCs w:val="28"/>
          <w:lang w:val="en-GB"/>
        </w:rPr>
        <w:t>Butle</w:t>
      </w:r>
      <w:proofErr w:type="spellEnd"/>
      <w:r>
        <w:rPr>
          <w:rFonts w:ascii="Times New Roman" w:hAnsi="Times New Roman"/>
          <w:b/>
          <w:bCs/>
          <w:sz w:val="28"/>
          <w:szCs w:val="28"/>
          <w:lang w:val="en-GB"/>
        </w:rPr>
        <w:t xml:space="preserve"> (Pty) Ltd</w:t>
      </w:r>
      <w:r>
        <w:rPr>
          <w:lang w:val="en-GB"/>
        </w:rPr>
        <w:t xml:space="preserve"> </w:t>
      </w:r>
      <w:r>
        <w:rPr>
          <w:rStyle w:val="FootnoteReference"/>
          <w:rFonts w:ascii="Times New Roman" w:hAnsi="Times New Roman"/>
          <w:bCs/>
          <w:iCs/>
          <w:sz w:val="28"/>
          <w:szCs w:val="28"/>
        </w:rPr>
        <w:footnoteReference w:id="18"/>
      </w:r>
      <w:r>
        <w:rPr>
          <w:lang w:val="en-GB"/>
        </w:rPr>
        <w:t>,</w:t>
      </w:r>
      <w:r>
        <w:rPr>
          <w:rFonts w:ascii="Times New Roman" w:hAnsi="Times New Roman"/>
          <w:bCs/>
          <w:iCs/>
          <w:sz w:val="28"/>
          <w:szCs w:val="28"/>
        </w:rPr>
        <w:t xml:space="preserve"> as well as the fact that the Rules applicable to a plea are applicable to a replication, I have no hesitation in concluding that Rule 22(4) of the High Court Rules applies with equal force to a replication as well.  In the absence of a clear denial, it is therefore my considered view that the plaintiff admitted the fact that his cause of action prescribed commencing on 1</w:t>
      </w:r>
      <w:r>
        <w:rPr>
          <w:rFonts w:ascii="Times New Roman" w:hAnsi="Times New Roman"/>
          <w:bCs/>
          <w:iCs/>
          <w:sz w:val="28"/>
          <w:szCs w:val="28"/>
          <w:vertAlign w:val="superscript"/>
        </w:rPr>
        <w:t>st</w:t>
      </w:r>
      <w:r>
        <w:rPr>
          <w:rFonts w:ascii="Times New Roman" w:hAnsi="Times New Roman"/>
          <w:bCs/>
          <w:iCs/>
          <w:sz w:val="28"/>
          <w:szCs w:val="28"/>
        </w:rPr>
        <w:t xml:space="preserve"> February 2005. </w:t>
      </w:r>
      <w:r w:rsidR="006F5A29">
        <w:rPr>
          <w:rFonts w:ascii="Times New Roman" w:hAnsi="Times New Roman"/>
          <w:bCs/>
          <w:iCs/>
          <w:sz w:val="28"/>
          <w:szCs w:val="28"/>
        </w:rPr>
        <w:t xml:space="preserve">Even if </w:t>
      </w:r>
      <w:r w:rsidR="00951694">
        <w:rPr>
          <w:rFonts w:ascii="Times New Roman" w:hAnsi="Times New Roman"/>
          <w:bCs/>
          <w:iCs/>
          <w:sz w:val="28"/>
          <w:szCs w:val="28"/>
        </w:rPr>
        <w:t xml:space="preserve">my conclusion that </w:t>
      </w:r>
      <w:r w:rsidR="006F5A29">
        <w:rPr>
          <w:rFonts w:ascii="Times New Roman" w:hAnsi="Times New Roman"/>
          <w:bCs/>
          <w:iCs/>
          <w:sz w:val="28"/>
          <w:szCs w:val="28"/>
        </w:rPr>
        <w:t xml:space="preserve">Rule </w:t>
      </w:r>
      <w:r w:rsidR="006F5A29">
        <w:rPr>
          <w:rFonts w:ascii="Times New Roman" w:hAnsi="Times New Roman"/>
          <w:bCs/>
          <w:iCs/>
          <w:sz w:val="28"/>
          <w:szCs w:val="28"/>
        </w:rPr>
        <w:lastRenderedPageBreak/>
        <w:t>22(4) applies to</w:t>
      </w:r>
      <w:r w:rsidR="00951694">
        <w:rPr>
          <w:rFonts w:ascii="Times New Roman" w:hAnsi="Times New Roman"/>
          <w:bCs/>
          <w:iCs/>
          <w:sz w:val="28"/>
          <w:szCs w:val="28"/>
        </w:rPr>
        <w:t xml:space="preserve"> a</w:t>
      </w:r>
      <w:r w:rsidR="006F5A29">
        <w:rPr>
          <w:rFonts w:ascii="Times New Roman" w:hAnsi="Times New Roman"/>
          <w:bCs/>
          <w:iCs/>
          <w:sz w:val="28"/>
          <w:szCs w:val="28"/>
        </w:rPr>
        <w:t xml:space="preserve"> replication as well</w:t>
      </w:r>
      <w:r w:rsidR="00951694">
        <w:rPr>
          <w:rFonts w:ascii="Times New Roman" w:hAnsi="Times New Roman"/>
          <w:bCs/>
          <w:iCs/>
          <w:sz w:val="28"/>
          <w:szCs w:val="28"/>
        </w:rPr>
        <w:t xml:space="preserve"> is wrong</w:t>
      </w:r>
      <w:r w:rsidR="006F5A29">
        <w:rPr>
          <w:rFonts w:ascii="Times New Roman" w:hAnsi="Times New Roman"/>
          <w:bCs/>
          <w:iCs/>
          <w:sz w:val="28"/>
          <w:szCs w:val="28"/>
        </w:rPr>
        <w:t xml:space="preserve">, </w:t>
      </w:r>
      <w:r w:rsidR="00951694">
        <w:rPr>
          <w:rFonts w:ascii="Times New Roman" w:hAnsi="Times New Roman"/>
          <w:bCs/>
          <w:iCs/>
          <w:sz w:val="28"/>
          <w:szCs w:val="28"/>
        </w:rPr>
        <w:t>that does not detract from the fact that the cause of action prescribed commencing on the 1</w:t>
      </w:r>
      <w:r w:rsidR="00951694" w:rsidRPr="00951694">
        <w:rPr>
          <w:rFonts w:ascii="Times New Roman" w:hAnsi="Times New Roman"/>
          <w:bCs/>
          <w:iCs/>
          <w:sz w:val="28"/>
          <w:szCs w:val="28"/>
          <w:vertAlign w:val="superscript"/>
        </w:rPr>
        <w:t>st</w:t>
      </w:r>
      <w:r w:rsidR="00951694">
        <w:rPr>
          <w:rFonts w:ascii="Times New Roman" w:hAnsi="Times New Roman"/>
          <w:bCs/>
          <w:iCs/>
          <w:sz w:val="28"/>
          <w:szCs w:val="28"/>
        </w:rPr>
        <w:t xml:space="preserve"> February 2005 if the plaintiff expected payment on the 31</w:t>
      </w:r>
      <w:r w:rsidR="00951694" w:rsidRPr="00951694">
        <w:rPr>
          <w:rFonts w:ascii="Times New Roman" w:hAnsi="Times New Roman"/>
          <w:bCs/>
          <w:iCs/>
          <w:sz w:val="28"/>
          <w:szCs w:val="28"/>
          <w:vertAlign w:val="superscript"/>
        </w:rPr>
        <w:t>st</w:t>
      </w:r>
      <w:r w:rsidR="00951694">
        <w:rPr>
          <w:rFonts w:ascii="Times New Roman" w:hAnsi="Times New Roman"/>
          <w:bCs/>
          <w:iCs/>
          <w:sz w:val="28"/>
          <w:szCs w:val="28"/>
        </w:rPr>
        <w:t xml:space="preserve"> January 1997</w:t>
      </w:r>
      <w:r w:rsidR="000E720E">
        <w:rPr>
          <w:rFonts w:ascii="Times New Roman" w:hAnsi="Times New Roman"/>
          <w:bCs/>
          <w:iCs/>
          <w:sz w:val="28"/>
          <w:szCs w:val="28"/>
        </w:rPr>
        <w:t xml:space="preserve"> as he alleged</w:t>
      </w:r>
      <w:r w:rsidR="00951694">
        <w:rPr>
          <w:rFonts w:ascii="Times New Roman" w:hAnsi="Times New Roman"/>
          <w:bCs/>
          <w:iCs/>
          <w:sz w:val="28"/>
          <w:szCs w:val="28"/>
        </w:rPr>
        <w:t xml:space="preserve">.  </w:t>
      </w:r>
      <w:r w:rsidR="006F5A29">
        <w:rPr>
          <w:rFonts w:ascii="Times New Roman" w:hAnsi="Times New Roman"/>
          <w:bCs/>
          <w:iCs/>
          <w:sz w:val="28"/>
          <w:szCs w:val="28"/>
        </w:rPr>
        <w:t xml:space="preserve"> </w:t>
      </w:r>
    </w:p>
    <w:p w:rsidR="00D45309" w:rsidRPr="0045609B" w:rsidRDefault="00173F37">
      <w:pPr>
        <w:tabs>
          <w:tab w:val="left" w:pos="1134"/>
        </w:tabs>
        <w:spacing w:after="240" w:line="480" w:lineRule="auto"/>
        <w:jc w:val="both"/>
        <w:rPr>
          <w:iCs/>
        </w:rPr>
      </w:pPr>
      <w:r>
        <w:rPr>
          <w:rFonts w:ascii="Times New Roman" w:hAnsi="Times New Roman"/>
          <w:bCs/>
          <w:iCs/>
          <w:sz w:val="28"/>
          <w:szCs w:val="28"/>
        </w:rPr>
        <w:t>[</w:t>
      </w:r>
      <w:r w:rsidR="00F838C8">
        <w:rPr>
          <w:rFonts w:ascii="Times New Roman" w:hAnsi="Times New Roman"/>
          <w:bCs/>
          <w:iCs/>
          <w:sz w:val="28"/>
          <w:szCs w:val="28"/>
        </w:rPr>
        <w:t>21</w:t>
      </w:r>
      <w:r>
        <w:rPr>
          <w:rFonts w:ascii="Times New Roman" w:hAnsi="Times New Roman"/>
          <w:bCs/>
          <w:iCs/>
          <w:sz w:val="28"/>
          <w:szCs w:val="28"/>
        </w:rPr>
        <w:t>]</w:t>
      </w:r>
      <w:r>
        <w:rPr>
          <w:rFonts w:ascii="Times New Roman" w:hAnsi="Times New Roman"/>
          <w:bCs/>
          <w:iCs/>
          <w:sz w:val="28"/>
          <w:szCs w:val="28"/>
        </w:rPr>
        <w:tab/>
        <w:t>For purposes of the adjudication of the special plea, it is</w:t>
      </w:r>
      <w:r w:rsidR="00981236">
        <w:rPr>
          <w:rFonts w:ascii="Times New Roman" w:hAnsi="Times New Roman"/>
          <w:bCs/>
          <w:iCs/>
          <w:sz w:val="28"/>
          <w:szCs w:val="28"/>
        </w:rPr>
        <w:t xml:space="preserve"> worth repeating that the defendant asserted that </w:t>
      </w:r>
      <w:r w:rsidR="00981236">
        <w:rPr>
          <w:rFonts w:ascii="Times New Roman" w:hAnsi="Times New Roman"/>
          <w:bCs/>
          <w:i/>
          <w:sz w:val="28"/>
          <w:szCs w:val="28"/>
        </w:rPr>
        <w:t>plaintiff’s cause of action prescribed commencing on 1</w:t>
      </w:r>
      <w:r w:rsidR="00981236">
        <w:rPr>
          <w:rFonts w:ascii="Times New Roman" w:hAnsi="Times New Roman"/>
          <w:bCs/>
          <w:i/>
          <w:sz w:val="28"/>
          <w:szCs w:val="28"/>
          <w:vertAlign w:val="superscript"/>
        </w:rPr>
        <w:t>st</w:t>
      </w:r>
      <w:r w:rsidR="00981236">
        <w:rPr>
          <w:rFonts w:ascii="Times New Roman" w:hAnsi="Times New Roman"/>
          <w:bCs/>
          <w:i/>
          <w:sz w:val="28"/>
          <w:szCs w:val="28"/>
        </w:rPr>
        <w:t xml:space="preserve"> February 2005 and the running of the prescription has not been interrupted</w:t>
      </w:r>
      <w:r w:rsidR="00E41FB5">
        <w:rPr>
          <w:rFonts w:ascii="Times New Roman" w:hAnsi="Times New Roman"/>
          <w:bCs/>
          <w:i/>
          <w:sz w:val="28"/>
          <w:szCs w:val="28"/>
        </w:rPr>
        <w:t xml:space="preserve"> </w:t>
      </w:r>
      <w:r w:rsidR="00F12550">
        <w:rPr>
          <w:rFonts w:ascii="Times New Roman" w:hAnsi="Times New Roman"/>
          <w:bCs/>
          <w:i/>
          <w:sz w:val="28"/>
          <w:szCs w:val="28"/>
        </w:rPr>
        <w:t xml:space="preserve">until </w:t>
      </w:r>
      <w:r w:rsidR="009A2037">
        <w:rPr>
          <w:rFonts w:ascii="Times New Roman" w:hAnsi="Times New Roman"/>
          <w:bCs/>
          <w:i/>
          <w:sz w:val="28"/>
          <w:szCs w:val="28"/>
        </w:rPr>
        <w:t xml:space="preserve">(sic) </w:t>
      </w:r>
      <w:r w:rsidR="00981236">
        <w:rPr>
          <w:rFonts w:ascii="Times New Roman" w:hAnsi="Times New Roman"/>
          <w:bCs/>
          <w:i/>
          <w:sz w:val="28"/>
          <w:szCs w:val="28"/>
        </w:rPr>
        <w:t>to date”</w:t>
      </w:r>
      <w:r w:rsidR="00981236">
        <w:rPr>
          <w:rStyle w:val="FootnoteReference"/>
          <w:rFonts w:ascii="Times New Roman" w:hAnsi="Times New Roman"/>
          <w:bCs/>
          <w:i/>
          <w:sz w:val="28"/>
          <w:szCs w:val="28"/>
        </w:rPr>
        <w:footnoteReference w:id="19"/>
      </w:r>
      <w:r w:rsidR="00981236">
        <w:rPr>
          <w:rFonts w:ascii="Times New Roman" w:hAnsi="Times New Roman"/>
          <w:bCs/>
          <w:iCs/>
          <w:sz w:val="28"/>
          <w:szCs w:val="28"/>
        </w:rPr>
        <w:t xml:space="preserve">. Again, it is </w:t>
      </w:r>
      <w:r>
        <w:rPr>
          <w:rFonts w:ascii="Times New Roman" w:hAnsi="Times New Roman"/>
          <w:bCs/>
          <w:iCs/>
          <w:sz w:val="28"/>
          <w:szCs w:val="28"/>
        </w:rPr>
        <w:t xml:space="preserve">clear based on the facts alleged in plaintiff’s declaration as amplified by further </w:t>
      </w:r>
      <w:proofErr w:type="gramStart"/>
      <w:r>
        <w:rPr>
          <w:rFonts w:ascii="Times New Roman" w:hAnsi="Times New Roman"/>
          <w:bCs/>
          <w:iCs/>
          <w:sz w:val="28"/>
          <w:szCs w:val="28"/>
        </w:rPr>
        <w:t>particulars that</w:t>
      </w:r>
      <w:proofErr w:type="gramEnd"/>
      <w:r>
        <w:rPr>
          <w:rFonts w:ascii="Times New Roman" w:hAnsi="Times New Roman"/>
          <w:bCs/>
          <w:iCs/>
          <w:sz w:val="28"/>
          <w:szCs w:val="28"/>
        </w:rPr>
        <w:t xml:space="preserve"> the plaintiff expected payment on the 31</w:t>
      </w:r>
      <w:r w:rsidRPr="00173F37">
        <w:rPr>
          <w:rFonts w:ascii="Times New Roman" w:hAnsi="Times New Roman"/>
          <w:bCs/>
          <w:iCs/>
          <w:sz w:val="28"/>
          <w:szCs w:val="28"/>
          <w:vertAlign w:val="superscript"/>
        </w:rPr>
        <w:t>st</w:t>
      </w:r>
      <w:r>
        <w:rPr>
          <w:rFonts w:ascii="Times New Roman" w:hAnsi="Times New Roman"/>
          <w:bCs/>
          <w:iCs/>
          <w:sz w:val="28"/>
          <w:szCs w:val="28"/>
        </w:rPr>
        <w:t xml:space="preserve"> January 1997</w:t>
      </w:r>
      <w:r>
        <w:rPr>
          <w:rStyle w:val="FootnoteReference"/>
          <w:rFonts w:ascii="Times New Roman" w:hAnsi="Times New Roman"/>
          <w:bCs/>
          <w:iCs/>
          <w:sz w:val="28"/>
          <w:szCs w:val="28"/>
        </w:rPr>
        <w:footnoteReference w:id="20"/>
      </w:r>
      <w:r>
        <w:rPr>
          <w:rFonts w:ascii="Times New Roman" w:hAnsi="Times New Roman"/>
          <w:bCs/>
          <w:iCs/>
          <w:sz w:val="28"/>
          <w:szCs w:val="28"/>
        </w:rPr>
        <w:t xml:space="preserve">, the date on which he issued the invoice. </w:t>
      </w:r>
      <w:r w:rsidR="00981236">
        <w:rPr>
          <w:rFonts w:ascii="Times New Roman" w:hAnsi="Times New Roman"/>
          <w:bCs/>
          <w:iCs/>
          <w:sz w:val="28"/>
          <w:szCs w:val="28"/>
        </w:rPr>
        <w:t xml:space="preserve">In response </w:t>
      </w:r>
      <w:r w:rsidR="009B18CD">
        <w:rPr>
          <w:rFonts w:ascii="Times New Roman" w:hAnsi="Times New Roman"/>
          <w:bCs/>
          <w:iCs/>
          <w:sz w:val="28"/>
          <w:szCs w:val="28"/>
        </w:rPr>
        <w:t>to</w:t>
      </w:r>
      <w:r w:rsidR="00981236">
        <w:rPr>
          <w:rFonts w:ascii="Times New Roman" w:hAnsi="Times New Roman"/>
          <w:bCs/>
          <w:iCs/>
          <w:sz w:val="28"/>
          <w:szCs w:val="28"/>
        </w:rPr>
        <w:t xml:space="preserve"> the question as to why he was claiming </w:t>
      </w:r>
      <w:r w:rsidR="008135B0">
        <w:rPr>
          <w:rFonts w:ascii="Times New Roman" w:hAnsi="Times New Roman"/>
          <w:bCs/>
          <w:iCs/>
          <w:sz w:val="28"/>
          <w:szCs w:val="28"/>
        </w:rPr>
        <w:t>interest from the 31</w:t>
      </w:r>
      <w:r w:rsidR="008135B0" w:rsidRPr="008135B0">
        <w:rPr>
          <w:rFonts w:ascii="Times New Roman" w:hAnsi="Times New Roman"/>
          <w:bCs/>
          <w:iCs/>
          <w:sz w:val="28"/>
          <w:szCs w:val="28"/>
          <w:vertAlign w:val="superscript"/>
        </w:rPr>
        <w:t>st</w:t>
      </w:r>
      <w:r w:rsidR="008135B0">
        <w:rPr>
          <w:rFonts w:ascii="Times New Roman" w:hAnsi="Times New Roman"/>
          <w:bCs/>
          <w:iCs/>
          <w:sz w:val="28"/>
          <w:szCs w:val="28"/>
        </w:rPr>
        <w:t xml:space="preserve"> January 1997 </w:t>
      </w:r>
      <w:r w:rsidR="00981236">
        <w:rPr>
          <w:rFonts w:ascii="Times New Roman" w:hAnsi="Times New Roman"/>
          <w:bCs/>
          <w:iCs/>
          <w:sz w:val="28"/>
          <w:szCs w:val="28"/>
        </w:rPr>
        <w:t xml:space="preserve">the </w:t>
      </w:r>
      <w:proofErr w:type="spellStart"/>
      <w:r w:rsidR="00981236">
        <w:rPr>
          <w:rFonts w:ascii="Times New Roman" w:hAnsi="Times New Roman"/>
          <w:bCs/>
          <w:iCs/>
          <w:sz w:val="28"/>
          <w:szCs w:val="28"/>
        </w:rPr>
        <w:t>plaintif</w:t>
      </w:r>
      <w:proofErr w:type="spellEnd"/>
      <w:r w:rsidR="00981236">
        <w:rPr>
          <w:rFonts w:ascii="Times New Roman" w:hAnsi="Times New Roman"/>
          <w:bCs/>
          <w:iCs/>
          <w:sz w:val="28"/>
          <w:szCs w:val="28"/>
        </w:rPr>
        <w:t xml:space="preserve"> </w:t>
      </w:r>
      <w:r w:rsidR="009B18CD">
        <w:rPr>
          <w:rFonts w:ascii="Times New Roman" w:hAnsi="Times New Roman"/>
          <w:bCs/>
          <w:iCs/>
          <w:sz w:val="28"/>
          <w:szCs w:val="28"/>
        </w:rPr>
        <w:t>said</w:t>
      </w:r>
      <w:r w:rsidR="00981236">
        <w:rPr>
          <w:rFonts w:ascii="Times New Roman" w:hAnsi="Times New Roman"/>
          <w:bCs/>
          <w:iCs/>
          <w:sz w:val="28"/>
          <w:szCs w:val="28"/>
        </w:rPr>
        <w:t xml:space="preserve"> that </w:t>
      </w:r>
      <w:r w:rsidR="008135B0">
        <w:rPr>
          <w:rFonts w:ascii="Times New Roman" w:hAnsi="Times New Roman"/>
          <w:bCs/>
          <w:iCs/>
          <w:sz w:val="28"/>
          <w:szCs w:val="28"/>
        </w:rPr>
        <w:t>“</w:t>
      </w:r>
      <w:r w:rsidR="008135B0" w:rsidRPr="008135B0">
        <w:rPr>
          <w:rFonts w:ascii="Times New Roman" w:hAnsi="Times New Roman"/>
          <w:bCs/>
          <w:i/>
          <w:sz w:val="28"/>
          <w:szCs w:val="28"/>
        </w:rPr>
        <w:t>It is the time the payment was expected to have been made by Defendant</w:t>
      </w:r>
      <w:r w:rsidR="008135B0">
        <w:rPr>
          <w:rStyle w:val="FootnoteReference"/>
          <w:rFonts w:ascii="Times New Roman" w:hAnsi="Times New Roman"/>
          <w:bCs/>
          <w:i/>
          <w:sz w:val="28"/>
          <w:szCs w:val="28"/>
        </w:rPr>
        <w:footnoteReference w:id="21"/>
      </w:r>
      <w:r w:rsidR="008135B0" w:rsidRPr="008135B0">
        <w:rPr>
          <w:rFonts w:ascii="Times New Roman" w:hAnsi="Times New Roman"/>
          <w:bCs/>
          <w:i/>
          <w:sz w:val="28"/>
          <w:szCs w:val="28"/>
        </w:rPr>
        <w:t xml:space="preserve">”. </w:t>
      </w:r>
      <w:r w:rsidR="002D046C">
        <w:rPr>
          <w:rFonts w:ascii="Times New Roman" w:hAnsi="Times New Roman"/>
          <w:bCs/>
          <w:iCs/>
          <w:sz w:val="28"/>
          <w:szCs w:val="28"/>
        </w:rPr>
        <w:t xml:space="preserve">Clearly, the </w:t>
      </w:r>
      <w:r w:rsidR="0045609B">
        <w:rPr>
          <w:rFonts w:ascii="Times New Roman" w:hAnsi="Times New Roman"/>
          <w:bCs/>
          <w:iCs/>
          <w:sz w:val="28"/>
          <w:szCs w:val="28"/>
        </w:rPr>
        <w:t>plaintiff considered the 31</w:t>
      </w:r>
      <w:r w:rsidR="0045609B" w:rsidRPr="0045609B">
        <w:rPr>
          <w:rFonts w:ascii="Times New Roman" w:hAnsi="Times New Roman"/>
          <w:bCs/>
          <w:iCs/>
          <w:sz w:val="28"/>
          <w:szCs w:val="28"/>
          <w:vertAlign w:val="superscript"/>
        </w:rPr>
        <w:t>st</w:t>
      </w:r>
      <w:r w:rsidR="0045609B">
        <w:rPr>
          <w:rFonts w:ascii="Times New Roman" w:hAnsi="Times New Roman"/>
          <w:bCs/>
          <w:iCs/>
          <w:sz w:val="28"/>
          <w:szCs w:val="28"/>
        </w:rPr>
        <w:t xml:space="preserve"> January 1997</w:t>
      </w:r>
      <w:r w:rsidR="002D046C">
        <w:rPr>
          <w:rFonts w:ascii="Times New Roman" w:hAnsi="Times New Roman"/>
          <w:bCs/>
          <w:iCs/>
          <w:sz w:val="28"/>
          <w:szCs w:val="28"/>
        </w:rPr>
        <w:t xml:space="preserve"> to be the date when the default commenced, hence he did not deny the defendant ‘s assertion that the cause of action prescribed commencing on the 1</w:t>
      </w:r>
      <w:r w:rsidR="002D046C" w:rsidRPr="002D046C">
        <w:rPr>
          <w:rFonts w:ascii="Times New Roman" w:hAnsi="Times New Roman"/>
          <w:bCs/>
          <w:iCs/>
          <w:sz w:val="28"/>
          <w:szCs w:val="28"/>
          <w:vertAlign w:val="superscript"/>
        </w:rPr>
        <w:t>st</w:t>
      </w:r>
      <w:r w:rsidR="002D046C">
        <w:rPr>
          <w:rFonts w:ascii="Times New Roman" w:hAnsi="Times New Roman"/>
          <w:bCs/>
          <w:iCs/>
          <w:sz w:val="28"/>
          <w:szCs w:val="28"/>
        </w:rPr>
        <w:t xml:space="preserve"> February 2005.  He rather asserted that the running of prescription was interrupted by demands. </w:t>
      </w:r>
    </w:p>
    <w:p w:rsidR="002D046C" w:rsidRDefault="0029376C">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981236">
        <w:rPr>
          <w:rFonts w:ascii="Times New Roman" w:hAnsi="Times New Roman"/>
          <w:bCs/>
          <w:iCs/>
          <w:sz w:val="28"/>
          <w:szCs w:val="28"/>
        </w:rPr>
        <w:t>22</w:t>
      </w:r>
      <w:r>
        <w:rPr>
          <w:rFonts w:ascii="Times New Roman" w:hAnsi="Times New Roman"/>
          <w:bCs/>
          <w:iCs/>
          <w:sz w:val="28"/>
          <w:szCs w:val="28"/>
        </w:rPr>
        <w:t>]</w:t>
      </w:r>
      <w:r>
        <w:rPr>
          <w:rFonts w:ascii="Times New Roman" w:hAnsi="Times New Roman"/>
          <w:bCs/>
          <w:iCs/>
          <w:sz w:val="28"/>
          <w:szCs w:val="28"/>
        </w:rPr>
        <w:tab/>
        <w:t xml:space="preserve">It is trite law that a judicial admission of fact is conclusive as a result of which it is unnecessary for the party in whose favour the admission was made </w:t>
      </w:r>
      <w:r>
        <w:rPr>
          <w:rFonts w:ascii="Times New Roman" w:hAnsi="Times New Roman"/>
          <w:bCs/>
          <w:iCs/>
          <w:sz w:val="28"/>
          <w:szCs w:val="28"/>
        </w:rPr>
        <w:lastRenderedPageBreak/>
        <w:t>to lead evidence to prove the fact and incompetent for the party that made the admission to contradict it</w:t>
      </w:r>
      <w:r>
        <w:rPr>
          <w:rStyle w:val="FootnoteReference"/>
          <w:rFonts w:ascii="Times New Roman" w:hAnsi="Times New Roman"/>
          <w:bCs/>
          <w:iCs/>
          <w:sz w:val="28"/>
          <w:szCs w:val="28"/>
        </w:rPr>
        <w:footnoteReference w:id="22"/>
      </w:r>
      <w:r>
        <w:rPr>
          <w:rFonts w:ascii="Times New Roman" w:hAnsi="Times New Roman"/>
          <w:bCs/>
          <w:iCs/>
          <w:sz w:val="28"/>
          <w:szCs w:val="28"/>
        </w:rPr>
        <w:t>. Not only has the fact that the plaintiff ‘s cause of action prescribed commencing on 1</w:t>
      </w:r>
      <w:r>
        <w:rPr>
          <w:rFonts w:ascii="Times New Roman" w:hAnsi="Times New Roman"/>
          <w:bCs/>
          <w:iCs/>
          <w:sz w:val="28"/>
          <w:szCs w:val="28"/>
          <w:vertAlign w:val="superscript"/>
        </w:rPr>
        <w:t>st</w:t>
      </w:r>
      <w:r>
        <w:rPr>
          <w:rFonts w:ascii="Times New Roman" w:hAnsi="Times New Roman"/>
          <w:bCs/>
          <w:iCs/>
          <w:sz w:val="28"/>
          <w:szCs w:val="28"/>
        </w:rPr>
        <w:t xml:space="preserve"> February 2005 not been denied, but the defendant is not relying on a single fact which does not appear in the pleadings for his argument in support of prescription. </w:t>
      </w:r>
    </w:p>
    <w:p w:rsidR="00B14175" w:rsidRPr="00BE39D9" w:rsidRDefault="002D046C">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w:t>
      </w:r>
      <w:r w:rsidR="00981236">
        <w:rPr>
          <w:rFonts w:ascii="Times New Roman" w:hAnsi="Times New Roman"/>
          <w:bCs/>
          <w:iCs/>
          <w:sz w:val="28"/>
          <w:szCs w:val="28"/>
        </w:rPr>
        <w:t>23</w:t>
      </w:r>
      <w:r>
        <w:rPr>
          <w:rFonts w:ascii="Times New Roman" w:hAnsi="Times New Roman"/>
          <w:bCs/>
          <w:iCs/>
          <w:sz w:val="28"/>
          <w:szCs w:val="28"/>
        </w:rPr>
        <w:t>]</w:t>
      </w:r>
      <w:r>
        <w:rPr>
          <w:rFonts w:ascii="Times New Roman" w:hAnsi="Times New Roman"/>
          <w:bCs/>
          <w:iCs/>
          <w:sz w:val="28"/>
          <w:szCs w:val="28"/>
        </w:rPr>
        <w:tab/>
      </w:r>
      <w:r w:rsidR="00981236">
        <w:rPr>
          <w:rFonts w:ascii="Times New Roman" w:hAnsi="Times New Roman"/>
          <w:bCs/>
          <w:iCs/>
          <w:sz w:val="28"/>
          <w:szCs w:val="28"/>
        </w:rPr>
        <w:t xml:space="preserve">I hold therefore that the defendant has </w:t>
      </w:r>
      <w:r w:rsidR="00DC6C1E">
        <w:rPr>
          <w:rFonts w:ascii="Times New Roman" w:hAnsi="Times New Roman"/>
          <w:bCs/>
          <w:iCs/>
          <w:sz w:val="28"/>
          <w:szCs w:val="28"/>
        </w:rPr>
        <w:t>alleged and was able to prove the date of the inception of the period of prescription as the 1</w:t>
      </w:r>
      <w:r w:rsidR="00DC6C1E" w:rsidRPr="00DC6C1E">
        <w:rPr>
          <w:rFonts w:ascii="Times New Roman" w:hAnsi="Times New Roman"/>
          <w:bCs/>
          <w:iCs/>
          <w:sz w:val="28"/>
          <w:szCs w:val="28"/>
          <w:vertAlign w:val="superscript"/>
        </w:rPr>
        <w:t>st</w:t>
      </w:r>
      <w:r w:rsidR="00DC6C1E">
        <w:rPr>
          <w:rFonts w:ascii="Times New Roman" w:hAnsi="Times New Roman"/>
          <w:bCs/>
          <w:iCs/>
          <w:sz w:val="28"/>
          <w:szCs w:val="28"/>
        </w:rPr>
        <w:t xml:space="preserve"> February 2005.</w:t>
      </w:r>
      <w:r w:rsidR="00BE39D9">
        <w:rPr>
          <w:rFonts w:ascii="Times New Roman" w:hAnsi="Times New Roman"/>
          <w:bCs/>
          <w:iCs/>
          <w:sz w:val="28"/>
          <w:szCs w:val="28"/>
        </w:rPr>
        <w:t xml:space="preserve"> </w:t>
      </w:r>
      <w:r w:rsidR="0029376C">
        <w:rPr>
          <w:rFonts w:ascii="Times New Roman" w:hAnsi="Times New Roman"/>
          <w:bCs/>
          <w:iCs/>
          <w:sz w:val="28"/>
          <w:szCs w:val="28"/>
        </w:rPr>
        <w:t xml:space="preserve">As a result, the only salient issue to be investigated is whether the running of the prescription was interrupted by demands as the plaintiff alleged. This is the dispute before me as far as the special plea is concerned and I am not going to create a dispute where it does not exist. </w:t>
      </w:r>
    </w:p>
    <w:p w:rsidR="00B14175" w:rsidRDefault="0029376C" w:rsidP="00E16137">
      <w:pPr>
        <w:tabs>
          <w:tab w:val="left" w:pos="1134"/>
        </w:tabs>
        <w:spacing w:after="240" w:line="480" w:lineRule="auto"/>
        <w:jc w:val="both"/>
        <w:rPr>
          <w:rFonts w:ascii="Times New Roman" w:hAnsi="Times New Roman"/>
          <w:bCs/>
          <w:iCs/>
          <w:sz w:val="28"/>
          <w:szCs w:val="28"/>
        </w:rPr>
      </w:pPr>
      <w:r>
        <w:rPr>
          <w:rFonts w:ascii="Times New Roman" w:hAnsi="Times New Roman"/>
          <w:bCs/>
          <w:iCs/>
          <w:sz w:val="28"/>
          <w:szCs w:val="28"/>
        </w:rPr>
        <w:t xml:space="preserve"> [</w:t>
      </w:r>
      <w:r w:rsidR="00D670B2">
        <w:rPr>
          <w:rFonts w:ascii="Times New Roman" w:hAnsi="Times New Roman"/>
          <w:bCs/>
          <w:iCs/>
          <w:sz w:val="28"/>
          <w:szCs w:val="28"/>
        </w:rPr>
        <w:t>24</w:t>
      </w:r>
      <w:r>
        <w:rPr>
          <w:rFonts w:ascii="Times New Roman" w:hAnsi="Times New Roman"/>
          <w:bCs/>
          <w:iCs/>
          <w:sz w:val="28"/>
          <w:szCs w:val="28"/>
        </w:rPr>
        <w:t>]</w:t>
      </w:r>
      <w:r>
        <w:rPr>
          <w:rFonts w:ascii="Times New Roman" w:hAnsi="Times New Roman"/>
          <w:bCs/>
          <w:iCs/>
          <w:sz w:val="28"/>
          <w:szCs w:val="28"/>
        </w:rPr>
        <w:tab/>
        <w:t xml:space="preserve">In </w:t>
      </w:r>
      <w:proofErr w:type="spellStart"/>
      <w:r>
        <w:rPr>
          <w:rFonts w:ascii="Times New Roman" w:hAnsi="Times New Roman"/>
          <w:b/>
          <w:iCs/>
          <w:sz w:val="28"/>
          <w:szCs w:val="28"/>
        </w:rPr>
        <w:t>Putsoa</w:t>
      </w:r>
      <w:proofErr w:type="spellEnd"/>
      <w:r>
        <w:rPr>
          <w:rFonts w:ascii="Times New Roman" w:hAnsi="Times New Roman"/>
          <w:b/>
          <w:iCs/>
          <w:sz w:val="28"/>
          <w:szCs w:val="28"/>
        </w:rPr>
        <w:t xml:space="preserve"> v Attorney General</w:t>
      </w:r>
      <w:r>
        <w:rPr>
          <w:rStyle w:val="FootnoteReference"/>
          <w:rFonts w:ascii="Times New Roman" w:hAnsi="Times New Roman"/>
          <w:b/>
          <w:iCs/>
          <w:sz w:val="28"/>
          <w:szCs w:val="28"/>
        </w:rPr>
        <w:footnoteReference w:id="23"/>
      </w:r>
      <w:r>
        <w:rPr>
          <w:rFonts w:ascii="Times New Roman" w:hAnsi="Times New Roman"/>
          <w:b/>
          <w:iCs/>
          <w:sz w:val="28"/>
          <w:szCs w:val="28"/>
        </w:rPr>
        <w:t xml:space="preserve"> </w:t>
      </w:r>
      <w:r>
        <w:rPr>
          <w:rFonts w:ascii="Times New Roman" w:hAnsi="Times New Roman"/>
          <w:bCs/>
          <w:iCs/>
          <w:sz w:val="28"/>
          <w:szCs w:val="28"/>
        </w:rPr>
        <w:t>though the Court of Appeal was dealing with a case of prescription under section 6 of the Government Proceedings and Contracts Act No. 4 of 1965, it observed that there was no provision under the Prescription Act No. 6 of 1861 “</w:t>
      </w:r>
      <w:r>
        <w:rPr>
          <w:rFonts w:ascii="Times New Roman" w:hAnsi="Times New Roman"/>
          <w:bCs/>
          <w:i/>
          <w:sz w:val="28"/>
          <w:szCs w:val="28"/>
        </w:rPr>
        <w:t xml:space="preserve">that the delivery of a demand interrupts prescription”. </w:t>
      </w:r>
      <w:r>
        <w:rPr>
          <w:rFonts w:ascii="Times New Roman" w:hAnsi="Times New Roman"/>
          <w:bCs/>
          <w:iCs/>
          <w:sz w:val="28"/>
          <w:szCs w:val="28"/>
        </w:rPr>
        <w:t xml:space="preserve">Having interrogated the Act, I have no reason not to align myself with this observation by the Court of Appeal. Mr. </w:t>
      </w:r>
      <w:proofErr w:type="spellStart"/>
      <w:r>
        <w:rPr>
          <w:rFonts w:ascii="Times New Roman" w:hAnsi="Times New Roman"/>
          <w:bCs/>
          <w:i/>
          <w:sz w:val="28"/>
          <w:szCs w:val="28"/>
        </w:rPr>
        <w:t>Sekatle</w:t>
      </w:r>
      <w:proofErr w:type="spellEnd"/>
      <w:r>
        <w:rPr>
          <w:rFonts w:ascii="Times New Roman" w:hAnsi="Times New Roman"/>
          <w:bCs/>
          <w:i/>
          <w:sz w:val="28"/>
          <w:szCs w:val="28"/>
        </w:rPr>
        <w:t xml:space="preserve"> </w:t>
      </w:r>
      <w:r>
        <w:rPr>
          <w:rFonts w:ascii="Times New Roman" w:hAnsi="Times New Roman"/>
          <w:bCs/>
          <w:iCs/>
          <w:sz w:val="28"/>
          <w:szCs w:val="28"/>
        </w:rPr>
        <w:t xml:space="preserve">did not even attempt to draw my attention to any such a provision during his addresses.  Even if it were to be accepted that demands are competent to interrupt </w:t>
      </w:r>
      <w:r>
        <w:rPr>
          <w:rFonts w:ascii="Times New Roman" w:hAnsi="Times New Roman"/>
          <w:bCs/>
          <w:iCs/>
          <w:sz w:val="28"/>
          <w:szCs w:val="28"/>
        </w:rPr>
        <w:lastRenderedPageBreak/>
        <w:t>prescription, it was up to the plaintiff in line with its replication to</w:t>
      </w:r>
      <w:r w:rsidR="007226DC">
        <w:rPr>
          <w:rFonts w:ascii="Times New Roman" w:hAnsi="Times New Roman"/>
          <w:bCs/>
          <w:iCs/>
          <w:sz w:val="28"/>
          <w:szCs w:val="28"/>
        </w:rPr>
        <w:t xml:space="preserve"> </w:t>
      </w:r>
      <w:proofErr w:type="spellStart"/>
      <w:r w:rsidR="007226DC">
        <w:rPr>
          <w:rFonts w:ascii="Times New Roman" w:hAnsi="Times New Roman"/>
          <w:bCs/>
          <w:iCs/>
          <w:sz w:val="28"/>
          <w:szCs w:val="28"/>
        </w:rPr>
        <w:t>atleast</w:t>
      </w:r>
      <w:proofErr w:type="spellEnd"/>
      <w:r>
        <w:rPr>
          <w:rFonts w:ascii="Times New Roman" w:hAnsi="Times New Roman"/>
          <w:bCs/>
          <w:iCs/>
          <w:sz w:val="28"/>
          <w:szCs w:val="28"/>
        </w:rPr>
        <w:t xml:space="preserve"> prove </w:t>
      </w:r>
      <w:r w:rsidR="007226DC">
        <w:rPr>
          <w:rFonts w:ascii="Times New Roman" w:hAnsi="Times New Roman"/>
          <w:bCs/>
          <w:iCs/>
          <w:sz w:val="28"/>
          <w:szCs w:val="28"/>
        </w:rPr>
        <w:t>when</w:t>
      </w:r>
      <w:r>
        <w:rPr>
          <w:rFonts w:ascii="Times New Roman" w:hAnsi="Times New Roman"/>
          <w:bCs/>
          <w:iCs/>
          <w:sz w:val="28"/>
          <w:szCs w:val="28"/>
        </w:rPr>
        <w:t xml:space="preserve"> </w:t>
      </w:r>
      <w:r w:rsidR="007226DC">
        <w:rPr>
          <w:rFonts w:ascii="Times New Roman" w:hAnsi="Times New Roman"/>
          <w:bCs/>
          <w:iCs/>
          <w:sz w:val="28"/>
          <w:szCs w:val="28"/>
        </w:rPr>
        <w:t>t</w:t>
      </w:r>
      <w:r>
        <w:rPr>
          <w:rFonts w:ascii="Times New Roman" w:hAnsi="Times New Roman"/>
          <w:bCs/>
          <w:iCs/>
          <w:sz w:val="28"/>
          <w:szCs w:val="28"/>
        </w:rPr>
        <w:t>he demands</w:t>
      </w:r>
      <w:r>
        <w:rPr>
          <w:rStyle w:val="FootnoteReference"/>
          <w:rFonts w:ascii="Times New Roman" w:hAnsi="Times New Roman"/>
          <w:bCs/>
          <w:iCs/>
          <w:sz w:val="28"/>
          <w:szCs w:val="28"/>
        </w:rPr>
        <w:footnoteReference w:id="24"/>
      </w:r>
      <w:r w:rsidR="007226DC">
        <w:rPr>
          <w:rFonts w:ascii="Times New Roman" w:hAnsi="Times New Roman"/>
          <w:bCs/>
          <w:iCs/>
          <w:sz w:val="28"/>
          <w:szCs w:val="28"/>
        </w:rPr>
        <w:t xml:space="preserve"> were made, inasmuch as the defendant by not denying in its plea that the demands were made, is deemed to have admitted that fact.</w:t>
      </w:r>
      <w:r>
        <w:rPr>
          <w:rFonts w:ascii="Times New Roman" w:hAnsi="Times New Roman"/>
          <w:bCs/>
          <w:iCs/>
          <w:sz w:val="28"/>
          <w:szCs w:val="28"/>
        </w:rPr>
        <w:t xml:space="preserve">  </w:t>
      </w:r>
    </w:p>
    <w:p w:rsidR="00D670B2" w:rsidRPr="00E16137" w:rsidRDefault="00D670B2" w:rsidP="00E16137">
      <w:pPr>
        <w:tabs>
          <w:tab w:val="left" w:pos="1134"/>
        </w:tabs>
        <w:spacing w:after="240" w:line="480" w:lineRule="auto"/>
        <w:jc w:val="both"/>
      </w:pPr>
      <w:r>
        <w:rPr>
          <w:rFonts w:ascii="Times New Roman" w:hAnsi="Times New Roman"/>
          <w:bCs/>
          <w:iCs/>
          <w:sz w:val="28"/>
          <w:szCs w:val="28"/>
        </w:rPr>
        <w:t>[25]</w:t>
      </w:r>
      <w:r>
        <w:rPr>
          <w:rFonts w:ascii="Times New Roman" w:hAnsi="Times New Roman"/>
          <w:bCs/>
          <w:iCs/>
          <w:sz w:val="28"/>
          <w:szCs w:val="28"/>
        </w:rPr>
        <w:tab/>
        <w:t>For the above reasons, I find that the plaintiff’s cause of action which first accrued on the 31</w:t>
      </w:r>
      <w:r w:rsidRPr="00D670B2">
        <w:rPr>
          <w:rFonts w:ascii="Times New Roman" w:hAnsi="Times New Roman"/>
          <w:bCs/>
          <w:iCs/>
          <w:sz w:val="28"/>
          <w:szCs w:val="28"/>
          <w:vertAlign w:val="superscript"/>
        </w:rPr>
        <w:t>st</w:t>
      </w:r>
      <w:r>
        <w:rPr>
          <w:rFonts w:ascii="Times New Roman" w:hAnsi="Times New Roman"/>
          <w:bCs/>
          <w:iCs/>
          <w:sz w:val="28"/>
          <w:szCs w:val="28"/>
        </w:rPr>
        <w:t xml:space="preserve"> January 1997, has prescribed commencing on the 1</w:t>
      </w:r>
      <w:r w:rsidRPr="002D046C">
        <w:rPr>
          <w:rFonts w:ascii="Times New Roman" w:hAnsi="Times New Roman"/>
          <w:bCs/>
          <w:iCs/>
          <w:sz w:val="28"/>
          <w:szCs w:val="28"/>
          <w:vertAlign w:val="superscript"/>
        </w:rPr>
        <w:t>st</w:t>
      </w:r>
      <w:r>
        <w:rPr>
          <w:rFonts w:ascii="Times New Roman" w:hAnsi="Times New Roman"/>
          <w:bCs/>
          <w:iCs/>
          <w:sz w:val="28"/>
          <w:szCs w:val="28"/>
        </w:rPr>
        <w:t xml:space="preserve"> February 2005 and that the running of prescription was never interrupted. </w:t>
      </w:r>
    </w:p>
    <w:p w:rsidR="00B14175" w:rsidRDefault="0029376C">
      <w:pPr>
        <w:spacing w:after="0" w:line="480" w:lineRule="auto"/>
        <w:jc w:val="both"/>
        <w:rPr>
          <w:rFonts w:ascii="Times New Roman" w:hAnsi="Times New Roman"/>
          <w:b/>
          <w:bCs/>
          <w:color w:val="0E101A"/>
          <w:sz w:val="28"/>
          <w:szCs w:val="28"/>
        </w:rPr>
      </w:pPr>
      <w:r>
        <w:rPr>
          <w:rFonts w:ascii="Times New Roman" w:hAnsi="Times New Roman"/>
          <w:b/>
          <w:bCs/>
          <w:color w:val="0E101A"/>
          <w:sz w:val="28"/>
          <w:szCs w:val="28"/>
        </w:rPr>
        <w:t>ORDER</w:t>
      </w:r>
    </w:p>
    <w:p w:rsidR="00B14175" w:rsidRDefault="00B14175">
      <w:pPr>
        <w:spacing w:after="0" w:line="480" w:lineRule="auto"/>
        <w:jc w:val="both"/>
        <w:rPr>
          <w:rFonts w:ascii="Times New Roman" w:hAnsi="Times New Roman"/>
          <w:b/>
          <w:bCs/>
          <w:color w:val="0E101A"/>
          <w:sz w:val="28"/>
          <w:szCs w:val="28"/>
        </w:rPr>
      </w:pPr>
    </w:p>
    <w:p w:rsidR="00B14175" w:rsidRDefault="0029376C">
      <w:pPr>
        <w:spacing w:after="0" w:line="480" w:lineRule="auto"/>
        <w:jc w:val="both"/>
        <w:rPr>
          <w:rFonts w:ascii="Times New Roman" w:hAnsi="Times New Roman"/>
          <w:color w:val="0E101A"/>
          <w:sz w:val="28"/>
          <w:szCs w:val="28"/>
        </w:rPr>
      </w:pPr>
      <w:r>
        <w:rPr>
          <w:rFonts w:ascii="Times New Roman" w:hAnsi="Times New Roman"/>
          <w:color w:val="0E101A"/>
          <w:sz w:val="28"/>
          <w:szCs w:val="28"/>
        </w:rPr>
        <w:t>[</w:t>
      </w:r>
      <w:r w:rsidR="00795C3A">
        <w:rPr>
          <w:rFonts w:ascii="Times New Roman" w:hAnsi="Times New Roman"/>
          <w:color w:val="0E101A"/>
          <w:sz w:val="28"/>
          <w:szCs w:val="28"/>
        </w:rPr>
        <w:t>26</w:t>
      </w:r>
      <w:r>
        <w:rPr>
          <w:rFonts w:ascii="Times New Roman" w:hAnsi="Times New Roman"/>
          <w:color w:val="0E101A"/>
          <w:sz w:val="28"/>
          <w:szCs w:val="28"/>
        </w:rPr>
        <w:t>]</w:t>
      </w:r>
      <w:r>
        <w:rPr>
          <w:rFonts w:ascii="Times New Roman" w:hAnsi="Times New Roman"/>
          <w:color w:val="0E101A"/>
          <w:sz w:val="28"/>
          <w:szCs w:val="28"/>
        </w:rPr>
        <w:tab/>
      </w:r>
      <w:r>
        <w:rPr>
          <w:rFonts w:ascii="Times New Roman" w:hAnsi="Times New Roman"/>
          <w:color w:val="0E101A"/>
          <w:sz w:val="28"/>
          <w:szCs w:val="28"/>
        </w:rPr>
        <w:tab/>
        <w:t>I</w:t>
      </w:r>
      <w:r w:rsidR="00A47231">
        <w:rPr>
          <w:rFonts w:ascii="Times New Roman" w:hAnsi="Times New Roman"/>
          <w:color w:val="0E101A"/>
          <w:sz w:val="28"/>
          <w:szCs w:val="28"/>
        </w:rPr>
        <w:t xml:space="preserve"> </w:t>
      </w:r>
      <w:r w:rsidR="00955B87">
        <w:rPr>
          <w:rFonts w:ascii="Times New Roman" w:hAnsi="Times New Roman"/>
          <w:color w:val="0E101A"/>
          <w:sz w:val="28"/>
          <w:szCs w:val="28"/>
        </w:rPr>
        <w:t xml:space="preserve">accordingly uphold the special plea of prescription and dismiss the plaintiff ‘s claim with costs on a party and party scale. </w:t>
      </w:r>
    </w:p>
    <w:p w:rsidR="00B14175" w:rsidRDefault="00B14175">
      <w:pPr>
        <w:spacing w:after="0" w:line="480" w:lineRule="auto"/>
        <w:jc w:val="both"/>
        <w:rPr>
          <w:rFonts w:ascii="Times New Roman" w:hAnsi="Times New Roman"/>
          <w:color w:val="0E101A"/>
          <w:sz w:val="28"/>
          <w:szCs w:val="28"/>
        </w:rPr>
      </w:pPr>
    </w:p>
    <w:p w:rsidR="00B14175" w:rsidRDefault="0029376C" w:rsidP="00DC6C1E">
      <w:pPr>
        <w:spacing w:after="0" w:line="480" w:lineRule="auto"/>
        <w:jc w:val="both"/>
        <w:rPr>
          <w:rFonts w:ascii="Times New Roman" w:hAnsi="Times New Roman"/>
          <w:color w:val="0E101A"/>
          <w:sz w:val="28"/>
          <w:szCs w:val="28"/>
        </w:rPr>
      </w:pPr>
      <w:r>
        <w:rPr>
          <w:rFonts w:ascii="Times New Roman" w:hAnsi="Times New Roman"/>
          <w:color w:val="0E101A"/>
          <w:sz w:val="28"/>
          <w:szCs w:val="28"/>
        </w:rPr>
        <w:tab/>
      </w:r>
    </w:p>
    <w:p w:rsidR="00B14175" w:rsidRDefault="006F5A29" w:rsidP="00C82B21">
      <w:pPr>
        <w:spacing w:after="0" w:line="240" w:lineRule="auto"/>
        <w:jc w:val="center"/>
        <w:rPr>
          <w:rFonts w:ascii="Times New Roman" w:hAnsi="Times New Roman"/>
          <w:color w:val="0E101A"/>
          <w:sz w:val="28"/>
          <w:szCs w:val="28"/>
        </w:rPr>
      </w:pPr>
      <w:r>
        <w:rPr>
          <w:rFonts w:ascii="Times New Roman" w:hAnsi="Times New Roman"/>
          <w:color w:val="0E101A"/>
          <w:sz w:val="28"/>
          <w:szCs w:val="28"/>
        </w:rPr>
        <w:t>__</w:t>
      </w:r>
      <w:r w:rsidR="0029376C">
        <w:rPr>
          <w:rFonts w:ascii="Times New Roman" w:hAnsi="Times New Roman"/>
          <w:color w:val="0E101A"/>
          <w:sz w:val="28"/>
          <w:szCs w:val="28"/>
        </w:rPr>
        <w:t>_____________</w:t>
      </w:r>
    </w:p>
    <w:p w:rsidR="00B14175" w:rsidRPr="006F5A29" w:rsidRDefault="0029376C" w:rsidP="00C82B21">
      <w:pPr>
        <w:spacing w:after="0" w:line="240" w:lineRule="auto"/>
        <w:jc w:val="center"/>
        <w:rPr>
          <w:rFonts w:ascii="Times New Roman" w:hAnsi="Times New Roman"/>
          <w:b/>
          <w:bCs/>
          <w:color w:val="0E101A"/>
          <w:sz w:val="28"/>
          <w:szCs w:val="28"/>
        </w:rPr>
      </w:pPr>
      <w:r w:rsidRPr="006F5A29">
        <w:rPr>
          <w:rFonts w:ascii="Times New Roman" w:hAnsi="Times New Roman"/>
          <w:b/>
          <w:bCs/>
          <w:color w:val="0E101A"/>
          <w:sz w:val="28"/>
          <w:szCs w:val="28"/>
        </w:rPr>
        <w:t>A.R. MATHABA J</w:t>
      </w:r>
    </w:p>
    <w:p w:rsidR="00B14175" w:rsidRDefault="0029376C" w:rsidP="00C82B21">
      <w:pPr>
        <w:spacing w:after="0" w:line="240" w:lineRule="auto"/>
        <w:jc w:val="center"/>
        <w:rPr>
          <w:rFonts w:ascii="Times New Roman" w:hAnsi="Times New Roman"/>
          <w:color w:val="0E101A"/>
          <w:sz w:val="28"/>
          <w:szCs w:val="28"/>
        </w:rPr>
      </w:pPr>
      <w:r>
        <w:rPr>
          <w:rFonts w:ascii="Times New Roman" w:hAnsi="Times New Roman"/>
          <w:color w:val="0E101A"/>
          <w:sz w:val="28"/>
          <w:szCs w:val="28"/>
        </w:rPr>
        <w:t>Judge of the High Court</w:t>
      </w:r>
    </w:p>
    <w:p w:rsidR="00B14175" w:rsidRDefault="00B14175" w:rsidP="00C82B21">
      <w:pPr>
        <w:spacing w:after="0" w:line="240" w:lineRule="auto"/>
        <w:jc w:val="center"/>
        <w:rPr>
          <w:rFonts w:ascii="Times New Roman" w:hAnsi="Times New Roman"/>
          <w:color w:val="0E101A"/>
          <w:sz w:val="28"/>
          <w:szCs w:val="28"/>
        </w:rPr>
      </w:pPr>
    </w:p>
    <w:p w:rsidR="00B14175" w:rsidRDefault="00B14175">
      <w:pPr>
        <w:spacing w:after="0" w:line="240" w:lineRule="auto"/>
        <w:jc w:val="both"/>
        <w:rPr>
          <w:rFonts w:ascii="Times New Roman" w:hAnsi="Times New Roman"/>
          <w:color w:val="0E101A"/>
          <w:sz w:val="28"/>
          <w:szCs w:val="28"/>
        </w:rPr>
      </w:pPr>
    </w:p>
    <w:p w:rsidR="00B14175" w:rsidRDefault="0029376C">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rsidR="00B14175" w:rsidRDefault="0029376C">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t>For the Plaintiff:</w:t>
      </w:r>
      <w:r>
        <w:rPr>
          <w:rFonts w:ascii="Times New Roman" w:hAnsi="Times New Roman"/>
          <w:color w:val="0E101A"/>
          <w:sz w:val="28"/>
          <w:szCs w:val="28"/>
        </w:rPr>
        <w:tab/>
      </w:r>
      <w:r>
        <w:rPr>
          <w:rFonts w:ascii="Times New Roman" w:hAnsi="Times New Roman"/>
          <w:color w:val="0E101A"/>
          <w:sz w:val="28"/>
          <w:szCs w:val="28"/>
        </w:rPr>
        <w:tab/>
      </w:r>
      <w:r w:rsidR="00B3778A">
        <w:rPr>
          <w:rFonts w:ascii="Times New Roman" w:hAnsi="Times New Roman"/>
          <w:color w:val="0E101A"/>
          <w:sz w:val="28"/>
          <w:szCs w:val="28"/>
        </w:rPr>
        <w:tab/>
      </w:r>
      <w:r w:rsidR="006F5A29">
        <w:rPr>
          <w:rFonts w:ascii="Times New Roman" w:hAnsi="Times New Roman"/>
          <w:color w:val="0E101A"/>
          <w:sz w:val="28"/>
          <w:szCs w:val="28"/>
        </w:rPr>
        <w:t xml:space="preserve">Mr. </w:t>
      </w:r>
      <w:proofErr w:type="spellStart"/>
      <w:r w:rsidR="006F5A29">
        <w:rPr>
          <w:rFonts w:ascii="Times New Roman" w:hAnsi="Times New Roman"/>
          <w:color w:val="0E101A"/>
          <w:sz w:val="28"/>
          <w:szCs w:val="28"/>
        </w:rPr>
        <w:t>Sekatle</w:t>
      </w:r>
      <w:proofErr w:type="spellEnd"/>
      <w:r>
        <w:rPr>
          <w:rFonts w:ascii="Times New Roman" w:hAnsi="Times New Roman"/>
          <w:color w:val="0E101A"/>
          <w:sz w:val="28"/>
          <w:szCs w:val="28"/>
        </w:rPr>
        <w:tab/>
      </w:r>
      <w:r>
        <w:rPr>
          <w:rFonts w:ascii="Times New Roman" w:hAnsi="Times New Roman"/>
          <w:color w:val="0E101A"/>
          <w:sz w:val="28"/>
          <w:szCs w:val="28"/>
        </w:rPr>
        <w:tab/>
      </w:r>
    </w:p>
    <w:p w:rsidR="00B14175" w:rsidRDefault="0029376C">
      <w:pPr>
        <w:spacing w:after="0" w:line="240" w:lineRule="auto"/>
        <w:jc w:val="both"/>
        <w:rPr>
          <w:rFonts w:ascii="Times New Roman" w:hAnsi="Times New Roman"/>
          <w:color w:val="0E101A"/>
          <w:sz w:val="28"/>
          <w:szCs w:val="28"/>
        </w:rPr>
      </w:pPr>
      <w:r>
        <w:rPr>
          <w:rFonts w:ascii="Times New Roman" w:hAnsi="Times New Roman"/>
          <w:color w:val="0E101A"/>
          <w:sz w:val="28"/>
          <w:szCs w:val="28"/>
        </w:rPr>
        <w:tab/>
        <w:t>For the Defendant:</w:t>
      </w:r>
      <w:r>
        <w:rPr>
          <w:rFonts w:ascii="Times New Roman" w:hAnsi="Times New Roman"/>
          <w:color w:val="0E101A"/>
          <w:sz w:val="28"/>
          <w:szCs w:val="28"/>
        </w:rPr>
        <w:tab/>
      </w:r>
      <w:r>
        <w:rPr>
          <w:rFonts w:ascii="Times New Roman" w:hAnsi="Times New Roman"/>
          <w:color w:val="0E101A"/>
          <w:sz w:val="28"/>
          <w:szCs w:val="28"/>
        </w:rPr>
        <w:tab/>
      </w:r>
      <w:r w:rsidR="00B3778A">
        <w:rPr>
          <w:rFonts w:ascii="Times New Roman" w:hAnsi="Times New Roman"/>
          <w:color w:val="0E101A"/>
          <w:sz w:val="28"/>
          <w:szCs w:val="28"/>
        </w:rPr>
        <w:tab/>
      </w:r>
      <w:r w:rsidR="006F5A29">
        <w:rPr>
          <w:rFonts w:ascii="Times New Roman" w:hAnsi="Times New Roman"/>
          <w:color w:val="0E101A"/>
          <w:sz w:val="28"/>
          <w:szCs w:val="28"/>
        </w:rPr>
        <w:t xml:space="preserve">Mr. </w:t>
      </w:r>
      <w:proofErr w:type="spellStart"/>
      <w:r w:rsidR="006F5A29">
        <w:rPr>
          <w:rFonts w:ascii="Times New Roman" w:hAnsi="Times New Roman"/>
          <w:color w:val="0E101A"/>
          <w:sz w:val="28"/>
          <w:szCs w:val="28"/>
        </w:rPr>
        <w:t>Fiee</w:t>
      </w:r>
      <w:proofErr w:type="spellEnd"/>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rsidR="00B14175" w:rsidRDefault="0029376C">
      <w:pPr>
        <w:spacing w:after="0" w:line="480" w:lineRule="auto"/>
        <w:jc w:val="both"/>
        <w:rPr>
          <w:rFonts w:ascii="Times New Roman" w:hAnsi="Times New Roman"/>
          <w:color w:val="0E101A"/>
          <w:sz w:val="28"/>
          <w:szCs w:val="28"/>
        </w:rPr>
      </w:pPr>
      <w:r>
        <w:rPr>
          <w:rFonts w:ascii="Times New Roman" w:hAnsi="Times New Roman"/>
          <w:color w:val="0E101A"/>
          <w:sz w:val="28"/>
          <w:szCs w:val="28"/>
        </w:rPr>
        <w:tab/>
      </w:r>
      <w:r>
        <w:rPr>
          <w:rFonts w:ascii="Times New Roman" w:hAnsi="Times New Roman"/>
          <w:color w:val="0E101A"/>
          <w:sz w:val="28"/>
          <w:szCs w:val="28"/>
        </w:rPr>
        <w:tab/>
      </w:r>
      <w:r>
        <w:rPr>
          <w:rFonts w:ascii="Times New Roman" w:hAnsi="Times New Roman"/>
          <w:color w:val="0E101A"/>
          <w:sz w:val="28"/>
          <w:szCs w:val="28"/>
        </w:rPr>
        <w:tab/>
      </w:r>
    </w:p>
    <w:p w:rsidR="00B14175" w:rsidRDefault="00B14175"/>
    <w:p w:rsidR="006D2C3B" w:rsidRDefault="006D2C3B"/>
    <w:sectPr w:rsidR="006D2C3B" w:rsidSect="0079428E">
      <w:footerReference w:type="default" r:id="rId8"/>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1A8" w:rsidRDefault="003051A8">
      <w:pPr>
        <w:spacing w:after="0" w:line="240" w:lineRule="auto"/>
      </w:pPr>
      <w:r>
        <w:separator/>
      </w:r>
    </w:p>
  </w:endnote>
  <w:endnote w:type="continuationSeparator" w:id="0">
    <w:p w:rsidR="003051A8" w:rsidRDefault="0030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DA5" w:rsidRDefault="0029376C">
    <w:pPr>
      <w:pStyle w:val="Footer"/>
      <w:jc w:val="right"/>
    </w:pPr>
    <w:r>
      <w:fldChar w:fldCharType="begin"/>
    </w:r>
    <w:r>
      <w:instrText xml:space="preserve"> PAGE </w:instrText>
    </w:r>
    <w:r>
      <w:fldChar w:fldCharType="separate"/>
    </w:r>
    <w:r>
      <w:t>2</w:t>
    </w:r>
    <w:r>
      <w:fldChar w:fldCharType="end"/>
    </w:r>
  </w:p>
  <w:p w:rsidR="00333DA5" w:rsidRDefault="0030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1A8" w:rsidRDefault="003051A8">
      <w:pPr>
        <w:spacing w:after="0" w:line="240" w:lineRule="auto"/>
      </w:pPr>
      <w:r>
        <w:rPr>
          <w:color w:val="000000"/>
        </w:rPr>
        <w:separator/>
      </w:r>
    </w:p>
  </w:footnote>
  <w:footnote w:type="continuationSeparator" w:id="0">
    <w:p w:rsidR="003051A8" w:rsidRDefault="003051A8">
      <w:pPr>
        <w:spacing w:after="0" w:line="240" w:lineRule="auto"/>
      </w:pPr>
      <w:r>
        <w:continuationSeparator/>
      </w:r>
    </w:p>
  </w:footnote>
  <w:footnote w:id="1">
    <w:p w:rsidR="00B14175" w:rsidRDefault="0029376C">
      <w:pPr>
        <w:pStyle w:val="FootnoteText"/>
      </w:pPr>
      <w:r>
        <w:rPr>
          <w:rStyle w:val="FootnoteReference"/>
        </w:rPr>
        <w:footnoteRef/>
      </w:r>
      <w:r>
        <w:t xml:space="preserve"> </w:t>
      </w:r>
      <w:r>
        <w:rPr>
          <w:lang w:val="en-GB"/>
        </w:rPr>
        <w:t>CCT/65/07 page 2</w:t>
      </w:r>
    </w:p>
  </w:footnote>
  <w:footnote w:id="2">
    <w:p w:rsidR="00EB7489" w:rsidRPr="001F407E" w:rsidRDefault="00EB7489" w:rsidP="00EB7489">
      <w:pPr>
        <w:pStyle w:val="FootnoteText"/>
        <w:rPr>
          <w:lang w:val="en-GB"/>
        </w:rPr>
      </w:pPr>
      <w:r>
        <w:rPr>
          <w:rStyle w:val="FootnoteReference"/>
        </w:rPr>
        <w:footnoteRef/>
      </w:r>
      <w:r>
        <w:t xml:space="preserve"> </w:t>
      </w:r>
      <w:r>
        <w:rPr>
          <w:lang w:val="en-GB"/>
        </w:rPr>
        <w:t>1922 AD 16 at 23</w:t>
      </w:r>
    </w:p>
  </w:footnote>
  <w:footnote w:id="3">
    <w:p w:rsidR="00EB7489" w:rsidRPr="00627C90" w:rsidRDefault="00EB7489" w:rsidP="00EB7489">
      <w:pPr>
        <w:pStyle w:val="FootnoteText"/>
        <w:rPr>
          <w:lang w:val="en-GB"/>
        </w:rPr>
      </w:pPr>
      <w:r>
        <w:rPr>
          <w:rStyle w:val="FootnoteReference"/>
        </w:rPr>
        <w:footnoteRef/>
      </w:r>
      <w:r>
        <w:t xml:space="preserve"> </w:t>
      </w:r>
      <w:r w:rsidR="005649B8">
        <w:t>Case No:</w:t>
      </w:r>
      <w:r>
        <w:t>5001/2018</w:t>
      </w:r>
      <w:r w:rsidR="00686EFF">
        <w:t>[2019] ZAFSHC 92 (31 May 2019)</w:t>
      </w:r>
      <w:r>
        <w:t>, page 16 to 17, para 41. Judgment of the High Court of South Africa – Free State Provincial Division delivered on the 31</w:t>
      </w:r>
      <w:r w:rsidRPr="00C34CB6">
        <w:rPr>
          <w:vertAlign w:val="superscript"/>
        </w:rPr>
        <w:t>st</w:t>
      </w:r>
      <w:r>
        <w:t xml:space="preserve"> May 2019</w:t>
      </w:r>
    </w:p>
  </w:footnote>
  <w:footnote w:id="4">
    <w:p w:rsidR="00EB7489" w:rsidRDefault="00EB7489" w:rsidP="00EB7489">
      <w:pPr>
        <w:pStyle w:val="FootnoteText"/>
        <w:ind w:left="284" w:hanging="284"/>
        <w:jc w:val="both"/>
      </w:pPr>
      <w:r w:rsidRPr="00C31B50">
        <w:rPr>
          <w:rStyle w:val="FootnoteReference"/>
          <w:rFonts w:ascii="Arial" w:hAnsi="Arial" w:cs="Arial"/>
        </w:rPr>
        <w:footnoteRef/>
      </w:r>
      <w:r>
        <w:rPr>
          <w:rFonts w:ascii="Arial" w:hAnsi="Arial" w:cs="Arial"/>
        </w:rPr>
        <w:t xml:space="preserve">   </w:t>
      </w:r>
      <w:r w:rsidRPr="00C31B50">
        <w:rPr>
          <w:rFonts w:ascii="Arial" w:hAnsi="Arial" w:cs="Arial"/>
        </w:rPr>
        <w:t xml:space="preserve">Cause of action, </w:t>
      </w:r>
      <w:hyperlink r:id="rId1" w:history="1">
        <w:r w:rsidRPr="00C31B50">
          <w:rPr>
            <w:rStyle w:val="Hyperlink"/>
            <w:rFonts w:ascii="Arial" w:hAnsi="Arial" w:cs="Arial"/>
          </w:rPr>
          <w:t>https://www.mylexisnexis.co.za/Index.aspx</w:t>
        </w:r>
      </w:hyperlink>
      <w:r w:rsidRPr="00C31B50">
        <w:rPr>
          <w:rFonts w:ascii="Arial" w:hAnsi="Arial" w:cs="Arial"/>
        </w:rPr>
        <w:t xml:space="preserve"> on 26 May 2019.</w:t>
      </w:r>
    </w:p>
  </w:footnote>
  <w:footnote w:id="5">
    <w:p w:rsidR="00EB7489" w:rsidRPr="00D2779A" w:rsidRDefault="00EB7489" w:rsidP="00EB7489">
      <w:pPr>
        <w:pStyle w:val="FootnoteText"/>
        <w:rPr>
          <w:lang w:val="en-GB"/>
        </w:rPr>
      </w:pPr>
      <w:r>
        <w:rPr>
          <w:rStyle w:val="FootnoteReference"/>
        </w:rPr>
        <w:footnoteRef/>
      </w:r>
      <w:r>
        <w:t xml:space="preserve"> Page 5 to 6</w:t>
      </w:r>
    </w:p>
  </w:footnote>
  <w:footnote w:id="6">
    <w:p w:rsidR="00B14175" w:rsidRDefault="0029376C">
      <w:pPr>
        <w:pStyle w:val="FootnoteText"/>
      </w:pPr>
      <w:r>
        <w:rPr>
          <w:rStyle w:val="FootnoteReference"/>
        </w:rPr>
        <w:footnoteRef/>
      </w:r>
      <w:r>
        <w:t xml:space="preserve"> </w:t>
      </w:r>
      <w:r>
        <w:rPr>
          <w:lang w:val="en-GB"/>
        </w:rPr>
        <w:t>C of A (</w:t>
      </w:r>
      <w:r w:rsidR="003440EE">
        <w:rPr>
          <w:lang w:val="en-GB"/>
        </w:rPr>
        <w:t>CI</w:t>
      </w:r>
      <w:r w:rsidR="00B021A9">
        <w:rPr>
          <w:lang w:val="en-GB"/>
        </w:rPr>
        <w:t>V</w:t>
      </w:r>
      <w:r>
        <w:rPr>
          <w:lang w:val="en-GB"/>
        </w:rPr>
        <w:t xml:space="preserve">) No. 3 of 2015 page 9 to 10 para 19 to 21. </w:t>
      </w:r>
    </w:p>
  </w:footnote>
  <w:footnote w:id="7">
    <w:p w:rsidR="00B14175" w:rsidRDefault="0029376C">
      <w:pPr>
        <w:pStyle w:val="FootnoteText"/>
      </w:pPr>
      <w:r>
        <w:rPr>
          <w:rStyle w:val="FootnoteReference"/>
        </w:rPr>
        <w:footnoteRef/>
      </w:r>
      <w:r>
        <w:t xml:space="preserve"> </w:t>
      </w:r>
      <w:r>
        <w:rPr>
          <w:lang w:val="en-GB"/>
        </w:rPr>
        <w:t>1964 (4) SA 117 at 119 F- H</w:t>
      </w:r>
    </w:p>
  </w:footnote>
  <w:footnote w:id="8">
    <w:p w:rsidR="00B14175" w:rsidRDefault="0029376C">
      <w:pPr>
        <w:pStyle w:val="FootnoteText"/>
      </w:pPr>
      <w:r>
        <w:rPr>
          <w:rStyle w:val="FootnoteReference"/>
        </w:rPr>
        <w:footnoteRef/>
      </w:r>
      <w:r>
        <w:t xml:space="preserve"> </w:t>
      </w:r>
      <w:r>
        <w:rPr>
          <w:lang w:val="en-GB"/>
        </w:rPr>
        <w:t>1968 (4) SA 184 at 186 C - H</w:t>
      </w:r>
    </w:p>
  </w:footnote>
  <w:footnote w:id="9">
    <w:p w:rsidR="00B14175" w:rsidRDefault="0029376C">
      <w:pPr>
        <w:pStyle w:val="FootnoteText"/>
      </w:pPr>
      <w:r>
        <w:rPr>
          <w:rStyle w:val="FootnoteReference"/>
        </w:rPr>
        <w:footnoteRef/>
      </w:r>
      <w:r>
        <w:t xml:space="preserve"> </w:t>
      </w:r>
      <w:r>
        <w:rPr>
          <w:lang w:val="en-GB"/>
        </w:rPr>
        <w:t xml:space="preserve">Plaintiff ‘s Declaration page 3 to 4 and paras 4 and 5. Defendant’s Plea page 24 of the record para 1.1. Plaintiff’s Replication page 29 and para 1.  </w:t>
      </w:r>
    </w:p>
  </w:footnote>
  <w:footnote w:id="10">
    <w:p w:rsidR="00B14175" w:rsidRDefault="0029376C">
      <w:pPr>
        <w:pStyle w:val="FootnoteText"/>
      </w:pPr>
      <w:r>
        <w:rPr>
          <w:rStyle w:val="FootnoteReference"/>
        </w:rPr>
        <w:footnoteRef/>
      </w:r>
      <w:r>
        <w:t xml:space="preserve"> </w:t>
      </w:r>
      <w:r>
        <w:rPr>
          <w:lang w:val="en-GB"/>
        </w:rPr>
        <w:t>Defendant’s Plea page 24 para 1.3</w:t>
      </w:r>
    </w:p>
  </w:footnote>
  <w:footnote w:id="11">
    <w:p w:rsidR="00B14175" w:rsidRDefault="0029376C">
      <w:pPr>
        <w:pStyle w:val="FootnoteText"/>
      </w:pPr>
      <w:r>
        <w:rPr>
          <w:rStyle w:val="FootnoteReference"/>
        </w:rPr>
        <w:footnoteRef/>
      </w:r>
      <w:r>
        <w:t xml:space="preserve"> </w:t>
      </w:r>
      <w:r>
        <w:rPr>
          <w:lang w:val="en-GB"/>
        </w:rPr>
        <w:t xml:space="preserve">Plaintiff’s Replication page 29 para 1.3. </w:t>
      </w:r>
    </w:p>
  </w:footnote>
  <w:footnote w:id="12">
    <w:p w:rsidR="00B14175" w:rsidRDefault="0029376C">
      <w:pPr>
        <w:pStyle w:val="FootnoteText"/>
      </w:pPr>
      <w:r>
        <w:rPr>
          <w:rStyle w:val="FootnoteReference"/>
        </w:rPr>
        <w:footnoteRef/>
      </w:r>
      <w:r>
        <w:t xml:space="preserve"> </w:t>
      </w:r>
      <w:r>
        <w:rPr>
          <w:lang w:val="en-GB"/>
        </w:rPr>
        <w:t xml:space="preserve">Plaintiff’s Heads of Argument paragraph 4. </w:t>
      </w:r>
    </w:p>
  </w:footnote>
  <w:footnote w:id="13">
    <w:p w:rsidR="00B14175" w:rsidRDefault="0029376C">
      <w:pPr>
        <w:pStyle w:val="FootnoteText"/>
      </w:pPr>
      <w:r>
        <w:rPr>
          <w:rStyle w:val="FootnoteReference"/>
        </w:rPr>
        <w:footnoteRef/>
      </w:r>
      <w:r>
        <w:t xml:space="preserve"> </w:t>
      </w:r>
      <w:r>
        <w:rPr>
          <w:lang w:val="en-GB"/>
        </w:rPr>
        <w:t>Plaintiff’s Replication, page 30 of the record, para 3.2 to 3.4</w:t>
      </w:r>
    </w:p>
  </w:footnote>
  <w:footnote w:id="14">
    <w:p w:rsidR="00B14175" w:rsidRDefault="0029376C">
      <w:pPr>
        <w:pStyle w:val="FootnoteText"/>
      </w:pPr>
      <w:r>
        <w:rPr>
          <w:rStyle w:val="FootnoteReference"/>
        </w:rPr>
        <w:footnoteRef/>
      </w:r>
      <w:r>
        <w:t xml:space="preserve"> </w:t>
      </w:r>
      <w:r>
        <w:rPr>
          <w:lang w:val="en-GB"/>
        </w:rPr>
        <w:t xml:space="preserve">Plaintiff’ Replication, page 29 of the record, para 1. </w:t>
      </w:r>
    </w:p>
  </w:footnote>
  <w:footnote w:id="15">
    <w:p w:rsidR="00B14175" w:rsidRDefault="0029376C">
      <w:pPr>
        <w:pStyle w:val="FootnoteText"/>
      </w:pPr>
      <w:r>
        <w:rPr>
          <w:rStyle w:val="FootnoteReference"/>
        </w:rPr>
        <w:footnoteRef/>
      </w:r>
      <w:r>
        <w:t xml:space="preserve"> </w:t>
      </w:r>
      <w:r>
        <w:rPr>
          <w:lang w:val="en-GB"/>
        </w:rPr>
        <w:t>High Court Rules of 1980</w:t>
      </w:r>
    </w:p>
  </w:footnote>
  <w:footnote w:id="16">
    <w:p w:rsidR="00B14175" w:rsidRDefault="0029376C">
      <w:pPr>
        <w:pStyle w:val="FootnoteText"/>
      </w:pPr>
      <w:r>
        <w:rPr>
          <w:rStyle w:val="FootnoteReference"/>
        </w:rPr>
        <w:footnoteRef/>
      </w:r>
      <w:r>
        <w:t xml:space="preserve"> </w:t>
      </w:r>
      <w:r>
        <w:rPr>
          <w:lang w:val="en-GB"/>
        </w:rPr>
        <w:t xml:space="preserve">Rule 24(7) of the High Court Rules, </w:t>
      </w:r>
      <w:r>
        <w:rPr>
          <w:i/>
          <w:iCs/>
          <w:lang w:val="en-GB"/>
        </w:rPr>
        <w:t>supra</w:t>
      </w:r>
      <w:r>
        <w:rPr>
          <w:lang w:val="en-GB"/>
        </w:rPr>
        <w:t xml:space="preserve">. </w:t>
      </w:r>
    </w:p>
  </w:footnote>
  <w:footnote w:id="17">
    <w:p w:rsidR="00B14175" w:rsidRDefault="0029376C">
      <w:pPr>
        <w:pStyle w:val="FootnoteText"/>
      </w:pPr>
      <w:r>
        <w:rPr>
          <w:rStyle w:val="FootnoteReference"/>
        </w:rPr>
        <w:footnoteRef/>
      </w:r>
      <w:r>
        <w:t xml:space="preserve"> </w:t>
      </w:r>
      <w:r>
        <w:rPr>
          <w:lang w:val="en-GB"/>
        </w:rPr>
        <w:t xml:space="preserve">Supra. </w:t>
      </w:r>
    </w:p>
  </w:footnote>
  <w:footnote w:id="18">
    <w:p w:rsidR="00B14175" w:rsidRDefault="0029376C">
      <w:pPr>
        <w:pStyle w:val="FootnoteText"/>
      </w:pPr>
      <w:r>
        <w:rPr>
          <w:rStyle w:val="FootnoteReference"/>
        </w:rPr>
        <w:footnoteRef/>
      </w:r>
      <w:r>
        <w:t xml:space="preserve"> </w:t>
      </w:r>
      <w:r>
        <w:rPr>
          <w:lang w:val="en-GB"/>
        </w:rPr>
        <w:t>LAC (1995 – 1999) 698 at 702 A- D.</w:t>
      </w:r>
    </w:p>
  </w:footnote>
  <w:footnote w:id="19">
    <w:p w:rsidR="00981236" w:rsidRPr="00981236" w:rsidRDefault="00981236" w:rsidP="00981236">
      <w:pPr>
        <w:pStyle w:val="FootnoteText"/>
        <w:rPr>
          <w:i/>
          <w:iCs/>
        </w:rPr>
      </w:pPr>
      <w:r>
        <w:rPr>
          <w:rStyle w:val="FootnoteReference"/>
        </w:rPr>
        <w:footnoteRef/>
      </w:r>
      <w:r>
        <w:t xml:space="preserve"> </w:t>
      </w:r>
      <w:r>
        <w:rPr>
          <w:lang w:val="en-GB"/>
        </w:rPr>
        <w:t xml:space="preserve">Defendant’s Plea page 24 para 1.3, </w:t>
      </w:r>
      <w:r w:rsidRPr="00981236">
        <w:rPr>
          <w:i/>
          <w:iCs/>
          <w:lang w:val="en-GB"/>
        </w:rPr>
        <w:t xml:space="preserve">supra, </w:t>
      </w:r>
    </w:p>
  </w:footnote>
  <w:footnote w:id="20">
    <w:p w:rsidR="00173F37" w:rsidRPr="00173F37" w:rsidRDefault="00173F37">
      <w:pPr>
        <w:pStyle w:val="FootnoteText"/>
        <w:rPr>
          <w:lang w:val="en-GB"/>
        </w:rPr>
      </w:pPr>
      <w:r>
        <w:rPr>
          <w:rStyle w:val="FootnoteReference"/>
        </w:rPr>
        <w:footnoteRef/>
      </w:r>
      <w:r>
        <w:t xml:space="preserve"> </w:t>
      </w:r>
      <w:r w:rsidR="008135B0">
        <w:rPr>
          <w:lang w:val="en-GB"/>
        </w:rPr>
        <w:t>Plaintiff’s Declaration, page 4 para 5, Request for Further Particulars, page 18 para 6.4 and Further Particulars, page 22 para 6.4</w:t>
      </w:r>
    </w:p>
  </w:footnote>
  <w:footnote w:id="21">
    <w:p w:rsidR="008135B0" w:rsidRPr="008135B0" w:rsidRDefault="008135B0">
      <w:pPr>
        <w:pStyle w:val="FootnoteText"/>
        <w:rPr>
          <w:lang w:val="en-GB"/>
        </w:rPr>
      </w:pPr>
      <w:r>
        <w:rPr>
          <w:rStyle w:val="FootnoteReference"/>
        </w:rPr>
        <w:footnoteRef/>
      </w:r>
      <w:r>
        <w:t xml:space="preserve"> </w:t>
      </w:r>
      <w:proofErr w:type="gramStart"/>
      <w:r>
        <w:rPr>
          <w:lang w:val="en-GB"/>
        </w:rPr>
        <w:t xml:space="preserve">Further Particulars, </w:t>
      </w:r>
      <w:r w:rsidRPr="0045609B">
        <w:rPr>
          <w:i/>
          <w:iCs/>
          <w:lang w:val="en-GB"/>
        </w:rPr>
        <w:t>supra</w:t>
      </w:r>
      <w:proofErr w:type="gramEnd"/>
      <w:r w:rsidRPr="0045609B">
        <w:rPr>
          <w:i/>
          <w:iCs/>
          <w:lang w:val="en-GB"/>
        </w:rPr>
        <w:t>.</w:t>
      </w:r>
    </w:p>
  </w:footnote>
  <w:footnote w:id="22">
    <w:p w:rsidR="00B14175" w:rsidRDefault="0029376C">
      <w:pPr>
        <w:pStyle w:val="FootnoteText"/>
      </w:pPr>
      <w:r>
        <w:rPr>
          <w:rStyle w:val="FootnoteReference"/>
        </w:rPr>
        <w:footnoteRef/>
      </w:r>
      <w:r>
        <w:t xml:space="preserve"> </w:t>
      </w:r>
      <w:r>
        <w:rPr>
          <w:lang w:val="en-GB"/>
        </w:rPr>
        <w:t xml:space="preserve">Gordon v Tarnow 1947 (3) SA 525 at 531 – 532 and AA Mutual Assurance Association v Biddulph and Another 1976 (1) SA 725 AD at 725H-735B. </w:t>
      </w:r>
    </w:p>
  </w:footnote>
  <w:footnote w:id="23">
    <w:p w:rsidR="00B14175" w:rsidRDefault="0029376C">
      <w:pPr>
        <w:pStyle w:val="FootnoteText"/>
      </w:pPr>
      <w:r>
        <w:rPr>
          <w:rStyle w:val="FootnoteReference"/>
        </w:rPr>
        <w:footnoteRef/>
      </w:r>
      <w:r>
        <w:t xml:space="preserve"> </w:t>
      </w:r>
      <w:r>
        <w:rPr>
          <w:lang w:val="en-GB"/>
        </w:rPr>
        <w:t>C of A (CIV) NO. 1/</w:t>
      </w:r>
      <w:r w:rsidR="00227210">
        <w:rPr>
          <w:lang w:val="en-GB"/>
        </w:rPr>
        <w:t>1987</w:t>
      </w:r>
      <w:r>
        <w:rPr>
          <w:lang w:val="en-GB"/>
        </w:rPr>
        <w:t xml:space="preserve"> at 2</w:t>
      </w:r>
    </w:p>
  </w:footnote>
  <w:footnote w:id="24">
    <w:p w:rsidR="00B14175" w:rsidRDefault="0029376C">
      <w:pPr>
        <w:pStyle w:val="FootnoteText"/>
      </w:pPr>
      <w:r>
        <w:rPr>
          <w:rStyle w:val="FootnoteReference"/>
        </w:rPr>
        <w:footnoteRef/>
      </w:r>
      <w:r>
        <w:t xml:space="preserve"> </w:t>
      </w:r>
      <w:proofErr w:type="spellStart"/>
      <w:r>
        <w:rPr>
          <w:bCs/>
          <w:iCs/>
        </w:rPr>
        <w:t>Y</w:t>
      </w:r>
      <w:r w:rsidR="009A2037">
        <w:rPr>
          <w:bCs/>
          <w:iCs/>
        </w:rPr>
        <w:t>u</w:t>
      </w:r>
      <w:r>
        <w:rPr>
          <w:bCs/>
          <w:iCs/>
        </w:rPr>
        <w:t>saf</w:t>
      </w:r>
      <w:proofErr w:type="spellEnd"/>
      <w:r>
        <w:rPr>
          <w:bCs/>
          <w:iCs/>
        </w:rPr>
        <w:t xml:space="preserve"> v Bailey and Others</w:t>
      </w:r>
      <w:r>
        <w:rPr>
          <w:bCs/>
          <w:i/>
        </w:rPr>
        <w:t>, supra.</w:t>
      </w:r>
      <w:r>
        <w:rPr>
          <w:bCs/>
          <w: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4A8"/>
    <w:multiLevelType w:val="multilevel"/>
    <w:tmpl w:val="2870AEF6"/>
    <w:lvl w:ilvl="0">
      <w:start w:val="1"/>
      <w:numFmt w:val="decimal"/>
      <w:lvlText w:val="%1"/>
      <w:lvlJc w:val="left"/>
      <w:pPr>
        <w:ind w:left="1020" w:hanging="1020"/>
      </w:pPr>
    </w:lvl>
    <w:lvl w:ilvl="1">
      <w:start w:val="1"/>
      <w:numFmt w:val="decimal"/>
      <w:lvlText w:val="%1.%2"/>
      <w:lvlJc w:val="left"/>
      <w:pPr>
        <w:ind w:left="2160" w:hanging="1020"/>
      </w:pPr>
    </w:lvl>
    <w:lvl w:ilvl="2">
      <w:start w:val="1"/>
      <w:numFmt w:val="decimal"/>
      <w:lvlText w:val="%1.%2.%3"/>
      <w:lvlJc w:val="left"/>
      <w:pPr>
        <w:ind w:left="3300" w:hanging="1020"/>
      </w:pPr>
    </w:lvl>
    <w:lvl w:ilvl="3">
      <w:start w:val="1"/>
      <w:numFmt w:val="decimal"/>
      <w:lvlText w:val="%1.%2.%3.%4"/>
      <w:lvlJc w:val="left"/>
      <w:pPr>
        <w:ind w:left="4500" w:hanging="1080"/>
      </w:pPr>
    </w:lvl>
    <w:lvl w:ilvl="4">
      <w:start w:val="1"/>
      <w:numFmt w:val="decimal"/>
      <w:lvlText w:val="%1.%2.%3.%4.%5"/>
      <w:lvlJc w:val="left"/>
      <w:pPr>
        <w:ind w:left="5640" w:hanging="1080"/>
      </w:pPr>
    </w:lvl>
    <w:lvl w:ilvl="5">
      <w:start w:val="1"/>
      <w:numFmt w:val="decimal"/>
      <w:lvlText w:val="%1.%2.%3.%4.%5.%6"/>
      <w:lvlJc w:val="left"/>
      <w:pPr>
        <w:ind w:left="7140" w:hanging="1440"/>
      </w:pPr>
    </w:lvl>
    <w:lvl w:ilvl="6">
      <w:start w:val="1"/>
      <w:numFmt w:val="decimal"/>
      <w:lvlText w:val="%1.%2.%3.%4.%5.%6.%7"/>
      <w:lvlJc w:val="left"/>
      <w:pPr>
        <w:ind w:left="8280" w:hanging="1440"/>
      </w:pPr>
    </w:lvl>
    <w:lvl w:ilvl="7">
      <w:start w:val="1"/>
      <w:numFmt w:val="decimal"/>
      <w:lvlText w:val="%1.%2.%3.%4.%5.%6.%7.%8"/>
      <w:lvlJc w:val="left"/>
      <w:pPr>
        <w:ind w:left="9780" w:hanging="1800"/>
      </w:pPr>
    </w:lvl>
    <w:lvl w:ilvl="8">
      <w:start w:val="1"/>
      <w:numFmt w:val="decimal"/>
      <w:lvlText w:val="%1.%2.%3.%4.%5.%6.%7.%8.%9"/>
      <w:lvlJc w:val="left"/>
      <w:pPr>
        <w:ind w:left="1128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75"/>
    <w:rsid w:val="00031BCF"/>
    <w:rsid w:val="000476F6"/>
    <w:rsid w:val="000A131F"/>
    <w:rsid w:val="000E720E"/>
    <w:rsid w:val="00123DAB"/>
    <w:rsid w:val="00173F37"/>
    <w:rsid w:val="00180EF2"/>
    <w:rsid w:val="0018595D"/>
    <w:rsid w:val="00194591"/>
    <w:rsid w:val="0019667A"/>
    <w:rsid w:val="001975D5"/>
    <w:rsid w:val="001C103B"/>
    <w:rsid w:val="001D20F0"/>
    <w:rsid w:val="001F407E"/>
    <w:rsid w:val="002100A8"/>
    <w:rsid w:val="00227210"/>
    <w:rsid w:val="00264502"/>
    <w:rsid w:val="0027245E"/>
    <w:rsid w:val="00276CD0"/>
    <w:rsid w:val="00284A74"/>
    <w:rsid w:val="00293566"/>
    <w:rsid w:val="0029376C"/>
    <w:rsid w:val="002D046C"/>
    <w:rsid w:val="002F6726"/>
    <w:rsid w:val="00303CA7"/>
    <w:rsid w:val="003051A8"/>
    <w:rsid w:val="0032033A"/>
    <w:rsid w:val="003440EE"/>
    <w:rsid w:val="00376195"/>
    <w:rsid w:val="003E05DB"/>
    <w:rsid w:val="003E7FED"/>
    <w:rsid w:val="00410F65"/>
    <w:rsid w:val="004253CA"/>
    <w:rsid w:val="0045609B"/>
    <w:rsid w:val="004C2F24"/>
    <w:rsid w:val="004D0D94"/>
    <w:rsid w:val="00511BB7"/>
    <w:rsid w:val="00537D20"/>
    <w:rsid w:val="00562D96"/>
    <w:rsid w:val="005649B8"/>
    <w:rsid w:val="005F29A3"/>
    <w:rsid w:val="00625A9E"/>
    <w:rsid w:val="00627C90"/>
    <w:rsid w:val="00644860"/>
    <w:rsid w:val="00660515"/>
    <w:rsid w:val="00686EFF"/>
    <w:rsid w:val="00690534"/>
    <w:rsid w:val="00696B80"/>
    <w:rsid w:val="006A6214"/>
    <w:rsid w:val="006D2C3B"/>
    <w:rsid w:val="006F3D2E"/>
    <w:rsid w:val="006F5A29"/>
    <w:rsid w:val="00703EB7"/>
    <w:rsid w:val="007226DC"/>
    <w:rsid w:val="0077033A"/>
    <w:rsid w:val="0079428E"/>
    <w:rsid w:val="00795C3A"/>
    <w:rsid w:val="008131FE"/>
    <w:rsid w:val="008135B0"/>
    <w:rsid w:val="0086356D"/>
    <w:rsid w:val="008826FE"/>
    <w:rsid w:val="008F70F1"/>
    <w:rsid w:val="00924A99"/>
    <w:rsid w:val="00950BCD"/>
    <w:rsid w:val="00951694"/>
    <w:rsid w:val="00955B87"/>
    <w:rsid w:val="00955D6B"/>
    <w:rsid w:val="00962321"/>
    <w:rsid w:val="00973140"/>
    <w:rsid w:val="00981236"/>
    <w:rsid w:val="009A2037"/>
    <w:rsid w:val="009B0043"/>
    <w:rsid w:val="009B18CD"/>
    <w:rsid w:val="009B2059"/>
    <w:rsid w:val="009D48E2"/>
    <w:rsid w:val="009E3A1A"/>
    <w:rsid w:val="00A47231"/>
    <w:rsid w:val="00A53389"/>
    <w:rsid w:val="00A67319"/>
    <w:rsid w:val="00A73FAA"/>
    <w:rsid w:val="00A86610"/>
    <w:rsid w:val="00AA21A0"/>
    <w:rsid w:val="00AD1B17"/>
    <w:rsid w:val="00AF5F5F"/>
    <w:rsid w:val="00B021A9"/>
    <w:rsid w:val="00B14175"/>
    <w:rsid w:val="00B24839"/>
    <w:rsid w:val="00B3778A"/>
    <w:rsid w:val="00B46C57"/>
    <w:rsid w:val="00B5028F"/>
    <w:rsid w:val="00B82EF7"/>
    <w:rsid w:val="00BA32EE"/>
    <w:rsid w:val="00BB0F12"/>
    <w:rsid w:val="00BB2E6C"/>
    <w:rsid w:val="00BB643F"/>
    <w:rsid w:val="00BD7844"/>
    <w:rsid w:val="00BE39D9"/>
    <w:rsid w:val="00BF079D"/>
    <w:rsid w:val="00C0499D"/>
    <w:rsid w:val="00C34CB6"/>
    <w:rsid w:val="00C825E2"/>
    <w:rsid w:val="00C82B21"/>
    <w:rsid w:val="00C9298D"/>
    <w:rsid w:val="00CC1C67"/>
    <w:rsid w:val="00CD4B94"/>
    <w:rsid w:val="00D05B02"/>
    <w:rsid w:val="00D13157"/>
    <w:rsid w:val="00D2779A"/>
    <w:rsid w:val="00D32685"/>
    <w:rsid w:val="00D45309"/>
    <w:rsid w:val="00D670B2"/>
    <w:rsid w:val="00D93D8E"/>
    <w:rsid w:val="00DA6347"/>
    <w:rsid w:val="00DA7AF9"/>
    <w:rsid w:val="00DC6C1E"/>
    <w:rsid w:val="00DF5FA1"/>
    <w:rsid w:val="00E16137"/>
    <w:rsid w:val="00E33BF6"/>
    <w:rsid w:val="00E41FB5"/>
    <w:rsid w:val="00E901B9"/>
    <w:rsid w:val="00E929C6"/>
    <w:rsid w:val="00EB7489"/>
    <w:rsid w:val="00EC232E"/>
    <w:rsid w:val="00ED69B3"/>
    <w:rsid w:val="00EE136E"/>
    <w:rsid w:val="00F12550"/>
    <w:rsid w:val="00F302B6"/>
    <w:rsid w:val="00F838C8"/>
    <w:rsid w:val="00F8479B"/>
    <w:rsid w:val="00FE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55C9"/>
  <w15:docId w15:val="{3F5E6462-B8C3-4FC2-AA50-3CD80D68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24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pPr>
      <w:spacing w:after="0" w:line="240" w:lineRule="auto"/>
    </w:pPr>
    <w:rPr>
      <w:sz w:val="20"/>
      <w:szCs w:val="20"/>
    </w:rPr>
  </w:style>
  <w:style w:type="character" w:customStyle="1" w:styleId="FootnoteTextChar">
    <w:name w:val="Footnote Text Char"/>
    <w:basedOn w:val="DefaultParagraphFont"/>
    <w:uiPriority w:val="99"/>
    <w:rPr>
      <w:rFonts w:ascii="Calibri" w:eastAsia="Calibri" w:hAnsi="Calibri" w:cs="Times New Roman"/>
      <w:sz w:val="20"/>
      <w:szCs w:val="20"/>
      <w:lang w:val="en-ZA"/>
    </w:rPr>
  </w:style>
  <w:style w:type="character" w:styleId="FootnoteReference">
    <w:name w:val="footnote reference"/>
    <w:basedOn w:val="DefaultParagraphFont"/>
    <w:uiPriority w:val="99"/>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lang w:val="en-ZA"/>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lang w:val="en-ZA"/>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val="en-ZA"/>
    </w:r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character" w:customStyle="1" w:styleId="CommentTextChar1">
    <w:name w:val="Comment Text Char1"/>
    <w:basedOn w:val="DefaultParagraphFont"/>
    <w:rPr>
      <w:sz w:val="20"/>
      <w:szCs w:val="20"/>
      <w:lang w:val="en-ZA"/>
    </w:rPr>
  </w:style>
  <w:style w:type="character" w:customStyle="1" w:styleId="CommentSubjectChar">
    <w:name w:val="Comment Subject Char"/>
    <w:basedOn w:val="CommentTextChar1"/>
    <w:rPr>
      <w:b/>
      <w:bCs/>
      <w:sz w:val="20"/>
      <w:szCs w:val="20"/>
      <w:lang w:val="en-ZA"/>
    </w:rPr>
  </w:style>
  <w:style w:type="character" w:styleId="Hyperlink">
    <w:name w:val="Hyperlink"/>
    <w:basedOn w:val="DefaultParagraphFont"/>
    <w:uiPriority w:val="99"/>
    <w:unhideWhenUsed/>
    <w:rsid w:val="00C34CB6"/>
    <w:rPr>
      <w:rFonts w:cs="Times New Roman"/>
      <w:color w:val="0563C1" w:themeColor="hyperlink"/>
      <w:u w:val="single"/>
    </w:rPr>
  </w:style>
  <w:style w:type="paragraph" w:styleId="Header">
    <w:name w:val="header"/>
    <w:basedOn w:val="Normal"/>
    <w:link w:val="HeaderChar"/>
    <w:uiPriority w:val="99"/>
    <w:unhideWhenUsed/>
    <w:rsid w:val="00794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8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ylexisnexis.co.za/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59BA-97E2-4713-8AB6-0E6AAEF7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Realeboha Mathaba</dc:creator>
  <dc:description/>
  <cp:lastModifiedBy>Limakatso Tsekela</cp:lastModifiedBy>
  <cp:revision>38</cp:revision>
  <cp:lastPrinted>2021-11-23T08:32:00Z</cp:lastPrinted>
  <dcterms:created xsi:type="dcterms:W3CDTF">2021-11-19T07:27:00Z</dcterms:created>
  <dcterms:modified xsi:type="dcterms:W3CDTF">2021-11-23T08:43:00Z</dcterms:modified>
</cp:coreProperties>
</file>