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E1563" w14:textId="77777777" w:rsidR="00BB3144" w:rsidRDefault="00BB3144" w:rsidP="00BB3144">
      <w:pPr>
        <w:spacing w:line="360" w:lineRule="auto"/>
        <w:jc w:val="both"/>
        <w:rPr>
          <w:rFonts w:ascii="Bookman Old Style" w:hAnsi="Bookman Old Style"/>
          <w:b/>
          <w:sz w:val="28"/>
          <w:szCs w:val="28"/>
          <w:lang w:val="en-US"/>
        </w:rPr>
      </w:pPr>
    </w:p>
    <w:p w14:paraId="3B4114F4" w14:textId="77777777" w:rsidR="00E12348" w:rsidRDefault="00E12348" w:rsidP="00BB3144">
      <w:pPr>
        <w:spacing w:line="360" w:lineRule="auto"/>
        <w:jc w:val="center"/>
        <w:rPr>
          <w:rFonts w:ascii="Bookman Old Style" w:hAnsi="Bookman Old Style"/>
          <w:b/>
          <w:sz w:val="28"/>
          <w:szCs w:val="28"/>
          <w:lang w:val="en-US"/>
        </w:rPr>
      </w:pPr>
    </w:p>
    <w:p w14:paraId="4D724FF6" w14:textId="77777777" w:rsidR="00E12348" w:rsidRDefault="00E12348" w:rsidP="00BB3144">
      <w:pPr>
        <w:spacing w:line="360" w:lineRule="auto"/>
        <w:jc w:val="center"/>
        <w:rPr>
          <w:rFonts w:ascii="Bookman Old Style" w:hAnsi="Bookman Old Style"/>
          <w:b/>
          <w:sz w:val="28"/>
          <w:szCs w:val="28"/>
          <w:lang w:val="en-US"/>
        </w:rPr>
      </w:pPr>
    </w:p>
    <w:p w14:paraId="02DCB3DC" w14:textId="77777777" w:rsidR="00E12348" w:rsidRDefault="00E12348" w:rsidP="00BB3144">
      <w:pPr>
        <w:spacing w:line="360" w:lineRule="auto"/>
        <w:jc w:val="center"/>
        <w:rPr>
          <w:rFonts w:ascii="Bookman Old Style" w:hAnsi="Bookman Old Style"/>
          <w:b/>
          <w:sz w:val="28"/>
          <w:szCs w:val="28"/>
          <w:lang w:val="en-US"/>
        </w:rPr>
      </w:pPr>
    </w:p>
    <w:p w14:paraId="10D73E86" w14:textId="35727419" w:rsidR="00BB3144" w:rsidRPr="00BB5E0D" w:rsidRDefault="00BB3144" w:rsidP="00BB3144">
      <w:pPr>
        <w:spacing w:line="360" w:lineRule="auto"/>
        <w:jc w:val="center"/>
        <w:rPr>
          <w:rFonts w:ascii="Bookman Old Style" w:hAnsi="Bookman Old Style"/>
          <w:b/>
          <w:sz w:val="28"/>
          <w:szCs w:val="28"/>
          <w:lang w:val="en-US"/>
        </w:rPr>
      </w:pPr>
      <w:r w:rsidRPr="00BB5E0D">
        <w:rPr>
          <w:rFonts w:ascii="Bookman Old Style" w:hAnsi="Bookman Old Style"/>
          <w:b/>
          <w:sz w:val="28"/>
          <w:szCs w:val="28"/>
          <w:lang w:val="en-US"/>
        </w:rPr>
        <w:t>IN THE APPEAL COURT OF LESOTHO</w:t>
      </w:r>
    </w:p>
    <w:p w14:paraId="2C866011" w14:textId="77777777" w:rsidR="00BB3144" w:rsidRPr="00BB5E0D" w:rsidRDefault="00BB3144" w:rsidP="00BB3144">
      <w:pPr>
        <w:spacing w:line="360" w:lineRule="auto"/>
        <w:jc w:val="both"/>
        <w:rPr>
          <w:rFonts w:ascii="Bookman Old Style" w:hAnsi="Bookman Old Style"/>
          <w:sz w:val="28"/>
          <w:szCs w:val="28"/>
          <w:lang w:val="en-US"/>
        </w:rPr>
      </w:pPr>
    </w:p>
    <w:p w14:paraId="3A20274B" w14:textId="2C5BE996" w:rsidR="00BB3144" w:rsidRDefault="00BB3144" w:rsidP="00BB3144">
      <w:pPr>
        <w:spacing w:line="360" w:lineRule="auto"/>
        <w:jc w:val="both"/>
        <w:rPr>
          <w:rFonts w:ascii="Bookman Old Style" w:hAnsi="Bookman Old Style"/>
          <w:b/>
          <w:sz w:val="28"/>
          <w:szCs w:val="28"/>
          <w:lang w:val="en-US"/>
        </w:rPr>
      </w:pPr>
      <w:r w:rsidRPr="004B5D91">
        <w:rPr>
          <w:rFonts w:ascii="Bookman Old Style" w:hAnsi="Bookman Old Style"/>
          <w:b/>
          <w:sz w:val="28"/>
          <w:szCs w:val="28"/>
          <w:lang w:val="en-US"/>
        </w:rPr>
        <w:t xml:space="preserve">HELD AT MASERU                                </w:t>
      </w:r>
      <w:r w:rsidR="009310F0">
        <w:rPr>
          <w:rFonts w:ascii="Bookman Old Style" w:hAnsi="Bookman Old Style"/>
          <w:b/>
          <w:sz w:val="28"/>
          <w:szCs w:val="28"/>
          <w:lang w:val="en-US"/>
        </w:rPr>
        <w:t xml:space="preserve">C of A (CIV) </w:t>
      </w:r>
      <w:r w:rsidR="007344DA">
        <w:rPr>
          <w:rFonts w:ascii="Bookman Old Style" w:hAnsi="Bookman Old Style"/>
          <w:b/>
          <w:sz w:val="28"/>
          <w:szCs w:val="28"/>
          <w:lang w:val="en-US"/>
        </w:rPr>
        <w:t>13</w:t>
      </w:r>
      <w:r w:rsidRPr="00432378">
        <w:rPr>
          <w:rFonts w:ascii="Bookman Old Style" w:hAnsi="Bookman Old Style"/>
          <w:b/>
          <w:sz w:val="28"/>
          <w:szCs w:val="28"/>
          <w:lang w:val="en-US"/>
        </w:rPr>
        <w:t>/2021</w:t>
      </w:r>
    </w:p>
    <w:p w14:paraId="7E904E25" w14:textId="37FE2CF0" w:rsidR="00BB3144" w:rsidRPr="00432378" w:rsidRDefault="009310F0" w:rsidP="00BB3144">
      <w:pPr>
        <w:spacing w:line="360" w:lineRule="auto"/>
        <w:jc w:val="both"/>
        <w:rPr>
          <w:rFonts w:ascii="Bookman Old Style" w:hAnsi="Bookman Old Style"/>
          <w:b/>
          <w:sz w:val="28"/>
          <w:szCs w:val="28"/>
          <w:lang w:val="en-US"/>
        </w:rPr>
      </w:pP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p>
    <w:p w14:paraId="0112E2D9" w14:textId="77777777" w:rsidR="00BB3144" w:rsidRPr="00BD5FD9" w:rsidRDefault="00BB3144" w:rsidP="00BB3144">
      <w:pPr>
        <w:spacing w:line="360" w:lineRule="auto"/>
        <w:jc w:val="both"/>
        <w:rPr>
          <w:rFonts w:ascii="Bookman Old Style" w:hAnsi="Bookman Old Style"/>
          <w:sz w:val="28"/>
          <w:szCs w:val="28"/>
          <w:lang w:val="en-US"/>
        </w:rPr>
      </w:pPr>
      <w:r w:rsidRPr="00BD5FD9">
        <w:rPr>
          <w:rFonts w:ascii="Bookman Old Style" w:hAnsi="Bookman Old Style"/>
          <w:sz w:val="28"/>
          <w:szCs w:val="28"/>
          <w:lang w:val="en-US"/>
        </w:rPr>
        <w:t>In the matter between:</w:t>
      </w:r>
    </w:p>
    <w:p w14:paraId="4C95469E" w14:textId="77777777" w:rsidR="00BB3144" w:rsidRPr="004B5D91" w:rsidRDefault="00BB3144" w:rsidP="00BB3144">
      <w:pPr>
        <w:spacing w:line="360" w:lineRule="auto"/>
        <w:jc w:val="both"/>
        <w:rPr>
          <w:rFonts w:ascii="Bookman Old Style" w:hAnsi="Bookman Old Style"/>
          <w:b/>
          <w:sz w:val="28"/>
          <w:szCs w:val="28"/>
          <w:lang w:val="en-US"/>
        </w:rPr>
      </w:pPr>
    </w:p>
    <w:p w14:paraId="169088D4" w14:textId="77777777" w:rsidR="004F333D" w:rsidRDefault="004F333D" w:rsidP="00BB3144">
      <w:pPr>
        <w:spacing w:line="360" w:lineRule="auto"/>
        <w:jc w:val="both"/>
        <w:rPr>
          <w:rFonts w:ascii="Bookman Old Style" w:hAnsi="Bookman Old Style"/>
          <w:b/>
          <w:sz w:val="28"/>
          <w:szCs w:val="28"/>
          <w:lang w:val="en-US"/>
        </w:rPr>
      </w:pPr>
      <w:r>
        <w:rPr>
          <w:rFonts w:ascii="Bookman Old Style" w:hAnsi="Bookman Old Style"/>
          <w:b/>
          <w:sz w:val="28"/>
          <w:szCs w:val="28"/>
          <w:lang w:val="en-US"/>
        </w:rPr>
        <w:t xml:space="preserve">PRINCIPAL SECRETARY HIGHER </w:t>
      </w:r>
    </w:p>
    <w:p w14:paraId="15C3068D" w14:textId="5F7CD0C4" w:rsidR="00BB3144" w:rsidRDefault="004F333D" w:rsidP="00BB3144">
      <w:pPr>
        <w:spacing w:line="360" w:lineRule="auto"/>
        <w:jc w:val="both"/>
        <w:rPr>
          <w:rFonts w:ascii="Bookman Old Style" w:hAnsi="Bookman Old Style"/>
          <w:b/>
          <w:sz w:val="28"/>
          <w:szCs w:val="28"/>
          <w:lang w:val="en-US"/>
        </w:rPr>
      </w:pPr>
      <w:r>
        <w:rPr>
          <w:rFonts w:ascii="Bookman Old Style" w:hAnsi="Bookman Old Style"/>
          <w:b/>
          <w:sz w:val="28"/>
          <w:szCs w:val="28"/>
          <w:lang w:val="en-US"/>
        </w:rPr>
        <w:t>EDUCATION</w:t>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t xml:space="preserve">   1</w:t>
      </w:r>
      <w:r w:rsidRPr="00BB3144">
        <w:rPr>
          <w:rFonts w:ascii="Bookman Old Style" w:hAnsi="Bookman Old Style"/>
          <w:b/>
          <w:sz w:val="28"/>
          <w:szCs w:val="28"/>
          <w:vertAlign w:val="superscript"/>
          <w:lang w:val="en-US"/>
        </w:rPr>
        <w:t>ST</w:t>
      </w:r>
      <w:r>
        <w:rPr>
          <w:rFonts w:ascii="Bookman Old Style" w:hAnsi="Bookman Old Style"/>
          <w:b/>
          <w:sz w:val="28"/>
          <w:szCs w:val="28"/>
          <w:lang w:val="en-US"/>
        </w:rPr>
        <w:t xml:space="preserve"> </w:t>
      </w:r>
      <w:r w:rsidRPr="004B5D91">
        <w:rPr>
          <w:rFonts w:ascii="Bookman Old Style" w:hAnsi="Bookman Old Style"/>
          <w:b/>
          <w:sz w:val="28"/>
          <w:szCs w:val="28"/>
          <w:lang w:val="en-US"/>
        </w:rPr>
        <w:t>APPELLANT</w:t>
      </w:r>
    </w:p>
    <w:p w14:paraId="5E29F47D" w14:textId="54CF2283" w:rsidR="009A3FFC" w:rsidRDefault="004F333D" w:rsidP="004F333D">
      <w:pPr>
        <w:tabs>
          <w:tab w:val="left" w:pos="3686"/>
        </w:tabs>
        <w:spacing w:line="360" w:lineRule="auto"/>
        <w:jc w:val="both"/>
        <w:rPr>
          <w:rFonts w:ascii="Bookman Old Style" w:hAnsi="Bookman Old Style"/>
          <w:b/>
          <w:sz w:val="28"/>
          <w:szCs w:val="28"/>
          <w:lang w:val="en-US"/>
        </w:rPr>
      </w:pPr>
      <w:r>
        <w:rPr>
          <w:rFonts w:ascii="Bookman Old Style" w:hAnsi="Bookman Old Style"/>
          <w:b/>
          <w:sz w:val="28"/>
          <w:szCs w:val="28"/>
          <w:lang w:val="en-US"/>
        </w:rPr>
        <w:t>PRINCIPAL SECRETARY</w:t>
      </w:r>
      <w:r>
        <w:rPr>
          <w:rFonts w:ascii="Bookman Old Style" w:hAnsi="Bookman Old Style"/>
          <w:b/>
          <w:sz w:val="28"/>
          <w:szCs w:val="28"/>
          <w:lang w:val="en-US"/>
        </w:rPr>
        <w:tab/>
        <w:t>FINANCE</w:t>
      </w:r>
      <w:r>
        <w:rPr>
          <w:rFonts w:ascii="Bookman Old Style" w:hAnsi="Bookman Old Style"/>
          <w:b/>
          <w:sz w:val="28"/>
          <w:szCs w:val="28"/>
          <w:lang w:val="en-US"/>
        </w:rPr>
        <w:tab/>
      </w:r>
      <w:r>
        <w:rPr>
          <w:rFonts w:ascii="Bookman Old Style" w:hAnsi="Bookman Old Style"/>
          <w:b/>
          <w:sz w:val="28"/>
          <w:szCs w:val="28"/>
          <w:lang w:val="en-US"/>
        </w:rPr>
        <w:tab/>
        <w:t xml:space="preserve">          2</w:t>
      </w:r>
      <w:r w:rsidRPr="00095E7F">
        <w:rPr>
          <w:rFonts w:ascii="Bookman Old Style" w:hAnsi="Bookman Old Style"/>
          <w:b/>
          <w:sz w:val="28"/>
          <w:szCs w:val="28"/>
          <w:vertAlign w:val="superscript"/>
          <w:lang w:val="en-US"/>
        </w:rPr>
        <w:t>ND</w:t>
      </w:r>
      <w:r>
        <w:rPr>
          <w:rFonts w:ascii="Bookman Old Style" w:hAnsi="Bookman Old Style"/>
          <w:b/>
          <w:sz w:val="28"/>
          <w:szCs w:val="28"/>
          <w:lang w:val="en-US"/>
        </w:rPr>
        <w:t xml:space="preserve"> </w:t>
      </w:r>
      <w:r w:rsidRPr="004B5D91">
        <w:rPr>
          <w:rFonts w:ascii="Bookman Old Style" w:hAnsi="Bookman Old Style"/>
          <w:b/>
          <w:sz w:val="28"/>
          <w:szCs w:val="28"/>
          <w:lang w:val="en-US"/>
        </w:rPr>
        <w:t>APPELLANT</w:t>
      </w:r>
    </w:p>
    <w:p w14:paraId="566522E6" w14:textId="2AF70D10" w:rsidR="007344DA" w:rsidRDefault="004F333D" w:rsidP="00BB3144">
      <w:pPr>
        <w:spacing w:line="360" w:lineRule="auto"/>
        <w:jc w:val="both"/>
        <w:rPr>
          <w:rFonts w:ascii="Bookman Old Style" w:hAnsi="Bookman Old Style"/>
          <w:b/>
          <w:sz w:val="28"/>
          <w:szCs w:val="28"/>
          <w:lang w:val="en-US"/>
        </w:rPr>
      </w:pPr>
      <w:r>
        <w:rPr>
          <w:rFonts w:ascii="Bookman Old Style" w:hAnsi="Bookman Old Style"/>
          <w:b/>
          <w:sz w:val="28"/>
          <w:szCs w:val="28"/>
          <w:lang w:val="en-US"/>
        </w:rPr>
        <w:t>ATTORNEY GENERAL</w:t>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t xml:space="preserve">  3</w:t>
      </w:r>
      <w:r>
        <w:rPr>
          <w:rFonts w:ascii="Bookman Old Style" w:hAnsi="Bookman Old Style"/>
          <w:b/>
          <w:sz w:val="28"/>
          <w:szCs w:val="28"/>
          <w:vertAlign w:val="superscript"/>
          <w:lang w:val="en-US"/>
        </w:rPr>
        <w:t>RD</w:t>
      </w:r>
      <w:r>
        <w:rPr>
          <w:rFonts w:ascii="Bookman Old Style" w:hAnsi="Bookman Old Style"/>
          <w:b/>
          <w:sz w:val="28"/>
          <w:szCs w:val="28"/>
          <w:lang w:val="en-US"/>
        </w:rPr>
        <w:t xml:space="preserve"> </w:t>
      </w:r>
      <w:r w:rsidRPr="004B5D91">
        <w:rPr>
          <w:rFonts w:ascii="Bookman Old Style" w:hAnsi="Bookman Old Style"/>
          <w:b/>
          <w:sz w:val="28"/>
          <w:szCs w:val="28"/>
          <w:lang w:val="en-US"/>
        </w:rPr>
        <w:t>APPELLANT</w:t>
      </w:r>
    </w:p>
    <w:p w14:paraId="71CC55F9" w14:textId="77777777" w:rsidR="00BB3144" w:rsidRDefault="00BB3144" w:rsidP="00BB3144">
      <w:pPr>
        <w:spacing w:line="360" w:lineRule="auto"/>
        <w:jc w:val="both"/>
        <w:rPr>
          <w:rFonts w:ascii="Bookman Old Style" w:hAnsi="Bookman Old Style"/>
          <w:b/>
          <w:sz w:val="28"/>
          <w:szCs w:val="28"/>
          <w:lang w:val="en-US"/>
        </w:rPr>
      </w:pPr>
    </w:p>
    <w:p w14:paraId="470B35A1" w14:textId="77777777" w:rsidR="00BB3144" w:rsidRPr="00BD5FD9" w:rsidRDefault="00BB3144" w:rsidP="00BB3144">
      <w:pPr>
        <w:spacing w:line="360" w:lineRule="auto"/>
        <w:jc w:val="both"/>
        <w:rPr>
          <w:rFonts w:ascii="Bookman Old Style" w:hAnsi="Bookman Old Style"/>
          <w:sz w:val="28"/>
          <w:szCs w:val="28"/>
          <w:lang w:val="en-US"/>
        </w:rPr>
      </w:pPr>
      <w:r w:rsidRPr="00BD5FD9">
        <w:rPr>
          <w:rFonts w:ascii="Bookman Old Style" w:hAnsi="Bookman Old Style"/>
          <w:sz w:val="28"/>
          <w:szCs w:val="28"/>
          <w:lang w:val="en-US"/>
        </w:rPr>
        <w:t>AND</w:t>
      </w:r>
    </w:p>
    <w:p w14:paraId="14154B37" w14:textId="77777777" w:rsidR="00BB3144" w:rsidRDefault="00BB3144" w:rsidP="00BB3144">
      <w:pPr>
        <w:spacing w:line="360" w:lineRule="auto"/>
        <w:jc w:val="both"/>
        <w:rPr>
          <w:rFonts w:ascii="Bookman Old Style" w:hAnsi="Bookman Old Style"/>
          <w:b/>
          <w:sz w:val="28"/>
          <w:szCs w:val="28"/>
          <w:lang w:val="en-US"/>
        </w:rPr>
      </w:pPr>
    </w:p>
    <w:p w14:paraId="0B346885" w14:textId="0AF560BC" w:rsidR="009A3FFC" w:rsidRDefault="004F333D" w:rsidP="009A3FFC">
      <w:pPr>
        <w:spacing w:line="360" w:lineRule="auto"/>
        <w:jc w:val="both"/>
        <w:rPr>
          <w:rFonts w:ascii="Bookman Old Style" w:hAnsi="Bookman Old Style"/>
          <w:b/>
          <w:sz w:val="28"/>
          <w:szCs w:val="28"/>
          <w:lang w:val="en-US"/>
        </w:rPr>
      </w:pPr>
      <w:r>
        <w:rPr>
          <w:rFonts w:ascii="Bookman Old Style" w:hAnsi="Bookman Old Style"/>
          <w:b/>
          <w:sz w:val="28"/>
          <w:szCs w:val="28"/>
          <w:lang w:val="en-US"/>
        </w:rPr>
        <w:t>KOPANO METSING</w:t>
      </w:r>
      <w:r w:rsidR="007344DA">
        <w:rPr>
          <w:rFonts w:ascii="Bookman Old Style" w:hAnsi="Bookman Old Style"/>
          <w:b/>
          <w:sz w:val="28"/>
          <w:szCs w:val="28"/>
          <w:lang w:val="en-US"/>
        </w:rPr>
        <w:tab/>
      </w:r>
      <w:r w:rsidR="007344DA">
        <w:rPr>
          <w:rFonts w:ascii="Bookman Old Style" w:hAnsi="Bookman Old Style"/>
          <w:b/>
          <w:sz w:val="28"/>
          <w:szCs w:val="28"/>
          <w:lang w:val="en-US"/>
        </w:rPr>
        <w:tab/>
      </w:r>
      <w:r w:rsidR="007344DA">
        <w:rPr>
          <w:rFonts w:ascii="Bookman Old Style" w:hAnsi="Bookman Old Style"/>
          <w:b/>
          <w:sz w:val="28"/>
          <w:szCs w:val="28"/>
          <w:lang w:val="en-US"/>
        </w:rPr>
        <w:tab/>
      </w:r>
      <w:r w:rsidR="00D40CDF">
        <w:rPr>
          <w:rFonts w:ascii="Bookman Old Style" w:hAnsi="Bookman Old Style"/>
          <w:b/>
          <w:sz w:val="28"/>
          <w:szCs w:val="28"/>
          <w:lang w:val="en-US"/>
        </w:rPr>
        <w:tab/>
      </w:r>
      <w:r w:rsidR="00D40CDF">
        <w:rPr>
          <w:rFonts w:ascii="Bookman Old Style" w:hAnsi="Bookman Old Style"/>
          <w:b/>
          <w:sz w:val="28"/>
          <w:szCs w:val="28"/>
          <w:lang w:val="en-US"/>
        </w:rPr>
        <w:tab/>
      </w:r>
      <w:r w:rsidR="00D40CDF">
        <w:rPr>
          <w:rFonts w:ascii="Bookman Old Style" w:hAnsi="Bookman Old Style"/>
          <w:b/>
          <w:sz w:val="28"/>
          <w:szCs w:val="28"/>
          <w:lang w:val="en-US"/>
        </w:rPr>
        <w:tab/>
      </w:r>
      <w:r>
        <w:rPr>
          <w:rFonts w:ascii="Bookman Old Style" w:hAnsi="Bookman Old Style"/>
          <w:b/>
          <w:sz w:val="28"/>
          <w:szCs w:val="28"/>
          <w:lang w:val="en-US"/>
        </w:rPr>
        <w:t xml:space="preserve">     </w:t>
      </w:r>
      <w:r w:rsidR="00D40CDF">
        <w:rPr>
          <w:rFonts w:ascii="Bookman Old Style" w:hAnsi="Bookman Old Style"/>
          <w:b/>
          <w:sz w:val="28"/>
          <w:szCs w:val="28"/>
          <w:lang w:val="en-US"/>
        </w:rPr>
        <w:t>RESPONDENT</w:t>
      </w:r>
    </w:p>
    <w:p w14:paraId="625F6F3A" w14:textId="77777777" w:rsidR="00BB3144" w:rsidRDefault="00BB3144" w:rsidP="00BB3144">
      <w:pPr>
        <w:spacing w:line="360" w:lineRule="auto"/>
        <w:jc w:val="both"/>
        <w:rPr>
          <w:rFonts w:ascii="Bookman Old Style" w:hAnsi="Bookman Old Style"/>
          <w:b/>
          <w:sz w:val="28"/>
          <w:szCs w:val="28"/>
          <w:lang w:val="en-US"/>
        </w:rPr>
      </w:pPr>
    </w:p>
    <w:p w14:paraId="48AD4B86" w14:textId="358B89A7" w:rsidR="00BB3144" w:rsidRDefault="00BB3144" w:rsidP="00BB3144">
      <w:pPr>
        <w:pStyle w:val="MediumGrid21"/>
        <w:spacing w:line="360" w:lineRule="auto"/>
        <w:rPr>
          <w:rFonts w:ascii="Bookman Old Style" w:hAnsi="Bookman Old Style"/>
          <w:sz w:val="28"/>
          <w:szCs w:val="28"/>
          <w:lang w:val="en-GB"/>
        </w:rPr>
      </w:pPr>
      <w:r w:rsidRPr="00633AD2">
        <w:rPr>
          <w:rFonts w:ascii="Bookman Old Style" w:hAnsi="Bookman Old Style"/>
          <w:b/>
          <w:sz w:val="28"/>
          <w:szCs w:val="28"/>
          <w:lang w:val="en-GB"/>
        </w:rPr>
        <w:t>CORAM</w:t>
      </w:r>
      <w:r>
        <w:rPr>
          <w:rFonts w:ascii="Bookman Old Style" w:hAnsi="Bookman Old Style"/>
          <w:sz w:val="28"/>
          <w:szCs w:val="28"/>
          <w:lang w:val="en-GB"/>
        </w:rPr>
        <w:tab/>
      </w:r>
      <w:r>
        <w:rPr>
          <w:rFonts w:ascii="Bookman Old Style" w:hAnsi="Bookman Old Style"/>
          <w:sz w:val="28"/>
          <w:szCs w:val="28"/>
          <w:lang w:val="en-GB"/>
        </w:rPr>
        <w:tab/>
        <w:t>:</w:t>
      </w:r>
      <w:r w:rsidR="00A1779F">
        <w:rPr>
          <w:rFonts w:ascii="Bookman Old Style" w:hAnsi="Bookman Old Style"/>
          <w:sz w:val="28"/>
          <w:szCs w:val="28"/>
          <w:lang w:val="en-GB"/>
        </w:rPr>
        <w:t xml:space="preserve">       </w:t>
      </w:r>
      <w:r w:rsidRPr="00633AD2">
        <w:rPr>
          <w:rFonts w:ascii="Bookman Old Style" w:hAnsi="Bookman Old Style"/>
          <w:sz w:val="28"/>
          <w:szCs w:val="28"/>
          <w:lang w:val="en-GB"/>
        </w:rPr>
        <w:t xml:space="preserve"> </w:t>
      </w:r>
      <w:r w:rsidR="009A3FFC">
        <w:rPr>
          <w:rFonts w:ascii="Bookman Old Style" w:hAnsi="Bookman Old Style"/>
          <w:sz w:val="28"/>
          <w:szCs w:val="28"/>
          <w:lang w:val="en-GB"/>
        </w:rPr>
        <w:t>K</w:t>
      </w:r>
      <w:r w:rsidR="003573D0">
        <w:rPr>
          <w:rFonts w:ascii="Bookman Old Style" w:hAnsi="Bookman Old Style"/>
          <w:sz w:val="28"/>
          <w:szCs w:val="28"/>
          <w:lang w:val="en-GB"/>
        </w:rPr>
        <w:t>.</w:t>
      </w:r>
      <w:r w:rsidR="009A3FFC">
        <w:rPr>
          <w:rFonts w:ascii="Bookman Old Style" w:hAnsi="Bookman Old Style"/>
          <w:sz w:val="28"/>
          <w:szCs w:val="28"/>
          <w:lang w:val="en-GB"/>
        </w:rPr>
        <w:t>E</w:t>
      </w:r>
      <w:r w:rsidR="003573D0">
        <w:rPr>
          <w:rFonts w:ascii="Bookman Old Style" w:hAnsi="Bookman Old Style"/>
          <w:sz w:val="28"/>
          <w:szCs w:val="28"/>
          <w:lang w:val="en-GB"/>
        </w:rPr>
        <w:t>.</w:t>
      </w:r>
      <w:r w:rsidR="009A3FFC">
        <w:rPr>
          <w:rFonts w:ascii="Bookman Old Style" w:hAnsi="Bookman Old Style"/>
          <w:sz w:val="28"/>
          <w:szCs w:val="28"/>
          <w:lang w:val="en-GB"/>
        </w:rPr>
        <w:t xml:space="preserve"> </w:t>
      </w:r>
      <w:r w:rsidR="00D40CDF">
        <w:rPr>
          <w:rFonts w:ascii="Bookman Old Style" w:hAnsi="Bookman Old Style"/>
          <w:sz w:val="28"/>
          <w:szCs w:val="28"/>
          <w:lang w:val="en-GB"/>
        </w:rPr>
        <w:t xml:space="preserve">MOSITO </w:t>
      </w:r>
      <w:r w:rsidR="009A3FFC">
        <w:rPr>
          <w:rFonts w:ascii="Bookman Old Style" w:hAnsi="Bookman Old Style"/>
          <w:sz w:val="28"/>
          <w:szCs w:val="28"/>
          <w:lang w:val="en-GB"/>
        </w:rPr>
        <w:t>P</w:t>
      </w:r>
    </w:p>
    <w:p w14:paraId="4B5A7EF7" w14:textId="65063E31" w:rsidR="009A3FFC" w:rsidRDefault="00E12348" w:rsidP="00E12348">
      <w:pPr>
        <w:pStyle w:val="MediumGrid21"/>
        <w:spacing w:line="360" w:lineRule="auto"/>
        <w:ind w:left="2160" w:firstLine="720"/>
        <w:rPr>
          <w:rFonts w:ascii="Bookman Old Style" w:hAnsi="Bookman Old Style"/>
          <w:sz w:val="28"/>
          <w:szCs w:val="28"/>
          <w:lang w:val="en-GB"/>
        </w:rPr>
      </w:pPr>
      <w:r>
        <w:rPr>
          <w:rFonts w:ascii="Bookman Old Style" w:hAnsi="Bookman Old Style"/>
          <w:bCs/>
          <w:color w:val="000000" w:themeColor="text1"/>
          <w:sz w:val="28"/>
          <w:szCs w:val="28"/>
          <w:lang w:val="en-US"/>
        </w:rPr>
        <w:t xml:space="preserve"> </w:t>
      </w:r>
      <w:r w:rsidR="009A3FFC" w:rsidRPr="00633AD2">
        <w:rPr>
          <w:rFonts w:ascii="Bookman Old Style" w:hAnsi="Bookman Old Style"/>
          <w:sz w:val="28"/>
          <w:szCs w:val="28"/>
          <w:lang w:val="en-GB"/>
        </w:rPr>
        <w:t xml:space="preserve">P.T. DAMASEB, AJA </w:t>
      </w:r>
    </w:p>
    <w:p w14:paraId="07CAAB85" w14:textId="4CE14989" w:rsidR="001F12D0" w:rsidRDefault="00E12348" w:rsidP="00E12348">
      <w:pPr>
        <w:pStyle w:val="MediumGrid21"/>
        <w:spacing w:line="360" w:lineRule="auto"/>
        <w:ind w:left="2880"/>
        <w:rPr>
          <w:rFonts w:ascii="Bookman Old Style" w:hAnsi="Bookman Old Style"/>
          <w:sz w:val="28"/>
          <w:szCs w:val="28"/>
          <w:lang w:val="en-GB"/>
        </w:rPr>
      </w:pPr>
      <w:r>
        <w:rPr>
          <w:rFonts w:ascii="Bookman Old Style" w:hAnsi="Bookman Old Style"/>
          <w:bCs/>
          <w:color w:val="000000" w:themeColor="text1"/>
          <w:sz w:val="28"/>
          <w:szCs w:val="28"/>
          <w:lang w:val="en-US"/>
        </w:rPr>
        <w:t xml:space="preserve"> </w:t>
      </w:r>
      <w:r w:rsidR="00A1779F">
        <w:rPr>
          <w:rFonts w:ascii="Bookman Old Style" w:hAnsi="Bookman Old Style"/>
          <w:bCs/>
          <w:color w:val="000000" w:themeColor="text1"/>
          <w:sz w:val="28"/>
          <w:szCs w:val="28"/>
          <w:lang w:val="en-US"/>
        </w:rPr>
        <w:t>M. H</w:t>
      </w:r>
      <w:r w:rsidR="00F75A69">
        <w:rPr>
          <w:rFonts w:ascii="Bookman Old Style" w:hAnsi="Bookman Old Style"/>
          <w:bCs/>
          <w:color w:val="000000" w:themeColor="text1"/>
          <w:sz w:val="28"/>
          <w:szCs w:val="28"/>
          <w:lang w:val="en-US"/>
        </w:rPr>
        <w:t>.</w:t>
      </w:r>
      <w:r w:rsidR="00A1779F">
        <w:rPr>
          <w:rFonts w:ascii="Bookman Old Style" w:hAnsi="Bookman Old Style"/>
          <w:bCs/>
          <w:color w:val="000000" w:themeColor="text1"/>
          <w:sz w:val="28"/>
          <w:szCs w:val="28"/>
          <w:lang w:val="en-US"/>
        </w:rPr>
        <w:t xml:space="preserve"> </w:t>
      </w:r>
      <w:r w:rsidR="001F12D0">
        <w:rPr>
          <w:rFonts w:ascii="Bookman Old Style" w:hAnsi="Bookman Old Style"/>
          <w:bCs/>
          <w:color w:val="000000" w:themeColor="text1"/>
          <w:sz w:val="28"/>
          <w:szCs w:val="28"/>
          <w:lang w:val="en-US"/>
        </w:rPr>
        <w:t>CHINHENGO</w:t>
      </w:r>
      <w:r w:rsidR="001F12D0" w:rsidRPr="00E34B9D">
        <w:rPr>
          <w:rFonts w:ascii="Bookman Old Style" w:hAnsi="Bookman Old Style"/>
          <w:bCs/>
          <w:color w:val="000000" w:themeColor="text1"/>
          <w:sz w:val="28"/>
          <w:szCs w:val="28"/>
          <w:lang w:val="en-US"/>
        </w:rPr>
        <w:t>, AJA</w:t>
      </w:r>
      <w:r w:rsidR="001F12D0" w:rsidRPr="00633AD2">
        <w:rPr>
          <w:rFonts w:ascii="Bookman Old Style" w:hAnsi="Bookman Old Style"/>
          <w:sz w:val="28"/>
          <w:szCs w:val="28"/>
          <w:lang w:val="en-GB"/>
        </w:rPr>
        <w:t xml:space="preserve"> </w:t>
      </w:r>
    </w:p>
    <w:p w14:paraId="3C0D8B45" w14:textId="77777777" w:rsidR="00BB3144" w:rsidRDefault="00BB3144" w:rsidP="00BB3144">
      <w:pPr>
        <w:spacing w:line="360" w:lineRule="auto"/>
        <w:jc w:val="both"/>
        <w:rPr>
          <w:rFonts w:ascii="Bookman Old Style" w:hAnsi="Bookman Old Style"/>
          <w:bCs/>
          <w:sz w:val="28"/>
          <w:szCs w:val="28"/>
          <w:lang w:val="en-US"/>
        </w:rPr>
      </w:pPr>
    </w:p>
    <w:p w14:paraId="6EA4A8B6" w14:textId="192DF8EB" w:rsidR="00BB3144" w:rsidRDefault="00E12348" w:rsidP="00BB3144">
      <w:pPr>
        <w:spacing w:line="360" w:lineRule="auto"/>
        <w:jc w:val="both"/>
        <w:rPr>
          <w:rFonts w:ascii="Bookman Old Style" w:hAnsi="Bookman Old Style"/>
          <w:sz w:val="28"/>
          <w:szCs w:val="28"/>
          <w:lang w:val="en-US"/>
        </w:rPr>
      </w:pPr>
      <w:r>
        <w:rPr>
          <w:rFonts w:ascii="Bookman Old Style" w:hAnsi="Bookman Old Style"/>
          <w:b/>
          <w:sz w:val="28"/>
          <w:szCs w:val="28"/>
          <w:lang w:val="en-US"/>
        </w:rPr>
        <w:t>HEARD</w:t>
      </w:r>
      <w:r w:rsidR="00BB3144">
        <w:rPr>
          <w:rFonts w:ascii="Bookman Old Style" w:hAnsi="Bookman Old Style"/>
          <w:b/>
          <w:sz w:val="28"/>
          <w:szCs w:val="28"/>
          <w:lang w:val="en-US"/>
        </w:rPr>
        <w:tab/>
      </w:r>
      <w:r w:rsidR="00BB3144">
        <w:rPr>
          <w:rFonts w:ascii="Bookman Old Style" w:hAnsi="Bookman Old Style"/>
          <w:b/>
          <w:sz w:val="28"/>
          <w:szCs w:val="28"/>
          <w:lang w:val="en-US"/>
        </w:rPr>
        <w:tab/>
        <w:t>:</w:t>
      </w:r>
      <w:r w:rsidR="00BB3144">
        <w:rPr>
          <w:rFonts w:ascii="Bookman Old Style" w:hAnsi="Bookman Old Style"/>
          <w:b/>
          <w:sz w:val="28"/>
          <w:szCs w:val="28"/>
          <w:lang w:val="en-US"/>
        </w:rPr>
        <w:tab/>
      </w:r>
      <w:r w:rsidR="004F333D">
        <w:rPr>
          <w:rFonts w:ascii="Bookman Old Style" w:hAnsi="Bookman Old Style"/>
          <w:sz w:val="28"/>
          <w:szCs w:val="28"/>
          <w:lang w:val="en-US"/>
        </w:rPr>
        <w:t>14</w:t>
      </w:r>
      <w:r w:rsidR="00BB3144" w:rsidRPr="003C1F42">
        <w:rPr>
          <w:rFonts w:ascii="Bookman Old Style" w:hAnsi="Bookman Old Style"/>
          <w:sz w:val="28"/>
          <w:szCs w:val="28"/>
          <w:lang w:val="en-US"/>
        </w:rPr>
        <w:t xml:space="preserve"> </w:t>
      </w:r>
      <w:r w:rsidR="004F333D">
        <w:rPr>
          <w:rFonts w:ascii="Bookman Old Style" w:hAnsi="Bookman Old Style"/>
          <w:sz w:val="28"/>
          <w:szCs w:val="28"/>
          <w:lang w:val="en-US"/>
        </w:rPr>
        <w:t>APRIL</w:t>
      </w:r>
      <w:r w:rsidR="004F333D" w:rsidRPr="003C1F42">
        <w:rPr>
          <w:rFonts w:ascii="Bookman Old Style" w:hAnsi="Bookman Old Style"/>
          <w:sz w:val="28"/>
          <w:szCs w:val="28"/>
          <w:lang w:val="en-US"/>
        </w:rPr>
        <w:t xml:space="preserve"> </w:t>
      </w:r>
      <w:r w:rsidR="00BB3144" w:rsidRPr="003C1F42">
        <w:rPr>
          <w:rFonts w:ascii="Bookman Old Style" w:hAnsi="Bookman Old Style"/>
          <w:sz w:val="28"/>
          <w:szCs w:val="28"/>
          <w:lang w:val="en-US"/>
        </w:rPr>
        <w:t>202</w:t>
      </w:r>
      <w:r w:rsidR="004F333D">
        <w:rPr>
          <w:rFonts w:ascii="Bookman Old Style" w:hAnsi="Bookman Old Style"/>
          <w:sz w:val="28"/>
          <w:szCs w:val="28"/>
          <w:lang w:val="en-US"/>
        </w:rPr>
        <w:t>2</w:t>
      </w:r>
    </w:p>
    <w:p w14:paraId="3DE9355E" w14:textId="549D672A" w:rsidR="00BB3144" w:rsidRPr="009F0839" w:rsidRDefault="003573D0" w:rsidP="00BB3144">
      <w:pPr>
        <w:spacing w:line="360" w:lineRule="auto"/>
        <w:jc w:val="both"/>
        <w:rPr>
          <w:rFonts w:ascii="Bookman Old Style" w:hAnsi="Bookman Old Style"/>
          <w:bCs/>
          <w:sz w:val="28"/>
          <w:szCs w:val="28"/>
          <w:lang w:val="en-US"/>
        </w:rPr>
      </w:pPr>
      <w:r>
        <w:rPr>
          <w:rFonts w:ascii="Bookman Old Style" w:hAnsi="Bookman Old Style"/>
          <w:b/>
          <w:sz w:val="28"/>
          <w:szCs w:val="28"/>
          <w:lang w:val="en-US"/>
        </w:rPr>
        <w:t>D</w:t>
      </w:r>
      <w:r w:rsidR="00E12348">
        <w:rPr>
          <w:rFonts w:ascii="Bookman Old Style" w:hAnsi="Bookman Old Style"/>
          <w:b/>
          <w:sz w:val="28"/>
          <w:szCs w:val="28"/>
          <w:lang w:val="en-US"/>
        </w:rPr>
        <w:t>ELIVERED</w:t>
      </w:r>
      <w:r>
        <w:rPr>
          <w:rFonts w:ascii="Bookman Old Style" w:hAnsi="Bookman Old Style"/>
          <w:b/>
          <w:sz w:val="28"/>
          <w:szCs w:val="28"/>
          <w:lang w:val="en-US"/>
        </w:rPr>
        <w:t xml:space="preserve"> </w:t>
      </w:r>
      <w:r w:rsidR="00154AA6">
        <w:rPr>
          <w:rFonts w:ascii="Bookman Old Style" w:hAnsi="Bookman Old Style"/>
          <w:b/>
          <w:sz w:val="28"/>
          <w:szCs w:val="28"/>
          <w:lang w:val="en-US"/>
        </w:rPr>
        <w:tab/>
      </w:r>
      <w:r w:rsidR="00BB3144">
        <w:rPr>
          <w:rFonts w:ascii="Bookman Old Style" w:hAnsi="Bookman Old Style"/>
          <w:b/>
          <w:sz w:val="28"/>
          <w:szCs w:val="28"/>
          <w:lang w:val="en-US"/>
        </w:rPr>
        <w:t xml:space="preserve">:       </w:t>
      </w:r>
      <w:r w:rsidRPr="009F0839">
        <w:rPr>
          <w:rFonts w:ascii="Bookman Old Style" w:hAnsi="Bookman Old Style"/>
          <w:sz w:val="28"/>
          <w:szCs w:val="28"/>
          <w:lang w:val="en-US"/>
        </w:rPr>
        <w:t xml:space="preserve">13 </w:t>
      </w:r>
      <w:r w:rsidRPr="00E12348">
        <w:rPr>
          <w:rFonts w:ascii="Bookman Old Style" w:hAnsi="Bookman Old Style"/>
          <w:caps/>
          <w:sz w:val="28"/>
          <w:szCs w:val="28"/>
          <w:lang w:val="en-US"/>
        </w:rPr>
        <w:t>May</w:t>
      </w:r>
      <w:r w:rsidRPr="009F0839">
        <w:rPr>
          <w:rFonts w:ascii="Bookman Old Style" w:hAnsi="Bookman Old Style"/>
          <w:sz w:val="28"/>
          <w:szCs w:val="28"/>
          <w:lang w:val="en-US"/>
        </w:rPr>
        <w:t xml:space="preserve"> 2022</w:t>
      </w:r>
    </w:p>
    <w:p w14:paraId="36B13CAD" w14:textId="77777777" w:rsidR="00BB3144" w:rsidRDefault="00BB3144" w:rsidP="00BB3144">
      <w:pPr>
        <w:spacing w:line="360" w:lineRule="auto"/>
        <w:jc w:val="both"/>
        <w:rPr>
          <w:rFonts w:ascii="Bookman Old Style" w:hAnsi="Bookman Old Style"/>
          <w:b/>
          <w:sz w:val="28"/>
          <w:szCs w:val="28"/>
          <w:lang w:val="en-US"/>
        </w:rPr>
      </w:pPr>
    </w:p>
    <w:p w14:paraId="5AA974D2" w14:textId="77777777" w:rsidR="009B5297" w:rsidRDefault="007B54D6" w:rsidP="00AB67A1">
      <w:pPr>
        <w:spacing w:line="360" w:lineRule="auto"/>
        <w:jc w:val="both"/>
        <w:rPr>
          <w:rFonts w:ascii="Bookman Old Style" w:hAnsi="Bookman Old Style"/>
          <w:bCs/>
          <w:sz w:val="28"/>
          <w:szCs w:val="28"/>
          <w:lang w:val="en-US"/>
        </w:rPr>
      </w:pPr>
      <w:r>
        <w:rPr>
          <w:rFonts w:ascii="Bookman Old Style" w:hAnsi="Bookman Old Style"/>
          <w:bCs/>
          <w:sz w:val="28"/>
          <w:szCs w:val="28"/>
          <w:lang w:val="en-US"/>
        </w:rPr>
        <w:tab/>
      </w:r>
      <w:r>
        <w:rPr>
          <w:rFonts w:ascii="Bookman Old Style" w:hAnsi="Bookman Old Style"/>
          <w:bCs/>
          <w:sz w:val="28"/>
          <w:szCs w:val="28"/>
          <w:lang w:val="en-US"/>
        </w:rPr>
        <w:tab/>
      </w:r>
      <w:r>
        <w:rPr>
          <w:rFonts w:ascii="Bookman Old Style" w:hAnsi="Bookman Old Style"/>
          <w:bCs/>
          <w:sz w:val="28"/>
          <w:szCs w:val="28"/>
          <w:lang w:val="en-US"/>
        </w:rPr>
        <w:tab/>
      </w:r>
      <w:r>
        <w:rPr>
          <w:rFonts w:ascii="Bookman Old Style" w:hAnsi="Bookman Old Style"/>
          <w:bCs/>
          <w:sz w:val="28"/>
          <w:szCs w:val="28"/>
          <w:lang w:val="en-US"/>
        </w:rPr>
        <w:tab/>
      </w:r>
    </w:p>
    <w:p w14:paraId="64E217D4" w14:textId="77777777" w:rsidR="009B5297" w:rsidRDefault="009B5297" w:rsidP="00AB67A1">
      <w:pPr>
        <w:spacing w:line="360" w:lineRule="auto"/>
        <w:jc w:val="both"/>
        <w:rPr>
          <w:rFonts w:ascii="Bookman Old Style" w:hAnsi="Bookman Old Style"/>
          <w:bCs/>
          <w:sz w:val="28"/>
          <w:szCs w:val="28"/>
          <w:lang w:val="en-US"/>
        </w:rPr>
      </w:pPr>
    </w:p>
    <w:p w14:paraId="6E263AAC" w14:textId="31F37BD3" w:rsidR="007B54D6" w:rsidRPr="00E12348" w:rsidRDefault="007B54D6" w:rsidP="00AD6250">
      <w:pPr>
        <w:spacing w:line="360" w:lineRule="auto"/>
        <w:jc w:val="center"/>
        <w:rPr>
          <w:rFonts w:ascii="Bookman Old Style" w:hAnsi="Bookman Old Style"/>
          <w:b/>
          <w:bCs/>
          <w:i/>
          <w:iCs/>
          <w:sz w:val="28"/>
          <w:szCs w:val="28"/>
          <w:lang w:val="en-US"/>
        </w:rPr>
      </w:pPr>
      <w:r w:rsidRPr="00E12348">
        <w:rPr>
          <w:rFonts w:ascii="Bookman Old Style" w:hAnsi="Bookman Old Style"/>
          <w:b/>
          <w:bCs/>
          <w:i/>
          <w:iCs/>
          <w:sz w:val="28"/>
          <w:szCs w:val="28"/>
          <w:lang w:val="en-US"/>
        </w:rPr>
        <w:lastRenderedPageBreak/>
        <w:t>Summary</w:t>
      </w:r>
    </w:p>
    <w:p w14:paraId="311B3047" w14:textId="3CDD5F13" w:rsidR="007B54D6" w:rsidRPr="009B5297" w:rsidRDefault="009B5297" w:rsidP="00AB67A1">
      <w:pPr>
        <w:spacing w:line="360" w:lineRule="auto"/>
        <w:jc w:val="both"/>
        <w:rPr>
          <w:rFonts w:ascii="Bookman Old Style" w:hAnsi="Bookman Old Style"/>
          <w:bCs/>
          <w:i/>
          <w:sz w:val="28"/>
          <w:szCs w:val="28"/>
          <w:lang w:val="en-US"/>
        </w:rPr>
      </w:pPr>
      <w:r w:rsidRPr="009B5297">
        <w:rPr>
          <w:rFonts w:ascii="Bookman Old Style" w:hAnsi="Bookman Old Style"/>
          <w:bCs/>
          <w:i/>
          <w:sz w:val="28"/>
          <w:szCs w:val="28"/>
          <w:lang w:val="en-US"/>
        </w:rPr>
        <w:t>A public officer challenging a decision dismissing him by way of review in the High Court. Court of Appeal restating that such complaints must be pursued under the grievance procedure in the Public Service Act 2005.</w:t>
      </w:r>
    </w:p>
    <w:p w14:paraId="2E4A1A7D" w14:textId="508C57FE" w:rsidR="001D5401" w:rsidRPr="008E0501" w:rsidRDefault="001D5401" w:rsidP="008E0501">
      <w:pPr>
        <w:spacing w:line="360" w:lineRule="auto"/>
        <w:jc w:val="both"/>
        <w:rPr>
          <w:rFonts w:ascii="Bookman Old Style" w:hAnsi="Bookman Old Style"/>
          <w:b/>
          <w:bCs/>
          <w:sz w:val="28"/>
          <w:szCs w:val="28"/>
          <w:lang w:val="en-US"/>
        </w:rPr>
      </w:pPr>
    </w:p>
    <w:p w14:paraId="7FAC8EC5" w14:textId="04144627" w:rsidR="00520470" w:rsidRDefault="00AD6250" w:rsidP="00AD6250">
      <w:pPr>
        <w:jc w:val="center"/>
        <w:rPr>
          <w:rFonts w:ascii="Bookman Old Style" w:hAnsi="Bookman Old Style"/>
          <w:b/>
          <w:sz w:val="28"/>
          <w:szCs w:val="28"/>
        </w:rPr>
      </w:pPr>
      <w:r w:rsidRPr="00AD6250">
        <w:rPr>
          <w:rFonts w:ascii="Bookman Old Style" w:hAnsi="Bookman Old Style"/>
          <w:b/>
          <w:sz w:val="28"/>
          <w:szCs w:val="28"/>
        </w:rPr>
        <w:t>JUDGMENT</w:t>
      </w:r>
    </w:p>
    <w:p w14:paraId="7956C4CD" w14:textId="7B650CC4" w:rsidR="001A4E21" w:rsidRPr="00DB7D87" w:rsidRDefault="001A4E21" w:rsidP="001A4E21">
      <w:pPr>
        <w:jc w:val="both"/>
        <w:rPr>
          <w:rFonts w:ascii="Bookman Old Style" w:hAnsi="Bookman Old Style"/>
          <w:b/>
          <w:sz w:val="28"/>
          <w:szCs w:val="28"/>
        </w:rPr>
      </w:pPr>
    </w:p>
    <w:p w14:paraId="076BB7C1" w14:textId="77777777" w:rsidR="001A4E21" w:rsidRDefault="001A4E21" w:rsidP="001A4E21">
      <w:pPr>
        <w:jc w:val="both"/>
        <w:rPr>
          <w:rFonts w:ascii="Bookman Old Style" w:hAnsi="Bookman Old Style"/>
          <w:b/>
          <w:sz w:val="28"/>
          <w:szCs w:val="28"/>
        </w:rPr>
      </w:pPr>
      <w:r w:rsidRPr="00DB7D87">
        <w:rPr>
          <w:rFonts w:ascii="Bookman Old Style" w:hAnsi="Bookman Old Style"/>
          <w:b/>
          <w:sz w:val="28"/>
          <w:szCs w:val="28"/>
        </w:rPr>
        <w:t xml:space="preserve">PT </w:t>
      </w:r>
      <w:proofErr w:type="spellStart"/>
      <w:r w:rsidRPr="00DB7D87">
        <w:rPr>
          <w:rFonts w:ascii="Bookman Old Style" w:hAnsi="Bookman Old Style"/>
          <w:b/>
          <w:sz w:val="28"/>
          <w:szCs w:val="28"/>
        </w:rPr>
        <w:t>Damaseb</w:t>
      </w:r>
      <w:proofErr w:type="spellEnd"/>
      <w:r>
        <w:rPr>
          <w:rFonts w:ascii="Bookman Old Style" w:hAnsi="Bookman Old Style"/>
          <w:b/>
          <w:sz w:val="28"/>
          <w:szCs w:val="28"/>
        </w:rPr>
        <w:t xml:space="preserve"> AJA:</w:t>
      </w:r>
    </w:p>
    <w:p w14:paraId="117D7D31" w14:textId="77777777" w:rsidR="00F64C1F" w:rsidRDefault="00F64C1F" w:rsidP="00AB67A1">
      <w:pPr>
        <w:spacing w:line="360" w:lineRule="auto"/>
        <w:jc w:val="both"/>
        <w:rPr>
          <w:rFonts w:ascii="Bookman Old Style" w:hAnsi="Bookman Old Style"/>
          <w:bCs/>
          <w:sz w:val="28"/>
          <w:szCs w:val="28"/>
          <w:lang w:val="en-US"/>
        </w:rPr>
      </w:pPr>
    </w:p>
    <w:p w14:paraId="6C50B04C" w14:textId="6EB6588A" w:rsidR="00F42DA2" w:rsidRPr="00F42DA2" w:rsidRDefault="003573D0" w:rsidP="00AB67A1">
      <w:pPr>
        <w:spacing w:line="360" w:lineRule="auto"/>
        <w:jc w:val="both"/>
        <w:rPr>
          <w:rFonts w:ascii="Bookman Old Style" w:hAnsi="Bookman Old Style"/>
          <w:b/>
          <w:bCs/>
          <w:sz w:val="28"/>
          <w:szCs w:val="28"/>
          <w:lang w:val="en-US"/>
        </w:rPr>
      </w:pPr>
      <w:r>
        <w:rPr>
          <w:rFonts w:ascii="Bookman Old Style" w:hAnsi="Bookman Old Style"/>
          <w:b/>
          <w:bCs/>
          <w:sz w:val="28"/>
          <w:szCs w:val="28"/>
          <w:lang w:val="en-US"/>
        </w:rPr>
        <w:t>Backg</w:t>
      </w:r>
      <w:r w:rsidR="00F42DA2" w:rsidRPr="00F42DA2">
        <w:rPr>
          <w:rFonts w:ascii="Bookman Old Style" w:hAnsi="Bookman Old Style"/>
          <w:b/>
          <w:bCs/>
          <w:sz w:val="28"/>
          <w:szCs w:val="28"/>
          <w:lang w:val="en-US"/>
        </w:rPr>
        <w:t xml:space="preserve">round </w:t>
      </w:r>
    </w:p>
    <w:p w14:paraId="7E54CC45" w14:textId="77777777" w:rsidR="00F42DA2" w:rsidRPr="00211BA9" w:rsidRDefault="00F42DA2" w:rsidP="00AB67A1">
      <w:pPr>
        <w:spacing w:line="360" w:lineRule="auto"/>
        <w:jc w:val="both"/>
        <w:rPr>
          <w:rFonts w:ascii="Bookman Old Style" w:hAnsi="Bookman Old Style"/>
          <w:bCs/>
          <w:sz w:val="28"/>
          <w:szCs w:val="28"/>
          <w:lang w:val="en-US"/>
        </w:rPr>
      </w:pPr>
    </w:p>
    <w:p w14:paraId="264223AB" w14:textId="3FA6933A" w:rsidR="00360F6C" w:rsidRDefault="003573D0" w:rsidP="001A4E21">
      <w:pPr>
        <w:pStyle w:val="ListParagraph"/>
        <w:numPr>
          <w:ilvl w:val="0"/>
          <w:numId w:val="4"/>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The respondent is a public s</w:t>
      </w:r>
      <w:r w:rsidR="00F42DA2">
        <w:rPr>
          <w:rFonts w:ascii="Bookman Old Style" w:hAnsi="Bookman Old Style"/>
          <w:sz w:val="28"/>
          <w:szCs w:val="28"/>
          <w:lang w:val="en-US"/>
        </w:rPr>
        <w:t xml:space="preserve">ervant.  He was dismissed from employment by the </w:t>
      </w:r>
      <w:r>
        <w:rPr>
          <w:rFonts w:ascii="Bookman Old Style" w:hAnsi="Bookman Old Style"/>
          <w:sz w:val="28"/>
          <w:szCs w:val="28"/>
          <w:lang w:val="en-US"/>
        </w:rPr>
        <w:t xml:space="preserve">first appellant </w:t>
      </w:r>
      <w:r w:rsidR="00F42DA2">
        <w:rPr>
          <w:rFonts w:ascii="Bookman Old Style" w:hAnsi="Bookman Old Style"/>
          <w:sz w:val="28"/>
          <w:szCs w:val="28"/>
          <w:lang w:val="en-US"/>
        </w:rPr>
        <w:t xml:space="preserve">after the latter had purported to act on a recommendation </w:t>
      </w:r>
      <w:r>
        <w:rPr>
          <w:rFonts w:ascii="Bookman Old Style" w:hAnsi="Bookman Old Style"/>
          <w:sz w:val="28"/>
          <w:szCs w:val="28"/>
          <w:lang w:val="en-US"/>
        </w:rPr>
        <w:t xml:space="preserve">to have him dismissed following a </w:t>
      </w:r>
      <w:r w:rsidR="00F42DA2">
        <w:rPr>
          <w:rFonts w:ascii="Bookman Old Style" w:hAnsi="Bookman Old Style"/>
          <w:sz w:val="28"/>
          <w:szCs w:val="28"/>
          <w:lang w:val="en-US"/>
        </w:rPr>
        <w:t>disciplinary hearing.</w:t>
      </w:r>
    </w:p>
    <w:p w14:paraId="7BDA485A" w14:textId="77777777" w:rsidR="00F42DA2" w:rsidRDefault="00F42DA2" w:rsidP="00F42DA2">
      <w:pPr>
        <w:pStyle w:val="ListParagraph"/>
        <w:spacing w:line="360" w:lineRule="auto"/>
        <w:ind w:left="0"/>
        <w:jc w:val="both"/>
        <w:rPr>
          <w:rFonts w:ascii="Bookman Old Style" w:hAnsi="Bookman Old Style"/>
          <w:sz w:val="28"/>
          <w:szCs w:val="28"/>
          <w:lang w:val="en-US"/>
        </w:rPr>
      </w:pPr>
    </w:p>
    <w:p w14:paraId="7B5F8F61" w14:textId="63F7AC9F" w:rsidR="00F42DA2" w:rsidRDefault="00F42DA2" w:rsidP="001A4E21">
      <w:pPr>
        <w:pStyle w:val="ListParagraph"/>
        <w:numPr>
          <w:ilvl w:val="0"/>
          <w:numId w:val="4"/>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Dissatisfied with his dismiss</w:t>
      </w:r>
      <w:r w:rsidR="00D639A6">
        <w:rPr>
          <w:rFonts w:ascii="Bookman Old Style" w:hAnsi="Bookman Old Style"/>
          <w:sz w:val="28"/>
          <w:szCs w:val="28"/>
          <w:lang w:val="en-US"/>
        </w:rPr>
        <w:t>al</w:t>
      </w:r>
      <w:r>
        <w:rPr>
          <w:rFonts w:ascii="Bookman Old Style" w:hAnsi="Bookman Old Style"/>
          <w:sz w:val="28"/>
          <w:szCs w:val="28"/>
          <w:lang w:val="en-US"/>
        </w:rPr>
        <w:t xml:space="preserve">, </w:t>
      </w:r>
      <w:r w:rsidR="00D639A6">
        <w:rPr>
          <w:rFonts w:ascii="Bookman Old Style" w:hAnsi="Bookman Old Style"/>
          <w:sz w:val="28"/>
          <w:szCs w:val="28"/>
          <w:lang w:val="en-US"/>
        </w:rPr>
        <w:t>t</w:t>
      </w:r>
      <w:r>
        <w:rPr>
          <w:rFonts w:ascii="Bookman Old Style" w:hAnsi="Bookman Old Style"/>
          <w:sz w:val="28"/>
          <w:szCs w:val="28"/>
          <w:lang w:val="en-US"/>
        </w:rPr>
        <w:t xml:space="preserve">he </w:t>
      </w:r>
      <w:r w:rsidR="00D639A6">
        <w:rPr>
          <w:rFonts w:ascii="Bookman Old Style" w:hAnsi="Bookman Old Style"/>
          <w:sz w:val="28"/>
          <w:szCs w:val="28"/>
          <w:lang w:val="en-US"/>
        </w:rPr>
        <w:t xml:space="preserve">respondent </w:t>
      </w:r>
      <w:r>
        <w:rPr>
          <w:rFonts w:ascii="Bookman Old Style" w:hAnsi="Bookman Old Style"/>
          <w:sz w:val="28"/>
          <w:szCs w:val="28"/>
          <w:lang w:val="en-US"/>
        </w:rPr>
        <w:t>approached the High Court by way of review.  The High Court set aside the dismissal on the basis that it was unlawful and thus reviewable.  That cou</w:t>
      </w:r>
      <w:r w:rsidR="00D639A6">
        <w:rPr>
          <w:rFonts w:ascii="Bookman Old Style" w:hAnsi="Bookman Old Style"/>
          <w:sz w:val="28"/>
          <w:szCs w:val="28"/>
          <w:lang w:val="en-US"/>
        </w:rPr>
        <w:t>rt also</w:t>
      </w:r>
      <w:r>
        <w:rPr>
          <w:rFonts w:ascii="Bookman Old Style" w:hAnsi="Bookman Old Style"/>
          <w:sz w:val="28"/>
          <w:szCs w:val="28"/>
          <w:lang w:val="en-US"/>
        </w:rPr>
        <w:t xml:space="preserve"> reinstated the respondent and directed the Government of Lesotho</w:t>
      </w:r>
      <w:r w:rsidR="00D639A6">
        <w:rPr>
          <w:rFonts w:ascii="Bookman Old Style" w:hAnsi="Bookman Old Style"/>
          <w:sz w:val="28"/>
          <w:szCs w:val="28"/>
          <w:lang w:val="en-US"/>
        </w:rPr>
        <w:t xml:space="preserve"> (</w:t>
      </w:r>
      <w:proofErr w:type="spellStart"/>
      <w:r w:rsidR="00D639A6">
        <w:rPr>
          <w:rFonts w:ascii="Bookman Old Style" w:hAnsi="Bookman Old Style"/>
          <w:sz w:val="28"/>
          <w:szCs w:val="28"/>
          <w:lang w:val="en-US"/>
        </w:rPr>
        <w:t>GoL</w:t>
      </w:r>
      <w:proofErr w:type="spellEnd"/>
      <w:r w:rsidR="00D639A6">
        <w:rPr>
          <w:rFonts w:ascii="Bookman Old Style" w:hAnsi="Bookman Old Style"/>
          <w:sz w:val="28"/>
          <w:szCs w:val="28"/>
          <w:lang w:val="en-US"/>
        </w:rPr>
        <w:t>)</w:t>
      </w:r>
      <w:r w:rsidR="009F0839">
        <w:rPr>
          <w:rFonts w:ascii="Bookman Old Style" w:hAnsi="Bookman Old Style"/>
          <w:sz w:val="28"/>
          <w:szCs w:val="28"/>
          <w:lang w:val="en-US"/>
        </w:rPr>
        <w:t xml:space="preserve"> to pay the respondent’s arrear</w:t>
      </w:r>
      <w:r>
        <w:rPr>
          <w:rFonts w:ascii="Bookman Old Style" w:hAnsi="Bookman Old Style"/>
          <w:sz w:val="28"/>
          <w:szCs w:val="28"/>
          <w:lang w:val="en-US"/>
        </w:rPr>
        <w:t xml:space="preserve"> salary and benefits.</w:t>
      </w:r>
    </w:p>
    <w:p w14:paraId="6257C217" w14:textId="77777777" w:rsidR="00983C43" w:rsidRPr="00983C43" w:rsidRDefault="00983C43" w:rsidP="00983C43">
      <w:pPr>
        <w:pStyle w:val="ListParagraph"/>
        <w:rPr>
          <w:rFonts w:ascii="Bookman Old Style" w:hAnsi="Bookman Old Style"/>
          <w:sz w:val="28"/>
          <w:szCs w:val="28"/>
          <w:lang w:val="en-US"/>
        </w:rPr>
      </w:pPr>
    </w:p>
    <w:p w14:paraId="125BAF10" w14:textId="74B54DDF" w:rsidR="00983C43" w:rsidRDefault="00983C43" w:rsidP="001A4E21">
      <w:pPr>
        <w:pStyle w:val="ListParagraph"/>
        <w:numPr>
          <w:ilvl w:val="0"/>
          <w:numId w:val="4"/>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The </w:t>
      </w:r>
      <w:proofErr w:type="spellStart"/>
      <w:r>
        <w:rPr>
          <w:rFonts w:ascii="Bookman Old Style" w:hAnsi="Bookman Old Style"/>
          <w:sz w:val="28"/>
          <w:szCs w:val="28"/>
          <w:lang w:val="en-US"/>
        </w:rPr>
        <w:t>Go</w:t>
      </w:r>
      <w:r w:rsidR="00D639A6">
        <w:rPr>
          <w:rFonts w:ascii="Bookman Old Style" w:hAnsi="Bookman Old Style"/>
          <w:sz w:val="28"/>
          <w:szCs w:val="28"/>
          <w:lang w:val="en-US"/>
        </w:rPr>
        <w:t>L</w:t>
      </w:r>
      <w:proofErr w:type="spellEnd"/>
      <w:r w:rsidR="00D639A6">
        <w:rPr>
          <w:rFonts w:ascii="Bookman Old Style" w:hAnsi="Bookman Old Style"/>
          <w:sz w:val="28"/>
          <w:szCs w:val="28"/>
          <w:lang w:val="en-US"/>
        </w:rPr>
        <w:t xml:space="preserve"> </w:t>
      </w:r>
      <w:r>
        <w:rPr>
          <w:rFonts w:ascii="Bookman Old Style" w:hAnsi="Bookman Old Style"/>
          <w:sz w:val="28"/>
          <w:szCs w:val="28"/>
          <w:lang w:val="en-US"/>
        </w:rPr>
        <w:t>appeal</w:t>
      </w:r>
      <w:r w:rsidR="00D639A6">
        <w:rPr>
          <w:rFonts w:ascii="Bookman Old Style" w:hAnsi="Bookman Old Style"/>
          <w:sz w:val="28"/>
          <w:szCs w:val="28"/>
          <w:lang w:val="en-US"/>
        </w:rPr>
        <w:t>ed to this court against the j</w:t>
      </w:r>
      <w:r>
        <w:rPr>
          <w:rFonts w:ascii="Bookman Old Style" w:hAnsi="Bookman Old Style"/>
          <w:sz w:val="28"/>
          <w:szCs w:val="28"/>
          <w:lang w:val="en-US"/>
        </w:rPr>
        <w:t>udgement and order of the High Court.</w:t>
      </w:r>
    </w:p>
    <w:p w14:paraId="17E6F66C" w14:textId="77777777" w:rsidR="00983C43" w:rsidRDefault="00983C43" w:rsidP="00983C43">
      <w:pPr>
        <w:rPr>
          <w:rFonts w:ascii="Bookman Old Style" w:hAnsi="Bookman Old Style"/>
          <w:sz w:val="28"/>
          <w:szCs w:val="28"/>
          <w:lang w:val="en-US"/>
        </w:rPr>
      </w:pPr>
    </w:p>
    <w:p w14:paraId="0227DEDC" w14:textId="77777777" w:rsidR="00380183" w:rsidRDefault="00380183" w:rsidP="00983C43">
      <w:pPr>
        <w:rPr>
          <w:rFonts w:ascii="Bookman Old Style" w:hAnsi="Bookman Old Style"/>
          <w:b/>
          <w:sz w:val="28"/>
          <w:szCs w:val="28"/>
          <w:lang w:val="en-US"/>
        </w:rPr>
      </w:pPr>
    </w:p>
    <w:p w14:paraId="018E0729" w14:textId="77777777" w:rsidR="00380183" w:rsidRDefault="00380183" w:rsidP="00983C43">
      <w:pPr>
        <w:rPr>
          <w:rFonts w:ascii="Bookman Old Style" w:hAnsi="Bookman Old Style"/>
          <w:b/>
          <w:sz w:val="28"/>
          <w:szCs w:val="28"/>
          <w:lang w:val="en-US"/>
        </w:rPr>
      </w:pPr>
    </w:p>
    <w:p w14:paraId="07EBD99F" w14:textId="77777777" w:rsidR="00380183" w:rsidRDefault="00380183" w:rsidP="00983C43">
      <w:pPr>
        <w:rPr>
          <w:rFonts w:ascii="Bookman Old Style" w:hAnsi="Bookman Old Style"/>
          <w:b/>
          <w:sz w:val="28"/>
          <w:szCs w:val="28"/>
          <w:lang w:val="en-US"/>
        </w:rPr>
      </w:pPr>
    </w:p>
    <w:p w14:paraId="2345B0A2" w14:textId="77777777" w:rsidR="00380183" w:rsidRDefault="00380183" w:rsidP="00983C43">
      <w:pPr>
        <w:rPr>
          <w:rFonts w:ascii="Bookman Old Style" w:hAnsi="Bookman Old Style"/>
          <w:b/>
          <w:sz w:val="28"/>
          <w:szCs w:val="28"/>
          <w:lang w:val="en-US"/>
        </w:rPr>
      </w:pPr>
    </w:p>
    <w:p w14:paraId="479CA281" w14:textId="7E086633" w:rsidR="00983C43" w:rsidRDefault="00983C43" w:rsidP="00983C43">
      <w:pPr>
        <w:rPr>
          <w:rFonts w:ascii="Bookman Old Style" w:hAnsi="Bookman Old Style"/>
          <w:b/>
          <w:sz w:val="28"/>
          <w:szCs w:val="28"/>
          <w:lang w:val="en-US"/>
        </w:rPr>
      </w:pPr>
      <w:r w:rsidRPr="00983C43">
        <w:rPr>
          <w:rFonts w:ascii="Bookman Old Style" w:hAnsi="Bookman Old Style"/>
          <w:b/>
          <w:sz w:val="28"/>
          <w:szCs w:val="28"/>
          <w:lang w:val="en-US"/>
        </w:rPr>
        <w:lastRenderedPageBreak/>
        <w:t>The Law</w:t>
      </w:r>
    </w:p>
    <w:p w14:paraId="2FA62D93" w14:textId="77777777" w:rsidR="009F0839" w:rsidRPr="00983C43" w:rsidRDefault="009F0839" w:rsidP="00983C43">
      <w:pPr>
        <w:rPr>
          <w:rFonts w:ascii="Bookman Old Style" w:hAnsi="Bookman Old Style"/>
          <w:b/>
          <w:sz w:val="28"/>
          <w:szCs w:val="28"/>
          <w:lang w:val="en-US"/>
        </w:rPr>
      </w:pPr>
    </w:p>
    <w:p w14:paraId="068F55AD" w14:textId="5D073538" w:rsidR="00983C43" w:rsidRDefault="00983C43" w:rsidP="001A4E21">
      <w:pPr>
        <w:pStyle w:val="ListParagraph"/>
        <w:numPr>
          <w:ilvl w:val="0"/>
          <w:numId w:val="4"/>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In </w:t>
      </w:r>
      <w:r w:rsidR="004C64BA" w:rsidRPr="009F0839">
        <w:rPr>
          <w:rFonts w:ascii="Bookman Old Style" w:hAnsi="Bookman Old Style"/>
          <w:i/>
          <w:sz w:val="28"/>
          <w:szCs w:val="28"/>
          <w:lang w:val="en-US"/>
        </w:rPr>
        <w:t xml:space="preserve">PS Ministry of </w:t>
      </w:r>
      <w:proofErr w:type="spellStart"/>
      <w:r w:rsidR="004C64BA" w:rsidRPr="009F0839">
        <w:rPr>
          <w:rFonts w:ascii="Bookman Old Style" w:hAnsi="Bookman Old Style"/>
          <w:i/>
          <w:sz w:val="28"/>
          <w:szCs w:val="28"/>
          <w:lang w:val="en-US"/>
        </w:rPr>
        <w:t>Labour</w:t>
      </w:r>
      <w:proofErr w:type="spellEnd"/>
      <w:r w:rsidR="004C64BA" w:rsidRPr="009F0839">
        <w:rPr>
          <w:rFonts w:ascii="Bookman Old Style" w:hAnsi="Bookman Old Style"/>
          <w:i/>
          <w:sz w:val="28"/>
          <w:szCs w:val="28"/>
          <w:lang w:val="en-US"/>
        </w:rPr>
        <w:t xml:space="preserve"> and Employment and Others v Russel</w:t>
      </w:r>
      <w:r w:rsidR="004C64BA">
        <w:rPr>
          <w:rStyle w:val="FootnoteReference"/>
          <w:rFonts w:ascii="Bookman Old Style" w:hAnsi="Bookman Old Style"/>
          <w:sz w:val="28"/>
          <w:szCs w:val="28"/>
          <w:lang w:val="en-US"/>
        </w:rPr>
        <w:footnoteReference w:id="1"/>
      </w:r>
      <w:r w:rsidR="004C64BA">
        <w:rPr>
          <w:rFonts w:ascii="Bookman Old Style" w:hAnsi="Bookman Old Style"/>
          <w:sz w:val="28"/>
          <w:szCs w:val="28"/>
          <w:lang w:val="en-US"/>
        </w:rPr>
        <w:t xml:space="preserve"> </w:t>
      </w:r>
      <w:r>
        <w:rPr>
          <w:rFonts w:ascii="Bookman Old Style" w:hAnsi="Bookman Old Style"/>
          <w:sz w:val="28"/>
          <w:szCs w:val="28"/>
          <w:lang w:val="en-US"/>
        </w:rPr>
        <w:t xml:space="preserve">this court authoritatively </w:t>
      </w:r>
      <w:r w:rsidR="008B0A0B" w:rsidRPr="008B0A0B">
        <w:rPr>
          <w:rFonts w:ascii="Bookman Old Style" w:hAnsi="Bookman Old Style"/>
          <w:sz w:val="28"/>
          <w:szCs w:val="28"/>
          <w:lang w:val="en-US"/>
        </w:rPr>
        <w:t>laid</w:t>
      </w:r>
      <w:r w:rsidRPr="008B0A0B">
        <w:rPr>
          <w:rFonts w:ascii="Bookman Old Style" w:hAnsi="Bookman Old Style"/>
          <w:sz w:val="28"/>
          <w:szCs w:val="28"/>
          <w:lang w:val="en-US"/>
        </w:rPr>
        <w:t xml:space="preserve"> down </w:t>
      </w:r>
      <w:r>
        <w:rPr>
          <w:rFonts w:ascii="Bookman Old Style" w:hAnsi="Bookman Old Style"/>
          <w:sz w:val="28"/>
          <w:szCs w:val="28"/>
          <w:lang w:val="en-US"/>
        </w:rPr>
        <w:t xml:space="preserve">that the High Court </w:t>
      </w:r>
      <w:r w:rsidR="00D639A6">
        <w:rPr>
          <w:rFonts w:ascii="Bookman Old Style" w:hAnsi="Bookman Old Style"/>
          <w:sz w:val="28"/>
          <w:szCs w:val="28"/>
          <w:lang w:val="en-US"/>
        </w:rPr>
        <w:t xml:space="preserve">is not the appropriate forum </w:t>
      </w:r>
      <w:r>
        <w:rPr>
          <w:rFonts w:ascii="Bookman Old Style" w:hAnsi="Bookman Old Style"/>
          <w:sz w:val="28"/>
          <w:szCs w:val="28"/>
          <w:lang w:val="en-US"/>
        </w:rPr>
        <w:t xml:space="preserve">over disputes where a public servant wishes to challenge a dismissal from employment or any other </w:t>
      </w:r>
      <w:r w:rsidR="00D639A6">
        <w:rPr>
          <w:rFonts w:ascii="Bookman Old Style" w:hAnsi="Bookman Old Style"/>
          <w:sz w:val="28"/>
          <w:szCs w:val="28"/>
          <w:lang w:val="en-US"/>
        </w:rPr>
        <w:t xml:space="preserve">grievance </w:t>
      </w:r>
      <w:r>
        <w:rPr>
          <w:rFonts w:ascii="Bookman Old Style" w:hAnsi="Bookman Old Style"/>
          <w:sz w:val="28"/>
          <w:szCs w:val="28"/>
          <w:lang w:val="en-US"/>
        </w:rPr>
        <w:t>arising from his or her employer</w:t>
      </w:r>
      <w:r w:rsidR="00D639A6">
        <w:rPr>
          <w:rFonts w:ascii="Bookman Old Style" w:hAnsi="Bookman Old Style"/>
          <w:sz w:val="28"/>
          <w:szCs w:val="28"/>
          <w:lang w:val="en-US"/>
        </w:rPr>
        <w:t>’s decision adverse to him or her.</w:t>
      </w:r>
    </w:p>
    <w:p w14:paraId="737C4308" w14:textId="77777777" w:rsidR="00983C43" w:rsidRDefault="00983C43" w:rsidP="00983C43">
      <w:pPr>
        <w:pStyle w:val="ListParagraph"/>
        <w:spacing w:line="360" w:lineRule="auto"/>
        <w:ind w:left="0"/>
        <w:jc w:val="both"/>
        <w:rPr>
          <w:rFonts w:ascii="Bookman Old Style" w:hAnsi="Bookman Old Style"/>
          <w:sz w:val="28"/>
          <w:szCs w:val="28"/>
          <w:lang w:val="en-US"/>
        </w:rPr>
      </w:pPr>
    </w:p>
    <w:p w14:paraId="684E2D82" w14:textId="4D3D5693" w:rsidR="00983C43" w:rsidRDefault="00983C43" w:rsidP="001A4E21">
      <w:pPr>
        <w:pStyle w:val="ListParagraph"/>
        <w:numPr>
          <w:ilvl w:val="0"/>
          <w:numId w:val="4"/>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The court said in </w:t>
      </w:r>
      <w:r w:rsidRPr="009F0839">
        <w:rPr>
          <w:rFonts w:ascii="Bookman Old Style" w:hAnsi="Bookman Old Style"/>
          <w:i/>
          <w:sz w:val="28"/>
          <w:szCs w:val="28"/>
          <w:lang w:val="en-US"/>
        </w:rPr>
        <w:t>Russel</w:t>
      </w:r>
      <w:r w:rsidR="002E0739">
        <w:rPr>
          <w:rFonts w:ascii="Bookman Old Style" w:hAnsi="Bookman Old Style"/>
          <w:sz w:val="28"/>
          <w:szCs w:val="28"/>
          <w:lang w:val="en-US"/>
        </w:rPr>
        <w:t>:</w:t>
      </w:r>
    </w:p>
    <w:p w14:paraId="71F5A45D" w14:textId="77777777" w:rsidR="00983C43" w:rsidRDefault="00983C43" w:rsidP="007250DF">
      <w:pPr>
        <w:rPr>
          <w:rFonts w:ascii="Bookman Old Style" w:hAnsi="Bookman Old Style"/>
          <w:sz w:val="28"/>
          <w:szCs w:val="28"/>
          <w:lang w:val="en-US"/>
        </w:rPr>
      </w:pPr>
    </w:p>
    <w:p w14:paraId="2DF56B43" w14:textId="63FA58E0" w:rsidR="002E0739" w:rsidRPr="00B97A68" w:rsidRDefault="002E0739" w:rsidP="00380183">
      <w:pPr>
        <w:ind w:left="709"/>
        <w:jc w:val="both"/>
        <w:rPr>
          <w:rFonts w:ascii="Bookman Old Style" w:eastAsia="Calibri" w:hAnsi="Bookman Old Style" w:cs="Times New Roman"/>
          <w:i/>
          <w:lang w:val="en-US"/>
        </w:rPr>
      </w:pPr>
      <w:r w:rsidRPr="00B97A68">
        <w:rPr>
          <w:rFonts w:ascii="Bookman Old Style" w:eastAsia="Calibri" w:hAnsi="Bookman Old Style" w:cs="Times New Roman"/>
          <w:i/>
          <w:lang w:val="en-US"/>
        </w:rPr>
        <w:t xml:space="preserve">‘The legislative framework </w:t>
      </w:r>
    </w:p>
    <w:p w14:paraId="6E57C225" w14:textId="43602300" w:rsidR="002E0739" w:rsidRPr="00B97A68" w:rsidRDefault="002E0739" w:rsidP="00380183">
      <w:pPr>
        <w:ind w:left="709"/>
        <w:contextualSpacing/>
        <w:jc w:val="both"/>
        <w:rPr>
          <w:rFonts w:ascii="Bookman Old Style" w:eastAsia="Calibri" w:hAnsi="Bookman Old Style" w:cs="Times New Roman"/>
          <w:i/>
          <w:lang w:val="en-US"/>
        </w:rPr>
      </w:pPr>
      <w:r w:rsidRPr="00B97A68">
        <w:rPr>
          <w:rFonts w:ascii="Bookman Old Style" w:eastAsia="Calibri" w:hAnsi="Bookman Old Style" w:cs="Times New Roman"/>
          <w:i/>
          <w:lang w:val="en-US"/>
        </w:rPr>
        <w:t xml:space="preserve">[19] ‘Public officers’ as defined in s 154(1) of the Lesotho Constitution are the single largest group of employees in the Kingdom. The rest are employees in the private sector and state-owned enterprises. In Lesotho, the principal law governing resolution of </w:t>
      </w:r>
      <w:proofErr w:type="spellStart"/>
      <w:r w:rsidRPr="00B97A68">
        <w:rPr>
          <w:rFonts w:ascii="Bookman Old Style" w:eastAsia="Calibri" w:hAnsi="Bookman Old Style" w:cs="Times New Roman"/>
          <w:i/>
          <w:lang w:val="en-US"/>
        </w:rPr>
        <w:t>labour</w:t>
      </w:r>
      <w:proofErr w:type="spellEnd"/>
      <w:r w:rsidRPr="00B97A68">
        <w:rPr>
          <w:rFonts w:ascii="Bookman Old Style" w:eastAsia="Calibri" w:hAnsi="Bookman Old Style" w:cs="Times New Roman"/>
          <w:i/>
          <w:lang w:val="en-US"/>
        </w:rPr>
        <w:t xml:space="preserve"> disputes is the </w:t>
      </w:r>
      <w:proofErr w:type="spellStart"/>
      <w:r w:rsidRPr="00B97A68">
        <w:rPr>
          <w:rFonts w:ascii="Bookman Old Style" w:eastAsia="Calibri" w:hAnsi="Bookman Old Style" w:cs="Times New Roman"/>
          <w:i/>
          <w:lang w:val="en-US"/>
        </w:rPr>
        <w:t>Labour</w:t>
      </w:r>
      <w:proofErr w:type="spellEnd"/>
      <w:r w:rsidRPr="00B97A68">
        <w:rPr>
          <w:rFonts w:ascii="Bookman Old Style" w:eastAsia="Calibri" w:hAnsi="Bookman Old Style" w:cs="Times New Roman"/>
          <w:i/>
          <w:lang w:val="en-US"/>
        </w:rPr>
        <w:t xml:space="preserve"> Code Order 1992 (the </w:t>
      </w:r>
      <w:proofErr w:type="spellStart"/>
      <w:r w:rsidRPr="00B97A68">
        <w:rPr>
          <w:rFonts w:ascii="Bookman Old Style" w:eastAsia="Calibri" w:hAnsi="Bookman Old Style" w:cs="Times New Roman"/>
          <w:i/>
          <w:lang w:val="en-US"/>
        </w:rPr>
        <w:t>Labour</w:t>
      </w:r>
      <w:proofErr w:type="spellEnd"/>
      <w:r w:rsidRPr="00B97A68">
        <w:rPr>
          <w:rFonts w:ascii="Bookman Old Style" w:eastAsia="Calibri" w:hAnsi="Bookman Old Style" w:cs="Times New Roman"/>
          <w:i/>
          <w:lang w:val="en-US"/>
        </w:rPr>
        <w:t xml:space="preserve"> Code).</w:t>
      </w:r>
    </w:p>
    <w:p w14:paraId="37BFFE9A" w14:textId="77777777" w:rsidR="002E0739" w:rsidRPr="00B97A68" w:rsidRDefault="002E0739" w:rsidP="00380183">
      <w:pPr>
        <w:ind w:left="720"/>
        <w:jc w:val="both"/>
        <w:rPr>
          <w:rFonts w:ascii="Bookman Old Style" w:eastAsia="Calibri" w:hAnsi="Bookman Old Style" w:cs="Times New Roman"/>
          <w:i/>
          <w:lang w:val="en-US"/>
        </w:rPr>
      </w:pPr>
    </w:p>
    <w:p w14:paraId="0C9636A8" w14:textId="661D1498" w:rsidR="002E0739" w:rsidRPr="00B97A68" w:rsidRDefault="00F81908" w:rsidP="00380183">
      <w:pPr>
        <w:ind w:left="720"/>
        <w:jc w:val="both"/>
        <w:rPr>
          <w:rFonts w:ascii="Bookman Old Style" w:eastAsia="Calibri" w:hAnsi="Bookman Old Style" w:cs="Times New Roman"/>
          <w:i/>
          <w:lang w:val="en-US"/>
        </w:rPr>
      </w:pPr>
      <w:r>
        <w:rPr>
          <w:rFonts w:ascii="Bookman Old Style" w:eastAsia="Calibri" w:hAnsi="Bookman Old Style" w:cs="Times New Roman"/>
          <w:i/>
          <w:lang w:val="en-US"/>
        </w:rPr>
        <w:t>…</w:t>
      </w:r>
    </w:p>
    <w:p w14:paraId="79BB88EB" w14:textId="77777777" w:rsidR="002E0739" w:rsidRPr="00B97A68" w:rsidRDefault="002E0739" w:rsidP="00380183">
      <w:pPr>
        <w:ind w:left="720"/>
        <w:jc w:val="both"/>
        <w:rPr>
          <w:rFonts w:ascii="Bookman Old Style" w:eastAsia="Calibri" w:hAnsi="Bookman Old Style" w:cs="Times New Roman"/>
          <w:i/>
          <w:lang w:val="en-US"/>
        </w:rPr>
      </w:pPr>
      <w:r w:rsidRPr="00B97A68">
        <w:rPr>
          <w:rFonts w:ascii="Bookman Old Style" w:eastAsia="Calibri" w:hAnsi="Bookman Old Style" w:cs="Times New Roman"/>
          <w:i/>
          <w:lang w:val="en-US"/>
        </w:rPr>
        <w:t xml:space="preserve">Subsequent developments </w:t>
      </w:r>
    </w:p>
    <w:p w14:paraId="23AA59D3" w14:textId="00229DB9" w:rsidR="002E0739" w:rsidRPr="00B97A68" w:rsidRDefault="002E0739" w:rsidP="00380183">
      <w:pPr>
        <w:ind w:left="720"/>
        <w:jc w:val="both"/>
        <w:rPr>
          <w:rFonts w:ascii="Bookman Old Style" w:eastAsia="Calibri" w:hAnsi="Bookman Old Style" w:cs="Times New Roman"/>
          <w:i/>
          <w:lang w:val="en-US"/>
        </w:rPr>
      </w:pPr>
      <w:r w:rsidRPr="00B97A68">
        <w:rPr>
          <w:rFonts w:ascii="Bookman Old Style" w:eastAsia="Calibri" w:hAnsi="Bookman Old Style" w:cs="Times New Roman"/>
          <w:i/>
          <w:lang w:val="en-US"/>
        </w:rPr>
        <w:t xml:space="preserve">[21] In 2007, the legislature enacted the Public Service Amendment Act 3 of 2007 which brought about significant changes to the </w:t>
      </w:r>
      <w:proofErr w:type="spellStart"/>
      <w:r w:rsidRPr="00B97A68">
        <w:rPr>
          <w:rFonts w:ascii="Bookman Old Style" w:eastAsia="Calibri" w:hAnsi="Bookman Old Style" w:cs="Times New Roman"/>
          <w:i/>
          <w:lang w:val="en-US"/>
        </w:rPr>
        <w:t>labour</w:t>
      </w:r>
      <w:proofErr w:type="spellEnd"/>
      <w:r w:rsidRPr="00B97A68">
        <w:rPr>
          <w:rFonts w:ascii="Bookman Old Style" w:eastAsia="Calibri" w:hAnsi="Bookman Old Style" w:cs="Times New Roman"/>
          <w:i/>
          <w:lang w:val="en-US"/>
        </w:rPr>
        <w:t xml:space="preserve"> dispute resolution regime applicable to the public service. In short, it retained the Tribunal already created in the 2005 Act and provided for appeals from decisions of the Tribunal to the </w:t>
      </w:r>
      <w:proofErr w:type="spellStart"/>
      <w:r w:rsidRPr="00B97A68">
        <w:rPr>
          <w:rFonts w:ascii="Bookman Old Style" w:eastAsia="Calibri" w:hAnsi="Bookman Old Style" w:cs="Times New Roman"/>
          <w:i/>
          <w:lang w:val="en-US"/>
        </w:rPr>
        <w:t>Labour</w:t>
      </w:r>
      <w:proofErr w:type="spellEnd"/>
      <w:r w:rsidRPr="00B97A68">
        <w:rPr>
          <w:rFonts w:ascii="Bookman Old Style" w:eastAsia="Calibri" w:hAnsi="Bookman Old Style" w:cs="Times New Roman"/>
          <w:i/>
          <w:lang w:val="en-US"/>
        </w:rPr>
        <w:t xml:space="preserve"> Court. </w:t>
      </w:r>
    </w:p>
    <w:p w14:paraId="5944B031" w14:textId="77777777" w:rsidR="002E0739" w:rsidRPr="00B97A68" w:rsidRDefault="002E0739" w:rsidP="00380183">
      <w:pPr>
        <w:ind w:left="720"/>
        <w:jc w:val="both"/>
        <w:rPr>
          <w:rFonts w:ascii="Bookman Old Style" w:eastAsia="Calibri" w:hAnsi="Bookman Old Style" w:cs="Times New Roman"/>
          <w:i/>
          <w:lang w:val="en-US"/>
        </w:rPr>
      </w:pPr>
    </w:p>
    <w:p w14:paraId="3B283F03" w14:textId="4B09613A" w:rsidR="002E0739" w:rsidRPr="00B97A68" w:rsidRDefault="002E0739" w:rsidP="00380183">
      <w:pPr>
        <w:ind w:left="720"/>
        <w:jc w:val="both"/>
        <w:rPr>
          <w:rFonts w:ascii="Bookman Old Style" w:eastAsia="Calibri" w:hAnsi="Bookman Old Style" w:cs="Times New Roman"/>
          <w:i/>
          <w:lang w:val="en-US"/>
        </w:rPr>
      </w:pPr>
      <w:r w:rsidRPr="00B97A68">
        <w:rPr>
          <w:rFonts w:ascii="Bookman Old Style" w:eastAsia="Calibri" w:hAnsi="Bookman Old Style" w:cs="Times New Roman"/>
          <w:i/>
          <w:lang w:val="en-US"/>
        </w:rPr>
        <w:t xml:space="preserve">[22] The effect of the amended ss 20 and 30 of the Public Service can be briefly stated. The </w:t>
      </w:r>
      <w:proofErr w:type="spellStart"/>
      <w:r w:rsidRPr="00B97A68">
        <w:rPr>
          <w:rFonts w:ascii="Bookman Old Style" w:eastAsia="Calibri" w:hAnsi="Bookman Old Style" w:cs="Times New Roman"/>
          <w:i/>
          <w:lang w:val="en-US"/>
        </w:rPr>
        <w:t>new s</w:t>
      </w:r>
      <w:proofErr w:type="spellEnd"/>
      <w:r w:rsidRPr="00B97A68">
        <w:rPr>
          <w:rFonts w:ascii="Bookman Old Style" w:eastAsia="Calibri" w:hAnsi="Bookman Old Style" w:cs="Times New Roman"/>
          <w:i/>
          <w:lang w:val="en-US"/>
        </w:rPr>
        <w:t xml:space="preserve"> 30 exempts the public service from the operation of the </w:t>
      </w:r>
      <w:proofErr w:type="spellStart"/>
      <w:r w:rsidRPr="00B97A68">
        <w:rPr>
          <w:rFonts w:ascii="Bookman Old Style" w:eastAsia="Calibri" w:hAnsi="Bookman Old Style" w:cs="Times New Roman"/>
          <w:i/>
          <w:lang w:val="en-US"/>
        </w:rPr>
        <w:t>Labour</w:t>
      </w:r>
      <w:proofErr w:type="spellEnd"/>
      <w:r w:rsidRPr="00B97A68">
        <w:rPr>
          <w:rFonts w:ascii="Bookman Old Style" w:eastAsia="Calibri" w:hAnsi="Bookman Old Style" w:cs="Times New Roman"/>
          <w:i/>
          <w:lang w:val="en-US"/>
        </w:rPr>
        <w:t xml:space="preserve"> Code, except in the limited respect provided for in that provision. The exemption regime created by s 2(2) of the </w:t>
      </w:r>
      <w:proofErr w:type="spellStart"/>
      <w:r w:rsidRPr="00B97A68">
        <w:rPr>
          <w:rFonts w:ascii="Bookman Old Style" w:eastAsia="Calibri" w:hAnsi="Bookman Old Style" w:cs="Times New Roman"/>
          <w:i/>
          <w:lang w:val="en-US"/>
        </w:rPr>
        <w:t>Labour</w:t>
      </w:r>
      <w:proofErr w:type="spellEnd"/>
      <w:r w:rsidRPr="00B97A68">
        <w:rPr>
          <w:rFonts w:ascii="Bookman Old Style" w:eastAsia="Calibri" w:hAnsi="Bookman Old Style" w:cs="Times New Roman"/>
          <w:i/>
          <w:lang w:val="en-US"/>
        </w:rPr>
        <w:t xml:space="preserve"> Code is therefore irrelevant in respect of the public service. Section 30 specifically makes appeals under s 20 subject to the </w:t>
      </w:r>
      <w:proofErr w:type="spellStart"/>
      <w:r w:rsidRPr="00B97A68">
        <w:rPr>
          <w:rFonts w:ascii="Bookman Old Style" w:eastAsia="Calibri" w:hAnsi="Bookman Old Style" w:cs="Times New Roman"/>
          <w:i/>
          <w:lang w:val="en-US"/>
        </w:rPr>
        <w:t>Labour</w:t>
      </w:r>
      <w:proofErr w:type="spellEnd"/>
      <w:r w:rsidRPr="00B97A68">
        <w:rPr>
          <w:rFonts w:ascii="Bookman Old Style" w:eastAsia="Calibri" w:hAnsi="Bookman Old Style" w:cs="Times New Roman"/>
          <w:i/>
          <w:lang w:val="en-US"/>
        </w:rPr>
        <w:t xml:space="preserve"> Code because appeals thereunder lie to the </w:t>
      </w:r>
      <w:proofErr w:type="spellStart"/>
      <w:r w:rsidRPr="00B97A68">
        <w:rPr>
          <w:rFonts w:ascii="Bookman Old Style" w:eastAsia="Calibri" w:hAnsi="Bookman Old Style" w:cs="Times New Roman"/>
          <w:i/>
          <w:lang w:val="en-US"/>
        </w:rPr>
        <w:t>Labour</w:t>
      </w:r>
      <w:proofErr w:type="spellEnd"/>
      <w:r w:rsidRPr="00B97A68">
        <w:rPr>
          <w:rFonts w:ascii="Bookman Old Style" w:eastAsia="Calibri" w:hAnsi="Bookman Old Style" w:cs="Times New Roman"/>
          <w:i/>
          <w:lang w:val="en-US"/>
        </w:rPr>
        <w:t xml:space="preserve"> Court. It will be recalled that in terms of s 20(11):</w:t>
      </w:r>
    </w:p>
    <w:p w14:paraId="12062F8F" w14:textId="77777777" w:rsidR="002E0739" w:rsidRPr="00284155" w:rsidRDefault="002E0739" w:rsidP="00380183">
      <w:pPr>
        <w:ind w:left="720"/>
        <w:jc w:val="both"/>
        <w:rPr>
          <w:rFonts w:ascii="Bookman Old Style" w:eastAsia="Calibri" w:hAnsi="Bookman Old Style" w:cs="Times New Roman"/>
          <w:i/>
          <w:lang w:val="en-US"/>
        </w:rPr>
      </w:pPr>
    </w:p>
    <w:p w14:paraId="125B2FC8" w14:textId="77777777" w:rsidR="002E0739" w:rsidRPr="003F7E58" w:rsidRDefault="002E0739" w:rsidP="00380183">
      <w:pPr>
        <w:ind w:left="1440" w:firstLine="90"/>
        <w:jc w:val="both"/>
        <w:rPr>
          <w:rFonts w:ascii="Bookman Old Style" w:hAnsi="Bookman Old Style"/>
          <w:i/>
          <w:iCs/>
          <w:lang w:val="en-US"/>
        </w:rPr>
      </w:pPr>
      <w:r w:rsidRPr="003F7E58">
        <w:rPr>
          <w:rFonts w:ascii="Bookman Old Style" w:hAnsi="Bookman Old Style"/>
          <w:i/>
          <w:iCs/>
          <w:lang w:val="en-US"/>
        </w:rPr>
        <w:t xml:space="preserve">‘A party who is dissatisfied with a decision of a panel </w:t>
      </w:r>
      <w:r>
        <w:rPr>
          <w:rFonts w:ascii="Bookman Old Style" w:hAnsi="Bookman Old Style"/>
          <w:iCs/>
          <w:lang w:val="en-US"/>
        </w:rPr>
        <w:t xml:space="preserve">[of the Tribunal] </w:t>
      </w:r>
      <w:r w:rsidRPr="003F7E58">
        <w:rPr>
          <w:rFonts w:ascii="Bookman Old Style" w:hAnsi="Bookman Old Style"/>
          <w:i/>
          <w:iCs/>
          <w:lang w:val="en-US"/>
        </w:rPr>
        <w:t xml:space="preserve">may appeal to the </w:t>
      </w:r>
      <w:proofErr w:type="spellStart"/>
      <w:r w:rsidRPr="003F7E58">
        <w:rPr>
          <w:rFonts w:ascii="Bookman Old Style" w:hAnsi="Bookman Old Style"/>
          <w:i/>
          <w:iCs/>
          <w:lang w:val="en-US"/>
        </w:rPr>
        <w:t>Labour</w:t>
      </w:r>
      <w:proofErr w:type="spellEnd"/>
      <w:r w:rsidRPr="003F7E58">
        <w:rPr>
          <w:rFonts w:ascii="Bookman Old Style" w:hAnsi="Bookman Old Style"/>
          <w:i/>
          <w:iCs/>
          <w:lang w:val="en-US"/>
        </w:rPr>
        <w:t xml:space="preserve"> Court.</w:t>
      </w:r>
      <w:r>
        <w:rPr>
          <w:rFonts w:ascii="Bookman Old Style" w:hAnsi="Bookman Old Style"/>
          <w:i/>
          <w:iCs/>
          <w:lang w:val="en-US"/>
        </w:rPr>
        <w:t>’</w:t>
      </w:r>
    </w:p>
    <w:p w14:paraId="4F44D349" w14:textId="77777777" w:rsidR="002E0739" w:rsidRPr="00284155" w:rsidRDefault="002E0739" w:rsidP="00380183">
      <w:pPr>
        <w:ind w:left="720"/>
        <w:jc w:val="both"/>
        <w:rPr>
          <w:rFonts w:ascii="Bookman Old Style" w:eastAsia="Calibri" w:hAnsi="Bookman Old Style" w:cs="Times New Roman"/>
          <w:i/>
          <w:lang w:val="en-US"/>
        </w:rPr>
      </w:pPr>
    </w:p>
    <w:p w14:paraId="1E6A8A3D" w14:textId="41E3CF8E" w:rsidR="002E0739" w:rsidRPr="00B97A68" w:rsidRDefault="002E0739" w:rsidP="00380183">
      <w:pPr>
        <w:ind w:left="720"/>
        <w:jc w:val="both"/>
        <w:rPr>
          <w:rFonts w:ascii="Bookman Old Style" w:eastAsia="Calibri" w:hAnsi="Bookman Old Style" w:cs="Times New Roman"/>
          <w:i/>
          <w:lang w:val="en-US"/>
        </w:rPr>
      </w:pPr>
      <w:r w:rsidRPr="00B97A68">
        <w:rPr>
          <w:rFonts w:ascii="Bookman Old Style" w:eastAsia="Calibri" w:hAnsi="Bookman Old Style" w:cs="Times New Roman"/>
          <w:i/>
          <w:lang w:val="en-US"/>
        </w:rPr>
        <w:t xml:space="preserve">[23] Thus, if an employee in the public service is dissatisfied with the outcome of a disciplinary process or entertains a grievance, he or she </w:t>
      </w:r>
      <w:r w:rsidRPr="00B97A68">
        <w:rPr>
          <w:rFonts w:ascii="Bookman Old Style" w:eastAsia="Calibri" w:hAnsi="Bookman Old Style" w:cs="Times New Roman"/>
          <w:i/>
          <w:lang w:val="en-US"/>
        </w:rPr>
        <w:lastRenderedPageBreak/>
        <w:t xml:space="preserve">must appeal to the Tribunal. A party wishing to challenge the finding of the Tribunal must approach the </w:t>
      </w:r>
      <w:proofErr w:type="spellStart"/>
      <w:r w:rsidRPr="00B97A68">
        <w:rPr>
          <w:rFonts w:ascii="Bookman Old Style" w:eastAsia="Calibri" w:hAnsi="Bookman Old Style" w:cs="Times New Roman"/>
          <w:i/>
          <w:lang w:val="en-US"/>
        </w:rPr>
        <w:t>Labour</w:t>
      </w:r>
      <w:proofErr w:type="spellEnd"/>
      <w:r w:rsidRPr="00B97A68">
        <w:rPr>
          <w:rFonts w:ascii="Bookman Old Style" w:eastAsia="Calibri" w:hAnsi="Bookman Old Style" w:cs="Times New Roman"/>
          <w:i/>
          <w:lang w:val="en-US"/>
        </w:rPr>
        <w:t xml:space="preserve"> Court. Under the Public Service Act 2005 (as amended) the legislature has not granted the High Court jurisdiction over such a dispute. </w:t>
      </w:r>
    </w:p>
    <w:p w14:paraId="7845FD28" w14:textId="77777777" w:rsidR="002E0739" w:rsidRPr="00B97A68" w:rsidRDefault="002E0739" w:rsidP="00380183">
      <w:pPr>
        <w:ind w:left="720"/>
        <w:jc w:val="both"/>
        <w:rPr>
          <w:rFonts w:ascii="Bookman Old Style" w:eastAsia="Calibri" w:hAnsi="Bookman Old Style" w:cs="Times New Roman"/>
          <w:i/>
          <w:lang w:val="en-US"/>
        </w:rPr>
      </w:pPr>
    </w:p>
    <w:p w14:paraId="300DCDCF" w14:textId="53FD6569" w:rsidR="002E0739" w:rsidRPr="00B97A68" w:rsidRDefault="005F461B" w:rsidP="00380183">
      <w:pPr>
        <w:ind w:left="720"/>
        <w:jc w:val="both"/>
        <w:rPr>
          <w:rFonts w:ascii="Bookman Old Style" w:eastAsia="Calibri" w:hAnsi="Bookman Old Style" w:cs="Times New Roman"/>
          <w:i/>
          <w:lang w:val="en-US"/>
        </w:rPr>
      </w:pPr>
      <w:r>
        <w:rPr>
          <w:rFonts w:ascii="Bookman Old Style" w:eastAsia="Calibri" w:hAnsi="Bookman Old Style" w:cs="Times New Roman"/>
          <w:i/>
          <w:lang w:val="en-US"/>
        </w:rPr>
        <w:t>..</w:t>
      </w:r>
      <w:r w:rsidR="002E0739" w:rsidRPr="00B97A68">
        <w:rPr>
          <w:rFonts w:ascii="Bookman Old Style" w:eastAsia="Calibri" w:hAnsi="Bookman Old Style" w:cs="Times New Roman"/>
          <w:i/>
          <w:lang w:val="en-US"/>
        </w:rPr>
        <w:t>.</w:t>
      </w:r>
    </w:p>
    <w:p w14:paraId="6C93A601" w14:textId="77777777" w:rsidR="002E0739" w:rsidRPr="00B97A68" w:rsidRDefault="002E0739" w:rsidP="00380183">
      <w:pPr>
        <w:ind w:left="720"/>
        <w:jc w:val="both"/>
        <w:rPr>
          <w:rFonts w:ascii="Bookman Old Style" w:eastAsia="Calibri" w:hAnsi="Bookman Old Style" w:cs="Times New Roman"/>
          <w:i/>
          <w:lang w:val="en-US"/>
        </w:rPr>
      </w:pPr>
    </w:p>
    <w:p w14:paraId="77545DB6" w14:textId="4A108AD7" w:rsidR="002E0739" w:rsidRPr="00B97A68" w:rsidRDefault="002E0739" w:rsidP="00380183">
      <w:pPr>
        <w:ind w:left="720"/>
        <w:jc w:val="both"/>
        <w:rPr>
          <w:rFonts w:ascii="Bookman Old Style" w:eastAsia="Calibri" w:hAnsi="Bookman Old Style" w:cs="Times New Roman"/>
          <w:i/>
          <w:lang w:val="en-US"/>
        </w:rPr>
      </w:pPr>
      <w:r w:rsidRPr="00B97A68">
        <w:rPr>
          <w:rFonts w:ascii="Bookman Old Style" w:eastAsia="Calibri" w:hAnsi="Bookman Old Style" w:cs="Times New Roman"/>
          <w:i/>
          <w:lang w:val="en-US"/>
        </w:rPr>
        <w:t xml:space="preserve">[26] In view of the legislative scheme created by the 2007 Amendment Act - providing for the dispute resolution regime I set out above - </w:t>
      </w:r>
      <w:proofErr w:type="gramStart"/>
      <w:r w:rsidRPr="00B97A68">
        <w:rPr>
          <w:rFonts w:ascii="Bookman Old Style" w:eastAsia="Calibri" w:hAnsi="Bookman Old Style" w:cs="Times New Roman"/>
          <w:i/>
          <w:lang w:val="en-US"/>
        </w:rPr>
        <w:t>in particular requiring</w:t>
      </w:r>
      <w:proofErr w:type="gramEnd"/>
      <w:r w:rsidRPr="00B97A68">
        <w:rPr>
          <w:rFonts w:ascii="Bookman Old Style" w:eastAsia="Calibri" w:hAnsi="Bookman Old Style" w:cs="Times New Roman"/>
          <w:i/>
          <w:lang w:val="en-US"/>
        </w:rPr>
        <w:t xml:space="preserve"> appeals against such decisions lying to the Tribunal and subsequently to the </w:t>
      </w:r>
      <w:proofErr w:type="spellStart"/>
      <w:r w:rsidRPr="00B97A68">
        <w:rPr>
          <w:rFonts w:ascii="Bookman Old Style" w:eastAsia="Calibri" w:hAnsi="Bookman Old Style" w:cs="Times New Roman"/>
          <w:i/>
          <w:lang w:val="en-US"/>
        </w:rPr>
        <w:t>Labour</w:t>
      </w:r>
      <w:proofErr w:type="spellEnd"/>
      <w:r w:rsidRPr="00B97A68">
        <w:rPr>
          <w:rFonts w:ascii="Bookman Old Style" w:eastAsia="Calibri" w:hAnsi="Bookman Old Style" w:cs="Times New Roman"/>
          <w:i/>
          <w:lang w:val="en-US"/>
        </w:rPr>
        <w:t xml:space="preserve"> Court - the exemption regime contemplated in s 2(2) of the </w:t>
      </w:r>
      <w:proofErr w:type="spellStart"/>
      <w:r w:rsidRPr="00B97A68">
        <w:rPr>
          <w:rFonts w:ascii="Bookman Old Style" w:eastAsia="Calibri" w:hAnsi="Bookman Old Style" w:cs="Times New Roman"/>
          <w:i/>
          <w:lang w:val="en-US"/>
        </w:rPr>
        <w:t>Labour</w:t>
      </w:r>
      <w:proofErr w:type="spellEnd"/>
      <w:r w:rsidRPr="00B97A68">
        <w:rPr>
          <w:rFonts w:ascii="Bookman Old Style" w:eastAsia="Calibri" w:hAnsi="Bookman Old Style" w:cs="Times New Roman"/>
          <w:i/>
          <w:lang w:val="en-US"/>
        </w:rPr>
        <w:t xml:space="preserve"> Code - in so far as it relates to the public service - has been impliedly repealed. </w:t>
      </w:r>
    </w:p>
    <w:p w14:paraId="7A9BF7F0" w14:textId="77777777" w:rsidR="002E0739" w:rsidRPr="00B97A68" w:rsidRDefault="002E0739" w:rsidP="00380183">
      <w:pPr>
        <w:ind w:left="720"/>
        <w:jc w:val="both"/>
        <w:rPr>
          <w:rFonts w:ascii="Bookman Old Style" w:eastAsia="Calibri" w:hAnsi="Bookman Old Style" w:cs="Times New Roman"/>
          <w:i/>
          <w:lang w:val="en-US"/>
        </w:rPr>
      </w:pPr>
    </w:p>
    <w:p w14:paraId="4C83B6E3" w14:textId="15F332BF" w:rsidR="002E0739" w:rsidRPr="00B97A68" w:rsidRDefault="002E0739" w:rsidP="00380183">
      <w:pPr>
        <w:ind w:left="720"/>
        <w:jc w:val="both"/>
        <w:rPr>
          <w:rFonts w:ascii="Bookman Old Style" w:hAnsi="Bookman Old Style"/>
          <w:i/>
          <w:sz w:val="28"/>
          <w:szCs w:val="28"/>
          <w:lang w:val="en-US"/>
        </w:rPr>
      </w:pPr>
      <w:r w:rsidRPr="00B97A68">
        <w:rPr>
          <w:rFonts w:ascii="Bookman Old Style" w:eastAsia="Calibri" w:hAnsi="Bookman Old Style" w:cs="Times New Roman"/>
          <w:i/>
          <w:lang w:val="en-US"/>
        </w:rPr>
        <w:t>[27] Counsel for the respondent’s reliance thereon to justify a direct approach to the High Court in circumvention of that regime is therefore misplaced. The two regimes cannot exist side by side. The 2007 amendment came 12 years after the exemption notice. The legislature enacted the 2007 Amendment Act with full knowledge of its existence. The legislature is presumed to know the existing state of the law and to legislate with such knowledge.</w:t>
      </w:r>
      <w:r w:rsidRPr="00B97A68">
        <w:rPr>
          <w:rFonts w:ascii="Bookman Old Style" w:eastAsia="Calibri" w:hAnsi="Bookman Old Style" w:cs="Times New Roman"/>
          <w:i/>
          <w:lang w:val="en-US"/>
        </w:rPr>
        <w:footnoteReference w:id="2"/>
      </w:r>
      <w:r w:rsidRPr="00B97A68">
        <w:rPr>
          <w:rFonts w:ascii="Bookman Old Style" w:eastAsia="Calibri" w:hAnsi="Bookman Old Style" w:cs="Times New Roman"/>
          <w:i/>
          <w:lang w:val="en-US"/>
        </w:rPr>
        <w:t xml:space="preserve">  Therefore, the exemption regime cannot be applied in a manner that is destructive of </w:t>
      </w:r>
      <w:r w:rsidR="00284155">
        <w:rPr>
          <w:rFonts w:ascii="Bookman Old Style" w:eastAsia="Calibri" w:hAnsi="Bookman Old Style" w:cs="Times New Roman"/>
          <w:i/>
          <w:lang w:val="en-US"/>
        </w:rPr>
        <w:t>the legislature’s clear intent.</w:t>
      </w:r>
    </w:p>
    <w:p w14:paraId="740BF050" w14:textId="77777777" w:rsidR="002E0739" w:rsidRPr="0090177F" w:rsidRDefault="002E0739" w:rsidP="00380183">
      <w:pPr>
        <w:ind w:left="720"/>
        <w:jc w:val="both"/>
        <w:rPr>
          <w:rFonts w:ascii="Bookman Old Style" w:eastAsia="Calibri" w:hAnsi="Bookman Old Style" w:cs="Times New Roman"/>
          <w:i/>
          <w:lang w:val="en-US"/>
        </w:rPr>
      </w:pPr>
    </w:p>
    <w:p w14:paraId="090F22B4" w14:textId="7EC95303" w:rsidR="002E0739" w:rsidRPr="00B97A68" w:rsidRDefault="002E0739" w:rsidP="00380183">
      <w:pPr>
        <w:ind w:left="720"/>
        <w:jc w:val="both"/>
        <w:rPr>
          <w:rFonts w:ascii="Bookman Old Style" w:eastAsia="Calibri" w:hAnsi="Bookman Old Style" w:cs="Times New Roman"/>
          <w:i/>
          <w:lang w:val="en-US"/>
        </w:rPr>
      </w:pPr>
      <w:r w:rsidRPr="00B97A68">
        <w:rPr>
          <w:rFonts w:ascii="Bookman Old Style" w:eastAsia="Calibri" w:hAnsi="Bookman Old Style" w:cs="Times New Roman"/>
          <w:i/>
          <w:lang w:val="en-US"/>
        </w:rPr>
        <w:t>[28] The result is that the High Court had no jurisdiction over the dispute brought before it and ought, acting of its own motion, to have dismissed the case brought by the employee before it.  It is trite that jurisdiction is a matter that a court may raise mero motu.</w:t>
      </w:r>
    </w:p>
    <w:p w14:paraId="24B30DC3" w14:textId="77777777" w:rsidR="002E0739" w:rsidRPr="00B97A68" w:rsidRDefault="002E0739" w:rsidP="00380183">
      <w:pPr>
        <w:ind w:left="720"/>
        <w:jc w:val="both"/>
        <w:rPr>
          <w:rFonts w:ascii="Bookman Old Style" w:eastAsia="Calibri" w:hAnsi="Bookman Old Style" w:cs="Times New Roman"/>
          <w:i/>
          <w:lang w:val="en-US"/>
        </w:rPr>
      </w:pPr>
    </w:p>
    <w:p w14:paraId="0423B86D" w14:textId="1406F9E9" w:rsidR="002E0739" w:rsidRPr="00B97A68" w:rsidRDefault="005F461B" w:rsidP="00380183">
      <w:pPr>
        <w:ind w:firstLine="709"/>
        <w:jc w:val="both"/>
        <w:rPr>
          <w:rFonts w:ascii="Bookman Old Style" w:eastAsia="Calibri" w:hAnsi="Bookman Old Style" w:cs="Times New Roman"/>
          <w:i/>
          <w:lang w:val="en-US"/>
        </w:rPr>
      </w:pPr>
      <w:r>
        <w:rPr>
          <w:rFonts w:ascii="Bookman Old Style" w:eastAsia="Calibri" w:hAnsi="Bookman Old Style" w:cs="Times New Roman"/>
          <w:i/>
          <w:lang w:val="en-US"/>
        </w:rPr>
        <w:t>…</w:t>
      </w:r>
    </w:p>
    <w:p w14:paraId="72184680" w14:textId="77777777" w:rsidR="00B97A68" w:rsidRPr="0090177F" w:rsidRDefault="00B97A68" w:rsidP="00380183">
      <w:pPr>
        <w:ind w:left="720"/>
        <w:jc w:val="both"/>
        <w:rPr>
          <w:rFonts w:ascii="Bookman Old Style" w:eastAsia="Calibri" w:hAnsi="Bookman Old Style" w:cs="Times New Roman"/>
          <w:i/>
          <w:lang w:val="en-US"/>
        </w:rPr>
      </w:pPr>
    </w:p>
    <w:p w14:paraId="28559AC2" w14:textId="16605904" w:rsidR="00B97A68" w:rsidRPr="007E475F" w:rsidRDefault="00B97A68" w:rsidP="00380183">
      <w:pPr>
        <w:ind w:left="709"/>
        <w:contextualSpacing/>
        <w:jc w:val="both"/>
        <w:rPr>
          <w:rFonts w:ascii="Bookman Old Style" w:hAnsi="Bookman Old Style"/>
          <w:i/>
          <w:lang w:val="en-US"/>
        </w:rPr>
      </w:pPr>
      <w:r w:rsidRPr="00284155">
        <w:rPr>
          <w:rFonts w:ascii="Bookman Old Style" w:hAnsi="Bookman Old Style"/>
          <w:i/>
          <w:sz w:val="28"/>
          <w:szCs w:val="28"/>
          <w:lang w:val="en-US"/>
        </w:rPr>
        <w:t>[</w:t>
      </w:r>
      <w:r w:rsidRPr="00284155">
        <w:rPr>
          <w:rFonts w:ascii="Bookman Old Style" w:hAnsi="Bookman Old Style"/>
          <w:i/>
          <w:lang w:val="en-US"/>
        </w:rPr>
        <w:t>35</w:t>
      </w:r>
      <w:r w:rsidRPr="007E475F">
        <w:rPr>
          <w:rFonts w:ascii="Bookman Old Style" w:hAnsi="Bookman Old Style"/>
          <w:i/>
          <w:lang w:val="en-US"/>
        </w:rPr>
        <w:t>] I wish to point out that the legislature has taken great care to ensure that the Tribunal’s membership infuses independence in its mandate. For example, its chairperson is a person appointed with the involvement of the Judicial Service Commission and a significant part of the membership with the involvement of the Public Service Commission.</w:t>
      </w:r>
    </w:p>
    <w:p w14:paraId="771EBA7F" w14:textId="77777777" w:rsidR="00B97A68" w:rsidRPr="0090177F" w:rsidRDefault="00B97A68" w:rsidP="00380183">
      <w:pPr>
        <w:ind w:left="720"/>
        <w:jc w:val="both"/>
        <w:rPr>
          <w:rFonts w:ascii="Bookman Old Style" w:eastAsia="Calibri" w:hAnsi="Bookman Old Style" w:cs="Times New Roman"/>
          <w:i/>
          <w:lang w:val="en-US"/>
        </w:rPr>
      </w:pPr>
    </w:p>
    <w:p w14:paraId="64B31036" w14:textId="44135D3F" w:rsidR="00B97A68" w:rsidRPr="007E475F" w:rsidRDefault="007E475F" w:rsidP="00380183">
      <w:pPr>
        <w:ind w:left="709"/>
        <w:jc w:val="both"/>
        <w:rPr>
          <w:rFonts w:ascii="Bookman Old Style" w:hAnsi="Bookman Old Style"/>
          <w:i/>
          <w:lang w:val="en-US"/>
        </w:rPr>
      </w:pPr>
      <w:r w:rsidRPr="007E475F">
        <w:rPr>
          <w:rFonts w:ascii="Bookman Old Style" w:hAnsi="Bookman Old Style"/>
          <w:i/>
          <w:lang w:val="en-US"/>
        </w:rPr>
        <w:t xml:space="preserve">[40] </w:t>
      </w:r>
      <w:r w:rsidR="00B97A68" w:rsidRPr="007E475F">
        <w:rPr>
          <w:rFonts w:ascii="Bookman Old Style" w:hAnsi="Bookman Old Style"/>
          <w:i/>
          <w:lang w:val="en-US"/>
        </w:rPr>
        <w:t xml:space="preserve">The important difference under the Public Service Act 2005 (as amended) being that the legislature has, in addition, provided for an additional safeguard of an appeal to a court of law: The </w:t>
      </w:r>
      <w:proofErr w:type="spellStart"/>
      <w:r w:rsidR="00B97A68" w:rsidRPr="007E475F">
        <w:rPr>
          <w:rFonts w:ascii="Bookman Old Style" w:hAnsi="Bookman Old Style"/>
          <w:i/>
          <w:lang w:val="en-US"/>
        </w:rPr>
        <w:t>Labour</w:t>
      </w:r>
      <w:proofErr w:type="spellEnd"/>
      <w:r w:rsidR="00B97A68" w:rsidRPr="007E475F">
        <w:rPr>
          <w:rFonts w:ascii="Bookman Old Style" w:hAnsi="Bookman Old Style"/>
          <w:i/>
          <w:lang w:val="en-US"/>
        </w:rPr>
        <w:t xml:space="preserve"> Court which is a division of the High Court. The legislature has therefore not denied aggrieved persons the right to seek remedies from a competent court of law.</w:t>
      </w:r>
    </w:p>
    <w:p w14:paraId="4481D949" w14:textId="77777777" w:rsidR="00B97A68" w:rsidRPr="0090177F" w:rsidRDefault="00B97A68" w:rsidP="00380183">
      <w:pPr>
        <w:ind w:left="720"/>
        <w:jc w:val="both"/>
        <w:rPr>
          <w:rFonts w:ascii="Bookman Old Style" w:eastAsia="Calibri" w:hAnsi="Bookman Old Style" w:cs="Times New Roman"/>
          <w:i/>
          <w:lang w:val="en-US"/>
        </w:rPr>
      </w:pPr>
    </w:p>
    <w:p w14:paraId="77F1E9B4" w14:textId="35ED0CAF" w:rsidR="00B97A68" w:rsidRPr="007E475F" w:rsidRDefault="007E475F" w:rsidP="00380183">
      <w:pPr>
        <w:ind w:left="709"/>
        <w:jc w:val="both"/>
        <w:rPr>
          <w:rFonts w:ascii="Bookman Old Style" w:hAnsi="Bookman Old Style"/>
          <w:i/>
          <w:lang w:val="en-US"/>
        </w:rPr>
      </w:pPr>
      <w:r w:rsidRPr="007E475F">
        <w:rPr>
          <w:rFonts w:ascii="Bookman Old Style" w:hAnsi="Bookman Old Style"/>
          <w:i/>
          <w:lang w:val="en-US"/>
        </w:rPr>
        <w:t xml:space="preserve">[41] </w:t>
      </w:r>
      <w:r w:rsidR="00B97A68" w:rsidRPr="007E475F">
        <w:rPr>
          <w:rFonts w:ascii="Bookman Old Style" w:hAnsi="Bookman Old Style"/>
          <w:i/>
          <w:lang w:val="en-US"/>
        </w:rPr>
        <w:t xml:space="preserve">In the final analysis, the true test is whether, by providing an alternative route for the resolution of a dispute such as the one </w:t>
      </w:r>
      <w:r w:rsidR="00B97A68" w:rsidRPr="007E475F">
        <w:rPr>
          <w:rFonts w:ascii="Bookman Old Style" w:hAnsi="Bookman Old Style"/>
          <w:i/>
          <w:lang w:val="en-US"/>
        </w:rPr>
        <w:lastRenderedPageBreak/>
        <w:t>contemplated in s 20 of the Public Service Act 2005 (as amended), an aggrieved person has been denied access to court.</w:t>
      </w:r>
    </w:p>
    <w:p w14:paraId="3D43CD0F" w14:textId="77777777" w:rsidR="007E475F" w:rsidRPr="0090177F" w:rsidRDefault="007E475F" w:rsidP="00380183">
      <w:pPr>
        <w:ind w:left="720"/>
        <w:jc w:val="both"/>
        <w:rPr>
          <w:rFonts w:ascii="Bookman Old Style" w:eastAsia="Calibri" w:hAnsi="Bookman Old Style" w:cs="Times New Roman"/>
          <w:i/>
          <w:lang w:val="en-US"/>
        </w:rPr>
      </w:pPr>
    </w:p>
    <w:p w14:paraId="0BF83541" w14:textId="282B5FDC" w:rsidR="007E475F" w:rsidRPr="007E475F" w:rsidRDefault="007E475F" w:rsidP="00380183">
      <w:pPr>
        <w:ind w:left="709"/>
        <w:jc w:val="both"/>
        <w:rPr>
          <w:rFonts w:ascii="Bookman Old Style" w:hAnsi="Bookman Old Style"/>
          <w:i/>
          <w:lang w:val="en-US"/>
        </w:rPr>
      </w:pPr>
      <w:r w:rsidRPr="007E475F">
        <w:rPr>
          <w:rFonts w:ascii="Bookman Old Style" w:hAnsi="Bookman Old Style"/>
          <w:i/>
          <w:lang w:val="en-US"/>
        </w:rPr>
        <w:t>[45] It is clear, therefore, in the statutory scheme under discussion that in grievance proceedings arising in the public service in terms of s 20 of the Public Service Act, the High Court’s power to test the legality of dismissal decisions has been excluded and an aggrieved party is required to have recourse to it.</w:t>
      </w:r>
    </w:p>
    <w:p w14:paraId="6D1E82DA" w14:textId="77777777" w:rsidR="007E475F" w:rsidRPr="0090177F" w:rsidRDefault="007E475F" w:rsidP="0090177F">
      <w:pPr>
        <w:spacing w:line="360" w:lineRule="auto"/>
        <w:ind w:left="720"/>
        <w:jc w:val="both"/>
        <w:rPr>
          <w:rFonts w:ascii="Bookman Old Style" w:eastAsia="Calibri" w:hAnsi="Bookman Old Style" w:cs="Times New Roman"/>
          <w:i/>
          <w:lang w:val="en-US"/>
        </w:rPr>
      </w:pPr>
    </w:p>
    <w:p w14:paraId="01248B03" w14:textId="29222578" w:rsidR="00983C43" w:rsidRDefault="00983C43" w:rsidP="001A4E21">
      <w:pPr>
        <w:pStyle w:val="ListParagraph"/>
        <w:numPr>
          <w:ilvl w:val="0"/>
          <w:numId w:val="4"/>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It therefore follows that the respondent was not entitled to seek redress in the High Court against his dismissal.  He should have exhausted the </w:t>
      </w:r>
      <w:r w:rsidRPr="008B0A0B">
        <w:rPr>
          <w:rFonts w:ascii="Bookman Old Style" w:hAnsi="Bookman Old Style"/>
          <w:sz w:val="28"/>
          <w:szCs w:val="28"/>
          <w:lang w:val="en-US"/>
        </w:rPr>
        <w:t xml:space="preserve">internal remedies </w:t>
      </w:r>
      <w:r w:rsidRPr="00983C43">
        <w:rPr>
          <w:rFonts w:ascii="Bookman Old Style" w:hAnsi="Bookman Old Style"/>
          <w:sz w:val="28"/>
          <w:szCs w:val="28"/>
          <w:lang w:val="en-US"/>
        </w:rPr>
        <w:t>under the Public Service Act.</w:t>
      </w:r>
    </w:p>
    <w:p w14:paraId="767FDBCD" w14:textId="77777777" w:rsidR="00983C43" w:rsidRPr="00983C43" w:rsidRDefault="00983C43" w:rsidP="00983C43">
      <w:pPr>
        <w:pStyle w:val="ListParagraph"/>
        <w:rPr>
          <w:rFonts w:ascii="Bookman Old Style" w:hAnsi="Bookman Old Style"/>
          <w:sz w:val="28"/>
          <w:szCs w:val="28"/>
          <w:lang w:val="en-US"/>
        </w:rPr>
      </w:pPr>
    </w:p>
    <w:p w14:paraId="0E6E5A69" w14:textId="1F3A0D5F" w:rsidR="00EC5007" w:rsidRDefault="00983C43" w:rsidP="00333F8D">
      <w:pPr>
        <w:pStyle w:val="ListParagraph"/>
        <w:numPr>
          <w:ilvl w:val="0"/>
          <w:numId w:val="4"/>
        </w:numPr>
        <w:spacing w:line="360" w:lineRule="auto"/>
        <w:ind w:left="0" w:firstLine="0"/>
        <w:jc w:val="both"/>
        <w:rPr>
          <w:rFonts w:ascii="Bookman Old Style" w:hAnsi="Bookman Old Style"/>
          <w:sz w:val="28"/>
          <w:szCs w:val="28"/>
          <w:lang w:val="en-US"/>
        </w:rPr>
      </w:pPr>
      <w:r w:rsidRPr="00D639A6">
        <w:rPr>
          <w:rFonts w:ascii="Bookman Old Style" w:hAnsi="Bookman Old Style"/>
          <w:sz w:val="28"/>
          <w:szCs w:val="28"/>
          <w:lang w:val="en-US"/>
        </w:rPr>
        <w:t xml:space="preserve">It must follow that the High Court </w:t>
      </w:r>
      <w:r w:rsidR="00D639A6" w:rsidRPr="00D639A6">
        <w:rPr>
          <w:rFonts w:ascii="Bookman Old Style" w:hAnsi="Bookman Old Style"/>
          <w:sz w:val="28"/>
          <w:szCs w:val="28"/>
          <w:lang w:val="en-US"/>
        </w:rPr>
        <w:t xml:space="preserve">should have dismissed the review application. </w:t>
      </w:r>
    </w:p>
    <w:p w14:paraId="111FC517" w14:textId="77777777" w:rsidR="00D639A6" w:rsidRPr="00D639A6" w:rsidRDefault="00D639A6" w:rsidP="00D639A6">
      <w:pPr>
        <w:pStyle w:val="ListParagraph"/>
        <w:spacing w:line="360" w:lineRule="auto"/>
        <w:ind w:left="0"/>
        <w:jc w:val="both"/>
        <w:rPr>
          <w:rFonts w:ascii="Bookman Old Style" w:hAnsi="Bookman Old Style"/>
          <w:sz w:val="28"/>
          <w:szCs w:val="28"/>
          <w:lang w:val="en-US"/>
        </w:rPr>
      </w:pPr>
    </w:p>
    <w:p w14:paraId="7029CB6F" w14:textId="4F19C593" w:rsidR="00EC5007" w:rsidRDefault="00EC5007" w:rsidP="001A4E21">
      <w:pPr>
        <w:pStyle w:val="ListParagraph"/>
        <w:numPr>
          <w:ilvl w:val="0"/>
          <w:numId w:val="4"/>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In fairness to the appellant</w:t>
      </w:r>
      <w:r w:rsidR="00B81CC4">
        <w:rPr>
          <w:rFonts w:ascii="Bookman Old Style" w:hAnsi="Bookman Old Style"/>
          <w:sz w:val="28"/>
          <w:szCs w:val="28"/>
          <w:lang w:val="en-US"/>
        </w:rPr>
        <w:t>,</w:t>
      </w:r>
      <w:r>
        <w:rPr>
          <w:rFonts w:ascii="Bookman Old Style" w:hAnsi="Bookman Old Style"/>
          <w:sz w:val="28"/>
          <w:szCs w:val="28"/>
          <w:lang w:val="en-US"/>
        </w:rPr>
        <w:t xml:space="preserve"> the appeal had already been noted when this court decided </w:t>
      </w:r>
      <w:r w:rsidRPr="00D639A6">
        <w:rPr>
          <w:rFonts w:ascii="Bookman Old Style" w:hAnsi="Bookman Old Style"/>
          <w:i/>
          <w:sz w:val="28"/>
          <w:szCs w:val="28"/>
          <w:lang w:val="en-US"/>
        </w:rPr>
        <w:t>Russel</w:t>
      </w:r>
      <w:r>
        <w:rPr>
          <w:rFonts w:ascii="Bookman Old Style" w:hAnsi="Bookman Old Style"/>
          <w:sz w:val="28"/>
          <w:szCs w:val="28"/>
          <w:lang w:val="en-US"/>
        </w:rPr>
        <w:t>.  That</w:t>
      </w:r>
      <w:r w:rsidR="009F0839">
        <w:rPr>
          <w:rFonts w:ascii="Bookman Old Style" w:hAnsi="Bookman Old Style"/>
          <w:sz w:val="28"/>
          <w:szCs w:val="28"/>
          <w:lang w:val="en-US"/>
        </w:rPr>
        <w:t>,</w:t>
      </w:r>
      <w:r>
        <w:rPr>
          <w:rFonts w:ascii="Bookman Old Style" w:hAnsi="Bookman Old Style"/>
          <w:sz w:val="28"/>
          <w:szCs w:val="28"/>
          <w:lang w:val="en-US"/>
        </w:rPr>
        <w:t xml:space="preserve"> </w:t>
      </w:r>
      <w:r w:rsidR="00D639A6">
        <w:rPr>
          <w:rFonts w:ascii="Bookman Old Style" w:hAnsi="Bookman Old Style"/>
          <w:sz w:val="28"/>
          <w:szCs w:val="28"/>
          <w:lang w:val="en-US"/>
        </w:rPr>
        <w:t>however</w:t>
      </w:r>
      <w:r w:rsidR="009F0839">
        <w:rPr>
          <w:rFonts w:ascii="Bookman Old Style" w:hAnsi="Bookman Old Style"/>
          <w:sz w:val="28"/>
          <w:szCs w:val="28"/>
          <w:lang w:val="en-US"/>
        </w:rPr>
        <w:t>,</w:t>
      </w:r>
      <w:r w:rsidR="00D639A6">
        <w:rPr>
          <w:rFonts w:ascii="Bookman Old Style" w:hAnsi="Bookman Old Style"/>
          <w:sz w:val="28"/>
          <w:szCs w:val="28"/>
          <w:lang w:val="en-US"/>
        </w:rPr>
        <w:t xml:space="preserve"> </w:t>
      </w:r>
      <w:r w:rsidR="008B0A0B" w:rsidRPr="008B0A0B">
        <w:rPr>
          <w:rFonts w:ascii="Bookman Old Style" w:hAnsi="Bookman Old Style"/>
          <w:sz w:val="28"/>
          <w:szCs w:val="28"/>
          <w:lang w:val="en-US"/>
        </w:rPr>
        <w:t>does</w:t>
      </w:r>
      <w:r w:rsidRPr="008B0A0B">
        <w:rPr>
          <w:rFonts w:ascii="Bookman Old Style" w:hAnsi="Bookman Old Style"/>
          <w:sz w:val="28"/>
          <w:szCs w:val="28"/>
          <w:lang w:val="en-US"/>
        </w:rPr>
        <w:t xml:space="preserve"> </w:t>
      </w:r>
      <w:r>
        <w:rPr>
          <w:rFonts w:ascii="Bookman Old Style" w:hAnsi="Bookman Old Style"/>
          <w:sz w:val="28"/>
          <w:szCs w:val="28"/>
          <w:lang w:val="en-US"/>
        </w:rPr>
        <w:t xml:space="preserve">not detract from the fact that the law had been in existence and </w:t>
      </w:r>
      <w:r w:rsidR="008B0A0B">
        <w:rPr>
          <w:rFonts w:ascii="Bookman Old Style" w:hAnsi="Bookman Old Style"/>
          <w:sz w:val="28"/>
          <w:szCs w:val="28"/>
          <w:lang w:val="en-US"/>
        </w:rPr>
        <w:t>ought</w:t>
      </w:r>
      <w:r>
        <w:rPr>
          <w:rFonts w:ascii="Bookman Old Style" w:hAnsi="Bookman Old Style"/>
          <w:sz w:val="28"/>
          <w:szCs w:val="28"/>
          <w:lang w:val="en-US"/>
        </w:rPr>
        <w:t xml:space="preserve"> to have been followed.  By entertaining the appeal on the basis that it pre</w:t>
      </w:r>
      <w:r w:rsidR="008B0A0B">
        <w:rPr>
          <w:rFonts w:ascii="Bookman Old Style" w:hAnsi="Bookman Old Style"/>
          <w:sz w:val="28"/>
          <w:szCs w:val="28"/>
          <w:lang w:val="en-US"/>
        </w:rPr>
        <w:t>ce</w:t>
      </w:r>
      <w:r>
        <w:rPr>
          <w:rFonts w:ascii="Bookman Old Style" w:hAnsi="Bookman Old Style"/>
          <w:sz w:val="28"/>
          <w:szCs w:val="28"/>
          <w:lang w:val="en-US"/>
        </w:rPr>
        <w:t xml:space="preserve">ded </w:t>
      </w:r>
      <w:r w:rsidRPr="009F0839">
        <w:rPr>
          <w:rFonts w:ascii="Bookman Old Style" w:hAnsi="Bookman Old Style"/>
          <w:i/>
          <w:sz w:val="28"/>
          <w:szCs w:val="28"/>
          <w:lang w:val="en-US"/>
        </w:rPr>
        <w:t>Russel</w:t>
      </w:r>
      <w:r>
        <w:rPr>
          <w:rFonts w:ascii="Bookman Old Style" w:hAnsi="Bookman Old Style"/>
          <w:sz w:val="28"/>
          <w:szCs w:val="28"/>
          <w:lang w:val="en-US"/>
        </w:rPr>
        <w:t xml:space="preserve"> will create parallel systems of law and set an </w:t>
      </w:r>
      <w:r w:rsidRPr="008B0A0B">
        <w:rPr>
          <w:rFonts w:ascii="Bookman Old Style" w:hAnsi="Bookman Old Style"/>
          <w:sz w:val="28"/>
          <w:szCs w:val="28"/>
          <w:lang w:val="en-US"/>
        </w:rPr>
        <w:t>indefe</w:t>
      </w:r>
      <w:r w:rsidR="00D639A6">
        <w:rPr>
          <w:rFonts w:ascii="Bookman Old Style" w:hAnsi="Bookman Old Style"/>
          <w:sz w:val="28"/>
          <w:szCs w:val="28"/>
          <w:lang w:val="en-US"/>
        </w:rPr>
        <w:t xml:space="preserve">nsible </w:t>
      </w:r>
      <w:r w:rsidRPr="008B0A0B">
        <w:rPr>
          <w:rFonts w:ascii="Bookman Old Style" w:hAnsi="Bookman Old Style"/>
          <w:sz w:val="28"/>
          <w:szCs w:val="28"/>
          <w:lang w:val="en-US"/>
        </w:rPr>
        <w:t xml:space="preserve">a </w:t>
      </w:r>
      <w:r>
        <w:rPr>
          <w:rFonts w:ascii="Bookman Old Style" w:hAnsi="Bookman Old Style"/>
          <w:sz w:val="28"/>
          <w:szCs w:val="28"/>
          <w:lang w:val="en-US"/>
        </w:rPr>
        <w:t>precedent for the future.</w:t>
      </w:r>
    </w:p>
    <w:p w14:paraId="2B35AC4F" w14:textId="77777777" w:rsidR="00EC5007" w:rsidRDefault="00EC5007" w:rsidP="00EC5007">
      <w:pPr>
        <w:rPr>
          <w:rFonts w:ascii="Bookman Old Style" w:hAnsi="Bookman Old Style"/>
          <w:sz w:val="28"/>
          <w:szCs w:val="28"/>
          <w:lang w:val="en-US"/>
        </w:rPr>
      </w:pPr>
    </w:p>
    <w:p w14:paraId="2E25DD20" w14:textId="2184816E" w:rsidR="00EC5007" w:rsidRDefault="00EC5007" w:rsidP="00EC5007">
      <w:pPr>
        <w:rPr>
          <w:rFonts w:ascii="Bookman Old Style" w:hAnsi="Bookman Old Style"/>
          <w:b/>
          <w:sz w:val="28"/>
          <w:szCs w:val="28"/>
          <w:lang w:val="en-US"/>
        </w:rPr>
      </w:pPr>
      <w:r w:rsidRPr="00EC5007">
        <w:rPr>
          <w:rFonts w:ascii="Bookman Old Style" w:hAnsi="Bookman Old Style"/>
          <w:b/>
          <w:sz w:val="28"/>
          <w:szCs w:val="28"/>
          <w:lang w:val="en-US"/>
        </w:rPr>
        <w:t>Disposal</w:t>
      </w:r>
    </w:p>
    <w:p w14:paraId="45A6F65B" w14:textId="77777777" w:rsidR="009F0839" w:rsidRPr="00EC5007" w:rsidRDefault="009F0839" w:rsidP="00EC5007">
      <w:pPr>
        <w:rPr>
          <w:rFonts w:ascii="Bookman Old Style" w:hAnsi="Bookman Old Style"/>
          <w:b/>
          <w:sz w:val="28"/>
          <w:szCs w:val="28"/>
          <w:lang w:val="en-US"/>
        </w:rPr>
      </w:pPr>
    </w:p>
    <w:p w14:paraId="4026152B" w14:textId="77777777" w:rsidR="00D639A6" w:rsidRDefault="00E50894" w:rsidP="001A4E21">
      <w:pPr>
        <w:pStyle w:val="ListParagraph"/>
        <w:numPr>
          <w:ilvl w:val="0"/>
          <w:numId w:val="4"/>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The ineluctable result is that the judgment and order of the High Court must be set aside.  It </w:t>
      </w:r>
      <w:r w:rsidR="008B0A0B">
        <w:rPr>
          <w:rFonts w:ascii="Bookman Old Style" w:hAnsi="Bookman Old Style"/>
          <w:sz w:val="28"/>
          <w:szCs w:val="28"/>
          <w:lang w:val="en-US"/>
        </w:rPr>
        <w:t>is op</w:t>
      </w:r>
      <w:r>
        <w:rPr>
          <w:rFonts w:ascii="Bookman Old Style" w:hAnsi="Bookman Old Style"/>
          <w:sz w:val="28"/>
          <w:szCs w:val="28"/>
          <w:lang w:val="en-US"/>
        </w:rPr>
        <w:t xml:space="preserve">en to the </w:t>
      </w:r>
      <w:r w:rsidR="00D639A6">
        <w:rPr>
          <w:rFonts w:ascii="Bookman Old Style" w:hAnsi="Bookman Old Style"/>
          <w:sz w:val="28"/>
          <w:szCs w:val="28"/>
          <w:lang w:val="en-US"/>
        </w:rPr>
        <w:t xml:space="preserve">respondent </w:t>
      </w:r>
      <w:r>
        <w:rPr>
          <w:rFonts w:ascii="Bookman Old Style" w:hAnsi="Bookman Old Style"/>
          <w:sz w:val="28"/>
          <w:szCs w:val="28"/>
          <w:lang w:val="en-US"/>
        </w:rPr>
        <w:t xml:space="preserve">to pursue his appeal </w:t>
      </w:r>
      <w:r w:rsidR="008B0A0B">
        <w:rPr>
          <w:rFonts w:ascii="Bookman Old Style" w:hAnsi="Bookman Old Style"/>
          <w:sz w:val="28"/>
          <w:szCs w:val="28"/>
          <w:lang w:val="en-US"/>
        </w:rPr>
        <w:t>remedies</w:t>
      </w:r>
      <w:r w:rsidR="00BA2D26">
        <w:rPr>
          <w:rFonts w:ascii="Bookman Old Style" w:hAnsi="Bookman Old Style"/>
          <w:sz w:val="28"/>
          <w:szCs w:val="28"/>
          <w:lang w:val="en-US"/>
        </w:rPr>
        <w:t xml:space="preserve"> to the Tribunal established under the Public Service Act, if so advised.  </w:t>
      </w:r>
    </w:p>
    <w:p w14:paraId="764829EA" w14:textId="77777777" w:rsidR="00D639A6" w:rsidRDefault="00D639A6" w:rsidP="00D639A6">
      <w:pPr>
        <w:pStyle w:val="ListParagraph"/>
        <w:spacing w:line="360" w:lineRule="auto"/>
        <w:ind w:left="0"/>
        <w:jc w:val="both"/>
        <w:rPr>
          <w:rFonts w:ascii="Bookman Old Style" w:hAnsi="Bookman Old Style"/>
          <w:sz w:val="28"/>
          <w:szCs w:val="28"/>
          <w:lang w:val="en-US"/>
        </w:rPr>
      </w:pPr>
    </w:p>
    <w:p w14:paraId="1412AAF8" w14:textId="4396054D" w:rsidR="00EC5007" w:rsidRDefault="00BA2D26" w:rsidP="001A4E21">
      <w:pPr>
        <w:pStyle w:val="ListParagraph"/>
        <w:numPr>
          <w:ilvl w:val="0"/>
          <w:numId w:val="4"/>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It is also necessary to ma</w:t>
      </w:r>
      <w:r w:rsidR="009F0839">
        <w:rPr>
          <w:rFonts w:ascii="Bookman Old Style" w:hAnsi="Bookman Old Style"/>
          <w:sz w:val="28"/>
          <w:szCs w:val="28"/>
          <w:lang w:val="en-US"/>
        </w:rPr>
        <w:t>ke clear for avoidance of doubt</w:t>
      </w:r>
      <w:r>
        <w:rPr>
          <w:rFonts w:ascii="Bookman Old Style" w:hAnsi="Bookman Old Style"/>
          <w:sz w:val="28"/>
          <w:szCs w:val="28"/>
          <w:lang w:val="en-US"/>
        </w:rPr>
        <w:t xml:space="preserve"> that this judgment has the effect that the status </w:t>
      </w:r>
      <w:r w:rsidRPr="00BA2D26">
        <w:rPr>
          <w:rFonts w:ascii="Bookman Old Style" w:hAnsi="Bookman Old Style"/>
          <w:i/>
          <w:sz w:val="28"/>
          <w:szCs w:val="28"/>
          <w:lang w:val="en-US"/>
        </w:rPr>
        <w:t>quo</w:t>
      </w:r>
      <w:r>
        <w:rPr>
          <w:rFonts w:ascii="Bookman Old Style" w:hAnsi="Bookman Old Style"/>
          <w:sz w:val="28"/>
          <w:szCs w:val="28"/>
          <w:lang w:val="en-US"/>
        </w:rPr>
        <w:t xml:space="preserve"> prior to the judgment and order </w:t>
      </w:r>
      <w:r w:rsidRPr="00BA2D26">
        <w:rPr>
          <w:rFonts w:ascii="Bookman Old Style" w:hAnsi="Bookman Old Style"/>
          <w:i/>
          <w:sz w:val="28"/>
          <w:szCs w:val="28"/>
          <w:lang w:val="en-US"/>
        </w:rPr>
        <w:t>quo</w:t>
      </w:r>
      <w:r w:rsidR="009F0839">
        <w:rPr>
          <w:rFonts w:ascii="Bookman Old Style" w:hAnsi="Bookman Old Style"/>
          <w:sz w:val="28"/>
          <w:szCs w:val="28"/>
          <w:lang w:val="en-US"/>
        </w:rPr>
        <w:t xml:space="preserve"> is restored.  The respondent </w:t>
      </w:r>
      <w:r>
        <w:rPr>
          <w:rFonts w:ascii="Bookman Old Style" w:hAnsi="Bookman Old Style"/>
          <w:sz w:val="28"/>
          <w:szCs w:val="28"/>
          <w:lang w:val="en-US"/>
        </w:rPr>
        <w:t xml:space="preserve">therefore </w:t>
      </w:r>
      <w:r>
        <w:rPr>
          <w:rFonts w:ascii="Bookman Old Style" w:hAnsi="Bookman Old Style"/>
          <w:sz w:val="28"/>
          <w:szCs w:val="28"/>
          <w:lang w:val="en-US"/>
        </w:rPr>
        <w:lastRenderedPageBreak/>
        <w:t xml:space="preserve">remains dismissed and the High Court’s order reinstating him and restoring his employment benefits has no force </w:t>
      </w:r>
      <w:r w:rsidRPr="008B0A0B">
        <w:rPr>
          <w:rFonts w:ascii="Bookman Old Style" w:hAnsi="Bookman Old Style"/>
          <w:sz w:val="28"/>
          <w:szCs w:val="28"/>
          <w:lang w:val="en-US"/>
        </w:rPr>
        <w:t>and effect</w:t>
      </w:r>
      <w:r>
        <w:rPr>
          <w:rFonts w:ascii="Bookman Old Style" w:hAnsi="Bookman Old Style"/>
          <w:sz w:val="28"/>
          <w:szCs w:val="28"/>
          <w:lang w:val="en-US"/>
        </w:rPr>
        <w:t>.</w:t>
      </w:r>
    </w:p>
    <w:p w14:paraId="203A7578" w14:textId="77777777" w:rsidR="00380183" w:rsidRPr="00380183" w:rsidRDefault="00380183" w:rsidP="00380183">
      <w:pPr>
        <w:pStyle w:val="ListParagraph"/>
        <w:rPr>
          <w:rFonts w:ascii="Bookman Old Style" w:hAnsi="Bookman Old Style"/>
          <w:sz w:val="28"/>
          <w:szCs w:val="28"/>
          <w:lang w:val="en-US"/>
        </w:rPr>
      </w:pPr>
    </w:p>
    <w:p w14:paraId="5DEDBF72" w14:textId="4577B677" w:rsidR="00BA2D26" w:rsidRDefault="00BA2D26" w:rsidP="001A4E21">
      <w:pPr>
        <w:pStyle w:val="ListParagraph"/>
        <w:numPr>
          <w:ilvl w:val="0"/>
          <w:numId w:val="4"/>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It was accepted by counsel for the </w:t>
      </w:r>
      <w:r w:rsidR="008B0A0B" w:rsidRPr="008B0A0B">
        <w:rPr>
          <w:rFonts w:ascii="Bookman Old Style" w:hAnsi="Bookman Old Style"/>
          <w:sz w:val="28"/>
          <w:szCs w:val="28"/>
          <w:lang w:val="en-US"/>
        </w:rPr>
        <w:t>C</w:t>
      </w:r>
      <w:r w:rsidRPr="008B0A0B">
        <w:rPr>
          <w:rFonts w:ascii="Bookman Old Style" w:hAnsi="Bookman Old Style"/>
          <w:sz w:val="28"/>
          <w:szCs w:val="28"/>
          <w:lang w:val="en-US"/>
        </w:rPr>
        <w:t xml:space="preserve">rown </w:t>
      </w:r>
      <w:r w:rsidRPr="00BA2D26">
        <w:rPr>
          <w:rFonts w:ascii="Bookman Old Style" w:hAnsi="Bookman Old Style"/>
          <w:sz w:val="28"/>
          <w:szCs w:val="28"/>
          <w:lang w:val="en-US"/>
        </w:rPr>
        <w:t xml:space="preserve">that </w:t>
      </w:r>
      <w:r w:rsidR="00D639A6">
        <w:rPr>
          <w:rFonts w:ascii="Bookman Old Style" w:hAnsi="Bookman Old Style"/>
          <w:sz w:val="28"/>
          <w:szCs w:val="28"/>
          <w:lang w:val="en-US"/>
        </w:rPr>
        <w:t xml:space="preserve">had it been </w:t>
      </w:r>
      <w:r>
        <w:rPr>
          <w:rFonts w:ascii="Bookman Old Style" w:hAnsi="Bookman Old Style"/>
          <w:sz w:val="28"/>
          <w:szCs w:val="28"/>
          <w:lang w:val="en-US"/>
        </w:rPr>
        <w:t xml:space="preserve">raised, the basis on which this court </w:t>
      </w:r>
      <w:r w:rsidR="008B0A0B" w:rsidRPr="008B0A0B">
        <w:rPr>
          <w:rFonts w:ascii="Bookman Old Style" w:hAnsi="Bookman Old Style"/>
          <w:sz w:val="28"/>
          <w:szCs w:val="28"/>
          <w:lang w:val="en-US"/>
        </w:rPr>
        <w:t>n</w:t>
      </w:r>
      <w:r w:rsidRPr="008B0A0B">
        <w:rPr>
          <w:rFonts w:ascii="Bookman Old Style" w:hAnsi="Bookman Old Style"/>
          <w:sz w:val="28"/>
          <w:szCs w:val="28"/>
          <w:lang w:val="en-US"/>
        </w:rPr>
        <w:t xml:space="preserve">ow </w:t>
      </w:r>
      <w:r>
        <w:rPr>
          <w:rFonts w:ascii="Bookman Old Style" w:hAnsi="Bookman Old Style"/>
          <w:sz w:val="28"/>
          <w:szCs w:val="28"/>
          <w:lang w:val="en-US"/>
        </w:rPr>
        <w:t xml:space="preserve">determines the appeal would have been </w:t>
      </w:r>
      <w:r w:rsidR="000F28DB">
        <w:rPr>
          <w:rFonts w:ascii="Bookman Old Style" w:hAnsi="Bookman Old Style"/>
          <w:sz w:val="28"/>
          <w:szCs w:val="28"/>
          <w:lang w:val="en-US"/>
        </w:rPr>
        <w:t>dispositive</w:t>
      </w:r>
      <w:r>
        <w:rPr>
          <w:rFonts w:ascii="Bookman Old Style" w:hAnsi="Bookman Old Style"/>
          <w:sz w:val="28"/>
          <w:szCs w:val="28"/>
          <w:lang w:val="en-US"/>
        </w:rPr>
        <w:t xml:space="preserve"> of the appeal.  That </w:t>
      </w:r>
      <w:r w:rsidRPr="00305DE3">
        <w:rPr>
          <w:rFonts w:ascii="Bookman Old Style" w:hAnsi="Bookman Old Style"/>
          <w:sz w:val="28"/>
          <w:szCs w:val="28"/>
          <w:lang w:val="en-US"/>
        </w:rPr>
        <w:t xml:space="preserve">disentitles </w:t>
      </w:r>
      <w:r>
        <w:rPr>
          <w:rFonts w:ascii="Bookman Old Style" w:hAnsi="Bookman Old Style"/>
          <w:sz w:val="28"/>
          <w:szCs w:val="28"/>
          <w:lang w:val="en-US"/>
        </w:rPr>
        <w:t xml:space="preserve">the </w:t>
      </w:r>
      <w:r w:rsidR="00714DEF">
        <w:rPr>
          <w:rFonts w:ascii="Bookman Old Style" w:hAnsi="Bookman Old Style"/>
          <w:sz w:val="28"/>
          <w:szCs w:val="28"/>
          <w:lang w:val="en-US"/>
        </w:rPr>
        <w:t>C</w:t>
      </w:r>
      <w:r w:rsidRPr="00305DE3">
        <w:rPr>
          <w:rFonts w:ascii="Bookman Old Style" w:hAnsi="Bookman Old Style"/>
          <w:sz w:val="28"/>
          <w:szCs w:val="28"/>
          <w:lang w:val="en-US"/>
        </w:rPr>
        <w:t xml:space="preserve">rown </w:t>
      </w:r>
      <w:r>
        <w:rPr>
          <w:rFonts w:ascii="Bookman Old Style" w:hAnsi="Bookman Old Style"/>
          <w:sz w:val="28"/>
          <w:szCs w:val="28"/>
          <w:lang w:val="en-US"/>
        </w:rPr>
        <w:t>of its cost</w:t>
      </w:r>
      <w:r w:rsidR="00D639A6">
        <w:rPr>
          <w:rFonts w:ascii="Bookman Old Style" w:hAnsi="Bookman Old Style"/>
          <w:sz w:val="28"/>
          <w:szCs w:val="28"/>
          <w:lang w:val="en-US"/>
        </w:rPr>
        <w:t>s</w:t>
      </w:r>
      <w:r>
        <w:rPr>
          <w:rFonts w:ascii="Bookman Old Style" w:hAnsi="Bookman Old Style"/>
          <w:sz w:val="28"/>
          <w:szCs w:val="28"/>
          <w:lang w:val="en-US"/>
        </w:rPr>
        <w:t xml:space="preserve">, both </w:t>
      </w:r>
      <w:r w:rsidRPr="00D639A6">
        <w:rPr>
          <w:rFonts w:ascii="Bookman Old Style" w:hAnsi="Bookman Old Style"/>
          <w:i/>
          <w:sz w:val="28"/>
          <w:szCs w:val="28"/>
          <w:lang w:val="en-US"/>
        </w:rPr>
        <w:t>a quo</w:t>
      </w:r>
      <w:r w:rsidR="00714DEF">
        <w:rPr>
          <w:rFonts w:ascii="Bookman Old Style" w:hAnsi="Bookman Old Style"/>
          <w:sz w:val="28"/>
          <w:szCs w:val="28"/>
          <w:lang w:val="en-US"/>
        </w:rPr>
        <w:t xml:space="preserve"> and on</w:t>
      </w:r>
      <w:r>
        <w:rPr>
          <w:rFonts w:ascii="Bookman Old Style" w:hAnsi="Bookman Old Style"/>
          <w:sz w:val="28"/>
          <w:szCs w:val="28"/>
          <w:lang w:val="en-US"/>
        </w:rPr>
        <w:t xml:space="preserve"> appeal.  Litigants have a duty to raise p</w:t>
      </w:r>
      <w:r w:rsidR="00D639A6">
        <w:rPr>
          <w:rFonts w:ascii="Bookman Old Style" w:hAnsi="Bookman Old Style"/>
          <w:sz w:val="28"/>
          <w:szCs w:val="28"/>
          <w:lang w:val="en-US"/>
        </w:rPr>
        <w:t xml:space="preserve">oints </w:t>
      </w:r>
      <w:r>
        <w:rPr>
          <w:rFonts w:ascii="Bookman Old Style" w:hAnsi="Bookman Old Style"/>
          <w:sz w:val="28"/>
          <w:szCs w:val="28"/>
          <w:lang w:val="en-US"/>
        </w:rPr>
        <w:t>and adopt a litigation course which avoid delay and res</w:t>
      </w:r>
      <w:r w:rsidR="00D639A6">
        <w:rPr>
          <w:rFonts w:ascii="Bookman Old Style" w:hAnsi="Bookman Old Style"/>
          <w:sz w:val="28"/>
          <w:szCs w:val="28"/>
          <w:lang w:val="en-US"/>
        </w:rPr>
        <w:t>ultant</w:t>
      </w:r>
      <w:r>
        <w:rPr>
          <w:rFonts w:ascii="Bookman Old Style" w:hAnsi="Bookman Old Style"/>
          <w:sz w:val="28"/>
          <w:szCs w:val="28"/>
          <w:lang w:val="en-US"/>
        </w:rPr>
        <w:t xml:space="preserve"> costs.</w:t>
      </w:r>
    </w:p>
    <w:p w14:paraId="724406E3" w14:textId="77777777" w:rsidR="00BA2D26" w:rsidRPr="00BA2D26" w:rsidRDefault="00BA2D26" w:rsidP="00BA2D26">
      <w:pPr>
        <w:pStyle w:val="ListParagraph"/>
        <w:rPr>
          <w:rFonts w:ascii="Bookman Old Style" w:hAnsi="Bookman Old Style"/>
          <w:sz w:val="28"/>
          <w:szCs w:val="28"/>
          <w:lang w:val="en-US"/>
        </w:rPr>
      </w:pPr>
    </w:p>
    <w:p w14:paraId="1CB0FE55" w14:textId="204E543F" w:rsidR="00BA2D26" w:rsidRPr="00BA2D26" w:rsidRDefault="00BA2D26" w:rsidP="00BA2D26">
      <w:pPr>
        <w:pStyle w:val="ListParagraph"/>
        <w:spacing w:line="360" w:lineRule="auto"/>
        <w:ind w:left="0"/>
        <w:jc w:val="both"/>
        <w:rPr>
          <w:rFonts w:ascii="Bookman Old Style" w:hAnsi="Bookman Old Style"/>
          <w:b/>
          <w:sz w:val="28"/>
          <w:szCs w:val="28"/>
          <w:lang w:val="en-US"/>
        </w:rPr>
      </w:pPr>
      <w:r w:rsidRPr="00BA2D26">
        <w:rPr>
          <w:rFonts w:ascii="Bookman Old Style" w:hAnsi="Bookman Old Style"/>
          <w:b/>
          <w:sz w:val="28"/>
          <w:szCs w:val="28"/>
          <w:lang w:val="en-US"/>
        </w:rPr>
        <w:t>Order</w:t>
      </w:r>
    </w:p>
    <w:p w14:paraId="429434CE" w14:textId="71108C13" w:rsidR="00BA2D26" w:rsidRDefault="00BA2D26" w:rsidP="00D758C3">
      <w:pPr>
        <w:pStyle w:val="ListParagraph"/>
        <w:numPr>
          <w:ilvl w:val="0"/>
          <w:numId w:val="4"/>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I propose the following order:</w:t>
      </w:r>
    </w:p>
    <w:p w14:paraId="6B9F0E01" w14:textId="77777777" w:rsidR="008B0A0B" w:rsidRDefault="008B0A0B" w:rsidP="00BA2D26">
      <w:pPr>
        <w:pStyle w:val="ListParagraph"/>
        <w:spacing w:line="360" w:lineRule="auto"/>
        <w:ind w:left="0"/>
        <w:jc w:val="both"/>
        <w:rPr>
          <w:rFonts w:ascii="Bookman Old Style" w:hAnsi="Bookman Old Style"/>
          <w:sz w:val="28"/>
          <w:szCs w:val="28"/>
          <w:lang w:val="en-US"/>
        </w:rPr>
      </w:pPr>
    </w:p>
    <w:p w14:paraId="389CC3CE" w14:textId="14D04C36" w:rsidR="00BA2D26" w:rsidRPr="00D758C3" w:rsidRDefault="00BA2D26" w:rsidP="005F461B">
      <w:pPr>
        <w:pStyle w:val="ListParagraph"/>
        <w:numPr>
          <w:ilvl w:val="0"/>
          <w:numId w:val="15"/>
        </w:numPr>
        <w:spacing w:line="360" w:lineRule="auto"/>
        <w:ind w:hanging="1080"/>
        <w:jc w:val="both"/>
        <w:rPr>
          <w:rFonts w:ascii="Bookman Old Style" w:hAnsi="Bookman Old Style"/>
          <w:sz w:val="28"/>
          <w:szCs w:val="28"/>
          <w:lang w:val="en-US"/>
        </w:rPr>
      </w:pPr>
      <w:r w:rsidRPr="00D758C3">
        <w:rPr>
          <w:rFonts w:ascii="Bookman Old Style" w:hAnsi="Bookman Old Style"/>
          <w:sz w:val="28"/>
          <w:szCs w:val="28"/>
          <w:lang w:val="en-US"/>
        </w:rPr>
        <w:t>The appeal succeeds.</w:t>
      </w:r>
    </w:p>
    <w:p w14:paraId="337CF4C9" w14:textId="77777777" w:rsidR="00BD5FD9" w:rsidRDefault="00BA2D26" w:rsidP="00D758C3">
      <w:pPr>
        <w:pStyle w:val="ListParagraph"/>
        <w:numPr>
          <w:ilvl w:val="0"/>
          <w:numId w:val="15"/>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The judgment and order of the High Court are set a</w:t>
      </w:r>
      <w:r w:rsidR="00305DE3">
        <w:rPr>
          <w:rFonts w:ascii="Bookman Old Style" w:hAnsi="Bookman Old Style"/>
          <w:sz w:val="28"/>
          <w:szCs w:val="28"/>
          <w:lang w:val="en-US"/>
        </w:rPr>
        <w:t xml:space="preserve">side and </w:t>
      </w:r>
    </w:p>
    <w:p w14:paraId="3B2CA802" w14:textId="5BC79284" w:rsidR="00BA2D26" w:rsidRDefault="00305DE3" w:rsidP="00BD5FD9">
      <w:pPr>
        <w:pStyle w:val="ListParagraph"/>
        <w:spacing w:line="360" w:lineRule="auto"/>
        <w:ind w:left="0" w:firstLine="720"/>
        <w:jc w:val="both"/>
        <w:rPr>
          <w:rFonts w:ascii="Bookman Old Style" w:hAnsi="Bookman Old Style"/>
          <w:sz w:val="28"/>
          <w:szCs w:val="28"/>
          <w:lang w:val="en-US"/>
        </w:rPr>
      </w:pPr>
      <w:r>
        <w:rPr>
          <w:rFonts w:ascii="Bookman Old Style" w:hAnsi="Bookman Old Style"/>
          <w:sz w:val="28"/>
          <w:szCs w:val="28"/>
          <w:lang w:val="en-US"/>
        </w:rPr>
        <w:t>replaced by the following order:</w:t>
      </w:r>
    </w:p>
    <w:p w14:paraId="6A0A932C" w14:textId="5AB62990" w:rsidR="00305DE3" w:rsidRDefault="00C35E0F" w:rsidP="00305DE3">
      <w:pPr>
        <w:pStyle w:val="ListParagraph"/>
        <w:spacing w:line="360" w:lineRule="auto"/>
        <w:ind w:left="0" w:firstLine="720"/>
        <w:jc w:val="both"/>
        <w:rPr>
          <w:rFonts w:ascii="Bookman Old Style" w:hAnsi="Bookman Old Style"/>
          <w:sz w:val="28"/>
          <w:szCs w:val="28"/>
          <w:lang w:val="en-US"/>
        </w:rPr>
      </w:pPr>
      <w:r>
        <w:rPr>
          <w:rFonts w:ascii="Bookman Old Style" w:hAnsi="Bookman Old Style"/>
          <w:sz w:val="28"/>
          <w:szCs w:val="28"/>
          <w:lang w:val="en-US"/>
        </w:rPr>
        <w:t>“T</w:t>
      </w:r>
      <w:r w:rsidR="00305DE3">
        <w:rPr>
          <w:rFonts w:ascii="Bookman Old Style" w:hAnsi="Bookman Old Style"/>
          <w:sz w:val="28"/>
          <w:szCs w:val="28"/>
          <w:lang w:val="en-US"/>
        </w:rPr>
        <w:t>he application is dismissed, with no order of costs”</w:t>
      </w:r>
    </w:p>
    <w:p w14:paraId="06FCE1AA" w14:textId="19656B35" w:rsidR="00305DE3" w:rsidRDefault="00305DE3" w:rsidP="00D758C3">
      <w:pPr>
        <w:pStyle w:val="ListParagraph"/>
        <w:numPr>
          <w:ilvl w:val="0"/>
          <w:numId w:val="15"/>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There is no order of cost</w:t>
      </w:r>
      <w:r w:rsidR="00C35E0F">
        <w:rPr>
          <w:rFonts w:ascii="Bookman Old Style" w:hAnsi="Bookman Old Style"/>
          <w:sz w:val="28"/>
          <w:szCs w:val="28"/>
          <w:lang w:val="en-US"/>
        </w:rPr>
        <w:t>s</w:t>
      </w:r>
      <w:r>
        <w:rPr>
          <w:rFonts w:ascii="Bookman Old Style" w:hAnsi="Bookman Old Style"/>
          <w:sz w:val="28"/>
          <w:szCs w:val="28"/>
          <w:lang w:val="en-US"/>
        </w:rPr>
        <w:t xml:space="preserve"> in the appeal.</w:t>
      </w:r>
    </w:p>
    <w:p w14:paraId="1D9C95BF" w14:textId="77777777" w:rsidR="00BA23D9" w:rsidRDefault="00BA23D9" w:rsidP="00BA23D9">
      <w:pPr>
        <w:spacing w:line="360" w:lineRule="auto"/>
        <w:jc w:val="center"/>
        <w:rPr>
          <w:rFonts w:ascii="Bookman Old Style" w:hAnsi="Bookman Old Style"/>
          <w:lang w:val="en-US"/>
        </w:rPr>
      </w:pPr>
    </w:p>
    <w:p w14:paraId="1B2982ED" w14:textId="5EB433C8" w:rsidR="00BA23D9" w:rsidRDefault="00380183" w:rsidP="00BA23D9">
      <w:pPr>
        <w:spacing w:line="360" w:lineRule="auto"/>
        <w:jc w:val="center"/>
        <w:rPr>
          <w:rFonts w:ascii="Bookman Old Style" w:hAnsi="Bookman Old Style"/>
          <w:lang w:val="en-US"/>
        </w:rPr>
      </w:pPr>
      <w:r>
        <w:rPr>
          <w:noProof/>
          <w:lang w:eastAsia="en-GB"/>
        </w:rPr>
        <w:drawing>
          <wp:inline distT="0" distB="0" distL="0" distR="0" wp14:anchorId="4233755E" wp14:editId="53AC614F">
            <wp:extent cx="904875" cy="457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457200"/>
                    </a:xfrm>
                    <a:prstGeom prst="rect">
                      <a:avLst/>
                    </a:prstGeom>
                    <a:noFill/>
                    <a:ln>
                      <a:noFill/>
                    </a:ln>
                  </pic:spPr>
                </pic:pic>
              </a:graphicData>
            </a:graphic>
          </wp:inline>
        </w:drawing>
      </w:r>
    </w:p>
    <w:p w14:paraId="22907CF7" w14:textId="77777777" w:rsidR="00BA23D9" w:rsidRPr="00574ACB" w:rsidRDefault="00BA23D9" w:rsidP="00BA23D9">
      <w:pPr>
        <w:spacing w:line="360" w:lineRule="auto"/>
        <w:jc w:val="center"/>
        <w:rPr>
          <w:rFonts w:ascii="Bookman Old Style" w:hAnsi="Bookman Old Style"/>
          <w:lang w:val="en-US"/>
        </w:rPr>
      </w:pPr>
    </w:p>
    <w:p w14:paraId="5315EA90" w14:textId="77777777" w:rsidR="0077207E" w:rsidRPr="0077207E" w:rsidRDefault="0077207E" w:rsidP="00AB67A1">
      <w:pPr>
        <w:spacing w:line="360" w:lineRule="auto"/>
        <w:jc w:val="center"/>
        <w:rPr>
          <w:rFonts w:ascii="Bookman Old Style" w:hAnsi="Bookman Old Style"/>
          <w:b/>
          <w:sz w:val="28"/>
          <w:szCs w:val="28"/>
        </w:rPr>
      </w:pPr>
      <w:r w:rsidRPr="0077207E">
        <w:rPr>
          <w:rFonts w:ascii="Bookman Old Style" w:hAnsi="Bookman Old Style"/>
          <w:b/>
          <w:sz w:val="28"/>
          <w:szCs w:val="28"/>
        </w:rPr>
        <w:t>______________________________</w:t>
      </w:r>
    </w:p>
    <w:p w14:paraId="181270B4" w14:textId="77777777" w:rsidR="0059754F" w:rsidRPr="0077207E" w:rsidRDefault="0059754F" w:rsidP="0059754F">
      <w:pPr>
        <w:spacing w:line="360" w:lineRule="auto"/>
        <w:jc w:val="center"/>
        <w:rPr>
          <w:rFonts w:ascii="Bookman Old Style" w:hAnsi="Bookman Old Style"/>
          <w:b/>
          <w:sz w:val="28"/>
          <w:szCs w:val="28"/>
        </w:rPr>
      </w:pPr>
      <w:r w:rsidRPr="0077207E">
        <w:rPr>
          <w:rFonts w:ascii="Bookman Old Style" w:hAnsi="Bookman Old Style"/>
          <w:b/>
          <w:sz w:val="28"/>
          <w:szCs w:val="28"/>
        </w:rPr>
        <w:t>P.T. DAMASEB</w:t>
      </w:r>
    </w:p>
    <w:p w14:paraId="7E2C4ADC" w14:textId="167A5E85" w:rsidR="0059754F" w:rsidRDefault="0059754F" w:rsidP="0059754F">
      <w:pPr>
        <w:spacing w:line="360" w:lineRule="auto"/>
        <w:jc w:val="center"/>
        <w:rPr>
          <w:rFonts w:ascii="Bookman Old Style" w:hAnsi="Bookman Old Style"/>
          <w:b/>
          <w:sz w:val="28"/>
          <w:szCs w:val="28"/>
        </w:rPr>
      </w:pPr>
      <w:r>
        <w:rPr>
          <w:rFonts w:ascii="Bookman Old Style" w:hAnsi="Bookman Old Style"/>
          <w:b/>
          <w:sz w:val="28"/>
          <w:szCs w:val="28"/>
        </w:rPr>
        <w:t xml:space="preserve">ACTING </w:t>
      </w:r>
      <w:r w:rsidRPr="0077207E">
        <w:rPr>
          <w:rFonts w:ascii="Bookman Old Style" w:hAnsi="Bookman Old Style"/>
          <w:b/>
          <w:sz w:val="28"/>
          <w:szCs w:val="28"/>
        </w:rPr>
        <w:t>JUSTICE OF APPEAL</w:t>
      </w:r>
    </w:p>
    <w:p w14:paraId="1E3BEAFF" w14:textId="77777777" w:rsidR="00380183" w:rsidRDefault="00380183" w:rsidP="00AB67A1">
      <w:pPr>
        <w:spacing w:line="360" w:lineRule="auto"/>
        <w:rPr>
          <w:rFonts w:ascii="Bookman Old Style" w:hAnsi="Bookman Old Style"/>
          <w:sz w:val="28"/>
          <w:szCs w:val="28"/>
        </w:rPr>
      </w:pPr>
    </w:p>
    <w:p w14:paraId="1C3DED82" w14:textId="77777777" w:rsidR="00380183" w:rsidRDefault="00380183" w:rsidP="00AB67A1">
      <w:pPr>
        <w:spacing w:line="360" w:lineRule="auto"/>
        <w:rPr>
          <w:rFonts w:ascii="Bookman Old Style" w:hAnsi="Bookman Old Style"/>
          <w:sz w:val="28"/>
          <w:szCs w:val="28"/>
        </w:rPr>
      </w:pPr>
    </w:p>
    <w:p w14:paraId="76FC36C3" w14:textId="77777777" w:rsidR="00380183" w:rsidRDefault="00380183" w:rsidP="00AB67A1">
      <w:pPr>
        <w:spacing w:line="360" w:lineRule="auto"/>
        <w:rPr>
          <w:rFonts w:ascii="Bookman Old Style" w:hAnsi="Bookman Old Style"/>
          <w:sz w:val="28"/>
          <w:szCs w:val="28"/>
        </w:rPr>
      </w:pPr>
    </w:p>
    <w:p w14:paraId="27B41343" w14:textId="77777777" w:rsidR="00380183" w:rsidRDefault="00380183" w:rsidP="00AB67A1">
      <w:pPr>
        <w:spacing w:line="360" w:lineRule="auto"/>
        <w:rPr>
          <w:rFonts w:ascii="Bookman Old Style" w:hAnsi="Bookman Old Style"/>
          <w:sz w:val="28"/>
          <w:szCs w:val="28"/>
        </w:rPr>
      </w:pPr>
    </w:p>
    <w:p w14:paraId="21592FE6" w14:textId="77777777" w:rsidR="00380183" w:rsidRDefault="00380183" w:rsidP="00AB67A1">
      <w:pPr>
        <w:spacing w:line="360" w:lineRule="auto"/>
        <w:rPr>
          <w:rFonts w:ascii="Bookman Old Style" w:hAnsi="Bookman Old Style"/>
          <w:sz w:val="28"/>
          <w:szCs w:val="28"/>
        </w:rPr>
      </w:pPr>
    </w:p>
    <w:p w14:paraId="06182433" w14:textId="4253BBD2" w:rsidR="0077207E" w:rsidRPr="0077207E" w:rsidRDefault="0077207E" w:rsidP="00AB67A1">
      <w:pPr>
        <w:spacing w:line="360" w:lineRule="auto"/>
        <w:rPr>
          <w:rFonts w:ascii="Bookman Old Style" w:hAnsi="Bookman Old Style"/>
          <w:sz w:val="28"/>
          <w:szCs w:val="28"/>
        </w:rPr>
      </w:pPr>
      <w:r w:rsidRPr="0077207E">
        <w:rPr>
          <w:rFonts w:ascii="Bookman Old Style" w:hAnsi="Bookman Old Style"/>
          <w:sz w:val="28"/>
          <w:szCs w:val="28"/>
        </w:rPr>
        <w:t>I agree:</w:t>
      </w:r>
    </w:p>
    <w:p w14:paraId="6C098B0E" w14:textId="48FE2216" w:rsidR="0077207E" w:rsidRPr="0077207E" w:rsidRDefault="00380183" w:rsidP="00380183">
      <w:pPr>
        <w:spacing w:line="360" w:lineRule="auto"/>
        <w:jc w:val="center"/>
        <w:rPr>
          <w:rFonts w:ascii="Bookman Old Style" w:hAnsi="Bookman Old Style"/>
          <w:b/>
          <w:sz w:val="28"/>
          <w:szCs w:val="28"/>
        </w:rPr>
      </w:pPr>
      <w:r>
        <w:rPr>
          <w:noProof/>
          <w:lang w:eastAsia="en-GB"/>
        </w:rPr>
        <w:drawing>
          <wp:inline distT="0" distB="0" distL="0" distR="0" wp14:anchorId="586E908A" wp14:editId="24ABE337">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4528761F" w14:textId="77777777" w:rsidR="0077207E" w:rsidRPr="0077207E" w:rsidRDefault="0077207E" w:rsidP="00AB67A1">
      <w:pPr>
        <w:spacing w:line="360" w:lineRule="auto"/>
        <w:jc w:val="center"/>
        <w:rPr>
          <w:rFonts w:ascii="Bookman Old Style" w:hAnsi="Bookman Old Style"/>
          <w:b/>
          <w:sz w:val="28"/>
          <w:szCs w:val="28"/>
        </w:rPr>
      </w:pPr>
      <w:r w:rsidRPr="0077207E">
        <w:rPr>
          <w:rFonts w:ascii="Bookman Old Style" w:hAnsi="Bookman Old Style"/>
          <w:b/>
          <w:sz w:val="28"/>
          <w:szCs w:val="28"/>
        </w:rPr>
        <w:t>_____________________________</w:t>
      </w:r>
    </w:p>
    <w:p w14:paraId="222CD401" w14:textId="77777777" w:rsidR="0059754F" w:rsidRDefault="0059754F" w:rsidP="0059754F">
      <w:pPr>
        <w:spacing w:line="360" w:lineRule="auto"/>
        <w:jc w:val="center"/>
        <w:rPr>
          <w:rFonts w:ascii="Bookman Old Style" w:hAnsi="Bookman Old Style"/>
          <w:b/>
          <w:sz w:val="28"/>
          <w:szCs w:val="28"/>
        </w:rPr>
      </w:pPr>
      <w:r>
        <w:rPr>
          <w:rFonts w:ascii="Bookman Old Style" w:hAnsi="Bookman Old Style"/>
          <w:b/>
          <w:sz w:val="28"/>
          <w:szCs w:val="28"/>
        </w:rPr>
        <w:t>K E MOSITO</w:t>
      </w:r>
    </w:p>
    <w:p w14:paraId="2CCE003C" w14:textId="77777777" w:rsidR="0059754F" w:rsidRPr="0077207E" w:rsidRDefault="0059754F" w:rsidP="0059754F">
      <w:pPr>
        <w:spacing w:line="360" w:lineRule="auto"/>
        <w:jc w:val="center"/>
        <w:rPr>
          <w:rFonts w:ascii="Bookman Old Style" w:hAnsi="Bookman Old Style"/>
          <w:b/>
          <w:sz w:val="28"/>
          <w:szCs w:val="28"/>
        </w:rPr>
      </w:pPr>
      <w:r>
        <w:rPr>
          <w:rFonts w:ascii="Bookman Old Style" w:hAnsi="Bookman Old Style"/>
          <w:b/>
          <w:sz w:val="28"/>
          <w:szCs w:val="28"/>
        </w:rPr>
        <w:t>PRESIDENT OF THE COURT</w:t>
      </w:r>
      <w:r w:rsidRPr="0077207E">
        <w:rPr>
          <w:rFonts w:ascii="Bookman Old Style" w:hAnsi="Bookman Old Style"/>
          <w:b/>
          <w:sz w:val="28"/>
          <w:szCs w:val="28"/>
        </w:rPr>
        <w:t xml:space="preserve"> OF APPEAL</w:t>
      </w:r>
    </w:p>
    <w:p w14:paraId="206E5987" w14:textId="636796D6" w:rsidR="0077207E" w:rsidRPr="0077207E" w:rsidRDefault="0077207E" w:rsidP="00AB67A1">
      <w:pPr>
        <w:spacing w:line="360" w:lineRule="auto"/>
        <w:jc w:val="center"/>
        <w:rPr>
          <w:rFonts w:ascii="Bookman Old Style" w:hAnsi="Bookman Old Style"/>
          <w:b/>
          <w:sz w:val="28"/>
          <w:szCs w:val="28"/>
        </w:rPr>
      </w:pPr>
    </w:p>
    <w:p w14:paraId="1359E9EF" w14:textId="77777777" w:rsidR="00380183" w:rsidRDefault="00380183" w:rsidP="00AB67A1">
      <w:pPr>
        <w:spacing w:line="360" w:lineRule="auto"/>
        <w:rPr>
          <w:rFonts w:ascii="Bookman Old Style" w:hAnsi="Bookman Old Style"/>
          <w:sz w:val="28"/>
          <w:szCs w:val="28"/>
        </w:rPr>
      </w:pPr>
    </w:p>
    <w:p w14:paraId="0A6803F3" w14:textId="758F3E67" w:rsidR="0077207E" w:rsidRPr="0077207E" w:rsidRDefault="005F461B" w:rsidP="00AB67A1">
      <w:pPr>
        <w:spacing w:line="360" w:lineRule="auto"/>
        <w:rPr>
          <w:rFonts w:ascii="Bookman Old Style" w:hAnsi="Bookman Old Style"/>
          <w:sz w:val="28"/>
          <w:szCs w:val="28"/>
        </w:rPr>
      </w:pPr>
      <w:r>
        <w:rPr>
          <w:rFonts w:ascii="Bookman Old Style" w:hAnsi="Bookman Old Style"/>
          <w:sz w:val="28"/>
          <w:szCs w:val="28"/>
        </w:rPr>
        <w:t>I agree:</w:t>
      </w:r>
    </w:p>
    <w:p w14:paraId="0F336498" w14:textId="11FAD167" w:rsidR="00380183" w:rsidRDefault="00380183" w:rsidP="00AB67A1">
      <w:pPr>
        <w:spacing w:line="360" w:lineRule="auto"/>
        <w:jc w:val="center"/>
        <w:rPr>
          <w:rFonts w:ascii="Bookman Old Style" w:hAnsi="Bookman Old Style"/>
          <w:b/>
          <w:sz w:val="28"/>
          <w:szCs w:val="28"/>
        </w:rPr>
      </w:pPr>
      <w:r>
        <w:rPr>
          <w:noProof/>
          <w:lang w:eastAsia="en-GB"/>
        </w:rPr>
        <w:drawing>
          <wp:inline distT="0" distB="0" distL="0" distR="0" wp14:anchorId="5E40216D" wp14:editId="5D4F3799">
            <wp:extent cx="16573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628650"/>
                    </a:xfrm>
                    <a:prstGeom prst="rect">
                      <a:avLst/>
                    </a:prstGeom>
                    <a:noFill/>
                    <a:ln>
                      <a:noFill/>
                    </a:ln>
                  </pic:spPr>
                </pic:pic>
              </a:graphicData>
            </a:graphic>
          </wp:inline>
        </w:drawing>
      </w:r>
    </w:p>
    <w:p w14:paraId="536C3CB2" w14:textId="092FF0BE" w:rsidR="0077207E" w:rsidRPr="0077207E" w:rsidRDefault="0077207E" w:rsidP="00AB67A1">
      <w:pPr>
        <w:spacing w:line="360" w:lineRule="auto"/>
        <w:jc w:val="center"/>
        <w:rPr>
          <w:rFonts w:ascii="Bookman Old Style" w:hAnsi="Bookman Old Style"/>
          <w:b/>
          <w:sz w:val="28"/>
          <w:szCs w:val="28"/>
        </w:rPr>
      </w:pPr>
      <w:r w:rsidRPr="0077207E">
        <w:rPr>
          <w:rFonts w:ascii="Bookman Old Style" w:hAnsi="Bookman Old Style"/>
          <w:b/>
          <w:sz w:val="28"/>
          <w:szCs w:val="28"/>
        </w:rPr>
        <w:t>_____________________________</w:t>
      </w:r>
    </w:p>
    <w:p w14:paraId="5BFB28C5" w14:textId="0EA229DA" w:rsidR="00BA23D9" w:rsidRPr="0077207E" w:rsidRDefault="00BA23D9" w:rsidP="00BA23D9">
      <w:pPr>
        <w:spacing w:line="360" w:lineRule="auto"/>
        <w:jc w:val="center"/>
        <w:rPr>
          <w:rFonts w:ascii="Bookman Old Style" w:hAnsi="Bookman Old Style"/>
          <w:b/>
          <w:sz w:val="28"/>
          <w:szCs w:val="28"/>
        </w:rPr>
      </w:pPr>
      <w:r w:rsidRPr="0077207E">
        <w:rPr>
          <w:rFonts w:ascii="Bookman Old Style" w:hAnsi="Bookman Old Style"/>
          <w:b/>
          <w:sz w:val="28"/>
          <w:szCs w:val="28"/>
        </w:rPr>
        <w:t>M.</w:t>
      </w:r>
      <w:r>
        <w:rPr>
          <w:rFonts w:ascii="Bookman Old Style" w:hAnsi="Bookman Old Style"/>
          <w:b/>
          <w:sz w:val="28"/>
          <w:szCs w:val="28"/>
        </w:rPr>
        <w:t>H</w:t>
      </w:r>
      <w:r w:rsidR="0059754F">
        <w:rPr>
          <w:rFonts w:ascii="Bookman Old Style" w:hAnsi="Bookman Old Style"/>
          <w:b/>
          <w:sz w:val="28"/>
          <w:szCs w:val="28"/>
        </w:rPr>
        <w:t>.</w:t>
      </w:r>
      <w:r w:rsidRPr="0077207E">
        <w:rPr>
          <w:rFonts w:ascii="Bookman Old Style" w:hAnsi="Bookman Old Style"/>
          <w:b/>
          <w:sz w:val="28"/>
          <w:szCs w:val="28"/>
        </w:rPr>
        <w:t xml:space="preserve"> CHINHENGO</w:t>
      </w:r>
    </w:p>
    <w:p w14:paraId="772FFBBF" w14:textId="1FAF99D9" w:rsidR="00380183" w:rsidRDefault="0059754F" w:rsidP="00380183">
      <w:pPr>
        <w:spacing w:line="360" w:lineRule="auto"/>
        <w:jc w:val="center"/>
        <w:rPr>
          <w:rFonts w:ascii="Bookman Old Style" w:hAnsi="Bookman Old Style"/>
          <w:b/>
          <w:sz w:val="28"/>
          <w:szCs w:val="28"/>
        </w:rPr>
      </w:pPr>
      <w:r>
        <w:rPr>
          <w:rFonts w:ascii="Bookman Old Style" w:hAnsi="Bookman Old Style"/>
          <w:b/>
          <w:sz w:val="28"/>
          <w:szCs w:val="28"/>
        </w:rPr>
        <w:t xml:space="preserve">ACTING </w:t>
      </w:r>
      <w:r w:rsidR="0077207E" w:rsidRPr="0077207E">
        <w:rPr>
          <w:rFonts w:ascii="Bookman Old Style" w:hAnsi="Bookman Old Style"/>
          <w:b/>
          <w:sz w:val="28"/>
          <w:szCs w:val="28"/>
        </w:rPr>
        <w:t>JUSTICE OF APPEA</w:t>
      </w:r>
      <w:r w:rsidR="00380183">
        <w:rPr>
          <w:rFonts w:ascii="Bookman Old Style" w:hAnsi="Bookman Old Style"/>
          <w:b/>
          <w:sz w:val="28"/>
          <w:szCs w:val="28"/>
        </w:rPr>
        <w:t>L</w:t>
      </w:r>
    </w:p>
    <w:p w14:paraId="7D8C51B0" w14:textId="77777777" w:rsidR="00380183" w:rsidRDefault="00380183" w:rsidP="00380183">
      <w:pPr>
        <w:spacing w:line="360" w:lineRule="auto"/>
        <w:rPr>
          <w:rFonts w:ascii="Bookman Old Style" w:hAnsi="Bookman Old Style"/>
          <w:b/>
          <w:sz w:val="28"/>
          <w:szCs w:val="28"/>
        </w:rPr>
      </w:pPr>
    </w:p>
    <w:p w14:paraId="68F222C2" w14:textId="77777777" w:rsidR="00380183" w:rsidRDefault="00380183" w:rsidP="00380183">
      <w:pPr>
        <w:spacing w:line="360" w:lineRule="auto"/>
        <w:rPr>
          <w:rFonts w:ascii="Bookman Old Style" w:hAnsi="Bookman Old Style"/>
          <w:b/>
          <w:sz w:val="28"/>
          <w:szCs w:val="28"/>
        </w:rPr>
      </w:pPr>
    </w:p>
    <w:p w14:paraId="3E0D4F7F" w14:textId="77777777" w:rsidR="00380183" w:rsidRDefault="00380183" w:rsidP="00380183">
      <w:pPr>
        <w:spacing w:line="360" w:lineRule="auto"/>
        <w:rPr>
          <w:rFonts w:ascii="Bookman Old Style" w:hAnsi="Bookman Old Style"/>
          <w:b/>
          <w:sz w:val="28"/>
          <w:szCs w:val="28"/>
        </w:rPr>
      </w:pPr>
    </w:p>
    <w:p w14:paraId="5412BCA8" w14:textId="1B38B5D5" w:rsidR="0077207E" w:rsidRPr="00380183" w:rsidRDefault="00BA23D9" w:rsidP="00380183">
      <w:pPr>
        <w:spacing w:line="360" w:lineRule="auto"/>
        <w:rPr>
          <w:rFonts w:ascii="Bookman Old Style" w:eastAsia="Calibri" w:hAnsi="Bookman Old Style" w:cs="Times New Roman"/>
          <w:b/>
          <w:sz w:val="28"/>
          <w:szCs w:val="28"/>
          <w:lang w:val="en-ZA"/>
        </w:rPr>
      </w:pPr>
      <w:r w:rsidRPr="003B3071">
        <w:rPr>
          <w:rFonts w:ascii="Bookman Old Style" w:eastAsia="Calibri" w:hAnsi="Bookman Old Style" w:cs="Times New Roman"/>
          <w:b/>
          <w:color w:val="000000" w:themeColor="text1"/>
          <w:sz w:val="28"/>
          <w:szCs w:val="28"/>
          <w:lang w:val="en-ZA"/>
        </w:rPr>
        <w:t>FOR APPELLANT</w:t>
      </w:r>
      <w:r w:rsidR="008E0501" w:rsidRPr="003B3071">
        <w:rPr>
          <w:rFonts w:ascii="Bookman Old Style" w:eastAsia="Calibri" w:hAnsi="Bookman Old Style" w:cs="Times New Roman"/>
          <w:b/>
          <w:color w:val="000000" w:themeColor="text1"/>
          <w:sz w:val="28"/>
          <w:szCs w:val="28"/>
          <w:lang w:val="en-ZA"/>
        </w:rPr>
        <w:t>S</w:t>
      </w:r>
      <w:r w:rsidRPr="003B3071">
        <w:rPr>
          <w:rFonts w:ascii="Bookman Old Style" w:eastAsia="Calibri" w:hAnsi="Bookman Old Style" w:cs="Times New Roman"/>
          <w:color w:val="000000" w:themeColor="text1"/>
          <w:sz w:val="28"/>
          <w:szCs w:val="28"/>
          <w:lang w:val="en-ZA"/>
        </w:rPr>
        <w:t>:</w:t>
      </w:r>
      <w:r w:rsidRPr="003B3071">
        <w:rPr>
          <w:rFonts w:ascii="Bookman Old Style" w:eastAsia="Calibri" w:hAnsi="Bookman Old Style" w:cs="Times New Roman"/>
          <w:color w:val="000000" w:themeColor="text1"/>
          <w:sz w:val="28"/>
          <w:szCs w:val="28"/>
          <w:lang w:val="en-ZA"/>
        </w:rPr>
        <w:tab/>
      </w:r>
      <w:r w:rsidRPr="003B3071">
        <w:rPr>
          <w:rFonts w:ascii="Bookman Old Style" w:eastAsia="Calibri" w:hAnsi="Bookman Old Style" w:cs="Times New Roman"/>
          <w:color w:val="000000" w:themeColor="text1"/>
          <w:sz w:val="28"/>
          <w:szCs w:val="28"/>
          <w:lang w:val="en-ZA"/>
        </w:rPr>
        <w:tab/>
      </w:r>
      <w:r w:rsidRPr="003B3071">
        <w:rPr>
          <w:rFonts w:ascii="Bookman Old Style" w:eastAsia="Calibri" w:hAnsi="Bookman Old Style" w:cs="Times New Roman"/>
          <w:color w:val="000000" w:themeColor="text1"/>
          <w:sz w:val="28"/>
          <w:szCs w:val="28"/>
          <w:lang w:val="en-ZA"/>
        </w:rPr>
        <w:tab/>
        <w:t xml:space="preserve">ADV. </w:t>
      </w:r>
      <w:r w:rsidR="004545FF">
        <w:rPr>
          <w:rFonts w:ascii="Bookman Old Style" w:eastAsia="Calibri" w:hAnsi="Bookman Old Style" w:cs="Times New Roman"/>
          <w:color w:val="000000" w:themeColor="text1"/>
          <w:sz w:val="28"/>
          <w:szCs w:val="28"/>
          <w:lang w:val="en-ZA"/>
        </w:rPr>
        <w:t>T F CHECHELA</w:t>
      </w:r>
    </w:p>
    <w:p w14:paraId="433D0D8D" w14:textId="1789F80A" w:rsidR="0071713F" w:rsidRPr="003B3071" w:rsidRDefault="008E0501" w:rsidP="00380183">
      <w:pPr>
        <w:ind w:left="2694" w:right="1253" w:hanging="2694"/>
        <w:jc w:val="both"/>
        <w:rPr>
          <w:rFonts w:ascii="Bookman Old Style" w:eastAsia="Calibri" w:hAnsi="Bookman Old Style" w:cs="Times New Roman"/>
          <w:color w:val="000000" w:themeColor="text1"/>
          <w:sz w:val="28"/>
          <w:szCs w:val="28"/>
          <w:lang w:val="en-ZA"/>
        </w:rPr>
      </w:pPr>
      <w:r w:rsidRPr="003B3071">
        <w:rPr>
          <w:rFonts w:ascii="Bookman Old Style" w:eastAsia="Calibri" w:hAnsi="Bookman Old Style" w:cs="Times New Roman"/>
          <w:b/>
          <w:color w:val="000000" w:themeColor="text1"/>
          <w:sz w:val="28"/>
          <w:szCs w:val="28"/>
          <w:lang w:val="en-ZA"/>
        </w:rPr>
        <w:t>FOR RESPONDENT</w:t>
      </w:r>
      <w:r w:rsidR="00BA23D9" w:rsidRPr="003B3071">
        <w:rPr>
          <w:rFonts w:ascii="Bookman Old Style" w:eastAsia="Calibri" w:hAnsi="Bookman Old Style" w:cs="Times New Roman"/>
          <w:color w:val="000000" w:themeColor="text1"/>
          <w:sz w:val="28"/>
          <w:szCs w:val="28"/>
          <w:lang w:val="en-ZA"/>
        </w:rPr>
        <w:t>:</w:t>
      </w:r>
      <w:r w:rsidRPr="003B3071">
        <w:rPr>
          <w:rFonts w:ascii="Bookman Old Style" w:eastAsia="Calibri" w:hAnsi="Bookman Old Style" w:cs="Times New Roman"/>
          <w:color w:val="000000" w:themeColor="text1"/>
          <w:sz w:val="28"/>
          <w:szCs w:val="28"/>
          <w:lang w:val="en-ZA"/>
        </w:rPr>
        <w:tab/>
      </w:r>
      <w:r w:rsidRPr="003B3071">
        <w:rPr>
          <w:rFonts w:ascii="Bookman Old Style" w:eastAsia="Calibri" w:hAnsi="Bookman Old Style" w:cs="Times New Roman"/>
          <w:color w:val="000000" w:themeColor="text1"/>
          <w:sz w:val="28"/>
          <w:szCs w:val="28"/>
          <w:lang w:val="en-ZA"/>
        </w:rPr>
        <w:tab/>
      </w:r>
      <w:r w:rsidR="00BA23D9" w:rsidRPr="003B3071">
        <w:rPr>
          <w:rFonts w:ascii="Bookman Old Style" w:eastAsia="Calibri" w:hAnsi="Bookman Old Style" w:cs="Times New Roman"/>
          <w:color w:val="000000" w:themeColor="text1"/>
          <w:sz w:val="28"/>
          <w:szCs w:val="28"/>
          <w:lang w:val="en-ZA"/>
        </w:rPr>
        <w:tab/>
        <w:t xml:space="preserve">ADV. </w:t>
      </w:r>
      <w:r w:rsidR="004545FF">
        <w:rPr>
          <w:rFonts w:ascii="Bookman Old Style" w:eastAsia="Calibri" w:hAnsi="Bookman Old Style" w:cs="Times New Roman"/>
          <w:color w:val="000000" w:themeColor="text1"/>
          <w:sz w:val="28"/>
          <w:szCs w:val="28"/>
          <w:lang w:val="en-ZA"/>
        </w:rPr>
        <w:t>N MAFAESA</w:t>
      </w:r>
    </w:p>
    <w:p w14:paraId="645E1567" w14:textId="77777777" w:rsidR="0077207E" w:rsidRPr="005F461B" w:rsidRDefault="0077207E" w:rsidP="00380183">
      <w:pPr>
        <w:ind w:right="1253"/>
        <w:jc w:val="both"/>
        <w:rPr>
          <w:rFonts w:ascii="Bookman Old Style" w:eastAsia="Calibri" w:hAnsi="Bookman Old Style" w:cs="Times New Roman"/>
          <w:color w:val="000000" w:themeColor="text1"/>
          <w:sz w:val="28"/>
          <w:szCs w:val="28"/>
          <w:lang w:val="en-ZA"/>
        </w:rPr>
      </w:pPr>
    </w:p>
    <w:p w14:paraId="7AC04A54" w14:textId="77777777" w:rsidR="003D6071" w:rsidRPr="005F461B" w:rsidRDefault="003D6071" w:rsidP="005F461B">
      <w:pPr>
        <w:spacing w:line="360" w:lineRule="auto"/>
        <w:ind w:right="1247"/>
        <w:jc w:val="both"/>
        <w:rPr>
          <w:rFonts w:ascii="Bookman Old Style" w:eastAsia="Calibri" w:hAnsi="Bookman Old Style" w:cs="Times New Roman"/>
          <w:color w:val="000000" w:themeColor="text1"/>
          <w:sz w:val="28"/>
          <w:szCs w:val="28"/>
          <w:lang w:val="en-ZA"/>
        </w:rPr>
      </w:pPr>
    </w:p>
    <w:sectPr w:rsidR="003D6071" w:rsidRPr="005F461B" w:rsidSect="00BA5365">
      <w:head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37D26" w14:textId="77777777" w:rsidR="006F4C97" w:rsidRDefault="006F4C97" w:rsidP="00BE21DC">
      <w:r>
        <w:separator/>
      </w:r>
    </w:p>
  </w:endnote>
  <w:endnote w:type="continuationSeparator" w:id="0">
    <w:p w14:paraId="6DF36152" w14:textId="77777777" w:rsidR="006F4C97" w:rsidRDefault="006F4C97" w:rsidP="00BE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C64DE" w14:textId="77777777" w:rsidR="006F4C97" w:rsidRDefault="006F4C97" w:rsidP="00BE21DC">
      <w:r>
        <w:separator/>
      </w:r>
    </w:p>
  </w:footnote>
  <w:footnote w:type="continuationSeparator" w:id="0">
    <w:p w14:paraId="00B1778C" w14:textId="77777777" w:rsidR="006F4C97" w:rsidRDefault="006F4C97" w:rsidP="00BE21DC">
      <w:r>
        <w:continuationSeparator/>
      </w:r>
    </w:p>
  </w:footnote>
  <w:footnote w:id="1">
    <w:p w14:paraId="78918420" w14:textId="3DCB1CE7" w:rsidR="004C64BA" w:rsidRPr="004C64BA" w:rsidRDefault="004C64BA">
      <w:pPr>
        <w:pStyle w:val="FootnoteText"/>
        <w:rPr>
          <w:lang w:val="en-US"/>
        </w:rPr>
      </w:pPr>
      <w:r>
        <w:rPr>
          <w:rStyle w:val="FootnoteReference"/>
        </w:rPr>
        <w:footnoteRef/>
      </w:r>
      <w:r>
        <w:t xml:space="preserve"> </w:t>
      </w:r>
      <w:r>
        <w:rPr>
          <w:lang w:val="en-US"/>
        </w:rPr>
        <w:t>C of A (CIV) 27/2021 (20 October 2021) [12 November 2021].</w:t>
      </w:r>
    </w:p>
  </w:footnote>
  <w:footnote w:id="2">
    <w:p w14:paraId="6BAE2222" w14:textId="77777777" w:rsidR="002E0739" w:rsidRPr="00CD68AC" w:rsidRDefault="002E0739" w:rsidP="002E0739">
      <w:pPr>
        <w:pStyle w:val="FootnoteText"/>
        <w:spacing w:line="360" w:lineRule="auto"/>
        <w:jc w:val="both"/>
        <w:rPr>
          <w:rFonts w:ascii="Bookman Old Style" w:hAnsi="Bookman Old Style"/>
          <w:sz w:val="22"/>
          <w:szCs w:val="22"/>
          <w:lang w:val="en-ZA"/>
        </w:rPr>
      </w:pPr>
      <w:r w:rsidRPr="00CD68AC">
        <w:rPr>
          <w:rStyle w:val="FootnoteReference"/>
          <w:rFonts w:ascii="Bookman Old Style" w:hAnsi="Bookman Old Style"/>
          <w:sz w:val="22"/>
          <w:szCs w:val="22"/>
        </w:rPr>
        <w:footnoteRef/>
      </w:r>
      <w:r w:rsidRPr="00CD68AC">
        <w:rPr>
          <w:rFonts w:ascii="Bookman Old Style" w:hAnsi="Bookman Old Style"/>
          <w:sz w:val="22"/>
          <w:szCs w:val="22"/>
        </w:rPr>
        <w:t xml:space="preserve"> </w:t>
      </w:r>
      <w:proofErr w:type="spellStart"/>
      <w:r w:rsidRPr="00B73DBE">
        <w:rPr>
          <w:rFonts w:ascii="Bookman Old Style" w:hAnsi="Bookman Old Style"/>
          <w:i/>
          <w:sz w:val="22"/>
          <w:szCs w:val="22"/>
          <w:lang w:val="en-US"/>
        </w:rPr>
        <w:t>Hoohlo</w:t>
      </w:r>
      <w:proofErr w:type="spellEnd"/>
      <w:r w:rsidRPr="00B73DBE">
        <w:rPr>
          <w:rFonts w:ascii="Bookman Old Style" w:hAnsi="Bookman Old Style"/>
          <w:i/>
          <w:sz w:val="22"/>
          <w:szCs w:val="22"/>
          <w:lang w:val="en-US"/>
        </w:rPr>
        <w:t xml:space="preserve"> v Lesotho Electricity Company</w:t>
      </w:r>
      <w:r w:rsidRPr="00B73DBE">
        <w:rPr>
          <w:rFonts w:ascii="Bookman Old Style" w:hAnsi="Bookman Old Style"/>
          <w:sz w:val="22"/>
          <w:szCs w:val="22"/>
          <w:lang w:val="en-US"/>
        </w:rPr>
        <w:t xml:space="preserve"> (C of A (CIV) 09/20) [2020] LSCA 23 (30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671024"/>
      <w:docPartObj>
        <w:docPartGallery w:val="Page Numbers (Top of Page)"/>
        <w:docPartUnique/>
      </w:docPartObj>
    </w:sdtPr>
    <w:sdtEndPr>
      <w:rPr>
        <w:noProof/>
      </w:rPr>
    </w:sdtEndPr>
    <w:sdtContent>
      <w:p w14:paraId="45B6638D" w14:textId="41CBE34C" w:rsidR="00BA5365" w:rsidRDefault="00BA5365">
        <w:pPr>
          <w:pStyle w:val="Header"/>
          <w:jc w:val="right"/>
        </w:pPr>
        <w:r>
          <w:fldChar w:fldCharType="begin"/>
        </w:r>
        <w:r>
          <w:instrText xml:space="preserve"> PAGE   \* MERGEFORMAT </w:instrText>
        </w:r>
        <w:r>
          <w:fldChar w:fldCharType="separate"/>
        </w:r>
        <w:r w:rsidR="00714DEF">
          <w:rPr>
            <w:noProof/>
          </w:rPr>
          <w:t>6</w:t>
        </w:r>
        <w:r>
          <w:rPr>
            <w:noProof/>
          </w:rPr>
          <w:fldChar w:fldCharType="end"/>
        </w:r>
      </w:p>
    </w:sdtContent>
  </w:sdt>
  <w:p w14:paraId="41619E27" w14:textId="77777777" w:rsidR="00BA5365" w:rsidRDefault="00BA5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52B40"/>
    <w:multiLevelType w:val="hybridMultilevel"/>
    <w:tmpl w:val="2C68ED36"/>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5A6A"/>
    <w:multiLevelType w:val="hybridMultilevel"/>
    <w:tmpl w:val="0D7CAE18"/>
    <w:lvl w:ilvl="0" w:tplc="CCC06C0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72730DB"/>
    <w:multiLevelType w:val="hybridMultilevel"/>
    <w:tmpl w:val="B3321754"/>
    <w:lvl w:ilvl="0" w:tplc="F74A6150">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2FDD7130"/>
    <w:multiLevelType w:val="hybridMultilevel"/>
    <w:tmpl w:val="2E0840A0"/>
    <w:lvl w:ilvl="0" w:tplc="6AA46D2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5A957D8"/>
    <w:multiLevelType w:val="hybridMultilevel"/>
    <w:tmpl w:val="89143A5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7840BEB"/>
    <w:multiLevelType w:val="hybridMultilevel"/>
    <w:tmpl w:val="02D26F6E"/>
    <w:lvl w:ilvl="0" w:tplc="0809000F">
      <w:start w:val="2"/>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4107B"/>
    <w:multiLevelType w:val="hybridMultilevel"/>
    <w:tmpl w:val="CE3C7E92"/>
    <w:lvl w:ilvl="0" w:tplc="718C63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A0C7630"/>
    <w:multiLevelType w:val="hybridMultilevel"/>
    <w:tmpl w:val="A3A8DDE8"/>
    <w:lvl w:ilvl="0" w:tplc="718C63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F011E19"/>
    <w:multiLevelType w:val="hybridMultilevel"/>
    <w:tmpl w:val="62441FFA"/>
    <w:lvl w:ilvl="0" w:tplc="65B8BA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6C45408"/>
    <w:multiLevelType w:val="hybridMultilevel"/>
    <w:tmpl w:val="B90CACC2"/>
    <w:lvl w:ilvl="0" w:tplc="0702267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5C9C12DA"/>
    <w:multiLevelType w:val="multilevel"/>
    <w:tmpl w:val="C5841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4352FB"/>
    <w:multiLevelType w:val="hybridMultilevel"/>
    <w:tmpl w:val="5F8CD2F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62013AB"/>
    <w:multiLevelType w:val="hybridMultilevel"/>
    <w:tmpl w:val="AE00BCD0"/>
    <w:lvl w:ilvl="0" w:tplc="C75EE8A6">
      <w:start w:val="1"/>
      <w:numFmt w:val="lowerLetter"/>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2D219D"/>
    <w:multiLevelType w:val="hybridMultilevel"/>
    <w:tmpl w:val="ED66F050"/>
    <w:lvl w:ilvl="0" w:tplc="6B366B4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7EFC5615"/>
    <w:multiLevelType w:val="hybridMultilevel"/>
    <w:tmpl w:val="478C4656"/>
    <w:lvl w:ilvl="0" w:tplc="36AE3574">
      <w:start w:val="1"/>
      <w:numFmt w:val="decimal"/>
      <w:lvlText w:val="[%1]"/>
      <w:lvlJc w:val="left"/>
      <w:pPr>
        <w:ind w:left="720" w:hanging="360"/>
      </w:pPr>
      <w:rPr>
        <w:rFonts w:hint="default"/>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4"/>
  </w:num>
  <w:num w:numId="5">
    <w:abstractNumId w:val="3"/>
  </w:num>
  <w:num w:numId="6">
    <w:abstractNumId w:val="2"/>
  </w:num>
  <w:num w:numId="7">
    <w:abstractNumId w:val="13"/>
  </w:num>
  <w:num w:numId="8">
    <w:abstractNumId w:val="9"/>
  </w:num>
  <w:num w:numId="9">
    <w:abstractNumId w:val="8"/>
  </w:num>
  <w:num w:numId="10">
    <w:abstractNumId w:val="0"/>
  </w:num>
  <w:num w:numId="11">
    <w:abstractNumId w:val="12"/>
  </w:num>
  <w:num w:numId="12">
    <w:abstractNumId w:val="4"/>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71"/>
    <w:rsid w:val="00002695"/>
    <w:rsid w:val="000028DC"/>
    <w:rsid w:val="00004D4E"/>
    <w:rsid w:val="00005770"/>
    <w:rsid w:val="00005E5F"/>
    <w:rsid w:val="00005F38"/>
    <w:rsid w:val="00006D9E"/>
    <w:rsid w:val="00007098"/>
    <w:rsid w:val="000073EC"/>
    <w:rsid w:val="000119B7"/>
    <w:rsid w:val="00011F4F"/>
    <w:rsid w:val="00012406"/>
    <w:rsid w:val="00020256"/>
    <w:rsid w:val="00021E86"/>
    <w:rsid w:val="0002495F"/>
    <w:rsid w:val="000268D5"/>
    <w:rsid w:val="000277D9"/>
    <w:rsid w:val="00031EDB"/>
    <w:rsid w:val="000323C1"/>
    <w:rsid w:val="0003324C"/>
    <w:rsid w:val="0003599B"/>
    <w:rsid w:val="00037F46"/>
    <w:rsid w:val="00040D0B"/>
    <w:rsid w:val="00043737"/>
    <w:rsid w:val="00044D0B"/>
    <w:rsid w:val="0004582C"/>
    <w:rsid w:val="00046CA0"/>
    <w:rsid w:val="000501E1"/>
    <w:rsid w:val="0005176A"/>
    <w:rsid w:val="000544FA"/>
    <w:rsid w:val="00054CE0"/>
    <w:rsid w:val="00056202"/>
    <w:rsid w:val="00060932"/>
    <w:rsid w:val="00061767"/>
    <w:rsid w:val="00064EC3"/>
    <w:rsid w:val="00065664"/>
    <w:rsid w:val="00066165"/>
    <w:rsid w:val="000673E7"/>
    <w:rsid w:val="00071B43"/>
    <w:rsid w:val="000765D1"/>
    <w:rsid w:val="000815AE"/>
    <w:rsid w:val="000817B4"/>
    <w:rsid w:val="00081C62"/>
    <w:rsid w:val="00082052"/>
    <w:rsid w:val="0008263F"/>
    <w:rsid w:val="00083971"/>
    <w:rsid w:val="00083D0B"/>
    <w:rsid w:val="0008415E"/>
    <w:rsid w:val="00084EB9"/>
    <w:rsid w:val="000850BF"/>
    <w:rsid w:val="00086F90"/>
    <w:rsid w:val="00090F5C"/>
    <w:rsid w:val="00092CD7"/>
    <w:rsid w:val="00094A02"/>
    <w:rsid w:val="000A1987"/>
    <w:rsid w:val="000A2015"/>
    <w:rsid w:val="000A57DA"/>
    <w:rsid w:val="000A699A"/>
    <w:rsid w:val="000A69FD"/>
    <w:rsid w:val="000A6FB3"/>
    <w:rsid w:val="000B1BA9"/>
    <w:rsid w:val="000B40E8"/>
    <w:rsid w:val="000B5612"/>
    <w:rsid w:val="000B75F1"/>
    <w:rsid w:val="000B76C3"/>
    <w:rsid w:val="000C2BCB"/>
    <w:rsid w:val="000C3CC0"/>
    <w:rsid w:val="000C4A3D"/>
    <w:rsid w:val="000C4D6C"/>
    <w:rsid w:val="000C6ABC"/>
    <w:rsid w:val="000D2AF6"/>
    <w:rsid w:val="000D5544"/>
    <w:rsid w:val="000D5D6D"/>
    <w:rsid w:val="000E106E"/>
    <w:rsid w:val="000E16E8"/>
    <w:rsid w:val="000E2AB5"/>
    <w:rsid w:val="000E3637"/>
    <w:rsid w:val="000E47EF"/>
    <w:rsid w:val="000E5E2E"/>
    <w:rsid w:val="000F0D66"/>
    <w:rsid w:val="000F28DB"/>
    <w:rsid w:val="000F6A90"/>
    <w:rsid w:val="00102159"/>
    <w:rsid w:val="0010293F"/>
    <w:rsid w:val="00107639"/>
    <w:rsid w:val="0011091C"/>
    <w:rsid w:val="001121BF"/>
    <w:rsid w:val="001124B5"/>
    <w:rsid w:val="00113B9B"/>
    <w:rsid w:val="00113E99"/>
    <w:rsid w:val="001140DA"/>
    <w:rsid w:val="00114F00"/>
    <w:rsid w:val="00114F5C"/>
    <w:rsid w:val="00121F7F"/>
    <w:rsid w:val="00122E94"/>
    <w:rsid w:val="00123003"/>
    <w:rsid w:val="001241DF"/>
    <w:rsid w:val="00126463"/>
    <w:rsid w:val="00127695"/>
    <w:rsid w:val="00130E8A"/>
    <w:rsid w:val="00130EDE"/>
    <w:rsid w:val="00132D4B"/>
    <w:rsid w:val="00135196"/>
    <w:rsid w:val="00135A09"/>
    <w:rsid w:val="00135A8B"/>
    <w:rsid w:val="00136D2F"/>
    <w:rsid w:val="00137F29"/>
    <w:rsid w:val="00140FF5"/>
    <w:rsid w:val="001414AD"/>
    <w:rsid w:val="0014212A"/>
    <w:rsid w:val="00145470"/>
    <w:rsid w:val="00145780"/>
    <w:rsid w:val="00146328"/>
    <w:rsid w:val="00146BEF"/>
    <w:rsid w:val="00151B00"/>
    <w:rsid w:val="00151E35"/>
    <w:rsid w:val="00152C82"/>
    <w:rsid w:val="00152E11"/>
    <w:rsid w:val="00154AA6"/>
    <w:rsid w:val="00155AE7"/>
    <w:rsid w:val="00156B0C"/>
    <w:rsid w:val="00156EE7"/>
    <w:rsid w:val="00163014"/>
    <w:rsid w:val="00164BAB"/>
    <w:rsid w:val="001661A2"/>
    <w:rsid w:val="001663AF"/>
    <w:rsid w:val="00166AF7"/>
    <w:rsid w:val="00167CB5"/>
    <w:rsid w:val="0017084A"/>
    <w:rsid w:val="00173631"/>
    <w:rsid w:val="001736A5"/>
    <w:rsid w:val="00174170"/>
    <w:rsid w:val="0017639D"/>
    <w:rsid w:val="001767CE"/>
    <w:rsid w:val="00176A29"/>
    <w:rsid w:val="00177CEF"/>
    <w:rsid w:val="00177D8B"/>
    <w:rsid w:val="00180702"/>
    <w:rsid w:val="00181A5F"/>
    <w:rsid w:val="00182836"/>
    <w:rsid w:val="00182F89"/>
    <w:rsid w:val="00183AED"/>
    <w:rsid w:val="00187ED7"/>
    <w:rsid w:val="001929B9"/>
    <w:rsid w:val="0019303F"/>
    <w:rsid w:val="00194A7D"/>
    <w:rsid w:val="001954B4"/>
    <w:rsid w:val="001969AA"/>
    <w:rsid w:val="00197A4A"/>
    <w:rsid w:val="001A4E21"/>
    <w:rsid w:val="001A631C"/>
    <w:rsid w:val="001A6B08"/>
    <w:rsid w:val="001A76F1"/>
    <w:rsid w:val="001B1583"/>
    <w:rsid w:val="001B1C5A"/>
    <w:rsid w:val="001B1DC8"/>
    <w:rsid w:val="001B2616"/>
    <w:rsid w:val="001B32BC"/>
    <w:rsid w:val="001B486A"/>
    <w:rsid w:val="001B4A66"/>
    <w:rsid w:val="001B4B37"/>
    <w:rsid w:val="001B52E9"/>
    <w:rsid w:val="001C186D"/>
    <w:rsid w:val="001C5007"/>
    <w:rsid w:val="001C7630"/>
    <w:rsid w:val="001D015A"/>
    <w:rsid w:val="001D1327"/>
    <w:rsid w:val="001D13F0"/>
    <w:rsid w:val="001D20C0"/>
    <w:rsid w:val="001D2860"/>
    <w:rsid w:val="001D3129"/>
    <w:rsid w:val="001D3455"/>
    <w:rsid w:val="001D5401"/>
    <w:rsid w:val="001D731E"/>
    <w:rsid w:val="001D7B0B"/>
    <w:rsid w:val="001E0581"/>
    <w:rsid w:val="001E0603"/>
    <w:rsid w:val="001E08CB"/>
    <w:rsid w:val="001E0E49"/>
    <w:rsid w:val="001E3258"/>
    <w:rsid w:val="001E4003"/>
    <w:rsid w:val="001E5831"/>
    <w:rsid w:val="001E6AFA"/>
    <w:rsid w:val="001F0CA2"/>
    <w:rsid w:val="001F12D0"/>
    <w:rsid w:val="001F162F"/>
    <w:rsid w:val="001F4B01"/>
    <w:rsid w:val="001F7292"/>
    <w:rsid w:val="001F737D"/>
    <w:rsid w:val="00200119"/>
    <w:rsid w:val="00202D5E"/>
    <w:rsid w:val="00202DEF"/>
    <w:rsid w:val="0020312F"/>
    <w:rsid w:val="00205149"/>
    <w:rsid w:val="002078CE"/>
    <w:rsid w:val="00211BA9"/>
    <w:rsid w:val="00211D6A"/>
    <w:rsid w:val="00212867"/>
    <w:rsid w:val="00214DC2"/>
    <w:rsid w:val="002176C6"/>
    <w:rsid w:val="00217F9F"/>
    <w:rsid w:val="00220944"/>
    <w:rsid w:val="00220D47"/>
    <w:rsid w:val="00220F8E"/>
    <w:rsid w:val="00222104"/>
    <w:rsid w:val="00223839"/>
    <w:rsid w:val="00224947"/>
    <w:rsid w:val="00224BD2"/>
    <w:rsid w:val="002252D4"/>
    <w:rsid w:val="0022560C"/>
    <w:rsid w:val="00225D01"/>
    <w:rsid w:val="00227364"/>
    <w:rsid w:val="0022789B"/>
    <w:rsid w:val="00230919"/>
    <w:rsid w:val="00230939"/>
    <w:rsid w:val="00230E4B"/>
    <w:rsid w:val="0023324B"/>
    <w:rsid w:val="00237503"/>
    <w:rsid w:val="0024184B"/>
    <w:rsid w:val="00241B48"/>
    <w:rsid w:val="0024239F"/>
    <w:rsid w:val="0024428E"/>
    <w:rsid w:val="00245727"/>
    <w:rsid w:val="00245DF5"/>
    <w:rsid w:val="00246B83"/>
    <w:rsid w:val="00247450"/>
    <w:rsid w:val="00247AE5"/>
    <w:rsid w:val="0025088F"/>
    <w:rsid w:val="00252D49"/>
    <w:rsid w:val="00252F04"/>
    <w:rsid w:val="0025632C"/>
    <w:rsid w:val="00257A19"/>
    <w:rsid w:val="00257FD3"/>
    <w:rsid w:val="00260F08"/>
    <w:rsid w:val="0026135F"/>
    <w:rsid w:val="0026286A"/>
    <w:rsid w:val="00262CC6"/>
    <w:rsid w:val="002636DB"/>
    <w:rsid w:val="0026455C"/>
    <w:rsid w:val="00267F13"/>
    <w:rsid w:val="00271772"/>
    <w:rsid w:val="00272EF0"/>
    <w:rsid w:val="002759E6"/>
    <w:rsid w:val="00276935"/>
    <w:rsid w:val="00280187"/>
    <w:rsid w:val="00281F5C"/>
    <w:rsid w:val="0028213A"/>
    <w:rsid w:val="00282D8E"/>
    <w:rsid w:val="00284155"/>
    <w:rsid w:val="00286417"/>
    <w:rsid w:val="00290BE9"/>
    <w:rsid w:val="002919EB"/>
    <w:rsid w:val="00292884"/>
    <w:rsid w:val="0029468D"/>
    <w:rsid w:val="00296B5B"/>
    <w:rsid w:val="002975F1"/>
    <w:rsid w:val="002A470B"/>
    <w:rsid w:val="002A655C"/>
    <w:rsid w:val="002B0495"/>
    <w:rsid w:val="002B3DDB"/>
    <w:rsid w:val="002B63F3"/>
    <w:rsid w:val="002C2E68"/>
    <w:rsid w:val="002C360C"/>
    <w:rsid w:val="002D0370"/>
    <w:rsid w:val="002D39B1"/>
    <w:rsid w:val="002D55E2"/>
    <w:rsid w:val="002D61AE"/>
    <w:rsid w:val="002E0739"/>
    <w:rsid w:val="002E089C"/>
    <w:rsid w:val="002E5085"/>
    <w:rsid w:val="002E693A"/>
    <w:rsid w:val="002F2699"/>
    <w:rsid w:val="002F3007"/>
    <w:rsid w:val="002F37E9"/>
    <w:rsid w:val="002F593B"/>
    <w:rsid w:val="002F5987"/>
    <w:rsid w:val="002F71EC"/>
    <w:rsid w:val="002F71EF"/>
    <w:rsid w:val="002F78DC"/>
    <w:rsid w:val="002F7978"/>
    <w:rsid w:val="0030116A"/>
    <w:rsid w:val="00301AB8"/>
    <w:rsid w:val="00304543"/>
    <w:rsid w:val="00305DE3"/>
    <w:rsid w:val="00305FB0"/>
    <w:rsid w:val="003064F1"/>
    <w:rsid w:val="003070A2"/>
    <w:rsid w:val="00307318"/>
    <w:rsid w:val="00310D12"/>
    <w:rsid w:val="003116D8"/>
    <w:rsid w:val="00311755"/>
    <w:rsid w:val="00312D6B"/>
    <w:rsid w:val="00312D99"/>
    <w:rsid w:val="003157E6"/>
    <w:rsid w:val="00316516"/>
    <w:rsid w:val="003168FF"/>
    <w:rsid w:val="003173BC"/>
    <w:rsid w:val="00321681"/>
    <w:rsid w:val="00321DBD"/>
    <w:rsid w:val="00323C07"/>
    <w:rsid w:val="00323FEA"/>
    <w:rsid w:val="00324FA7"/>
    <w:rsid w:val="00325697"/>
    <w:rsid w:val="00326843"/>
    <w:rsid w:val="003302C6"/>
    <w:rsid w:val="00330797"/>
    <w:rsid w:val="0033218F"/>
    <w:rsid w:val="0033555E"/>
    <w:rsid w:val="00335817"/>
    <w:rsid w:val="00336DD2"/>
    <w:rsid w:val="0033787C"/>
    <w:rsid w:val="003400F9"/>
    <w:rsid w:val="003516DE"/>
    <w:rsid w:val="00354938"/>
    <w:rsid w:val="00355C9D"/>
    <w:rsid w:val="00355CB4"/>
    <w:rsid w:val="0035670A"/>
    <w:rsid w:val="003573D0"/>
    <w:rsid w:val="003574DC"/>
    <w:rsid w:val="00357744"/>
    <w:rsid w:val="00357DB9"/>
    <w:rsid w:val="003608B0"/>
    <w:rsid w:val="00360F6C"/>
    <w:rsid w:val="00361111"/>
    <w:rsid w:val="00363827"/>
    <w:rsid w:val="00363DDF"/>
    <w:rsid w:val="00364A49"/>
    <w:rsid w:val="00364D4F"/>
    <w:rsid w:val="00365877"/>
    <w:rsid w:val="003715BE"/>
    <w:rsid w:val="00373F3E"/>
    <w:rsid w:val="00380183"/>
    <w:rsid w:val="003804FB"/>
    <w:rsid w:val="00380A73"/>
    <w:rsid w:val="00380B76"/>
    <w:rsid w:val="00382EAE"/>
    <w:rsid w:val="0038575A"/>
    <w:rsid w:val="00386D32"/>
    <w:rsid w:val="00392B3D"/>
    <w:rsid w:val="003953CB"/>
    <w:rsid w:val="00395A7C"/>
    <w:rsid w:val="00397EB0"/>
    <w:rsid w:val="003A2109"/>
    <w:rsid w:val="003A32EF"/>
    <w:rsid w:val="003A3533"/>
    <w:rsid w:val="003A6777"/>
    <w:rsid w:val="003A774C"/>
    <w:rsid w:val="003A7ABC"/>
    <w:rsid w:val="003B258C"/>
    <w:rsid w:val="003B3071"/>
    <w:rsid w:val="003B3BF0"/>
    <w:rsid w:val="003C0154"/>
    <w:rsid w:val="003C0575"/>
    <w:rsid w:val="003C1FD4"/>
    <w:rsid w:val="003C2226"/>
    <w:rsid w:val="003C3ED4"/>
    <w:rsid w:val="003C596F"/>
    <w:rsid w:val="003C6114"/>
    <w:rsid w:val="003C6D3D"/>
    <w:rsid w:val="003C7A27"/>
    <w:rsid w:val="003D0D3C"/>
    <w:rsid w:val="003D0E8F"/>
    <w:rsid w:val="003D290A"/>
    <w:rsid w:val="003D2D82"/>
    <w:rsid w:val="003D3233"/>
    <w:rsid w:val="003D4848"/>
    <w:rsid w:val="003D6071"/>
    <w:rsid w:val="003D6C70"/>
    <w:rsid w:val="003E0057"/>
    <w:rsid w:val="003E42DA"/>
    <w:rsid w:val="003E5A0B"/>
    <w:rsid w:val="003E7A35"/>
    <w:rsid w:val="003F3000"/>
    <w:rsid w:val="003F3491"/>
    <w:rsid w:val="003F4CE4"/>
    <w:rsid w:val="003F5E4B"/>
    <w:rsid w:val="003F7870"/>
    <w:rsid w:val="003F7E58"/>
    <w:rsid w:val="004013AC"/>
    <w:rsid w:val="004026E5"/>
    <w:rsid w:val="0040360D"/>
    <w:rsid w:val="00404EA7"/>
    <w:rsid w:val="00406763"/>
    <w:rsid w:val="00412088"/>
    <w:rsid w:val="00412C9B"/>
    <w:rsid w:val="00415ECF"/>
    <w:rsid w:val="0041778D"/>
    <w:rsid w:val="004204C0"/>
    <w:rsid w:val="00421CDE"/>
    <w:rsid w:val="004230D7"/>
    <w:rsid w:val="0042385C"/>
    <w:rsid w:val="004261E5"/>
    <w:rsid w:val="004302C3"/>
    <w:rsid w:val="00430B5B"/>
    <w:rsid w:val="00432378"/>
    <w:rsid w:val="00434FBC"/>
    <w:rsid w:val="00435DEB"/>
    <w:rsid w:val="00436F6D"/>
    <w:rsid w:val="004374F9"/>
    <w:rsid w:val="00437EE6"/>
    <w:rsid w:val="00440D25"/>
    <w:rsid w:val="00441B92"/>
    <w:rsid w:val="00441D55"/>
    <w:rsid w:val="00446F38"/>
    <w:rsid w:val="00452EBB"/>
    <w:rsid w:val="00453756"/>
    <w:rsid w:val="00453A4D"/>
    <w:rsid w:val="004545FF"/>
    <w:rsid w:val="004555D4"/>
    <w:rsid w:val="00461413"/>
    <w:rsid w:val="004626D5"/>
    <w:rsid w:val="00462B48"/>
    <w:rsid w:val="00463C97"/>
    <w:rsid w:val="00465C2D"/>
    <w:rsid w:val="00465FCE"/>
    <w:rsid w:val="00466F9F"/>
    <w:rsid w:val="00471E19"/>
    <w:rsid w:val="00472C51"/>
    <w:rsid w:val="0047481F"/>
    <w:rsid w:val="0047567B"/>
    <w:rsid w:val="00475CB1"/>
    <w:rsid w:val="00482588"/>
    <w:rsid w:val="00483941"/>
    <w:rsid w:val="00483EEA"/>
    <w:rsid w:val="00484B9E"/>
    <w:rsid w:val="00485264"/>
    <w:rsid w:val="00485702"/>
    <w:rsid w:val="00485FCC"/>
    <w:rsid w:val="004869E1"/>
    <w:rsid w:val="0048789A"/>
    <w:rsid w:val="00487DEA"/>
    <w:rsid w:val="00490B49"/>
    <w:rsid w:val="0049200C"/>
    <w:rsid w:val="00493664"/>
    <w:rsid w:val="0049469D"/>
    <w:rsid w:val="00495D4F"/>
    <w:rsid w:val="0049630C"/>
    <w:rsid w:val="004973C1"/>
    <w:rsid w:val="004A0397"/>
    <w:rsid w:val="004A15D8"/>
    <w:rsid w:val="004A5DCF"/>
    <w:rsid w:val="004A65C4"/>
    <w:rsid w:val="004B34F4"/>
    <w:rsid w:val="004B59CF"/>
    <w:rsid w:val="004C3BCC"/>
    <w:rsid w:val="004C64BA"/>
    <w:rsid w:val="004C6DCB"/>
    <w:rsid w:val="004D5D9C"/>
    <w:rsid w:val="004D6AD1"/>
    <w:rsid w:val="004D7D1F"/>
    <w:rsid w:val="004D7FE5"/>
    <w:rsid w:val="004E027D"/>
    <w:rsid w:val="004E0B4D"/>
    <w:rsid w:val="004E289E"/>
    <w:rsid w:val="004E2D80"/>
    <w:rsid w:val="004E359C"/>
    <w:rsid w:val="004E5C34"/>
    <w:rsid w:val="004E70FB"/>
    <w:rsid w:val="004E7A1D"/>
    <w:rsid w:val="004F00D9"/>
    <w:rsid w:val="004F0F95"/>
    <w:rsid w:val="004F161A"/>
    <w:rsid w:val="004F333D"/>
    <w:rsid w:val="004F3933"/>
    <w:rsid w:val="004F4D58"/>
    <w:rsid w:val="004F6009"/>
    <w:rsid w:val="004F7A7A"/>
    <w:rsid w:val="00500E52"/>
    <w:rsid w:val="00501F69"/>
    <w:rsid w:val="00503BD1"/>
    <w:rsid w:val="00505392"/>
    <w:rsid w:val="00505CEA"/>
    <w:rsid w:val="00510A47"/>
    <w:rsid w:val="005149E0"/>
    <w:rsid w:val="00514F9D"/>
    <w:rsid w:val="00516561"/>
    <w:rsid w:val="00516FB9"/>
    <w:rsid w:val="00520470"/>
    <w:rsid w:val="00520733"/>
    <w:rsid w:val="00525CFD"/>
    <w:rsid w:val="00526DAF"/>
    <w:rsid w:val="005302A6"/>
    <w:rsid w:val="005303B6"/>
    <w:rsid w:val="00530D7C"/>
    <w:rsid w:val="0053279D"/>
    <w:rsid w:val="00532AEE"/>
    <w:rsid w:val="00532CB7"/>
    <w:rsid w:val="00532EEF"/>
    <w:rsid w:val="0053686C"/>
    <w:rsid w:val="00536E30"/>
    <w:rsid w:val="00537BC8"/>
    <w:rsid w:val="005418CB"/>
    <w:rsid w:val="005451A5"/>
    <w:rsid w:val="005465B5"/>
    <w:rsid w:val="0054740C"/>
    <w:rsid w:val="00547D2D"/>
    <w:rsid w:val="005506A9"/>
    <w:rsid w:val="0055169A"/>
    <w:rsid w:val="00551BCF"/>
    <w:rsid w:val="00553B63"/>
    <w:rsid w:val="00553C23"/>
    <w:rsid w:val="00553E9D"/>
    <w:rsid w:val="00553FE4"/>
    <w:rsid w:val="00555858"/>
    <w:rsid w:val="00555BBC"/>
    <w:rsid w:val="00556075"/>
    <w:rsid w:val="00556803"/>
    <w:rsid w:val="00556837"/>
    <w:rsid w:val="00556A26"/>
    <w:rsid w:val="00560142"/>
    <w:rsid w:val="00560894"/>
    <w:rsid w:val="00560D1C"/>
    <w:rsid w:val="00561A5E"/>
    <w:rsid w:val="0056523B"/>
    <w:rsid w:val="00567004"/>
    <w:rsid w:val="005725A6"/>
    <w:rsid w:val="00572B14"/>
    <w:rsid w:val="005734AB"/>
    <w:rsid w:val="00574ACB"/>
    <w:rsid w:val="005766CC"/>
    <w:rsid w:val="005817AB"/>
    <w:rsid w:val="00583BB7"/>
    <w:rsid w:val="00584E4C"/>
    <w:rsid w:val="00586D54"/>
    <w:rsid w:val="005872F1"/>
    <w:rsid w:val="00590F96"/>
    <w:rsid w:val="0059146F"/>
    <w:rsid w:val="00593D2C"/>
    <w:rsid w:val="00594C2D"/>
    <w:rsid w:val="005959FA"/>
    <w:rsid w:val="00596E36"/>
    <w:rsid w:val="0059754F"/>
    <w:rsid w:val="005A1157"/>
    <w:rsid w:val="005A202E"/>
    <w:rsid w:val="005A2CE1"/>
    <w:rsid w:val="005A2D73"/>
    <w:rsid w:val="005A3507"/>
    <w:rsid w:val="005A3C0B"/>
    <w:rsid w:val="005A42C0"/>
    <w:rsid w:val="005A7AE4"/>
    <w:rsid w:val="005B0FBC"/>
    <w:rsid w:val="005B11ED"/>
    <w:rsid w:val="005B1768"/>
    <w:rsid w:val="005B2B2F"/>
    <w:rsid w:val="005B4732"/>
    <w:rsid w:val="005B5654"/>
    <w:rsid w:val="005B565E"/>
    <w:rsid w:val="005B6576"/>
    <w:rsid w:val="005B6A83"/>
    <w:rsid w:val="005B6E26"/>
    <w:rsid w:val="005B6EF8"/>
    <w:rsid w:val="005B7F25"/>
    <w:rsid w:val="005C215F"/>
    <w:rsid w:val="005C2AAD"/>
    <w:rsid w:val="005C2DCD"/>
    <w:rsid w:val="005C3393"/>
    <w:rsid w:val="005C37C5"/>
    <w:rsid w:val="005C5C75"/>
    <w:rsid w:val="005C72D5"/>
    <w:rsid w:val="005D0D4C"/>
    <w:rsid w:val="005D14E5"/>
    <w:rsid w:val="005D2227"/>
    <w:rsid w:val="005D6F20"/>
    <w:rsid w:val="005E252C"/>
    <w:rsid w:val="005E3E39"/>
    <w:rsid w:val="005E6731"/>
    <w:rsid w:val="005F01C8"/>
    <w:rsid w:val="005F17C0"/>
    <w:rsid w:val="005F21EB"/>
    <w:rsid w:val="005F461B"/>
    <w:rsid w:val="005F58CD"/>
    <w:rsid w:val="005F6BA8"/>
    <w:rsid w:val="005F7E37"/>
    <w:rsid w:val="00600D11"/>
    <w:rsid w:val="00601D11"/>
    <w:rsid w:val="00604B6E"/>
    <w:rsid w:val="00604BA6"/>
    <w:rsid w:val="00604C8F"/>
    <w:rsid w:val="00605847"/>
    <w:rsid w:val="00611752"/>
    <w:rsid w:val="0061267F"/>
    <w:rsid w:val="00612839"/>
    <w:rsid w:val="006131BD"/>
    <w:rsid w:val="00613574"/>
    <w:rsid w:val="006144E9"/>
    <w:rsid w:val="00615DFB"/>
    <w:rsid w:val="00615EF7"/>
    <w:rsid w:val="00621DA1"/>
    <w:rsid w:val="00626ED6"/>
    <w:rsid w:val="00627E26"/>
    <w:rsid w:val="006303B6"/>
    <w:rsid w:val="00632BB0"/>
    <w:rsid w:val="00632ED8"/>
    <w:rsid w:val="00633736"/>
    <w:rsid w:val="00634ABF"/>
    <w:rsid w:val="00641469"/>
    <w:rsid w:val="00642010"/>
    <w:rsid w:val="00643908"/>
    <w:rsid w:val="00644C0B"/>
    <w:rsid w:val="006459EA"/>
    <w:rsid w:val="00652927"/>
    <w:rsid w:val="0065359B"/>
    <w:rsid w:val="00653FEE"/>
    <w:rsid w:val="006543D5"/>
    <w:rsid w:val="00655A0A"/>
    <w:rsid w:val="00660CE7"/>
    <w:rsid w:val="00661B09"/>
    <w:rsid w:val="00661F71"/>
    <w:rsid w:val="006637B3"/>
    <w:rsid w:val="006638C0"/>
    <w:rsid w:val="00664627"/>
    <w:rsid w:val="00664D61"/>
    <w:rsid w:val="00665D18"/>
    <w:rsid w:val="00665E13"/>
    <w:rsid w:val="00666041"/>
    <w:rsid w:val="006663F6"/>
    <w:rsid w:val="006666D4"/>
    <w:rsid w:val="00666A8E"/>
    <w:rsid w:val="00670CEF"/>
    <w:rsid w:val="00673465"/>
    <w:rsid w:val="00673F57"/>
    <w:rsid w:val="006764A3"/>
    <w:rsid w:val="00680AC3"/>
    <w:rsid w:val="00685205"/>
    <w:rsid w:val="0068528F"/>
    <w:rsid w:val="00685936"/>
    <w:rsid w:val="00691A79"/>
    <w:rsid w:val="00691F33"/>
    <w:rsid w:val="00692B46"/>
    <w:rsid w:val="0069300F"/>
    <w:rsid w:val="00693FF6"/>
    <w:rsid w:val="00695FE7"/>
    <w:rsid w:val="006A1DD6"/>
    <w:rsid w:val="006A2251"/>
    <w:rsid w:val="006A4F4D"/>
    <w:rsid w:val="006A6B3B"/>
    <w:rsid w:val="006B00FB"/>
    <w:rsid w:val="006B184E"/>
    <w:rsid w:val="006B2E7A"/>
    <w:rsid w:val="006B7035"/>
    <w:rsid w:val="006B7273"/>
    <w:rsid w:val="006B76B6"/>
    <w:rsid w:val="006C6616"/>
    <w:rsid w:val="006C6626"/>
    <w:rsid w:val="006D02CC"/>
    <w:rsid w:val="006D07BA"/>
    <w:rsid w:val="006D2877"/>
    <w:rsid w:val="006D49A9"/>
    <w:rsid w:val="006D58CF"/>
    <w:rsid w:val="006D593E"/>
    <w:rsid w:val="006D620C"/>
    <w:rsid w:val="006D6F0E"/>
    <w:rsid w:val="006E1804"/>
    <w:rsid w:val="006E567E"/>
    <w:rsid w:val="006E5A4C"/>
    <w:rsid w:val="006F05C3"/>
    <w:rsid w:val="006F05C5"/>
    <w:rsid w:val="006F3D1A"/>
    <w:rsid w:val="006F4C97"/>
    <w:rsid w:val="006F4EA6"/>
    <w:rsid w:val="006F5226"/>
    <w:rsid w:val="006F60DA"/>
    <w:rsid w:val="006F6BE8"/>
    <w:rsid w:val="006F7158"/>
    <w:rsid w:val="006F7DB7"/>
    <w:rsid w:val="00700C91"/>
    <w:rsid w:val="00702F5C"/>
    <w:rsid w:val="00703F28"/>
    <w:rsid w:val="00705059"/>
    <w:rsid w:val="007072D7"/>
    <w:rsid w:val="00707709"/>
    <w:rsid w:val="00707C05"/>
    <w:rsid w:val="00711D58"/>
    <w:rsid w:val="00712116"/>
    <w:rsid w:val="00714DEF"/>
    <w:rsid w:val="00715CED"/>
    <w:rsid w:val="00715D41"/>
    <w:rsid w:val="00716627"/>
    <w:rsid w:val="0071713F"/>
    <w:rsid w:val="0071717A"/>
    <w:rsid w:val="0072135C"/>
    <w:rsid w:val="007213E3"/>
    <w:rsid w:val="00721C99"/>
    <w:rsid w:val="007223A4"/>
    <w:rsid w:val="0072449D"/>
    <w:rsid w:val="007250DF"/>
    <w:rsid w:val="00730A3B"/>
    <w:rsid w:val="00732CCD"/>
    <w:rsid w:val="007344DA"/>
    <w:rsid w:val="007355DA"/>
    <w:rsid w:val="007356ED"/>
    <w:rsid w:val="007360A5"/>
    <w:rsid w:val="0074032F"/>
    <w:rsid w:val="00742405"/>
    <w:rsid w:val="0075292B"/>
    <w:rsid w:val="00752967"/>
    <w:rsid w:val="007532AE"/>
    <w:rsid w:val="00753889"/>
    <w:rsid w:val="0075773C"/>
    <w:rsid w:val="007606EB"/>
    <w:rsid w:val="00765740"/>
    <w:rsid w:val="007676D1"/>
    <w:rsid w:val="00767AF9"/>
    <w:rsid w:val="00770FC1"/>
    <w:rsid w:val="00771D54"/>
    <w:rsid w:val="0077207E"/>
    <w:rsid w:val="007723C6"/>
    <w:rsid w:val="007737EC"/>
    <w:rsid w:val="00777B90"/>
    <w:rsid w:val="00777ED8"/>
    <w:rsid w:val="00777FCD"/>
    <w:rsid w:val="00780952"/>
    <w:rsid w:val="00780C32"/>
    <w:rsid w:val="00787883"/>
    <w:rsid w:val="00790DF2"/>
    <w:rsid w:val="00797293"/>
    <w:rsid w:val="007973AC"/>
    <w:rsid w:val="00797A08"/>
    <w:rsid w:val="00797CA0"/>
    <w:rsid w:val="00797FD2"/>
    <w:rsid w:val="007A03E0"/>
    <w:rsid w:val="007A1C43"/>
    <w:rsid w:val="007A2421"/>
    <w:rsid w:val="007A2971"/>
    <w:rsid w:val="007A356E"/>
    <w:rsid w:val="007B0577"/>
    <w:rsid w:val="007B22CB"/>
    <w:rsid w:val="007B2894"/>
    <w:rsid w:val="007B3921"/>
    <w:rsid w:val="007B54D6"/>
    <w:rsid w:val="007B5DB5"/>
    <w:rsid w:val="007B6B47"/>
    <w:rsid w:val="007C2DEA"/>
    <w:rsid w:val="007C4503"/>
    <w:rsid w:val="007C52E4"/>
    <w:rsid w:val="007C736D"/>
    <w:rsid w:val="007C7B93"/>
    <w:rsid w:val="007D063C"/>
    <w:rsid w:val="007D3AF2"/>
    <w:rsid w:val="007D4D1F"/>
    <w:rsid w:val="007D53F2"/>
    <w:rsid w:val="007D5963"/>
    <w:rsid w:val="007E1973"/>
    <w:rsid w:val="007E1E65"/>
    <w:rsid w:val="007E475F"/>
    <w:rsid w:val="007E4B92"/>
    <w:rsid w:val="007E5FA8"/>
    <w:rsid w:val="007E7C42"/>
    <w:rsid w:val="007F194E"/>
    <w:rsid w:val="007F1D89"/>
    <w:rsid w:val="007F2558"/>
    <w:rsid w:val="007F5101"/>
    <w:rsid w:val="007F680E"/>
    <w:rsid w:val="007F6BE7"/>
    <w:rsid w:val="007F7997"/>
    <w:rsid w:val="007F7FF8"/>
    <w:rsid w:val="00803402"/>
    <w:rsid w:val="00803885"/>
    <w:rsid w:val="00805A83"/>
    <w:rsid w:val="00807A2B"/>
    <w:rsid w:val="008109E6"/>
    <w:rsid w:val="00810EA2"/>
    <w:rsid w:val="008126C9"/>
    <w:rsid w:val="00817800"/>
    <w:rsid w:val="00817EFD"/>
    <w:rsid w:val="0082011B"/>
    <w:rsid w:val="008211CD"/>
    <w:rsid w:val="00822A17"/>
    <w:rsid w:val="00824C3C"/>
    <w:rsid w:val="00825DAF"/>
    <w:rsid w:val="008270AC"/>
    <w:rsid w:val="008331FD"/>
    <w:rsid w:val="008343B2"/>
    <w:rsid w:val="008345FC"/>
    <w:rsid w:val="008355CA"/>
    <w:rsid w:val="008365D1"/>
    <w:rsid w:val="00842D0E"/>
    <w:rsid w:val="00844BD1"/>
    <w:rsid w:val="00844F2A"/>
    <w:rsid w:val="00845465"/>
    <w:rsid w:val="00845E53"/>
    <w:rsid w:val="0084650F"/>
    <w:rsid w:val="00850EC9"/>
    <w:rsid w:val="0085264A"/>
    <w:rsid w:val="00852A68"/>
    <w:rsid w:val="00853AD8"/>
    <w:rsid w:val="00857CFC"/>
    <w:rsid w:val="008619A7"/>
    <w:rsid w:val="00862801"/>
    <w:rsid w:val="0086295C"/>
    <w:rsid w:val="0086397B"/>
    <w:rsid w:val="00864376"/>
    <w:rsid w:val="008644DD"/>
    <w:rsid w:val="008657DD"/>
    <w:rsid w:val="00867467"/>
    <w:rsid w:val="00867E6D"/>
    <w:rsid w:val="00870349"/>
    <w:rsid w:val="00870D42"/>
    <w:rsid w:val="00873537"/>
    <w:rsid w:val="00873BE7"/>
    <w:rsid w:val="00874BBE"/>
    <w:rsid w:val="00876166"/>
    <w:rsid w:val="0087752D"/>
    <w:rsid w:val="00877A16"/>
    <w:rsid w:val="00880227"/>
    <w:rsid w:val="00881C87"/>
    <w:rsid w:val="0088289D"/>
    <w:rsid w:val="008841F7"/>
    <w:rsid w:val="008847B8"/>
    <w:rsid w:val="008853F9"/>
    <w:rsid w:val="00886BC2"/>
    <w:rsid w:val="00887E6D"/>
    <w:rsid w:val="0089107D"/>
    <w:rsid w:val="008926B8"/>
    <w:rsid w:val="008927AF"/>
    <w:rsid w:val="008935F1"/>
    <w:rsid w:val="008937B7"/>
    <w:rsid w:val="008942F3"/>
    <w:rsid w:val="00896F0B"/>
    <w:rsid w:val="008A1BDB"/>
    <w:rsid w:val="008A24BA"/>
    <w:rsid w:val="008A39D4"/>
    <w:rsid w:val="008A4342"/>
    <w:rsid w:val="008A43D8"/>
    <w:rsid w:val="008A4EFD"/>
    <w:rsid w:val="008A7938"/>
    <w:rsid w:val="008B0A0B"/>
    <w:rsid w:val="008B22DC"/>
    <w:rsid w:val="008B3059"/>
    <w:rsid w:val="008B381B"/>
    <w:rsid w:val="008B6508"/>
    <w:rsid w:val="008B67C5"/>
    <w:rsid w:val="008B6E9B"/>
    <w:rsid w:val="008B7534"/>
    <w:rsid w:val="008C159F"/>
    <w:rsid w:val="008C1AAB"/>
    <w:rsid w:val="008C1EDB"/>
    <w:rsid w:val="008C22D4"/>
    <w:rsid w:val="008C23FF"/>
    <w:rsid w:val="008C7648"/>
    <w:rsid w:val="008C79F2"/>
    <w:rsid w:val="008D2B7D"/>
    <w:rsid w:val="008D337A"/>
    <w:rsid w:val="008D4443"/>
    <w:rsid w:val="008D575D"/>
    <w:rsid w:val="008D68A2"/>
    <w:rsid w:val="008E0501"/>
    <w:rsid w:val="008E319F"/>
    <w:rsid w:val="008E64A4"/>
    <w:rsid w:val="008E721F"/>
    <w:rsid w:val="008E7A81"/>
    <w:rsid w:val="008F1956"/>
    <w:rsid w:val="008F19D0"/>
    <w:rsid w:val="008F2D6C"/>
    <w:rsid w:val="008F4735"/>
    <w:rsid w:val="008F5C7A"/>
    <w:rsid w:val="008F5E6B"/>
    <w:rsid w:val="008F699F"/>
    <w:rsid w:val="00900ABE"/>
    <w:rsid w:val="0090177F"/>
    <w:rsid w:val="0090220B"/>
    <w:rsid w:val="00902CBA"/>
    <w:rsid w:val="00903378"/>
    <w:rsid w:val="009065A9"/>
    <w:rsid w:val="00906FC0"/>
    <w:rsid w:val="009105F6"/>
    <w:rsid w:val="00912773"/>
    <w:rsid w:val="00912D75"/>
    <w:rsid w:val="009134AC"/>
    <w:rsid w:val="009153C1"/>
    <w:rsid w:val="00916026"/>
    <w:rsid w:val="0092039F"/>
    <w:rsid w:val="00921691"/>
    <w:rsid w:val="009239C1"/>
    <w:rsid w:val="00923BA6"/>
    <w:rsid w:val="00924718"/>
    <w:rsid w:val="00926C36"/>
    <w:rsid w:val="00927884"/>
    <w:rsid w:val="0093036E"/>
    <w:rsid w:val="009310F0"/>
    <w:rsid w:val="00934969"/>
    <w:rsid w:val="009366CE"/>
    <w:rsid w:val="00936FE3"/>
    <w:rsid w:val="0093773E"/>
    <w:rsid w:val="00942BAA"/>
    <w:rsid w:val="00945DA4"/>
    <w:rsid w:val="00947F5F"/>
    <w:rsid w:val="00947F9E"/>
    <w:rsid w:val="009509BB"/>
    <w:rsid w:val="00952B4A"/>
    <w:rsid w:val="00953747"/>
    <w:rsid w:val="009555F3"/>
    <w:rsid w:val="00957309"/>
    <w:rsid w:val="009603A5"/>
    <w:rsid w:val="00961C4A"/>
    <w:rsid w:val="00962CBB"/>
    <w:rsid w:val="00965800"/>
    <w:rsid w:val="00966028"/>
    <w:rsid w:val="0096630D"/>
    <w:rsid w:val="00967A11"/>
    <w:rsid w:val="00974784"/>
    <w:rsid w:val="00976185"/>
    <w:rsid w:val="00976A23"/>
    <w:rsid w:val="009776E4"/>
    <w:rsid w:val="009815FD"/>
    <w:rsid w:val="0098240A"/>
    <w:rsid w:val="0098311C"/>
    <w:rsid w:val="00983C43"/>
    <w:rsid w:val="0098571D"/>
    <w:rsid w:val="00986898"/>
    <w:rsid w:val="00987BEF"/>
    <w:rsid w:val="0099135F"/>
    <w:rsid w:val="009916D6"/>
    <w:rsid w:val="009924B9"/>
    <w:rsid w:val="00992DA2"/>
    <w:rsid w:val="0099385B"/>
    <w:rsid w:val="00995BF2"/>
    <w:rsid w:val="009A0550"/>
    <w:rsid w:val="009A0570"/>
    <w:rsid w:val="009A11A4"/>
    <w:rsid w:val="009A2803"/>
    <w:rsid w:val="009A3FFC"/>
    <w:rsid w:val="009B342B"/>
    <w:rsid w:val="009B4D57"/>
    <w:rsid w:val="009B5049"/>
    <w:rsid w:val="009B5297"/>
    <w:rsid w:val="009B6A19"/>
    <w:rsid w:val="009B726D"/>
    <w:rsid w:val="009C190E"/>
    <w:rsid w:val="009C3AD3"/>
    <w:rsid w:val="009C4BC5"/>
    <w:rsid w:val="009C6102"/>
    <w:rsid w:val="009C68AF"/>
    <w:rsid w:val="009C6E6F"/>
    <w:rsid w:val="009C78CC"/>
    <w:rsid w:val="009C7D06"/>
    <w:rsid w:val="009D0026"/>
    <w:rsid w:val="009D09ED"/>
    <w:rsid w:val="009D29DC"/>
    <w:rsid w:val="009D3ADD"/>
    <w:rsid w:val="009D3FDF"/>
    <w:rsid w:val="009D50F4"/>
    <w:rsid w:val="009D638D"/>
    <w:rsid w:val="009D7D18"/>
    <w:rsid w:val="009E0DEA"/>
    <w:rsid w:val="009E137B"/>
    <w:rsid w:val="009E163A"/>
    <w:rsid w:val="009E1CCB"/>
    <w:rsid w:val="009E7180"/>
    <w:rsid w:val="009E74B7"/>
    <w:rsid w:val="009F0276"/>
    <w:rsid w:val="009F0839"/>
    <w:rsid w:val="009F0FFF"/>
    <w:rsid w:val="009F35E1"/>
    <w:rsid w:val="009F462B"/>
    <w:rsid w:val="009F4DD1"/>
    <w:rsid w:val="009F563C"/>
    <w:rsid w:val="009F78F6"/>
    <w:rsid w:val="009F7C08"/>
    <w:rsid w:val="00A00F65"/>
    <w:rsid w:val="00A01A67"/>
    <w:rsid w:val="00A0208A"/>
    <w:rsid w:val="00A07E31"/>
    <w:rsid w:val="00A119D8"/>
    <w:rsid w:val="00A13BBB"/>
    <w:rsid w:val="00A14766"/>
    <w:rsid w:val="00A14AB9"/>
    <w:rsid w:val="00A153A0"/>
    <w:rsid w:val="00A1779F"/>
    <w:rsid w:val="00A21B97"/>
    <w:rsid w:val="00A26B0D"/>
    <w:rsid w:val="00A30CFA"/>
    <w:rsid w:val="00A31449"/>
    <w:rsid w:val="00A32026"/>
    <w:rsid w:val="00A34BEA"/>
    <w:rsid w:val="00A35019"/>
    <w:rsid w:val="00A351C3"/>
    <w:rsid w:val="00A35CA6"/>
    <w:rsid w:val="00A35D54"/>
    <w:rsid w:val="00A375D5"/>
    <w:rsid w:val="00A40341"/>
    <w:rsid w:val="00A43D62"/>
    <w:rsid w:val="00A44CF1"/>
    <w:rsid w:val="00A46B78"/>
    <w:rsid w:val="00A47400"/>
    <w:rsid w:val="00A50017"/>
    <w:rsid w:val="00A50BE2"/>
    <w:rsid w:val="00A512F4"/>
    <w:rsid w:val="00A520F0"/>
    <w:rsid w:val="00A53601"/>
    <w:rsid w:val="00A57744"/>
    <w:rsid w:val="00A57938"/>
    <w:rsid w:val="00A60E4A"/>
    <w:rsid w:val="00A612BA"/>
    <w:rsid w:val="00A613AA"/>
    <w:rsid w:val="00A62837"/>
    <w:rsid w:val="00A62D78"/>
    <w:rsid w:val="00A62E68"/>
    <w:rsid w:val="00A658A0"/>
    <w:rsid w:val="00A702C7"/>
    <w:rsid w:val="00A70458"/>
    <w:rsid w:val="00A71219"/>
    <w:rsid w:val="00A71E0F"/>
    <w:rsid w:val="00A71EE8"/>
    <w:rsid w:val="00A721DE"/>
    <w:rsid w:val="00A721F7"/>
    <w:rsid w:val="00A742AB"/>
    <w:rsid w:val="00A750F8"/>
    <w:rsid w:val="00A81181"/>
    <w:rsid w:val="00A8377D"/>
    <w:rsid w:val="00A83D5E"/>
    <w:rsid w:val="00A8470D"/>
    <w:rsid w:val="00A90491"/>
    <w:rsid w:val="00A90B1D"/>
    <w:rsid w:val="00A936EA"/>
    <w:rsid w:val="00A97A4F"/>
    <w:rsid w:val="00AA22FF"/>
    <w:rsid w:val="00AA262F"/>
    <w:rsid w:val="00AB0C8D"/>
    <w:rsid w:val="00AB2112"/>
    <w:rsid w:val="00AB2907"/>
    <w:rsid w:val="00AB5A8D"/>
    <w:rsid w:val="00AB646B"/>
    <w:rsid w:val="00AB67A1"/>
    <w:rsid w:val="00AB67C7"/>
    <w:rsid w:val="00AB764F"/>
    <w:rsid w:val="00AC177E"/>
    <w:rsid w:val="00AC65AC"/>
    <w:rsid w:val="00AC6ADF"/>
    <w:rsid w:val="00AD0978"/>
    <w:rsid w:val="00AD12C6"/>
    <w:rsid w:val="00AD32A0"/>
    <w:rsid w:val="00AD3CA8"/>
    <w:rsid w:val="00AD424B"/>
    <w:rsid w:val="00AD6250"/>
    <w:rsid w:val="00AD66F7"/>
    <w:rsid w:val="00AD7F9A"/>
    <w:rsid w:val="00AE0D21"/>
    <w:rsid w:val="00AE1BCF"/>
    <w:rsid w:val="00AE265B"/>
    <w:rsid w:val="00AE2A37"/>
    <w:rsid w:val="00AE334B"/>
    <w:rsid w:val="00AE633C"/>
    <w:rsid w:val="00AE6CCD"/>
    <w:rsid w:val="00AE7E62"/>
    <w:rsid w:val="00AF0CEA"/>
    <w:rsid w:val="00AF1817"/>
    <w:rsid w:val="00AF435D"/>
    <w:rsid w:val="00AF52C7"/>
    <w:rsid w:val="00AF5ABA"/>
    <w:rsid w:val="00B01D5D"/>
    <w:rsid w:val="00B03F37"/>
    <w:rsid w:val="00B054EA"/>
    <w:rsid w:val="00B0596E"/>
    <w:rsid w:val="00B10860"/>
    <w:rsid w:val="00B12688"/>
    <w:rsid w:val="00B1459F"/>
    <w:rsid w:val="00B14FB3"/>
    <w:rsid w:val="00B158F0"/>
    <w:rsid w:val="00B16658"/>
    <w:rsid w:val="00B1770B"/>
    <w:rsid w:val="00B17E95"/>
    <w:rsid w:val="00B21E22"/>
    <w:rsid w:val="00B2376E"/>
    <w:rsid w:val="00B24B5B"/>
    <w:rsid w:val="00B25994"/>
    <w:rsid w:val="00B26845"/>
    <w:rsid w:val="00B271D1"/>
    <w:rsid w:val="00B2791A"/>
    <w:rsid w:val="00B27E8E"/>
    <w:rsid w:val="00B32065"/>
    <w:rsid w:val="00B3251B"/>
    <w:rsid w:val="00B32AF3"/>
    <w:rsid w:val="00B33676"/>
    <w:rsid w:val="00B34398"/>
    <w:rsid w:val="00B359A4"/>
    <w:rsid w:val="00B36287"/>
    <w:rsid w:val="00B40E3B"/>
    <w:rsid w:val="00B41A2D"/>
    <w:rsid w:val="00B42343"/>
    <w:rsid w:val="00B4252A"/>
    <w:rsid w:val="00B4280A"/>
    <w:rsid w:val="00B44518"/>
    <w:rsid w:val="00B46B43"/>
    <w:rsid w:val="00B5019B"/>
    <w:rsid w:val="00B5061D"/>
    <w:rsid w:val="00B52B65"/>
    <w:rsid w:val="00B548E5"/>
    <w:rsid w:val="00B554BF"/>
    <w:rsid w:val="00B5558A"/>
    <w:rsid w:val="00B5756F"/>
    <w:rsid w:val="00B61595"/>
    <w:rsid w:val="00B63B1D"/>
    <w:rsid w:val="00B64B6B"/>
    <w:rsid w:val="00B66C95"/>
    <w:rsid w:val="00B74AE9"/>
    <w:rsid w:val="00B74D82"/>
    <w:rsid w:val="00B75192"/>
    <w:rsid w:val="00B77A01"/>
    <w:rsid w:val="00B80933"/>
    <w:rsid w:val="00B80CD9"/>
    <w:rsid w:val="00B81CC4"/>
    <w:rsid w:val="00B81EF5"/>
    <w:rsid w:val="00B84AD7"/>
    <w:rsid w:val="00B84ED2"/>
    <w:rsid w:val="00B864DB"/>
    <w:rsid w:val="00B87028"/>
    <w:rsid w:val="00B92719"/>
    <w:rsid w:val="00B93020"/>
    <w:rsid w:val="00B93E64"/>
    <w:rsid w:val="00B95EA9"/>
    <w:rsid w:val="00B969E5"/>
    <w:rsid w:val="00B97825"/>
    <w:rsid w:val="00B97A68"/>
    <w:rsid w:val="00BA11C5"/>
    <w:rsid w:val="00BA1FC0"/>
    <w:rsid w:val="00BA23D9"/>
    <w:rsid w:val="00BA2D26"/>
    <w:rsid w:val="00BA4200"/>
    <w:rsid w:val="00BA5365"/>
    <w:rsid w:val="00BA59F8"/>
    <w:rsid w:val="00BA6EB4"/>
    <w:rsid w:val="00BA7CD3"/>
    <w:rsid w:val="00BB0AC8"/>
    <w:rsid w:val="00BB0F6D"/>
    <w:rsid w:val="00BB3144"/>
    <w:rsid w:val="00BB393A"/>
    <w:rsid w:val="00BB5E0D"/>
    <w:rsid w:val="00BB74A9"/>
    <w:rsid w:val="00BB76CD"/>
    <w:rsid w:val="00BC176A"/>
    <w:rsid w:val="00BC1F80"/>
    <w:rsid w:val="00BC56B6"/>
    <w:rsid w:val="00BC56D8"/>
    <w:rsid w:val="00BD0A9E"/>
    <w:rsid w:val="00BD2AC0"/>
    <w:rsid w:val="00BD3223"/>
    <w:rsid w:val="00BD372B"/>
    <w:rsid w:val="00BD5B5B"/>
    <w:rsid w:val="00BD5FD9"/>
    <w:rsid w:val="00BD6F3A"/>
    <w:rsid w:val="00BD7DBF"/>
    <w:rsid w:val="00BE21DC"/>
    <w:rsid w:val="00BE2FDB"/>
    <w:rsid w:val="00BE4C91"/>
    <w:rsid w:val="00BE5023"/>
    <w:rsid w:val="00BE52C2"/>
    <w:rsid w:val="00BE6C10"/>
    <w:rsid w:val="00BF056E"/>
    <w:rsid w:val="00BF0FEE"/>
    <w:rsid w:val="00BF1A90"/>
    <w:rsid w:val="00BF30B0"/>
    <w:rsid w:val="00BF30E3"/>
    <w:rsid w:val="00BF4380"/>
    <w:rsid w:val="00BF59F7"/>
    <w:rsid w:val="00BF5DB3"/>
    <w:rsid w:val="00BF78B2"/>
    <w:rsid w:val="00BF79F5"/>
    <w:rsid w:val="00C0065A"/>
    <w:rsid w:val="00C01491"/>
    <w:rsid w:val="00C018C0"/>
    <w:rsid w:val="00C03CD5"/>
    <w:rsid w:val="00C048BE"/>
    <w:rsid w:val="00C05AB2"/>
    <w:rsid w:val="00C10230"/>
    <w:rsid w:val="00C103B1"/>
    <w:rsid w:val="00C10605"/>
    <w:rsid w:val="00C10DC2"/>
    <w:rsid w:val="00C11C12"/>
    <w:rsid w:val="00C122D9"/>
    <w:rsid w:val="00C12827"/>
    <w:rsid w:val="00C13A76"/>
    <w:rsid w:val="00C13D8C"/>
    <w:rsid w:val="00C153F0"/>
    <w:rsid w:val="00C15857"/>
    <w:rsid w:val="00C15DB8"/>
    <w:rsid w:val="00C17121"/>
    <w:rsid w:val="00C174B9"/>
    <w:rsid w:val="00C20068"/>
    <w:rsid w:val="00C2163B"/>
    <w:rsid w:val="00C22E82"/>
    <w:rsid w:val="00C23BEE"/>
    <w:rsid w:val="00C25118"/>
    <w:rsid w:val="00C269FF"/>
    <w:rsid w:val="00C306DD"/>
    <w:rsid w:val="00C31A64"/>
    <w:rsid w:val="00C33110"/>
    <w:rsid w:val="00C34003"/>
    <w:rsid w:val="00C34115"/>
    <w:rsid w:val="00C35E0F"/>
    <w:rsid w:val="00C371AA"/>
    <w:rsid w:val="00C4082F"/>
    <w:rsid w:val="00C40EE5"/>
    <w:rsid w:val="00C43D3F"/>
    <w:rsid w:val="00C43EAB"/>
    <w:rsid w:val="00C4473F"/>
    <w:rsid w:val="00C44EF9"/>
    <w:rsid w:val="00C45A18"/>
    <w:rsid w:val="00C46940"/>
    <w:rsid w:val="00C5163E"/>
    <w:rsid w:val="00C52A84"/>
    <w:rsid w:val="00C5380D"/>
    <w:rsid w:val="00C53B42"/>
    <w:rsid w:val="00C5488C"/>
    <w:rsid w:val="00C548B9"/>
    <w:rsid w:val="00C568ED"/>
    <w:rsid w:val="00C57D8E"/>
    <w:rsid w:val="00C61F6A"/>
    <w:rsid w:val="00C629B3"/>
    <w:rsid w:val="00C6416C"/>
    <w:rsid w:val="00C652B5"/>
    <w:rsid w:val="00C654F2"/>
    <w:rsid w:val="00C65C69"/>
    <w:rsid w:val="00C660C9"/>
    <w:rsid w:val="00C670F0"/>
    <w:rsid w:val="00C67249"/>
    <w:rsid w:val="00C73103"/>
    <w:rsid w:val="00C7376A"/>
    <w:rsid w:val="00C7470C"/>
    <w:rsid w:val="00C77C21"/>
    <w:rsid w:val="00C81E2C"/>
    <w:rsid w:val="00C825D3"/>
    <w:rsid w:val="00C82810"/>
    <w:rsid w:val="00C82B62"/>
    <w:rsid w:val="00C850E3"/>
    <w:rsid w:val="00C874E4"/>
    <w:rsid w:val="00C90C11"/>
    <w:rsid w:val="00C90E62"/>
    <w:rsid w:val="00C920E9"/>
    <w:rsid w:val="00C93CC4"/>
    <w:rsid w:val="00C96659"/>
    <w:rsid w:val="00C96ED5"/>
    <w:rsid w:val="00CA09BC"/>
    <w:rsid w:val="00CA5592"/>
    <w:rsid w:val="00CA5A2B"/>
    <w:rsid w:val="00CB01C0"/>
    <w:rsid w:val="00CB1F79"/>
    <w:rsid w:val="00CB3467"/>
    <w:rsid w:val="00CB489E"/>
    <w:rsid w:val="00CB54A5"/>
    <w:rsid w:val="00CB5FEC"/>
    <w:rsid w:val="00CB7196"/>
    <w:rsid w:val="00CC1E7A"/>
    <w:rsid w:val="00CC2E63"/>
    <w:rsid w:val="00CC2F26"/>
    <w:rsid w:val="00CC467E"/>
    <w:rsid w:val="00CC6570"/>
    <w:rsid w:val="00CC6C8E"/>
    <w:rsid w:val="00CC7518"/>
    <w:rsid w:val="00CC76D1"/>
    <w:rsid w:val="00CD107B"/>
    <w:rsid w:val="00CD1849"/>
    <w:rsid w:val="00CD3EA5"/>
    <w:rsid w:val="00CD686B"/>
    <w:rsid w:val="00CE0AB0"/>
    <w:rsid w:val="00CE25EC"/>
    <w:rsid w:val="00CE3104"/>
    <w:rsid w:val="00CE3AC4"/>
    <w:rsid w:val="00CE5FD4"/>
    <w:rsid w:val="00CE6BBD"/>
    <w:rsid w:val="00CF2633"/>
    <w:rsid w:val="00CF63B7"/>
    <w:rsid w:val="00CF6B83"/>
    <w:rsid w:val="00CF7061"/>
    <w:rsid w:val="00D00546"/>
    <w:rsid w:val="00D0097D"/>
    <w:rsid w:val="00D00BC7"/>
    <w:rsid w:val="00D0459E"/>
    <w:rsid w:val="00D0504C"/>
    <w:rsid w:val="00D07E26"/>
    <w:rsid w:val="00D07F27"/>
    <w:rsid w:val="00D10E31"/>
    <w:rsid w:val="00D11B0D"/>
    <w:rsid w:val="00D22022"/>
    <w:rsid w:val="00D2282C"/>
    <w:rsid w:val="00D268AB"/>
    <w:rsid w:val="00D30DE1"/>
    <w:rsid w:val="00D32002"/>
    <w:rsid w:val="00D32ABE"/>
    <w:rsid w:val="00D361F4"/>
    <w:rsid w:val="00D40031"/>
    <w:rsid w:val="00D40CDF"/>
    <w:rsid w:val="00D40EAF"/>
    <w:rsid w:val="00D46382"/>
    <w:rsid w:val="00D467C7"/>
    <w:rsid w:val="00D5041E"/>
    <w:rsid w:val="00D50571"/>
    <w:rsid w:val="00D50642"/>
    <w:rsid w:val="00D5211E"/>
    <w:rsid w:val="00D5330B"/>
    <w:rsid w:val="00D54563"/>
    <w:rsid w:val="00D56804"/>
    <w:rsid w:val="00D57411"/>
    <w:rsid w:val="00D578D9"/>
    <w:rsid w:val="00D604C4"/>
    <w:rsid w:val="00D63189"/>
    <w:rsid w:val="00D639A6"/>
    <w:rsid w:val="00D66A52"/>
    <w:rsid w:val="00D70E11"/>
    <w:rsid w:val="00D74084"/>
    <w:rsid w:val="00D746B2"/>
    <w:rsid w:val="00D758C3"/>
    <w:rsid w:val="00D77C1F"/>
    <w:rsid w:val="00D80508"/>
    <w:rsid w:val="00D81018"/>
    <w:rsid w:val="00D83D18"/>
    <w:rsid w:val="00D842BE"/>
    <w:rsid w:val="00D85DAB"/>
    <w:rsid w:val="00D860A4"/>
    <w:rsid w:val="00D87605"/>
    <w:rsid w:val="00D87E73"/>
    <w:rsid w:val="00D91EBF"/>
    <w:rsid w:val="00D9285D"/>
    <w:rsid w:val="00D93822"/>
    <w:rsid w:val="00D93886"/>
    <w:rsid w:val="00D975E3"/>
    <w:rsid w:val="00D97DD9"/>
    <w:rsid w:val="00DA0B3A"/>
    <w:rsid w:val="00DA27C0"/>
    <w:rsid w:val="00DA43BD"/>
    <w:rsid w:val="00DA56B8"/>
    <w:rsid w:val="00DA6B4E"/>
    <w:rsid w:val="00DA74E1"/>
    <w:rsid w:val="00DA7E6F"/>
    <w:rsid w:val="00DB0CBA"/>
    <w:rsid w:val="00DB58F1"/>
    <w:rsid w:val="00DB5E5B"/>
    <w:rsid w:val="00DC01A1"/>
    <w:rsid w:val="00DC0505"/>
    <w:rsid w:val="00DD0E0F"/>
    <w:rsid w:val="00DD1E67"/>
    <w:rsid w:val="00DD5518"/>
    <w:rsid w:val="00DD67BE"/>
    <w:rsid w:val="00DD6850"/>
    <w:rsid w:val="00DD69C3"/>
    <w:rsid w:val="00DD7795"/>
    <w:rsid w:val="00DE08E7"/>
    <w:rsid w:val="00DE4E88"/>
    <w:rsid w:val="00DE541F"/>
    <w:rsid w:val="00DF0A66"/>
    <w:rsid w:val="00DF4EA7"/>
    <w:rsid w:val="00DF656D"/>
    <w:rsid w:val="00E0053F"/>
    <w:rsid w:val="00E014E2"/>
    <w:rsid w:val="00E0157A"/>
    <w:rsid w:val="00E0323E"/>
    <w:rsid w:val="00E042A6"/>
    <w:rsid w:val="00E05A1B"/>
    <w:rsid w:val="00E06624"/>
    <w:rsid w:val="00E06750"/>
    <w:rsid w:val="00E06AF2"/>
    <w:rsid w:val="00E10079"/>
    <w:rsid w:val="00E10A0A"/>
    <w:rsid w:val="00E12348"/>
    <w:rsid w:val="00E14085"/>
    <w:rsid w:val="00E15B6F"/>
    <w:rsid w:val="00E17DB3"/>
    <w:rsid w:val="00E17F1A"/>
    <w:rsid w:val="00E20925"/>
    <w:rsid w:val="00E225DB"/>
    <w:rsid w:val="00E24570"/>
    <w:rsid w:val="00E25B6B"/>
    <w:rsid w:val="00E33535"/>
    <w:rsid w:val="00E36DD3"/>
    <w:rsid w:val="00E37B2A"/>
    <w:rsid w:val="00E404BB"/>
    <w:rsid w:val="00E4286C"/>
    <w:rsid w:val="00E43B9D"/>
    <w:rsid w:val="00E45A5B"/>
    <w:rsid w:val="00E4783F"/>
    <w:rsid w:val="00E50894"/>
    <w:rsid w:val="00E51322"/>
    <w:rsid w:val="00E524FA"/>
    <w:rsid w:val="00E53211"/>
    <w:rsid w:val="00E53C42"/>
    <w:rsid w:val="00E540E6"/>
    <w:rsid w:val="00E562BC"/>
    <w:rsid w:val="00E56651"/>
    <w:rsid w:val="00E56B24"/>
    <w:rsid w:val="00E57F1A"/>
    <w:rsid w:val="00E60023"/>
    <w:rsid w:val="00E614A1"/>
    <w:rsid w:val="00E621B5"/>
    <w:rsid w:val="00E65F42"/>
    <w:rsid w:val="00E66A99"/>
    <w:rsid w:val="00E67F0A"/>
    <w:rsid w:val="00E70F28"/>
    <w:rsid w:val="00E71893"/>
    <w:rsid w:val="00E72C81"/>
    <w:rsid w:val="00E74478"/>
    <w:rsid w:val="00E747BE"/>
    <w:rsid w:val="00E74A63"/>
    <w:rsid w:val="00E74FA6"/>
    <w:rsid w:val="00E75EFD"/>
    <w:rsid w:val="00E80796"/>
    <w:rsid w:val="00E81A47"/>
    <w:rsid w:val="00E8652A"/>
    <w:rsid w:val="00E86579"/>
    <w:rsid w:val="00E87CB5"/>
    <w:rsid w:val="00E932BB"/>
    <w:rsid w:val="00E943A5"/>
    <w:rsid w:val="00E97A86"/>
    <w:rsid w:val="00E97C2F"/>
    <w:rsid w:val="00EA042F"/>
    <w:rsid w:val="00EA2295"/>
    <w:rsid w:val="00EA24C5"/>
    <w:rsid w:val="00EA30B0"/>
    <w:rsid w:val="00EA3291"/>
    <w:rsid w:val="00EA4EB0"/>
    <w:rsid w:val="00EA581A"/>
    <w:rsid w:val="00EA5960"/>
    <w:rsid w:val="00EA60D7"/>
    <w:rsid w:val="00EA6CBA"/>
    <w:rsid w:val="00EA71D4"/>
    <w:rsid w:val="00EB4602"/>
    <w:rsid w:val="00EB5A4D"/>
    <w:rsid w:val="00EB71E5"/>
    <w:rsid w:val="00EB7CD0"/>
    <w:rsid w:val="00EC0795"/>
    <w:rsid w:val="00EC1ED7"/>
    <w:rsid w:val="00EC2F59"/>
    <w:rsid w:val="00EC39A6"/>
    <w:rsid w:val="00EC5007"/>
    <w:rsid w:val="00EC68E0"/>
    <w:rsid w:val="00EC73DC"/>
    <w:rsid w:val="00ED02A4"/>
    <w:rsid w:val="00ED0EBF"/>
    <w:rsid w:val="00ED37CE"/>
    <w:rsid w:val="00ED61FF"/>
    <w:rsid w:val="00EE087C"/>
    <w:rsid w:val="00EE240F"/>
    <w:rsid w:val="00EE3D28"/>
    <w:rsid w:val="00EE58F4"/>
    <w:rsid w:val="00EE7CF8"/>
    <w:rsid w:val="00EF364A"/>
    <w:rsid w:val="00EF3F49"/>
    <w:rsid w:val="00EF494B"/>
    <w:rsid w:val="00EF56AE"/>
    <w:rsid w:val="00EF5C90"/>
    <w:rsid w:val="00EF5FA2"/>
    <w:rsid w:val="00F009E8"/>
    <w:rsid w:val="00F00B8B"/>
    <w:rsid w:val="00F01862"/>
    <w:rsid w:val="00F0220F"/>
    <w:rsid w:val="00F02413"/>
    <w:rsid w:val="00F04BB6"/>
    <w:rsid w:val="00F069E3"/>
    <w:rsid w:val="00F105F9"/>
    <w:rsid w:val="00F119BE"/>
    <w:rsid w:val="00F12852"/>
    <w:rsid w:val="00F12EC6"/>
    <w:rsid w:val="00F13E9E"/>
    <w:rsid w:val="00F14A2D"/>
    <w:rsid w:val="00F15315"/>
    <w:rsid w:val="00F175A5"/>
    <w:rsid w:val="00F21648"/>
    <w:rsid w:val="00F21CDD"/>
    <w:rsid w:val="00F2378E"/>
    <w:rsid w:val="00F2395C"/>
    <w:rsid w:val="00F275E7"/>
    <w:rsid w:val="00F309D9"/>
    <w:rsid w:val="00F345D5"/>
    <w:rsid w:val="00F36F7B"/>
    <w:rsid w:val="00F37DC4"/>
    <w:rsid w:val="00F4084E"/>
    <w:rsid w:val="00F42DA2"/>
    <w:rsid w:val="00F4464B"/>
    <w:rsid w:val="00F447CF"/>
    <w:rsid w:val="00F4537F"/>
    <w:rsid w:val="00F456EF"/>
    <w:rsid w:val="00F457D3"/>
    <w:rsid w:val="00F46A7D"/>
    <w:rsid w:val="00F477D0"/>
    <w:rsid w:val="00F505CD"/>
    <w:rsid w:val="00F51099"/>
    <w:rsid w:val="00F562B6"/>
    <w:rsid w:val="00F5748F"/>
    <w:rsid w:val="00F60C0F"/>
    <w:rsid w:val="00F61AD4"/>
    <w:rsid w:val="00F61DC3"/>
    <w:rsid w:val="00F628C7"/>
    <w:rsid w:val="00F64AC6"/>
    <w:rsid w:val="00F64C1F"/>
    <w:rsid w:val="00F70BCD"/>
    <w:rsid w:val="00F7109C"/>
    <w:rsid w:val="00F710AF"/>
    <w:rsid w:val="00F71660"/>
    <w:rsid w:val="00F72981"/>
    <w:rsid w:val="00F733C8"/>
    <w:rsid w:val="00F74281"/>
    <w:rsid w:val="00F75A69"/>
    <w:rsid w:val="00F76343"/>
    <w:rsid w:val="00F80954"/>
    <w:rsid w:val="00F81908"/>
    <w:rsid w:val="00F819A3"/>
    <w:rsid w:val="00F825F3"/>
    <w:rsid w:val="00F85679"/>
    <w:rsid w:val="00F91E92"/>
    <w:rsid w:val="00F91FA3"/>
    <w:rsid w:val="00F9312E"/>
    <w:rsid w:val="00F93FFB"/>
    <w:rsid w:val="00F951B8"/>
    <w:rsid w:val="00F958F7"/>
    <w:rsid w:val="00F96381"/>
    <w:rsid w:val="00F970D2"/>
    <w:rsid w:val="00FA1F84"/>
    <w:rsid w:val="00FA369A"/>
    <w:rsid w:val="00FA3FE4"/>
    <w:rsid w:val="00FA4B3F"/>
    <w:rsid w:val="00FA5170"/>
    <w:rsid w:val="00FA53E6"/>
    <w:rsid w:val="00FA7A59"/>
    <w:rsid w:val="00FB000E"/>
    <w:rsid w:val="00FB17BC"/>
    <w:rsid w:val="00FB23B9"/>
    <w:rsid w:val="00FB2E97"/>
    <w:rsid w:val="00FB7527"/>
    <w:rsid w:val="00FB7664"/>
    <w:rsid w:val="00FC0FD3"/>
    <w:rsid w:val="00FC1808"/>
    <w:rsid w:val="00FC1B02"/>
    <w:rsid w:val="00FC5BD4"/>
    <w:rsid w:val="00FD02FD"/>
    <w:rsid w:val="00FD163F"/>
    <w:rsid w:val="00FD5F4A"/>
    <w:rsid w:val="00FD6BBF"/>
    <w:rsid w:val="00FE1800"/>
    <w:rsid w:val="00FE7732"/>
    <w:rsid w:val="00FF0375"/>
    <w:rsid w:val="00FF1918"/>
    <w:rsid w:val="00FF2059"/>
    <w:rsid w:val="00FF379F"/>
    <w:rsid w:val="00FF49C0"/>
    <w:rsid w:val="00FF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57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21DC"/>
  </w:style>
  <w:style w:type="character" w:customStyle="1" w:styleId="FootnoteTextChar">
    <w:name w:val="Footnote Text Char"/>
    <w:basedOn w:val="DefaultParagraphFont"/>
    <w:link w:val="FootnoteText"/>
    <w:uiPriority w:val="99"/>
    <w:rsid w:val="00BE21DC"/>
  </w:style>
  <w:style w:type="character" w:styleId="FootnoteReference">
    <w:name w:val="footnote reference"/>
    <w:basedOn w:val="DefaultParagraphFont"/>
    <w:uiPriority w:val="99"/>
    <w:unhideWhenUsed/>
    <w:rsid w:val="00BE21DC"/>
    <w:rPr>
      <w:vertAlign w:val="superscript"/>
    </w:rPr>
  </w:style>
  <w:style w:type="paragraph" w:styleId="NormalWeb">
    <w:name w:val="Normal (Web)"/>
    <w:basedOn w:val="Normal"/>
    <w:uiPriority w:val="99"/>
    <w:semiHidden/>
    <w:unhideWhenUsed/>
    <w:rsid w:val="0028213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28213A"/>
    <w:rPr>
      <w:b/>
      <w:bCs/>
    </w:rPr>
  </w:style>
  <w:style w:type="paragraph" w:customStyle="1" w:styleId="MediumGrid21">
    <w:name w:val="Medium Grid 21"/>
    <w:uiPriority w:val="1"/>
    <w:qFormat/>
    <w:rsid w:val="00BB3144"/>
    <w:rPr>
      <w:rFonts w:ascii="Calibri" w:eastAsia="Calibri" w:hAnsi="Calibri" w:cs="Times New Roman"/>
      <w:sz w:val="22"/>
      <w:szCs w:val="22"/>
      <w:lang w:val="en-ZA"/>
    </w:rPr>
  </w:style>
  <w:style w:type="paragraph" w:styleId="Header">
    <w:name w:val="header"/>
    <w:basedOn w:val="Normal"/>
    <w:link w:val="HeaderChar"/>
    <w:uiPriority w:val="99"/>
    <w:unhideWhenUsed/>
    <w:rsid w:val="00BA5365"/>
    <w:pPr>
      <w:tabs>
        <w:tab w:val="center" w:pos="4513"/>
        <w:tab w:val="right" w:pos="9026"/>
      </w:tabs>
    </w:pPr>
  </w:style>
  <w:style w:type="character" w:customStyle="1" w:styleId="HeaderChar">
    <w:name w:val="Header Char"/>
    <w:basedOn w:val="DefaultParagraphFont"/>
    <w:link w:val="Header"/>
    <w:uiPriority w:val="99"/>
    <w:rsid w:val="00BA5365"/>
  </w:style>
  <w:style w:type="paragraph" w:styleId="Footer">
    <w:name w:val="footer"/>
    <w:basedOn w:val="Normal"/>
    <w:link w:val="FooterChar"/>
    <w:uiPriority w:val="99"/>
    <w:unhideWhenUsed/>
    <w:rsid w:val="00BA5365"/>
    <w:pPr>
      <w:tabs>
        <w:tab w:val="center" w:pos="4513"/>
        <w:tab w:val="right" w:pos="9026"/>
      </w:tabs>
    </w:pPr>
  </w:style>
  <w:style w:type="character" w:customStyle="1" w:styleId="FooterChar">
    <w:name w:val="Footer Char"/>
    <w:basedOn w:val="DefaultParagraphFont"/>
    <w:link w:val="Footer"/>
    <w:uiPriority w:val="99"/>
    <w:rsid w:val="00BA5365"/>
  </w:style>
  <w:style w:type="paragraph" w:styleId="ListParagraph">
    <w:name w:val="List Paragraph"/>
    <w:basedOn w:val="Normal"/>
    <w:uiPriority w:val="34"/>
    <w:qFormat/>
    <w:rsid w:val="00BA5365"/>
    <w:pPr>
      <w:ind w:left="720"/>
      <w:contextualSpacing/>
    </w:pPr>
  </w:style>
  <w:style w:type="paragraph" w:styleId="NoSpacing">
    <w:name w:val="No Spacing"/>
    <w:uiPriority w:val="1"/>
    <w:qFormat/>
    <w:rsid w:val="00BA5365"/>
    <w:rPr>
      <w:sz w:val="22"/>
      <w:szCs w:val="22"/>
      <w:lang w:val="en-ZA"/>
    </w:rPr>
  </w:style>
  <w:style w:type="paragraph" w:styleId="EndnoteText">
    <w:name w:val="endnote text"/>
    <w:basedOn w:val="Normal"/>
    <w:link w:val="EndnoteTextChar"/>
    <w:uiPriority w:val="99"/>
    <w:semiHidden/>
    <w:unhideWhenUsed/>
    <w:rsid w:val="005C3393"/>
    <w:rPr>
      <w:sz w:val="20"/>
      <w:szCs w:val="20"/>
    </w:rPr>
  </w:style>
  <w:style w:type="character" w:customStyle="1" w:styleId="EndnoteTextChar">
    <w:name w:val="Endnote Text Char"/>
    <w:basedOn w:val="DefaultParagraphFont"/>
    <w:link w:val="EndnoteText"/>
    <w:uiPriority w:val="99"/>
    <w:semiHidden/>
    <w:rsid w:val="005C3393"/>
    <w:rPr>
      <w:sz w:val="20"/>
      <w:szCs w:val="20"/>
    </w:rPr>
  </w:style>
  <w:style w:type="character" w:styleId="EndnoteReference">
    <w:name w:val="endnote reference"/>
    <w:basedOn w:val="DefaultParagraphFont"/>
    <w:uiPriority w:val="99"/>
    <w:semiHidden/>
    <w:unhideWhenUsed/>
    <w:rsid w:val="005C3393"/>
    <w:rPr>
      <w:vertAlign w:val="superscript"/>
    </w:rPr>
  </w:style>
  <w:style w:type="paragraph" w:styleId="BalloonText">
    <w:name w:val="Balloon Text"/>
    <w:basedOn w:val="Normal"/>
    <w:link w:val="BalloonTextChar"/>
    <w:uiPriority w:val="99"/>
    <w:semiHidden/>
    <w:unhideWhenUsed/>
    <w:rsid w:val="00207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CE"/>
    <w:rPr>
      <w:rFonts w:ascii="Segoe UI" w:hAnsi="Segoe UI" w:cs="Segoe UI"/>
      <w:sz w:val="18"/>
      <w:szCs w:val="18"/>
    </w:rPr>
  </w:style>
  <w:style w:type="paragraph" w:styleId="Revision">
    <w:name w:val="Revision"/>
    <w:hidden/>
    <w:uiPriority w:val="99"/>
    <w:semiHidden/>
    <w:rsid w:val="007E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8093">
      <w:bodyDiv w:val="1"/>
      <w:marLeft w:val="0"/>
      <w:marRight w:val="0"/>
      <w:marTop w:val="0"/>
      <w:marBottom w:val="0"/>
      <w:divBdr>
        <w:top w:val="none" w:sz="0" w:space="0" w:color="auto"/>
        <w:left w:val="none" w:sz="0" w:space="0" w:color="auto"/>
        <w:bottom w:val="none" w:sz="0" w:space="0" w:color="auto"/>
        <w:right w:val="none" w:sz="0" w:space="0" w:color="auto"/>
      </w:divBdr>
    </w:div>
    <w:div w:id="176189225">
      <w:bodyDiv w:val="1"/>
      <w:marLeft w:val="0"/>
      <w:marRight w:val="0"/>
      <w:marTop w:val="0"/>
      <w:marBottom w:val="0"/>
      <w:divBdr>
        <w:top w:val="none" w:sz="0" w:space="0" w:color="auto"/>
        <w:left w:val="none" w:sz="0" w:space="0" w:color="auto"/>
        <w:bottom w:val="none" w:sz="0" w:space="0" w:color="auto"/>
        <w:right w:val="none" w:sz="0" w:space="0" w:color="auto"/>
      </w:divBdr>
    </w:div>
    <w:div w:id="300964837">
      <w:bodyDiv w:val="1"/>
      <w:marLeft w:val="0"/>
      <w:marRight w:val="0"/>
      <w:marTop w:val="0"/>
      <w:marBottom w:val="0"/>
      <w:divBdr>
        <w:top w:val="none" w:sz="0" w:space="0" w:color="auto"/>
        <w:left w:val="none" w:sz="0" w:space="0" w:color="auto"/>
        <w:bottom w:val="none" w:sz="0" w:space="0" w:color="auto"/>
        <w:right w:val="none" w:sz="0" w:space="0" w:color="auto"/>
      </w:divBdr>
    </w:div>
    <w:div w:id="398476115">
      <w:bodyDiv w:val="1"/>
      <w:marLeft w:val="0"/>
      <w:marRight w:val="0"/>
      <w:marTop w:val="0"/>
      <w:marBottom w:val="0"/>
      <w:divBdr>
        <w:top w:val="none" w:sz="0" w:space="0" w:color="auto"/>
        <w:left w:val="none" w:sz="0" w:space="0" w:color="auto"/>
        <w:bottom w:val="none" w:sz="0" w:space="0" w:color="auto"/>
        <w:right w:val="none" w:sz="0" w:space="0" w:color="auto"/>
      </w:divBdr>
    </w:div>
    <w:div w:id="623969456">
      <w:bodyDiv w:val="1"/>
      <w:marLeft w:val="0"/>
      <w:marRight w:val="0"/>
      <w:marTop w:val="0"/>
      <w:marBottom w:val="0"/>
      <w:divBdr>
        <w:top w:val="none" w:sz="0" w:space="0" w:color="auto"/>
        <w:left w:val="none" w:sz="0" w:space="0" w:color="auto"/>
        <w:bottom w:val="none" w:sz="0" w:space="0" w:color="auto"/>
        <w:right w:val="none" w:sz="0" w:space="0" w:color="auto"/>
      </w:divBdr>
    </w:div>
    <w:div w:id="655844773">
      <w:bodyDiv w:val="1"/>
      <w:marLeft w:val="0"/>
      <w:marRight w:val="0"/>
      <w:marTop w:val="0"/>
      <w:marBottom w:val="0"/>
      <w:divBdr>
        <w:top w:val="none" w:sz="0" w:space="0" w:color="auto"/>
        <w:left w:val="none" w:sz="0" w:space="0" w:color="auto"/>
        <w:bottom w:val="none" w:sz="0" w:space="0" w:color="auto"/>
        <w:right w:val="none" w:sz="0" w:space="0" w:color="auto"/>
      </w:divBdr>
    </w:div>
    <w:div w:id="811560352">
      <w:bodyDiv w:val="1"/>
      <w:marLeft w:val="0"/>
      <w:marRight w:val="0"/>
      <w:marTop w:val="0"/>
      <w:marBottom w:val="0"/>
      <w:divBdr>
        <w:top w:val="none" w:sz="0" w:space="0" w:color="auto"/>
        <w:left w:val="none" w:sz="0" w:space="0" w:color="auto"/>
        <w:bottom w:val="none" w:sz="0" w:space="0" w:color="auto"/>
        <w:right w:val="none" w:sz="0" w:space="0" w:color="auto"/>
      </w:divBdr>
    </w:div>
    <w:div w:id="833885451">
      <w:bodyDiv w:val="1"/>
      <w:marLeft w:val="0"/>
      <w:marRight w:val="0"/>
      <w:marTop w:val="0"/>
      <w:marBottom w:val="0"/>
      <w:divBdr>
        <w:top w:val="none" w:sz="0" w:space="0" w:color="auto"/>
        <w:left w:val="none" w:sz="0" w:space="0" w:color="auto"/>
        <w:bottom w:val="none" w:sz="0" w:space="0" w:color="auto"/>
        <w:right w:val="none" w:sz="0" w:space="0" w:color="auto"/>
      </w:divBdr>
    </w:div>
    <w:div w:id="1013452703">
      <w:bodyDiv w:val="1"/>
      <w:marLeft w:val="0"/>
      <w:marRight w:val="0"/>
      <w:marTop w:val="0"/>
      <w:marBottom w:val="0"/>
      <w:divBdr>
        <w:top w:val="none" w:sz="0" w:space="0" w:color="auto"/>
        <w:left w:val="none" w:sz="0" w:space="0" w:color="auto"/>
        <w:bottom w:val="none" w:sz="0" w:space="0" w:color="auto"/>
        <w:right w:val="none" w:sz="0" w:space="0" w:color="auto"/>
      </w:divBdr>
    </w:div>
    <w:div w:id="1984114072">
      <w:bodyDiv w:val="1"/>
      <w:marLeft w:val="0"/>
      <w:marRight w:val="0"/>
      <w:marTop w:val="0"/>
      <w:marBottom w:val="0"/>
      <w:divBdr>
        <w:top w:val="none" w:sz="0" w:space="0" w:color="auto"/>
        <w:left w:val="none" w:sz="0" w:space="0" w:color="auto"/>
        <w:bottom w:val="none" w:sz="0" w:space="0" w:color="auto"/>
        <w:right w:val="none" w:sz="0" w:space="0" w:color="auto"/>
      </w:divBdr>
    </w:div>
    <w:div w:id="2105178707">
      <w:bodyDiv w:val="1"/>
      <w:marLeft w:val="0"/>
      <w:marRight w:val="0"/>
      <w:marTop w:val="0"/>
      <w:marBottom w:val="0"/>
      <w:divBdr>
        <w:top w:val="none" w:sz="0" w:space="0" w:color="auto"/>
        <w:left w:val="none" w:sz="0" w:space="0" w:color="auto"/>
        <w:bottom w:val="none" w:sz="0" w:space="0" w:color="auto"/>
        <w:right w:val="none" w:sz="0" w:space="0" w:color="auto"/>
      </w:divBdr>
    </w:div>
    <w:div w:id="2113819980">
      <w:bodyDiv w:val="1"/>
      <w:marLeft w:val="0"/>
      <w:marRight w:val="0"/>
      <w:marTop w:val="0"/>
      <w:marBottom w:val="0"/>
      <w:divBdr>
        <w:top w:val="none" w:sz="0" w:space="0" w:color="auto"/>
        <w:left w:val="none" w:sz="0" w:space="0" w:color="auto"/>
        <w:bottom w:val="none" w:sz="0" w:space="0" w:color="auto"/>
        <w:right w:val="none" w:sz="0" w:space="0" w:color="auto"/>
      </w:divBdr>
    </w:div>
    <w:div w:id="212861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A27F27C-0BD0-6B4E-AEC0-37AB491B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Manapo Mphutlane</cp:lastModifiedBy>
  <cp:revision>7</cp:revision>
  <cp:lastPrinted>2022-05-24T09:05:00Z</cp:lastPrinted>
  <dcterms:created xsi:type="dcterms:W3CDTF">2022-05-23T20:07:00Z</dcterms:created>
  <dcterms:modified xsi:type="dcterms:W3CDTF">2022-05-24T09:05:00Z</dcterms:modified>
</cp:coreProperties>
</file>