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67D8" w14:textId="13259743" w:rsidR="009F1F68" w:rsidRPr="00120B38" w:rsidRDefault="00A13E3F" w:rsidP="00A72555">
      <w:pPr>
        <w:spacing w:line="360" w:lineRule="auto"/>
        <w:jc w:val="center"/>
        <w:rPr>
          <w:rFonts w:ascii="Bookman Old Style" w:hAnsi="Bookman Old Style"/>
          <w:b/>
          <w:bCs/>
          <w:sz w:val="28"/>
          <w:szCs w:val="28"/>
          <w:lang w:val="en-US"/>
        </w:rPr>
      </w:pPr>
      <w:bookmarkStart w:id="0" w:name="_GoBack"/>
      <w:bookmarkEnd w:id="0"/>
      <w:r w:rsidRPr="00120B38">
        <w:rPr>
          <w:rFonts w:ascii="Bookman Old Style" w:hAnsi="Bookman Old Style"/>
          <w:b/>
          <w:bCs/>
          <w:sz w:val="28"/>
          <w:szCs w:val="28"/>
          <w:lang w:val="en-US"/>
        </w:rPr>
        <w:t xml:space="preserve">IN THE </w:t>
      </w:r>
      <w:r w:rsidR="00A72555">
        <w:rPr>
          <w:rFonts w:ascii="Bookman Old Style" w:hAnsi="Bookman Old Style"/>
          <w:b/>
          <w:bCs/>
          <w:sz w:val="28"/>
          <w:szCs w:val="28"/>
          <w:lang w:val="en-US"/>
        </w:rPr>
        <w:t xml:space="preserve">COURT OF APPEAL </w:t>
      </w:r>
      <w:r w:rsidRPr="00120B38">
        <w:rPr>
          <w:rFonts w:ascii="Bookman Old Style" w:hAnsi="Bookman Old Style"/>
          <w:b/>
          <w:bCs/>
          <w:sz w:val="28"/>
          <w:szCs w:val="28"/>
          <w:lang w:val="en-US"/>
        </w:rPr>
        <w:t>OF LESOTHO</w:t>
      </w:r>
    </w:p>
    <w:p w14:paraId="5EEFF221" w14:textId="77777777" w:rsidR="00A72555" w:rsidRDefault="00A13E3F" w:rsidP="00A72555">
      <w:pPr>
        <w:spacing w:line="240" w:lineRule="auto"/>
        <w:ind w:left="3600" w:hanging="3600"/>
        <w:rPr>
          <w:rFonts w:ascii="Bookman Old Style" w:hAnsi="Bookman Old Style"/>
          <w:b/>
          <w:bCs/>
          <w:sz w:val="28"/>
          <w:szCs w:val="28"/>
          <w:lang w:val="en-US"/>
        </w:rPr>
      </w:pPr>
      <w:r w:rsidRPr="00120B38">
        <w:rPr>
          <w:rFonts w:ascii="Bookman Old Style" w:hAnsi="Bookman Old Style"/>
          <w:b/>
          <w:bCs/>
          <w:sz w:val="28"/>
          <w:szCs w:val="28"/>
          <w:lang w:val="en-US"/>
        </w:rPr>
        <w:t xml:space="preserve">HELD AT MASERU       </w:t>
      </w:r>
      <w:r w:rsidR="00120B38">
        <w:rPr>
          <w:rFonts w:ascii="Bookman Old Style" w:hAnsi="Bookman Old Style"/>
          <w:b/>
          <w:bCs/>
          <w:sz w:val="28"/>
          <w:szCs w:val="28"/>
          <w:lang w:val="en-US"/>
        </w:rPr>
        <w:tab/>
      </w:r>
      <w:r w:rsidR="00120B38">
        <w:rPr>
          <w:rFonts w:ascii="Bookman Old Style" w:hAnsi="Bookman Old Style"/>
          <w:b/>
          <w:bCs/>
          <w:sz w:val="28"/>
          <w:szCs w:val="28"/>
          <w:lang w:val="en-US"/>
        </w:rPr>
        <w:tab/>
      </w:r>
      <w:r w:rsidR="00120B38">
        <w:rPr>
          <w:rFonts w:ascii="Bookman Old Style" w:hAnsi="Bookman Old Style"/>
          <w:b/>
          <w:bCs/>
          <w:sz w:val="28"/>
          <w:szCs w:val="28"/>
          <w:lang w:val="en-US"/>
        </w:rPr>
        <w:tab/>
      </w:r>
      <w:r w:rsidR="00120B38">
        <w:rPr>
          <w:rFonts w:ascii="Bookman Old Style" w:hAnsi="Bookman Old Style"/>
          <w:b/>
          <w:bCs/>
          <w:sz w:val="28"/>
          <w:szCs w:val="28"/>
          <w:lang w:val="en-US"/>
        </w:rPr>
        <w:tab/>
      </w:r>
    </w:p>
    <w:p w14:paraId="571006EE" w14:textId="7F0119EF" w:rsidR="00A72555" w:rsidRDefault="00A72555" w:rsidP="00A72555">
      <w:pPr>
        <w:spacing w:line="240" w:lineRule="auto"/>
        <w:ind w:left="3600" w:hanging="2160"/>
        <w:jc w:val="right"/>
        <w:rPr>
          <w:rFonts w:ascii="Bookman Old Style" w:hAnsi="Bookman Old Style"/>
          <w:b/>
          <w:bCs/>
          <w:sz w:val="28"/>
          <w:szCs w:val="28"/>
          <w:lang w:val="en-US"/>
        </w:rPr>
      </w:pPr>
      <w:r>
        <w:rPr>
          <w:rFonts w:ascii="Bookman Old Style" w:hAnsi="Bookman Old Style"/>
          <w:b/>
          <w:bCs/>
          <w:sz w:val="28"/>
          <w:szCs w:val="28"/>
          <w:lang w:val="en-US"/>
        </w:rPr>
        <w:t xml:space="preserve">                                            </w:t>
      </w:r>
      <w:r w:rsidR="00120B38">
        <w:rPr>
          <w:rFonts w:ascii="Bookman Old Style" w:hAnsi="Bookman Old Style"/>
          <w:b/>
          <w:bCs/>
          <w:sz w:val="28"/>
          <w:szCs w:val="28"/>
          <w:lang w:val="en-US"/>
        </w:rPr>
        <w:t>C</w:t>
      </w:r>
      <w:r w:rsidR="00120B38" w:rsidRPr="00120B38">
        <w:rPr>
          <w:rFonts w:ascii="Bookman Old Style" w:hAnsi="Bookman Old Style"/>
          <w:b/>
          <w:bCs/>
          <w:sz w:val="28"/>
          <w:szCs w:val="28"/>
          <w:lang w:val="en-US"/>
        </w:rPr>
        <w:t xml:space="preserve"> of A (CIV) 12/2022</w:t>
      </w:r>
      <w:r w:rsidR="00A13E3F" w:rsidRPr="00120B38">
        <w:rPr>
          <w:rFonts w:ascii="Bookman Old Style" w:hAnsi="Bookman Old Style"/>
          <w:b/>
          <w:bCs/>
          <w:sz w:val="28"/>
          <w:szCs w:val="28"/>
          <w:lang w:val="en-US"/>
        </w:rPr>
        <w:t xml:space="preserve"> </w:t>
      </w:r>
    </w:p>
    <w:p w14:paraId="68F9927D" w14:textId="3628D214" w:rsidR="00A13E3F" w:rsidRPr="00120B38" w:rsidRDefault="00120B38" w:rsidP="00A72555">
      <w:pPr>
        <w:spacing w:line="240" w:lineRule="auto"/>
        <w:ind w:left="3600" w:hanging="3600"/>
        <w:jc w:val="right"/>
        <w:rPr>
          <w:rFonts w:ascii="Bookman Old Style" w:hAnsi="Bookman Old Style"/>
          <w:b/>
          <w:bCs/>
          <w:sz w:val="28"/>
          <w:szCs w:val="28"/>
          <w:lang w:val="en-US"/>
        </w:rPr>
      </w:pPr>
      <w:r w:rsidRPr="00120B38">
        <w:rPr>
          <w:rFonts w:ascii="Bookman Old Style" w:hAnsi="Bookman Old Style"/>
          <w:b/>
          <w:bCs/>
          <w:sz w:val="28"/>
          <w:szCs w:val="28"/>
          <w:lang w:val="en-US"/>
        </w:rPr>
        <w:t>LAC/CIV/A/06/21</w:t>
      </w:r>
      <w:r w:rsidR="00A13E3F" w:rsidRPr="00120B38">
        <w:rPr>
          <w:rFonts w:ascii="Bookman Old Style" w:hAnsi="Bookman Old Style"/>
          <w:b/>
          <w:bCs/>
          <w:sz w:val="28"/>
          <w:szCs w:val="28"/>
          <w:lang w:val="en-US"/>
        </w:rPr>
        <w:t xml:space="preserve">                                                                                                        </w:t>
      </w:r>
    </w:p>
    <w:p w14:paraId="1373A6CB" w14:textId="0CBEAF55" w:rsidR="00A13E3F" w:rsidRPr="00A72555" w:rsidRDefault="00A13E3F" w:rsidP="00A72555">
      <w:pPr>
        <w:spacing w:line="240" w:lineRule="auto"/>
        <w:jc w:val="both"/>
        <w:rPr>
          <w:rFonts w:ascii="Bookman Old Style" w:hAnsi="Bookman Old Style"/>
          <w:sz w:val="28"/>
          <w:szCs w:val="28"/>
          <w:lang w:val="en-US"/>
        </w:rPr>
      </w:pPr>
      <w:r w:rsidRPr="00A72555">
        <w:rPr>
          <w:rFonts w:ascii="Bookman Old Style" w:hAnsi="Bookman Old Style"/>
          <w:sz w:val="28"/>
          <w:szCs w:val="28"/>
          <w:lang w:val="en-US"/>
        </w:rPr>
        <w:t>In the matter between –</w:t>
      </w:r>
    </w:p>
    <w:p w14:paraId="3621B5B1" w14:textId="77777777" w:rsidR="00D30C52" w:rsidRPr="00120B38" w:rsidRDefault="00D30C52" w:rsidP="00A72555">
      <w:pPr>
        <w:spacing w:line="240" w:lineRule="auto"/>
        <w:jc w:val="both"/>
        <w:rPr>
          <w:rFonts w:ascii="Bookman Old Style" w:hAnsi="Bookman Old Style"/>
          <w:b/>
          <w:bCs/>
          <w:sz w:val="28"/>
          <w:szCs w:val="28"/>
          <w:lang w:val="en-US"/>
        </w:rPr>
      </w:pPr>
    </w:p>
    <w:p w14:paraId="137DF043" w14:textId="7EF2F2E8" w:rsidR="00A13E3F" w:rsidRPr="00120B38" w:rsidRDefault="00A13E3F" w:rsidP="00A72555">
      <w:pPr>
        <w:spacing w:line="24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PALESA</w:t>
      </w:r>
      <w:r w:rsidR="00120B38">
        <w:rPr>
          <w:rFonts w:ascii="Bookman Old Style" w:hAnsi="Bookman Old Style"/>
          <w:b/>
          <w:bCs/>
          <w:sz w:val="28"/>
          <w:szCs w:val="28"/>
          <w:lang w:val="en-US"/>
        </w:rPr>
        <w:t xml:space="preserve"> </w:t>
      </w:r>
      <w:r w:rsidRPr="00120B38">
        <w:rPr>
          <w:rFonts w:ascii="Bookman Old Style" w:hAnsi="Bookman Old Style"/>
          <w:b/>
          <w:bCs/>
          <w:sz w:val="28"/>
          <w:szCs w:val="28"/>
          <w:lang w:val="en-US"/>
        </w:rPr>
        <w:t>K</w:t>
      </w:r>
      <w:r w:rsidR="00805CCD" w:rsidRPr="00120B38">
        <w:rPr>
          <w:rFonts w:ascii="Bookman Old Style" w:hAnsi="Bookman Old Style"/>
          <w:b/>
          <w:bCs/>
          <w:sz w:val="28"/>
          <w:szCs w:val="28"/>
          <w:lang w:val="en-US"/>
        </w:rPr>
        <w:t>H</w:t>
      </w:r>
      <w:r w:rsidRPr="00120B38">
        <w:rPr>
          <w:rFonts w:ascii="Bookman Old Style" w:hAnsi="Bookman Old Style"/>
          <w:b/>
          <w:bCs/>
          <w:sz w:val="28"/>
          <w:szCs w:val="28"/>
          <w:lang w:val="en-US"/>
        </w:rPr>
        <w:t>AB</w:t>
      </w:r>
      <w:r w:rsidR="00805CCD" w:rsidRPr="00120B38">
        <w:rPr>
          <w:rFonts w:ascii="Bookman Old Style" w:hAnsi="Bookman Old Style"/>
          <w:b/>
          <w:bCs/>
          <w:sz w:val="28"/>
          <w:szCs w:val="28"/>
          <w:lang w:val="en-US"/>
        </w:rPr>
        <w:t>E</w:t>
      </w:r>
      <w:r w:rsidRPr="00120B38">
        <w:rPr>
          <w:rFonts w:ascii="Bookman Old Style" w:hAnsi="Bookman Old Style"/>
          <w:b/>
          <w:bCs/>
          <w:sz w:val="28"/>
          <w:szCs w:val="28"/>
          <w:lang w:val="en-US"/>
        </w:rPr>
        <w:t xml:space="preserve">LE  </w:t>
      </w:r>
      <w:r w:rsidR="00120B38">
        <w:rPr>
          <w:rFonts w:ascii="Bookman Old Style" w:hAnsi="Bookman Old Style"/>
          <w:b/>
          <w:bCs/>
          <w:sz w:val="28"/>
          <w:szCs w:val="28"/>
          <w:lang w:val="en-US"/>
        </w:rPr>
        <w:t xml:space="preserve">                                        </w:t>
      </w:r>
      <w:r w:rsidRPr="00120B38">
        <w:rPr>
          <w:rFonts w:ascii="Bookman Old Style" w:hAnsi="Bookman Old Style"/>
          <w:b/>
          <w:bCs/>
          <w:sz w:val="28"/>
          <w:szCs w:val="28"/>
          <w:lang w:val="en-US"/>
        </w:rPr>
        <w:t>APP</w:t>
      </w:r>
      <w:r w:rsidR="007D098E" w:rsidRPr="00120B38">
        <w:rPr>
          <w:rFonts w:ascii="Bookman Old Style" w:hAnsi="Bookman Old Style"/>
          <w:b/>
          <w:bCs/>
          <w:sz w:val="28"/>
          <w:szCs w:val="28"/>
          <w:lang w:val="en-US"/>
        </w:rPr>
        <w:t>ELLANT</w:t>
      </w:r>
    </w:p>
    <w:p w14:paraId="005139F2" w14:textId="4CB08382" w:rsidR="00A13E3F" w:rsidRPr="00A72555" w:rsidRDefault="00A13E3F" w:rsidP="00A72555">
      <w:pPr>
        <w:spacing w:line="240" w:lineRule="auto"/>
        <w:jc w:val="both"/>
        <w:rPr>
          <w:rFonts w:ascii="Bookman Old Style" w:hAnsi="Bookman Old Style"/>
          <w:sz w:val="28"/>
          <w:szCs w:val="28"/>
          <w:lang w:val="en-US"/>
        </w:rPr>
      </w:pPr>
      <w:r w:rsidRPr="00A72555">
        <w:rPr>
          <w:rFonts w:ascii="Bookman Old Style" w:hAnsi="Bookman Old Style"/>
          <w:sz w:val="28"/>
          <w:szCs w:val="28"/>
          <w:lang w:val="en-US"/>
        </w:rPr>
        <w:t>and</w:t>
      </w:r>
    </w:p>
    <w:p w14:paraId="280A533E" w14:textId="77777777" w:rsidR="00120B38" w:rsidRDefault="00A13E3F" w:rsidP="00A72555">
      <w:pPr>
        <w:spacing w:line="24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CHAIR</w:t>
      </w:r>
      <w:r w:rsidR="00805CCD" w:rsidRPr="00120B38">
        <w:rPr>
          <w:rFonts w:ascii="Bookman Old Style" w:hAnsi="Bookman Old Style"/>
          <w:b/>
          <w:bCs/>
          <w:sz w:val="28"/>
          <w:szCs w:val="28"/>
          <w:lang w:val="en-US"/>
        </w:rPr>
        <w:t xml:space="preserve">PERSON OF THE DISCIPLINARY </w:t>
      </w:r>
    </w:p>
    <w:p w14:paraId="686D96FD" w14:textId="44D5462D" w:rsidR="00805CCD" w:rsidRPr="00120B38" w:rsidRDefault="00805CCD" w:rsidP="00A72555">
      <w:pPr>
        <w:spacing w:line="24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HEARING COMMITTEE</w:t>
      </w:r>
      <w:r w:rsidR="00A13E3F" w:rsidRPr="00120B38">
        <w:rPr>
          <w:rFonts w:ascii="Bookman Old Style" w:hAnsi="Bookman Old Style"/>
          <w:b/>
          <w:bCs/>
          <w:sz w:val="28"/>
          <w:szCs w:val="28"/>
          <w:lang w:val="en-US"/>
        </w:rPr>
        <w:t xml:space="preserve"> </w:t>
      </w:r>
      <w:r w:rsidR="00120B38">
        <w:rPr>
          <w:rFonts w:ascii="Bookman Old Style" w:hAnsi="Bookman Old Style"/>
          <w:b/>
          <w:bCs/>
          <w:sz w:val="28"/>
          <w:szCs w:val="28"/>
          <w:lang w:val="en-US"/>
        </w:rPr>
        <w:t xml:space="preserve">                                </w:t>
      </w:r>
      <w:r w:rsidRPr="00120B38">
        <w:rPr>
          <w:rFonts w:ascii="Bookman Old Style" w:hAnsi="Bookman Old Style"/>
          <w:b/>
          <w:bCs/>
          <w:sz w:val="28"/>
          <w:szCs w:val="28"/>
          <w:lang w:val="en-US"/>
        </w:rPr>
        <w:t xml:space="preserve"> 1</w:t>
      </w:r>
      <w:r w:rsidRPr="00120B38">
        <w:rPr>
          <w:rFonts w:ascii="Bookman Old Style" w:hAnsi="Bookman Old Style"/>
          <w:b/>
          <w:bCs/>
          <w:sz w:val="28"/>
          <w:szCs w:val="28"/>
          <w:vertAlign w:val="superscript"/>
          <w:lang w:val="en-US"/>
        </w:rPr>
        <w:t>st</w:t>
      </w:r>
      <w:r w:rsidRPr="00120B38">
        <w:rPr>
          <w:rFonts w:ascii="Bookman Old Style" w:hAnsi="Bookman Old Style"/>
          <w:b/>
          <w:bCs/>
          <w:sz w:val="28"/>
          <w:szCs w:val="28"/>
          <w:lang w:val="en-US"/>
        </w:rPr>
        <w:t xml:space="preserve"> RESPONDENT</w:t>
      </w:r>
    </w:p>
    <w:p w14:paraId="19269D0B" w14:textId="584F8EE7" w:rsidR="00805CCD" w:rsidRPr="00120B38" w:rsidRDefault="00805CCD" w:rsidP="00A72555">
      <w:pPr>
        <w:spacing w:line="24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DISCIPLINARY</w:t>
      </w:r>
      <w:r w:rsidR="00A72555">
        <w:rPr>
          <w:rFonts w:ascii="Bookman Old Style" w:hAnsi="Bookman Old Style"/>
          <w:b/>
          <w:bCs/>
          <w:sz w:val="28"/>
          <w:szCs w:val="28"/>
          <w:lang w:val="en-US"/>
        </w:rPr>
        <w:t xml:space="preserve"> </w:t>
      </w:r>
      <w:r w:rsidRPr="00120B38">
        <w:rPr>
          <w:rFonts w:ascii="Bookman Old Style" w:hAnsi="Bookman Old Style"/>
          <w:b/>
          <w:bCs/>
          <w:sz w:val="28"/>
          <w:szCs w:val="28"/>
          <w:lang w:val="en-US"/>
        </w:rPr>
        <w:t xml:space="preserve">COMMITTEE   </w:t>
      </w:r>
      <w:r w:rsidR="00D67060">
        <w:rPr>
          <w:rFonts w:ascii="Bookman Old Style" w:hAnsi="Bookman Old Style"/>
          <w:b/>
          <w:bCs/>
          <w:sz w:val="28"/>
          <w:szCs w:val="28"/>
          <w:lang w:val="en-US"/>
        </w:rPr>
        <w:t xml:space="preserve">                        </w:t>
      </w:r>
      <w:r w:rsidRPr="00120B38">
        <w:rPr>
          <w:rFonts w:ascii="Bookman Old Style" w:hAnsi="Bookman Old Style"/>
          <w:b/>
          <w:bCs/>
          <w:sz w:val="28"/>
          <w:szCs w:val="28"/>
          <w:lang w:val="en-US"/>
        </w:rPr>
        <w:t xml:space="preserve"> 2</w:t>
      </w:r>
      <w:r w:rsidRPr="00120B38">
        <w:rPr>
          <w:rFonts w:ascii="Bookman Old Style" w:hAnsi="Bookman Old Style"/>
          <w:b/>
          <w:bCs/>
          <w:sz w:val="28"/>
          <w:szCs w:val="28"/>
          <w:vertAlign w:val="superscript"/>
          <w:lang w:val="en-US"/>
        </w:rPr>
        <w:t>nd</w:t>
      </w:r>
      <w:r w:rsidRPr="00120B38">
        <w:rPr>
          <w:rFonts w:ascii="Bookman Old Style" w:hAnsi="Bookman Old Style"/>
          <w:b/>
          <w:bCs/>
          <w:sz w:val="28"/>
          <w:szCs w:val="28"/>
          <w:lang w:val="en-US"/>
        </w:rPr>
        <w:t xml:space="preserve"> RESPONDENT</w:t>
      </w:r>
    </w:p>
    <w:p w14:paraId="04D014D8" w14:textId="0B8F7AF4" w:rsidR="00805CCD" w:rsidRPr="00120B38" w:rsidRDefault="00805CCD" w:rsidP="00A72555">
      <w:pPr>
        <w:spacing w:line="24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FINANCIAL</w:t>
      </w:r>
      <w:r w:rsidR="00A72555">
        <w:rPr>
          <w:rFonts w:ascii="Bookman Old Style" w:hAnsi="Bookman Old Style"/>
          <w:b/>
          <w:bCs/>
          <w:sz w:val="28"/>
          <w:szCs w:val="28"/>
          <w:lang w:val="en-US"/>
        </w:rPr>
        <w:t xml:space="preserve"> </w:t>
      </w:r>
      <w:r w:rsidRPr="00120B38">
        <w:rPr>
          <w:rFonts w:ascii="Bookman Old Style" w:hAnsi="Bookman Old Style"/>
          <w:b/>
          <w:bCs/>
          <w:sz w:val="28"/>
          <w:szCs w:val="28"/>
          <w:lang w:val="en-US"/>
        </w:rPr>
        <w:t>INTELLIGENCE</w:t>
      </w:r>
      <w:r w:rsidR="00A72555">
        <w:rPr>
          <w:rFonts w:ascii="Bookman Old Style" w:hAnsi="Bookman Old Style"/>
          <w:b/>
          <w:bCs/>
          <w:sz w:val="28"/>
          <w:szCs w:val="28"/>
          <w:lang w:val="en-US"/>
        </w:rPr>
        <w:t xml:space="preserve"> </w:t>
      </w:r>
      <w:r w:rsidRPr="00120B38">
        <w:rPr>
          <w:rFonts w:ascii="Bookman Old Style" w:hAnsi="Bookman Old Style"/>
          <w:b/>
          <w:bCs/>
          <w:sz w:val="28"/>
          <w:szCs w:val="28"/>
          <w:lang w:val="en-US"/>
        </w:rPr>
        <w:t xml:space="preserve">UNIT       </w:t>
      </w:r>
      <w:r w:rsidR="00D67060">
        <w:rPr>
          <w:rFonts w:ascii="Bookman Old Style" w:hAnsi="Bookman Old Style"/>
          <w:b/>
          <w:bCs/>
          <w:sz w:val="28"/>
          <w:szCs w:val="28"/>
          <w:lang w:val="en-US"/>
        </w:rPr>
        <w:t xml:space="preserve">            </w:t>
      </w:r>
      <w:r w:rsidRPr="00120B38">
        <w:rPr>
          <w:rFonts w:ascii="Bookman Old Style" w:hAnsi="Bookman Old Style"/>
          <w:b/>
          <w:bCs/>
          <w:sz w:val="28"/>
          <w:szCs w:val="28"/>
          <w:lang w:val="en-US"/>
        </w:rPr>
        <w:t xml:space="preserve">  3</w:t>
      </w:r>
      <w:r w:rsidRPr="00120B38">
        <w:rPr>
          <w:rFonts w:ascii="Bookman Old Style" w:hAnsi="Bookman Old Style"/>
          <w:b/>
          <w:bCs/>
          <w:sz w:val="28"/>
          <w:szCs w:val="28"/>
          <w:vertAlign w:val="superscript"/>
          <w:lang w:val="en-US"/>
        </w:rPr>
        <w:t>rd</w:t>
      </w:r>
      <w:r w:rsidRPr="00120B38">
        <w:rPr>
          <w:rFonts w:ascii="Bookman Old Style" w:hAnsi="Bookman Old Style"/>
          <w:b/>
          <w:bCs/>
          <w:sz w:val="28"/>
          <w:szCs w:val="28"/>
          <w:lang w:val="en-US"/>
        </w:rPr>
        <w:t xml:space="preserve"> RESPONDENT</w:t>
      </w:r>
    </w:p>
    <w:p w14:paraId="1D459D54" w14:textId="53B943B5" w:rsidR="00805CCD" w:rsidRPr="00120B38" w:rsidRDefault="00805CCD" w:rsidP="00A72555">
      <w:pPr>
        <w:spacing w:line="24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MINISTER</w:t>
      </w:r>
      <w:r w:rsidR="00A72555">
        <w:rPr>
          <w:rFonts w:ascii="Bookman Old Style" w:hAnsi="Bookman Old Style"/>
          <w:b/>
          <w:bCs/>
          <w:sz w:val="28"/>
          <w:szCs w:val="28"/>
          <w:lang w:val="en-US"/>
        </w:rPr>
        <w:t xml:space="preserve"> </w:t>
      </w:r>
      <w:r w:rsidRPr="00120B38">
        <w:rPr>
          <w:rFonts w:ascii="Bookman Old Style" w:hAnsi="Bookman Old Style"/>
          <w:b/>
          <w:bCs/>
          <w:sz w:val="28"/>
          <w:szCs w:val="28"/>
          <w:lang w:val="en-US"/>
        </w:rPr>
        <w:t>OF</w:t>
      </w:r>
      <w:r w:rsidR="00A72555">
        <w:rPr>
          <w:rFonts w:ascii="Bookman Old Style" w:hAnsi="Bookman Old Style"/>
          <w:b/>
          <w:bCs/>
          <w:sz w:val="28"/>
          <w:szCs w:val="28"/>
          <w:lang w:val="en-US"/>
        </w:rPr>
        <w:t xml:space="preserve"> </w:t>
      </w:r>
      <w:r w:rsidRPr="00120B38">
        <w:rPr>
          <w:rFonts w:ascii="Bookman Old Style" w:hAnsi="Bookman Old Style"/>
          <w:b/>
          <w:bCs/>
          <w:sz w:val="28"/>
          <w:szCs w:val="28"/>
          <w:lang w:val="en-US"/>
        </w:rPr>
        <w:t xml:space="preserve">FINANCE   </w:t>
      </w:r>
      <w:r w:rsidR="00D67060">
        <w:rPr>
          <w:rFonts w:ascii="Bookman Old Style" w:hAnsi="Bookman Old Style"/>
          <w:b/>
          <w:bCs/>
          <w:sz w:val="28"/>
          <w:szCs w:val="28"/>
          <w:lang w:val="en-US"/>
        </w:rPr>
        <w:t xml:space="preserve">                              </w:t>
      </w:r>
      <w:r w:rsidRPr="00120B38">
        <w:rPr>
          <w:rFonts w:ascii="Bookman Old Style" w:hAnsi="Bookman Old Style"/>
          <w:b/>
          <w:bCs/>
          <w:sz w:val="28"/>
          <w:szCs w:val="28"/>
          <w:lang w:val="en-US"/>
        </w:rPr>
        <w:t xml:space="preserve"> 4</w:t>
      </w:r>
      <w:r w:rsidRPr="00120B38">
        <w:rPr>
          <w:rFonts w:ascii="Bookman Old Style" w:hAnsi="Bookman Old Style"/>
          <w:b/>
          <w:bCs/>
          <w:sz w:val="28"/>
          <w:szCs w:val="28"/>
          <w:vertAlign w:val="superscript"/>
          <w:lang w:val="en-US"/>
        </w:rPr>
        <w:t>th</w:t>
      </w:r>
      <w:r w:rsidRPr="00120B38">
        <w:rPr>
          <w:rFonts w:ascii="Bookman Old Style" w:hAnsi="Bookman Old Style"/>
          <w:b/>
          <w:bCs/>
          <w:sz w:val="28"/>
          <w:szCs w:val="28"/>
          <w:lang w:val="en-US"/>
        </w:rPr>
        <w:t xml:space="preserve"> RESPONDENT</w:t>
      </w:r>
    </w:p>
    <w:p w14:paraId="42269D73" w14:textId="7AACAC32" w:rsidR="00805CCD" w:rsidRPr="00120B38" w:rsidRDefault="00805CCD" w:rsidP="00A72555">
      <w:pPr>
        <w:spacing w:line="24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ATTORNEY</w:t>
      </w:r>
      <w:r w:rsidR="00D67060">
        <w:rPr>
          <w:rFonts w:ascii="Bookman Old Style" w:hAnsi="Bookman Old Style"/>
          <w:b/>
          <w:bCs/>
          <w:sz w:val="28"/>
          <w:szCs w:val="28"/>
          <w:lang w:val="en-US"/>
        </w:rPr>
        <w:t xml:space="preserve"> </w:t>
      </w:r>
      <w:r w:rsidRPr="00120B38">
        <w:rPr>
          <w:rFonts w:ascii="Bookman Old Style" w:hAnsi="Bookman Old Style"/>
          <w:b/>
          <w:bCs/>
          <w:sz w:val="28"/>
          <w:szCs w:val="28"/>
          <w:lang w:val="en-US"/>
        </w:rPr>
        <w:t xml:space="preserve">GENERAL </w:t>
      </w:r>
      <w:r w:rsidR="00D67060">
        <w:rPr>
          <w:rFonts w:ascii="Bookman Old Style" w:hAnsi="Bookman Old Style"/>
          <w:b/>
          <w:bCs/>
          <w:sz w:val="28"/>
          <w:szCs w:val="28"/>
          <w:lang w:val="en-US"/>
        </w:rPr>
        <w:t xml:space="preserve">                                  </w:t>
      </w:r>
      <w:r w:rsidRPr="00120B38">
        <w:rPr>
          <w:rFonts w:ascii="Bookman Old Style" w:hAnsi="Bookman Old Style"/>
          <w:b/>
          <w:bCs/>
          <w:sz w:val="28"/>
          <w:szCs w:val="28"/>
          <w:lang w:val="en-US"/>
        </w:rPr>
        <w:t>5</w:t>
      </w:r>
      <w:r w:rsidRPr="00120B38">
        <w:rPr>
          <w:rFonts w:ascii="Bookman Old Style" w:hAnsi="Bookman Old Style"/>
          <w:b/>
          <w:bCs/>
          <w:sz w:val="28"/>
          <w:szCs w:val="28"/>
          <w:vertAlign w:val="superscript"/>
          <w:lang w:val="en-US"/>
        </w:rPr>
        <w:t>th</w:t>
      </w:r>
      <w:r w:rsidRPr="00120B38">
        <w:rPr>
          <w:rFonts w:ascii="Bookman Old Style" w:hAnsi="Bookman Old Style"/>
          <w:b/>
          <w:bCs/>
          <w:sz w:val="28"/>
          <w:szCs w:val="28"/>
          <w:lang w:val="en-US"/>
        </w:rPr>
        <w:t xml:space="preserve"> RESPONDENT</w:t>
      </w:r>
    </w:p>
    <w:p w14:paraId="3ED2FDBC" w14:textId="77777777" w:rsidR="00D67060" w:rsidRDefault="00D67060" w:rsidP="00A72555">
      <w:pPr>
        <w:spacing w:line="240" w:lineRule="auto"/>
        <w:jc w:val="both"/>
        <w:rPr>
          <w:rFonts w:ascii="Bookman Old Style" w:hAnsi="Bookman Old Style"/>
          <w:b/>
          <w:bCs/>
          <w:sz w:val="28"/>
          <w:szCs w:val="28"/>
          <w:lang w:val="en-US"/>
        </w:rPr>
      </w:pPr>
    </w:p>
    <w:p w14:paraId="421745C7" w14:textId="61322BEE" w:rsidR="00A13E3F" w:rsidRPr="00A72555" w:rsidRDefault="00A13E3F" w:rsidP="00A72555">
      <w:pPr>
        <w:spacing w:line="240" w:lineRule="auto"/>
        <w:jc w:val="both"/>
        <w:rPr>
          <w:rFonts w:ascii="Bookman Old Style" w:hAnsi="Bookman Old Style"/>
          <w:sz w:val="28"/>
          <w:szCs w:val="28"/>
          <w:lang w:val="en-US"/>
        </w:rPr>
      </w:pPr>
      <w:r w:rsidRPr="00120B38">
        <w:rPr>
          <w:rFonts w:ascii="Bookman Old Style" w:hAnsi="Bookman Old Style"/>
          <w:b/>
          <w:bCs/>
          <w:sz w:val="28"/>
          <w:szCs w:val="28"/>
          <w:lang w:val="en-US"/>
        </w:rPr>
        <w:t xml:space="preserve">CORAM: </w:t>
      </w:r>
      <w:r w:rsidR="00A72555">
        <w:rPr>
          <w:rFonts w:ascii="Bookman Old Style" w:hAnsi="Bookman Old Style"/>
          <w:b/>
          <w:bCs/>
          <w:sz w:val="28"/>
          <w:szCs w:val="28"/>
          <w:lang w:val="en-US"/>
        </w:rPr>
        <w:tab/>
      </w:r>
      <w:r w:rsidR="00A72555">
        <w:rPr>
          <w:rFonts w:ascii="Bookman Old Style" w:hAnsi="Bookman Old Style"/>
          <w:b/>
          <w:bCs/>
          <w:sz w:val="28"/>
          <w:szCs w:val="28"/>
          <w:lang w:val="en-US"/>
        </w:rPr>
        <w:tab/>
      </w:r>
      <w:r w:rsidR="00A72555">
        <w:rPr>
          <w:rFonts w:ascii="Bookman Old Style" w:hAnsi="Bookman Old Style"/>
          <w:b/>
          <w:bCs/>
          <w:sz w:val="28"/>
          <w:szCs w:val="28"/>
          <w:lang w:val="en-US"/>
        </w:rPr>
        <w:tab/>
      </w:r>
      <w:r w:rsidRPr="00A72555">
        <w:rPr>
          <w:rFonts w:ascii="Bookman Old Style" w:hAnsi="Bookman Old Style"/>
          <w:sz w:val="28"/>
          <w:szCs w:val="28"/>
          <w:lang w:val="en-US"/>
        </w:rPr>
        <w:t>PT DAMASEB AJA</w:t>
      </w:r>
    </w:p>
    <w:p w14:paraId="038DB1FA" w14:textId="6E2E888D" w:rsidR="00A13E3F" w:rsidRPr="00A72555" w:rsidRDefault="00A13E3F" w:rsidP="00A72555">
      <w:pPr>
        <w:spacing w:line="240" w:lineRule="auto"/>
        <w:jc w:val="both"/>
        <w:rPr>
          <w:rFonts w:ascii="Bookman Old Style" w:hAnsi="Bookman Old Style"/>
          <w:sz w:val="28"/>
          <w:szCs w:val="28"/>
          <w:lang w:val="en-US"/>
        </w:rPr>
      </w:pPr>
      <w:r w:rsidRPr="00A72555">
        <w:rPr>
          <w:rFonts w:ascii="Bookman Old Style" w:hAnsi="Bookman Old Style"/>
          <w:sz w:val="28"/>
          <w:szCs w:val="28"/>
          <w:lang w:val="en-US"/>
        </w:rPr>
        <w:t xml:space="preserve">                </w:t>
      </w:r>
      <w:r w:rsidR="00A72555" w:rsidRPr="00A72555">
        <w:rPr>
          <w:rFonts w:ascii="Bookman Old Style" w:hAnsi="Bookman Old Style"/>
          <w:sz w:val="28"/>
          <w:szCs w:val="28"/>
          <w:lang w:val="en-US"/>
        </w:rPr>
        <w:tab/>
      </w:r>
      <w:r w:rsidRPr="00A72555">
        <w:rPr>
          <w:rFonts w:ascii="Bookman Old Style" w:hAnsi="Bookman Old Style"/>
          <w:sz w:val="28"/>
          <w:szCs w:val="28"/>
          <w:lang w:val="en-US"/>
        </w:rPr>
        <w:t xml:space="preserve"> </w:t>
      </w:r>
      <w:r w:rsidR="00A72555" w:rsidRPr="00A72555">
        <w:rPr>
          <w:rFonts w:ascii="Bookman Old Style" w:hAnsi="Bookman Old Style"/>
          <w:sz w:val="28"/>
          <w:szCs w:val="28"/>
          <w:lang w:val="en-US"/>
        </w:rPr>
        <w:tab/>
      </w:r>
      <w:r w:rsidR="00A72555">
        <w:rPr>
          <w:rFonts w:ascii="Bookman Old Style" w:hAnsi="Bookman Old Style"/>
          <w:sz w:val="28"/>
          <w:szCs w:val="28"/>
          <w:lang w:val="en-US"/>
        </w:rPr>
        <w:tab/>
      </w:r>
      <w:r w:rsidRPr="00A72555">
        <w:rPr>
          <w:rFonts w:ascii="Bookman Old Style" w:hAnsi="Bookman Old Style"/>
          <w:sz w:val="28"/>
          <w:szCs w:val="28"/>
          <w:lang w:val="en-US"/>
        </w:rPr>
        <w:t>P MUSONDA AJA</w:t>
      </w:r>
    </w:p>
    <w:p w14:paraId="71093C5A" w14:textId="1F700744" w:rsidR="00A13E3F" w:rsidRPr="00A72555" w:rsidRDefault="00A13E3F" w:rsidP="00A72555">
      <w:pPr>
        <w:spacing w:line="240" w:lineRule="auto"/>
        <w:jc w:val="both"/>
        <w:rPr>
          <w:rFonts w:ascii="Bookman Old Style" w:hAnsi="Bookman Old Style"/>
          <w:sz w:val="28"/>
          <w:szCs w:val="28"/>
          <w:lang w:val="en-US"/>
        </w:rPr>
      </w:pPr>
      <w:r w:rsidRPr="00A72555">
        <w:rPr>
          <w:rFonts w:ascii="Bookman Old Style" w:hAnsi="Bookman Old Style"/>
          <w:sz w:val="28"/>
          <w:szCs w:val="28"/>
          <w:lang w:val="en-US"/>
        </w:rPr>
        <w:t xml:space="preserve">                 </w:t>
      </w:r>
      <w:r w:rsidR="00A72555" w:rsidRPr="00A72555">
        <w:rPr>
          <w:rFonts w:ascii="Bookman Old Style" w:hAnsi="Bookman Old Style"/>
          <w:sz w:val="28"/>
          <w:szCs w:val="28"/>
          <w:lang w:val="en-US"/>
        </w:rPr>
        <w:tab/>
      </w:r>
      <w:r w:rsidR="00A72555" w:rsidRPr="00A72555">
        <w:rPr>
          <w:rFonts w:ascii="Bookman Old Style" w:hAnsi="Bookman Old Style"/>
          <w:sz w:val="28"/>
          <w:szCs w:val="28"/>
          <w:lang w:val="en-US"/>
        </w:rPr>
        <w:tab/>
      </w:r>
      <w:r w:rsidRPr="00A72555">
        <w:rPr>
          <w:rFonts w:ascii="Bookman Old Style" w:hAnsi="Bookman Old Style"/>
          <w:sz w:val="28"/>
          <w:szCs w:val="28"/>
          <w:lang w:val="en-US"/>
        </w:rPr>
        <w:t>J VAN DER WESTHUIZEN AJA</w:t>
      </w:r>
    </w:p>
    <w:p w14:paraId="02B667CD" w14:textId="2AB8D48D" w:rsidR="00A13E3F" w:rsidRPr="00120B38" w:rsidRDefault="00A13E3F" w:rsidP="00A72555">
      <w:pPr>
        <w:spacing w:line="240" w:lineRule="auto"/>
        <w:jc w:val="both"/>
        <w:rPr>
          <w:rFonts w:ascii="Bookman Old Style" w:hAnsi="Bookman Old Style"/>
          <w:b/>
          <w:bCs/>
          <w:sz w:val="28"/>
          <w:szCs w:val="28"/>
          <w:lang w:val="en-US"/>
        </w:rPr>
      </w:pPr>
    </w:p>
    <w:p w14:paraId="0FBEFE18" w14:textId="149B2409" w:rsidR="00A13E3F" w:rsidRPr="00A72555" w:rsidRDefault="00A13E3F" w:rsidP="00A72555">
      <w:pPr>
        <w:spacing w:line="240" w:lineRule="auto"/>
        <w:jc w:val="both"/>
        <w:rPr>
          <w:rFonts w:ascii="Bookman Old Style" w:hAnsi="Bookman Old Style"/>
          <w:b/>
          <w:bCs/>
          <w:caps/>
          <w:sz w:val="28"/>
          <w:szCs w:val="28"/>
          <w:lang w:val="en-US"/>
        </w:rPr>
      </w:pPr>
      <w:r w:rsidRPr="00A72555">
        <w:rPr>
          <w:rFonts w:ascii="Bookman Old Style" w:hAnsi="Bookman Old Style"/>
          <w:b/>
          <w:bCs/>
          <w:caps/>
          <w:sz w:val="28"/>
          <w:szCs w:val="28"/>
          <w:lang w:val="en-US"/>
        </w:rPr>
        <w:t xml:space="preserve">Heard: </w:t>
      </w:r>
      <w:r w:rsidR="00A72555">
        <w:rPr>
          <w:rFonts w:ascii="Bookman Old Style" w:hAnsi="Bookman Old Style"/>
          <w:b/>
          <w:bCs/>
          <w:caps/>
          <w:sz w:val="28"/>
          <w:szCs w:val="28"/>
          <w:lang w:val="en-US"/>
        </w:rPr>
        <w:tab/>
      </w:r>
      <w:r w:rsidR="00A72555">
        <w:rPr>
          <w:rFonts w:ascii="Bookman Old Style" w:hAnsi="Bookman Old Style"/>
          <w:b/>
          <w:bCs/>
          <w:caps/>
          <w:sz w:val="28"/>
          <w:szCs w:val="28"/>
          <w:lang w:val="en-US"/>
        </w:rPr>
        <w:tab/>
      </w:r>
      <w:r w:rsidR="00A72555">
        <w:rPr>
          <w:rFonts w:ascii="Bookman Old Style" w:hAnsi="Bookman Old Style"/>
          <w:b/>
          <w:bCs/>
          <w:caps/>
          <w:sz w:val="28"/>
          <w:szCs w:val="28"/>
          <w:lang w:val="en-US"/>
        </w:rPr>
        <w:tab/>
      </w:r>
      <w:r w:rsidRPr="00A72555">
        <w:rPr>
          <w:rFonts w:ascii="Bookman Old Style" w:hAnsi="Bookman Old Style"/>
          <w:caps/>
          <w:sz w:val="28"/>
          <w:szCs w:val="28"/>
          <w:lang w:val="en-US"/>
        </w:rPr>
        <w:t>13 October 2022</w:t>
      </w:r>
    </w:p>
    <w:p w14:paraId="38FC5C94" w14:textId="1A96F83B" w:rsidR="00A13E3F" w:rsidRPr="00A72555" w:rsidRDefault="00A13E3F" w:rsidP="00A72555">
      <w:pPr>
        <w:spacing w:line="240" w:lineRule="auto"/>
        <w:jc w:val="both"/>
        <w:rPr>
          <w:rFonts w:ascii="Bookman Old Style" w:hAnsi="Bookman Old Style"/>
          <w:caps/>
          <w:sz w:val="28"/>
          <w:szCs w:val="28"/>
          <w:lang w:val="en-US"/>
        </w:rPr>
      </w:pPr>
      <w:r w:rsidRPr="00A72555">
        <w:rPr>
          <w:rFonts w:ascii="Bookman Old Style" w:hAnsi="Bookman Old Style"/>
          <w:b/>
          <w:bCs/>
          <w:caps/>
          <w:sz w:val="28"/>
          <w:szCs w:val="28"/>
          <w:lang w:val="en-US"/>
        </w:rPr>
        <w:t xml:space="preserve">Delivered: </w:t>
      </w:r>
      <w:r w:rsidR="00A72555">
        <w:rPr>
          <w:rFonts w:ascii="Bookman Old Style" w:hAnsi="Bookman Old Style"/>
          <w:b/>
          <w:bCs/>
          <w:caps/>
          <w:sz w:val="28"/>
          <w:szCs w:val="28"/>
          <w:lang w:val="en-US"/>
        </w:rPr>
        <w:tab/>
      </w:r>
      <w:r w:rsidR="00A72555">
        <w:rPr>
          <w:rFonts w:ascii="Bookman Old Style" w:hAnsi="Bookman Old Style"/>
          <w:b/>
          <w:bCs/>
          <w:caps/>
          <w:sz w:val="28"/>
          <w:szCs w:val="28"/>
          <w:lang w:val="en-US"/>
        </w:rPr>
        <w:tab/>
      </w:r>
      <w:r w:rsidRPr="00A72555">
        <w:rPr>
          <w:rFonts w:ascii="Bookman Old Style" w:hAnsi="Bookman Old Style"/>
          <w:caps/>
          <w:sz w:val="28"/>
          <w:szCs w:val="28"/>
          <w:lang w:val="en-US"/>
        </w:rPr>
        <w:t>11 November 2022</w:t>
      </w:r>
    </w:p>
    <w:p w14:paraId="21B5944C" w14:textId="4E06F8C2" w:rsidR="00A13E3F" w:rsidRPr="00120B38" w:rsidRDefault="00A13E3F" w:rsidP="00A72555">
      <w:pPr>
        <w:spacing w:line="240" w:lineRule="auto"/>
        <w:jc w:val="both"/>
        <w:rPr>
          <w:rFonts w:ascii="Bookman Old Style" w:hAnsi="Bookman Old Style"/>
          <w:b/>
          <w:bCs/>
          <w:sz w:val="28"/>
          <w:szCs w:val="28"/>
          <w:lang w:val="en-US"/>
        </w:rPr>
      </w:pPr>
    </w:p>
    <w:p w14:paraId="69DC43CE" w14:textId="77777777" w:rsidR="00A72555" w:rsidRDefault="00A72555" w:rsidP="00A72555">
      <w:pPr>
        <w:spacing w:line="360" w:lineRule="auto"/>
        <w:jc w:val="both"/>
        <w:rPr>
          <w:rFonts w:ascii="Bookman Old Style" w:hAnsi="Bookman Old Style"/>
          <w:b/>
          <w:bCs/>
          <w:i/>
          <w:iCs/>
          <w:caps/>
          <w:sz w:val="28"/>
          <w:szCs w:val="28"/>
          <w:lang w:val="en-US"/>
        </w:rPr>
      </w:pPr>
    </w:p>
    <w:p w14:paraId="35888EEB" w14:textId="77777777" w:rsidR="00A72555" w:rsidRDefault="00A72555" w:rsidP="00A72555">
      <w:pPr>
        <w:spacing w:line="360" w:lineRule="auto"/>
        <w:jc w:val="both"/>
        <w:rPr>
          <w:rFonts w:ascii="Bookman Old Style" w:hAnsi="Bookman Old Style"/>
          <w:b/>
          <w:bCs/>
          <w:i/>
          <w:iCs/>
          <w:caps/>
          <w:sz w:val="28"/>
          <w:szCs w:val="28"/>
          <w:lang w:val="en-US"/>
        </w:rPr>
      </w:pPr>
    </w:p>
    <w:p w14:paraId="3E3119D4" w14:textId="42223643" w:rsidR="00D30C52" w:rsidRPr="00A72555" w:rsidRDefault="00A13E3F" w:rsidP="00A72555">
      <w:pPr>
        <w:spacing w:line="360" w:lineRule="auto"/>
        <w:jc w:val="center"/>
        <w:rPr>
          <w:rFonts w:ascii="Bookman Old Style" w:hAnsi="Bookman Old Style"/>
          <w:b/>
          <w:bCs/>
          <w:i/>
          <w:iCs/>
          <w:caps/>
          <w:sz w:val="28"/>
          <w:szCs w:val="28"/>
          <w:lang w:val="en-US"/>
        </w:rPr>
      </w:pPr>
      <w:r w:rsidRPr="00A72555">
        <w:rPr>
          <w:rFonts w:ascii="Bookman Old Style" w:hAnsi="Bookman Old Style"/>
          <w:b/>
          <w:bCs/>
          <w:i/>
          <w:iCs/>
          <w:caps/>
          <w:sz w:val="28"/>
          <w:szCs w:val="28"/>
          <w:lang w:val="en-US"/>
        </w:rPr>
        <w:t>Summary</w:t>
      </w:r>
    </w:p>
    <w:p w14:paraId="098CC08B" w14:textId="1B4DBA61" w:rsidR="00D67060" w:rsidRDefault="00D30C52" w:rsidP="00A72555">
      <w:pPr>
        <w:spacing w:line="360" w:lineRule="auto"/>
        <w:jc w:val="both"/>
        <w:rPr>
          <w:rFonts w:ascii="Bookman Old Style" w:hAnsi="Bookman Old Style"/>
          <w:i/>
          <w:iCs/>
          <w:sz w:val="28"/>
          <w:szCs w:val="28"/>
          <w:lang w:val="en-US"/>
        </w:rPr>
      </w:pPr>
      <w:r w:rsidRPr="00120B38">
        <w:rPr>
          <w:rFonts w:ascii="Bookman Old Style" w:hAnsi="Bookman Old Style"/>
          <w:i/>
          <w:iCs/>
          <w:sz w:val="28"/>
          <w:szCs w:val="28"/>
          <w:lang w:val="en-US"/>
        </w:rPr>
        <w:t xml:space="preserve">Unless exceptional circumstances are present, a court of law may not intervene in ongoing disciplinary proceedings involving an </w:t>
      </w:r>
      <w:r w:rsidRPr="00120B38">
        <w:rPr>
          <w:rFonts w:ascii="Bookman Old Style" w:hAnsi="Bookman Old Style"/>
          <w:i/>
          <w:iCs/>
          <w:sz w:val="28"/>
          <w:szCs w:val="28"/>
          <w:lang w:val="en-US"/>
        </w:rPr>
        <w:lastRenderedPageBreak/>
        <w:t>employer and an employee</w:t>
      </w:r>
      <w:r w:rsidR="006E7D5D" w:rsidRPr="00120B38">
        <w:rPr>
          <w:rFonts w:ascii="Bookman Old Style" w:hAnsi="Bookman Old Style"/>
          <w:i/>
          <w:iCs/>
          <w:sz w:val="28"/>
          <w:szCs w:val="28"/>
          <w:lang w:val="en-US"/>
        </w:rPr>
        <w:t>. Disciplinary proceedings fall within the managerial prerogative of the employer. The proceedings must take place fairly and lawfully. If not, the employee has the right to appeal or take the matter on review, but not to interrupt and frustrate the proceedings.</w:t>
      </w:r>
    </w:p>
    <w:p w14:paraId="1A6314FC" w14:textId="77777777" w:rsidR="00BF364D" w:rsidRDefault="00BF364D" w:rsidP="00D67060">
      <w:pPr>
        <w:spacing w:line="360" w:lineRule="auto"/>
        <w:jc w:val="center"/>
        <w:rPr>
          <w:rFonts w:ascii="Bookman Old Style" w:hAnsi="Bookman Old Style"/>
          <w:b/>
          <w:bCs/>
          <w:sz w:val="28"/>
          <w:szCs w:val="28"/>
          <w:lang w:val="en-US"/>
        </w:rPr>
      </w:pPr>
    </w:p>
    <w:p w14:paraId="391B7754" w14:textId="5A5F7046" w:rsidR="00C43FCC" w:rsidRPr="00120B38" w:rsidRDefault="00C43FCC" w:rsidP="00D67060">
      <w:pPr>
        <w:spacing w:line="360" w:lineRule="auto"/>
        <w:jc w:val="center"/>
        <w:rPr>
          <w:rFonts w:ascii="Bookman Old Style" w:hAnsi="Bookman Old Style"/>
          <w:b/>
          <w:bCs/>
          <w:sz w:val="28"/>
          <w:szCs w:val="28"/>
          <w:lang w:val="en-US"/>
        </w:rPr>
      </w:pPr>
      <w:r w:rsidRPr="00120B38">
        <w:rPr>
          <w:rFonts w:ascii="Bookman Old Style" w:hAnsi="Bookman Old Style"/>
          <w:b/>
          <w:bCs/>
          <w:sz w:val="28"/>
          <w:szCs w:val="28"/>
          <w:lang w:val="en-US"/>
        </w:rPr>
        <w:t>JUDGMENT</w:t>
      </w:r>
    </w:p>
    <w:p w14:paraId="29AFED29" w14:textId="178A72D1" w:rsidR="00C43FCC" w:rsidRPr="00120B38" w:rsidRDefault="00C43FCC" w:rsidP="00120B38">
      <w:pPr>
        <w:spacing w:line="36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J VAN DER WESTHUIZEN AJA</w:t>
      </w:r>
    </w:p>
    <w:p w14:paraId="35637326" w14:textId="6A9A50AD" w:rsidR="00C43FCC" w:rsidRPr="00120B38" w:rsidRDefault="00C43FCC" w:rsidP="00120B38">
      <w:pPr>
        <w:spacing w:line="36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Introduction</w:t>
      </w:r>
    </w:p>
    <w:p w14:paraId="3D15ED77" w14:textId="0857F8B0" w:rsidR="00805CCD" w:rsidRPr="00120B38" w:rsidRDefault="00805CCD"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[1] </w:t>
      </w:r>
      <w:proofErr w:type="spellStart"/>
      <w:r w:rsidR="007D098E" w:rsidRPr="00120B38">
        <w:rPr>
          <w:rFonts w:ascii="Bookman Old Style" w:hAnsi="Bookman Old Style"/>
          <w:sz w:val="28"/>
          <w:szCs w:val="28"/>
          <w:lang w:val="en-US"/>
        </w:rPr>
        <w:t>Ms</w:t>
      </w:r>
      <w:proofErr w:type="spellEnd"/>
      <w:r w:rsidR="007D098E" w:rsidRPr="00120B38">
        <w:rPr>
          <w:rFonts w:ascii="Bookman Old Style" w:hAnsi="Bookman Old Style"/>
          <w:sz w:val="28"/>
          <w:szCs w:val="28"/>
          <w:lang w:val="en-US"/>
        </w:rPr>
        <w:t xml:space="preserve"> </w:t>
      </w:r>
      <w:proofErr w:type="spellStart"/>
      <w:r w:rsidR="007D098E" w:rsidRPr="00120B38">
        <w:rPr>
          <w:rFonts w:ascii="Bookman Old Style" w:hAnsi="Bookman Old Style"/>
          <w:sz w:val="28"/>
          <w:szCs w:val="28"/>
          <w:lang w:val="en-US"/>
        </w:rPr>
        <w:t>Palesa</w:t>
      </w:r>
      <w:proofErr w:type="spellEnd"/>
      <w:r w:rsidR="007D098E" w:rsidRPr="00120B38">
        <w:rPr>
          <w:rFonts w:ascii="Bookman Old Style" w:hAnsi="Bookman Old Style"/>
          <w:sz w:val="28"/>
          <w:szCs w:val="28"/>
          <w:lang w:val="en-US"/>
        </w:rPr>
        <w:t xml:space="preserve"> </w:t>
      </w:r>
      <w:proofErr w:type="spellStart"/>
      <w:r w:rsidR="007D098E" w:rsidRPr="00120B38">
        <w:rPr>
          <w:rFonts w:ascii="Bookman Old Style" w:hAnsi="Bookman Old Style"/>
          <w:sz w:val="28"/>
          <w:szCs w:val="28"/>
          <w:lang w:val="en-US"/>
        </w:rPr>
        <w:t>Khabele</w:t>
      </w:r>
      <w:proofErr w:type="spellEnd"/>
      <w:r w:rsidR="007D098E" w:rsidRPr="00120B38">
        <w:rPr>
          <w:rFonts w:ascii="Bookman Old Style" w:hAnsi="Bookman Old Style"/>
          <w:sz w:val="28"/>
          <w:szCs w:val="28"/>
          <w:lang w:val="en-US"/>
        </w:rPr>
        <w:t xml:space="preserve"> applies to this Court for leave to appeal against a judgment of the </w:t>
      </w:r>
      <w:proofErr w:type="spellStart"/>
      <w:r w:rsidR="007D098E" w:rsidRPr="00120B38">
        <w:rPr>
          <w:rFonts w:ascii="Bookman Old Style" w:hAnsi="Bookman Old Style"/>
          <w:sz w:val="28"/>
          <w:szCs w:val="28"/>
          <w:lang w:val="en-US"/>
        </w:rPr>
        <w:t>Labour</w:t>
      </w:r>
      <w:proofErr w:type="spellEnd"/>
      <w:r w:rsidR="007D098E" w:rsidRPr="00120B38">
        <w:rPr>
          <w:rFonts w:ascii="Bookman Old Style" w:hAnsi="Bookman Old Style"/>
          <w:sz w:val="28"/>
          <w:szCs w:val="28"/>
          <w:lang w:val="en-US"/>
        </w:rPr>
        <w:t xml:space="preserve"> Appeal Court (LA</w:t>
      </w:r>
      <w:r w:rsidR="006E7D5D" w:rsidRPr="00120B38">
        <w:rPr>
          <w:rFonts w:ascii="Bookman Old Style" w:hAnsi="Bookman Old Style"/>
          <w:sz w:val="28"/>
          <w:szCs w:val="28"/>
          <w:lang w:val="en-US"/>
        </w:rPr>
        <w:t>C</w:t>
      </w:r>
      <w:r w:rsidR="007D098E" w:rsidRPr="00120B38">
        <w:rPr>
          <w:rFonts w:ascii="Bookman Old Style" w:hAnsi="Bookman Old Style"/>
          <w:sz w:val="28"/>
          <w:szCs w:val="28"/>
          <w:lang w:val="en-US"/>
        </w:rPr>
        <w:t>)</w:t>
      </w:r>
      <w:r w:rsidR="006E7D5D" w:rsidRPr="00120B38">
        <w:rPr>
          <w:rFonts w:ascii="Bookman Old Style" w:hAnsi="Bookman Old Style"/>
          <w:sz w:val="28"/>
          <w:szCs w:val="28"/>
          <w:lang w:val="en-US"/>
        </w:rPr>
        <w:t xml:space="preserve">, in which a judgment of the </w:t>
      </w:r>
      <w:proofErr w:type="spellStart"/>
      <w:r w:rsidR="006E7D5D" w:rsidRPr="00120B38">
        <w:rPr>
          <w:rFonts w:ascii="Bookman Old Style" w:hAnsi="Bookman Old Style"/>
          <w:sz w:val="28"/>
          <w:szCs w:val="28"/>
          <w:lang w:val="en-US"/>
        </w:rPr>
        <w:t>Labour</w:t>
      </w:r>
      <w:proofErr w:type="spellEnd"/>
      <w:r w:rsidR="006E7D5D" w:rsidRPr="00120B38">
        <w:rPr>
          <w:rFonts w:ascii="Bookman Old Style" w:hAnsi="Bookman Old Style"/>
          <w:sz w:val="28"/>
          <w:szCs w:val="28"/>
          <w:lang w:val="en-US"/>
        </w:rPr>
        <w:t xml:space="preserve"> Court </w:t>
      </w:r>
      <w:r w:rsidR="0077186D" w:rsidRPr="00120B38">
        <w:rPr>
          <w:rFonts w:ascii="Bookman Old Style" w:hAnsi="Bookman Old Style"/>
          <w:sz w:val="28"/>
          <w:szCs w:val="28"/>
          <w:lang w:val="en-US"/>
        </w:rPr>
        <w:t xml:space="preserve">(LC) </w:t>
      </w:r>
      <w:r w:rsidR="006E7D5D" w:rsidRPr="00120B38">
        <w:rPr>
          <w:rFonts w:ascii="Bookman Old Style" w:hAnsi="Bookman Old Style"/>
          <w:sz w:val="28"/>
          <w:szCs w:val="28"/>
          <w:lang w:val="en-US"/>
        </w:rPr>
        <w:t>was upheld. In</w:t>
      </w:r>
      <w:r w:rsidR="007D098E" w:rsidRPr="00120B38">
        <w:rPr>
          <w:rFonts w:ascii="Bookman Old Style" w:hAnsi="Bookman Old Style"/>
          <w:sz w:val="28"/>
          <w:szCs w:val="28"/>
          <w:lang w:val="en-US"/>
        </w:rPr>
        <w:t xml:space="preserve"> this judgment</w:t>
      </w:r>
      <w:r w:rsidR="00DF5F89" w:rsidRPr="00120B38">
        <w:rPr>
          <w:rFonts w:ascii="Bookman Old Style" w:hAnsi="Bookman Old Style"/>
          <w:sz w:val="28"/>
          <w:szCs w:val="28"/>
          <w:lang w:val="en-US"/>
        </w:rPr>
        <w:t>,</w:t>
      </w:r>
      <w:r w:rsidR="007D098E" w:rsidRPr="00120B38">
        <w:rPr>
          <w:rFonts w:ascii="Bookman Old Style" w:hAnsi="Bookman Old Style"/>
          <w:sz w:val="28"/>
          <w:szCs w:val="28"/>
          <w:lang w:val="en-US"/>
        </w:rPr>
        <w:t xml:space="preserve"> she is referred to as the appellant. </w:t>
      </w:r>
    </w:p>
    <w:p w14:paraId="3283FA83" w14:textId="5B80D296" w:rsidR="007D098E" w:rsidRPr="00120B38" w:rsidRDefault="007D098E"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[2] The application is opposed by the third, fourth and fifth respondents, </w:t>
      </w:r>
      <w:proofErr w:type="gramStart"/>
      <w:r w:rsidRPr="00120B38">
        <w:rPr>
          <w:rFonts w:ascii="Bookman Old Style" w:hAnsi="Bookman Old Style"/>
          <w:sz w:val="28"/>
          <w:szCs w:val="28"/>
          <w:lang w:val="en-US"/>
        </w:rPr>
        <w:t>on the basis of</w:t>
      </w:r>
      <w:proofErr w:type="gramEnd"/>
      <w:r w:rsidRPr="00120B38">
        <w:rPr>
          <w:rFonts w:ascii="Bookman Old Style" w:hAnsi="Bookman Old Style"/>
          <w:sz w:val="28"/>
          <w:szCs w:val="28"/>
          <w:lang w:val="en-US"/>
        </w:rPr>
        <w:t xml:space="preserve"> a lack of prospects of success</w:t>
      </w:r>
      <w:r w:rsidR="005969AC" w:rsidRPr="00120B38">
        <w:rPr>
          <w:rFonts w:ascii="Bookman Old Style" w:hAnsi="Bookman Old Style"/>
          <w:sz w:val="28"/>
          <w:szCs w:val="28"/>
          <w:lang w:val="en-US"/>
        </w:rPr>
        <w:t xml:space="preserve"> in the intended appeal. The respondents argue that the appellant is abusing court processes</w:t>
      </w:r>
      <w:r w:rsidR="006E7D5D" w:rsidRPr="00120B38">
        <w:rPr>
          <w:rFonts w:ascii="Bookman Old Style" w:hAnsi="Bookman Old Style"/>
          <w:sz w:val="28"/>
          <w:szCs w:val="28"/>
          <w:lang w:val="en-US"/>
        </w:rPr>
        <w:t>.</w:t>
      </w:r>
    </w:p>
    <w:p w14:paraId="7DF2389F" w14:textId="3A81F48C" w:rsidR="005969AC" w:rsidRPr="00120B38" w:rsidRDefault="005969AC"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[3] In order to decide whether leave to appeal should be granted, the prospects of success </w:t>
      </w:r>
      <w:proofErr w:type="gramStart"/>
      <w:r w:rsidRPr="00120B38">
        <w:rPr>
          <w:rFonts w:ascii="Bookman Old Style" w:hAnsi="Bookman Old Style"/>
          <w:sz w:val="28"/>
          <w:szCs w:val="28"/>
          <w:lang w:val="en-US"/>
        </w:rPr>
        <w:t>have to</w:t>
      </w:r>
      <w:proofErr w:type="gramEnd"/>
      <w:r w:rsidRPr="00120B38">
        <w:rPr>
          <w:rFonts w:ascii="Bookman Old Style" w:hAnsi="Bookman Old Style"/>
          <w:sz w:val="28"/>
          <w:szCs w:val="28"/>
          <w:lang w:val="en-US"/>
        </w:rPr>
        <w:t xml:space="preserve"> be examined by this Court.</w:t>
      </w:r>
    </w:p>
    <w:p w14:paraId="78B84720" w14:textId="43648CF0" w:rsidR="005969AC" w:rsidRPr="00120B38" w:rsidRDefault="005969AC" w:rsidP="00120B38">
      <w:pPr>
        <w:spacing w:line="36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Factual and litigation history</w:t>
      </w:r>
    </w:p>
    <w:p w14:paraId="67C33E5A" w14:textId="0ECD470B" w:rsidR="005969AC" w:rsidRPr="00120B38" w:rsidRDefault="005969AC"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[4] The appellant is employed as a director of the Financial Intelligence Unit (the third respondent) in the government of Lesotho. According to the respondents, she committed certain felonies. </w:t>
      </w:r>
      <w:r w:rsidR="00CB5077" w:rsidRPr="00120B38">
        <w:rPr>
          <w:rFonts w:ascii="Bookman Old Style" w:hAnsi="Bookman Old Style"/>
          <w:sz w:val="28"/>
          <w:szCs w:val="28"/>
          <w:lang w:val="en-US"/>
        </w:rPr>
        <w:t>Therefore,</w:t>
      </w:r>
      <w:r w:rsidRPr="00120B38">
        <w:rPr>
          <w:rFonts w:ascii="Bookman Old Style" w:hAnsi="Bookman Old Style"/>
          <w:sz w:val="28"/>
          <w:szCs w:val="28"/>
          <w:lang w:val="en-US"/>
        </w:rPr>
        <w:t xml:space="preserve"> they instituted disciplinary proceedings against her. They are of the view that although she </w:t>
      </w:r>
      <w:r w:rsidR="00DF5F89" w:rsidRPr="00120B38">
        <w:rPr>
          <w:rFonts w:ascii="Bookman Old Style" w:hAnsi="Bookman Old Style"/>
          <w:sz w:val="28"/>
          <w:szCs w:val="28"/>
          <w:lang w:val="en-US"/>
        </w:rPr>
        <w:t>is entitled</w:t>
      </w:r>
      <w:r w:rsidRPr="00120B38">
        <w:rPr>
          <w:rFonts w:ascii="Bookman Old Style" w:hAnsi="Bookman Old Style"/>
          <w:sz w:val="28"/>
          <w:szCs w:val="28"/>
          <w:lang w:val="en-US"/>
        </w:rPr>
        <w:t xml:space="preserve"> to be </w:t>
      </w:r>
      <w:r w:rsidRPr="00120B38">
        <w:rPr>
          <w:rFonts w:ascii="Bookman Old Style" w:hAnsi="Bookman Old Style"/>
          <w:sz w:val="28"/>
          <w:szCs w:val="28"/>
          <w:lang w:val="en-US"/>
        </w:rPr>
        <w:lastRenderedPageBreak/>
        <w:t>treated fairly, whi</w:t>
      </w:r>
      <w:r w:rsidR="00DF5F89" w:rsidRPr="00120B38">
        <w:rPr>
          <w:rFonts w:ascii="Bookman Old Style" w:hAnsi="Bookman Old Style"/>
          <w:sz w:val="28"/>
          <w:szCs w:val="28"/>
          <w:lang w:val="en-US"/>
        </w:rPr>
        <w:t>ch includes the right to a proper hearing, she does not want to be disciplined and has attempted to frustrate the disciplinary process.</w:t>
      </w:r>
    </w:p>
    <w:p w14:paraId="7EBAE015" w14:textId="6FB5879E" w:rsidR="00DF5F89" w:rsidRPr="00120B38" w:rsidRDefault="00DF5F89"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[5] On 6 October 2020 the appellant was placed on suspension, with full pay and benefits, pending the investigation into her conduct. She unsuccessfully challenged the suspension before the High Court (CIV/APN//397/2020). Nevertheless, she has remained in office for </w:t>
      </w:r>
      <w:r w:rsidR="00155C60" w:rsidRPr="00120B38">
        <w:rPr>
          <w:rFonts w:ascii="Bookman Old Style" w:hAnsi="Bookman Old Style"/>
          <w:sz w:val="28"/>
          <w:szCs w:val="28"/>
          <w:lang w:val="en-US"/>
        </w:rPr>
        <w:t xml:space="preserve">about 17 months since the suspension. </w:t>
      </w:r>
    </w:p>
    <w:p w14:paraId="22209C48" w14:textId="69F85A35" w:rsidR="00155C60" w:rsidRPr="00120B38" w:rsidRDefault="00155C60"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[6] When the disciplinary hearing started on 14 April 2021</w:t>
      </w:r>
      <w:r w:rsidR="00BA5FB0" w:rsidRPr="00120B38">
        <w:rPr>
          <w:rFonts w:ascii="Bookman Old Style" w:hAnsi="Bookman Old Style"/>
          <w:sz w:val="28"/>
          <w:szCs w:val="28"/>
          <w:lang w:val="en-US"/>
        </w:rPr>
        <w:t>, she</w:t>
      </w:r>
      <w:r w:rsidRPr="00120B38">
        <w:rPr>
          <w:rFonts w:ascii="Bookman Old Style" w:hAnsi="Bookman Old Style"/>
          <w:sz w:val="28"/>
          <w:szCs w:val="28"/>
          <w:lang w:val="en-US"/>
        </w:rPr>
        <w:t xml:space="preserve"> raised preliminary objections. </w:t>
      </w:r>
      <w:r w:rsidR="00BA5FB0" w:rsidRPr="00120B38">
        <w:rPr>
          <w:rFonts w:ascii="Bookman Old Style" w:hAnsi="Bookman Old Style"/>
          <w:sz w:val="28"/>
          <w:szCs w:val="28"/>
          <w:lang w:val="en-US"/>
        </w:rPr>
        <w:t>T</w:t>
      </w:r>
      <w:r w:rsidRPr="00120B38">
        <w:rPr>
          <w:rFonts w:ascii="Bookman Old Style" w:hAnsi="Bookman Old Style"/>
          <w:sz w:val="28"/>
          <w:szCs w:val="28"/>
          <w:lang w:val="en-US"/>
        </w:rPr>
        <w:t xml:space="preserve">hese were dismissed by the </w:t>
      </w:r>
      <w:r w:rsidR="00BA5FB0" w:rsidRPr="00120B38">
        <w:rPr>
          <w:rFonts w:ascii="Bookman Old Style" w:hAnsi="Bookman Old Style"/>
          <w:sz w:val="28"/>
          <w:szCs w:val="28"/>
          <w:lang w:val="en-US"/>
        </w:rPr>
        <w:t xml:space="preserve">Disciplinary </w:t>
      </w:r>
      <w:r w:rsidRPr="00120B38">
        <w:rPr>
          <w:rFonts w:ascii="Bookman Old Style" w:hAnsi="Bookman Old Style"/>
          <w:sz w:val="28"/>
          <w:szCs w:val="28"/>
          <w:lang w:val="en-US"/>
        </w:rPr>
        <w:t>Panel</w:t>
      </w:r>
      <w:r w:rsidR="00BA5FB0" w:rsidRPr="00120B38">
        <w:rPr>
          <w:rFonts w:ascii="Bookman Old Style" w:hAnsi="Bookman Old Style"/>
          <w:sz w:val="28"/>
          <w:szCs w:val="28"/>
          <w:lang w:val="en-US"/>
        </w:rPr>
        <w:t xml:space="preserve"> (Panel).</w:t>
      </w:r>
      <w:r w:rsidRPr="00120B38">
        <w:rPr>
          <w:rFonts w:ascii="Bookman Old Style" w:hAnsi="Bookman Old Style"/>
          <w:b/>
          <w:bCs/>
          <w:sz w:val="28"/>
          <w:szCs w:val="28"/>
          <w:lang w:val="en-US"/>
        </w:rPr>
        <w:t xml:space="preserve"> </w:t>
      </w:r>
      <w:r w:rsidRPr="00120B38">
        <w:rPr>
          <w:rFonts w:ascii="Bookman Old Style" w:hAnsi="Bookman Old Style"/>
          <w:sz w:val="28"/>
          <w:szCs w:val="28"/>
          <w:lang w:val="en-US"/>
        </w:rPr>
        <w:t>In its ruling the Panel stated</w:t>
      </w:r>
      <w:r w:rsidRPr="00120B38">
        <w:rPr>
          <w:rFonts w:ascii="Bookman Old Style" w:hAnsi="Bookman Old Style"/>
          <w:b/>
          <w:bCs/>
          <w:sz w:val="28"/>
          <w:szCs w:val="28"/>
          <w:lang w:val="en-US"/>
        </w:rPr>
        <w:t xml:space="preserve"> </w:t>
      </w:r>
      <w:r w:rsidRPr="00120B38">
        <w:rPr>
          <w:rFonts w:ascii="Bookman Old Style" w:hAnsi="Bookman Old Style"/>
          <w:sz w:val="28"/>
          <w:szCs w:val="28"/>
          <w:lang w:val="en-US"/>
        </w:rPr>
        <w:t>that she was not precluded from relying on them in the proceedings.</w:t>
      </w:r>
      <w:r w:rsidR="001230AB" w:rsidRPr="00120B38">
        <w:rPr>
          <w:rFonts w:ascii="Bookman Old Style" w:hAnsi="Bookman Old Style"/>
          <w:sz w:val="28"/>
          <w:szCs w:val="28"/>
          <w:lang w:val="en-US"/>
        </w:rPr>
        <w:t xml:space="preserve"> The matter was postponed to 7 May 2021. </w:t>
      </w:r>
    </w:p>
    <w:p w14:paraId="63EB9958" w14:textId="5D8ABBD6" w:rsidR="00110892" w:rsidRPr="00120B38" w:rsidRDefault="00110892"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[7] On that day the hearing proceeded in the presence of the appellant and her legal representative. Evidence was led. Around 13h00 an adjournment was taken. At the resumption about an hour later the appellant and her lawyer were absent. According to the respondents, attempts to reach them failed, because their phones were switched off.</w:t>
      </w:r>
    </w:p>
    <w:p w14:paraId="2E54ED77" w14:textId="58657E97" w:rsidR="00110892" w:rsidRPr="00120B38" w:rsidRDefault="00110892"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[8] When the hearing was about to proceed, an </w:t>
      </w:r>
      <w:r w:rsidR="00C3606B" w:rsidRPr="00120B38">
        <w:rPr>
          <w:rFonts w:ascii="Bookman Old Style" w:hAnsi="Bookman Old Style"/>
          <w:sz w:val="28"/>
          <w:szCs w:val="28"/>
          <w:lang w:val="en-US"/>
        </w:rPr>
        <w:t xml:space="preserve">interim </w:t>
      </w:r>
      <w:r w:rsidRPr="00120B38">
        <w:rPr>
          <w:rFonts w:ascii="Bookman Old Style" w:hAnsi="Bookman Old Style"/>
          <w:sz w:val="28"/>
          <w:szCs w:val="28"/>
          <w:lang w:val="en-US"/>
        </w:rPr>
        <w:t xml:space="preserve">order of the LC to suspend the hearing was served on the respondents. Allegedly without the knowledge of the respondents and the Panel, the appellant had obtained an order, </w:t>
      </w:r>
      <w:r w:rsidRPr="00120B38">
        <w:rPr>
          <w:rFonts w:ascii="Bookman Old Style" w:hAnsi="Bookman Old Style"/>
          <w:i/>
          <w:iCs/>
          <w:sz w:val="28"/>
          <w:szCs w:val="28"/>
          <w:lang w:val="en-US"/>
        </w:rPr>
        <w:t xml:space="preserve">ex </w:t>
      </w:r>
      <w:proofErr w:type="spellStart"/>
      <w:r w:rsidRPr="00120B38">
        <w:rPr>
          <w:rFonts w:ascii="Bookman Old Style" w:hAnsi="Bookman Old Style"/>
          <w:i/>
          <w:iCs/>
          <w:sz w:val="28"/>
          <w:szCs w:val="28"/>
          <w:lang w:val="en-US"/>
        </w:rPr>
        <w:t>parte</w:t>
      </w:r>
      <w:proofErr w:type="spellEnd"/>
      <w:r w:rsidRPr="00120B38">
        <w:rPr>
          <w:rFonts w:ascii="Bookman Old Style" w:hAnsi="Bookman Old Style"/>
          <w:sz w:val="28"/>
          <w:szCs w:val="28"/>
          <w:lang w:val="en-US"/>
        </w:rPr>
        <w:t>, through another advocate and attorney</w:t>
      </w:r>
      <w:r w:rsidR="00C3606B" w:rsidRPr="00120B38">
        <w:rPr>
          <w:rFonts w:ascii="Bookman Old Style" w:hAnsi="Bookman Old Style"/>
          <w:sz w:val="28"/>
          <w:szCs w:val="28"/>
          <w:lang w:val="en-US"/>
        </w:rPr>
        <w:t xml:space="preserve">, </w:t>
      </w:r>
      <w:r w:rsidR="009E5813" w:rsidRPr="00120B38">
        <w:rPr>
          <w:rFonts w:ascii="Bookman Old Style" w:hAnsi="Bookman Old Style"/>
          <w:sz w:val="28"/>
          <w:szCs w:val="28"/>
          <w:lang w:val="en-US"/>
        </w:rPr>
        <w:t>presumably while the appellant and her legal representative were at the Panel hearing.</w:t>
      </w:r>
    </w:p>
    <w:p w14:paraId="201F0C2E" w14:textId="3AFCFA3F" w:rsidR="00C43FCC" w:rsidRPr="00120B38" w:rsidRDefault="009E5813"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[9] The appellant raised the same issues before the LC that had been raised and dismissed by the Panel. She did not wait to review </w:t>
      </w:r>
      <w:r w:rsidRPr="00120B38">
        <w:rPr>
          <w:rFonts w:ascii="Bookman Old Style" w:hAnsi="Bookman Old Style"/>
          <w:sz w:val="28"/>
          <w:szCs w:val="28"/>
          <w:lang w:val="en-US"/>
        </w:rPr>
        <w:lastRenderedPageBreak/>
        <w:t>the Panel’s proceedings</w:t>
      </w:r>
      <w:r w:rsidR="00C3606B" w:rsidRPr="00120B38">
        <w:rPr>
          <w:rFonts w:ascii="Bookman Old Style" w:hAnsi="Bookman Old Style"/>
          <w:sz w:val="28"/>
          <w:szCs w:val="28"/>
          <w:lang w:val="en-US"/>
        </w:rPr>
        <w:t xml:space="preserve">, or </w:t>
      </w:r>
      <w:r w:rsidRPr="00120B38">
        <w:rPr>
          <w:rFonts w:ascii="Bookman Old Style" w:hAnsi="Bookman Old Style"/>
          <w:sz w:val="28"/>
          <w:szCs w:val="28"/>
          <w:lang w:val="en-US"/>
        </w:rPr>
        <w:t xml:space="preserve">appeal against </w:t>
      </w:r>
      <w:r w:rsidR="00C3606B" w:rsidRPr="00120B38">
        <w:rPr>
          <w:rFonts w:ascii="Bookman Old Style" w:hAnsi="Bookman Old Style"/>
          <w:sz w:val="28"/>
          <w:szCs w:val="28"/>
          <w:lang w:val="en-US"/>
        </w:rPr>
        <w:t xml:space="preserve">its </w:t>
      </w:r>
      <w:r w:rsidRPr="00120B38">
        <w:rPr>
          <w:rFonts w:ascii="Bookman Old Style" w:hAnsi="Bookman Old Style"/>
          <w:sz w:val="28"/>
          <w:szCs w:val="28"/>
          <w:lang w:val="en-US"/>
        </w:rPr>
        <w:t>conclusion</w:t>
      </w:r>
      <w:r w:rsidR="00C3606B" w:rsidRPr="00120B38">
        <w:rPr>
          <w:rFonts w:ascii="Bookman Old Style" w:hAnsi="Bookman Old Style"/>
          <w:sz w:val="28"/>
          <w:szCs w:val="28"/>
          <w:lang w:val="en-US"/>
        </w:rPr>
        <w:t>.</w:t>
      </w:r>
      <w:r w:rsidRPr="00120B38">
        <w:rPr>
          <w:rFonts w:ascii="Bookman Old Style" w:hAnsi="Bookman Old Style"/>
          <w:sz w:val="28"/>
          <w:szCs w:val="28"/>
          <w:lang w:val="en-US"/>
        </w:rPr>
        <w:t xml:space="preserve">  </w:t>
      </w:r>
      <w:r w:rsidR="00C3606B" w:rsidRPr="00120B38">
        <w:rPr>
          <w:rFonts w:ascii="Bookman Old Style" w:hAnsi="Bookman Old Style"/>
          <w:sz w:val="28"/>
          <w:szCs w:val="28"/>
          <w:lang w:val="en-US"/>
        </w:rPr>
        <w:t xml:space="preserve">The core of the LC’s order captured two issues to be resolved at the return date, namely whether the appellant should be provided with material to prepare her </w:t>
      </w:r>
      <w:proofErr w:type="spellStart"/>
      <w:r w:rsidR="00C3606B" w:rsidRPr="00120B38">
        <w:rPr>
          <w:rFonts w:ascii="Bookman Old Style" w:hAnsi="Bookman Old Style"/>
          <w:sz w:val="28"/>
          <w:szCs w:val="28"/>
          <w:lang w:val="en-US"/>
        </w:rPr>
        <w:t>defence</w:t>
      </w:r>
      <w:proofErr w:type="spellEnd"/>
      <w:r w:rsidR="00C3606B" w:rsidRPr="00120B38">
        <w:rPr>
          <w:rFonts w:ascii="Bookman Old Style" w:hAnsi="Bookman Old Style"/>
          <w:sz w:val="28"/>
          <w:szCs w:val="28"/>
          <w:lang w:val="en-US"/>
        </w:rPr>
        <w:t>; and whether the Panel was properly constituted.</w:t>
      </w:r>
    </w:p>
    <w:p w14:paraId="1A4EC6C0" w14:textId="085D5962" w:rsidR="00C3606B" w:rsidRPr="00120B38" w:rsidRDefault="00C3606B"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[10] The respondents objected to the jurisdiction of the LC, because the Panel had exclusive jurisdiction to deal with the issues and had already resolved them.</w:t>
      </w:r>
      <w:r w:rsidR="00170AAB" w:rsidRPr="00120B38">
        <w:rPr>
          <w:rFonts w:ascii="Bookman Old Style" w:hAnsi="Bookman Old Style"/>
          <w:sz w:val="28"/>
          <w:szCs w:val="28"/>
          <w:lang w:val="en-US"/>
        </w:rPr>
        <w:t xml:space="preserve"> In the LC counsel for the appellant </w:t>
      </w:r>
      <w:r w:rsidR="00BA5FB0" w:rsidRPr="00120B38">
        <w:rPr>
          <w:rFonts w:ascii="Bookman Old Style" w:hAnsi="Bookman Old Style"/>
          <w:sz w:val="28"/>
          <w:szCs w:val="28"/>
          <w:lang w:val="en-US"/>
        </w:rPr>
        <w:t xml:space="preserve">also </w:t>
      </w:r>
      <w:r w:rsidR="00170AAB" w:rsidRPr="00120B38">
        <w:rPr>
          <w:rFonts w:ascii="Bookman Old Style" w:hAnsi="Bookman Old Style"/>
          <w:sz w:val="28"/>
          <w:szCs w:val="28"/>
          <w:lang w:val="en-US"/>
        </w:rPr>
        <w:t>orally objected from the Bar that the lawyers for the respondents were not authorized to represent them.</w:t>
      </w:r>
      <w:r w:rsidR="009D57AB" w:rsidRPr="00120B38">
        <w:rPr>
          <w:rFonts w:ascii="Bookman Old Style" w:hAnsi="Bookman Old Style"/>
          <w:sz w:val="28"/>
          <w:szCs w:val="28"/>
          <w:lang w:val="en-US"/>
        </w:rPr>
        <w:t xml:space="preserve"> </w:t>
      </w:r>
    </w:p>
    <w:p w14:paraId="04DC2B97" w14:textId="1E9FEC8F" w:rsidR="00170AAB" w:rsidRPr="00120B38" w:rsidRDefault="00170AAB"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[11] The LC ruled that it indeed had no jurisdiction to deal with the appellant’s objections to the process before the Panel. The Panel had to deal with these and had done so. With reference to </w:t>
      </w:r>
      <w:r w:rsidR="009D57AB" w:rsidRPr="00120B38">
        <w:rPr>
          <w:rFonts w:ascii="Bookman Old Style" w:hAnsi="Bookman Old Style"/>
          <w:sz w:val="28"/>
          <w:szCs w:val="28"/>
          <w:lang w:val="en-US"/>
        </w:rPr>
        <w:t>case</w:t>
      </w:r>
      <w:r w:rsidR="009D57AB" w:rsidRPr="00120B38">
        <w:rPr>
          <w:rFonts w:ascii="Bookman Old Style" w:hAnsi="Bookman Old Style"/>
          <w:i/>
          <w:iCs/>
          <w:sz w:val="28"/>
          <w:szCs w:val="28"/>
          <w:lang w:val="en-US"/>
        </w:rPr>
        <w:t xml:space="preserve"> </w:t>
      </w:r>
      <w:r w:rsidR="009D57AB" w:rsidRPr="00120B38">
        <w:rPr>
          <w:rFonts w:ascii="Bookman Old Style" w:hAnsi="Bookman Old Style"/>
          <w:sz w:val="28"/>
          <w:szCs w:val="28"/>
          <w:lang w:val="en-US"/>
        </w:rPr>
        <w:t>law</w:t>
      </w:r>
      <w:r w:rsidR="009D57AB" w:rsidRPr="00120B38">
        <w:rPr>
          <w:rFonts w:ascii="Bookman Old Style" w:hAnsi="Bookman Old Style"/>
          <w:i/>
          <w:iCs/>
          <w:sz w:val="28"/>
          <w:szCs w:val="28"/>
          <w:lang w:val="en-US"/>
        </w:rPr>
        <w:t xml:space="preserve">, </w:t>
      </w:r>
      <w:r w:rsidR="00CC0EDC" w:rsidRPr="00120B38">
        <w:rPr>
          <w:rFonts w:ascii="Bookman Old Style" w:hAnsi="Bookman Old Style"/>
          <w:sz w:val="28"/>
          <w:szCs w:val="28"/>
          <w:lang w:val="en-US"/>
        </w:rPr>
        <w:t>the</w:t>
      </w:r>
      <w:r w:rsidR="009D57AB" w:rsidRPr="00120B38">
        <w:rPr>
          <w:rFonts w:ascii="Bookman Old Style" w:hAnsi="Bookman Old Style"/>
          <w:sz w:val="28"/>
          <w:szCs w:val="28"/>
          <w:lang w:val="en-US"/>
        </w:rPr>
        <w:t xml:space="preserve"> </w:t>
      </w:r>
      <w:r w:rsidR="00CC0EDC" w:rsidRPr="00120B38">
        <w:rPr>
          <w:rFonts w:ascii="Bookman Old Style" w:hAnsi="Bookman Old Style"/>
          <w:sz w:val="28"/>
          <w:szCs w:val="28"/>
          <w:lang w:val="en-US"/>
        </w:rPr>
        <w:t xml:space="preserve">LC concluded that to discipline </w:t>
      </w:r>
      <w:r w:rsidR="00CB5077" w:rsidRPr="00120B38">
        <w:rPr>
          <w:rFonts w:ascii="Bookman Old Style" w:hAnsi="Bookman Old Style"/>
          <w:sz w:val="28"/>
          <w:szCs w:val="28"/>
          <w:lang w:val="en-US"/>
        </w:rPr>
        <w:t>employees</w:t>
      </w:r>
      <w:r w:rsidR="00CC0EDC" w:rsidRPr="00120B38">
        <w:rPr>
          <w:rFonts w:ascii="Bookman Old Style" w:hAnsi="Bookman Old Style"/>
          <w:sz w:val="28"/>
          <w:szCs w:val="28"/>
          <w:lang w:val="en-US"/>
        </w:rPr>
        <w:t xml:space="preserve"> is a managerial prerogative. Courts may not take over the work of disciplinary panels.</w:t>
      </w:r>
    </w:p>
    <w:p w14:paraId="0008DEF4" w14:textId="17F5FA0F" w:rsidR="00ED3851" w:rsidRPr="00120B38" w:rsidRDefault="00ED3851"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[12] </w:t>
      </w:r>
      <w:proofErr w:type="spellStart"/>
      <w:r w:rsidRPr="00120B38">
        <w:rPr>
          <w:rFonts w:ascii="Bookman Old Style" w:hAnsi="Bookman Old Style"/>
          <w:sz w:val="28"/>
          <w:szCs w:val="28"/>
          <w:lang w:val="en-US"/>
        </w:rPr>
        <w:t>Ms</w:t>
      </w:r>
      <w:proofErr w:type="spellEnd"/>
      <w:r w:rsidRPr="00120B38">
        <w:rPr>
          <w:rFonts w:ascii="Bookman Old Style" w:hAnsi="Bookman Old Style"/>
          <w:sz w:val="28"/>
          <w:szCs w:val="28"/>
          <w:lang w:val="en-US"/>
        </w:rPr>
        <w:t xml:space="preserve"> </w:t>
      </w:r>
      <w:proofErr w:type="spellStart"/>
      <w:r w:rsidRPr="00120B38">
        <w:rPr>
          <w:rFonts w:ascii="Bookman Old Style" w:hAnsi="Bookman Old Style"/>
          <w:sz w:val="28"/>
          <w:szCs w:val="28"/>
          <w:lang w:val="en-US"/>
        </w:rPr>
        <w:t>Khabele</w:t>
      </w:r>
      <w:proofErr w:type="spellEnd"/>
      <w:r w:rsidRPr="00120B38">
        <w:rPr>
          <w:rFonts w:ascii="Bookman Old Style" w:hAnsi="Bookman Old Style"/>
          <w:sz w:val="28"/>
          <w:szCs w:val="28"/>
          <w:lang w:val="en-US"/>
        </w:rPr>
        <w:t xml:space="preserve"> appealed to the </w:t>
      </w:r>
      <w:r w:rsidR="009D57AB" w:rsidRPr="00120B38">
        <w:rPr>
          <w:rFonts w:ascii="Bookman Old Style" w:hAnsi="Bookman Old Style"/>
          <w:sz w:val="28"/>
          <w:szCs w:val="28"/>
          <w:lang w:val="en-US"/>
        </w:rPr>
        <w:t>L</w:t>
      </w:r>
      <w:r w:rsidRPr="00120B38">
        <w:rPr>
          <w:rFonts w:ascii="Bookman Old Style" w:hAnsi="Bookman Old Style"/>
          <w:sz w:val="28"/>
          <w:szCs w:val="28"/>
          <w:lang w:val="en-US"/>
        </w:rPr>
        <w:t>AC</w:t>
      </w:r>
      <w:r w:rsidR="009D57AB" w:rsidRPr="00120B38">
        <w:rPr>
          <w:rFonts w:ascii="Bookman Old Style" w:hAnsi="Bookman Old Style"/>
          <w:sz w:val="28"/>
          <w:szCs w:val="28"/>
          <w:lang w:val="en-US"/>
        </w:rPr>
        <w:t xml:space="preserve"> </w:t>
      </w:r>
      <w:r w:rsidRPr="00120B38">
        <w:rPr>
          <w:rFonts w:ascii="Bookman Old Style" w:hAnsi="Bookman Old Style"/>
          <w:sz w:val="28"/>
          <w:szCs w:val="28"/>
          <w:lang w:val="en-US"/>
        </w:rPr>
        <w:t xml:space="preserve">. The appeal was dismissed. According to the LAC, there is </w:t>
      </w:r>
      <w:r w:rsidR="0022671D" w:rsidRPr="00120B38">
        <w:rPr>
          <w:rFonts w:ascii="Bookman Old Style" w:hAnsi="Bookman Old Style"/>
          <w:sz w:val="28"/>
          <w:szCs w:val="28"/>
          <w:lang w:val="en-US"/>
        </w:rPr>
        <w:t xml:space="preserve">perhaps </w:t>
      </w:r>
      <w:r w:rsidRPr="00120B38">
        <w:rPr>
          <w:rFonts w:ascii="Bookman Old Style" w:hAnsi="Bookman Old Style"/>
          <w:sz w:val="28"/>
          <w:szCs w:val="28"/>
          <w:lang w:val="en-US"/>
        </w:rPr>
        <w:t xml:space="preserve">a distinction between </w:t>
      </w:r>
      <w:r w:rsidR="0022671D" w:rsidRPr="00120B38">
        <w:rPr>
          <w:rFonts w:ascii="Bookman Old Style" w:hAnsi="Bookman Old Style"/>
          <w:sz w:val="28"/>
          <w:szCs w:val="28"/>
          <w:lang w:val="en-US"/>
        </w:rPr>
        <w:t>declining jurisdiction to hear a matter and declining to intervene in the disciplinary process. In the view of the LAC, the LC did the latter.</w:t>
      </w:r>
    </w:p>
    <w:p w14:paraId="675D5F0B" w14:textId="18320E37" w:rsidR="0022671D" w:rsidRPr="00120B38" w:rsidRDefault="0022671D"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[13] The LAC referred </w:t>
      </w:r>
      <w:r w:rsidR="009D57AB" w:rsidRPr="00120B38">
        <w:rPr>
          <w:rFonts w:ascii="Bookman Old Style" w:hAnsi="Bookman Old Style"/>
          <w:sz w:val="28"/>
          <w:szCs w:val="28"/>
          <w:lang w:val="en-US"/>
        </w:rPr>
        <w:t>t</w:t>
      </w:r>
      <w:r w:rsidRPr="00120B38">
        <w:rPr>
          <w:rFonts w:ascii="Bookman Old Style" w:hAnsi="Bookman Old Style"/>
          <w:sz w:val="28"/>
          <w:szCs w:val="28"/>
          <w:lang w:val="en-US"/>
        </w:rPr>
        <w:t xml:space="preserve">o argument presented </w:t>
      </w:r>
      <w:r w:rsidR="009D57AB" w:rsidRPr="00120B38">
        <w:rPr>
          <w:rFonts w:ascii="Bookman Old Style" w:hAnsi="Bookman Old Style"/>
          <w:sz w:val="28"/>
          <w:szCs w:val="28"/>
          <w:lang w:val="en-US"/>
        </w:rPr>
        <w:t xml:space="preserve">to it and to the LC </w:t>
      </w:r>
      <w:r w:rsidRPr="00120B38">
        <w:rPr>
          <w:rFonts w:ascii="Bookman Old Style" w:hAnsi="Bookman Old Style"/>
          <w:sz w:val="28"/>
          <w:szCs w:val="28"/>
          <w:lang w:val="en-US"/>
        </w:rPr>
        <w:t xml:space="preserve">by counsel on “exceptional circumstances” that could warrant interference in disciplinary proceedings by a court, </w:t>
      </w:r>
      <w:proofErr w:type="gramStart"/>
      <w:r w:rsidRPr="00120B38">
        <w:rPr>
          <w:rFonts w:ascii="Bookman Old Style" w:hAnsi="Bookman Old Style"/>
          <w:sz w:val="28"/>
          <w:szCs w:val="28"/>
          <w:lang w:val="en-US"/>
        </w:rPr>
        <w:t>assuming that</w:t>
      </w:r>
      <w:proofErr w:type="gramEnd"/>
      <w:r w:rsidRPr="00120B38">
        <w:rPr>
          <w:rFonts w:ascii="Bookman Old Style" w:hAnsi="Bookman Old Style"/>
          <w:sz w:val="28"/>
          <w:szCs w:val="28"/>
          <w:lang w:val="en-US"/>
        </w:rPr>
        <w:t xml:space="preserve"> it does have jurisdiction to hear an application. </w:t>
      </w:r>
      <w:r w:rsidR="00F916DC" w:rsidRPr="00120B38">
        <w:rPr>
          <w:rFonts w:ascii="Bookman Old Style" w:hAnsi="Bookman Old Style"/>
          <w:sz w:val="28"/>
          <w:szCs w:val="28"/>
          <w:lang w:val="en-US"/>
        </w:rPr>
        <w:t>It concluded that no such circumstances had been shown.</w:t>
      </w:r>
    </w:p>
    <w:p w14:paraId="52A4EF4F" w14:textId="34603649" w:rsidR="00F916DC" w:rsidRPr="00120B38" w:rsidRDefault="00F916DC" w:rsidP="00120B38">
      <w:pPr>
        <w:spacing w:line="36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In this Court</w:t>
      </w:r>
    </w:p>
    <w:p w14:paraId="2489DE5F" w14:textId="7842E930" w:rsidR="00F95628" w:rsidRDefault="00F916DC"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lastRenderedPageBreak/>
        <w:t>[14] The appellant nee</w:t>
      </w:r>
      <w:r w:rsidR="00F95628" w:rsidRPr="00120B38">
        <w:rPr>
          <w:rFonts w:ascii="Bookman Old Style" w:hAnsi="Bookman Old Style"/>
          <w:sz w:val="28"/>
          <w:szCs w:val="28"/>
          <w:lang w:val="en-US"/>
        </w:rPr>
        <w:t xml:space="preserve">ded </w:t>
      </w:r>
      <w:r w:rsidRPr="00120B38">
        <w:rPr>
          <w:rFonts w:ascii="Bookman Old Style" w:hAnsi="Bookman Old Style"/>
          <w:sz w:val="28"/>
          <w:szCs w:val="28"/>
          <w:lang w:val="en-US"/>
        </w:rPr>
        <w:t>the leave o</w:t>
      </w:r>
      <w:r w:rsidR="00F95628" w:rsidRPr="00120B38">
        <w:rPr>
          <w:rFonts w:ascii="Bookman Old Style" w:hAnsi="Bookman Old Style"/>
          <w:sz w:val="28"/>
          <w:szCs w:val="28"/>
          <w:lang w:val="en-US"/>
        </w:rPr>
        <w:t>f</w:t>
      </w:r>
      <w:r w:rsidRPr="00120B38">
        <w:rPr>
          <w:rFonts w:ascii="Bookman Old Style" w:hAnsi="Bookman Old Style"/>
          <w:sz w:val="28"/>
          <w:szCs w:val="28"/>
          <w:lang w:val="en-US"/>
        </w:rPr>
        <w:t xml:space="preserve"> th</w:t>
      </w:r>
      <w:r w:rsidR="00F95628" w:rsidRPr="00120B38">
        <w:rPr>
          <w:rFonts w:ascii="Bookman Old Style" w:hAnsi="Bookman Old Style"/>
          <w:sz w:val="28"/>
          <w:szCs w:val="28"/>
          <w:lang w:val="en-US"/>
        </w:rPr>
        <w:t>e LAC to appeal to this Court. This was refused. Thus, she needs this Court’s leave</w:t>
      </w:r>
      <w:r w:rsidR="009D57AB" w:rsidRPr="00120B38">
        <w:rPr>
          <w:rFonts w:ascii="Bookman Old Style" w:hAnsi="Bookman Old Style"/>
          <w:sz w:val="28"/>
          <w:szCs w:val="28"/>
          <w:lang w:val="en-US"/>
        </w:rPr>
        <w:t xml:space="preserve"> and</w:t>
      </w:r>
      <w:r w:rsidRPr="00120B38">
        <w:rPr>
          <w:rFonts w:ascii="Bookman Old Style" w:hAnsi="Bookman Old Style"/>
          <w:sz w:val="28"/>
          <w:szCs w:val="28"/>
          <w:lang w:val="en-US"/>
        </w:rPr>
        <w:t xml:space="preserve"> applies for it. It is trite law that the prospects of success in the envisaged appeal is an important factor when leave to appeal is considered. (See, for example, </w:t>
      </w:r>
      <w:proofErr w:type="spellStart"/>
      <w:r w:rsidRPr="00120B38">
        <w:rPr>
          <w:rFonts w:ascii="Bookman Old Style" w:hAnsi="Bookman Old Style"/>
          <w:i/>
          <w:iCs/>
          <w:sz w:val="28"/>
          <w:szCs w:val="28"/>
          <w:lang w:val="en-US"/>
        </w:rPr>
        <w:t>Lelimo</w:t>
      </w:r>
      <w:proofErr w:type="spellEnd"/>
      <w:r w:rsidRPr="00120B38">
        <w:rPr>
          <w:rFonts w:ascii="Bookman Old Style" w:hAnsi="Bookman Old Style"/>
          <w:i/>
          <w:iCs/>
          <w:sz w:val="28"/>
          <w:szCs w:val="28"/>
          <w:lang w:val="en-US"/>
        </w:rPr>
        <w:t xml:space="preserve"> v </w:t>
      </w:r>
      <w:proofErr w:type="spellStart"/>
      <w:r w:rsidRPr="00120B38">
        <w:rPr>
          <w:rFonts w:ascii="Bookman Old Style" w:hAnsi="Bookman Old Style"/>
          <w:i/>
          <w:iCs/>
          <w:sz w:val="28"/>
          <w:szCs w:val="28"/>
          <w:lang w:val="en-US"/>
        </w:rPr>
        <w:t>Letsie</w:t>
      </w:r>
      <w:proofErr w:type="spellEnd"/>
      <w:r w:rsidRPr="00120B38">
        <w:rPr>
          <w:rFonts w:ascii="Bookman Old Style" w:hAnsi="Bookman Old Style"/>
          <w:sz w:val="28"/>
          <w:szCs w:val="28"/>
          <w:lang w:val="en-US"/>
        </w:rPr>
        <w:t xml:space="preserve"> C of A (CIV) 9/2013 (7/11/</w:t>
      </w:r>
      <w:r w:rsidR="00F95628" w:rsidRPr="00120B38">
        <w:rPr>
          <w:rFonts w:ascii="Bookman Old Style" w:hAnsi="Bookman Old Style"/>
          <w:sz w:val="28"/>
          <w:szCs w:val="28"/>
          <w:lang w:val="en-US"/>
        </w:rPr>
        <w:t xml:space="preserve">2018); </w:t>
      </w:r>
      <w:r w:rsidR="00F95628" w:rsidRPr="00120B38">
        <w:rPr>
          <w:rFonts w:ascii="Bookman Old Style" w:hAnsi="Bookman Old Style"/>
          <w:i/>
          <w:iCs/>
          <w:sz w:val="28"/>
          <w:szCs w:val="28"/>
          <w:lang w:val="en-US"/>
        </w:rPr>
        <w:t xml:space="preserve">Ngobeni v S </w:t>
      </w:r>
      <w:r w:rsidR="00F95628" w:rsidRPr="00120B38">
        <w:rPr>
          <w:rFonts w:ascii="Bookman Old Style" w:hAnsi="Bookman Old Style"/>
          <w:sz w:val="28"/>
          <w:szCs w:val="28"/>
          <w:lang w:val="en-US"/>
        </w:rPr>
        <w:t xml:space="preserve">(741,13) [2014] ZASCA 59; </w:t>
      </w:r>
      <w:r w:rsidR="00F95628" w:rsidRPr="00120B38">
        <w:rPr>
          <w:rFonts w:ascii="Bookman Old Style" w:hAnsi="Bookman Old Style"/>
          <w:i/>
          <w:iCs/>
          <w:sz w:val="28"/>
          <w:szCs w:val="28"/>
          <w:lang w:val="en-US"/>
        </w:rPr>
        <w:t>R v Ngubane</w:t>
      </w:r>
      <w:r w:rsidR="00F95628" w:rsidRPr="00120B38">
        <w:rPr>
          <w:rFonts w:ascii="Bookman Old Style" w:hAnsi="Bookman Old Style"/>
          <w:sz w:val="28"/>
          <w:szCs w:val="28"/>
          <w:lang w:val="en-US"/>
        </w:rPr>
        <w:t xml:space="preserve"> 1945 AD 185.) </w:t>
      </w:r>
    </w:p>
    <w:p w14:paraId="7E573F4E" w14:textId="424D47DF" w:rsidR="005638DE" w:rsidRPr="00120B38" w:rsidRDefault="00F95628"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[15]</w:t>
      </w:r>
      <w:r w:rsidR="00552F6B" w:rsidRPr="00120B38">
        <w:rPr>
          <w:rFonts w:ascii="Bookman Old Style" w:hAnsi="Bookman Old Style"/>
          <w:sz w:val="28"/>
          <w:szCs w:val="28"/>
          <w:lang w:val="en-US"/>
        </w:rPr>
        <w:t xml:space="preserve"> According to the appellant, the LAC erred in holding that the LC declined jurisdiction to interfere in disciplinary proceedings. Counsel for the respondents argues that she “seems to deliberately misdirect herself”. There is no merit in the appellant’s contention. As clearly and sufficiently set out by both the LC and </w:t>
      </w:r>
      <w:r w:rsidR="005638DE" w:rsidRPr="00120B38">
        <w:rPr>
          <w:rFonts w:ascii="Bookman Old Style" w:hAnsi="Bookman Old Style"/>
          <w:sz w:val="28"/>
          <w:szCs w:val="28"/>
          <w:lang w:val="en-US"/>
        </w:rPr>
        <w:t xml:space="preserve">LAC, a court of law should not interfere in disciplinary proceedings before a panel created to deal with those proceedings. The institution and management of disciplinary proceedings against an employee are the employer’s prerogative. To allow the (perhaps repeated) interruption of proceedings </w:t>
      </w:r>
      <w:r w:rsidR="009D57AB" w:rsidRPr="00120B38">
        <w:rPr>
          <w:rFonts w:ascii="Bookman Old Style" w:hAnsi="Bookman Old Style"/>
          <w:sz w:val="28"/>
          <w:szCs w:val="28"/>
          <w:lang w:val="en-US"/>
        </w:rPr>
        <w:t>through court applications</w:t>
      </w:r>
      <w:r w:rsidR="005638DE" w:rsidRPr="00120B38">
        <w:rPr>
          <w:rFonts w:ascii="Bookman Old Style" w:hAnsi="Bookman Old Style"/>
          <w:sz w:val="28"/>
          <w:szCs w:val="28"/>
          <w:lang w:val="en-US"/>
        </w:rPr>
        <w:t xml:space="preserve">, would result in </w:t>
      </w:r>
      <w:r w:rsidR="009D57AB" w:rsidRPr="00120B38">
        <w:rPr>
          <w:rFonts w:ascii="Bookman Old Style" w:hAnsi="Bookman Old Style"/>
          <w:sz w:val="28"/>
          <w:szCs w:val="28"/>
          <w:lang w:val="en-US"/>
        </w:rPr>
        <w:t>unnecessary</w:t>
      </w:r>
      <w:r w:rsidR="005638DE" w:rsidRPr="00120B38">
        <w:rPr>
          <w:rFonts w:ascii="Bookman Old Style" w:hAnsi="Bookman Old Style"/>
          <w:sz w:val="28"/>
          <w:szCs w:val="28"/>
          <w:lang w:val="en-US"/>
        </w:rPr>
        <w:t xml:space="preserve"> delays </w:t>
      </w:r>
      <w:r w:rsidR="009D57AB" w:rsidRPr="00120B38">
        <w:rPr>
          <w:rFonts w:ascii="Bookman Old Style" w:hAnsi="Bookman Old Style"/>
          <w:sz w:val="28"/>
          <w:szCs w:val="28"/>
          <w:lang w:val="en-US"/>
        </w:rPr>
        <w:t>and the</w:t>
      </w:r>
      <w:r w:rsidR="005638DE" w:rsidRPr="00120B38">
        <w:rPr>
          <w:rFonts w:ascii="Bookman Old Style" w:hAnsi="Bookman Old Style"/>
          <w:sz w:val="28"/>
          <w:szCs w:val="28"/>
          <w:lang w:val="en-US"/>
        </w:rPr>
        <w:t xml:space="preserve"> frustrat</w:t>
      </w:r>
      <w:r w:rsidR="009D57AB" w:rsidRPr="00120B38">
        <w:rPr>
          <w:rFonts w:ascii="Bookman Old Style" w:hAnsi="Bookman Old Style"/>
          <w:sz w:val="28"/>
          <w:szCs w:val="28"/>
          <w:lang w:val="en-US"/>
        </w:rPr>
        <w:t>ion of</w:t>
      </w:r>
      <w:r w:rsidR="005638DE" w:rsidRPr="00120B38">
        <w:rPr>
          <w:rFonts w:ascii="Bookman Old Style" w:hAnsi="Bookman Old Style"/>
          <w:sz w:val="28"/>
          <w:szCs w:val="28"/>
          <w:lang w:val="en-US"/>
        </w:rPr>
        <w:t xml:space="preserve"> justice. This indeed seems to have happened in this case. </w:t>
      </w:r>
    </w:p>
    <w:p w14:paraId="72662273" w14:textId="74E7EA47" w:rsidR="00C43FCC" w:rsidRPr="00120B38" w:rsidRDefault="005638DE"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[16] Of course disciplinary proceedings must be conducted in a substantively and procedurally lawful way. An employee has the right to a fair hearing. Remedies are available </w:t>
      </w:r>
      <w:r w:rsidR="000F5FA4" w:rsidRPr="00120B38">
        <w:rPr>
          <w:rFonts w:ascii="Bookman Old Style" w:hAnsi="Bookman Old Style"/>
          <w:sz w:val="28"/>
          <w:szCs w:val="28"/>
          <w:lang w:val="en-US"/>
        </w:rPr>
        <w:t xml:space="preserve">to aggrieved employees. These include possibilities to appeal within the employer’s system and the right to take decisions on review to an appropriate court or other forum. </w:t>
      </w:r>
      <w:r w:rsidR="00552F6B" w:rsidRPr="00120B38">
        <w:rPr>
          <w:rFonts w:ascii="Bookman Old Style" w:hAnsi="Bookman Old Style"/>
          <w:sz w:val="28"/>
          <w:szCs w:val="28"/>
          <w:lang w:val="en-US"/>
        </w:rPr>
        <w:t xml:space="preserve"> </w:t>
      </w:r>
      <w:r w:rsidR="000F5FA4" w:rsidRPr="00120B38">
        <w:rPr>
          <w:rFonts w:ascii="Bookman Old Style" w:hAnsi="Bookman Old Style"/>
          <w:sz w:val="28"/>
          <w:szCs w:val="28"/>
          <w:lang w:val="en-US"/>
        </w:rPr>
        <w:t xml:space="preserve">It is not uncommon for the chair of a disciplinary hearing to dismiss or put on hold </w:t>
      </w:r>
      <w:r w:rsidR="000F5FA4" w:rsidRPr="00120B38">
        <w:rPr>
          <w:rFonts w:ascii="Bookman Old Style" w:hAnsi="Bookman Old Style"/>
          <w:i/>
          <w:iCs/>
          <w:sz w:val="28"/>
          <w:szCs w:val="28"/>
          <w:lang w:val="en-US"/>
        </w:rPr>
        <w:t xml:space="preserve">in </w:t>
      </w:r>
      <w:proofErr w:type="spellStart"/>
      <w:r w:rsidR="000F5FA4" w:rsidRPr="00120B38">
        <w:rPr>
          <w:rFonts w:ascii="Bookman Old Style" w:hAnsi="Bookman Old Style"/>
          <w:i/>
          <w:iCs/>
          <w:sz w:val="28"/>
          <w:szCs w:val="28"/>
          <w:lang w:val="en-US"/>
        </w:rPr>
        <w:t>limine</w:t>
      </w:r>
      <w:proofErr w:type="spellEnd"/>
      <w:r w:rsidR="000F5FA4" w:rsidRPr="00120B38">
        <w:rPr>
          <w:rFonts w:ascii="Bookman Old Style" w:hAnsi="Bookman Old Style"/>
          <w:sz w:val="28"/>
          <w:szCs w:val="28"/>
          <w:lang w:val="en-US"/>
        </w:rPr>
        <w:t xml:space="preserve"> objections, indicating – as happened in this case – that </w:t>
      </w:r>
      <w:r w:rsidR="000A0DD9" w:rsidRPr="00120B38">
        <w:rPr>
          <w:rFonts w:ascii="Bookman Old Style" w:hAnsi="Bookman Old Style"/>
          <w:sz w:val="28"/>
          <w:szCs w:val="28"/>
          <w:lang w:val="en-US"/>
        </w:rPr>
        <w:t xml:space="preserve">they could </w:t>
      </w:r>
      <w:r w:rsidR="000A0DD9" w:rsidRPr="00120B38">
        <w:rPr>
          <w:rFonts w:ascii="Bookman Old Style" w:hAnsi="Bookman Old Style"/>
          <w:sz w:val="28"/>
          <w:szCs w:val="28"/>
          <w:lang w:val="en-US"/>
        </w:rPr>
        <w:lastRenderedPageBreak/>
        <w:t xml:space="preserve">be raised at a later stage. </w:t>
      </w:r>
      <w:r w:rsidR="00645976" w:rsidRPr="00120B38">
        <w:rPr>
          <w:rFonts w:ascii="Bookman Old Style" w:hAnsi="Bookman Old Style"/>
          <w:sz w:val="28"/>
          <w:szCs w:val="28"/>
          <w:lang w:val="en-US"/>
        </w:rPr>
        <w:t>Sometimes</w:t>
      </w:r>
      <w:r w:rsidR="000A0DD9" w:rsidRPr="00120B38">
        <w:rPr>
          <w:rFonts w:ascii="Bookman Old Style" w:hAnsi="Bookman Old Style"/>
          <w:sz w:val="28"/>
          <w:szCs w:val="28"/>
          <w:lang w:val="en-US"/>
        </w:rPr>
        <w:t xml:space="preserve"> initial concerns play no significant role in the further proceedings. What seems to be a serious objection</w:t>
      </w:r>
      <w:r w:rsidR="00645976" w:rsidRPr="00120B38">
        <w:rPr>
          <w:rFonts w:ascii="Bookman Old Style" w:hAnsi="Bookman Old Style"/>
          <w:sz w:val="28"/>
          <w:szCs w:val="28"/>
          <w:lang w:val="en-US"/>
        </w:rPr>
        <w:t>,</w:t>
      </w:r>
      <w:r w:rsidR="000A0DD9" w:rsidRPr="00120B38">
        <w:rPr>
          <w:rFonts w:ascii="Bookman Old Style" w:hAnsi="Bookman Old Style"/>
          <w:sz w:val="28"/>
          <w:szCs w:val="28"/>
          <w:lang w:val="en-US"/>
        </w:rPr>
        <w:t xml:space="preserve"> may during the proceedings pale into irrelevance. It is even possible that the </w:t>
      </w:r>
      <w:proofErr w:type="gramStart"/>
      <w:r w:rsidR="000A0DD9" w:rsidRPr="00120B38">
        <w:rPr>
          <w:rFonts w:ascii="Bookman Old Style" w:hAnsi="Bookman Old Style"/>
          <w:sz w:val="28"/>
          <w:szCs w:val="28"/>
          <w:lang w:val="en-US"/>
        </w:rPr>
        <w:t>final outcome</w:t>
      </w:r>
      <w:proofErr w:type="gramEnd"/>
      <w:r w:rsidR="000A0DD9" w:rsidRPr="00120B38">
        <w:rPr>
          <w:rFonts w:ascii="Bookman Old Style" w:hAnsi="Bookman Old Style"/>
          <w:sz w:val="28"/>
          <w:szCs w:val="28"/>
          <w:lang w:val="en-US"/>
        </w:rPr>
        <w:t xml:space="preserve"> of the proceedings may </w:t>
      </w:r>
      <w:proofErr w:type="spellStart"/>
      <w:r w:rsidR="000A0DD9" w:rsidRPr="00120B38">
        <w:rPr>
          <w:rFonts w:ascii="Bookman Old Style" w:hAnsi="Bookman Old Style"/>
          <w:sz w:val="28"/>
          <w:szCs w:val="28"/>
          <w:lang w:val="en-US"/>
        </w:rPr>
        <w:t>favour</w:t>
      </w:r>
      <w:proofErr w:type="spellEnd"/>
      <w:r w:rsidR="000A0DD9" w:rsidRPr="00120B38">
        <w:rPr>
          <w:rFonts w:ascii="Bookman Old Style" w:hAnsi="Bookman Old Style"/>
          <w:sz w:val="28"/>
          <w:szCs w:val="28"/>
          <w:lang w:val="en-US"/>
        </w:rPr>
        <w:t xml:space="preserve"> the person who is charged</w:t>
      </w:r>
      <w:r w:rsidR="00645976" w:rsidRPr="00120B38">
        <w:rPr>
          <w:rFonts w:ascii="Bookman Old Style" w:hAnsi="Bookman Old Style"/>
          <w:sz w:val="28"/>
          <w:szCs w:val="28"/>
          <w:lang w:val="en-US"/>
        </w:rPr>
        <w:t xml:space="preserve"> and who earlier objected</w:t>
      </w:r>
      <w:r w:rsidR="000A0DD9" w:rsidRPr="00120B38">
        <w:rPr>
          <w:rFonts w:ascii="Bookman Old Style" w:hAnsi="Bookman Old Style"/>
          <w:sz w:val="28"/>
          <w:szCs w:val="28"/>
          <w:lang w:val="en-US"/>
        </w:rPr>
        <w:t xml:space="preserve">. A holistic view of the process is often better than a piecemeal process. </w:t>
      </w:r>
    </w:p>
    <w:p w14:paraId="6CDA7A58" w14:textId="024EC20F" w:rsidR="000A0DD9" w:rsidRPr="00120B38" w:rsidRDefault="000A0DD9"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[17] In this case the appellant’s concerns were indeed addressed</w:t>
      </w:r>
      <w:r w:rsidR="00645976" w:rsidRPr="00120B38">
        <w:rPr>
          <w:rFonts w:ascii="Bookman Old Style" w:hAnsi="Bookman Old Style"/>
          <w:sz w:val="28"/>
          <w:szCs w:val="28"/>
          <w:lang w:val="en-US"/>
        </w:rPr>
        <w:t xml:space="preserve"> by the Panel</w:t>
      </w:r>
      <w:r w:rsidRPr="00120B38">
        <w:rPr>
          <w:rFonts w:ascii="Bookman Old Style" w:hAnsi="Bookman Old Style"/>
          <w:sz w:val="28"/>
          <w:szCs w:val="28"/>
          <w:lang w:val="en-US"/>
        </w:rPr>
        <w:t xml:space="preserve">. Although her objections were dismissed at the </w:t>
      </w:r>
      <w:r w:rsidRPr="00120B38">
        <w:rPr>
          <w:rFonts w:ascii="Bookman Old Style" w:hAnsi="Bookman Old Style"/>
          <w:i/>
          <w:iCs/>
          <w:sz w:val="28"/>
          <w:szCs w:val="28"/>
          <w:lang w:val="en-US"/>
        </w:rPr>
        <w:t xml:space="preserve">in </w:t>
      </w:r>
      <w:proofErr w:type="spellStart"/>
      <w:r w:rsidRPr="00120B38">
        <w:rPr>
          <w:rFonts w:ascii="Bookman Old Style" w:hAnsi="Bookman Old Style"/>
          <w:i/>
          <w:iCs/>
          <w:sz w:val="28"/>
          <w:szCs w:val="28"/>
          <w:lang w:val="en-US"/>
        </w:rPr>
        <w:t>limine</w:t>
      </w:r>
      <w:proofErr w:type="spellEnd"/>
      <w:r w:rsidRPr="00120B38">
        <w:rPr>
          <w:rFonts w:ascii="Bookman Old Style" w:hAnsi="Bookman Old Style"/>
          <w:sz w:val="28"/>
          <w:szCs w:val="28"/>
          <w:lang w:val="en-US"/>
        </w:rPr>
        <w:t xml:space="preserve"> stage, the appellant was informed that </w:t>
      </w:r>
      <w:r w:rsidR="00AD0A8D" w:rsidRPr="00120B38">
        <w:rPr>
          <w:rFonts w:ascii="Bookman Old Style" w:hAnsi="Bookman Old Style"/>
          <w:sz w:val="28"/>
          <w:szCs w:val="28"/>
          <w:lang w:val="en-US"/>
        </w:rPr>
        <w:t>they were not dead and could be raised later. In any event, should she have been dismissed in a way that she regarded as unfair or irregular, she would have been entitled to approach a court.</w:t>
      </w:r>
    </w:p>
    <w:p w14:paraId="0D44AA23" w14:textId="6FBDA9BE" w:rsidR="00AD0A8D" w:rsidRPr="00120B38" w:rsidRDefault="00AD0A8D"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[18] The appellant submits that even though the LC declined jurisdiction, it </w:t>
      </w:r>
      <w:r w:rsidR="00E520F3" w:rsidRPr="00120B38">
        <w:rPr>
          <w:rFonts w:ascii="Bookman Old Style" w:hAnsi="Bookman Old Style"/>
          <w:sz w:val="28"/>
          <w:szCs w:val="28"/>
          <w:lang w:val="en-US"/>
        </w:rPr>
        <w:t xml:space="preserve">considered </w:t>
      </w:r>
      <w:r w:rsidRPr="00120B38">
        <w:rPr>
          <w:rFonts w:ascii="Bookman Old Style" w:hAnsi="Bookman Old Style"/>
          <w:sz w:val="28"/>
          <w:szCs w:val="28"/>
          <w:lang w:val="en-US"/>
        </w:rPr>
        <w:t xml:space="preserve">the </w:t>
      </w:r>
      <w:r w:rsidR="00645976" w:rsidRPr="00120B38">
        <w:rPr>
          <w:rFonts w:ascii="Bookman Old Style" w:hAnsi="Bookman Old Style"/>
          <w:sz w:val="28"/>
          <w:szCs w:val="28"/>
          <w:lang w:val="en-US"/>
        </w:rPr>
        <w:t xml:space="preserve">questioning of the </w:t>
      </w:r>
      <w:r w:rsidRPr="00120B38">
        <w:rPr>
          <w:rFonts w:ascii="Bookman Old Style" w:hAnsi="Bookman Old Style"/>
          <w:sz w:val="28"/>
          <w:szCs w:val="28"/>
          <w:lang w:val="en-US"/>
        </w:rPr>
        <w:t>authority of the lawyers who purported to represent the respondents. Without</w:t>
      </w:r>
      <w:r w:rsidR="00E520F3" w:rsidRPr="00120B38">
        <w:rPr>
          <w:rFonts w:ascii="Bookman Old Style" w:hAnsi="Bookman Old Style"/>
          <w:sz w:val="28"/>
          <w:szCs w:val="28"/>
          <w:lang w:val="en-US"/>
        </w:rPr>
        <w:t xml:space="preserve"> some certainty about who was before the court and in what capacity, very little could be done though. </w:t>
      </w:r>
      <w:r w:rsidR="00645976" w:rsidRPr="00120B38">
        <w:rPr>
          <w:rFonts w:ascii="Bookman Old Style" w:hAnsi="Bookman Old Style"/>
          <w:sz w:val="28"/>
          <w:szCs w:val="28"/>
          <w:lang w:val="en-US"/>
        </w:rPr>
        <w:t xml:space="preserve">The court had to do so. </w:t>
      </w:r>
      <w:r w:rsidR="00E520F3" w:rsidRPr="00120B38">
        <w:rPr>
          <w:rFonts w:ascii="Bookman Old Style" w:hAnsi="Bookman Old Style"/>
          <w:sz w:val="28"/>
          <w:szCs w:val="28"/>
          <w:lang w:val="en-US"/>
        </w:rPr>
        <w:t>This point seems overly formalistic and perhaps opportunistic.</w:t>
      </w:r>
    </w:p>
    <w:p w14:paraId="5B262825" w14:textId="06D8E18B" w:rsidR="0010363F" w:rsidRPr="00120B38" w:rsidRDefault="00E520F3"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[19] </w:t>
      </w:r>
      <w:r w:rsidR="00BA18FE" w:rsidRPr="00120B38">
        <w:rPr>
          <w:rFonts w:ascii="Bookman Old Style" w:hAnsi="Bookman Old Style"/>
          <w:sz w:val="28"/>
          <w:szCs w:val="28"/>
          <w:lang w:val="en-US"/>
        </w:rPr>
        <w:t>T</w:t>
      </w:r>
      <w:r w:rsidRPr="00120B38">
        <w:rPr>
          <w:rFonts w:ascii="Bookman Old Style" w:hAnsi="Bookman Old Style"/>
          <w:sz w:val="28"/>
          <w:szCs w:val="28"/>
          <w:lang w:val="en-US"/>
        </w:rPr>
        <w:t>he appellant raises the fact that the LC interrogated the issue of “exceptional circumstances”, even though it was of the view that it had no jurisdiction.</w:t>
      </w:r>
      <w:r w:rsidR="00E8720A" w:rsidRPr="00120B38">
        <w:rPr>
          <w:rFonts w:ascii="Bookman Old Style" w:hAnsi="Bookman Old Style"/>
          <w:sz w:val="28"/>
          <w:szCs w:val="28"/>
          <w:lang w:val="en-US"/>
        </w:rPr>
        <w:t xml:space="preserve"> Logically, it is of course correct that if a court has no jurisdiction to hear a matter, it could not consider and adjudicate on any issue </w:t>
      </w:r>
      <w:r w:rsidR="00645976" w:rsidRPr="00120B38">
        <w:rPr>
          <w:rFonts w:ascii="Bookman Old Style" w:hAnsi="Bookman Old Style"/>
          <w:sz w:val="28"/>
          <w:szCs w:val="28"/>
          <w:lang w:val="en-US"/>
        </w:rPr>
        <w:t>formi</w:t>
      </w:r>
      <w:r w:rsidR="001A7349" w:rsidRPr="00120B38">
        <w:rPr>
          <w:rFonts w:ascii="Bookman Old Style" w:hAnsi="Bookman Old Style"/>
          <w:sz w:val="28"/>
          <w:szCs w:val="28"/>
          <w:lang w:val="en-US"/>
        </w:rPr>
        <w:t>n</w:t>
      </w:r>
      <w:r w:rsidR="00645976" w:rsidRPr="00120B38">
        <w:rPr>
          <w:rFonts w:ascii="Bookman Old Style" w:hAnsi="Bookman Old Style"/>
          <w:sz w:val="28"/>
          <w:szCs w:val="28"/>
          <w:lang w:val="en-US"/>
        </w:rPr>
        <w:t>g part of</w:t>
      </w:r>
      <w:r w:rsidR="00E8720A" w:rsidRPr="00120B38">
        <w:rPr>
          <w:rFonts w:ascii="Bookman Old Style" w:hAnsi="Bookman Old Style"/>
          <w:sz w:val="28"/>
          <w:szCs w:val="28"/>
          <w:lang w:val="en-US"/>
        </w:rPr>
        <w:t xml:space="preserve"> that matter. </w:t>
      </w:r>
    </w:p>
    <w:p w14:paraId="327D14F0" w14:textId="51998955" w:rsidR="00E520F3" w:rsidRPr="00120B38" w:rsidRDefault="0010363F"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[20] T</w:t>
      </w:r>
      <w:r w:rsidR="00E8720A" w:rsidRPr="00120B38">
        <w:rPr>
          <w:rFonts w:ascii="Bookman Old Style" w:hAnsi="Bookman Old Style"/>
          <w:sz w:val="28"/>
          <w:szCs w:val="28"/>
          <w:lang w:val="en-US"/>
        </w:rPr>
        <w:t>he LC stated</w:t>
      </w:r>
      <w:r w:rsidRPr="00120B38">
        <w:rPr>
          <w:rFonts w:ascii="Bookman Old Style" w:hAnsi="Bookman Old Style"/>
          <w:sz w:val="28"/>
          <w:szCs w:val="28"/>
          <w:lang w:val="en-US"/>
        </w:rPr>
        <w:t xml:space="preserve"> though</w:t>
      </w:r>
      <w:r w:rsidR="00E8720A" w:rsidRPr="00120B38">
        <w:rPr>
          <w:rFonts w:ascii="Bookman Old Style" w:hAnsi="Bookman Old Style"/>
          <w:sz w:val="28"/>
          <w:szCs w:val="28"/>
          <w:lang w:val="en-US"/>
        </w:rPr>
        <w:t xml:space="preserve"> that counsel </w:t>
      </w:r>
      <w:r w:rsidR="00476187" w:rsidRPr="00120B38">
        <w:rPr>
          <w:rFonts w:ascii="Bookman Old Style" w:hAnsi="Bookman Old Style"/>
          <w:sz w:val="28"/>
          <w:szCs w:val="28"/>
          <w:lang w:val="en-US"/>
        </w:rPr>
        <w:t xml:space="preserve">for the appellant (the applicant before that court) submitted “that in this case there are special or exceptional circumstances which render this Court to </w:t>
      </w:r>
      <w:r w:rsidR="00476187" w:rsidRPr="00120B38">
        <w:rPr>
          <w:rFonts w:ascii="Bookman Old Style" w:hAnsi="Bookman Old Style"/>
          <w:sz w:val="28"/>
          <w:szCs w:val="28"/>
          <w:lang w:val="en-US"/>
        </w:rPr>
        <w:lastRenderedPageBreak/>
        <w:t xml:space="preserve">intervene …”. </w:t>
      </w:r>
      <w:r w:rsidRPr="00120B38">
        <w:rPr>
          <w:rFonts w:ascii="Bookman Old Style" w:hAnsi="Bookman Old Style"/>
          <w:sz w:val="28"/>
          <w:szCs w:val="28"/>
          <w:lang w:val="en-US"/>
        </w:rPr>
        <w:t xml:space="preserve">According to the LAC, “Appellant’s counsel placed … emphasis on a principle that where ‘exceptional circumstances’ exist”, a court ‘has powers to intervene”. The LAC stated that the appellant’s counsel had furnished </w:t>
      </w:r>
      <w:proofErr w:type="gramStart"/>
      <w:r w:rsidRPr="00120B38">
        <w:rPr>
          <w:rFonts w:ascii="Bookman Old Style" w:hAnsi="Bookman Old Style"/>
          <w:sz w:val="28"/>
          <w:szCs w:val="28"/>
          <w:lang w:val="en-US"/>
        </w:rPr>
        <w:t>a number of</w:t>
      </w:r>
      <w:proofErr w:type="gramEnd"/>
      <w:r w:rsidRPr="00120B38">
        <w:rPr>
          <w:rFonts w:ascii="Bookman Old Style" w:hAnsi="Bookman Old Style"/>
          <w:sz w:val="28"/>
          <w:szCs w:val="28"/>
          <w:lang w:val="en-US"/>
        </w:rPr>
        <w:t xml:space="preserve"> authorities in support of his argument. What exactly was the LC supposed to do?  </w:t>
      </w:r>
      <w:r w:rsidR="00476187" w:rsidRPr="00120B38">
        <w:rPr>
          <w:rFonts w:ascii="Bookman Old Style" w:hAnsi="Bookman Old Style"/>
          <w:sz w:val="28"/>
          <w:szCs w:val="28"/>
          <w:lang w:val="en-US"/>
        </w:rPr>
        <w:t>Surely,</w:t>
      </w:r>
      <w:r w:rsidRPr="00120B38">
        <w:rPr>
          <w:rFonts w:ascii="Bookman Old Style" w:hAnsi="Bookman Old Style"/>
          <w:sz w:val="28"/>
          <w:szCs w:val="28"/>
          <w:lang w:val="en-US"/>
        </w:rPr>
        <w:t xml:space="preserve"> it</w:t>
      </w:r>
      <w:r w:rsidR="00476187" w:rsidRPr="00120B38">
        <w:rPr>
          <w:rFonts w:ascii="Bookman Old Style" w:hAnsi="Bookman Old Style"/>
          <w:sz w:val="28"/>
          <w:szCs w:val="28"/>
          <w:lang w:val="en-US"/>
        </w:rPr>
        <w:t xml:space="preserve"> had to consider duly all the arguments presented to it. The court dealt with the special circumstances point in order to give the appellant every opportunity to make out a case for the relief she sought</w:t>
      </w:r>
      <w:r w:rsidR="00645976" w:rsidRPr="00120B38">
        <w:rPr>
          <w:rFonts w:ascii="Bookman Old Style" w:hAnsi="Bookman Old Style"/>
          <w:sz w:val="28"/>
          <w:szCs w:val="28"/>
          <w:lang w:val="en-US"/>
        </w:rPr>
        <w:t>, starting with the court’s power to consider the matter at all</w:t>
      </w:r>
      <w:r w:rsidR="00476187" w:rsidRPr="00120B38">
        <w:rPr>
          <w:rFonts w:ascii="Bookman Old Style" w:hAnsi="Bookman Old Style"/>
          <w:sz w:val="28"/>
          <w:szCs w:val="28"/>
          <w:lang w:val="en-US"/>
        </w:rPr>
        <w:t>!</w:t>
      </w:r>
    </w:p>
    <w:p w14:paraId="7039E414" w14:textId="3943B067" w:rsidR="00476187" w:rsidRPr="00120B38" w:rsidRDefault="00476187"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[20] </w:t>
      </w:r>
      <w:r w:rsidR="00645976" w:rsidRPr="00120B38">
        <w:rPr>
          <w:rFonts w:ascii="Bookman Old Style" w:hAnsi="Bookman Old Style"/>
          <w:sz w:val="28"/>
          <w:szCs w:val="28"/>
          <w:lang w:val="en-US"/>
        </w:rPr>
        <w:t>To some extent, the above</w:t>
      </w:r>
      <w:r w:rsidR="004C6463" w:rsidRPr="00120B38">
        <w:rPr>
          <w:rFonts w:ascii="Bookman Old Style" w:hAnsi="Bookman Old Style"/>
          <w:sz w:val="28"/>
          <w:szCs w:val="28"/>
          <w:lang w:val="en-US"/>
        </w:rPr>
        <w:t xml:space="preserve"> amounts to circular reasoning</w:t>
      </w:r>
      <w:r w:rsidR="00645976" w:rsidRPr="00120B38">
        <w:rPr>
          <w:rFonts w:ascii="Bookman Old Style" w:hAnsi="Bookman Old Style"/>
          <w:sz w:val="28"/>
          <w:szCs w:val="28"/>
          <w:lang w:val="en-US"/>
        </w:rPr>
        <w:t xml:space="preserve">, </w:t>
      </w:r>
      <w:r w:rsidR="004C6463" w:rsidRPr="00120B38">
        <w:rPr>
          <w:rFonts w:ascii="Bookman Old Style" w:hAnsi="Bookman Old Style"/>
          <w:sz w:val="28"/>
          <w:szCs w:val="28"/>
          <w:lang w:val="en-US"/>
        </w:rPr>
        <w:t>like the age-old question: who was first</w:t>
      </w:r>
      <w:r w:rsidR="00464B9D" w:rsidRPr="00120B38">
        <w:rPr>
          <w:rFonts w:ascii="Bookman Old Style" w:hAnsi="Bookman Old Style"/>
          <w:sz w:val="28"/>
          <w:szCs w:val="28"/>
          <w:lang w:val="en-US"/>
        </w:rPr>
        <w:t>,</w:t>
      </w:r>
      <w:r w:rsidR="004C6463" w:rsidRPr="00120B38">
        <w:rPr>
          <w:rFonts w:ascii="Bookman Old Style" w:hAnsi="Bookman Old Style"/>
          <w:sz w:val="28"/>
          <w:szCs w:val="28"/>
          <w:lang w:val="en-US"/>
        </w:rPr>
        <w:t xml:space="preserve"> the chicken or the egg? Did the LC have to consider the issue of exceptional circumstances in order to de</w:t>
      </w:r>
      <w:r w:rsidR="0010363F" w:rsidRPr="00120B38">
        <w:rPr>
          <w:rFonts w:ascii="Bookman Old Style" w:hAnsi="Bookman Old Style"/>
          <w:sz w:val="28"/>
          <w:szCs w:val="28"/>
          <w:lang w:val="en-US"/>
        </w:rPr>
        <w:t>termine</w:t>
      </w:r>
      <w:r w:rsidR="00464B9D" w:rsidRPr="00120B38">
        <w:rPr>
          <w:rFonts w:ascii="Bookman Old Style" w:hAnsi="Bookman Old Style"/>
          <w:sz w:val="28"/>
          <w:szCs w:val="28"/>
          <w:lang w:val="en-US"/>
        </w:rPr>
        <w:t xml:space="preserve"> </w:t>
      </w:r>
      <w:r w:rsidR="004C6463" w:rsidRPr="00120B38">
        <w:rPr>
          <w:rFonts w:ascii="Bookman Old Style" w:hAnsi="Bookman Old Style"/>
          <w:sz w:val="28"/>
          <w:szCs w:val="28"/>
          <w:lang w:val="en-US"/>
        </w:rPr>
        <w:t>jurisdiction,</w:t>
      </w:r>
      <w:r w:rsidR="00464B9D" w:rsidRPr="00120B38">
        <w:rPr>
          <w:rFonts w:ascii="Bookman Old Style" w:hAnsi="Bookman Old Style"/>
          <w:sz w:val="28"/>
          <w:szCs w:val="28"/>
          <w:lang w:val="en-US"/>
        </w:rPr>
        <w:t xml:space="preserve"> </w:t>
      </w:r>
      <w:r w:rsidR="004C6463" w:rsidRPr="00120B38">
        <w:rPr>
          <w:rFonts w:ascii="Bookman Old Style" w:hAnsi="Bookman Old Style"/>
          <w:sz w:val="28"/>
          <w:szCs w:val="28"/>
          <w:lang w:val="en-US"/>
        </w:rPr>
        <w:t>or decide on jurisdiction first in order to consider whether exceptional circumstances existed?</w:t>
      </w:r>
      <w:r w:rsidR="0010363F" w:rsidRPr="00120B38">
        <w:rPr>
          <w:rFonts w:ascii="Bookman Old Style" w:hAnsi="Bookman Old Style"/>
          <w:sz w:val="28"/>
          <w:szCs w:val="28"/>
          <w:lang w:val="en-US"/>
        </w:rPr>
        <w:t xml:space="preserve"> </w:t>
      </w:r>
      <w:r w:rsidR="00645976" w:rsidRPr="00120B38">
        <w:rPr>
          <w:rFonts w:ascii="Bookman Old Style" w:hAnsi="Bookman Old Style"/>
          <w:sz w:val="28"/>
          <w:szCs w:val="28"/>
          <w:lang w:val="en-US"/>
        </w:rPr>
        <w:t>As mentioned above (in [12]), t</w:t>
      </w:r>
      <w:r w:rsidR="004C6463" w:rsidRPr="00120B38">
        <w:rPr>
          <w:rFonts w:ascii="Bookman Old Style" w:hAnsi="Bookman Old Style"/>
          <w:sz w:val="28"/>
          <w:szCs w:val="28"/>
          <w:lang w:val="en-US"/>
        </w:rPr>
        <w:t xml:space="preserve">he LAC attempted to clarify </w:t>
      </w:r>
      <w:r w:rsidR="0010363F" w:rsidRPr="00120B38">
        <w:rPr>
          <w:rFonts w:ascii="Bookman Old Style" w:hAnsi="Bookman Old Style"/>
          <w:sz w:val="28"/>
          <w:szCs w:val="28"/>
          <w:lang w:val="en-US"/>
        </w:rPr>
        <w:t xml:space="preserve">some </w:t>
      </w:r>
      <w:r w:rsidR="004C6463" w:rsidRPr="00120B38">
        <w:rPr>
          <w:rFonts w:ascii="Bookman Old Style" w:hAnsi="Bookman Old Style"/>
          <w:sz w:val="28"/>
          <w:szCs w:val="28"/>
          <w:lang w:val="en-US"/>
        </w:rPr>
        <w:t>apparent confusion or contradiction by referring to the above-mentioned possible difference between declining jurisdiction and declining to intervene in disciplinary proceedings. It explained that the LC did the latter.</w:t>
      </w:r>
    </w:p>
    <w:p w14:paraId="1159BB93" w14:textId="49513B15" w:rsidR="00464B9D" w:rsidRPr="00120B38" w:rsidRDefault="00464B9D"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[21] For</w:t>
      </w:r>
      <w:r w:rsidR="002E4FA6" w:rsidRPr="00120B38">
        <w:rPr>
          <w:rFonts w:ascii="Bookman Old Style" w:hAnsi="Bookman Old Style"/>
          <w:sz w:val="28"/>
          <w:szCs w:val="28"/>
          <w:lang w:val="en-US"/>
        </w:rPr>
        <w:t xml:space="preserve"> </w:t>
      </w:r>
      <w:r w:rsidRPr="00120B38">
        <w:rPr>
          <w:rFonts w:ascii="Bookman Old Style" w:hAnsi="Bookman Old Style"/>
          <w:sz w:val="28"/>
          <w:szCs w:val="28"/>
          <w:lang w:val="en-US"/>
        </w:rPr>
        <w:t xml:space="preserve">this application </w:t>
      </w:r>
      <w:r w:rsidR="002E4FA6" w:rsidRPr="00120B38">
        <w:rPr>
          <w:rFonts w:ascii="Bookman Old Style" w:hAnsi="Bookman Old Style"/>
          <w:sz w:val="28"/>
          <w:szCs w:val="28"/>
          <w:lang w:val="en-US"/>
        </w:rPr>
        <w:t>for</w:t>
      </w:r>
      <w:r w:rsidRPr="00120B38">
        <w:rPr>
          <w:rFonts w:ascii="Bookman Old Style" w:hAnsi="Bookman Old Style"/>
          <w:sz w:val="28"/>
          <w:szCs w:val="28"/>
          <w:lang w:val="en-US"/>
        </w:rPr>
        <w:t xml:space="preserve"> leave to appeal, it matters little. The LC duly considered the arguments presented to it by the appellant. Whether it declined jurisdiction, or found that even if it had jurisdiction</w:t>
      </w:r>
      <w:r w:rsidR="002E4FA6" w:rsidRPr="00120B38">
        <w:rPr>
          <w:rFonts w:ascii="Bookman Old Style" w:hAnsi="Bookman Old Style"/>
          <w:sz w:val="28"/>
          <w:szCs w:val="28"/>
          <w:lang w:val="en-US"/>
        </w:rPr>
        <w:t>,</w:t>
      </w:r>
      <w:r w:rsidRPr="00120B38">
        <w:rPr>
          <w:rFonts w:ascii="Bookman Old Style" w:hAnsi="Bookman Old Style"/>
          <w:sz w:val="28"/>
          <w:szCs w:val="28"/>
          <w:lang w:val="en-US"/>
        </w:rPr>
        <w:t xml:space="preserve"> it would not be legally </w:t>
      </w:r>
      <w:r w:rsidR="00645976" w:rsidRPr="00120B38">
        <w:rPr>
          <w:rFonts w:ascii="Bookman Old Style" w:hAnsi="Bookman Old Style"/>
          <w:sz w:val="28"/>
          <w:szCs w:val="28"/>
          <w:lang w:val="en-US"/>
        </w:rPr>
        <w:t>entitled</w:t>
      </w:r>
      <w:r w:rsidRPr="00120B38">
        <w:rPr>
          <w:rFonts w:ascii="Bookman Old Style" w:hAnsi="Bookman Old Style"/>
          <w:sz w:val="28"/>
          <w:szCs w:val="28"/>
          <w:lang w:val="en-US"/>
        </w:rPr>
        <w:t xml:space="preserve"> to interfere with the disciplinary proceedings, would not make a difference to the outcome of the application. The fact is that legal authority, as well as legal policy considerations</w:t>
      </w:r>
      <w:r w:rsidR="002E4FA6" w:rsidRPr="00120B38">
        <w:rPr>
          <w:rFonts w:ascii="Bookman Old Style" w:hAnsi="Bookman Old Style"/>
          <w:sz w:val="28"/>
          <w:szCs w:val="28"/>
          <w:lang w:val="en-US"/>
        </w:rPr>
        <w:t>,</w:t>
      </w:r>
      <w:r w:rsidRPr="00120B38">
        <w:rPr>
          <w:rFonts w:ascii="Bookman Old Style" w:hAnsi="Bookman Old Style"/>
          <w:sz w:val="28"/>
          <w:szCs w:val="28"/>
          <w:lang w:val="en-US"/>
        </w:rPr>
        <w:t xml:space="preserve"> clearly prevent a court of law to </w:t>
      </w:r>
      <w:r w:rsidRPr="00120B38">
        <w:rPr>
          <w:rFonts w:ascii="Bookman Old Style" w:hAnsi="Bookman Old Style"/>
          <w:sz w:val="28"/>
          <w:szCs w:val="28"/>
          <w:lang w:val="en-US"/>
        </w:rPr>
        <w:lastRenderedPageBreak/>
        <w:t xml:space="preserve">intervene as the LC was asked to do. It would not assist the appellant at all to grant leave to appeal, only </w:t>
      </w:r>
      <w:r w:rsidR="007571DC" w:rsidRPr="00120B38">
        <w:rPr>
          <w:rFonts w:ascii="Bookman Old Style" w:hAnsi="Bookman Old Style"/>
          <w:sz w:val="28"/>
          <w:szCs w:val="28"/>
          <w:lang w:val="en-US"/>
        </w:rPr>
        <w:t>so that</w:t>
      </w:r>
      <w:r w:rsidRPr="00120B38">
        <w:rPr>
          <w:rFonts w:ascii="Bookman Old Style" w:hAnsi="Bookman Old Style"/>
          <w:sz w:val="28"/>
          <w:szCs w:val="28"/>
          <w:lang w:val="en-US"/>
        </w:rPr>
        <w:t xml:space="preserve"> this Court </w:t>
      </w:r>
      <w:r w:rsidR="007571DC" w:rsidRPr="00120B38">
        <w:rPr>
          <w:rFonts w:ascii="Bookman Old Style" w:hAnsi="Bookman Old Style"/>
          <w:sz w:val="28"/>
          <w:szCs w:val="28"/>
          <w:lang w:val="en-US"/>
        </w:rPr>
        <w:t>can attempt to</w:t>
      </w:r>
      <w:r w:rsidRPr="00120B38">
        <w:rPr>
          <w:rFonts w:ascii="Bookman Old Style" w:hAnsi="Bookman Old Style"/>
          <w:sz w:val="28"/>
          <w:szCs w:val="28"/>
          <w:lang w:val="en-US"/>
        </w:rPr>
        <w:t xml:space="preserve"> provide logical and terminological clarity after hearing an appeal</w:t>
      </w:r>
      <w:r w:rsidR="002E4FA6" w:rsidRPr="00120B38">
        <w:rPr>
          <w:rFonts w:ascii="Bookman Old Style" w:hAnsi="Bookman Old Style"/>
          <w:sz w:val="28"/>
          <w:szCs w:val="28"/>
          <w:lang w:val="en-US"/>
        </w:rPr>
        <w:t xml:space="preserve">, </w:t>
      </w:r>
      <w:r w:rsidRPr="00120B38">
        <w:rPr>
          <w:rFonts w:ascii="Bookman Old Style" w:hAnsi="Bookman Old Style"/>
          <w:sz w:val="28"/>
          <w:szCs w:val="28"/>
          <w:lang w:val="en-US"/>
        </w:rPr>
        <w:t>which the appellant would lose. The question now before this Court is whether the appeal desired by the appellant has prospects of success.</w:t>
      </w:r>
    </w:p>
    <w:p w14:paraId="6C1991EB" w14:textId="42C2CCEA" w:rsidR="00052328" w:rsidRPr="00120B38" w:rsidRDefault="00052328"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[22] The appellant even submit that the LAC erred in deciding on an issue that was not before it, namely … exceptional circumstances! Given what was discussed above, this is the proverbial proposition that only needs to be stated in order to be rejected.</w:t>
      </w:r>
    </w:p>
    <w:p w14:paraId="32399162" w14:textId="5604BBCA" w:rsidR="00C43FCC" w:rsidRPr="00120B38" w:rsidRDefault="00C43FCC" w:rsidP="00120B38">
      <w:pPr>
        <w:spacing w:line="36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Conclusion</w:t>
      </w:r>
    </w:p>
    <w:p w14:paraId="4FE8E9B8" w14:textId="1F8BFB4B" w:rsidR="00964E17" w:rsidRPr="00120B38" w:rsidRDefault="00052328"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[23] Despite some possibly confusion terminology, the </w:t>
      </w:r>
      <w:r w:rsidR="001A7349" w:rsidRPr="00120B38">
        <w:rPr>
          <w:rFonts w:ascii="Bookman Old Style" w:hAnsi="Bookman Old Style"/>
          <w:sz w:val="28"/>
          <w:szCs w:val="28"/>
          <w:lang w:val="en-US"/>
        </w:rPr>
        <w:t xml:space="preserve">thrust of the </w:t>
      </w:r>
      <w:r w:rsidRPr="00120B38">
        <w:rPr>
          <w:rFonts w:ascii="Bookman Old Style" w:hAnsi="Bookman Old Style"/>
          <w:sz w:val="28"/>
          <w:szCs w:val="28"/>
          <w:lang w:val="en-US"/>
        </w:rPr>
        <w:t xml:space="preserve">judgments of the LC and the LAC cannot be faulted. The appellant </w:t>
      </w:r>
      <w:r w:rsidR="00964E17" w:rsidRPr="00120B38">
        <w:rPr>
          <w:rFonts w:ascii="Bookman Old Style" w:hAnsi="Bookman Old Style"/>
          <w:sz w:val="28"/>
          <w:szCs w:val="28"/>
          <w:lang w:val="en-US"/>
        </w:rPr>
        <w:t xml:space="preserve">was not warranted to approach the LC, </w:t>
      </w:r>
      <w:proofErr w:type="gramStart"/>
      <w:r w:rsidR="00964E17" w:rsidRPr="00120B38">
        <w:rPr>
          <w:rFonts w:ascii="Bookman Old Style" w:hAnsi="Bookman Old Style"/>
          <w:sz w:val="28"/>
          <w:szCs w:val="28"/>
          <w:lang w:val="en-US"/>
        </w:rPr>
        <w:t>on the basis of</w:t>
      </w:r>
      <w:proofErr w:type="gramEnd"/>
      <w:r w:rsidR="00964E17" w:rsidRPr="00120B38">
        <w:rPr>
          <w:rFonts w:ascii="Bookman Old Style" w:hAnsi="Bookman Old Style"/>
          <w:sz w:val="28"/>
          <w:szCs w:val="28"/>
          <w:lang w:val="en-US"/>
        </w:rPr>
        <w:t xml:space="preserve"> urgency, during the disciplinary proceedings in which she participated. There are no prospects of success in an appeal.</w:t>
      </w:r>
    </w:p>
    <w:p w14:paraId="0EA515A5" w14:textId="4E2B8F3E" w:rsidR="00052328" w:rsidRPr="00120B38" w:rsidRDefault="00964E17" w:rsidP="00120B38">
      <w:pPr>
        <w:spacing w:line="360" w:lineRule="auto"/>
        <w:jc w:val="both"/>
        <w:rPr>
          <w:rFonts w:ascii="Bookman Old Style" w:hAnsi="Bookman Old Style"/>
          <w:b/>
          <w:bCs/>
          <w:sz w:val="28"/>
          <w:szCs w:val="28"/>
          <w:lang w:val="en-US"/>
        </w:rPr>
      </w:pPr>
      <w:r w:rsidRPr="00120B38">
        <w:rPr>
          <w:rFonts w:ascii="Bookman Old Style" w:hAnsi="Bookman Old Style"/>
          <w:sz w:val="28"/>
          <w:szCs w:val="28"/>
          <w:lang w:val="en-US"/>
        </w:rPr>
        <w:t>[24] It is not necessary for this Court to make a definitive finding on whether the appellant was applying delay tactics and abused the legal process, as submitted on behalf of the respondents. Counsel for the respondents asked for a punitive costs order on the scale of attorney and client against her. Given that the appellant is an individual who has litigated against the government in pursuance of her rights, a cost order is not warranted, even though her or her lawyers’</w:t>
      </w:r>
      <w:r w:rsidR="00502159" w:rsidRPr="00120B38">
        <w:rPr>
          <w:rFonts w:ascii="Bookman Old Style" w:hAnsi="Bookman Old Style"/>
          <w:sz w:val="28"/>
          <w:szCs w:val="28"/>
          <w:lang w:val="en-US"/>
        </w:rPr>
        <w:t xml:space="preserve"> decisions have caused considerable delay and frustration. </w:t>
      </w:r>
      <w:r w:rsidR="00052328" w:rsidRPr="00120B38">
        <w:rPr>
          <w:rFonts w:ascii="Bookman Old Style" w:hAnsi="Bookman Old Style"/>
          <w:b/>
          <w:bCs/>
          <w:sz w:val="28"/>
          <w:szCs w:val="28"/>
          <w:lang w:val="en-US"/>
        </w:rPr>
        <w:t xml:space="preserve"> </w:t>
      </w:r>
    </w:p>
    <w:p w14:paraId="7EDA129C" w14:textId="78232718" w:rsidR="00C43FCC" w:rsidRPr="00120B38" w:rsidRDefault="00C43FCC" w:rsidP="00120B38">
      <w:pPr>
        <w:spacing w:line="360" w:lineRule="auto"/>
        <w:jc w:val="both"/>
        <w:rPr>
          <w:rFonts w:ascii="Bookman Old Style" w:hAnsi="Bookman Old Style"/>
          <w:b/>
          <w:bCs/>
          <w:sz w:val="28"/>
          <w:szCs w:val="28"/>
          <w:lang w:val="en-US"/>
        </w:rPr>
      </w:pPr>
      <w:r w:rsidRPr="00120B38">
        <w:rPr>
          <w:rFonts w:ascii="Bookman Old Style" w:hAnsi="Bookman Old Style"/>
          <w:b/>
          <w:bCs/>
          <w:sz w:val="28"/>
          <w:szCs w:val="28"/>
          <w:lang w:val="en-US"/>
        </w:rPr>
        <w:t>Order</w:t>
      </w:r>
    </w:p>
    <w:p w14:paraId="48011540" w14:textId="0103C444" w:rsidR="00502159" w:rsidRPr="00120B38" w:rsidRDefault="00502159" w:rsidP="00120B38">
      <w:pPr>
        <w:spacing w:line="360" w:lineRule="auto"/>
        <w:jc w:val="both"/>
        <w:rPr>
          <w:rFonts w:ascii="Bookman Old Style" w:hAnsi="Bookman Old Style"/>
          <w:sz w:val="28"/>
          <w:szCs w:val="28"/>
          <w:lang w:val="en-US"/>
        </w:rPr>
      </w:pPr>
      <w:r w:rsidRPr="00120B38">
        <w:rPr>
          <w:rFonts w:ascii="Bookman Old Style" w:hAnsi="Bookman Old Style"/>
          <w:sz w:val="28"/>
          <w:szCs w:val="28"/>
          <w:lang w:val="en-US"/>
        </w:rPr>
        <w:lastRenderedPageBreak/>
        <w:t xml:space="preserve">[25] The application for leave to appeal is dismissed. </w:t>
      </w:r>
    </w:p>
    <w:p w14:paraId="4AFC7E46" w14:textId="35FA502D" w:rsidR="00120B38" w:rsidRDefault="00CB5077" w:rsidP="00CB5077">
      <w:pPr>
        <w:spacing w:line="240" w:lineRule="auto"/>
        <w:jc w:val="center"/>
        <w:rPr>
          <w:rFonts w:ascii="Bookman Old Style" w:hAnsi="Bookman Old Style"/>
          <w:sz w:val="28"/>
          <w:szCs w:val="28"/>
          <w:lang w:val="en-US"/>
        </w:rPr>
      </w:pPr>
      <w:r>
        <w:rPr>
          <w:noProof/>
        </w:rPr>
        <w:drawing>
          <wp:inline distT="0" distB="0" distL="0" distR="0" wp14:anchorId="5EE29142" wp14:editId="34EB72AF">
            <wp:extent cx="18573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46E7B312" w14:textId="330B139F" w:rsidR="00502159" w:rsidRDefault="00120B38" w:rsidP="00CB5077">
      <w:pPr>
        <w:spacing w:line="240" w:lineRule="auto"/>
        <w:jc w:val="center"/>
        <w:rPr>
          <w:rFonts w:ascii="Bookman Old Style" w:hAnsi="Bookman Old Style"/>
          <w:sz w:val="28"/>
          <w:szCs w:val="28"/>
          <w:lang w:val="en-US"/>
        </w:rPr>
      </w:pPr>
      <w:r>
        <w:rPr>
          <w:rFonts w:ascii="Bookman Old Style" w:hAnsi="Bookman Old Style"/>
          <w:sz w:val="28"/>
          <w:szCs w:val="28"/>
          <w:lang w:val="en-US"/>
        </w:rPr>
        <w:t>_________________________________</w:t>
      </w:r>
    </w:p>
    <w:p w14:paraId="7736A44B" w14:textId="0168AF3B" w:rsidR="00C43FCC" w:rsidRPr="00120B38" w:rsidRDefault="00C43FCC" w:rsidP="00CB5077">
      <w:pPr>
        <w:spacing w:line="240" w:lineRule="auto"/>
        <w:jc w:val="center"/>
        <w:rPr>
          <w:rFonts w:ascii="Bookman Old Style" w:hAnsi="Bookman Old Style"/>
          <w:sz w:val="28"/>
          <w:szCs w:val="28"/>
          <w:lang w:val="en-US"/>
        </w:rPr>
      </w:pPr>
      <w:r w:rsidRPr="00120B38">
        <w:rPr>
          <w:rFonts w:ascii="Bookman Old Style" w:hAnsi="Bookman Old Style"/>
          <w:b/>
          <w:bCs/>
          <w:sz w:val="28"/>
          <w:szCs w:val="28"/>
          <w:lang w:val="en-US"/>
        </w:rPr>
        <w:t>J VAN DER WESTHUIZEN</w:t>
      </w:r>
    </w:p>
    <w:p w14:paraId="5407C53D" w14:textId="28171FB6" w:rsidR="00C43FCC" w:rsidRPr="00120B38" w:rsidRDefault="00C43FCC" w:rsidP="00CB5077">
      <w:pPr>
        <w:spacing w:line="240" w:lineRule="auto"/>
        <w:jc w:val="center"/>
        <w:rPr>
          <w:rFonts w:ascii="Bookman Old Style" w:hAnsi="Bookman Old Style"/>
          <w:b/>
          <w:bCs/>
          <w:sz w:val="28"/>
          <w:szCs w:val="28"/>
          <w:lang w:val="en-US"/>
        </w:rPr>
      </w:pPr>
      <w:r w:rsidRPr="00120B38">
        <w:rPr>
          <w:rFonts w:ascii="Bookman Old Style" w:hAnsi="Bookman Old Style"/>
          <w:b/>
          <w:bCs/>
          <w:sz w:val="28"/>
          <w:szCs w:val="28"/>
          <w:lang w:val="en-US"/>
        </w:rPr>
        <w:t>ACTING JUDGE OF APPEAL</w:t>
      </w:r>
    </w:p>
    <w:p w14:paraId="6FDE47B3" w14:textId="7055E27E" w:rsidR="00120B38" w:rsidRDefault="00120B38" w:rsidP="00CB5077">
      <w:pPr>
        <w:spacing w:line="240" w:lineRule="auto"/>
        <w:jc w:val="both"/>
        <w:rPr>
          <w:rFonts w:ascii="Bookman Old Style" w:hAnsi="Bookman Old Style"/>
          <w:sz w:val="28"/>
          <w:szCs w:val="28"/>
          <w:lang w:val="en-US"/>
        </w:rPr>
      </w:pPr>
      <w:r w:rsidRPr="00120B38">
        <w:rPr>
          <w:rFonts w:ascii="Bookman Old Style" w:hAnsi="Bookman Old Style"/>
          <w:sz w:val="28"/>
          <w:szCs w:val="28"/>
          <w:lang w:val="en-US"/>
        </w:rPr>
        <w:t>I agree:</w:t>
      </w:r>
    </w:p>
    <w:p w14:paraId="23B216E0" w14:textId="5A7CC14C" w:rsidR="00CB5077" w:rsidRPr="00120B38" w:rsidRDefault="00CB5077" w:rsidP="00CB5077">
      <w:pPr>
        <w:spacing w:line="240" w:lineRule="auto"/>
        <w:jc w:val="center"/>
        <w:rPr>
          <w:rFonts w:ascii="Bookman Old Style" w:hAnsi="Bookman Old Style"/>
          <w:sz w:val="28"/>
          <w:szCs w:val="28"/>
          <w:lang w:val="en-US"/>
        </w:rPr>
      </w:pPr>
      <w:r>
        <w:rPr>
          <w:noProof/>
        </w:rPr>
        <w:drawing>
          <wp:inline distT="0" distB="0" distL="0" distR="0" wp14:anchorId="6EBE1634" wp14:editId="770775C2">
            <wp:extent cx="8858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p w14:paraId="4B7107F0" w14:textId="212FB156" w:rsidR="00120B38" w:rsidRDefault="00120B38" w:rsidP="00CB5077">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_________________________</w:t>
      </w:r>
    </w:p>
    <w:p w14:paraId="55E1E8B1" w14:textId="3D71A26D" w:rsidR="00C43FCC" w:rsidRPr="00120B38" w:rsidRDefault="00C43FCC" w:rsidP="00CB5077">
      <w:pPr>
        <w:spacing w:line="240" w:lineRule="auto"/>
        <w:jc w:val="center"/>
        <w:rPr>
          <w:rFonts w:ascii="Bookman Old Style" w:hAnsi="Bookman Old Style"/>
          <w:b/>
          <w:bCs/>
          <w:sz w:val="28"/>
          <w:szCs w:val="28"/>
          <w:lang w:val="en-US"/>
        </w:rPr>
      </w:pPr>
      <w:r w:rsidRPr="00120B38">
        <w:rPr>
          <w:rFonts w:ascii="Bookman Old Style" w:hAnsi="Bookman Old Style"/>
          <w:b/>
          <w:bCs/>
          <w:sz w:val="28"/>
          <w:szCs w:val="28"/>
          <w:lang w:val="en-US"/>
        </w:rPr>
        <w:t>PT DAMASEB</w:t>
      </w:r>
    </w:p>
    <w:p w14:paraId="23A5925A" w14:textId="11EA9A2B" w:rsidR="00C43FCC" w:rsidRPr="00120B38" w:rsidRDefault="00C43FCC" w:rsidP="00CB5077">
      <w:pPr>
        <w:spacing w:line="240" w:lineRule="auto"/>
        <w:jc w:val="center"/>
        <w:rPr>
          <w:rFonts w:ascii="Bookman Old Style" w:hAnsi="Bookman Old Style"/>
          <w:b/>
          <w:bCs/>
          <w:sz w:val="28"/>
          <w:szCs w:val="28"/>
          <w:lang w:val="en-US"/>
        </w:rPr>
      </w:pPr>
      <w:r w:rsidRPr="00120B38">
        <w:rPr>
          <w:rFonts w:ascii="Bookman Old Style" w:hAnsi="Bookman Old Style"/>
          <w:b/>
          <w:bCs/>
          <w:sz w:val="28"/>
          <w:szCs w:val="28"/>
          <w:lang w:val="en-US"/>
        </w:rPr>
        <w:t>ACTING JUDGE OF APPEAL</w:t>
      </w:r>
    </w:p>
    <w:p w14:paraId="709D66E1" w14:textId="3E4D8ABB" w:rsidR="00C43FCC" w:rsidRDefault="00C43FCC" w:rsidP="00CB5077">
      <w:pPr>
        <w:spacing w:line="240" w:lineRule="auto"/>
        <w:jc w:val="both"/>
        <w:rPr>
          <w:rFonts w:ascii="Bookman Old Style" w:hAnsi="Bookman Old Style"/>
          <w:sz w:val="28"/>
          <w:szCs w:val="28"/>
          <w:lang w:val="en-US"/>
        </w:rPr>
      </w:pPr>
      <w:r w:rsidRPr="00120B38">
        <w:rPr>
          <w:rFonts w:ascii="Bookman Old Style" w:hAnsi="Bookman Old Style"/>
          <w:sz w:val="28"/>
          <w:szCs w:val="28"/>
          <w:lang w:val="en-US"/>
        </w:rPr>
        <w:t>I agree:</w:t>
      </w:r>
    </w:p>
    <w:p w14:paraId="46C46732" w14:textId="59059963" w:rsidR="00CB5077" w:rsidRPr="00120B38" w:rsidRDefault="00CB5077" w:rsidP="00CB5077">
      <w:pPr>
        <w:spacing w:line="240" w:lineRule="auto"/>
        <w:jc w:val="center"/>
        <w:rPr>
          <w:rFonts w:ascii="Bookman Old Style" w:hAnsi="Bookman Old Style"/>
          <w:sz w:val="28"/>
          <w:szCs w:val="28"/>
          <w:lang w:val="en-US"/>
        </w:rPr>
      </w:pPr>
      <w:r>
        <w:rPr>
          <w:noProof/>
        </w:rPr>
        <w:drawing>
          <wp:inline distT="0" distB="0" distL="0" distR="0" wp14:anchorId="46DA5AE8" wp14:editId="41DE5E5B">
            <wp:extent cx="189547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p w14:paraId="625B34B1" w14:textId="6801C540" w:rsidR="00120B38" w:rsidRPr="00120B38" w:rsidRDefault="00120B38" w:rsidP="00CB5077">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________________________</w:t>
      </w:r>
    </w:p>
    <w:p w14:paraId="2C8A7D0E" w14:textId="75F01E97" w:rsidR="00C43FCC" w:rsidRPr="00120B38" w:rsidRDefault="00C43FCC" w:rsidP="00CB5077">
      <w:pPr>
        <w:spacing w:line="240" w:lineRule="auto"/>
        <w:jc w:val="center"/>
        <w:rPr>
          <w:rFonts w:ascii="Bookman Old Style" w:hAnsi="Bookman Old Style"/>
          <w:b/>
          <w:bCs/>
          <w:sz w:val="28"/>
          <w:szCs w:val="28"/>
          <w:lang w:val="en-US"/>
        </w:rPr>
      </w:pPr>
      <w:r w:rsidRPr="00120B38">
        <w:rPr>
          <w:rFonts w:ascii="Bookman Old Style" w:hAnsi="Bookman Old Style"/>
          <w:b/>
          <w:bCs/>
          <w:sz w:val="28"/>
          <w:szCs w:val="28"/>
          <w:lang w:val="en-US"/>
        </w:rPr>
        <w:t>P MUSONDA</w:t>
      </w:r>
    </w:p>
    <w:p w14:paraId="25282C44" w14:textId="7E5B4CD2" w:rsidR="00C43FCC" w:rsidRPr="00120B38" w:rsidRDefault="00C43FCC" w:rsidP="00CB5077">
      <w:pPr>
        <w:spacing w:line="240" w:lineRule="auto"/>
        <w:jc w:val="center"/>
        <w:rPr>
          <w:rFonts w:ascii="Bookman Old Style" w:hAnsi="Bookman Old Style"/>
          <w:b/>
          <w:bCs/>
          <w:sz w:val="28"/>
          <w:szCs w:val="28"/>
          <w:lang w:val="en-US"/>
        </w:rPr>
      </w:pPr>
      <w:r w:rsidRPr="00120B38">
        <w:rPr>
          <w:rFonts w:ascii="Bookman Old Style" w:hAnsi="Bookman Old Style"/>
          <w:b/>
          <w:bCs/>
          <w:sz w:val="28"/>
          <w:szCs w:val="28"/>
          <w:lang w:val="en-US"/>
        </w:rPr>
        <w:t>ACTING JUDGE OF APPEAL</w:t>
      </w:r>
    </w:p>
    <w:p w14:paraId="2CF34231" w14:textId="0B3F2EDE" w:rsidR="00C43FCC" w:rsidRPr="00120B38" w:rsidRDefault="00C43FCC" w:rsidP="00CB5077">
      <w:pPr>
        <w:spacing w:line="240" w:lineRule="auto"/>
        <w:jc w:val="center"/>
        <w:rPr>
          <w:rFonts w:ascii="Bookman Old Style" w:hAnsi="Bookman Old Style"/>
          <w:b/>
          <w:bCs/>
          <w:sz w:val="28"/>
          <w:szCs w:val="28"/>
          <w:lang w:val="en-US"/>
        </w:rPr>
      </w:pPr>
    </w:p>
    <w:p w14:paraId="11F59EB1" w14:textId="56444A2E" w:rsidR="00C43FCC" w:rsidRPr="00120B38" w:rsidRDefault="00C43FCC" w:rsidP="00CB5077">
      <w:pPr>
        <w:spacing w:line="240" w:lineRule="auto"/>
        <w:jc w:val="both"/>
        <w:rPr>
          <w:rFonts w:ascii="Bookman Old Style" w:hAnsi="Bookman Old Style"/>
          <w:sz w:val="28"/>
          <w:szCs w:val="28"/>
          <w:lang w:val="en-US"/>
        </w:rPr>
      </w:pPr>
      <w:r w:rsidRPr="00CB5077">
        <w:rPr>
          <w:rFonts w:ascii="Bookman Old Style" w:hAnsi="Bookman Old Style"/>
          <w:b/>
          <w:bCs/>
          <w:sz w:val="28"/>
          <w:szCs w:val="28"/>
          <w:lang w:val="en-US"/>
        </w:rPr>
        <w:t>For Appellant:</w:t>
      </w:r>
      <w:r w:rsidR="00CB5077">
        <w:rPr>
          <w:rFonts w:ascii="Bookman Old Style" w:hAnsi="Bookman Old Style"/>
          <w:sz w:val="28"/>
          <w:szCs w:val="28"/>
          <w:lang w:val="en-US"/>
        </w:rPr>
        <w:tab/>
      </w:r>
      <w:r w:rsidR="00CB5077">
        <w:rPr>
          <w:rFonts w:ascii="Bookman Old Style" w:hAnsi="Bookman Old Style"/>
          <w:sz w:val="28"/>
          <w:szCs w:val="28"/>
          <w:lang w:val="en-US"/>
        </w:rPr>
        <w:tab/>
      </w:r>
      <w:r w:rsidRPr="00120B38">
        <w:rPr>
          <w:rFonts w:ascii="Bookman Old Style" w:hAnsi="Bookman Old Style"/>
          <w:sz w:val="28"/>
          <w:szCs w:val="28"/>
          <w:lang w:val="en-US"/>
        </w:rPr>
        <w:t xml:space="preserve"> Adv S </w:t>
      </w:r>
      <w:proofErr w:type="spellStart"/>
      <w:r w:rsidRPr="00120B38">
        <w:rPr>
          <w:rFonts w:ascii="Bookman Old Style" w:hAnsi="Bookman Old Style"/>
          <w:sz w:val="28"/>
          <w:szCs w:val="28"/>
          <w:lang w:val="en-US"/>
        </w:rPr>
        <w:t>Phafane</w:t>
      </w:r>
      <w:proofErr w:type="spellEnd"/>
      <w:r w:rsidRPr="00120B38">
        <w:rPr>
          <w:rFonts w:ascii="Bookman Old Style" w:hAnsi="Bookman Old Style"/>
          <w:sz w:val="28"/>
          <w:szCs w:val="28"/>
          <w:lang w:val="en-US"/>
        </w:rPr>
        <w:t xml:space="preserve"> KC (heads of argument</w:t>
      </w:r>
      <w:r w:rsidR="002253B3" w:rsidRPr="00120B38">
        <w:rPr>
          <w:rFonts w:ascii="Bookman Old Style" w:hAnsi="Bookman Old Style"/>
          <w:sz w:val="28"/>
          <w:szCs w:val="28"/>
          <w:lang w:val="en-US"/>
        </w:rPr>
        <w:t>)</w:t>
      </w:r>
    </w:p>
    <w:p w14:paraId="6C5F7DDB" w14:textId="25450665" w:rsidR="002253B3" w:rsidRPr="00120B38" w:rsidRDefault="002253B3" w:rsidP="00CB5077">
      <w:pPr>
        <w:spacing w:line="240" w:lineRule="auto"/>
        <w:jc w:val="both"/>
        <w:rPr>
          <w:rFonts w:ascii="Bookman Old Style" w:hAnsi="Bookman Old Style"/>
          <w:sz w:val="28"/>
          <w:szCs w:val="28"/>
          <w:lang w:val="en-US"/>
        </w:rPr>
      </w:pPr>
      <w:r w:rsidRPr="00120B38">
        <w:rPr>
          <w:rFonts w:ascii="Bookman Old Style" w:hAnsi="Bookman Old Style"/>
          <w:sz w:val="28"/>
          <w:szCs w:val="28"/>
          <w:lang w:val="en-US"/>
        </w:rPr>
        <w:t xml:space="preserve">                            </w:t>
      </w:r>
      <w:r w:rsidR="00CB5077">
        <w:rPr>
          <w:rFonts w:ascii="Bookman Old Style" w:hAnsi="Bookman Old Style"/>
          <w:sz w:val="28"/>
          <w:szCs w:val="28"/>
          <w:lang w:val="en-US"/>
        </w:rPr>
        <w:tab/>
        <w:t xml:space="preserve"> </w:t>
      </w:r>
      <w:r w:rsidRPr="00120B38">
        <w:rPr>
          <w:rFonts w:ascii="Bookman Old Style" w:hAnsi="Bookman Old Style"/>
          <w:sz w:val="28"/>
          <w:szCs w:val="28"/>
          <w:lang w:val="en-US"/>
        </w:rPr>
        <w:t xml:space="preserve">Adv RD </w:t>
      </w:r>
      <w:proofErr w:type="spellStart"/>
      <w:r w:rsidRPr="00120B38">
        <w:rPr>
          <w:rFonts w:ascii="Bookman Old Style" w:hAnsi="Bookman Old Style"/>
          <w:sz w:val="28"/>
          <w:szCs w:val="28"/>
          <w:lang w:val="en-US"/>
        </w:rPr>
        <w:t>Setlo</w:t>
      </w:r>
      <w:r w:rsidR="00CB5077">
        <w:rPr>
          <w:rFonts w:ascii="Bookman Old Style" w:hAnsi="Bookman Old Style"/>
          <w:sz w:val="28"/>
          <w:szCs w:val="28"/>
          <w:lang w:val="en-US"/>
        </w:rPr>
        <w:t>jo</w:t>
      </w:r>
      <w:r w:rsidRPr="00120B38">
        <w:rPr>
          <w:rFonts w:ascii="Bookman Old Style" w:hAnsi="Bookman Old Style"/>
          <w:sz w:val="28"/>
          <w:szCs w:val="28"/>
          <w:lang w:val="en-US"/>
        </w:rPr>
        <w:t>ane</w:t>
      </w:r>
      <w:proofErr w:type="spellEnd"/>
      <w:r w:rsidRPr="00120B38">
        <w:rPr>
          <w:rFonts w:ascii="Bookman Old Style" w:hAnsi="Bookman Old Style"/>
          <w:sz w:val="28"/>
          <w:szCs w:val="28"/>
          <w:lang w:val="en-US"/>
        </w:rPr>
        <w:t xml:space="preserve"> </w:t>
      </w:r>
      <w:r w:rsidR="00764352" w:rsidRPr="00120B38">
        <w:rPr>
          <w:rFonts w:ascii="Bookman Old Style" w:hAnsi="Bookman Old Style"/>
          <w:sz w:val="28"/>
          <w:szCs w:val="28"/>
          <w:lang w:val="en-US"/>
        </w:rPr>
        <w:t>(oral argument)</w:t>
      </w:r>
    </w:p>
    <w:p w14:paraId="0DAF2D22" w14:textId="75FFA809" w:rsidR="00A13E3F" w:rsidRPr="00BF364D" w:rsidRDefault="002253B3" w:rsidP="00CB5077">
      <w:pPr>
        <w:spacing w:line="240" w:lineRule="auto"/>
        <w:jc w:val="both"/>
        <w:rPr>
          <w:rFonts w:ascii="Bookman Old Style" w:hAnsi="Bookman Old Style"/>
          <w:sz w:val="28"/>
          <w:szCs w:val="28"/>
          <w:lang w:val="en-US"/>
        </w:rPr>
      </w:pPr>
      <w:r w:rsidRPr="00CB5077">
        <w:rPr>
          <w:rFonts w:ascii="Bookman Old Style" w:hAnsi="Bookman Old Style"/>
          <w:b/>
          <w:bCs/>
          <w:sz w:val="28"/>
          <w:szCs w:val="28"/>
          <w:lang w:val="en-US"/>
        </w:rPr>
        <w:t>For fourth and fifth Respondents:</w:t>
      </w:r>
      <w:r w:rsidRPr="00120B38">
        <w:rPr>
          <w:rFonts w:ascii="Bookman Old Style" w:hAnsi="Bookman Old Style"/>
          <w:sz w:val="28"/>
          <w:szCs w:val="28"/>
          <w:lang w:val="en-US"/>
        </w:rPr>
        <w:t xml:space="preserve"> K Ndebele</w:t>
      </w:r>
      <w:r w:rsidRPr="00120B38">
        <w:rPr>
          <w:rFonts w:ascii="Bookman Old Style" w:hAnsi="Bookman Old Style"/>
          <w:b/>
          <w:bCs/>
          <w:sz w:val="28"/>
          <w:szCs w:val="28"/>
          <w:lang w:val="en-US"/>
        </w:rPr>
        <w:t xml:space="preserve">                                 </w:t>
      </w:r>
      <w:r w:rsidR="00A13E3F" w:rsidRPr="00120B38">
        <w:rPr>
          <w:rFonts w:ascii="Bookman Old Style" w:hAnsi="Bookman Old Style"/>
          <w:b/>
          <w:bCs/>
          <w:sz w:val="28"/>
          <w:szCs w:val="28"/>
          <w:lang w:val="en-US"/>
        </w:rPr>
        <w:t xml:space="preserve">                                                                                                                                                                                           </w:t>
      </w:r>
      <w:r w:rsidR="00A13E3F">
        <w:rPr>
          <w:b/>
          <w:bCs/>
          <w:lang w:val="en-US"/>
        </w:rPr>
        <w:t xml:space="preserve">      </w:t>
      </w:r>
    </w:p>
    <w:sectPr w:rsidR="00A13E3F" w:rsidRPr="00BF364D" w:rsidSect="00A72555">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7C3A" w14:textId="77777777" w:rsidR="00C93DA6" w:rsidRDefault="00C93DA6" w:rsidP="00597767">
      <w:pPr>
        <w:spacing w:after="0" w:line="240" w:lineRule="auto"/>
      </w:pPr>
      <w:r>
        <w:separator/>
      </w:r>
    </w:p>
  </w:endnote>
  <w:endnote w:type="continuationSeparator" w:id="0">
    <w:p w14:paraId="2E3A80BA" w14:textId="77777777" w:rsidR="00C93DA6" w:rsidRDefault="00C93DA6" w:rsidP="0059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339196"/>
      <w:docPartObj>
        <w:docPartGallery w:val="Page Numbers (Bottom of Page)"/>
        <w:docPartUnique/>
      </w:docPartObj>
    </w:sdtPr>
    <w:sdtEndPr>
      <w:rPr>
        <w:noProof/>
      </w:rPr>
    </w:sdtEndPr>
    <w:sdtContent>
      <w:p w14:paraId="2D65BFFC" w14:textId="42DB1156" w:rsidR="00597767" w:rsidRDefault="005977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1C68CF" w14:textId="77777777" w:rsidR="00597767" w:rsidRDefault="00597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CB414" w14:textId="77777777" w:rsidR="00C93DA6" w:rsidRDefault="00C93DA6" w:rsidP="00597767">
      <w:pPr>
        <w:spacing w:after="0" w:line="240" w:lineRule="auto"/>
      </w:pPr>
      <w:r>
        <w:separator/>
      </w:r>
    </w:p>
  </w:footnote>
  <w:footnote w:type="continuationSeparator" w:id="0">
    <w:p w14:paraId="353AA1F4" w14:textId="77777777" w:rsidR="00C93DA6" w:rsidRDefault="00C93DA6" w:rsidP="00597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3F"/>
    <w:rsid w:val="00052328"/>
    <w:rsid w:val="000A0DD9"/>
    <w:rsid w:val="000D2144"/>
    <w:rsid w:val="000F5FA4"/>
    <w:rsid w:val="0010363F"/>
    <w:rsid w:val="00110892"/>
    <w:rsid w:val="00120B38"/>
    <w:rsid w:val="001230AB"/>
    <w:rsid w:val="001257D2"/>
    <w:rsid w:val="00143C75"/>
    <w:rsid w:val="00155C60"/>
    <w:rsid w:val="00170AAB"/>
    <w:rsid w:val="001A7349"/>
    <w:rsid w:val="002253B3"/>
    <w:rsid w:val="0022671D"/>
    <w:rsid w:val="002E4FA6"/>
    <w:rsid w:val="00464B9D"/>
    <w:rsid w:val="00476187"/>
    <w:rsid w:val="004C6463"/>
    <w:rsid w:val="00502159"/>
    <w:rsid w:val="00552F6B"/>
    <w:rsid w:val="005638DE"/>
    <w:rsid w:val="005969AC"/>
    <w:rsid w:val="00597767"/>
    <w:rsid w:val="005F0FCC"/>
    <w:rsid w:val="006021A6"/>
    <w:rsid w:val="00645976"/>
    <w:rsid w:val="006E7D5D"/>
    <w:rsid w:val="007571DC"/>
    <w:rsid w:val="00764352"/>
    <w:rsid w:val="0077186D"/>
    <w:rsid w:val="007756B5"/>
    <w:rsid w:val="007D098E"/>
    <w:rsid w:val="00805CCD"/>
    <w:rsid w:val="008B6B58"/>
    <w:rsid w:val="00964E17"/>
    <w:rsid w:val="00996062"/>
    <w:rsid w:val="009D57AB"/>
    <w:rsid w:val="009E5813"/>
    <w:rsid w:val="009F1F68"/>
    <w:rsid w:val="00A13E3F"/>
    <w:rsid w:val="00A72555"/>
    <w:rsid w:val="00A94049"/>
    <w:rsid w:val="00A970AB"/>
    <w:rsid w:val="00AD0A8D"/>
    <w:rsid w:val="00B04273"/>
    <w:rsid w:val="00BA18FE"/>
    <w:rsid w:val="00BA5FB0"/>
    <w:rsid w:val="00BF364D"/>
    <w:rsid w:val="00C3606B"/>
    <w:rsid w:val="00C43FCC"/>
    <w:rsid w:val="00C93DA6"/>
    <w:rsid w:val="00CB5077"/>
    <w:rsid w:val="00CC0EDC"/>
    <w:rsid w:val="00D30C52"/>
    <w:rsid w:val="00D67060"/>
    <w:rsid w:val="00DF5F89"/>
    <w:rsid w:val="00E520F3"/>
    <w:rsid w:val="00E533B1"/>
    <w:rsid w:val="00E8720A"/>
    <w:rsid w:val="00EB2FD4"/>
    <w:rsid w:val="00ED3851"/>
    <w:rsid w:val="00F916DC"/>
    <w:rsid w:val="00F956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348F"/>
  <w15:chartTrackingRefBased/>
  <w15:docId w15:val="{481315D4-D41A-4CA4-945C-FEFF0ABF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67"/>
  </w:style>
  <w:style w:type="paragraph" w:styleId="Footer">
    <w:name w:val="footer"/>
    <w:basedOn w:val="Normal"/>
    <w:link w:val="FooterChar"/>
    <w:uiPriority w:val="99"/>
    <w:unhideWhenUsed/>
    <w:rsid w:val="00597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vd Westhuizen</dc:creator>
  <cp:keywords/>
  <dc:description/>
  <cp:lastModifiedBy>Relebohile Sehapi</cp:lastModifiedBy>
  <cp:revision>4</cp:revision>
  <dcterms:created xsi:type="dcterms:W3CDTF">2022-11-16T09:29:00Z</dcterms:created>
  <dcterms:modified xsi:type="dcterms:W3CDTF">2022-12-21T12:55:00Z</dcterms:modified>
</cp:coreProperties>
</file>