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95D9" w14:textId="60E559EF" w:rsidR="00D26622" w:rsidRPr="00D26622" w:rsidRDefault="001C6E52" w:rsidP="00D26622">
      <w:pPr>
        <w:jc w:val="center"/>
        <w:rPr>
          <w:rFonts w:ascii="Bookman Old Style" w:hAnsi="Bookman Old Style"/>
          <w:b/>
          <w:bCs/>
          <w:sz w:val="28"/>
          <w:szCs w:val="28"/>
        </w:rPr>
      </w:pPr>
      <w:bookmarkStart w:id="0" w:name="_GoBack"/>
      <w:bookmarkEnd w:id="0"/>
      <w:r w:rsidRPr="00D26622">
        <w:rPr>
          <w:rFonts w:ascii="Bookman Old Style" w:hAnsi="Bookman Old Style"/>
          <w:b/>
          <w:bCs/>
          <w:sz w:val="28"/>
          <w:szCs w:val="28"/>
        </w:rPr>
        <w:t>IN THE COURT OF APPEAL OF LESOTHO</w:t>
      </w:r>
    </w:p>
    <w:p w14:paraId="26C04C88" w14:textId="77777777" w:rsidR="00177129" w:rsidRPr="00D26622" w:rsidRDefault="00177129" w:rsidP="00177129">
      <w:pPr>
        <w:rPr>
          <w:rFonts w:ascii="Bookman Old Style" w:hAnsi="Bookman Old Style"/>
          <w:b/>
          <w:bCs/>
          <w:sz w:val="28"/>
          <w:szCs w:val="28"/>
        </w:rPr>
      </w:pPr>
      <w:r w:rsidRPr="00D26622">
        <w:rPr>
          <w:rFonts w:ascii="Bookman Old Style" w:hAnsi="Bookman Old Style"/>
          <w:b/>
          <w:bCs/>
          <w:sz w:val="28"/>
          <w:szCs w:val="28"/>
        </w:rPr>
        <w:t>HELD AT MASERU</w:t>
      </w:r>
    </w:p>
    <w:p w14:paraId="2BBCC66E" w14:textId="77777777" w:rsidR="00C06CED" w:rsidRDefault="00C06CED" w:rsidP="00177129">
      <w:pPr>
        <w:rPr>
          <w:rFonts w:ascii="Bookman Old Style" w:hAnsi="Bookman Old Style"/>
          <w:b/>
          <w:bCs/>
          <w:sz w:val="28"/>
          <w:szCs w:val="28"/>
        </w:rPr>
      </w:pPr>
    </w:p>
    <w:p w14:paraId="50978FB5" w14:textId="28CEFFE7" w:rsidR="001C6E52" w:rsidRPr="00D26622" w:rsidRDefault="001C6E52" w:rsidP="00C06CED">
      <w:pPr>
        <w:jc w:val="right"/>
        <w:rPr>
          <w:rFonts w:ascii="Bookman Old Style" w:hAnsi="Bookman Old Style"/>
          <w:b/>
          <w:bCs/>
          <w:sz w:val="28"/>
          <w:szCs w:val="28"/>
        </w:rPr>
      </w:pPr>
      <w:r w:rsidRPr="00D26622">
        <w:rPr>
          <w:rFonts w:ascii="Bookman Old Style" w:hAnsi="Bookman Old Style"/>
          <w:b/>
          <w:bCs/>
          <w:sz w:val="28"/>
          <w:szCs w:val="28"/>
        </w:rPr>
        <w:t>C of A (CIV) NO. 19/2022                                                                                                CIV/APN/253/2022</w:t>
      </w:r>
    </w:p>
    <w:p w14:paraId="29DED34F" w14:textId="77777777" w:rsidR="001C6E52" w:rsidRPr="00C06CED" w:rsidRDefault="001C6E52" w:rsidP="001C6E52">
      <w:pPr>
        <w:rPr>
          <w:rFonts w:ascii="Bookman Old Style" w:hAnsi="Bookman Old Style"/>
          <w:sz w:val="28"/>
          <w:szCs w:val="28"/>
        </w:rPr>
      </w:pPr>
      <w:r w:rsidRPr="00C06CED">
        <w:rPr>
          <w:rFonts w:ascii="Bookman Old Style" w:hAnsi="Bookman Old Style"/>
          <w:sz w:val="28"/>
          <w:szCs w:val="28"/>
        </w:rPr>
        <w:t xml:space="preserve">In the matter between </w:t>
      </w:r>
    </w:p>
    <w:p w14:paraId="645D41CF" w14:textId="77777777" w:rsidR="001C6E52" w:rsidRPr="00D26622" w:rsidRDefault="001C6E52" w:rsidP="001C6E52">
      <w:pPr>
        <w:rPr>
          <w:rFonts w:ascii="Bookman Old Style" w:hAnsi="Bookman Old Style"/>
          <w:b/>
          <w:bCs/>
          <w:sz w:val="28"/>
          <w:szCs w:val="28"/>
        </w:rPr>
      </w:pPr>
    </w:p>
    <w:p w14:paraId="458736FF" w14:textId="77777777" w:rsidR="008255F9" w:rsidRPr="00D26622" w:rsidRDefault="001C6E52" w:rsidP="001C6E52">
      <w:pPr>
        <w:rPr>
          <w:rFonts w:ascii="Bookman Old Style" w:hAnsi="Bookman Old Style"/>
          <w:b/>
          <w:bCs/>
          <w:sz w:val="28"/>
          <w:szCs w:val="28"/>
        </w:rPr>
      </w:pPr>
      <w:r w:rsidRPr="00D26622">
        <w:rPr>
          <w:rFonts w:ascii="Bookman Old Style" w:hAnsi="Bookman Old Style"/>
          <w:b/>
          <w:bCs/>
          <w:sz w:val="28"/>
          <w:szCs w:val="28"/>
        </w:rPr>
        <w:t xml:space="preserve">LESOTHO NATIONAL GENERAL INSURANCE </w:t>
      </w:r>
    </w:p>
    <w:p w14:paraId="68B2804F" w14:textId="2323726D" w:rsidR="001C6E52" w:rsidRPr="00D26622" w:rsidRDefault="001C6E52" w:rsidP="001C6E52">
      <w:pPr>
        <w:rPr>
          <w:rFonts w:ascii="Bookman Old Style" w:hAnsi="Bookman Old Style"/>
          <w:b/>
          <w:bCs/>
          <w:sz w:val="28"/>
          <w:szCs w:val="28"/>
        </w:rPr>
      </w:pPr>
      <w:r w:rsidRPr="00D26622">
        <w:rPr>
          <w:rFonts w:ascii="Bookman Old Style" w:hAnsi="Bookman Old Style"/>
          <w:b/>
          <w:bCs/>
          <w:sz w:val="28"/>
          <w:szCs w:val="28"/>
        </w:rPr>
        <w:t xml:space="preserve">COMPANY LTD            </w:t>
      </w:r>
      <w:r w:rsidR="008255F9" w:rsidRPr="00D26622">
        <w:rPr>
          <w:rFonts w:ascii="Bookman Old Style" w:hAnsi="Bookman Old Style"/>
          <w:b/>
          <w:bCs/>
          <w:sz w:val="28"/>
          <w:szCs w:val="28"/>
        </w:rPr>
        <w:tab/>
      </w:r>
      <w:r w:rsidR="008255F9" w:rsidRPr="00D26622">
        <w:rPr>
          <w:rFonts w:ascii="Bookman Old Style" w:hAnsi="Bookman Old Style"/>
          <w:b/>
          <w:bCs/>
          <w:sz w:val="28"/>
          <w:szCs w:val="28"/>
        </w:rPr>
        <w:tab/>
      </w:r>
      <w:r w:rsidR="008255F9" w:rsidRPr="00D26622">
        <w:rPr>
          <w:rFonts w:ascii="Bookman Old Style" w:hAnsi="Bookman Old Style"/>
          <w:b/>
          <w:bCs/>
          <w:sz w:val="28"/>
          <w:szCs w:val="28"/>
        </w:rPr>
        <w:tab/>
      </w:r>
      <w:r w:rsidR="008255F9" w:rsidRPr="00D26622">
        <w:rPr>
          <w:rFonts w:ascii="Bookman Old Style" w:hAnsi="Bookman Old Style"/>
          <w:b/>
          <w:bCs/>
          <w:sz w:val="28"/>
          <w:szCs w:val="28"/>
        </w:rPr>
        <w:tab/>
      </w:r>
      <w:r w:rsidR="008255F9" w:rsidRPr="00D26622">
        <w:rPr>
          <w:rFonts w:ascii="Bookman Old Style" w:hAnsi="Bookman Old Style"/>
          <w:b/>
          <w:bCs/>
          <w:sz w:val="28"/>
          <w:szCs w:val="28"/>
        </w:rPr>
        <w:tab/>
      </w:r>
      <w:r w:rsidRPr="00D26622">
        <w:rPr>
          <w:rFonts w:ascii="Bookman Old Style" w:hAnsi="Bookman Old Style"/>
          <w:b/>
          <w:bCs/>
          <w:sz w:val="28"/>
          <w:szCs w:val="28"/>
        </w:rPr>
        <w:t xml:space="preserve">   APPELLANT</w:t>
      </w:r>
    </w:p>
    <w:p w14:paraId="1AAEE67F" w14:textId="7334C0FD" w:rsidR="001C6E52" w:rsidRPr="00D26622" w:rsidRDefault="008255F9" w:rsidP="001C6E52">
      <w:pPr>
        <w:rPr>
          <w:rFonts w:ascii="Bookman Old Style" w:hAnsi="Bookman Old Style"/>
          <w:b/>
          <w:bCs/>
          <w:sz w:val="28"/>
          <w:szCs w:val="28"/>
        </w:rPr>
      </w:pPr>
      <w:r w:rsidRPr="00D26622">
        <w:rPr>
          <w:rFonts w:ascii="Bookman Old Style" w:hAnsi="Bookman Old Style"/>
          <w:b/>
          <w:bCs/>
          <w:sz w:val="28"/>
          <w:szCs w:val="28"/>
        </w:rPr>
        <w:t xml:space="preserve">                        </w:t>
      </w:r>
      <w:r w:rsidRPr="00D26622">
        <w:rPr>
          <w:rFonts w:ascii="Bookman Old Style" w:hAnsi="Bookman Old Style"/>
          <w:b/>
          <w:bCs/>
          <w:sz w:val="28"/>
          <w:szCs w:val="28"/>
        </w:rPr>
        <w:tab/>
      </w:r>
      <w:r w:rsidRPr="00D26622">
        <w:rPr>
          <w:rFonts w:ascii="Bookman Old Style" w:hAnsi="Bookman Old Style"/>
          <w:b/>
          <w:bCs/>
          <w:sz w:val="28"/>
          <w:szCs w:val="28"/>
        </w:rPr>
        <w:tab/>
      </w:r>
    </w:p>
    <w:p w14:paraId="42CD535A" w14:textId="77777777" w:rsidR="001C6E52" w:rsidRPr="00C06CED" w:rsidRDefault="001C6E52" w:rsidP="001C6E52">
      <w:pPr>
        <w:rPr>
          <w:rFonts w:ascii="Bookman Old Style" w:hAnsi="Bookman Old Style"/>
          <w:sz w:val="28"/>
          <w:szCs w:val="28"/>
        </w:rPr>
      </w:pPr>
      <w:r w:rsidRPr="00C06CED">
        <w:rPr>
          <w:rFonts w:ascii="Bookman Old Style" w:hAnsi="Bookman Old Style"/>
          <w:sz w:val="28"/>
          <w:szCs w:val="28"/>
        </w:rPr>
        <w:t xml:space="preserve">And </w:t>
      </w:r>
    </w:p>
    <w:p w14:paraId="5A038CE5" w14:textId="77777777" w:rsidR="001C6E52" w:rsidRPr="00D26622" w:rsidRDefault="001C6E52" w:rsidP="001C6E52">
      <w:pPr>
        <w:rPr>
          <w:rFonts w:ascii="Bookman Old Style" w:hAnsi="Bookman Old Style"/>
          <w:b/>
          <w:bCs/>
          <w:sz w:val="28"/>
          <w:szCs w:val="28"/>
        </w:rPr>
      </w:pPr>
    </w:p>
    <w:p w14:paraId="554107EE" w14:textId="01590279" w:rsidR="001C6E52" w:rsidRPr="00D26622" w:rsidRDefault="001C6E52" w:rsidP="001C6E52">
      <w:pPr>
        <w:rPr>
          <w:rFonts w:ascii="Bookman Old Style" w:hAnsi="Bookman Old Style"/>
          <w:b/>
          <w:bCs/>
          <w:sz w:val="28"/>
          <w:szCs w:val="28"/>
        </w:rPr>
      </w:pPr>
      <w:r w:rsidRPr="00D26622">
        <w:rPr>
          <w:rFonts w:ascii="Bookman Old Style" w:hAnsi="Bookman Old Style"/>
          <w:b/>
          <w:bCs/>
          <w:sz w:val="28"/>
          <w:szCs w:val="28"/>
        </w:rPr>
        <w:t>RHY</w:t>
      </w:r>
      <w:r w:rsidR="00405F15" w:rsidRPr="00D26622">
        <w:rPr>
          <w:rFonts w:ascii="Bookman Old Style" w:hAnsi="Bookman Old Style"/>
          <w:b/>
          <w:bCs/>
          <w:sz w:val="28"/>
          <w:szCs w:val="28"/>
        </w:rPr>
        <w:t>THM &amp; STEALTH (PTY) LTD</w:t>
      </w:r>
      <w:r w:rsidR="00835189" w:rsidRPr="00D26622">
        <w:rPr>
          <w:b/>
          <w:bCs/>
        </w:rPr>
        <w:t xml:space="preserve"> </w:t>
      </w:r>
      <w:r w:rsidR="00EB245F" w:rsidRPr="00D26622">
        <w:rPr>
          <w:b/>
          <w:bCs/>
        </w:rPr>
        <w:tab/>
      </w:r>
      <w:r w:rsidR="00EB245F" w:rsidRPr="00D26622">
        <w:rPr>
          <w:b/>
          <w:bCs/>
        </w:rPr>
        <w:tab/>
      </w:r>
      <w:r w:rsidR="00EB245F" w:rsidRPr="00D26622">
        <w:rPr>
          <w:b/>
          <w:bCs/>
        </w:rPr>
        <w:tab/>
      </w:r>
      <w:r w:rsidR="00835189" w:rsidRPr="00D26622">
        <w:rPr>
          <w:rFonts w:ascii="Bookman Old Style" w:hAnsi="Bookman Old Style"/>
          <w:b/>
          <w:bCs/>
          <w:sz w:val="28"/>
          <w:szCs w:val="28"/>
        </w:rPr>
        <w:t>RESPONDENTS</w:t>
      </w:r>
      <w:r w:rsidRPr="00D26622">
        <w:rPr>
          <w:rFonts w:ascii="Bookman Old Style" w:hAnsi="Bookman Old Style"/>
          <w:b/>
          <w:bCs/>
          <w:sz w:val="28"/>
          <w:szCs w:val="28"/>
        </w:rPr>
        <w:t xml:space="preserve">           </w:t>
      </w:r>
      <w:r w:rsidR="00405F15" w:rsidRPr="00D26622">
        <w:rPr>
          <w:rFonts w:ascii="Bookman Old Style" w:hAnsi="Bookman Old Style"/>
          <w:b/>
          <w:bCs/>
          <w:sz w:val="28"/>
          <w:szCs w:val="28"/>
        </w:rPr>
        <w:t xml:space="preserve">                      </w:t>
      </w:r>
    </w:p>
    <w:p w14:paraId="3ADA0E07" w14:textId="77777777" w:rsidR="001C6E52" w:rsidRPr="00D26622" w:rsidRDefault="001C6E52" w:rsidP="001C6E52">
      <w:pPr>
        <w:rPr>
          <w:rFonts w:ascii="Bookman Old Style" w:hAnsi="Bookman Old Style"/>
          <w:b/>
          <w:bCs/>
          <w:sz w:val="28"/>
          <w:szCs w:val="28"/>
        </w:rPr>
      </w:pPr>
      <w:r w:rsidRPr="00D26622">
        <w:rPr>
          <w:rFonts w:ascii="Bookman Old Style" w:hAnsi="Bookman Old Style"/>
          <w:b/>
          <w:bCs/>
          <w:sz w:val="28"/>
          <w:szCs w:val="28"/>
        </w:rPr>
        <w:t xml:space="preserve">                                                                                                                                                                                                                  </w:t>
      </w:r>
    </w:p>
    <w:p w14:paraId="5A58F0D7" w14:textId="77777777" w:rsidR="001C6E52" w:rsidRPr="00D26622" w:rsidRDefault="001C6E52" w:rsidP="001C6E52">
      <w:pPr>
        <w:rPr>
          <w:rFonts w:ascii="Bookman Old Style" w:hAnsi="Bookman Old Style"/>
          <w:b/>
          <w:bCs/>
          <w:sz w:val="28"/>
          <w:szCs w:val="28"/>
        </w:rPr>
      </w:pPr>
    </w:p>
    <w:p w14:paraId="211C6131" w14:textId="42C063D5" w:rsidR="001C6E52" w:rsidRPr="00D26622" w:rsidRDefault="00D26622" w:rsidP="001C6E52">
      <w:pPr>
        <w:rPr>
          <w:rFonts w:ascii="Bookman Old Style" w:hAnsi="Bookman Old Style"/>
          <w:sz w:val="28"/>
          <w:szCs w:val="28"/>
        </w:rPr>
      </w:pPr>
      <w:r>
        <w:rPr>
          <w:rFonts w:ascii="Bookman Old Style" w:hAnsi="Bookman Old Style"/>
          <w:b/>
          <w:bCs/>
          <w:sz w:val="28"/>
          <w:szCs w:val="28"/>
        </w:rPr>
        <w:t>CORAM</w:t>
      </w:r>
      <w:r w:rsidR="001C6E52" w:rsidRPr="00D26622">
        <w:rPr>
          <w:rFonts w:ascii="Bookman Old Style" w:hAnsi="Bookman Old Style"/>
          <w:b/>
          <w:bCs/>
          <w:sz w:val="28"/>
          <w:szCs w:val="28"/>
        </w:rPr>
        <w:t xml:space="preserve">: </w:t>
      </w:r>
      <w:r>
        <w:rPr>
          <w:rFonts w:ascii="Bookman Old Style" w:hAnsi="Bookman Old Style"/>
          <w:b/>
          <w:bCs/>
          <w:sz w:val="28"/>
          <w:szCs w:val="28"/>
        </w:rPr>
        <w:tab/>
      </w:r>
      <w:r>
        <w:rPr>
          <w:rFonts w:ascii="Bookman Old Style" w:hAnsi="Bookman Old Style"/>
          <w:b/>
          <w:bCs/>
          <w:sz w:val="28"/>
          <w:szCs w:val="28"/>
        </w:rPr>
        <w:tab/>
      </w:r>
      <w:r w:rsidRPr="00D26622">
        <w:rPr>
          <w:rFonts w:ascii="Bookman Old Style" w:hAnsi="Bookman Old Style"/>
          <w:sz w:val="28"/>
          <w:szCs w:val="28"/>
        </w:rPr>
        <w:t>K.</w:t>
      </w:r>
      <w:r w:rsidR="00394549" w:rsidRPr="00D26622">
        <w:rPr>
          <w:rFonts w:ascii="Bookman Old Style" w:hAnsi="Bookman Old Style"/>
          <w:sz w:val="28"/>
          <w:szCs w:val="28"/>
        </w:rPr>
        <w:t xml:space="preserve">E. </w:t>
      </w:r>
      <w:r w:rsidR="00405F15" w:rsidRPr="00D26622">
        <w:rPr>
          <w:rFonts w:ascii="Bookman Old Style" w:hAnsi="Bookman Old Style"/>
          <w:sz w:val="28"/>
          <w:szCs w:val="28"/>
        </w:rPr>
        <w:t>MOSITO P</w:t>
      </w:r>
    </w:p>
    <w:p w14:paraId="58C95CA8" w14:textId="754C530C" w:rsidR="001C6E52" w:rsidRPr="00D26622" w:rsidRDefault="001C6E52" w:rsidP="001C6E52">
      <w:pPr>
        <w:ind w:left="720"/>
        <w:rPr>
          <w:rFonts w:ascii="Bookman Old Style" w:hAnsi="Bookman Old Style"/>
          <w:sz w:val="28"/>
          <w:szCs w:val="28"/>
        </w:rPr>
      </w:pPr>
      <w:r w:rsidRPr="00D26622">
        <w:rPr>
          <w:rFonts w:ascii="Bookman Old Style" w:hAnsi="Bookman Old Style"/>
          <w:b/>
          <w:bCs/>
          <w:sz w:val="28"/>
          <w:szCs w:val="28"/>
        </w:rPr>
        <w:t xml:space="preserve">       </w:t>
      </w:r>
      <w:r w:rsidR="00D26622">
        <w:rPr>
          <w:rFonts w:ascii="Bookman Old Style" w:hAnsi="Bookman Old Style"/>
          <w:b/>
          <w:bCs/>
          <w:sz w:val="28"/>
          <w:szCs w:val="28"/>
        </w:rPr>
        <w:tab/>
      </w:r>
      <w:r w:rsidR="00D26622">
        <w:rPr>
          <w:rFonts w:ascii="Bookman Old Style" w:hAnsi="Bookman Old Style"/>
          <w:b/>
          <w:bCs/>
          <w:sz w:val="28"/>
          <w:szCs w:val="28"/>
        </w:rPr>
        <w:tab/>
      </w:r>
      <w:r w:rsidR="00831A7B" w:rsidRPr="00D26622">
        <w:rPr>
          <w:rFonts w:ascii="Bookman Old Style" w:hAnsi="Bookman Old Style"/>
          <w:sz w:val="28"/>
          <w:szCs w:val="28"/>
        </w:rPr>
        <w:t>P</w:t>
      </w:r>
      <w:r w:rsidR="00394549" w:rsidRPr="00D26622">
        <w:rPr>
          <w:rFonts w:ascii="Bookman Old Style" w:hAnsi="Bookman Old Style"/>
          <w:sz w:val="28"/>
          <w:szCs w:val="28"/>
        </w:rPr>
        <w:t>.</w:t>
      </w:r>
      <w:r w:rsidR="00831A7B" w:rsidRPr="00D26622">
        <w:rPr>
          <w:rFonts w:ascii="Bookman Old Style" w:hAnsi="Bookman Old Style"/>
          <w:sz w:val="28"/>
          <w:szCs w:val="28"/>
        </w:rPr>
        <w:t xml:space="preserve"> </w:t>
      </w:r>
      <w:r w:rsidRPr="00D26622">
        <w:rPr>
          <w:rFonts w:ascii="Bookman Old Style" w:hAnsi="Bookman Old Style"/>
          <w:sz w:val="28"/>
          <w:szCs w:val="28"/>
        </w:rPr>
        <w:t>MUSONDA AJA</w:t>
      </w:r>
    </w:p>
    <w:p w14:paraId="3FF47A4A" w14:textId="006653FE" w:rsidR="001C6E52" w:rsidRPr="00D26622" w:rsidRDefault="001C6E52" w:rsidP="001C6E52">
      <w:pPr>
        <w:ind w:firstLine="720"/>
        <w:rPr>
          <w:rFonts w:ascii="Bookman Old Style" w:hAnsi="Bookman Old Style"/>
          <w:sz w:val="28"/>
          <w:szCs w:val="28"/>
        </w:rPr>
      </w:pPr>
      <w:r w:rsidRPr="00D26622">
        <w:rPr>
          <w:rFonts w:ascii="Bookman Old Style" w:hAnsi="Bookman Old Style"/>
          <w:sz w:val="28"/>
          <w:szCs w:val="28"/>
        </w:rPr>
        <w:t xml:space="preserve">       </w:t>
      </w:r>
      <w:r w:rsidR="00D26622" w:rsidRPr="00D26622">
        <w:rPr>
          <w:rFonts w:ascii="Bookman Old Style" w:hAnsi="Bookman Old Style"/>
          <w:sz w:val="28"/>
          <w:szCs w:val="28"/>
        </w:rPr>
        <w:tab/>
      </w:r>
      <w:r w:rsidR="00D26622" w:rsidRPr="00D26622">
        <w:rPr>
          <w:rFonts w:ascii="Bookman Old Style" w:hAnsi="Bookman Old Style"/>
          <w:sz w:val="28"/>
          <w:szCs w:val="28"/>
        </w:rPr>
        <w:tab/>
      </w:r>
      <w:r w:rsidR="00394549" w:rsidRPr="00D26622">
        <w:rPr>
          <w:rFonts w:ascii="Bookman Old Style" w:hAnsi="Bookman Old Style"/>
          <w:sz w:val="28"/>
          <w:szCs w:val="28"/>
        </w:rPr>
        <w:t>M</w:t>
      </w:r>
      <w:r w:rsidR="00341F84" w:rsidRPr="00D26622">
        <w:rPr>
          <w:rFonts w:ascii="Bookman Old Style" w:hAnsi="Bookman Old Style"/>
          <w:sz w:val="28"/>
          <w:szCs w:val="28"/>
        </w:rPr>
        <w:t>.</w:t>
      </w:r>
      <w:r w:rsidR="00394549" w:rsidRPr="00D26622">
        <w:rPr>
          <w:rFonts w:ascii="Bookman Old Style" w:hAnsi="Bookman Old Style"/>
          <w:sz w:val="28"/>
          <w:szCs w:val="28"/>
        </w:rPr>
        <w:t>H</w:t>
      </w:r>
      <w:r w:rsidR="00341F84" w:rsidRPr="00D26622">
        <w:rPr>
          <w:rFonts w:ascii="Bookman Old Style" w:hAnsi="Bookman Old Style"/>
          <w:sz w:val="28"/>
          <w:szCs w:val="28"/>
        </w:rPr>
        <w:t>.</w:t>
      </w:r>
      <w:r w:rsidR="00394549" w:rsidRPr="00D26622">
        <w:rPr>
          <w:rFonts w:ascii="Bookman Old Style" w:hAnsi="Bookman Old Style"/>
          <w:sz w:val="28"/>
          <w:szCs w:val="28"/>
        </w:rPr>
        <w:t xml:space="preserve"> </w:t>
      </w:r>
      <w:r w:rsidRPr="00D26622">
        <w:rPr>
          <w:rFonts w:ascii="Bookman Old Style" w:hAnsi="Bookman Old Style"/>
          <w:sz w:val="28"/>
          <w:szCs w:val="28"/>
        </w:rPr>
        <w:t xml:space="preserve">CHINHENGO </w:t>
      </w:r>
      <w:r w:rsidR="00405F15" w:rsidRPr="00D26622">
        <w:rPr>
          <w:rFonts w:ascii="Bookman Old Style" w:hAnsi="Bookman Old Style"/>
          <w:sz w:val="28"/>
          <w:szCs w:val="28"/>
        </w:rPr>
        <w:t>AJA</w:t>
      </w:r>
    </w:p>
    <w:p w14:paraId="0296F83D" w14:textId="74BDF554" w:rsidR="006A3204" w:rsidRPr="00D26622" w:rsidRDefault="006A3204" w:rsidP="006A3204">
      <w:pPr>
        <w:rPr>
          <w:rFonts w:ascii="Bookman Old Style" w:hAnsi="Bookman Old Style"/>
          <w:b/>
          <w:bCs/>
          <w:sz w:val="28"/>
          <w:szCs w:val="28"/>
        </w:rPr>
      </w:pPr>
    </w:p>
    <w:p w14:paraId="36798810" w14:textId="4E6CB673" w:rsidR="006A3204" w:rsidRPr="00D26622" w:rsidRDefault="006A3204" w:rsidP="006A3204">
      <w:pPr>
        <w:rPr>
          <w:rFonts w:ascii="Bookman Old Style" w:hAnsi="Bookman Old Style"/>
          <w:sz w:val="28"/>
          <w:szCs w:val="28"/>
        </w:rPr>
      </w:pPr>
      <w:r w:rsidRPr="00D26622">
        <w:rPr>
          <w:rFonts w:ascii="Bookman Old Style" w:hAnsi="Bookman Old Style"/>
          <w:b/>
          <w:bCs/>
          <w:sz w:val="28"/>
          <w:szCs w:val="28"/>
        </w:rPr>
        <w:t xml:space="preserve">HEARD: </w:t>
      </w:r>
      <w:r w:rsidR="00D26622">
        <w:rPr>
          <w:rFonts w:ascii="Bookman Old Style" w:hAnsi="Bookman Old Style"/>
          <w:b/>
          <w:bCs/>
          <w:sz w:val="28"/>
          <w:szCs w:val="28"/>
        </w:rPr>
        <w:tab/>
      </w:r>
      <w:r w:rsidR="00D26622">
        <w:rPr>
          <w:rFonts w:ascii="Bookman Old Style" w:hAnsi="Bookman Old Style"/>
          <w:b/>
          <w:bCs/>
          <w:sz w:val="28"/>
          <w:szCs w:val="28"/>
        </w:rPr>
        <w:tab/>
      </w:r>
      <w:r w:rsidRPr="00D26622">
        <w:rPr>
          <w:rFonts w:ascii="Bookman Old Style" w:hAnsi="Bookman Old Style"/>
          <w:sz w:val="28"/>
          <w:szCs w:val="28"/>
        </w:rPr>
        <w:t>11 OCTOBER 2022</w:t>
      </w:r>
    </w:p>
    <w:p w14:paraId="6EF524D9" w14:textId="3BA02F92" w:rsidR="006A3204" w:rsidRPr="00D26622" w:rsidRDefault="006A3204" w:rsidP="006A3204">
      <w:pPr>
        <w:rPr>
          <w:rFonts w:ascii="Bookman Old Style" w:hAnsi="Bookman Old Style"/>
          <w:sz w:val="28"/>
          <w:szCs w:val="28"/>
        </w:rPr>
      </w:pPr>
      <w:r w:rsidRPr="00D26622">
        <w:rPr>
          <w:rFonts w:ascii="Bookman Old Style" w:hAnsi="Bookman Old Style"/>
          <w:b/>
          <w:bCs/>
          <w:sz w:val="28"/>
          <w:szCs w:val="28"/>
        </w:rPr>
        <w:t xml:space="preserve">DELIVERED: </w:t>
      </w:r>
      <w:r w:rsidR="00D26622">
        <w:rPr>
          <w:rFonts w:ascii="Bookman Old Style" w:hAnsi="Bookman Old Style"/>
          <w:b/>
          <w:bCs/>
          <w:sz w:val="28"/>
          <w:szCs w:val="28"/>
        </w:rPr>
        <w:tab/>
      </w:r>
      <w:r w:rsidRPr="00D26622">
        <w:rPr>
          <w:rFonts w:ascii="Bookman Old Style" w:hAnsi="Bookman Old Style"/>
          <w:sz w:val="28"/>
          <w:szCs w:val="28"/>
        </w:rPr>
        <w:t>11 NOVEMBER 2022</w:t>
      </w:r>
    </w:p>
    <w:p w14:paraId="210439E2" w14:textId="77777777" w:rsidR="001C6E52" w:rsidRPr="00D26622" w:rsidRDefault="001C6E52" w:rsidP="001C6E52">
      <w:pPr>
        <w:rPr>
          <w:rFonts w:ascii="Bookman Old Style" w:hAnsi="Bookman Old Style"/>
          <w:b/>
          <w:bCs/>
          <w:sz w:val="28"/>
          <w:szCs w:val="28"/>
        </w:rPr>
      </w:pPr>
    </w:p>
    <w:p w14:paraId="6B1DEA55" w14:textId="77777777" w:rsidR="00D26622" w:rsidRDefault="00D26622" w:rsidP="001C6E52">
      <w:pPr>
        <w:jc w:val="center"/>
        <w:rPr>
          <w:rFonts w:ascii="Bookman Old Style" w:hAnsi="Bookman Old Style"/>
          <w:b/>
          <w:bCs/>
          <w:i/>
          <w:iCs/>
          <w:sz w:val="28"/>
          <w:szCs w:val="28"/>
        </w:rPr>
      </w:pPr>
    </w:p>
    <w:p w14:paraId="3A2D5424" w14:textId="2465A955" w:rsidR="001C6E52" w:rsidRDefault="001C6E52" w:rsidP="001C6E52">
      <w:pPr>
        <w:jc w:val="center"/>
        <w:rPr>
          <w:rFonts w:ascii="Bookman Old Style" w:hAnsi="Bookman Old Style"/>
          <w:b/>
          <w:bCs/>
          <w:i/>
          <w:iCs/>
          <w:sz w:val="28"/>
          <w:szCs w:val="28"/>
        </w:rPr>
      </w:pPr>
      <w:r w:rsidRPr="00D26622">
        <w:rPr>
          <w:rFonts w:ascii="Bookman Old Style" w:hAnsi="Bookman Old Style"/>
          <w:b/>
          <w:bCs/>
          <w:i/>
          <w:iCs/>
          <w:sz w:val="28"/>
          <w:szCs w:val="28"/>
        </w:rPr>
        <w:t>SUMMARY</w:t>
      </w:r>
    </w:p>
    <w:p w14:paraId="6FB596C3" w14:textId="77777777" w:rsidR="00D26622" w:rsidRPr="00D26622" w:rsidRDefault="00D26622" w:rsidP="001C6E52">
      <w:pPr>
        <w:jc w:val="center"/>
        <w:rPr>
          <w:rFonts w:ascii="Bookman Old Style" w:hAnsi="Bookman Old Style"/>
          <w:b/>
          <w:bCs/>
          <w:i/>
          <w:iCs/>
          <w:sz w:val="28"/>
          <w:szCs w:val="28"/>
        </w:rPr>
      </w:pPr>
    </w:p>
    <w:p w14:paraId="7537FACC" w14:textId="5B3B4137" w:rsidR="0045014F" w:rsidRPr="00AA6FF5" w:rsidRDefault="006A3204" w:rsidP="0045014F">
      <w:pPr>
        <w:ind w:left="720"/>
        <w:jc w:val="both"/>
        <w:rPr>
          <w:rFonts w:ascii="Bookman Old Style" w:hAnsi="Bookman Old Style"/>
          <w:i/>
          <w:iCs/>
          <w:sz w:val="28"/>
          <w:szCs w:val="28"/>
        </w:rPr>
      </w:pPr>
      <w:r w:rsidRPr="00AA6FF5">
        <w:rPr>
          <w:rFonts w:ascii="Bookman Old Style" w:hAnsi="Bookman Old Style"/>
          <w:i/>
          <w:iCs/>
          <w:sz w:val="28"/>
          <w:szCs w:val="28"/>
        </w:rPr>
        <w:t>Appellant being insurer of a motor vehicle</w:t>
      </w:r>
      <w:r w:rsidR="0045014F" w:rsidRPr="00AA6FF5">
        <w:rPr>
          <w:rFonts w:ascii="Bookman Old Style" w:hAnsi="Bookman Old Style"/>
          <w:i/>
          <w:iCs/>
          <w:sz w:val="28"/>
          <w:szCs w:val="28"/>
        </w:rPr>
        <w:t>;</w:t>
      </w:r>
      <w:r w:rsidRPr="00AA6FF5">
        <w:rPr>
          <w:rFonts w:ascii="Bookman Old Style" w:hAnsi="Bookman Old Style"/>
          <w:i/>
          <w:iCs/>
          <w:sz w:val="28"/>
          <w:szCs w:val="28"/>
        </w:rPr>
        <w:t xml:space="preserve"> insured vehicle involved in a collision with a </w:t>
      </w:r>
      <w:proofErr w:type="gramStart"/>
      <w:r w:rsidRPr="00AA6FF5">
        <w:rPr>
          <w:rFonts w:ascii="Bookman Old Style" w:hAnsi="Bookman Old Style"/>
          <w:i/>
          <w:iCs/>
          <w:sz w:val="28"/>
          <w:szCs w:val="28"/>
        </w:rPr>
        <w:t>third party</w:t>
      </w:r>
      <w:proofErr w:type="gramEnd"/>
      <w:r w:rsidRPr="00AA6FF5">
        <w:rPr>
          <w:rFonts w:ascii="Bookman Old Style" w:hAnsi="Bookman Old Style"/>
          <w:i/>
          <w:iCs/>
          <w:sz w:val="28"/>
          <w:szCs w:val="28"/>
        </w:rPr>
        <w:t xml:space="preserve"> </w:t>
      </w:r>
      <w:r w:rsidR="004F0AEF" w:rsidRPr="00AA6FF5">
        <w:rPr>
          <w:rFonts w:ascii="Bookman Old Style" w:hAnsi="Bookman Old Style"/>
          <w:i/>
          <w:iCs/>
          <w:sz w:val="28"/>
          <w:szCs w:val="28"/>
        </w:rPr>
        <w:t>vehicle.</w:t>
      </w:r>
    </w:p>
    <w:p w14:paraId="50DF6842" w14:textId="77777777" w:rsidR="0045014F" w:rsidRPr="00AA6FF5" w:rsidRDefault="0045014F" w:rsidP="0045014F">
      <w:pPr>
        <w:ind w:left="720"/>
        <w:jc w:val="both"/>
        <w:rPr>
          <w:rFonts w:ascii="Bookman Old Style" w:hAnsi="Bookman Old Style"/>
          <w:i/>
          <w:iCs/>
          <w:sz w:val="28"/>
          <w:szCs w:val="28"/>
        </w:rPr>
      </w:pPr>
    </w:p>
    <w:p w14:paraId="0BC98C15" w14:textId="4903DF2A" w:rsidR="0045014F" w:rsidRPr="00AA6FF5" w:rsidRDefault="006A3204" w:rsidP="0045014F">
      <w:pPr>
        <w:ind w:left="720"/>
        <w:jc w:val="both"/>
        <w:rPr>
          <w:rFonts w:ascii="Bookman Old Style" w:hAnsi="Bookman Old Style"/>
          <w:i/>
          <w:iCs/>
          <w:sz w:val="28"/>
          <w:szCs w:val="28"/>
        </w:rPr>
      </w:pPr>
      <w:r w:rsidRPr="00AA6FF5">
        <w:rPr>
          <w:rFonts w:ascii="Bookman Old Style" w:hAnsi="Bookman Old Style"/>
          <w:i/>
          <w:iCs/>
          <w:sz w:val="28"/>
          <w:szCs w:val="28"/>
        </w:rPr>
        <w:t xml:space="preserve"> Third party having sent </w:t>
      </w:r>
      <w:r w:rsidR="00BC217B" w:rsidRPr="00AA6FF5">
        <w:rPr>
          <w:rFonts w:ascii="Bookman Old Style" w:hAnsi="Bookman Old Style"/>
          <w:i/>
          <w:iCs/>
          <w:sz w:val="28"/>
          <w:szCs w:val="28"/>
        </w:rPr>
        <w:t>its vehicle to respondent for assessment of extent of damage and respondent charging for assessing damage and</w:t>
      </w:r>
      <w:r w:rsidR="0045014F" w:rsidRPr="00AA6FF5">
        <w:rPr>
          <w:rFonts w:ascii="Bookman Old Style" w:hAnsi="Bookman Old Style"/>
          <w:i/>
          <w:iCs/>
          <w:sz w:val="28"/>
          <w:szCs w:val="28"/>
        </w:rPr>
        <w:t xml:space="preserve"> for</w:t>
      </w:r>
      <w:r w:rsidR="00BC217B" w:rsidRPr="00AA6FF5">
        <w:rPr>
          <w:rFonts w:ascii="Bookman Old Style" w:hAnsi="Bookman Old Style"/>
          <w:i/>
          <w:iCs/>
          <w:sz w:val="28"/>
          <w:szCs w:val="28"/>
        </w:rPr>
        <w:t xml:space="preserve"> storage while vehicle at its premises; Appellant </w:t>
      </w:r>
      <w:r w:rsidR="004F0AEF" w:rsidRPr="00AA6FF5">
        <w:rPr>
          <w:rFonts w:ascii="Bookman Old Style" w:hAnsi="Bookman Old Style"/>
          <w:i/>
          <w:iCs/>
          <w:sz w:val="28"/>
          <w:szCs w:val="28"/>
        </w:rPr>
        <w:t>indemnifying owner</w:t>
      </w:r>
      <w:r w:rsidR="00BC217B" w:rsidRPr="00AA6FF5">
        <w:rPr>
          <w:rFonts w:ascii="Bookman Old Style" w:hAnsi="Bookman Old Style"/>
          <w:i/>
          <w:iCs/>
          <w:sz w:val="28"/>
          <w:szCs w:val="28"/>
        </w:rPr>
        <w:t xml:space="preserve"> of vehicle and keen to retrieve vehicle from respondent and providing security bond for third party charges; </w:t>
      </w:r>
    </w:p>
    <w:p w14:paraId="4D640A4E" w14:textId="77777777" w:rsidR="0045014F" w:rsidRPr="00AA6FF5" w:rsidRDefault="0045014F" w:rsidP="0045014F">
      <w:pPr>
        <w:ind w:left="720"/>
        <w:jc w:val="both"/>
        <w:rPr>
          <w:rFonts w:ascii="Bookman Old Style" w:hAnsi="Bookman Old Style"/>
          <w:i/>
          <w:iCs/>
          <w:sz w:val="28"/>
          <w:szCs w:val="28"/>
        </w:rPr>
      </w:pPr>
    </w:p>
    <w:p w14:paraId="2DBABCC3" w14:textId="77777777" w:rsidR="0045014F" w:rsidRPr="00AA6FF5" w:rsidRDefault="00BC217B" w:rsidP="0045014F">
      <w:pPr>
        <w:ind w:left="720"/>
        <w:jc w:val="both"/>
        <w:rPr>
          <w:rFonts w:ascii="Bookman Old Style" w:hAnsi="Bookman Old Style"/>
          <w:i/>
          <w:iCs/>
          <w:sz w:val="28"/>
          <w:szCs w:val="28"/>
        </w:rPr>
      </w:pPr>
      <w:r w:rsidRPr="00AA6FF5">
        <w:rPr>
          <w:rFonts w:ascii="Bookman Old Style" w:hAnsi="Bookman Old Style"/>
          <w:i/>
          <w:iCs/>
          <w:sz w:val="28"/>
          <w:szCs w:val="28"/>
        </w:rPr>
        <w:t xml:space="preserve">Respondent refusing to release vehicle and continuing to charge storage costs but not instituting action to recover same; </w:t>
      </w:r>
    </w:p>
    <w:p w14:paraId="3C913868" w14:textId="77777777" w:rsidR="0045014F" w:rsidRPr="00AA6FF5" w:rsidRDefault="0045014F" w:rsidP="0045014F">
      <w:pPr>
        <w:ind w:left="720"/>
        <w:jc w:val="both"/>
        <w:rPr>
          <w:rFonts w:ascii="Bookman Old Style" w:hAnsi="Bookman Old Style"/>
          <w:i/>
          <w:iCs/>
          <w:sz w:val="28"/>
          <w:szCs w:val="28"/>
        </w:rPr>
      </w:pPr>
    </w:p>
    <w:p w14:paraId="1DB3C734" w14:textId="2A2DC021" w:rsidR="009E7D93" w:rsidRPr="00AA6FF5" w:rsidRDefault="00BC217B" w:rsidP="0045014F">
      <w:pPr>
        <w:ind w:left="720"/>
        <w:jc w:val="both"/>
        <w:rPr>
          <w:rFonts w:ascii="Bookman Old Style" w:hAnsi="Bookman Old Style"/>
          <w:i/>
          <w:iCs/>
          <w:sz w:val="28"/>
          <w:szCs w:val="28"/>
        </w:rPr>
      </w:pPr>
      <w:r w:rsidRPr="00AA6FF5">
        <w:rPr>
          <w:rFonts w:ascii="Bookman Old Style" w:hAnsi="Bookman Old Style"/>
          <w:i/>
          <w:iCs/>
          <w:sz w:val="28"/>
          <w:szCs w:val="28"/>
        </w:rPr>
        <w:t>On application to High Court for release of vehicle against provision of security, court dismissing app</w:t>
      </w:r>
      <w:r w:rsidR="009E7D93" w:rsidRPr="00AA6FF5">
        <w:rPr>
          <w:rFonts w:ascii="Bookman Old Style" w:hAnsi="Bookman Old Style"/>
          <w:i/>
          <w:iCs/>
          <w:sz w:val="28"/>
          <w:szCs w:val="28"/>
        </w:rPr>
        <w:t>lication</w:t>
      </w:r>
      <w:r w:rsidRPr="00AA6FF5">
        <w:rPr>
          <w:rFonts w:ascii="Bookman Old Style" w:hAnsi="Bookman Old Style"/>
          <w:i/>
          <w:iCs/>
          <w:sz w:val="28"/>
          <w:szCs w:val="28"/>
        </w:rPr>
        <w:t xml:space="preserve"> </w:t>
      </w:r>
      <w:r w:rsidR="009E7D93" w:rsidRPr="00AA6FF5">
        <w:rPr>
          <w:rFonts w:ascii="Bookman Old Style" w:hAnsi="Bookman Old Style"/>
          <w:i/>
          <w:iCs/>
          <w:sz w:val="28"/>
          <w:szCs w:val="28"/>
        </w:rPr>
        <w:t>finding that</w:t>
      </w:r>
      <w:r w:rsidRPr="00AA6FF5">
        <w:rPr>
          <w:rFonts w:ascii="Bookman Old Style" w:hAnsi="Bookman Old Style"/>
          <w:i/>
          <w:iCs/>
          <w:sz w:val="28"/>
          <w:szCs w:val="28"/>
        </w:rPr>
        <w:t xml:space="preserve"> </w:t>
      </w:r>
      <w:r w:rsidR="009E7D93" w:rsidRPr="00AA6FF5">
        <w:rPr>
          <w:rFonts w:ascii="Bookman Old Style" w:hAnsi="Bookman Old Style"/>
          <w:i/>
          <w:iCs/>
          <w:sz w:val="28"/>
          <w:szCs w:val="28"/>
        </w:rPr>
        <w:t xml:space="preserve">an agreement existed justifying assessment and storage </w:t>
      </w:r>
      <w:r w:rsidR="009E7D93" w:rsidRPr="00AA6FF5">
        <w:rPr>
          <w:rFonts w:ascii="Bookman Old Style" w:hAnsi="Bookman Old Style"/>
          <w:i/>
          <w:iCs/>
          <w:sz w:val="28"/>
          <w:szCs w:val="28"/>
        </w:rPr>
        <w:lastRenderedPageBreak/>
        <w:t xml:space="preserve">charges and accordingly </w:t>
      </w:r>
      <w:r w:rsidRPr="00AA6FF5">
        <w:rPr>
          <w:rFonts w:ascii="Bookman Old Style" w:hAnsi="Bookman Old Style"/>
          <w:i/>
          <w:iCs/>
          <w:sz w:val="28"/>
          <w:szCs w:val="28"/>
        </w:rPr>
        <w:t>respondent entitled to retain vehicle until all his charges are paid</w:t>
      </w:r>
      <w:r w:rsidR="009E7D93" w:rsidRPr="00AA6FF5">
        <w:rPr>
          <w:rFonts w:ascii="Bookman Old Style" w:hAnsi="Bookman Old Style"/>
          <w:i/>
          <w:iCs/>
          <w:sz w:val="28"/>
          <w:szCs w:val="28"/>
        </w:rPr>
        <w:t>;</w:t>
      </w:r>
    </w:p>
    <w:p w14:paraId="38307D5E" w14:textId="77777777" w:rsidR="0045014F" w:rsidRPr="00AA6FF5" w:rsidRDefault="0045014F" w:rsidP="0045014F">
      <w:pPr>
        <w:ind w:left="720"/>
        <w:jc w:val="both"/>
        <w:rPr>
          <w:rFonts w:ascii="Bookman Old Style" w:hAnsi="Bookman Old Style"/>
          <w:i/>
          <w:iCs/>
          <w:sz w:val="28"/>
          <w:szCs w:val="28"/>
        </w:rPr>
      </w:pPr>
    </w:p>
    <w:p w14:paraId="4C82ED4D" w14:textId="0140977C" w:rsidR="0045014F" w:rsidRPr="00AA6FF5" w:rsidRDefault="009E7D93" w:rsidP="0045014F">
      <w:pPr>
        <w:ind w:left="720"/>
        <w:jc w:val="both"/>
        <w:rPr>
          <w:rFonts w:ascii="Bookman Old Style" w:hAnsi="Bookman Old Style"/>
          <w:i/>
          <w:iCs/>
          <w:sz w:val="28"/>
          <w:szCs w:val="28"/>
        </w:rPr>
      </w:pPr>
      <w:r w:rsidRPr="00AA6FF5">
        <w:rPr>
          <w:rFonts w:ascii="Bookman Old Style" w:hAnsi="Bookman Old Style"/>
          <w:i/>
          <w:iCs/>
          <w:sz w:val="28"/>
          <w:szCs w:val="28"/>
        </w:rPr>
        <w:t xml:space="preserve">On appeal High Court decision set aside on grounds that no agreement on assessment and storage existed between appellant and respondent; that respondent had to prove its unliquidated claim against owner of vehicle; and that respondent not entitled to retain vehicle </w:t>
      </w:r>
      <w:r w:rsidR="0045014F" w:rsidRPr="00AA6FF5">
        <w:rPr>
          <w:rFonts w:ascii="Bookman Old Style" w:hAnsi="Bookman Old Style"/>
          <w:i/>
          <w:iCs/>
          <w:sz w:val="28"/>
          <w:szCs w:val="28"/>
        </w:rPr>
        <w:t xml:space="preserve">and continue to charge storage charges in circumstances </w:t>
      </w:r>
      <w:r w:rsidRPr="00AA6FF5">
        <w:rPr>
          <w:rFonts w:ascii="Bookman Old Style" w:hAnsi="Bookman Old Style"/>
          <w:i/>
          <w:iCs/>
          <w:sz w:val="28"/>
          <w:szCs w:val="28"/>
        </w:rPr>
        <w:t>where security for its costs provided</w:t>
      </w:r>
      <w:r w:rsidR="0045014F" w:rsidRPr="00AA6FF5">
        <w:rPr>
          <w:rFonts w:ascii="Bookman Old Style" w:hAnsi="Bookman Old Style"/>
          <w:i/>
          <w:iCs/>
          <w:sz w:val="28"/>
          <w:szCs w:val="28"/>
        </w:rPr>
        <w:t>;</w:t>
      </w:r>
    </w:p>
    <w:p w14:paraId="2600125E" w14:textId="77777777" w:rsidR="0045014F" w:rsidRPr="00AA6FF5" w:rsidRDefault="0045014F" w:rsidP="0045014F">
      <w:pPr>
        <w:ind w:left="720"/>
        <w:jc w:val="both"/>
        <w:rPr>
          <w:rFonts w:ascii="Bookman Old Style" w:hAnsi="Bookman Old Style"/>
          <w:i/>
          <w:iCs/>
          <w:sz w:val="28"/>
          <w:szCs w:val="28"/>
        </w:rPr>
      </w:pPr>
    </w:p>
    <w:p w14:paraId="3DC3DB16" w14:textId="1FB3B712" w:rsidR="006A3204" w:rsidRPr="00AA6FF5" w:rsidRDefault="0045014F" w:rsidP="0045014F">
      <w:pPr>
        <w:ind w:firstLine="720"/>
        <w:jc w:val="both"/>
        <w:rPr>
          <w:rFonts w:ascii="Bookman Old Style" w:hAnsi="Bookman Old Style"/>
          <w:i/>
          <w:iCs/>
          <w:sz w:val="28"/>
          <w:szCs w:val="28"/>
        </w:rPr>
      </w:pPr>
      <w:r w:rsidRPr="00AA6FF5">
        <w:rPr>
          <w:rFonts w:ascii="Bookman Old Style" w:hAnsi="Bookman Old Style"/>
          <w:i/>
          <w:iCs/>
          <w:sz w:val="28"/>
          <w:szCs w:val="28"/>
        </w:rPr>
        <w:t xml:space="preserve"> Appeal upheld with costs</w:t>
      </w:r>
      <w:r w:rsidR="009E7D93" w:rsidRPr="00AA6FF5">
        <w:rPr>
          <w:rFonts w:ascii="Bookman Old Style" w:hAnsi="Bookman Old Style"/>
          <w:i/>
          <w:iCs/>
          <w:sz w:val="28"/>
          <w:szCs w:val="28"/>
        </w:rPr>
        <w:t xml:space="preserve"> </w:t>
      </w:r>
    </w:p>
    <w:p w14:paraId="2C3F0A65" w14:textId="77777777" w:rsidR="0045014F" w:rsidRPr="00AA6FF5" w:rsidRDefault="0045014F" w:rsidP="001C6E52">
      <w:pPr>
        <w:ind w:firstLine="720"/>
        <w:rPr>
          <w:rFonts w:ascii="Bookman Old Style" w:hAnsi="Bookman Old Style"/>
          <w:sz w:val="28"/>
          <w:szCs w:val="28"/>
        </w:rPr>
      </w:pPr>
    </w:p>
    <w:p w14:paraId="598BF977" w14:textId="77777777" w:rsidR="0045014F" w:rsidRPr="00AA6FF5" w:rsidRDefault="0045014F" w:rsidP="001C6E52">
      <w:pPr>
        <w:ind w:firstLine="720"/>
        <w:rPr>
          <w:rFonts w:ascii="Bookman Old Style" w:hAnsi="Bookman Old Style"/>
          <w:sz w:val="28"/>
          <w:szCs w:val="28"/>
        </w:rPr>
      </w:pPr>
    </w:p>
    <w:p w14:paraId="59E3D755" w14:textId="77777777" w:rsidR="00F95E37" w:rsidRDefault="00F95E37" w:rsidP="001B532C">
      <w:pPr>
        <w:spacing w:line="360" w:lineRule="auto"/>
        <w:jc w:val="center"/>
        <w:rPr>
          <w:rFonts w:ascii="Bookman Old Style" w:hAnsi="Bookman Old Style"/>
          <w:b/>
          <w:bCs/>
          <w:sz w:val="28"/>
          <w:szCs w:val="28"/>
        </w:rPr>
      </w:pPr>
    </w:p>
    <w:p w14:paraId="74B11949" w14:textId="0DCF0447" w:rsidR="001C6E52" w:rsidRDefault="001C6E52" w:rsidP="001B532C">
      <w:pPr>
        <w:spacing w:line="360" w:lineRule="auto"/>
        <w:jc w:val="center"/>
        <w:rPr>
          <w:rFonts w:ascii="Bookman Old Style" w:hAnsi="Bookman Old Style"/>
          <w:b/>
          <w:bCs/>
          <w:sz w:val="28"/>
          <w:szCs w:val="28"/>
        </w:rPr>
      </w:pPr>
      <w:r w:rsidRPr="00C06CED">
        <w:rPr>
          <w:rFonts w:ascii="Bookman Old Style" w:hAnsi="Bookman Old Style"/>
          <w:b/>
          <w:bCs/>
          <w:sz w:val="28"/>
          <w:szCs w:val="28"/>
        </w:rPr>
        <w:t>JUDGMENT</w:t>
      </w:r>
    </w:p>
    <w:p w14:paraId="23D0022E" w14:textId="7DF0515C" w:rsidR="00C06CED" w:rsidRDefault="00C06CED" w:rsidP="001B532C">
      <w:pPr>
        <w:spacing w:line="360" w:lineRule="auto"/>
        <w:jc w:val="center"/>
        <w:rPr>
          <w:rFonts w:ascii="Bookman Old Style" w:hAnsi="Bookman Old Style"/>
          <w:b/>
          <w:bCs/>
          <w:sz w:val="28"/>
          <w:szCs w:val="28"/>
        </w:rPr>
      </w:pPr>
    </w:p>
    <w:p w14:paraId="6ABEA49A" w14:textId="513F8B47" w:rsidR="00C06CED" w:rsidRPr="00C06CED" w:rsidRDefault="00C06CED" w:rsidP="00C06CED">
      <w:pPr>
        <w:spacing w:line="360" w:lineRule="auto"/>
        <w:rPr>
          <w:rFonts w:ascii="Bookman Old Style" w:hAnsi="Bookman Old Style"/>
          <w:b/>
          <w:bCs/>
          <w:sz w:val="28"/>
          <w:szCs w:val="28"/>
        </w:rPr>
      </w:pPr>
      <w:r w:rsidRPr="00C06CED">
        <w:rPr>
          <w:rFonts w:ascii="Bookman Old Style" w:hAnsi="Bookman Old Style"/>
          <w:b/>
          <w:bCs/>
          <w:sz w:val="28"/>
          <w:szCs w:val="28"/>
        </w:rPr>
        <w:t xml:space="preserve">CHINHENGO </w:t>
      </w:r>
      <w:proofErr w:type="gramStart"/>
      <w:r w:rsidR="00F95E37" w:rsidRPr="00C06CED">
        <w:rPr>
          <w:rFonts w:ascii="Bookman Old Style" w:hAnsi="Bookman Old Style"/>
          <w:b/>
          <w:bCs/>
          <w:sz w:val="28"/>
          <w:szCs w:val="28"/>
        </w:rPr>
        <w:t>AJA:</w:t>
      </w:r>
      <w:r w:rsidRPr="00C06CED">
        <w:rPr>
          <w:rFonts w:ascii="Bookman Old Style" w:hAnsi="Bookman Old Style"/>
          <w:b/>
          <w:bCs/>
          <w:sz w:val="28"/>
          <w:szCs w:val="28"/>
        </w:rPr>
        <w:t>-</w:t>
      </w:r>
      <w:proofErr w:type="gramEnd"/>
    </w:p>
    <w:p w14:paraId="076E2E89" w14:textId="77777777" w:rsidR="00C06CED" w:rsidRPr="00C06CED" w:rsidRDefault="00C06CED" w:rsidP="001B532C">
      <w:pPr>
        <w:spacing w:line="360" w:lineRule="auto"/>
        <w:jc w:val="center"/>
        <w:rPr>
          <w:rFonts w:ascii="Bookman Old Style" w:hAnsi="Bookman Old Style"/>
          <w:b/>
          <w:bCs/>
          <w:sz w:val="28"/>
          <w:szCs w:val="28"/>
        </w:rPr>
      </w:pPr>
    </w:p>
    <w:p w14:paraId="15950844" w14:textId="62273FA9" w:rsidR="00A66609" w:rsidRPr="00AA6FF5" w:rsidRDefault="005339F3" w:rsidP="00C06CED">
      <w:pPr>
        <w:spacing w:line="360" w:lineRule="auto"/>
        <w:rPr>
          <w:rFonts w:ascii="Bookman Old Style" w:hAnsi="Bookman Old Style"/>
          <w:b/>
          <w:bCs/>
          <w:sz w:val="28"/>
          <w:szCs w:val="28"/>
        </w:rPr>
      </w:pPr>
      <w:r w:rsidRPr="00AA6FF5">
        <w:rPr>
          <w:rFonts w:ascii="Bookman Old Style" w:hAnsi="Bookman Old Style"/>
          <w:b/>
          <w:bCs/>
          <w:sz w:val="28"/>
          <w:szCs w:val="28"/>
        </w:rPr>
        <w:t>Introduction</w:t>
      </w:r>
    </w:p>
    <w:p w14:paraId="16C2260A" w14:textId="77777777" w:rsidR="005339F3" w:rsidRPr="00AA6FF5" w:rsidRDefault="005339F3" w:rsidP="001B532C">
      <w:pPr>
        <w:spacing w:line="360" w:lineRule="auto"/>
        <w:ind w:firstLine="720"/>
        <w:rPr>
          <w:rFonts w:ascii="Bookman Old Style" w:hAnsi="Bookman Old Style"/>
          <w:b/>
          <w:bCs/>
          <w:sz w:val="28"/>
          <w:szCs w:val="28"/>
        </w:rPr>
      </w:pPr>
    </w:p>
    <w:p w14:paraId="1A50F690" w14:textId="5B803661" w:rsidR="0014452A"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A66609" w:rsidRPr="00F95E37">
        <w:rPr>
          <w:rFonts w:ascii="Bookman Old Style" w:hAnsi="Bookman Old Style"/>
          <w:sz w:val="28"/>
          <w:szCs w:val="28"/>
        </w:rPr>
        <w:t xml:space="preserve">The appellant </w:t>
      </w:r>
      <w:r w:rsidR="00EF1132" w:rsidRPr="00F95E37">
        <w:rPr>
          <w:rFonts w:ascii="Bookman Old Style" w:hAnsi="Bookman Old Style"/>
          <w:sz w:val="28"/>
          <w:szCs w:val="28"/>
        </w:rPr>
        <w:t xml:space="preserve">is the largest insurance company in Lesotho. In the </w:t>
      </w:r>
      <w:r w:rsidR="0025042B" w:rsidRPr="00F95E37">
        <w:rPr>
          <w:rFonts w:ascii="Bookman Old Style" w:hAnsi="Bookman Old Style"/>
          <w:sz w:val="28"/>
          <w:szCs w:val="28"/>
        </w:rPr>
        <w:t xml:space="preserve">ordinary </w:t>
      </w:r>
      <w:r w:rsidR="00EF1132" w:rsidRPr="00F95E37">
        <w:rPr>
          <w:rFonts w:ascii="Bookman Old Style" w:hAnsi="Bookman Old Style"/>
          <w:sz w:val="28"/>
          <w:szCs w:val="28"/>
        </w:rPr>
        <w:t xml:space="preserve">course of its </w:t>
      </w:r>
      <w:r w:rsidRPr="00F95E37">
        <w:rPr>
          <w:rFonts w:ascii="Bookman Old Style" w:hAnsi="Bookman Old Style"/>
          <w:sz w:val="28"/>
          <w:szCs w:val="28"/>
        </w:rPr>
        <w:t>business,</w:t>
      </w:r>
      <w:r w:rsidR="00EF1132" w:rsidRPr="00F95E37">
        <w:rPr>
          <w:rFonts w:ascii="Bookman Old Style" w:hAnsi="Bookman Old Style"/>
          <w:sz w:val="28"/>
          <w:szCs w:val="28"/>
        </w:rPr>
        <w:t xml:space="preserve"> </w:t>
      </w:r>
      <w:r w:rsidR="0025042B" w:rsidRPr="00F95E37">
        <w:rPr>
          <w:rFonts w:ascii="Bookman Old Style" w:hAnsi="Bookman Old Style"/>
          <w:sz w:val="28"/>
          <w:szCs w:val="28"/>
        </w:rPr>
        <w:t>it</w:t>
      </w:r>
      <w:r w:rsidR="00EF1132" w:rsidRPr="00F95E37">
        <w:rPr>
          <w:rFonts w:ascii="Bookman Old Style" w:hAnsi="Bookman Old Style"/>
          <w:sz w:val="28"/>
          <w:szCs w:val="28"/>
        </w:rPr>
        <w:t xml:space="preserve"> insured a Toyota Yaris motor vehicle. That vehicle was involved in a road traffic accident </w:t>
      </w:r>
      <w:r w:rsidR="006A6210" w:rsidRPr="00F95E37">
        <w:rPr>
          <w:rFonts w:ascii="Bookman Old Style" w:hAnsi="Bookman Old Style"/>
          <w:sz w:val="28"/>
          <w:szCs w:val="28"/>
        </w:rPr>
        <w:t xml:space="preserve">on 27 April 2020 </w:t>
      </w:r>
      <w:r w:rsidR="00EF1132" w:rsidRPr="00F95E37">
        <w:rPr>
          <w:rFonts w:ascii="Bookman Old Style" w:hAnsi="Bookman Old Style"/>
          <w:sz w:val="28"/>
          <w:szCs w:val="28"/>
        </w:rPr>
        <w:t xml:space="preserve">with a Toyota Fortuner motor vehicle belonging to Lesotho Council of NGO’s (“LCN”). </w:t>
      </w:r>
    </w:p>
    <w:p w14:paraId="0812B424" w14:textId="77777777" w:rsidR="0014452A" w:rsidRPr="00AA6FF5" w:rsidRDefault="0014452A" w:rsidP="001B532C">
      <w:pPr>
        <w:pStyle w:val="ListParagraph"/>
        <w:spacing w:line="360" w:lineRule="auto"/>
        <w:jc w:val="both"/>
        <w:rPr>
          <w:rFonts w:ascii="Bookman Old Style" w:hAnsi="Bookman Old Style"/>
          <w:sz w:val="28"/>
          <w:szCs w:val="28"/>
        </w:rPr>
      </w:pPr>
    </w:p>
    <w:p w14:paraId="79B4207E" w14:textId="3345A4D6" w:rsidR="00D93334"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6A6210" w:rsidRPr="00F95E37">
        <w:rPr>
          <w:rFonts w:ascii="Bookman Old Style" w:hAnsi="Bookman Old Style"/>
          <w:sz w:val="28"/>
          <w:szCs w:val="28"/>
        </w:rPr>
        <w:t>On 27 May 2020, t</w:t>
      </w:r>
      <w:r w:rsidR="00EF1132" w:rsidRPr="00F95E37">
        <w:rPr>
          <w:rFonts w:ascii="Bookman Old Style" w:hAnsi="Bookman Old Style"/>
          <w:sz w:val="28"/>
          <w:szCs w:val="28"/>
        </w:rPr>
        <w:t xml:space="preserve">he LCN made a demand to the appellant’s insured for the repair or replacement of its </w:t>
      </w:r>
      <w:r w:rsidR="006A6210" w:rsidRPr="00F95E37">
        <w:rPr>
          <w:rFonts w:ascii="Bookman Old Style" w:hAnsi="Bookman Old Style"/>
          <w:sz w:val="28"/>
          <w:szCs w:val="28"/>
        </w:rPr>
        <w:t xml:space="preserve">motor </w:t>
      </w:r>
      <w:r w:rsidR="00EF1132" w:rsidRPr="00F95E37">
        <w:rPr>
          <w:rFonts w:ascii="Bookman Old Style" w:hAnsi="Bookman Old Style"/>
          <w:sz w:val="28"/>
          <w:szCs w:val="28"/>
        </w:rPr>
        <w:t>vehicle</w:t>
      </w:r>
      <w:r w:rsidR="006A6210" w:rsidRPr="00F95E37">
        <w:rPr>
          <w:rFonts w:ascii="Bookman Old Style" w:hAnsi="Bookman Old Style"/>
          <w:sz w:val="28"/>
          <w:szCs w:val="28"/>
        </w:rPr>
        <w:t xml:space="preserve">, the Toyota Fortuner. The insured referred the </w:t>
      </w:r>
      <w:r w:rsidR="001A6322" w:rsidRPr="00F95E37">
        <w:rPr>
          <w:rFonts w:ascii="Bookman Old Style" w:hAnsi="Bookman Old Style"/>
          <w:sz w:val="28"/>
          <w:szCs w:val="28"/>
        </w:rPr>
        <w:t xml:space="preserve">claim </w:t>
      </w:r>
      <w:r w:rsidR="006A6210" w:rsidRPr="00F95E37">
        <w:rPr>
          <w:rFonts w:ascii="Bookman Old Style" w:hAnsi="Bookman Old Style"/>
          <w:sz w:val="28"/>
          <w:szCs w:val="28"/>
        </w:rPr>
        <w:t xml:space="preserve">to the appellant. </w:t>
      </w:r>
      <w:r w:rsidR="00EF1132" w:rsidRPr="00F95E37">
        <w:rPr>
          <w:rFonts w:ascii="Bookman Old Style" w:hAnsi="Bookman Old Style"/>
          <w:sz w:val="28"/>
          <w:szCs w:val="28"/>
        </w:rPr>
        <w:t xml:space="preserve"> </w:t>
      </w:r>
      <w:r w:rsidR="006A6210" w:rsidRPr="00F95E37">
        <w:rPr>
          <w:rFonts w:ascii="Bookman Old Style" w:hAnsi="Bookman Old Style"/>
          <w:sz w:val="28"/>
          <w:szCs w:val="28"/>
        </w:rPr>
        <w:t xml:space="preserve">On 29 July 2020, the appellant received a letter from a firm of legal practitioners acting for a company known as Car Circuit (Pty) Ltd (Car Circuit) alleging that Car Circuit had assessed the damage to </w:t>
      </w:r>
      <w:r w:rsidR="006A6210" w:rsidRPr="00F95E37">
        <w:rPr>
          <w:rFonts w:ascii="Bookman Old Style" w:hAnsi="Bookman Old Style"/>
          <w:sz w:val="28"/>
          <w:szCs w:val="28"/>
        </w:rPr>
        <w:lastRenderedPageBreak/>
        <w:t xml:space="preserve">the Toyota Fortuner </w:t>
      </w:r>
      <w:r w:rsidR="00D93334" w:rsidRPr="00F95E37">
        <w:rPr>
          <w:rFonts w:ascii="Bookman Old Style" w:hAnsi="Bookman Old Style"/>
          <w:sz w:val="28"/>
          <w:szCs w:val="28"/>
        </w:rPr>
        <w:t xml:space="preserve">and kept it in storage </w:t>
      </w:r>
      <w:r w:rsidR="001A6322" w:rsidRPr="00F95E37">
        <w:rPr>
          <w:rFonts w:ascii="Bookman Old Style" w:hAnsi="Bookman Old Style"/>
          <w:sz w:val="28"/>
          <w:szCs w:val="28"/>
        </w:rPr>
        <w:t>at its premises. T</w:t>
      </w:r>
      <w:r w:rsidR="00D93334" w:rsidRPr="00F95E37">
        <w:rPr>
          <w:rFonts w:ascii="Bookman Old Style" w:hAnsi="Bookman Old Style"/>
          <w:sz w:val="28"/>
          <w:szCs w:val="28"/>
        </w:rPr>
        <w:t xml:space="preserve">he cost of assessment was M4 </w:t>
      </w:r>
      <w:r w:rsidRPr="00F95E37">
        <w:rPr>
          <w:rFonts w:ascii="Bookman Old Style" w:hAnsi="Bookman Old Style"/>
          <w:sz w:val="28"/>
          <w:szCs w:val="28"/>
        </w:rPr>
        <w:t>800.00,</w:t>
      </w:r>
      <w:r w:rsidR="00D93334" w:rsidRPr="00F95E37">
        <w:rPr>
          <w:rFonts w:ascii="Bookman Old Style" w:hAnsi="Bookman Old Style"/>
          <w:sz w:val="28"/>
          <w:szCs w:val="28"/>
        </w:rPr>
        <w:t xml:space="preserve"> and the cost of storage was M48 100.00. After the appellant requested for invoice</w:t>
      </w:r>
      <w:r w:rsidR="00C14E99" w:rsidRPr="00F95E37">
        <w:rPr>
          <w:rFonts w:ascii="Bookman Old Style" w:hAnsi="Bookman Old Style"/>
          <w:sz w:val="28"/>
          <w:szCs w:val="28"/>
        </w:rPr>
        <w:t>s</w:t>
      </w:r>
      <w:r w:rsidR="00D93334" w:rsidRPr="00F95E37">
        <w:rPr>
          <w:rFonts w:ascii="Bookman Old Style" w:hAnsi="Bookman Old Style"/>
          <w:sz w:val="28"/>
          <w:szCs w:val="28"/>
        </w:rPr>
        <w:t xml:space="preserve"> support</w:t>
      </w:r>
      <w:r w:rsidR="00C14E99" w:rsidRPr="00F95E37">
        <w:rPr>
          <w:rFonts w:ascii="Bookman Old Style" w:hAnsi="Bookman Old Style"/>
          <w:sz w:val="28"/>
          <w:szCs w:val="28"/>
        </w:rPr>
        <w:t>ing</w:t>
      </w:r>
      <w:r w:rsidR="00D93334" w:rsidRPr="00F95E37">
        <w:rPr>
          <w:rFonts w:ascii="Bookman Old Style" w:hAnsi="Bookman Old Style"/>
          <w:sz w:val="28"/>
          <w:szCs w:val="28"/>
        </w:rPr>
        <w:t xml:space="preserve"> the claim on 12 August 2020, they were duly furnished, not by Car Circuit but by the respondent on or about 8 September 2020. The invoice for the assessment and storage was now in the total sum of M80 200.00.</w:t>
      </w:r>
    </w:p>
    <w:p w14:paraId="32A88EE7" w14:textId="77777777" w:rsidR="00B006EE" w:rsidRPr="00AA6FF5" w:rsidRDefault="00B006EE" w:rsidP="001B532C">
      <w:pPr>
        <w:pStyle w:val="ListParagraph"/>
        <w:spacing w:line="360" w:lineRule="auto"/>
        <w:jc w:val="both"/>
        <w:rPr>
          <w:rFonts w:ascii="Bookman Old Style" w:hAnsi="Bookman Old Style"/>
          <w:sz w:val="28"/>
          <w:szCs w:val="28"/>
        </w:rPr>
      </w:pPr>
    </w:p>
    <w:p w14:paraId="44653884" w14:textId="356828A2" w:rsidR="00C14E99"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D93334" w:rsidRPr="00F95E37">
        <w:rPr>
          <w:rFonts w:ascii="Bookman Old Style" w:hAnsi="Bookman Old Style"/>
          <w:sz w:val="28"/>
          <w:szCs w:val="28"/>
        </w:rPr>
        <w:t xml:space="preserve">The appellant </w:t>
      </w:r>
      <w:r w:rsidR="005E4D8F" w:rsidRPr="00F95E37">
        <w:rPr>
          <w:rFonts w:ascii="Bookman Old Style" w:hAnsi="Bookman Old Style"/>
          <w:sz w:val="28"/>
          <w:szCs w:val="28"/>
        </w:rPr>
        <w:t xml:space="preserve">or </w:t>
      </w:r>
      <w:r w:rsidR="001A6322" w:rsidRPr="00F95E37">
        <w:rPr>
          <w:rFonts w:ascii="Bookman Old Style" w:hAnsi="Bookman Old Style"/>
          <w:sz w:val="28"/>
          <w:szCs w:val="28"/>
        </w:rPr>
        <w:t>its insured</w:t>
      </w:r>
      <w:r w:rsidR="005E4D8F" w:rsidRPr="00F95E37">
        <w:rPr>
          <w:rFonts w:ascii="Bookman Old Style" w:hAnsi="Bookman Old Style"/>
          <w:sz w:val="28"/>
          <w:szCs w:val="28"/>
        </w:rPr>
        <w:t xml:space="preserve"> </w:t>
      </w:r>
      <w:r w:rsidR="00D93334" w:rsidRPr="00F95E37">
        <w:rPr>
          <w:rFonts w:ascii="Bookman Old Style" w:hAnsi="Bookman Old Style"/>
          <w:sz w:val="28"/>
          <w:szCs w:val="28"/>
        </w:rPr>
        <w:t>had not entered into any agreement</w:t>
      </w:r>
      <w:r w:rsidR="005E4D8F" w:rsidRPr="00F95E37">
        <w:rPr>
          <w:rFonts w:ascii="Bookman Old Style" w:hAnsi="Bookman Old Style"/>
          <w:sz w:val="28"/>
          <w:szCs w:val="28"/>
        </w:rPr>
        <w:t xml:space="preserve"> with the respondent for the assessment or storage of the Toyota Fortuner. LCN confirmed, through an affidavit by its executive director, </w:t>
      </w:r>
      <w:proofErr w:type="spellStart"/>
      <w:r w:rsidR="005E4D8F" w:rsidRPr="00F95E37">
        <w:rPr>
          <w:rFonts w:ascii="Bookman Old Style" w:hAnsi="Bookman Old Style"/>
          <w:sz w:val="28"/>
          <w:szCs w:val="28"/>
        </w:rPr>
        <w:t>Seabata</w:t>
      </w:r>
      <w:proofErr w:type="spellEnd"/>
      <w:r w:rsidR="005E4D8F" w:rsidRPr="00F95E37">
        <w:rPr>
          <w:rFonts w:ascii="Bookman Old Style" w:hAnsi="Bookman Old Style"/>
          <w:sz w:val="28"/>
          <w:szCs w:val="28"/>
        </w:rPr>
        <w:t xml:space="preserve"> </w:t>
      </w:r>
      <w:proofErr w:type="spellStart"/>
      <w:r w:rsidR="005E4D8F" w:rsidRPr="00F95E37">
        <w:rPr>
          <w:rFonts w:ascii="Bookman Old Style" w:hAnsi="Bookman Old Style"/>
          <w:sz w:val="28"/>
          <w:szCs w:val="28"/>
        </w:rPr>
        <w:t>Motsamai</w:t>
      </w:r>
      <w:proofErr w:type="spellEnd"/>
      <w:r w:rsidR="005E4D8F" w:rsidRPr="00F95E37">
        <w:rPr>
          <w:rFonts w:ascii="Bookman Old Style" w:hAnsi="Bookman Old Style"/>
          <w:sz w:val="28"/>
          <w:szCs w:val="28"/>
        </w:rPr>
        <w:t xml:space="preserve">, that it </w:t>
      </w:r>
      <w:r w:rsidR="001A6322" w:rsidRPr="00F95E37">
        <w:rPr>
          <w:rFonts w:ascii="Bookman Old Style" w:hAnsi="Bookman Old Style"/>
          <w:sz w:val="28"/>
          <w:szCs w:val="28"/>
        </w:rPr>
        <w:t xml:space="preserve">also </w:t>
      </w:r>
      <w:r w:rsidR="005E4D8F" w:rsidRPr="00F95E37">
        <w:rPr>
          <w:rFonts w:ascii="Bookman Old Style" w:hAnsi="Bookman Old Style"/>
          <w:sz w:val="28"/>
          <w:szCs w:val="28"/>
        </w:rPr>
        <w:t xml:space="preserve">had not entered into any agreement with the respondent. </w:t>
      </w:r>
    </w:p>
    <w:p w14:paraId="01F686DB" w14:textId="77777777" w:rsidR="00C14E99" w:rsidRPr="00AA6FF5" w:rsidRDefault="00C14E99" w:rsidP="001B532C">
      <w:pPr>
        <w:pStyle w:val="ListParagraph"/>
        <w:spacing w:line="360" w:lineRule="auto"/>
        <w:rPr>
          <w:rFonts w:ascii="Bookman Old Style" w:hAnsi="Bookman Old Style"/>
          <w:b/>
          <w:bCs/>
          <w:sz w:val="28"/>
          <w:szCs w:val="28"/>
        </w:rPr>
      </w:pPr>
    </w:p>
    <w:p w14:paraId="27D4A3D2" w14:textId="7A35EDF3" w:rsidR="001A6322" w:rsidRPr="00F95E37" w:rsidRDefault="00C14E99" w:rsidP="00F95E37">
      <w:pPr>
        <w:spacing w:line="360" w:lineRule="auto"/>
        <w:rPr>
          <w:rFonts w:ascii="Bookman Old Style" w:hAnsi="Bookman Old Style"/>
          <w:b/>
          <w:bCs/>
          <w:sz w:val="28"/>
          <w:szCs w:val="28"/>
        </w:rPr>
      </w:pPr>
      <w:r w:rsidRPr="00F95E37">
        <w:rPr>
          <w:rFonts w:ascii="Bookman Old Style" w:hAnsi="Bookman Old Style"/>
          <w:b/>
          <w:bCs/>
          <w:sz w:val="28"/>
          <w:szCs w:val="28"/>
        </w:rPr>
        <w:t>Demand for release of vehicle and court proceedings</w:t>
      </w:r>
    </w:p>
    <w:p w14:paraId="231D119B" w14:textId="77777777" w:rsidR="00C14E99" w:rsidRPr="00AA6FF5" w:rsidRDefault="00C14E99" w:rsidP="001B532C">
      <w:pPr>
        <w:pStyle w:val="ListParagraph"/>
        <w:spacing w:line="360" w:lineRule="auto"/>
        <w:rPr>
          <w:rFonts w:ascii="Bookman Old Style" w:hAnsi="Bookman Old Style"/>
          <w:b/>
          <w:bCs/>
          <w:sz w:val="28"/>
          <w:szCs w:val="28"/>
        </w:rPr>
      </w:pPr>
    </w:p>
    <w:p w14:paraId="692DD6AE" w14:textId="064E2686" w:rsidR="00A66609"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5E4D8F" w:rsidRPr="00F95E37">
        <w:rPr>
          <w:rFonts w:ascii="Bookman Old Style" w:hAnsi="Bookman Old Style"/>
          <w:sz w:val="28"/>
          <w:szCs w:val="28"/>
        </w:rPr>
        <w:t>The appellant demanded the release of the vehicle</w:t>
      </w:r>
      <w:r w:rsidR="001A6322" w:rsidRPr="00F95E37">
        <w:rPr>
          <w:rFonts w:ascii="Bookman Old Style" w:hAnsi="Bookman Old Style"/>
          <w:sz w:val="28"/>
          <w:szCs w:val="28"/>
        </w:rPr>
        <w:t xml:space="preserve"> by the respondent</w:t>
      </w:r>
      <w:r w:rsidR="005E4D8F" w:rsidRPr="00F95E37">
        <w:rPr>
          <w:rFonts w:ascii="Bookman Old Style" w:hAnsi="Bookman Old Style"/>
          <w:sz w:val="28"/>
          <w:szCs w:val="28"/>
        </w:rPr>
        <w:t xml:space="preserve">. When </w:t>
      </w:r>
      <w:r w:rsidR="001A6322" w:rsidRPr="00F95E37">
        <w:rPr>
          <w:rFonts w:ascii="Bookman Old Style" w:hAnsi="Bookman Old Style"/>
          <w:sz w:val="28"/>
          <w:szCs w:val="28"/>
        </w:rPr>
        <w:t>the demand</w:t>
      </w:r>
      <w:r w:rsidR="005E4D8F" w:rsidRPr="00F95E37">
        <w:rPr>
          <w:rFonts w:ascii="Bookman Old Style" w:hAnsi="Bookman Old Style"/>
          <w:sz w:val="28"/>
          <w:szCs w:val="28"/>
        </w:rPr>
        <w:t xml:space="preserve"> was rebuffed, </w:t>
      </w:r>
      <w:r w:rsidR="001A6322" w:rsidRPr="00F95E37">
        <w:rPr>
          <w:rFonts w:ascii="Bookman Old Style" w:hAnsi="Bookman Old Style"/>
          <w:sz w:val="28"/>
          <w:szCs w:val="28"/>
        </w:rPr>
        <w:t>the appellant</w:t>
      </w:r>
      <w:r w:rsidR="00EF1132" w:rsidRPr="00F95E37">
        <w:rPr>
          <w:rFonts w:ascii="Bookman Old Style" w:hAnsi="Bookman Old Style"/>
          <w:sz w:val="28"/>
          <w:szCs w:val="28"/>
        </w:rPr>
        <w:t xml:space="preserve"> </w:t>
      </w:r>
      <w:r w:rsidR="00A66609" w:rsidRPr="00F95E37">
        <w:rPr>
          <w:rFonts w:ascii="Bookman Old Style" w:hAnsi="Bookman Old Style"/>
          <w:sz w:val="28"/>
          <w:szCs w:val="28"/>
        </w:rPr>
        <w:t xml:space="preserve">instituted </w:t>
      </w:r>
      <w:r w:rsidR="00FD3288" w:rsidRPr="00F95E37">
        <w:rPr>
          <w:rFonts w:ascii="Bookman Old Style" w:hAnsi="Bookman Old Style"/>
          <w:sz w:val="28"/>
          <w:szCs w:val="28"/>
        </w:rPr>
        <w:t xml:space="preserve">urgent </w:t>
      </w:r>
      <w:r w:rsidR="00A66609" w:rsidRPr="00F95E37">
        <w:rPr>
          <w:rFonts w:ascii="Bookman Old Style" w:hAnsi="Bookman Old Style"/>
          <w:sz w:val="28"/>
          <w:szCs w:val="28"/>
        </w:rPr>
        <w:t xml:space="preserve">motion proceedings in the High Court seeking the release of a Toyota Fortuner motor vehicle against the provision of a security bond in the sum of M80 200.00 to cover </w:t>
      </w:r>
      <w:r w:rsidR="005E4D8F" w:rsidRPr="00F95E37">
        <w:rPr>
          <w:rFonts w:ascii="Bookman Old Style" w:hAnsi="Bookman Old Style"/>
          <w:sz w:val="28"/>
          <w:szCs w:val="28"/>
        </w:rPr>
        <w:t xml:space="preserve">the </w:t>
      </w:r>
      <w:r w:rsidR="00A66609" w:rsidRPr="00F95E37">
        <w:rPr>
          <w:rFonts w:ascii="Bookman Old Style" w:hAnsi="Bookman Old Style"/>
          <w:sz w:val="28"/>
          <w:szCs w:val="28"/>
        </w:rPr>
        <w:t>costs that the respondent claim</w:t>
      </w:r>
      <w:r w:rsidR="005E4D8F" w:rsidRPr="00F95E37">
        <w:rPr>
          <w:rFonts w:ascii="Bookman Old Style" w:hAnsi="Bookman Old Style"/>
          <w:sz w:val="28"/>
          <w:szCs w:val="28"/>
        </w:rPr>
        <w:t>ed</w:t>
      </w:r>
      <w:r w:rsidR="00A66609" w:rsidRPr="00F95E37">
        <w:rPr>
          <w:rFonts w:ascii="Bookman Old Style" w:hAnsi="Bookman Old Style"/>
          <w:sz w:val="28"/>
          <w:szCs w:val="28"/>
        </w:rPr>
        <w:t xml:space="preserve"> ar</w:t>
      </w:r>
      <w:r w:rsidR="005E4D8F" w:rsidRPr="00F95E37">
        <w:rPr>
          <w:rFonts w:ascii="Bookman Old Style" w:hAnsi="Bookman Old Style"/>
          <w:sz w:val="28"/>
          <w:szCs w:val="28"/>
        </w:rPr>
        <w:t>ose</w:t>
      </w:r>
      <w:r w:rsidR="00A66609" w:rsidRPr="00F95E37">
        <w:rPr>
          <w:rFonts w:ascii="Bookman Old Style" w:hAnsi="Bookman Old Style"/>
          <w:sz w:val="28"/>
          <w:szCs w:val="28"/>
        </w:rPr>
        <w:t xml:space="preserve"> from the assessment </w:t>
      </w:r>
      <w:r w:rsidR="005E4D8F" w:rsidRPr="00F95E37">
        <w:rPr>
          <w:rFonts w:ascii="Bookman Old Style" w:hAnsi="Bookman Old Style"/>
          <w:sz w:val="28"/>
          <w:szCs w:val="28"/>
        </w:rPr>
        <w:t xml:space="preserve">and storage </w:t>
      </w:r>
      <w:r w:rsidR="00A66609" w:rsidRPr="00F95E37">
        <w:rPr>
          <w:rFonts w:ascii="Bookman Old Style" w:hAnsi="Bookman Old Style"/>
          <w:sz w:val="28"/>
          <w:szCs w:val="28"/>
        </w:rPr>
        <w:t>of the motor vehicle.</w:t>
      </w:r>
    </w:p>
    <w:p w14:paraId="54EC7AA7" w14:textId="77777777" w:rsidR="00B006EE" w:rsidRPr="00AA6FF5" w:rsidRDefault="00B006EE" w:rsidP="001B532C">
      <w:pPr>
        <w:pStyle w:val="ListParagraph"/>
        <w:spacing w:line="360" w:lineRule="auto"/>
        <w:rPr>
          <w:rFonts w:ascii="Bookman Old Style" w:hAnsi="Bookman Old Style"/>
          <w:sz w:val="28"/>
          <w:szCs w:val="28"/>
        </w:rPr>
      </w:pPr>
    </w:p>
    <w:p w14:paraId="27181662" w14:textId="65C94E9D" w:rsidR="00170A40"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FD3288" w:rsidRPr="00F95E37">
        <w:rPr>
          <w:rFonts w:ascii="Bookman Old Style" w:hAnsi="Bookman Old Style"/>
          <w:sz w:val="28"/>
          <w:szCs w:val="28"/>
        </w:rPr>
        <w:t xml:space="preserve">The respondent </w:t>
      </w:r>
      <w:r w:rsidR="00665E15" w:rsidRPr="00F95E37">
        <w:rPr>
          <w:rFonts w:ascii="Bookman Old Style" w:hAnsi="Bookman Old Style"/>
          <w:sz w:val="28"/>
          <w:szCs w:val="28"/>
        </w:rPr>
        <w:t xml:space="preserve">raised several preliminary issues which, if accepted by the court, would have resulted either in the deferment of the proceedings or the dismissal of the claim. </w:t>
      </w:r>
      <w:r w:rsidR="001A6322" w:rsidRPr="00F95E37">
        <w:rPr>
          <w:rFonts w:ascii="Bookman Old Style" w:hAnsi="Bookman Old Style"/>
          <w:sz w:val="28"/>
          <w:szCs w:val="28"/>
        </w:rPr>
        <w:t>It averred that t</w:t>
      </w:r>
      <w:r w:rsidR="00665E15" w:rsidRPr="00F95E37">
        <w:rPr>
          <w:rFonts w:ascii="Bookman Old Style" w:hAnsi="Bookman Old Style"/>
          <w:sz w:val="28"/>
          <w:szCs w:val="28"/>
        </w:rPr>
        <w:t>he appellant was not entitled to bring the proceedings on urgency</w:t>
      </w:r>
      <w:r w:rsidR="001A6322" w:rsidRPr="00F95E37">
        <w:rPr>
          <w:rFonts w:ascii="Bookman Old Style" w:hAnsi="Bookman Old Style"/>
          <w:sz w:val="28"/>
          <w:szCs w:val="28"/>
        </w:rPr>
        <w:t xml:space="preserve"> </w:t>
      </w:r>
      <w:r w:rsidR="001A6322" w:rsidRPr="00F95E37">
        <w:rPr>
          <w:rFonts w:ascii="Bookman Old Style" w:hAnsi="Bookman Old Style"/>
          <w:sz w:val="28"/>
          <w:szCs w:val="28"/>
        </w:rPr>
        <w:lastRenderedPageBreak/>
        <w:t>because i</w:t>
      </w:r>
      <w:r w:rsidR="00665E15" w:rsidRPr="00F95E37">
        <w:rPr>
          <w:rFonts w:ascii="Bookman Old Style" w:hAnsi="Bookman Old Style"/>
          <w:sz w:val="28"/>
          <w:szCs w:val="28"/>
        </w:rPr>
        <w:t xml:space="preserve">t had made demand for the release of the vehicle on or about 31 July 2020 and </w:t>
      </w:r>
      <w:r w:rsidR="00C14E99" w:rsidRPr="00F95E37">
        <w:rPr>
          <w:rFonts w:ascii="Bookman Old Style" w:hAnsi="Bookman Old Style"/>
          <w:sz w:val="28"/>
          <w:szCs w:val="28"/>
        </w:rPr>
        <w:t xml:space="preserve">only </w:t>
      </w:r>
      <w:r w:rsidR="00575CFB" w:rsidRPr="00F95E37">
        <w:rPr>
          <w:rFonts w:ascii="Bookman Old Style" w:hAnsi="Bookman Old Style"/>
          <w:sz w:val="28"/>
          <w:szCs w:val="28"/>
        </w:rPr>
        <w:t xml:space="preserve">instituted urgent proceedings </w:t>
      </w:r>
      <w:r w:rsidR="00665E15" w:rsidRPr="00F95E37">
        <w:rPr>
          <w:rFonts w:ascii="Bookman Old Style" w:hAnsi="Bookman Old Style"/>
          <w:sz w:val="28"/>
          <w:szCs w:val="28"/>
        </w:rPr>
        <w:t>almost a year later.</w:t>
      </w:r>
      <w:r w:rsidR="00575CFB" w:rsidRPr="00F95E37">
        <w:rPr>
          <w:rFonts w:ascii="Bookman Old Style" w:hAnsi="Bookman Old Style"/>
          <w:sz w:val="28"/>
          <w:szCs w:val="28"/>
        </w:rPr>
        <w:t xml:space="preserve"> That was an abuse of court process. The appellant’s allegation that there was no agreement between it and LCN on the one hand and the respondent on the other</w:t>
      </w:r>
      <w:r w:rsidR="001A6322" w:rsidRPr="00F95E37">
        <w:rPr>
          <w:rFonts w:ascii="Bookman Old Style" w:hAnsi="Bookman Old Style"/>
          <w:sz w:val="28"/>
          <w:szCs w:val="28"/>
        </w:rPr>
        <w:t>,</w:t>
      </w:r>
      <w:r w:rsidR="00575CFB" w:rsidRPr="00F95E37">
        <w:rPr>
          <w:rFonts w:ascii="Bookman Old Style" w:hAnsi="Bookman Old Style"/>
          <w:sz w:val="28"/>
          <w:szCs w:val="28"/>
        </w:rPr>
        <w:t xml:space="preserve"> constituted a material dispute of fact that did not sit well with motion proceedings. That was so because the Toyota Fortuner was towed into the respondent’s workshop by LCN employee who gave instructions that the damage to the motor vehicle should be assessed</w:t>
      </w:r>
      <w:r w:rsidR="001A6322" w:rsidRPr="00F95E37">
        <w:rPr>
          <w:rFonts w:ascii="Bookman Old Style" w:hAnsi="Bookman Old Style"/>
          <w:sz w:val="28"/>
          <w:szCs w:val="28"/>
        </w:rPr>
        <w:t>.</w:t>
      </w:r>
      <w:r w:rsidR="00575CFB" w:rsidRPr="00F95E37">
        <w:rPr>
          <w:rFonts w:ascii="Bookman Old Style" w:hAnsi="Bookman Old Style"/>
          <w:sz w:val="28"/>
          <w:szCs w:val="28"/>
        </w:rPr>
        <w:t xml:space="preserve"> </w:t>
      </w:r>
      <w:r w:rsidR="001A6322" w:rsidRPr="00F95E37">
        <w:rPr>
          <w:rFonts w:ascii="Bookman Old Style" w:hAnsi="Bookman Old Style"/>
          <w:sz w:val="28"/>
          <w:szCs w:val="28"/>
        </w:rPr>
        <w:t>A</w:t>
      </w:r>
      <w:r w:rsidR="00575CFB" w:rsidRPr="00F95E37">
        <w:rPr>
          <w:rFonts w:ascii="Bookman Old Style" w:hAnsi="Bookman Old Style"/>
          <w:sz w:val="28"/>
          <w:szCs w:val="28"/>
        </w:rPr>
        <w:t>t no time before the appellant’s demand for the release of the vehicle had LCN, owner of the vehicle</w:t>
      </w:r>
      <w:r w:rsidR="001A6322" w:rsidRPr="00F95E37">
        <w:rPr>
          <w:rFonts w:ascii="Bookman Old Style" w:hAnsi="Bookman Old Style"/>
          <w:sz w:val="28"/>
          <w:szCs w:val="28"/>
        </w:rPr>
        <w:t>,</w:t>
      </w:r>
      <w:r w:rsidR="00575CFB" w:rsidRPr="00F95E37">
        <w:rPr>
          <w:rFonts w:ascii="Bookman Old Style" w:hAnsi="Bookman Old Style"/>
          <w:sz w:val="28"/>
          <w:szCs w:val="28"/>
        </w:rPr>
        <w:t xml:space="preserve"> claimed it to be missing.</w:t>
      </w:r>
      <w:r w:rsidR="00170A40" w:rsidRPr="00F95E37">
        <w:rPr>
          <w:rFonts w:ascii="Bookman Old Style" w:hAnsi="Bookman Old Style"/>
          <w:sz w:val="28"/>
          <w:szCs w:val="28"/>
        </w:rPr>
        <w:t xml:space="preserve"> The appellant was being dishonest by hiding the fact that it had written two letters proposing or making an offer to settle the matter, which offer was rejected. </w:t>
      </w:r>
      <w:r w:rsidR="001A6322" w:rsidRPr="00F95E37">
        <w:rPr>
          <w:rFonts w:ascii="Bookman Old Style" w:hAnsi="Bookman Old Style"/>
          <w:sz w:val="28"/>
          <w:szCs w:val="28"/>
        </w:rPr>
        <w:t xml:space="preserve">The appellant </w:t>
      </w:r>
      <w:r w:rsidR="00170A40" w:rsidRPr="00F95E37">
        <w:rPr>
          <w:rFonts w:ascii="Bookman Old Style" w:hAnsi="Bookman Old Style"/>
          <w:sz w:val="28"/>
          <w:szCs w:val="28"/>
        </w:rPr>
        <w:t xml:space="preserve">had deliberately failed to join LCN as a party to the proceedings knowing fully well that LCN was an interested party and had brought the motor vehicle to the workshop. The appellant had failed to establish a cause of action to claim the vehicle more so after asserting that it had no agreement with the respondent and that it was not even the insurer of the motor vehicle. </w:t>
      </w:r>
      <w:r w:rsidRPr="00F95E37">
        <w:rPr>
          <w:rFonts w:ascii="Bookman Old Style" w:hAnsi="Bookman Old Style"/>
          <w:sz w:val="28"/>
          <w:szCs w:val="28"/>
        </w:rPr>
        <w:t>Finally,</w:t>
      </w:r>
      <w:r w:rsidR="00170A40" w:rsidRPr="00F95E37">
        <w:rPr>
          <w:rFonts w:ascii="Bookman Old Style" w:hAnsi="Bookman Old Style"/>
          <w:sz w:val="28"/>
          <w:szCs w:val="28"/>
        </w:rPr>
        <w:t xml:space="preserve"> the appellant had no authority from LCN to claim the motor vehicle or </w:t>
      </w:r>
      <w:r w:rsidR="001A6322" w:rsidRPr="00F95E37">
        <w:rPr>
          <w:rFonts w:ascii="Bookman Old Style" w:hAnsi="Bookman Old Style"/>
          <w:sz w:val="28"/>
          <w:szCs w:val="28"/>
        </w:rPr>
        <w:t>any basis for</w:t>
      </w:r>
      <w:r w:rsidR="00170A40" w:rsidRPr="00F95E37">
        <w:rPr>
          <w:rFonts w:ascii="Bookman Old Style" w:hAnsi="Bookman Old Style"/>
          <w:sz w:val="28"/>
          <w:szCs w:val="28"/>
        </w:rPr>
        <w:t xml:space="preserve"> </w:t>
      </w:r>
      <w:r w:rsidR="001A6322" w:rsidRPr="00F95E37">
        <w:rPr>
          <w:rFonts w:ascii="Bookman Old Style" w:hAnsi="Bookman Old Style"/>
          <w:sz w:val="28"/>
          <w:szCs w:val="28"/>
        </w:rPr>
        <w:t>demanding</w:t>
      </w:r>
      <w:r w:rsidR="00170A40" w:rsidRPr="00F95E37">
        <w:rPr>
          <w:rFonts w:ascii="Bookman Old Style" w:hAnsi="Bookman Old Style"/>
          <w:sz w:val="28"/>
          <w:szCs w:val="28"/>
        </w:rPr>
        <w:t xml:space="preserve"> the surrender of the vehicle to it</w:t>
      </w:r>
      <w:r w:rsidR="001A6322" w:rsidRPr="00F95E37">
        <w:rPr>
          <w:rFonts w:ascii="Bookman Old Style" w:hAnsi="Bookman Old Style"/>
          <w:sz w:val="28"/>
          <w:szCs w:val="28"/>
        </w:rPr>
        <w:t>self</w:t>
      </w:r>
      <w:r w:rsidR="00170A40" w:rsidRPr="00F95E37">
        <w:rPr>
          <w:rFonts w:ascii="Bookman Old Style" w:hAnsi="Bookman Old Style"/>
          <w:sz w:val="28"/>
          <w:szCs w:val="28"/>
        </w:rPr>
        <w:t xml:space="preserve">: it had failed to establish </w:t>
      </w:r>
      <w:r w:rsidR="00CC3BF7" w:rsidRPr="00F95E37">
        <w:rPr>
          <w:rFonts w:ascii="Bookman Old Style" w:hAnsi="Bookman Old Style"/>
          <w:sz w:val="28"/>
          <w:szCs w:val="28"/>
        </w:rPr>
        <w:t xml:space="preserve">that it had the necessary standing </w:t>
      </w:r>
      <w:r w:rsidR="00170A40" w:rsidRPr="00F95E37">
        <w:rPr>
          <w:rFonts w:ascii="Bookman Old Style" w:hAnsi="Bookman Old Style"/>
          <w:sz w:val="28"/>
          <w:szCs w:val="28"/>
        </w:rPr>
        <w:t>in the matter</w:t>
      </w:r>
      <w:r w:rsidR="00CC3BF7" w:rsidRPr="00F95E37">
        <w:rPr>
          <w:rFonts w:ascii="Bookman Old Style" w:hAnsi="Bookman Old Style"/>
          <w:sz w:val="28"/>
          <w:szCs w:val="28"/>
        </w:rPr>
        <w:t xml:space="preserve">, </w:t>
      </w:r>
      <w:r w:rsidR="00CC3BF7" w:rsidRPr="00F95E37">
        <w:rPr>
          <w:rFonts w:ascii="Bookman Old Style" w:hAnsi="Bookman Old Style"/>
          <w:i/>
          <w:iCs/>
          <w:sz w:val="28"/>
          <w:szCs w:val="28"/>
        </w:rPr>
        <w:t xml:space="preserve">locus standi in </w:t>
      </w:r>
      <w:proofErr w:type="spellStart"/>
      <w:r w:rsidR="00CC3BF7" w:rsidRPr="00F95E37">
        <w:rPr>
          <w:rFonts w:ascii="Bookman Old Style" w:hAnsi="Bookman Old Style"/>
          <w:i/>
          <w:iCs/>
          <w:sz w:val="28"/>
          <w:szCs w:val="28"/>
        </w:rPr>
        <w:t>judicio</w:t>
      </w:r>
      <w:proofErr w:type="spellEnd"/>
      <w:r w:rsidR="00170A40" w:rsidRPr="00F95E37">
        <w:rPr>
          <w:rFonts w:ascii="Bookman Old Style" w:hAnsi="Bookman Old Style"/>
          <w:sz w:val="28"/>
          <w:szCs w:val="28"/>
        </w:rPr>
        <w:t>.</w:t>
      </w:r>
    </w:p>
    <w:p w14:paraId="4410D8EC" w14:textId="4AF032FA" w:rsidR="00CC3BF7"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170A40" w:rsidRPr="00F95E37">
        <w:rPr>
          <w:rFonts w:ascii="Bookman Old Style" w:hAnsi="Bookman Old Style"/>
          <w:sz w:val="28"/>
          <w:szCs w:val="28"/>
        </w:rPr>
        <w:t xml:space="preserve">On the substance of the claim, the respondent </w:t>
      </w:r>
      <w:r w:rsidR="00DB281B" w:rsidRPr="00F95E37">
        <w:rPr>
          <w:rFonts w:ascii="Bookman Old Style" w:hAnsi="Bookman Old Style"/>
          <w:sz w:val="28"/>
          <w:szCs w:val="28"/>
        </w:rPr>
        <w:t xml:space="preserve">clarified that the respondent is one and the same entity as Car Circuit, the latter being the </w:t>
      </w:r>
      <w:r w:rsidR="00C14E99" w:rsidRPr="00F95E37">
        <w:rPr>
          <w:rFonts w:ascii="Bookman Old Style" w:hAnsi="Bookman Old Style"/>
          <w:sz w:val="28"/>
          <w:szCs w:val="28"/>
        </w:rPr>
        <w:t xml:space="preserve">respondent’s </w:t>
      </w:r>
      <w:r w:rsidR="00DB281B" w:rsidRPr="00F95E37">
        <w:rPr>
          <w:rFonts w:ascii="Bookman Old Style" w:hAnsi="Bookman Old Style"/>
          <w:sz w:val="28"/>
          <w:szCs w:val="28"/>
        </w:rPr>
        <w:t xml:space="preserve">trading name. It </w:t>
      </w:r>
      <w:r w:rsidR="00170A40" w:rsidRPr="00F95E37">
        <w:rPr>
          <w:rFonts w:ascii="Bookman Old Style" w:hAnsi="Bookman Old Style"/>
          <w:sz w:val="28"/>
          <w:szCs w:val="28"/>
        </w:rPr>
        <w:t xml:space="preserve">stated that LCN had brought the </w:t>
      </w:r>
      <w:r w:rsidR="00DB281B" w:rsidRPr="00F95E37">
        <w:rPr>
          <w:rFonts w:ascii="Bookman Old Style" w:hAnsi="Bookman Old Style"/>
          <w:sz w:val="28"/>
          <w:szCs w:val="28"/>
        </w:rPr>
        <w:t xml:space="preserve">Toyota Fortuner motor </w:t>
      </w:r>
      <w:r w:rsidR="00170A40" w:rsidRPr="00F95E37">
        <w:rPr>
          <w:rFonts w:ascii="Bookman Old Style" w:hAnsi="Bookman Old Style"/>
          <w:sz w:val="28"/>
          <w:szCs w:val="28"/>
        </w:rPr>
        <w:t xml:space="preserve">vehicle to </w:t>
      </w:r>
      <w:r w:rsidR="00DB281B" w:rsidRPr="00F95E37">
        <w:rPr>
          <w:rFonts w:ascii="Bookman Old Style" w:hAnsi="Bookman Old Style"/>
          <w:sz w:val="28"/>
          <w:szCs w:val="28"/>
        </w:rPr>
        <w:t>its</w:t>
      </w:r>
      <w:r w:rsidR="00170A40" w:rsidRPr="00F95E37">
        <w:rPr>
          <w:rFonts w:ascii="Bookman Old Style" w:hAnsi="Bookman Old Style"/>
          <w:sz w:val="28"/>
          <w:szCs w:val="28"/>
        </w:rPr>
        <w:t xml:space="preserve"> workshop </w:t>
      </w:r>
      <w:r w:rsidR="00DB281B" w:rsidRPr="00F95E37">
        <w:rPr>
          <w:rFonts w:ascii="Bookman Old Style" w:hAnsi="Bookman Old Style"/>
          <w:sz w:val="28"/>
          <w:szCs w:val="28"/>
        </w:rPr>
        <w:t xml:space="preserve">on 13 </w:t>
      </w:r>
      <w:r w:rsidR="00DB281B" w:rsidRPr="00F95E37">
        <w:rPr>
          <w:rFonts w:ascii="Bookman Old Style" w:hAnsi="Bookman Old Style"/>
          <w:sz w:val="28"/>
          <w:szCs w:val="28"/>
        </w:rPr>
        <w:lastRenderedPageBreak/>
        <w:t>May 2021</w:t>
      </w:r>
      <w:r w:rsidR="00DB281B" w:rsidRPr="00F95E37">
        <w:rPr>
          <w:rFonts w:ascii="Bookman Old Style" w:hAnsi="Bookman Old Style"/>
          <w:color w:val="FF0000"/>
          <w:sz w:val="28"/>
          <w:szCs w:val="28"/>
        </w:rPr>
        <w:t xml:space="preserve"> </w:t>
      </w:r>
      <w:r w:rsidR="00170A40" w:rsidRPr="00F95E37">
        <w:rPr>
          <w:rFonts w:ascii="Bookman Old Style" w:hAnsi="Bookman Old Style"/>
          <w:sz w:val="28"/>
          <w:szCs w:val="28"/>
        </w:rPr>
        <w:t>for assessment of damage</w:t>
      </w:r>
      <w:r w:rsidR="00A36E00" w:rsidRPr="00F95E37">
        <w:rPr>
          <w:rFonts w:ascii="Bookman Old Style" w:hAnsi="Bookman Old Style"/>
          <w:sz w:val="28"/>
          <w:szCs w:val="28"/>
        </w:rPr>
        <w:t xml:space="preserve"> it had sustained in the collision</w:t>
      </w:r>
      <w:r w:rsidR="00CC3BF7" w:rsidRPr="00F95E37">
        <w:rPr>
          <w:rFonts w:ascii="Bookman Old Style" w:hAnsi="Bookman Old Style"/>
          <w:sz w:val="28"/>
          <w:szCs w:val="28"/>
        </w:rPr>
        <w:t>. T</w:t>
      </w:r>
      <w:r w:rsidR="00B006EE" w:rsidRPr="00F95E37">
        <w:rPr>
          <w:rFonts w:ascii="Bookman Old Style" w:hAnsi="Bookman Old Style"/>
          <w:sz w:val="28"/>
          <w:szCs w:val="28"/>
        </w:rPr>
        <w:t xml:space="preserve">he appellant was therefore not </w:t>
      </w:r>
      <w:proofErr w:type="gramStart"/>
      <w:r w:rsidR="00B006EE" w:rsidRPr="00F95E37">
        <w:rPr>
          <w:rFonts w:ascii="Bookman Old Style" w:hAnsi="Bookman Old Style"/>
          <w:sz w:val="28"/>
          <w:szCs w:val="28"/>
        </w:rPr>
        <w:t>in a position</w:t>
      </w:r>
      <w:proofErr w:type="gramEnd"/>
      <w:r w:rsidR="00B006EE" w:rsidRPr="00F95E37">
        <w:rPr>
          <w:rFonts w:ascii="Bookman Old Style" w:hAnsi="Bookman Old Style"/>
          <w:sz w:val="28"/>
          <w:szCs w:val="28"/>
        </w:rPr>
        <w:t xml:space="preserve"> to assert that no agreement </w:t>
      </w:r>
      <w:r w:rsidR="00A36E00" w:rsidRPr="00F95E37">
        <w:rPr>
          <w:rFonts w:ascii="Bookman Old Style" w:hAnsi="Bookman Old Style"/>
          <w:sz w:val="28"/>
          <w:szCs w:val="28"/>
        </w:rPr>
        <w:t>to</w:t>
      </w:r>
      <w:r w:rsidR="00B006EE" w:rsidRPr="00F95E37">
        <w:rPr>
          <w:rFonts w:ascii="Bookman Old Style" w:hAnsi="Bookman Old Style"/>
          <w:sz w:val="28"/>
          <w:szCs w:val="28"/>
        </w:rPr>
        <w:t xml:space="preserve"> assess </w:t>
      </w:r>
      <w:r w:rsidR="00DB281B" w:rsidRPr="00F95E37">
        <w:rPr>
          <w:rFonts w:ascii="Bookman Old Style" w:hAnsi="Bookman Old Style"/>
          <w:sz w:val="28"/>
          <w:szCs w:val="28"/>
        </w:rPr>
        <w:t xml:space="preserve">the </w:t>
      </w:r>
      <w:r w:rsidR="00B006EE" w:rsidRPr="00F95E37">
        <w:rPr>
          <w:rFonts w:ascii="Bookman Old Style" w:hAnsi="Bookman Old Style"/>
          <w:sz w:val="28"/>
          <w:szCs w:val="28"/>
        </w:rPr>
        <w:t>damage</w:t>
      </w:r>
      <w:r w:rsidR="00CC3BF7" w:rsidRPr="00F95E37">
        <w:rPr>
          <w:rFonts w:ascii="Bookman Old Style" w:hAnsi="Bookman Old Style"/>
          <w:sz w:val="28"/>
          <w:szCs w:val="28"/>
        </w:rPr>
        <w:t xml:space="preserve"> </w:t>
      </w:r>
      <w:r w:rsidR="00B006EE" w:rsidRPr="00F95E37">
        <w:rPr>
          <w:rFonts w:ascii="Bookman Old Style" w:hAnsi="Bookman Old Style"/>
          <w:sz w:val="28"/>
          <w:szCs w:val="28"/>
        </w:rPr>
        <w:t>and stor</w:t>
      </w:r>
      <w:r w:rsidR="00A36E00" w:rsidRPr="00F95E37">
        <w:rPr>
          <w:rFonts w:ascii="Bookman Old Style" w:hAnsi="Bookman Old Style"/>
          <w:sz w:val="28"/>
          <w:szCs w:val="28"/>
        </w:rPr>
        <w:t>e</w:t>
      </w:r>
      <w:r w:rsidR="00CC3BF7" w:rsidRPr="00F95E37">
        <w:rPr>
          <w:rFonts w:ascii="Bookman Old Style" w:hAnsi="Bookman Old Style"/>
          <w:sz w:val="28"/>
          <w:szCs w:val="28"/>
        </w:rPr>
        <w:t xml:space="preserve"> the vehicle </w:t>
      </w:r>
      <w:r w:rsidR="00B006EE" w:rsidRPr="00F95E37">
        <w:rPr>
          <w:rFonts w:ascii="Bookman Old Style" w:hAnsi="Bookman Old Style"/>
          <w:sz w:val="28"/>
          <w:szCs w:val="28"/>
        </w:rPr>
        <w:t xml:space="preserve">was reached between respondent and LCN. Respondent had in fact brought to the attention of one </w:t>
      </w:r>
      <w:proofErr w:type="spellStart"/>
      <w:r w:rsidR="00B006EE" w:rsidRPr="00F95E37">
        <w:rPr>
          <w:rFonts w:ascii="Bookman Old Style" w:hAnsi="Bookman Old Style"/>
          <w:sz w:val="28"/>
          <w:szCs w:val="28"/>
        </w:rPr>
        <w:t>Nyakane</w:t>
      </w:r>
      <w:proofErr w:type="spellEnd"/>
      <w:r w:rsidR="00B006EE" w:rsidRPr="00F95E37">
        <w:rPr>
          <w:rFonts w:ascii="Bookman Old Style" w:hAnsi="Bookman Old Style"/>
          <w:sz w:val="28"/>
          <w:szCs w:val="28"/>
        </w:rPr>
        <w:t xml:space="preserve">, who had demanded release of the vehicle on behalf of the appellant, that it (respondent) had a verbal agreement with LCN. Because of threats of physical harm made by </w:t>
      </w:r>
      <w:r w:rsidR="00A36E00" w:rsidRPr="00F95E37">
        <w:rPr>
          <w:rFonts w:ascii="Bookman Old Style" w:hAnsi="Bookman Old Style"/>
          <w:sz w:val="28"/>
          <w:szCs w:val="28"/>
        </w:rPr>
        <w:t xml:space="preserve">the said </w:t>
      </w:r>
      <w:proofErr w:type="spellStart"/>
      <w:r w:rsidR="00B006EE" w:rsidRPr="00F95E37">
        <w:rPr>
          <w:rFonts w:ascii="Bookman Old Style" w:hAnsi="Bookman Old Style"/>
          <w:sz w:val="28"/>
          <w:szCs w:val="28"/>
        </w:rPr>
        <w:t>Nyakane</w:t>
      </w:r>
      <w:proofErr w:type="spellEnd"/>
      <w:r w:rsidR="00B006EE" w:rsidRPr="00F95E37">
        <w:rPr>
          <w:rFonts w:ascii="Bookman Old Style" w:hAnsi="Bookman Old Style"/>
          <w:sz w:val="28"/>
          <w:szCs w:val="28"/>
        </w:rPr>
        <w:t xml:space="preserve"> to deponent of respondent’s affidavit, respondent instructed it</w:t>
      </w:r>
      <w:r w:rsidR="00DB281B" w:rsidRPr="00F95E37">
        <w:rPr>
          <w:rFonts w:ascii="Bookman Old Style" w:hAnsi="Bookman Old Style"/>
          <w:sz w:val="28"/>
          <w:szCs w:val="28"/>
        </w:rPr>
        <w:t>s</w:t>
      </w:r>
      <w:r w:rsidR="00B006EE" w:rsidRPr="00F95E37">
        <w:rPr>
          <w:rFonts w:ascii="Bookman Old Style" w:hAnsi="Bookman Old Style"/>
          <w:sz w:val="28"/>
          <w:szCs w:val="28"/>
        </w:rPr>
        <w:t xml:space="preserve"> lawyers to make demand </w:t>
      </w:r>
      <w:r w:rsidR="00DB281B" w:rsidRPr="00F95E37">
        <w:rPr>
          <w:rFonts w:ascii="Bookman Old Style" w:hAnsi="Bookman Old Style"/>
          <w:sz w:val="28"/>
          <w:szCs w:val="28"/>
        </w:rPr>
        <w:t xml:space="preserve">to the appellant </w:t>
      </w:r>
      <w:r w:rsidR="00B006EE" w:rsidRPr="00F95E37">
        <w:rPr>
          <w:rFonts w:ascii="Bookman Old Style" w:hAnsi="Bookman Old Style"/>
          <w:sz w:val="28"/>
          <w:szCs w:val="28"/>
        </w:rPr>
        <w:t xml:space="preserve">for assessment and storage costs. </w:t>
      </w:r>
    </w:p>
    <w:p w14:paraId="555E9D5D" w14:textId="77777777" w:rsidR="00CC3BF7" w:rsidRPr="00AA6FF5" w:rsidRDefault="00CC3BF7" w:rsidP="001B532C">
      <w:pPr>
        <w:pStyle w:val="ListParagraph"/>
        <w:spacing w:line="360" w:lineRule="auto"/>
        <w:rPr>
          <w:rFonts w:ascii="Bookman Old Style" w:hAnsi="Bookman Old Style"/>
          <w:sz w:val="28"/>
          <w:szCs w:val="28"/>
        </w:rPr>
      </w:pPr>
    </w:p>
    <w:p w14:paraId="2A480CE7" w14:textId="08CBE884" w:rsidR="00343B5A"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DB281B" w:rsidRPr="00F95E37">
        <w:rPr>
          <w:rFonts w:ascii="Bookman Old Style" w:hAnsi="Bookman Old Style"/>
          <w:sz w:val="28"/>
          <w:szCs w:val="28"/>
        </w:rPr>
        <w:t xml:space="preserve">The response to the demand was a </w:t>
      </w:r>
      <w:r w:rsidR="00B3633F" w:rsidRPr="00F95E37">
        <w:rPr>
          <w:rFonts w:ascii="Bookman Old Style" w:hAnsi="Bookman Old Style"/>
          <w:sz w:val="28"/>
          <w:szCs w:val="28"/>
        </w:rPr>
        <w:t xml:space="preserve">written </w:t>
      </w:r>
      <w:r w:rsidR="00DB281B" w:rsidRPr="00F95E37">
        <w:rPr>
          <w:rFonts w:ascii="Bookman Old Style" w:hAnsi="Bookman Old Style"/>
          <w:sz w:val="28"/>
          <w:szCs w:val="28"/>
        </w:rPr>
        <w:t xml:space="preserve">request for invoices </w:t>
      </w:r>
      <w:r w:rsidR="00B3633F" w:rsidRPr="00F95E37">
        <w:rPr>
          <w:rFonts w:ascii="Bookman Old Style" w:hAnsi="Bookman Old Style"/>
          <w:sz w:val="28"/>
          <w:szCs w:val="28"/>
        </w:rPr>
        <w:t>on the</w:t>
      </w:r>
      <w:r w:rsidR="00DB281B" w:rsidRPr="00F95E37">
        <w:rPr>
          <w:rFonts w:ascii="Bookman Old Style" w:hAnsi="Bookman Old Style"/>
          <w:sz w:val="28"/>
          <w:szCs w:val="28"/>
        </w:rPr>
        <w:t xml:space="preserve"> storage and assessment </w:t>
      </w:r>
      <w:r w:rsidR="00B3633F" w:rsidRPr="00F95E37">
        <w:rPr>
          <w:rFonts w:ascii="Bookman Old Style" w:hAnsi="Bookman Old Style"/>
          <w:sz w:val="28"/>
          <w:szCs w:val="28"/>
        </w:rPr>
        <w:t>costs</w:t>
      </w:r>
      <w:r w:rsidR="00DB281B" w:rsidRPr="00F95E37">
        <w:rPr>
          <w:rFonts w:ascii="Bookman Old Style" w:hAnsi="Bookman Old Style"/>
          <w:sz w:val="28"/>
          <w:szCs w:val="28"/>
        </w:rPr>
        <w:t xml:space="preserve"> </w:t>
      </w:r>
      <w:r w:rsidR="005339F3" w:rsidRPr="00F95E37">
        <w:rPr>
          <w:rFonts w:ascii="Bookman Old Style" w:hAnsi="Bookman Old Style"/>
          <w:sz w:val="28"/>
          <w:szCs w:val="28"/>
        </w:rPr>
        <w:t>mention</w:t>
      </w:r>
      <w:r w:rsidR="00DB281B" w:rsidRPr="00F95E37">
        <w:rPr>
          <w:rFonts w:ascii="Bookman Old Style" w:hAnsi="Bookman Old Style"/>
          <w:sz w:val="28"/>
          <w:szCs w:val="28"/>
        </w:rPr>
        <w:t>ed in</w:t>
      </w:r>
      <w:r w:rsidR="00B3633F" w:rsidRPr="00F95E37">
        <w:rPr>
          <w:rFonts w:ascii="Bookman Old Style" w:hAnsi="Bookman Old Style"/>
          <w:sz w:val="28"/>
          <w:szCs w:val="28"/>
        </w:rPr>
        <w:t xml:space="preserve"> the</w:t>
      </w:r>
      <w:r w:rsidR="00DB281B" w:rsidRPr="00F95E37">
        <w:rPr>
          <w:rFonts w:ascii="Bookman Old Style" w:hAnsi="Bookman Old Style"/>
          <w:sz w:val="28"/>
          <w:szCs w:val="28"/>
        </w:rPr>
        <w:t xml:space="preserve"> letter of demand</w:t>
      </w:r>
      <w:r w:rsidR="00B3633F" w:rsidRPr="00F95E37">
        <w:rPr>
          <w:rFonts w:ascii="Bookman Old Style" w:hAnsi="Bookman Old Style"/>
          <w:sz w:val="28"/>
          <w:szCs w:val="28"/>
        </w:rPr>
        <w:t>. The respondent took this request to be an acknowledgement of debt.</w:t>
      </w:r>
      <w:r w:rsidR="00B3633F" w:rsidRPr="00AA6FF5">
        <w:rPr>
          <w:rStyle w:val="FootnoteReference"/>
          <w:rFonts w:ascii="Bookman Old Style" w:hAnsi="Bookman Old Style"/>
          <w:sz w:val="28"/>
          <w:szCs w:val="28"/>
        </w:rPr>
        <w:footnoteReference w:id="1"/>
      </w:r>
      <w:r w:rsidR="00B3633F" w:rsidRPr="00F95E37">
        <w:rPr>
          <w:rFonts w:ascii="Bookman Old Style" w:hAnsi="Bookman Old Style"/>
          <w:sz w:val="28"/>
          <w:szCs w:val="28"/>
        </w:rPr>
        <w:t xml:space="preserve"> </w:t>
      </w:r>
      <w:r w:rsidR="00170A40" w:rsidRPr="00F95E37">
        <w:rPr>
          <w:rFonts w:ascii="Bookman Old Style" w:hAnsi="Bookman Old Style"/>
          <w:sz w:val="28"/>
          <w:szCs w:val="28"/>
        </w:rPr>
        <w:t xml:space="preserve"> </w:t>
      </w:r>
      <w:r w:rsidR="00B3633F" w:rsidRPr="00F95E37">
        <w:rPr>
          <w:rFonts w:ascii="Bookman Old Style" w:hAnsi="Bookman Old Style"/>
          <w:sz w:val="28"/>
          <w:szCs w:val="28"/>
        </w:rPr>
        <w:t xml:space="preserve">Respondent also relied on two letters </w:t>
      </w:r>
      <w:r w:rsidR="00B93695" w:rsidRPr="00F95E37">
        <w:rPr>
          <w:rFonts w:ascii="Bookman Old Style" w:hAnsi="Bookman Old Style"/>
          <w:sz w:val="28"/>
          <w:szCs w:val="28"/>
        </w:rPr>
        <w:t xml:space="preserve">dated 10 May and </w:t>
      </w:r>
      <w:r w:rsidR="00343B5A" w:rsidRPr="00F95E37">
        <w:rPr>
          <w:rFonts w:ascii="Bookman Old Style" w:hAnsi="Bookman Old Style"/>
          <w:sz w:val="28"/>
          <w:szCs w:val="28"/>
        </w:rPr>
        <w:t xml:space="preserve">10 </w:t>
      </w:r>
      <w:r w:rsidR="00B93695" w:rsidRPr="00F95E37">
        <w:rPr>
          <w:rFonts w:ascii="Bookman Old Style" w:hAnsi="Bookman Old Style"/>
          <w:sz w:val="28"/>
          <w:szCs w:val="28"/>
        </w:rPr>
        <w:t>June 2021 in which the appellant proposed to settle the storage costs in the sum of M13 474.08 and M18 500.00, respectively</w:t>
      </w:r>
      <w:r w:rsidR="007B6280" w:rsidRPr="00F95E37">
        <w:rPr>
          <w:rFonts w:ascii="Bookman Old Style" w:hAnsi="Bookman Old Style"/>
          <w:sz w:val="28"/>
          <w:szCs w:val="28"/>
        </w:rPr>
        <w:t xml:space="preserve"> despite that </w:t>
      </w:r>
      <w:r w:rsidR="00B93695" w:rsidRPr="00F95E37">
        <w:rPr>
          <w:rFonts w:ascii="Bookman Old Style" w:hAnsi="Bookman Old Style"/>
          <w:sz w:val="28"/>
          <w:szCs w:val="28"/>
        </w:rPr>
        <w:t>the</w:t>
      </w:r>
      <w:r w:rsidR="005339F3" w:rsidRPr="00F95E37">
        <w:rPr>
          <w:rFonts w:ascii="Bookman Old Style" w:hAnsi="Bookman Old Style"/>
          <w:sz w:val="28"/>
          <w:szCs w:val="28"/>
        </w:rPr>
        <w:t xml:space="preserve"> letters</w:t>
      </w:r>
      <w:r w:rsidR="00B93695" w:rsidRPr="00F95E37">
        <w:rPr>
          <w:rFonts w:ascii="Bookman Old Style" w:hAnsi="Bookman Old Style"/>
          <w:sz w:val="28"/>
          <w:szCs w:val="28"/>
        </w:rPr>
        <w:t xml:space="preserve"> specif</w:t>
      </w:r>
      <w:r w:rsidR="005339F3" w:rsidRPr="00F95E37">
        <w:rPr>
          <w:rFonts w:ascii="Bookman Old Style" w:hAnsi="Bookman Old Style"/>
          <w:sz w:val="28"/>
          <w:szCs w:val="28"/>
        </w:rPr>
        <w:t xml:space="preserve">ically </w:t>
      </w:r>
      <w:r w:rsidR="00AA6FF5" w:rsidRPr="00F95E37">
        <w:rPr>
          <w:rFonts w:ascii="Bookman Old Style" w:hAnsi="Bookman Old Style"/>
          <w:sz w:val="28"/>
          <w:szCs w:val="28"/>
        </w:rPr>
        <w:t>stated that</w:t>
      </w:r>
      <w:r w:rsidR="00B93695" w:rsidRPr="00F95E37">
        <w:rPr>
          <w:rFonts w:ascii="Bookman Old Style" w:hAnsi="Bookman Old Style"/>
          <w:sz w:val="28"/>
          <w:szCs w:val="28"/>
        </w:rPr>
        <w:t xml:space="preserve"> the “offer is made without prejudice of rights …, without admitting liability and solely in an attempt to settle the matter.” </w:t>
      </w:r>
    </w:p>
    <w:p w14:paraId="2923D0FD" w14:textId="77777777" w:rsidR="00343B5A" w:rsidRPr="00AA6FF5" w:rsidRDefault="00343B5A" w:rsidP="001B532C">
      <w:pPr>
        <w:pStyle w:val="ListParagraph"/>
        <w:spacing w:line="360" w:lineRule="auto"/>
        <w:rPr>
          <w:rFonts w:ascii="Bookman Old Style" w:hAnsi="Bookman Old Style"/>
          <w:sz w:val="28"/>
          <w:szCs w:val="28"/>
        </w:rPr>
      </w:pPr>
    </w:p>
    <w:p w14:paraId="735DF8FA" w14:textId="3CA8F221" w:rsidR="00FD3288"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343B5A" w:rsidRPr="00F95E37">
        <w:rPr>
          <w:rFonts w:ascii="Bookman Old Style" w:hAnsi="Bookman Old Style"/>
          <w:sz w:val="28"/>
          <w:szCs w:val="28"/>
        </w:rPr>
        <w:t>The respondent states that it rejected b</w:t>
      </w:r>
      <w:r w:rsidR="00B93695" w:rsidRPr="00F95E37">
        <w:rPr>
          <w:rFonts w:ascii="Bookman Old Style" w:hAnsi="Bookman Old Style"/>
          <w:sz w:val="28"/>
          <w:szCs w:val="28"/>
        </w:rPr>
        <w:t>oth proposals.</w:t>
      </w:r>
      <w:r w:rsidR="00665E15" w:rsidRPr="00F95E37">
        <w:rPr>
          <w:rFonts w:ascii="Bookman Old Style" w:hAnsi="Bookman Old Style"/>
          <w:sz w:val="28"/>
          <w:szCs w:val="28"/>
        </w:rPr>
        <w:t xml:space="preserve"> </w:t>
      </w:r>
      <w:r w:rsidR="00343B5A" w:rsidRPr="00F95E37">
        <w:rPr>
          <w:rFonts w:ascii="Bookman Old Style" w:hAnsi="Bookman Old Style"/>
          <w:sz w:val="28"/>
          <w:szCs w:val="28"/>
        </w:rPr>
        <w:t>It further</w:t>
      </w:r>
      <w:r w:rsidR="00B93695" w:rsidRPr="00F95E37">
        <w:rPr>
          <w:rFonts w:ascii="Bookman Old Style" w:hAnsi="Bookman Old Style"/>
          <w:sz w:val="28"/>
          <w:szCs w:val="28"/>
        </w:rPr>
        <w:t xml:space="preserve"> accuse</w:t>
      </w:r>
      <w:r w:rsidR="005339F3" w:rsidRPr="00F95E37">
        <w:rPr>
          <w:rFonts w:ascii="Bookman Old Style" w:hAnsi="Bookman Old Style"/>
          <w:sz w:val="28"/>
          <w:szCs w:val="28"/>
        </w:rPr>
        <w:t>d</w:t>
      </w:r>
      <w:r w:rsidR="00B93695" w:rsidRPr="00F95E37">
        <w:rPr>
          <w:rFonts w:ascii="Bookman Old Style" w:hAnsi="Bookman Old Style"/>
          <w:sz w:val="28"/>
          <w:szCs w:val="28"/>
        </w:rPr>
        <w:t xml:space="preserve"> the appellant of fail</w:t>
      </w:r>
      <w:r w:rsidR="005339F3" w:rsidRPr="00F95E37">
        <w:rPr>
          <w:rFonts w:ascii="Bookman Old Style" w:hAnsi="Bookman Old Style"/>
          <w:sz w:val="28"/>
          <w:szCs w:val="28"/>
        </w:rPr>
        <w:t>ing</w:t>
      </w:r>
      <w:r w:rsidR="00B93695" w:rsidRPr="00F95E37">
        <w:rPr>
          <w:rFonts w:ascii="Bookman Old Style" w:hAnsi="Bookman Old Style"/>
          <w:sz w:val="28"/>
          <w:szCs w:val="28"/>
        </w:rPr>
        <w:t xml:space="preserve"> to disclose</w:t>
      </w:r>
      <w:r w:rsidR="005339F3" w:rsidRPr="00F95E37">
        <w:rPr>
          <w:rFonts w:ascii="Bookman Old Style" w:hAnsi="Bookman Old Style"/>
          <w:sz w:val="28"/>
          <w:szCs w:val="28"/>
        </w:rPr>
        <w:t>, in the founding affidavit,</w:t>
      </w:r>
      <w:r w:rsidR="00B93695" w:rsidRPr="00F95E37">
        <w:rPr>
          <w:rFonts w:ascii="Bookman Old Style" w:hAnsi="Bookman Old Style"/>
          <w:sz w:val="28"/>
          <w:szCs w:val="28"/>
        </w:rPr>
        <w:t xml:space="preserve"> the existence of the two letters</w:t>
      </w:r>
      <w:r w:rsidR="00343B5A" w:rsidRPr="00F95E37">
        <w:rPr>
          <w:rFonts w:ascii="Bookman Old Style" w:hAnsi="Bookman Old Style"/>
          <w:sz w:val="28"/>
          <w:szCs w:val="28"/>
        </w:rPr>
        <w:t xml:space="preserve"> referenced above and</w:t>
      </w:r>
      <w:r w:rsidR="00B93695" w:rsidRPr="00F95E37">
        <w:rPr>
          <w:rFonts w:ascii="Bookman Old Style" w:hAnsi="Bookman Old Style"/>
          <w:sz w:val="28"/>
          <w:szCs w:val="28"/>
        </w:rPr>
        <w:t xml:space="preserve"> </w:t>
      </w:r>
      <w:r w:rsidR="005339F3" w:rsidRPr="00F95E37">
        <w:rPr>
          <w:rFonts w:ascii="Bookman Old Style" w:hAnsi="Bookman Old Style"/>
          <w:sz w:val="28"/>
          <w:szCs w:val="28"/>
        </w:rPr>
        <w:t>stat</w:t>
      </w:r>
      <w:r w:rsidR="00B93695" w:rsidRPr="00F95E37">
        <w:rPr>
          <w:rFonts w:ascii="Bookman Old Style" w:hAnsi="Bookman Old Style"/>
          <w:sz w:val="28"/>
          <w:szCs w:val="28"/>
        </w:rPr>
        <w:t xml:space="preserve">ed that </w:t>
      </w:r>
      <w:r w:rsidR="00343B5A" w:rsidRPr="00F95E37">
        <w:rPr>
          <w:rFonts w:ascii="Bookman Old Style" w:hAnsi="Bookman Old Style"/>
          <w:sz w:val="28"/>
          <w:szCs w:val="28"/>
        </w:rPr>
        <w:t xml:space="preserve">in any event </w:t>
      </w:r>
      <w:r w:rsidR="00B93695" w:rsidRPr="00F95E37">
        <w:rPr>
          <w:rFonts w:ascii="Bookman Old Style" w:hAnsi="Bookman Old Style"/>
          <w:sz w:val="28"/>
          <w:szCs w:val="28"/>
        </w:rPr>
        <w:t xml:space="preserve">the security bond did not cover storage </w:t>
      </w:r>
      <w:r w:rsidR="00B93695" w:rsidRPr="00F95E37">
        <w:rPr>
          <w:rFonts w:ascii="Bookman Old Style" w:hAnsi="Bookman Old Style"/>
          <w:sz w:val="28"/>
          <w:szCs w:val="28"/>
        </w:rPr>
        <w:lastRenderedPageBreak/>
        <w:t>charges beyond 8 September 2020. As such it could not release the vehicle</w:t>
      </w:r>
      <w:r w:rsidR="00343B5A" w:rsidRPr="00F95E37">
        <w:rPr>
          <w:rFonts w:ascii="Bookman Old Style" w:hAnsi="Bookman Old Style"/>
          <w:sz w:val="28"/>
          <w:szCs w:val="28"/>
        </w:rPr>
        <w:t>,</w:t>
      </w:r>
      <w:r w:rsidR="00B93695" w:rsidRPr="00F95E37">
        <w:rPr>
          <w:rFonts w:ascii="Bookman Old Style" w:hAnsi="Bookman Old Style"/>
          <w:sz w:val="28"/>
          <w:szCs w:val="28"/>
        </w:rPr>
        <w:t xml:space="preserve"> which was ‘surety’</w:t>
      </w:r>
      <w:r w:rsidR="0032018F" w:rsidRPr="00F95E37">
        <w:rPr>
          <w:rFonts w:ascii="Bookman Old Style" w:hAnsi="Bookman Old Style"/>
          <w:sz w:val="28"/>
          <w:szCs w:val="28"/>
        </w:rPr>
        <w:t xml:space="preserve"> for </w:t>
      </w:r>
      <w:r w:rsidR="00343B5A" w:rsidRPr="00F95E37">
        <w:rPr>
          <w:rFonts w:ascii="Bookman Old Style" w:hAnsi="Bookman Old Style"/>
          <w:sz w:val="28"/>
          <w:szCs w:val="28"/>
        </w:rPr>
        <w:t>payment of</w:t>
      </w:r>
      <w:r w:rsidR="0032018F" w:rsidRPr="00F95E37">
        <w:rPr>
          <w:rFonts w:ascii="Bookman Old Style" w:hAnsi="Bookman Old Style"/>
          <w:sz w:val="28"/>
          <w:szCs w:val="28"/>
        </w:rPr>
        <w:t xml:space="preserve"> the storage costs. </w:t>
      </w:r>
      <w:proofErr w:type="spellStart"/>
      <w:r w:rsidR="0032018F" w:rsidRPr="00F95E37">
        <w:rPr>
          <w:rFonts w:ascii="Bookman Old Style" w:hAnsi="Bookman Old Style"/>
          <w:sz w:val="28"/>
          <w:szCs w:val="28"/>
        </w:rPr>
        <w:t>Seabata</w:t>
      </w:r>
      <w:proofErr w:type="spellEnd"/>
      <w:r w:rsidR="0032018F" w:rsidRPr="00F95E37">
        <w:rPr>
          <w:rFonts w:ascii="Bookman Old Style" w:hAnsi="Bookman Old Style"/>
          <w:sz w:val="28"/>
          <w:szCs w:val="28"/>
        </w:rPr>
        <w:t xml:space="preserve"> </w:t>
      </w:r>
      <w:proofErr w:type="spellStart"/>
      <w:r w:rsidR="0032018F" w:rsidRPr="00F95E37">
        <w:rPr>
          <w:rFonts w:ascii="Bookman Old Style" w:hAnsi="Bookman Old Style"/>
          <w:sz w:val="28"/>
          <w:szCs w:val="28"/>
        </w:rPr>
        <w:t>Motsamai</w:t>
      </w:r>
      <w:proofErr w:type="spellEnd"/>
      <w:r w:rsidR="0032018F" w:rsidRPr="00F95E37">
        <w:rPr>
          <w:rFonts w:ascii="Bookman Old Style" w:hAnsi="Bookman Old Style"/>
          <w:sz w:val="28"/>
          <w:szCs w:val="28"/>
        </w:rPr>
        <w:t xml:space="preserve"> knew where the vehicle</w:t>
      </w:r>
      <w:r w:rsidR="005339F3" w:rsidRPr="00F95E37">
        <w:rPr>
          <w:rFonts w:ascii="Bookman Old Style" w:hAnsi="Bookman Old Style"/>
          <w:sz w:val="28"/>
          <w:szCs w:val="28"/>
        </w:rPr>
        <w:t xml:space="preserve">. That is why </w:t>
      </w:r>
      <w:r w:rsidRPr="00F95E37">
        <w:rPr>
          <w:rFonts w:ascii="Bookman Old Style" w:hAnsi="Bookman Old Style"/>
          <w:sz w:val="28"/>
          <w:szCs w:val="28"/>
        </w:rPr>
        <w:t>he did</w:t>
      </w:r>
      <w:r w:rsidR="0032018F" w:rsidRPr="00F95E37">
        <w:rPr>
          <w:rFonts w:ascii="Bookman Old Style" w:hAnsi="Bookman Old Style"/>
          <w:sz w:val="28"/>
          <w:szCs w:val="28"/>
        </w:rPr>
        <w:t xml:space="preserve"> not report </w:t>
      </w:r>
      <w:r w:rsidR="005339F3" w:rsidRPr="00F95E37">
        <w:rPr>
          <w:rFonts w:ascii="Bookman Old Style" w:hAnsi="Bookman Old Style"/>
          <w:sz w:val="28"/>
          <w:szCs w:val="28"/>
        </w:rPr>
        <w:t>the vehicle</w:t>
      </w:r>
      <w:r w:rsidR="0032018F" w:rsidRPr="00F95E37">
        <w:rPr>
          <w:rFonts w:ascii="Bookman Old Style" w:hAnsi="Bookman Old Style"/>
          <w:sz w:val="28"/>
          <w:szCs w:val="28"/>
        </w:rPr>
        <w:t xml:space="preserve"> </w:t>
      </w:r>
      <w:r w:rsidR="005339F3" w:rsidRPr="00F95E37">
        <w:rPr>
          <w:rFonts w:ascii="Bookman Old Style" w:hAnsi="Bookman Old Style"/>
          <w:sz w:val="28"/>
          <w:szCs w:val="28"/>
        </w:rPr>
        <w:t xml:space="preserve">as missing </w:t>
      </w:r>
      <w:r w:rsidR="0032018F" w:rsidRPr="00F95E37">
        <w:rPr>
          <w:rFonts w:ascii="Bookman Old Style" w:hAnsi="Bookman Old Style"/>
          <w:sz w:val="28"/>
          <w:szCs w:val="28"/>
        </w:rPr>
        <w:t xml:space="preserve">to the police or anyone else. The vehicle had been towed to the respondent’s workshop by an employee of LCN, Vusi </w:t>
      </w:r>
      <w:proofErr w:type="spellStart"/>
      <w:r w:rsidR="0032018F" w:rsidRPr="00F95E37">
        <w:rPr>
          <w:rFonts w:ascii="Bookman Old Style" w:hAnsi="Bookman Old Style"/>
          <w:sz w:val="28"/>
          <w:szCs w:val="28"/>
        </w:rPr>
        <w:t>Matsoso</w:t>
      </w:r>
      <w:proofErr w:type="spellEnd"/>
      <w:r w:rsidR="0032018F" w:rsidRPr="00F95E37">
        <w:rPr>
          <w:rFonts w:ascii="Bookman Old Style" w:hAnsi="Bookman Old Style"/>
          <w:sz w:val="28"/>
          <w:szCs w:val="28"/>
        </w:rPr>
        <w:t>.</w:t>
      </w:r>
    </w:p>
    <w:p w14:paraId="51D4C2DC" w14:textId="77777777" w:rsidR="00C91C1F" w:rsidRPr="00AA6FF5" w:rsidRDefault="00C91C1F" w:rsidP="001B532C">
      <w:pPr>
        <w:pStyle w:val="ListParagraph"/>
        <w:spacing w:line="360" w:lineRule="auto"/>
        <w:jc w:val="both"/>
        <w:rPr>
          <w:rFonts w:ascii="Bookman Old Style" w:hAnsi="Bookman Old Style"/>
          <w:sz w:val="28"/>
          <w:szCs w:val="28"/>
        </w:rPr>
      </w:pPr>
    </w:p>
    <w:p w14:paraId="06E953A3" w14:textId="2B5774B5" w:rsidR="0032018F"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32018F" w:rsidRPr="00F95E37">
        <w:rPr>
          <w:rFonts w:ascii="Bookman Old Style" w:hAnsi="Bookman Old Style"/>
          <w:sz w:val="28"/>
          <w:szCs w:val="28"/>
        </w:rPr>
        <w:t xml:space="preserve">The appellant’s replying affidavit objects to the production in evidence of the </w:t>
      </w:r>
      <w:r w:rsidRPr="00F95E37">
        <w:rPr>
          <w:rFonts w:ascii="Bookman Old Style" w:hAnsi="Bookman Old Style"/>
          <w:sz w:val="28"/>
          <w:szCs w:val="28"/>
        </w:rPr>
        <w:t>letters of</w:t>
      </w:r>
      <w:r w:rsidR="00343B5A" w:rsidRPr="00F95E37">
        <w:rPr>
          <w:rFonts w:ascii="Bookman Old Style" w:hAnsi="Bookman Old Style"/>
          <w:sz w:val="28"/>
          <w:szCs w:val="28"/>
        </w:rPr>
        <w:t xml:space="preserve"> May and June, </w:t>
      </w:r>
      <w:r w:rsidR="0032018F" w:rsidRPr="00F95E37">
        <w:rPr>
          <w:rFonts w:ascii="Bookman Old Style" w:hAnsi="Bookman Old Style"/>
          <w:sz w:val="28"/>
          <w:szCs w:val="28"/>
        </w:rPr>
        <w:t>written on a without prejudice basis</w:t>
      </w:r>
      <w:r w:rsidR="00343B5A" w:rsidRPr="00F95E37">
        <w:rPr>
          <w:rFonts w:ascii="Bookman Old Style" w:hAnsi="Bookman Old Style"/>
          <w:sz w:val="28"/>
          <w:szCs w:val="28"/>
        </w:rPr>
        <w:t>,</w:t>
      </w:r>
      <w:r w:rsidR="00B61781" w:rsidRPr="00F95E37">
        <w:rPr>
          <w:rFonts w:ascii="Bookman Old Style" w:hAnsi="Bookman Old Style"/>
          <w:sz w:val="28"/>
          <w:szCs w:val="28"/>
        </w:rPr>
        <w:t xml:space="preserve"> on the ground that they are inadmissible.</w:t>
      </w:r>
      <w:r w:rsidR="00C91C1F" w:rsidRPr="00F95E37">
        <w:rPr>
          <w:rFonts w:ascii="Bookman Old Style" w:hAnsi="Bookman Old Style"/>
          <w:sz w:val="28"/>
          <w:szCs w:val="28"/>
        </w:rPr>
        <w:t xml:space="preserve"> </w:t>
      </w:r>
      <w:r w:rsidR="00BC2640" w:rsidRPr="00F95E37">
        <w:rPr>
          <w:rFonts w:ascii="Bookman Old Style" w:hAnsi="Bookman Old Style"/>
          <w:sz w:val="28"/>
          <w:szCs w:val="28"/>
        </w:rPr>
        <w:t xml:space="preserve">It prayed the court to strike out averments in the answering affidavit seeking reliance on the without prejudice communication. The appellant explained in its replying affidavit that the urgency with which it instituted its claim arose from the fact that the storage charges continued to escalate at M650.00 per day. It also explained the basis of its application. It was aimed at limiting the appellant’s potential liability and secure for the respondent the amount of its claim. For this </w:t>
      </w:r>
      <w:r w:rsidRPr="00F95E37">
        <w:rPr>
          <w:rFonts w:ascii="Bookman Old Style" w:hAnsi="Bookman Old Style"/>
          <w:sz w:val="28"/>
          <w:szCs w:val="28"/>
        </w:rPr>
        <w:t>reason,</w:t>
      </w:r>
      <w:r w:rsidR="00BC2640" w:rsidRPr="00F95E37">
        <w:rPr>
          <w:rFonts w:ascii="Bookman Old Style" w:hAnsi="Bookman Old Style"/>
          <w:sz w:val="28"/>
          <w:szCs w:val="28"/>
        </w:rPr>
        <w:t xml:space="preserve"> the appellant averred that any disputed facts were not germane t</w:t>
      </w:r>
      <w:r w:rsidR="0040253D" w:rsidRPr="00F95E37">
        <w:rPr>
          <w:rFonts w:ascii="Bookman Old Style" w:hAnsi="Bookman Old Style"/>
          <w:sz w:val="28"/>
          <w:szCs w:val="28"/>
        </w:rPr>
        <w:t>o the application before court and could have to be dealt with when the parties become ceased with the substantive claim. In response to the contention that it had no standing to institute the proceedings, appellant stated that it was the insurer of the vehicle with which the Toyota Fortuner collided and that as evidence by a letter dated 28 July 2020 (</w:t>
      </w:r>
      <w:r w:rsidR="00315FD9" w:rsidRPr="00F95E37">
        <w:rPr>
          <w:rFonts w:ascii="Bookman Old Style" w:hAnsi="Bookman Old Style"/>
          <w:sz w:val="28"/>
          <w:szCs w:val="28"/>
        </w:rPr>
        <w:t>Annexure</w:t>
      </w:r>
      <w:r w:rsidR="0040253D" w:rsidRPr="00F95E37">
        <w:rPr>
          <w:rFonts w:ascii="Bookman Old Style" w:hAnsi="Bookman Old Style"/>
          <w:sz w:val="28"/>
          <w:szCs w:val="28"/>
        </w:rPr>
        <w:t xml:space="preserve"> </w:t>
      </w:r>
      <w:r w:rsidR="00315FD9" w:rsidRPr="00F95E37">
        <w:rPr>
          <w:rFonts w:ascii="Bookman Old Style" w:hAnsi="Bookman Old Style"/>
          <w:sz w:val="28"/>
          <w:szCs w:val="28"/>
        </w:rPr>
        <w:t>R1) it had indemnified LCN against loss of the vehicle. It denied that the invoices were an acknowledgement of debt. To the contrary, they were no more than mere information supplied upon request.</w:t>
      </w:r>
    </w:p>
    <w:p w14:paraId="7BA64A63" w14:textId="77777777" w:rsidR="00C029C9" w:rsidRPr="00AA6FF5" w:rsidRDefault="00C029C9" w:rsidP="001B532C">
      <w:pPr>
        <w:pStyle w:val="ListParagraph"/>
        <w:spacing w:line="360" w:lineRule="auto"/>
        <w:jc w:val="both"/>
        <w:rPr>
          <w:rFonts w:ascii="Bookman Old Style" w:hAnsi="Bookman Old Style"/>
          <w:sz w:val="28"/>
          <w:szCs w:val="28"/>
        </w:rPr>
      </w:pPr>
    </w:p>
    <w:p w14:paraId="1D8B326E" w14:textId="5285BA2A" w:rsidR="00315FD9"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315FD9" w:rsidRPr="00F95E37">
        <w:rPr>
          <w:rFonts w:ascii="Bookman Old Style" w:hAnsi="Bookman Old Style"/>
          <w:sz w:val="28"/>
          <w:szCs w:val="28"/>
        </w:rPr>
        <w:t xml:space="preserve">The appellant took the view that </w:t>
      </w:r>
      <w:r w:rsidRPr="00F95E37">
        <w:rPr>
          <w:rFonts w:ascii="Bookman Old Style" w:hAnsi="Bookman Old Style"/>
          <w:sz w:val="28"/>
          <w:szCs w:val="28"/>
        </w:rPr>
        <w:t>if,</w:t>
      </w:r>
      <w:r w:rsidR="00315FD9" w:rsidRPr="00F95E37">
        <w:rPr>
          <w:rFonts w:ascii="Bookman Old Style" w:hAnsi="Bookman Old Style"/>
          <w:sz w:val="28"/>
          <w:szCs w:val="28"/>
        </w:rPr>
        <w:t xml:space="preserve"> as respondent states</w:t>
      </w:r>
      <w:r w:rsidR="00C029C9" w:rsidRPr="00F95E37">
        <w:rPr>
          <w:rFonts w:ascii="Bookman Old Style" w:hAnsi="Bookman Old Style"/>
          <w:sz w:val="28"/>
          <w:szCs w:val="28"/>
        </w:rPr>
        <w:t>, it had an agreement with LCN, then it is to LCN that it must look for payment of its costs. Appellant persisted with its claim for the release to it of the motor vehicle.</w:t>
      </w:r>
    </w:p>
    <w:p w14:paraId="5034A299" w14:textId="77777777" w:rsidR="00C029C9" w:rsidRPr="00AA6FF5" w:rsidRDefault="00C029C9" w:rsidP="001B532C">
      <w:pPr>
        <w:pStyle w:val="ListParagraph"/>
        <w:spacing w:line="360" w:lineRule="auto"/>
        <w:rPr>
          <w:rFonts w:ascii="Bookman Old Style" w:hAnsi="Bookman Old Style"/>
          <w:sz w:val="28"/>
          <w:szCs w:val="28"/>
        </w:rPr>
      </w:pPr>
    </w:p>
    <w:p w14:paraId="26095CAA" w14:textId="30D12BA5" w:rsidR="00C029C9" w:rsidRPr="00F95E37" w:rsidRDefault="00C029C9" w:rsidP="00F95E37">
      <w:pPr>
        <w:spacing w:line="360" w:lineRule="auto"/>
        <w:jc w:val="both"/>
        <w:rPr>
          <w:rFonts w:ascii="Bookman Old Style" w:hAnsi="Bookman Old Style"/>
          <w:b/>
          <w:bCs/>
          <w:sz w:val="28"/>
          <w:szCs w:val="28"/>
        </w:rPr>
      </w:pPr>
      <w:r w:rsidRPr="00F95E37">
        <w:rPr>
          <w:rFonts w:ascii="Bookman Old Style" w:hAnsi="Bookman Old Style"/>
          <w:b/>
          <w:bCs/>
          <w:sz w:val="28"/>
          <w:szCs w:val="28"/>
        </w:rPr>
        <w:t>Decision of High Court</w:t>
      </w:r>
    </w:p>
    <w:p w14:paraId="6046E3B7" w14:textId="77777777" w:rsidR="00C029C9" w:rsidRPr="00AA6FF5" w:rsidRDefault="00C029C9" w:rsidP="001B532C">
      <w:pPr>
        <w:pStyle w:val="ListParagraph"/>
        <w:spacing w:line="360" w:lineRule="auto"/>
        <w:rPr>
          <w:rFonts w:ascii="Bookman Old Style" w:hAnsi="Bookman Old Style"/>
          <w:sz w:val="28"/>
          <w:szCs w:val="28"/>
        </w:rPr>
      </w:pPr>
    </w:p>
    <w:p w14:paraId="1318ADC7" w14:textId="604206E1" w:rsidR="00AE742B"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907E61" w:rsidRPr="00F95E37">
        <w:rPr>
          <w:rFonts w:ascii="Bookman Old Style" w:hAnsi="Bookman Old Style"/>
          <w:sz w:val="28"/>
          <w:szCs w:val="28"/>
        </w:rPr>
        <w:t>It seems to me that the learned judge in the High Court did not have a good appreciation of t</w:t>
      </w:r>
      <w:r w:rsidR="00305E7B" w:rsidRPr="00F95E37">
        <w:rPr>
          <w:rFonts w:ascii="Bookman Old Style" w:hAnsi="Bookman Old Style"/>
          <w:sz w:val="28"/>
          <w:szCs w:val="28"/>
        </w:rPr>
        <w:t>he facts that I have</w:t>
      </w:r>
      <w:r w:rsidR="00907E61" w:rsidRPr="00F95E37">
        <w:rPr>
          <w:rFonts w:ascii="Bookman Old Style" w:hAnsi="Bookman Old Style"/>
          <w:sz w:val="28"/>
          <w:szCs w:val="28"/>
        </w:rPr>
        <w:t>,</w:t>
      </w:r>
      <w:r w:rsidR="00305E7B" w:rsidRPr="00F95E37">
        <w:rPr>
          <w:rFonts w:ascii="Bookman Old Style" w:hAnsi="Bookman Old Style"/>
          <w:sz w:val="28"/>
          <w:szCs w:val="28"/>
        </w:rPr>
        <w:t xml:space="preserve"> </w:t>
      </w:r>
      <w:r w:rsidR="00907E61" w:rsidRPr="00F95E37">
        <w:rPr>
          <w:rFonts w:ascii="Bookman Old Style" w:hAnsi="Bookman Old Style"/>
          <w:sz w:val="28"/>
          <w:szCs w:val="28"/>
        </w:rPr>
        <w:t xml:space="preserve">going by the affidavits on record, </w:t>
      </w:r>
      <w:r w:rsidR="00305E7B" w:rsidRPr="00F95E37">
        <w:rPr>
          <w:rFonts w:ascii="Bookman Old Style" w:hAnsi="Bookman Old Style"/>
          <w:sz w:val="28"/>
          <w:szCs w:val="28"/>
        </w:rPr>
        <w:t>outlined above</w:t>
      </w:r>
      <w:r w:rsidR="00907E61" w:rsidRPr="00F95E37">
        <w:rPr>
          <w:rFonts w:ascii="Bookman Old Style" w:hAnsi="Bookman Old Style"/>
          <w:sz w:val="28"/>
          <w:szCs w:val="28"/>
        </w:rPr>
        <w:t>.</w:t>
      </w:r>
      <w:r w:rsidR="00305E7B" w:rsidRPr="00F95E37">
        <w:rPr>
          <w:rFonts w:ascii="Bookman Old Style" w:hAnsi="Bookman Old Style"/>
          <w:sz w:val="28"/>
          <w:szCs w:val="28"/>
        </w:rPr>
        <w:t xml:space="preserve"> </w:t>
      </w:r>
      <w:r w:rsidR="00907E61" w:rsidRPr="00F95E37">
        <w:rPr>
          <w:rFonts w:ascii="Bookman Old Style" w:hAnsi="Bookman Old Style"/>
          <w:sz w:val="28"/>
          <w:szCs w:val="28"/>
        </w:rPr>
        <w:t xml:space="preserve">For </w:t>
      </w:r>
      <w:r w:rsidRPr="00F95E37">
        <w:rPr>
          <w:rFonts w:ascii="Bookman Old Style" w:hAnsi="Bookman Old Style"/>
          <w:sz w:val="28"/>
          <w:szCs w:val="28"/>
        </w:rPr>
        <w:t>instance,</w:t>
      </w:r>
      <w:r w:rsidR="00907E61" w:rsidRPr="00F95E37">
        <w:rPr>
          <w:rFonts w:ascii="Bookman Old Style" w:hAnsi="Bookman Old Style"/>
          <w:sz w:val="28"/>
          <w:szCs w:val="28"/>
        </w:rPr>
        <w:t xml:space="preserve"> the judge commences the judgment by stating: </w:t>
      </w:r>
    </w:p>
    <w:p w14:paraId="13E08CD1" w14:textId="77777777" w:rsidR="00AE742B" w:rsidRPr="00AA6FF5" w:rsidRDefault="00AE742B" w:rsidP="001B532C">
      <w:pPr>
        <w:pStyle w:val="ListParagraph"/>
        <w:spacing w:line="360" w:lineRule="auto"/>
        <w:jc w:val="both"/>
        <w:rPr>
          <w:rFonts w:ascii="Bookman Old Style" w:hAnsi="Bookman Old Style"/>
          <w:sz w:val="28"/>
          <w:szCs w:val="28"/>
        </w:rPr>
      </w:pPr>
    </w:p>
    <w:p w14:paraId="5B7EC733" w14:textId="77777777" w:rsidR="00AE742B" w:rsidRPr="00F95E37" w:rsidRDefault="00907E61" w:rsidP="00F95E37">
      <w:pPr>
        <w:pStyle w:val="ListParagraph"/>
        <w:ind w:left="1440"/>
        <w:jc w:val="both"/>
        <w:rPr>
          <w:rFonts w:ascii="Bookman Old Style" w:hAnsi="Bookman Old Style"/>
          <w:i/>
          <w:iCs/>
          <w:sz w:val="28"/>
          <w:szCs w:val="28"/>
        </w:rPr>
      </w:pPr>
      <w:r w:rsidRPr="00F95E37">
        <w:rPr>
          <w:rFonts w:ascii="Bookman Old Style" w:hAnsi="Bookman Old Style"/>
          <w:i/>
          <w:iCs/>
          <w:sz w:val="28"/>
          <w:szCs w:val="28"/>
        </w:rPr>
        <w:t>“[1] In this matter, two motor vehicles got involved in a collision on the 27</w:t>
      </w:r>
      <w:r w:rsidRPr="00F95E37">
        <w:rPr>
          <w:rFonts w:ascii="Bookman Old Style" w:hAnsi="Bookman Old Style"/>
          <w:i/>
          <w:iCs/>
          <w:sz w:val="28"/>
          <w:szCs w:val="28"/>
          <w:vertAlign w:val="superscript"/>
        </w:rPr>
        <w:t>th</w:t>
      </w:r>
      <w:r w:rsidRPr="00F95E37">
        <w:rPr>
          <w:rFonts w:ascii="Bookman Old Style" w:hAnsi="Bookman Old Style"/>
          <w:i/>
          <w:iCs/>
          <w:sz w:val="28"/>
          <w:szCs w:val="28"/>
        </w:rPr>
        <w:t xml:space="preserve"> April 2020. It was a Toyota Yaris … and a Toyota Fortuner…. The former vehicle belonged to </w:t>
      </w:r>
      <w:r w:rsidR="00587D87" w:rsidRPr="00F95E37">
        <w:rPr>
          <w:rFonts w:ascii="Bookman Old Style" w:hAnsi="Bookman Old Style"/>
          <w:i/>
          <w:iCs/>
          <w:sz w:val="28"/>
          <w:szCs w:val="28"/>
        </w:rPr>
        <w:t xml:space="preserve">the Lesotho Council of NGO’s (LNC). The applicant was at all material times the insurer of the Toyota Yaris.” </w:t>
      </w:r>
    </w:p>
    <w:p w14:paraId="29ACC865" w14:textId="77777777" w:rsidR="00AE742B" w:rsidRPr="00AA6FF5" w:rsidRDefault="00AE742B" w:rsidP="001B532C">
      <w:pPr>
        <w:pStyle w:val="ListParagraph"/>
        <w:spacing w:line="360" w:lineRule="auto"/>
        <w:rPr>
          <w:rFonts w:ascii="Bookman Old Style" w:hAnsi="Bookman Old Style"/>
          <w:sz w:val="28"/>
          <w:szCs w:val="28"/>
        </w:rPr>
      </w:pPr>
    </w:p>
    <w:p w14:paraId="7A812592" w14:textId="2B0C10C7" w:rsidR="00AE742B"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Pr="00F95E37">
        <w:rPr>
          <w:rFonts w:ascii="Bookman Old Style" w:hAnsi="Bookman Old Style"/>
          <w:sz w:val="28"/>
          <w:szCs w:val="28"/>
        </w:rPr>
        <w:t>And in</w:t>
      </w:r>
      <w:r w:rsidR="00587D87" w:rsidRPr="00F95E37">
        <w:rPr>
          <w:rFonts w:ascii="Bookman Old Style" w:hAnsi="Bookman Old Style"/>
          <w:sz w:val="28"/>
          <w:szCs w:val="28"/>
        </w:rPr>
        <w:t xml:space="preserve"> a more convoluted </w:t>
      </w:r>
      <w:r w:rsidR="00AE742B" w:rsidRPr="00F95E37">
        <w:rPr>
          <w:rFonts w:ascii="Bookman Old Style" w:hAnsi="Bookman Old Style"/>
          <w:sz w:val="28"/>
          <w:szCs w:val="28"/>
        </w:rPr>
        <w:t>manner, the learned judge says</w:t>
      </w:r>
      <w:r w:rsidR="00587D87" w:rsidRPr="00F95E37">
        <w:rPr>
          <w:rFonts w:ascii="Bookman Old Style" w:hAnsi="Bookman Old Style"/>
          <w:sz w:val="28"/>
          <w:szCs w:val="28"/>
        </w:rPr>
        <w:t xml:space="preserve">: </w:t>
      </w:r>
    </w:p>
    <w:p w14:paraId="478B38D7" w14:textId="77777777" w:rsidR="00AE742B" w:rsidRPr="00AA6FF5" w:rsidRDefault="00AE742B" w:rsidP="001B532C">
      <w:pPr>
        <w:pStyle w:val="ListParagraph"/>
        <w:spacing w:line="360" w:lineRule="auto"/>
        <w:rPr>
          <w:rFonts w:ascii="Bookman Old Style" w:hAnsi="Bookman Old Style"/>
          <w:sz w:val="28"/>
          <w:szCs w:val="28"/>
        </w:rPr>
      </w:pPr>
    </w:p>
    <w:p w14:paraId="638429DD" w14:textId="3C972115" w:rsidR="00C029C9" w:rsidRPr="00F95E37" w:rsidRDefault="00F95E37" w:rsidP="00F95E37">
      <w:pPr>
        <w:pStyle w:val="ListParagraph"/>
        <w:ind w:left="1440"/>
        <w:jc w:val="both"/>
        <w:rPr>
          <w:rFonts w:ascii="Bookman Old Style" w:hAnsi="Bookman Old Style"/>
          <w:i/>
          <w:iCs/>
          <w:sz w:val="28"/>
          <w:szCs w:val="28"/>
        </w:rPr>
      </w:pPr>
      <w:r w:rsidRPr="00F95E37">
        <w:rPr>
          <w:rFonts w:ascii="Bookman Old Style" w:hAnsi="Bookman Old Style"/>
          <w:i/>
          <w:iCs/>
          <w:sz w:val="28"/>
          <w:szCs w:val="28"/>
        </w:rPr>
        <w:t>“</w:t>
      </w:r>
      <w:r w:rsidR="00587D87" w:rsidRPr="00F95E37">
        <w:rPr>
          <w:rFonts w:ascii="Bookman Old Style" w:hAnsi="Bookman Old Style"/>
          <w:i/>
          <w:iCs/>
          <w:sz w:val="28"/>
          <w:szCs w:val="28"/>
        </w:rPr>
        <w:t>[4] … On the 27</w:t>
      </w:r>
      <w:r w:rsidR="00587D87" w:rsidRPr="00F95E37">
        <w:rPr>
          <w:rFonts w:ascii="Bookman Old Style" w:hAnsi="Bookman Old Style"/>
          <w:i/>
          <w:iCs/>
          <w:sz w:val="28"/>
          <w:szCs w:val="28"/>
          <w:vertAlign w:val="superscript"/>
        </w:rPr>
        <w:t>th</w:t>
      </w:r>
      <w:r w:rsidR="00587D87" w:rsidRPr="00F95E37">
        <w:rPr>
          <w:rFonts w:ascii="Bookman Old Style" w:hAnsi="Bookman Old Style"/>
          <w:i/>
          <w:iCs/>
          <w:sz w:val="28"/>
          <w:szCs w:val="28"/>
        </w:rPr>
        <w:t xml:space="preserve"> May 2020 after the collision of the said vehicles, the Lesotho Council of NGO’s (LNC) made a demand for repair or replacement of its vehicle to the Applicant’s insured vehicle. After the insured vehicle received the demand letter, it forwarded the same to the Applicant to handle LNC’s claim.”</w:t>
      </w:r>
    </w:p>
    <w:p w14:paraId="428D68F4" w14:textId="77777777" w:rsidR="00AE742B" w:rsidRPr="00AA6FF5" w:rsidRDefault="00AE742B" w:rsidP="001B532C">
      <w:pPr>
        <w:pStyle w:val="ListParagraph"/>
        <w:spacing w:line="360" w:lineRule="auto"/>
        <w:jc w:val="both"/>
        <w:rPr>
          <w:rFonts w:ascii="Bookman Old Style" w:hAnsi="Bookman Old Style"/>
          <w:sz w:val="28"/>
          <w:szCs w:val="28"/>
        </w:rPr>
      </w:pPr>
    </w:p>
    <w:p w14:paraId="78AC5634" w14:textId="465A4258" w:rsidR="00587D87"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587D87" w:rsidRPr="00F95E37">
        <w:rPr>
          <w:rFonts w:ascii="Bookman Old Style" w:hAnsi="Bookman Old Style"/>
          <w:sz w:val="28"/>
          <w:szCs w:val="28"/>
        </w:rPr>
        <w:t>The Toyota Yaris motor veh</w:t>
      </w:r>
      <w:r w:rsidR="00AE742B" w:rsidRPr="00F95E37">
        <w:rPr>
          <w:rFonts w:ascii="Bookman Old Style" w:hAnsi="Bookman Old Style"/>
          <w:sz w:val="28"/>
          <w:szCs w:val="28"/>
        </w:rPr>
        <w:t>i</w:t>
      </w:r>
      <w:r w:rsidR="00587D87" w:rsidRPr="00F95E37">
        <w:rPr>
          <w:rFonts w:ascii="Bookman Old Style" w:hAnsi="Bookman Old Style"/>
          <w:sz w:val="28"/>
          <w:szCs w:val="28"/>
        </w:rPr>
        <w:t xml:space="preserve">cle and not the Toyota Fortuner was the vehicle insured by the </w:t>
      </w:r>
      <w:r w:rsidR="00AE742B" w:rsidRPr="00F95E37">
        <w:rPr>
          <w:rFonts w:ascii="Bookman Old Style" w:hAnsi="Bookman Old Style"/>
          <w:sz w:val="28"/>
          <w:szCs w:val="28"/>
        </w:rPr>
        <w:t xml:space="preserve">appellant and it was not the vehicle owned by LNC. The demand for the repair or replacement costs could not conceivably be sent to a vehicle nor could an insured </w:t>
      </w:r>
      <w:r w:rsidR="00AE742B" w:rsidRPr="00F95E37">
        <w:rPr>
          <w:rFonts w:ascii="Bookman Old Style" w:hAnsi="Bookman Old Style"/>
          <w:sz w:val="28"/>
          <w:szCs w:val="28"/>
        </w:rPr>
        <w:lastRenderedPageBreak/>
        <w:t>vehicle receive a demand. This way of narrating the facts of a matter leaves a lot to be desired. It raises a doubt in a reader’s mind whether the judge properly understood the facts of the matter before him.</w:t>
      </w:r>
    </w:p>
    <w:p w14:paraId="1C663FEC" w14:textId="77777777" w:rsidR="00BB1A92" w:rsidRPr="00AA6FF5" w:rsidRDefault="00BB1A92" w:rsidP="001B532C">
      <w:pPr>
        <w:pStyle w:val="ListParagraph"/>
        <w:spacing w:line="360" w:lineRule="auto"/>
        <w:jc w:val="both"/>
        <w:rPr>
          <w:rFonts w:ascii="Bookman Old Style" w:hAnsi="Bookman Old Style"/>
          <w:sz w:val="28"/>
          <w:szCs w:val="28"/>
        </w:rPr>
      </w:pPr>
    </w:p>
    <w:p w14:paraId="5ACFE0AF" w14:textId="6E2F769C" w:rsidR="00E0616B" w:rsidRPr="00F95E37" w:rsidRDefault="00F95E37" w:rsidP="00F95E37">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BB1A92" w:rsidRPr="00F95E37">
        <w:rPr>
          <w:rFonts w:ascii="Bookman Old Style" w:hAnsi="Bookman Old Style"/>
          <w:sz w:val="28"/>
          <w:szCs w:val="28"/>
        </w:rPr>
        <w:t xml:space="preserve">Be that as it may, </w:t>
      </w:r>
      <w:r w:rsidR="00E0616B" w:rsidRPr="00F95E37">
        <w:rPr>
          <w:rFonts w:ascii="Bookman Old Style" w:hAnsi="Bookman Old Style"/>
          <w:sz w:val="28"/>
          <w:szCs w:val="28"/>
        </w:rPr>
        <w:t>t</w:t>
      </w:r>
      <w:r w:rsidR="00BB1A92" w:rsidRPr="00F95E37">
        <w:rPr>
          <w:rFonts w:ascii="Bookman Old Style" w:hAnsi="Bookman Old Style"/>
          <w:sz w:val="28"/>
          <w:szCs w:val="28"/>
        </w:rPr>
        <w:t xml:space="preserve">he learned judge first </w:t>
      </w:r>
      <w:r w:rsidR="00E0616B" w:rsidRPr="00F95E37">
        <w:rPr>
          <w:rFonts w:ascii="Bookman Old Style" w:hAnsi="Bookman Old Style"/>
          <w:sz w:val="28"/>
          <w:szCs w:val="28"/>
        </w:rPr>
        <w:t>considered</w:t>
      </w:r>
      <w:r w:rsidR="00BB1A92" w:rsidRPr="00F95E37">
        <w:rPr>
          <w:rFonts w:ascii="Bookman Old Style" w:hAnsi="Bookman Old Style"/>
          <w:sz w:val="28"/>
          <w:szCs w:val="28"/>
        </w:rPr>
        <w:t xml:space="preserve"> the </w:t>
      </w:r>
      <w:r w:rsidR="00FC7466" w:rsidRPr="00F95E37">
        <w:rPr>
          <w:rFonts w:ascii="Bookman Old Style" w:hAnsi="Bookman Old Style"/>
          <w:sz w:val="28"/>
          <w:szCs w:val="28"/>
        </w:rPr>
        <w:t xml:space="preserve">appellant’s </w:t>
      </w:r>
      <w:r w:rsidR="00BB1A92" w:rsidRPr="00F95E37">
        <w:rPr>
          <w:rFonts w:ascii="Bookman Old Style" w:hAnsi="Bookman Old Style"/>
          <w:sz w:val="28"/>
          <w:szCs w:val="28"/>
        </w:rPr>
        <w:t xml:space="preserve">preliminary objection to the production of the letters written on a without prejudice basis. Relying on the decision in </w:t>
      </w:r>
      <w:r w:rsidR="00BB1A92" w:rsidRPr="00F95E37">
        <w:rPr>
          <w:rFonts w:ascii="Bookman Old Style" w:hAnsi="Bookman Old Style"/>
          <w:i/>
          <w:iCs/>
          <w:sz w:val="28"/>
          <w:szCs w:val="28"/>
        </w:rPr>
        <w:t>Naidoo v Maine &amp; Trade Insurance Co Ltd</w:t>
      </w:r>
      <w:r w:rsidR="00CF1A2A" w:rsidRPr="00AA6FF5">
        <w:rPr>
          <w:rStyle w:val="FootnoteReference"/>
          <w:rFonts w:ascii="Bookman Old Style" w:hAnsi="Bookman Old Style"/>
          <w:sz w:val="28"/>
          <w:szCs w:val="28"/>
        </w:rPr>
        <w:footnoteReference w:id="2"/>
      </w:r>
      <w:r w:rsidR="00FC7466" w:rsidRPr="00F95E37">
        <w:rPr>
          <w:rFonts w:ascii="Bookman Old Style" w:hAnsi="Bookman Old Style"/>
          <w:sz w:val="28"/>
          <w:szCs w:val="28"/>
        </w:rPr>
        <w:t xml:space="preserve"> he correctly decided that the letters were in admissible and ordered that the paragraphs in the answering affidavit dealing the letters and the letters themselves be stuck off from</w:t>
      </w:r>
      <w:r w:rsidR="00E0616B" w:rsidRPr="00F95E37">
        <w:rPr>
          <w:rFonts w:ascii="Bookman Old Style" w:hAnsi="Bookman Old Style"/>
          <w:sz w:val="28"/>
          <w:szCs w:val="28"/>
        </w:rPr>
        <w:t xml:space="preserve"> that answering affidavit</w:t>
      </w:r>
      <w:r w:rsidR="00FC7466" w:rsidRPr="00F95E37">
        <w:rPr>
          <w:rFonts w:ascii="Bookman Old Style" w:hAnsi="Bookman Old Style"/>
          <w:sz w:val="28"/>
          <w:szCs w:val="28"/>
        </w:rPr>
        <w:t>.</w:t>
      </w:r>
      <w:r w:rsidR="00E0616B" w:rsidRPr="00F95E37">
        <w:rPr>
          <w:rFonts w:ascii="Bookman Old Style" w:hAnsi="Bookman Old Style"/>
          <w:sz w:val="28"/>
          <w:szCs w:val="28"/>
        </w:rPr>
        <w:t xml:space="preserve"> The rationale for excluding from evidence without prejudice communication was well articulated at 677B-D in </w:t>
      </w:r>
      <w:r w:rsidR="00E0616B" w:rsidRPr="00F95E37">
        <w:rPr>
          <w:rFonts w:ascii="Bookman Old Style" w:hAnsi="Bookman Old Style"/>
          <w:i/>
          <w:iCs/>
          <w:sz w:val="28"/>
          <w:szCs w:val="28"/>
        </w:rPr>
        <w:t>Naidoo:</w:t>
      </w:r>
      <w:r w:rsidR="00E0616B" w:rsidRPr="00F95E37">
        <w:rPr>
          <w:rFonts w:ascii="Bookman Old Style" w:hAnsi="Bookman Old Style"/>
          <w:sz w:val="28"/>
          <w:szCs w:val="28"/>
        </w:rPr>
        <w:t xml:space="preserve"> </w:t>
      </w:r>
    </w:p>
    <w:p w14:paraId="73EB8ADD" w14:textId="77777777" w:rsidR="00E0616B" w:rsidRPr="00AA6FF5" w:rsidRDefault="00E0616B" w:rsidP="001B532C">
      <w:pPr>
        <w:pStyle w:val="ListParagraph"/>
        <w:spacing w:line="360" w:lineRule="auto"/>
        <w:rPr>
          <w:rFonts w:ascii="Bookman Old Style" w:hAnsi="Bookman Old Style"/>
          <w:sz w:val="28"/>
          <w:szCs w:val="28"/>
        </w:rPr>
      </w:pPr>
    </w:p>
    <w:p w14:paraId="5A42025D" w14:textId="65892EA8" w:rsidR="00AE742B" w:rsidRPr="009D788F" w:rsidRDefault="00E0616B" w:rsidP="009D788F">
      <w:pPr>
        <w:pStyle w:val="ListParagraph"/>
        <w:ind w:left="1440"/>
        <w:jc w:val="both"/>
        <w:rPr>
          <w:rFonts w:ascii="Bookman Old Style" w:hAnsi="Bookman Old Style"/>
          <w:i/>
          <w:iCs/>
          <w:sz w:val="28"/>
          <w:szCs w:val="28"/>
        </w:rPr>
      </w:pPr>
      <w:r w:rsidRPr="009D788F">
        <w:rPr>
          <w:rFonts w:ascii="Bookman Old Style" w:hAnsi="Bookman Old Style"/>
          <w:i/>
          <w:iCs/>
          <w:sz w:val="28"/>
          <w:szCs w:val="28"/>
        </w:rPr>
        <w:t>“[Such correspondence, once objected to its being adduced in evidence, was wholly inadmissible. The rationale for the rule is public policy: parties are to be encouraged to avoid litigation and all the expenses (nowadays, very high), delays, hostility, and inconvenience it usually entails, by resolving their differences amicably in full and frank discussions without fear that, if the negotiations fail, any admissions made by them during such negotiations will be used against them in the ensuing litigation.”</w:t>
      </w:r>
    </w:p>
    <w:p w14:paraId="4A3AE31B" w14:textId="77777777" w:rsidR="00E0616B" w:rsidRPr="00AA6FF5" w:rsidRDefault="00E0616B" w:rsidP="001B532C">
      <w:pPr>
        <w:pStyle w:val="ListParagraph"/>
        <w:spacing w:line="360" w:lineRule="auto"/>
        <w:rPr>
          <w:rFonts w:ascii="Bookman Old Style" w:hAnsi="Bookman Old Style"/>
          <w:sz w:val="28"/>
          <w:szCs w:val="28"/>
        </w:rPr>
      </w:pPr>
    </w:p>
    <w:p w14:paraId="6CFD205F" w14:textId="0EAC05E2" w:rsidR="009E7EBD" w:rsidRPr="009D788F" w:rsidRDefault="009D788F" w:rsidP="009D788F">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050E88" w:rsidRPr="009D788F">
        <w:rPr>
          <w:rFonts w:ascii="Bookman Old Style" w:hAnsi="Bookman Old Style"/>
          <w:sz w:val="28"/>
          <w:szCs w:val="28"/>
        </w:rPr>
        <w:t xml:space="preserve">The respondent’s defence that the appellant had admitted liability based on the without prejudice letters having been struck, the respondent was left limping on its averment that there was an agreement between LNC and itself that the assessment and storage </w:t>
      </w:r>
      <w:r w:rsidR="00050E88" w:rsidRPr="009D788F">
        <w:rPr>
          <w:rFonts w:ascii="Bookman Old Style" w:hAnsi="Bookman Old Style"/>
          <w:sz w:val="28"/>
          <w:szCs w:val="28"/>
        </w:rPr>
        <w:lastRenderedPageBreak/>
        <w:t xml:space="preserve">costs would </w:t>
      </w:r>
      <w:r w:rsidR="007A5F72" w:rsidRPr="009D788F">
        <w:rPr>
          <w:rFonts w:ascii="Bookman Old Style" w:hAnsi="Bookman Old Style"/>
          <w:sz w:val="28"/>
          <w:szCs w:val="28"/>
        </w:rPr>
        <w:t xml:space="preserve">have to </w:t>
      </w:r>
      <w:r w:rsidR="00050E88" w:rsidRPr="009D788F">
        <w:rPr>
          <w:rFonts w:ascii="Bookman Old Style" w:hAnsi="Bookman Old Style"/>
          <w:sz w:val="28"/>
          <w:szCs w:val="28"/>
        </w:rPr>
        <w:t>be paid</w:t>
      </w:r>
      <w:r w:rsidR="007A5F72" w:rsidRPr="009D788F">
        <w:rPr>
          <w:rFonts w:ascii="Bookman Old Style" w:hAnsi="Bookman Old Style"/>
          <w:sz w:val="28"/>
          <w:szCs w:val="28"/>
        </w:rPr>
        <w:t xml:space="preserve">. The learned judge concluded that such an agreement had been </w:t>
      </w:r>
      <w:proofErr w:type="gramStart"/>
      <w:r w:rsidR="007A5F72" w:rsidRPr="009D788F">
        <w:rPr>
          <w:rFonts w:ascii="Bookman Old Style" w:hAnsi="Bookman Old Style"/>
          <w:sz w:val="28"/>
          <w:szCs w:val="28"/>
        </w:rPr>
        <w:t>entered into</w:t>
      </w:r>
      <w:proofErr w:type="gramEnd"/>
      <w:r w:rsidR="007A5F72" w:rsidRPr="009D788F">
        <w:rPr>
          <w:rFonts w:ascii="Bookman Old Style" w:hAnsi="Bookman Old Style"/>
          <w:sz w:val="28"/>
          <w:szCs w:val="28"/>
        </w:rPr>
        <w:t xml:space="preserve">. He reasoned thus: </w:t>
      </w:r>
    </w:p>
    <w:p w14:paraId="5219ACD0" w14:textId="77777777" w:rsidR="009E7EBD" w:rsidRPr="00AA6FF5" w:rsidRDefault="009E7EBD" w:rsidP="001B532C">
      <w:pPr>
        <w:pStyle w:val="ListParagraph"/>
        <w:spacing w:line="360" w:lineRule="auto"/>
        <w:jc w:val="both"/>
        <w:rPr>
          <w:rFonts w:ascii="Bookman Old Style" w:hAnsi="Bookman Old Style"/>
          <w:sz w:val="28"/>
          <w:szCs w:val="28"/>
        </w:rPr>
      </w:pPr>
    </w:p>
    <w:p w14:paraId="79B5B057" w14:textId="45CFDB37" w:rsidR="00E0616B" w:rsidRPr="00532C92" w:rsidRDefault="007A5F72" w:rsidP="00532C92">
      <w:pPr>
        <w:pStyle w:val="ListParagraph"/>
        <w:ind w:left="1440"/>
        <w:jc w:val="both"/>
        <w:rPr>
          <w:rFonts w:ascii="Bookman Old Style" w:hAnsi="Bookman Old Style"/>
          <w:i/>
          <w:iCs/>
          <w:sz w:val="28"/>
          <w:szCs w:val="28"/>
        </w:rPr>
      </w:pPr>
      <w:r w:rsidRPr="00532C92">
        <w:rPr>
          <w:rFonts w:ascii="Bookman Old Style" w:hAnsi="Bookman Old Style"/>
          <w:i/>
          <w:iCs/>
          <w:sz w:val="28"/>
          <w:szCs w:val="28"/>
        </w:rPr>
        <w:t xml:space="preserve">“[14] While the applicant disputes the existence of any agreement between the parties, significantly, in their answering affidavit, at paragraph 4, respondent indicated that the vehicle was brought by one Vusi </w:t>
      </w:r>
      <w:proofErr w:type="spellStart"/>
      <w:r w:rsidRPr="00532C92">
        <w:rPr>
          <w:rFonts w:ascii="Bookman Old Style" w:hAnsi="Bookman Old Style"/>
          <w:i/>
          <w:iCs/>
          <w:sz w:val="28"/>
          <w:szCs w:val="28"/>
        </w:rPr>
        <w:t>Matsoso</w:t>
      </w:r>
      <w:proofErr w:type="spellEnd"/>
      <w:r w:rsidRPr="00532C92">
        <w:rPr>
          <w:rFonts w:ascii="Bookman Old Style" w:hAnsi="Bookman Old Style"/>
          <w:i/>
          <w:iCs/>
          <w:sz w:val="28"/>
          <w:szCs w:val="28"/>
        </w:rPr>
        <w:t xml:space="preserve"> to the workshop on the 19</w:t>
      </w:r>
      <w:r w:rsidRPr="00532C92">
        <w:rPr>
          <w:rFonts w:ascii="Bookman Old Style" w:hAnsi="Bookman Old Style"/>
          <w:i/>
          <w:iCs/>
          <w:sz w:val="28"/>
          <w:szCs w:val="28"/>
          <w:vertAlign w:val="superscript"/>
        </w:rPr>
        <w:t>th</w:t>
      </w:r>
      <w:r w:rsidRPr="00532C92">
        <w:rPr>
          <w:rFonts w:ascii="Bookman Old Style" w:hAnsi="Bookman Old Style"/>
          <w:i/>
          <w:iCs/>
          <w:sz w:val="28"/>
          <w:szCs w:val="28"/>
        </w:rPr>
        <w:t xml:space="preserve"> May 2020, and this averment was not denied or rebutted by the applicant. It is therefore clear that there is a dispute of fact</w:t>
      </w:r>
      <w:r w:rsidR="00262D1E" w:rsidRPr="00532C92">
        <w:rPr>
          <w:rFonts w:ascii="Bookman Old Style" w:hAnsi="Bookman Old Style"/>
          <w:i/>
          <w:iCs/>
          <w:sz w:val="28"/>
          <w:szCs w:val="28"/>
        </w:rPr>
        <w:t xml:space="preserve"> </w:t>
      </w:r>
      <w:r w:rsidRPr="00532C92">
        <w:rPr>
          <w:rFonts w:ascii="Bookman Old Style" w:hAnsi="Bookman Old Style"/>
          <w:i/>
          <w:iCs/>
          <w:sz w:val="28"/>
          <w:szCs w:val="28"/>
        </w:rPr>
        <w:t xml:space="preserve">in this case, namely the existence </w:t>
      </w:r>
      <w:r w:rsidR="00262D1E" w:rsidRPr="00532C92">
        <w:rPr>
          <w:rFonts w:ascii="Bookman Old Style" w:hAnsi="Bookman Old Style"/>
          <w:i/>
          <w:iCs/>
          <w:sz w:val="28"/>
          <w:szCs w:val="28"/>
        </w:rPr>
        <w:t>of an agreement. Applicant denies [there] ever [being]any agreement between the parties, while on the other hand, respondent insisted the existence of such.”</w:t>
      </w:r>
    </w:p>
    <w:p w14:paraId="31A750DA" w14:textId="77777777" w:rsidR="009E7EBD" w:rsidRPr="00AA6FF5" w:rsidRDefault="009E7EBD" w:rsidP="001B532C">
      <w:pPr>
        <w:pStyle w:val="ListParagraph"/>
        <w:spacing w:line="360" w:lineRule="auto"/>
        <w:jc w:val="both"/>
        <w:rPr>
          <w:rFonts w:ascii="Bookman Old Style" w:hAnsi="Bookman Old Style"/>
          <w:sz w:val="28"/>
          <w:szCs w:val="28"/>
        </w:rPr>
      </w:pPr>
    </w:p>
    <w:p w14:paraId="33946D3F" w14:textId="003B8A1C" w:rsidR="009E7EBD"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262D1E" w:rsidRPr="00532C92">
        <w:rPr>
          <w:rFonts w:ascii="Bookman Old Style" w:hAnsi="Bookman Old Style"/>
          <w:sz w:val="28"/>
          <w:szCs w:val="28"/>
        </w:rPr>
        <w:t xml:space="preserve">The learned judge applied the </w:t>
      </w:r>
      <w:proofErr w:type="spellStart"/>
      <w:r w:rsidR="00262D1E" w:rsidRPr="00532C92">
        <w:rPr>
          <w:rFonts w:ascii="Bookman Old Style" w:hAnsi="Bookman Old Style"/>
          <w:i/>
          <w:iCs/>
          <w:sz w:val="28"/>
          <w:szCs w:val="28"/>
        </w:rPr>
        <w:t>Plascon</w:t>
      </w:r>
      <w:proofErr w:type="spellEnd"/>
      <w:r w:rsidR="00262D1E" w:rsidRPr="00532C92">
        <w:rPr>
          <w:rFonts w:ascii="Bookman Old Style" w:hAnsi="Bookman Old Style"/>
          <w:i/>
          <w:iCs/>
          <w:sz w:val="28"/>
          <w:szCs w:val="28"/>
        </w:rPr>
        <w:t>-Evans</w:t>
      </w:r>
      <w:r w:rsidR="00262D1E" w:rsidRPr="00532C92">
        <w:rPr>
          <w:rFonts w:ascii="Bookman Old Style" w:hAnsi="Bookman Old Style"/>
          <w:sz w:val="28"/>
          <w:szCs w:val="28"/>
        </w:rPr>
        <w:t xml:space="preserve"> rule as accepted in </w:t>
      </w:r>
      <w:r w:rsidR="00262D1E" w:rsidRPr="00532C92">
        <w:rPr>
          <w:rFonts w:ascii="Bookman Old Style" w:hAnsi="Bookman Old Style"/>
          <w:i/>
          <w:iCs/>
          <w:sz w:val="28"/>
          <w:szCs w:val="28"/>
        </w:rPr>
        <w:t>MMC Construction Co (Pty) Ltd v Southern Lesotho Construction (Pty) Ltd &amp; Others</w:t>
      </w:r>
      <w:r w:rsidR="00262D1E" w:rsidRPr="00AA6FF5">
        <w:rPr>
          <w:rStyle w:val="FootnoteReference"/>
          <w:rFonts w:ascii="Bookman Old Style" w:hAnsi="Bookman Old Style"/>
          <w:sz w:val="28"/>
          <w:szCs w:val="28"/>
        </w:rPr>
        <w:footnoteReference w:id="3"/>
      </w:r>
      <w:r w:rsidR="009E7EBD" w:rsidRPr="00532C92">
        <w:rPr>
          <w:rFonts w:ascii="Bookman Old Style" w:hAnsi="Bookman Old Style"/>
          <w:sz w:val="28"/>
          <w:szCs w:val="28"/>
        </w:rPr>
        <w:t xml:space="preserve"> and concluded: </w:t>
      </w:r>
    </w:p>
    <w:p w14:paraId="42D0A903" w14:textId="77777777" w:rsidR="009E7EBD" w:rsidRPr="00AA6FF5" w:rsidRDefault="009E7EBD" w:rsidP="001B532C">
      <w:pPr>
        <w:pStyle w:val="ListParagraph"/>
        <w:spacing w:line="360" w:lineRule="auto"/>
        <w:ind w:left="1440"/>
        <w:jc w:val="both"/>
        <w:rPr>
          <w:rFonts w:ascii="Bookman Old Style" w:hAnsi="Bookman Old Style"/>
          <w:sz w:val="28"/>
          <w:szCs w:val="28"/>
        </w:rPr>
      </w:pPr>
    </w:p>
    <w:p w14:paraId="4FCACF02" w14:textId="0A4E85F0" w:rsidR="009E7EBD" w:rsidRPr="00532C92" w:rsidRDefault="009E7EBD" w:rsidP="00532C92">
      <w:pPr>
        <w:pStyle w:val="ListParagraph"/>
        <w:ind w:left="1440"/>
        <w:jc w:val="both"/>
        <w:rPr>
          <w:rFonts w:ascii="Bookman Old Style" w:hAnsi="Bookman Old Style"/>
          <w:i/>
          <w:iCs/>
          <w:sz w:val="28"/>
          <w:szCs w:val="28"/>
        </w:rPr>
      </w:pPr>
      <w:r w:rsidRPr="00532C92">
        <w:rPr>
          <w:rFonts w:ascii="Bookman Old Style" w:hAnsi="Bookman Old Style"/>
          <w:i/>
          <w:iCs/>
          <w:sz w:val="28"/>
          <w:szCs w:val="28"/>
        </w:rPr>
        <w:t xml:space="preserve">“[20] The facts are clear enough to show that there had been an agreement even though such was not reduced to writing. While the parties might not have made a written agreement, it would have been naturally understood that the payment of assessment of damages (sic) as well as storage costs would be due upon completion of the assessment.” </w:t>
      </w:r>
    </w:p>
    <w:p w14:paraId="278270C8" w14:textId="77777777" w:rsidR="009E7EBD" w:rsidRPr="00AA6FF5" w:rsidRDefault="009E7EBD" w:rsidP="001B532C">
      <w:pPr>
        <w:pStyle w:val="ListParagraph"/>
        <w:spacing w:line="360" w:lineRule="auto"/>
        <w:ind w:left="1440"/>
        <w:jc w:val="both"/>
        <w:rPr>
          <w:rFonts w:ascii="Bookman Old Style" w:hAnsi="Bookman Old Style"/>
          <w:sz w:val="28"/>
          <w:szCs w:val="28"/>
        </w:rPr>
      </w:pPr>
    </w:p>
    <w:p w14:paraId="69193306" w14:textId="7BD8D4A5" w:rsidR="00262D1E"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9E7EBD" w:rsidRPr="00532C92">
        <w:rPr>
          <w:rFonts w:ascii="Bookman Old Style" w:hAnsi="Bookman Old Style"/>
          <w:sz w:val="28"/>
          <w:szCs w:val="28"/>
        </w:rPr>
        <w:t>He accordingly dismissed the appellant’s claim with costs.</w:t>
      </w:r>
    </w:p>
    <w:p w14:paraId="1562997B" w14:textId="77777777" w:rsidR="009E7EBD" w:rsidRPr="00AA6FF5" w:rsidRDefault="009E7EBD" w:rsidP="001B532C">
      <w:pPr>
        <w:pStyle w:val="ListParagraph"/>
        <w:spacing w:line="360" w:lineRule="auto"/>
        <w:jc w:val="both"/>
        <w:rPr>
          <w:rFonts w:ascii="Bookman Old Style" w:hAnsi="Bookman Old Style"/>
          <w:sz w:val="28"/>
          <w:szCs w:val="28"/>
        </w:rPr>
      </w:pPr>
    </w:p>
    <w:p w14:paraId="1B84821B" w14:textId="02A6B8D0" w:rsidR="009E7EBD" w:rsidRPr="00532C92" w:rsidRDefault="009E7EBD" w:rsidP="00532C92">
      <w:pPr>
        <w:spacing w:line="360" w:lineRule="auto"/>
        <w:jc w:val="both"/>
        <w:rPr>
          <w:rFonts w:ascii="Bookman Old Style" w:hAnsi="Bookman Old Style"/>
          <w:b/>
          <w:bCs/>
          <w:sz w:val="28"/>
          <w:szCs w:val="28"/>
        </w:rPr>
      </w:pPr>
      <w:r w:rsidRPr="00532C92">
        <w:rPr>
          <w:rFonts w:ascii="Bookman Old Style" w:hAnsi="Bookman Old Style"/>
          <w:b/>
          <w:bCs/>
          <w:sz w:val="28"/>
          <w:szCs w:val="28"/>
        </w:rPr>
        <w:t>Appeal grounds</w:t>
      </w:r>
    </w:p>
    <w:p w14:paraId="510CAEB8" w14:textId="77777777" w:rsidR="009E7EBD" w:rsidRPr="00AA6FF5" w:rsidRDefault="009E7EBD" w:rsidP="001B532C">
      <w:pPr>
        <w:pStyle w:val="ListParagraph"/>
        <w:spacing w:line="360" w:lineRule="auto"/>
        <w:jc w:val="both"/>
        <w:rPr>
          <w:rFonts w:ascii="Bookman Old Style" w:hAnsi="Bookman Old Style"/>
          <w:b/>
          <w:bCs/>
          <w:sz w:val="28"/>
          <w:szCs w:val="28"/>
        </w:rPr>
      </w:pPr>
    </w:p>
    <w:p w14:paraId="583ABB89" w14:textId="223D0038" w:rsidR="009E7EBD"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9E7EBD" w:rsidRPr="00532C92">
        <w:rPr>
          <w:rFonts w:ascii="Bookman Old Style" w:hAnsi="Bookman Old Style"/>
          <w:sz w:val="28"/>
          <w:szCs w:val="28"/>
        </w:rPr>
        <w:t xml:space="preserve">The appellant was aggrieved by the decision of the court and challenged it on the following grounds: (a) that the court erred in </w:t>
      </w:r>
      <w:r w:rsidR="009E7EBD" w:rsidRPr="00532C92">
        <w:rPr>
          <w:rFonts w:ascii="Bookman Old Style" w:hAnsi="Bookman Old Style"/>
          <w:sz w:val="28"/>
          <w:szCs w:val="28"/>
        </w:rPr>
        <w:lastRenderedPageBreak/>
        <w:t xml:space="preserve">coming to the conclusion that an agreement came into existence between the appellant and the respondent in respect of the assessment of damages to the Toyota Fortuner and for its storage; (b) that the court erred in finding that it was the appellant that brought the motor vehicle </w:t>
      </w:r>
      <w:r w:rsidR="002062AB" w:rsidRPr="00532C92">
        <w:rPr>
          <w:rFonts w:ascii="Bookman Old Style" w:hAnsi="Bookman Old Style"/>
          <w:sz w:val="28"/>
          <w:szCs w:val="28"/>
        </w:rPr>
        <w:t xml:space="preserve">to the respondent and not the LCN; and (c) that the court erred in ignoring the version of the respondent that respondent had a verbal agreement with LCN and not the appellant. </w:t>
      </w:r>
    </w:p>
    <w:p w14:paraId="69833AA8" w14:textId="77777777" w:rsidR="00E401B0" w:rsidRPr="00AA6FF5" w:rsidRDefault="00E401B0" w:rsidP="001B532C">
      <w:pPr>
        <w:pStyle w:val="ListParagraph"/>
        <w:spacing w:line="360" w:lineRule="auto"/>
        <w:jc w:val="both"/>
        <w:rPr>
          <w:rFonts w:ascii="Bookman Old Style" w:hAnsi="Bookman Old Style"/>
          <w:sz w:val="28"/>
          <w:szCs w:val="28"/>
        </w:rPr>
      </w:pPr>
    </w:p>
    <w:p w14:paraId="21D51DD6" w14:textId="6A6E31AB" w:rsidR="002062AB" w:rsidRPr="00532C92" w:rsidRDefault="002062AB" w:rsidP="00532C92">
      <w:pPr>
        <w:spacing w:line="360" w:lineRule="auto"/>
        <w:jc w:val="both"/>
        <w:rPr>
          <w:rFonts w:ascii="Bookman Old Style" w:hAnsi="Bookman Old Style"/>
          <w:b/>
          <w:bCs/>
          <w:sz w:val="28"/>
          <w:szCs w:val="28"/>
        </w:rPr>
      </w:pPr>
      <w:r w:rsidRPr="00532C92">
        <w:rPr>
          <w:rFonts w:ascii="Bookman Old Style" w:hAnsi="Bookman Old Style"/>
          <w:b/>
          <w:bCs/>
          <w:sz w:val="28"/>
          <w:szCs w:val="28"/>
        </w:rPr>
        <w:t>Argument on appeal</w:t>
      </w:r>
    </w:p>
    <w:p w14:paraId="207469E1" w14:textId="77777777" w:rsidR="00E401B0" w:rsidRPr="00AA6FF5" w:rsidRDefault="00E401B0" w:rsidP="001B532C">
      <w:pPr>
        <w:pStyle w:val="ListParagraph"/>
        <w:spacing w:line="360" w:lineRule="auto"/>
        <w:jc w:val="both"/>
        <w:rPr>
          <w:rFonts w:ascii="Bookman Old Style" w:hAnsi="Bookman Old Style"/>
          <w:b/>
          <w:bCs/>
          <w:sz w:val="28"/>
          <w:szCs w:val="28"/>
        </w:rPr>
      </w:pPr>
    </w:p>
    <w:p w14:paraId="4D36CFE8" w14:textId="58B81299" w:rsidR="005C6A30"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2062AB" w:rsidRPr="00532C92">
        <w:rPr>
          <w:rFonts w:ascii="Bookman Old Style" w:hAnsi="Bookman Old Style"/>
          <w:sz w:val="28"/>
          <w:szCs w:val="28"/>
        </w:rPr>
        <w:t>In argument before us</w:t>
      </w:r>
      <w:r w:rsidR="00E401B0" w:rsidRPr="00532C92">
        <w:rPr>
          <w:rFonts w:ascii="Bookman Old Style" w:hAnsi="Bookman Old Style"/>
          <w:sz w:val="28"/>
          <w:szCs w:val="28"/>
        </w:rPr>
        <w:t>, appellant accepted, as it had done in its affidavits, that the motor vehicle was taken to the respondent’s workshop by LCN on 19 May 2020.</w:t>
      </w:r>
      <w:r w:rsidR="00232161" w:rsidRPr="00532C92">
        <w:rPr>
          <w:rFonts w:ascii="Bookman Old Style" w:hAnsi="Bookman Old Style"/>
          <w:sz w:val="28"/>
          <w:szCs w:val="28"/>
        </w:rPr>
        <w:t xml:space="preserve"> Its counsel however submitted that</w:t>
      </w:r>
      <w:r w:rsidR="00E401B0" w:rsidRPr="00532C92">
        <w:rPr>
          <w:rFonts w:ascii="Bookman Old Style" w:hAnsi="Bookman Old Style"/>
          <w:sz w:val="28"/>
          <w:szCs w:val="28"/>
        </w:rPr>
        <w:t xml:space="preserve"> respondent does not dispute that when the motor vehicle was taken </w:t>
      </w:r>
      <w:r w:rsidR="00232161" w:rsidRPr="00532C92">
        <w:rPr>
          <w:rFonts w:ascii="Bookman Old Style" w:hAnsi="Bookman Old Style"/>
          <w:sz w:val="28"/>
          <w:szCs w:val="28"/>
        </w:rPr>
        <w:t xml:space="preserve">to its premises </w:t>
      </w:r>
      <w:r w:rsidR="00E401B0" w:rsidRPr="00532C92">
        <w:rPr>
          <w:rFonts w:ascii="Bookman Old Style" w:hAnsi="Bookman Old Style"/>
          <w:sz w:val="28"/>
          <w:szCs w:val="28"/>
        </w:rPr>
        <w:t>by LCN</w:t>
      </w:r>
      <w:r w:rsidR="00232161" w:rsidRPr="00532C92">
        <w:rPr>
          <w:rFonts w:ascii="Bookman Old Style" w:hAnsi="Bookman Old Style"/>
          <w:sz w:val="28"/>
          <w:szCs w:val="28"/>
        </w:rPr>
        <w:t>,</w:t>
      </w:r>
      <w:r w:rsidR="00E401B0" w:rsidRPr="00532C92">
        <w:rPr>
          <w:rFonts w:ascii="Bookman Old Style" w:hAnsi="Bookman Old Style"/>
          <w:sz w:val="28"/>
          <w:szCs w:val="28"/>
        </w:rPr>
        <w:t xml:space="preserve"> the appellant was not </w:t>
      </w:r>
      <w:r w:rsidR="00232161" w:rsidRPr="00532C92">
        <w:rPr>
          <w:rFonts w:ascii="Bookman Old Style" w:hAnsi="Bookman Old Style"/>
          <w:sz w:val="28"/>
          <w:szCs w:val="28"/>
        </w:rPr>
        <w:t xml:space="preserve">present and therefore could not have become </w:t>
      </w:r>
      <w:r w:rsidR="00E401B0" w:rsidRPr="00532C92">
        <w:rPr>
          <w:rFonts w:ascii="Bookman Old Style" w:hAnsi="Bookman Old Style"/>
          <w:sz w:val="28"/>
          <w:szCs w:val="28"/>
        </w:rPr>
        <w:t>a party to</w:t>
      </w:r>
      <w:r w:rsidR="00232161" w:rsidRPr="00532C92">
        <w:rPr>
          <w:rFonts w:ascii="Bookman Old Style" w:hAnsi="Bookman Old Style"/>
          <w:sz w:val="28"/>
          <w:szCs w:val="28"/>
        </w:rPr>
        <w:t xml:space="preserve"> the alleged agreement. Yet the respondent in some way attributes to</w:t>
      </w:r>
      <w:r w:rsidR="00E401B0" w:rsidRPr="00532C92">
        <w:rPr>
          <w:rFonts w:ascii="Bookman Old Style" w:hAnsi="Bookman Old Style"/>
          <w:sz w:val="28"/>
          <w:szCs w:val="28"/>
        </w:rPr>
        <w:t xml:space="preserve"> the appellant that the agreement in existence</w:t>
      </w:r>
      <w:r w:rsidR="00232161" w:rsidRPr="00532C92">
        <w:rPr>
          <w:rFonts w:ascii="Bookman Old Style" w:hAnsi="Bookman Old Style"/>
          <w:sz w:val="28"/>
          <w:szCs w:val="28"/>
        </w:rPr>
        <w:t xml:space="preserve"> came into existence between it and the appellant</w:t>
      </w:r>
      <w:r w:rsidR="00E401B0" w:rsidRPr="00532C92">
        <w:rPr>
          <w:rFonts w:ascii="Bookman Old Style" w:hAnsi="Bookman Old Style"/>
          <w:sz w:val="28"/>
          <w:szCs w:val="28"/>
        </w:rPr>
        <w:t xml:space="preserve">. </w:t>
      </w:r>
      <w:r w:rsidR="00232161" w:rsidRPr="00532C92">
        <w:rPr>
          <w:rFonts w:ascii="Bookman Old Style" w:hAnsi="Bookman Old Style"/>
          <w:sz w:val="28"/>
          <w:szCs w:val="28"/>
        </w:rPr>
        <w:t>He submitted that in any event t</w:t>
      </w:r>
      <w:r w:rsidR="00E401B0" w:rsidRPr="00532C92">
        <w:rPr>
          <w:rFonts w:ascii="Bookman Old Style" w:hAnsi="Bookman Old Style"/>
          <w:sz w:val="28"/>
          <w:szCs w:val="28"/>
        </w:rPr>
        <w:t xml:space="preserve">he respondent did not allege that the </w:t>
      </w:r>
      <w:r w:rsidR="004813D0" w:rsidRPr="00532C92">
        <w:rPr>
          <w:rFonts w:ascii="Bookman Old Style" w:hAnsi="Bookman Old Style"/>
          <w:sz w:val="28"/>
          <w:szCs w:val="28"/>
        </w:rPr>
        <w:t xml:space="preserve">verbal </w:t>
      </w:r>
      <w:r w:rsidR="00E401B0" w:rsidRPr="00532C92">
        <w:rPr>
          <w:rFonts w:ascii="Bookman Old Style" w:hAnsi="Bookman Old Style"/>
          <w:sz w:val="28"/>
          <w:szCs w:val="28"/>
        </w:rPr>
        <w:t xml:space="preserve">agreement between it and LCN </w:t>
      </w:r>
      <w:r w:rsidR="004813D0" w:rsidRPr="00532C92">
        <w:rPr>
          <w:rFonts w:ascii="Bookman Old Style" w:hAnsi="Bookman Old Style"/>
          <w:sz w:val="28"/>
          <w:szCs w:val="28"/>
        </w:rPr>
        <w:t>stated that</w:t>
      </w:r>
      <w:r w:rsidR="00E401B0" w:rsidRPr="00532C92">
        <w:rPr>
          <w:rFonts w:ascii="Bookman Old Style" w:hAnsi="Bookman Old Style"/>
          <w:sz w:val="28"/>
          <w:szCs w:val="28"/>
        </w:rPr>
        <w:t xml:space="preserve"> storage </w:t>
      </w:r>
      <w:r w:rsidR="004813D0" w:rsidRPr="00532C92">
        <w:rPr>
          <w:rFonts w:ascii="Bookman Old Style" w:hAnsi="Bookman Old Style"/>
          <w:sz w:val="28"/>
          <w:szCs w:val="28"/>
        </w:rPr>
        <w:t>costs would be charged or</w:t>
      </w:r>
      <w:r w:rsidR="00E401B0" w:rsidRPr="00532C92">
        <w:rPr>
          <w:rFonts w:ascii="Bookman Old Style" w:hAnsi="Bookman Old Style"/>
          <w:sz w:val="28"/>
          <w:szCs w:val="28"/>
        </w:rPr>
        <w:t xml:space="preserve"> how much that storage would cost per day.</w:t>
      </w:r>
      <w:r w:rsidR="004813D0" w:rsidRPr="00532C92">
        <w:rPr>
          <w:rFonts w:ascii="Bookman Old Style" w:hAnsi="Bookman Old Style"/>
          <w:sz w:val="28"/>
          <w:szCs w:val="28"/>
        </w:rPr>
        <w:t xml:space="preserve"> As such the terms of the agreement were not </w:t>
      </w:r>
      <w:r w:rsidRPr="00532C92">
        <w:rPr>
          <w:rFonts w:ascii="Bookman Old Style" w:hAnsi="Bookman Old Style"/>
          <w:sz w:val="28"/>
          <w:szCs w:val="28"/>
        </w:rPr>
        <w:t>disclosed.</w:t>
      </w:r>
      <w:r w:rsidR="004813D0" w:rsidRPr="00532C92">
        <w:rPr>
          <w:rFonts w:ascii="Bookman Old Style" w:hAnsi="Bookman Old Style"/>
          <w:sz w:val="28"/>
          <w:szCs w:val="28"/>
        </w:rPr>
        <w:t xml:space="preserve"> Respondent failed to establish any nexus between the agreement it allegedly had with LCN and the appellant. Counsel concludes on this aspect of his written submissions: </w:t>
      </w:r>
    </w:p>
    <w:p w14:paraId="1468670A" w14:textId="77777777" w:rsidR="005C6A30" w:rsidRPr="00AA6FF5" w:rsidRDefault="005C6A30" w:rsidP="001B532C">
      <w:pPr>
        <w:pStyle w:val="ListParagraph"/>
        <w:spacing w:line="360" w:lineRule="auto"/>
        <w:jc w:val="both"/>
        <w:rPr>
          <w:rFonts w:ascii="Bookman Old Style" w:hAnsi="Bookman Old Style"/>
          <w:sz w:val="28"/>
          <w:szCs w:val="28"/>
        </w:rPr>
      </w:pPr>
    </w:p>
    <w:p w14:paraId="09070EB5" w14:textId="0445B3D7" w:rsidR="002062AB" w:rsidRPr="00532C92" w:rsidRDefault="004813D0" w:rsidP="00532C92">
      <w:pPr>
        <w:pStyle w:val="ListParagraph"/>
        <w:ind w:left="1440"/>
        <w:jc w:val="both"/>
        <w:rPr>
          <w:rFonts w:ascii="Bookman Old Style" w:hAnsi="Bookman Old Style"/>
          <w:i/>
          <w:iCs/>
          <w:sz w:val="28"/>
          <w:szCs w:val="28"/>
        </w:rPr>
      </w:pPr>
      <w:r w:rsidRPr="00532C92">
        <w:rPr>
          <w:rFonts w:ascii="Bookman Old Style" w:hAnsi="Bookman Old Style"/>
          <w:i/>
          <w:iCs/>
          <w:sz w:val="28"/>
          <w:szCs w:val="28"/>
        </w:rPr>
        <w:lastRenderedPageBreak/>
        <w:t xml:space="preserve">“[17] The bottom line is that the respondent does not have any contractual claim to the rate of M650.00 storage costs per day or M4 800.00 for costs of assessment. These amounts could only be claimed </w:t>
      </w:r>
      <w:proofErr w:type="gramStart"/>
      <w:r w:rsidRPr="00532C92">
        <w:rPr>
          <w:rFonts w:ascii="Bookman Old Style" w:hAnsi="Bookman Old Style"/>
          <w:i/>
          <w:iCs/>
          <w:sz w:val="28"/>
          <w:szCs w:val="28"/>
        </w:rPr>
        <w:t>on the basis of</w:t>
      </w:r>
      <w:proofErr w:type="gramEnd"/>
      <w:r w:rsidRPr="00532C92">
        <w:rPr>
          <w:rFonts w:ascii="Bookman Old Style" w:hAnsi="Bookman Old Style"/>
          <w:i/>
          <w:iCs/>
          <w:sz w:val="28"/>
          <w:szCs w:val="28"/>
        </w:rPr>
        <w:t xml:space="preserve"> a contractual agreement to the extent that the respondent was purporting to exercise the creditor and debtor lien. It had not effected any improvements on the vehicle.</w:t>
      </w:r>
      <w:r w:rsidR="005C6A30" w:rsidRPr="00532C92">
        <w:rPr>
          <w:rFonts w:ascii="Bookman Old Style" w:hAnsi="Bookman Old Style"/>
          <w:i/>
          <w:iCs/>
          <w:sz w:val="28"/>
          <w:szCs w:val="28"/>
        </w:rPr>
        <w:t>”</w:t>
      </w:r>
    </w:p>
    <w:p w14:paraId="01110458" w14:textId="77777777" w:rsidR="005C6A30" w:rsidRPr="00AA6FF5" w:rsidRDefault="005C6A30" w:rsidP="001B532C">
      <w:pPr>
        <w:pStyle w:val="ListParagraph"/>
        <w:spacing w:line="360" w:lineRule="auto"/>
        <w:ind w:left="1440"/>
        <w:jc w:val="both"/>
        <w:rPr>
          <w:rFonts w:ascii="Bookman Old Style" w:hAnsi="Bookman Old Style"/>
          <w:sz w:val="28"/>
          <w:szCs w:val="28"/>
        </w:rPr>
      </w:pPr>
    </w:p>
    <w:p w14:paraId="7404014C" w14:textId="2447FB94" w:rsidR="00943B2F"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4813D0" w:rsidRPr="00532C92">
        <w:rPr>
          <w:rFonts w:ascii="Bookman Old Style" w:hAnsi="Bookman Old Style"/>
          <w:sz w:val="28"/>
          <w:szCs w:val="28"/>
        </w:rPr>
        <w:t xml:space="preserve">In so submitting counsel was inviting this Court to make a finding on the merits </w:t>
      </w:r>
      <w:r w:rsidR="00EC283E" w:rsidRPr="00532C92">
        <w:rPr>
          <w:rFonts w:ascii="Bookman Old Style" w:hAnsi="Bookman Old Style"/>
          <w:sz w:val="28"/>
          <w:szCs w:val="28"/>
        </w:rPr>
        <w:t xml:space="preserve">of the respondent’s claim for assessment and storage charges. </w:t>
      </w:r>
      <w:r w:rsidR="005C6A30" w:rsidRPr="00532C92">
        <w:rPr>
          <w:rFonts w:ascii="Bookman Old Style" w:hAnsi="Bookman Old Style"/>
          <w:sz w:val="28"/>
          <w:szCs w:val="28"/>
        </w:rPr>
        <w:t>I</w:t>
      </w:r>
      <w:r w:rsidR="00EC283E" w:rsidRPr="00532C92">
        <w:rPr>
          <w:rFonts w:ascii="Bookman Old Style" w:hAnsi="Bookman Old Style"/>
          <w:sz w:val="28"/>
          <w:szCs w:val="28"/>
        </w:rPr>
        <w:t xml:space="preserve"> refrain from making any such determination or even hazard</w:t>
      </w:r>
      <w:r w:rsidR="005C6A30" w:rsidRPr="00532C92">
        <w:rPr>
          <w:rFonts w:ascii="Bookman Old Style" w:hAnsi="Bookman Old Style"/>
          <w:sz w:val="28"/>
          <w:szCs w:val="28"/>
        </w:rPr>
        <w:t>ing</w:t>
      </w:r>
      <w:r w:rsidR="00EC283E" w:rsidRPr="00532C92">
        <w:rPr>
          <w:rFonts w:ascii="Bookman Old Style" w:hAnsi="Bookman Old Style"/>
          <w:sz w:val="28"/>
          <w:szCs w:val="28"/>
        </w:rPr>
        <w:t xml:space="preserve"> a view on the issue. That is a matter on which the respondent would have to satisfy the court should it make a claim for assessment and storge costs in the appropriate court. It is a matter touching on the merits of any such claim. Additionally, it must be recalled the issue that was before the High Court was simply whether the claimant, as an insurer that had met LCN’s damages claim, was entitled, upon tendering security, to have the motor vehicle released to it. As correctly submitted by </w:t>
      </w:r>
      <w:r w:rsidR="002435E2" w:rsidRPr="00532C92">
        <w:rPr>
          <w:rFonts w:ascii="Bookman Old Style" w:hAnsi="Bookman Old Style"/>
          <w:sz w:val="28"/>
          <w:szCs w:val="28"/>
        </w:rPr>
        <w:t xml:space="preserve">appellant’s, the existence or otherwise of the agreement was relevant only as a prerequisite for a determination whether the respondent was exercising a creditor and debtor lien, and the court only had to decide whether such a lien should be substituted by the provision of security by the appellant in the amount tendered. The court was consequently required to exercise its discretion whether the motor vehicle </w:t>
      </w:r>
      <w:r w:rsidR="00EC283E" w:rsidRPr="00532C92">
        <w:rPr>
          <w:rFonts w:ascii="Bookman Old Style" w:hAnsi="Bookman Old Style"/>
          <w:sz w:val="28"/>
          <w:szCs w:val="28"/>
        </w:rPr>
        <w:t>cou</w:t>
      </w:r>
      <w:r w:rsidR="002435E2" w:rsidRPr="00532C92">
        <w:rPr>
          <w:rFonts w:ascii="Bookman Old Style" w:hAnsi="Bookman Old Style"/>
          <w:sz w:val="28"/>
          <w:szCs w:val="28"/>
        </w:rPr>
        <w:t>ld be released against a tender of security. In this instance, so it was submitted, the court failed to exercise its discretion judicially in the circumstances.</w:t>
      </w:r>
    </w:p>
    <w:p w14:paraId="62E20E48" w14:textId="154ADCC4" w:rsidR="00943B2F" w:rsidRPr="00AA6FF5" w:rsidRDefault="002435E2" w:rsidP="001B532C">
      <w:pPr>
        <w:pStyle w:val="ListParagraph"/>
        <w:spacing w:line="360" w:lineRule="auto"/>
        <w:jc w:val="both"/>
        <w:rPr>
          <w:rFonts w:ascii="Bookman Old Style" w:hAnsi="Bookman Old Style"/>
          <w:sz w:val="28"/>
          <w:szCs w:val="28"/>
        </w:rPr>
      </w:pPr>
      <w:r w:rsidRPr="00AA6FF5">
        <w:rPr>
          <w:rFonts w:ascii="Bookman Old Style" w:hAnsi="Bookman Old Style"/>
          <w:sz w:val="28"/>
          <w:szCs w:val="28"/>
        </w:rPr>
        <w:t xml:space="preserve"> </w:t>
      </w:r>
    </w:p>
    <w:p w14:paraId="422CCB34" w14:textId="1FE7BDC9" w:rsidR="002435E2"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lastRenderedPageBreak/>
        <w:t>[21]</w:t>
      </w:r>
      <w:r>
        <w:rPr>
          <w:rFonts w:ascii="Bookman Old Style" w:hAnsi="Bookman Old Style"/>
          <w:sz w:val="28"/>
          <w:szCs w:val="28"/>
        </w:rPr>
        <w:tab/>
      </w:r>
      <w:r w:rsidR="002435E2" w:rsidRPr="00532C92">
        <w:rPr>
          <w:rFonts w:ascii="Bookman Old Style" w:hAnsi="Bookman Old Style"/>
          <w:sz w:val="28"/>
          <w:szCs w:val="28"/>
        </w:rPr>
        <w:t>Cou</w:t>
      </w:r>
      <w:r w:rsidR="00EC283E" w:rsidRPr="00532C92">
        <w:rPr>
          <w:rFonts w:ascii="Bookman Old Style" w:hAnsi="Bookman Old Style"/>
          <w:sz w:val="28"/>
          <w:szCs w:val="28"/>
        </w:rPr>
        <w:t xml:space="preserve">nsel </w:t>
      </w:r>
      <w:r w:rsidR="002435E2" w:rsidRPr="00532C92">
        <w:rPr>
          <w:rFonts w:ascii="Bookman Old Style" w:hAnsi="Bookman Old Style"/>
          <w:sz w:val="28"/>
          <w:szCs w:val="28"/>
        </w:rPr>
        <w:t xml:space="preserve">referred to the South African case, </w:t>
      </w:r>
      <w:proofErr w:type="spellStart"/>
      <w:r w:rsidR="002435E2" w:rsidRPr="00532C92">
        <w:rPr>
          <w:rFonts w:ascii="Bookman Old Style" w:hAnsi="Bookman Old Style"/>
          <w:i/>
          <w:iCs/>
          <w:sz w:val="28"/>
          <w:szCs w:val="28"/>
        </w:rPr>
        <w:t>Zeda</w:t>
      </w:r>
      <w:proofErr w:type="spellEnd"/>
      <w:r w:rsidR="002435E2" w:rsidRPr="00532C92">
        <w:rPr>
          <w:rFonts w:ascii="Bookman Old Style" w:hAnsi="Bookman Old Style"/>
          <w:i/>
          <w:iCs/>
          <w:sz w:val="28"/>
          <w:szCs w:val="28"/>
        </w:rPr>
        <w:t xml:space="preserve"> Financing (Pty) Ltd v </w:t>
      </w:r>
      <w:proofErr w:type="spellStart"/>
      <w:r w:rsidR="002435E2" w:rsidRPr="00532C92">
        <w:rPr>
          <w:rFonts w:ascii="Bookman Old Style" w:hAnsi="Bookman Old Style"/>
          <w:i/>
          <w:iCs/>
          <w:sz w:val="28"/>
          <w:szCs w:val="28"/>
        </w:rPr>
        <w:t>Dutoit</w:t>
      </w:r>
      <w:proofErr w:type="spellEnd"/>
      <w:r w:rsidR="002435E2" w:rsidRPr="00532C92">
        <w:rPr>
          <w:rFonts w:ascii="Bookman Old Style" w:hAnsi="Bookman Old Style"/>
          <w:i/>
          <w:iCs/>
          <w:sz w:val="28"/>
          <w:szCs w:val="28"/>
        </w:rPr>
        <w:t xml:space="preserve"> t/a AMCO </w:t>
      </w:r>
      <w:proofErr w:type="spellStart"/>
      <w:r w:rsidR="002435E2" w:rsidRPr="00532C92">
        <w:rPr>
          <w:rFonts w:ascii="Bookman Old Style" w:hAnsi="Bookman Old Style"/>
          <w:i/>
          <w:iCs/>
          <w:sz w:val="28"/>
          <w:szCs w:val="28"/>
        </w:rPr>
        <w:t>Dienstasie</w:t>
      </w:r>
      <w:proofErr w:type="spellEnd"/>
      <w:r w:rsidR="002435E2" w:rsidRPr="00AA6FF5">
        <w:rPr>
          <w:rStyle w:val="FootnoteReference"/>
          <w:rFonts w:ascii="Bookman Old Style" w:hAnsi="Bookman Old Style"/>
          <w:sz w:val="28"/>
          <w:szCs w:val="28"/>
        </w:rPr>
        <w:footnoteReference w:id="4"/>
      </w:r>
      <w:r w:rsidR="004377CE" w:rsidRPr="00532C92">
        <w:rPr>
          <w:rFonts w:ascii="Bookman Old Style" w:hAnsi="Bookman Old Style"/>
          <w:sz w:val="28"/>
          <w:szCs w:val="28"/>
        </w:rPr>
        <w:t xml:space="preserve">, in which the facts were </w:t>
      </w:r>
      <w:proofErr w:type="gramStart"/>
      <w:r w:rsidR="004377CE" w:rsidRPr="00532C92">
        <w:rPr>
          <w:rFonts w:ascii="Bookman Old Style" w:hAnsi="Bookman Old Style"/>
          <w:sz w:val="28"/>
          <w:szCs w:val="28"/>
        </w:rPr>
        <w:t>similar to</w:t>
      </w:r>
      <w:proofErr w:type="gramEnd"/>
      <w:r w:rsidR="004377CE" w:rsidRPr="00532C92">
        <w:rPr>
          <w:rFonts w:ascii="Bookman Old Style" w:hAnsi="Bookman Old Style"/>
          <w:sz w:val="28"/>
          <w:szCs w:val="28"/>
        </w:rPr>
        <w:t xml:space="preserve"> the present case.</w:t>
      </w:r>
      <w:r w:rsidR="002435E2" w:rsidRPr="00532C92">
        <w:rPr>
          <w:rFonts w:ascii="Bookman Old Style" w:hAnsi="Bookman Old Style"/>
          <w:sz w:val="28"/>
          <w:szCs w:val="28"/>
        </w:rPr>
        <w:t xml:space="preserve"> </w:t>
      </w:r>
      <w:r w:rsidR="004377CE" w:rsidRPr="00532C92">
        <w:rPr>
          <w:rFonts w:ascii="Bookman Old Style" w:hAnsi="Bookman Old Style"/>
          <w:sz w:val="28"/>
          <w:szCs w:val="28"/>
        </w:rPr>
        <w:t xml:space="preserve">In </w:t>
      </w:r>
      <w:proofErr w:type="spellStart"/>
      <w:r w:rsidR="00943B2F" w:rsidRPr="00532C92">
        <w:rPr>
          <w:rFonts w:ascii="Bookman Old Style" w:hAnsi="Bookman Old Style"/>
          <w:sz w:val="28"/>
          <w:szCs w:val="28"/>
        </w:rPr>
        <w:t>Zeda</w:t>
      </w:r>
      <w:proofErr w:type="spellEnd"/>
      <w:r w:rsidR="004377CE" w:rsidRPr="00532C92">
        <w:rPr>
          <w:rFonts w:ascii="Bookman Old Style" w:hAnsi="Bookman Old Style"/>
          <w:sz w:val="28"/>
          <w:szCs w:val="28"/>
        </w:rPr>
        <w:t xml:space="preserve"> the applicant demanded the release of a vehicle and tendered an amount due for storage as determined by the respondent together with a bank guarantee to cover that amount to be paid upon the respondent obtaining judgment in its favour. When the respondent had refused to release the motor vehicle and the court considered the dispute, it stated that the respondent who had a right of retention of the vehicle was obliged to restore the vehicle if sound security was tendered. In exercising its </w:t>
      </w:r>
      <w:r w:rsidRPr="00532C92">
        <w:rPr>
          <w:rFonts w:ascii="Bookman Old Style" w:hAnsi="Bookman Old Style"/>
          <w:sz w:val="28"/>
          <w:szCs w:val="28"/>
        </w:rPr>
        <w:t>discretion,</w:t>
      </w:r>
      <w:r w:rsidR="004377CE" w:rsidRPr="00532C92">
        <w:rPr>
          <w:rFonts w:ascii="Bookman Old Style" w:hAnsi="Bookman Old Style"/>
          <w:sz w:val="28"/>
          <w:szCs w:val="28"/>
        </w:rPr>
        <w:t xml:space="preserve"> the court had to consider what in all the circumstances was equitable. The court stated that the relief sought by the applicant in such a case was not to be granted as of right but in the exercise of discretion by the court</w:t>
      </w:r>
      <w:r w:rsidR="00943B2F" w:rsidRPr="00532C92">
        <w:rPr>
          <w:rFonts w:ascii="Bookman Old Style" w:hAnsi="Bookman Old Style"/>
          <w:sz w:val="28"/>
          <w:szCs w:val="28"/>
        </w:rPr>
        <w:t>. The court recognized that the respondent would in any case have to bring an action for recovery of the amount it alleges is due to it and further that the opposition to the release of the motor vehicle cannot be used to force the applicant for its release to pay the full amount claimed on the claimant’s calculation of such amount.</w:t>
      </w:r>
    </w:p>
    <w:p w14:paraId="4F37C3CD" w14:textId="77777777" w:rsidR="00E83BB6" w:rsidRPr="00AA6FF5" w:rsidRDefault="00E83BB6" w:rsidP="001B532C">
      <w:pPr>
        <w:pStyle w:val="ListParagraph"/>
        <w:spacing w:line="360" w:lineRule="auto"/>
        <w:jc w:val="both"/>
        <w:rPr>
          <w:rFonts w:ascii="Bookman Old Style" w:hAnsi="Bookman Old Style"/>
          <w:sz w:val="28"/>
          <w:szCs w:val="28"/>
        </w:rPr>
      </w:pPr>
    </w:p>
    <w:p w14:paraId="5D7073BD" w14:textId="4D558C9B" w:rsidR="00943B2F"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5C6A30" w:rsidRPr="00532C92">
        <w:rPr>
          <w:rFonts w:ascii="Bookman Old Style" w:hAnsi="Bookman Old Style"/>
          <w:sz w:val="28"/>
          <w:szCs w:val="28"/>
        </w:rPr>
        <w:t xml:space="preserve">Respondent’s counsel argued the appeal on three issues that he believed were germane to this case, namely, whether there was an agreement regarding the assessment and storage of the motor vehicle between the appellant and the respondent or between the LCN and the respondent; whether it was the appellant or LCN that took the motor vehicle to the respondent’s workshop and whether </w:t>
      </w:r>
      <w:r w:rsidR="005C6A30" w:rsidRPr="00532C92">
        <w:rPr>
          <w:rFonts w:ascii="Bookman Old Style" w:hAnsi="Bookman Old Style"/>
          <w:sz w:val="28"/>
          <w:szCs w:val="28"/>
        </w:rPr>
        <w:lastRenderedPageBreak/>
        <w:t>the respondent was entitled to payment of assessment and storage costs.</w:t>
      </w:r>
    </w:p>
    <w:p w14:paraId="69F49911" w14:textId="77777777" w:rsidR="00326FDB" w:rsidRPr="00AA6FF5" w:rsidRDefault="00326FDB" w:rsidP="001B532C">
      <w:pPr>
        <w:pStyle w:val="ListParagraph"/>
        <w:spacing w:line="360" w:lineRule="auto"/>
        <w:jc w:val="both"/>
        <w:rPr>
          <w:rFonts w:ascii="Bookman Old Style" w:hAnsi="Bookman Old Style"/>
          <w:sz w:val="28"/>
          <w:szCs w:val="28"/>
        </w:rPr>
      </w:pPr>
    </w:p>
    <w:p w14:paraId="319EC8B1" w14:textId="4B55A669" w:rsidR="00D4500D"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326FDB" w:rsidRPr="00532C92">
        <w:rPr>
          <w:rFonts w:ascii="Bookman Old Style" w:hAnsi="Bookman Old Style"/>
          <w:sz w:val="28"/>
          <w:szCs w:val="28"/>
        </w:rPr>
        <w:t>In approaching the matter in this way the respondent’s counsel was pre-occupying himself with issues that were not in c</w:t>
      </w:r>
      <w:r w:rsidR="00EC283E" w:rsidRPr="00532C92">
        <w:rPr>
          <w:rFonts w:ascii="Bookman Old Style" w:hAnsi="Bookman Old Style"/>
          <w:sz w:val="28"/>
          <w:szCs w:val="28"/>
        </w:rPr>
        <w:t>o</w:t>
      </w:r>
      <w:r w:rsidR="00326FDB" w:rsidRPr="00532C92">
        <w:rPr>
          <w:rFonts w:ascii="Bookman Old Style" w:hAnsi="Bookman Old Style"/>
          <w:sz w:val="28"/>
          <w:szCs w:val="28"/>
        </w:rPr>
        <w:t>ntention or the substance of the matter before</w:t>
      </w:r>
      <w:r w:rsidR="00EC283E" w:rsidRPr="00532C92">
        <w:rPr>
          <w:rFonts w:ascii="Bookman Old Style" w:hAnsi="Bookman Old Style"/>
          <w:sz w:val="28"/>
          <w:szCs w:val="28"/>
        </w:rPr>
        <w:t xml:space="preserve"> the </w:t>
      </w:r>
      <w:r w:rsidR="00326FDB" w:rsidRPr="00532C92">
        <w:rPr>
          <w:rFonts w:ascii="Bookman Old Style" w:hAnsi="Bookman Old Style"/>
          <w:sz w:val="28"/>
          <w:szCs w:val="28"/>
        </w:rPr>
        <w:t>High Court. He failed to appreciate that the issue about the existence of the agreement between LCN and</w:t>
      </w:r>
      <w:r w:rsidR="00EC283E" w:rsidRPr="00532C92">
        <w:rPr>
          <w:rFonts w:ascii="Bookman Old Style" w:hAnsi="Bookman Old Style"/>
          <w:sz w:val="28"/>
          <w:szCs w:val="28"/>
        </w:rPr>
        <w:t xml:space="preserve"> the respondent w</w:t>
      </w:r>
      <w:r w:rsidR="00326FDB" w:rsidRPr="00532C92">
        <w:rPr>
          <w:rFonts w:ascii="Bookman Old Style" w:hAnsi="Bookman Old Style"/>
          <w:sz w:val="28"/>
          <w:szCs w:val="28"/>
        </w:rPr>
        <w:t xml:space="preserve">as a matter for another day. Whatever the agreement may have been regarding the assessment and storage charges that was a matter to be dealt with when and if the respondent pursued its claim in that regard. The issue of any agreement between the appellant and the respondent was clearly resolved by the affidavits: it was commonly understood that no agreement existed between the parties. It was common cause that the Toyota Fortuner was taken to the respondent’s workshop by a representative of LCN. The respondent’s entitlement to payment of assessment and storage </w:t>
      </w:r>
      <w:r w:rsidR="00D4500D" w:rsidRPr="00532C92">
        <w:rPr>
          <w:rFonts w:ascii="Bookman Old Style" w:hAnsi="Bookman Old Style"/>
          <w:sz w:val="28"/>
          <w:szCs w:val="28"/>
        </w:rPr>
        <w:t xml:space="preserve">costs </w:t>
      </w:r>
      <w:r w:rsidR="00326FDB" w:rsidRPr="00532C92">
        <w:rPr>
          <w:rFonts w:ascii="Bookman Old Style" w:hAnsi="Bookman Old Style"/>
          <w:sz w:val="28"/>
          <w:szCs w:val="28"/>
        </w:rPr>
        <w:t xml:space="preserve">was a matter, as is readily apparent, </w:t>
      </w:r>
      <w:r w:rsidR="00D4500D" w:rsidRPr="00532C92">
        <w:rPr>
          <w:rFonts w:ascii="Bookman Old Style" w:hAnsi="Bookman Old Style"/>
          <w:sz w:val="28"/>
          <w:szCs w:val="28"/>
        </w:rPr>
        <w:t>determinable upon the respondent making its claim for</w:t>
      </w:r>
      <w:r w:rsidR="00326FDB" w:rsidRPr="00532C92">
        <w:rPr>
          <w:rFonts w:ascii="Bookman Old Style" w:hAnsi="Bookman Old Style"/>
          <w:sz w:val="28"/>
          <w:szCs w:val="28"/>
        </w:rPr>
        <w:t xml:space="preserve"> th</w:t>
      </w:r>
      <w:r w:rsidR="00D4500D" w:rsidRPr="00532C92">
        <w:rPr>
          <w:rFonts w:ascii="Bookman Old Style" w:hAnsi="Bookman Old Style"/>
          <w:sz w:val="28"/>
          <w:szCs w:val="28"/>
        </w:rPr>
        <w:t xml:space="preserve">ose costs. The issue before the High Court could not have been more clearly set out as done by the appellant. In its notice of </w:t>
      </w:r>
      <w:r w:rsidRPr="00532C92">
        <w:rPr>
          <w:rFonts w:ascii="Bookman Old Style" w:hAnsi="Bookman Old Style"/>
          <w:sz w:val="28"/>
          <w:szCs w:val="28"/>
        </w:rPr>
        <w:t>motion,</w:t>
      </w:r>
      <w:r w:rsidR="00D4500D" w:rsidRPr="00532C92">
        <w:rPr>
          <w:rFonts w:ascii="Bookman Old Style" w:hAnsi="Bookman Old Style"/>
          <w:sz w:val="28"/>
          <w:szCs w:val="28"/>
        </w:rPr>
        <w:t xml:space="preserve"> it clearly stated the relief sought as being the release of the Toyota Fortuner against the provision of security of M80 200.00.</w:t>
      </w:r>
    </w:p>
    <w:p w14:paraId="28F562D7" w14:textId="77777777" w:rsidR="00532C92" w:rsidRDefault="00532C92" w:rsidP="00532C92">
      <w:pPr>
        <w:spacing w:line="360" w:lineRule="auto"/>
        <w:jc w:val="both"/>
        <w:rPr>
          <w:rFonts w:ascii="Bookman Old Style" w:hAnsi="Bookman Old Style"/>
          <w:b/>
          <w:bCs/>
          <w:sz w:val="28"/>
          <w:szCs w:val="28"/>
        </w:rPr>
      </w:pPr>
    </w:p>
    <w:p w14:paraId="1A765BF6" w14:textId="77777777" w:rsidR="00532C92" w:rsidRDefault="00532C92" w:rsidP="00532C92">
      <w:pPr>
        <w:spacing w:line="360" w:lineRule="auto"/>
        <w:jc w:val="both"/>
        <w:rPr>
          <w:rFonts w:ascii="Bookman Old Style" w:hAnsi="Bookman Old Style"/>
          <w:b/>
          <w:bCs/>
          <w:sz w:val="28"/>
          <w:szCs w:val="28"/>
        </w:rPr>
      </w:pPr>
    </w:p>
    <w:p w14:paraId="654ECBC4" w14:textId="77777777" w:rsidR="00532C92" w:rsidRDefault="00532C92" w:rsidP="00532C92">
      <w:pPr>
        <w:spacing w:line="360" w:lineRule="auto"/>
        <w:jc w:val="both"/>
        <w:rPr>
          <w:rFonts w:ascii="Bookman Old Style" w:hAnsi="Bookman Old Style"/>
          <w:b/>
          <w:bCs/>
          <w:sz w:val="28"/>
          <w:szCs w:val="28"/>
        </w:rPr>
      </w:pPr>
    </w:p>
    <w:p w14:paraId="76A83D19" w14:textId="49B2A41D" w:rsidR="00E83BB6" w:rsidRPr="00532C92" w:rsidRDefault="00E83BB6" w:rsidP="00532C92">
      <w:pPr>
        <w:spacing w:line="360" w:lineRule="auto"/>
        <w:jc w:val="both"/>
        <w:rPr>
          <w:rFonts w:ascii="Bookman Old Style" w:hAnsi="Bookman Old Style"/>
          <w:b/>
          <w:bCs/>
          <w:sz w:val="28"/>
          <w:szCs w:val="28"/>
        </w:rPr>
      </w:pPr>
      <w:r w:rsidRPr="00532C92">
        <w:rPr>
          <w:rFonts w:ascii="Bookman Old Style" w:hAnsi="Bookman Old Style"/>
          <w:b/>
          <w:bCs/>
          <w:sz w:val="28"/>
          <w:szCs w:val="28"/>
        </w:rPr>
        <w:t>Conclusion</w:t>
      </w:r>
    </w:p>
    <w:p w14:paraId="698F76FC" w14:textId="77777777" w:rsidR="00E83BB6" w:rsidRPr="00AA6FF5" w:rsidRDefault="00E83BB6" w:rsidP="001B532C">
      <w:pPr>
        <w:pStyle w:val="ListParagraph"/>
        <w:spacing w:line="360" w:lineRule="auto"/>
        <w:jc w:val="both"/>
        <w:rPr>
          <w:rFonts w:ascii="Bookman Old Style" w:hAnsi="Bookman Old Style"/>
          <w:b/>
          <w:bCs/>
          <w:sz w:val="28"/>
          <w:szCs w:val="28"/>
        </w:rPr>
      </w:pPr>
    </w:p>
    <w:p w14:paraId="7E6EC005" w14:textId="7074B2D6" w:rsidR="004813D0"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lastRenderedPageBreak/>
        <w:t>[24]</w:t>
      </w:r>
      <w:r>
        <w:rPr>
          <w:rFonts w:ascii="Bookman Old Style" w:hAnsi="Bookman Old Style"/>
          <w:sz w:val="28"/>
          <w:szCs w:val="28"/>
        </w:rPr>
        <w:tab/>
      </w:r>
      <w:r w:rsidR="00D4500D" w:rsidRPr="00532C92">
        <w:rPr>
          <w:rFonts w:ascii="Bookman Old Style" w:hAnsi="Bookman Old Style"/>
          <w:sz w:val="28"/>
          <w:szCs w:val="28"/>
        </w:rPr>
        <w:t>The relief sought by the appellant was predicated on several factors. The appellant had or had agreed to indemnify its insured in relation to the claim lodged against the insured by LCN. That indemnification could potentially cover the cost of assessment and storage it that were proved to be due to the respondent.</w:t>
      </w:r>
      <w:r w:rsidR="00826B64" w:rsidRPr="00532C92">
        <w:rPr>
          <w:rFonts w:ascii="Bookman Old Style" w:hAnsi="Bookman Old Style"/>
          <w:sz w:val="28"/>
          <w:szCs w:val="28"/>
        </w:rPr>
        <w:t xml:space="preserve"> In essence the appellant had, after indemnifying its insured acquired a right to the motor vehicle by subrogation. It became entitled to take the motor vehicle into its custody and deal with it as it saw fit. Storage charges at the rate of M650.00 continued to accumulate to the potential prejudice of the appellant.</w:t>
      </w:r>
      <w:r w:rsidR="00326FDB" w:rsidRPr="00532C92">
        <w:rPr>
          <w:rFonts w:ascii="Bookman Old Style" w:hAnsi="Bookman Old Style"/>
          <w:sz w:val="28"/>
          <w:szCs w:val="28"/>
        </w:rPr>
        <w:t xml:space="preserve">  </w:t>
      </w:r>
      <w:r w:rsidR="00826B64" w:rsidRPr="00532C92">
        <w:rPr>
          <w:rFonts w:ascii="Bookman Old Style" w:hAnsi="Bookman Old Style"/>
          <w:sz w:val="28"/>
          <w:szCs w:val="28"/>
        </w:rPr>
        <w:t xml:space="preserve">By providing security the appellant had assured the respondent that should it be found that it was entitled to payment that would present no difficulty to the appellant. Further assurance was given by stating that appellant, as the largest insurance company in the country had the capacity to meet any claim as the respondent was able to prove. It was not necessary for the respondent to retain possession of the motor vehicle to prove its claim for payment of assessment and storage costs. What the appellant was seeking to avert or forestall was the continued escalation of the storage costs. The respondent had failed in its duty to sue for and prove </w:t>
      </w:r>
      <w:r w:rsidR="00480285" w:rsidRPr="00532C92">
        <w:rPr>
          <w:rFonts w:ascii="Bookman Old Style" w:hAnsi="Bookman Old Style"/>
          <w:sz w:val="28"/>
          <w:szCs w:val="28"/>
        </w:rPr>
        <w:t xml:space="preserve">the costs claimed and the retention of the motor vehicle </w:t>
      </w:r>
      <w:r w:rsidR="00826B64" w:rsidRPr="00532C92">
        <w:rPr>
          <w:rFonts w:ascii="Bookman Old Style" w:hAnsi="Bookman Old Style"/>
          <w:sz w:val="28"/>
          <w:szCs w:val="28"/>
        </w:rPr>
        <w:t>was no</w:t>
      </w:r>
      <w:r w:rsidR="00480285" w:rsidRPr="00532C92">
        <w:rPr>
          <w:rFonts w:ascii="Bookman Old Style" w:hAnsi="Bookman Old Style"/>
          <w:sz w:val="28"/>
          <w:szCs w:val="28"/>
        </w:rPr>
        <w:t xml:space="preserve"> more than a stratagem </w:t>
      </w:r>
      <w:r w:rsidR="00826B64" w:rsidRPr="00532C92">
        <w:rPr>
          <w:rFonts w:ascii="Bookman Old Style" w:hAnsi="Bookman Old Style"/>
          <w:sz w:val="28"/>
          <w:szCs w:val="28"/>
        </w:rPr>
        <w:t>t</w:t>
      </w:r>
      <w:r w:rsidR="00480285" w:rsidRPr="00532C92">
        <w:rPr>
          <w:rFonts w:ascii="Bookman Old Style" w:hAnsi="Bookman Old Style"/>
          <w:sz w:val="28"/>
          <w:szCs w:val="28"/>
        </w:rPr>
        <w:t xml:space="preserve">o force the payment of the costs without proof that they were legitimately raised. The respondent’s defences that the appellant had no title to claim the release of the motor vehicle and that the security provided was not </w:t>
      </w:r>
      <w:r w:rsidRPr="00532C92">
        <w:rPr>
          <w:rFonts w:ascii="Bookman Old Style" w:hAnsi="Bookman Old Style"/>
          <w:sz w:val="28"/>
          <w:szCs w:val="28"/>
        </w:rPr>
        <w:t>sufficient could</w:t>
      </w:r>
      <w:r w:rsidR="00EC283E" w:rsidRPr="00532C92">
        <w:rPr>
          <w:rFonts w:ascii="Bookman Old Style" w:hAnsi="Bookman Old Style"/>
          <w:sz w:val="28"/>
          <w:szCs w:val="28"/>
        </w:rPr>
        <w:t xml:space="preserve"> </w:t>
      </w:r>
      <w:r w:rsidR="00480285" w:rsidRPr="00532C92">
        <w:rPr>
          <w:rFonts w:ascii="Bookman Old Style" w:hAnsi="Bookman Old Style"/>
          <w:sz w:val="28"/>
          <w:szCs w:val="28"/>
        </w:rPr>
        <w:t xml:space="preserve">not have stood in the way of the appellant’s relief. There was simply no impediment to the exercise of its discretion by the High Court in favour of granting the relief sought by the appellant. </w:t>
      </w:r>
    </w:p>
    <w:p w14:paraId="15BC7DA3" w14:textId="77777777" w:rsidR="00E83BB6" w:rsidRPr="00AA6FF5" w:rsidRDefault="00E83BB6" w:rsidP="001B532C">
      <w:pPr>
        <w:pStyle w:val="ListParagraph"/>
        <w:spacing w:line="360" w:lineRule="auto"/>
        <w:jc w:val="both"/>
        <w:rPr>
          <w:rFonts w:ascii="Bookman Old Style" w:hAnsi="Bookman Old Style"/>
          <w:sz w:val="28"/>
          <w:szCs w:val="28"/>
        </w:rPr>
      </w:pPr>
    </w:p>
    <w:p w14:paraId="18B527C1" w14:textId="4BAF8E8F" w:rsidR="00EA65E2"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480285" w:rsidRPr="00532C92">
        <w:rPr>
          <w:rFonts w:ascii="Bookman Old Style" w:hAnsi="Bookman Old Style"/>
          <w:sz w:val="28"/>
          <w:szCs w:val="28"/>
        </w:rPr>
        <w:t xml:space="preserve">I observe that the learned judge a quo did not consider that the matter before him called for a judicial exercise of discretion. That explains why he pre-occupied himself with the question of the existence or otherwise of an agreement in relation to the assessment and storage costs. He erred in not only failing to appreciate the </w:t>
      </w:r>
      <w:r w:rsidR="00906D38" w:rsidRPr="00532C92">
        <w:rPr>
          <w:rFonts w:ascii="Bookman Old Style" w:hAnsi="Bookman Old Style"/>
          <w:sz w:val="28"/>
          <w:szCs w:val="28"/>
        </w:rPr>
        <w:t xml:space="preserve">issue before him but also in not </w:t>
      </w:r>
      <w:r w:rsidR="00480285" w:rsidRPr="00532C92">
        <w:rPr>
          <w:rFonts w:ascii="Bookman Old Style" w:hAnsi="Bookman Old Style"/>
          <w:sz w:val="28"/>
          <w:szCs w:val="28"/>
        </w:rPr>
        <w:t>recognising that he</w:t>
      </w:r>
      <w:r w:rsidR="00906D38" w:rsidRPr="00532C92">
        <w:rPr>
          <w:rFonts w:ascii="Bookman Old Style" w:hAnsi="Bookman Old Style"/>
          <w:sz w:val="28"/>
          <w:szCs w:val="28"/>
        </w:rPr>
        <w:t xml:space="preserve"> was being called upon to exercise his discretion.</w:t>
      </w:r>
      <w:r w:rsidR="008F066E" w:rsidRPr="00532C92">
        <w:rPr>
          <w:rFonts w:ascii="Bookman Old Style" w:hAnsi="Bookman Old Style"/>
          <w:sz w:val="28"/>
          <w:szCs w:val="28"/>
        </w:rPr>
        <w:t xml:space="preserve"> At the end of the hearing of the appeal counsel for the respondent conceded that that the court below should have exercised its discretion in favour of the appellant and respondent should release the motor vehicle</w:t>
      </w:r>
      <w:r w:rsidR="00A826F2" w:rsidRPr="00532C92">
        <w:rPr>
          <w:rFonts w:ascii="Bookman Old Style" w:hAnsi="Bookman Old Style"/>
          <w:sz w:val="28"/>
          <w:szCs w:val="28"/>
        </w:rPr>
        <w:t>. Although he proposed that each party should bear its own costs, he was unable to argue further for such an order of costs.</w:t>
      </w:r>
    </w:p>
    <w:p w14:paraId="742ABCD1" w14:textId="77777777" w:rsidR="00E83BB6" w:rsidRPr="00AA6FF5" w:rsidRDefault="00E83BB6" w:rsidP="001B532C">
      <w:pPr>
        <w:pStyle w:val="ListParagraph"/>
        <w:spacing w:line="360" w:lineRule="auto"/>
        <w:jc w:val="both"/>
        <w:rPr>
          <w:rFonts w:ascii="Bookman Old Style" w:hAnsi="Bookman Old Style"/>
          <w:sz w:val="28"/>
          <w:szCs w:val="28"/>
        </w:rPr>
      </w:pPr>
    </w:p>
    <w:p w14:paraId="47F731E7" w14:textId="154C315E" w:rsidR="00D96D8E" w:rsidRPr="00532C92" w:rsidRDefault="00532C92" w:rsidP="00532C92">
      <w:pPr>
        <w:spacing w:line="360" w:lineRule="auto"/>
        <w:jc w:val="both"/>
        <w:rPr>
          <w:rFonts w:ascii="Bookman Old Style" w:hAnsi="Bookman Old Style"/>
          <w:sz w:val="28"/>
          <w:szCs w:val="28"/>
        </w:rPr>
      </w:pPr>
      <w:r>
        <w:rPr>
          <w:rFonts w:ascii="Bookman Old Style" w:hAnsi="Bookman Old Style" w:cstheme="minorHAnsi"/>
          <w:sz w:val="28"/>
          <w:szCs w:val="28"/>
        </w:rPr>
        <w:t>[26]</w:t>
      </w:r>
      <w:r>
        <w:rPr>
          <w:rFonts w:ascii="Bookman Old Style" w:hAnsi="Bookman Old Style" w:cstheme="minorHAnsi"/>
          <w:sz w:val="28"/>
          <w:szCs w:val="28"/>
        </w:rPr>
        <w:tab/>
      </w:r>
      <w:r w:rsidR="00906D38" w:rsidRPr="00532C92">
        <w:rPr>
          <w:rFonts w:ascii="Bookman Old Style" w:hAnsi="Bookman Old Style" w:cstheme="minorHAnsi"/>
          <w:sz w:val="28"/>
          <w:szCs w:val="28"/>
        </w:rPr>
        <w:t>This is one of those matters</w:t>
      </w:r>
      <w:r w:rsidR="006074D2" w:rsidRPr="00532C92">
        <w:rPr>
          <w:rFonts w:ascii="Bookman Old Style" w:hAnsi="Bookman Old Style" w:cstheme="minorHAnsi"/>
          <w:sz w:val="28"/>
          <w:szCs w:val="28"/>
        </w:rPr>
        <w:t xml:space="preserve"> which falls in </w:t>
      </w:r>
      <w:r w:rsidR="00EA65E2" w:rsidRPr="00532C92">
        <w:rPr>
          <w:rFonts w:ascii="Bookman Old Style" w:hAnsi="Bookman Old Style" w:cstheme="minorHAnsi"/>
          <w:sz w:val="28"/>
          <w:szCs w:val="28"/>
        </w:rPr>
        <w:t>a</w:t>
      </w:r>
      <w:r w:rsidR="006074D2" w:rsidRPr="00532C92">
        <w:rPr>
          <w:rFonts w:ascii="Bookman Old Style" w:hAnsi="Bookman Old Style" w:cstheme="minorHAnsi"/>
          <w:sz w:val="28"/>
          <w:szCs w:val="28"/>
        </w:rPr>
        <w:t xml:space="preserve"> category of cases in which this Court is in as good a position as the court of first instance to exercise discretion. See </w:t>
      </w:r>
      <w:proofErr w:type="spellStart"/>
      <w:r w:rsidR="006074D2" w:rsidRPr="00532C92">
        <w:rPr>
          <w:rFonts w:ascii="Bookman Old Style" w:hAnsi="Bookman Old Style" w:cstheme="minorHAnsi"/>
          <w:i/>
          <w:iCs/>
          <w:sz w:val="28"/>
          <w:szCs w:val="28"/>
        </w:rPr>
        <w:t>Tjospomie</w:t>
      </w:r>
      <w:proofErr w:type="spellEnd"/>
      <w:r w:rsidR="006074D2" w:rsidRPr="00532C92">
        <w:rPr>
          <w:rFonts w:ascii="Bookman Old Style" w:hAnsi="Bookman Old Style" w:cstheme="minorHAnsi"/>
          <w:i/>
          <w:iCs/>
          <w:sz w:val="28"/>
          <w:szCs w:val="28"/>
        </w:rPr>
        <w:t xml:space="preserve"> </w:t>
      </w:r>
      <w:proofErr w:type="spellStart"/>
      <w:r w:rsidR="006074D2" w:rsidRPr="00532C92">
        <w:rPr>
          <w:rFonts w:ascii="Bookman Old Style" w:hAnsi="Bookman Old Style" w:cstheme="minorHAnsi"/>
          <w:i/>
          <w:iCs/>
          <w:sz w:val="28"/>
          <w:szCs w:val="28"/>
        </w:rPr>
        <w:t>Boerdery</w:t>
      </w:r>
      <w:proofErr w:type="spellEnd"/>
      <w:r w:rsidR="006074D2" w:rsidRPr="00532C92">
        <w:rPr>
          <w:rFonts w:ascii="Bookman Old Style" w:hAnsi="Bookman Old Style" w:cstheme="minorHAnsi"/>
          <w:i/>
          <w:iCs/>
          <w:sz w:val="28"/>
          <w:szCs w:val="28"/>
        </w:rPr>
        <w:t xml:space="preserve"> (Pty) Ltd v Drakensberg </w:t>
      </w:r>
      <w:proofErr w:type="spellStart"/>
      <w:r w:rsidR="006074D2" w:rsidRPr="00532C92">
        <w:rPr>
          <w:rFonts w:ascii="Bookman Old Style" w:hAnsi="Bookman Old Style" w:cstheme="minorHAnsi"/>
          <w:i/>
          <w:iCs/>
          <w:sz w:val="28"/>
          <w:szCs w:val="28"/>
        </w:rPr>
        <w:t>Botteliers</w:t>
      </w:r>
      <w:proofErr w:type="spellEnd"/>
      <w:r w:rsidR="006074D2" w:rsidRPr="00532C92">
        <w:rPr>
          <w:rFonts w:ascii="Bookman Old Style" w:hAnsi="Bookman Old Style" w:cstheme="minorHAnsi"/>
          <w:i/>
          <w:iCs/>
          <w:sz w:val="28"/>
          <w:szCs w:val="28"/>
        </w:rPr>
        <w:t xml:space="preserve"> (Pty) Ltd</w:t>
      </w:r>
      <w:r w:rsidR="006074D2" w:rsidRPr="00AA6FF5">
        <w:rPr>
          <w:rStyle w:val="FootnoteReference"/>
          <w:rFonts w:ascii="Bookman Old Style" w:hAnsi="Bookman Old Style" w:cstheme="minorHAnsi"/>
          <w:i/>
          <w:iCs/>
          <w:sz w:val="28"/>
          <w:szCs w:val="28"/>
        </w:rPr>
        <w:footnoteReference w:id="5"/>
      </w:r>
      <w:r w:rsidR="006074D2" w:rsidRPr="00532C92">
        <w:rPr>
          <w:rFonts w:ascii="Bookman Old Style" w:hAnsi="Bookman Old Style" w:cstheme="minorHAnsi"/>
          <w:i/>
          <w:iCs/>
          <w:sz w:val="28"/>
          <w:szCs w:val="28"/>
        </w:rPr>
        <w:t xml:space="preserve">. </w:t>
      </w:r>
      <w:r w:rsidR="006074D2" w:rsidRPr="00532C92">
        <w:rPr>
          <w:rFonts w:ascii="Bookman Old Style" w:hAnsi="Bookman Old Style" w:cstheme="minorHAnsi"/>
          <w:sz w:val="28"/>
          <w:szCs w:val="28"/>
        </w:rPr>
        <w:t xml:space="preserve">Much more </w:t>
      </w:r>
      <w:r w:rsidR="00EA65E2" w:rsidRPr="00532C92">
        <w:rPr>
          <w:rFonts w:ascii="Bookman Old Style" w:hAnsi="Bookman Old Style" w:cstheme="minorHAnsi"/>
          <w:sz w:val="28"/>
          <w:szCs w:val="28"/>
        </w:rPr>
        <w:t xml:space="preserve">so </w:t>
      </w:r>
      <w:r w:rsidR="006074D2" w:rsidRPr="00532C92">
        <w:rPr>
          <w:rFonts w:ascii="Bookman Old Style" w:hAnsi="Bookman Old Style" w:cstheme="minorHAnsi"/>
          <w:sz w:val="28"/>
          <w:szCs w:val="28"/>
        </w:rPr>
        <w:t xml:space="preserve">because the learned judge </w:t>
      </w:r>
      <w:r w:rsidR="006074D2" w:rsidRPr="00532C92">
        <w:rPr>
          <w:rFonts w:ascii="Bookman Old Style" w:hAnsi="Bookman Old Style" w:cstheme="minorHAnsi"/>
          <w:i/>
          <w:iCs/>
          <w:sz w:val="28"/>
          <w:szCs w:val="28"/>
        </w:rPr>
        <w:t>a quo</w:t>
      </w:r>
      <w:r w:rsidR="006074D2" w:rsidRPr="00532C92">
        <w:rPr>
          <w:rFonts w:ascii="Bookman Old Style" w:hAnsi="Bookman Old Style" w:cstheme="minorHAnsi"/>
          <w:sz w:val="28"/>
          <w:szCs w:val="28"/>
        </w:rPr>
        <w:t xml:space="preserve"> did not exercise </w:t>
      </w:r>
      <w:r w:rsidR="00EA65E2" w:rsidRPr="00532C92">
        <w:rPr>
          <w:rFonts w:ascii="Bookman Old Style" w:hAnsi="Bookman Old Style" w:cstheme="minorHAnsi"/>
          <w:sz w:val="28"/>
          <w:szCs w:val="28"/>
        </w:rPr>
        <w:t>his</w:t>
      </w:r>
      <w:r w:rsidR="006074D2" w:rsidRPr="00532C92">
        <w:rPr>
          <w:rFonts w:ascii="Bookman Old Style" w:hAnsi="Bookman Old Style" w:cstheme="minorHAnsi"/>
          <w:sz w:val="28"/>
          <w:szCs w:val="28"/>
        </w:rPr>
        <w:t xml:space="preserve"> discretion as required </w:t>
      </w:r>
      <w:r w:rsidR="00EA65E2" w:rsidRPr="00532C92">
        <w:rPr>
          <w:rFonts w:ascii="Bookman Old Style" w:hAnsi="Bookman Old Style" w:cstheme="minorHAnsi"/>
          <w:sz w:val="28"/>
          <w:szCs w:val="28"/>
        </w:rPr>
        <w:t>of him.</w:t>
      </w:r>
      <w:r w:rsidR="00E83BB6" w:rsidRPr="00532C92">
        <w:rPr>
          <w:rFonts w:ascii="Bookman Old Style" w:hAnsi="Bookman Old Style" w:cstheme="minorHAnsi"/>
          <w:sz w:val="28"/>
          <w:szCs w:val="28"/>
        </w:rPr>
        <w:t xml:space="preserve"> This Court can therefore </w:t>
      </w:r>
      <w:r w:rsidR="006074D2" w:rsidRPr="00532C92">
        <w:rPr>
          <w:rFonts w:ascii="Bookman Old Style" w:hAnsi="Bookman Old Style" w:cstheme="minorHAnsi"/>
          <w:sz w:val="28"/>
          <w:szCs w:val="28"/>
        </w:rPr>
        <w:t xml:space="preserve">exercise its own discretion </w:t>
      </w:r>
      <w:r w:rsidR="00E83BB6" w:rsidRPr="00532C92">
        <w:rPr>
          <w:rFonts w:ascii="Bookman Old Style" w:hAnsi="Bookman Old Style" w:cstheme="minorHAnsi"/>
          <w:sz w:val="28"/>
          <w:szCs w:val="28"/>
        </w:rPr>
        <w:t xml:space="preserve">and substitute it </w:t>
      </w:r>
      <w:r w:rsidR="006074D2" w:rsidRPr="00532C92">
        <w:rPr>
          <w:rFonts w:ascii="Bookman Old Style" w:hAnsi="Bookman Old Style" w:cstheme="minorHAnsi"/>
          <w:sz w:val="28"/>
          <w:szCs w:val="28"/>
        </w:rPr>
        <w:t xml:space="preserve">for that </w:t>
      </w:r>
      <w:r w:rsidR="00E83BB6" w:rsidRPr="00532C92">
        <w:rPr>
          <w:rFonts w:ascii="Bookman Old Style" w:hAnsi="Bookman Old Style" w:cstheme="minorHAnsi"/>
          <w:sz w:val="28"/>
          <w:szCs w:val="28"/>
        </w:rPr>
        <w:t xml:space="preserve">which should have been </w:t>
      </w:r>
      <w:r w:rsidR="006074D2" w:rsidRPr="00532C92">
        <w:rPr>
          <w:rFonts w:ascii="Bookman Old Style" w:hAnsi="Bookman Old Style" w:cstheme="minorHAnsi"/>
          <w:sz w:val="28"/>
          <w:szCs w:val="28"/>
        </w:rPr>
        <w:t>decided at first instance</w:t>
      </w:r>
      <w:r w:rsidR="00E83BB6" w:rsidRPr="00532C92">
        <w:rPr>
          <w:rFonts w:ascii="Bookman Old Style" w:hAnsi="Bookman Old Style" w:cstheme="minorHAnsi"/>
          <w:sz w:val="28"/>
          <w:szCs w:val="28"/>
        </w:rPr>
        <w:t>. This is not a case where this Court has</w:t>
      </w:r>
      <w:r w:rsidR="006074D2" w:rsidRPr="00532C92">
        <w:rPr>
          <w:rFonts w:ascii="Bookman Old Style" w:hAnsi="Bookman Old Style" w:cstheme="minorHAnsi"/>
          <w:sz w:val="28"/>
          <w:szCs w:val="28"/>
        </w:rPr>
        <w:t xml:space="preserve"> </w:t>
      </w:r>
      <w:r w:rsidR="00F95E37" w:rsidRPr="00532C92">
        <w:rPr>
          <w:rFonts w:ascii="Bookman Old Style" w:hAnsi="Bookman Old Style" w:cstheme="minorHAnsi"/>
          <w:sz w:val="28"/>
          <w:szCs w:val="28"/>
        </w:rPr>
        <w:t>first having</w:t>
      </w:r>
      <w:r w:rsidR="006074D2" w:rsidRPr="00532C92">
        <w:rPr>
          <w:rFonts w:ascii="Bookman Old Style" w:hAnsi="Bookman Old Style" w:cstheme="minorHAnsi"/>
          <w:sz w:val="28"/>
          <w:szCs w:val="28"/>
        </w:rPr>
        <w:t xml:space="preserve"> to find that the court of first instance did not act judicially. </w:t>
      </w:r>
      <w:r w:rsidR="00E83BB6" w:rsidRPr="00532C92">
        <w:rPr>
          <w:rFonts w:ascii="Bookman Old Style" w:hAnsi="Bookman Old Style" w:cstheme="minorHAnsi"/>
          <w:sz w:val="28"/>
          <w:szCs w:val="28"/>
        </w:rPr>
        <w:t>There are s</w:t>
      </w:r>
      <w:r w:rsidR="006074D2" w:rsidRPr="00532C92">
        <w:rPr>
          <w:rFonts w:ascii="Bookman Old Style" w:hAnsi="Bookman Old Style" w:cstheme="minorHAnsi"/>
          <w:sz w:val="28"/>
          <w:szCs w:val="28"/>
        </w:rPr>
        <w:t>ufficient reasons for th</w:t>
      </w:r>
      <w:r w:rsidR="00E83BB6" w:rsidRPr="00532C92">
        <w:rPr>
          <w:rFonts w:ascii="Bookman Old Style" w:hAnsi="Bookman Old Style" w:cstheme="minorHAnsi"/>
          <w:sz w:val="28"/>
          <w:szCs w:val="28"/>
        </w:rPr>
        <w:t>is</w:t>
      </w:r>
      <w:r w:rsidR="006074D2" w:rsidRPr="00532C92">
        <w:rPr>
          <w:rFonts w:ascii="Bookman Old Style" w:hAnsi="Bookman Old Style" w:cstheme="minorHAnsi"/>
          <w:sz w:val="28"/>
          <w:szCs w:val="28"/>
        </w:rPr>
        <w:t xml:space="preserve"> </w:t>
      </w:r>
      <w:r w:rsidR="00E83BB6" w:rsidRPr="00532C92">
        <w:rPr>
          <w:rFonts w:ascii="Bookman Old Style" w:hAnsi="Bookman Old Style" w:cstheme="minorHAnsi"/>
          <w:sz w:val="28"/>
          <w:szCs w:val="28"/>
        </w:rPr>
        <w:t>C</w:t>
      </w:r>
      <w:r w:rsidR="006074D2" w:rsidRPr="00532C92">
        <w:rPr>
          <w:rFonts w:ascii="Bookman Old Style" w:hAnsi="Bookman Old Style" w:cstheme="minorHAnsi"/>
          <w:sz w:val="28"/>
          <w:szCs w:val="28"/>
        </w:rPr>
        <w:t>ourt to do so</w:t>
      </w:r>
      <w:r w:rsidR="00E83BB6" w:rsidRPr="00532C92">
        <w:rPr>
          <w:rFonts w:ascii="Bookman Old Style" w:hAnsi="Bookman Old Style" w:cstheme="minorHAnsi"/>
          <w:sz w:val="28"/>
          <w:szCs w:val="28"/>
        </w:rPr>
        <w:t>.</w:t>
      </w:r>
      <w:r w:rsidR="006074D2" w:rsidRPr="00532C92">
        <w:rPr>
          <w:rFonts w:ascii="Bookman Old Style" w:hAnsi="Bookman Old Style" w:cstheme="minorHAnsi"/>
          <w:sz w:val="28"/>
          <w:szCs w:val="28"/>
        </w:rPr>
        <w:t xml:space="preserve"> </w:t>
      </w:r>
      <w:r w:rsidR="00E83BB6" w:rsidRPr="00532C92">
        <w:rPr>
          <w:rFonts w:ascii="Bookman Old Style" w:hAnsi="Bookman Old Style" w:cstheme="minorHAnsi"/>
          <w:sz w:val="28"/>
          <w:szCs w:val="28"/>
        </w:rPr>
        <w:t>For the reasons stated in par</w:t>
      </w:r>
      <w:r w:rsidR="008F066E" w:rsidRPr="00532C92">
        <w:rPr>
          <w:rFonts w:ascii="Bookman Old Style" w:hAnsi="Bookman Old Style" w:cstheme="minorHAnsi"/>
          <w:sz w:val="28"/>
          <w:szCs w:val="28"/>
        </w:rPr>
        <w:t>agraph 24 above and i</w:t>
      </w:r>
      <w:r w:rsidR="00E83BB6" w:rsidRPr="00532C92">
        <w:rPr>
          <w:rFonts w:ascii="Bookman Old Style" w:hAnsi="Bookman Old Style" w:cstheme="minorHAnsi"/>
          <w:sz w:val="28"/>
          <w:szCs w:val="28"/>
        </w:rPr>
        <w:t xml:space="preserve">n exercise of </w:t>
      </w:r>
      <w:r w:rsidR="008F066E" w:rsidRPr="00532C92">
        <w:rPr>
          <w:rFonts w:ascii="Bookman Old Style" w:hAnsi="Bookman Old Style" w:cstheme="minorHAnsi"/>
          <w:sz w:val="28"/>
          <w:szCs w:val="28"/>
        </w:rPr>
        <w:t>its discretion</w:t>
      </w:r>
      <w:r w:rsidR="00E83BB6" w:rsidRPr="00532C92">
        <w:rPr>
          <w:rFonts w:ascii="Bookman Old Style" w:hAnsi="Bookman Old Style" w:cstheme="minorHAnsi"/>
          <w:sz w:val="28"/>
          <w:szCs w:val="28"/>
        </w:rPr>
        <w:t xml:space="preserve"> </w:t>
      </w:r>
      <w:r w:rsidR="008F066E" w:rsidRPr="00532C92">
        <w:rPr>
          <w:rFonts w:ascii="Bookman Old Style" w:hAnsi="Bookman Old Style" w:cstheme="minorHAnsi"/>
          <w:sz w:val="28"/>
          <w:szCs w:val="28"/>
        </w:rPr>
        <w:t xml:space="preserve">this </w:t>
      </w:r>
      <w:r w:rsidR="00E83BB6" w:rsidRPr="00532C92">
        <w:rPr>
          <w:rFonts w:ascii="Bookman Old Style" w:hAnsi="Bookman Old Style" w:cstheme="minorHAnsi"/>
          <w:sz w:val="28"/>
          <w:szCs w:val="28"/>
        </w:rPr>
        <w:t>Court</w:t>
      </w:r>
      <w:r w:rsidR="008F066E" w:rsidRPr="00532C92">
        <w:rPr>
          <w:rFonts w:ascii="Bookman Old Style" w:hAnsi="Bookman Old Style" w:cstheme="minorHAnsi"/>
          <w:sz w:val="28"/>
          <w:szCs w:val="28"/>
        </w:rPr>
        <w:t xml:space="preserve"> that the relief sought by the appellant should have been granted by the court </w:t>
      </w:r>
      <w:r w:rsidR="008F066E" w:rsidRPr="00532C92">
        <w:rPr>
          <w:rFonts w:ascii="Bookman Old Style" w:hAnsi="Bookman Old Style" w:cstheme="minorHAnsi"/>
          <w:i/>
          <w:iCs/>
          <w:sz w:val="28"/>
          <w:szCs w:val="28"/>
        </w:rPr>
        <w:t>a quo</w:t>
      </w:r>
      <w:r w:rsidR="008F066E" w:rsidRPr="00532C92">
        <w:rPr>
          <w:rFonts w:ascii="Bookman Old Style" w:hAnsi="Bookman Old Style" w:cstheme="minorHAnsi"/>
          <w:sz w:val="28"/>
          <w:szCs w:val="28"/>
        </w:rPr>
        <w:t>.</w:t>
      </w:r>
    </w:p>
    <w:p w14:paraId="20FDE998" w14:textId="77777777" w:rsidR="00D96D8E" w:rsidRPr="00AA6FF5" w:rsidRDefault="00D96D8E" w:rsidP="001B532C">
      <w:pPr>
        <w:pStyle w:val="ListParagraph"/>
        <w:spacing w:line="360" w:lineRule="auto"/>
        <w:jc w:val="both"/>
        <w:rPr>
          <w:rFonts w:ascii="Bookman Old Style" w:hAnsi="Bookman Old Style"/>
          <w:sz w:val="28"/>
          <w:szCs w:val="28"/>
        </w:rPr>
      </w:pPr>
    </w:p>
    <w:p w14:paraId="3D92EA96" w14:textId="5FD2FE98" w:rsidR="00A826F2" w:rsidRPr="00532C92" w:rsidRDefault="00532C92" w:rsidP="00532C92">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A826F2" w:rsidRPr="00532C92">
        <w:rPr>
          <w:rFonts w:ascii="Bookman Old Style" w:hAnsi="Bookman Old Style"/>
          <w:sz w:val="28"/>
          <w:szCs w:val="28"/>
        </w:rPr>
        <w:t xml:space="preserve">The order of this Court is accordingly the following: </w:t>
      </w:r>
    </w:p>
    <w:p w14:paraId="18358711" w14:textId="77777777" w:rsidR="00A826F2" w:rsidRPr="00AA6FF5" w:rsidRDefault="00A826F2" w:rsidP="001B532C">
      <w:pPr>
        <w:pStyle w:val="ListParagraph"/>
        <w:spacing w:line="360" w:lineRule="auto"/>
        <w:jc w:val="both"/>
        <w:rPr>
          <w:rFonts w:ascii="Bookman Old Style" w:hAnsi="Bookman Old Style"/>
          <w:sz w:val="28"/>
          <w:szCs w:val="28"/>
        </w:rPr>
      </w:pPr>
    </w:p>
    <w:p w14:paraId="72CA19B1" w14:textId="77777777" w:rsidR="00A826F2" w:rsidRPr="00AA6FF5" w:rsidRDefault="00A826F2" w:rsidP="001B532C">
      <w:pPr>
        <w:pStyle w:val="ListParagraph"/>
        <w:spacing w:line="360" w:lineRule="auto"/>
        <w:jc w:val="both"/>
        <w:rPr>
          <w:rFonts w:ascii="Bookman Old Style" w:hAnsi="Bookman Old Style"/>
          <w:sz w:val="28"/>
          <w:szCs w:val="28"/>
        </w:rPr>
      </w:pPr>
      <w:r w:rsidRPr="00AA6FF5">
        <w:rPr>
          <w:rFonts w:ascii="Bookman Old Style" w:hAnsi="Bookman Old Style"/>
          <w:sz w:val="28"/>
          <w:szCs w:val="28"/>
        </w:rPr>
        <w:t xml:space="preserve">1. The appeal is upheld with costs to be paid by the respondent. </w:t>
      </w:r>
    </w:p>
    <w:p w14:paraId="4F5ABA06" w14:textId="77777777" w:rsidR="00A826F2" w:rsidRPr="00AA6FF5" w:rsidRDefault="00A826F2" w:rsidP="001B532C">
      <w:pPr>
        <w:pStyle w:val="ListParagraph"/>
        <w:spacing w:line="360" w:lineRule="auto"/>
        <w:jc w:val="both"/>
        <w:rPr>
          <w:rFonts w:ascii="Bookman Old Style" w:hAnsi="Bookman Old Style"/>
          <w:sz w:val="28"/>
          <w:szCs w:val="28"/>
        </w:rPr>
      </w:pPr>
    </w:p>
    <w:p w14:paraId="0C30D7ED" w14:textId="77777777" w:rsidR="00A826F2" w:rsidRPr="00AA6FF5" w:rsidRDefault="00A826F2" w:rsidP="001B532C">
      <w:pPr>
        <w:pStyle w:val="ListParagraph"/>
        <w:spacing w:line="360" w:lineRule="auto"/>
        <w:jc w:val="both"/>
        <w:rPr>
          <w:rFonts w:ascii="Bookman Old Style" w:hAnsi="Bookman Old Style"/>
          <w:sz w:val="28"/>
          <w:szCs w:val="28"/>
        </w:rPr>
      </w:pPr>
      <w:r w:rsidRPr="00AA6FF5">
        <w:rPr>
          <w:rFonts w:ascii="Bookman Old Style" w:hAnsi="Bookman Old Style"/>
          <w:sz w:val="28"/>
          <w:szCs w:val="28"/>
        </w:rPr>
        <w:t xml:space="preserve">2. The order of the High Court striking out the letters written by the appellant to the respondent is upheld. </w:t>
      </w:r>
    </w:p>
    <w:p w14:paraId="3076E576" w14:textId="77777777" w:rsidR="00A826F2" w:rsidRPr="00AA6FF5" w:rsidRDefault="00A826F2" w:rsidP="001B532C">
      <w:pPr>
        <w:pStyle w:val="ListParagraph"/>
        <w:spacing w:line="360" w:lineRule="auto"/>
        <w:jc w:val="both"/>
        <w:rPr>
          <w:rFonts w:ascii="Bookman Old Style" w:hAnsi="Bookman Old Style"/>
          <w:sz w:val="28"/>
          <w:szCs w:val="28"/>
        </w:rPr>
      </w:pPr>
    </w:p>
    <w:p w14:paraId="29566EE8" w14:textId="77777777" w:rsidR="00A826F2" w:rsidRPr="00AA6FF5" w:rsidRDefault="00A826F2" w:rsidP="001B532C">
      <w:pPr>
        <w:pStyle w:val="ListParagraph"/>
        <w:spacing w:line="360" w:lineRule="auto"/>
        <w:jc w:val="both"/>
        <w:rPr>
          <w:rFonts w:ascii="Bookman Old Style" w:hAnsi="Bookman Old Style"/>
          <w:sz w:val="28"/>
          <w:szCs w:val="28"/>
        </w:rPr>
      </w:pPr>
      <w:r w:rsidRPr="00AA6FF5">
        <w:rPr>
          <w:rFonts w:ascii="Bookman Old Style" w:hAnsi="Bookman Old Style"/>
          <w:sz w:val="28"/>
          <w:szCs w:val="28"/>
        </w:rPr>
        <w:t xml:space="preserve">3.The High Court order dismissing the appellant’s application with costs is set aside and substituted with the following -  </w:t>
      </w:r>
    </w:p>
    <w:p w14:paraId="780D9272" w14:textId="77777777" w:rsidR="00D96D8E" w:rsidRPr="00AA6FF5" w:rsidRDefault="00D96D8E" w:rsidP="001B532C">
      <w:pPr>
        <w:pStyle w:val="ListParagraph"/>
        <w:spacing w:line="360" w:lineRule="auto"/>
        <w:jc w:val="both"/>
        <w:rPr>
          <w:rFonts w:ascii="Bookman Old Style" w:hAnsi="Bookman Old Style"/>
          <w:sz w:val="28"/>
          <w:szCs w:val="28"/>
        </w:rPr>
      </w:pPr>
    </w:p>
    <w:p w14:paraId="206086E1" w14:textId="1AB049D8" w:rsidR="00906D38" w:rsidRPr="00AA6FF5" w:rsidRDefault="00A826F2" w:rsidP="001B532C">
      <w:pPr>
        <w:pStyle w:val="ListParagraph"/>
        <w:spacing w:line="360" w:lineRule="auto"/>
        <w:jc w:val="both"/>
        <w:rPr>
          <w:rFonts w:ascii="Bookman Old Style" w:hAnsi="Bookman Old Style"/>
          <w:sz w:val="28"/>
          <w:szCs w:val="28"/>
        </w:rPr>
      </w:pPr>
      <w:r w:rsidRPr="00AA6FF5">
        <w:rPr>
          <w:rFonts w:ascii="Bookman Old Style" w:hAnsi="Bookman Old Style"/>
          <w:sz w:val="28"/>
          <w:szCs w:val="28"/>
        </w:rPr>
        <w:t>“The application succeeds. The respondent shall pay the costs of suit.”</w:t>
      </w:r>
    </w:p>
    <w:p w14:paraId="3393122E" w14:textId="2C2D3405" w:rsidR="00A826F2" w:rsidRPr="00AA6FF5" w:rsidRDefault="00A826F2" w:rsidP="001B532C">
      <w:pPr>
        <w:pStyle w:val="ListParagraph"/>
        <w:spacing w:line="360" w:lineRule="auto"/>
        <w:jc w:val="both"/>
        <w:rPr>
          <w:rFonts w:ascii="Bookman Old Style" w:hAnsi="Bookman Old Style"/>
          <w:sz w:val="28"/>
          <w:szCs w:val="28"/>
        </w:rPr>
      </w:pPr>
    </w:p>
    <w:p w14:paraId="6A12A7EE" w14:textId="77777777" w:rsidR="005A2C8C" w:rsidRPr="00AA6FF5" w:rsidRDefault="005A2C8C" w:rsidP="001B532C">
      <w:pPr>
        <w:pStyle w:val="ListParagraph"/>
        <w:spacing w:line="360" w:lineRule="auto"/>
        <w:jc w:val="center"/>
        <w:rPr>
          <w:rFonts w:ascii="Bookman Old Style" w:hAnsi="Bookman Old Style"/>
          <w:sz w:val="28"/>
          <w:szCs w:val="28"/>
        </w:rPr>
      </w:pPr>
    </w:p>
    <w:p w14:paraId="5BCF4EA0" w14:textId="05BC13F8" w:rsidR="005A2C8C" w:rsidRPr="00F95E37" w:rsidRDefault="004E0E2F" w:rsidP="00F95E37">
      <w:pPr>
        <w:pStyle w:val="ListParagraph"/>
        <w:jc w:val="center"/>
        <w:rPr>
          <w:rFonts w:ascii="Bookman Old Style" w:hAnsi="Bookman Old Style"/>
          <w:b/>
          <w:bCs/>
          <w:sz w:val="28"/>
          <w:szCs w:val="28"/>
        </w:rPr>
      </w:pPr>
      <w:r>
        <w:rPr>
          <w:noProof/>
        </w:rPr>
        <w:drawing>
          <wp:inline distT="0" distB="0" distL="0" distR="0" wp14:anchorId="1B56BAE8" wp14:editId="694D1764">
            <wp:extent cx="17430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14:paraId="68684046" w14:textId="68C15463" w:rsidR="005A2C8C" w:rsidRPr="00F95E37" w:rsidRDefault="005A2C8C"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_______________________</w:t>
      </w:r>
    </w:p>
    <w:p w14:paraId="429F20D3" w14:textId="7F98F16A" w:rsidR="00A826F2" w:rsidRPr="00F95E37" w:rsidRDefault="00F95E37"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MH CHINHENGO</w:t>
      </w:r>
    </w:p>
    <w:p w14:paraId="5D317E54" w14:textId="1169A769" w:rsidR="00A826F2" w:rsidRPr="00F95E37" w:rsidRDefault="006E5D12"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ACTING JUSTICE OF APPEAL</w:t>
      </w:r>
    </w:p>
    <w:p w14:paraId="56C76AC5" w14:textId="77777777" w:rsidR="00A826F2" w:rsidRPr="00F95E37" w:rsidRDefault="00A826F2" w:rsidP="00F95E37">
      <w:pPr>
        <w:pStyle w:val="ListParagraph"/>
        <w:jc w:val="both"/>
        <w:rPr>
          <w:rFonts w:ascii="Bookman Old Style" w:hAnsi="Bookman Old Style"/>
          <w:b/>
          <w:bCs/>
          <w:sz w:val="28"/>
          <w:szCs w:val="28"/>
        </w:rPr>
      </w:pPr>
    </w:p>
    <w:p w14:paraId="354DA224" w14:textId="77777777" w:rsidR="006E5D12" w:rsidRPr="00F95E37" w:rsidRDefault="006E5D12" w:rsidP="00F95E37">
      <w:pPr>
        <w:pStyle w:val="ListParagraph"/>
        <w:jc w:val="both"/>
        <w:rPr>
          <w:rFonts w:ascii="Bookman Old Style" w:hAnsi="Bookman Old Style"/>
          <w:b/>
          <w:bCs/>
          <w:sz w:val="28"/>
          <w:szCs w:val="28"/>
        </w:rPr>
      </w:pPr>
    </w:p>
    <w:p w14:paraId="0A929CC1" w14:textId="77777777" w:rsidR="00532C92" w:rsidRDefault="00532C92" w:rsidP="00F95E37">
      <w:pPr>
        <w:jc w:val="both"/>
        <w:rPr>
          <w:rFonts w:ascii="Bookman Old Style" w:hAnsi="Bookman Old Style"/>
          <w:sz w:val="28"/>
          <w:szCs w:val="28"/>
        </w:rPr>
      </w:pPr>
    </w:p>
    <w:p w14:paraId="51111F45" w14:textId="35944E5D" w:rsidR="00A826F2" w:rsidRDefault="00A826F2" w:rsidP="00F95E37">
      <w:pPr>
        <w:jc w:val="both"/>
        <w:rPr>
          <w:rFonts w:ascii="Bookman Old Style" w:hAnsi="Bookman Old Style"/>
          <w:sz w:val="28"/>
          <w:szCs w:val="28"/>
        </w:rPr>
      </w:pPr>
      <w:r w:rsidRPr="00F95E37">
        <w:rPr>
          <w:rFonts w:ascii="Bookman Old Style" w:hAnsi="Bookman Old Style"/>
          <w:sz w:val="28"/>
          <w:szCs w:val="28"/>
        </w:rPr>
        <w:t>I agree</w:t>
      </w:r>
    </w:p>
    <w:p w14:paraId="158F0CBF" w14:textId="53E5BD10" w:rsidR="00532C92" w:rsidRPr="00F95E37" w:rsidRDefault="004E0E2F" w:rsidP="004E0E2F">
      <w:pPr>
        <w:jc w:val="center"/>
        <w:rPr>
          <w:rFonts w:ascii="Bookman Old Style" w:hAnsi="Bookman Old Style"/>
          <w:sz w:val="28"/>
          <w:szCs w:val="28"/>
        </w:rPr>
      </w:pPr>
      <w:r w:rsidRPr="00DE3882">
        <w:rPr>
          <w:noProof/>
          <w:sz w:val="28"/>
          <w:szCs w:val="28"/>
          <w:lang w:val="en-ZA" w:eastAsia="en-ZA"/>
        </w:rPr>
        <w:drawing>
          <wp:inline distT="0" distB="0" distL="0" distR="0" wp14:anchorId="2F930114" wp14:editId="359D362E">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3940787C" w14:textId="37D0BB5D" w:rsidR="00A826F2" w:rsidRPr="00F95E37" w:rsidRDefault="008378CC"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_________________________</w:t>
      </w:r>
    </w:p>
    <w:p w14:paraId="31106793" w14:textId="24C49FC0" w:rsidR="00A826F2" w:rsidRPr="00F95E37" w:rsidRDefault="006E5D12"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KE MOSITO</w:t>
      </w:r>
    </w:p>
    <w:p w14:paraId="4A6BC676" w14:textId="5125BB11" w:rsidR="00A826F2" w:rsidRPr="00F95E37" w:rsidRDefault="006E5D12"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 xml:space="preserve"> PRESIDENT</w:t>
      </w:r>
      <w:r w:rsidR="00D741A3" w:rsidRPr="00F95E37">
        <w:rPr>
          <w:rFonts w:ascii="Bookman Old Style" w:hAnsi="Bookman Old Style"/>
          <w:b/>
          <w:bCs/>
          <w:sz w:val="28"/>
          <w:szCs w:val="28"/>
        </w:rPr>
        <w:t xml:space="preserve"> OF THE COURT OF APPEAL</w:t>
      </w:r>
    </w:p>
    <w:p w14:paraId="1BC0DE7A" w14:textId="77777777" w:rsidR="00A826F2" w:rsidRPr="00F95E37" w:rsidRDefault="00A826F2" w:rsidP="00F95E37">
      <w:pPr>
        <w:pStyle w:val="ListParagraph"/>
        <w:jc w:val="both"/>
        <w:rPr>
          <w:rFonts w:ascii="Bookman Old Style" w:hAnsi="Bookman Old Style"/>
          <w:b/>
          <w:bCs/>
          <w:sz w:val="28"/>
          <w:szCs w:val="28"/>
        </w:rPr>
      </w:pPr>
    </w:p>
    <w:p w14:paraId="65657FD2" w14:textId="2BE8AF63" w:rsidR="00A826F2" w:rsidRDefault="00A826F2" w:rsidP="00F95E37">
      <w:pPr>
        <w:jc w:val="both"/>
        <w:rPr>
          <w:rFonts w:ascii="Bookman Old Style" w:hAnsi="Bookman Old Style"/>
          <w:sz w:val="28"/>
          <w:szCs w:val="28"/>
        </w:rPr>
      </w:pPr>
      <w:r w:rsidRPr="00F95E37">
        <w:rPr>
          <w:rFonts w:ascii="Bookman Old Style" w:hAnsi="Bookman Old Style"/>
          <w:sz w:val="28"/>
          <w:szCs w:val="28"/>
        </w:rPr>
        <w:t>I agree</w:t>
      </w:r>
    </w:p>
    <w:p w14:paraId="189D450E" w14:textId="646EE6A0" w:rsidR="00532C92" w:rsidRDefault="00532C92" w:rsidP="00F95E37">
      <w:pPr>
        <w:jc w:val="both"/>
        <w:rPr>
          <w:rFonts w:ascii="Bookman Old Style" w:hAnsi="Bookman Old Style"/>
          <w:sz w:val="28"/>
          <w:szCs w:val="28"/>
        </w:rPr>
      </w:pPr>
    </w:p>
    <w:p w14:paraId="0D927F57" w14:textId="7C594E47" w:rsidR="00532C92" w:rsidRPr="00F95E37" w:rsidRDefault="004E0E2F" w:rsidP="004E0E2F">
      <w:pPr>
        <w:jc w:val="center"/>
        <w:rPr>
          <w:rFonts w:ascii="Bookman Old Style" w:hAnsi="Bookman Old Style"/>
          <w:sz w:val="28"/>
          <w:szCs w:val="28"/>
        </w:rPr>
      </w:pPr>
      <w:r>
        <w:rPr>
          <w:noProof/>
        </w:rPr>
        <w:lastRenderedPageBreak/>
        <w:drawing>
          <wp:inline distT="0" distB="0" distL="0" distR="0" wp14:anchorId="091CFF05" wp14:editId="387014CB">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3BC48099" w14:textId="58D1AE28" w:rsidR="00A826F2" w:rsidRPr="00F95E37" w:rsidRDefault="008378CC"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___________________________</w:t>
      </w:r>
    </w:p>
    <w:p w14:paraId="63866CCA" w14:textId="4ECFEACE" w:rsidR="00A826F2" w:rsidRPr="00F95E37" w:rsidRDefault="006E5D12"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P MUSONDA</w:t>
      </w:r>
    </w:p>
    <w:p w14:paraId="78289F18" w14:textId="026AB2F4" w:rsidR="00A826F2" w:rsidRDefault="006E5D12" w:rsidP="00F95E37">
      <w:pPr>
        <w:pStyle w:val="ListParagraph"/>
        <w:jc w:val="center"/>
        <w:rPr>
          <w:rFonts w:ascii="Bookman Old Style" w:hAnsi="Bookman Old Style"/>
          <w:b/>
          <w:bCs/>
          <w:sz w:val="28"/>
          <w:szCs w:val="28"/>
        </w:rPr>
      </w:pPr>
      <w:r w:rsidRPr="00F95E37">
        <w:rPr>
          <w:rFonts w:ascii="Bookman Old Style" w:hAnsi="Bookman Old Style"/>
          <w:b/>
          <w:bCs/>
          <w:sz w:val="28"/>
          <w:szCs w:val="28"/>
        </w:rPr>
        <w:t>ACTING JUSTICE OF APPEAL</w:t>
      </w:r>
    </w:p>
    <w:p w14:paraId="1C7EB180" w14:textId="0C061876" w:rsidR="00F05F6F" w:rsidRDefault="00F05F6F" w:rsidP="00F05F6F">
      <w:pPr>
        <w:rPr>
          <w:rFonts w:ascii="Bookman Old Style" w:hAnsi="Bookman Old Style"/>
          <w:b/>
          <w:bCs/>
          <w:sz w:val="28"/>
          <w:szCs w:val="28"/>
        </w:rPr>
      </w:pPr>
    </w:p>
    <w:p w14:paraId="60E51E03" w14:textId="50BD4D4E" w:rsidR="00F05F6F" w:rsidRDefault="00F05F6F" w:rsidP="00F05F6F">
      <w:pPr>
        <w:rPr>
          <w:rFonts w:ascii="Bookman Old Style" w:hAnsi="Bookman Old Style"/>
          <w:b/>
          <w:bCs/>
          <w:sz w:val="28"/>
          <w:szCs w:val="28"/>
        </w:rPr>
      </w:pPr>
    </w:p>
    <w:p w14:paraId="094B789D" w14:textId="422E2666" w:rsidR="00F05F6F" w:rsidRPr="00F05F6F" w:rsidRDefault="00F05F6F" w:rsidP="00F05F6F">
      <w:pPr>
        <w:rPr>
          <w:rFonts w:ascii="Bookman Old Style" w:hAnsi="Bookman Old Style"/>
          <w:sz w:val="28"/>
          <w:szCs w:val="28"/>
        </w:rPr>
      </w:pPr>
      <w:r>
        <w:rPr>
          <w:rFonts w:ascii="Bookman Old Style" w:hAnsi="Bookman Old Style"/>
          <w:b/>
          <w:bCs/>
          <w:sz w:val="28"/>
          <w:szCs w:val="28"/>
        </w:rPr>
        <w:t>FOR APPELLANT:</w:t>
      </w:r>
      <w:r>
        <w:rPr>
          <w:rFonts w:ascii="Bookman Old Style" w:hAnsi="Bookman Old Style"/>
          <w:b/>
          <w:bCs/>
          <w:sz w:val="28"/>
          <w:szCs w:val="28"/>
        </w:rPr>
        <w:tab/>
      </w:r>
      <w:r>
        <w:rPr>
          <w:rFonts w:ascii="Bookman Old Style" w:hAnsi="Bookman Old Style"/>
          <w:b/>
          <w:bCs/>
          <w:sz w:val="28"/>
          <w:szCs w:val="28"/>
        </w:rPr>
        <w:tab/>
      </w:r>
      <w:r w:rsidRPr="00F05F6F">
        <w:rPr>
          <w:rFonts w:ascii="Bookman Old Style" w:hAnsi="Bookman Old Style"/>
          <w:sz w:val="28"/>
          <w:szCs w:val="28"/>
        </w:rPr>
        <w:t>ADV M L TAKA</w:t>
      </w:r>
    </w:p>
    <w:p w14:paraId="5CA46B3B" w14:textId="254910D2" w:rsidR="00F05F6F" w:rsidRPr="00F05F6F" w:rsidRDefault="00F05F6F" w:rsidP="00F05F6F">
      <w:pPr>
        <w:rPr>
          <w:rFonts w:ascii="Bookman Old Style" w:hAnsi="Bookman Old Style"/>
          <w:b/>
          <w:bCs/>
          <w:sz w:val="28"/>
          <w:szCs w:val="28"/>
        </w:rPr>
      </w:pPr>
      <w:r>
        <w:rPr>
          <w:rFonts w:ascii="Bookman Old Style" w:hAnsi="Bookman Old Style"/>
          <w:b/>
          <w:bCs/>
          <w:sz w:val="28"/>
          <w:szCs w:val="28"/>
        </w:rPr>
        <w:t>FOR RESPONDENT:</w:t>
      </w:r>
      <w:r>
        <w:rPr>
          <w:rFonts w:ascii="Bookman Old Style" w:hAnsi="Bookman Old Style"/>
          <w:b/>
          <w:bCs/>
          <w:sz w:val="28"/>
          <w:szCs w:val="28"/>
        </w:rPr>
        <w:tab/>
      </w:r>
      <w:r>
        <w:rPr>
          <w:rFonts w:ascii="Bookman Old Style" w:hAnsi="Bookman Old Style"/>
          <w:b/>
          <w:bCs/>
          <w:sz w:val="28"/>
          <w:szCs w:val="28"/>
        </w:rPr>
        <w:tab/>
      </w:r>
      <w:r w:rsidRPr="00F05F6F">
        <w:rPr>
          <w:rFonts w:ascii="Bookman Old Style" w:hAnsi="Bookman Old Style"/>
          <w:sz w:val="28"/>
          <w:szCs w:val="28"/>
        </w:rPr>
        <w:t xml:space="preserve">ADV B </w:t>
      </w:r>
      <w:proofErr w:type="spellStart"/>
      <w:r w:rsidRPr="00F05F6F">
        <w:rPr>
          <w:rFonts w:ascii="Bookman Old Style" w:hAnsi="Bookman Old Style"/>
          <w:sz w:val="28"/>
          <w:szCs w:val="28"/>
        </w:rPr>
        <w:t>B</w:t>
      </w:r>
      <w:proofErr w:type="spellEnd"/>
      <w:r w:rsidRPr="00F05F6F">
        <w:rPr>
          <w:rFonts w:ascii="Bookman Old Style" w:hAnsi="Bookman Old Style"/>
          <w:sz w:val="28"/>
          <w:szCs w:val="28"/>
        </w:rPr>
        <w:t xml:space="preserve"> SEKATLE</w:t>
      </w:r>
      <w:r>
        <w:rPr>
          <w:rFonts w:ascii="Bookman Old Style" w:hAnsi="Bookman Old Style"/>
          <w:b/>
          <w:bCs/>
          <w:sz w:val="28"/>
          <w:szCs w:val="28"/>
        </w:rPr>
        <w:tab/>
      </w:r>
    </w:p>
    <w:p w14:paraId="175BA0BC" w14:textId="77777777" w:rsidR="007B33E0" w:rsidRPr="00F95E37" w:rsidRDefault="00F644B0" w:rsidP="00F95E37">
      <w:pPr>
        <w:rPr>
          <w:rFonts w:ascii="Bookman Old Style" w:hAnsi="Bookman Old Style"/>
          <w:b/>
          <w:bCs/>
          <w:sz w:val="28"/>
          <w:szCs w:val="28"/>
        </w:rPr>
      </w:pPr>
    </w:p>
    <w:sectPr w:rsidR="007B33E0" w:rsidRPr="00F95E3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F0AC" w14:textId="77777777" w:rsidR="00F644B0" w:rsidRDefault="00F644B0" w:rsidP="00B3633F">
      <w:r>
        <w:separator/>
      </w:r>
    </w:p>
  </w:endnote>
  <w:endnote w:type="continuationSeparator" w:id="0">
    <w:p w14:paraId="675322E0" w14:textId="77777777" w:rsidR="00F644B0" w:rsidRDefault="00F644B0" w:rsidP="00B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752438"/>
      <w:docPartObj>
        <w:docPartGallery w:val="Page Numbers (Bottom of Page)"/>
        <w:docPartUnique/>
      </w:docPartObj>
    </w:sdtPr>
    <w:sdtEndPr>
      <w:rPr>
        <w:rStyle w:val="PageNumber"/>
      </w:rPr>
    </w:sdtEndPr>
    <w:sdtContent>
      <w:p w14:paraId="03FC12FF" w14:textId="35DED2EC" w:rsidR="00A826F2" w:rsidRDefault="00A826F2" w:rsidP="001222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C880C" w14:textId="77777777" w:rsidR="00A826F2" w:rsidRDefault="00A8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736067"/>
      <w:docPartObj>
        <w:docPartGallery w:val="Page Numbers (Bottom of Page)"/>
        <w:docPartUnique/>
      </w:docPartObj>
    </w:sdtPr>
    <w:sdtEndPr>
      <w:rPr>
        <w:rStyle w:val="PageNumber"/>
      </w:rPr>
    </w:sdtEndPr>
    <w:sdtContent>
      <w:p w14:paraId="6E4E243C" w14:textId="28A6B9B1" w:rsidR="00A826F2" w:rsidRDefault="00A826F2" w:rsidP="001222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CBA26" w14:textId="77777777" w:rsidR="00A826F2" w:rsidRDefault="00A8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C8CA" w14:textId="77777777" w:rsidR="00F644B0" w:rsidRDefault="00F644B0" w:rsidP="00B3633F">
      <w:r>
        <w:separator/>
      </w:r>
    </w:p>
  </w:footnote>
  <w:footnote w:type="continuationSeparator" w:id="0">
    <w:p w14:paraId="2A0E4D42" w14:textId="77777777" w:rsidR="00F644B0" w:rsidRDefault="00F644B0" w:rsidP="00B3633F">
      <w:r>
        <w:continuationSeparator/>
      </w:r>
    </w:p>
  </w:footnote>
  <w:footnote w:id="1">
    <w:p w14:paraId="2E5245D2" w14:textId="77777777" w:rsidR="00B3633F" w:rsidRDefault="00B3633F" w:rsidP="00B3633F">
      <w:pPr>
        <w:pStyle w:val="FootnoteText"/>
        <w:ind w:firstLine="720"/>
        <w:rPr>
          <w:lang w:val="en-GB"/>
        </w:rPr>
      </w:pPr>
      <w:r>
        <w:rPr>
          <w:rStyle w:val="FootnoteReference"/>
        </w:rPr>
        <w:footnoteRef/>
      </w:r>
      <w:r>
        <w:t xml:space="preserve"> </w:t>
      </w:r>
      <w:r>
        <w:rPr>
          <w:lang w:val="en-GB"/>
        </w:rPr>
        <w:t xml:space="preserve">See letter by appellant to respondent’s legal practitioner dated 12 August 2020, which reads- </w:t>
      </w:r>
    </w:p>
    <w:p w14:paraId="7340E644" w14:textId="77777777" w:rsidR="00B3633F" w:rsidRDefault="00B3633F">
      <w:pPr>
        <w:pStyle w:val="FootnoteText"/>
        <w:rPr>
          <w:lang w:val="en-GB"/>
        </w:rPr>
      </w:pPr>
    </w:p>
    <w:p w14:paraId="4577636B" w14:textId="4ACB45C8" w:rsidR="00B3633F" w:rsidRPr="00B3633F" w:rsidRDefault="00B3633F" w:rsidP="00B3633F">
      <w:pPr>
        <w:pStyle w:val="FootnoteText"/>
        <w:ind w:left="1440"/>
        <w:rPr>
          <w:sz w:val="16"/>
          <w:szCs w:val="16"/>
          <w:lang w:val="en-GB"/>
        </w:rPr>
      </w:pPr>
      <w:r w:rsidRPr="00B3633F">
        <w:rPr>
          <w:sz w:val="16"/>
          <w:szCs w:val="16"/>
          <w:lang w:val="en-GB"/>
        </w:rPr>
        <w:t>“Regarding your letter dated 29 July 29, 2020, may we have invoices to storage fees and assessment fee as stipulated in your letter of demand.”</w:t>
      </w:r>
    </w:p>
  </w:footnote>
  <w:footnote w:id="2">
    <w:p w14:paraId="78394690" w14:textId="093D8C75" w:rsidR="00CF1A2A" w:rsidRPr="00CF1A2A" w:rsidRDefault="00CF1A2A">
      <w:pPr>
        <w:pStyle w:val="FootnoteText"/>
        <w:rPr>
          <w:lang w:val="en-GB"/>
        </w:rPr>
      </w:pPr>
      <w:r>
        <w:rPr>
          <w:rStyle w:val="FootnoteReference"/>
        </w:rPr>
        <w:footnoteRef/>
      </w:r>
      <w:r>
        <w:t xml:space="preserve"> </w:t>
      </w:r>
      <w:r>
        <w:rPr>
          <w:lang w:val="en-GB"/>
        </w:rPr>
        <w:t>1978 (3) SA 666 (A) at 674A-B</w:t>
      </w:r>
    </w:p>
  </w:footnote>
  <w:footnote w:id="3">
    <w:p w14:paraId="474DC6C9" w14:textId="6F8E9822" w:rsidR="00262D1E" w:rsidRPr="00262D1E" w:rsidRDefault="00262D1E">
      <w:pPr>
        <w:pStyle w:val="FootnoteText"/>
        <w:rPr>
          <w:lang w:val="en-GB"/>
        </w:rPr>
      </w:pPr>
      <w:r>
        <w:rPr>
          <w:rStyle w:val="FootnoteReference"/>
        </w:rPr>
        <w:footnoteRef/>
      </w:r>
      <w:r>
        <w:t xml:space="preserve"> (</w:t>
      </w:r>
      <w:r>
        <w:rPr>
          <w:lang w:val="en-GB"/>
        </w:rPr>
        <w:t>(CIV) 1/2005) [2005] LSCA5 (20 April 2005</w:t>
      </w:r>
      <w:r w:rsidR="009E7EBD">
        <w:rPr>
          <w:lang w:val="en-GB"/>
        </w:rPr>
        <w:t>)</w:t>
      </w:r>
    </w:p>
  </w:footnote>
  <w:footnote w:id="4">
    <w:p w14:paraId="5893E764" w14:textId="74858054" w:rsidR="002435E2" w:rsidRPr="002435E2" w:rsidRDefault="002435E2">
      <w:pPr>
        <w:pStyle w:val="FootnoteText"/>
        <w:rPr>
          <w:lang w:val="en-GB"/>
        </w:rPr>
      </w:pPr>
      <w:r>
        <w:rPr>
          <w:rStyle w:val="FootnoteReference"/>
        </w:rPr>
        <w:footnoteRef/>
      </w:r>
      <w:r>
        <w:t xml:space="preserve"> </w:t>
      </w:r>
      <w:r>
        <w:rPr>
          <w:lang w:val="en-GB"/>
        </w:rPr>
        <w:t>1992 (4) SA</w:t>
      </w:r>
      <w:r w:rsidR="004377CE">
        <w:rPr>
          <w:lang w:val="en-GB"/>
        </w:rPr>
        <w:t xml:space="preserve"> 157</w:t>
      </w:r>
    </w:p>
  </w:footnote>
  <w:footnote w:id="5">
    <w:p w14:paraId="32147941" w14:textId="501ECA47" w:rsidR="006074D2" w:rsidRPr="006074D2" w:rsidRDefault="006074D2">
      <w:pPr>
        <w:pStyle w:val="FootnoteText"/>
        <w:rPr>
          <w:lang w:val="en-GB"/>
        </w:rPr>
      </w:pPr>
      <w:r>
        <w:rPr>
          <w:rStyle w:val="FootnoteReference"/>
        </w:rPr>
        <w:footnoteRef/>
      </w:r>
      <w:r>
        <w:t xml:space="preserve"> </w:t>
      </w:r>
      <w:r>
        <w:rPr>
          <w:lang w:val="en-GB"/>
        </w:rPr>
        <w:t>1989(4) SA 31(T) at 35I – 36H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B65C5"/>
    <w:multiLevelType w:val="hybridMultilevel"/>
    <w:tmpl w:val="063E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52"/>
    <w:rsid w:val="00050E88"/>
    <w:rsid w:val="0014452A"/>
    <w:rsid w:val="00170A40"/>
    <w:rsid w:val="00177129"/>
    <w:rsid w:val="0018647C"/>
    <w:rsid w:val="001A6322"/>
    <w:rsid w:val="001B532C"/>
    <w:rsid w:val="001C6E52"/>
    <w:rsid w:val="002062AB"/>
    <w:rsid w:val="00232161"/>
    <w:rsid w:val="002435E2"/>
    <w:rsid w:val="0025042B"/>
    <w:rsid w:val="00262D1E"/>
    <w:rsid w:val="00305E7B"/>
    <w:rsid w:val="00315FD9"/>
    <w:rsid w:val="0032018F"/>
    <w:rsid w:val="00326FDB"/>
    <w:rsid w:val="00341F84"/>
    <w:rsid w:val="00343B5A"/>
    <w:rsid w:val="003524EC"/>
    <w:rsid w:val="00394549"/>
    <w:rsid w:val="0040253D"/>
    <w:rsid w:val="00405F15"/>
    <w:rsid w:val="004377CE"/>
    <w:rsid w:val="0045014F"/>
    <w:rsid w:val="00480285"/>
    <w:rsid w:val="004813D0"/>
    <w:rsid w:val="004E0E2F"/>
    <w:rsid w:val="004F0AEF"/>
    <w:rsid w:val="00532C92"/>
    <w:rsid w:val="005339F3"/>
    <w:rsid w:val="00575CFB"/>
    <w:rsid w:val="00587D87"/>
    <w:rsid w:val="00592994"/>
    <w:rsid w:val="005A2C8C"/>
    <w:rsid w:val="005C6A30"/>
    <w:rsid w:val="005E4D8F"/>
    <w:rsid w:val="00605BF9"/>
    <w:rsid w:val="006074D2"/>
    <w:rsid w:val="00665E15"/>
    <w:rsid w:val="0069731D"/>
    <w:rsid w:val="006A3204"/>
    <w:rsid w:val="006A6210"/>
    <w:rsid w:val="006C3882"/>
    <w:rsid w:val="006E5D12"/>
    <w:rsid w:val="00772883"/>
    <w:rsid w:val="007A5F72"/>
    <w:rsid w:val="007B6280"/>
    <w:rsid w:val="008255F9"/>
    <w:rsid w:val="00826B64"/>
    <w:rsid w:val="00831A7B"/>
    <w:rsid w:val="00835189"/>
    <w:rsid w:val="008378CC"/>
    <w:rsid w:val="00852BBA"/>
    <w:rsid w:val="008F066E"/>
    <w:rsid w:val="00906D38"/>
    <w:rsid w:val="00907E61"/>
    <w:rsid w:val="00943B2F"/>
    <w:rsid w:val="009D788F"/>
    <w:rsid w:val="009E7D93"/>
    <w:rsid w:val="009E7EBD"/>
    <w:rsid w:val="00A23512"/>
    <w:rsid w:val="00A36E00"/>
    <w:rsid w:val="00A66609"/>
    <w:rsid w:val="00A826F2"/>
    <w:rsid w:val="00AA6FF5"/>
    <w:rsid w:val="00AB1C0E"/>
    <w:rsid w:val="00AE742B"/>
    <w:rsid w:val="00B006EE"/>
    <w:rsid w:val="00B3633F"/>
    <w:rsid w:val="00B61781"/>
    <w:rsid w:val="00B93695"/>
    <w:rsid w:val="00BB1079"/>
    <w:rsid w:val="00BB1A92"/>
    <w:rsid w:val="00BB4255"/>
    <w:rsid w:val="00BC217B"/>
    <w:rsid w:val="00BC2640"/>
    <w:rsid w:val="00C01042"/>
    <w:rsid w:val="00C029C9"/>
    <w:rsid w:val="00C06CED"/>
    <w:rsid w:val="00C14E99"/>
    <w:rsid w:val="00C7621C"/>
    <w:rsid w:val="00C91C1F"/>
    <w:rsid w:val="00C93B73"/>
    <w:rsid w:val="00CC3BF7"/>
    <w:rsid w:val="00CF1A2A"/>
    <w:rsid w:val="00D26622"/>
    <w:rsid w:val="00D4500D"/>
    <w:rsid w:val="00D50F54"/>
    <w:rsid w:val="00D741A3"/>
    <w:rsid w:val="00D81B84"/>
    <w:rsid w:val="00D93334"/>
    <w:rsid w:val="00D96D8E"/>
    <w:rsid w:val="00DB281B"/>
    <w:rsid w:val="00E0616B"/>
    <w:rsid w:val="00E3761D"/>
    <w:rsid w:val="00E401B0"/>
    <w:rsid w:val="00E66470"/>
    <w:rsid w:val="00E83BB6"/>
    <w:rsid w:val="00EA65E2"/>
    <w:rsid w:val="00EB245F"/>
    <w:rsid w:val="00EC283E"/>
    <w:rsid w:val="00EF1132"/>
    <w:rsid w:val="00F05F6F"/>
    <w:rsid w:val="00F644B0"/>
    <w:rsid w:val="00F95E37"/>
    <w:rsid w:val="00FC7466"/>
    <w:rsid w:val="00FD3288"/>
    <w:rsid w:val="00FD537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9090"/>
  <w15:chartTrackingRefBased/>
  <w15:docId w15:val="{FADFDA74-5D5C-544C-81C2-BB356EB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09"/>
    <w:pPr>
      <w:ind w:left="720"/>
      <w:contextualSpacing/>
    </w:pPr>
  </w:style>
  <w:style w:type="paragraph" w:styleId="FootnoteText">
    <w:name w:val="footnote text"/>
    <w:basedOn w:val="Normal"/>
    <w:link w:val="FootnoteTextChar"/>
    <w:uiPriority w:val="99"/>
    <w:semiHidden/>
    <w:unhideWhenUsed/>
    <w:rsid w:val="00B3633F"/>
    <w:rPr>
      <w:sz w:val="20"/>
      <w:szCs w:val="20"/>
    </w:rPr>
  </w:style>
  <w:style w:type="character" w:customStyle="1" w:styleId="FootnoteTextChar">
    <w:name w:val="Footnote Text Char"/>
    <w:basedOn w:val="DefaultParagraphFont"/>
    <w:link w:val="FootnoteText"/>
    <w:uiPriority w:val="99"/>
    <w:semiHidden/>
    <w:rsid w:val="00B3633F"/>
    <w:rPr>
      <w:sz w:val="20"/>
      <w:szCs w:val="20"/>
    </w:rPr>
  </w:style>
  <w:style w:type="character" w:styleId="FootnoteReference">
    <w:name w:val="footnote reference"/>
    <w:basedOn w:val="DefaultParagraphFont"/>
    <w:uiPriority w:val="99"/>
    <w:semiHidden/>
    <w:unhideWhenUsed/>
    <w:rsid w:val="00B3633F"/>
    <w:rPr>
      <w:vertAlign w:val="superscript"/>
    </w:rPr>
  </w:style>
  <w:style w:type="paragraph" w:styleId="NormalWeb">
    <w:name w:val="Normal (Web)"/>
    <w:basedOn w:val="Normal"/>
    <w:uiPriority w:val="99"/>
    <w:unhideWhenUsed/>
    <w:rsid w:val="006074D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826F2"/>
    <w:pPr>
      <w:tabs>
        <w:tab w:val="center" w:pos="4513"/>
        <w:tab w:val="right" w:pos="9026"/>
      </w:tabs>
    </w:pPr>
  </w:style>
  <w:style w:type="character" w:customStyle="1" w:styleId="FooterChar">
    <w:name w:val="Footer Char"/>
    <w:basedOn w:val="DefaultParagraphFont"/>
    <w:link w:val="Footer"/>
    <w:uiPriority w:val="99"/>
    <w:rsid w:val="00A826F2"/>
  </w:style>
  <w:style w:type="character" w:styleId="PageNumber">
    <w:name w:val="page number"/>
    <w:basedOn w:val="DefaultParagraphFont"/>
    <w:uiPriority w:val="99"/>
    <w:semiHidden/>
    <w:unhideWhenUsed/>
    <w:rsid w:val="00A8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10</cp:revision>
  <dcterms:created xsi:type="dcterms:W3CDTF">2022-11-15T12:45:00Z</dcterms:created>
  <dcterms:modified xsi:type="dcterms:W3CDTF">2022-12-21T12:25:00Z</dcterms:modified>
</cp:coreProperties>
</file>