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2D77" w14:textId="5901445F" w:rsidR="00DD5479" w:rsidRPr="000B65D9" w:rsidRDefault="0090075C" w:rsidP="009612B3">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I</w:t>
      </w:r>
      <w:bookmarkStart w:id="0" w:name="_GoBack"/>
      <w:bookmarkEnd w:id="0"/>
      <w:r w:rsidR="000B3FB1" w:rsidRPr="000B65D9">
        <w:rPr>
          <w:rFonts w:ascii="Bookman Old Style" w:hAnsi="Bookman Old Style"/>
          <w:b/>
          <w:bCs/>
          <w:sz w:val="28"/>
          <w:szCs w:val="28"/>
          <w:lang w:val="en-US"/>
        </w:rPr>
        <w:t xml:space="preserve">N THE </w:t>
      </w:r>
      <w:r w:rsidR="009612B3">
        <w:rPr>
          <w:rFonts w:ascii="Bookman Old Style" w:hAnsi="Bookman Old Style"/>
          <w:b/>
          <w:bCs/>
          <w:sz w:val="28"/>
          <w:szCs w:val="28"/>
          <w:lang w:val="en-US"/>
        </w:rPr>
        <w:t>COURT OF APPEAL</w:t>
      </w:r>
      <w:r w:rsidR="000B3FB1" w:rsidRPr="000B65D9">
        <w:rPr>
          <w:rFonts w:ascii="Bookman Old Style" w:hAnsi="Bookman Old Style"/>
          <w:b/>
          <w:bCs/>
          <w:sz w:val="28"/>
          <w:szCs w:val="28"/>
          <w:lang w:val="en-US"/>
        </w:rPr>
        <w:t xml:space="preserve"> OF LESOTHO</w:t>
      </w:r>
    </w:p>
    <w:p w14:paraId="55081C88" w14:textId="77777777" w:rsidR="009612B3" w:rsidRDefault="00235D33" w:rsidP="009612B3">
      <w:pPr>
        <w:spacing w:line="24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HELD</w:t>
      </w:r>
      <w:r>
        <w:rPr>
          <w:rFonts w:ascii="Bookman Old Style" w:hAnsi="Bookman Old Style"/>
          <w:b/>
          <w:bCs/>
          <w:sz w:val="28"/>
          <w:szCs w:val="28"/>
          <w:lang w:val="en-US"/>
        </w:rPr>
        <w:t xml:space="preserve"> </w:t>
      </w:r>
      <w:r w:rsidRPr="000B65D9">
        <w:rPr>
          <w:rFonts w:ascii="Bookman Old Style" w:hAnsi="Bookman Old Style"/>
          <w:b/>
          <w:bCs/>
          <w:sz w:val="28"/>
          <w:szCs w:val="28"/>
          <w:lang w:val="en-US"/>
        </w:rPr>
        <w:t>AT</w:t>
      </w:r>
      <w:r>
        <w:rPr>
          <w:rFonts w:ascii="Bookman Old Style" w:hAnsi="Bookman Old Style"/>
          <w:b/>
          <w:bCs/>
          <w:sz w:val="28"/>
          <w:szCs w:val="28"/>
          <w:lang w:val="en-US"/>
        </w:rPr>
        <w:t xml:space="preserve"> </w:t>
      </w:r>
      <w:r w:rsidRPr="000B65D9">
        <w:rPr>
          <w:rFonts w:ascii="Bookman Old Style" w:hAnsi="Bookman Old Style"/>
          <w:b/>
          <w:bCs/>
          <w:sz w:val="28"/>
          <w:szCs w:val="28"/>
          <w:lang w:val="en-US"/>
        </w:rPr>
        <w:t xml:space="preserve">MASERU </w:t>
      </w:r>
      <w:r>
        <w:rPr>
          <w:rFonts w:ascii="Bookman Old Style" w:hAnsi="Bookman Old Style"/>
          <w:b/>
          <w:bCs/>
          <w:sz w:val="28"/>
          <w:szCs w:val="28"/>
          <w:lang w:val="en-US"/>
        </w:rPr>
        <w:t xml:space="preserve">                             </w:t>
      </w:r>
    </w:p>
    <w:p w14:paraId="40D88800" w14:textId="03FB26B2" w:rsidR="00941F0B" w:rsidRDefault="00235D33" w:rsidP="009612B3">
      <w:pPr>
        <w:spacing w:line="240" w:lineRule="auto"/>
        <w:jc w:val="right"/>
        <w:rPr>
          <w:rFonts w:ascii="Bookman Old Style" w:hAnsi="Bookman Old Style"/>
          <w:b/>
          <w:bCs/>
          <w:sz w:val="28"/>
          <w:szCs w:val="28"/>
          <w:lang w:val="en-US"/>
        </w:rPr>
      </w:pPr>
      <w:r w:rsidRPr="000B65D9">
        <w:rPr>
          <w:rFonts w:ascii="Bookman Old Style" w:hAnsi="Bookman Old Style"/>
          <w:b/>
          <w:bCs/>
          <w:sz w:val="28"/>
          <w:szCs w:val="28"/>
          <w:lang w:val="en-US"/>
        </w:rPr>
        <w:t>C</w:t>
      </w:r>
      <w:r w:rsidR="000B3FB1" w:rsidRPr="000B65D9">
        <w:rPr>
          <w:rFonts w:ascii="Bookman Old Style" w:hAnsi="Bookman Old Style"/>
          <w:b/>
          <w:bCs/>
          <w:sz w:val="28"/>
          <w:szCs w:val="28"/>
          <w:lang w:val="en-US"/>
        </w:rPr>
        <w:t xml:space="preserve"> of A (CIV) 34/2022</w:t>
      </w:r>
    </w:p>
    <w:p w14:paraId="57BFF97A" w14:textId="31A28B2D" w:rsidR="000B3FB1" w:rsidRPr="000B65D9" w:rsidRDefault="00235D33" w:rsidP="009612B3">
      <w:pPr>
        <w:spacing w:line="240" w:lineRule="auto"/>
        <w:jc w:val="right"/>
        <w:rPr>
          <w:rFonts w:ascii="Bookman Old Style" w:hAnsi="Bookman Old Style"/>
          <w:b/>
          <w:bCs/>
          <w:sz w:val="28"/>
          <w:szCs w:val="28"/>
          <w:lang w:val="en-US"/>
        </w:rPr>
      </w:pPr>
      <w:r>
        <w:rPr>
          <w:rFonts w:ascii="Bookman Old Style" w:hAnsi="Bookman Old Style"/>
          <w:b/>
          <w:bCs/>
          <w:sz w:val="28"/>
          <w:szCs w:val="28"/>
          <w:lang w:val="en-US"/>
        </w:rPr>
        <w:t xml:space="preserve">                                                            </w:t>
      </w:r>
      <w:r w:rsidR="003E0FF1" w:rsidRPr="000B65D9">
        <w:rPr>
          <w:rFonts w:ascii="Bookman Old Style" w:hAnsi="Bookman Old Style"/>
          <w:b/>
          <w:bCs/>
          <w:sz w:val="28"/>
          <w:szCs w:val="28"/>
          <w:lang w:val="en-US"/>
        </w:rPr>
        <w:t>CIV/APN/0073/2022</w:t>
      </w:r>
    </w:p>
    <w:p w14:paraId="70B6F5A5" w14:textId="7BFD515F" w:rsidR="000B3FB1" w:rsidRPr="009612B3" w:rsidRDefault="000B3FB1" w:rsidP="009612B3">
      <w:pPr>
        <w:spacing w:line="240" w:lineRule="auto"/>
        <w:jc w:val="both"/>
        <w:rPr>
          <w:rFonts w:ascii="Bookman Old Style" w:hAnsi="Bookman Old Style"/>
          <w:sz w:val="28"/>
          <w:szCs w:val="28"/>
          <w:lang w:val="en-US"/>
        </w:rPr>
      </w:pPr>
      <w:r w:rsidRPr="009612B3">
        <w:rPr>
          <w:rFonts w:ascii="Bookman Old Style" w:hAnsi="Bookman Old Style"/>
          <w:sz w:val="28"/>
          <w:szCs w:val="28"/>
          <w:lang w:val="en-US"/>
        </w:rPr>
        <w:t>In the matter between-</w:t>
      </w:r>
    </w:p>
    <w:p w14:paraId="06E72A3C" w14:textId="3FAD4B5D" w:rsidR="000B3FB1" w:rsidRPr="000B65D9" w:rsidRDefault="000B3FB1" w:rsidP="009612B3">
      <w:pPr>
        <w:spacing w:line="24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M</w:t>
      </w:r>
      <w:r w:rsidR="005F5144" w:rsidRPr="000B65D9">
        <w:rPr>
          <w:rFonts w:ascii="Bookman Old Style" w:hAnsi="Bookman Old Style"/>
          <w:b/>
          <w:bCs/>
          <w:sz w:val="28"/>
          <w:szCs w:val="28"/>
          <w:lang w:val="en-US"/>
        </w:rPr>
        <w:t>P</w:t>
      </w:r>
      <w:r w:rsidR="00245BA2">
        <w:rPr>
          <w:rFonts w:ascii="Bookman Old Style" w:hAnsi="Bookman Old Style"/>
          <w:b/>
          <w:bCs/>
          <w:sz w:val="28"/>
          <w:szCs w:val="28"/>
          <w:lang w:val="en-US"/>
        </w:rPr>
        <w:t>H</w:t>
      </w:r>
      <w:r w:rsidR="005F5144" w:rsidRPr="000B65D9">
        <w:rPr>
          <w:rFonts w:ascii="Bookman Old Style" w:hAnsi="Bookman Old Style"/>
          <w:b/>
          <w:bCs/>
          <w:sz w:val="28"/>
          <w:szCs w:val="28"/>
          <w:lang w:val="en-US"/>
        </w:rPr>
        <w:t>ETHE</w:t>
      </w:r>
      <w:r w:rsidR="005E3A80">
        <w:rPr>
          <w:rFonts w:ascii="Bookman Old Style" w:hAnsi="Bookman Old Style"/>
          <w:b/>
          <w:bCs/>
          <w:sz w:val="28"/>
          <w:szCs w:val="28"/>
          <w:lang w:val="en-US"/>
        </w:rPr>
        <w:t xml:space="preserve">  </w:t>
      </w:r>
      <w:r w:rsidRPr="000B65D9">
        <w:rPr>
          <w:rFonts w:ascii="Bookman Old Style" w:hAnsi="Bookman Old Style"/>
          <w:b/>
          <w:bCs/>
          <w:sz w:val="28"/>
          <w:szCs w:val="28"/>
          <w:lang w:val="en-US"/>
        </w:rPr>
        <w:t>NTOAMP</w:t>
      </w:r>
      <w:r w:rsidR="005F5144" w:rsidRPr="000B65D9">
        <w:rPr>
          <w:rFonts w:ascii="Bookman Old Style" w:hAnsi="Bookman Old Style"/>
          <w:b/>
          <w:bCs/>
          <w:sz w:val="28"/>
          <w:szCs w:val="28"/>
          <w:lang w:val="en-US"/>
        </w:rPr>
        <w:t>E</w:t>
      </w:r>
      <w:r w:rsidR="005E3A80">
        <w:rPr>
          <w:rFonts w:ascii="Bookman Old Style" w:hAnsi="Bookman Old Style"/>
          <w:b/>
          <w:bCs/>
          <w:sz w:val="28"/>
          <w:szCs w:val="28"/>
          <w:lang w:val="en-US"/>
        </w:rPr>
        <w:t xml:space="preserve">                                    </w:t>
      </w:r>
      <w:r w:rsidR="005857A1" w:rsidRPr="005857A1">
        <w:rPr>
          <w:rFonts w:ascii="Bookman Old Style" w:hAnsi="Bookman Old Style"/>
          <w:b/>
          <w:bCs/>
          <w:sz w:val="28"/>
          <w:szCs w:val="28"/>
          <w:lang w:val="en-US"/>
        </w:rPr>
        <w:t>APPELLANT</w:t>
      </w:r>
      <w:r w:rsidRPr="000B65D9">
        <w:rPr>
          <w:rFonts w:ascii="Bookman Old Style" w:hAnsi="Bookman Old Style"/>
          <w:b/>
          <w:bCs/>
          <w:sz w:val="28"/>
          <w:szCs w:val="28"/>
          <w:lang w:val="en-US"/>
        </w:rPr>
        <w:t xml:space="preserve"> </w:t>
      </w:r>
    </w:p>
    <w:p w14:paraId="060E0A15" w14:textId="76767882" w:rsidR="000B3FB1" w:rsidRPr="009612B3" w:rsidRDefault="000B3FB1" w:rsidP="009612B3">
      <w:pPr>
        <w:spacing w:line="240" w:lineRule="auto"/>
        <w:jc w:val="both"/>
        <w:rPr>
          <w:rFonts w:ascii="Bookman Old Style" w:hAnsi="Bookman Old Style"/>
          <w:sz w:val="28"/>
          <w:szCs w:val="28"/>
          <w:lang w:val="en-US"/>
        </w:rPr>
      </w:pPr>
      <w:r w:rsidRPr="009612B3">
        <w:rPr>
          <w:rFonts w:ascii="Bookman Old Style" w:hAnsi="Bookman Old Style"/>
          <w:sz w:val="28"/>
          <w:szCs w:val="28"/>
          <w:lang w:val="en-US"/>
        </w:rPr>
        <w:t>and</w:t>
      </w:r>
    </w:p>
    <w:p w14:paraId="072F063A" w14:textId="11FA2596" w:rsidR="005F5144" w:rsidRPr="000B65D9" w:rsidRDefault="000B3FB1" w:rsidP="009612B3">
      <w:pPr>
        <w:spacing w:line="24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 xml:space="preserve">MOSA </w:t>
      </w:r>
      <w:r w:rsidR="005F5144" w:rsidRPr="000B65D9">
        <w:rPr>
          <w:rFonts w:ascii="Bookman Old Style" w:hAnsi="Bookman Old Style"/>
          <w:b/>
          <w:bCs/>
          <w:sz w:val="28"/>
          <w:szCs w:val="28"/>
          <w:lang w:val="en-US"/>
        </w:rPr>
        <w:t xml:space="preserve">PAUL </w:t>
      </w:r>
      <w:r w:rsidRPr="000B65D9">
        <w:rPr>
          <w:rFonts w:ascii="Bookman Old Style" w:hAnsi="Bookman Old Style"/>
          <w:b/>
          <w:bCs/>
          <w:sz w:val="28"/>
          <w:szCs w:val="28"/>
          <w:lang w:val="en-US"/>
        </w:rPr>
        <w:t>MOS</w:t>
      </w:r>
      <w:r w:rsidR="005F5144" w:rsidRPr="000B65D9">
        <w:rPr>
          <w:rFonts w:ascii="Bookman Old Style" w:hAnsi="Bookman Old Style"/>
          <w:b/>
          <w:bCs/>
          <w:sz w:val="28"/>
          <w:szCs w:val="28"/>
          <w:lang w:val="en-US"/>
        </w:rPr>
        <w:t>UOE</w:t>
      </w:r>
      <w:r w:rsidR="004343D3" w:rsidRPr="000B65D9">
        <w:rPr>
          <w:rFonts w:ascii="Bookman Old Style" w:hAnsi="Bookman Old Style"/>
          <w:b/>
          <w:bCs/>
          <w:sz w:val="28"/>
          <w:szCs w:val="28"/>
          <w:lang w:val="en-US"/>
        </w:rPr>
        <w:t>, EXECUTOR</w:t>
      </w:r>
      <w:r w:rsidR="005F5144" w:rsidRPr="000B65D9">
        <w:rPr>
          <w:rFonts w:ascii="Bookman Old Style" w:hAnsi="Bookman Old Style"/>
          <w:b/>
          <w:bCs/>
          <w:sz w:val="28"/>
          <w:szCs w:val="28"/>
          <w:lang w:val="en-US"/>
        </w:rPr>
        <w:t xml:space="preserve"> </w:t>
      </w:r>
      <w:r w:rsidR="00AC2587">
        <w:rPr>
          <w:rFonts w:ascii="Bookman Old Style" w:hAnsi="Bookman Old Style"/>
          <w:b/>
          <w:bCs/>
          <w:sz w:val="28"/>
          <w:szCs w:val="28"/>
          <w:lang w:val="en-US"/>
        </w:rPr>
        <w:t xml:space="preserve">            </w:t>
      </w:r>
      <w:r w:rsidR="0061523A" w:rsidRPr="000B65D9">
        <w:rPr>
          <w:rFonts w:ascii="Bookman Old Style" w:hAnsi="Bookman Old Style"/>
          <w:b/>
          <w:bCs/>
          <w:sz w:val="28"/>
          <w:szCs w:val="28"/>
          <w:lang w:val="en-US"/>
        </w:rPr>
        <w:t>1</w:t>
      </w:r>
      <w:r w:rsidR="005F5144" w:rsidRPr="000B65D9">
        <w:rPr>
          <w:rFonts w:ascii="Bookman Old Style" w:hAnsi="Bookman Old Style"/>
          <w:b/>
          <w:bCs/>
          <w:sz w:val="28"/>
          <w:szCs w:val="28"/>
          <w:vertAlign w:val="superscript"/>
          <w:lang w:val="en-US"/>
        </w:rPr>
        <w:t>st</w:t>
      </w:r>
      <w:r w:rsidR="005F5144" w:rsidRPr="000B65D9">
        <w:rPr>
          <w:rFonts w:ascii="Bookman Old Style" w:hAnsi="Bookman Old Style"/>
          <w:b/>
          <w:bCs/>
          <w:sz w:val="28"/>
          <w:szCs w:val="28"/>
          <w:lang w:val="en-US"/>
        </w:rPr>
        <w:t xml:space="preserve"> RESPONDENT</w:t>
      </w:r>
    </w:p>
    <w:p w14:paraId="68179E82" w14:textId="1690B35B" w:rsidR="005F5144" w:rsidRPr="000B65D9" w:rsidRDefault="005F5144" w:rsidP="009612B3">
      <w:pPr>
        <w:spacing w:line="24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MASTER OF THE HIGH</w:t>
      </w:r>
      <w:r w:rsidR="002B44A6">
        <w:rPr>
          <w:rFonts w:ascii="Bookman Old Style" w:hAnsi="Bookman Old Style"/>
          <w:b/>
          <w:bCs/>
          <w:sz w:val="28"/>
          <w:szCs w:val="28"/>
          <w:lang w:val="en-US"/>
        </w:rPr>
        <w:t xml:space="preserve"> </w:t>
      </w:r>
      <w:r w:rsidRPr="000B65D9">
        <w:rPr>
          <w:rFonts w:ascii="Bookman Old Style" w:hAnsi="Bookman Old Style"/>
          <w:b/>
          <w:bCs/>
          <w:sz w:val="28"/>
          <w:szCs w:val="28"/>
          <w:lang w:val="en-US"/>
        </w:rPr>
        <w:t xml:space="preserve">COURT </w:t>
      </w:r>
      <w:r w:rsidR="002B44A6">
        <w:rPr>
          <w:rFonts w:ascii="Bookman Old Style" w:hAnsi="Bookman Old Style"/>
          <w:b/>
          <w:bCs/>
          <w:sz w:val="28"/>
          <w:szCs w:val="28"/>
          <w:lang w:val="en-US"/>
        </w:rPr>
        <w:t xml:space="preserve">                 </w:t>
      </w:r>
      <w:r w:rsidR="0061523A" w:rsidRPr="000B65D9">
        <w:rPr>
          <w:rFonts w:ascii="Bookman Old Style" w:hAnsi="Bookman Old Style"/>
          <w:b/>
          <w:bCs/>
          <w:sz w:val="28"/>
          <w:szCs w:val="28"/>
          <w:lang w:val="en-US"/>
        </w:rPr>
        <w:t>2</w:t>
      </w:r>
      <w:r w:rsidR="0061523A" w:rsidRPr="000B65D9">
        <w:rPr>
          <w:rFonts w:ascii="Bookman Old Style" w:hAnsi="Bookman Old Style"/>
          <w:b/>
          <w:bCs/>
          <w:sz w:val="28"/>
          <w:szCs w:val="28"/>
          <w:vertAlign w:val="superscript"/>
          <w:lang w:val="en-US"/>
        </w:rPr>
        <w:t>nd</w:t>
      </w:r>
      <w:r w:rsidR="0061523A" w:rsidRPr="000B65D9">
        <w:rPr>
          <w:rFonts w:ascii="Bookman Old Style" w:hAnsi="Bookman Old Style"/>
          <w:b/>
          <w:bCs/>
          <w:sz w:val="28"/>
          <w:szCs w:val="28"/>
          <w:lang w:val="en-US"/>
        </w:rPr>
        <w:t xml:space="preserve"> RESPONDENT</w:t>
      </w:r>
    </w:p>
    <w:p w14:paraId="15D75370" w14:textId="0B1023FF" w:rsidR="0061523A" w:rsidRPr="000B65D9" w:rsidRDefault="005F5144" w:rsidP="009612B3">
      <w:pPr>
        <w:spacing w:line="24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 xml:space="preserve">ATTORNEY GENERAL </w:t>
      </w:r>
      <w:r w:rsidR="00A4381E">
        <w:rPr>
          <w:rFonts w:ascii="Bookman Old Style" w:hAnsi="Bookman Old Style"/>
          <w:b/>
          <w:bCs/>
          <w:sz w:val="28"/>
          <w:szCs w:val="28"/>
          <w:lang w:val="en-US"/>
        </w:rPr>
        <w:t xml:space="preserve">                               </w:t>
      </w:r>
      <w:r w:rsidR="0061523A" w:rsidRPr="000B65D9">
        <w:rPr>
          <w:rFonts w:ascii="Bookman Old Style" w:hAnsi="Bookman Old Style"/>
          <w:b/>
          <w:bCs/>
          <w:sz w:val="28"/>
          <w:szCs w:val="28"/>
          <w:lang w:val="en-US"/>
        </w:rPr>
        <w:t>3</w:t>
      </w:r>
      <w:r w:rsidR="0061523A" w:rsidRPr="000B65D9">
        <w:rPr>
          <w:rFonts w:ascii="Bookman Old Style" w:hAnsi="Bookman Old Style"/>
          <w:b/>
          <w:bCs/>
          <w:sz w:val="28"/>
          <w:szCs w:val="28"/>
          <w:vertAlign w:val="superscript"/>
          <w:lang w:val="en-US"/>
        </w:rPr>
        <w:t xml:space="preserve">rd </w:t>
      </w:r>
      <w:r w:rsidR="0061523A" w:rsidRPr="000B65D9">
        <w:rPr>
          <w:rFonts w:ascii="Bookman Old Style" w:hAnsi="Bookman Old Style"/>
          <w:b/>
          <w:bCs/>
          <w:sz w:val="28"/>
          <w:szCs w:val="28"/>
          <w:lang w:val="en-US"/>
        </w:rPr>
        <w:t>RESPONDENT</w:t>
      </w:r>
    </w:p>
    <w:p w14:paraId="6213EB89" w14:textId="313FE4A6" w:rsidR="000B3FB1" w:rsidRPr="000B65D9" w:rsidRDefault="000B3FB1" w:rsidP="009612B3">
      <w:pPr>
        <w:spacing w:line="240" w:lineRule="auto"/>
        <w:jc w:val="both"/>
        <w:rPr>
          <w:rFonts w:ascii="Bookman Old Style" w:hAnsi="Bookman Old Style"/>
          <w:b/>
          <w:bCs/>
          <w:sz w:val="28"/>
          <w:szCs w:val="28"/>
          <w:lang w:val="en-US"/>
        </w:rPr>
      </w:pPr>
    </w:p>
    <w:p w14:paraId="7B339422" w14:textId="776CC25F" w:rsidR="000B3FB1" w:rsidRPr="009612B3" w:rsidRDefault="000B3FB1" w:rsidP="009612B3">
      <w:pPr>
        <w:spacing w:line="240" w:lineRule="auto"/>
        <w:jc w:val="both"/>
        <w:rPr>
          <w:rFonts w:ascii="Bookman Old Style" w:hAnsi="Bookman Old Style"/>
          <w:sz w:val="28"/>
          <w:szCs w:val="28"/>
          <w:lang w:val="en-US"/>
        </w:rPr>
      </w:pPr>
      <w:r w:rsidRPr="000B65D9">
        <w:rPr>
          <w:rFonts w:ascii="Bookman Old Style" w:hAnsi="Bookman Old Style"/>
          <w:b/>
          <w:bCs/>
          <w:sz w:val="28"/>
          <w:szCs w:val="28"/>
          <w:lang w:val="en-US"/>
        </w:rPr>
        <w:t xml:space="preserve">CORAM: </w:t>
      </w:r>
      <w:r w:rsidR="009612B3">
        <w:rPr>
          <w:rFonts w:ascii="Bookman Old Style" w:hAnsi="Bookman Old Style"/>
          <w:b/>
          <w:bCs/>
          <w:sz w:val="28"/>
          <w:szCs w:val="28"/>
          <w:lang w:val="en-US"/>
        </w:rPr>
        <w:tab/>
      </w:r>
      <w:r w:rsidR="009612B3">
        <w:rPr>
          <w:rFonts w:ascii="Bookman Old Style" w:hAnsi="Bookman Old Style"/>
          <w:b/>
          <w:bCs/>
          <w:sz w:val="28"/>
          <w:szCs w:val="28"/>
          <w:lang w:val="en-US"/>
        </w:rPr>
        <w:tab/>
      </w:r>
      <w:r w:rsidRPr="009612B3">
        <w:rPr>
          <w:rFonts w:ascii="Bookman Old Style" w:hAnsi="Bookman Old Style"/>
          <w:sz w:val="28"/>
          <w:szCs w:val="28"/>
          <w:lang w:val="en-US"/>
        </w:rPr>
        <w:t>PT DAMASEB</w:t>
      </w:r>
      <w:r w:rsidR="00FD5DE6" w:rsidRPr="009612B3">
        <w:rPr>
          <w:rFonts w:ascii="Bookman Old Style" w:hAnsi="Bookman Old Style"/>
          <w:sz w:val="28"/>
          <w:szCs w:val="28"/>
          <w:lang w:val="en-US"/>
        </w:rPr>
        <w:t>,</w:t>
      </w:r>
      <w:r w:rsidRPr="009612B3">
        <w:rPr>
          <w:rFonts w:ascii="Bookman Old Style" w:hAnsi="Bookman Old Style"/>
          <w:sz w:val="28"/>
          <w:szCs w:val="28"/>
          <w:lang w:val="en-US"/>
        </w:rPr>
        <w:t xml:space="preserve"> AJA</w:t>
      </w:r>
    </w:p>
    <w:p w14:paraId="7E298914" w14:textId="2269B152" w:rsidR="000B3FB1" w:rsidRPr="009612B3" w:rsidRDefault="000B3FB1" w:rsidP="009612B3">
      <w:pPr>
        <w:spacing w:line="240" w:lineRule="auto"/>
        <w:jc w:val="both"/>
        <w:rPr>
          <w:rFonts w:ascii="Bookman Old Style" w:hAnsi="Bookman Old Style"/>
          <w:sz w:val="28"/>
          <w:szCs w:val="28"/>
          <w:lang w:val="en-US"/>
        </w:rPr>
      </w:pPr>
      <w:r w:rsidRPr="009612B3">
        <w:rPr>
          <w:rFonts w:ascii="Bookman Old Style" w:hAnsi="Bookman Old Style"/>
          <w:sz w:val="28"/>
          <w:szCs w:val="28"/>
          <w:lang w:val="en-US"/>
        </w:rPr>
        <w:t xml:space="preserve">                  </w:t>
      </w:r>
      <w:r w:rsidR="009612B3" w:rsidRPr="009612B3">
        <w:rPr>
          <w:rFonts w:ascii="Bookman Old Style" w:hAnsi="Bookman Old Style"/>
          <w:sz w:val="28"/>
          <w:szCs w:val="28"/>
          <w:lang w:val="en-US"/>
        </w:rPr>
        <w:tab/>
      </w:r>
      <w:r w:rsidRPr="009612B3">
        <w:rPr>
          <w:rFonts w:ascii="Bookman Old Style" w:hAnsi="Bookman Old Style"/>
          <w:sz w:val="28"/>
          <w:szCs w:val="28"/>
          <w:lang w:val="en-US"/>
        </w:rPr>
        <w:t>J VAN DER WESTHUIZEN</w:t>
      </w:r>
      <w:r w:rsidR="00FD5DE6" w:rsidRPr="009612B3">
        <w:rPr>
          <w:rFonts w:ascii="Bookman Old Style" w:hAnsi="Bookman Old Style"/>
          <w:sz w:val="28"/>
          <w:szCs w:val="28"/>
          <w:lang w:val="en-US"/>
        </w:rPr>
        <w:t>,</w:t>
      </w:r>
      <w:r w:rsidRPr="009612B3">
        <w:rPr>
          <w:rFonts w:ascii="Bookman Old Style" w:hAnsi="Bookman Old Style"/>
          <w:sz w:val="28"/>
          <w:szCs w:val="28"/>
          <w:lang w:val="en-US"/>
        </w:rPr>
        <w:t xml:space="preserve"> AJA</w:t>
      </w:r>
    </w:p>
    <w:p w14:paraId="4A2EA6C2" w14:textId="4BC4658A" w:rsidR="000B3FB1" w:rsidRPr="009612B3" w:rsidRDefault="000B3FB1" w:rsidP="009612B3">
      <w:pPr>
        <w:spacing w:line="240" w:lineRule="auto"/>
        <w:jc w:val="both"/>
        <w:rPr>
          <w:rFonts w:ascii="Bookman Old Style" w:hAnsi="Bookman Old Style"/>
          <w:sz w:val="28"/>
          <w:szCs w:val="28"/>
          <w:lang w:val="en-US"/>
        </w:rPr>
      </w:pPr>
      <w:r w:rsidRPr="009612B3">
        <w:rPr>
          <w:rFonts w:ascii="Bookman Old Style" w:hAnsi="Bookman Old Style"/>
          <w:sz w:val="28"/>
          <w:szCs w:val="28"/>
          <w:lang w:val="en-US"/>
        </w:rPr>
        <w:t xml:space="preserve">                  </w:t>
      </w:r>
      <w:r w:rsidR="009612B3" w:rsidRPr="009612B3">
        <w:rPr>
          <w:rFonts w:ascii="Bookman Old Style" w:hAnsi="Bookman Old Style"/>
          <w:sz w:val="28"/>
          <w:szCs w:val="28"/>
          <w:lang w:val="en-US"/>
        </w:rPr>
        <w:tab/>
      </w:r>
      <w:r w:rsidRPr="009612B3">
        <w:rPr>
          <w:rFonts w:ascii="Bookman Old Style" w:hAnsi="Bookman Old Style"/>
          <w:sz w:val="28"/>
          <w:szCs w:val="28"/>
          <w:lang w:val="en-US"/>
        </w:rPr>
        <w:t>NT MTSHIYA</w:t>
      </w:r>
      <w:r w:rsidR="00FD5DE6" w:rsidRPr="009612B3">
        <w:rPr>
          <w:rFonts w:ascii="Bookman Old Style" w:hAnsi="Bookman Old Style"/>
          <w:sz w:val="28"/>
          <w:szCs w:val="28"/>
          <w:lang w:val="en-US"/>
        </w:rPr>
        <w:t>,</w:t>
      </w:r>
      <w:r w:rsidRPr="009612B3">
        <w:rPr>
          <w:rFonts w:ascii="Bookman Old Style" w:hAnsi="Bookman Old Style"/>
          <w:sz w:val="28"/>
          <w:szCs w:val="28"/>
          <w:lang w:val="en-US"/>
        </w:rPr>
        <w:t xml:space="preserve"> AJA</w:t>
      </w:r>
    </w:p>
    <w:p w14:paraId="08FC38A0" w14:textId="0190B584" w:rsidR="000B3FB1" w:rsidRPr="000B65D9" w:rsidRDefault="000B3FB1" w:rsidP="009612B3">
      <w:pPr>
        <w:spacing w:line="240" w:lineRule="auto"/>
        <w:jc w:val="both"/>
        <w:rPr>
          <w:rFonts w:ascii="Bookman Old Style" w:hAnsi="Bookman Old Style"/>
          <w:b/>
          <w:bCs/>
          <w:sz w:val="28"/>
          <w:szCs w:val="28"/>
          <w:lang w:val="en-US"/>
        </w:rPr>
      </w:pPr>
    </w:p>
    <w:p w14:paraId="2790407A" w14:textId="21A16873" w:rsidR="000B3FB1" w:rsidRPr="009612B3" w:rsidRDefault="000B3FB1" w:rsidP="009612B3">
      <w:pPr>
        <w:spacing w:line="240" w:lineRule="auto"/>
        <w:jc w:val="both"/>
        <w:rPr>
          <w:rFonts w:ascii="Bookman Old Style" w:hAnsi="Bookman Old Style"/>
          <w:caps/>
          <w:sz w:val="28"/>
          <w:szCs w:val="28"/>
          <w:lang w:val="en-US"/>
        </w:rPr>
      </w:pPr>
      <w:r w:rsidRPr="009612B3">
        <w:rPr>
          <w:rFonts w:ascii="Bookman Old Style" w:hAnsi="Bookman Old Style"/>
          <w:b/>
          <w:bCs/>
          <w:caps/>
          <w:sz w:val="28"/>
          <w:szCs w:val="28"/>
          <w:lang w:val="en-US"/>
        </w:rPr>
        <w:t xml:space="preserve">Heard: </w:t>
      </w:r>
      <w:r w:rsidR="009612B3" w:rsidRPr="009612B3">
        <w:rPr>
          <w:rFonts w:ascii="Bookman Old Style" w:hAnsi="Bookman Old Style"/>
          <w:b/>
          <w:bCs/>
          <w:caps/>
          <w:sz w:val="28"/>
          <w:szCs w:val="28"/>
          <w:lang w:val="en-US"/>
        </w:rPr>
        <w:tab/>
      </w:r>
      <w:r w:rsidR="009612B3" w:rsidRPr="009612B3">
        <w:rPr>
          <w:rFonts w:ascii="Bookman Old Style" w:hAnsi="Bookman Old Style"/>
          <w:b/>
          <w:bCs/>
          <w:caps/>
          <w:sz w:val="28"/>
          <w:szCs w:val="28"/>
          <w:lang w:val="en-US"/>
        </w:rPr>
        <w:tab/>
      </w:r>
      <w:r w:rsidRPr="009612B3">
        <w:rPr>
          <w:rFonts w:ascii="Bookman Old Style" w:hAnsi="Bookman Old Style"/>
          <w:caps/>
          <w:sz w:val="28"/>
          <w:szCs w:val="28"/>
          <w:lang w:val="en-US"/>
        </w:rPr>
        <w:t>12 October 2022</w:t>
      </w:r>
    </w:p>
    <w:p w14:paraId="28764F85" w14:textId="4878354D" w:rsidR="000B3FB1" w:rsidRPr="009612B3" w:rsidRDefault="000B3FB1" w:rsidP="009612B3">
      <w:pPr>
        <w:spacing w:line="240" w:lineRule="auto"/>
        <w:jc w:val="both"/>
        <w:rPr>
          <w:rFonts w:ascii="Bookman Old Style" w:hAnsi="Bookman Old Style"/>
          <w:caps/>
          <w:sz w:val="28"/>
          <w:szCs w:val="28"/>
          <w:lang w:val="en-US"/>
        </w:rPr>
      </w:pPr>
      <w:r w:rsidRPr="009612B3">
        <w:rPr>
          <w:rFonts w:ascii="Bookman Old Style" w:hAnsi="Bookman Old Style"/>
          <w:b/>
          <w:bCs/>
          <w:caps/>
          <w:sz w:val="28"/>
          <w:szCs w:val="28"/>
          <w:lang w:val="en-US"/>
        </w:rPr>
        <w:t xml:space="preserve">Delivered: </w:t>
      </w:r>
      <w:r w:rsidR="009612B3">
        <w:rPr>
          <w:rFonts w:ascii="Bookman Old Style" w:hAnsi="Bookman Old Style"/>
          <w:b/>
          <w:bCs/>
          <w:caps/>
          <w:sz w:val="28"/>
          <w:szCs w:val="28"/>
          <w:lang w:val="en-US"/>
        </w:rPr>
        <w:tab/>
      </w:r>
      <w:r w:rsidRPr="009612B3">
        <w:rPr>
          <w:rFonts w:ascii="Bookman Old Style" w:hAnsi="Bookman Old Style"/>
          <w:caps/>
          <w:sz w:val="28"/>
          <w:szCs w:val="28"/>
          <w:lang w:val="en-US"/>
        </w:rPr>
        <w:t>11 November 2022</w:t>
      </w:r>
    </w:p>
    <w:p w14:paraId="17DAA3AA" w14:textId="39C57F6F" w:rsidR="000B3FB1" w:rsidRPr="000B65D9" w:rsidRDefault="000B3FB1" w:rsidP="009612B3">
      <w:pPr>
        <w:spacing w:line="240" w:lineRule="auto"/>
        <w:jc w:val="both"/>
        <w:rPr>
          <w:rFonts w:ascii="Bookman Old Style" w:hAnsi="Bookman Old Style"/>
          <w:b/>
          <w:bCs/>
          <w:sz w:val="28"/>
          <w:szCs w:val="28"/>
          <w:lang w:val="en-US"/>
        </w:rPr>
      </w:pPr>
    </w:p>
    <w:p w14:paraId="4800CA60" w14:textId="415F7F6A" w:rsidR="000B3FB1" w:rsidRPr="000B65D9" w:rsidRDefault="000B3FB1" w:rsidP="009612B3">
      <w:pPr>
        <w:spacing w:line="240" w:lineRule="auto"/>
        <w:jc w:val="center"/>
        <w:rPr>
          <w:rFonts w:ascii="Bookman Old Style" w:hAnsi="Bookman Old Style"/>
          <w:b/>
          <w:bCs/>
          <w:i/>
          <w:iCs/>
          <w:sz w:val="28"/>
          <w:szCs w:val="28"/>
          <w:lang w:val="en-US"/>
        </w:rPr>
      </w:pPr>
      <w:r w:rsidRPr="000B65D9">
        <w:rPr>
          <w:rFonts w:ascii="Bookman Old Style" w:hAnsi="Bookman Old Style"/>
          <w:b/>
          <w:bCs/>
          <w:i/>
          <w:iCs/>
          <w:sz w:val="28"/>
          <w:szCs w:val="28"/>
          <w:lang w:val="en-US"/>
        </w:rPr>
        <w:t>SUMMARY</w:t>
      </w:r>
    </w:p>
    <w:p w14:paraId="1AE4F929" w14:textId="07A7DD1A" w:rsidR="002F2B0C" w:rsidRPr="000B65D9" w:rsidRDefault="002F2B0C" w:rsidP="009612B3">
      <w:pPr>
        <w:spacing w:line="240" w:lineRule="auto"/>
        <w:jc w:val="both"/>
        <w:rPr>
          <w:rFonts w:ascii="Bookman Old Style" w:hAnsi="Bookman Old Style"/>
          <w:i/>
          <w:iCs/>
          <w:sz w:val="28"/>
          <w:szCs w:val="28"/>
          <w:lang w:val="en-US"/>
        </w:rPr>
      </w:pPr>
      <w:r w:rsidRPr="000B65D9">
        <w:rPr>
          <w:rFonts w:ascii="Bookman Old Style" w:hAnsi="Bookman Old Style"/>
          <w:i/>
          <w:iCs/>
          <w:sz w:val="28"/>
          <w:szCs w:val="28"/>
          <w:lang w:val="en-US"/>
        </w:rPr>
        <w:t xml:space="preserve">It is a basic requirement of </w:t>
      </w:r>
      <w:r w:rsidR="000100CA" w:rsidRPr="000B65D9">
        <w:rPr>
          <w:rFonts w:ascii="Bookman Old Style" w:hAnsi="Bookman Old Style"/>
          <w:i/>
          <w:iCs/>
          <w:sz w:val="28"/>
          <w:szCs w:val="28"/>
          <w:lang w:val="en-US"/>
        </w:rPr>
        <w:t>fair litigation that all parties with a direct and substantial interested in the proceedings must be able to participate in them. In an application to have the appointment of an executor of an estate set aside by a court, close family members of the deceased, like a daughter and daughter-in-law, who reported the estate to the Master of the High Court, have such an interest. The non-joinder of such parties renders the application fatally flawed.</w:t>
      </w:r>
    </w:p>
    <w:p w14:paraId="117FB871" w14:textId="77777777" w:rsidR="009612B3" w:rsidRDefault="009612B3" w:rsidP="005857A1">
      <w:pPr>
        <w:spacing w:line="240" w:lineRule="auto"/>
        <w:jc w:val="center"/>
        <w:rPr>
          <w:rFonts w:ascii="Bookman Old Style" w:hAnsi="Bookman Old Style"/>
          <w:b/>
          <w:bCs/>
          <w:sz w:val="28"/>
          <w:szCs w:val="28"/>
          <w:lang w:val="en-US"/>
        </w:rPr>
      </w:pPr>
    </w:p>
    <w:p w14:paraId="2C01D3DA" w14:textId="77777777" w:rsidR="009612B3" w:rsidRDefault="009612B3" w:rsidP="005857A1">
      <w:pPr>
        <w:spacing w:line="240" w:lineRule="auto"/>
        <w:jc w:val="center"/>
        <w:rPr>
          <w:rFonts w:ascii="Bookman Old Style" w:hAnsi="Bookman Old Style"/>
          <w:b/>
          <w:bCs/>
          <w:sz w:val="28"/>
          <w:szCs w:val="28"/>
          <w:lang w:val="en-US"/>
        </w:rPr>
      </w:pPr>
    </w:p>
    <w:p w14:paraId="0F5D2904" w14:textId="77777777" w:rsidR="009612B3" w:rsidRDefault="009612B3" w:rsidP="005857A1">
      <w:pPr>
        <w:spacing w:line="240" w:lineRule="auto"/>
        <w:jc w:val="center"/>
        <w:rPr>
          <w:rFonts w:ascii="Bookman Old Style" w:hAnsi="Bookman Old Style"/>
          <w:b/>
          <w:bCs/>
          <w:sz w:val="28"/>
          <w:szCs w:val="28"/>
          <w:lang w:val="en-US"/>
        </w:rPr>
      </w:pPr>
    </w:p>
    <w:p w14:paraId="16F7370C" w14:textId="5D292AD6" w:rsidR="000B369F" w:rsidRPr="000B65D9" w:rsidRDefault="005E08C3" w:rsidP="005857A1">
      <w:pPr>
        <w:spacing w:line="240" w:lineRule="auto"/>
        <w:jc w:val="center"/>
        <w:rPr>
          <w:rFonts w:ascii="Bookman Old Style" w:hAnsi="Bookman Old Style"/>
          <w:b/>
          <w:bCs/>
          <w:sz w:val="28"/>
          <w:szCs w:val="28"/>
          <w:lang w:val="en-US"/>
        </w:rPr>
      </w:pPr>
      <w:r w:rsidRPr="000B65D9">
        <w:rPr>
          <w:rFonts w:ascii="Bookman Old Style" w:hAnsi="Bookman Old Style"/>
          <w:b/>
          <w:bCs/>
          <w:sz w:val="28"/>
          <w:szCs w:val="28"/>
          <w:lang w:val="en-US"/>
        </w:rPr>
        <w:t>JUDGMENT</w:t>
      </w:r>
    </w:p>
    <w:p w14:paraId="154490CE" w14:textId="435F9810" w:rsidR="0058361A" w:rsidRPr="000B65D9" w:rsidRDefault="000B369F" w:rsidP="000B65D9">
      <w:pPr>
        <w:spacing w:line="36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lastRenderedPageBreak/>
        <w:t>J VAN DER WESTHUIZEN</w:t>
      </w:r>
      <w:r w:rsidR="004343D3" w:rsidRPr="000B65D9">
        <w:rPr>
          <w:rFonts w:ascii="Bookman Old Style" w:hAnsi="Bookman Old Style"/>
          <w:b/>
          <w:bCs/>
          <w:sz w:val="28"/>
          <w:szCs w:val="28"/>
          <w:lang w:val="en-US"/>
        </w:rPr>
        <w:t>,</w:t>
      </w:r>
      <w:r w:rsidRPr="000B65D9">
        <w:rPr>
          <w:rFonts w:ascii="Bookman Old Style" w:hAnsi="Bookman Old Style"/>
          <w:b/>
          <w:bCs/>
          <w:sz w:val="28"/>
          <w:szCs w:val="28"/>
          <w:lang w:val="en-US"/>
        </w:rPr>
        <w:t xml:space="preserve"> AJA</w:t>
      </w:r>
      <w:r w:rsidR="0058361A" w:rsidRPr="000B65D9">
        <w:rPr>
          <w:rFonts w:ascii="Bookman Old Style" w:hAnsi="Bookman Old Style"/>
          <w:b/>
          <w:bCs/>
          <w:sz w:val="28"/>
          <w:szCs w:val="28"/>
          <w:lang w:val="en-US"/>
        </w:rPr>
        <w:t xml:space="preserve"> </w:t>
      </w:r>
    </w:p>
    <w:p w14:paraId="6ED3E418" w14:textId="77777777" w:rsidR="0058361A" w:rsidRPr="000B65D9" w:rsidRDefault="0058361A" w:rsidP="000B65D9">
      <w:pPr>
        <w:spacing w:line="36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Introduction</w:t>
      </w:r>
    </w:p>
    <w:p w14:paraId="095E5C98" w14:textId="5673B856" w:rsidR="0066550C" w:rsidRPr="000B65D9" w:rsidRDefault="0058361A"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 xml:space="preserve">[1] </w:t>
      </w:r>
      <w:r w:rsidR="00972040" w:rsidRPr="000B65D9">
        <w:rPr>
          <w:rFonts w:ascii="Bookman Old Style" w:hAnsi="Bookman Old Style"/>
          <w:sz w:val="28"/>
          <w:szCs w:val="28"/>
          <w:lang w:val="en-US"/>
        </w:rPr>
        <w:t>This appeal against a judgment of the High Court is about the struggle between the appellant</w:t>
      </w:r>
      <w:r w:rsidR="008062EC" w:rsidRPr="000B65D9">
        <w:rPr>
          <w:rFonts w:ascii="Bookman Old Style" w:hAnsi="Bookman Old Style"/>
          <w:sz w:val="28"/>
          <w:szCs w:val="28"/>
          <w:lang w:val="en-US"/>
        </w:rPr>
        <w:t xml:space="preserve">, </w:t>
      </w:r>
      <w:proofErr w:type="spellStart"/>
      <w:r w:rsidR="00A45E91">
        <w:rPr>
          <w:rFonts w:ascii="Bookman Old Style" w:hAnsi="Bookman Old Style"/>
          <w:sz w:val="28"/>
          <w:szCs w:val="28"/>
          <w:lang w:val="en-US"/>
        </w:rPr>
        <w:t>M</w:t>
      </w:r>
      <w:r w:rsidR="008062EC" w:rsidRPr="000B65D9">
        <w:rPr>
          <w:rFonts w:ascii="Bookman Old Style" w:hAnsi="Bookman Old Style"/>
          <w:sz w:val="28"/>
          <w:szCs w:val="28"/>
          <w:lang w:val="en-US"/>
        </w:rPr>
        <w:t>r</w:t>
      </w:r>
      <w:proofErr w:type="spellEnd"/>
      <w:r w:rsidR="008062EC" w:rsidRPr="000B65D9">
        <w:rPr>
          <w:rFonts w:ascii="Bookman Old Style" w:hAnsi="Bookman Old Style"/>
          <w:sz w:val="28"/>
          <w:szCs w:val="28"/>
          <w:lang w:val="en-US"/>
        </w:rPr>
        <w:t xml:space="preserve"> </w:t>
      </w:r>
      <w:proofErr w:type="spellStart"/>
      <w:r w:rsidR="008062EC" w:rsidRPr="000B65D9">
        <w:rPr>
          <w:rFonts w:ascii="Bookman Old Style" w:hAnsi="Bookman Old Style"/>
          <w:sz w:val="28"/>
          <w:szCs w:val="28"/>
          <w:lang w:val="en-US"/>
        </w:rPr>
        <w:t>Mp</w:t>
      </w:r>
      <w:r w:rsidR="00A45E91">
        <w:rPr>
          <w:rFonts w:ascii="Bookman Old Style" w:hAnsi="Bookman Old Style"/>
          <w:sz w:val="28"/>
          <w:szCs w:val="28"/>
          <w:lang w:val="en-US"/>
        </w:rPr>
        <w:t>h</w:t>
      </w:r>
      <w:r w:rsidR="008062EC" w:rsidRPr="000B65D9">
        <w:rPr>
          <w:rFonts w:ascii="Bookman Old Style" w:hAnsi="Bookman Old Style"/>
          <w:sz w:val="28"/>
          <w:szCs w:val="28"/>
          <w:lang w:val="en-US"/>
        </w:rPr>
        <w:t>ethe</w:t>
      </w:r>
      <w:proofErr w:type="spellEnd"/>
      <w:r w:rsidR="008062EC" w:rsidRPr="000B65D9">
        <w:rPr>
          <w:rFonts w:ascii="Bookman Old Style" w:hAnsi="Bookman Old Style"/>
          <w:sz w:val="28"/>
          <w:szCs w:val="28"/>
          <w:lang w:val="en-US"/>
        </w:rPr>
        <w:t xml:space="preserve"> </w:t>
      </w:r>
      <w:proofErr w:type="spellStart"/>
      <w:r w:rsidR="008062EC" w:rsidRPr="000B65D9">
        <w:rPr>
          <w:rFonts w:ascii="Bookman Old Style" w:hAnsi="Bookman Old Style"/>
          <w:sz w:val="28"/>
          <w:szCs w:val="28"/>
          <w:lang w:val="en-US"/>
        </w:rPr>
        <w:t>Ntoampe</w:t>
      </w:r>
      <w:proofErr w:type="spellEnd"/>
      <w:r w:rsidR="008062EC" w:rsidRPr="000B65D9">
        <w:rPr>
          <w:rFonts w:ascii="Bookman Old Style" w:hAnsi="Bookman Old Style"/>
          <w:sz w:val="28"/>
          <w:szCs w:val="28"/>
          <w:lang w:val="en-US"/>
        </w:rPr>
        <w:t xml:space="preserve">, </w:t>
      </w:r>
      <w:r w:rsidR="00705E8B" w:rsidRPr="000B65D9">
        <w:rPr>
          <w:rFonts w:ascii="Bookman Old Style" w:hAnsi="Bookman Old Style"/>
          <w:sz w:val="28"/>
          <w:szCs w:val="28"/>
          <w:lang w:val="en-US"/>
        </w:rPr>
        <w:t xml:space="preserve">family members and the Master of the High Court (the second respondent) </w:t>
      </w:r>
      <w:r w:rsidR="00972040" w:rsidRPr="000B65D9">
        <w:rPr>
          <w:rFonts w:ascii="Bookman Old Style" w:hAnsi="Bookman Old Style"/>
          <w:sz w:val="28"/>
          <w:szCs w:val="28"/>
          <w:lang w:val="en-US"/>
        </w:rPr>
        <w:t>regarding the estate of hi</w:t>
      </w:r>
      <w:r w:rsidR="0066550C" w:rsidRPr="000B65D9">
        <w:rPr>
          <w:rFonts w:ascii="Bookman Old Style" w:hAnsi="Bookman Old Style"/>
          <w:sz w:val="28"/>
          <w:szCs w:val="28"/>
          <w:lang w:val="en-US"/>
        </w:rPr>
        <w:t>s</w:t>
      </w:r>
      <w:r w:rsidR="00972040" w:rsidRPr="000B65D9">
        <w:rPr>
          <w:rFonts w:ascii="Bookman Old Style" w:hAnsi="Bookman Old Style"/>
          <w:sz w:val="28"/>
          <w:szCs w:val="28"/>
          <w:lang w:val="en-US"/>
        </w:rPr>
        <w:t xml:space="preserve"> grand</w:t>
      </w:r>
      <w:r w:rsidR="008062EC" w:rsidRPr="000B65D9">
        <w:rPr>
          <w:rFonts w:ascii="Bookman Old Style" w:hAnsi="Bookman Old Style"/>
          <w:sz w:val="28"/>
          <w:szCs w:val="28"/>
          <w:lang w:val="en-US"/>
        </w:rPr>
        <w:t xml:space="preserve">mother, the late </w:t>
      </w:r>
      <w:proofErr w:type="spellStart"/>
      <w:r w:rsidR="00A45E91">
        <w:rPr>
          <w:rFonts w:ascii="Bookman Old Style" w:hAnsi="Bookman Old Style"/>
          <w:sz w:val="28"/>
          <w:szCs w:val="28"/>
          <w:lang w:val="en-US"/>
        </w:rPr>
        <w:t>M</w:t>
      </w:r>
      <w:r w:rsidR="004343D3" w:rsidRPr="000B65D9">
        <w:rPr>
          <w:rFonts w:ascii="Bookman Old Style" w:hAnsi="Bookman Old Style"/>
          <w:sz w:val="28"/>
          <w:szCs w:val="28"/>
          <w:lang w:val="en-US"/>
        </w:rPr>
        <w:t>s</w:t>
      </w:r>
      <w:proofErr w:type="spellEnd"/>
      <w:r w:rsidR="004343D3" w:rsidRPr="000B65D9">
        <w:rPr>
          <w:rFonts w:ascii="Bookman Old Style" w:hAnsi="Bookman Old Style"/>
          <w:sz w:val="28"/>
          <w:szCs w:val="28"/>
          <w:lang w:val="en-US"/>
        </w:rPr>
        <w:t xml:space="preserve"> </w:t>
      </w:r>
      <w:r w:rsidR="008062EC" w:rsidRPr="000B65D9">
        <w:rPr>
          <w:rFonts w:ascii="Bookman Old Style" w:hAnsi="Bookman Old Style"/>
          <w:sz w:val="28"/>
          <w:szCs w:val="28"/>
          <w:lang w:val="en-US"/>
        </w:rPr>
        <w:t>‘</w:t>
      </w:r>
      <w:proofErr w:type="spellStart"/>
      <w:r w:rsidR="008062EC" w:rsidRPr="000B65D9">
        <w:rPr>
          <w:rFonts w:ascii="Bookman Old Style" w:hAnsi="Bookman Old Style"/>
          <w:sz w:val="28"/>
          <w:szCs w:val="28"/>
          <w:lang w:val="en-US"/>
        </w:rPr>
        <w:t>Mamaitse</w:t>
      </w:r>
      <w:proofErr w:type="spellEnd"/>
      <w:r w:rsidR="008062EC" w:rsidRPr="000B65D9">
        <w:rPr>
          <w:rFonts w:ascii="Bookman Old Style" w:hAnsi="Bookman Old Style"/>
          <w:sz w:val="28"/>
          <w:szCs w:val="28"/>
          <w:lang w:val="en-US"/>
        </w:rPr>
        <w:t xml:space="preserve"> Gladys </w:t>
      </w:r>
      <w:proofErr w:type="spellStart"/>
      <w:r w:rsidR="008062EC" w:rsidRPr="000B65D9">
        <w:rPr>
          <w:rFonts w:ascii="Bookman Old Style" w:hAnsi="Bookman Old Style"/>
          <w:sz w:val="28"/>
          <w:szCs w:val="28"/>
          <w:lang w:val="en-US"/>
        </w:rPr>
        <w:t>Ntoampe</w:t>
      </w:r>
      <w:proofErr w:type="spellEnd"/>
      <w:r w:rsidR="00972040" w:rsidRPr="000B65D9">
        <w:rPr>
          <w:rFonts w:ascii="Bookman Old Style" w:hAnsi="Bookman Old Style"/>
          <w:sz w:val="28"/>
          <w:szCs w:val="28"/>
          <w:lang w:val="en-US"/>
        </w:rPr>
        <w:t xml:space="preserve">. Aggrieved about the way the estate was being dealt with, </w:t>
      </w:r>
      <w:r w:rsidR="00705E8B" w:rsidRPr="000B65D9">
        <w:rPr>
          <w:rFonts w:ascii="Bookman Old Style" w:hAnsi="Bookman Old Style"/>
          <w:sz w:val="28"/>
          <w:szCs w:val="28"/>
          <w:lang w:val="en-US"/>
        </w:rPr>
        <w:t xml:space="preserve">he </w:t>
      </w:r>
      <w:r w:rsidR="00972040" w:rsidRPr="000B65D9">
        <w:rPr>
          <w:rFonts w:ascii="Bookman Old Style" w:hAnsi="Bookman Old Style"/>
          <w:sz w:val="28"/>
          <w:szCs w:val="28"/>
          <w:lang w:val="en-US"/>
        </w:rPr>
        <w:t>approached the High Court, inter alia to have the appointment of the first respondent</w:t>
      </w:r>
      <w:r w:rsidR="00B33A12" w:rsidRPr="000B65D9">
        <w:rPr>
          <w:rFonts w:ascii="Bookman Old Style" w:hAnsi="Bookman Old Style"/>
          <w:sz w:val="28"/>
          <w:szCs w:val="28"/>
          <w:lang w:val="en-US"/>
        </w:rPr>
        <w:t xml:space="preserve">, </w:t>
      </w:r>
      <w:proofErr w:type="spellStart"/>
      <w:r w:rsidR="00A45E91">
        <w:rPr>
          <w:rFonts w:ascii="Bookman Old Style" w:hAnsi="Bookman Old Style"/>
          <w:sz w:val="28"/>
          <w:szCs w:val="28"/>
          <w:lang w:val="en-US"/>
        </w:rPr>
        <w:t>M</w:t>
      </w:r>
      <w:r w:rsidR="00B33A12" w:rsidRPr="000B65D9">
        <w:rPr>
          <w:rFonts w:ascii="Bookman Old Style" w:hAnsi="Bookman Old Style"/>
          <w:sz w:val="28"/>
          <w:szCs w:val="28"/>
          <w:lang w:val="en-US"/>
        </w:rPr>
        <w:t>r</w:t>
      </w:r>
      <w:proofErr w:type="spellEnd"/>
      <w:r w:rsidR="00B33A12" w:rsidRPr="000B65D9">
        <w:rPr>
          <w:rFonts w:ascii="Bookman Old Style" w:hAnsi="Bookman Old Style"/>
          <w:sz w:val="28"/>
          <w:szCs w:val="28"/>
          <w:lang w:val="en-US"/>
        </w:rPr>
        <w:t xml:space="preserve"> </w:t>
      </w:r>
      <w:proofErr w:type="spellStart"/>
      <w:r w:rsidR="00B33A12" w:rsidRPr="000B65D9">
        <w:rPr>
          <w:rFonts w:ascii="Bookman Old Style" w:hAnsi="Bookman Old Style"/>
          <w:sz w:val="28"/>
          <w:szCs w:val="28"/>
          <w:lang w:val="en-US"/>
        </w:rPr>
        <w:t>Mosa</w:t>
      </w:r>
      <w:proofErr w:type="spellEnd"/>
      <w:r w:rsidR="00B33A12" w:rsidRPr="000B65D9">
        <w:rPr>
          <w:rFonts w:ascii="Bookman Old Style" w:hAnsi="Bookman Old Style"/>
          <w:sz w:val="28"/>
          <w:szCs w:val="28"/>
          <w:lang w:val="en-US"/>
        </w:rPr>
        <w:t xml:space="preserve"> Paul </w:t>
      </w:r>
      <w:proofErr w:type="spellStart"/>
      <w:r w:rsidR="00B33A12" w:rsidRPr="000B65D9">
        <w:rPr>
          <w:rFonts w:ascii="Bookman Old Style" w:hAnsi="Bookman Old Style"/>
          <w:sz w:val="28"/>
          <w:szCs w:val="28"/>
          <w:lang w:val="en-US"/>
        </w:rPr>
        <w:t>Mosuoe</w:t>
      </w:r>
      <w:proofErr w:type="spellEnd"/>
      <w:r w:rsidR="00B33A12" w:rsidRPr="000B65D9">
        <w:rPr>
          <w:rFonts w:ascii="Bookman Old Style" w:hAnsi="Bookman Old Style"/>
          <w:sz w:val="28"/>
          <w:szCs w:val="28"/>
          <w:lang w:val="en-US"/>
        </w:rPr>
        <w:t>,</w:t>
      </w:r>
      <w:r w:rsidR="00972040" w:rsidRPr="000B65D9">
        <w:rPr>
          <w:rFonts w:ascii="Bookman Old Style" w:hAnsi="Bookman Old Style"/>
          <w:sz w:val="28"/>
          <w:szCs w:val="28"/>
          <w:lang w:val="en-US"/>
        </w:rPr>
        <w:t xml:space="preserve"> as the executor of the estate set aside.</w:t>
      </w:r>
    </w:p>
    <w:p w14:paraId="207FBDB0" w14:textId="4F1761E1" w:rsidR="0058361A" w:rsidRPr="000B65D9" w:rsidRDefault="0066550C"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 xml:space="preserve">[2] As is often the case in inheritance and related family matters, the facts and legal issues in this case are potentially very complicated. They involve a longish family history, the question as to whether customary law or so-called European law governed their marriage, what their mode of life was and the consequences of the above for the administration of </w:t>
      </w:r>
      <w:r w:rsidR="007B1E50" w:rsidRPr="000B65D9">
        <w:rPr>
          <w:rFonts w:ascii="Bookman Old Style" w:hAnsi="Bookman Old Style"/>
          <w:sz w:val="28"/>
          <w:szCs w:val="28"/>
          <w:lang w:val="en-US"/>
        </w:rPr>
        <w:t>the</w:t>
      </w:r>
      <w:r w:rsidRPr="000B65D9">
        <w:rPr>
          <w:rFonts w:ascii="Bookman Old Style" w:hAnsi="Bookman Old Style"/>
          <w:sz w:val="28"/>
          <w:szCs w:val="28"/>
          <w:lang w:val="en-US"/>
        </w:rPr>
        <w:t xml:space="preserve"> estate</w:t>
      </w:r>
      <w:r w:rsidR="003375F2" w:rsidRPr="000B65D9">
        <w:rPr>
          <w:rFonts w:ascii="Bookman Old Style" w:hAnsi="Bookman Old Style"/>
          <w:sz w:val="28"/>
          <w:szCs w:val="28"/>
          <w:lang w:val="en-US"/>
        </w:rPr>
        <w:t>.</w:t>
      </w:r>
      <w:r w:rsidR="00972040" w:rsidRPr="000B65D9">
        <w:rPr>
          <w:rFonts w:ascii="Bookman Old Style" w:hAnsi="Bookman Old Style"/>
          <w:sz w:val="28"/>
          <w:szCs w:val="28"/>
          <w:lang w:val="en-US"/>
        </w:rPr>
        <w:t xml:space="preserve"> </w:t>
      </w:r>
    </w:p>
    <w:p w14:paraId="2B67AB5D" w14:textId="21C6A16A" w:rsidR="00972040" w:rsidRPr="000B65D9" w:rsidRDefault="003375F2"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[3</w:t>
      </w:r>
      <w:r w:rsidR="00972040" w:rsidRPr="000B65D9">
        <w:rPr>
          <w:rFonts w:ascii="Bookman Old Style" w:hAnsi="Bookman Old Style"/>
          <w:sz w:val="28"/>
          <w:szCs w:val="28"/>
          <w:lang w:val="en-US"/>
        </w:rPr>
        <w:t>]</w:t>
      </w:r>
      <w:r w:rsidRPr="000B65D9">
        <w:rPr>
          <w:rFonts w:ascii="Bookman Old Style" w:hAnsi="Bookman Old Style"/>
          <w:sz w:val="28"/>
          <w:szCs w:val="28"/>
          <w:lang w:val="en-US"/>
        </w:rPr>
        <w:t xml:space="preserve"> </w:t>
      </w:r>
      <w:r w:rsidR="00972040" w:rsidRPr="000B65D9">
        <w:rPr>
          <w:rFonts w:ascii="Bookman Old Style" w:hAnsi="Bookman Old Style"/>
          <w:sz w:val="28"/>
          <w:szCs w:val="28"/>
          <w:lang w:val="en-US"/>
        </w:rPr>
        <w:t>The appellant’s case and the judgment of the High Court on several issues are summarized below. However, the point that could</w:t>
      </w:r>
      <w:r w:rsidR="0066550C" w:rsidRPr="000B65D9">
        <w:rPr>
          <w:rFonts w:ascii="Bookman Old Style" w:hAnsi="Bookman Old Style"/>
          <w:sz w:val="28"/>
          <w:szCs w:val="28"/>
          <w:lang w:val="en-US"/>
        </w:rPr>
        <w:t xml:space="preserve"> dispose of the matter</w:t>
      </w:r>
      <w:r w:rsidR="00972040" w:rsidRPr="000B65D9">
        <w:rPr>
          <w:rFonts w:ascii="Bookman Old Style" w:hAnsi="Bookman Old Style"/>
          <w:sz w:val="28"/>
          <w:szCs w:val="28"/>
          <w:lang w:val="en-US"/>
        </w:rPr>
        <w:t xml:space="preserve"> relates to the failure of the appellant</w:t>
      </w:r>
      <w:r w:rsidRPr="000B65D9">
        <w:rPr>
          <w:rFonts w:ascii="Bookman Old Style" w:hAnsi="Bookman Old Style"/>
          <w:sz w:val="28"/>
          <w:szCs w:val="28"/>
          <w:lang w:val="en-US"/>
        </w:rPr>
        <w:t>, as the applicant</w:t>
      </w:r>
      <w:r w:rsidR="00972040" w:rsidRPr="000B65D9">
        <w:rPr>
          <w:rFonts w:ascii="Bookman Old Style" w:hAnsi="Bookman Old Style"/>
          <w:sz w:val="28"/>
          <w:szCs w:val="28"/>
          <w:lang w:val="en-US"/>
        </w:rPr>
        <w:t xml:space="preserve"> in the court </w:t>
      </w:r>
      <w:r w:rsidR="00972040" w:rsidRPr="000B65D9">
        <w:rPr>
          <w:rFonts w:ascii="Bookman Old Style" w:hAnsi="Bookman Old Style"/>
          <w:i/>
          <w:iCs/>
          <w:sz w:val="28"/>
          <w:szCs w:val="28"/>
          <w:lang w:val="en-US"/>
        </w:rPr>
        <w:t>a quo</w:t>
      </w:r>
      <w:r w:rsidRPr="000B65D9">
        <w:rPr>
          <w:rFonts w:ascii="Bookman Old Style" w:hAnsi="Bookman Old Style"/>
          <w:i/>
          <w:iCs/>
          <w:sz w:val="28"/>
          <w:szCs w:val="28"/>
          <w:lang w:val="en-US"/>
        </w:rPr>
        <w:t>,</w:t>
      </w:r>
      <w:r w:rsidR="00972040" w:rsidRPr="000B65D9">
        <w:rPr>
          <w:rFonts w:ascii="Bookman Old Style" w:hAnsi="Bookman Old Style"/>
          <w:sz w:val="28"/>
          <w:szCs w:val="28"/>
          <w:lang w:val="en-US"/>
        </w:rPr>
        <w:t xml:space="preserve"> to join </w:t>
      </w:r>
      <w:r w:rsidR="0066550C" w:rsidRPr="000B65D9">
        <w:rPr>
          <w:rFonts w:ascii="Bookman Old Style" w:hAnsi="Bookman Old Style"/>
          <w:sz w:val="28"/>
          <w:szCs w:val="28"/>
          <w:lang w:val="en-US"/>
        </w:rPr>
        <w:t>allegedly interested</w:t>
      </w:r>
      <w:r w:rsidR="00972040" w:rsidRPr="000B65D9">
        <w:rPr>
          <w:rFonts w:ascii="Bookman Old Style" w:hAnsi="Bookman Old Style"/>
          <w:sz w:val="28"/>
          <w:szCs w:val="28"/>
          <w:lang w:val="en-US"/>
        </w:rPr>
        <w:t xml:space="preserve"> parties. </w:t>
      </w:r>
    </w:p>
    <w:p w14:paraId="58B94783" w14:textId="55CAFABD" w:rsidR="0058361A" w:rsidRPr="000B65D9" w:rsidRDefault="00972040" w:rsidP="000B65D9">
      <w:pPr>
        <w:spacing w:line="36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 xml:space="preserve">Factual background </w:t>
      </w:r>
    </w:p>
    <w:p w14:paraId="486AA204" w14:textId="36F51C56" w:rsidR="00DF14EE" w:rsidRPr="000B65D9" w:rsidRDefault="00DF14E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[4]</w:t>
      </w:r>
      <w:r w:rsidR="00FF3A77" w:rsidRPr="000B65D9">
        <w:rPr>
          <w:rFonts w:ascii="Bookman Old Style" w:hAnsi="Bookman Old Style"/>
          <w:sz w:val="28"/>
          <w:szCs w:val="28"/>
          <w:lang w:val="en-US"/>
        </w:rPr>
        <w:t xml:space="preserve"> Upon the death of the deceased</w:t>
      </w:r>
      <w:r w:rsidR="003375F2" w:rsidRPr="000B65D9">
        <w:rPr>
          <w:rFonts w:ascii="Bookman Old Style" w:hAnsi="Bookman Old Style"/>
          <w:sz w:val="28"/>
          <w:szCs w:val="28"/>
          <w:lang w:val="en-US"/>
        </w:rPr>
        <w:t>,</w:t>
      </w:r>
      <w:r w:rsidR="00FF3A77" w:rsidRPr="000B65D9">
        <w:rPr>
          <w:rFonts w:ascii="Bookman Old Style" w:hAnsi="Bookman Old Style"/>
          <w:sz w:val="28"/>
          <w:szCs w:val="28"/>
          <w:lang w:val="en-US"/>
        </w:rPr>
        <w:t xml:space="preserve"> the estate was reported to the second respondent by the daughter and daughter-in-law of the deceased, the aunts of the appellant. The second respondent </w:t>
      </w:r>
      <w:r w:rsidR="008570E0" w:rsidRPr="000B65D9">
        <w:rPr>
          <w:rFonts w:ascii="Bookman Old Style" w:hAnsi="Bookman Old Style"/>
          <w:sz w:val="28"/>
          <w:szCs w:val="28"/>
          <w:lang w:val="en-US"/>
        </w:rPr>
        <w:t xml:space="preserve">investigated the mode of life of the deceased, in order </w:t>
      </w:r>
      <w:r w:rsidR="003375F2" w:rsidRPr="000B65D9">
        <w:rPr>
          <w:rFonts w:ascii="Bookman Old Style" w:hAnsi="Bookman Old Style"/>
          <w:sz w:val="28"/>
          <w:szCs w:val="28"/>
          <w:lang w:val="en-US"/>
        </w:rPr>
        <w:t xml:space="preserve">to </w:t>
      </w:r>
      <w:r w:rsidR="008570E0" w:rsidRPr="000B65D9">
        <w:rPr>
          <w:rFonts w:ascii="Bookman Old Style" w:hAnsi="Bookman Old Style"/>
          <w:sz w:val="28"/>
          <w:szCs w:val="28"/>
          <w:lang w:val="en-US"/>
        </w:rPr>
        <w:t xml:space="preserve">determine </w:t>
      </w:r>
      <w:r w:rsidR="008570E0" w:rsidRPr="000B65D9">
        <w:rPr>
          <w:rFonts w:ascii="Bookman Old Style" w:hAnsi="Bookman Old Style"/>
          <w:sz w:val="28"/>
          <w:szCs w:val="28"/>
          <w:lang w:val="en-US"/>
        </w:rPr>
        <w:lastRenderedPageBreak/>
        <w:t xml:space="preserve">whether the estate had to be administered under the Administration of Estates Proclamation of 1935. The second respondent concluded that the Proclamation was applicable and that she could lawfully appoint the first respondent as executor. </w:t>
      </w:r>
    </w:p>
    <w:p w14:paraId="3316C7F5" w14:textId="2E20AECA" w:rsidR="008570E0" w:rsidRPr="000B65D9" w:rsidRDefault="008570E0"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[5] On 11 January 2022 the second respondent appointed the first respondent. The letters of administration were issued.</w:t>
      </w:r>
    </w:p>
    <w:p w14:paraId="79945FD6" w14:textId="442260D5" w:rsidR="00DF14EE" w:rsidRPr="000B65D9" w:rsidRDefault="00DF14EE" w:rsidP="000B65D9">
      <w:pPr>
        <w:spacing w:line="36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Submissions by the parties</w:t>
      </w:r>
    </w:p>
    <w:p w14:paraId="137F3578" w14:textId="5F134477" w:rsidR="00DF14EE" w:rsidRPr="000B65D9" w:rsidRDefault="00DF14E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3375F2" w:rsidRPr="000B65D9">
        <w:rPr>
          <w:rFonts w:ascii="Bookman Old Style" w:hAnsi="Bookman Old Style"/>
          <w:sz w:val="28"/>
          <w:szCs w:val="28"/>
          <w:lang w:val="en-US"/>
        </w:rPr>
        <w:t>6]</w:t>
      </w:r>
      <w:r w:rsidRPr="000B65D9">
        <w:rPr>
          <w:rFonts w:ascii="Bookman Old Style" w:hAnsi="Bookman Old Style"/>
          <w:sz w:val="28"/>
          <w:szCs w:val="28"/>
          <w:lang w:val="en-US"/>
        </w:rPr>
        <w:t>] In his application to the High Court the appellant’s Notice of Motion</w:t>
      </w:r>
      <w:r w:rsidR="008062EC" w:rsidRPr="000B65D9">
        <w:rPr>
          <w:rFonts w:ascii="Bookman Old Style" w:hAnsi="Bookman Old Style"/>
          <w:sz w:val="28"/>
          <w:szCs w:val="28"/>
          <w:lang w:val="en-US"/>
        </w:rPr>
        <w:t xml:space="preserve"> asked that the matter be regarded as urgent; </w:t>
      </w:r>
      <w:r w:rsidR="00FF3A77" w:rsidRPr="000B65D9">
        <w:rPr>
          <w:rFonts w:ascii="Bookman Old Style" w:hAnsi="Bookman Old Style"/>
          <w:sz w:val="28"/>
          <w:szCs w:val="28"/>
          <w:lang w:val="en-US"/>
        </w:rPr>
        <w:t xml:space="preserve">and for an interim order that </w:t>
      </w:r>
      <w:r w:rsidR="008062EC" w:rsidRPr="000B65D9">
        <w:rPr>
          <w:rFonts w:ascii="Bookman Old Style" w:hAnsi="Bookman Old Style"/>
          <w:sz w:val="28"/>
          <w:szCs w:val="28"/>
          <w:lang w:val="en-US"/>
        </w:rPr>
        <w:t>the first respondent</w:t>
      </w:r>
      <w:r w:rsidR="00B33A12" w:rsidRPr="000B65D9">
        <w:rPr>
          <w:rFonts w:ascii="Bookman Old Style" w:hAnsi="Bookman Old Style"/>
          <w:sz w:val="28"/>
          <w:szCs w:val="28"/>
          <w:lang w:val="en-US"/>
        </w:rPr>
        <w:t xml:space="preserve"> be interdicted and restrained from administering the estate and executing his duties as executor thereof</w:t>
      </w:r>
      <w:r w:rsidR="003375F2" w:rsidRPr="000B65D9">
        <w:rPr>
          <w:rFonts w:ascii="Bookman Old Style" w:hAnsi="Bookman Old Style"/>
          <w:sz w:val="28"/>
          <w:szCs w:val="28"/>
          <w:lang w:val="en-US"/>
        </w:rPr>
        <w:t>,</w:t>
      </w:r>
      <w:r w:rsidR="00B33A12" w:rsidRPr="000B65D9">
        <w:rPr>
          <w:rFonts w:ascii="Bookman Old Style" w:hAnsi="Bookman Old Style"/>
          <w:sz w:val="28"/>
          <w:szCs w:val="28"/>
          <w:lang w:val="en-US"/>
        </w:rPr>
        <w:t xml:space="preserve"> pending </w:t>
      </w:r>
      <w:proofErr w:type="spellStart"/>
      <w:r w:rsidR="00B33A12" w:rsidRPr="000B65D9">
        <w:rPr>
          <w:rFonts w:ascii="Bookman Old Style" w:hAnsi="Bookman Old Style"/>
          <w:sz w:val="28"/>
          <w:szCs w:val="28"/>
          <w:lang w:val="en-US"/>
        </w:rPr>
        <w:t>finalisation</w:t>
      </w:r>
      <w:proofErr w:type="spellEnd"/>
      <w:r w:rsidR="00B33A12" w:rsidRPr="000B65D9">
        <w:rPr>
          <w:rFonts w:ascii="Bookman Old Style" w:hAnsi="Bookman Old Style"/>
          <w:sz w:val="28"/>
          <w:szCs w:val="28"/>
          <w:lang w:val="en-US"/>
        </w:rPr>
        <w:t xml:space="preserve"> of the matter; the decision by the second respondent to appoint the first respondent be reviewed, corrected and set aside as unlawful, null and void and of no legal effect; and costs on </w:t>
      </w:r>
      <w:r w:rsidR="003375F2" w:rsidRPr="000B65D9">
        <w:rPr>
          <w:rFonts w:ascii="Bookman Old Style" w:hAnsi="Bookman Old Style"/>
          <w:sz w:val="28"/>
          <w:szCs w:val="28"/>
          <w:lang w:val="en-US"/>
        </w:rPr>
        <w:t xml:space="preserve">the punitive scale of </w:t>
      </w:r>
      <w:r w:rsidR="00B33A12" w:rsidRPr="000B65D9">
        <w:rPr>
          <w:rFonts w:ascii="Bookman Old Style" w:hAnsi="Bookman Old Style"/>
          <w:sz w:val="28"/>
          <w:szCs w:val="28"/>
          <w:lang w:val="en-US"/>
        </w:rPr>
        <w:t>attorney and clien</w:t>
      </w:r>
      <w:r w:rsidR="003375F2" w:rsidRPr="000B65D9">
        <w:rPr>
          <w:rFonts w:ascii="Bookman Old Style" w:hAnsi="Bookman Old Style"/>
          <w:sz w:val="28"/>
          <w:szCs w:val="28"/>
          <w:lang w:val="en-US"/>
        </w:rPr>
        <w:t>t</w:t>
      </w:r>
      <w:r w:rsidR="00FF3A77" w:rsidRPr="000B65D9">
        <w:rPr>
          <w:rFonts w:ascii="Bookman Old Style" w:hAnsi="Bookman Old Style"/>
          <w:sz w:val="28"/>
          <w:szCs w:val="28"/>
          <w:lang w:val="en-US"/>
        </w:rPr>
        <w:t>. The interim order was granted. Finally, the application was dismissed though and the first respondent’s appointment as executor was found to be lawful and valid.</w:t>
      </w:r>
      <w:r w:rsidR="00B33A12" w:rsidRPr="000B65D9">
        <w:rPr>
          <w:rFonts w:ascii="Bookman Old Style" w:hAnsi="Bookman Old Style"/>
          <w:sz w:val="28"/>
          <w:szCs w:val="28"/>
          <w:lang w:val="en-US"/>
        </w:rPr>
        <w:t xml:space="preserve"> </w:t>
      </w:r>
      <w:r w:rsidR="008062EC" w:rsidRPr="000B65D9">
        <w:rPr>
          <w:rFonts w:ascii="Bookman Old Style" w:hAnsi="Bookman Old Style"/>
          <w:sz w:val="28"/>
          <w:szCs w:val="28"/>
          <w:lang w:val="en-US"/>
        </w:rPr>
        <w:t xml:space="preserve"> </w:t>
      </w:r>
    </w:p>
    <w:p w14:paraId="2C9D5DA6" w14:textId="0136634C" w:rsidR="0058361A" w:rsidRPr="000B65D9" w:rsidRDefault="00DF14E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3375F2" w:rsidRPr="000B65D9">
        <w:rPr>
          <w:rFonts w:ascii="Bookman Old Style" w:hAnsi="Bookman Old Style"/>
          <w:sz w:val="28"/>
          <w:szCs w:val="28"/>
          <w:lang w:val="en-US"/>
        </w:rPr>
        <w:t>7</w:t>
      </w:r>
      <w:r w:rsidRPr="000B65D9">
        <w:rPr>
          <w:rFonts w:ascii="Bookman Old Style" w:hAnsi="Bookman Old Style"/>
          <w:sz w:val="28"/>
          <w:szCs w:val="28"/>
          <w:lang w:val="en-US"/>
        </w:rPr>
        <w:t xml:space="preserve">] In the court </w:t>
      </w:r>
      <w:r w:rsidRPr="000B65D9">
        <w:rPr>
          <w:rFonts w:ascii="Bookman Old Style" w:hAnsi="Bookman Old Style"/>
          <w:i/>
          <w:iCs/>
          <w:sz w:val="28"/>
          <w:szCs w:val="28"/>
          <w:lang w:val="en-US"/>
        </w:rPr>
        <w:t>a quo</w:t>
      </w:r>
      <w:r w:rsidRPr="000B65D9">
        <w:rPr>
          <w:rFonts w:ascii="Bookman Old Style" w:hAnsi="Bookman Old Style"/>
          <w:sz w:val="28"/>
          <w:szCs w:val="28"/>
          <w:lang w:val="en-US"/>
        </w:rPr>
        <w:t>, as in this Court, the appellant argued that</w:t>
      </w:r>
      <w:r w:rsidR="00FF3A77" w:rsidRPr="000B65D9">
        <w:rPr>
          <w:rFonts w:ascii="Bookman Old Style" w:hAnsi="Bookman Old Style"/>
          <w:sz w:val="28"/>
          <w:szCs w:val="28"/>
          <w:lang w:val="en-US"/>
        </w:rPr>
        <w:t xml:space="preserve"> </w:t>
      </w:r>
      <w:r w:rsidR="008570E0" w:rsidRPr="000B65D9">
        <w:rPr>
          <w:rFonts w:ascii="Bookman Old Style" w:hAnsi="Bookman Old Style"/>
          <w:sz w:val="28"/>
          <w:szCs w:val="28"/>
          <w:lang w:val="en-US"/>
        </w:rPr>
        <w:t xml:space="preserve">his grandparents </w:t>
      </w:r>
      <w:r w:rsidR="00D81CDE" w:rsidRPr="000B65D9">
        <w:rPr>
          <w:rFonts w:ascii="Bookman Old Style" w:hAnsi="Bookman Old Style"/>
          <w:sz w:val="28"/>
          <w:szCs w:val="28"/>
          <w:lang w:val="en-US"/>
        </w:rPr>
        <w:t>lived under customary law. T</w:t>
      </w:r>
      <w:r w:rsidR="00FF3A77" w:rsidRPr="000B65D9">
        <w:rPr>
          <w:rFonts w:ascii="Bookman Old Style" w:hAnsi="Bookman Old Style"/>
          <w:sz w:val="28"/>
          <w:szCs w:val="28"/>
          <w:lang w:val="en-US"/>
        </w:rPr>
        <w:t>he estate had already been administered under customary law</w:t>
      </w:r>
      <w:r w:rsidR="003375F2" w:rsidRPr="000B65D9">
        <w:rPr>
          <w:rFonts w:ascii="Bookman Old Style" w:hAnsi="Bookman Old Style"/>
          <w:sz w:val="28"/>
          <w:szCs w:val="28"/>
          <w:lang w:val="en-US"/>
        </w:rPr>
        <w:t xml:space="preserve">, he contended. </w:t>
      </w:r>
      <w:r w:rsidR="008435F0" w:rsidRPr="000B65D9">
        <w:rPr>
          <w:rFonts w:ascii="Bookman Old Style" w:hAnsi="Bookman Old Style"/>
          <w:b/>
          <w:bCs/>
          <w:sz w:val="28"/>
          <w:szCs w:val="28"/>
          <w:lang w:val="en-US"/>
        </w:rPr>
        <w:t xml:space="preserve"> </w:t>
      </w:r>
      <w:r w:rsidR="008435F0" w:rsidRPr="000B65D9">
        <w:rPr>
          <w:rFonts w:ascii="Bookman Old Style" w:hAnsi="Bookman Old Style"/>
          <w:sz w:val="28"/>
          <w:szCs w:val="28"/>
          <w:lang w:val="en-US"/>
        </w:rPr>
        <w:t>The family</w:t>
      </w:r>
      <w:r w:rsidR="008435F0" w:rsidRPr="000B65D9">
        <w:rPr>
          <w:rFonts w:ascii="Bookman Old Style" w:hAnsi="Bookman Old Style"/>
          <w:b/>
          <w:bCs/>
          <w:sz w:val="28"/>
          <w:szCs w:val="28"/>
          <w:lang w:val="en-US"/>
        </w:rPr>
        <w:t xml:space="preserve"> </w:t>
      </w:r>
      <w:r w:rsidR="008435F0" w:rsidRPr="000B65D9">
        <w:rPr>
          <w:rFonts w:ascii="Bookman Old Style" w:hAnsi="Bookman Old Style"/>
          <w:sz w:val="28"/>
          <w:szCs w:val="28"/>
          <w:lang w:val="en-US"/>
        </w:rPr>
        <w:t>appointed him as the heir.</w:t>
      </w:r>
      <w:r w:rsidR="008435F0" w:rsidRPr="000B65D9">
        <w:rPr>
          <w:rFonts w:ascii="Bookman Old Style" w:hAnsi="Bookman Old Style"/>
          <w:b/>
          <w:bCs/>
          <w:sz w:val="28"/>
          <w:szCs w:val="28"/>
          <w:lang w:val="en-US"/>
        </w:rPr>
        <w:t xml:space="preserve"> </w:t>
      </w:r>
      <w:r w:rsidR="00FF3A77" w:rsidRPr="000B65D9">
        <w:rPr>
          <w:rFonts w:ascii="Bookman Old Style" w:hAnsi="Bookman Old Style"/>
          <w:sz w:val="28"/>
          <w:szCs w:val="28"/>
          <w:lang w:val="en-US"/>
        </w:rPr>
        <w:t>Thus</w:t>
      </w:r>
      <w:r w:rsidR="003375F2" w:rsidRPr="000B65D9">
        <w:rPr>
          <w:rFonts w:ascii="Bookman Old Style" w:hAnsi="Bookman Old Style"/>
          <w:sz w:val="28"/>
          <w:szCs w:val="28"/>
          <w:lang w:val="en-US"/>
        </w:rPr>
        <w:t>,</w:t>
      </w:r>
      <w:r w:rsidR="00FF3A77" w:rsidRPr="000B65D9">
        <w:rPr>
          <w:rFonts w:ascii="Bookman Old Style" w:hAnsi="Bookman Old Style"/>
          <w:sz w:val="28"/>
          <w:szCs w:val="28"/>
          <w:lang w:val="en-US"/>
        </w:rPr>
        <w:t xml:space="preserve"> an executor could not have been appointed to </w:t>
      </w:r>
      <w:r w:rsidR="003375F2" w:rsidRPr="000B65D9">
        <w:rPr>
          <w:rFonts w:ascii="Bookman Old Style" w:hAnsi="Bookman Old Style"/>
          <w:sz w:val="28"/>
          <w:szCs w:val="28"/>
          <w:lang w:val="en-US"/>
        </w:rPr>
        <w:t>administer the estate</w:t>
      </w:r>
      <w:r w:rsidR="00FF3A77" w:rsidRPr="000B65D9">
        <w:rPr>
          <w:rFonts w:ascii="Bookman Old Style" w:hAnsi="Bookman Old Style"/>
          <w:sz w:val="28"/>
          <w:szCs w:val="28"/>
          <w:lang w:val="en-US"/>
        </w:rPr>
        <w:t xml:space="preserve"> again.</w:t>
      </w:r>
    </w:p>
    <w:p w14:paraId="4987E7C2" w14:textId="63364630" w:rsidR="003D653A" w:rsidRPr="000B65D9" w:rsidRDefault="003D653A"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3375F2" w:rsidRPr="000B65D9">
        <w:rPr>
          <w:rFonts w:ascii="Bookman Old Style" w:hAnsi="Bookman Old Style"/>
          <w:sz w:val="28"/>
          <w:szCs w:val="28"/>
          <w:lang w:val="en-US"/>
        </w:rPr>
        <w:t>8</w:t>
      </w:r>
      <w:r w:rsidRPr="000B65D9">
        <w:rPr>
          <w:rFonts w:ascii="Bookman Old Style" w:hAnsi="Bookman Old Style"/>
          <w:sz w:val="28"/>
          <w:szCs w:val="28"/>
          <w:lang w:val="en-US"/>
        </w:rPr>
        <w:t xml:space="preserve">] In </w:t>
      </w:r>
      <w:r w:rsidR="00D12FF3" w:rsidRPr="000B65D9">
        <w:rPr>
          <w:rFonts w:ascii="Bookman Old Style" w:hAnsi="Bookman Old Style"/>
          <w:sz w:val="28"/>
          <w:szCs w:val="28"/>
          <w:lang w:val="en-US"/>
        </w:rPr>
        <w:t>his grounds of appeal and orally through his counsel in this</w:t>
      </w:r>
      <w:r w:rsidRPr="000B65D9">
        <w:rPr>
          <w:rFonts w:ascii="Bookman Old Style" w:hAnsi="Bookman Old Style"/>
          <w:sz w:val="28"/>
          <w:szCs w:val="28"/>
          <w:lang w:val="en-US"/>
        </w:rPr>
        <w:t xml:space="preserve"> Court</w:t>
      </w:r>
      <w:r w:rsidR="00D12FF3" w:rsidRPr="000B65D9">
        <w:rPr>
          <w:rFonts w:ascii="Bookman Old Style" w:hAnsi="Bookman Old Style"/>
          <w:sz w:val="28"/>
          <w:szCs w:val="28"/>
          <w:lang w:val="en-US"/>
        </w:rPr>
        <w:t>,</w:t>
      </w:r>
      <w:r w:rsidRPr="000B65D9">
        <w:rPr>
          <w:rFonts w:ascii="Bookman Old Style" w:hAnsi="Bookman Old Style"/>
          <w:sz w:val="28"/>
          <w:szCs w:val="28"/>
          <w:lang w:val="en-US"/>
        </w:rPr>
        <w:t xml:space="preserve"> the appellant argued that the High Court had erred and misdirected itself by applying the mode of life test. The court </w:t>
      </w:r>
      <w:r w:rsidRPr="000B65D9">
        <w:rPr>
          <w:rFonts w:ascii="Bookman Old Style" w:hAnsi="Bookman Old Style"/>
          <w:sz w:val="28"/>
          <w:szCs w:val="28"/>
          <w:lang w:val="en-US"/>
        </w:rPr>
        <w:lastRenderedPageBreak/>
        <w:t xml:space="preserve">misconstrued the issue </w:t>
      </w:r>
      <w:r w:rsidR="00E44AAB" w:rsidRPr="000B65D9">
        <w:rPr>
          <w:rFonts w:ascii="Bookman Old Style" w:hAnsi="Bookman Old Style"/>
          <w:sz w:val="28"/>
          <w:szCs w:val="28"/>
          <w:lang w:val="en-US"/>
        </w:rPr>
        <w:t xml:space="preserve">that was at stake </w:t>
      </w:r>
      <w:r w:rsidRPr="000B65D9">
        <w:rPr>
          <w:rFonts w:ascii="Bookman Old Style" w:hAnsi="Bookman Old Style"/>
          <w:sz w:val="28"/>
          <w:szCs w:val="28"/>
          <w:lang w:val="en-US"/>
        </w:rPr>
        <w:t>and reached the wrong decision.</w:t>
      </w:r>
    </w:p>
    <w:p w14:paraId="78FE394C" w14:textId="40EE1BFF" w:rsidR="00DF14EE" w:rsidRPr="000B65D9" w:rsidRDefault="00DF14E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3375F2" w:rsidRPr="000B65D9">
        <w:rPr>
          <w:rFonts w:ascii="Bookman Old Style" w:hAnsi="Bookman Old Style"/>
          <w:sz w:val="28"/>
          <w:szCs w:val="28"/>
          <w:lang w:val="en-US"/>
        </w:rPr>
        <w:t>9</w:t>
      </w:r>
      <w:r w:rsidRPr="000B65D9">
        <w:rPr>
          <w:rFonts w:ascii="Bookman Old Style" w:hAnsi="Bookman Old Style"/>
          <w:sz w:val="28"/>
          <w:szCs w:val="28"/>
          <w:lang w:val="en-US"/>
        </w:rPr>
        <w:t>] The first respondent</w:t>
      </w:r>
      <w:r w:rsidR="00D81CDE" w:rsidRPr="000B65D9">
        <w:rPr>
          <w:rFonts w:ascii="Bookman Old Style" w:hAnsi="Bookman Old Style"/>
          <w:sz w:val="28"/>
          <w:szCs w:val="28"/>
          <w:lang w:val="en-US"/>
        </w:rPr>
        <w:t xml:space="preserve"> submits that in his founding affidavit the appellant </w:t>
      </w:r>
      <w:r w:rsidR="003375F2" w:rsidRPr="000B65D9">
        <w:rPr>
          <w:rFonts w:ascii="Bookman Old Style" w:hAnsi="Bookman Old Style"/>
          <w:sz w:val="28"/>
          <w:szCs w:val="28"/>
          <w:lang w:val="en-US"/>
        </w:rPr>
        <w:t xml:space="preserve">himself </w:t>
      </w:r>
      <w:r w:rsidR="00D81CDE" w:rsidRPr="000B65D9">
        <w:rPr>
          <w:rFonts w:ascii="Bookman Old Style" w:hAnsi="Bookman Old Style"/>
          <w:sz w:val="28"/>
          <w:szCs w:val="28"/>
          <w:lang w:val="en-US"/>
        </w:rPr>
        <w:t xml:space="preserve">alleged that his grandparents had </w:t>
      </w:r>
      <w:proofErr w:type="spellStart"/>
      <w:r w:rsidR="00D81CDE" w:rsidRPr="000B65D9">
        <w:rPr>
          <w:rFonts w:ascii="Bookman Old Style" w:hAnsi="Bookman Old Style"/>
          <w:sz w:val="28"/>
          <w:szCs w:val="28"/>
          <w:lang w:val="en-US"/>
        </w:rPr>
        <w:t>solemnised</w:t>
      </w:r>
      <w:proofErr w:type="spellEnd"/>
      <w:r w:rsidR="00D81CDE" w:rsidRPr="000B65D9">
        <w:rPr>
          <w:rFonts w:ascii="Bookman Old Style" w:hAnsi="Bookman Old Style"/>
          <w:sz w:val="28"/>
          <w:szCs w:val="28"/>
          <w:lang w:val="en-US"/>
        </w:rPr>
        <w:t xml:space="preserve"> their marriage under European law. They thus abandoned the customary marriage and adopted a civil rights regime.</w:t>
      </w:r>
    </w:p>
    <w:p w14:paraId="1F580D3E" w14:textId="5A7DDA7F" w:rsidR="00D81CDE" w:rsidRPr="000B65D9" w:rsidRDefault="00D81CD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3375F2" w:rsidRPr="000B65D9">
        <w:rPr>
          <w:rFonts w:ascii="Bookman Old Style" w:hAnsi="Bookman Old Style"/>
          <w:sz w:val="28"/>
          <w:szCs w:val="28"/>
          <w:lang w:val="en-US"/>
        </w:rPr>
        <w:t>10</w:t>
      </w:r>
      <w:r w:rsidRPr="000B65D9">
        <w:rPr>
          <w:rFonts w:ascii="Bookman Old Style" w:hAnsi="Bookman Old Style"/>
          <w:sz w:val="28"/>
          <w:szCs w:val="28"/>
          <w:lang w:val="en-US"/>
        </w:rPr>
        <w:t>] According to the first respondent, the appellant was present at a meeting called and chaired by the Assistant Master of the High Court, regarding the appointment of an executor. The nomination and appointment took place in his presence. The second respondent acted within her powers and the process was legally in order.</w:t>
      </w:r>
      <w:r w:rsidR="008435F0" w:rsidRPr="000B65D9">
        <w:rPr>
          <w:rFonts w:ascii="Bookman Old Style" w:hAnsi="Bookman Old Style"/>
          <w:sz w:val="28"/>
          <w:szCs w:val="28"/>
          <w:lang w:val="en-US"/>
        </w:rPr>
        <w:t xml:space="preserve"> The first respondent submits that the appellant confuses the appointment of an executor with the appointment of an executor.</w:t>
      </w:r>
    </w:p>
    <w:p w14:paraId="0826DC7E" w14:textId="683F1F5D" w:rsidR="00DF14EE" w:rsidRPr="000B65D9" w:rsidRDefault="00DF14E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3375F2" w:rsidRPr="000B65D9">
        <w:rPr>
          <w:rFonts w:ascii="Bookman Old Style" w:hAnsi="Bookman Old Style"/>
          <w:sz w:val="28"/>
          <w:szCs w:val="28"/>
          <w:lang w:val="en-US"/>
        </w:rPr>
        <w:t>11</w:t>
      </w:r>
      <w:r w:rsidRPr="000B65D9">
        <w:rPr>
          <w:rFonts w:ascii="Bookman Old Style" w:hAnsi="Bookman Old Style"/>
          <w:sz w:val="28"/>
          <w:szCs w:val="28"/>
          <w:lang w:val="en-US"/>
        </w:rPr>
        <w:t>] The second and third respondents</w:t>
      </w:r>
      <w:r w:rsidR="003375F2" w:rsidRPr="000B65D9">
        <w:rPr>
          <w:rFonts w:ascii="Bookman Old Style" w:hAnsi="Bookman Old Style"/>
          <w:sz w:val="28"/>
          <w:szCs w:val="28"/>
          <w:lang w:val="en-US"/>
        </w:rPr>
        <w:t xml:space="preserve"> </w:t>
      </w:r>
      <w:r w:rsidR="000B2BDF" w:rsidRPr="000B65D9">
        <w:rPr>
          <w:rFonts w:ascii="Bookman Old Style" w:hAnsi="Bookman Old Style"/>
          <w:sz w:val="28"/>
          <w:szCs w:val="28"/>
          <w:lang w:val="en-US"/>
        </w:rPr>
        <w:t>presented similar arguments.</w:t>
      </w:r>
    </w:p>
    <w:p w14:paraId="085B9E9C" w14:textId="322672A4" w:rsidR="00DF14EE" w:rsidRPr="000B65D9" w:rsidRDefault="00DF14EE" w:rsidP="000B65D9">
      <w:pPr>
        <w:spacing w:line="360" w:lineRule="auto"/>
        <w:jc w:val="both"/>
        <w:rPr>
          <w:rFonts w:ascii="Bookman Old Style" w:hAnsi="Bookman Old Style"/>
          <w:sz w:val="28"/>
          <w:szCs w:val="28"/>
          <w:lang w:val="en-US"/>
        </w:rPr>
      </w:pPr>
      <w:r w:rsidRPr="000B65D9">
        <w:rPr>
          <w:rFonts w:ascii="Bookman Old Style" w:hAnsi="Bookman Old Style"/>
          <w:b/>
          <w:bCs/>
          <w:sz w:val="28"/>
          <w:szCs w:val="28"/>
          <w:lang w:val="en-US"/>
        </w:rPr>
        <w:t xml:space="preserve">High Court judgment </w:t>
      </w:r>
    </w:p>
    <w:p w14:paraId="3383801D" w14:textId="4939646C" w:rsidR="00DF14EE" w:rsidRPr="000B65D9" w:rsidRDefault="00DF14E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0B2BDF" w:rsidRPr="000B65D9">
        <w:rPr>
          <w:rFonts w:ascii="Bookman Old Style" w:hAnsi="Bookman Old Style"/>
          <w:sz w:val="28"/>
          <w:szCs w:val="28"/>
          <w:lang w:val="en-US"/>
        </w:rPr>
        <w:t>12</w:t>
      </w:r>
      <w:r w:rsidRPr="000B65D9">
        <w:rPr>
          <w:rFonts w:ascii="Bookman Old Style" w:hAnsi="Bookman Old Style"/>
          <w:sz w:val="28"/>
          <w:szCs w:val="28"/>
          <w:lang w:val="en-US"/>
        </w:rPr>
        <w:t>] The High Court dismissed the application</w:t>
      </w:r>
      <w:r w:rsidR="003F230E" w:rsidRPr="000B65D9">
        <w:rPr>
          <w:rFonts w:ascii="Bookman Old Style" w:hAnsi="Bookman Old Style"/>
          <w:sz w:val="28"/>
          <w:szCs w:val="28"/>
          <w:lang w:val="en-US"/>
        </w:rPr>
        <w:t>. It dealt with several points, including the failure of the appellant to</w:t>
      </w:r>
      <w:r w:rsidR="000B2BDF" w:rsidRPr="000B65D9">
        <w:rPr>
          <w:rFonts w:ascii="Bookman Old Style" w:hAnsi="Bookman Old Style"/>
          <w:sz w:val="28"/>
          <w:szCs w:val="28"/>
          <w:lang w:val="en-US"/>
        </w:rPr>
        <w:t xml:space="preserve"> dis</w:t>
      </w:r>
      <w:r w:rsidR="003F230E" w:rsidRPr="000B65D9">
        <w:rPr>
          <w:rFonts w:ascii="Bookman Old Style" w:hAnsi="Bookman Old Style"/>
          <w:sz w:val="28"/>
          <w:szCs w:val="28"/>
          <w:lang w:val="en-US"/>
        </w:rPr>
        <w:t>close all relevant facts</w:t>
      </w:r>
      <w:r w:rsidR="00D12FF3" w:rsidRPr="000B65D9">
        <w:rPr>
          <w:rFonts w:ascii="Bookman Old Style" w:hAnsi="Bookman Old Style"/>
          <w:sz w:val="28"/>
          <w:szCs w:val="28"/>
          <w:lang w:val="en-US"/>
        </w:rPr>
        <w:t xml:space="preserve"> about his own involvement in the process of the appointment of an executor. He participated in the appointment and did not complain. </w:t>
      </w:r>
    </w:p>
    <w:p w14:paraId="5084A374" w14:textId="432474E0" w:rsidR="003F230E" w:rsidRPr="000B65D9" w:rsidRDefault="003F230E"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0B2BDF" w:rsidRPr="000B65D9">
        <w:rPr>
          <w:rFonts w:ascii="Bookman Old Style" w:hAnsi="Bookman Old Style"/>
          <w:sz w:val="28"/>
          <w:szCs w:val="28"/>
          <w:lang w:val="en-US"/>
        </w:rPr>
        <w:t>13</w:t>
      </w:r>
      <w:r w:rsidRPr="000B65D9">
        <w:rPr>
          <w:rFonts w:ascii="Bookman Old Style" w:hAnsi="Bookman Old Style"/>
          <w:sz w:val="28"/>
          <w:szCs w:val="28"/>
          <w:lang w:val="en-US"/>
        </w:rPr>
        <w:t>] The court specifically dealt with the question of non-joinder</w:t>
      </w:r>
      <w:r w:rsidR="007922A3" w:rsidRPr="000B65D9">
        <w:rPr>
          <w:rFonts w:ascii="Bookman Old Style" w:hAnsi="Bookman Old Style"/>
          <w:sz w:val="28"/>
          <w:szCs w:val="28"/>
          <w:lang w:val="en-US"/>
        </w:rPr>
        <w:t xml:space="preserve">, raised </w:t>
      </w:r>
      <w:r w:rsidR="007922A3" w:rsidRPr="000B65D9">
        <w:rPr>
          <w:rFonts w:ascii="Bookman Old Style" w:hAnsi="Bookman Old Style"/>
          <w:i/>
          <w:iCs/>
          <w:sz w:val="28"/>
          <w:szCs w:val="28"/>
          <w:lang w:val="en-US"/>
        </w:rPr>
        <w:t xml:space="preserve">in </w:t>
      </w:r>
      <w:proofErr w:type="spellStart"/>
      <w:r w:rsidR="007922A3" w:rsidRPr="000B65D9">
        <w:rPr>
          <w:rFonts w:ascii="Bookman Old Style" w:hAnsi="Bookman Old Style"/>
          <w:i/>
          <w:iCs/>
          <w:sz w:val="28"/>
          <w:szCs w:val="28"/>
          <w:lang w:val="en-US"/>
        </w:rPr>
        <w:t>limine</w:t>
      </w:r>
      <w:proofErr w:type="spellEnd"/>
      <w:r w:rsidR="007922A3" w:rsidRPr="000B65D9">
        <w:rPr>
          <w:rFonts w:ascii="Bookman Old Style" w:hAnsi="Bookman Old Style"/>
          <w:sz w:val="28"/>
          <w:szCs w:val="28"/>
          <w:lang w:val="en-US"/>
        </w:rPr>
        <w:t xml:space="preserve"> by the respondents</w:t>
      </w:r>
      <w:r w:rsidRPr="000B65D9">
        <w:rPr>
          <w:rFonts w:ascii="Bookman Old Style" w:hAnsi="Bookman Old Style"/>
          <w:sz w:val="28"/>
          <w:szCs w:val="28"/>
          <w:lang w:val="en-US"/>
        </w:rPr>
        <w:t xml:space="preserve">. </w:t>
      </w:r>
      <w:r w:rsidR="007922A3" w:rsidRPr="000B65D9">
        <w:rPr>
          <w:rFonts w:ascii="Bookman Old Style" w:hAnsi="Bookman Old Style"/>
          <w:sz w:val="28"/>
          <w:szCs w:val="28"/>
          <w:lang w:val="en-US"/>
        </w:rPr>
        <w:t xml:space="preserve">The appellant did not join the deceased’s estate, as well as </w:t>
      </w:r>
      <w:proofErr w:type="spellStart"/>
      <w:r w:rsidR="007922A3" w:rsidRPr="000B65D9">
        <w:rPr>
          <w:rFonts w:ascii="Bookman Old Style" w:hAnsi="Bookman Old Style"/>
          <w:sz w:val="28"/>
          <w:szCs w:val="28"/>
          <w:lang w:val="en-US"/>
        </w:rPr>
        <w:t>Leratang</w:t>
      </w:r>
      <w:proofErr w:type="spellEnd"/>
      <w:r w:rsidR="007922A3" w:rsidRPr="000B65D9">
        <w:rPr>
          <w:rFonts w:ascii="Bookman Old Style" w:hAnsi="Bookman Old Style"/>
          <w:sz w:val="28"/>
          <w:szCs w:val="28"/>
          <w:lang w:val="en-US"/>
        </w:rPr>
        <w:t xml:space="preserve"> </w:t>
      </w:r>
      <w:proofErr w:type="spellStart"/>
      <w:r w:rsidR="007922A3" w:rsidRPr="000B65D9">
        <w:rPr>
          <w:rFonts w:ascii="Bookman Old Style" w:hAnsi="Bookman Old Style"/>
          <w:sz w:val="28"/>
          <w:szCs w:val="28"/>
          <w:lang w:val="en-US"/>
        </w:rPr>
        <w:t>Ntoampe</w:t>
      </w:r>
      <w:proofErr w:type="spellEnd"/>
      <w:r w:rsidR="007922A3" w:rsidRPr="000B65D9">
        <w:rPr>
          <w:rFonts w:ascii="Bookman Old Style" w:hAnsi="Bookman Old Style"/>
          <w:sz w:val="28"/>
          <w:szCs w:val="28"/>
          <w:lang w:val="en-US"/>
        </w:rPr>
        <w:t xml:space="preserve"> and </w:t>
      </w:r>
      <w:proofErr w:type="spellStart"/>
      <w:r w:rsidR="007922A3" w:rsidRPr="000B65D9">
        <w:rPr>
          <w:rFonts w:ascii="Bookman Old Style" w:hAnsi="Bookman Old Style"/>
          <w:sz w:val="28"/>
          <w:szCs w:val="28"/>
          <w:lang w:val="en-US"/>
        </w:rPr>
        <w:t>Mmookho</w:t>
      </w:r>
      <w:proofErr w:type="spellEnd"/>
      <w:r w:rsidR="007922A3" w:rsidRPr="000B65D9">
        <w:rPr>
          <w:rFonts w:ascii="Bookman Old Style" w:hAnsi="Bookman Old Style"/>
          <w:sz w:val="28"/>
          <w:szCs w:val="28"/>
          <w:lang w:val="en-US"/>
        </w:rPr>
        <w:t xml:space="preserve"> </w:t>
      </w:r>
      <w:proofErr w:type="spellStart"/>
      <w:r w:rsidR="007922A3" w:rsidRPr="000B65D9">
        <w:rPr>
          <w:rFonts w:ascii="Bookman Old Style" w:hAnsi="Bookman Old Style"/>
          <w:sz w:val="28"/>
          <w:szCs w:val="28"/>
          <w:lang w:val="en-US"/>
        </w:rPr>
        <w:t>Ntoampe</w:t>
      </w:r>
      <w:proofErr w:type="spellEnd"/>
      <w:r w:rsidR="007922A3" w:rsidRPr="000B65D9">
        <w:rPr>
          <w:rFonts w:ascii="Bookman Old Style" w:hAnsi="Bookman Old Style"/>
          <w:sz w:val="28"/>
          <w:szCs w:val="28"/>
          <w:lang w:val="en-US"/>
        </w:rPr>
        <w:t xml:space="preserve">, the </w:t>
      </w:r>
      <w:r w:rsidR="00D12FF3" w:rsidRPr="000B65D9">
        <w:rPr>
          <w:rFonts w:ascii="Bookman Old Style" w:hAnsi="Bookman Old Style"/>
          <w:sz w:val="28"/>
          <w:szCs w:val="28"/>
          <w:lang w:val="en-US"/>
        </w:rPr>
        <w:t xml:space="preserve">appellant’s </w:t>
      </w:r>
      <w:r w:rsidR="007922A3" w:rsidRPr="000B65D9">
        <w:rPr>
          <w:rFonts w:ascii="Bookman Old Style" w:hAnsi="Bookman Old Style"/>
          <w:sz w:val="28"/>
          <w:szCs w:val="28"/>
          <w:lang w:val="en-US"/>
        </w:rPr>
        <w:t xml:space="preserve">aunts who reported the estate to the </w:t>
      </w:r>
      <w:r w:rsidR="007922A3" w:rsidRPr="000B65D9">
        <w:rPr>
          <w:rFonts w:ascii="Bookman Old Style" w:hAnsi="Bookman Old Style"/>
          <w:sz w:val="28"/>
          <w:szCs w:val="28"/>
          <w:lang w:val="en-US"/>
        </w:rPr>
        <w:lastRenderedPageBreak/>
        <w:t>second respondent</w:t>
      </w:r>
      <w:r w:rsidR="000B2BDF" w:rsidRPr="000B65D9">
        <w:rPr>
          <w:rFonts w:ascii="Bookman Old Style" w:hAnsi="Bookman Old Style"/>
          <w:sz w:val="28"/>
          <w:szCs w:val="28"/>
          <w:lang w:val="en-US"/>
        </w:rPr>
        <w:t>, who</w:t>
      </w:r>
      <w:r w:rsidR="006C4EAB" w:rsidRPr="000B65D9">
        <w:rPr>
          <w:rFonts w:ascii="Bookman Old Style" w:hAnsi="Bookman Old Style"/>
          <w:sz w:val="28"/>
          <w:szCs w:val="28"/>
          <w:lang w:val="en-US"/>
        </w:rPr>
        <w:t xml:space="preserve"> were referred to </w:t>
      </w:r>
      <w:r w:rsidR="00CF50CF" w:rsidRPr="000B65D9">
        <w:rPr>
          <w:rFonts w:ascii="Bookman Old Style" w:hAnsi="Bookman Old Style"/>
          <w:sz w:val="28"/>
          <w:szCs w:val="28"/>
          <w:lang w:val="en-US"/>
        </w:rPr>
        <w:t xml:space="preserve">by the appellant in his founding affidavit. </w:t>
      </w:r>
      <w:r w:rsidR="00242AD4" w:rsidRPr="000B65D9">
        <w:rPr>
          <w:rFonts w:ascii="Bookman Old Style" w:hAnsi="Bookman Old Style"/>
          <w:sz w:val="28"/>
          <w:szCs w:val="28"/>
          <w:lang w:val="en-US"/>
        </w:rPr>
        <w:t xml:space="preserve"> The court </w:t>
      </w:r>
      <w:r w:rsidR="000B2BDF" w:rsidRPr="000B65D9">
        <w:rPr>
          <w:rFonts w:ascii="Bookman Old Style" w:hAnsi="Bookman Old Style"/>
          <w:sz w:val="28"/>
          <w:szCs w:val="28"/>
          <w:lang w:val="en-US"/>
        </w:rPr>
        <w:t>found the non-joinder as</w:t>
      </w:r>
      <w:r w:rsidR="00242AD4" w:rsidRPr="000B65D9">
        <w:rPr>
          <w:rFonts w:ascii="Bookman Old Style" w:hAnsi="Bookman Old Style"/>
          <w:sz w:val="28"/>
          <w:szCs w:val="28"/>
          <w:lang w:val="en-US"/>
        </w:rPr>
        <w:t xml:space="preserve"> fatal. </w:t>
      </w:r>
    </w:p>
    <w:p w14:paraId="2871E170" w14:textId="668337E4" w:rsidR="0058361A" w:rsidRPr="000B65D9" w:rsidRDefault="00DE2DE7" w:rsidP="000B65D9">
      <w:pPr>
        <w:spacing w:line="360" w:lineRule="auto"/>
        <w:jc w:val="both"/>
        <w:rPr>
          <w:rFonts w:ascii="Bookman Old Style" w:hAnsi="Bookman Old Style"/>
          <w:b/>
          <w:bCs/>
          <w:sz w:val="28"/>
          <w:szCs w:val="28"/>
          <w:lang w:val="en-US"/>
        </w:rPr>
      </w:pPr>
      <w:r w:rsidRPr="000B65D9">
        <w:rPr>
          <w:rFonts w:ascii="Bookman Old Style" w:hAnsi="Bookman Old Style"/>
          <w:sz w:val="28"/>
          <w:szCs w:val="28"/>
          <w:lang w:val="en-US"/>
        </w:rPr>
        <w:t>[</w:t>
      </w:r>
      <w:r w:rsidR="000B2BDF" w:rsidRPr="000B65D9">
        <w:rPr>
          <w:rFonts w:ascii="Bookman Old Style" w:hAnsi="Bookman Old Style"/>
          <w:sz w:val="28"/>
          <w:szCs w:val="28"/>
          <w:lang w:val="en-US"/>
        </w:rPr>
        <w:t>14</w:t>
      </w:r>
      <w:r w:rsidRPr="000B65D9">
        <w:rPr>
          <w:rFonts w:ascii="Bookman Old Style" w:hAnsi="Bookman Old Style"/>
          <w:sz w:val="28"/>
          <w:szCs w:val="28"/>
          <w:lang w:val="en-US"/>
        </w:rPr>
        <w:t>]</w:t>
      </w:r>
      <w:r w:rsidRPr="000B65D9">
        <w:rPr>
          <w:rFonts w:ascii="Bookman Old Style" w:hAnsi="Bookman Old Style"/>
          <w:b/>
          <w:bCs/>
          <w:sz w:val="28"/>
          <w:szCs w:val="28"/>
          <w:lang w:val="en-US"/>
        </w:rPr>
        <w:t xml:space="preserve"> </w:t>
      </w:r>
      <w:r w:rsidR="000B2BDF" w:rsidRPr="000B65D9">
        <w:rPr>
          <w:rFonts w:ascii="Bookman Old Style" w:hAnsi="Bookman Old Style"/>
          <w:sz w:val="28"/>
          <w:szCs w:val="28"/>
          <w:lang w:val="en-US"/>
        </w:rPr>
        <w:t>Like t</w:t>
      </w:r>
      <w:r w:rsidR="00242AD4" w:rsidRPr="000B65D9">
        <w:rPr>
          <w:rFonts w:ascii="Bookman Old Style" w:hAnsi="Bookman Old Style"/>
          <w:sz w:val="28"/>
          <w:szCs w:val="28"/>
          <w:lang w:val="en-US"/>
        </w:rPr>
        <w:t xml:space="preserve">he High Court’s </w:t>
      </w:r>
      <w:r w:rsidR="000B2BDF" w:rsidRPr="000B65D9">
        <w:rPr>
          <w:rFonts w:ascii="Bookman Old Style" w:hAnsi="Bookman Old Style"/>
          <w:sz w:val="28"/>
          <w:szCs w:val="28"/>
          <w:lang w:val="en-US"/>
        </w:rPr>
        <w:t xml:space="preserve">other </w:t>
      </w:r>
      <w:r w:rsidR="00242AD4" w:rsidRPr="000B65D9">
        <w:rPr>
          <w:rFonts w:ascii="Bookman Old Style" w:hAnsi="Bookman Old Style"/>
          <w:sz w:val="28"/>
          <w:szCs w:val="28"/>
          <w:lang w:val="en-US"/>
        </w:rPr>
        <w:t>finding</w:t>
      </w:r>
      <w:r w:rsidR="000B2BDF" w:rsidRPr="000B65D9">
        <w:rPr>
          <w:rFonts w:ascii="Bookman Old Style" w:hAnsi="Bookman Old Style"/>
          <w:sz w:val="28"/>
          <w:szCs w:val="28"/>
          <w:lang w:val="en-US"/>
        </w:rPr>
        <w:t>s, its conclusion</w:t>
      </w:r>
      <w:r w:rsidR="00242AD4" w:rsidRPr="000B65D9">
        <w:rPr>
          <w:rFonts w:ascii="Bookman Old Style" w:hAnsi="Bookman Old Style"/>
          <w:sz w:val="28"/>
          <w:szCs w:val="28"/>
          <w:lang w:val="en-US"/>
        </w:rPr>
        <w:t xml:space="preserve"> regarding the non-joinder is also attacked by the appellant</w:t>
      </w:r>
      <w:r w:rsidRPr="000B65D9">
        <w:rPr>
          <w:rFonts w:ascii="Bookman Old Style" w:hAnsi="Bookman Old Style"/>
          <w:sz w:val="28"/>
          <w:szCs w:val="28"/>
          <w:lang w:val="en-US"/>
        </w:rPr>
        <w:t xml:space="preserve"> as a ground of appeal.</w:t>
      </w:r>
    </w:p>
    <w:p w14:paraId="57CE1AA4" w14:textId="7606D2CC" w:rsidR="00242AD4" w:rsidRPr="000B65D9" w:rsidRDefault="00242AD4" w:rsidP="000B65D9">
      <w:pPr>
        <w:spacing w:line="36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Non-joinder</w:t>
      </w:r>
    </w:p>
    <w:p w14:paraId="7ED1CFDF" w14:textId="218ACE12" w:rsidR="00242AD4" w:rsidRPr="000B65D9" w:rsidRDefault="00242AD4"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0B2BDF" w:rsidRPr="000B65D9">
        <w:rPr>
          <w:rFonts w:ascii="Bookman Old Style" w:hAnsi="Bookman Old Style"/>
          <w:sz w:val="28"/>
          <w:szCs w:val="28"/>
          <w:lang w:val="en-US"/>
        </w:rPr>
        <w:t>15</w:t>
      </w:r>
      <w:r w:rsidRPr="000B65D9">
        <w:rPr>
          <w:rFonts w:ascii="Bookman Old Style" w:hAnsi="Bookman Old Style"/>
          <w:sz w:val="28"/>
          <w:szCs w:val="28"/>
          <w:lang w:val="en-US"/>
        </w:rPr>
        <w:t xml:space="preserve">] </w:t>
      </w:r>
      <w:r w:rsidR="008435F0" w:rsidRPr="000B65D9">
        <w:rPr>
          <w:rFonts w:ascii="Bookman Old Style" w:hAnsi="Bookman Old Style"/>
          <w:sz w:val="28"/>
          <w:szCs w:val="28"/>
          <w:lang w:val="en-US"/>
        </w:rPr>
        <w:t xml:space="preserve">The parties argued at length about customary law and civil </w:t>
      </w:r>
      <w:proofErr w:type="spellStart"/>
      <w:r w:rsidR="008435F0" w:rsidRPr="000B65D9">
        <w:rPr>
          <w:rFonts w:ascii="Bookman Old Style" w:hAnsi="Bookman Old Style"/>
          <w:sz w:val="28"/>
          <w:szCs w:val="28"/>
          <w:lang w:val="en-US"/>
        </w:rPr>
        <w:t>rites</w:t>
      </w:r>
      <w:proofErr w:type="spellEnd"/>
      <w:r w:rsidR="008435F0" w:rsidRPr="000B65D9">
        <w:rPr>
          <w:rFonts w:ascii="Bookman Old Style" w:hAnsi="Bookman Old Style"/>
          <w:sz w:val="28"/>
          <w:szCs w:val="28"/>
          <w:lang w:val="en-US"/>
        </w:rPr>
        <w:t xml:space="preserve"> marriage</w:t>
      </w:r>
      <w:r w:rsidR="000B2BDF" w:rsidRPr="000B65D9">
        <w:rPr>
          <w:rFonts w:ascii="Bookman Old Style" w:hAnsi="Bookman Old Style"/>
          <w:sz w:val="28"/>
          <w:szCs w:val="28"/>
          <w:lang w:val="en-US"/>
        </w:rPr>
        <w:t>s</w:t>
      </w:r>
      <w:r w:rsidR="008435F0" w:rsidRPr="000B65D9">
        <w:rPr>
          <w:rFonts w:ascii="Bookman Old Style" w:hAnsi="Bookman Old Style"/>
          <w:sz w:val="28"/>
          <w:szCs w:val="28"/>
          <w:lang w:val="en-US"/>
        </w:rPr>
        <w:t xml:space="preserve">, including on points like the appropriateness of the mode of life test.  </w:t>
      </w:r>
      <w:r w:rsidRPr="000B65D9">
        <w:rPr>
          <w:rFonts w:ascii="Bookman Old Style" w:hAnsi="Bookman Old Style"/>
          <w:sz w:val="28"/>
          <w:szCs w:val="28"/>
          <w:lang w:val="en-US"/>
        </w:rPr>
        <w:t xml:space="preserve">Should the High Court be correct on the relevance of the non-joinder, </w:t>
      </w:r>
      <w:r w:rsidR="008435F0" w:rsidRPr="000B65D9">
        <w:rPr>
          <w:rFonts w:ascii="Bookman Old Style" w:hAnsi="Bookman Old Style"/>
          <w:sz w:val="28"/>
          <w:szCs w:val="28"/>
          <w:lang w:val="en-US"/>
        </w:rPr>
        <w:t>however</w:t>
      </w:r>
      <w:r w:rsidR="007922A3" w:rsidRPr="000B65D9">
        <w:rPr>
          <w:rFonts w:ascii="Bookman Old Style" w:hAnsi="Bookman Old Style"/>
          <w:sz w:val="28"/>
          <w:szCs w:val="28"/>
          <w:lang w:val="en-US"/>
        </w:rPr>
        <w:t xml:space="preserve">, </w:t>
      </w:r>
      <w:r w:rsidRPr="000B65D9">
        <w:rPr>
          <w:rFonts w:ascii="Bookman Old Style" w:hAnsi="Bookman Old Style"/>
          <w:sz w:val="28"/>
          <w:szCs w:val="28"/>
          <w:lang w:val="en-US"/>
        </w:rPr>
        <w:t>it would not be necessary for this Court to interrogate the other grounds of appeal. The application would be fatally flawed from the outset. Even if it were meritorious on other points, those would not be reached, because the process would be stopped in its tracks.</w:t>
      </w:r>
    </w:p>
    <w:p w14:paraId="460015F1" w14:textId="7A0E9E9E" w:rsidR="00242AD4" w:rsidRPr="000B65D9" w:rsidRDefault="00242AD4"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0B2BDF" w:rsidRPr="000B65D9">
        <w:rPr>
          <w:rFonts w:ascii="Bookman Old Style" w:hAnsi="Bookman Old Style"/>
          <w:sz w:val="28"/>
          <w:szCs w:val="28"/>
          <w:lang w:val="en-US"/>
        </w:rPr>
        <w:t>16</w:t>
      </w:r>
      <w:r w:rsidRPr="000B65D9">
        <w:rPr>
          <w:rFonts w:ascii="Bookman Old Style" w:hAnsi="Bookman Old Style"/>
          <w:sz w:val="28"/>
          <w:szCs w:val="28"/>
          <w:lang w:val="en-US"/>
        </w:rPr>
        <w:t xml:space="preserve">] Before even reaching legal authority from case law and academic writings, </w:t>
      </w:r>
      <w:r w:rsidR="00A67BA4" w:rsidRPr="000B65D9">
        <w:rPr>
          <w:rFonts w:ascii="Bookman Old Style" w:hAnsi="Bookman Old Style"/>
          <w:sz w:val="28"/>
          <w:szCs w:val="28"/>
          <w:lang w:val="en-US"/>
        </w:rPr>
        <w:t xml:space="preserve">plain logic dictates that it is a crucial requirement in any fair litigation that all parties with an interest in a matter should be aware of and able to participate in it. A court of law is unable to render a fair judgment based on the law, without being aware of the views of all who are </w:t>
      </w:r>
      <w:r w:rsidR="00F0566F" w:rsidRPr="000B65D9">
        <w:rPr>
          <w:rFonts w:ascii="Bookman Old Style" w:hAnsi="Bookman Old Style"/>
          <w:sz w:val="28"/>
          <w:szCs w:val="28"/>
          <w:lang w:val="en-US"/>
        </w:rPr>
        <w:t>involved or</w:t>
      </w:r>
      <w:r w:rsidR="00A67BA4" w:rsidRPr="000B65D9">
        <w:rPr>
          <w:rFonts w:ascii="Bookman Old Style" w:hAnsi="Bookman Old Style"/>
          <w:sz w:val="28"/>
          <w:szCs w:val="28"/>
          <w:lang w:val="en-US"/>
        </w:rPr>
        <w:t xml:space="preserve"> may be </w:t>
      </w:r>
      <w:r w:rsidR="00E44AAB" w:rsidRPr="000B65D9">
        <w:rPr>
          <w:rFonts w:ascii="Bookman Old Style" w:hAnsi="Bookman Old Style"/>
          <w:sz w:val="28"/>
          <w:szCs w:val="28"/>
          <w:lang w:val="en-US"/>
        </w:rPr>
        <w:t xml:space="preserve">directly </w:t>
      </w:r>
      <w:r w:rsidR="00A67BA4" w:rsidRPr="000B65D9">
        <w:rPr>
          <w:rFonts w:ascii="Bookman Old Style" w:hAnsi="Bookman Old Style"/>
          <w:sz w:val="28"/>
          <w:szCs w:val="28"/>
          <w:lang w:val="en-US"/>
        </w:rPr>
        <w:t xml:space="preserve">affected by the dispute and its outcome. </w:t>
      </w:r>
      <w:r w:rsidR="00F0566F" w:rsidRPr="000B65D9">
        <w:rPr>
          <w:rFonts w:ascii="Bookman Old Style" w:hAnsi="Bookman Old Style"/>
          <w:sz w:val="28"/>
          <w:szCs w:val="28"/>
          <w:lang w:val="en-US"/>
        </w:rPr>
        <w:t>Of</w:t>
      </w:r>
      <w:r w:rsidR="00F0566F">
        <w:rPr>
          <w:rFonts w:ascii="Bookman Old Style" w:hAnsi="Bookman Old Style"/>
          <w:sz w:val="28"/>
          <w:szCs w:val="28"/>
          <w:lang w:val="en-US"/>
        </w:rPr>
        <w:t xml:space="preserve"> </w:t>
      </w:r>
      <w:r w:rsidR="00F0566F" w:rsidRPr="000B65D9">
        <w:rPr>
          <w:rFonts w:ascii="Bookman Old Style" w:hAnsi="Bookman Old Style"/>
          <w:sz w:val="28"/>
          <w:szCs w:val="28"/>
          <w:lang w:val="en-US"/>
        </w:rPr>
        <w:t>course,</w:t>
      </w:r>
      <w:r w:rsidR="000B2BDF" w:rsidRPr="000B65D9">
        <w:rPr>
          <w:rFonts w:ascii="Bookman Old Style" w:hAnsi="Bookman Old Style"/>
          <w:sz w:val="28"/>
          <w:szCs w:val="28"/>
          <w:lang w:val="en-US"/>
        </w:rPr>
        <w:t xml:space="preserve"> a court may not always have the benefit of all possibly relevant views. Respondents may choose, as they often do, to abide by the decision of the court. However, the opportunity to participate must be available. </w:t>
      </w:r>
    </w:p>
    <w:p w14:paraId="6C588EBC" w14:textId="2B0DA088" w:rsidR="00A67BA4" w:rsidRPr="000B65D9" w:rsidRDefault="00A67BA4"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0B2BDF" w:rsidRPr="000B65D9">
        <w:rPr>
          <w:rFonts w:ascii="Bookman Old Style" w:hAnsi="Bookman Old Style"/>
          <w:sz w:val="28"/>
          <w:szCs w:val="28"/>
          <w:lang w:val="en-US"/>
        </w:rPr>
        <w:t>17</w:t>
      </w:r>
      <w:r w:rsidRPr="000B65D9">
        <w:rPr>
          <w:rFonts w:ascii="Bookman Old Style" w:hAnsi="Bookman Old Style"/>
          <w:sz w:val="28"/>
          <w:szCs w:val="28"/>
          <w:lang w:val="en-US"/>
        </w:rPr>
        <w:t xml:space="preserve">] </w:t>
      </w:r>
      <w:r w:rsidR="006B52A3" w:rsidRPr="000B65D9">
        <w:rPr>
          <w:rFonts w:ascii="Bookman Old Style" w:hAnsi="Bookman Old Style"/>
          <w:sz w:val="28"/>
          <w:szCs w:val="28"/>
          <w:lang w:val="en-US"/>
        </w:rPr>
        <w:t>That the</w:t>
      </w:r>
      <w:r w:rsidR="006B52A3" w:rsidRPr="000B65D9">
        <w:rPr>
          <w:rFonts w:ascii="Bookman Old Style" w:hAnsi="Bookman Old Style"/>
          <w:b/>
          <w:bCs/>
          <w:sz w:val="28"/>
          <w:szCs w:val="28"/>
          <w:lang w:val="en-US"/>
        </w:rPr>
        <w:t xml:space="preserve"> </w:t>
      </w:r>
      <w:r w:rsidR="00D12916" w:rsidRPr="000B65D9">
        <w:rPr>
          <w:rFonts w:ascii="Bookman Old Style" w:hAnsi="Bookman Old Style"/>
          <w:sz w:val="28"/>
          <w:szCs w:val="28"/>
          <w:lang w:val="en-US"/>
        </w:rPr>
        <w:t xml:space="preserve">failure to join a party with a direct and substantial party to the dispute </w:t>
      </w:r>
      <w:r w:rsidR="000B2BDF" w:rsidRPr="000B65D9">
        <w:rPr>
          <w:rFonts w:ascii="Bookman Old Style" w:hAnsi="Bookman Old Style"/>
          <w:sz w:val="28"/>
          <w:szCs w:val="28"/>
          <w:lang w:val="en-US"/>
        </w:rPr>
        <w:t xml:space="preserve">can </w:t>
      </w:r>
      <w:r w:rsidR="00991666" w:rsidRPr="000B65D9">
        <w:rPr>
          <w:rFonts w:ascii="Bookman Old Style" w:hAnsi="Bookman Old Style"/>
          <w:sz w:val="28"/>
          <w:szCs w:val="28"/>
          <w:lang w:val="en-US"/>
        </w:rPr>
        <w:t>render the proceedings fatally defective</w:t>
      </w:r>
      <w:r w:rsidR="00E44AAB" w:rsidRPr="000B65D9">
        <w:rPr>
          <w:rFonts w:ascii="Bookman Old Style" w:hAnsi="Bookman Old Style"/>
          <w:sz w:val="28"/>
          <w:szCs w:val="28"/>
          <w:lang w:val="en-US"/>
        </w:rPr>
        <w:t>,</w:t>
      </w:r>
      <w:r w:rsidR="00991666" w:rsidRPr="000B65D9">
        <w:rPr>
          <w:rFonts w:ascii="Bookman Old Style" w:hAnsi="Bookman Old Style"/>
          <w:sz w:val="28"/>
          <w:szCs w:val="28"/>
          <w:lang w:val="en-US"/>
        </w:rPr>
        <w:t xml:space="preserve"> is </w:t>
      </w:r>
      <w:proofErr w:type="gramStart"/>
      <w:r w:rsidR="00991666" w:rsidRPr="000B65D9">
        <w:rPr>
          <w:rFonts w:ascii="Bookman Old Style" w:hAnsi="Bookman Old Style"/>
          <w:sz w:val="28"/>
          <w:szCs w:val="28"/>
          <w:lang w:val="en-US"/>
        </w:rPr>
        <w:lastRenderedPageBreak/>
        <w:t>fairly trite</w:t>
      </w:r>
      <w:proofErr w:type="gramEnd"/>
      <w:r w:rsidR="00991666" w:rsidRPr="000B65D9">
        <w:rPr>
          <w:rFonts w:ascii="Bookman Old Style" w:hAnsi="Bookman Old Style"/>
          <w:sz w:val="28"/>
          <w:szCs w:val="28"/>
          <w:lang w:val="en-US"/>
        </w:rPr>
        <w:t xml:space="preserve"> law. (See, </w:t>
      </w:r>
      <w:proofErr w:type="spellStart"/>
      <w:r w:rsidR="00991666" w:rsidRPr="000B65D9">
        <w:rPr>
          <w:rFonts w:ascii="Bookman Old Style" w:hAnsi="Bookman Old Style"/>
          <w:sz w:val="28"/>
          <w:szCs w:val="28"/>
          <w:lang w:val="en-US"/>
        </w:rPr>
        <w:t>eg</w:t>
      </w:r>
      <w:proofErr w:type="spellEnd"/>
      <w:r w:rsidR="00991666" w:rsidRPr="000B65D9">
        <w:rPr>
          <w:rFonts w:ascii="Bookman Old Style" w:hAnsi="Bookman Old Style"/>
          <w:sz w:val="28"/>
          <w:szCs w:val="28"/>
          <w:lang w:val="en-US"/>
        </w:rPr>
        <w:t xml:space="preserve">, </w:t>
      </w:r>
      <w:r w:rsidR="00991666" w:rsidRPr="000B65D9">
        <w:rPr>
          <w:rFonts w:ascii="Bookman Old Style" w:hAnsi="Bookman Old Style"/>
          <w:i/>
          <w:iCs/>
          <w:sz w:val="28"/>
          <w:szCs w:val="28"/>
          <w:lang w:val="en-US"/>
        </w:rPr>
        <w:t>Lesotho District of the United Church v</w:t>
      </w:r>
      <w:r w:rsidR="00991666" w:rsidRPr="000B65D9">
        <w:rPr>
          <w:rFonts w:ascii="Bookman Old Style" w:hAnsi="Bookman Old Style"/>
          <w:sz w:val="28"/>
          <w:szCs w:val="28"/>
          <w:lang w:val="en-US"/>
        </w:rPr>
        <w:t xml:space="preserve"> </w:t>
      </w:r>
      <w:r w:rsidR="00991666" w:rsidRPr="000B65D9">
        <w:rPr>
          <w:rFonts w:ascii="Bookman Old Style" w:hAnsi="Bookman Old Style"/>
          <w:i/>
          <w:iCs/>
          <w:sz w:val="28"/>
          <w:szCs w:val="28"/>
          <w:lang w:val="en-US"/>
        </w:rPr>
        <w:t xml:space="preserve">Reverend </w:t>
      </w:r>
      <w:proofErr w:type="spellStart"/>
      <w:r w:rsidR="00991666" w:rsidRPr="000B65D9">
        <w:rPr>
          <w:rFonts w:ascii="Bookman Old Style" w:hAnsi="Bookman Old Style"/>
          <w:i/>
          <w:iCs/>
          <w:sz w:val="28"/>
          <w:szCs w:val="28"/>
          <w:lang w:val="en-US"/>
        </w:rPr>
        <w:t>Moyeye</w:t>
      </w:r>
      <w:proofErr w:type="spellEnd"/>
      <w:r w:rsidR="00991666" w:rsidRPr="000B65D9">
        <w:rPr>
          <w:rFonts w:ascii="Bookman Old Style" w:hAnsi="Bookman Old Style"/>
          <w:i/>
          <w:iCs/>
          <w:sz w:val="28"/>
          <w:szCs w:val="28"/>
          <w:lang w:val="en-US"/>
        </w:rPr>
        <w:t xml:space="preserve"> and Others</w:t>
      </w:r>
      <w:r w:rsidR="00991666" w:rsidRPr="000B65D9">
        <w:rPr>
          <w:rFonts w:ascii="Bookman Old Style" w:hAnsi="Bookman Old Style"/>
          <w:sz w:val="28"/>
          <w:szCs w:val="28"/>
          <w:lang w:val="en-US"/>
        </w:rPr>
        <w:t xml:space="preserve"> LAC (2007-2008) 103</w:t>
      </w:r>
      <w:r w:rsidR="000B2BDF" w:rsidRPr="000B65D9">
        <w:rPr>
          <w:rFonts w:ascii="Bookman Old Style" w:hAnsi="Bookman Old Style"/>
          <w:sz w:val="28"/>
          <w:szCs w:val="28"/>
          <w:lang w:val="en-US"/>
        </w:rPr>
        <w:t>.</w:t>
      </w:r>
      <w:r w:rsidR="00991666" w:rsidRPr="000B65D9">
        <w:rPr>
          <w:rFonts w:ascii="Bookman Old Style" w:hAnsi="Bookman Old Style"/>
          <w:sz w:val="28"/>
          <w:szCs w:val="28"/>
          <w:lang w:val="en-US"/>
        </w:rPr>
        <w:t xml:space="preserve">) </w:t>
      </w:r>
    </w:p>
    <w:p w14:paraId="2D884AD7" w14:textId="1D7DE4F5" w:rsidR="00A67BA4" w:rsidRPr="000B65D9" w:rsidRDefault="00A67BA4" w:rsidP="000B65D9">
      <w:pPr>
        <w:spacing w:line="360" w:lineRule="auto"/>
        <w:jc w:val="both"/>
        <w:rPr>
          <w:rFonts w:ascii="Bookman Old Style" w:hAnsi="Bookman Old Style"/>
          <w:b/>
          <w:bCs/>
          <w:sz w:val="28"/>
          <w:szCs w:val="28"/>
          <w:lang w:val="en-US"/>
        </w:rPr>
      </w:pPr>
      <w:r w:rsidRPr="000B65D9">
        <w:rPr>
          <w:rFonts w:ascii="Bookman Old Style" w:hAnsi="Bookman Old Style"/>
          <w:sz w:val="28"/>
          <w:szCs w:val="28"/>
          <w:lang w:val="en-US"/>
        </w:rPr>
        <w:t>[</w:t>
      </w:r>
      <w:r w:rsidR="000B2BDF" w:rsidRPr="000B65D9">
        <w:rPr>
          <w:rFonts w:ascii="Bookman Old Style" w:hAnsi="Bookman Old Style"/>
          <w:sz w:val="28"/>
          <w:szCs w:val="28"/>
          <w:lang w:val="en-US"/>
        </w:rPr>
        <w:t>18</w:t>
      </w:r>
      <w:r w:rsidRPr="000B65D9">
        <w:rPr>
          <w:rFonts w:ascii="Bookman Old Style" w:hAnsi="Bookman Old Style"/>
          <w:sz w:val="28"/>
          <w:szCs w:val="28"/>
          <w:lang w:val="en-US"/>
        </w:rPr>
        <w:t xml:space="preserve">] In this case the </w:t>
      </w:r>
      <w:r w:rsidR="00991666" w:rsidRPr="000B65D9">
        <w:rPr>
          <w:rFonts w:ascii="Bookman Old Style" w:hAnsi="Bookman Old Style"/>
          <w:sz w:val="28"/>
          <w:szCs w:val="28"/>
          <w:lang w:val="en-US"/>
        </w:rPr>
        <w:t xml:space="preserve">two women who reported the estate to the second respondent were not joined. They are the appellant’s aunts and the deceased’s daughter and daughter-in-law. </w:t>
      </w:r>
      <w:r w:rsidRPr="000B65D9">
        <w:rPr>
          <w:rFonts w:ascii="Bookman Old Style" w:hAnsi="Bookman Old Style"/>
          <w:sz w:val="28"/>
          <w:szCs w:val="28"/>
          <w:lang w:val="en-US"/>
        </w:rPr>
        <w:t>The appellant argues that joining them was unnecessary</w:t>
      </w:r>
      <w:r w:rsidR="00DE2DE7" w:rsidRPr="000B65D9">
        <w:rPr>
          <w:rFonts w:ascii="Bookman Old Style" w:hAnsi="Bookman Old Style"/>
          <w:sz w:val="28"/>
          <w:szCs w:val="28"/>
          <w:lang w:val="en-US"/>
        </w:rPr>
        <w:t>, given the nature and focus of the application</w:t>
      </w:r>
      <w:r w:rsidR="00991666" w:rsidRPr="000B65D9">
        <w:rPr>
          <w:rFonts w:ascii="Bookman Old Style" w:hAnsi="Bookman Old Style"/>
          <w:sz w:val="28"/>
          <w:szCs w:val="28"/>
          <w:lang w:val="en-US"/>
        </w:rPr>
        <w:t>.</w:t>
      </w:r>
      <w:r w:rsidRPr="000B65D9">
        <w:rPr>
          <w:rFonts w:ascii="Bookman Old Style" w:hAnsi="Bookman Old Style"/>
          <w:sz w:val="28"/>
          <w:szCs w:val="28"/>
          <w:lang w:val="en-US"/>
        </w:rPr>
        <w:t xml:space="preserve"> </w:t>
      </w:r>
      <w:r w:rsidR="00DE2DE7" w:rsidRPr="000B65D9">
        <w:rPr>
          <w:rFonts w:ascii="Bookman Old Style" w:hAnsi="Bookman Old Style"/>
          <w:sz w:val="28"/>
          <w:szCs w:val="28"/>
          <w:lang w:val="en-US"/>
        </w:rPr>
        <w:t>I</w:t>
      </w:r>
      <w:r w:rsidR="00AC4FAD" w:rsidRPr="000B65D9">
        <w:rPr>
          <w:rFonts w:ascii="Bookman Old Style" w:hAnsi="Bookman Old Style"/>
          <w:sz w:val="28"/>
          <w:szCs w:val="28"/>
          <w:lang w:val="en-US"/>
        </w:rPr>
        <w:t xml:space="preserve">n the papers the second respondent mentions </w:t>
      </w:r>
      <w:r w:rsidR="00640837" w:rsidRPr="000B65D9">
        <w:rPr>
          <w:rFonts w:ascii="Bookman Old Style" w:hAnsi="Bookman Old Style"/>
          <w:sz w:val="28"/>
          <w:szCs w:val="28"/>
          <w:lang w:val="en-US"/>
        </w:rPr>
        <w:t xml:space="preserve">though </w:t>
      </w:r>
      <w:r w:rsidR="00AC4FAD" w:rsidRPr="000B65D9">
        <w:rPr>
          <w:rFonts w:ascii="Bookman Old Style" w:hAnsi="Bookman Old Style"/>
          <w:sz w:val="28"/>
          <w:szCs w:val="28"/>
          <w:lang w:val="en-US"/>
        </w:rPr>
        <w:t>that the</w:t>
      </w:r>
      <w:r w:rsidR="00DE2DE7" w:rsidRPr="000B65D9">
        <w:rPr>
          <w:rFonts w:ascii="Bookman Old Style" w:hAnsi="Bookman Old Style"/>
          <w:sz w:val="28"/>
          <w:szCs w:val="28"/>
          <w:lang w:val="en-US"/>
        </w:rPr>
        <w:t>ir</w:t>
      </w:r>
      <w:r w:rsidR="00AC4FAD" w:rsidRPr="000B65D9">
        <w:rPr>
          <w:rFonts w:ascii="Bookman Old Style" w:hAnsi="Bookman Old Style"/>
          <w:sz w:val="28"/>
          <w:szCs w:val="28"/>
          <w:lang w:val="en-US"/>
        </w:rPr>
        <w:t xml:space="preserve"> involvement and interest w</w:t>
      </w:r>
      <w:r w:rsidR="00DE2DE7" w:rsidRPr="000B65D9">
        <w:rPr>
          <w:rFonts w:ascii="Bookman Old Style" w:hAnsi="Bookman Old Style"/>
          <w:sz w:val="28"/>
          <w:szCs w:val="28"/>
          <w:lang w:val="en-US"/>
        </w:rPr>
        <w:t>ere</w:t>
      </w:r>
      <w:r w:rsidR="00AC4FAD" w:rsidRPr="000B65D9">
        <w:rPr>
          <w:rFonts w:ascii="Bookman Old Style" w:hAnsi="Bookman Old Style"/>
          <w:sz w:val="28"/>
          <w:szCs w:val="28"/>
          <w:lang w:val="en-US"/>
        </w:rPr>
        <w:t xml:space="preserve"> in fact brought to the attention of the appellant in a telephone conversation.</w:t>
      </w:r>
      <w:r w:rsidR="00AC4FAD" w:rsidRPr="000B65D9">
        <w:rPr>
          <w:rFonts w:ascii="Bookman Old Style" w:hAnsi="Bookman Old Style"/>
          <w:b/>
          <w:bCs/>
          <w:sz w:val="28"/>
          <w:szCs w:val="28"/>
          <w:lang w:val="en-US"/>
        </w:rPr>
        <w:t xml:space="preserve"> </w:t>
      </w:r>
      <w:r w:rsidR="00DE2DE7" w:rsidRPr="000B65D9">
        <w:rPr>
          <w:rFonts w:ascii="Bookman Old Style" w:hAnsi="Bookman Old Style"/>
          <w:sz w:val="28"/>
          <w:szCs w:val="28"/>
          <w:lang w:val="en-US"/>
        </w:rPr>
        <w:t xml:space="preserve">He was </w:t>
      </w:r>
      <w:proofErr w:type="gramStart"/>
      <w:r w:rsidR="00DE2DE7" w:rsidRPr="000B65D9">
        <w:rPr>
          <w:rFonts w:ascii="Bookman Old Style" w:hAnsi="Bookman Old Style"/>
          <w:sz w:val="28"/>
          <w:szCs w:val="28"/>
          <w:lang w:val="en-US"/>
        </w:rPr>
        <w:t>well aware</w:t>
      </w:r>
      <w:proofErr w:type="gramEnd"/>
      <w:r w:rsidR="00DE2DE7" w:rsidRPr="000B65D9">
        <w:rPr>
          <w:rFonts w:ascii="Bookman Old Style" w:hAnsi="Bookman Old Style"/>
          <w:b/>
          <w:bCs/>
          <w:sz w:val="28"/>
          <w:szCs w:val="28"/>
          <w:lang w:val="en-US"/>
        </w:rPr>
        <w:t xml:space="preserve"> </w:t>
      </w:r>
      <w:r w:rsidR="00DE2DE7" w:rsidRPr="000B65D9">
        <w:rPr>
          <w:rFonts w:ascii="Bookman Old Style" w:hAnsi="Bookman Old Style"/>
          <w:sz w:val="28"/>
          <w:szCs w:val="28"/>
          <w:lang w:val="en-US"/>
        </w:rPr>
        <w:t xml:space="preserve">of their </w:t>
      </w:r>
      <w:r w:rsidR="00353AAD" w:rsidRPr="000B65D9">
        <w:rPr>
          <w:rFonts w:ascii="Bookman Old Style" w:hAnsi="Bookman Old Style"/>
          <w:sz w:val="28"/>
          <w:szCs w:val="28"/>
          <w:lang w:val="en-US"/>
        </w:rPr>
        <w:t>relevance and interest.</w:t>
      </w:r>
    </w:p>
    <w:p w14:paraId="37EFC16E" w14:textId="77777777" w:rsidR="00640837" w:rsidRPr="000B65D9" w:rsidRDefault="00AC4FAD"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640837" w:rsidRPr="000B65D9">
        <w:rPr>
          <w:rFonts w:ascii="Bookman Old Style" w:hAnsi="Bookman Old Style"/>
          <w:sz w:val="28"/>
          <w:szCs w:val="28"/>
          <w:lang w:val="en-US"/>
        </w:rPr>
        <w:t>19</w:t>
      </w:r>
      <w:r w:rsidRPr="000B65D9">
        <w:rPr>
          <w:rFonts w:ascii="Bookman Old Style" w:hAnsi="Bookman Old Style"/>
          <w:sz w:val="28"/>
          <w:szCs w:val="28"/>
          <w:lang w:val="en-US"/>
        </w:rPr>
        <w:t>] The High Court was correct on th</w:t>
      </w:r>
      <w:r w:rsidR="00353AAD" w:rsidRPr="000B65D9">
        <w:rPr>
          <w:rFonts w:ascii="Bookman Old Style" w:hAnsi="Bookman Old Style"/>
          <w:sz w:val="28"/>
          <w:szCs w:val="28"/>
          <w:lang w:val="en-US"/>
        </w:rPr>
        <w:t>e fatality of the non-joinder</w:t>
      </w:r>
      <w:r w:rsidRPr="000B65D9">
        <w:rPr>
          <w:rFonts w:ascii="Bookman Old Style" w:hAnsi="Bookman Old Style"/>
          <w:sz w:val="28"/>
          <w:szCs w:val="28"/>
          <w:lang w:val="en-US"/>
        </w:rPr>
        <w:t xml:space="preserve">. </w:t>
      </w:r>
      <w:r w:rsidR="00D12FF3" w:rsidRPr="000B65D9">
        <w:rPr>
          <w:rFonts w:ascii="Bookman Old Style" w:hAnsi="Bookman Old Style"/>
          <w:sz w:val="28"/>
          <w:szCs w:val="28"/>
          <w:lang w:val="en-US"/>
        </w:rPr>
        <w:t xml:space="preserve">As close family members of the deceased, who also reported the estate to the second respondent, </w:t>
      </w:r>
      <w:proofErr w:type="spellStart"/>
      <w:r w:rsidR="00D12FF3" w:rsidRPr="000B65D9">
        <w:rPr>
          <w:rFonts w:ascii="Bookman Old Style" w:hAnsi="Bookman Old Style"/>
          <w:sz w:val="28"/>
          <w:szCs w:val="28"/>
          <w:lang w:val="en-US"/>
        </w:rPr>
        <w:t>Leratang</w:t>
      </w:r>
      <w:proofErr w:type="spellEnd"/>
      <w:r w:rsidR="00D12FF3" w:rsidRPr="000B65D9">
        <w:rPr>
          <w:rFonts w:ascii="Bookman Old Style" w:hAnsi="Bookman Old Style"/>
          <w:sz w:val="28"/>
          <w:szCs w:val="28"/>
          <w:lang w:val="en-US"/>
        </w:rPr>
        <w:t xml:space="preserve"> and </w:t>
      </w:r>
      <w:proofErr w:type="spellStart"/>
      <w:r w:rsidR="00D12FF3" w:rsidRPr="000B65D9">
        <w:rPr>
          <w:rFonts w:ascii="Bookman Old Style" w:hAnsi="Bookman Old Style"/>
          <w:sz w:val="28"/>
          <w:szCs w:val="28"/>
          <w:lang w:val="en-US"/>
        </w:rPr>
        <w:t>Mookho</w:t>
      </w:r>
      <w:proofErr w:type="spellEnd"/>
      <w:r w:rsidR="00D12FF3" w:rsidRPr="000B65D9">
        <w:rPr>
          <w:rFonts w:ascii="Bookman Old Style" w:hAnsi="Bookman Old Style"/>
          <w:sz w:val="28"/>
          <w:szCs w:val="28"/>
          <w:lang w:val="en-US"/>
        </w:rPr>
        <w:t xml:space="preserve"> </w:t>
      </w:r>
      <w:proofErr w:type="spellStart"/>
      <w:r w:rsidR="00D12FF3" w:rsidRPr="000B65D9">
        <w:rPr>
          <w:rFonts w:ascii="Bookman Old Style" w:hAnsi="Bookman Old Style"/>
          <w:sz w:val="28"/>
          <w:szCs w:val="28"/>
          <w:lang w:val="en-US"/>
        </w:rPr>
        <w:t>Ntoampe</w:t>
      </w:r>
      <w:proofErr w:type="spellEnd"/>
      <w:r w:rsidR="00D12FF3" w:rsidRPr="000B65D9">
        <w:rPr>
          <w:rFonts w:ascii="Bookman Old Style" w:hAnsi="Bookman Old Style"/>
          <w:sz w:val="28"/>
          <w:szCs w:val="28"/>
          <w:lang w:val="en-US"/>
        </w:rPr>
        <w:t xml:space="preserve"> had a clear and direct interest in </w:t>
      </w:r>
      <w:r w:rsidR="00640837" w:rsidRPr="000B65D9">
        <w:rPr>
          <w:rFonts w:ascii="Bookman Old Style" w:hAnsi="Bookman Old Style"/>
          <w:sz w:val="28"/>
          <w:szCs w:val="28"/>
          <w:lang w:val="en-US"/>
        </w:rPr>
        <w:t>litigation about the</w:t>
      </w:r>
      <w:r w:rsidR="002F2B0C" w:rsidRPr="000B65D9">
        <w:rPr>
          <w:rFonts w:ascii="Bookman Old Style" w:hAnsi="Bookman Old Style"/>
          <w:sz w:val="28"/>
          <w:szCs w:val="28"/>
          <w:lang w:val="en-US"/>
        </w:rPr>
        <w:t xml:space="preserve"> administration of the estate, the more so because the appellant</w:t>
      </w:r>
      <w:r w:rsidR="00640837" w:rsidRPr="000B65D9">
        <w:rPr>
          <w:rFonts w:ascii="Bookman Old Style" w:hAnsi="Bookman Old Style"/>
          <w:sz w:val="28"/>
          <w:szCs w:val="28"/>
          <w:lang w:val="en-US"/>
        </w:rPr>
        <w:t>’</w:t>
      </w:r>
      <w:r w:rsidR="002F2B0C" w:rsidRPr="000B65D9">
        <w:rPr>
          <w:rFonts w:ascii="Bookman Old Style" w:hAnsi="Bookman Old Style"/>
          <w:sz w:val="28"/>
          <w:szCs w:val="28"/>
          <w:lang w:val="en-US"/>
        </w:rPr>
        <w:t xml:space="preserve">s case is that the estate had already been dealt with under customary law and that he had been appointed as heir. </w:t>
      </w:r>
      <w:r w:rsidR="00640837" w:rsidRPr="000B65D9">
        <w:rPr>
          <w:rFonts w:ascii="Bookman Old Style" w:hAnsi="Bookman Old Style"/>
          <w:sz w:val="28"/>
          <w:szCs w:val="28"/>
          <w:lang w:val="en-US"/>
        </w:rPr>
        <w:t>T</w:t>
      </w:r>
      <w:r w:rsidR="00D12FF3" w:rsidRPr="000B65D9">
        <w:rPr>
          <w:rFonts w:ascii="Bookman Old Style" w:hAnsi="Bookman Old Style"/>
          <w:sz w:val="28"/>
          <w:szCs w:val="28"/>
          <w:lang w:val="en-US"/>
        </w:rPr>
        <w:t>hat there w</w:t>
      </w:r>
      <w:r w:rsidR="00353AAD" w:rsidRPr="000B65D9">
        <w:rPr>
          <w:rFonts w:ascii="Bookman Old Style" w:hAnsi="Bookman Old Style"/>
          <w:sz w:val="28"/>
          <w:szCs w:val="28"/>
          <w:lang w:val="en-US"/>
        </w:rPr>
        <w:t xml:space="preserve">ould be </w:t>
      </w:r>
      <w:r w:rsidR="00D12FF3" w:rsidRPr="000B65D9">
        <w:rPr>
          <w:rFonts w:ascii="Bookman Old Style" w:hAnsi="Bookman Old Style"/>
          <w:sz w:val="28"/>
          <w:szCs w:val="28"/>
          <w:lang w:val="en-US"/>
        </w:rPr>
        <w:t>no need to join them in the proceedings</w:t>
      </w:r>
      <w:r w:rsidR="00640837" w:rsidRPr="000B65D9">
        <w:rPr>
          <w:rFonts w:ascii="Bookman Old Style" w:hAnsi="Bookman Old Style"/>
          <w:sz w:val="28"/>
          <w:szCs w:val="28"/>
          <w:lang w:val="en-US"/>
        </w:rPr>
        <w:t>, is quite unthinkable</w:t>
      </w:r>
      <w:r w:rsidR="00D12FF3" w:rsidRPr="000B65D9">
        <w:rPr>
          <w:rFonts w:ascii="Bookman Old Style" w:hAnsi="Bookman Old Style"/>
          <w:sz w:val="28"/>
          <w:szCs w:val="28"/>
          <w:lang w:val="en-US"/>
        </w:rPr>
        <w:t>.</w:t>
      </w:r>
    </w:p>
    <w:p w14:paraId="699E3FA0" w14:textId="77777777" w:rsidR="00F0566F" w:rsidRDefault="00F0566F" w:rsidP="000B65D9">
      <w:pPr>
        <w:spacing w:line="360" w:lineRule="auto"/>
        <w:jc w:val="both"/>
        <w:rPr>
          <w:rFonts w:ascii="Bookman Old Style" w:hAnsi="Bookman Old Style"/>
          <w:b/>
          <w:bCs/>
          <w:sz w:val="28"/>
          <w:szCs w:val="28"/>
          <w:lang w:val="en-US"/>
        </w:rPr>
      </w:pPr>
    </w:p>
    <w:p w14:paraId="3621DFCD" w14:textId="77777777" w:rsidR="00F0566F" w:rsidRDefault="00F0566F" w:rsidP="000B65D9">
      <w:pPr>
        <w:spacing w:line="360" w:lineRule="auto"/>
        <w:jc w:val="both"/>
        <w:rPr>
          <w:rFonts w:ascii="Bookman Old Style" w:hAnsi="Bookman Old Style"/>
          <w:b/>
          <w:bCs/>
          <w:sz w:val="28"/>
          <w:szCs w:val="28"/>
          <w:lang w:val="en-US"/>
        </w:rPr>
      </w:pPr>
    </w:p>
    <w:p w14:paraId="07B23E78" w14:textId="76FBD4DB" w:rsidR="005E08C3" w:rsidRPr="000B65D9" w:rsidRDefault="0058361A" w:rsidP="000B65D9">
      <w:pPr>
        <w:spacing w:line="360" w:lineRule="auto"/>
        <w:jc w:val="both"/>
        <w:rPr>
          <w:rFonts w:ascii="Bookman Old Style" w:hAnsi="Bookman Old Style"/>
          <w:sz w:val="28"/>
          <w:szCs w:val="28"/>
          <w:lang w:val="en-US"/>
        </w:rPr>
      </w:pPr>
      <w:r w:rsidRPr="000B65D9">
        <w:rPr>
          <w:rFonts w:ascii="Bookman Old Style" w:hAnsi="Bookman Old Style"/>
          <w:b/>
          <w:bCs/>
          <w:sz w:val="28"/>
          <w:szCs w:val="28"/>
          <w:lang w:val="en-US"/>
        </w:rPr>
        <w:t>Conclusion</w:t>
      </w:r>
      <w:r w:rsidR="005E08C3" w:rsidRPr="000B65D9">
        <w:rPr>
          <w:rFonts w:ascii="Bookman Old Style" w:hAnsi="Bookman Old Style"/>
          <w:b/>
          <w:bCs/>
          <w:sz w:val="28"/>
          <w:szCs w:val="28"/>
          <w:lang w:val="en-US"/>
        </w:rPr>
        <w:t xml:space="preserve"> </w:t>
      </w:r>
    </w:p>
    <w:p w14:paraId="6CC94F6A" w14:textId="7B313B85" w:rsidR="0058361A" w:rsidRPr="000B65D9" w:rsidRDefault="00A67BA4"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640837" w:rsidRPr="000B65D9">
        <w:rPr>
          <w:rFonts w:ascii="Bookman Old Style" w:hAnsi="Bookman Old Style"/>
          <w:sz w:val="28"/>
          <w:szCs w:val="28"/>
          <w:lang w:val="en-US"/>
        </w:rPr>
        <w:t>20</w:t>
      </w:r>
      <w:r w:rsidRPr="000B65D9">
        <w:rPr>
          <w:rFonts w:ascii="Bookman Old Style" w:hAnsi="Bookman Old Style"/>
          <w:sz w:val="28"/>
          <w:szCs w:val="28"/>
          <w:lang w:val="en-US"/>
        </w:rPr>
        <w:t xml:space="preserve">] The inevitable conclusion is that the High Court cannot be faulted for finding that the non-joinder was fatal for the appellant’s </w:t>
      </w:r>
      <w:r w:rsidR="00525EF0" w:rsidRPr="000B65D9">
        <w:rPr>
          <w:rFonts w:ascii="Bookman Old Style" w:hAnsi="Bookman Old Style"/>
          <w:sz w:val="28"/>
          <w:szCs w:val="28"/>
          <w:lang w:val="en-US"/>
        </w:rPr>
        <w:t>application. It is not necessary for this Court to deal with the court’s other findings and the appellant’s attack on them.</w:t>
      </w:r>
    </w:p>
    <w:p w14:paraId="01BB22FD" w14:textId="1063016C" w:rsidR="00525EF0" w:rsidRPr="000B65D9" w:rsidRDefault="00525EF0"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lastRenderedPageBreak/>
        <w:t>[</w:t>
      </w:r>
      <w:r w:rsidR="00640837" w:rsidRPr="000B65D9">
        <w:rPr>
          <w:rFonts w:ascii="Bookman Old Style" w:hAnsi="Bookman Old Style"/>
          <w:sz w:val="28"/>
          <w:szCs w:val="28"/>
          <w:lang w:val="en-US"/>
        </w:rPr>
        <w:t>21</w:t>
      </w:r>
      <w:r w:rsidRPr="000B65D9">
        <w:rPr>
          <w:rFonts w:ascii="Bookman Old Style" w:hAnsi="Bookman Old Style"/>
          <w:sz w:val="28"/>
          <w:szCs w:val="28"/>
          <w:lang w:val="en-US"/>
        </w:rPr>
        <w:t xml:space="preserve">] The appeal must fail. There is no reason why costs should not follow the result. </w:t>
      </w:r>
    </w:p>
    <w:p w14:paraId="4FE5707E" w14:textId="0DF6B0B1" w:rsidR="0058361A" w:rsidRPr="000B65D9" w:rsidRDefault="0058361A" w:rsidP="000B65D9">
      <w:pPr>
        <w:spacing w:line="360" w:lineRule="auto"/>
        <w:jc w:val="both"/>
        <w:rPr>
          <w:rFonts w:ascii="Bookman Old Style" w:hAnsi="Bookman Old Style"/>
          <w:b/>
          <w:bCs/>
          <w:sz w:val="28"/>
          <w:szCs w:val="28"/>
          <w:lang w:val="en-US"/>
        </w:rPr>
      </w:pPr>
      <w:r w:rsidRPr="000B65D9">
        <w:rPr>
          <w:rFonts w:ascii="Bookman Old Style" w:hAnsi="Bookman Old Style"/>
          <w:b/>
          <w:bCs/>
          <w:sz w:val="28"/>
          <w:szCs w:val="28"/>
          <w:lang w:val="en-US"/>
        </w:rPr>
        <w:t>Order</w:t>
      </w:r>
    </w:p>
    <w:p w14:paraId="2298F036" w14:textId="3D578A9E" w:rsidR="00525EF0" w:rsidRPr="000B65D9" w:rsidRDefault="00525EF0" w:rsidP="000B65D9">
      <w:pPr>
        <w:spacing w:line="360" w:lineRule="auto"/>
        <w:jc w:val="both"/>
        <w:rPr>
          <w:rFonts w:ascii="Bookman Old Style" w:hAnsi="Bookman Old Style"/>
          <w:sz w:val="28"/>
          <w:szCs w:val="28"/>
          <w:lang w:val="en-US"/>
        </w:rPr>
      </w:pPr>
      <w:r w:rsidRPr="000B65D9">
        <w:rPr>
          <w:rFonts w:ascii="Bookman Old Style" w:hAnsi="Bookman Old Style"/>
          <w:sz w:val="28"/>
          <w:szCs w:val="28"/>
          <w:lang w:val="en-US"/>
        </w:rPr>
        <w:t>[</w:t>
      </w:r>
      <w:r w:rsidR="00640837" w:rsidRPr="000B65D9">
        <w:rPr>
          <w:rFonts w:ascii="Bookman Old Style" w:hAnsi="Bookman Old Style"/>
          <w:sz w:val="28"/>
          <w:szCs w:val="28"/>
          <w:lang w:val="en-US"/>
        </w:rPr>
        <w:t>22</w:t>
      </w:r>
      <w:r w:rsidRPr="000B65D9">
        <w:rPr>
          <w:rFonts w:ascii="Bookman Old Style" w:hAnsi="Bookman Old Style"/>
          <w:sz w:val="28"/>
          <w:szCs w:val="28"/>
          <w:lang w:val="en-US"/>
        </w:rPr>
        <w:t>] In view of the above, the appeal is dismissed, with costs.</w:t>
      </w:r>
    </w:p>
    <w:p w14:paraId="31A78501" w14:textId="54B4F7C7" w:rsidR="00F0566F" w:rsidRPr="000B65D9" w:rsidRDefault="00F0566F" w:rsidP="00F0566F">
      <w:pPr>
        <w:spacing w:line="360" w:lineRule="auto"/>
        <w:jc w:val="center"/>
        <w:rPr>
          <w:rFonts w:ascii="Bookman Old Style" w:hAnsi="Bookman Old Style"/>
          <w:b/>
          <w:bCs/>
          <w:sz w:val="28"/>
          <w:szCs w:val="28"/>
          <w:lang w:val="en-US"/>
        </w:rPr>
      </w:pPr>
      <w:r>
        <w:rPr>
          <w:noProof/>
        </w:rPr>
        <w:drawing>
          <wp:inline distT="0" distB="0" distL="0" distR="0" wp14:anchorId="315983DE" wp14:editId="48147AB9">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63F73EA1" w14:textId="4C939A42" w:rsidR="002E336F" w:rsidRDefault="002E336F" w:rsidP="00F0566F">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________________________________</w:t>
      </w:r>
    </w:p>
    <w:p w14:paraId="5DFDAD24" w14:textId="1CB88348" w:rsidR="0058361A" w:rsidRDefault="0058361A" w:rsidP="00F0566F">
      <w:pPr>
        <w:spacing w:line="240" w:lineRule="auto"/>
        <w:jc w:val="center"/>
        <w:rPr>
          <w:rFonts w:ascii="Bookman Old Style" w:hAnsi="Bookman Old Style"/>
          <w:b/>
          <w:bCs/>
          <w:sz w:val="28"/>
          <w:szCs w:val="28"/>
          <w:lang w:val="en-US"/>
        </w:rPr>
      </w:pPr>
      <w:r w:rsidRPr="000B65D9">
        <w:rPr>
          <w:rFonts w:ascii="Bookman Old Style" w:hAnsi="Bookman Old Style"/>
          <w:b/>
          <w:bCs/>
          <w:sz w:val="28"/>
          <w:szCs w:val="28"/>
          <w:lang w:val="en-US"/>
        </w:rPr>
        <w:t xml:space="preserve">J VAN DER WESTHUIZEN </w:t>
      </w:r>
    </w:p>
    <w:p w14:paraId="765208A9" w14:textId="73B8CD04" w:rsidR="002E336F" w:rsidRPr="000B65D9" w:rsidRDefault="008D59AF" w:rsidP="00F0566F">
      <w:pPr>
        <w:spacing w:line="240" w:lineRule="auto"/>
        <w:jc w:val="center"/>
        <w:rPr>
          <w:rFonts w:ascii="Bookman Old Style" w:hAnsi="Bookman Old Style"/>
          <w:b/>
          <w:bCs/>
          <w:sz w:val="28"/>
          <w:szCs w:val="28"/>
          <w:lang w:val="en-US"/>
        </w:rPr>
      </w:pPr>
      <w:bookmarkStart w:id="1" w:name="_Hlk119009787"/>
      <w:r>
        <w:rPr>
          <w:rFonts w:ascii="Bookman Old Style" w:hAnsi="Bookman Old Style"/>
          <w:b/>
          <w:bCs/>
          <w:sz w:val="28"/>
          <w:szCs w:val="28"/>
          <w:lang w:val="en-US"/>
        </w:rPr>
        <w:t>ACTING JUSTICE OF APPEAL</w:t>
      </w:r>
    </w:p>
    <w:bookmarkEnd w:id="1"/>
    <w:p w14:paraId="0F9D5046" w14:textId="0B9B19A0" w:rsidR="0058361A" w:rsidRPr="00F0566F" w:rsidRDefault="0058361A" w:rsidP="00F0566F">
      <w:pPr>
        <w:spacing w:line="240" w:lineRule="auto"/>
        <w:jc w:val="both"/>
        <w:rPr>
          <w:rFonts w:ascii="Bookman Old Style" w:hAnsi="Bookman Old Style"/>
          <w:sz w:val="28"/>
          <w:szCs w:val="28"/>
          <w:lang w:val="en-US"/>
        </w:rPr>
      </w:pPr>
      <w:r w:rsidRPr="00F0566F">
        <w:rPr>
          <w:rFonts w:ascii="Bookman Old Style" w:hAnsi="Bookman Old Style"/>
          <w:sz w:val="28"/>
          <w:szCs w:val="28"/>
          <w:lang w:val="en-US"/>
        </w:rPr>
        <w:t>I agree:</w:t>
      </w:r>
    </w:p>
    <w:p w14:paraId="507080C7" w14:textId="421EEB89" w:rsidR="00F0566F" w:rsidRDefault="00F0566F" w:rsidP="00F0566F">
      <w:pPr>
        <w:spacing w:line="240" w:lineRule="auto"/>
        <w:jc w:val="center"/>
        <w:rPr>
          <w:rFonts w:ascii="Bookman Old Style" w:hAnsi="Bookman Old Style"/>
          <w:sz w:val="28"/>
          <w:szCs w:val="28"/>
          <w:lang w:val="en-US"/>
        </w:rPr>
      </w:pPr>
      <w:r>
        <w:rPr>
          <w:noProof/>
        </w:rPr>
        <w:drawing>
          <wp:inline distT="0" distB="0" distL="0" distR="0" wp14:anchorId="373EB765" wp14:editId="7C0E623F">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14:paraId="1D3196FA" w14:textId="2CABA89E" w:rsidR="008D59AF" w:rsidRPr="002F13DB" w:rsidRDefault="008D59AF" w:rsidP="00F0566F">
      <w:pPr>
        <w:spacing w:line="240" w:lineRule="auto"/>
        <w:jc w:val="center"/>
        <w:rPr>
          <w:rFonts w:ascii="Bookman Old Style" w:hAnsi="Bookman Old Style"/>
          <w:sz w:val="28"/>
          <w:szCs w:val="28"/>
          <w:lang w:val="en-US"/>
        </w:rPr>
      </w:pPr>
      <w:r w:rsidRPr="002F13DB">
        <w:rPr>
          <w:rFonts w:ascii="Bookman Old Style" w:hAnsi="Bookman Old Style"/>
          <w:sz w:val="28"/>
          <w:szCs w:val="28"/>
          <w:lang w:val="en-US"/>
        </w:rPr>
        <w:t>______________________</w:t>
      </w:r>
    </w:p>
    <w:p w14:paraId="2FD1A4B7" w14:textId="77777777" w:rsidR="008D59AF" w:rsidRDefault="0058361A" w:rsidP="00F0566F">
      <w:pPr>
        <w:spacing w:line="240" w:lineRule="auto"/>
        <w:jc w:val="center"/>
        <w:rPr>
          <w:rFonts w:ascii="Bookman Old Style" w:hAnsi="Bookman Old Style"/>
          <w:b/>
          <w:bCs/>
          <w:sz w:val="28"/>
          <w:szCs w:val="28"/>
          <w:lang w:val="en-US"/>
        </w:rPr>
      </w:pPr>
      <w:r w:rsidRPr="000B65D9">
        <w:rPr>
          <w:rFonts w:ascii="Bookman Old Style" w:hAnsi="Bookman Old Style"/>
          <w:b/>
          <w:bCs/>
          <w:sz w:val="28"/>
          <w:szCs w:val="28"/>
          <w:lang w:val="en-US"/>
        </w:rPr>
        <w:t xml:space="preserve">PT DAMASEB </w:t>
      </w:r>
    </w:p>
    <w:p w14:paraId="2735F995" w14:textId="5AA2D0E9" w:rsidR="0058361A" w:rsidRPr="000B65D9" w:rsidRDefault="008D59AF" w:rsidP="00F0566F">
      <w:pPr>
        <w:spacing w:line="240" w:lineRule="auto"/>
        <w:jc w:val="center"/>
        <w:rPr>
          <w:rFonts w:ascii="Bookman Old Style" w:hAnsi="Bookman Old Style"/>
          <w:b/>
          <w:bCs/>
          <w:sz w:val="28"/>
          <w:szCs w:val="28"/>
          <w:lang w:val="en-US"/>
        </w:rPr>
      </w:pPr>
      <w:r w:rsidRPr="008D59AF">
        <w:rPr>
          <w:rFonts w:ascii="Bookman Old Style" w:hAnsi="Bookman Old Style"/>
          <w:b/>
          <w:bCs/>
          <w:sz w:val="28"/>
          <w:szCs w:val="28"/>
          <w:lang w:val="en-US"/>
        </w:rPr>
        <w:t>ACTING JUSTICE OF APPEAL</w:t>
      </w:r>
    </w:p>
    <w:p w14:paraId="1CFFDFE4" w14:textId="77777777" w:rsidR="00F0566F" w:rsidRDefault="00F0566F" w:rsidP="00F0566F">
      <w:pPr>
        <w:spacing w:line="240" w:lineRule="auto"/>
        <w:jc w:val="both"/>
        <w:rPr>
          <w:rFonts w:ascii="Bookman Old Style" w:hAnsi="Bookman Old Style"/>
          <w:sz w:val="28"/>
          <w:szCs w:val="28"/>
          <w:lang w:val="en-US"/>
        </w:rPr>
      </w:pPr>
    </w:p>
    <w:p w14:paraId="0181BDA3" w14:textId="77777777" w:rsidR="00F0566F" w:rsidRDefault="00F0566F" w:rsidP="00F0566F">
      <w:pPr>
        <w:spacing w:line="240" w:lineRule="auto"/>
        <w:jc w:val="both"/>
        <w:rPr>
          <w:rFonts w:ascii="Bookman Old Style" w:hAnsi="Bookman Old Style"/>
          <w:sz w:val="28"/>
          <w:szCs w:val="28"/>
          <w:lang w:val="en-US"/>
        </w:rPr>
      </w:pPr>
    </w:p>
    <w:p w14:paraId="7555C6B3" w14:textId="77777777" w:rsidR="00F0566F" w:rsidRDefault="00F0566F" w:rsidP="00F0566F">
      <w:pPr>
        <w:spacing w:line="240" w:lineRule="auto"/>
        <w:jc w:val="both"/>
        <w:rPr>
          <w:rFonts w:ascii="Bookman Old Style" w:hAnsi="Bookman Old Style"/>
          <w:sz w:val="28"/>
          <w:szCs w:val="28"/>
          <w:lang w:val="en-US"/>
        </w:rPr>
      </w:pPr>
    </w:p>
    <w:p w14:paraId="0CF8E21E" w14:textId="77777777" w:rsidR="00F0566F" w:rsidRDefault="00F0566F" w:rsidP="00F0566F">
      <w:pPr>
        <w:spacing w:line="240" w:lineRule="auto"/>
        <w:jc w:val="both"/>
        <w:rPr>
          <w:rFonts w:ascii="Bookman Old Style" w:hAnsi="Bookman Old Style"/>
          <w:sz w:val="28"/>
          <w:szCs w:val="28"/>
          <w:lang w:val="en-US"/>
        </w:rPr>
      </w:pPr>
    </w:p>
    <w:p w14:paraId="0C31B7B8" w14:textId="77777777" w:rsidR="00F0566F" w:rsidRDefault="00F0566F" w:rsidP="00F0566F">
      <w:pPr>
        <w:spacing w:line="240" w:lineRule="auto"/>
        <w:jc w:val="both"/>
        <w:rPr>
          <w:rFonts w:ascii="Bookman Old Style" w:hAnsi="Bookman Old Style"/>
          <w:sz w:val="28"/>
          <w:szCs w:val="28"/>
          <w:lang w:val="en-US"/>
        </w:rPr>
      </w:pPr>
    </w:p>
    <w:p w14:paraId="4558E068" w14:textId="77777777" w:rsidR="00F0566F" w:rsidRDefault="00F0566F" w:rsidP="00F0566F">
      <w:pPr>
        <w:spacing w:line="240" w:lineRule="auto"/>
        <w:jc w:val="both"/>
        <w:rPr>
          <w:rFonts w:ascii="Bookman Old Style" w:hAnsi="Bookman Old Style"/>
          <w:sz w:val="28"/>
          <w:szCs w:val="28"/>
          <w:lang w:val="en-US"/>
        </w:rPr>
      </w:pPr>
    </w:p>
    <w:p w14:paraId="16476AAC" w14:textId="6A61CF41" w:rsidR="0058361A" w:rsidRDefault="0058361A" w:rsidP="00F0566F">
      <w:pPr>
        <w:spacing w:line="240" w:lineRule="auto"/>
        <w:jc w:val="both"/>
        <w:rPr>
          <w:rFonts w:ascii="Bookman Old Style" w:hAnsi="Bookman Old Style"/>
          <w:sz w:val="28"/>
          <w:szCs w:val="28"/>
          <w:lang w:val="en-US"/>
        </w:rPr>
      </w:pPr>
      <w:r w:rsidRPr="002F13DB">
        <w:rPr>
          <w:rFonts w:ascii="Bookman Old Style" w:hAnsi="Bookman Old Style"/>
          <w:sz w:val="28"/>
          <w:szCs w:val="28"/>
          <w:lang w:val="en-US"/>
        </w:rPr>
        <w:t>I agree:</w:t>
      </w:r>
    </w:p>
    <w:p w14:paraId="55425EEB" w14:textId="3711B7C8" w:rsidR="002F13DB" w:rsidRDefault="00F0566F" w:rsidP="00F0566F">
      <w:pPr>
        <w:spacing w:line="240" w:lineRule="auto"/>
        <w:jc w:val="center"/>
        <w:rPr>
          <w:rFonts w:ascii="Bookman Old Style" w:hAnsi="Bookman Old Style"/>
          <w:sz w:val="28"/>
          <w:szCs w:val="28"/>
          <w:lang w:val="en-US"/>
        </w:rPr>
      </w:pPr>
      <w:r w:rsidRPr="00BF2D89">
        <w:rPr>
          <w:noProof/>
        </w:rPr>
        <w:drawing>
          <wp:inline distT="0" distB="0" distL="0" distR="0" wp14:anchorId="3DC44541" wp14:editId="2DA1A109">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31A3F801" w14:textId="779D6411" w:rsidR="002F13DB" w:rsidRPr="002F13DB" w:rsidRDefault="002F13DB" w:rsidP="00F0566F">
      <w:pPr>
        <w:spacing w:line="240" w:lineRule="auto"/>
        <w:jc w:val="center"/>
        <w:rPr>
          <w:rFonts w:ascii="Bookman Old Style" w:hAnsi="Bookman Old Style"/>
          <w:sz w:val="28"/>
          <w:szCs w:val="28"/>
          <w:lang w:val="en-US"/>
        </w:rPr>
      </w:pPr>
      <w:r>
        <w:rPr>
          <w:rFonts w:ascii="Bookman Old Style" w:hAnsi="Bookman Old Style"/>
          <w:sz w:val="28"/>
          <w:szCs w:val="28"/>
          <w:lang w:val="en-US"/>
        </w:rPr>
        <w:t>______________________________</w:t>
      </w:r>
    </w:p>
    <w:p w14:paraId="1F16B4CF" w14:textId="77777777" w:rsidR="008D59AF" w:rsidRDefault="0058361A" w:rsidP="00F0566F">
      <w:pPr>
        <w:spacing w:line="240" w:lineRule="auto"/>
        <w:jc w:val="center"/>
        <w:rPr>
          <w:rFonts w:ascii="Bookman Old Style" w:hAnsi="Bookman Old Style"/>
          <w:b/>
          <w:bCs/>
          <w:sz w:val="28"/>
          <w:szCs w:val="28"/>
          <w:lang w:val="en-US"/>
        </w:rPr>
      </w:pPr>
      <w:r w:rsidRPr="000B65D9">
        <w:rPr>
          <w:rFonts w:ascii="Bookman Old Style" w:hAnsi="Bookman Old Style"/>
          <w:b/>
          <w:bCs/>
          <w:sz w:val="28"/>
          <w:szCs w:val="28"/>
          <w:lang w:val="en-US"/>
        </w:rPr>
        <w:t xml:space="preserve">NT MTSHIYA </w:t>
      </w:r>
    </w:p>
    <w:p w14:paraId="34EAC508" w14:textId="64B2B74A" w:rsidR="0058361A" w:rsidRPr="000B65D9" w:rsidRDefault="008D59AF" w:rsidP="00F0566F">
      <w:pPr>
        <w:spacing w:line="240" w:lineRule="auto"/>
        <w:jc w:val="center"/>
        <w:rPr>
          <w:rFonts w:ascii="Bookman Old Style" w:hAnsi="Bookman Old Style"/>
          <w:b/>
          <w:bCs/>
          <w:sz w:val="28"/>
          <w:szCs w:val="28"/>
          <w:lang w:val="en-US"/>
        </w:rPr>
      </w:pPr>
      <w:r w:rsidRPr="008D59AF">
        <w:rPr>
          <w:rFonts w:ascii="Bookman Old Style" w:hAnsi="Bookman Old Style"/>
          <w:b/>
          <w:bCs/>
          <w:sz w:val="28"/>
          <w:szCs w:val="28"/>
          <w:lang w:val="en-US"/>
        </w:rPr>
        <w:lastRenderedPageBreak/>
        <w:t>ACTING JUSTICE OF APPEAL</w:t>
      </w:r>
    </w:p>
    <w:p w14:paraId="6097D122" w14:textId="77777777" w:rsidR="0058361A" w:rsidRPr="000B65D9" w:rsidRDefault="0058361A" w:rsidP="00F0566F">
      <w:pPr>
        <w:spacing w:line="240" w:lineRule="auto"/>
        <w:jc w:val="both"/>
        <w:rPr>
          <w:rFonts w:ascii="Bookman Old Style" w:hAnsi="Bookman Old Style"/>
          <w:b/>
          <w:bCs/>
          <w:sz w:val="28"/>
          <w:szCs w:val="28"/>
          <w:lang w:val="en-US"/>
        </w:rPr>
      </w:pPr>
    </w:p>
    <w:p w14:paraId="78DED6C4" w14:textId="73BE5D15" w:rsidR="0058361A" w:rsidRPr="009612B3" w:rsidRDefault="0058361A" w:rsidP="00F0566F">
      <w:pPr>
        <w:spacing w:line="240" w:lineRule="auto"/>
        <w:jc w:val="both"/>
        <w:rPr>
          <w:rFonts w:ascii="Bookman Old Style" w:hAnsi="Bookman Old Style"/>
          <w:caps/>
          <w:sz w:val="28"/>
          <w:szCs w:val="28"/>
          <w:lang w:val="en-US"/>
        </w:rPr>
      </w:pPr>
      <w:r w:rsidRPr="009612B3">
        <w:rPr>
          <w:rFonts w:ascii="Bookman Old Style" w:hAnsi="Bookman Old Style"/>
          <w:b/>
          <w:bCs/>
          <w:caps/>
          <w:sz w:val="28"/>
          <w:szCs w:val="28"/>
          <w:lang w:val="en-US"/>
        </w:rPr>
        <w:t>For Appellant:</w:t>
      </w:r>
      <w:r w:rsidRPr="009612B3">
        <w:rPr>
          <w:rFonts w:ascii="Bookman Old Style" w:hAnsi="Bookman Old Style"/>
          <w:caps/>
          <w:sz w:val="28"/>
          <w:szCs w:val="28"/>
          <w:lang w:val="en-US"/>
        </w:rPr>
        <w:t xml:space="preserve"> </w:t>
      </w:r>
      <w:r w:rsidR="009612B3" w:rsidRPr="009612B3">
        <w:rPr>
          <w:rFonts w:ascii="Bookman Old Style" w:hAnsi="Bookman Old Style"/>
          <w:caps/>
          <w:sz w:val="28"/>
          <w:szCs w:val="28"/>
          <w:lang w:val="en-US"/>
        </w:rPr>
        <w:tab/>
      </w:r>
      <w:r w:rsidR="009612B3" w:rsidRPr="009612B3">
        <w:rPr>
          <w:rFonts w:ascii="Bookman Old Style" w:hAnsi="Bookman Old Style"/>
          <w:caps/>
          <w:sz w:val="28"/>
          <w:szCs w:val="28"/>
          <w:lang w:val="en-US"/>
        </w:rPr>
        <w:tab/>
      </w:r>
      <w:r w:rsidR="009612B3" w:rsidRPr="009612B3">
        <w:rPr>
          <w:rFonts w:ascii="Bookman Old Style" w:hAnsi="Bookman Old Style"/>
          <w:caps/>
          <w:sz w:val="28"/>
          <w:szCs w:val="28"/>
          <w:lang w:val="en-US"/>
        </w:rPr>
        <w:tab/>
      </w:r>
      <w:r w:rsidR="009612B3" w:rsidRPr="009612B3">
        <w:rPr>
          <w:rFonts w:ascii="Bookman Old Style" w:hAnsi="Bookman Old Style"/>
          <w:caps/>
          <w:sz w:val="28"/>
          <w:szCs w:val="28"/>
          <w:lang w:val="en-US"/>
        </w:rPr>
        <w:tab/>
      </w:r>
      <w:r w:rsidRPr="009612B3">
        <w:rPr>
          <w:rFonts w:ascii="Bookman Old Style" w:hAnsi="Bookman Old Style"/>
          <w:caps/>
          <w:sz w:val="28"/>
          <w:szCs w:val="28"/>
          <w:lang w:val="en-US"/>
        </w:rPr>
        <w:t>Adv Masoeu</w:t>
      </w:r>
    </w:p>
    <w:p w14:paraId="7A06DDFF" w14:textId="6905D86D" w:rsidR="0058361A" w:rsidRPr="009612B3" w:rsidRDefault="0058361A" w:rsidP="00F0566F">
      <w:pPr>
        <w:spacing w:line="240" w:lineRule="auto"/>
        <w:jc w:val="both"/>
        <w:rPr>
          <w:rFonts w:ascii="Bookman Old Style" w:hAnsi="Bookman Old Style"/>
          <w:caps/>
          <w:sz w:val="28"/>
          <w:szCs w:val="28"/>
          <w:lang w:val="en-US"/>
        </w:rPr>
      </w:pPr>
      <w:r w:rsidRPr="009612B3">
        <w:rPr>
          <w:rFonts w:ascii="Bookman Old Style" w:hAnsi="Bookman Old Style"/>
          <w:b/>
          <w:bCs/>
          <w:caps/>
          <w:sz w:val="28"/>
          <w:szCs w:val="28"/>
          <w:lang w:val="en-US"/>
        </w:rPr>
        <w:t>For 1</w:t>
      </w:r>
      <w:r w:rsidRPr="009612B3">
        <w:rPr>
          <w:rFonts w:ascii="Bookman Old Style" w:hAnsi="Bookman Old Style"/>
          <w:b/>
          <w:bCs/>
          <w:caps/>
          <w:sz w:val="28"/>
          <w:szCs w:val="28"/>
          <w:vertAlign w:val="superscript"/>
          <w:lang w:val="en-US"/>
        </w:rPr>
        <w:t>st</w:t>
      </w:r>
      <w:r w:rsidRPr="009612B3">
        <w:rPr>
          <w:rFonts w:ascii="Bookman Old Style" w:hAnsi="Bookman Old Style"/>
          <w:b/>
          <w:bCs/>
          <w:caps/>
          <w:sz w:val="28"/>
          <w:szCs w:val="28"/>
          <w:lang w:val="en-US"/>
        </w:rPr>
        <w:t xml:space="preserve"> Respondent:</w:t>
      </w:r>
      <w:r w:rsidRPr="009612B3">
        <w:rPr>
          <w:rFonts w:ascii="Bookman Old Style" w:hAnsi="Bookman Old Style"/>
          <w:caps/>
          <w:sz w:val="28"/>
          <w:szCs w:val="28"/>
          <w:lang w:val="en-US"/>
        </w:rPr>
        <w:t xml:space="preserve">  </w:t>
      </w:r>
      <w:r w:rsidR="009612B3" w:rsidRPr="009612B3">
        <w:rPr>
          <w:rFonts w:ascii="Bookman Old Style" w:hAnsi="Bookman Old Style"/>
          <w:caps/>
          <w:sz w:val="28"/>
          <w:szCs w:val="28"/>
          <w:lang w:val="en-US"/>
        </w:rPr>
        <w:tab/>
      </w:r>
      <w:r w:rsidR="009612B3" w:rsidRPr="009612B3">
        <w:rPr>
          <w:rFonts w:ascii="Bookman Old Style" w:hAnsi="Bookman Old Style"/>
          <w:caps/>
          <w:sz w:val="28"/>
          <w:szCs w:val="28"/>
          <w:lang w:val="en-US"/>
        </w:rPr>
        <w:tab/>
      </w:r>
      <w:r w:rsidR="009612B3" w:rsidRPr="009612B3">
        <w:rPr>
          <w:rFonts w:ascii="Bookman Old Style" w:hAnsi="Bookman Old Style"/>
          <w:caps/>
          <w:sz w:val="28"/>
          <w:szCs w:val="28"/>
          <w:lang w:val="en-US"/>
        </w:rPr>
        <w:tab/>
      </w:r>
      <w:r w:rsidRPr="009612B3">
        <w:rPr>
          <w:rFonts w:ascii="Bookman Old Style" w:hAnsi="Bookman Old Style"/>
          <w:caps/>
          <w:sz w:val="28"/>
          <w:szCs w:val="28"/>
          <w:lang w:val="en-US"/>
        </w:rPr>
        <w:t xml:space="preserve">Adv </w:t>
      </w:r>
      <w:r w:rsidR="00582A55" w:rsidRPr="009612B3">
        <w:rPr>
          <w:rFonts w:ascii="Bookman Old Style" w:hAnsi="Bookman Old Style"/>
          <w:caps/>
          <w:sz w:val="28"/>
          <w:szCs w:val="28"/>
          <w:lang w:val="en-US"/>
        </w:rPr>
        <w:t>PV Ts’enoli</w:t>
      </w:r>
    </w:p>
    <w:p w14:paraId="286541F6" w14:textId="204CB9B9" w:rsidR="00582A55" w:rsidRPr="009612B3" w:rsidRDefault="00582A55" w:rsidP="00F0566F">
      <w:pPr>
        <w:spacing w:line="240" w:lineRule="auto"/>
        <w:jc w:val="both"/>
        <w:rPr>
          <w:rFonts w:ascii="Bookman Old Style" w:hAnsi="Bookman Old Style"/>
          <w:caps/>
          <w:sz w:val="28"/>
          <w:szCs w:val="28"/>
          <w:lang w:val="en-US"/>
        </w:rPr>
      </w:pPr>
      <w:r w:rsidRPr="009612B3">
        <w:rPr>
          <w:rFonts w:ascii="Bookman Old Style" w:hAnsi="Bookman Old Style"/>
          <w:b/>
          <w:bCs/>
          <w:caps/>
          <w:sz w:val="28"/>
          <w:szCs w:val="28"/>
          <w:lang w:val="en-US"/>
        </w:rPr>
        <w:t>For 2</w:t>
      </w:r>
      <w:r w:rsidRPr="009612B3">
        <w:rPr>
          <w:rFonts w:ascii="Bookman Old Style" w:hAnsi="Bookman Old Style"/>
          <w:b/>
          <w:bCs/>
          <w:caps/>
          <w:sz w:val="28"/>
          <w:szCs w:val="28"/>
          <w:vertAlign w:val="superscript"/>
          <w:lang w:val="en-US"/>
        </w:rPr>
        <w:t>nd</w:t>
      </w:r>
      <w:r w:rsidRPr="009612B3">
        <w:rPr>
          <w:rFonts w:ascii="Bookman Old Style" w:hAnsi="Bookman Old Style"/>
          <w:b/>
          <w:bCs/>
          <w:caps/>
          <w:sz w:val="28"/>
          <w:szCs w:val="28"/>
          <w:lang w:val="en-US"/>
        </w:rPr>
        <w:t xml:space="preserve"> and 3</w:t>
      </w:r>
      <w:r w:rsidRPr="009612B3">
        <w:rPr>
          <w:rFonts w:ascii="Bookman Old Style" w:hAnsi="Bookman Old Style"/>
          <w:b/>
          <w:bCs/>
          <w:caps/>
          <w:sz w:val="28"/>
          <w:szCs w:val="28"/>
          <w:vertAlign w:val="superscript"/>
          <w:lang w:val="en-US"/>
        </w:rPr>
        <w:t>rd</w:t>
      </w:r>
      <w:r w:rsidRPr="009612B3">
        <w:rPr>
          <w:rFonts w:ascii="Bookman Old Style" w:hAnsi="Bookman Old Style"/>
          <w:b/>
          <w:bCs/>
          <w:caps/>
          <w:sz w:val="28"/>
          <w:szCs w:val="28"/>
          <w:lang w:val="en-US"/>
        </w:rPr>
        <w:t xml:space="preserve"> Respondent</w:t>
      </w:r>
      <w:r w:rsidR="004343D3" w:rsidRPr="009612B3">
        <w:rPr>
          <w:rFonts w:ascii="Bookman Old Style" w:hAnsi="Bookman Old Style"/>
          <w:b/>
          <w:bCs/>
          <w:caps/>
          <w:sz w:val="28"/>
          <w:szCs w:val="28"/>
          <w:lang w:val="en-US"/>
        </w:rPr>
        <w:t>s</w:t>
      </w:r>
      <w:r w:rsidRPr="009612B3">
        <w:rPr>
          <w:rFonts w:ascii="Bookman Old Style" w:hAnsi="Bookman Old Style"/>
          <w:b/>
          <w:bCs/>
          <w:caps/>
          <w:sz w:val="28"/>
          <w:szCs w:val="28"/>
          <w:lang w:val="en-US"/>
        </w:rPr>
        <w:t>:</w:t>
      </w:r>
      <w:r w:rsidRPr="009612B3">
        <w:rPr>
          <w:rFonts w:ascii="Bookman Old Style" w:hAnsi="Bookman Old Style"/>
          <w:caps/>
          <w:sz w:val="28"/>
          <w:szCs w:val="28"/>
          <w:lang w:val="en-US"/>
        </w:rPr>
        <w:t xml:space="preserve"> </w:t>
      </w:r>
      <w:r w:rsidR="009612B3" w:rsidRPr="009612B3">
        <w:rPr>
          <w:rFonts w:ascii="Bookman Old Style" w:hAnsi="Bookman Old Style"/>
          <w:caps/>
          <w:sz w:val="28"/>
          <w:szCs w:val="28"/>
          <w:lang w:val="en-US"/>
        </w:rPr>
        <w:tab/>
      </w:r>
      <w:r w:rsidRPr="009612B3">
        <w:rPr>
          <w:rFonts w:ascii="Bookman Old Style" w:hAnsi="Bookman Old Style"/>
          <w:caps/>
          <w:sz w:val="28"/>
          <w:szCs w:val="28"/>
          <w:lang w:val="en-US"/>
        </w:rPr>
        <w:t>Adv T Molise</w:t>
      </w:r>
    </w:p>
    <w:sectPr w:rsidR="00582A55" w:rsidRPr="009612B3" w:rsidSect="00F0566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BE7B" w14:textId="77777777" w:rsidR="00EE5087" w:rsidRDefault="00EE5087" w:rsidP="00F0566F">
      <w:pPr>
        <w:spacing w:after="0" w:line="240" w:lineRule="auto"/>
      </w:pPr>
      <w:r>
        <w:separator/>
      </w:r>
    </w:p>
  </w:endnote>
  <w:endnote w:type="continuationSeparator" w:id="0">
    <w:p w14:paraId="45DB33E8" w14:textId="77777777" w:rsidR="00EE5087" w:rsidRDefault="00EE5087" w:rsidP="00F0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7D43" w14:textId="77777777" w:rsidR="00EE5087" w:rsidRDefault="00EE5087" w:rsidP="00F0566F">
      <w:pPr>
        <w:spacing w:after="0" w:line="240" w:lineRule="auto"/>
      </w:pPr>
      <w:r>
        <w:separator/>
      </w:r>
    </w:p>
  </w:footnote>
  <w:footnote w:type="continuationSeparator" w:id="0">
    <w:p w14:paraId="5D09E32B" w14:textId="77777777" w:rsidR="00EE5087" w:rsidRDefault="00EE5087" w:rsidP="00F0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748277"/>
      <w:docPartObj>
        <w:docPartGallery w:val="Page Numbers (Top of Page)"/>
        <w:docPartUnique/>
      </w:docPartObj>
    </w:sdtPr>
    <w:sdtEndPr>
      <w:rPr>
        <w:noProof/>
      </w:rPr>
    </w:sdtEndPr>
    <w:sdtContent>
      <w:p w14:paraId="6E47E82B" w14:textId="2A866646" w:rsidR="00F0566F" w:rsidRDefault="00F0566F" w:rsidP="00F0566F">
        <w:pPr>
          <w:pStyle w:val="Header"/>
          <w:tabs>
            <w:tab w:val="left" w:pos="7080"/>
            <w:tab w:val="right" w:pos="9026"/>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6D2FCDA" w14:textId="77777777" w:rsidR="00F0566F" w:rsidRDefault="00F05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B1"/>
    <w:rsid w:val="000100CA"/>
    <w:rsid w:val="000B2BDF"/>
    <w:rsid w:val="000B369F"/>
    <w:rsid w:val="000B3FB1"/>
    <w:rsid w:val="000B65D9"/>
    <w:rsid w:val="00100D75"/>
    <w:rsid w:val="001105D9"/>
    <w:rsid w:val="001968FE"/>
    <w:rsid w:val="00235D33"/>
    <w:rsid w:val="00242AD4"/>
    <w:rsid w:val="00245BA2"/>
    <w:rsid w:val="0027131A"/>
    <w:rsid w:val="002B44A6"/>
    <w:rsid w:val="002E336F"/>
    <w:rsid w:val="002F13DB"/>
    <w:rsid w:val="002F2B0C"/>
    <w:rsid w:val="003375F2"/>
    <w:rsid w:val="00353AAD"/>
    <w:rsid w:val="003D653A"/>
    <w:rsid w:val="003E0FF1"/>
    <w:rsid w:val="003F230E"/>
    <w:rsid w:val="004343D3"/>
    <w:rsid w:val="00525EF0"/>
    <w:rsid w:val="00582A55"/>
    <w:rsid w:val="0058361A"/>
    <w:rsid w:val="005857A1"/>
    <w:rsid w:val="005E08C3"/>
    <w:rsid w:val="005E3A80"/>
    <w:rsid w:val="005F5144"/>
    <w:rsid w:val="0061523A"/>
    <w:rsid w:val="00640837"/>
    <w:rsid w:val="0066550C"/>
    <w:rsid w:val="006B52A3"/>
    <w:rsid w:val="006C4EAB"/>
    <w:rsid w:val="00705E8B"/>
    <w:rsid w:val="00747519"/>
    <w:rsid w:val="00771F45"/>
    <w:rsid w:val="007922A3"/>
    <w:rsid w:val="007B1E50"/>
    <w:rsid w:val="008062EC"/>
    <w:rsid w:val="008435F0"/>
    <w:rsid w:val="008570E0"/>
    <w:rsid w:val="008B7682"/>
    <w:rsid w:val="008D59AF"/>
    <w:rsid w:val="0090075C"/>
    <w:rsid w:val="00941F0B"/>
    <w:rsid w:val="009612B3"/>
    <w:rsid w:val="00972040"/>
    <w:rsid w:val="0097365B"/>
    <w:rsid w:val="00991666"/>
    <w:rsid w:val="00A4381E"/>
    <w:rsid w:val="00A45E91"/>
    <w:rsid w:val="00A67BA4"/>
    <w:rsid w:val="00AC2587"/>
    <w:rsid w:val="00AC4FAD"/>
    <w:rsid w:val="00B33A12"/>
    <w:rsid w:val="00CF50CF"/>
    <w:rsid w:val="00D12916"/>
    <w:rsid w:val="00D12FF3"/>
    <w:rsid w:val="00D81CDE"/>
    <w:rsid w:val="00DD5479"/>
    <w:rsid w:val="00DE2DE7"/>
    <w:rsid w:val="00DF14EE"/>
    <w:rsid w:val="00E44AAB"/>
    <w:rsid w:val="00E64509"/>
    <w:rsid w:val="00EE5087"/>
    <w:rsid w:val="00F0566F"/>
    <w:rsid w:val="00F25978"/>
    <w:rsid w:val="00FD5DE6"/>
    <w:rsid w:val="00FF3A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DC2E"/>
  <w15:chartTrackingRefBased/>
  <w15:docId w15:val="{3C5D5A6F-87E0-4A46-9012-C177E7CD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66F"/>
  </w:style>
  <w:style w:type="paragraph" w:styleId="Footer">
    <w:name w:val="footer"/>
    <w:basedOn w:val="Normal"/>
    <w:link w:val="FooterChar"/>
    <w:uiPriority w:val="99"/>
    <w:unhideWhenUsed/>
    <w:rsid w:val="00F05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dc:description/>
  <cp:lastModifiedBy>Relebohile Sehapi</cp:lastModifiedBy>
  <cp:revision>8</cp:revision>
  <dcterms:created xsi:type="dcterms:W3CDTF">2022-11-15T13:23:00Z</dcterms:created>
  <dcterms:modified xsi:type="dcterms:W3CDTF">2022-12-13T12:55:00Z</dcterms:modified>
</cp:coreProperties>
</file>