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EA0F" w14:textId="1C18B4B9" w:rsidR="00676AA2" w:rsidRPr="00F53EE7" w:rsidRDefault="0057016F" w:rsidP="00260381">
      <w:pPr>
        <w:spacing w:line="240" w:lineRule="auto"/>
        <w:jc w:val="center"/>
        <w:rPr>
          <w:rFonts w:ascii="Bookman Old Style" w:hAnsi="Bookman Old Style"/>
          <w:b/>
          <w:bCs/>
          <w:sz w:val="28"/>
          <w:szCs w:val="28"/>
          <w:lang w:val="en-US"/>
        </w:rPr>
      </w:pPr>
      <w:bookmarkStart w:id="0" w:name="_GoBack"/>
      <w:bookmarkEnd w:id="0"/>
      <w:r w:rsidRPr="00F53EE7">
        <w:rPr>
          <w:rFonts w:ascii="Bookman Old Style" w:hAnsi="Bookman Old Style"/>
          <w:b/>
          <w:bCs/>
          <w:sz w:val="28"/>
          <w:szCs w:val="28"/>
          <w:lang w:val="en-US"/>
        </w:rPr>
        <w:t xml:space="preserve">IN THE </w:t>
      </w:r>
      <w:r w:rsidR="00260381">
        <w:rPr>
          <w:rFonts w:ascii="Bookman Old Style" w:hAnsi="Bookman Old Style"/>
          <w:b/>
          <w:bCs/>
          <w:sz w:val="28"/>
          <w:szCs w:val="28"/>
          <w:lang w:val="en-US"/>
        </w:rPr>
        <w:t xml:space="preserve">COURT OF APPEAL </w:t>
      </w:r>
      <w:r w:rsidRPr="00F53EE7">
        <w:rPr>
          <w:rFonts w:ascii="Bookman Old Style" w:hAnsi="Bookman Old Style"/>
          <w:b/>
          <w:bCs/>
          <w:sz w:val="28"/>
          <w:szCs w:val="28"/>
          <w:lang w:val="en-US"/>
        </w:rPr>
        <w:t>OF LESOTHO</w:t>
      </w:r>
    </w:p>
    <w:p w14:paraId="3BDFEF4F" w14:textId="77777777" w:rsidR="00260381" w:rsidRDefault="0057016F"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 xml:space="preserve">HELD AT MASERU   </w:t>
      </w:r>
      <w:r w:rsidR="001416F8">
        <w:rPr>
          <w:rFonts w:ascii="Bookman Old Style" w:hAnsi="Bookman Old Style"/>
          <w:b/>
          <w:bCs/>
          <w:sz w:val="28"/>
          <w:szCs w:val="28"/>
          <w:lang w:val="en-US"/>
        </w:rPr>
        <w:tab/>
      </w:r>
      <w:r w:rsidR="001416F8">
        <w:rPr>
          <w:rFonts w:ascii="Bookman Old Style" w:hAnsi="Bookman Old Style"/>
          <w:b/>
          <w:bCs/>
          <w:sz w:val="28"/>
          <w:szCs w:val="28"/>
          <w:lang w:val="en-US"/>
        </w:rPr>
        <w:tab/>
      </w:r>
      <w:r w:rsidR="001416F8">
        <w:rPr>
          <w:rFonts w:ascii="Bookman Old Style" w:hAnsi="Bookman Old Style"/>
          <w:b/>
          <w:bCs/>
          <w:sz w:val="28"/>
          <w:szCs w:val="28"/>
          <w:lang w:val="en-US"/>
        </w:rPr>
        <w:tab/>
      </w:r>
      <w:r w:rsidR="001416F8">
        <w:rPr>
          <w:rFonts w:ascii="Bookman Old Style" w:hAnsi="Bookman Old Style"/>
          <w:b/>
          <w:bCs/>
          <w:sz w:val="28"/>
          <w:szCs w:val="28"/>
          <w:lang w:val="en-US"/>
        </w:rPr>
        <w:tab/>
      </w:r>
    </w:p>
    <w:p w14:paraId="517052BF" w14:textId="50585382" w:rsidR="005205A4" w:rsidRPr="00F53EE7" w:rsidRDefault="00F53EE7" w:rsidP="00260381">
      <w:pPr>
        <w:spacing w:line="240" w:lineRule="auto"/>
        <w:jc w:val="right"/>
        <w:rPr>
          <w:rFonts w:ascii="Bookman Old Style" w:hAnsi="Bookman Old Style"/>
          <w:b/>
          <w:bCs/>
          <w:sz w:val="28"/>
          <w:szCs w:val="28"/>
          <w:lang w:val="en-US"/>
        </w:rPr>
      </w:pPr>
      <w:r w:rsidRPr="00F53EE7">
        <w:rPr>
          <w:rFonts w:ascii="Bookman Old Style" w:hAnsi="Bookman Old Style"/>
          <w:b/>
          <w:bCs/>
          <w:sz w:val="28"/>
          <w:szCs w:val="28"/>
          <w:lang w:val="en-US"/>
        </w:rPr>
        <w:t xml:space="preserve">C of A (CIV) </w:t>
      </w:r>
      <w:bookmarkStart w:id="1" w:name="_Hlk119002284"/>
      <w:r w:rsidRPr="00F53EE7">
        <w:rPr>
          <w:rFonts w:ascii="Bookman Old Style" w:hAnsi="Bookman Old Style"/>
          <w:b/>
          <w:bCs/>
          <w:sz w:val="28"/>
          <w:szCs w:val="28"/>
          <w:lang w:val="en-US"/>
        </w:rPr>
        <w:t xml:space="preserve">38/2022                                                                               </w:t>
      </w:r>
      <w:bookmarkEnd w:id="1"/>
      <w:r w:rsidR="005205A4" w:rsidRPr="00F53EE7">
        <w:rPr>
          <w:rFonts w:ascii="Bookman Old Style" w:hAnsi="Bookman Old Style"/>
          <w:b/>
          <w:bCs/>
          <w:sz w:val="28"/>
          <w:szCs w:val="28"/>
          <w:lang w:val="en-US"/>
        </w:rPr>
        <w:t xml:space="preserve">                                                                                                                      </w:t>
      </w:r>
      <w:r w:rsidR="00EA1848" w:rsidRPr="00F53EE7">
        <w:rPr>
          <w:rFonts w:ascii="Bookman Old Style" w:hAnsi="Bookman Old Style"/>
          <w:b/>
          <w:bCs/>
          <w:sz w:val="28"/>
          <w:szCs w:val="28"/>
          <w:lang w:val="en-US"/>
        </w:rPr>
        <w:t xml:space="preserve">                            </w:t>
      </w:r>
      <w:r w:rsidR="005205A4" w:rsidRPr="00F53EE7">
        <w:rPr>
          <w:rFonts w:ascii="Bookman Old Style" w:hAnsi="Bookman Old Style"/>
          <w:b/>
          <w:bCs/>
          <w:sz w:val="28"/>
          <w:szCs w:val="28"/>
          <w:lang w:val="en-US"/>
        </w:rPr>
        <w:t>C</w:t>
      </w:r>
      <w:r w:rsidR="00EA1848" w:rsidRPr="00F53EE7">
        <w:rPr>
          <w:rFonts w:ascii="Bookman Old Style" w:hAnsi="Bookman Old Style"/>
          <w:b/>
          <w:bCs/>
          <w:sz w:val="28"/>
          <w:szCs w:val="28"/>
          <w:lang w:val="en-US"/>
        </w:rPr>
        <w:t>C/0011/2022</w:t>
      </w:r>
    </w:p>
    <w:p w14:paraId="1F3E45CF" w14:textId="32B3DC95" w:rsidR="005205A4" w:rsidRPr="00260381" w:rsidRDefault="005205A4"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In the matter between –</w:t>
      </w:r>
    </w:p>
    <w:p w14:paraId="6C6AAF57" w14:textId="454CE63F" w:rsidR="005205A4" w:rsidRPr="00F53EE7" w:rsidRDefault="005205A4"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TAU MAK</w:t>
      </w:r>
      <w:r w:rsidR="00260381">
        <w:rPr>
          <w:rFonts w:ascii="Bookman Old Style" w:hAnsi="Bookman Old Style"/>
          <w:b/>
          <w:bCs/>
          <w:sz w:val="28"/>
          <w:szCs w:val="28"/>
          <w:lang w:val="en-US"/>
        </w:rPr>
        <w:t>H</w:t>
      </w:r>
      <w:r w:rsidRPr="00F53EE7">
        <w:rPr>
          <w:rFonts w:ascii="Bookman Old Style" w:hAnsi="Bookman Old Style"/>
          <w:b/>
          <w:bCs/>
          <w:sz w:val="28"/>
          <w:szCs w:val="28"/>
          <w:lang w:val="en-US"/>
        </w:rPr>
        <w:t xml:space="preserve">ALEMELE </w:t>
      </w:r>
      <w:r w:rsidR="00D049FA">
        <w:rPr>
          <w:rFonts w:ascii="Bookman Old Style" w:hAnsi="Bookman Old Style"/>
          <w:b/>
          <w:bCs/>
          <w:sz w:val="28"/>
          <w:szCs w:val="28"/>
          <w:lang w:val="en-US"/>
        </w:rPr>
        <w:t xml:space="preserve">                                      </w:t>
      </w:r>
      <w:r w:rsidR="001416F8" w:rsidRPr="001416F8">
        <w:rPr>
          <w:rFonts w:ascii="Bookman Old Style" w:hAnsi="Bookman Old Style"/>
          <w:b/>
          <w:bCs/>
          <w:sz w:val="28"/>
          <w:szCs w:val="28"/>
          <w:lang w:val="en-US"/>
        </w:rPr>
        <w:t>APPELLANT</w:t>
      </w:r>
      <w:r w:rsidRPr="00F53EE7">
        <w:rPr>
          <w:rFonts w:ascii="Bookman Old Style" w:hAnsi="Bookman Old Style"/>
          <w:b/>
          <w:bCs/>
          <w:sz w:val="28"/>
          <w:szCs w:val="28"/>
          <w:lang w:val="en-US"/>
        </w:rPr>
        <w:t xml:space="preserve">                                                                                                                       </w:t>
      </w:r>
    </w:p>
    <w:p w14:paraId="61EDFF17" w14:textId="77777777" w:rsidR="00260381" w:rsidRDefault="00260381" w:rsidP="00260381">
      <w:pPr>
        <w:spacing w:line="240" w:lineRule="auto"/>
        <w:rPr>
          <w:rFonts w:ascii="Bookman Old Style" w:hAnsi="Bookman Old Style"/>
          <w:sz w:val="28"/>
          <w:szCs w:val="28"/>
          <w:lang w:val="en-US"/>
        </w:rPr>
      </w:pPr>
    </w:p>
    <w:p w14:paraId="0D1CE8BB" w14:textId="39468877" w:rsidR="005205A4" w:rsidRPr="00260381" w:rsidRDefault="005205A4"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and</w:t>
      </w:r>
    </w:p>
    <w:p w14:paraId="77B49F07" w14:textId="02600899" w:rsidR="00D049FA" w:rsidRDefault="005205A4"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BOARD OF ENQUIRY</w:t>
      </w:r>
      <w:r w:rsidR="00EA1848" w:rsidRPr="00F53EE7">
        <w:rPr>
          <w:rFonts w:ascii="Bookman Old Style" w:hAnsi="Bookman Old Style"/>
          <w:b/>
          <w:bCs/>
          <w:sz w:val="28"/>
          <w:szCs w:val="28"/>
          <w:lang w:val="en-US"/>
        </w:rPr>
        <w:t xml:space="preserve"> OF THE NATIONAL </w:t>
      </w:r>
    </w:p>
    <w:p w14:paraId="385DACE0" w14:textId="42B8C82B" w:rsidR="00EA1848" w:rsidRPr="00F53EE7" w:rsidRDefault="00EA1848"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 xml:space="preserve">SECURITY SERVICE    </w:t>
      </w:r>
      <w:r w:rsidR="00D049FA">
        <w:rPr>
          <w:rFonts w:ascii="Bookman Old Style" w:hAnsi="Bookman Old Style"/>
          <w:b/>
          <w:bCs/>
          <w:sz w:val="28"/>
          <w:szCs w:val="28"/>
          <w:lang w:val="en-US"/>
        </w:rPr>
        <w:tab/>
      </w:r>
      <w:r w:rsidR="00D049FA">
        <w:rPr>
          <w:rFonts w:ascii="Bookman Old Style" w:hAnsi="Bookman Old Style"/>
          <w:b/>
          <w:bCs/>
          <w:sz w:val="28"/>
          <w:szCs w:val="28"/>
          <w:lang w:val="en-US"/>
        </w:rPr>
        <w:tab/>
      </w:r>
      <w:r w:rsidR="00D049FA">
        <w:rPr>
          <w:rFonts w:ascii="Bookman Old Style" w:hAnsi="Bookman Old Style"/>
          <w:b/>
          <w:bCs/>
          <w:sz w:val="28"/>
          <w:szCs w:val="28"/>
          <w:lang w:val="en-US"/>
        </w:rPr>
        <w:tab/>
      </w:r>
      <w:r w:rsidR="00D049FA">
        <w:rPr>
          <w:rFonts w:ascii="Bookman Old Style" w:hAnsi="Bookman Old Style"/>
          <w:b/>
          <w:bCs/>
          <w:sz w:val="28"/>
          <w:szCs w:val="28"/>
          <w:lang w:val="en-US"/>
        </w:rPr>
        <w:tab/>
      </w:r>
      <w:r w:rsidRPr="00F53EE7">
        <w:rPr>
          <w:rFonts w:ascii="Bookman Old Style" w:hAnsi="Bookman Old Style"/>
          <w:b/>
          <w:bCs/>
          <w:sz w:val="28"/>
          <w:szCs w:val="28"/>
          <w:lang w:val="en-US"/>
        </w:rPr>
        <w:t xml:space="preserve">  </w:t>
      </w:r>
      <w:r w:rsidR="00260381">
        <w:rPr>
          <w:rFonts w:ascii="Bookman Old Style" w:hAnsi="Bookman Old Style"/>
          <w:b/>
          <w:bCs/>
          <w:sz w:val="28"/>
          <w:szCs w:val="28"/>
          <w:lang w:val="en-US"/>
        </w:rPr>
        <w:tab/>
      </w:r>
      <w:r w:rsidRPr="00F53EE7">
        <w:rPr>
          <w:rFonts w:ascii="Bookman Old Style" w:hAnsi="Bookman Old Style"/>
          <w:b/>
          <w:bCs/>
          <w:sz w:val="28"/>
          <w:szCs w:val="28"/>
          <w:lang w:val="en-US"/>
        </w:rPr>
        <w:t>1</w:t>
      </w:r>
      <w:r w:rsidR="00260381">
        <w:rPr>
          <w:rFonts w:ascii="Bookman Old Style" w:hAnsi="Bookman Old Style"/>
          <w:b/>
          <w:bCs/>
          <w:sz w:val="28"/>
          <w:szCs w:val="28"/>
          <w:vertAlign w:val="superscript"/>
          <w:lang w:val="en-US"/>
        </w:rPr>
        <w:t>ST</w:t>
      </w:r>
      <w:r w:rsidRPr="00F53EE7">
        <w:rPr>
          <w:rFonts w:ascii="Bookman Old Style" w:hAnsi="Bookman Old Style"/>
          <w:b/>
          <w:bCs/>
          <w:sz w:val="28"/>
          <w:szCs w:val="28"/>
          <w:lang w:val="en-US"/>
        </w:rPr>
        <w:t>RESPONDENT</w:t>
      </w:r>
      <w:r w:rsidR="005205A4" w:rsidRPr="00F53EE7">
        <w:rPr>
          <w:rFonts w:ascii="Bookman Old Style" w:hAnsi="Bookman Old Style"/>
          <w:b/>
          <w:bCs/>
          <w:sz w:val="28"/>
          <w:szCs w:val="28"/>
          <w:lang w:val="en-US"/>
        </w:rPr>
        <w:t xml:space="preserve"> </w:t>
      </w:r>
    </w:p>
    <w:p w14:paraId="443859DA" w14:textId="323E0081" w:rsidR="00EA1848" w:rsidRPr="00F53EE7" w:rsidRDefault="00EA1848"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NATIONAL SECURIT</w:t>
      </w:r>
      <w:r w:rsidR="00260381">
        <w:rPr>
          <w:rFonts w:ascii="Bookman Old Style" w:hAnsi="Bookman Old Style"/>
          <w:b/>
          <w:bCs/>
          <w:sz w:val="28"/>
          <w:szCs w:val="28"/>
          <w:lang w:val="en-US"/>
        </w:rPr>
        <w:t xml:space="preserve">Y </w:t>
      </w:r>
      <w:r w:rsidRPr="00F53EE7">
        <w:rPr>
          <w:rFonts w:ascii="Bookman Old Style" w:hAnsi="Bookman Old Style"/>
          <w:b/>
          <w:bCs/>
          <w:sz w:val="28"/>
          <w:szCs w:val="28"/>
          <w:lang w:val="en-US"/>
        </w:rPr>
        <w:t xml:space="preserve">SERVICE       </w:t>
      </w:r>
      <w:r w:rsidR="00E40BB1">
        <w:rPr>
          <w:rFonts w:ascii="Bookman Old Style" w:hAnsi="Bookman Old Style"/>
          <w:b/>
          <w:bCs/>
          <w:sz w:val="28"/>
          <w:szCs w:val="28"/>
          <w:lang w:val="en-US"/>
        </w:rPr>
        <w:t xml:space="preserve">         </w:t>
      </w:r>
      <w:r w:rsidR="00260381">
        <w:rPr>
          <w:rFonts w:ascii="Bookman Old Style" w:hAnsi="Bookman Old Style"/>
          <w:b/>
          <w:bCs/>
          <w:sz w:val="28"/>
          <w:szCs w:val="28"/>
          <w:lang w:val="en-US"/>
        </w:rPr>
        <w:t xml:space="preserve">    </w:t>
      </w:r>
      <w:r w:rsidR="00E40BB1" w:rsidRPr="00E40BB1">
        <w:rPr>
          <w:rFonts w:ascii="Bookman Old Style" w:hAnsi="Bookman Old Style"/>
          <w:b/>
          <w:bCs/>
          <w:sz w:val="28"/>
          <w:szCs w:val="28"/>
          <w:lang w:val="en-US"/>
        </w:rPr>
        <w:t>2</w:t>
      </w:r>
      <w:r w:rsidR="00260381">
        <w:rPr>
          <w:rFonts w:ascii="Bookman Old Style" w:hAnsi="Bookman Old Style"/>
          <w:b/>
          <w:bCs/>
          <w:sz w:val="28"/>
          <w:szCs w:val="28"/>
          <w:vertAlign w:val="superscript"/>
          <w:lang w:val="en-US"/>
        </w:rPr>
        <w:t>ND</w:t>
      </w:r>
      <w:r w:rsidR="00E40BB1" w:rsidRPr="00E40BB1">
        <w:rPr>
          <w:rFonts w:ascii="Bookman Old Style" w:hAnsi="Bookman Old Style"/>
          <w:b/>
          <w:bCs/>
          <w:sz w:val="28"/>
          <w:szCs w:val="28"/>
          <w:lang w:val="en-US"/>
        </w:rPr>
        <w:t>RESPONDENT</w:t>
      </w:r>
      <w:r w:rsidRPr="00F53EE7">
        <w:rPr>
          <w:rFonts w:ascii="Bookman Old Style" w:hAnsi="Bookman Old Style"/>
          <w:b/>
          <w:bCs/>
          <w:sz w:val="28"/>
          <w:szCs w:val="28"/>
          <w:lang w:val="en-US"/>
        </w:rPr>
        <w:t xml:space="preserve">                                                                  </w:t>
      </w:r>
      <w:r w:rsidR="00D16765" w:rsidRPr="00F53EE7">
        <w:rPr>
          <w:rFonts w:ascii="Bookman Old Style" w:hAnsi="Bookman Old Style"/>
          <w:b/>
          <w:bCs/>
          <w:sz w:val="28"/>
          <w:szCs w:val="28"/>
          <w:lang w:val="en-US"/>
        </w:rPr>
        <w:t xml:space="preserve">                     </w:t>
      </w:r>
    </w:p>
    <w:p w14:paraId="02E6978C" w14:textId="5CFDF1E1" w:rsidR="00EA1848" w:rsidRPr="00F53EE7" w:rsidRDefault="00EA1848"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 xml:space="preserve">MINISTER OF LAW AND JUSTICE   </w:t>
      </w:r>
      <w:r w:rsidR="00E40BB1">
        <w:rPr>
          <w:rFonts w:ascii="Bookman Old Style" w:hAnsi="Bookman Old Style"/>
          <w:b/>
          <w:bCs/>
          <w:sz w:val="28"/>
          <w:szCs w:val="28"/>
          <w:lang w:val="en-US"/>
        </w:rPr>
        <w:t xml:space="preserve">         </w:t>
      </w:r>
      <w:r w:rsidR="00260381">
        <w:rPr>
          <w:rFonts w:ascii="Bookman Old Style" w:hAnsi="Bookman Old Style"/>
          <w:b/>
          <w:bCs/>
          <w:sz w:val="28"/>
          <w:szCs w:val="28"/>
          <w:lang w:val="en-US"/>
        </w:rPr>
        <w:t xml:space="preserve">     </w:t>
      </w:r>
      <w:r w:rsidR="00E40BB1" w:rsidRPr="00E40BB1">
        <w:rPr>
          <w:rFonts w:ascii="Bookman Old Style" w:hAnsi="Bookman Old Style"/>
          <w:b/>
          <w:bCs/>
          <w:sz w:val="28"/>
          <w:szCs w:val="28"/>
          <w:lang w:val="en-US"/>
        </w:rPr>
        <w:t>3</w:t>
      </w:r>
      <w:r w:rsidR="00260381">
        <w:rPr>
          <w:rFonts w:ascii="Bookman Old Style" w:hAnsi="Bookman Old Style"/>
          <w:b/>
          <w:bCs/>
          <w:sz w:val="28"/>
          <w:szCs w:val="28"/>
          <w:vertAlign w:val="superscript"/>
          <w:lang w:val="en-US"/>
        </w:rPr>
        <w:t>RD</w:t>
      </w:r>
      <w:r w:rsidR="00E40BB1" w:rsidRPr="00E40BB1">
        <w:rPr>
          <w:rFonts w:ascii="Bookman Old Style" w:hAnsi="Bookman Old Style"/>
          <w:b/>
          <w:bCs/>
          <w:sz w:val="28"/>
          <w:szCs w:val="28"/>
          <w:lang w:val="en-US"/>
        </w:rPr>
        <w:t>RESPONDENT</w:t>
      </w:r>
      <w:r w:rsidRPr="00F53EE7">
        <w:rPr>
          <w:rFonts w:ascii="Bookman Old Style" w:hAnsi="Bookman Old Style"/>
          <w:b/>
          <w:bCs/>
          <w:sz w:val="28"/>
          <w:szCs w:val="28"/>
          <w:lang w:val="en-US"/>
        </w:rPr>
        <w:t xml:space="preserve">                                                                   </w:t>
      </w:r>
      <w:r w:rsidR="00D16765" w:rsidRPr="00F53EE7">
        <w:rPr>
          <w:rFonts w:ascii="Bookman Old Style" w:hAnsi="Bookman Old Style"/>
          <w:b/>
          <w:bCs/>
          <w:sz w:val="28"/>
          <w:szCs w:val="28"/>
          <w:lang w:val="en-US"/>
        </w:rPr>
        <w:t xml:space="preserve">                    </w:t>
      </w:r>
      <w:r w:rsidRPr="00F53EE7">
        <w:rPr>
          <w:rFonts w:ascii="Bookman Old Style" w:hAnsi="Bookman Old Style"/>
          <w:b/>
          <w:bCs/>
          <w:sz w:val="28"/>
          <w:szCs w:val="28"/>
          <w:lang w:val="en-US"/>
        </w:rPr>
        <w:t xml:space="preserve"> </w:t>
      </w:r>
    </w:p>
    <w:p w14:paraId="001D7A72" w14:textId="7C8E8801" w:rsidR="00EA1848" w:rsidRPr="00F53EE7" w:rsidRDefault="00EA1848"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MINISTER OF</w:t>
      </w:r>
      <w:r w:rsidR="00260381">
        <w:rPr>
          <w:rFonts w:ascii="Bookman Old Style" w:hAnsi="Bookman Old Style"/>
          <w:b/>
          <w:bCs/>
          <w:sz w:val="28"/>
          <w:szCs w:val="28"/>
          <w:lang w:val="en-US"/>
        </w:rPr>
        <w:t xml:space="preserve"> </w:t>
      </w:r>
      <w:r w:rsidR="00E40BB1" w:rsidRPr="00E40BB1">
        <w:rPr>
          <w:rFonts w:ascii="Bookman Old Style" w:hAnsi="Bookman Old Style"/>
          <w:b/>
          <w:bCs/>
          <w:sz w:val="28"/>
          <w:szCs w:val="28"/>
          <w:lang w:val="en-US"/>
        </w:rPr>
        <w:t>DEFENCE</w:t>
      </w:r>
      <w:r w:rsidRPr="00F53EE7">
        <w:rPr>
          <w:rFonts w:ascii="Bookman Old Style" w:hAnsi="Bookman Old Style"/>
          <w:b/>
          <w:bCs/>
          <w:sz w:val="28"/>
          <w:szCs w:val="28"/>
          <w:lang w:val="en-US"/>
        </w:rPr>
        <w:t xml:space="preserve">  </w:t>
      </w:r>
      <w:r w:rsidR="00E40BB1">
        <w:rPr>
          <w:rFonts w:ascii="Bookman Old Style" w:hAnsi="Bookman Old Style"/>
          <w:b/>
          <w:bCs/>
          <w:sz w:val="28"/>
          <w:szCs w:val="28"/>
          <w:lang w:val="en-US"/>
        </w:rPr>
        <w:t xml:space="preserve">                </w:t>
      </w:r>
      <w:r w:rsidR="00B36411">
        <w:rPr>
          <w:rFonts w:ascii="Bookman Old Style" w:hAnsi="Bookman Old Style"/>
          <w:b/>
          <w:bCs/>
          <w:sz w:val="28"/>
          <w:szCs w:val="28"/>
          <w:lang w:val="en-US"/>
        </w:rPr>
        <w:t xml:space="preserve">     </w:t>
      </w:r>
      <w:r w:rsidR="00260381">
        <w:rPr>
          <w:rFonts w:ascii="Bookman Old Style" w:hAnsi="Bookman Old Style"/>
          <w:b/>
          <w:bCs/>
          <w:sz w:val="28"/>
          <w:szCs w:val="28"/>
          <w:lang w:val="en-US"/>
        </w:rPr>
        <w:t xml:space="preserve">        </w:t>
      </w:r>
      <w:r w:rsidR="00E40BB1" w:rsidRPr="00E40BB1">
        <w:rPr>
          <w:rFonts w:ascii="Bookman Old Style" w:hAnsi="Bookman Old Style"/>
          <w:b/>
          <w:bCs/>
          <w:sz w:val="28"/>
          <w:szCs w:val="28"/>
          <w:lang w:val="en-US"/>
        </w:rPr>
        <w:t>4</w:t>
      </w:r>
      <w:bookmarkStart w:id="2" w:name="_Hlk119003411"/>
      <w:r w:rsidR="00260381">
        <w:rPr>
          <w:rFonts w:ascii="Bookman Old Style" w:hAnsi="Bookman Old Style"/>
          <w:b/>
          <w:bCs/>
          <w:sz w:val="28"/>
          <w:szCs w:val="28"/>
          <w:vertAlign w:val="superscript"/>
          <w:lang w:val="en-US"/>
        </w:rPr>
        <w:t>TH</w:t>
      </w:r>
      <w:r w:rsidR="00E40BB1" w:rsidRPr="00E40BB1">
        <w:rPr>
          <w:rFonts w:ascii="Bookman Old Style" w:hAnsi="Bookman Old Style"/>
          <w:b/>
          <w:bCs/>
          <w:sz w:val="28"/>
          <w:szCs w:val="28"/>
          <w:lang w:val="en-US"/>
        </w:rPr>
        <w:t>RESPONDENT</w:t>
      </w:r>
      <w:bookmarkEnd w:id="2"/>
      <w:r w:rsidRPr="00F53EE7">
        <w:rPr>
          <w:rFonts w:ascii="Bookman Old Style" w:hAnsi="Bookman Old Style"/>
          <w:b/>
          <w:bCs/>
          <w:sz w:val="28"/>
          <w:szCs w:val="28"/>
          <w:lang w:val="en-US"/>
        </w:rPr>
        <w:t xml:space="preserve">                                                                                   </w:t>
      </w:r>
      <w:r w:rsidR="00D16765" w:rsidRPr="00F53EE7">
        <w:rPr>
          <w:rFonts w:ascii="Bookman Old Style" w:hAnsi="Bookman Old Style"/>
          <w:b/>
          <w:bCs/>
          <w:sz w:val="28"/>
          <w:szCs w:val="28"/>
          <w:lang w:val="en-US"/>
        </w:rPr>
        <w:t xml:space="preserve">                     </w:t>
      </w:r>
    </w:p>
    <w:p w14:paraId="4098C86A" w14:textId="5D175998" w:rsidR="005205A4" w:rsidRPr="00F53EE7" w:rsidRDefault="007A28EE" w:rsidP="00260381">
      <w:pPr>
        <w:spacing w:line="240" w:lineRule="auto"/>
        <w:rPr>
          <w:rFonts w:ascii="Bookman Old Style" w:hAnsi="Bookman Old Style"/>
          <w:b/>
          <w:bCs/>
          <w:sz w:val="28"/>
          <w:szCs w:val="28"/>
          <w:lang w:val="en-US"/>
        </w:rPr>
      </w:pPr>
      <w:r w:rsidRPr="00F53EE7">
        <w:rPr>
          <w:rFonts w:ascii="Bookman Old Style" w:hAnsi="Bookman Old Style"/>
          <w:b/>
          <w:bCs/>
          <w:sz w:val="28"/>
          <w:szCs w:val="28"/>
          <w:lang w:val="en-US"/>
        </w:rPr>
        <w:t xml:space="preserve">ATTORNEY </w:t>
      </w:r>
      <w:r w:rsidRPr="007A28EE">
        <w:rPr>
          <w:rFonts w:ascii="Bookman Old Style" w:hAnsi="Bookman Old Style"/>
          <w:b/>
          <w:bCs/>
          <w:sz w:val="28"/>
          <w:szCs w:val="28"/>
          <w:lang w:val="en-US"/>
        </w:rPr>
        <w:t>GENERA</w:t>
      </w:r>
      <w:r w:rsidR="00E21281">
        <w:rPr>
          <w:rFonts w:ascii="Bookman Old Style" w:hAnsi="Bookman Old Style"/>
          <w:b/>
          <w:bCs/>
          <w:sz w:val="28"/>
          <w:szCs w:val="28"/>
          <w:lang w:val="en-US"/>
        </w:rPr>
        <w:t xml:space="preserve">L </w:t>
      </w:r>
      <w:bookmarkStart w:id="3" w:name="_Hlk119003548"/>
      <w:r w:rsidR="00657D3A">
        <w:rPr>
          <w:rFonts w:ascii="Bookman Old Style" w:hAnsi="Bookman Old Style"/>
          <w:b/>
          <w:bCs/>
          <w:sz w:val="28"/>
          <w:szCs w:val="28"/>
          <w:lang w:val="en-US"/>
        </w:rPr>
        <w:t xml:space="preserve">                             </w:t>
      </w:r>
      <w:r w:rsidR="00260381">
        <w:rPr>
          <w:rFonts w:ascii="Bookman Old Style" w:hAnsi="Bookman Old Style"/>
          <w:b/>
          <w:bCs/>
          <w:sz w:val="28"/>
          <w:szCs w:val="28"/>
          <w:lang w:val="en-US"/>
        </w:rPr>
        <w:t xml:space="preserve">     </w:t>
      </w:r>
      <w:r w:rsidR="00E21281" w:rsidRPr="00E21281">
        <w:rPr>
          <w:rFonts w:ascii="Bookman Old Style" w:hAnsi="Bookman Old Style"/>
          <w:b/>
          <w:bCs/>
          <w:sz w:val="28"/>
          <w:szCs w:val="28"/>
          <w:lang w:val="en-US"/>
        </w:rPr>
        <w:t>5</w:t>
      </w:r>
      <w:bookmarkEnd w:id="3"/>
      <w:r w:rsidR="00260381">
        <w:rPr>
          <w:rFonts w:ascii="Bookman Old Style" w:hAnsi="Bookman Old Style"/>
          <w:b/>
          <w:bCs/>
          <w:sz w:val="28"/>
          <w:szCs w:val="28"/>
          <w:vertAlign w:val="superscript"/>
          <w:lang w:val="en-US"/>
        </w:rPr>
        <w:t>TH</w:t>
      </w:r>
      <w:r w:rsidR="00657D3A" w:rsidRPr="00657D3A">
        <w:rPr>
          <w:rFonts w:ascii="Bookman Old Style" w:hAnsi="Bookman Old Style"/>
          <w:b/>
          <w:bCs/>
          <w:sz w:val="28"/>
          <w:szCs w:val="28"/>
          <w:lang w:val="en-US"/>
        </w:rPr>
        <w:t xml:space="preserve">RESPONDENT   </w:t>
      </w:r>
    </w:p>
    <w:p w14:paraId="2DCAACB0" w14:textId="534FB5C7" w:rsidR="005205A4" w:rsidRPr="00F53EE7" w:rsidRDefault="005205A4" w:rsidP="00260381">
      <w:pPr>
        <w:spacing w:line="240" w:lineRule="auto"/>
        <w:rPr>
          <w:rFonts w:ascii="Bookman Old Style" w:hAnsi="Bookman Old Style"/>
          <w:b/>
          <w:bCs/>
          <w:sz w:val="28"/>
          <w:szCs w:val="28"/>
          <w:lang w:val="en-US"/>
        </w:rPr>
      </w:pPr>
    </w:p>
    <w:p w14:paraId="33FD64F7" w14:textId="5D4F5598" w:rsidR="005205A4" w:rsidRPr="00260381" w:rsidRDefault="005205A4" w:rsidP="00260381">
      <w:pPr>
        <w:spacing w:line="240" w:lineRule="auto"/>
        <w:rPr>
          <w:rFonts w:ascii="Bookman Old Style" w:hAnsi="Bookman Old Style"/>
          <w:sz w:val="28"/>
          <w:szCs w:val="28"/>
          <w:lang w:val="en-US"/>
        </w:rPr>
      </w:pPr>
      <w:r w:rsidRPr="00F53EE7">
        <w:rPr>
          <w:rFonts w:ascii="Bookman Old Style" w:hAnsi="Bookman Old Style"/>
          <w:b/>
          <w:bCs/>
          <w:sz w:val="28"/>
          <w:szCs w:val="28"/>
          <w:lang w:val="en-US"/>
        </w:rPr>
        <w:t xml:space="preserve">CORAM: </w:t>
      </w:r>
      <w:r w:rsidR="00616DA8">
        <w:rPr>
          <w:rFonts w:ascii="Bookman Old Style" w:hAnsi="Bookman Old Style"/>
          <w:b/>
          <w:bCs/>
          <w:sz w:val="28"/>
          <w:szCs w:val="28"/>
          <w:lang w:val="en-US"/>
        </w:rPr>
        <w:t xml:space="preserve">    </w:t>
      </w:r>
      <w:r w:rsidR="00260381">
        <w:rPr>
          <w:rFonts w:ascii="Bookman Old Style" w:hAnsi="Bookman Old Style"/>
          <w:b/>
          <w:bCs/>
          <w:sz w:val="28"/>
          <w:szCs w:val="28"/>
          <w:lang w:val="en-US"/>
        </w:rPr>
        <w:tab/>
      </w:r>
      <w:r w:rsidR="00260381">
        <w:rPr>
          <w:rFonts w:ascii="Bookman Old Style" w:hAnsi="Bookman Old Style"/>
          <w:b/>
          <w:bCs/>
          <w:sz w:val="28"/>
          <w:szCs w:val="28"/>
          <w:lang w:val="en-US"/>
        </w:rPr>
        <w:tab/>
      </w:r>
      <w:r w:rsidRPr="00260381">
        <w:rPr>
          <w:rFonts w:ascii="Bookman Old Style" w:hAnsi="Bookman Old Style"/>
          <w:sz w:val="28"/>
          <w:szCs w:val="28"/>
          <w:lang w:val="en-US"/>
        </w:rPr>
        <w:t>KE MOSITO P</w:t>
      </w:r>
    </w:p>
    <w:p w14:paraId="19AF3F71" w14:textId="231AFC57" w:rsidR="005205A4" w:rsidRPr="00260381" w:rsidRDefault="005205A4"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 xml:space="preserve">                  </w:t>
      </w:r>
      <w:r w:rsidR="00260381" w:rsidRPr="00260381">
        <w:rPr>
          <w:rFonts w:ascii="Bookman Old Style" w:hAnsi="Bookman Old Style"/>
          <w:sz w:val="28"/>
          <w:szCs w:val="28"/>
          <w:lang w:val="en-US"/>
        </w:rPr>
        <w:tab/>
      </w:r>
      <w:r w:rsidR="00260381" w:rsidRPr="00260381">
        <w:rPr>
          <w:rFonts w:ascii="Bookman Old Style" w:hAnsi="Bookman Old Style"/>
          <w:sz w:val="28"/>
          <w:szCs w:val="28"/>
          <w:lang w:val="en-US"/>
        </w:rPr>
        <w:tab/>
      </w:r>
      <w:r w:rsidRPr="00260381">
        <w:rPr>
          <w:rFonts w:ascii="Bookman Old Style" w:hAnsi="Bookman Old Style"/>
          <w:sz w:val="28"/>
          <w:szCs w:val="28"/>
          <w:lang w:val="en-US"/>
        </w:rPr>
        <w:t>P MUSONDA</w:t>
      </w:r>
      <w:r w:rsidR="00260381" w:rsidRPr="00260381">
        <w:rPr>
          <w:rFonts w:ascii="Bookman Old Style" w:hAnsi="Bookman Old Style"/>
          <w:sz w:val="28"/>
          <w:szCs w:val="28"/>
          <w:lang w:val="en-US"/>
        </w:rPr>
        <w:t xml:space="preserve"> </w:t>
      </w:r>
      <w:r w:rsidRPr="00260381">
        <w:rPr>
          <w:rFonts w:ascii="Bookman Old Style" w:hAnsi="Bookman Old Style"/>
          <w:sz w:val="28"/>
          <w:szCs w:val="28"/>
          <w:lang w:val="en-US"/>
        </w:rPr>
        <w:t>AJA</w:t>
      </w:r>
    </w:p>
    <w:p w14:paraId="04262245" w14:textId="179AF1EA" w:rsidR="005205A4" w:rsidRPr="00260381" w:rsidRDefault="005205A4"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 xml:space="preserve">                   </w:t>
      </w:r>
      <w:r w:rsidR="00260381" w:rsidRPr="00260381">
        <w:rPr>
          <w:rFonts w:ascii="Bookman Old Style" w:hAnsi="Bookman Old Style"/>
          <w:sz w:val="28"/>
          <w:szCs w:val="28"/>
          <w:lang w:val="en-US"/>
        </w:rPr>
        <w:tab/>
      </w:r>
      <w:r w:rsidR="00260381" w:rsidRPr="00260381">
        <w:rPr>
          <w:rFonts w:ascii="Bookman Old Style" w:hAnsi="Bookman Old Style"/>
          <w:sz w:val="28"/>
          <w:szCs w:val="28"/>
          <w:lang w:val="en-US"/>
        </w:rPr>
        <w:tab/>
      </w:r>
      <w:r w:rsidRPr="00260381">
        <w:rPr>
          <w:rFonts w:ascii="Bookman Old Style" w:hAnsi="Bookman Old Style"/>
          <w:sz w:val="28"/>
          <w:szCs w:val="28"/>
          <w:lang w:val="en-US"/>
        </w:rPr>
        <w:t>M CHINHENGO AJA</w:t>
      </w:r>
    </w:p>
    <w:p w14:paraId="10133C21" w14:textId="71EF3E28" w:rsidR="005205A4" w:rsidRPr="00260381" w:rsidRDefault="005205A4"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 xml:space="preserve">                    </w:t>
      </w:r>
      <w:r w:rsidR="00260381" w:rsidRPr="00260381">
        <w:rPr>
          <w:rFonts w:ascii="Bookman Old Style" w:hAnsi="Bookman Old Style"/>
          <w:sz w:val="28"/>
          <w:szCs w:val="28"/>
          <w:lang w:val="en-US"/>
        </w:rPr>
        <w:tab/>
      </w:r>
      <w:r w:rsidR="00260381" w:rsidRPr="00260381">
        <w:rPr>
          <w:rFonts w:ascii="Bookman Old Style" w:hAnsi="Bookman Old Style"/>
          <w:sz w:val="28"/>
          <w:szCs w:val="28"/>
          <w:lang w:val="en-US"/>
        </w:rPr>
        <w:tab/>
      </w:r>
      <w:r w:rsidRPr="00260381">
        <w:rPr>
          <w:rFonts w:ascii="Bookman Old Style" w:hAnsi="Bookman Old Style"/>
          <w:sz w:val="28"/>
          <w:szCs w:val="28"/>
          <w:lang w:val="en-US"/>
        </w:rPr>
        <w:t>J VAN DER WESTHUIZEN</w:t>
      </w:r>
      <w:r w:rsidR="00260381" w:rsidRPr="00260381">
        <w:rPr>
          <w:rFonts w:ascii="Bookman Old Style" w:hAnsi="Bookman Old Style"/>
          <w:sz w:val="28"/>
          <w:szCs w:val="28"/>
          <w:lang w:val="en-US"/>
        </w:rPr>
        <w:t xml:space="preserve"> </w:t>
      </w:r>
      <w:r w:rsidRPr="00260381">
        <w:rPr>
          <w:rFonts w:ascii="Bookman Old Style" w:hAnsi="Bookman Old Style"/>
          <w:sz w:val="28"/>
          <w:szCs w:val="28"/>
          <w:lang w:val="en-US"/>
        </w:rPr>
        <w:t>AJA</w:t>
      </w:r>
    </w:p>
    <w:p w14:paraId="231C24B3" w14:textId="0230723B" w:rsidR="005205A4" w:rsidRPr="00260381" w:rsidRDefault="00732B7D" w:rsidP="00260381">
      <w:pPr>
        <w:spacing w:line="240" w:lineRule="auto"/>
        <w:rPr>
          <w:rFonts w:ascii="Bookman Old Style" w:hAnsi="Bookman Old Style"/>
          <w:sz w:val="28"/>
          <w:szCs w:val="28"/>
          <w:lang w:val="en-US"/>
        </w:rPr>
      </w:pPr>
      <w:r w:rsidRPr="00260381">
        <w:rPr>
          <w:rFonts w:ascii="Bookman Old Style" w:hAnsi="Bookman Old Style"/>
          <w:sz w:val="28"/>
          <w:szCs w:val="28"/>
          <w:lang w:val="en-US"/>
        </w:rPr>
        <w:t xml:space="preserve">                    </w:t>
      </w:r>
      <w:r w:rsidR="00260381" w:rsidRPr="00260381">
        <w:rPr>
          <w:rFonts w:ascii="Bookman Old Style" w:hAnsi="Bookman Old Style"/>
          <w:sz w:val="28"/>
          <w:szCs w:val="28"/>
          <w:lang w:val="en-US"/>
        </w:rPr>
        <w:tab/>
      </w:r>
      <w:r w:rsidR="00260381" w:rsidRPr="00260381">
        <w:rPr>
          <w:rFonts w:ascii="Bookman Old Style" w:hAnsi="Bookman Old Style"/>
          <w:sz w:val="28"/>
          <w:szCs w:val="28"/>
          <w:lang w:val="en-US"/>
        </w:rPr>
        <w:tab/>
      </w:r>
      <w:r w:rsidRPr="00260381">
        <w:rPr>
          <w:rFonts w:ascii="Bookman Old Style" w:hAnsi="Bookman Old Style"/>
          <w:sz w:val="28"/>
          <w:szCs w:val="28"/>
          <w:lang w:val="en-US"/>
        </w:rPr>
        <w:t>N</w:t>
      </w:r>
      <w:r w:rsidR="0006354C" w:rsidRPr="00260381">
        <w:rPr>
          <w:rFonts w:ascii="Bookman Old Style" w:hAnsi="Bookman Old Style"/>
          <w:sz w:val="28"/>
          <w:szCs w:val="28"/>
          <w:lang w:val="en-US"/>
        </w:rPr>
        <w:t>T</w:t>
      </w:r>
      <w:r w:rsidRPr="00260381">
        <w:rPr>
          <w:rFonts w:ascii="Bookman Old Style" w:hAnsi="Bookman Old Style"/>
          <w:sz w:val="28"/>
          <w:szCs w:val="28"/>
          <w:lang w:val="en-US"/>
        </w:rPr>
        <w:t xml:space="preserve"> MTSHIYA</w:t>
      </w:r>
      <w:r w:rsidR="00C15E49" w:rsidRPr="00260381">
        <w:rPr>
          <w:rFonts w:ascii="Bookman Old Style" w:hAnsi="Bookman Old Style"/>
          <w:sz w:val="28"/>
          <w:szCs w:val="28"/>
          <w:lang w:val="en-US"/>
        </w:rPr>
        <w:t xml:space="preserve"> </w:t>
      </w:r>
      <w:r w:rsidRPr="00260381">
        <w:rPr>
          <w:rFonts w:ascii="Bookman Old Style" w:hAnsi="Bookman Old Style"/>
          <w:sz w:val="28"/>
          <w:szCs w:val="28"/>
          <w:lang w:val="en-US"/>
        </w:rPr>
        <w:t>AJA</w:t>
      </w:r>
    </w:p>
    <w:p w14:paraId="002FD366" w14:textId="45CDAD1F" w:rsidR="00732B7D" w:rsidRPr="00F53EE7" w:rsidRDefault="00732B7D" w:rsidP="00260381">
      <w:pPr>
        <w:spacing w:line="240" w:lineRule="auto"/>
        <w:rPr>
          <w:rFonts w:ascii="Bookman Old Style" w:hAnsi="Bookman Old Style"/>
          <w:b/>
          <w:bCs/>
          <w:sz w:val="28"/>
          <w:szCs w:val="28"/>
          <w:lang w:val="en-US"/>
        </w:rPr>
      </w:pPr>
    </w:p>
    <w:p w14:paraId="7E775986" w14:textId="7108CA65" w:rsidR="00732B7D" w:rsidRPr="00260381" w:rsidRDefault="00732B7D">
      <w:pPr>
        <w:rPr>
          <w:rFonts w:ascii="Bookman Old Style" w:hAnsi="Bookman Old Style"/>
          <w:caps/>
          <w:sz w:val="28"/>
          <w:szCs w:val="28"/>
          <w:lang w:val="en-US"/>
        </w:rPr>
      </w:pPr>
      <w:r w:rsidRPr="00260381">
        <w:rPr>
          <w:rFonts w:ascii="Bookman Old Style" w:hAnsi="Bookman Old Style"/>
          <w:b/>
          <w:bCs/>
          <w:caps/>
          <w:sz w:val="28"/>
          <w:szCs w:val="28"/>
          <w:lang w:val="en-US"/>
        </w:rPr>
        <w:t xml:space="preserve">Heard: </w:t>
      </w:r>
      <w:r w:rsidR="00260381">
        <w:rPr>
          <w:rFonts w:ascii="Bookman Old Style" w:hAnsi="Bookman Old Style"/>
          <w:b/>
          <w:bCs/>
          <w:caps/>
          <w:sz w:val="28"/>
          <w:szCs w:val="28"/>
          <w:lang w:val="en-US"/>
        </w:rPr>
        <w:tab/>
      </w:r>
      <w:r w:rsidR="00260381">
        <w:rPr>
          <w:rFonts w:ascii="Bookman Old Style" w:hAnsi="Bookman Old Style"/>
          <w:b/>
          <w:bCs/>
          <w:caps/>
          <w:sz w:val="28"/>
          <w:szCs w:val="28"/>
          <w:lang w:val="en-US"/>
        </w:rPr>
        <w:tab/>
      </w:r>
      <w:r w:rsidR="00260381">
        <w:rPr>
          <w:rFonts w:ascii="Bookman Old Style" w:hAnsi="Bookman Old Style"/>
          <w:b/>
          <w:bCs/>
          <w:caps/>
          <w:sz w:val="28"/>
          <w:szCs w:val="28"/>
          <w:lang w:val="en-US"/>
        </w:rPr>
        <w:tab/>
      </w:r>
      <w:r w:rsidRPr="00260381">
        <w:rPr>
          <w:rFonts w:ascii="Bookman Old Style" w:hAnsi="Bookman Old Style"/>
          <w:caps/>
          <w:sz w:val="28"/>
          <w:szCs w:val="28"/>
          <w:lang w:val="en-US"/>
        </w:rPr>
        <w:t>19 October 2022</w:t>
      </w:r>
    </w:p>
    <w:p w14:paraId="265A7F6D" w14:textId="13FABCD6" w:rsidR="00732B7D" w:rsidRPr="00260381" w:rsidRDefault="00732B7D">
      <w:pPr>
        <w:rPr>
          <w:rFonts w:ascii="Bookman Old Style" w:hAnsi="Bookman Old Style"/>
          <w:caps/>
          <w:sz w:val="28"/>
          <w:szCs w:val="28"/>
          <w:lang w:val="en-US"/>
        </w:rPr>
      </w:pPr>
      <w:r w:rsidRPr="00260381">
        <w:rPr>
          <w:rFonts w:ascii="Bookman Old Style" w:hAnsi="Bookman Old Style"/>
          <w:b/>
          <w:bCs/>
          <w:caps/>
          <w:sz w:val="28"/>
          <w:szCs w:val="28"/>
          <w:lang w:val="en-US"/>
        </w:rPr>
        <w:t xml:space="preserve">Delivered: </w:t>
      </w:r>
      <w:r w:rsidR="00260381">
        <w:rPr>
          <w:rFonts w:ascii="Bookman Old Style" w:hAnsi="Bookman Old Style"/>
          <w:b/>
          <w:bCs/>
          <w:caps/>
          <w:sz w:val="28"/>
          <w:szCs w:val="28"/>
          <w:lang w:val="en-US"/>
        </w:rPr>
        <w:tab/>
      </w:r>
      <w:r w:rsidR="00260381">
        <w:rPr>
          <w:rFonts w:ascii="Bookman Old Style" w:hAnsi="Bookman Old Style"/>
          <w:b/>
          <w:bCs/>
          <w:caps/>
          <w:sz w:val="28"/>
          <w:szCs w:val="28"/>
          <w:lang w:val="en-US"/>
        </w:rPr>
        <w:tab/>
      </w:r>
      <w:r w:rsidRPr="00260381">
        <w:rPr>
          <w:rFonts w:ascii="Bookman Old Style" w:hAnsi="Bookman Old Style"/>
          <w:caps/>
          <w:sz w:val="28"/>
          <w:szCs w:val="28"/>
          <w:lang w:val="en-US"/>
        </w:rPr>
        <w:t>11 November 2022</w:t>
      </w:r>
    </w:p>
    <w:p w14:paraId="69D7F582" w14:textId="1E06E2DA" w:rsidR="00732B7D" w:rsidRPr="00F53EE7" w:rsidRDefault="00732B7D" w:rsidP="00657D3A">
      <w:pPr>
        <w:jc w:val="center"/>
        <w:rPr>
          <w:rFonts w:ascii="Bookman Old Style" w:hAnsi="Bookman Old Style"/>
          <w:b/>
          <w:bCs/>
          <w:i/>
          <w:iCs/>
          <w:sz w:val="28"/>
          <w:szCs w:val="28"/>
          <w:lang w:val="en-US"/>
        </w:rPr>
      </w:pPr>
      <w:r w:rsidRPr="00F53EE7">
        <w:rPr>
          <w:rFonts w:ascii="Bookman Old Style" w:hAnsi="Bookman Old Style"/>
          <w:b/>
          <w:bCs/>
          <w:i/>
          <w:iCs/>
          <w:sz w:val="28"/>
          <w:szCs w:val="28"/>
          <w:lang w:val="en-US"/>
        </w:rPr>
        <w:t>SUMMARY</w:t>
      </w:r>
    </w:p>
    <w:p w14:paraId="23302B38" w14:textId="598C5DFE" w:rsidR="008245D6" w:rsidRPr="00F53EE7" w:rsidRDefault="004B559F" w:rsidP="00260381">
      <w:pPr>
        <w:jc w:val="both"/>
        <w:rPr>
          <w:rFonts w:ascii="Bookman Old Style" w:hAnsi="Bookman Old Style"/>
          <w:i/>
          <w:iCs/>
          <w:sz w:val="28"/>
          <w:szCs w:val="28"/>
          <w:lang w:val="en-US"/>
        </w:rPr>
      </w:pPr>
      <w:r w:rsidRPr="00F53EE7">
        <w:rPr>
          <w:rFonts w:ascii="Bookman Old Style" w:hAnsi="Bookman Old Style"/>
          <w:i/>
          <w:iCs/>
          <w:sz w:val="28"/>
          <w:szCs w:val="28"/>
          <w:lang w:val="en-US"/>
        </w:rPr>
        <w:t xml:space="preserve">The jurisdiction of a court is determined </w:t>
      </w:r>
      <w:proofErr w:type="gramStart"/>
      <w:r w:rsidRPr="00F53EE7">
        <w:rPr>
          <w:rFonts w:ascii="Bookman Old Style" w:hAnsi="Bookman Old Style"/>
          <w:i/>
          <w:iCs/>
          <w:sz w:val="28"/>
          <w:szCs w:val="28"/>
          <w:lang w:val="en-US"/>
        </w:rPr>
        <w:t>on the basis of</w:t>
      </w:r>
      <w:proofErr w:type="gramEnd"/>
      <w:r w:rsidRPr="00F53EE7">
        <w:rPr>
          <w:rFonts w:ascii="Bookman Old Style" w:hAnsi="Bookman Old Style"/>
          <w:i/>
          <w:iCs/>
          <w:sz w:val="28"/>
          <w:szCs w:val="28"/>
          <w:lang w:val="en-US"/>
        </w:rPr>
        <w:t xml:space="preserve"> the pleadings and not the substantive merits of a case. </w:t>
      </w:r>
      <w:r w:rsidR="008245D6" w:rsidRPr="00F53EE7">
        <w:rPr>
          <w:rFonts w:ascii="Bookman Old Style" w:hAnsi="Bookman Old Style"/>
          <w:i/>
          <w:iCs/>
          <w:sz w:val="28"/>
          <w:szCs w:val="28"/>
          <w:lang w:val="en-US"/>
        </w:rPr>
        <w:t xml:space="preserve">The Notice of Motion prayed for legislation to be declared unconstitutional and invalid, which is clearly a constitutional issue. Even though the supporting affidavit is vague and refers to disciplinary proceedings, it contains </w:t>
      </w:r>
      <w:r w:rsidR="008245D6" w:rsidRPr="00F53EE7">
        <w:rPr>
          <w:rFonts w:ascii="Bookman Old Style" w:hAnsi="Bookman Old Style"/>
          <w:i/>
          <w:iCs/>
          <w:sz w:val="28"/>
          <w:szCs w:val="28"/>
          <w:lang w:val="en-US"/>
        </w:rPr>
        <w:lastRenderedPageBreak/>
        <w:t>reference to the unconstitutionality of legislation. The High Court, sitting as Constitutional Court with three judges, had jurisd</w:t>
      </w:r>
      <w:r w:rsidR="00451363" w:rsidRPr="00F53EE7">
        <w:rPr>
          <w:rFonts w:ascii="Bookman Old Style" w:hAnsi="Bookman Old Style"/>
          <w:i/>
          <w:iCs/>
          <w:sz w:val="28"/>
          <w:szCs w:val="28"/>
          <w:lang w:val="en-US"/>
        </w:rPr>
        <w:t>iction.</w:t>
      </w:r>
    </w:p>
    <w:p w14:paraId="58E1A72F" w14:textId="77777777" w:rsidR="008245D6" w:rsidRPr="00F53EE7" w:rsidRDefault="008245D6" w:rsidP="00657D3A">
      <w:pPr>
        <w:jc w:val="center"/>
        <w:rPr>
          <w:rFonts w:ascii="Bookman Old Style" w:hAnsi="Bookman Old Style"/>
          <w:i/>
          <w:iCs/>
          <w:sz w:val="28"/>
          <w:szCs w:val="28"/>
          <w:lang w:val="en-US"/>
        </w:rPr>
      </w:pPr>
    </w:p>
    <w:p w14:paraId="224A61DB" w14:textId="093997EB" w:rsidR="00732B7D" w:rsidRPr="00F53EE7" w:rsidRDefault="00732B7D" w:rsidP="00657D3A">
      <w:pPr>
        <w:jc w:val="center"/>
        <w:rPr>
          <w:rFonts w:ascii="Bookman Old Style" w:hAnsi="Bookman Old Style"/>
          <w:i/>
          <w:iCs/>
          <w:sz w:val="28"/>
          <w:szCs w:val="28"/>
          <w:lang w:val="en-US"/>
        </w:rPr>
      </w:pPr>
      <w:r w:rsidRPr="00F53EE7">
        <w:rPr>
          <w:rFonts w:ascii="Bookman Old Style" w:hAnsi="Bookman Old Style"/>
          <w:b/>
          <w:bCs/>
          <w:sz w:val="28"/>
          <w:szCs w:val="28"/>
          <w:lang w:val="en-US"/>
        </w:rPr>
        <w:t>JUDGMENT</w:t>
      </w:r>
    </w:p>
    <w:p w14:paraId="0980E8C3" w14:textId="316E2961" w:rsidR="00732B7D" w:rsidRPr="00F53EE7" w:rsidRDefault="00732B7D">
      <w:pPr>
        <w:rPr>
          <w:rFonts w:ascii="Bookman Old Style" w:hAnsi="Bookman Old Style"/>
          <w:b/>
          <w:bCs/>
          <w:sz w:val="28"/>
          <w:szCs w:val="28"/>
          <w:lang w:val="en-US"/>
        </w:rPr>
      </w:pPr>
    </w:p>
    <w:p w14:paraId="6A362BFA" w14:textId="4C77B04D" w:rsidR="00732B7D" w:rsidRPr="00F53EE7" w:rsidRDefault="00732B7D">
      <w:pPr>
        <w:rPr>
          <w:rFonts w:ascii="Bookman Old Style" w:hAnsi="Bookman Old Style"/>
          <w:b/>
          <w:bCs/>
          <w:sz w:val="28"/>
          <w:szCs w:val="28"/>
          <w:lang w:val="en-US"/>
        </w:rPr>
      </w:pPr>
      <w:r w:rsidRPr="00F53EE7">
        <w:rPr>
          <w:rFonts w:ascii="Bookman Old Style" w:hAnsi="Bookman Old Style"/>
          <w:b/>
          <w:bCs/>
          <w:sz w:val="28"/>
          <w:szCs w:val="28"/>
          <w:lang w:val="en-US"/>
        </w:rPr>
        <w:t>J VAN DER WESTHUIZEN</w:t>
      </w:r>
      <w:r w:rsidR="004D6C72" w:rsidRPr="00F53EE7">
        <w:rPr>
          <w:rFonts w:ascii="Bookman Old Style" w:hAnsi="Bookman Old Style"/>
          <w:b/>
          <w:bCs/>
          <w:sz w:val="28"/>
          <w:szCs w:val="28"/>
          <w:lang w:val="en-US"/>
        </w:rPr>
        <w:t>,</w:t>
      </w:r>
      <w:r w:rsidRPr="00F53EE7">
        <w:rPr>
          <w:rFonts w:ascii="Bookman Old Style" w:hAnsi="Bookman Old Style"/>
          <w:b/>
          <w:bCs/>
          <w:sz w:val="28"/>
          <w:szCs w:val="28"/>
          <w:lang w:val="en-US"/>
        </w:rPr>
        <w:t xml:space="preserve"> AJA</w:t>
      </w:r>
      <w:r w:rsidR="004D6C72" w:rsidRPr="00F53EE7">
        <w:rPr>
          <w:rFonts w:ascii="Bookman Old Style" w:hAnsi="Bookman Old Style"/>
          <w:b/>
          <w:bCs/>
          <w:sz w:val="28"/>
          <w:szCs w:val="28"/>
          <w:lang w:val="en-US"/>
        </w:rPr>
        <w:t>:</w:t>
      </w:r>
    </w:p>
    <w:p w14:paraId="1C2D62D5" w14:textId="14354393" w:rsidR="00732B7D" w:rsidRPr="00F53EE7" w:rsidRDefault="00732B7D">
      <w:pPr>
        <w:rPr>
          <w:rFonts w:ascii="Bookman Old Style" w:hAnsi="Bookman Old Style"/>
          <w:b/>
          <w:bCs/>
          <w:sz w:val="28"/>
          <w:szCs w:val="28"/>
          <w:lang w:val="en-US"/>
        </w:rPr>
      </w:pPr>
    </w:p>
    <w:p w14:paraId="5A6E08BC" w14:textId="344AA01A" w:rsidR="00732B7D" w:rsidRPr="00657D3A" w:rsidRDefault="00732B7D"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Introduction</w:t>
      </w:r>
    </w:p>
    <w:p w14:paraId="2DECC49C" w14:textId="00053A58" w:rsidR="00732B7D" w:rsidRDefault="00732B7D"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[1]</w:t>
      </w:r>
      <w:r w:rsidR="005F3684" w:rsidRPr="00657D3A">
        <w:rPr>
          <w:rFonts w:ascii="Bookman Old Style" w:hAnsi="Bookman Old Style"/>
          <w:sz w:val="28"/>
          <w:szCs w:val="28"/>
          <w:lang w:val="en-US"/>
        </w:rPr>
        <w:t xml:space="preserve"> The only issue in this </w:t>
      </w:r>
      <w:r w:rsidR="004F0A20" w:rsidRPr="00657D3A">
        <w:rPr>
          <w:rFonts w:ascii="Bookman Old Style" w:hAnsi="Bookman Old Style"/>
          <w:sz w:val="28"/>
          <w:szCs w:val="28"/>
          <w:lang w:val="en-US"/>
        </w:rPr>
        <w:t>appeal</w:t>
      </w:r>
      <w:r w:rsidR="005F3684" w:rsidRPr="00657D3A">
        <w:rPr>
          <w:rFonts w:ascii="Bookman Old Style" w:hAnsi="Bookman Old Style"/>
          <w:sz w:val="28"/>
          <w:szCs w:val="28"/>
          <w:lang w:val="en-US"/>
        </w:rPr>
        <w:t xml:space="preserve"> is the jurisdiction of the High Court, sitting with one judge as the High Court, </w:t>
      </w:r>
      <w:r w:rsidR="005F3684" w:rsidRPr="00657D3A">
        <w:rPr>
          <w:rFonts w:ascii="Bookman Old Style" w:hAnsi="Bookman Old Style"/>
          <w:i/>
          <w:iCs/>
          <w:sz w:val="28"/>
          <w:szCs w:val="28"/>
          <w:lang w:val="en-US"/>
        </w:rPr>
        <w:t>vis a vis</w:t>
      </w:r>
      <w:r w:rsidR="005F3684" w:rsidRPr="00657D3A">
        <w:rPr>
          <w:rFonts w:ascii="Bookman Old Style" w:hAnsi="Bookman Old Style"/>
          <w:sz w:val="28"/>
          <w:szCs w:val="28"/>
          <w:lang w:val="en-US"/>
        </w:rPr>
        <w:t xml:space="preserve"> the High Court sitting with three judges as the Constitutional Court. An order of the High Court can be taken on appeal to this Court, the Court of Appeal of Lesotho, comprising of three </w:t>
      </w:r>
      <w:r w:rsidR="00260381" w:rsidRPr="00657D3A">
        <w:rPr>
          <w:rFonts w:ascii="Bookman Old Style" w:hAnsi="Bookman Old Style"/>
          <w:sz w:val="28"/>
          <w:szCs w:val="28"/>
          <w:lang w:val="en-US"/>
        </w:rPr>
        <w:t>judges:</w:t>
      </w:r>
      <w:r w:rsidR="005F3684" w:rsidRPr="00657D3A">
        <w:rPr>
          <w:rFonts w:ascii="Bookman Old Style" w:hAnsi="Bookman Old Style"/>
          <w:sz w:val="28"/>
          <w:szCs w:val="28"/>
          <w:lang w:val="en-US"/>
        </w:rPr>
        <w:t xml:space="preserve"> and an order of the High Court as Constitutional Court to this Court sitting with five judges in a constitutional matter.</w:t>
      </w:r>
    </w:p>
    <w:p w14:paraId="4EC15439" w14:textId="21C6C73A" w:rsidR="005F3684" w:rsidRPr="00657D3A" w:rsidRDefault="005F3684"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In the High Court</w:t>
      </w:r>
    </w:p>
    <w:p w14:paraId="61D5CAAB" w14:textId="72910344" w:rsidR="005E0D29" w:rsidRPr="00657D3A" w:rsidRDefault="005E0D29"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[2] The appellant</w:t>
      </w:r>
      <w:r w:rsidR="004F0A20" w:rsidRPr="00657D3A">
        <w:rPr>
          <w:rFonts w:ascii="Bookman Old Style" w:hAnsi="Bookman Old Style"/>
          <w:sz w:val="28"/>
          <w:szCs w:val="28"/>
          <w:lang w:val="en-US"/>
        </w:rPr>
        <w:t xml:space="preserve">, an employee of the second respondent, </w:t>
      </w:r>
      <w:r w:rsidRPr="00657D3A">
        <w:rPr>
          <w:rFonts w:ascii="Bookman Old Style" w:hAnsi="Bookman Old Style"/>
          <w:sz w:val="28"/>
          <w:szCs w:val="28"/>
          <w:lang w:val="en-US"/>
        </w:rPr>
        <w:t>approached the High Court</w:t>
      </w:r>
      <w:r w:rsidR="0006354C" w:rsidRPr="00657D3A">
        <w:rPr>
          <w:rFonts w:ascii="Bookman Old Style" w:hAnsi="Bookman Old Style"/>
          <w:sz w:val="28"/>
          <w:szCs w:val="28"/>
          <w:lang w:val="en-US"/>
        </w:rPr>
        <w:t xml:space="preserve">, </w:t>
      </w:r>
      <w:proofErr w:type="gramStart"/>
      <w:r w:rsidR="0006354C" w:rsidRPr="00657D3A">
        <w:rPr>
          <w:rFonts w:ascii="Bookman Old Style" w:hAnsi="Bookman Old Style"/>
          <w:sz w:val="28"/>
          <w:szCs w:val="28"/>
          <w:lang w:val="en-US"/>
        </w:rPr>
        <w:t>on the basis of</w:t>
      </w:r>
      <w:proofErr w:type="gramEnd"/>
      <w:r w:rsidR="0006354C" w:rsidRPr="00657D3A">
        <w:rPr>
          <w:rFonts w:ascii="Bookman Old Style" w:hAnsi="Bookman Old Style"/>
          <w:sz w:val="28"/>
          <w:szCs w:val="28"/>
          <w:lang w:val="en-US"/>
        </w:rPr>
        <w:t xml:space="preserve"> urgency</w:t>
      </w:r>
      <w:r w:rsidR="00A867DE" w:rsidRPr="00657D3A">
        <w:rPr>
          <w:rFonts w:ascii="Bookman Old Style" w:hAnsi="Bookman Old Style"/>
          <w:sz w:val="28"/>
          <w:szCs w:val="28"/>
          <w:lang w:val="en-US"/>
        </w:rPr>
        <w:t>, sitting with three judges as Constitutional Court</w:t>
      </w:r>
      <w:r w:rsidR="0006354C" w:rsidRPr="00657D3A">
        <w:rPr>
          <w:rFonts w:ascii="Bookman Old Style" w:hAnsi="Bookman Old Style"/>
          <w:sz w:val="28"/>
          <w:szCs w:val="28"/>
          <w:lang w:val="en-US"/>
        </w:rPr>
        <w:t>. Th</w:t>
      </w:r>
      <w:r w:rsidR="00A867DE" w:rsidRPr="00657D3A">
        <w:rPr>
          <w:rFonts w:ascii="Bookman Old Style" w:hAnsi="Bookman Old Style"/>
          <w:sz w:val="28"/>
          <w:szCs w:val="28"/>
          <w:lang w:val="en-US"/>
        </w:rPr>
        <w:t xml:space="preserve">e relevant prayers </w:t>
      </w:r>
      <w:r w:rsidR="0052655A" w:rsidRPr="00657D3A">
        <w:rPr>
          <w:rFonts w:ascii="Bookman Old Style" w:hAnsi="Bookman Old Style"/>
          <w:sz w:val="28"/>
          <w:szCs w:val="28"/>
          <w:lang w:val="en-US"/>
        </w:rPr>
        <w:t xml:space="preserve">in the Notice of Motion </w:t>
      </w:r>
      <w:r w:rsidR="00A867DE" w:rsidRPr="00657D3A">
        <w:rPr>
          <w:rFonts w:ascii="Bookman Old Style" w:hAnsi="Bookman Old Style"/>
          <w:sz w:val="28"/>
          <w:szCs w:val="28"/>
          <w:lang w:val="en-US"/>
        </w:rPr>
        <w:t>sought a</w:t>
      </w:r>
      <w:r w:rsidR="004F0A20" w:rsidRPr="00657D3A">
        <w:rPr>
          <w:rFonts w:ascii="Bookman Old Style" w:hAnsi="Bookman Old Style"/>
          <w:sz w:val="28"/>
          <w:szCs w:val="28"/>
          <w:lang w:val="en-US"/>
        </w:rPr>
        <w:t>n order –</w:t>
      </w:r>
    </w:p>
    <w:p w14:paraId="3808101A" w14:textId="4DA7E738" w:rsidR="004F0A20" w:rsidRPr="00657D3A" w:rsidRDefault="004F0A20" w:rsidP="00B96F8F">
      <w:pPr>
        <w:spacing w:line="240" w:lineRule="auto"/>
        <w:ind w:left="720"/>
        <w:jc w:val="both"/>
        <w:rPr>
          <w:rFonts w:ascii="Bookman Old Style" w:hAnsi="Bookman Old Style"/>
          <w:i/>
          <w:iCs/>
          <w:sz w:val="28"/>
          <w:szCs w:val="28"/>
          <w:lang w:val="en-US"/>
        </w:rPr>
      </w:pPr>
      <w:r w:rsidRPr="00657D3A">
        <w:rPr>
          <w:rFonts w:ascii="Bookman Old Style" w:hAnsi="Bookman Old Style"/>
          <w:i/>
          <w:iCs/>
          <w:sz w:val="28"/>
          <w:szCs w:val="28"/>
          <w:lang w:val="en-US"/>
        </w:rPr>
        <w:t>“</w:t>
      </w:r>
      <w:r w:rsidR="00A61374" w:rsidRPr="00657D3A">
        <w:rPr>
          <w:rFonts w:ascii="Bookman Old Style" w:hAnsi="Bookman Old Style"/>
          <w:i/>
          <w:iCs/>
          <w:sz w:val="28"/>
          <w:szCs w:val="28"/>
          <w:lang w:val="en-US"/>
        </w:rPr>
        <w:t>2</w:t>
      </w:r>
      <w:r w:rsidRPr="00657D3A">
        <w:rPr>
          <w:rFonts w:ascii="Bookman Old Style" w:hAnsi="Bookman Old Style"/>
          <w:i/>
          <w:iCs/>
          <w:sz w:val="28"/>
          <w:szCs w:val="28"/>
          <w:lang w:val="en-US"/>
        </w:rPr>
        <w:t>(a)That the disciplinary case against the applicant before the Board of Enquiry of the National Security Service be stayed pending finalization of these proceedings</w:t>
      </w:r>
    </w:p>
    <w:p w14:paraId="7D31F21E" w14:textId="77777777" w:rsidR="004F0A20" w:rsidRPr="00657D3A" w:rsidRDefault="004F0A20" w:rsidP="00B96F8F">
      <w:pPr>
        <w:spacing w:line="240" w:lineRule="auto"/>
        <w:ind w:firstLine="720"/>
        <w:jc w:val="both"/>
        <w:rPr>
          <w:rFonts w:ascii="Bookman Old Style" w:hAnsi="Bookman Old Style"/>
          <w:i/>
          <w:iCs/>
          <w:sz w:val="28"/>
          <w:szCs w:val="28"/>
          <w:lang w:val="en-US"/>
        </w:rPr>
      </w:pPr>
      <w:r w:rsidRPr="00657D3A">
        <w:rPr>
          <w:rFonts w:ascii="Bookman Old Style" w:hAnsi="Bookman Old Style"/>
          <w:i/>
          <w:iCs/>
          <w:sz w:val="28"/>
          <w:szCs w:val="28"/>
          <w:lang w:val="en-US"/>
        </w:rPr>
        <w:t>(b) …</w:t>
      </w:r>
    </w:p>
    <w:p w14:paraId="526D9829" w14:textId="100C1064" w:rsidR="00A867DE" w:rsidRDefault="004F0A20" w:rsidP="00B96F8F">
      <w:pPr>
        <w:spacing w:line="240" w:lineRule="auto"/>
        <w:ind w:left="720"/>
        <w:jc w:val="both"/>
        <w:rPr>
          <w:rFonts w:ascii="Bookman Old Style" w:hAnsi="Bookman Old Style"/>
          <w:i/>
          <w:iCs/>
          <w:sz w:val="28"/>
          <w:szCs w:val="28"/>
          <w:lang w:val="en-US"/>
        </w:rPr>
      </w:pPr>
      <w:r w:rsidRPr="00657D3A">
        <w:rPr>
          <w:rFonts w:ascii="Bookman Old Style" w:hAnsi="Bookman Old Style"/>
          <w:i/>
          <w:iCs/>
          <w:sz w:val="28"/>
          <w:szCs w:val="28"/>
          <w:lang w:val="en-US"/>
        </w:rPr>
        <w:t xml:space="preserve">(c) That it is hereby declared that legal notice number 85 of 2010 National Security Services Act (Amendment of Schedules) Notice, 2021, is unconstitutional for violating section 70(1) of the Constitution …” </w:t>
      </w:r>
    </w:p>
    <w:p w14:paraId="39DD776A" w14:textId="77777777" w:rsidR="00B96F8F" w:rsidRPr="00657D3A" w:rsidRDefault="00B96F8F" w:rsidP="00B96F8F">
      <w:pPr>
        <w:spacing w:line="240" w:lineRule="auto"/>
        <w:ind w:left="720"/>
        <w:jc w:val="both"/>
        <w:rPr>
          <w:rFonts w:ascii="Bookman Old Style" w:hAnsi="Bookman Old Style"/>
          <w:i/>
          <w:iCs/>
          <w:sz w:val="28"/>
          <w:szCs w:val="28"/>
          <w:lang w:val="en-US"/>
        </w:rPr>
      </w:pPr>
    </w:p>
    <w:p w14:paraId="3CC94327" w14:textId="764E69D7" w:rsidR="00A867DE" w:rsidRPr="00657D3A" w:rsidRDefault="00A867DE"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lastRenderedPageBreak/>
        <w:t xml:space="preserve">[3] The </w:t>
      </w:r>
      <w:r w:rsidR="0006354C" w:rsidRPr="00657D3A">
        <w:rPr>
          <w:rFonts w:ascii="Bookman Old Style" w:hAnsi="Bookman Old Style"/>
          <w:sz w:val="28"/>
          <w:szCs w:val="28"/>
          <w:lang w:val="en-US"/>
        </w:rPr>
        <w:t xml:space="preserve">first </w:t>
      </w:r>
      <w:r w:rsidRPr="00657D3A">
        <w:rPr>
          <w:rFonts w:ascii="Bookman Old Style" w:hAnsi="Bookman Old Style"/>
          <w:sz w:val="28"/>
          <w:szCs w:val="28"/>
          <w:lang w:val="en-US"/>
        </w:rPr>
        <w:t xml:space="preserve">respondent opposed only the alleged urgency of the matter, but </w:t>
      </w:r>
      <w:r w:rsidR="0006354C" w:rsidRPr="00657D3A">
        <w:rPr>
          <w:rFonts w:ascii="Bookman Old Style" w:hAnsi="Bookman Old Style"/>
          <w:sz w:val="28"/>
          <w:szCs w:val="28"/>
          <w:lang w:val="en-US"/>
        </w:rPr>
        <w:t>its counsel s</w:t>
      </w:r>
      <w:r w:rsidRPr="00657D3A">
        <w:rPr>
          <w:rFonts w:ascii="Bookman Old Style" w:hAnsi="Bookman Old Style"/>
          <w:sz w:val="28"/>
          <w:szCs w:val="28"/>
          <w:lang w:val="en-US"/>
        </w:rPr>
        <w:t>tated from the Bar that should urgency be found to exist, the jurisdiction of the court would be disputed.</w:t>
      </w:r>
      <w:r w:rsidR="002A7536" w:rsidRPr="00657D3A">
        <w:rPr>
          <w:rFonts w:ascii="Bookman Old Style" w:hAnsi="Bookman Old Style"/>
          <w:sz w:val="28"/>
          <w:szCs w:val="28"/>
          <w:lang w:val="en-US"/>
        </w:rPr>
        <w:t xml:space="preserve"> Urgency was </w:t>
      </w:r>
      <w:r w:rsidR="0006354C" w:rsidRPr="00657D3A">
        <w:rPr>
          <w:rFonts w:ascii="Bookman Old Style" w:hAnsi="Bookman Old Style"/>
          <w:sz w:val="28"/>
          <w:szCs w:val="28"/>
          <w:lang w:val="en-US"/>
        </w:rPr>
        <w:t xml:space="preserve">so </w:t>
      </w:r>
      <w:r w:rsidR="002A7536" w:rsidRPr="00657D3A">
        <w:rPr>
          <w:rFonts w:ascii="Bookman Old Style" w:hAnsi="Bookman Old Style"/>
          <w:sz w:val="28"/>
          <w:szCs w:val="28"/>
          <w:lang w:val="en-US"/>
        </w:rPr>
        <w:t>found. Counsel for both sides made oral submissions</w:t>
      </w:r>
      <w:r w:rsidR="0006354C" w:rsidRPr="00657D3A">
        <w:rPr>
          <w:rFonts w:ascii="Bookman Old Style" w:hAnsi="Bookman Old Style"/>
          <w:sz w:val="28"/>
          <w:szCs w:val="28"/>
          <w:lang w:val="en-US"/>
        </w:rPr>
        <w:t xml:space="preserve"> on jurisdiction</w:t>
      </w:r>
      <w:r w:rsidR="002A7536" w:rsidRPr="00657D3A">
        <w:rPr>
          <w:rFonts w:ascii="Bookman Old Style" w:hAnsi="Bookman Old Style"/>
          <w:sz w:val="28"/>
          <w:szCs w:val="28"/>
          <w:lang w:val="en-US"/>
        </w:rPr>
        <w:t>. After the Court had requested written submissions, both sides submitted written argument.</w:t>
      </w:r>
    </w:p>
    <w:p w14:paraId="5F6039EB" w14:textId="63F641CD" w:rsidR="00102DC3" w:rsidRPr="00657D3A" w:rsidRDefault="00102DC3"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[4] </w:t>
      </w:r>
      <w:r w:rsidR="0052655A" w:rsidRPr="00657D3A">
        <w:rPr>
          <w:rFonts w:ascii="Bookman Old Style" w:hAnsi="Bookman Old Style"/>
          <w:sz w:val="28"/>
          <w:szCs w:val="28"/>
          <w:lang w:val="en-US"/>
        </w:rPr>
        <w:t>As in this Court, the appellant relied mainly on the wording of prayer</w:t>
      </w:r>
      <w:r w:rsidR="005D35D0" w:rsidRPr="00657D3A">
        <w:rPr>
          <w:rFonts w:ascii="Bookman Old Style" w:hAnsi="Bookman Old Style"/>
          <w:sz w:val="28"/>
          <w:szCs w:val="28"/>
          <w:lang w:val="en-US"/>
        </w:rPr>
        <w:t xml:space="preserve"> 2(c</w:t>
      </w:r>
      <w:r w:rsidR="0052655A" w:rsidRPr="00657D3A">
        <w:rPr>
          <w:rFonts w:ascii="Bookman Old Style" w:hAnsi="Bookman Old Style"/>
          <w:sz w:val="28"/>
          <w:szCs w:val="28"/>
          <w:lang w:val="en-US"/>
        </w:rPr>
        <w:t xml:space="preserve">) of </w:t>
      </w:r>
      <w:r w:rsidR="0006354C" w:rsidRPr="00657D3A">
        <w:rPr>
          <w:rFonts w:ascii="Bookman Old Style" w:hAnsi="Bookman Old Style"/>
          <w:sz w:val="28"/>
          <w:szCs w:val="28"/>
          <w:lang w:val="en-US"/>
        </w:rPr>
        <w:t>the Notice of Motion</w:t>
      </w:r>
      <w:r w:rsidR="0052655A" w:rsidRPr="00657D3A">
        <w:rPr>
          <w:rFonts w:ascii="Bookman Old Style" w:hAnsi="Bookman Old Style"/>
          <w:sz w:val="28"/>
          <w:szCs w:val="28"/>
          <w:lang w:val="en-US"/>
        </w:rPr>
        <w:t xml:space="preserve">, calling for an order that a legal notice was unconstitutional because it violated section 70(1) of the Constitution. The first respondent argued, as in this Court, that the founding affidavit had to substantiate and explain how the appellant’s </w:t>
      </w:r>
      <w:r w:rsidR="0006354C" w:rsidRPr="00657D3A">
        <w:rPr>
          <w:rFonts w:ascii="Bookman Old Style" w:hAnsi="Bookman Old Style"/>
          <w:sz w:val="28"/>
          <w:szCs w:val="28"/>
          <w:lang w:val="en-US"/>
        </w:rPr>
        <w:t xml:space="preserve">constitutional </w:t>
      </w:r>
      <w:r w:rsidR="0052655A" w:rsidRPr="00657D3A">
        <w:rPr>
          <w:rFonts w:ascii="Bookman Old Style" w:hAnsi="Bookman Old Style"/>
          <w:sz w:val="28"/>
          <w:szCs w:val="28"/>
          <w:lang w:val="en-US"/>
        </w:rPr>
        <w:t>rights under section 70(1) were affected.</w:t>
      </w:r>
    </w:p>
    <w:p w14:paraId="175F8F2F" w14:textId="77777777" w:rsidR="009A06B9" w:rsidRPr="00657D3A" w:rsidRDefault="00102DC3"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[5] </w:t>
      </w:r>
      <w:r w:rsidR="0052655A" w:rsidRPr="00657D3A">
        <w:rPr>
          <w:rFonts w:ascii="Bookman Old Style" w:hAnsi="Bookman Old Style"/>
          <w:sz w:val="28"/>
          <w:szCs w:val="28"/>
          <w:lang w:val="en-US"/>
        </w:rPr>
        <w:t xml:space="preserve">The High Court found that it had no jurisdiction as Constitutional Court. </w:t>
      </w:r>
      <w:r w:rsidR="009A06B9" w:rsidRPr="00657D3A">
        <w:rPr>
          <w:rFonts w:ascii="Bookman Old Style" w:hAnsi="Bookman Old Style"/>
          <w:sz w:val="28"/>
          <w:szCs w:val="28"/>
          <w:lang w:val="en-US"/>
        </w:rPr>
        <w:t>In a thorough judgmen</w:t>
      </w:r>
      <w:r w:rsidR="0052655A" w:rsidRPr="00657D3A">
        <w:rPr>
          <w:rFonts w:ascii="Bookman Old Style" w:hAnsi="Bookman Old Style"/>
          <w:sz w:val="28"/>
          <w:szCs w:val="28"/>
          <w:lang w:val="en-US"/>
        </w:rPr>
        <w:t xml:space="preserve">t </w:t>
      </w:r>
      <w:r w:rsidR="009A06B9" w:rsidRPr="00657D3A">
        <w:rPr>
          <w:rFonts w:ascii="Bookman Old Style" w:hAnsi="Bookman Old Style"/>
          <w:sz w:val="28"/>
          <w:szCs w:val="28"/>
          <w:lang w:val="en-US"/>
        </w:rPr>
        <w:t xml:space="preserve">with numerous references to case law, it </w:t>
      </w:r>
      <w:r w:rsidR="0052655A" w:rsidRPr="00657D3A">
        <w:rPr>
          <w:rFonts w:ascii="Bookman Old Style" w:hAnsi="Bookman Old Style"/>
          <w:sz w:val="28"/>
          <w:szCs w:val="28"/>
          <w:lang w:val="en-US"/>
        </w:rPr>
        <w:t>agreed with the argument put forward on behalf of the first respondent</w:t>
      </w:r>
      <w:r w:rsidR="009A06B9" w:rsidRPr="00657D3A">
        <w:rPr>
          <w:rFonts w:ascii="Bookman Old Style" w:hAnsi="Bookman Old Style"/>
          <w:sz w:val="28"/>
          <w:szCs w:val="28"/>
          <w:lang w:val="en-US"/>
        </w:rPr>
        <w:t xml:space="preserve">. </w:t>
      </w:r>
    </w:p>
    <w:p w14:paraId="7912A6D4" w14:textId="0C1B3D10" w:rsidR="009A06B9" w:rsidRPr="00657D3A" w:rsidRDefault="009A06B9"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[6] The High Court’s </w:t>
      </w:r>
      <w:r w:rsidR="00F122E4" w:rsidRPr="00657D3A">
        <w:rPr>
          <w:rFonts w:ascii="Bookman Old Style" w:hAnsi="Bookman Old Style"/>
          <w:sz w:val="28"/>
          <w:szCs w:val="28"/>
          <w:lang w:val="en-US"/>
        </w:rPr>
        <w:t xml:space="preserve">extensive </w:t>
      </w:r>
      <w:r w:rsidRPr="00657D3A">
        <w:rPr>
          <w:rFonts w:ascii="Bookman Old Style" w:hAnsi="Bookman Old Style"/>
          <w:sz w:val="28"/>
          <w:szCs w:val="28"/>
          <w:lang w:val="en-US"/>
        </w:rPr>
        <w:t>reasoning included</w:t>
      </w:r>
      <w:r w:rsidR="00F122E4" w:rsidRPr="00657D3A">
        <w:rPr>
          <w:rFonts w:ascii="Bookman Old Style" w:hAnsi="Bookman Old Style"/>
          <w:sz w:val="28"/>
          <w:szCs w:val="28"/>
          <w:lang w:val="en-US"/>
        </w:rPr>
        <w:t xml:space="preserve"> references to several clauses of the Constitution. The core reason for its decision, however, relates to the contents of the pleadings.</w:t>
      </w:r>
    </w:p>
    <w:p w14:paraId="645F2E05" w14:textId="63A4A7E8" w:rsidR="009A06B9" w:rsidRPr="00657D3A" w:rsidRDefault="009A06B9"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{7} In paragraph 17 of </w:t>
      </w:r>
      <w:r w:rsidR="00902168" w:rsidRPr="00657D3A">
        <w:rPr>
          <w:rFonts w:ascii="Bookman Old Style" w:hAnsi="Bookman Old Style"/>
          <w:sz w:val="28"/>
          <w:szCs w:val="28"/>
          <w:lang w:val="en-US"/>
        </w:rPr>
        <w:t>its judgment the High Court stated:</w:t>
      </w:r>
    </w:p>
    <w:p w14:paraId="3ECA4F1D" w14:textId="167E1CA3" w:rsidR="00902168" w:rsidRPr="00657D3A" w:rsidRDefault="00902168" w:rsidP="00657D3A">
      <w:pPr>
        <w:spacing w:line="360" w:lineRule="auto"/>
        <w:jc w:val="both"/>
        <w:rPr>
          <w:rFonts w:ascii="Bookman Old Style" w:hAnsi="Bookman Old Style"/>
          <w:i/>
          <w:iCs/>
          <w:sz w:val="28"/>
          <w:szCs w:val="28"/>
          <w:lang w:val="en-US"/>
        </w:rPr>
      </w:pPr>
      <w:r w:rsidRPr="00657D3A">
        <w:rPr>
          <w:rFonts w:ascii="Bookman Old Style" w:hAnsi="Bookman Old Style"/>
          <w:i/>
          <w:iCs/>
          <w:sz w:val="28"/>
          <w:szCs w:val="28"/>
          <w:lang w:val="en-US"/>
        </w:rPr>
        <w:t xml:space="preserve">“The applicant … has failed, in his founding affidavit, to articulate the essence of the impugned law and how it allegedly </w:t>
      </w:r>
      <w:proofErr w:type="gramStart"/>
      <w:r w:rsidRPr="00657D3A">
        <w:rPr>
          <w:rFonts w:ascii="Bookman Old Style" w:hAnsi="Bookman Old Style"/>
          <w:i/>
          <w:iCs/>
          <w:sz w:val="28"/>
          <w:szCs w:val="28"/>
          <w:lang w:val="en-US"/>
        </w:rPr>
        <w:t>violate</w:t>
      </w:r>
      <w:proofErr w:type="gramEnd"/>
      <w:r w:rsidRPr="00657D3A">
        <w:rPr>
          <w:rFonts w:ascii="Bookman Old Style" w:hAnsi="Bookman Old Style"/>
          <w:i/>
          <w:iCs/>
          <w:sz w:val="28"/>
          <w:szCs w:val="28"/>
          <w:lang w:val="en-US"/>
        </w:rPr>
        <w:t xml:space="preserve"> (sic) section 70(1) of the Constitution. Consequently, the court is in the dark as to the actual complaint of the applicant for it to determine whether it has jurisdiction to adjudicate over it.”</w:t>
      </w:r>
    </w:p>
    <w:p w14:paraId="7F1D5CA6" w14:textId="5636F673" w:rsidR="00902168" w:rsidRPr="00657D3A" w:rsidRDefault="00902168"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[8] This is </w:t>
      </w:r>
      <w:r w:rsidR="00A23C21" w:rsidRPr="00657D3A">
        <w:rPr>
          <w:rFonts w:ascii="Bookman Old Style" w:hAnsi="Bookman Old Style"/>
          <w:sz w:val="28"/>
          <w:szCs w:val="28"/>
          <w:lang w:val="en-US"/>
        </w:rPr>
        <w:t>followed up on in paragraph 19:</w:t>
      </w:r>
    </w:p>
    <w:p w14:paraId="15997618" w14:textId="46F75CF0" w:rsidR="00A23C21" w:rsidRPr="00657D3A" w:rsidRDefault="00A23C21" w:rsidP="00657D3A">
      <w:pPr>
        <w:spacing w:line="360" w:lineRule="auto"/>
        <w:jc w:val="both"/>
        <w:rPr>
          <w:rFonts w:ascii="Bookman Old Style" w:hAnsi="Bookman Old Style"/>
          <w:i/>
          <w:iCs/>
          <w:sz w:val="28"/>
          <w:szCs w:val="28"/>
          <w:lang w:val="en-US"/>
        </w:rPr>
      </w:pPr>
      <w:r w:rsidRPr="00657D3A">
        <w:rPr>
          <w:rFonts w:ascii="Bookman Old Style" w:hAnsi="Bookman Old Style"/>
          <w:i/>
          <w:iCs/>
          <w:sz w:val="28"/>
          <w:szCs w:val="28"/>
          <w:lang w:val="en-US"/>
        </w:rPr>
        <w:lastRenderedPageBreak/>
        <w:t xml:space="preserve">“In a </w:t>
      </w:r>
      <w:r w:rsidR="00B96F8F" w:rsidRPr="00657D3A">
        <w:rPr>
          <w:rFonts w:ascii="Bookman Old Style" w:hAnsi="Bookman Old Style"/>
          <w:i/>
          <w:iCs/>
          <w:sz w:val="28"/>
          <w:szCs w:val="28"/>
          <w:lang w:val="en-US"/>
        </w:rPr>
        <w:t>nutshell</w:t>
      </w:r>
      <w:r w:rsidR="00AF778D" w:rsidRPr="00657D3A">
        <w:rPr>
          <w:rFonts w:ascii="Bookman Old Style" w:hAnsi="Bookman Old Style"/>
          <w:i/>
          <w:iCs/>
          <w:sz w:val="28"/>
          <w:szCs w:val="28"/>
          <w:lang w:val="en-US"/>
        </w:rPr>
        <w:t xml:space="preserve"> (</w:t>
      </w:r>
      <w:r w:rsidR="00AF778D" w:rsidRPr="00657D3A">
        <w:rPr>
          <w:rFonts w:ascii="Bookman Old Style" w:hAnsi="Bookman Old Style"/>
          <w:sz w:val="28"/>
          <w:szCs w:val="28"/>
          <w:lang w:val="en-US"/>
        </w:rPr>
        <w:t>sic</w:t>
      </w:r>
      <w:r w:rsidR="00AF778D" w:rsidRPr="00657D3A">
        <w:rPr>
          <w:rFonts w:ascii="Bookman Old Style" w:hAnsi="Bookman Old Style"/>
          <w:i/>
          <w:iCs/>
          <w:sz w:val="28"/>
          <w:szCs w:val="28"/>
          <w:lang w:val="en-US"/>
        </w:rPr>
        <w:t>)</w:t>
      </w:r>
      <w:r w:rsidRPr="00657D3A">
        <w:rPr>
          <w:rFonts w:ascii="Bookman Old Style" w:hAnsi="Bookman Old Style"/>
          <w:i/>
          <w:iCs/>
          <w:sz w:val="28"/>
          <w:szCs w:val="28"/>
          <w:lang w:val="en-US"/>
        </w:rPr>
        <w:t>, the applicant has not pleaded any facts upon which he founds the constitutional jurisdiction of this court.”</w:t>
      </w:r>
    </w:p>
    <w:p w14:paraId="23FC9A9B" w14:textId="003AE1FF" w:rsidR="00A23C21" w:rsidRDefault="00A23C21"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The High Court </w:t>
      </w:r>
      <w:r w:rsidR="0006354C" w:rsidRPr="00657D3A">
        <w:rPr>
          <w:rFonts w:ascii="Bookman Old Style" w:hAnsi="Bookman Old Style"/>
          <w:sz w:val="28"/>
          <w:szCs w:val="28"/>
          <w:lang w:val="en-US"/>
        </w:rPr>
        <w:t xml:space="preserve">especially </w:t>
      </w:r>
      <w:r w:rsidRPr="00657D3A">
        <w:rPr>
          <w:rFonts w:ascii="Bookman Old Style" w:hAnsi="Bookman Old Style"/>
          <w:sz w:val="28"/>
          <w:szCs w:val="28"/>
          <w:lang w:val="en-US"/>
        </w:rPr>
        <w:t>relie</w:t>
      </w:r>
      <w:r w:rsidR="00AF778D" w:rsidRPr="00657D3A">
        <w:rPr>
          <w:rFonts w:ascii="Bookman Old Style" w:hAnsi="Bookman Old Style"/>
          <w:sz w:val="28"/>
          <w:szCs w:val="28"/>
          <w:lang w:val="en-US"/>
        </w:rPr>
        <w:t>d</w:t>
      </w:r>
      <w:r w:rsidRPr="00657D3A">
        <w:rPr>
          <w:rFonts w:ascii="Bookman Old Style" w:hAnsi="Bookman Old Style"/>
          <w:sz w:val="28"/>
          <w:szCs w:val="28"/>
          <w:lang w:val="en-US"/>
        </w:rPr>
        <w:t xml:space="preserve"> on </w:t>
      </w:r>
      <w:proofErr w:type="spellStart"/>
      <w:r w:rsidRPr="00657D3A">
        <w:rPr>
          <w:rFonts w:ascii="Bookman Old Style" w:hAnsi="Bookman Old Style"/>
          <w:i/>
          <w:iCs/>
          <w:sz w:val="28"/>
          <w:szCs w:val="28"/>
          <w:lang w:val="en-US"/>
        </w:rPr>
        <w:t>Phaila</w:t>
      </w:r>
      <w:proofErr w:type="spellEnd"/>
      <w:r w:rsidRPr="00657D3A">
        <w:rPr>
          <w:rFonts w:ascii="Bookman Old Style" w:hAnsi="Bookman Old Style"/>
          <w:i/>
          <w:iCs/>
          <w:sz w:val="28"/>
          <w:szCs w:val="28"/>
          <w:lang w:val="en-US"/>
        </w:rPr>
        <w:t xml:space="preserve"> v Director of Public Prosecutions and Others</w:t>
      </w:r>
      <w:r w:rsidRPr="00657D3A">
        <w:rPr>
          <w:rFonts w:ascii="Bookman Old Style" w:hAnsi="Bookman Old Style"/>
          <w:sz w:val="28"/>
          <w:szCs w:val="28"/>
          <w:lang w:val="en-US"/>
        </w:rPr>
        <w:t xml:space="preserve"> (Const 24/2018) (2021) LSHC 07 918/3/2021). </w:t>
      </w:r>
    </w:p>
    <w:p w14:paraId="54DBCAA6" w14:textId="4AD79AA9" w:rsidR="00033497" w:rsidRPr="00657D3A" w:rsidRDefault="00033497"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Ground</w:t>
      </w:r>
      <w:r w:rsidR="00B67A3D" w:rsidRPr="00657D3A">
        <w:rPr>
          <w:rFonts w:ascii="Bookman Old Style" w:hAnsi="Bookman Old Style"/>
          <w:b/>
          <w:bCs/>
          <w:sz w:val="28"/>
          <w:szCs w:val="28"/>
          <w:lang w:val="en-US"/>
        </w:rPr>
        <w:t>s</w:t>
      </w:r>
      <w:r w:rsidRPr="00657D3A">
        <w:rPr>
          <w:rFonts w:ascii="Bookman Old Style" w:hAnsi="Bookman Old Style"/>
          <w:b/>
          <w:bCs/>
          <w:sz w:val="28"/>
          <w:szCs w:val="28"/>
          <w:lang w:val="en-US"/>
        </w:rPr>
        <w:t xml:space="preserve"> of appeal </w:t>
      </w:r>
    </w:p>
    <w:p w14:paraId="03508C1D" w14:textId="77777777" w:rsidR="002870A6" w:rsidRPr="00657D3A" w:rsidRDefault="00A23C21"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[9] According to the appellant, the court a quo “erred in finding … that it did not have jurisdiction … because the power to declare any law unconstitutional vests in the High Court in its Constitutional sitting …”. </w:t>
      </w:r>
    </w:p>
    <w:p w14:paraId="4C55321D" w14:textId="5989E507" w:rsidR="00A23C21" w:rsidRPr="00657D3A" w:rsidRDefault="002870A6"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[10] </w:t>
      </w:r>
      <w:r w:rsidR="00A23C21" w:rsidRPr="00657D3A">
        <w:rPr>
          <w:rFonts w:ascii="Bookman Old Style" w:hAnsi="Bookman Old Style"/>
          <w:sz w:val="28"/>
          <w:szCs w:val="28"/>
          <w:lang w:val="en-US"/>
        </w:rPr>
        <w:t xml:space="preserve">The appellant </w:t>
      </w:r>
      <w:r w:rsidRPr="00657D3A">
        <w:rPr>
          <w:rFonts w:ascii="Bookman Old Style" w:hAnsi="Bookman Old Style"/>
          <w:sz w:val="28"/>
          <w:szCs w:val="28"/>
          <w:lang w:val="en-US"/>
        </w:rPr>
        <w:t xml:space="preserve">is </w:t>
      </w:r>
      <w:r w:rsidR="00A23C21" w:rsidRPr="00657D3A">
        <w:rPr>
          <w:rFonts w:ascii="Bookman Old Style" w:hAnsi="Bookman Old Style"/>
          <w:sz w:val="28"/>
          <w:szCs w:val="28"/>
          <w:lang w:val="en-US"/>
        </w:rPr>
        <w:t xml:space="preserve">furthermore </w:t>
      </w:r>
      <w:r w:rsidRPr="00657D3A">
        <w:rPr>
          <w:rFonts w:ascii="Bookman Old Style" w:hAnsi="Bookman Old Style"/>
          <w:sz w:val="28"/>
          <w:szCs w:val="28"/>
          <w:lang w:val="en-US"/>
        </w:rPr>
        <w:t xml:space="preserve">of the view that the High Court erred in the procedure it followed around the issue of jurisdiction. Depending on the conclusion reached regarding the first ground, it might not be necessary to deal with the last-mentioned. </w:t>
      </w:r>
    </w:p>
    <w:p w14:paraId="5FE0DCF3" w14:textId="2D1B2BFA" w:rsidR="00102DC3" w:rsidRPr="00657D3A" w:rsidRDefault="009A06B9"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 xml:space="preserve">Analysis </w:t>
      </w:r>
    </w:p>
    <w:p w14:paraId="2999E535" w14:textId="6031A02B" w:rsidR="00194CB0" w:rsidRPr="00657D3A" w:rsidRDefault="009A06B9"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w:t>
      </w:r>
      <w:r w:rsidR="00CC4BDD" w:rsidRPr="00657D3A">
        <w:rPr>
          <w:rFonts w:ascii="Bookman Old Style" w:hAnsi="Bookman Old Style"/>
          <w:sz w:val="28"/>
          <w:szCs w:val="28"/>
          <w:lang w:val="en-US"/>
        </w:rPr>
        <w:t>11</w:t>
      </w:r>
      <w:r w:rsidRPr="00657D3A">
        <w:rPr>
          <w:rFonts w:ascii="Bookman Old Style" w:hAnsi="Bookman Old Style"/>
          <w:sz w:val="28"/>
          <w:szCs w:val="28"/>
          <w:lang w:val="en-US"/>
        </w:rPr>
        <w:t>]</w:t>
      </w:r>
      <w:r w:rsidR="00194CB0" w:rsidRPr="00657D3A">
        <w:rPr>
          <w:rFonts w:ascii="Bookman Old Style" w:hAnsi="Bookman Old Style"/>
          <w:sz w:val="28"/>
          <w:szCs w:val="28"/>
          <w:lang w:val="en-US"/>
        </w:rPr>
        <w:t xml:space="preserve"> Life and law are not one</w:t>
      </w:r>
      <w:r w:rsidR="00D25F0E" w:rsidRPr="00657D3A">
        <w:rPr>
          <w:rFonts w:ascii="Bookman Old Style" w:hAnsi="Bookman Old Style"/>
          <w:sz w:val="28"/>
          <w:szCs w:val="28"/>
          <w:lang w:val="en-US"/>
        </w:rPr>
        <w:t>-</w:t>
      </w:r>
      <w:r w:rsidR="00194CB0" w:rsidRPr="00657D3A">
        <w:rPr>
          <w:rFonts w:ascii="Bookman Old Style" w:hAnsi="Bookman Old Style"/>
          <w:sz w:val="28"/>
          <w:szCs w:val="28"/>
          <w:lang w:val="en-US"/>
        </w:rPr>
        <w:t>dimensional. Complex legal disputes can often not easily be confined to separate boxes with neat and accurate labels. Thus</w:t>
      </w:r>
      <w:r w:rsidR="0006354C" w:rsidRPr="00657D3A">
        <w:rPr>
          <w:rFonts w:ascii="Bookman Old Style" w:hAnsi="Bookman Old Style"/>
          <w:sz w:val="28"/>
          <w:szCs w:val="28"/>
          <w:lang w:val="en-US"/>
        </w:rPr>
        <w:t>,</w:t>
      </w:r>
      <w:r w:rsidR="00194CB0" w:rsidRPr="00657D3A">
        <w:rPr>
          <w:rFonts w:ascii="Bookman Old Style" w:hAnsi="Bookman Old Style"/>
          <w:sz w:val="28"/>
          <w:szCs w:val="28"/>
          <w:lang w:val="en-US"/>
        </w:rPr>
        <w:t xml:space="preserve"> differences on the jurisdiction of the High Court in its general capacity and specialized courts, or the High Court sitting as a specialized court for, for example </w:t>
      </w:r>
      <w:proofErr w:type="spellStart"/>
      <w:r w:rsidR="00194CB0" w:rsidRPr="00657D3A">
        <w:rPr>
          <w:rFonts w:ascii="Bookman Old Style" w:hAnsi="Bookman Old Style"/>
          <w:sz w:val="28"/>
          <w:szCs w:val="28"/>
          <w:lang w:val="en-US"/>
        </w:rPr>
        <w:t>labour</w:t>
      </w:r>
      <w:proofErr w:type="spellEnd"/>
      <w:r w:rsidR="00194CB0" w:rsidRPr="00657D3A">
        <w:rPr>
          <w:rFonts w:ascii="Bookman Old Style" w:hAnsi="Bookman Old Style"/>
          <w:sz w:val="28"/>
          <w:szCs w:val="28"/>
          <w:lang w:val="en-US"/>
        </w:rPr>
        <w:t xml:space="preserve"> and constitutional matters, fairly regularly have to be adjudicated by the very High Court itself, in one or the other capacity.</w:t>
      </w:r>
    </w:p>
    <w:p w14:paraId="63545F7F" w14:textId="44D9A0D4" w:rsidR="00BC1043" w:rsidRPr="00657D3A" w:rsidRDefault="00312711"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w:t>
      </w:r>
      <w:r w:rsidR="00CC4BDD" w:rsidRPr="00657D3A">
        <w:rPr>
          <w:rFonts w:ascii="Bookman Old Style" w:hAnsi="Bookman Old Style"/>
          <w:sz w:val="28"/>
          <w:szCs w:val="28"/>
          <w:lang w:val="en-US"/>
        </w:rPr>
        <w:t>12</w:t>
      </w:r>
      <w:r w:rsidRPr="00657D3A">
        <w:rPr>
          <w:rFonts w:ascii="Bookman Old Style" w:hAnsi="Bookman Old Style"/>
          <w:sz w:val="28"/>
          <w:szCs w:val="28"/>
          <w:lang w:val="en-US"/>
        </w:rPr>
        <w:t xml:space="preserve">] Potential litigants have the right to choose which cause of action would best serve their interests; and </w:t>
      </w:r>
      <w:proofErr w:type="gramStart"/>
      <w:r w:rsidRPr="00657D3A">
        <w:rPr>
          <w:rFonts w:ascii="Bookman Old Style" w:hAnsi="Bookman Old Style"/>
          <w:sz w:val="28"/>
          <w:szCs w:val="28"/>
          <w:lang w:val="en-US"/>
        </w:rPr>
        <w:t>thus</w:t>
      </w:r>
      <w:proofErr w:type="gramEnd"/>
      <w:r w:rsidRPr="00657D3A">
        <w:rPr>
          <w:rFonts w:ascii="Bookman Old Style" w:hAnsi="Bookman Old Style"/>
          <w:sz w:val="28"/>
          <w:szCs w:val="28"/>
          <w:lang w:val="en-US"/>
        </w:rPr>
        <w:t xml:space="preserve"> which court or other forum to approach. At the same time though, what is referred to as “forum shopping” should be discouraged for a range of </w:t>
      </w:r>
      <w:r w:rsidRPr="00657D3A">
        <w:rPr>
          <w:rFonts w:ascii="Bookman Old Style" w:hAnsi="Bookman Old Style"/>
          <w:sz w:val="28"/>
          <w:szCs w:val="28"/>
          <w:lang w:val="en-US"/>
        </w:rPr>
        <w:lastRenderedPageBreak/>
        <w:t>(sometimes obvious) reasons.</w:t>
      </w:r>
      <w:r w:rsidR="00D41C53" w:rsidRPr="00657D3A">
        <w:rPr>
          <w:rFonts w:ascii="Bookman Old Style" w:hAnsi="Bookman Old Style"/>
          <w:sz w:val="28"/>
          <w:szCs w:val="28"/>
          <w:lang w:val="en-US"/>
        </w:rPr>
        <w:t xml:space="preserve"> </w:t>
      </w:r>
      <w:proofErr w:type="gramStart"/>
      <w:r w:rsidR="00D41C53" w:rsidRPr="00657D3A">
        <w:rPr>
          <w:rFonts w:ascii="Bookman Old Style" w:hAnsi="Bookman Old Style"/>
          <w:sz w:val="28"/>
          <w:szCs w:val="28"/>
          <w:lang w:val="en-US"/>
        </w:rPr>
        <w:t>Therefore</w:t>
      </w:r>
      <w:proofErr w:type="gramEnd"/>
      <w:r w:rsidR="00D41C53" w:rsidRPr="00657D3A">
        <w:rPr>
          <w:rFonts w:ascii="Bookman Old Style" w:hAnsi="Bookman Old Style"/>
          <w:sz w:val="28"/>
          <w:szCs w:val="28"/>
          <w:lang w:val="en-US"/>
        </w:rPr>
        <w:t xml:space="preserve"> the legislature and the courts</w:t>
      </w:r>
      <w:r w:rsidR="005F6D07" w:rsidRPr="00657D3A">
        <w:rPr>
          <w:rFonts w:ascii="Bookman Old Style" w:hAnsi="Bookman Old Style"/>
          <w:sz w:val="28"/>
          <w:szCs w:val="28"/>
          <w:lang w:val="en-US"/>
        </w:rPr>
        <w:t xml:space="preserve"> </w:t>
      </w:r>
      <w:r w:rsidR="00D41C53" w:rsidRPr="00657D3A">
        <w:rPr>
          <w:rFonts w:ascii="Bookman Old Style" w:hAnsi="Bookman Old Style"/>
          <w:sz w:val="28"/>
          <w:szCs w:val="28"/>
          <w:lang w:val="en-US"/>
        </w:rPr>
        <w:t xml:space="preserve">try to stipulate </w:t>
      </w:r>
      <w:r w:rsidR="005F6D07" w:rsidRPr="00657D3A">
        <w:rPr>
          <w:rFonts w:ascii="Bookman Old Style" w:hAnsi="Bookman Old Style"/>
          <w:sz w:val="28"/>
          <w:szCs w:val="28"/>
          <w:lang w:val="en-US"/>
        </w:rPr>
        <w:t>rules or guidelines as to which forum is the correct one.</w:t>
      </w:r>
    </w:p>
    <w:p w14:paraId="0FDA4422" w14:textId="490FC2FD" w:rsidR="00CA79A4" w:rsidRPr="00657D3A" w:rsidRDefault="00CA79A4" w:rsidP="00657D3A">
      <w:pPr>
        <w:spacing w:line="360" w:lineRule="auto"/>
        <w:jc w:val="both"/>
        <w:rPr>
          <w:rFonts w:ascii="Bookman Old Style" w:hAnsi="Bookman Old Style"/>
          <w:i/>
          <w:iCs/>
          <w:sz w:val="28"/>
          <w:szCs w:val="28"/>
          <w:lang w:val="en-US"/>
        </w:rPr>
      </w:pPr>
      <w:r w:rsidRPr="00657D3A">
        <w:rPr>
          <w:rFonts w:ascii="Bookman Old Style" w:hAnsi="Bookman Old Style"/>
          <w:i/>
          <w:iCs/>
          <w:sz w:val="28"/>
          <w:szCs w:val="28"/>
          <w:lang w:val="en-US"/>
        </w:rPr>
        <w:t>Significance of pleadings</w:t>
      </w:r>
    </w:p>
    <w:p w14:paraId="32A8B19B" w14:textId="02BC1A4C" w:rsidR="00A61374" w:rsidRPr="00657D3A" w:rsidRDefault="00312711"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[1</w:t>
      </w:r>
      <w:r w:rsidR="00CC4BDD" w:rsidRPr="00657D3A">
        <w:rPr>
          <w:rFonts w:ascii="Bookman Old Style" w:hAnsi="Bookman Old Style"/>
          <w:sz w:val="28"/>
          <w:szCs w:val="28"/>
          <w:lang w:val="en-US"/>
        </w:rPr>
        <w:t>3</w:t>
      </w:r>
      <w:r w:rsidRPr="00657D3A">
        <w:rPr>
          <w:rFonts w:ascii="Bookman Old Style" w:hAnsi="Bookman Old Style"/>
          <w:sz w:val="28"/>
          <w:szCs w:val="28"/>
          <w:lang w:val="en-US"/>
        </w:rPr>
        <w:t xml:space="preserve">] Causes of action often overlap. Authorities indicate that the determining factor as far as jurisdiction is concerned, is indeed the pleadings. </w:t>
      </w:r>
      <w:r w:rsidR="00D01265" w:rsidRPr="00657D3A">
        <w:rPr>
          <w:rFonts w:ascii="Bookman Old Style" w:hAnsi="Bookman Old Style"/>
          <w:sz w:val="28"/>
          <w:szCs w:val="28"/>
          <w:lang w:val="en-US"/>
        </w:rPr>
        <w:t>Counsel for the first respondent relied on</w:t>
      </w:r>
      <w:r w:rsidR="00A61374" w:rsidRPr="00657D3A">
        <w:rPr>
          <w:rFonts w:ascii="Bookman Old Style" w:hAnsi="Bookman Old Style"/>
          <w:i/>
          <w:iCs/>
          <w:sz w:val="28"/>
          <w:szCs w:val="28"/>
          <w:lang w:val="en-US"/>
        </w:rPr>
        <w:t xml:space="preserve"> </w:t>
      </w:r>
      <w:proofErr w:type="spellStart"/>
      <w:r w:rsidR="00A61374" w:rsidRPr="00657D3A">
        <w:rPr>
          <w:rFonts w:ascii="Bookman Old Style" w:hAnsi="Bookman Old Style"/>
          <w:i/>
          <w:iCs/>
          <w:sz w:val="28"/>
          <w:szCs w:val="28"/>
          <w:lang w:val="en-US"/>
        </w:rPr>
        <w:t>Gcaba</w:t>
      </w:r>
      <w:proofErr w:type="spellEnd"/>
      <w:r w:rsidR="00A61374" w:rsidRPr="00657D3A">
        <w:rPr>
          <w:rFonts w:ascii="Bookman Old Style" w:hAnsi="Bookman Old Style"/>
          <w:b/>
          <w:bCs/>
          <w:sz w:val="28"/>
          <w:szCs w:val="28"/>
          <w:lang w:val="en-US"/>
        </w:rPr>
        <w:t xml:space="preserve"> </w:t>
      </w:r>
      <w:r w:rsidR="00A61374" w:rsidRPr="00657D3A">
        <w:rPr>
          <w:rFonts w:ascii="Bookman Old Style" w:hAnsi="Bookman Old Style"/>
          <w:i/>
          <w:iCs/>
          <w:sz w:val="28"/>
          <w:szCs w:val="28"/>
          <w:lang w:val="en-US"/>
        </w:rPr>
        <w:t xml:space="preserve">v Minister of Safety and Security </w:t>
      </w:r>
      <w:r w:rsidR="00A61374" w:rsidRPr="00657D3A">
        <w:rPr>
          <w:rFonts w:ascii="Bookman Old Style" w:hAnsi="Bookman Old Style"/>
          <w:sz w:val="28"/>
          <w:szCs w:val="28"/>
          <w:lang w:val="en-US"/>
        </w:rPr>
        <w:t>2010(1) SA 238 (CC) at 263:</w:t>
      </w:r>
    </w:p>
    <w:p w14:paraId="726CE097" w14:textId="2D4E01C2" w:rsidR="00A61374" w:rsidRPr="00657D3A" w:rsidRDefault="00A61374" w:rsidP="00AA19D1">
      <w:pPr>
        <w:spacing w:line="240" w:lineRule="auto"/>
        <w:ind w:left="851" w:right="851"/>
        <w:jc w:val="both"/>
        <w:rPr>
          <w:rFonts w:ascii="Bookman Old Style" w:hAnsi="Bookman Old Style"/>
          <w:i/>
          <w:iCs/>
          <w:sz w:val="28"/>
          <w:szCs w:val="28"/>
          <w:lang w:val="en-US"/>
        </w:rPr>
      </w:pPr>
      <w:r w:rsidRPr="00657D3A">
        <w:rPr>
          <w:rFonts w:ascii="Bookman Old Style" w:hAnsi="Bookman Old Style"/>
          <w:i/>
          <w:iCs/>
          <w:sz w:val="28"/>
          <w:szCs w:val="28"/>
          <w:lang w:val="en-US"/>
        </w:rPr>
        <w:t xml:space="preserve">“Jurisdiction is determined </w:t>
      </w:r>
      <w:proofErr w:type="gramStart"/>
      <w:r w:rsidRPr="00657D3A">
        <w:rPr>
          <w:rFonts w:ascii="Bookman Old Style" w:hAnsi="Bookman Old Style"/>
          <w:i/>
          <w:iCs/>
          <w:sz w:val="28"/>
          <w:szCs w:val="28"/>
          <w:lang w:val="en-US"/>
        </w:rPr>
        <w:t>on the basis of</w:t>
      </w:r>
      <w:proofErr w:type="gramEnd"/>
      <w:r w:rsidRPr="00657D3A">
        <w:rPr>
          <w:rFonts w:ascii="Bookman Old Style" w:hAnsi="Bookman Old Style"/>
          <w:i/>
          <w:iCs/>
          <w:sz w:val="28"/>
          <w:szCs w:val="28"/>
          <w:lang w:val="en-US"/>
        </w:rPr>
        <w:t xml:space="preserve"> the pleadings, as </w:t>
      </w:r>
      <w:proofErr w:type="spellStart"/>
      <w:r w:rsidRPr="00657D3A">
        <w:rPr>
          <w:rFonts w:ascii="Bookman Old Style" w:hAnsi="Bookman Old Style"/>
          <w:i/>
          <w:iCs/>
          <w:sz w:val="28"/>
          <w:szCs w:val="28"/>
          <w:lang w:val="en-US"/>
        </w:rPr>
        <w:t>Langa</w:t>
      </w:r>
      <w:proofErr w:type="spellEnd"/>
      <w:r w:rsidRPr="00657D3A">
        <w:rPr>
          <w:rFonts w:ascii="Bookman Old Style" w:hAnsi="Bookman Old Style"/>
          <w:i/>
          <w:iCs/>
          <w:sz w:val="28"/>
          <w:szCs w:val="28"/>
          <w:lang w:val="en-US"/>
        </w:rPr>
        <w:t xml:space="preserve"> CJ </w:t>
      </w:r>
      <w:r w:rsidR="00CA79A4" w:rsidRPr="00657D3A">
        <w:rPr>
          <w:rFonts w:ascii="Bookman Old Style" w:hAnsi="Bookman Old Style"/>
          <w:i/>
          <w:iCs/>
          <w:sz w:val="28"/>
          <w:szCs w:val="28"/>
          <w:lang w:val="en-US"/>
        </w:rPr>
        <w:t xml:space="preserve">held in </w:t>
      </w:r>
      <w:r w:rsidR="00CA79A4" w:rsidRPr="00657D3A">
        <w:rPr>
          <w:rFonts w:ascii="Bookman Old Style" w:hAnsi="Bookman Old Style"/>
          <w:sz w:val="28"/>
          <w:szCs w:val="28"/>
          <w:lang w:val="en-US"/>
        </w:rPr>
        <w:t xml:space="preserve">Chirwa, </w:t>
      </w:r>
      <w:r w:rsidR="00CA79A4" w:rsidRPr="00657D3A">
        <w:rPr>
          <w:rFonts w:ascii="Bookman Old Style" w:hAnsi="Bookman Old Style"/>
          <w:i/>
          <w:iCs/>
          <w:sz w:val="28"/>
          <w:szCs w:val="28"/>
          <w:lang w:val="en-US"/>
        </w:rPr>
        <w:t>and not the substantive merits of the case …. In the event of the Court’s jurisdiction being challenged at the outset</w:t>
      </w:r>
      <w:r w:rsidR="00246D23" w:rsidRPr="00657D3A">
        <w:rPr>
          <w:rFonts w:ascii="Bookman Old Style" w:hAnsi="Bookman Old Style"/>
          <w:i/>
          <w:iCs/>
          <w:sz w:val="28"/>
          <w:szCs w:val="28"/>
          <w:lang w:val="en-US"/>
        </w:rPr>
        <w:t xml:space="preserve"> …</w:t>
      </w:r>
      <w:r w:rsidR="00CA79A4" w:rsidRPr="00657D3A">
        <w:rPr>
          <w:rFonts w:ascii="Bookman Old Style" w:hAnsi="Bookman Old Style"/>
          <w:i/>
          <w:iCs/>
          <w:sz w:val="28"/>
          <w:szCs w:val="28"/>
          <w:lang w:val="en-US"/>
        </w:rPr>
        <w:t xml:space="preserve"> , the applicant’s pleadings are the determining factor.”</w:t>
      </w:r>
    </w:p>
    <w:p w14:paraId="109FD01D" w14:textId="1CB155E9" w:rsidR="00312711" w:rsidRPr="00657D3A" w:rsidRDefault="00312711" w:rsidP="00657D3A">
      <w:pPr>
        <w:spacing w:line="360" w:lineRule="auto"/>
        <w:jc w:val="both"/>
        <w:rPr>
          <w:rFonts w:ascii="Bookman Old Style" w:hAnsi="Bookman Old Style"/>
          <w:i/>
          <w:iCs/>
          <w:sz w:val="28"/>
          <w:szCs w:val="28"/>
          <w:lang w:val="en-US"/>
        </w:rPr>
      </w:pPr>
      <w:r w:rsidRPr="00657D3A">
        <w:rPr>
          <w:rFonts w:ascii="Bookman Old Style" w:hAnsi="Bookman Old Style"/>
          <w:i/>
          <w:iCs/>
          <w:sz w:val="28"/>
          <w:szCs w:val="28"/>
          <w:lang w:val="en-US"/>
        </w:rPr>
        <w:t>The notice of motion</w:t>
      </w:r>
    </w:p>
    <w:p w14:paraId="5A3980EB" w14:textId="431EA96E" w:rsidR="0019643F" w:rsidRPr="00657D3A" w:rsidRDefault="0019643F"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[14] In motion proceedings the Notice of Motion leads the procession of pleadings. I</w:t>
      </w:r>
      <w:r w:rsidR="002B3937" w:rsidRPr="00657D3A">
        <w:rPr>
          <w:rFonts w:ascii="Bookman Old Style" w:hAnsi="Bookman Old Style"/>
          <w:sz w:val="28"/>
          <w:szCs w:val="28"/>
          <w:lang w:val="en-US"/>
        </w:rPr>
        <w:t>n its prayers i</w:t>
      </w:r>
      <w:r w:rsidRPr="00657D3A">
        <w:rPr>
          <w:rFonts w:ascii="Bookman Old Style" w:hAnsi="Bookman Old Style"/>
          <w:sz w:val="28"/>
          <w:szCs w:val="28"/>
          <w:lang w:val="en-US"/>
        </w:rPr>
        <w:t xml:space="preserve">t states, up front, what </w:t>
      </w:r>
      <w:r w:rsidR="002B3937" w:rsidRPr="00657D3A">
        <w:rPr>
          <w:rFonts w:ascii="Bookman Old Style" w:hAnsi="Bookman Old Style"/>
          <w:sz w:val="28"/>
          <w:szCs w:val="28"/>
          <w:lang w:val="en-US"/>
        </w:rPr>
        <w:t>relief an applicant wants from a court</w:t>
      </w:r>
      <w:r w:rsidR="005F6D07" w:rsidRPr="00657D3A">
        <w:rPr>
          <w:rFonts w:ascii="Bookman Old Style" w:hAnsi="Bookman Old Style"/>
          <w:sz w:val="28"/>
          <w:szCs w:val="28"/>
          <w:lang w:val="en-US"/>
        </w:rPr>
        <w:t>;</w:t>
      </w:r>
      <w:r w:rsidR="002B3937" w:rsidRPr="00657D3A">
        <w:rPr>
          <w:rFonts w:ascii="Bookman Old Style" w:hAnsi="Bookman Old Style"/>
          <w:sz w:val="28"/>
          <w:szCs w:val="28"/>
          <w:lang w:val="en-US"/>
        </w:rPr>
        <w:t xml:space="preserve"> or</w:t>
      </w:r>
      <w:r w:rsidR="005F6D07" w:rsidRPr="00657D3A">
        <w:rPr>
          <w:rFonts w:ascii="Bookman Old Style" w:hAnsi="Bookman Old Style"/>
          <w:sz w:val="28"/>
          <w:szCs w:val="28"/>
          <w:lang w:val="en-US"/>
        </w:rPr>
        <w:t>,</w:t>
      </w:r>
      <w:r w:rsidR="002B3937" w:rsidRPr="00657D3A">
        <w:rPr>
          <w:rFonts w:ascii="Bookman Old Style" w:hAnsi="Bookman Old Style"/>
          <w:sz w:val="28"/>
          <w:szCs w:val="28"/>
          <w:lang w:val="en-US"/>
        </w:rPr>
        <w:t xml:space="preserve"> in simpler language, what the litigant approaching a court wants that court to do for her, him, or them. </w:t>
      </w:r>
    </w:p>
    <w:p w14:paraId="1E26294E" w14:textId="0A41AB46" w:rsidR="002B3937" w:rsidRPr="00657D3A" w:rsidRDefault="002B3937"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[15] In this case, as indicated in [2] above, the applicant sought a declaration that a notice in terms of the National Security Services Act is unconstitutional. Few things can be a clearer constitutional issue than the constitutional validity or invalidity of legislation. If it does not fall within the jurisdiction of a constitutional court, one wonders what will fall within that jurisdiction.</w:t>
      </w:r>
    </w:p>
    <w:p w14:paraId="1454529B" w14:textId="2A3DE70B" w:rsidR="00202CC7" w:rsidRPr="00657D3A" w:rsidRDefault="00202CC7"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[16] The appellant referred this Court to </w:t>
      </w:r>
      <w:proofErr w:type="spellStart"/>
      <w:r w:rsidRPr="00657D3A">
        <w:rPr>
          <w:rFonts w:ascii="Bookman Old Style" w:hAnsi="Bookman Old Style"/>
          <w:i/>
          <w:iCs/>
          <w:sz w:val="28"/>
          <w:szCs w:val="28"/>
          <w:lang w:val="en-US"/>
        </w:rPr>
        <w:t>Solé</w:t>
      </w:r>
      <w:proofErr w:type="spellEnd"/>
      <w:r w:rsidRPr="00657D3A">
        <w:rPr>
          <w:rFonts w:ascii="Bookman Old Style" w:hAnsi="Bookman Old Style"/>
          <w:i/>
          <w:iCs/>
          <w:sz w:val="28"/>
          <w:szCs w:val="28"/>
          <w:lang w:val="en-US"/>
        </w:rPr>
        <w:t xml:space="preserve"> v Cullinan NO and Others</w:t>
      </w:r>
      <w:r w:rsidRPr="00657D3A">
        <w:rPr>
          <w:rFonts w:ascii="Bookman Old Style" w:hAnsi="Bookman Old Style"/>
          <w:sz w:val="28"/>
          <w:szCs w:val="28"/>
          <w:lang w:val="en-US"/>
        </w:rPr>
        <w:t xml:space="preserve"> LAC (2000-2004) 572 and several other cases with regard to the practice which had developed over the last </w:t>
      </w:r>
      <w:r w:rsidR="005F6D07" w:rsidRPr="00657D3A">
        <w:rPr>
          <w:rFonts w:ascii="Bookman Old Style" w:hAnsi="Bookman Old Style"/>
          <w:sz w:val="28"/>
          <w:szCs w:val="28"/>
          <w:lang w:val="en-US"/>
        </w:rPr>
        <w:t xml:space="preserve">approximately </w:t>
      </w:r>
      <w:r w:rsidRPr="00657D3A">
        <w:rPr>
          <w:rFonts w:ascii="Bookman Old Style" w:hAnsi="Bookman Old Style"/>
          <w:sz w:val="28"/>
          <w:szCs w:val="28"/>
          <w:lang w:val="en-US"/>
        </w:rPr>
        <w:t xml:space="preserve">12 </w:t>
      </w:r>
      <w:r w:rsidRPr="00657D3A">
        <w:rPr>
          <w:rFonts w:ascii="Bookman Old Style" w:hAnsi="Bookman Old Style"/>
          <w:sz w:val="28"/>
          <w:szCs w:val="28"/>
          <w:lang w:val="en-US"/>
        </w:rPr>
        <w:lastRenderedPageBreak/>
        <w:t xml:space="preserve">years or so that where the High Court exercises its constitutional jurisdiction in a matter which involves a challenge to the constitutionality of legislation or delegated legislation, the matter is heard, </w:t>
      </w:r>
      <w:r w:rsidR="005F6D07" w:rsidRPr="00657D3A">
        <w:rPr>
          <w:rFonts w:ascii="Bookman Old Style" w:hAnsi="Bookman Old Style"/>
          <w:sz w:val="28"/>
          <w:szCs w:val="28"/>
          <w:lang w:val="en-US"/>
        </w:rPr>
        <w:t>if</w:t>
      </w:r>
      <w:r w:rsidRPr="00657D3A">
        <w:rPr>
          <w:rFonts w:ascii="Bookman Old Style" w:hAnsi="Bookman Old Style"/>
          <w:sz w:val="28"/>
          <w:szCs w:val="28"/>
          <w:lang w:val="en-US"/>
        </w:rPr>
        <w:t xml:space="preserve"> possible, by a bench comprising three judges.</w:t>
      </w:r>
    </w:p>
    <w:p w14:paraId="366377CB" w14:textId="18D3A754" w:rsidR="00312711" w:rsidRPr="00657D3A" w:rsidRDefault="00312711" w:rsidP="00657D3A">
      <w:pPr>
        <w:spacing w:line="360" w:lineRule="auto"/>
        <w:jc w:val="both"/>
        <w:rPr>
          <w:rFonts w:ascii="Bookman Old Style" w:hAnsi="Bookman Old Style"/>
          <w:i/>
          <w:iCs/>
          <w:sz w:val="28"/>
          <w:szCs w:val="28"/>
          <w:lang w:val="en-US"/>
        </w:rPr>
      </w:pPr>
      <w:r w:rsidRPr="00657D3A">
        <w:rPr>
          <w:rFonts w:ascii="Bookman Old Style" w:hAnsi="Bookman Old Style"/>
          <w:i/>
          <w:iCs/>
          <w:sz w:val="28"/>
          <w:szCs w:val="28"/>
          <w:lang w:val="en-US"/>
        </w:rPr>
        <w:t>The affidavit</w:t>
      </w:r>
      <w:r w:rsidR="00202CC7" w:rsidRPr="00657D3A">
        <w:rPr>
          <w:rFonts w:ascii="Bookman Old Style" w:hAnsi="Bookman Old Style"/>
          <w:i/>
          <w:iCs/>
          <w:sz w:val="28"/>
          <w:szCs w:val="28"/>
          <w:lang w:val="en-US"/>
        </w:rPr>
        <w:t>s</w:t>
      </w:r>
    </w:p>
    <w:p w14:paraId="0AC6FD16" w14:textId="6461D0D5" w:rsidR="00202CC7" w:rsidRPr="00657D3A" w:rsidRDefault="00202CC7"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[17] However, the question of jurisdiction does not necessarily end </w:t>
      </w:r>
      <w:r w:rsidR="005F6D07" w:rsidRPr="00657D3A">
        <w:rPr>
          <w:rFonts w:ascii="Bookman Old Style" w:hAnsi="Bookman Old Style"/>
          <w:sz w:val="28"/>
          <w:szCs w:val="28"/>
          <w:lang w:val="en-US"/>
        </w:rPr>
        <w:t>with</w:t>
      </w:r>
      <w:r w:rsidRPr="00657D3A">
        <w:rPr>
          <w:rFonts w:ascii="Bookman Old Style" w:hAnsi="Bookman Old Style"/>
          <w:sz w:val="28"/>
          <w:szCs w:val="28"/>
          <w:lang w:val="en-US"/>
        </w:rPr>
        <w:t xml:space="preserve"> the Notice of Motion. </w:t>
      </w:r>
      <w:r w:rsidR="00246D23" w:rsidRPr="00657D3A">
        <w:rPr>
          <w:rFonts w:ascii="Bookman Old Style" w:hAnsi="Bookman Old Style"/>
          <w:sz w:val="28"/>
          <w:szCs w:val="28"/>
          <w:lang w:val="en-US"/>
        </w:rPr>
        <w:t xml:space="preserve">In the paragraph from </w:t>
      </w:r>
      <w:proofErr w:type="spellStart"/>
      <w:r w:rsidR="00246D23" w:rsidRPr="00657D3A">
        <w:rPr>
          <w:rFonts w:ascii="Bookman Old Style" w:hAnsi="Bookman Old Style"/>
          <w:i/>
          <w:iCs/>
          <w:sz w:val="28"/>
          <w:szCs w:val="28"/>
          <w:lang w:val="en-US"/>
        </w:rPr>
        <w:t>Gcaba</w:t>
      </w:r>
      <w:proofErr w:type="spellEnd"/>
      <w:r w:rsidR="00246D23" w:rsidRPr="00657D3A">
        <w:rPr>
          <w:rFonts w:ascii="Bookman Old Style" w:hAnsi="Bookman Old Style"/>
          <w:i/>
          <w:iCs/>
          <w:sz w:val="28"/>
          <w:szCs w:val="28"/>
          <w:lang w:val="en-US"/>
        </w:rPr>
        <w:t xml:space="preserve"> </w:t>
      </w:r>
      <w:r w:rsidR="00246D23" w:rsidRPr="00657D3A">
        <w:rPr>
          <w:rFonts w:ascii="Bookman Old Style" w:hAnsi="Bookman Old Style"/>
          <w:sz w:val="28"/>
          <w:szCs w:val="28"/>
          <w:lang w:val="en-US"/>
        </w:rPr>
        <w:t>quoted in [13] above, it was stated that –</w:t>
      </w:r>
    </w:p>
    <w:p w14:paraId="59141BC0" w14:textId="75DC2D12" w:rsidR="00246D23" w:rsidRPr="00657D3A" w:rsidRDefault="00246D23" w:rsidP="00502EE1">
      <w:pPr>
        <w:spacing w:line="240" w:lineRule="auto"/>
        <w:ind w:left="851" w:right="851"/>
        <w:jc w:val="both"/>
        <w:rPr>
          <w:rFonts w:ascii="Bookman Old Style" w:hAnsi="Bookman Old Style"/>
          <w:i/>
          <w:iCs/>
          <w:sz w:val="28"/>
          <w:szCs w:val="28"/>
          <w:lang w:val="en-US"/>
        </w:rPr>
      </w:pPr>
      <w:r w:rsidRPr="00657D3A">
        <w:rPr>
          <w:rFonts w:ascii="Bookman Old Style" w:hAnsi="Bookman Old Style"/>
          <w:i/>
          <w:iCs/>
          <w:sz w:val="28"/>
          <w:szCs w:val="28"/>
          <w:lang w:val="en-US"/>
        </w:rPr>
        <w:t>“not only the formal terminology of the notice of motion, but also the contents of the supporting affidavits … must be interpreted to establish what the legal basis of the applicant’s claim is …”.</w:t>
      </w:r>
    </w:p>
    <w:p w14:paraId="1ABA07FF" w14:textId="179563D5" w:rsidR="00246D23" w:rsidRPr="00657D3A" w:rsidRDefault="00246D23"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[18] As indicated above, the court</w:t>
      </w:r>
      <w:r w:rsidRPr="00657D3A">
        <w:rPr>
          <w:rFonts w:ascii="Bookman Old Style" w:hAnsi="Bookman Old Style"/>
          <w:i/>
          <w:iCs/>
          <w:sz w:val="28"/>
          <w:szCs w:val="28"/>
          <w:lang w:val="en-US"/>
        </w:rPr>
        <w:t xml:space="preserve"> a quo </w:t>
      </w:r>
      <w:r w:rsidRPr="00657D3A">
        <w:rPr>
          <w:rFonts w:ascii="Bookman Old Style" w:hAnsi="Bookman Old Style"/>
          <w:sz w:val="28"/>
          <w:szCs w:val="28"/>
          <w:lang w:val="en-US"/>
        </w:rPr>
        <w:t>was of the view</w:t>
      </w:r>
      <w:r w:rsidRPr="00657D3A">
        <w:rPr>
          <w:rFonts w:ascii="Bookman Old Style" w:hAnsi="Bookman Old Style"/>
          <w:i/>
          <w:iCs/>
          <w:sz w:val="28"/>
          <w:szCs w:val="28"/>
          <w:lang w:val="en-US"/>
        </w:rPr>
        <w:t xml:space="preserve"> </w:t>
      </w:r>
      <w:r w:rsidR="00E403BA" w:rsidRPr="00657D3A">
        <w:rPr>
          <w:rFonts w:ascii="Bookman Old Style" w:hAnsi="Bookman Old Style"/>
          <w:sz w:val="28"/>
          <w:szCs w:val="28"/>
          <w:lang w:val="en-US"/>
        </w:rPr>
        <w:t>that the appl</w:t>
      </w:r>
      <w:r w:rsidR="005F6D07" w:rsidRPr="00657D3A">
        <w:rPr>
          <w:rFonts w:ascii="Bookman Old Style" w:hAnsi="Bookman Old Style"/>
          <w:sz w:val="28"/>
          <w:szCs w:val="28"/>
          <w:lang w:val="en-US"/>
        </w:rPr>
        <w:t>i</w:t>
      </w:r>
      <w:r w:rsidR="00E403BA" w:rsidRPr="00657D3A">
        <w:rPr>
          <w:rFonts w:ascii="Bookman Old Style" w:hAnsi="Bookman Old Style"/>
          <w:sz w:val="28"/>
          <w:szCs w:val="28"/>
          <w:lang w:val="en-US"/>
        </w:rPr>
        <w:t>cant’s founding affidavit did not disclose a sufficient link to the constitutional relief mentioned in prayer 2(c) of the Notice of Motion. The court’s concern in this regard is understandable. The supporting affidavit mostly deals with how the applicant felt prejudiced by the disciplinary proceedings imposed onto him by his employer</w:t>
      </w:r>
      <w:r w:rsidR="00E403BA" w:rsidRPr="00657D3A">
        <w:rPr>
          <w:rFonts w:ascii="Bookman Old Style" w:hAnsi="Bookman Old Style"/>
          <w:i/>
          <w:iCs/>
          <w:sz w:val="28"/>
          <w:szCs w:val="28"/>
          <w:lang w:val="en-US"/>
        </w:rPr>
        <w:t xml:space="preserve">. </w:t>
      </w:r>
      <w:r w:rsidR="00E403BA" w:rsidRPr="00657D3A">
        <w:rPr>
          <w:rFonts w:ascii="Bookman Old Style" w:hAnsi="Bookman Old Style"/>
          <w:sz w:val="28"/>
          <w:szCs w:val="28"/>
          <w:lang w:val="en-US"/>
        </w:rPr>
        <w:t>The affidavit</w:t>
      </w:r>
      <w:r w:rsidR="00E403BA" w:rsidRPr="00657D3A">
        <w:rPr>
          <w:rFonts w:ascii="Bookman Old Style" w:hAnsi="Bookman Old Style"/>
          <w:i/>
          <w:iCs/>
          <w:sz w:val="28"/>
          <w:szCs w:val="28"/>
          <w:lang w:val="en-US"/>
        </w:rPr>
        <w:t xml:space="preserve"> </w:t>
      </w:r>
      <w:r w:rsidR="00E403BA" w:rsidRPr="00657D3A">
        <w:rPr>
          <w:rFonts w:ascii="Bookman Old Style" w:hAnsi="Bookman Old Style"/>
          <w:sz w:val="28"/>
          <w:szCs w:val="28"/>
          <w:lang w:val="en-US"/>
        </w:rPr>
        <w:t>is no model of clarity, especially as far as the constitutional issue is concerned.</w:t>
      </w:r>
    </w:p>
    <w:p w14:paraId="7C8E0B89" w14:textId="38709F2F" w:rsidR="00E403BA" w:rsidRPr="00657D3A" w:rsidRDefault="00E403BA"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[19] However, the affidavit does make a distinction between the pending proceedings regarding the disciplinary process and the </w:t>
      </w:r>
      <w:r w:rsidR="00423669" w:rsidRPr="00657D3A">
        <w:rPr>
          <w:rFonts w:ascii="Bookman Old Style" w:hAnsi="Bookman Old Style"/>
          <w:sz w:val="28"/>
          <w:szCs w:val="28"/>
          <w:lang w:val="en-US"/>
        </w:rPr>
        <w:t>alleged</w:t>
      </w:r>
      <w:r w:rsidR="00532205" w:rsidRPr="00657D3A">
        <w:rPr>
          <w:rFonts w:ascii="Bookman Old Style" w:hAnsi="Bookman Old Style"/>
          <w:sz w:val="28"/>
          <w:szCs w:val="28"/>
          <w:lang w:val="en-US"/>
        </w:rPr>
        <w:t>ly</w:t>
      </w:r>
      <w:r w:rsidR="00423669" w:rsidRPr="00657D3A">
        <w:rPr>
          <w:rFonts w:ascii="Bookman Old Style" w:hAnsi="Bookman Old Style"/>
          <w:sz w:val="28"/>
          <w:szCs w:val="28"/>
          <w:lang w:val="en-US"/>
        </w:rPr>
        <w:t xml:space="preserve"> unconstitutional amendment of the National Security Service Act, which impacted on the schedule of ranks in the service. Besides the </w:t>
      </w:r>
      <w:proofErr w:type="spellStart"/>
      <w:r w:rsidR="00423669" w:rsidRPr="00657D3A">
        <w:rPr>
          <w:rFonts w:ascii="Bookman Old Style" w:hAnsi="Bookman Old Style"/>
          <w:sz w:val="28"/>
          <w:szCs w:val="28"/>
          <w:lang w:val="en-US"/>
        </w:rPr>
        <w:t>labour</w:t>
      </w:r>
      <w:proofErr w:type="spellEnd"/>
      <w:r w:rsidR="00423669" w:rsidRPr="00657D3A">
        <w:rPr>
          <w:rFonts w:ascii="Bookman Old Style" w:hAnsi="Bookman Old Style"/>
          <w:sz w:val="28"/>
          <w:szCs w:val="28"/>
          <w:lang w:val="en-US"/>
        </w:rPr>
        <w:t xml:space="preserve"> law and other implications of the averments in the affidavit, the unconstitutionality of legislation is referred to.</w:t>
      </w:r>
      <w:r w:rsidR="003A32BC" w:rsidRPr="00657D3A">
        <w:rPr>
          <w:rFonts w:ascii="Bookman Old Style" w:hAnsi="Bookman Old Style"/>
          <w:sz w:val="28"/>
          <w:szCs w:val="28"/>
          <w:lang w:val="en-US"/>
        </w:rPr>
        <w:t xml:space="preserve"> The reference to section 70(1) of the Constitution</w:t>
      </w:r>
      <w:r w:rsidR="00F122E4" w:rsidRPr="00657D3A">
        <w:rPr>
          <w:rFonts w:ascii="Bookman Old Style" w:hAnsi="Bookman Old Style"/>
          <w:sz w:val="28"/>
          <w:szCs w:val="28"/>
          <w:lang w:val="en-US"/>
        </w:rPr>
        <w:t xml:space="preserve"> </w:t>
      </w:r>
      <w:r w:rsidR="003A32BC" w:rsidRPr="00657D3A">
        <w:rPr>
          <w:rFonts w:ascii="Bookman Old Style" w:hAnsi="Bookman Old Style"/>
          <w:sz w:val="28"/>
          <w:szCs w:val="28"/>
          <w:lang w:val="en-US"/>
        </w:rPr>
        <w:t xml:space="preserve">seems </w:t>
      </w:r>
      <w:r w:rsidR="003A32BC" w:rsidRPr="00657D3A">
        <w:rPr>
          <w:rFonts w:ascii="Bookman Old Style" w:hAnsi="Bookman Old Style"/>
          <w:sz w:val="28"/>
          <w:szCs w:val="28"/>
          <w:lang w:val="en-US"/>
        </w:rPr>
        <w:lastRenderedPageBreak/>
        <w:t>to involve the source of the legislative amendment, rather than a specific right of the applicant.</w:t>
      </w:r>
    </w:p>
    <w:p w14:paraId="4B06937E" w14:textId="0772146F" w:rsidR="00423669" w:rsidRPr="00657D3A" w:rsidRDefault="00423669"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[20] The remark in</w:t>
      </w:r>
      <w:r w:rsidRPr="00657D3A">
        <w:rPr>
          <w:rFonts w:ascii="Bookman Old Style" w:hAnsi="Bookman Old Style"/>
          <w:i/>
          <w:iCs/>
          <w:sz w:val="28"/>
          <w:szCs w:val="28"/>
          <w:lang w:val="en-US"/>
        </w:rPr>
        <w:t xml:space="preserve"> </w:t>
      </w:r>
      <w:proofErr w:type="spellStart"/>
      <w:r w:rsidRPr="00657D3A">
        <w:rPr>
          <w:rFonts w:ascii="Bookman Old Style" w:hAnsi="Bookman Old Style"/>
          <w:i/>
          <w:iCs/>
          <w:sz w:val="28"/>
          <w:szCs w:val="28"/>
          <w:lang w:val="en-US"/>
        </w:rPr>
        <w:t>Gcaba</w:t>
      </w:r>
      <w:proofErr w:type="spellEnd"/>
      <w:r w:rsidR="003A32BC" w:rsidRPr="00657D3A">
        <w:rPr>
          <w:rFonts w:ascii="Bookman Old Style" w:hAnsi="Bookman Old Style"/>
          <w:i/>
          <w:iCs/>
          <w:sz w:val="28"/>
          <w:szCs w:val="28"/>
          <w:lang w:val="en-US"/>
        </w:rPr>
        <w:t>,</w:t>
      </w:r>
      <w:r w:rsidRPr="00657D3A">
        <w:rPr>
          <w:rFonts w:ascii="Bookman Old Style" w:hAnsi="Bookman Old Style"/>
          <w:i/>
          <w:iCs/>
          <w:sz w:val="28"/>
          <w:szCs w:val="28"/>
          <w:lang w:val="en-US"/>
        </w:rPr>
        <w:t xml:space="preserve"> </w:t>
      </w:r>
      <w:r w:rsidRPr="00657D3A">
        <w:rPr>
          <w:rFonts w:ascii="Bookman Old Style" w:hAnsi="Bookman Old Style"/>
          <w:sz w:val="28"/>
          <w:szCs w:val="28"/>
          <w:lang w:val="en-US"/>
        </w:rPr>
        <w:t>quoted in [17} above, about the relevance of the supporting affidavits in addition to the Notice of Motion, must be interpreted within the context of that case.</w:t>
      </w:r>
      <w:r w:rsidR="003A32BC" w:rsidRPr="00657D3A">
        <w:rPr>
          <w:rFonts w:ascii="Bookman Old Style" w:hAnsi="Bookman Old Style"/>
          <w:sz w:val="28"/>
          <w:szCs w:val="28"/>
          <w:lang w:val="en-US"/>
        </w:rPr>
        <w:t xml:space="preserve"> </w:t>
      </w:r>
      <w:r w:rsidRPr="00657D3A">
        <w:rPr>
          <w:rFonts w:ascii="Bookman Old Style" w:hAnsi="Bookman Old Style"/>
          <w:sz w:val="28"/>
          <w:szCs w:val="28"/>
          <w:lang w:val="en-US"/>
        </w:rPr>
        <w:t>The warning against “forum shopping” in [12] above is relevant</w:t>
      </w:r>
      <w:r w:rsidR="003A32BC" w:rsidRPr="00657D3A">
        <w:rPr>
          <w:rFonts w:ascii="Bookman Old Style" w:hAnsi="Bookman Old Style"/>
          <w:sz w:val="28"/>
          <w:szCs w:val="28"/>
          <w:lang w:val="en-US"/>
        </w:rPr>
        <w:t>.</w:t>
      </w:r>
      <w:r w:rsidRPr="00657D3A">
        <w:rPr>
          <w:rFonts w:ascii="Bookman Old Style" w:hAnsi="Bookman Old Style"/>
          <w:sz w:val="28"/>
          <w:szCs w:val="28"/>
          <w:lang w:val="en-US"/>
        </w:rPr>
        <w:t xml:space="preserve"> </w:t>
      </w:r>
      <w:r w:rsidR="003A32BC" w:rsidRPr="00657D3A">
        <w:rPr>
          <w:rFonts w:ascii="Bookman Old Style" w:hAnsi="Bookman Old Style"/>
          <w:sz w:val="28"/>
          <w:szCs w:val="28"/>
          <w:lang w:val="en-US"/>
        </w:rPr>
        <w:t>The decision</w:t>
      </w:r>
      <w:r w:rsidRPr="00657D3A">
        <w:rPr>
          <w:rFonts w:ascii="Bookman Old Style" w:hAnsi="Bookman Old Style"/>
          <w:sz w:val="28"/>
          <w:szCs w:val="28"/>
          <w:lang w:val="en-US"/>
        </w:rPr>
        <w:t xml:space="preserve"> dealt with </w:t>
      </w:r>
      <w:r w:rsidR="003A32BC" w:rsidRPr="00657D3A">
        <w:rPr>
          <w:rFonts w:ascii="Bookman Old Style" w:hAnsi="Bookman Old Style"/>
          <w:sz w:val="28"/>
          <w:szCs w:val="28"/>
          <w:lang w:val="en-US"/>
        </w:rPr>
        <w:t xml:space="preserve">the delineation of the </w:t>
      </w:r>
      <w:proofErr w:type="spellStart"/>
      <w:r w:rsidR="003A32BC" w:rsidRPr="00657D3A">
        <w:rPr>
          <w:rFonts w:ascii="Bookman Old Style" w:hAnsi="Bookman Old Style"/>
          <w:sz w:val="28"/>
          <w:szCs w:val="28"/>
          <w:lang w:val="en-US"/>
        </w:rPr>
        <w:t>Labour</w:t>
      </w:r>
      <w:proofErr w:type="spellEnd"/>
      <w:r w:rsidR="003A32BC" w:rsidRPr="00657D3A">
        <w:rPr>
          <w:rFonts w:ascii="Bookman Old Style" w:hAnsi="Bookman Old Style"/>
          <w:sz w:val="28"/>
          <w:szCs w:val="28"/>
          <w:lang w:val="en-US"/>
        </w:rPr>
        <w:t xml:space="preserve"> Court vis-à-vis the High Court in South Africa, where litigants tended to choose the one above the other for a range of </w:t>
      </w:r>
      <w:r w:rsidR="00F4060C" w:rsidRPr="00657D3A">
        <w:rPr>
          <w:rFonts w:ascii="Bookman Old Style" w:hAnsi="Bookman Old Style"/>
          <w:sz w:val="28"/>
          <w:szCs w:val="28"/>
          <w:lang w:val="en-US"/>
        </w:rPr>
        <w:t xml:space="preserve">sometimes doubtful </w:t>
      </w:r>
      <w:r w:rsidR="003A32BC" w:rsidRPr="00657D3A">
        <w:rPr>
          <w:rFonts w:ascii="Bookman Old Style" w:hAnsi="Bookman Old Style"/>
          <w:sz w:val="28"/>
          <w:szCs w:val="28"/>
          <w:lang w:val="en-US"/>
        </w:rPr>
        <w:t xml:space="preserve">reasons. </w:t>
      </w:r>
      <w:proofErr w:type="gramStart"/>
      <w:r w:rsidR="003A32BC" w:rsidRPr="00657D3A">
        <w:rPr>
          <w:rFonts w:ascii="Bookman Old Style" w:hAnsi="Bookman Old Style"/>
          <w:sz w:val="28"/>
          <w:szCs w:val="28"/>
          <w:lang w:val="en-US"/>
        </w:rPr>
        <w:t>Thus</w:t>
      </w:r>
      <w:proofErr w:type="gramEnd"/>
      <w:r w:rsidR="003A32BC" w:rsidRPr="00657D3A">
        <w:rPr>
          <w:rFonts w:ascii="Bookman Old Style" w:hAnsi="Bookman Old Style"/>
          <w:sz w:val="28"/>
          <w:szCs w:val="28"/>
          <w:lang w:val="en-US"/>
        </w:rPr>
        <w:t xml:space="preserve"> </w:t>
      </w:r>
      <w:proofErr w:type="spellStart"/>
      <w:r w:rsidR="003A32BC" w:rsidRPr="00657D3A">
        <w:rPr>
          <w:rFonts w:ascii="Bookman Old Style" w:hAnsi="Bookman Old Style"/>
          <w:i/>
          <w:iCs/>
          <w:sz w:val="28"/>
          <w:szCs w:val="28"/>
          <w:lang w:val="en-US"/>
        </w:rPr>
        <w:t>Gcaba</w:t>
      </w:r>
      <w:proofErr w:type="spellEnd"/>
      <w:r w:rsidR="003A32BC" w:rsidRPr="00657D3A">
        <w:rPr>
          <w:rFonts w:ascii="Bookman Old Style" w:hAnsi="Bookman Old Style"/>
          <w:sz w:val="28"/>
          <w:szCs w:val="28"/>
          <w:lang w:val="en-US"/>
        </w:rPr>
        <w:t xml:space="preserve"> points out that an applicant cannot be allowed to found jurisdiction by the merely formal use of terminology in the Notice of Motion, while the substance of the supporting affidavits actually establish</w:t>
      </w:r>
      <w:r w:rsidR="00F4060C" w:rsidRPr="00657D3A">
        <w:rPr>
          <w:rFonts w:ascii="Bookman Old Style" w:hAnsi="Bookman Old Style"/>
          <w:sz w:val="28"/>
          <w:szCs w:val="28"/>
          <w:lang w:val="en-US"/>
        </w:rPr>
        <w:t>es</w:t>
      </w:r>
      <w:r w:rsidR="003A32BC" w:rsidRPr="00657D3A">
        <w:rPr>
          <w:rFonts w:ascii="Bookman Old Style" w:hAnsi="Bookman Old Style"/>
          <w:sz w:val="28"/>
          <w:szCs w:val="28"/>
          <w:lang w:val="en-US"/>
        </w:rPr>
        <w:t xml:space="preserve"> an altogether different cause of action.</w:t>
      </w:r>
    </w:p>
    <w:p w14:paraId="68C2BF99" w14:textId="62273DB7" w:rsidR="003A32BC" w:rsidRPr="00657D3A" w:rsidRDefault="003A32BC"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[21] As is clear from the quotation in [13] above, </w:t>
      </w:r>
      <w:proofErr w:type="spellStart"/>
      <w:r w:rsidRPr="00657D3A">
        <w:rPr>
          <w:rFonts w:ascii="Bookman Old Style" w:hAnsi="Bookman Old Style"/>
          <w:i/>
          <w:iCs/>
          <w:sz w:val="28"/>
          <w:szCs w:val="28"/>
          <w:lang w:val="en-US"/>
        </w:rPr>
        <w:t>Gcaba</w:t>
      </w:r>
      <w:proofErr w:type="spellEnd"/>
      <w:r w:rsidRPr="00657D3A">
        <w:rPr>
          <w:rFonts w:ascii="Bookman Old Style" w:hAnsi="Bookman Old Style"/>
          <w:sz w:val="28"/>
          <w:szCs w:val="28"/>
          <w:lang w:val="en-US"/>
        </w:rPr>
        <w:t xml:space="preserve"> </w:t>
      </w:r>
      <w:r w:rsidR="00D01265" w:rsidRPr="00657D3A">
        <w:rPr>
          <w:rFonts w:ascii="Bookman Old Style" w:hAnsi="Bookman Old Style"/>
          <w:sz w:val="28"/>
          <w:szCs w:val="28"/>
          <w:lang w:val="en-US"/>
        </w:rPr>
        <w:t xml:space="preserve">distinguished </w:t>
      </w:r>
      <w:r w:rsidR="00D26B7D" w:rsidRPr="00657D3A">
        <w:rPr>
          <w:rFonts w:ascii="Bookman Old Style" w:hAnsi="Bookman Old Style"/>
          <w:sz w:val="28"/>
          <w:szCs w:val="28"/>
          <w:lang w:val="en-US"/>
        </w:rPr>
        <w:t xml:space="preserve">between the pleadings and the substantive merits of an application, for the purposes of jurisdiction. The court </w:t>
      </w:r>
      <w:r w:rsidR="00D26B7D" w:rsidRPr="00657D3A">
        <w:rPr>
          <w:rFonts w:ascii="Bookman Old Style" w:hAnsi="Bookman Old Style"/>
          <w:i/>
          <w:iCs/>
          <w:sz w:val="28"/>
          <w:szCs w:val="28"/>
          <w:lang w:val="en-US"/>
        </w:rPr>
        <w:t>a quo</w:t>
      </w:r>
      <w:r w:rsidR="00D26B7D" w:rsidRPr="00657D3A">
        <w:rPr>
          <w:rFonts w:ascii="Bookman Old Style" w:hAnsi="Bookman Old Style"/>
          <w:sz w:val="28"/>
          <w:szCs w:val="28"/>
          <w:lang w:val="en-US"/>
        </w:rPr>
        <w:t xml:space="preserve"> seems to have over-</w:t>
      </w:r>
      <w:proofErr w:type="spellStart"/>
      <w:r w:rsidR="00D26B7D" w:rsidRPr="00657D3A">
        <w:rPr>
          <w:rFonts w:ascii="Bookman Old Style" w:hAnsi="Bookman Old Style"/>
          <w:sz w:val="28"/>
          <w:szCs w:val="28"/>
          <w:lang w:val="en-US"/>
        </w:rPr>
        <w:t>emphasised</w:t>
      </w:r>
      <w:proofErr w:type="spellEnd"/>
      <w:r w:rsidR="00D26B7D" w:rsidRPr="00657D3A">
        <w:rPr>
          <w:rFonts w:ascii="Bookman Old Style" w:hAnsi="Bookman Old Style"/>
          <w:sz w:val="28"/>
          <w:szCs w:val="28"/>
          <w:lang w:val="en-US"/>
        </w:rPr>
        <w:t xml:space="preserve"> the founding affidavit.</w:t>
      </w:r>
      <w:r w:rsidR="00F4060C" w:rsidRPr="00657D3A">
        <w:rPr>
          <w:rFonts w:ascii="Bookman Old Style" w:hAnsi="Bookman Old Style"/>
          <w:sz w:val="28"/>
          <w:szCs w:val="28"/>
          <w:lang w:val="en-US"/>
        </w:rPr>
        <w:t xml:space="preserve"> T</w:t>
      </w:r>
      <w:r w:rsidR="00D26B7D" w:rsidRPr="00657D3A">
        <w:rPr>
          <w:rFonts w:ascii="Bookman Old Style" w:hAnsi="Bookman Old Style"/>
          <w:sz w:val="28"/>
          <w:szCs w:val="28"/>
          <w:lang w:val="en-US"/>
        </w:rPr>
        <w:t xml:space="preserve">he pleadings and the substantive merits were conflated. Whether the applicant has a strong or even just clear case for the relief sought is one thing; the </w:t>
      </w:r>
      <w:r w:rsidR="00D26B7D" w:rsidRPr="00657D3A">
        <w:rPr>
          <w:rFonts w:ascii="Bookman Old Style" w:hAnsi="Bookman Old Style"/>
          <w:i/>
          <w:iCs/>
          <w:sz w:val="28"/>
          <w:szCs w:val="28"/>
          <w:lang w:val="en-US"/>
        </w:rPr>
        <w:t xml:space="preserve">in </w:t>
      </w:r>
      <w:proofErr w:type="spellStart"/>
      <w:r w:rsidR="00D26B7D" w:rsidRPr="00657D3A">
        <w:rPr>
          <w:rFonts w:ascii="Bookman Old Style" w:hAnsi="Bookman Old Style"/>
          <w:i/>
          <w:iCs/>
          <w:sz w:val="28"/>
          <w:szCs w:val="28"/>
          <w:lang w:val="en-US"/>
        </w:rPr>
        <w:t>limine</w:t>
      </w:r>
      <w:proofErr w:type="spellEnd"/>
      <w:r w:rsidR="00D26B7D" w:rsidRPr="00657D3A">
        <w:rPr>
          <w:rFonts w:ascii="Bookman Old Style" w:hAnsi="Bookman Old Style"/>
          <w:sz w:val="28"/>
          <w:szCs w:val="28"/>
          <w:lang w:val="en-US"/>
        </w:rPr>
        <w:t xml:space="preserve"> determination of which court has jurisdiction to pronounce on that very question is quite another.</w:t>
      </w:r>
    </w:p>
    <w:p w14:paraId="1E9AEF47" w14:textId="1059F48F" w:rsidR="00AF778D" w:rsidRPr="00657D3A" w:rsidRDefault="00AF778D"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[22] The court’s reliance on </w:t>
      </w:r>
      <w:proofErr w:type="spellStart"/>
      <w:r w:rsidRPr="00657D3A">
        <w:rPr>
          <w:rFonts w:ascii="Bookman Old Style" w:hAnsi="Bookman Old Style"/>
          <w:i/>
          <w:iCs/>
          <w:sz w:val="28"/>
          <w:szCs w:val="28"/>
          <w:lang w:val="en-US"/>
        </w:rPr>
        <w:t>Phaila</w:t>
      </w:r>
      <w:proofErr w:type="spellEnd"/>
      <w:r w:rsidRPr="00657D3A">
        <w:rPr>
          <w:rFonts w:ascii="Bookman Old Style" w:hAnsi="Bookman Old Style"/>
          <w:i/>
          <w:iCs/>
          <w:sz w:val="28"/>
          <w:szCs w:val="28"/>
          <w:lang w:val="en-US"/>
        </w:rPr>
        <w:t xml:space="preserve"> </w:t>
      </w:r>
      <w:r w:rsidRPr="00657D3A">
        <w:rPr>
          <w:rFonts w:ascii="Bookman Old Style" w:hAnsi="Bookman Old Style"/>
          <w:sz w:val="28"/>
          <w:szCs w:val="28"/>
          <w:lang w:val="en-US"/>
        </w:rPr>
        <w:t>in [8] above, raises a logical question relevant to the distinction between pleadings and substantive merits. In paragraph 11 of that judgment it is stated:</w:t>
      </w:r>
    </w:p>
    <w:p w14:paraId="42C8932C" w14:textId="77777777" w:rsidR="00FE0828" w:rsidRPr="00657D3A" w:rsidRDefault="00AF778D" w:rsidP="00502EE1">
      <w:pPr>
        <w:spacing w:line="240" w:lineRule="auto"/>
        <w:ind w:left="851" w:right="851"/>
        <w:jc w:val="both"/>
        <w:rPr>
          <w:rFonts w:ascii="Bookman Old Style" w:hAnsi="Bookman Old Style"/>
          <w:i/>
          <w:iCs/>
          <w:sz w:val="28"/>
          <w:szCs w:val="28"/>
          <w:lang w:val="en-US"/>
        </w:rPr>
      </w:pPr>
      <w:r w:rsidRPr="00657D3A">
        <w:rPr>
          <w:rFonts w:ascii="Bookman Old Style" w:hAnsi="Bookman Old Style"/>
          <w:i/>
          <w:iCs/>
          <w:sz w:val="28"/>
          <w:szCs w:val="28"/>
          <w:lang w:val="en-US"/>
        </w:rPr>
        <w:t xml:space="preserve">“As a starting point the applicant … bears the onus to establish the alleged infringement of the Constitution. If there is no </w:t>
      </w:r>
      <w:proofErr w:type="gramStart"/>
      <w:r w:rsidRPr="00657D3A">
        <w:rPr>
          <w:rFonts w:ascii="Bookman Old Style" w:hAnsi="Bookman Old Style"/>
          <w:i/>
          <w:iCs/>
          <w:sz w:val="28"/>
          <w:szCs w:val="28"/>
          <w:lang w:val="en-US"/>
        </w:rPr>
        <w:t>infringement</w:t>
      </w:r>
      <w:proofErr w:type="gramEnd"/>
      <w:r w:rsidRPr="00657D3A">
        <w:rPr>
          <w:rFonts w:ascii="Bookman Old Style" w:hAnsi="Bookman Old Style"/>
          <w:i/>
          <w:iCs/>
          <w:sz w:val="28"/>
          <w:szCs w:val="28"/>
          <w:lang w:val="en-US"/>
        </w:rPr>
        <w:t xml:space="preserve"> then the enquiry ends right there and then …”. </w:t>
      </w:r>
    </w:p>
    <w:p w14:paraId="6607B9F5" w14:textId="13DD9A8E" w:rsidR="00AF778D" w:rsidRPr="00657D3A" w:rsidRDefault="00AF778D"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lastRenderedPageBreak/>
        <w:t>Which enquiry</w:t>
      </w:r>
      <w:r w:rsidR="00FE0828" w:rsidRPr="00657D3A">
        <w:rPr>
          <w:rFonts w:ascii="Bookman Old Style" w:hAnsi="Bookman Old Style"/>
          <w:sz w:val="28"/>
          <w:szCs w:val="28"/>
          <w:lang w:val="en-US"/>
        </w:rPr>
        <w:t xml:space="preserve"> though? Into the question of jurisdiction, or whether the applicant has made out a case for the relief sought?  It seems like the starting point and the end point, or conclusion, are being confused. The star</w:t>
      </w:r>
      <w:r w:rsidR="00532205" w:rsidRPr="00657D3A">
        <w:rPr>
          <w:rFonts w:ascii="Bookman Old Style" w:hAnsi="Bookman Old Style"/>
          <w:sz w:val="28"/>
          <w:szCs w:val="28"/>
          <w:lang w:val="en-US"/>
        </w:rPr>
        <w:t>t</w:t>
      </w:r>
      <w:r w:rsidR="00FE0828" w:rsidRPr="00657D3A">
        <w:rPr>
          <w:rFonts w:ascii="Bookman Old Style" w:hAnsi="Bookman Old Style"/>
          <w:sz w:val="28"/>
          <w:szCs w:val="28"/>
          <w:lang w:val="en-US"/>
        </w:rPr>
        <w:t xml:space="preserve">ing point is to determine whether the court has jurisdiction to adjudicate </w:t>
      </w:r>
      <w:proofErr w:type="gramStart"/>
      <w:r w:rsidR="00FE0828" w:rsidRPr="00657D3A">
        <w:rPr>
          <w:rFonts w:ascii="Bookman Old Style" w:hAnsi="Bookman Old Style"/>
          <w:sz w:val="28"/>
          <w:szCs w:val="28"/>
          <w:lang w:val="en-US"/>
        </w:rPr>
        <w:t>the end result</w:t>
      </w:r>
      <w:proofErr w:type="gramEnd"/>
      <w:r w:rsidR="00FE0828" w:rsidRPr="00657D3A">
        <w:rPr>
          <w:rFonts w:ascii="Bookman Old Style" w:hAnsi="Bookman Old Style"/>
          <w:sz w:val="28"/>
          <w:szCs w:val="28"/>
          <w:lang w:val="en-US"/>
        </w:rPr>
        <w:t xml:space="preserve">. It cannot be correct that an applicant </w:t>
      </w:r>
      <w:proofErr w:type="gramStart"/>
      <w:r w:rsidR="00FE0828" w:rsidRPr="00657D3A">
        <w:rPr>
          <w:rFonts w:ascii="Bookman Old Style" w:hAnsi="Bookman Old Style"/>
          <w:sz w:val="28"/>
          <w:szCs w:val="28"/>
          <w:lang w:val="en-US"/>
        </w:rPr>
        <w:t>has to</w:t>
      </w:r>
      <w:proofErr w:type="gramEnd"/>
      <w:r w:rsidR="00FE0828" w:rsidRPr="00657D3A">
        <w:rPr>
          <w:rFonts w:ascii="Bookman Old Style" w:hAnsi="Bookman Old Style"/>
          <w:sz w:val="28"/>
          <w:szCs w:val="28"/>
          <w:lang w:val="en-US"/>
        </w:rPr>
        <w:t xml:space="preserve"> prove the constitutional infringement simply to establish jurisdiction and get a hearing. If proof of the </w:t>
      </w:r>
      <w:r w:rsidR="00F4060C" w:rsidRPr="00657D3A">
        <w:rPr>
          <w:rFonts w:ascii="Bookman Old Style" w:hAnsi="Bookman Old Style"/>
          <w:sz w:val="28"/>
          <w:szCs w:val="28"/>
          <w:lang w:val="en-US"/>
        </w:rPr>
        <w:t xml:space="preserve">applicant’s </w:t>
      </w:r>
      <w:r w:rsidR="00FE0828" w:rsidRPr="00657D3A">
        <w:rPr>
          <w:rFonts w:ascii="Bookman Old Style" w:hAnsi="Bookman Old Style"/>
          <w:sz w:val="28"/>
          <w:szCs w:val="28"/>
          <w:lang w:val="en-US"/>
        </w:rPr>
        <w:t>case for mere jurisdiction is required, little would, logically, remain to be decided.</w:t>
      </w:r>
      <w:r w:rsidR="0071573D" w:rsidRPr="00657D3A">
        <w:rPr>
          <w:rFonts w:ascii="Bookman Old Style" w:hAnsi="Bookman Old Style"/>
          <w:sz w:val="28"/>
          <w:szCs w:val="28"/>
          <w:lang w:val="en-US"/>
        </w:rPr>
        <w:t xml:space="preserve"> Conversely, if the applicant’s case </w:t>
      </w:r>
      <w:r w:rsidR="00103305" w:rsidRPr="00657D3A">
        <w:rPr>
          <w:rFonts w:ascii="Bookman Old Style" w:hAnsi="Bookman Old Style"/>
          <w:sz w:val="28"/>
          <w:szCs w:val="28"/>
          <w:lang w:val="en-US"/>
        </w:rPr>
        <w:t>seems</w:t>
      </w:r>
      <w:r w:rsidR="0071573D" w:rsidRPr="00657D3A">
        <w:rPr>
          <w:rFonts w:ascii="Bookman Old Style" w:hAnsi="Bookman Old Style"/>
          <w:sz w:val="28"/>
          <w:szCs w:val="28"/>
          <w:lang w:val="en-US"/>
        </w:rPr>
        <w:t xml:space="preserve"> vague, unsubstantiated, or weak, </w:t>
      </w:r>
      <w:r w:rsidR="00103305" w:rsidRPr="00657D3A">
        <w:rPr>
          <w:rFonts w:ascii="Bookman Old Style" w:hAnsi="Bookman Old Style"/>
          <w:sz w:val="28"/>
          <w:szCs w:val="28"/>
          <w:lang w:val="en-US"/>
        </w:rPr>
        <w:t>another court may come to that same conclusion</w:t>
      </w:r>
      <w:r w:rsidR="00532205" w:rsidRPr="00657D3A">
        <w:rPr>
          <w:rFonts w:ascii="Bookman Old Style" w:hAnsi="Bookman Old Style"/>
          <w:sz w:val="28"/>
          <w:szCs w:val="28"/>
          <w:lang w:val="en-US"/>
        </w:rPr>
        <w:t xml:space="preserve"> and also be left in doubt about </w:t>
      </w:r>
      <w:proofErr w:type="spellStart"/>
      <w:proofErr w:type="gramStart"/>
      <w:r w:rsidR="00532205" w:rsidRPr="00657D3A">
        <w:rPr>
          <w:rFonts w:ascii="Bookman Old Style" w:hAnsi="Bookman Old Style"/>
          <w:sz w:val="28"/>
          <w:szCs w:val="28"/>
          <w:lang w:val="en-US"/>
        </w:rPr>
        <w:t>it’s</w:t>
      </w:r>
      <w:proofErr w:type="spellEnd"/>
      <w:proofErr w:type="gramEnd"/>
      <w:r w:rsidR="00532205" w:rsidRPr="00657D3A">
        <w:rPr>
          <w:rFonts w:ascii="Bookman Old Style" w:hAnsi="Bookman Old Style"/>
          <w:sz w:val="28"/>
          <w:szCs w:val="28"/>
          <w:lang w:val="en-US"/>
        </w:rPr>
        <w:t xml:space="preserve"> jurisdiction</w:t>
      </w:r>
      <w:r w:rsidR="00103305" w:rsidRPr="00657D3A">
        <w:rPr>
          <w:rFonts w:ascii="Bookman Old Style" w:hAnsi="Bookman Old Style"/>
          <w:sz w:val="28"/>
          <w:szCs w:val="28"/>
          <w:lang w:val="en-US"/>
        </w:rPr>
        <w:t>.</w:t>
      </w:r>
    </w:p>
    <w:p w14:paraId="0E473CBA" w14:textId="48A67CBC" w:rsidR="0071573D" w:rsidRPr="00657D3A" w:rsidRDefault="0071573D" w:rsidP="00657D3A">
      <w:pPr>
        <w:spacing w:line="360" w:lineRule="auto"/>
        <w:jc w:val="both"/>
        <w:rPr>
          <w:rFonts w:ascii="Bookman Old Style" w:hAnsi="Bookman Old Style"/>
          <w:i/>
          <w:iCs/>
          <w:sz w:val="28"/>
          <w:szCs w:val="28"/>
          <w:lang w:val="en-US"/>
        </w:rPr>
      </w:pPr>
      <w:r w:rsidRPr="00657D3A">
        <w:rPr>
          <w:rFonts w:ascii="Bookman Old Style" w:hAnsi="Bookman Old Style"/>
          <w:sz w:val="28"/>
          <w:szCs w:val="28"/>
          <w:lang w:val="en-US"/>
        </w:rPr>
        <w:t>[23] A finding by a court that it lacks jurisdiction, does not in the first place mean that another court may also be able to hear the matter</w:t>
      </w:r>
      <w:r w:rsidRPr="00657D3A">
        <w:rPr>
          <w:rFonts w:ascii="Bookman Old Style" w:hAnsi="Bookman Old Style"/>
          <w:i/>
          <w:iCs/>
          <w:sz w:val="28"/>
          <w:szCs w:val="28"/>
          <w:lang w:val="en-US"/>
        </w:rPr>
        <w:t xml:space="preserve">. </w:t>
      </w:r>
      <w:r w:rsidRPr="00657D3A">
        <w:rPr>
          <w:rFonts w:ascii="Bookman Old Style" w:hAnsi="Bookman Old Style"/>
          <w:sz w:val="28"/>
          <w:szCs w:val="28"/>
          <w:lang w:val="en-US"/>
        </w:rPr>
        <w:t xml:space="preserve">Jurisdiction may only be declined if a court finds that it is not empowered to grant the relief sought. That cannot be said to have been the case before the court </w:t>
      </w:r>
      <w:r w:rsidRPr="00657D3A">
        <w:rPr>
          <w:rFonts w:ascii="Bookman Old Style" w:hAnsi="Bookman Old Style"/>
          <w:i/>
          <w:iCs/>
          <w:sz w:val="28"/>
          <w:szCs w:val="28"/>
          <w:lang w:val="en-US"/>
        </w:rPr>
        <w:t>a</w:t>
      </w:r>
      <w:r w:rsidRPr="00657D3A">
        <w:rPr>
          <w:rFonts w:ascii="Bookman Old Style" w:hAnsi="Bookman Old Style"/>
          <w:sz w:val="28"/>
          <w:szCs w:val="28"/>
          <w:lang w:val="en-US"/>
        </w:rPr>
        <w:t xml:space="preserve"> </w:t>
      </w:r>
      <w:r w:rsidRPr="00657D3A">
        <w:rPr>
          <w:rFonts w:ascii="Bookman Old Style" w:hAnsi="Bookman Old Style"/>
          <w:i/>
          <w:iCs/>
          <w:sz w:val="28"/>
          <w:szCs w:val="28"/>
          <w:lang w:val="en-US"/>
        </w:rPr>
        <w:t>quo</w:t>
      </w:r>
      <w:r w:rsidRPr="00657D3A">
        <w:rPr>
          <w:rFonts w:ascii="Bookman Old Style" w:hAnsi="Bookman Old Style"/>
          <w:sz w:val="28"/>
          <w:szCs w:val="28"/>
          <w:lang w:val="en-US"/>
        </w:rPr>
        <w:t>, constituted</w:t>
      </w:r>
      <w:r w:rsidR="0020584D" w:rsidRPr="00657D3A">
        <w:rPr>
          <w:rFonts w:ascii="Bookman Old Style" w:hAnsi="Bookman Old Style"/>
          <w:sz w:val="28"/>
          <w:szCs w:val="28"/>
          <w:lang w:val="en-US"/>
        </w:rPr>
        <w:t xml:space="preserve"> with three judges, as required for a constitutional matter</w:t>
      </w:r>
      <w:r w:rsidRPr="00657D3A">
        <w:rPr>
          <w:rFonts w:ascii="Bookman Old Style" w:hAnsi="Bookman Old Style"/>
          <w:sz w:val="28"/>
          <w:szCs w:val="28"/>
          <w:lang w:val="en-US"/>
        </w:rPr>
        <w:t>.</w:t>
      </w:r>
      <w:r w:rsidR="00F722ED" w:rsidRPr="00657D3A">
        <w:rPr>
          <w:rFonts w:ascii="Bookman Old Style" w:hAnsi="Bookman Old Style"/>
          <w:sz w:val="28"/>
          <w:szCs w:val="28"/>
          <w:lang w:val="en-US"/>
        </w:rPr>
        <w:t xml:space="preserve"> </w:t>
      </w:r>
      <w:r w:rsidR="00532205" w:rsidRPr="00657D3A">
        <w:rPr>
          <w:rFonts w:ascii="Bookman Old Style" w:hAnsi="Bookman Old Style"/>
          <w:sz w:val="28"/>
          <w:szCs w:val="28"/>
          <w:lang w:val="en-US"/>
        </w:rPr>
        <w:t>Even though the line might have been a thin one</w:t>
      </w:r>
      <w:r w:rsidR="00C72352" w:rsidRPr="00657D3A">
        <w:rPr>
          <w:rFonts w:ascii="Bookman Old Style" w:hAnsi="Bookman Old Style"/>
          <w:sz w:val="28"/>
          <w:szCs w:val="28"/>
          <w:lang w:val="en-US"/>
        </w:rPr>
        <w:t>, t</w:t>
      </w:r>
      <w:r w:rsidR="00F722ED" w:rsidRPr="00657D3A">
        <w:rPr>
          <w:rFonts w:ascii="Bookman Old Style" w:hAnsi="Bookman Old Style"/>
          <w:sz w:val="28"/>
          <w:szCs w:val="28"/>
          <w:lang w:val="en-US"/>
        </w:rPr>
        <w:t xml:space="preserve">he court </w:t>
      </w:r>
      <w:r w:rsidR="00F722ED" w:rsidRPr="00657D3A">
        <w:rPr>
          <w:rFonts w:ascii="Bookman Old Style" w:hAnsi="Bookman Old Style"/>
          <w:i/>
          <w:iCs/>
          <w:sz w:val="28"/>
          <w:szCs w:val="28"/>
          <w:lang w:val="en-US"/>
        </w:rPr>
        <w:t>a quo</w:t>
      </w:r>
      <w:r w:rsidR="00F722ED" w:rsidRPr="00657D3A">
        <w:rPr>
          <w:rFonts w:ascii="Bookman Old Style" w:hAnsi="Bookman Old Style"/>
          <w:sz w:val="28"/>
          <w:szCs w:val="28"/>
          <w:lang w:val="en-US"/>
        </w:rPr>
        <w:t xml:space="preserve"> incorrectly declined jurisdiction.</w:t>
      </w:r>
    </w:p>
    <w:p w14:paraId="7C065102" w14:textId="4F9EBC7D" w:rsidR="00B83DA4" w:rsidRPr="00657D3A" w:rsidRDefault="00103305"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C</w:t>
      </w:r>
      <w:r w:rsidR="00B83DA4" w:rsidRPr="00657D3A">
        <w:rPr>
          <w:rFonts w:ascii="Bookman Old Style" w:hAnsi="Bookman Old Style"/>
          <w:b/>
          <w:bCs/>
          <w:sz w:val="28"/>
          <w:szCs w:val="28"/>
          <w:lang w:val="en-US"/>
        </w:rPr>
        <w:t>oncession</w:t>
      </w:r>
    </w:p>
    <w:p w14:paraId="242E5C97" w14:textId="7AB8C68D" w:rsidR="00103305" w:rsidRPr="00657D3A" w:rsidRDefault="00F722ED"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 xml:space="preserve">[24] </w:t>
      </w:r>
      <w:r w:rsidR="00103305" w:rsidRPr="00657D3A">
        <w:rPr>
          <w:rFonts w:ascii="Bookman Old Style" w:hAnsi="Bookman Old Style"/>
          <w:sz w:val="28"/>
          <w:szCs w:val="28"/>
          <w:lang w:val="en-US"/>
        </w:rPr>
        <w:t>During oral argument before this Court, it was conceded on behalf of the first respondent that the appeal must succeed and that the matter be remitted back to the High Court to be heard by three judges.</w:t>
      </w:r>
    </w:p>
    <w:p w14:paraId="1F7E7C50" w14:textId="1DA61832" w:rsidR="00F722ED" w:rsidRPr="00657D3A" w:rsidRDefault="00F722ED"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Procedure</w:t>
      </w:r>
    </w:p>
    <w:p w14:paraId="0B0BF8C4" w14:textId="77777777" w:rsidR="00C72352" w:rsidRPr="00657D3A" w:rsidRDefault="00F722ED"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lastRenderedPageBreak/>
        <w:t xml:space="preserve">[25] In view of the conclusion above, it is not necessary to deal with the procedural issues raised regarding the </w:t>
      </w:r>
      <w:proofErr w:type="gramStart"/>
      <w:r w:rsidRPr="00657D3A">
        <w:rPr>
          <w:rFonts w:ascii="Bookman Old Style" w:hAnsi="Bookman Old Style"/>
          <w:sz w:val="28"/>
          <w:szCs w:val="28"/>
          <w:lang w:val="en-US"/>
        </w:rPr>
        <w:t>manner in which</w:t>
      </w:r>
      <w:proofErr w:type="gramEnd"/>
      <w:r w:rsidRPr="00657D3A">
        <w:rPr>
          <w:rFonts w:ascii="Bookman Old Style" w:hAnsi="Bookman Old Style"/>
          <w:sz w:val="28"/>
          <w:szCs w:val="28"/>
          <w:lang w:val="en-US"/>
        </w:rPr>
        <w:t xml:space="preserve"> jurisdiction was raised as an issue.</w:t>
      </w:r>
    </w:p>
    <w:p w14:paraId="410102A8" w14:textId="77777777" w:rsidR="00C72352" w:rsidRPr="00657D3A" w:rsidRDefault="00C72352"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Costs</w:t>
      </w:r>
    </w:p>
    <w:p w14:paraId="07FAEB24" w14:textId="4B6C3334" w:rsidR="00F722ED" w:rsidRPr="00657D3A" w:rsidRDefault="00C72352"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[26]</w:t>
      </w:r>
      <w:r w:rsidR="00F722ED" w:rsidRPr="00657D3A">
        <w:rPr>
          <w:rFonts w:ascii="Bookman Old Style" w:hAnsi="Bookman Old Style"/>
          <w:sz w:val="28"/>
          <w:szCs w:val="28"/>
          <w:lang w:val="en-US"/>
        </w:rPr>
        <w:t xml:space="preserve"> </w:t>
      </w:r>
      <w:r w:rsidRPr="00657D3A">
        <w:rPr>
          <w:rFonts w:ascii="Bookman Old Style" w:hAnsi="Bookman Old Style"/>
          <w:sz w:val="28"/>
          <w:szCs w:val="28"/>
          <w:lang w:val="en-US"/>
        </w:rPr>
        <w:t>There is no reason why costs should not follow the result.</w:t>
      </w:r>
    </w:p>
    <w:p w14:paraId="28A32C5A" w14:textId="697F79F6" w:rsidR="00B83DA4" w:rsidRPr="00657D3A" w:rsidRDefault="00B83DA4" w:rsidP="00657D3A">
      <w:pPr>
        <w:spacing w:line="360" w:lineRule="auto"/>
        <w:jc w:val="both"/>
        <w:rPr>
          <w:rFonts w:ascii="Bookman Old Style" w:hAnsi="Bookman Old Style"/>
          <w:b/>
          <w:bCs/>
          <w:sz w:val="28"/>
          <w:szCs w:val="28"/>
          <w:lang w:val="en-US"/>
        </w:rPr>
      </w:pPr>
      <w:r w:rsidRPr="00657D3A">
        <w:rPr>
          <w:rFonts w:ascii="Bookman Old Style" w:hAnsi="Bookman Old Style"/>
          <w:b/>
          <w:bCs/>
          <w:sz w:val="28"/>
          <w:szCs w:val="28"/>
          <w:lang w:val="en-US"/>
        </w:rPr>
        <w:t>Order</w:t>
      </w:r>
    </w:p>
    <w:p w14:paraId="5A76C096" w14:textId="2A983FB7" w:rsidR="00103305" w:rsidRPr="00657D3A" w:rsidRDefault="00103305"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[2</w:t>
      </w:r>
      <w:r w:rsidR="00C72352" w:rsidRPr="00657D3A">
        <w:rPr>
          <w:rFonts w:ascii="Bookman Old Style" w:hAnsi="Bookman Old Style"/>
          <w:sz w:val="28"/>
          <w:szCs w:val="28"/>
          <w:lang w:val="en-US"/>
        </w:rPr>
        <w:t>7</w:t>
      </w:r>
      <w:r w:rsidRPr="00657D3A">
        <w:rPr>
          <w:rFonts w:ascii="Bookman Old Style" w:hAnsi="Bookman Old Style"/>
          <w:sz w:val="28"/>
          <w:szCs w:val="28"/>
          <w:lang w:val="en-US"/>
        </w:rPr>
        <w:t>] In view of the above, it is ordered that –</w:t>
      </w:r>
    </w:p>
    <w:p w14:paraId="6348D869" w14:textId="5557ABEA" w:rsidR="00103305" w:rsidRPr="00657D3A" w:rsidRDefault="00103305" w:rsidP="00657D3A">
      <w:pPr>
        <w:spacing w:line="360" w:lineRule="auto"/>
        <w:jc w:val="both"/>
        <w:rPr>
          <w:rFonts w:ascii="Bookman Old Style" w:hAnsi="Bookman Old Style"/>
          <w:sz w:val="28"/>
          <w:szCs w:val="28"/>
          <w:lang w:val="en-US"/>
        </w:rPr>
      </w:pPr>
      <w:r w:rsidRPr="00657D3A">
        <w:rPr>
          <w:rFonts w:ascii="Bookman Old Style" w:hAnsi="Bookman Old Style"/>
          <w:sz w:val="28"/>
          <w:szCs w:val="28"/>
          <w:lang w:val="en-US"/>
        </w:rPr>
        <w:t>(a) the appeal is upheld, with costs; and</w:t>
      </w:r>
    </w:p>
    <w:p w14:paraId="1F6B207A" w14:textId="7FA739A6" w:rsidR="00103305" w:rsidRDefault="00103305" w:rsidP="00DD7E3A">
      <w:pPr>
        <w:spacing w:line="240" w:lineRule="auto"/>
        <w:jc w:val="both"/>
        <w:rPr>
          <w:rFonts w:ascii="Bookman Old Style" w:hAnsi="Bookman Old Style"/>
          <w:sz w:val="28"/>
          <w:szCs w:val="28"/>
          <w:lang w:val="en-US"/>
        </w:rPr>
      </w:pPr>
      <w:r w:rsidRPr="00657D3A">
        <w:rPr>
          <w:rFonts w:ascii="Bookman Old Style" w:hAnsi="Bookman Old Style"/>
          <w:sz w:val="28"/>
          <w:szCs w:val="28"/>
          <w:lang w:val="en-US"/>
        </w:rPr>
        <w:t>(b) the matter is remitted back to the High Court to be heard by three judges.</w:t>
      </w:r>
    </w:p>
    <w:p w14:paraId="4D5B8925" w14:textId="4BA92EC7" w:rsidR="00DD7E3A" w:rsidRDefault="00DD7E3A" w:rsidP="00DD7E3A">
      <w:pPr>
        <w:spacing w:line="240" w:lineRule="auto"/>
        <w:jc w:val="both"/>
        <w:rPr>
          <w:rFonts w:ascii="Bookman Old Style" w:hAnsi="Bookman Old Style"/>
          <w:sz w:val="28"/>
          <w:szCs w:val="28"/>
          <w:lang w:val="en-US"/>
        </w:rPr>
      </w:pPr>
    </w:p>
    <w:p w14:paraId="34745612" w14:textId="77777777" w:rsidR="00DD7E3A" w:rsidRPr="00657D3A" w:rsidRDefault="00DD7E3A" w:rsidP="00DD7E3A">
      <w:pPr>
        <w:spacing w:line="240" w:lineRule="auto"/>
        <w:jc w:val="both"/>
        <w:rPr>
          <w:rFonts w:ascii="Bookman Old Style" w:hAnsi="Bookman Old Style"/>
          <w:sz w:val="28"/>
          <w:szCs w:val="28"/>
          <w:lang w:val="en-US"/>
        </w:rPr>
      </w:pPr>
    </w:p>
    <w:p w14:paraId="14EFB71A" w14:textId="29689781" w:rsidR="00103305" w:rsidRPr="00657D3A" w:rsidRDefault="00DD7E3A" w:rsidP="00DD7E3A">
      <w:pPr>
        <w:spacing w:line="240" w:lineRule="auto"/>
        <w:jc w:val="center"/>
        <w:rPr>
          <w:rFonts w:ascii="Bookman Old Style" w:hAnsi="Bookman Old Style"/>
          <w:sz w:val="28"/>
          <w:szCs w:val="28"/>
          <w:lang w:val="en-US"/>
        </w:rPr>
      </w:pPr>
      <w:r>
        <w:rPr>
          <w:noProof/>
        </w:rPr>
        <w:drawing>
          <wp:inline distT="0" distB="0" distL="0" distR="0" wp14:anchorId="1CB3AEA8" wp14:editId="0E3BDBB6">
            <wp:extent cx="18573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3F8E7115" w14:textId="7CBCA9A7" w:rsidR="00BC1043" w:rsidRPr="00657D3A" w:rsidRDefault="001D1703" w:rsidP="00DD7E3A">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________________________________</w:t>
      </w:r>
    </w:p>
    <w:p w14:paraId="2EB5ED26" w14:textId="2CE240D3" w:rsidR="00BC1043" w:rsidRPr="00657D3A" w:rsidRDefault="00BC1043" w:rsidP="004C70E7">
      <w:pPr>
        <w:spacing w:line="240" w:lineRule="auto"/>
        <w:jc w:val="center"/>
        <w:rPr>
          <w:rFonts w:ascii="Bookman Old Style" w:hAnsi="Bookman Old Style"/>
          <w:b/>
          <w:bCs/>
          <w:sz w:val="28"/>
          <w:szCs w:val="28"/>
          <w:lang w:val="en-US"/>
        </w:rPr>
      </w:pPr>
      <w:r w:rsidRPr="00657D3A">
        <w:rPr>
          <w:rFonts w:ascii="Bookman Old Style" w:hAnsi="Bookman Old Style"/>
          <w:b/>
          <w:bCs/>
          <w:sz w:val="28"/>
          <w:szCs w:val="28"/>
          <w:lang w:val="en-US"/>
        </w:rPr>
        <w:t>J VAN DER WESTHUIZEN</w:t>
      </w:r>
    </w:p>
    <w:p w14:paraId="57F6E53E" w14:textId="7EDD9DAA" w:rsidR="00BC1043" w:rsidRPr="00657D3A" w:rsidRDefault="00BC1043" w:rsidP="004C70E7">
      <w:pPr>
        <w:spacing w:line="240" w:lineRule="auto"/>
        <w:jc w:val="center"/>
        <w:rPr>
          <w:rFonts w:ascii="Bookman Old Style" w:hAnsi="Bookman Old Style"/>
          <w:b/>
          <w:bCs/>
          <w:sz w:val="28"/>
          <w:szCs w:val="28"/>
          <w:lang w:val="en-US"/>
        </w:rPr>
      </w:pPr>
      <w:r w:rsidRPr="00657D3A">
        <w:rPr>
          <w:rFonts w:ascii="Bookman Old Style" w:hAnsi="Bookman Old Style"/>
          <w:b/>
          <w:bCs/>
          <w:sz w:val="28"/>
          <w:szCs w:val="28"/>
          <w:lang w:val="en-US"/>
        </w:rPr>
        <w:t>ACTING JU</w:t>
      </w:r>
      <w:r w:rsidR="00C15E49" w:rsidRPr="00657D3A">
        <w:rPr>
          <w:rFonts w:ascii="Bookman Old Style" w:hAnsi="Bookman Old Style"/>
          <w:b/>
          <w:bCs/>
          <w:sz w:val="28"/>
          <w:szCs w:val="28"/>
          <w:lang w:val="en-US"/>
        </w:rPr>
        <w:t>STIC</w:t>
      </w:r>
      <w:r w:rsidRPr="00657D3A">
        <w:rPr>
          <w:rFonts w:ascii="Bookman Old Style" w:hAnsi="Bookman Old Style"/>
          <w:b/>
          <w:bCs/>
          <w:sz w:val="28"/>
          <w:szCs w:val="28"/>
          <w:lang w:val="en-US"/>
        </w:rPr>
        <w:t>E OF APPEAL</w:t>
      </w:r>
    </w:p>
    <w:p w14:paraId="17F77181" w14:textId="0ACA1737" w:rsidR="00BC1043" w:rsidRPr="00657D3A" w:rsidRDefault="00BC1043" w:rsidP="004C70E7">
      <w:pPr>
        <w:spacing w:line="240" w:lineRule="auto"/>
        <w:jc w:val="center"/>
        <w:rPr>
          <w:rFonts w:ascii="Bookman Old Style" w:hAnsi="Bookman Old Style"/>
          <w:b/>
          <w:bCs/>
          <w:sz w:val="28"/>
          <w:szCs w:val="28"/>
          <w:lang w:val="en-US"/>
        </w:rPr>
      </w:pPr>
    </w:p>
    <w:p w14:paraId="78BE1B2B" w14:textId="77777777" w:rsidR="00DD7E3A" w:rsidRDefault="00DD7E3A" w:rsidP="004C70E7">
      <w:pPr>
        <w:spacing w:line="240" w:lineRule="auto"/>
        <w:jc w:val="both"/>
        <w:rPr>
          <w:rFonts w:ascii="Bookman Old Style" w:hAnsi="Bookman Old Style"/>
          <w:sz w:val="28"/>
          <w:szCs w:val="28"/>
          <w:lang w:val="en-US"/>
        </w:rPr>
      </w:pPr>
    </w:p>
    <w:p w14:paraId="20ECA820" w14:textId="77777777" w:rsidR="00DD7E3A" w:rsidRDefault="00DD7E3A" w:rsidP="004C70E7">
      <w:pPr>
        <w:spacing w:line="240" w:lineRule="auto"/>
        <w:jc w:val="both"/>
        <w:rPr>
          <w:rFonts w:ascii="Bookman Old Style" w:hAnsi="Bookman Old Style"/>
          <w:sz w:val="28"/>
          <w:szCs w:val="28"/>
          <w:lang w:val="en-US"/>
        </w:rPr>
      </w:pPr>
    </w:p>
    <w:p w14:paraId="2671AB8E" w14:textId="3025459F" w:rsidR="004C70E7" w:rsidRDefault="00BC1043" w:rsidP="004C70E7">
      <w:pPr>
        <w:spacing w:line="240" w:lineRule="auto"/>
        <w:jc w:val="both"/>
        <w:rPr>
          <w:rFonts w:ascii="Bookman Old Style" w:hAnsi="Bookman Old Style"/>
          <w:sz w:val="28"/>
          <w:szCs w:val="28"/>
          <w:lang w:val="en-US"/>
        </w:rPr>
      </w:pPr>
      <w:r w:rsidRPr="00831092">
        <w:rPr>
          <w:rFonts w:ascii="Bookman Old Style" w:hAnsi="Bookman Old Style"/>
          <w:sz w:val="28"/>
          <w:szCs w:val="28"/>
          <w:lang w:val="en-US"/>
        </w:rPr>
        <w:t xml:space="preserve">I agree:             </w:t>
      </w:r>
    </w:p>
    <w:p w14:paraId="49B1E6C6" w14:textId="6FCD2ED7" w:rsidR="00831092" w:rsidRPr="00831092" w:rsidRDefault="00BC1043" w:rsidP="004C70E7">
      <w:pPr>
        <w:spacing w:line="240" w:lineRule="auto"/>
        <w:ind w:left="720"/>
        <w:jc w:val="both"/>
        <w:rPr>
          <w:rFonts w:ascii="Bookman Old Style" w:hAnsi="Bookman Old Style"/>
          <w:sz w:val="28"/>
          <w:szCs w:val="28"/>
          <w:lang w:val="en-US"/>
        </w:rPr>
      </w:pPr>
      <w:r w:rsidRPr="00831092">
        <w:rPr>
          <w:rFonts w:ascii="Bookman Old Style" w:hAnsi="Bookman Old Style"/>
          <w:sz w:val="28"/>
          <w:szCs w:val="28"/>
          <w:lang w:val="en-US"/>
        </w:rPr>
        <w:t xml:space="preserve">                                       </w:t>
      </w:r>
      <w:r w:rsidR="00DD7E3A" w:rsidRPr="00DE3882">
        <w:rPr>
          <w:noProof/>
          <w:sz w:val="28"/>
          <w:szCs w:val="28"/>
          <w:lang w:eastAsia="en-ZA"/>
        </w:rPr>
        <w:drawing>
          <wp:inline distT="0" distB="0" distL="0" distR="0" wp14:anchorId="2D8AED56" wp14:editId="45BFC034">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r w:rsidRPr="00831092">
        <w:rPr>
          <w:rFonts w:ascii="Bookman Old Style" w:hAnsi="Bookman Old Style"/>
          <w:sz w:val="28"/>
          <w:szCs w:val="28"/>
          <w:lang w:val="en-US"/>
        </w:rPr>
        <w:t xml:space="preserve">                                                                                              </w:t>
      </w:r>
    </w:p>
    <w:p w14:paraId="1A069983" w14:textId="71A95296" w:rsidR="00831092" w:rsidRDefault="003405BA" w:rsidP="004C70E7">
      <w:pPr>
        <w:spacing w:line="240" w:lineRule="auto"/>
        <w:ind w:left="720"/>
        <w:rPr>
          <w:rFonts w:ascii="Bookman Old Style" w:hAnsi="Bookman Old Style"/>
          <w:b/>
          <w:bCs/>
          <w:sz w:val="28"/>
          <w:szCs w:val="28"/>
          <w:lang w:val="en-US"/>
        </w:rPr>
      </w:pPr>
      <w:r>
        <w:rPr>
          <w:rFonts w:ascii="Bookman Old Style" w:hAnsi="Bookman Old Style"/>
          <w:b/>
          <w:bCs/>
          <w:sz w:val="28"/>
          <w:szCs w:val="28"/>
          <w:lang w:val="en-US"/>
        </w:rPr>
        <w:tab/>
      </w:r>
      <w:r>
        <w:rPr>
          <w:rFonts w:ascii="Bookman Old Style" w:hAnsi="Bookman Old Style"/>
          <w:b/>
          <w:bCs/>
          <w:sz w:val="28"/>
          <w:szCs w:val="28"/>
          <w:lang w:val="en-US"/>
        </w:rPr>
        <w:tab/>
      </w:r>
      <w:r>
        <w:rPr>
          <w:rFonts w:ascii="Bookman Old Style" w:hAnsi="Bookman Old Style"/>
          <w:b/>
          <w:bCs/>
          <w:sz w:val="28"/>
          <w:szCs w:val="28"/>
          <w:lang w:val="en-US"/>
        </w:rPr>
        <w:tab/>
      </w:r>
      <w:r w:rsidR="004C70E7">
        <w:rPr>
          <w:rFonts w:ascii="Bookman Old Style" w:hAnsi="Bookman Old Style"/>
          <w:b/>
          <w:bCs/>
          <w:sz w:val="28"/>
          <w:szCs w:val="28"/>
          <w:lang w:val="en-US"/>
        </w:rPr>
        <w:t>________</w:t>
      </w:r>
      <w:r>
        <w:rPr>
          <w:rFonts w:ascii="Bookman Old Style" w:hAnsi="Bookman Old Style"/>
          <w:b/>
          <w:bCs/>
          <w:sz w:val="28"/>
          <w:szCs w:val="28"/>
          <w:lang w:val="en-US"/>
        </w:rPr>
        <w:t>___________________</w:t>
      </w:r>
    </w:p>
    <w:p w14:paraId="69F4735E" w14:textId="2C1100E3" w:rsidR="00BC1043" w:rsidRPr="00657D3A" w:rsidRDefault="00BC1043" w:rsidP="004C70E7">
      <w:pPr>
        <w:spacing w:line="240" w:lineRule="auto"/>
        <w:ind w:left="720"/>
        <w:jc w:val="center"/>
        <w:rPr>
          <w:rFonts w:ascii="Bookman Old Style" w:hAnsi="Bookman Old Style"/>
          <w:b/>
          <w:bCs/>
          <w:sz w:val="28"/>
          <w:szCs w:val="28"/>
          <w:lang w:val="en-US"/>
        </w:rPr>
      </w:pPr>
      <w:r w:rsidRPr="00657D3A">
        <w:rPr>
          <w:rFonts w:ascii="Bookman Old Style" w:hAnsi="Bookman Old Style"/>
          <w:b/>
          <w:bCs/>
          <w:sz w:val="28"/>
          <w:szCs w:val="28"/>
          <w:lang w:val="en-US"/>
        </w:rPr>
        <w:t>K</w:t>
      </w:r>
      <w:r w:rsidR="003405BA">
        <w:rPr>
          <w:rFonts w:ascii="Bookman Old Style" w:hAnsi="Bookman Old Style"/>
          <w:b/>
          <w:bCs/>
          <w:sz w:val="28"/>
          <w:szCs w:val="28"/>
          <w:lang w:val="en-US"/>
        </w:rPr>
        <w:t xml:space="preserve"> </w:t>
      </w:r>
      <w:r w:rsidRPr="00657D3A">
        <w:rPr>
          <w:rFonts w:ascii="Bookman Old Style" w:hAnsi="Bookman Old Style"/>
          <w:b/>
          <w:bCs/>
          <w:sz w:val="28"/>
          <w:szCs w:val="28"/>
          <w:lang w:val="en-US"/>
        </w:rPr>
        <w:t>E MOSITO</w:t>
      </w:r>
    </w:p>
    <w:p w14:paraId="6CBCCC78" w14:textId="6BB8D188" w:rsidR="00BC1043" w:rsidRPr="00657D3A" w:rsidRDefault="004C70E7" w:rsidP="004C70E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 xml:space="preserve">        </w:t>
      </w:r>
      <w:r w:rsidR="00BC1043" w:rsidRPr="00657D3A">
        <w:rPr>
          <w:rFonts w:ascii="Bookman Old Style" w:hAnsi="Bookman Old Style"/>
          <w:b/>
          <w:bCs/>
          <w:sz w:val="28"/>
          <w:szCs w:val="28"/>
          <w:lang w:val="en-US"/>
        </w:rPr>
        <w:t>PRESIDENT</w:t>
      </w:r>
      <w:r w:rsidR="00995189">
        <w:rPr>
          <w:rFonts w:ascii="Bookman Old Style" w:hAnsi="Bookman Old Style"/>
          <w:b/>
          <w:bCs/>
          <w:sz w:val="28"/>
          <w:szCs w:val="28"/>
          <w:lang w:val="en-US"/>
        </w:rPr>
        <w:t xml:space="preserve"> </w:t>
      </w:r>
      <w:r w:rsidR="00831092">
        <w:rPr>
          <w:rFonts w:ascii="Bookman Old Style" w:hAnsi="Bookman Old Style"/>
          <w:b/>
          <w:bCs/>
          <w:sz w:val="28"/>
          <w:szCs w:val="28"/>
          <w:lang w:val="en-US"/>
        </w:rPr>
        <w:t>O</w:t>
      </w:r>
      <w:r w:rsidR="00995189">
        <w:rPr>
          <w:rFonts w:ascii="Bookman Old Style" w:hAnsi="Bookman Old Style"/>
          <w:b/>
          <w:bCs/>
          <w:sz w:val="28"/>
          <w:szCs w:val="28"/>
          <w:lang w:val="en-US"/>
        </w:rPr>
        <w:t>F THE</w:t>
      </w:r>
      <w:r w:rsidR="00C15E49" w:rsidRPr="00657D3A">
        <w:rPr>
          <w:rFonts w:ascii="Bookman Old Style" w:hAnsi="Bookman Old Style"/>
          <w:b/>
          <w:bCs/>
          <w:sz w:val="28"/>
          <w:szCs w:val="28"/>
          <w:lang w:val="en-US"/>
        </w:rPr>
        <w:t xml:space="preserve"> COURT OF APPEAL</w:t>
      </w:r>
    </w:p>
    <w:p w14:paraId="15DF4E59" w14:textId="77777777" w:rsidR="003405BA" w:rsidRPr="001D1703" w:rsidRDefault="00BC1043" w:rsidP="004C70E7">
      <w:pPr>
        <w:spacing w:line="240" w:lineRule="auto"/>
        <w:rPr>
          <w:rFonts w:ascii="Bookman Old Style" w:hAnsi="Bookman Old Style"/>
          <w:sz w:val="28"/>
          <w:szCs w:val="28"/>
          <w:lang w:val="en-US"/>
        </w:rPr>
      </w:pPr>
      <w:r w:rsidRPr="001D1703">
        <w:rPr>
          <w:rFonts w:ascii="Bookman Old Style" w:hAnsi="Bookman Old Style"/>
          <w:sz w:val="28"/>
          <w:szCs w:val="28"/>
          <w:lang w:val="en-US"/>
        </w:rPr>
        <w:t xml:space="preserve">I agree:      </w:t>
      </w:r>
    </w:p>
    <w:p w14:paraId="52B8E55A" w14:textId="43812DE5" w:rsidR="00DD7E3A" w:rsidRDefault="00DD7E3A" w:rsidP="004C70E7">
      <w:pPr>
        <w:spacing w:line="240" w:lineRule="auto"/>
        <w:jc w:val="center"/>
        <w:rPr>
          <w:rFonts w:ascii="Bookman Old Style" w:hAnsi="Bookman Old Style"/>
          <w:b/>
          <w:bCs/>
          <w:sz w:val="28"/>
          <w:szCs w:val="28"/>
          <w:lang w:val="en-US"/>
        </w:rPr>
      </w:pPr>
      <w:r>
        <w:rPr>
          <w:noProof/>
        </w:rPr>
        <w:lastRenderedPageBreak/>
        <w:drawing>
          <wp:inline distT="0" distB="0" distL="0" distR="0" wp14:anchorId="4DCA7A4A" wp14:editId="6BC24963">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10D9B422" w14:textId="0D6765CB" w:rsidR="00BC1043" w:rsidRPr="00657D3A" w:rsidRDefault="00787807" w:rsidP="004C70E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w:t>
      </w:r>
      <w:r w:rsidR="004C70E7">
        <w:rPr>
          <w:rFonts w:ascii="Bookman Old Style" w:hAnsi="Bookman Old Style"/>
          <w:b/>
          <w:bCs/>
          <w:sz w:val="28"/>
          <w:szCs w:val="28"/>
          <w:lang w:val="en-US"/>
        </w:rPr>
        <w:t>________</w:t>
      </w:r>
      <w:r>
        <w:rPr>
          <w:rFonts w:ascii="Bookman Old Style" w:hAnsi="Bookman Old Style"/>
          <w:b/>
          <w:bCs/>
          <w:sz w:val="28"/>
          <w:szCs w:val="28"/>
          <w:lang w:val="en-US"/>
        </w:rPr>
        <w:t>_______________</w:t>
      </w:r>
      <w:r w:rsidR="00BC1043" w:rsidRPr="00657D3A">
        <w:rPr>
          <w:rFonts w:ascii="Bookman Old Style" w:hAnsi="Bookman Old Style"/>
          <w:b/>
          <w:bCs/>
          <w:sz w:val="28"/>
          <w:szCs w:val="28"/>
          <w:lang w:val="en-US"/>
        </w:rPr>
        <w:t xml:space="preserve">                                                                                                                         P MUSONDA</w:t>
      </w:r>
    </w:p>
    <w:p w14:paraId="7E05F0E6" w14:textId="08A958F3" w:rsidR="00BC1043" w:rsidRPr="00657D3A" w:rsidRDefault="00C15E49" w:rsidP="004C70E7">
      <w:pPr>
        <w:spacing w:line="240" w:lineRule="auto"/>
        <w:ind w:left="2160"/>
        <w:rPr>
          <w:rFonts w:ascii="Bookman Old Style" w:hAnsi="Bookman Old Style"/>
          <w:b/>
          <w:bCs/>
          <w:sz w:val="28"/>
          <w:szCs w:val="28"/>
          <w:lang w:val="en-US"/>
        </w:rPr>
      </w:pPr>
      <w:r w:rsidRPr="00657D3A">
        <w:rPr>
          <w:rFonts w:ascii="Bookman Old Style" w:hAnsi="Bookman Old Style"/>
          <w:b/>
          <w:bCs/>
          <w:sz w:val="28"/>
          <w:szCs w:val="28"/>
          <w:lang w:val="en-US"/>
        </w:rPr>
        <w:t>ACTING JUSTICE</w:t>
      </w:r>
      <w:r w:rsidR="00BC1043" w:rsidRPr="00657D3A">
        <w:rPr>
          <w:rFonts w:ascii="Bookman Old Style" w:hAnsi="Bookman Old Style"/>
          <w:b/>
          <w:bCs/>
          <w:sz w:val="28"/>
          <w:szCs w:val="28"/>
          <w:lang w:val="en-US"/>
        </w:rPr>
        <w:t xml:space="preserve"> OF APPEAL</w:t>
      </w:r>
    </w:p>
    <w:p w14:paraId="07F3A466" w14:textId="28F68FA2" w:rsidR="00BC1043" w:rsidRPr="00657D3A" w:rsidRDefault="00BC1043" w:rsidP="004C70E7">
      <w:pPr>
        <w:spacing w:line="240" w:lineRule="auto"/>
        <w:jc w:val="center"/>
        <w:rPr>
          <w:rFonts w:ascii="Bookman Old Style" w:hAnsi="Bookman Old Style"/>
          <w:b/>
          <w:bCs/>
          <w:sz w:val="28"/>
          <w:szCs w:val="28"/>
          <w:lang w:val="en-US"/>
        </w:rPr>
      </w:pPr>
    </w:p>
    <w:p w14:paraId="1F9B491D" w14:textId="77777777" w:rsidR="006A4C9B" w:rsidRPr="001D1703" w:rsidRDefault="00BC1043" w:rsidP="004C70E7">
      <w:pPr>
        <w:spacing w:line="240" w:lineRule="auto"/>
        <w:jc w:val="both"/>
        <w:rPr>
          <w:rFonts w:ascii="Bookman Old Style" w:hAnsi="Bookman Old Style"/>
          <w:sz w:val="28"/>
          <w:szCs w:val="28"/>
          <w:lang w:val="en-US"/>
        </w:rPr>
      </w:pPr>
      <w:r w:rsidRPr="001D1703">
        <w:rPr>
          <w:rFonts w:ascii="Bookman Old Style" w:hAnsi="Bookman Old Style"/>
          <w:sz w:val="28"/>
          <w:szCs w:val="28"/>
          <w:lang w:val="en-US"/>
        </w:rPr>
        <w:t>I agree:</w:t>
      </w:r>
    </w:p>
    <w:p w14:paraId="6647E135" w14:textId="7FC943FC" w:rsidR="006A4C9B" w:rsidRDefault="00DD7E3A" w:rsidP="004C70E7">
      <w:pPr>
        <w:spacing w:line="240" w:lineRule="auto"/>
        <w:jc w:val="center"/>
        <w:rPr>
          <w:rFonts w:ascii="Bookman Old Style" w:hAnsi="Bookman Old Style"/>
          <w:b/>
          <w:bCs/>
          <w:sz w:val="28"/>
          <w:szCs w:val="28"/>
          <w:lang w:val="en-US"/>
        </w:rPr>
      </w:pPr>
      <w:r>
        <w:rPr>
          <w:noProof/>
        </w:rPr>
        <w:drawing>
          <wp:inline distT="0" distB="0" distL="0" distR="0" wp14:anchorId="674205D8" wp14:editId="6AE70D80">
            <wp:extent cx="17430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14:paraId="15F104A2" w14:textId="604E5311" w:rsidR="00BC1043" w:rsidRPr="00657D3A" w:rsidRDefault="00BE3F9B" w:rsidP="004C70E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w:t>
      </w:r>
      <w:r w:rsidR="00BC1043" w:rsidRPr="00657D3A">
        <w:rPr>
          <w:rFonts w:ascii="Bookman Old Style" w:hAnsi="Bookman Old Style"/>
          <w:b/>
          <w:bCs/>
          <w:sz w:val="28"/>
          <w:szCs w:val="28"/>
          <w:lang w:val="en-US"/>
        </w:rPr>
        <w:t xml:space="preserve">                                                                                                                                            M CHINHENGO</w:t>
      </w:r>
    </w:p>
    <w:p w14:paraId="426A1F2C" w14:textId="63C61D78" w:rsidR="00BC1043" w:rsidRPr="00657D3A" w:rsidRDefault="00BC1043" w:rsidP="004C70E7">
      <w:pPr>
        <w:spacing w:line="240" w:lineRule="auto"/>
        <w:jc w:val="center"/>
        <w:rPr>
          <w:rFonts w:ascii="Bookman Old Style" w:hAnsi="Bookman Old Style"/>
          <w:b/>
          <w:bCs/>
          <w:sz w:val="28"/>
          <w:szCs w:val="28"/>
          <w:lang w:val="en-US"/>
        </w:rPr>
      </w:pPr>
      <w:r w:rsidRPr="00657D3A">
        <w:rPr>
          <w:rFonts w:ascii="Bookman Old Style" w:hAnsi="Bookman Old Style"/>
          <w:b/>
          <w:bCs/>
          <w:sz w:val="28"/>
          <w:szCs w:val="28"/>
          <w:lang w:val="en-US"/>
        </w:rPr>
        <w:t>ACTING JU</w:t>
      </w:r>
      <w:r w:rsidR="00C15E49" w:rsidRPr="00657D3A">
        <w:rPr>
          <w:rFonts w:ascii="Bookman Old Style" w:hAnsi="Bookman Old Style"/>
          <w:b/>
          <w:bCs/>
          <w:sz w:val="28"/>
          <w:szCs w:val="28"/>
          <w:lang w:val="en-US"/>
        </w:rPr>
        <w:t>STICE</w:t>
      </w:r>
      <w:r w:rsidRPr="00657D3A">
        <w:rPr>
          <w:rFonts w:ascii="Bookman Old Style" w:hAnsi="Bookman Old Style"/>
          <w:b/>
          <w:bCs/>
          <w:sz w:val="28"/>
          <w:szCs w:val="28"/>
          <w:lang w:val="en-US"/>
        </w:rPr>
        <w:t xml:space="preserve"> OF APPEAL</w:t>
      </w:r>
    </w:p>
    <w:p w14:paraId="25764252" w14:textId="44DB1C34" w:rsidR="00BC1043" w:rsidRPr="00657D3A" w:rsidRDefault="00BC1043" w:rsidP="004C70E7">
      <w:pPr>
        <w:spacing w:line="240" w:lineRule="auto"/>
        <w:jc w:val="center"/>
        <w:rPr>
          <w:rFonts w:ascii="Bookman Old Style" w:hAnsi="Bookman Old Style"/>
          <w:b/>
          <w:bCs/>
          <w:sz w:val="28"/>
          <w:szCs w:val="28"/>
          <w:lang w:val="en-US"/>
        </w:rPr>
      </w:pPr>
    </w:p>
    <w:p w14:paraId="061C366B" w14:textId="77777777" w:rsidR="001D1703" w:rsidRPr="001D1703" w:rsidRDefault="00BC1043" w:rsidP="004C70E7">
      <w:pPr>
        <w:spacing w:line="240" w:lineRule="auto"/>
        <w:jc w:val="both"/>
        <w:rPr>
          <w:rFonts w:ascii="Bookman Old Style" w:hAnsi="Bookman Old Style"/>
          <w:sz w:val="28"/>
          <w:szCs w:val="28"/>
          <w:lang w:val="en-US"/>
        </w:rPr>
      </w:pPr>
      <w:r w:rsidRPr="001D1703">
        <w:rPr>
          <w:rFonts w:ascii="Bookman Old Style" w:hAnsi="Bookman Old Style"/>
          <w:sz w:val="28"/>
          <w:szCs w:val="28"/>
          <w:lang w:val="en-US"/>
        </w:rPr>
        <w:t xml:space="preserve">I agree: </w:t>
      </w:r>
    </w:p>
    <w:p w14:paraId="31F00B27" w14:textId="061A6289" w:rsidR="004C70E7" w:rsidRDefault="00DD7E3A" w:rsidP="004C70E7">
      <w:pPr>
        <w:spacing w:line="240" w:lineRule="auto"/>
        <w:jc w:val="center"/>
        <w:rPr>
          <w:rFonts w:ascii="Bookman Old Style" w:hAnsi="Bookman Old Style"/>
          <w:b/>
          <w:bCs/>
          <w:sz w:val="28"/>
          <w:szCs w:val="28"/>
          <w:lang w:val="en-US"/>
        </w:rPr>
      </w:pPr>
      <w:r w:rsidRPr="00BF2D89">
        <w:rPr>
          <w:noProof/>
        </w:rPr>
        <w:drawing>
          <wp:inline distT="0" distB="0" distL="0" distR="0" wp14:anchorId="3D42DD7D" wp14:editId="4937D555">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24D5DD9F" w14:textId="1B29E983" w:rsidR="00BC1043" w:rsidRPr="00657D3A" w:rsidRDefault="001D1703" w:rsidP="004C70E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w:t>
      </w:r>
      <w:r w:rsidR="00BC1043" w:rsidRPr="00657D3A">
        <w:rPr>
          <w:rFonts w:ascii="Bookman Old Style" w:hAnsi="Bookman Old Style"/>
          <w:b/>
          <w:bCs/>
          <w:sz w:val="28"/>
          <w:szCs w:val="28"/>
          <w:lang w:val="en-US"/>
        </w:rPr>
        <w:t xml:space="preserve">                                                                                                                                                 N MTSHIYA</w:t>
      </w:r>
    </w:p>
    <w:p w14:paraId="17F67907" w14:textId="42657177" w:rsidR="00BC1043" w:rsidRPr="00657D3A" w:rsidRDefault="00BC1043" w:rsidP="004C70E7">
      <w:pPr>
        <w:spacing w:line="240" w:lineRule="auto"/>
        <w:jc w:val="center"/>
        <w:rPr>
          <w:rFonts w:ascii="Bookman Old Style" w:hAnsi="Bookman Old Style"/>
          <w:b/>
          <w:bCs/>
          <w:sz w:val="28"/>
          <w:szCs w:val="28"/>
          <w:lang w:val="en-US"/>
        </w:rPr>
      </w:pPr>
      <w:r w:rsidRPr="00657D3A">
        <w:rPr>
          <w:rFonts w:ascii="Bookman Old Style" w:hAnsi="Bookman Old Style"/>
          <w:b/>
          <w:bCs/>
          <w:sz w:val="28"/>
          <w:szCs w:val="28"/>
          <w:lang w:val="en-US"/>
        </w:rPr>
        <w:t>ACTING J</w:t>
      </w:r>
      <w:r w:rsidR="00C15E49" w:rsidRPr="00657D3A">
        <w:rPr>
          <w:rFonts w:ascii="Bookman Old Style" w:hAnsi="Bookman Old Style"/>
          <w:b/>
          <w:bCs/>
          <w:sz w:val="28"/>
          <w:szCs w:val="28"/>
          <w:lang w:val="en-US"/>
        </w:rPr>
        <w:t>USTIC</w:t>
      </w:r>
      <w:r w:rsidRPr="00657D3A">
        <w:rPr>
          <w:rFonts w:ascii="Bookman Old Style" w:hAnsi="Bookman Old Style"/>
          <w:b/>
          <w:bCs/>
          <w:sz w:val="28"/>
          <w:szCs w:val="28"/>
          <w:lang w:val="en-US"/>
        </w:rPr>
        <w:t>E OF AP</w:t>
      </w:r>
      <w:r w:rsidR="00C15E49" w:rsidRPr="00657D3A">
        <w:rPr>
          <w:rFonts w:ascii="Bookman Old Style" w:hAnsi="Bookman Old Style"/>
          <w:b/>
          <w:bCs/>
          <w:sz w:val="28"/>
          <w:szCs w:val="28"/>
          <w:lang w:val="en-US"/>
        </w:rPr>
        <w:t>PEAL</w:t>
      </w:r>
    </w:p>
    <w:p w14:paraId="7DFF936C" w14:textId="50C7953D" w:rsidR="00BC1043" w:rsidRPr="00657D3A" w:rsidRDefault="00BC1043" w:rsidP="004C70E7">
      <w:pPr>
        <w:spacing w:line="240" w:lineRule="auto"/>
        <w:jc w:val="center"/>
        <w:rPr>
          <w:rFonts w:ascii="Bookman Old Style" w:hAnsi="Bookman Old Style"/>
          <w:b/>
          <w:bCs/>
          <w:sz w:val="28"/>
          <w:szCs w:val="28"/>
          <w:lang w:val="en-US"/>
        </w:rPr>
      </w:pPr>
    </w:p>
    <w:p w14:paraId="13B51A82" w14:textId="25C69C6F" w:rsidR="00BC1043" w:rsidRPr="00657D3A" w:rsidRDefault="00BC1043" w:rsidP="004C70E7">
      <w:pPr>
        <w:spacing w:line="240" w:lineRule="auto"/>
        <w:jc w:val="both"/>
        <w:rPr>
          <w:rFonts w:ascii="Bookman Old Style" w:hAnsi="Bookman Old Style"/>
          <w:b/>
          <w:bCs/>
          <w:sz w:val="28"/>
          <w:szCs w:val="28"/>
          <w:lang w:val="en-US"/>
        </w:rPr>
      </w:pPr>
    </w:p>
    <w:p w14:paraId="4F6C126F" w14:textId="4A22C476" w:rsidR="00BC1043" w:rsidRPr="004C70E7" w:rsidRDefault="00BC1043" w:rsidP="004C70E7">
      <w:pPr>
        <w:spacing w:line="240" w:lineRule="auto"/>
        <w:jc w:val="both"/>
        <w:rPr>
          <w:rFonts w:ascii="Bookman Old Style" w:hAnsi="Bookman Old Style"/>
          <w:caps/>
          <w:sz w:val="28"/>
          <w:szCs w:val="28"/>
          <w:lang w:val="en-US"/>
        </w:rPr>
      </w:pPr>
      <w:r w:rsidRPr="004C70E7">
        <w:rPr>
          <w:rFonts w:ascii="Bookman Old Style" w:hAnsi="Bookman Old Style"/>
          <w:b/>
          <w:bCs/>
          <w:caps/>
          <w:sz w:val="28"/>
          <w:szCs w:val="28"/>
          <w:lang w:val="en-US"/>
        </w:rPr>
        <w:t xml:space="preserve">For Appellant:      </w:t>
      </w:r>
      <w:r w:rsidR="004C70E7">
        <w:rPr>
          <w:rFonts w:ascii="Bookman Old Style" w:hAnsi="Bookman Old Style"/>
          <w:b/>
          <w:bCs/>
          <w:caps/>
          <w:sz w:val="28"/>
          <w:szCs w:val="28"/>
          <w:lang w:val="en-US"/>
        </w:rPr>
        <w:tab/>
      </w:r>
      <w:r w:rsidRPr="004C70E7">
        <w:rPr>
          <w:rFonts w:ascii="Bookman Old Style" w:hAnsi="Bookman Old Style"/>
          <w:caps/>
          <w:sz w:val="28"/>
          <w:szCs w:val="28"/>
          <w:lang w:val="en-US"/>
        </w:rPr>
        <w:t>Adv LA Molati</w:t>
      </w:r>
    </w:p>
    <w:p w14:paraId="05A8BDBC" w14:textId="50BB9CB0" w:rsidR="0057016F" w:rsidRPr="00DD7E3A" w:rsidRDefault="00BC1043" w:rsidP="004C70E7">
      <w:pPr>
        <w:spacing w:line="240" w:lineRule="auto"/>
        <w:jc w:val="both"/>
        <w:rPr>
          <w:rFonts w:ascii="Bookman Old Style" w:hAnsi="Bookman Old Style"/>
          <w:caps/>
          <w:sz w:val="28"/>
          <w:szCs w:val="28"/>
          <w:lang w:val="en-US"/>
        </w:rPr>
      </w:pPr>
      <w:r w:rsidRPr="004C70E7">
        <w:rPr>
          <w:rFonts w:ascii="Bookman Old Style" w:hAnsi="Bookman Old Style"/>
          <w:b/>
          <w:bCs/>
          <w:caps/>
          <w:sz w:val="28"/>
          <w:szCs w:val="28"/>
          <w:lang w:val="en-US"/>
        </w:rPr>
        <w:t xml:space="preserve">For Respondent:  </w:t>
      </w:r>
      <w:r w:rsidR="004C70E7">
        <w:rPr>
          <w:rFonts w:ascii="Bookman Old Style" w:hAnsi="Bookman Old Style"/>
          <w:b/>
          <w:bCs/>
          <w:caps/>
          <w:sz w:val="28"/>
          <w:szCs w:val="28"/>
          <w:lang w:val="en-US"/>
        </w:rPr>
        <w:tab/>
      </w:r>
      <w:r w:rsidRPr="004C70E7">
        <w:rPr>
          <w:rFonts w:ascii="Bookman Old Style" w:hAnsi="Bookman Old Style"/>
          <w:caps/>
          <w:sz w:val="28"/>
          <w:szCs w:val="28"/>
          <w:lang w:val="en-US"/>
        </w:rPr>
        <w:t>Adv MJ Nk</w:t>
      </w:r>
      <w:r w:rsidR="00DD7E3A">
        <w:rPr>
          <w:rFonts w:ascii="Bookman Old Style" w:hAnsi="Bookman Old Style"/>
          <w:caps/>
          <w:sz w:val="28"/>
          <w:szCs w:val="28"/>
          <w:lang w:val="en-US"/>
        </w:rPr>
        <w:t>u</w:t>
      </w:r>
      <w:r w:rsidR="0057016F" w:rsidRPr="00657D3A">
        <w:rPr>
          <w:rFonts w:ascii="Bookman Old Style" w:hAnsi="Bookman Old Style"/>
          <w:b/>
          <w:bCs/>
          <w:sz w:val="28"/>
          <w:szCs w:val="28"/>
          <w:lang w:val="en-US"/>
        </w:rPr>
        <w:t xml:space="preserve">                                   </w:t>
      </w:r>
      <w:r w:rsidR="0057016F" w:rsidRPr="00F53EE7">
        <w:rPr>
          <w:rFonts w:ascii="Bookman Old Style" w:hAnsi="Bookman Old Style"/>
          <w:b/>
          <w:bCs/>
          <w:sz w:val="28"/>
          <w:szCs w:val="28"/>
          <w:lang w:val="en-US"/>
        </w:rPr>
        <w:t xml:space="preserve">                                                                                   </w:t>
      </w:r>
    </w:p>
    <w:sectPr w:rsidR="0057016F" w:rsidRPr="00DD7E3A" w:rsidSect="0026038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A8EC" w14:textId="77777777" w:rsidR="00140899" w:rsidRDefault="00140899" w:rsidP="009B750C">
      <w:pPr>
        <w:spacing w:after="0" w:line="240" w:lineRule="auto"/>
      </w:pPr>
      <w:r>
        <w:separator/>
      </w:r>
    </w:p>
  </w:endnote>
  <w:endnote w:type="continuationSeparator" w:id="0">
    <w:p w14:paraId="17FAB0B2" w14:textId="77777777" w:rsidR="00140899" w:rsidRDefault="00140899" w:rsidP="009B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63818"/>
      <w:docPartObj>
        <w:docPartGallery w:val="Page Numbers (Bottom of Page)"/>
        <w:docPartUnique/>
      </w:docPartObj>
    </w:sdtPr>
    <w:sdtEndPr>
      <w:rPr>
        <w:noProof/>
      </w:rPr>
    </w:sdtEndPr>
    <w:sdtContent>
      <w:p w14:paraId="2EE1A044" w14:textId="1B749F86" w:rsidR="009B750C" w:rsidRDefault="009B7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C5E84" w14:textId="77777777" w:rsidR="009B750C" w:rsidRDefault="009B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4154" w14:textId="77777777" w:rsidR="00140899" w:rsidRDefault="00140899" w:rsidP="009B750C">
      <w:pPr>
        <w:spacing w:after="0" w:line="240" w:lineRule="auto"/>
      </w:pPr>
      <w:r>
        <w:separator/>
      </w:r>
    </w:p>
  </w:footnote>
  <w:footnote w:type="continuationSeparator" w:id="0">
    <w:p w14:paraId="0EF0AA52" w14:textId="77777777" w:rsidR="00140899" w:rsidRDefault="00140899" w:rsidP="009B7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6F"/>
    <w:rsid w:val="00033497"/>
    <w:rsid w:val="0006354C"/>
    <w:rsid w:val="000F4A86"/>
    <w:rsid w:val="00100423"/>
    <w:rsid w:val="00102DC3"/>
    <w:rsid w:val="00103305"/>
    <w:rsid w:val="00110D4A"/>
    <w:rsid w:val="00140899"/>
    <w:rsid w:val="001416F8"/>
    <w:rsid w:val="00194CB0"/>
    <w:rsid w:val="0019643F"/>
    <w:rsid w:val="001A4ED3"/>
    <w:rsid w:val="001D1703"/>
    <w:rsid w:val="00202CC7"/>
    <w:rsid w:val="0020584D"/>
    <w:rsid w:val="00246D23"/>
    <w:rsid w:val="00260381"/>
    <w:rsid w:val="002870A6"/>
    <w:rsid w:val="002A7536"/>
    <w:rsid w:val="002B3937"/>
    <w:rsid w:val="00312711"/>
    <w:rsid w:val="003405BA"/>
    <w:rsid w:val="00345020"/>
    <w:rsid w:val="003565F8"/>
    <w:rsid w:val="003A32BC"/>
    <w:rsid w:val="00423669"/>
    <w:rsid w:val="00451363"/>
    <w:rsid w:val="004B559F"/>
    <w:rsid w:val="004C70E7"/>
    <w:rsid w:val="004D494B"/>
    <w:rsid w:val="004D6C72"/>
    <w:rsid w:val="004F0A20"/>
    <w:rsid w:val="00502EE1"/>
    <w:rsid w:val="00506055"/>
    <w:rsid w:val="005205A4"/>
    <w:rsid w:val="0052655A"/>
    <w:rsid w:val="00532205"/>
    <w:rsid w:val="00536880"/>
    <w:rsid w:val="00551222"/>
    <w:rsid w:val="0057016F"/>
    <w:rsid w:val="005D35D0"/>
    <w:rsid w:val="005E0D29"/>
    <w:rsid w:val="005F3684"/>
    <w:rsid w:val="005F6D07"/>
    <w:rsid w:val="00616DA8"/>
    <w:rsid w:val="00657D3A"/>
    <w:rsid w:val="00676AA2"/>
    <w:rsid w:val="006A4C9B"/>
    <w:rsid w:val="007109D8"/>
    <w:rsid w:val="00712C18"/>
    <w:rsid w:val="0071573D"/>
    <w:rsid w:val="00716838"/>
    <w:rsid w:val="00732B7D"/>
    <w:rsid w:val="00787807"/>
    <w:rsid w:val="007A28EE"/>
    <w:rsid w:val="00801BDD"/>
    <w:rsid w:val="008245D6"/>
    <w:rsid w:val="00831092"/>
    <w:rsid w:val="00902168"/>
    <w:rsid w:val="00924AE3"/>
    <w:rsid w:val="00995189"/>
    <w:rsid w:val="009A06B9"/>
    <w:rsid w:val="009B750C"/>
    <w:rsid w:val="00A23C21"/>
    <w:rsid w:val="00A61374"/>
    <w:rsid w:val="00A867DE"/>
    <w:rsid w:val="00AA19D1"/>
    <w:rsid w:val="00AF778D"/>
    <w:rsid w:val="00B36411"/>
    <w:rsid w:val="00B67A3D"/>
    <w:rsid w:val="00B83DA4"/>
    <w:rsid w:val="00B96F8F"/>
    <w:rsid w:val="00BC1043"/>
    <w:rsid w:val="00BC17E0"/>
    <w:rsid w:val="00BC1C1B"/>
    <w:rsid w:val="00BE3F9B"/>
    <w:rsid w:val="00C15E49"/>
    <w:rsid w:val="00C63839"/>
    <w:rsid w:val="00C72352"/>
    <w:rsid w:val="00CA79A4"/>
    <w:rsid w:val="00CC3A48"/>
    <w:rsid w:val="00CC4BDD"/>
    <w:rsid w:val="00D01265"/>
    <w:rsid w:val="00D049FA"/>
    <w:rsid w:val="00D16765"/>
    <w:rsid w:val="00D25F0E"/>
    <w:rsid w:val="00D26B7D"/>
    <w:rsid w:val="00D41C53"/>
    <w:rsid w:val="00DD7E3A"/>
    <w:rsid w:val="00E21281"/>
    <w:rsid w:val="00E403BA"/>
    <w:rsid w:val="00E40BB1"/>
    <w:rsid w:val="00EA1848"/>
    <w:rsid w:val="00EE64E8"/>
    <w:rsid w:val="00EF42C3"/>
    <w:rsid w:val="00F122E4"/>
    <w:rsid w:val="00F4060C"/>
    <w:rsid w:val="00F53EE7"/>
    <w:rsid w:val="00F722ED"/>
    <w:rsid w:val="00FE08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5F72"/>
  <w15:chartTrackingRefBased/>
  <w15:docId w15:val="{B7A91CD3-AEA9-46A4-BDAD-0667DB6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50C"/>
  </w:style>
  <w:style w:type="paragraph" w:styleId="Footer">
    <w:name w:val="footer"/>
    <w:basedOn w:val="Normal"/>
    <w:link w:val="FooterChar"/>
    <w:uiPriority w:val="99"/>
    <w:unhideWhenUsed/>
    <w:rsid w:val="009B7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Relebohile Sehapi</cp:lastModifiedBy>
  <cp:revision>6</cp:revision>
  <cp:lastPrinted>2022-11-18T07:45:00Z</cp:lastPrinted>
  <dcterms:created xsi:type="dcterms:W3CDTF">2022-11-17T06:46:00Z</dcterms:created>
  <dcterms:modified xsi:type="dcterms:W3CDTF">2022-12-13T12:14:00Z</dcterms:modified>
</cp:coreProperties>
</file>