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784A1" w14:textId="77777777" w:rsidR="00571126" w:rsidRDefault="00571126" w:rsidP="003C34F8">
      <w:pPr>
        <w:spacing w:line="360" w:lineRule="auto"/>
        <w:jc w:val="center"/>
        <w:rPr>
          <w:rFonts w:ascii="Bookman Old Style" w:hAnsi="Bookman Old Style"/>
          <w:b/>
          <w:lang w:val="en-US"/>
        </w:rPr>
      </w:pPr>
    </w:p>
    <w:p w14:paraId="7CDA12F4" w14:textId="77777777" w:rsidR="00571126" w:rsidRDefault="00571126" w:rsidP="003C34F8">
      <w:pPr>
        <w:spacing w:line="360" w:lineRule="auto"/>
        <w:jc w:val="center"/>
        <w:rPr>
          <w:rFonts w:ascii="Bookman Old Style" w:hAnsi="Bookman Old Style"/>
          <w:b/>
          <w:lang w:val="en-US"/>
        </w:rPr>
      </w:pPr>
    </w:p>
    <w:p w14:paraId="48B808C1" w14:textId="77777777" w:rsidR="00571126" w:rsidRDefault="00571126" w:rsidP="003C34F8">
      <w:pPr>
        <w:spacing w:line="360" w:lineRule="auto"/>
        <w:jc w:val="center"/>
        <w:rPr>
          <w:rFonts w:ascii="Bookman Old Style" w:hAnsi="Bookman Old Style"/>
          <w:b/>
          <w:lang w:val="en-US"/>
        </w:rPr>
      </w:pPr>
    </w:p>
    <w:p w14:paraId="1C0D8F4A" w14:textId="77777777" w:rsidR="00571126" w:rsidRDefault="00571126" w:rsidP="003C34F8">
      <w:pPr>
        <w:spacing w:line="360" w:lineRule="auto"/>
        <w:jc w:val="center"/>
        <w:rPr>
          <w:rFonts w:ascii="Bookman Old Style" w:hAnsi="Bookman Old Style"/>
          <w:b/>
          <w:lang w:val="en-US"/>
        </w:rPr>
      </w:pPr>
    </w:p>
    <w:p w14:paraId="78841944" w14:textId="5734B4EB" w:rsidR="003C34F8" w:rsidRPr="00571126" w:rsidRDefault="003C34F8" w:rsidP="003C34F8">
      <w:pPr>
        <w:spacing w:line="360" w:lineRule="auto"/>
        <w:jc w:val="center"/>
        <w:rPr>
          <w:rFonts w:ascii="Bookman Old Style" w:hAnsi="Bookman Old Style"/>
          <w:b/>
          <w:sz w:val="28"/>
          <w:szCs w:val="28"/>
          <w:lang w:val="en-US"/>
        </w:rPr>
      </w:pPr>
      <w:r w:rsidRPr="00571126">
        <w:rPr>
          <w:rFonts w:ascii="Bookman Old Style" w:hAnsi="Bookman Old Style"/>
          <w:b/>
          <w:sz w:val="28"/>
          <w:szCs w:val="28"/>
          <w:lang w:val="en-US"/>
        </w:rPr>
        <w:t>IN THE APPEAL COURT OF LESOTHO</w:t>
      </w:r>
    </w:p>
    <w:p w14:paraId="0A07543B" w14:textId="77777777" w:rsidR="003C34F8" w:rsidRPr="002422B8" w:rsidRDefault="003C34F8" w:rsidP="003C34F8">
      <w:pPr>
        <w:spacing w:line="360" w:lineRule="auto"/>
        <w:jc w:val="both"/>
        <w:rPr>
          <w:rFonts w:ascii="Bookman Old Style" w:hAnsi="Bookman Old Style"/>
          <w:lang w:val="en-US"/>
        </w:rPr>
      </w:pPr>
    </w:p>
    <w:p w14:paraId="2F843711" w14:textId="063EF2CC" w:rsidR="003C34F8" w:rsidRDefault="003C34F8" w:rsidP="003C34F8">
      <w:pPr>
        <w:spacing w:line="360" w:lineRule="auto"/>
        <w:jc w:val="both"/>
        <w:rPr>
          <w:rFonts w:ascii="Bookman Old Style" w:hAnsi="Bookman Old Style"/>
          <w:b/>
          <w:lang w:val="en-US"/>
        </w:rPr>
      </w:pPr>
      <w:r w:rsidRPr="002422B8">
        <w:rPr>
          <w:rFonts w:ascii="Bookman Old Style" w:hAnsi="Bookman Old Style"/>
          <w:b/>
          <w:lang w:val="en-US"/>
        </w:rPr>
        <w:t xml:space="preserve">HELD AT MASERU                  </w:t>
      </w: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r>
      <w:r w:rsidRPr="003C34F8">
        <w:rPr>
          <w:rFonts w:ascii="Bookman Old Style" w:hAnsi="Bookman Old Style"/>
          <w:b/>
          <w:lang w:val="en-US"/>
        </w:rPr>
        <w:t>C of A (CIV) No.: 47/2021</w:t>
      </w:r>
    </w:p>
    <w:p w14:paraId="37F53D5F" w14:textId="01AF41A3" w:rsidR="003C34F8" w:rsidRDefault="003C34F8" w:rsidP="003C34F8">
      <w:pPr>
        <w:spacing w:line="360" w:lineRule="auto"/>
        <w:jc w:val="both"/>
        <w:rPr>
          <w:rFonts w:ascii="Bookman Old Style" w:hAnsi="Bookman Old Style"/>
          <w:b/>
          <w:lang w:val="en-US"/>
        </w:rPr>
      </w:pP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r>
      <w:r>
        <w:rPr>
          <w:rFonts w:ascii="Bookman Old Style" w:hAnsi="Bookman Old Style"/>
          <w:b/>
          <w:lang w:val="en-US"/>
        </w:rPr>
        <w:tab/>
        <w:t xml:space="preserve">       </w:t>
      </w:r>
      <w:r w:rsidRPr="003C34F8">
        <w:rPr>
          <w:rFonts w:ascii="Bookman Old Style" w:hAnsi="Bookman Old Style"/>
          <w:b/>
          <w:lang w:val="en-US"/>
        </w:rPr>
        <w:t>C of A CIV/APN/146/2021</w:t>
      </w:r>
    </w:p>
    <w:p w14:paraId="3B75CC3A" w14:textId="198DFFB2" w:rsidR="003C34F8" w:rsidRPr="003C34F8" w:rsidRDefault="003C34F8" w:rsidP="003C34F8">
      <w:pPr>
        <w:spacing w:line="360" w:lineRule="auto"/>
        <w:ind w:left="4320" w:firstLine="720"/>
        <w:jc w:val="both"/>
        <w:rPr>
          <w:rFonts w:ascii="Bookman Old Style" w:hAnsi="Bookman Old Style"/>
          <w:b/>
          <w:lang w:val="en-US"/>
        </w:rPr>
      </w:pPr>
      <w:r>
        <w:rPr>
          <w:rFonts w:ascii="Bookman Old Style" w:hAnsi="Bookman Old Style"/>
          <w:b/>
          <w:lang w:val="en-US"/>
        </w:rPr>
        <w:t xml:space="preserve">       </w:t>
      </w:r>
      <w:r w:rsidRPr="003C34F8">
        <w:rPr>
          <w:rFonts w:ascii="Bookman Old Style" w:hAnsi="Bookman Old Style"/>
          <w:b/>
          <w:lang w:val="en-US"/>
        </w:rPr>
        <w:t>C of A CIV/APN/149/2021</w:t>
      </w:r>
    </w:p>
    <w:p w14:paraId="7E414D88" w14:textId="77777777" w:rsidR="003C34F8" w:rsidRPr="002422B8" w:rsidRDefault="003C34F8" w:rsidP="003C34F8">
      <w:pPr>
        <w:spacing w:line="360" w:lineRule="auto"/>
        <w:jc w:val="both"/>
        <w:rPr>
          <w:rFonts w:ascii="Bookman Old Style" w:hAnsi="Bookman Old Style"/>
          <w:b/>
          <w:lang w:val="en-US"/>
        </w:rPr>
      </w:pP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r w:rsidRPr="002422B8">
        <w:rPr>
          <w:rFonts w:ascii="Bookman Old Style" w:hAnsi="Bookman Old Style"/>
          <w:b/>
          <w:lang w:val="en-US"/>
        </w:rPr>
        <w:tab/>
      </w:r>
    </w:p>
    <w:p w14:paraId="2A4849C0" w14:textId="77777777" w:rsidR="003C34F8" w:rsidRPr="002422B8" w:rsidRDefault="003C34F8" w:rsidP="003C34F8">
      <w:pPr>
        <w:spacing w:line="360" w:lineRule="auto"/>
        <w:jc w:val="both"/>
        <w:rPr>
          <w:rFonts w:ascii="Bookman Old Style" w:hAnsi="Bookman Old Style"/>
          <w:lang w:val="en-US"/>
        </w:rPr>
      </w:pPr>
      <w:r w:rsidRPr="002422B8">
        <w:rPr>
          <w:rFonts w:ascii="Bookman Old Style" w:hAnsi="Bookman Old Style"/>
          <w:lang w:val="en-US"/>
        </w:rPr>
        <w:t>In the matter between:</w:t>
      </w:r>
    </w:p>
    <w:p w14:paraId="32422198" w14:textId="77777777" w:rsidR="003C34F8" w:rsidRPr="002422B8" w:rsidRDefault="003C34F8" w:rsidP="003C34F8">
      <w:pPr>
        <w:spacing w:line="360" w:lineRule="auto"/>
        <w:jc w:val="both"/>
        <w:rPr>
          <w:rFonts w:ascii="Bookman Old Style" w:hAnsi="Bookman Old Style" w:cs="Arial"/>
          <w:color w:val="000000"/>
          <w:lang w:val="en-ZA"/>
        </w:rPr>
      </w:pPr>
    </w:p>
    <w:p w14:paraId="56DBBE38" w14:textId="77777777" w:rsidR="001258F0" w:rsidRDefault="003C34F8" w:rsidP="003C34F8">
      <w:pPr>
        <w:spacing w:line="360" w:lineRule="auto"/>
        <w:jc w:val="both"/>
        <w:rPr>
          <w:rFonts w:ascii="Bookman Old Style" w:hAnsi="Bookman Old Style" w:cs="Arial"/>
          <w:b/>
          <w:color w:val="000000"/>
          <w:lang w:val="en-ZA"/>
        </w:rPr>
      </w:pPr>
      <w:r w:rsidRPr="003C34F8">
        <w:rPr>
          <w:rFonts w:ascii="Bookman Old Style" w:hAnsi="Bookman Old Style" w:cs="Arial"/>
          <w:b/>
          <w:color w:val="000000"/>
          <w:lang w:val="en-ZA"/>
        </w:rPr>
        <w:t xml:space="preserve">PRINCIPAL SECRETARY </w:t>
      </w:r>
      <w:r w:rsidR="001258F0">
        <w:rPr>
          <w:rFonts w:ascii="Bookman Old Style" w:hAnsi="Bookman Old Style" w:cs="Arial"/>
          <w:b/>
          <w:color w:val="000000"/>
          <w:lang w:val="en-ZA"/>
        </w:rPr>
        <w:t xml:space="preserve">MINISTRY OF </w:t>
      </w:r>
    </w:p>
    <w:p w14:paraId="2E0F8BB4" w14:textId="4FE31CFC" w:rsidR="003C34F8" w:rsidRDefault="001258F0" w:rsidP="003C34F8">
      <w:pPr>
        <w:spacing w:line="360" w:lineRule="auto"/>
        <w:jc w:val="both"/>
        <w:rPr>
          <w:rFonts w:ascii="Bookman Old Style" w:hAnsi="Bookman Old Style" w:cs="Arial"/>
          <w:b/>
          <w:color w:val="000000"/>
          <w:lang w:val="en-ZA"/>
        </w:rPr>
      </w:pPr>
      <w:r>
        <w:rPr>
          <w:rFonts w:ascii="Bookman Old Style" w:hAnsi="Bookman Old Style" w:cs="Arial"/>
          <w:b/>
          <w:color w:val="000000"/>
          <w:lang w:val="en-ZA"/>
        </w:rPr>
        <w:t xml:space="preserve">PUBLIC </w:t>
      </w:r>
      <w:r w:rsidR="003C34F8" w:rsidRPr="003C34F8">
        <w:rPr>
          <w:rFonts w:ascii="Bookman Old Style" w:hAnsi="Bookman Old Style" w:cs="Arial"/>
          <w:b/>
          <w:color w:val="000000"/>
          <w:lang w:val="en-ZA"/>
        </w:rPr>
        <w:t>SERVICE</w:t>
      </w:r>
      <w:r w:rsidR="003C34F8">
        <w:rPr>
          <w:rFonts w:ascii="Bookman Old Style" w:hAnsi="Bookman Old Style" w:cs="Arial"/>
          <w:b/>
          <w:color w:val="000000"/>
          <w:lang w:val="en-ZA"/>
        </w:rPr>
        <w:t xml:space="preserve"> </w:t>
      </w:r>
      <w:r w:rsidR="003C34F8">
        <w:rPr>
          <w:rFonts w:ascii="Bookman Old Style" w:hAnsi="Bookman Old Style" w:cs="Arial"/>
          <w:b/>
          <w:color w:val="000000"/>
          <w:lang w:val="en-ZA"/>
        </w:rPr>
        <w:tab/>
      </w:r>
      <w:r w:rsidR="003C34F8">
        <w:rPr>
          <w:rFonts w:ascii="Bookman Old Style" w:hAnsi="Bookman Old Style" w:cs="Arial"/>
          <w:b/>
          <w:color w:val="000000"/>
          <w:lang w:val="en-ZA"/>
        </w:rPr>
        <w:tab/>
      </w:r>
      <w:r w:rsidR="003C34F8" w:rsidRPr="00B11ED5">
        <w:rPr>
          <w:rFonts w:ascii="Bookman Old Style" w:hAnsi="Bookman Old Style" w:cs="Arial"/>
          <w:b/>
          <w:color w:val="000000"/>
          <w:lang w:val="en-ZA"/>
        </w:rPr>
        <w:tab/>
      </w:r>
      <w:r w:rsidR="003C34F8" w:rsidRPr="00B11ED5">
        <w:rPr>
          <w:rFonts w:ascii="Bookman Old Style" w:hAnsi="Bookman Old Style" w:cs="Arial"/>
          <w:b/>
          <w:color w:val="000000"/>
          <w:lang w:val="en-ZA"/>
        </w:rPr>
        <w:tab/>
      </w:r>
      <w:r w:rsidR="003C34F8" w:rsidRPr="00B11ED5">
        <w:rPr>
          <w:rFonts w:ascii="Bookman Old Style" w:hAnsi="Bookman Old Style" w:cs="Arial"/>
          <w:b/>
          <w:color w:val="000000"/>
          <w:lang w:val="en-ZA"/>
        </w:rPr>
        <w:tab/>
      </w:r>
      <w:r w:rsidR="003C34F8" w:rsidRPr="00B11ED5">
        <w:rPr>
          <w:rFonts w:ascii="Bookman Old Style" w:hAnsi="Bookman Old Style" w:cs="Arial"/>
          <w:b/>
          <w:color w:val="000000"/>
          <w:lang w:val="en-ZA"/>
        </w:rPr>
        <w:tab/>
      </w:r>
      <w:r w:rsidR="003C34F8">
        <w:rPr>
          <w:rFonts w:ascii="Bookman Old Style" w:hAnsi="Bookman Old Style" w:cs="Arial"/>
          <w:b/>
          <w:color w:val="000000"/>
          <w:lang w:val="en-ZA"/>
        </w:rPr>
        <w:t xml:space="preserve">       </w:t>
      </w:r>
      <w:r w:rsidR="003C34F8" w:rsidRPr="00B11ED5">
        <w:rPr>
          <w:rFonts w:ascii="Bookman Old Style" w:hAnsi="Bookman Old Style" w:cs="Arial"/>
          <w:b/>
          <w:color w:val="000000"/>
          <w:lang w:val="en-ZA"/>
        </w:rPr>
        <w:t>1</w:t>
      </w:r>
      <w:r w:rsidR="003C34F8" w:rsidRPr="00B11ED5">
        <w:rPr>
          <w:rFonts w:ascii="Bookman Old Style" w:hAnsi="Bookman Old Style" w:cs="Arial"/>
          <w:b/>
          <w:color w:val="000000"/>
          <w:vertAlign w:val="superscript"/>
          <w:lang w:val="en-ZA"/>
        </w:rPr>
        <w:t>ST</w:t>
      </w:r>
      <w:r w:rsidR="003C34F8" w:rsidRPr="00B11ED5">
        <w:rPr>
          <w:rFonts w:ascii="Bookman Old Style" w:hAnsi="Bookman Old Style" w:cs="Arial"/>
          <w:b/>
          <w:color w:val="000000"/>
          <w:lang w:val="en-ZA"/>
        </w:rPr>
        <w:t xml:space="preserve"> APPELLANT</w:t>
      </w:r>
    </w:p>
    <w:p w14:paraId="6D88004F" w14:textId="69E85810" w:rsidR="003C34F8" w:rsidRDefault="003C34F8" w:rsidP="003C34F8">
      <w:pPr>
        <w:spacing w:line="360" w:lineRule="auto"/>
        <w:jc w:val="both"/>
        <w:rPr>
          <w:rFonts w:ascii="Bookman Old Style" w:hAnsi="Bookman Old Style" w:cs="Arial"/>
          <w:b/>
          <w:color w:val="000000"/>
          <w:lang w:val="en-ZA"/>
        </w:rPr>
      </w:pPr>
      <w:r w:rsidRPr="003C34F8">
        <w:rPr>
          <w:rFonts w:ascii="Bookman Old Style" w:hAnsi="Bookman Old Style"/>
          <w:b/>
          <w:lang w:val="en-US"/>
        </w:rPr>
        <w:t>ATTORNEY-GENERAL</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w:t>
      </w:r>
      <w:r w:rsidRPr="00B11ED5">
        <w:rPr>
          <w:rFonts w:ascii="Bookman Old Style" w:hAnsi="Bookman Old Style" w:cs="Arial"/>
          <w:b/>
          <w:color w:val="000000"/>
          <w:lang w:val="en-ZA"/>
        </w:rPr>
        <w:t>2</w:t>
      </w:r>
      <w:r w:rsidRPr="00B11ED5">
        <w:rPr>
          <w:rFonts w:ascii="Bookman Old Style" w:hAnsi="Bookman Old Style" w:cs="Arial"/>
          <w:b/>
          <w:color w:val="000000"/>
          <w:vertAlign w:val="superscript"/>
          <w:lang w:val="en-ZA"/>
        </w:rPr>
        <w:t>ND</w:t>
      </w:r>
      <w:r w:rsidRPr="00B11ED5">
        <w:rPr>
          <w:rFonts w:ascii="Bookman Old Style" w:hAnsi="Bookman Old Style" w:cs="Arial"/>
          <w:b/>
          <w:color w:val="000000"/>
          <w:lang w:val="en-ZA"/>
        </w:rPr>
        <w:t xml:space="preserve"> APPELLANT</w:t>
      </w:r>
    </w:p>
    <w:p w14:paraId="1580BA6F" w14:textId="77777777" w:rsidR="003C34F8" w:rsidRPr="00B11ED5" w:rsidRDefault="003C34F8" w:rsidP="003C34F8">
      <w:pPr>
        <w:spacing w:line="360" w:lineRule="auto"/>
        <w:jc w:val="both"/>
        <w:rPr>
          <w:rFonts w:ascii="Bookman Old Style" w:hAnsi="Bookman Old Style" w:cs="Arial"/>
          <w:b/>
          <w:color w:val="000000"/>
          <w:lang w:val="en-ZA"/>
        </w:rPr>
      </w:pPr>
    </w:p>
    <w:p w14:paraId="6CF2B55B" w14:textId="35735568" w:rsidR="003C34F8" w:rsidRPr="00B11ED5" w:rsidRDefault="003C34F8" w:rsidP="003C34F8">
      <w:pPr>
        <w:spacing w:line="360" w:lineRule="auto"/>
        <w:jc w:val="both"/>
        <w:rPr>
          <w:rFonts w:ascii="Bookman Old Style" w:hAnsi="Bookman Old Style" w:cs="Arial"/>
          <w:color w:val="000000"/>
          <w:lang w:val="en-ZA"/>
        </w:rPr>
      </w:pPr>
      <w:r w:rsidRPr="00B11ED5">
        <w:rPr>
          <w:rFonts w:ascii="Bookman Old Style" w:hAnsi="Bookman Old Style" w:cs="Arial"/>
          <w:color w:val="000000"/>
          <w:lang w:val="en-ZA"/>
        </w:rPr>
        <w:t>AND</w:t>
      </w:r>
    </w:p>
    <w:p w14:paraId="362445B1" w14:textId="77777777" w:rsidR="003C34F8" w:rsidRPr="00B11ED5" w:rsidRDefault="003C34F8" w:rsidP="003C34F8">
      <w:pPr>
        <w:spacing w:line="360" w:lineRule="auto"/>
        <w:jc w:val="both"/>
        <w:rPr>
          <w:rFonts w:ascii="Bookman Old Style" w:hAnsi="Bookman Old Style" w:cs="Arial"/>
          <w:b/>
          <w:color w:val="000000"/>
          <w:lang w:val="en-ZA"/>
        </w:rPr>
      </w:pPr>
    </w:p>
    <w:p w14:paraId="289264DA" w14:textId="680E31A0" w:rsidR="003C34F8" w:rsidRDefault="003C34F8" w:rsidP="003C34F8">
      <w:pPr>
        <w:spacing w:line="360" w:lineRule="auto"/>
        <w:jc w:val="both"/>
        <w:rPr>
          <w:rFonts w:ascii="Bookman Old Style" w:hAnsi="Bookman Old Style" w:cs="Arial"/>
          <w:b/>
          <w:color w:val="000000"/>
          <w:lang w:val="en-ZA"/>
        </w:rPr>
      </w:pPr>
      <w:bookmarkStart w:id="0" w:name="_Hlk101016405"/>
      <w:r w:rsidRPr="003C34F8">
        <w:rPr>
          <w:rFonts w:ascii="Bookman Old Style" w:hAnsi="Bookman Old Style" w:cs="Arial"/>
          <w:b/>
          <w:color w:val="000000"/>
          <w:lang w:val="en-ZA"/>
        </w:rPr>
        <w:t>KOTSO MABASO</w:t>
      </w:r>
      <w:r w:rsidR="001258F0">
        <w:rPr>
          <w:rFonts w:ascii="Bookman Old Style" w:hAnsi="Bookman Old Style" w:cs="Arial"/>
          <w:b/>
          <w:color w:val="000000"/>
          <w:lang w:val="en-ZA"/>
        </w:rPr>
        <w:tab/>
      </w:r>
      <w:r w:rsidR="001258F0">
        <w:rPr>
          <w:rFonts w:ascii="Bookman Old Style" w:hAnsi="Bookman Old Style" w:cs="Arial"/>
          <w:b/>
          <w:color w:val="000000"/>
          <w:lang w:val="en-ZA"/>
        </w:rPr>
        <w:tab/>
      </w:r>
      <w:r w:rsidR="001258F0">
        <w:rPr>
          <w:rFonts w:ascii="Bookman Old Style" w:hAnsi="Bookman Old Style" w:cs="Arial"/>
          <w:b/>
          <w:color w:val="000000"/>
          <w:lang w:val="en-ZA"/>
        </w:rPr>
        <w:tab/>
      </w:r>
      <w:r w:rsidRPr="00B11ED5">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sidR="007B4FA7">
        <w:rPr>
          <w:rFonts w:ascii="Bookman Old Style" w:hAnsi="Bookman Old Style" w:cs="Arial"/>
          <w:b/>
          <w:color w:val="000000"/>
          <w:lang w:val="en-ZA"/>
        </w:rPr>
        <w:t xml:space="preserve">   </w:t>
      </w:r>
      <w:r w:rsidR="001258F0">
        <w:rPr>
          <w:rFonts w:ascii="Bookman Old Style" w:hAnsi="Bookman Old Style" w:cs="Arial"/>
          <w:b/>
          <w:color w:val="000000"/>
          <w:lang w:val="en-ZA"/>
        </w:rPr>
        <w:t>1</w:t>
      </w:r>
      <w:r w:rsidR="001258F0" w:rsidRPr="001258F0">
        <w:rPr>
          <w:rFonts w:ascii="Bookman Old Style" w:hAnsi="Bookman Old Style" w:cs="Arial"/>
          <w:b/>
          <w:color w:val="000000"/>
          <w:vertAlign w:val="superscript"/>
          <w:lang w:val="en-ZA"/>
        </w:rPr>
        <w:t>ST</w:t>
      </w:r>
      <w:r w:rsidR="001258F0">
        <w:rPr>
          <w:rFonts w:ascii="Bookman Old Style" w:hAnsi="Bookman Old Style" w:cs="Arial"/>
          <w:b/>
          <w:color w:val="000000"/>
          <w:vertAlign w:val="superscript"/>
          <w:lang w:val="en-ZA"/>
        </w:rPr>
        <w:t xml:space="preserve"> </w:t>
      </w:r>
      <w:r w:rsidR="001258F0">
        <w:rPr>
          <w:rFonts w:ascii="Bookman Old Style" w:hAnsi="Bookman Old Style" w:cs="Arial"/>
          <w:b/>
          <w:color w:val="000000"/>
          <w:lang w:val="en-ZA"/>
        </w:rPr>
        <w:t>R</w:t>
      </w:r>
      <w:r w:rsidRPr="00B11ED5">
        <w:rPr>
          <w:rFonts w:ascii="Bookman Old Style" w:hAnsi="Bookman Old Style" w:cs="Arial"/>
          <w:b/>
          <w:color w:val="000000"/>
          <w:lang w:val="en-ZA"/>
        </w:rPr>
        <w:t>ESPONDENT</w:t>
      </w:r>
    </w:p>
    <w:p w14:paraId="0392BD97" w14:textId="1A356561" w:rsidR="001258F0" w:rsidRDefault="001258F0" w:rsidP="003C34F8">
      <w:pPr>
        <w:spacing w:line="360" w:lineRule="auto"/>
        <w:jc w:val="both"/>
        <w:rPr>
          <w:rFonts w:ascii="Bookman Old Style" w:hAnsi="Bookman Old Style" w:cs="Arial"/>
          <w:b/>
          <w:color w:val="000000"/>
          <w:lang w:val="en-ZA"/>
        </w:rPr>
      </w:pPr>
      <w:r>
        <w:rPr>
          <w:rFonts w:ascii="Bookman Old Style" w:hAnsi="Bookman Old Style" w:cs="Arial"/>
          <w:b/>
          <w:color w:val="000000"/>
          <w:lang w:val="en-ZA"/>
        </w:rPr>
        <w:t xml:space="preserve">DAVID NTHEOLA </w:t>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t xml:space="preserve">   2</w:t>
      </w:r>
      <w:r w:rsidRPr="001258F0">
        <w:rPr>
          <w:rFonts w:ascii="Bookman Old Style" w:hAnsi="Bookman Old Style" w:cs="Arial"/>
          <w:b/>
          <w:color w:val="000000"/>
          <w:vertAlign w:val="superscript"/>
          <w:lang w:val="en-ZA"/>
        </w:rPr>
        <w:t>ND</w:t>
      </w:r>
      <w:r>
        <w:rPr>
          <w:rFonts w:ascii="Bookman Old Style" w:hAnsi="Bookman Old Style" w:cs="Arial"/>
          <w:b/>
          <w:color w:val="000000"/>
          <w:lang w:val="en-ZA"/>
        </w:rPr>
        <w:t xml:space="preserve"> RESPONDENT </w:t>
      </w:r>
    </w:p>
    <w:p w14:paraId="0D7F08C4" w14:textId="15D92141" w:rsidR="001258F0" w:rsidRDefault="001258F0" w:rsidP="003C34F8">
      <w:pPr>
        <w:spacing w:line="360" w:lineRule="auto"/>
        <w:jc w:val="both"/>
        <w:rPr>
          <w:rFonts w:ascii="Bookman Old Style" w:hAnsi="Bookman Old Style" w:cs="Arial"/>
          <w:b/>
          <w:color w:val="000000"/>
          <w:lang w:val="en-ZA"/>
        </w:rPr>
      </w:pPr>
      <w:r>
        <w:rPr>
          <w:rFonts w:ascii="Bookman Old Style" w:hAnsi="Bookman Old Style" w:cs="Arial"/>
          <w:b/>
          <w:color w:val="000000"/>
          <w:lang w:val="en-ZA"/>
        </w:rPr>
        <w:t xml:space="preserve">THAKANE THENE </w:t>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t xml:space="preserve">   3</w:t>
      </w:r>
      <w:r w:rsidRPr="001258F0">
        <w:rPr>
          <w:rFonts w:ascii="Bookman Old Style" w:hAnsi="Bookman Old Style" w:cs="Arial"/>
          <w:b/>
          <w:color w:val="000000"/>
          <w:vertAlign w:val="superscript"/>
          <w:lang w:val="en-ZA"/>
        </w:rPr>
        <w:t>RD</w:t>
      </w:r>
      <w:r>
        <w:rPr>
          <w:rFonts w:ascii="Bookman Old Style" w:hAnsi="Bookman Old Style" w:cs="Arial"/>
          <w:b/>
          <w:color w:val="000000"/>
          <w:lang w:val="en-ZA"/>
        </w:rPr>
        <w:t xml:space="preserve"> RESPONDENT </w:t>
      </w:r>
    </w:p>
    <w:p w14:paraId="45DD7A4D" w14:textId="1C69C3B7" w:rsidR="001258F0" w:rsidRDefault="001258F0" w:rsidP="003C34F8">
      <w:pPr>
        <w:spacing w:line="360" w:lineRule="auto"/>
        <w:jc w:val="both"/>
        <w:rPr>
          <w:rFonts w:ascii="Bookman Old Style" w:hAnsi="Bookman Old Style" w:cs="Arial"/>
          <w:b/>
          <w:color w:val="000000"/>
          <w:lang w:val="en-ZA"/>
        </w:rPr>
      </w:pPr>
      <w:r>
        <w:rPr>
          <w:rFonts w:ascii="Bookman Old Style" w:hAnsi="Bookman Old Style" w:cs="Arial"/>
          <w:b/>
          <w:color w:val="000000"/>
          <w:lang w:val="en-ZA"/>
        </w:rPr>
        <w:t>THATO ‘MAPULENG MOKITIMI</w:t>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t xml:space="preserve">   4</w:t>
      </w:r>
      <w:r w:rsidRPr="001258F0">
        <w:rPr>
          <w:rFonts w:ascii="Bookman Old Style" w:hAnsi="Bookman Old Style" w:cs="Arial"/>
          <w:b/>
          <w:color w:val="000000"/>
          <w:vertAlign w:val="superscript"/>
          <w:lang w:val="en-ZA"/>
        </w:rPr>
        <w:t>TH</w:t>
      </w:r>
      <w:r>
        <w:rPr>
          <w:rFonts w:ascii="Bookman Old Style" w:hAnsi="Bookman Old Style" w:cs="Arial"/>
          <w:b/>
          <w:color w:val="000000"/>
          <w:lang w:val="en-ZA"/>
        </w:rPr>
        <w:t xml:space="preserve"> RESPONDENT </w:t>
      </w:r>
    </w:p>
    <w:p w14:paraId="2085F65C" w14:textId="304015F2" w:rsidR="001258F0" w:rsidRDefault="001258F0" w:rsidP="003C34F8">
      <w:pPr>
        <w:spacing w:line="360" w:lineRule="auto"/>
        <w:jc w:val="both"/>
        <w:rPr>
          <w:rFonts w:ascii="Bookman Old Style" w:hAnsi="Bookman Old Style" w:cs="Arial"/>
          <w:b/>
          <w:color w:val="000000"/>
          <w:lang w:val="en-ZA"/>
        </w:rPr>
      </w:pPr>
      <w:r>
        <w:rPr>
          <w:rFonts w:ascii="Bookman Old Style" w:hAnsi="Bookman Old Style" w:cs="Arial"/>
          <w:b/>
          <w:color w:val="000000"/>
          <w:lang w:val="en-ZA"/>
        </w:rPr>
        <w:t>‘NYANE MOETI</w:t>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t xml:space="preserve">   5</w:t>
      </w:r>
      <w:r w:rsidRPr="001258F0">
        <w:rPr>
          <w:rFonts w:ascii="Bookman Old Style" w:hAnsi="Bookman Old Style" w:cs="Arial"/>
          <w:b/>
          <w:color w:val="000000"/>
          <w:vertAlign w:val="superscript"/>
          <w:lang w:val="en-ZA"/>
        </w:rPr>
        <w:t>TH</w:t>
      </w:r>
      <w:r>
        <w:rPr>
          <w:rFonts w:ascii="Bookman Old Style" w:hAnsi="Bookman Old Style" w:cs="Arial"/>
          <w:b/>
          <w:color w:val="000000"/>
          <w:lang w:val="en-ZA"/>
        </w:rPr>
        <w:t xml:space="preserve"> RESPONDENT</w:t>
      </w:r>
    </w:p>
    <w:p w14:paraId="2596BDC8" w14:textId="75A0A22C" w:rsidR="001258F0" w:rsidRDefault="001258F0" w:rsidP="003C34F8">
      <w:pPr>
        <w:spacing w:line="360" w:lineRule="auto"/>
        <w:jc w:val="both"/>
        <w:rPr>
          <w:rFonts w:ascii="Bookman Old Style" w:hAnsi="Bookman Old Style" w:cs="Arial"/>
          <w:b/>
          <w:color w:val="000000"/>
          <w:lang w:val="en-ZA"/>
        </w:rPr>
      </w:pPr>
      <w:r>
        <w:rPr>
          <w:rFonts w:ascii="Bookman Old Style" w:hAnsi="Bookman Old Style" w:cs="Arial"/>
          <w:b/>
          <w:color w:val="000000"/>
          <w:lang w:val="en-ZA"/>
        </w:rPr>
        <w:t>LEBOGANG TLHORISO</w:t>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t xml:space="preserve">   6</w:t>
      </w:r>
      <w:r w:rsidRPr="001258F0">
        <w:rPr>
          <w:rFonts w:ascii="Bookman Old Style" w:hAnsi="Bookman Old Style" w:cs="Arial"/>
          <w:b/>
          <w:color w:val="000000"/>
          <w:vertAlign w:val="superscript"/>
          <w:lang w:val="en-ZA"/>
        </w:rPr>
        <w:t>TH</w:t>
      </w:r>
      <w:r>
        <w:rPr>
          <w:rFonts w:ascii="Bookman Old Style" w:hAnsi="Bookman Old Style" w:cs="Arial"/>
          <w:b/>
          <w:color w:val="000000"/>
          <w:lang w:val="en-ZA"/>
        </w:rPr>
        <w:t xml:space="preserve"> RESPONDENT </w:t>
      </w:r>
    </w:p>
    <w:p w14:paraId="2E7A739D" w14:textId="4023B87A" w:rsidR="001258F0" w:rsidRDefault="001258F0" w:rsidP="003C34F8">
      <w:pPr>
        <w:spacing w:line="360" w:lineRule="auto"/>
        <w:jc w:val="both"/>
        <w:rPr>
          <w:rFonts w:ascii="Bookman Old Style" w:hAnsi="Bookman Old Style" w:cs="Arial"/>
          <w:b/>
          <w:color w:val="000000"/>
          <w:lang w:val="en-ZA"/>
        </w:rPr>
      </w:pPr>
      <w:r>
        <w:rPr>
          <w:rFonts w:ascii="Bookman Old Style" w:hAnsi="Bookman Old Style" w:cs="Arial"/>
          <w:b/>
          <w:color w:val="000000"/>
          <w:lang w:val="en-ZA"/>
        </w:rPr>
        <w:t xml:space="preserve">NGAKA RAMOKOKE </w:t>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t xml:space="preserve">   7</w:t>
      </w:r>
      <w:r w:rsidRPr="001258F0">
        <w:rPr>
          <w:rFonts w:ascii="Bookman Old Style" w:hAnsi="Bookman Old Style" w:cs="Arial"/>
          <w:b/>
          <w:color w:val="000000"/>
          <w:vertAlign w:val="superscript"/>
          <w:lang w:val="en-ZA"/>
        </w:rPr>
        <w:t>TH</w:t>
      </w:r>
      <w:r>
        <w:rPr>
          <w:rFonts w:ascii="Bookman Old Style" w:hAnsi="Bookman Old Style" w:cs="Arial"/>
          <w:b/>
          <w:color w:val="000000"/>
          <w:lang w:val="en-ZA"/>
        </w:rPr>
        <w:t xml:space="preserve"> RESPONDENT</w:t>
      </w:r>
    </w:p>
    <w:p w14:paraId="3568FBE2" w14:textId="57967CDB" w:rsidR="001258F0" w:rsidRDefault="00A54FE6" w:rsidP="003C34F8">
      <w:pPr>
        <w:spacing w:line="360" w:lineRule="auto"/>
        <w:jc w:val="both"/>
        <w:rPr>
          <w:rFonts w:ascii="Bookman Old Style" w:hAnsi="Bookman Old Style" w:cs="Arial"/>
          <w:b/>
          <w:color w:val="000000"/>
          <w:lang w:val="en-ZA"/>
        </w:rPr>
      </w:pPr>
      <w:r>
        <w:rPr>
          <w:rFonts w:ascii="Bookman Old Style" w:hAnsi="Bookman Old Style" w:cs="Arial"/>
          <w:b/>
          <w:color w:val="000000"/>
          <w:lang w:val="en-ZA"/>
        </w:rPr>
        <w:t xml:space="preserve">MATHAPELO KANONO </w:t>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t xml:space="preserve">   8</w:t>
      </w:r>
      <w:r w:rsidRPr="00A54FE6">
        <w:rPr>
          <w:rFonts w:ascii="Bookman Old Style" w:hAnsi="Bookman Old Style" w:cs="Arial"/>
          <w:b/>
          <w:color w:val="000000"/>
          <w:vertAlign w:val="superscript"/>
          <w:lang w:val="en-ZA"/>
        </w:rPr>
        <w:t>TH</w:t>
      </w:r>
      <w:r>
        <w:rPr>
          <w:rFonts w:ascii="Bookman Old Style" w:hAnsi="Bookman Old Style" w:cs="Arial"/>
          <w:b/>
          <w:color w:val="000000"/>
          <w:lang w:val="en-ZA"/>
        </w:rPr>
        <w:t xml:space="preserve"> RESPONDENT  </w:t>
      </w:r>
    </w:p>
    <w:p w14:paraId="76E3921A" w14:textId="77777777" w:rsidR="007B4FA7" w:rsidRDefault="007B4FA7" w:rsidP="007B4FA7">
      <w:pPr>
        <w:spacing w:line="360" w:lineRule="auto"/>
        <w:jc w:val="both"/>
        <w:rPr>
          <w:rFonts w:ascii="Bookman Old Style" w:hAnsi="Bookman Old Style"/>
          <w:lang w:val="en-US"/>
        </w:rPr>
      </w:pPr>
    </w:p>
    <w:p w14:paraId="22A1CB82" w14:textId="77777777" w:rsidR="007B4FA7" w:rsidRPr="00137BEF" w:rsidRDefault="007B4FA7" w:rsidP="007B4FA7">
      <w:pPr>
        <w:spacing w:line="360" w:lineRule="auto"/>
        <w:jc w:val="both"/>
        <w:rPr>
          <w:rFonts w:ascii="Bookman Old Style" w:hAnsi="Bookman Old Style"/>
          <w:lang w:val="en-US"/>
        </w:rPr>
      </w:pPr>
      <w:r w:rsidRPr="00137BEF">
        <w:rPr>
          <w:rFonts w:ascii="Bookman Old Style" w:hAnsi="Bookman Old Style"/>
          <w:lang w:val="en-US"/>
        </w:rPr>
        <w:t>AND</w:t>
      </w:r>
    </w:p>
    <w:p w14:paraId="3408FFB0" w14:textId="77777777" w:rsidR="007B4FA7" w:rsidRPr="00137BEF" w:rsidRDefault="007B4FA7" w:rsidP="007B4FA7">
      <w:pPr>
        <w:spacing w:line="360" w:lineRule="auto"/>
        <w:jc w:val="both"/>
        <w:rPr>
          <w:rFonts w:ascii="Bookman Old Style" w:hAnsi="Bookman Old Style"/>
          <w:lang w:val="en-US"/>
        </w:rPr>
      </w:pPr>
    </w:p>
    <w:p w14:paraId="5845C506" w14:textId="77777777" w:rsidR="007B4FA7" w:rsidRPr="007B4FA7" w:rsidRDefault="007B4FA7" w:rsidP="007B4FA7">
      <w:pPr>
        <w:spacing w:line="360" w:lineRule="auto"/>
        <w:jc w:val="both"/>
        <w:rPr>
          <w:rFonts w:ascii="Bookman Old Style" w:hAnsi="Bookman Old Style" w:cs="Arial"/>
          <w:b/>
          <w:color w:val="000000"/>
          <w:lang w:val="en-ZA"/>
        </w:rPr>
      </w:pPr>
      <w:r w:rsidRPr="007B4FA7">
        <w:rPr>
          <w:rFonts w:ascii="Bookman Old Style" w:hAnsi="Bookman Old Style" w:cs="Arial"/>
          <w:b/>
          <w:color w:val="000000"/>
          <w:lang w:val="en-ZA"/>
        </w:rPr>
        <w:t>PRINCIPAL SECRETARY-MINISTRY OF</w:t>
      </w:r>
    </w:p>
    <w:p w14:paraId="07A458F7" w14:textId="77777777" w:rsidR="007B4FA7" w:rsidRPr="007B4FA7" w:rsidRDefault="007B4FA7" w:rsidP="007B4FA7">
      <w:pPr>
        <w:spacing w:line="360" w:lineRule="auto"/>
        <w:jc w:val="both"/>
        <w:rPr>
          <w:rFonts w:ascii="Bookman Old Style" w:hAnsi="Bookman Old Style" w:cs="Arial"/>
          <w:b/>
          <w:color w:val="000000"/>
          <w:lang w:val="en-ZA"/>
        </w:rPr>
      </w:pPr>
      <w:r w:rsidRPr="007B4FA7">
        <w:rPr>
          <w:rFonts w:ascii="Bookman Old Style" w:hAnsi="Bookman Old Style" w:cs="Arial"/>
          <w:b/>
          <w:color w:val="000000"/>
          <w:lang w:val="en-ZA"/>
        </w:rPr>
        <w:t>FOREIGN AFFAIRS AND INTERNATIONAL</w:t>
      </w:r>
    </w:p>
    <w:p w14:paraId="46F5B0C8" w14:textId="58C5A6B5" w:rsidR="007B4FA7" w:rsidRPr="007B4FA7" w:rsidRDefault="007B4FA7" w:rsidP="007B4FA7">
      <w:pPr>
        <w:spacing w:line="360" w:lineRule="auto"/>
        <w:jc w:val="both"/>
        <w:rPr>
          <w:rFonts w:ascii="Bookman Old Style" w:hAnsi="Bookman Old Style" w:cs="Arial"/>
          <w:b/>
          <w:color w:val="000000"/>
          <w:lang w:val="en-ZA"/>
        </w:rPr>
      </w:pPr>
      <w:r w:rsidRPr="007B4FA7">
        <w:rPr>
          <w:rFonts w:ascii="Bookman Old Style" w:hAnsi="Bookman Old Style" w:cs="Arial"/>
          <w:b/>
          <w:color w:val="000000"/>
          <w:lang w:val="en-ZA"/>
        </w:rPr>
        <w:t xml:space="preserve">RELATIONS AND 6 </w:t>
      </w:r>
      <w:r w:rsidR="00C119D6" w:rsidRPr="007B4FA7">
        <w:rPr>
          <w:rFonts w:ascii="Bookman Old Style" w:hAnsi="Bookman Old Style" w:cs="Arial"/>
          <w:b/>
          <w:color w:val="000000"/>
          <w:lang w:val="en-ZA"/>
        </w:rPr>
        <w:t>OTHER</w:t>
      </w:r>
      <w:r w:rsidRPr="007B4FA7">
        <w:rPr>
          <w:rFonts w:ascii="Bookman Old Style" w:hAnsi="Bookman Old Style" w:cs="Arial"/>
          <w:b/>
          <w:color w:val="000000"/>
          <w:lang w:val="en-ZA"/>
        </w:rPr>
        <w:tab/>
      </w:r>
      <w:r w:rsidRPr="007B4FA7">
        <w:rPr>
          <w:rFonts w:ascii="Bookman Old Style" w:hAnsi="Bookman Old Style" w:cs="Arial"/>
          <w:b/>
          <w:color w:val="000000"/>
          <w:lang w:val="en-ZA"/>
        </w:rPr>
        <w:tab/>
      </w:r>
      <w:r w:rsidRPr="007B4FA7">
        <w:rPr>
          <w:rFonts w:ascii="Bookman Old Style" w:hAnsi="Bookman Old Style" w:cs="Arial"/>
          <w:b/>
          <w:color w:val="000000"/>
          <w:lang w:val="en-ZA"/>
        </w:rPr>
        <w:tab/>
      </w:r>
      <w:r w:rsidRPr="007B4FA7">
        <w:rPr>
          <w:rFonts w:ascii="Bookman Old Style" w:hAnsi="Bookman Old Style" w:cs="Arial"/>
          <w:b/>
          <w:color w:val="000000"/>
          <w:lang w:val="en-ZA"/>
        </w:rPr>
        <w:tab/>
      </w:r>
      <w:r>
        <w:rPr>
          <w:rFonts w:ascii="Bookman Old Style" w:hAnsi="Bookman Old Style" w:cs="Arial"/>
          <w:b/>
          <w:color w:val="000000"/>
          <w:lang w:val="en-ZA"/>
        </w:rPr>
        <w:tab/>
      </w:r>
      <w:proofErr w:type="gramStart"/>
      <w:r w:rsidRPr="007B4FA7">
        <w:rPr>
          <w:rFonts w:ascii="Bookman Old Style" w:hAnsi="Bookman Old Style" w:cs="Arial"/>
          <w:b/>
          <w:color w:val="000000"/>
          <w:lang w:val="en-ZA"/>
        </w:rPr>
        <w:tab/>
      </w:r>
      <w:r>
        <w:rPr>
          <w:rFonts w:ascii="Bookman Old Style" w:hAnsi="Bookman Old Style" w:cs="Arial"/>
          <w:b/>
          <w:color w:val="000000"/>
          <w:lang w:val="en-ZA"/>
        </w:rPr>
        <w:t xml:space="preserve">  </w:t>
      </w:r>
      <w:r w:rsidRPr="007B4FA7">
        <w:rPr>
          <w:rFonts w:ascii="Bookman Old Style" w:hAnsi="Bookman Old Style" w:cs="Arial"/>
          <w:b/>
          <w:color w:val="000000"/>
          <w:lang w:val="en-ZA"/>
        </w:rPr>
        <w:t>APPEL</w:t>
      </w:r>
      <w:r w:rsidR="00C119D6">
        <w:rPr>
          <w:rFonts w:ascii="Bookman Old Style" w:hAnsi="Bookman Old Style" w:cs="Arial"/>
          <w:b/>
          <w:color w:val="000000"/>
          <w:lang w:val="en-ZA"/>
        </w:rPr>
        <w:t>L</w:t>
      </w:r>
      <w:r w:rsidRPr="007B4FA7">
        <w:rPr>
          <w:rFonts w:ascii="Bookman Old Style" w:hAnsi="Bookman Old Style" w:cs="Arial"/>
          <w:b/>
          <w:color w:val="000000"/>
          <w:lang w:val="en-ZA"/>
        </w:rPr>
        <w:t>ANTS</w:t>
      </w:r>
      <w:proofErr w:type="gramEnd"/>
    </w:p>
    <w:p w14:paraId="5A8BB335" w14:textId="77777777" w:rsidR="007B4FA7" w:rsidRPr="007B4FA7" w:rsidRDefault="007B4FA7" w:rsidP="007B4FA7">
      <w:pPr>
        <w:spacing w:line="360" w:lineRule="auto"/>
        <w:jc w:val="both"/>
        <w:rPr>
          <w:rFonts w:ascii="Bookman Old Style" w:hAnsi="Bookman Old Style" w:cs="Arial"/>
          <w:b/>
          <w:color w:val="000000"/>
          <w:lang w:val="en-ZA"/>
        </w:rPr>
      </w:pPr>
    </w:p>
    <w:p w14:paraId="3C66EE31" w14:textId="77777777" w:rsidR="007B4FA7" w:rsidRPr="007B4FA7" w:rsidRDefault="007B4FA7" w:rsidP="007B4FA7">
      <w:pPr>
        <w:spacing w:line="360" w:lineRule="auto"/>
        <w:jc w:val="both"/>
        <w:rPr>
          <w:rFonts w:ascii="Bookman Old Style" w:hAnsi="Bookman Old Style" w:cs="Arial"/>
          <w:color w:val="000000"/>
          <w:lang w:val="en-ZA"/>
        </w:rPr>
      </w:pPr>
      <w:r w:rsidRPr="007B4FA7">
        <w:rPr>
          <w:rFonts w:ascii="Bookman Old Style" w:hAnsi="Bookman Old Style" w:cs="Arial"/>
          <w:color w:val="000000"/>
          <w:lang w:val="en-ZA"/>
        </w:rPr>
        <w:lastRenderedPageBreak/>
        <w:t>AND</w:t>
      </w:r>
    </w:p>
    <w:p w14:paraId="53CCA3E4" w14:textId="77777777" w:rsidR="007B4FA7" w:rsidRPr="007B4FA7" w:rsidRDefault="007B4FA7" w:rsidP="007B4FA7">
      <w:pPr>
        <w:spacing w:line="360" w:lineRule="auto"/>
        <w:jc w:val="both"/>
        <w:rPr>
          <w:rFonts w:ascii="Bookman Old Style" w:hAnsi="Bookman Old Style" w:cs="Arial"/>
          <w:b/>
          <w:color w:val="000000"/>
          <w:lang w:val="en-ZA"/>
        </w:rPr>
      </w:pPr>
    </w:p>
    <w:p w14:paraId="1F42AF5D" w14:textId="6421A573" w:rsidR="007B4FA7" w:rsidRDefault="007B4FA7" w:rsidP="007B4FA7">
      <w:pPr>
        <w:spacing w:line="360" w:lineRule="auto"/>
        <w:jc w:val="both"/>
        <w:rPr>
          <w:rFonts w:ascii="Bookman Old Style" w:hAnsi="Bookman Old Style" w:cs="Arial"/>
          <w:b/>
          <w:color w:val="000000"/>
          <w:lang w:val="en-ZA"/>
        </w:rPr>
      </w:pPr>
      <w:r w:rsidRPr="007B4FA7">
        <w:rPr>
          <w:rFonts w:ascii="Bookman Old Style" w:hAnsi="Bookman Old Style" w:cs="Arial"/>
          <w:b/>
          <w:color w:val="000000"/>
          <w:lang w:val="en-ZA"/>
        </w:rPr>
        <w:t>‘MATHAPELO KANONO</w:t>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Pr>
          <w:rFonts w:ascii="Bookman Old Style" w:hAnsi="Bookman Old Style" w:cs="Arial"/>
          <w:b/>
          <w:color w:val="000000"/>
          <w:lang w:val="en-ZA"/>
        </w:rPr>
        <w:tab/>
      </w:r>
      <w:r w:rsidRPr="007B4FA7">
        <w:rPr>
          <w:rFonts w:ascii="Bookman Old Style" w:hAnsi="Bookman Old Style" w:cs="Arial"/>
          <w:b/>
          <w:color w:val="000000"/>
          <w:lang w:val="en-ZA"/>
        </w:rPr>
        <w:t>RESPONDENT</w:t>
      </w:r>
    </w:p>
    <w:bookmarkEnd w:id="0"/>
    <w:p w14:paraId="227AE3FD" w14:textId="77777777" w:rsidR="0016211A" w:rsidRPr="00137BEF" w:rsidRDefault="0016211A" w:rsidP="007F293B">
      <w:pPr>
        <w:spacing w:line="360" w:lineRule="auto"/>
        <w:jc w:val="both"/>
        <w:rPr>
          <w:rFonts w:ascii="Bookman Old Style" w:hAnsi="Bookman Old Style"/>
          <w:lang w:val="en-US"/>
        </w:rPr>
      </w:pPr>
    </w:p>
    <w:p w14:paraId="5F891E93" w14:textId="600E998A" w:rsidR="0016211A" w:rsidRPr="00137BEF" w:rsidRDefault="0016211A" w:rsidP="007F293B">
      <w:pPr>
        <w:spacing w:line="360" w:lineRule="auto"/>
        <w:jc w:val="both"/>
        <w:rPr>
          <w:rFonts w:ascii="Bookman Old Style" w:hAnsi="Bookman Old Style"/>
          <w:lang w:val="en-US"/>
        </w:rPr>
      </w:pPr>
      <w:r w:rsidRPr="00585F98">
        <w:rPr>
          <w:rFonts w:ascii="Bookman Old Style" w:hAnsi="Bookman Old Style"/>
          <w:b/>
          <w:lang w:val="en-US"/>
        </w:rPr>
        <w:t>CORAM</w:t>
      </w:r>
      <w:r w:rsidRPr="00137BEF">
        <w:rPr>
          <w:rFonts w:ascii="Bookman Old Style" w:hAnsi="Bookman Old Style"/>
          <w:lang w:val="en-US"/>
        </w:rPr>
        <w:t xml:space="preserve">: </w:t>
      </w:r>
      <w:r w:rsidR="007B4FA7">
        <w:rPr>
          <w:rFonts w:ascii="Bookman Old Style" w:hAnsi="Bookman Old Style"/>
          <w:lang w:val="en-US"/>
        </w:rPr>
        <w:tab/>
      </w:r>
      <w:r w:rsidR="007B4FA7">
        <w:rPr>
          <w:rFonts w:ascii="Bookman Old Style" w:hAnsi="Bookman Old Style"/>
          <w:lang w:val="en-US"/>
        </w:rPr>
        <w:tab/>
      </w:r>
      <w:r w:rsidRPr="00137BEF">
        <w:rPr>
          <w:rFonts w:ascii="Bookman Old Style" w:hAnsi="Bookman Old Style"/>
          <w:lang w:val="en-US"/>
        </w:rPr>
        <w:t>P.T. DAMASEB</w:t>
      </w:r>
    </w:p>
    <w:p w14:paraId="7DEB951B" w14:textId="2B253D7E" w:rsidR="0016211A" w:rsidRPr="00137BEF" w:rsidRDefault="0016211A" w:rsidP="007F293B">
      <w:pPr>
        <w:spacing w:line="360" w:lineRule="auto"/>
        <w:jc w:val="both"/>
        <w:rPr>
          <w:rFonts w:ascii="Bookman Old Style" w:hAnsi="Bookman Old Style"/>
          <w:lang w:val="en-US"/>
        </w:rPr>
      </w:pPr>
      <w:r w:rsidRPr="00137BEF">
        <w:rPr>
          <w:rFonts w:ascii="Bookman Old Style" w:hAnsi="Bookman Old Style"/>
          <w:lang w:val="en-US"/>
        </w:rPr>
        <w:tab/>
      </w:r>
      <w:r w:rsidR="007B4FA7">
        <w:rPr>
          <w:rFonts w:ascii="Bookman Old Style" w:hAnsi="Bookman Old Style"/>
          <w:lang w:val="en-US"/>
        </w:rPr>
        <w:tab/>
      </w:r>
      <w:r w:rsidR="007B4FA7">
        <w:rPr>
          <w:rFonts w:ascii="Bookman Old Style" w:hAnsi="Bookman Old Style"/>
          <w:lang w:val="en-US"/>
        </w:rPr>
        <w:tab/>
      </w:r>
      <w:r w:rsidR="007B4FA7" w:rsidRPr="00137BEF">
        <w:rPr>
          <w:rFonts w:ascii="Bookman Old Style" w:hAnsi="Bookman Old Style"/>
          <w:lang w:val="en-US"/>
        </w:rPr>
        <w:t xml:space="preserve">N T MTSHIYA </w:t>
      </w:r>
    </w:p>
    <w:p w14:paraId="6EDA1401" w14:textId="4EB4D600" w:rsidR="0016211A" w:rsidRPr="00137BEF" w:rsidRDefault="0016211A" w:rsidP="007F293B">
      <w:pPr>
        <w:spacing w:line="360" w:lineRule="auto"/>
        <w:jc w:val="both"/>
        <w:rPr>
          <w:rFonts w:ascii="Bookman Old Style" w:hAnsi="Bookman Old Style"/>
          <w:lang w:val="en-US"/>
        </w:rPr>
      </w:pPr>
      <w:r w:rsidRPr="00137BEF">
        <w:rPr>
          <w:rFonts w:ascii="Bookman Old Style" w:hAnsi="Bookman Old Style"/>
          <w:lang w:val="en-US"/>
        </w:rPr>
        <w:tab/>
      </w:r>
      <w:r w:rsidR="007B4FA7">
        <w:rPr>
          <w:rFonts w:ascii="Bookman Old Style" w:hAnsi="Bookman Old Style"/>
          <w:lang w:val="en-US"/>
        </w:rPr>
        <w:tab/>
      </w:r>
      <w:r w:rsidR="007B4FA7">
        <w:rPr>
          <w:rFonts w:ascii="Bookman Old Style" w:hAnsi="Bookman Old Style"/>
          <w:lang w:val="en-US"/>
        </w:rPr>
        <w:tab/>
      </w:r>
      <w:r w:rsidR="007B4FA7" w:rsidRPr="00137BEF">
        <w:rPr>
          <w:rFonts w:ascii="Bookman Old Style" w:hAnsi="Bookman Old Style"/>
          <w:lang w:val="en-US"/>
        </w:rPr>
        <w:t>J v d WESTHUIZEN</w:t>
      </w:r>
    </w:p>
    <w:p w14:paraId="2C44CC97" w14:textId="77777777" w:rsidR="0016211A" w:rsidRPr="00137BEF" w:rsidRDefault="0016211A" w:rsidP="007F293B">
      <w:pPr>
        <w:spacing w:line="360" w:lineRule="auto"/>
        <w:jc w:val="both"/>
        <w:rPr>
          <w:rFonts w:ascii="Bookman Old Style" w:hAnsi="Bookman Old Style"/>
          <w:lang w:val="en-US"/>
        </w:rPr>
      </w:pPr>
    </w:p>
    <w:p w14:paraId="666990B3" w14:textId="0A82A5EE" w:rsidR="0016211A" w:rsidRPr="00571126" w:rsidRDefault="0016211A" w:rsidP="007F293B">
      <w:pPr>
        <w:spacing w:line="360" w:lineRule="auto"/>
        <w:jc w:val="both"/>
        <w:rPr>
          <w:rFonts w:ascii="Bookman Old Style" w:hAnsi="Bookman Old Style"/>
          <w:caps/>
          <w:lang w:val="en-US"/>
        </w:rPr>
      </w:pPr>
      <w:r w:rsidRPr="00EC64AF">
        <w:rPr>
          <w:rFonts w:ascii="Bookman Old Style" w:hAnsi="Bookman Old Style"/>
          <w:b/>
          <w:lang w:val="en-US"/>
        </w:rPr>
        <w:t>HEARD:</w:t>
      </w:r>
      <w:r w:rsidRPr="00137BEF">
        <w:rPr>
          <w:rFonts w:ascii="Bookman Old Style" w:hAnsi="Bookman Old Style"/>
          <w:lang w:val="en-US"/>
        </w:rPr>
        <w:t xml:space="preserve">  </w:t>
      </w:r>
      <w:r w:rsidR="007B4FA7">
        <w:rPr>
          <w:rFonts w:ascii="Bookman Old Style" w:hAnsi="Bookman Old Style"/>
          <w:lang w:val="en-US"/>
        </w:rPr>
        <w:tab/>
      </w:r>
      <w:r w:rsidR="007B4FA7">
        <w:rPr>
          <w:rFonts w:ascii="Bookman Old Style" w:hAnsi="Bookman Old Style"/>
          <w:lang w:val="en-US"/>
        </w:rPr>
        <w:tab/>
      </w:r>
      <w:r w:rsidRPr="00571126">
        <w:rPr>
          <w:rFonts w:ascii="Bookman Old Style" w:hAnsi="Bookman Old Style"/>
          <w:caps/>
          <w:lang w:val="en-US"/>
        </w:rPr>
        <w:t>2</w:t>
      </w:r>
      <w:r w:rsidR="007B4FA7" w:rsidRPr="00571126">
        <w:rPr>
          <w:rFonts w:ascii="Bookman Old Style" w:hAnsi="Bookman Old Style"/>
          <w:caps/>
          <w:lang w:val="en-US"/>
        </w:rPr>
        <w:t>1</w:t>
      </w:r>
      <w:r w:rsidRPr="00571126">
        <w:rPr>
          <w:rFonts w:ascii="Bookman Old Style" w:hAnsi="Bookman Old Style"/>
          <w:caps/>
          <w:lang w:val="en-US"/>
        </w:rPr>
        <w:t xml:space="preserve"> April 2022</w:t>
      </w:r>
    </w:p>
    <w:p w14:paraId="7AE106AE" w14:textId="51244C77" w:rsidR="0016211A" w:rsidRPr="00137BEF" w:rsidRDefault="0016211A" w:rsidP="007F293B">
      <w:pPr>
        <w:spacing w:line="360" w:lineRule="auto"/>
        <w:jc w:val="both"/>
        <w:rPr>
          <w:rFonts w:ascii="Bookman Old Style" w:hAnsi="Bookman Old Style"/>
          <w:lang w:val="en-US"/>
        </w:rPr>
      </w:pPr>
      <w:r w:rsidRPr="00571126">
        <w:rPr>
          <w:rFonts w:ascii="Bookman Old Style" w:hAnsi="Bookman Old Style"/>
          <w:b/>
          <w:caps/>
          <w:lang w:val="en-US"/>
        </w:rPr>
        <w:t>DELIVERED:</w:t>
      </w:r>
      <w:r w:rsidRPr="00571126">
        <w:rPr>
          <w:rFonts w:ascii="Bookman Old Style" w:hAnsi="Bookman Old Style"/>
          <w:caps/>
          <w:lang w:val="en-US"/>
        </w:rPr>
        <w:t xml:space="preserve"> </w:t>
      </w:r>
      <w:r w:rsidR="007B4FA7" w:rsidRPr="00571126">
        <w:rPr>
          <w:rFonts w:ascii="Bookman Old Style" w:hAnsi="Bookman Old Style"/>
          <w:caps/>
          <w:lang w:val="en-US"/>
        </w:rPr>
        <w:tab/>
      </w:r>
      <w:r w:rsidRPr="00571126">
        <w:rPr>
          <w:rFonts w:ascii="Bookman Old Style" w:hAnsi="Bookman Old Style"/>
          <w:caps/>
          <w:lang w:val="en-US"/>
        </w:rPr>
        <w:t>13 May 2022</w:t>
      </w:r>
    </w:p>
    <w:p w14:paraId="25DDA37A" w14:textId="77777777" w:rsidR="0016211A" w:rsidRPr="00137BEF" w:rsidRDefault="0016211A" w:rsidP="007F293B">
      <w:pPr>
        <w:spacing w:line="360" w:lineRule="auto"/>
        <w:jc w:val="both"/>
        <w:rPr>
          <w:rFonts w:ascii="Bookman Old Style" w:hAnsi="Bookman Old Style"/>
          <w:lang w:val="en-US"/>
        </w:rPr>
      </w:pPr>
    </w:p>
    <w:p w14:paraId="42D54587" w14:textId="0AD92D74" w:rsidR="0016211A" w:rsidRPr="00571126" w:rsidRDefault="0016211A" w:rsidP="00B75215">
      <w:pPr>
        <w:spacing w:line="360" w:lineRule="auto"/>
        <w:jc w:val="center"/>
        <w:rPr>
          <w:rFonts w:ascii="Bookman Old Style" w:hAnsi="Bookman Old Style"/>
          <w:b/>
          <w:lang w:val="en-US"/>
        </w:rPr>
      </w:pPr>
      <w:r w:rsidRPr="00571126">
        <w:rPr>
          <w:rFonts w:ascii="Bookman Old Style" w:hAnsi="Bookman Old Style"/>
          <w:b/>
          <w:lang w:val="en-US"/>
        </w:rPr>
        <w:t>Summary</w:t>
      </w:r>
    </w:p>
    <w:p w14:paraId="48B173B6" w14:textId="77777777" w:rsidR="0016211A" w:rsidRPr="00137BEF" w:rsidRDefault="0016211A" w:rsidP="007F293B">
      <w:pPr>
        <w:spacing w:line="360" w:lineRule="auto"/>
        <w:jc w:val="both"/>
        <w:rPr>
          <w:rFonts w:ascii="Bookman Old Style" w:hAnsi="Bookman Old Style"/>
          <w:b/>
          <w:lang w:val="en-US"/>
        </w:rPr>
      </w:pPr>
    </w:p>
    <w:p w14:paraId="666379FA" w14:textId="71D97567" w:rsidR="006B1278" w:rsidRPr="008F0EE4" w:rsidRDefault="00C119D6" w:rsidP="007F293B">
      <w:pPr>
        <w:spacing w:line="360" w:lineRule="auto"/>
        <w:jc w:val="both"/>
        <w:rPr>
          <w:rFonts w:ascii="Bookman Old Style" w:hAnsi="Bookman Old Style"/>
          <w:i/>
          <w:lang w:val="en-US"/>
        </w:rPr>
      </w:pPr>
      <w:r>
        <w:rPr>
          <w:rFonts w:ascii="Bookman Old Style" w:hAnsi="Bookman Old Style"/>
          <w:i/>
          <w:lang w:val="en-US"/>
        </w:rPr>
        <w:t xml:space="preserve">The </w:t>
      </w:r>
      <w:r w:rsidR="0016211A" w:rsidRPr="008F0EE4">
        <w:rPr>
          <w:rFonts w:ascii="Bookman Old Style" w:hAnsi="Bookman Old Style"/>
          <w:i/>
          <w:lang w:val="en-US"/>
        </w:rPr>
        <w:t xml:space="preserve">Government of Lesotho’s </w:t>
      </w:r>
      <w:r w:rsidR="006B1278" w:rsidRPr="008F0EE4">
        <w:rPr>
          <w:rFonts w:ascii="Bookman Old Style" w:hAnsi="Bookman Old Style"/>
          <w:i/>
          <w:lang w:val="en-US"/>
        </w:rPr>
        <w:t>(</w:t>
      </w:r>
      <w:proofErr w:type="spellStart"/>
      <w:r w:rsidR="006B1278" w:rsidRPr="008F0EE4">
        <w:rPr>
          <w:rFonts w:ascii="Bookman Old Style" w:hAnsi="Bookman Old Style"/>
          <w:i/>
          <w:lang w:val="en-US"/>
        </w:rPr>
        <w:t>GoL</w:t>
      </w:r>
      <w:proofErr w:type="spellEnd"/>
      <w:r w:rsidR="006B1278" w:rsidRPr="008F0EE4">
        <w:rPr>
          <w:rFonts w:ascii="Bookman Old Style" w:hAnsi="Bookman Old Style"/>
          <w:i/>
          <w:lang w:val="en-US"/>
        </w:rPr>
        <w:t xml:space="preserve">) </w:t>
      </w:r>
      <w:r w:rsidR="0016211A" w:rsidRPr="008F0EE4">
        <w:rPr>
          <w:rFonts w:ascii="Bookman Old Style" w:hAnsi="Bookman Old Style"/>
          <w:i/>
          <w:lang w:val="en-US"/>
        </w:rPr>
        <w:t>failure</w:t>
      </w:r>
      <w:r w:rsidR="006B1278" w:rsidRPr="008F0EE4">
        <w:rPr>
          <w:rFonts w:ascii="Bookman Old Style" w:hAnsi="Bookman Old Style"/>
          <w:i/>
          <w:lang w:val="en-US"/>
        </w:rPr>
        <w:t>, amongst others,</w:t>
      </w:r>
      <w:r w:rsidR="0016211A" w:rsidRPr="008F0EE4">
        <w:rPr>
          <w:rFonts w:ascii="Bookman Old Style" w:hAnsi="Bookman Old Style"/>
          <w:i/>
          <w:lang w:val="en-US"/>
        </w:rPr>
        <w:t xml:space="preserve"> to </w:t>
      </w:r>
      <w:r w:rsidR="008F0EE4" w:rsidRPr="008F0EE4">
        <w:rPr>
          <w:rFonts w:ascii="Bookman Old Style" w:hAnsi="Bookman Old Style"/>
          <w:i/>
          <w:lang w:val="en-US"/>
        </w:rPr>
        <w:t>comply with Reg.32(1) of the Public Service Regulations 2008 requiring the principal secretary of the Public Service to consult receiving ministries when a transfer of a public officer is contemplated</w:t>
      </w:r>
      <w:r w:rsidR="009A5BA0">
        <w:rPr>
          <w:rFonts w:ascii="Bookman Old Style" w:hAnsi="Bookman Old Style"/>
          <w:i/>
          <w:lang w:val="en-US"/>
        </w:rPr>
        <w:t xml:space="preserve"> was</w:t>
      </w:r>
      <w:r w:rsidR="008F0EE4" w:rsidRPr="008F0EE4">
        <w:rPr>
          <w:rFonts w:ascii="Bookman Old Style" w:hAnsi="Bookman Old Style"/>
          <w:i/>
          <w:lang w:val="en-US"/>
        </w:rPr>
        <w:t xml:space="preserve"> held by the High Court to be unlawful and therefore reviewed and set aside. </w:t>
      </w:r>
      <w:r w:rsidR="006B1278" w:rsidRPr="008F0EE4">
        <w:rPr>
          <w:rFonts w:ascii="Bookman Old Style" w:hAnsi="Bookman Old Style"/>
          <w:i/>
          <w:lang w:val="en-US"/>
        </w:rPr>
        <w:t xml:space="preserve">On appeal </w:t>
      </w:r>
      <w:r>
        <w:rPr>
          <w:rFonts w:ascii="Bookman Old Style" w:hAnsi="Bookman Old Style"/>
          <w:i/>
          <w:lang w:val="en-US"/>
        </w:rPr>
        <w:t xml:space="preserve">the </w:t>
      </w:r>
      <w:proofErr w:type="spellStart"/>
      <w:r w:rsidR="006B1278" w:rsidRPr="008F0EE4">
        <w:rPr>
          <w:rFonts w:ascii="Bookman Old Style" w:hAnsi="Bookman Old Style"/>
          <w:i/>
          <w:lang w:val="en-US"/>
        </w:rPr>
        <w:t>GoL</w:t>
      </w:r>
      <w:proofErr w:type="spellEnd"/>
      <w:r w:rsidR="006B1278" w:rsidRPr="008F0EE4">
        <w:rPr>
          <w:rFonts w:ascii="Bookman Old Style" w:hAnsi="Bookman Old Style"/>
          <w:i/>
          <w:lang w:val="en-US"/>
        </w:rPr>
        <w:t xml:space="preserve"> argued that the </w:t>
      </w:r>
      <w:r w:rsidR="008F0EE4" w:rsidRPr="008F0EE4">
        <w:rPr>
          <w:rFonts w:ascii="Bookman Old Style" w:hAnsi="Bookman Old Style"/>
          <w:i/>
          <w:lang w:val="en-US"/>
        </w:rPr>
        <w:t xml:space="preserve">regulation was not mandatory in every case and that </w:t>
      </w:r>
      <w:r w:rsidR="00E9014B">
        <w:rPr>
          <w:rFonts w:ascii="Bookman Old Style" w:hAnsi="Bookman Old Style"/>
          <w:i/>
          <w:lang w:val="en-US"/>
        </w:rPr>
        <w:t>t</w:t>
      </w:r>
      <w:r w:rsidR="008F0EE4" w:rsidRPr="008F0EE4">
        <w:rPr>
          <w:rFonts w:ascii="Bookman Old Style" w:hAnsi="Bookman Old Style"/>
          <w:i/>
          <w:lang w:val="en-US"/>
        </w:rPr>
        <w:t xml:space="preserve">he High Court erred in so concluding. </w:t>
      </w:r>
    </w:p>
    <w:p w14:paraId="13512CD1" w14:textId="1B927063" w:rsidR="006B1278" w:rsidRPr="008F0EE4" w:rsidRDefault="006B1278" w:rsidP="00651028">
      <w:pPr>
        <w:tabs>
          <w:tab w:val="left" w:pos="6096"/>
        </w:tabs>
        <w:spacing w:line="360" w:lineRule="auto"/>
        <w:jc w:val="both"/>
        <w:rPr>
          <w:rFonts w:ascii="Bookman Old Style" w:hAnsi="Bookman Old Style"/>
          <w:i/>
          <w:lang w:val="en-US"/>
        </w:rPr>
      </w:pPr>
      <w:r w:rsidRPr="008F0EE4">
        <w:rPr>
          <w:rFonts w:ascii="Bookman Old Style" w:hAnsi="Bookman Old Style"/>
          <w:i/>
          <w:lang w:val="en-US"/>
        </w:rPr>
        <w:t xml:space="preserve">Held on appeal that </w:t>
      </w:r>
      <w:r w:rsidR="008F0EE4" w:rsidRPr="008F0EE4">
        <w:rPr>
          <w:rFonts w:ascii="Bookman Old Style" w:hAnsi="Bookman Old Style"/>
          <w:i/>
          <w:lang w:val="en-US"/>
        </w:rPr>
        <w:t xml:space="preserve">the High Court did not </w:t>
      </w:r>
      <w:r w:rsidR="00651028" w:rsidRPr="008F0EE4">
        <w:rPr>
          <w:rFonts w:ascii="Bookman Old Style" w:hAnsi="Bookman Old Style"/>
          <w:i/>
          <w:lang w:val="en-US"/>
        </w:rPr>
        <w:t>err,</w:t>
      </w:r>
      <w:r w:rsidR="008F0EE4" w:rsidRPr="008F0EE4">
        <w:rPr>
          <w:rFonts w:ascii="Bookman Old Style" w:hAnsi="Bookman Old Style"/>
          <w:i/>
          <w:lang w:val="en-US"/>
        </w:rPr>
        <w:t xml:space="preserve"> and the appeal dismissed with costs.</w:t>
      </w:r>
    </w:p>
    <w:p w14:paraId="6A948FEA" w14:textId="5E051CD0" w:rsidR="0016211A" w:rsidRPr="00B75215" w:rsidRDefault="00B75215" w:rsidP="00B75215">
      <w:pPr>
        <w:spacing w:line="360" w:lineRule="auto"/>
        <w:jc w:val="center"/>
        <w:rPr>
          <w:rFonts w:ascii="Bookman Old Style" w:hAnsi="Bookman Old Style"/>
          <w:b/>
          <w:bCs/>
          <w:lang w:val="en-US"/>
        </w:rPr>
      </w:pPr>
      <w:r w:rsidRPr="00B75215">
        <w:rPr>
          <w:rFonts w:ascii="Bookman Old Style" w:hAnsi="Bookman Old Style"/>
          <w:b/>
          <w:bCs/>
          <w:lang w:val="en-US"/>
        </w:rPr>
        <w:t>JUDGMENT</w:t>
      </w:r>
    </w:p>
    <w:p w14:paraId="25684876" w14:textId="77777777" w:rsidR="007B4FA7" w:rsidRPr="00DC0678" w:rsidRDefault="007B4FA7" w:rsidP="007B4FA7">
      <w:pPr>
        <w:jc w:val="both"/>
        <w:rPr>
          <w:rFonts w:ascii="Bookman Old Style" w:hAnsi="Bookman Old Style"/>
          <w:b/>
          <w:sz w:val="28"/>
          <w:szCs w:val="28"/>
        </w:rPr>
      </w:pPr>
    </w:p>
    <w:p w14:paraId="250D6440" w14:textId="56768CFB" w:rsidR="0016211A" w:rsidRPr="00DC0678" w:rsidRDefault="0016211A" w:rsidP="007F293B">
      <w:pPr>
        <w:spacing w:line="360" w:lineRule="auto"/>
        <w:jc w:val="both"/>
        <w:rPr>
          <w:rFonts w:ascii="Bookman Old Style" w:hAnsi="Bookman Old Style"/>
          <w:b/>
          <w:sz w:val="28"/>
          <w:szCs w:val="28"/>
          <w:lang w:val="en-US"/>
        </w:rPr>
      </w:pPr>
      <w:r w:rsidRPr="00DC0678">
        <w:rPr>
          <w:rFonts w:ascii="Bookman Old Style" w:hAnsi="Bookman Old Style"/>
          <w:b/>
          <w:sz w:val="28"/>
          <w:szCs w:val="28"/>
          <w:lang w:val="en-US"/>
        </w:rPr>
        <w:t xml:space="preserve">PT </w:t>
      </w:r>
      <w:proofErr w:type="spellStart"/>
      <w:r w:rsidRPr="00DC0678">
        <w:rPr>
          <w:rFonts w:ascii="Bookman Old Style" w:hAnsi="Bookman Old Style"/>
          <w:b/>
          <w:sz w:val="28"/>
          <w:szCs w:val="28"/>
          <w:lang w:val="en-US"/>
        </w:rPr>
        <w:t>Damaseb</w:t>
      </w:r>
      <w:proofErr w:type="spellEnd"/>
      <w:r w:rsidRPr="00DC0678">
        <w:rPr>
          <w:rFonts w:ascii="Bookman Old Style" w:hAnsi="Bookman Old Style"/>
          <w:b/>
          <w:sz w:val="28"/>
          <w:szCs w:val="28"/>
          <w:lang w:val="en-US"/>
        </w:rPr>
        <w:t>, AJA:</w:t>
      </w:r>
    </w:p>
    <w:p w14:paraId="3A41C822" w14:textId="578B12B2" w:rsidR="0016211A" w:rsidRPr="00DC0678" w:rsidRDefault="0016211A" w:rsidP="007F293B">
      <w:pPr>
        <w:spacing w:line="360" w:lineRule="auto"/>
        <w:jc w:val="both"/>
        <w:rPr>
          <w:rFonts w:ascii="Bookman Old Style" w:hAnsi="Bookman Old Style"/>
          <w:b/>
          <w:sz w:val="28"/>
          <w:szCs w:val="28"/>
          <w:lang w:val="en-US"/>
        </w:rPr>
      </w:pPr>
      <w:r w:rsidRPr="00DC0678">
        <w:rPr>
          <w:rFonts w:ascii="Bookman Old Style" w:hAnsi="Bookman Old Style"/>
          <w:b/>
          <w:sz w:val="28"/>
          <w:szCs w:val="28"/>
          <w:lang w:val="en-US"/>
        </w:rPr>
        <w:t>Introduction</w:t>
      </w:r>
    </w:p>
    <w:p w14:paraId="6D749095" w14:textId="77777777" w:rsidR="006B1278" w:rsidRPr="00DC0678" w:rsidRDefault="006B1278" w:rsidP="007F293B">
      <w:pPr>
        <w:spacing w:line="360" w:lineRule="auto"/>
        <w:jc w:val="both"/>
        <w:rPr>
          <w:rFonts w:ascii="Bookman Old Style" w:hAnsi="Bookman Old Style"/>
          <w:b/>
          <w:sz w:val="28"/>
          <w:szCs w:val="28"/>
          <w:lang w:val="en-US"/>
        </w:rPr>
      </w:pPr>
    </w:p>
    <w:p w14:paraId="2BDB8B62" w14:textId="7168A1CE" w:rsidR="006B1278" w:rsidRPr="00DC0678" w:rsidRDefault="002826C5"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On appeal </w:t>
      </w:r>
      <w:r w:rsidR="006B1278" w:rsidRPr="00DC0678">
        <w:rPr>
          <w:rFonts w:ascii="Bookman Old Style" w:hAnsi="Bookman Old Style"/>
          <w:sz w:val="28"/>
          <w:szCs w:val="28"/>
          <w:lang w:val="en-US"/>
        </w:rPr>
        <w:t xml:space="preserve">are two </w:t>
      </w:r>
      <w:r w:rsidRPr="00DC0678">
        <w:rPr>
          <w:rFonts w:ascii="Bookman Old Style" w:hAnsi="Bookman Old Style"/>
          <w:sz w:val="28"/>
          <w:szCs w:val="28"/>
          <w:lang w:val="en-US"/>
        </w:rPr>
        <w:t xml:space="preserve">cases </w:t>
      </w:r>
      <w:r w:rsidR="006B1278" w:rsidRPr="00DC0678">
        <w:rPr>
          <w:rFonts w:ascii="Bookman Old Style" w:hAnsi="Bookman Old Style"/>
          <w:sz w:val="28"/>
          <w:szCs w:val="28"/>
          <w:lang w:val="en-US"/>
        </w:rPr>
        <w:t xml:space="preserve">arising from two civil applications heard by </w:t>
      </w:r>
      <w:proofErr w:type="spellStart"/>
      <w:r w:rsidR="006B1278" w:rsidRPr="00DC0678">
        <w:rPr>
          <w:rFonts w:ascii="Bookman Old Style" w:hAnsi="Bookman Old Style"/>
          <w:sz w:val="28"/>
          <w:szCs w:val="28"/>
          <w:lang w:val="en-US"/>
        </w:rPr>
        <w:t>Sakoane</w:t>
      </w:r>
      <w:proofErr w:type="spellEnd"/>
      <w:r w:rsidR="006B1278" w:rsidRPr="00DC0678">
        <w:rPr>
          <w:rFonts w:ascii="Bookman Old Style" w:hAnsi="Bookman Old Style"/>
          <w:sz w:val="28"/>
          <w:szCs w:val="28"/>
          <w:lang w:val="en-US"/>
        </w:rPr>
        <w:t xml:space="preserve"> CJ under CIV/APN/146/2021 (</w:t>
      </w:r>
      <w:r w:rsidR="00D10463" w:rsidRPr="00DC0678">
        <w:rPr>
          <w:rFonts w:ascii="Bookman Old Style" w:hAnsi="Bookman Old Style"/>
          <w:i/>
          <w:sz w:val="28"/>
          <w:szCs w:val="28"/>
          <w:lang w:val="en-US"/>
        </w:rPr>
        <w:t>Mabaso</w:t>
      </w:r>
      <w:r w:rsidR="006B1278" w:rsidRPr="00DC0678">
        <w:rPr>
          <w:rFonts w:ascii="Bookman Old Style" w:hAnsi="Bookman Old Style"/>
          <w:i/>
          <w:sz w:val="28"/>
          <w:szCs w:val="28"/>
          <w:lang w:val="en-US"/>
        </w:rPr>
        <w:t xml:space="preserve"> matter</w:t>
      </w:r>
      <w:r w:rsidR="006B1278" w:rsidRPr="00DC0678">
        <w:rPr>
          <w:rFonts w:ascii="Bookman Old Style" w:hAnsi="Bookman Old Style"/>
          <w:sz w:val="28"/>
          <w:szCs w:val="28"/>
          <w:lang w:val="en-US"/>
        </w:rPr>
        <w:t>) involving 6 applicants</w:t>
      </w:r>
      <w:r w:rsidR="00A352CD">
        <w:rPr>
          <w:rFonts w:ascii="Bookman Old Style" w:hAnsi="Bookman Old Style"/>
          <w:sz w:val="28"/>
          <w:szCs w:val="28"/>
          <w:lang w:val="en-US"/>
        </w:rPr>
        <w:t>,</w:t>
      </w:r>
      <w:r w:rsidR="006B1278" w:rsidRPr="00DC0678">
        <w:rPr>
          <w:rFonts w:ascii="Bookman Old Style" w:hAnsi="Bookman Old Style"/>
          <w:sz w:val="28"/>
          <w:szCs w:val="28"/>
          <w:lang w:val="en-US"/>
        </w:rPr>
        <w:t xml:space="preserve"> and CIV/APN/149/2021(</w:t>
      </w:r>
      <w:proofErr w:type="spellStart"/>
      <w:r w:rsidR="006B1278" w:rsidRPr="00DC0678">
        <w:rPr>
          <w:rFonts w:ascii="Bookman Old Style" w:hAnsi="Bookman Old Style"/>
          <w:i/>
          <w:sz w:val="28"/>
          <w:szCs w:val="28"/>
          <w:lang w:val="en-US"/>
        </w:rPr>
        <w:t>Kanono</w:t>
      </w:r>
      <w:proofErr w:type="spellEnd"/>
      <w:r w:rsidR="006B1278" w:rsidRPr="00DC0678">
        <w:rPr>
          <w:rFonts w:ascii="Bookman Old Style" w:hAnsi="Bookman Old Style"/>
          <w:i/>
          <w:sz w:val="28"/>
          <w:szCs w:val="28"/>
          <w:lang w:val="en-US"/>
        </w:rPr>
        <w:t xml:space="preserve"> matter</w:t>
      </w:r>
      <w:r w:rsidR="006B1278" w:rsidRPr="00DC0678">
        <w:rPr>
          <w:rFonts w:ascii="Bookman Old Style" w:hAnsi="Bookman Old Style"/>
          <w:sz w:val="28"/>
          <w:szCs w:val="28"/>
          <w:lang w:val="en-US"/>
        </w:rPr>
        <w:t xml:space="preserve">). The </w:t>
      </w:r>
      <w:r w:rsidR="0054365B" w:rsidRPr="00DC0678">
        <w:rPr>
          <w:rFonts w:ascii="Bookman Old Style" w:hAnsi="Bookman Old Style"/>
          <w:sz w:val="28"/>
          <w:szCs w:val="28"/>
          <w:lang w:val="en-US"/>
        </w:rPr>
        <w:t xml:space="preserve">two matters </w:t>
      </w:r>
      <w:r w:rsidR="006B1278" w:rsidRPr="00DC0678">
        <w:rPr>
          <w:rFonts w:ascii="Bookman Old Style" w:hAnsi="Bookman Old Style"/>
          <w:sz w:val="28"/>
          <w:szCs w:val="28"/>
          <w:lang w:val="en-US"/>
        </w:rPr>
        <w:t xml:space="preserve">were heard together because they raised similar </w:t>
      </w:r>
      <w:r w:rsidR="006B1278" w:rsidRPr="00DC0678">
        <w:rPr>
          <w:rFonts w:ascii="Bookman Old Style" w:hAnsi="Bookman Old Style"/>
          <w:sz w:val="28"/>
          <w:szCs w:val="28"/>
          <w:lang w:val="en-US"/>
        </w:rPr>
        <w:lastRenderedPageBreak/>
        <w:t>factual and legal issues and the learned Chief Justice disposed them of in a single judgment for that reason.</w:t>
      </w:r>
    </w:p>
    <w:p w14:paraId="759D1626" w14:textId="77777777" w:rsidR="00DC0678" w:rsidRPr="00DC0678" w:rsidRDefault="00DC0678" w:rsidP="00DC0678">
      <w:pPr>
        <w:pStyle w:val="ListParagraph"/>
        <w:spacing w:line="360" w:lineRule="auto"/>
        <w:ind w:left="0"/>
        <w:jc w:val="both"/>
        <w:rPr>
          <w:rFonts w:ascii="Bookman Old Style" w:hAnsi="Bookman Old Style"/>
          <w:sz w:val="28"/>
          <w:szCs w:val="28"/>
          <w:lang w:val="en-US"/>
        </w:rPr>
      </w:pPr>
    </w:p>
    <w:p w14:paraId="0708EFD0" w14:textId="6F49147A" w:rsidR="00DC0678" w:rsidRPr="00DC0678" w:rsidRDefault="00DC0678"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In both matters the </w:t>
      </w:r>
      <w:r w:rsidR="00A4540A">
        <w:rPr>
          <w:rFonts w:ascii="Bookman Old Style" w:hAnsi="Bookman Old Style"/>
          <w:sz w:val="28"/>
          <w:szCs w:val="28"/>
          <w:lang w:val="en-US"/>
        </w:rPr>
        <w:t>respondents (</w:t>
      </w:r>
      <w:r w:rsidRPr="00DC0678">
        <w:rPr>
          <w:rFonts w:ascii="Bookman Old Style" w:hAnsi="Bookman Old Style"/>
          <w:sz w:val="28"/>
          <w:szCs w:val="28"/>
          <w:lang w:val="en-US"/>
        </w:rPr>
        <w:t>applicants</w:t>
      </w:r>
      <w:r w:rsidR="00A4540A">
        <w:rPr>
          <w:rFonts w:ascii="Bookman Old Style" w:hAnsi="Bookman Old Style"/>
          <w:sz w:val="28"/>
          <w:szCs w:val="28"/>
          <w:lang w:val="en-US"/>
        </w:rPr>
        <w:t xml:space="preserve"> </w:t>
      </w:r>
      <w:r w:rsidR="00A4540A" w:rsidRPr="00A4540A">
        <w:rPr>
          <w:rFonts w:ascii="Bookman Old Style" w:hAnsi="Bookman Old Style"/>
          <w:i/>
          <w:sz w:val="28"/>
          <w:szCs w:val="28"/>
          <w:lang w:val="en-US"/>
        </w:rPr>
        <w:t>a quo</w:t>
      </w:r>
      <w:r w:rsidR="00A4540A">
        <w:rPr>
          <w:rFonts w:ascii="Bookman Old Style" w:hAnsi="Bookman Old Style"/>
          <w:sz w:val="28"/>
          <w:szCs w:val="28"/>
          <w:lang w:val="en-US"/>
        </w:rPr>
        <w:t>)</w:t>
      </w:r>
      <w:r w:rsidRPr="00DC0678">
        <w:rPr>
          <w:rFonts w:ascii="Bookman Old Style" w:hAnsi="Bookman Old Style"/>
          <w:sz w:val="28"/>
          <w:szCs w:val="28"/>
          <w:lang w:val="en-US"/>
        </w:rPr>
        <w:t xml:space="preserve"> are public servants in the employ of the Ministry of Foreign Affairs and International Relations (MFAIR) of which the first appellant is the </w:t>
      </w:r>
      <w:r w:rsidR="002F3187">
        <w:rPr>
          <w:rFonts w:ascii="Bookman Old Style" w:hAnsi="Bookman Old Style"/>
          <w:sz w:val="28"/>
          <w:szCs w:val="28"/>
          <w:lang w:val="en-US"/>
        </w:rPr>
        <w:t>P</w:t>
      </w:r>
      <w:r w:rsidRPr="00DC0678">
        <w:rPr>
          <w:rFonts w:ascii="Bookman Old Style" w:hAnsi="Bookman Old Style"/>
          <w:sz w:val="28"/>
          <w:szCs w:val="28"/>
          <w:lang w:val="en-US"/>
        </w:rPr>
        <w:t xml:space="preserve">rincipal </w:t>
      </w:r>
      <w:r w:rsidR="002F3187">
        <w:rPr>
          <w:rFonts w:ascii="Bookman Old Style" w:hAnsi="Bookman Old Style"/>
          <w:sz w:val="28"/>
          <w:szCs w:val="28"/>
          <w:lang w:val="en-US"/>
        </w:rPr>
        <w:t>S</w:t>
      </w:r>
      <w:r w:rsidRPr="00DC0678">
        <w:rPr>
          <w:rFonts w:ascii="Bookman Old Style" w:hAnsi="Bookman Old Style"/>
          <w:sz w:val="28"/>
          <w:szCs w:val="28"/>
          <w:lang w:val="en-US"/>
        </w:rPr>
        <w:t>ecretary (PS</w:t>
      </w:r>
      <w:r w:rsidR="00C119D6">
        <w:rPr>
          <w:rFonts w:ascii="Bookman Old Style" w:hAnsi="Bookman Old Style"/>
          <w:sz w:val="28"/>
          <w:szCs w:val="28"/>
          <w:lang w:val="en-US"/>
        </w:rPr>
        <w:t xml:space="preserve"> of</w:t>
      </w:r>
      <w:r w:rsidRPr="00DC0678">
        <w:rPr>
          <w:rFonts w:ascii="Bookman Old Style" w:hAnsi="Bookman Old Style"/>
          <w:sz w:val="28"/>
          <w:szCs w:val="28"/>
          <w:lang w:val="en-US"/>
        </w:rPr>
        <w:t xml:space="preserve"> </w:t>
      </w:r>
      <w:r w:rsidR="00C119D6">
        <w:rPr>
          <w:rFonts w:ascii="Bookman Old Style" w:hAnsi="Bookman Old Style"/>
          <w:sz w:val="28"/>
          <w:szCs w:val="28"/>
          <w:lang w:val="en-US"/>
        </w:rPr>
        <w:t xml:space="preserve">the </w:t>
      </w:r>
      <w:r w:rsidRPr="00DC0678">
        <w:rPr>
          <w:rFonts w:ascii="Bookman Old Style" w:hAnsi="Bookman Old Style"/>
          <w:sz w:val="28"/>
          <w:szCs w:val="28"/>
          <w:lang w:val="en-US"/>
        </w:rPr>
        <w:t xml:space="preserve">MFAIR). The actions of </w:t>
      </w:r>
      <w:r w:rsidR="00A352CD">
        <w:rPr>
          <w:rFonts w:ascii="Bookman Old Style" w:hAnsi="Bookman Old Style"/>
          <w:sz w:val="28"/>
          <w:szCs w:val="28"/>
          <w:lang w:val="en-US"/>
        </w:rPr>
        <w:t xml:space="preserve">the </w:t>
      </w:r>
      <w:r w:rsidR="002F3187">
        <w:rPr>
          <w:rFonts w:ascii="Bookman Old Style" w:hAnsi="Bookman Old Style"/>
          <w:sz w:val="28"/>
          <w:szCs w:val="28"/>
          <w:lang w:val="en-US"/>
        </w:rPr>
        <w:t>P</w:t>
      </w:r>
      <w:r w:rsidRPr="00DC0678">
        <w:rPr>
          <w:rFonts w:ascii="Bookman Old Style" w:hAnsi="Bookman Old Style"/>
          <w:sz w:val="28"/>
          <w:szCs w:val="28"/>
          <w:lang w:val="en-US"/>
        </w:rPr>
        <w:t xml:space="preserve">rincipal </w:t>
      </w:r>
      <w:r w:rsidR="002F3187">
        <w:rPr>
          <w:rFonts w:ascii="Bookman Old Style" w:hAnsi="Bookman Old Style"/>
          <w:sz w:val="28"/>
          <w:szCs w:val="28"/>
          <w:lang w:val="en-US"/>
        </w:rPr>
        <w:t>Se</w:t>
      </w:r>
      <w:r w:rsidRPr="00DC0678">
        <w:rPr>
          <w:rFonts w:ascii="Bookman Old Style" w:hAnsi="Bookman Old Style"/>
          <w:sz w:val="28"/>
          <w:szCs w:val="28"/>
          <w:lang w:val="en-US"/>
        </w:rPr>
        <w:t>cretary for Public Service (PS o</w:t>
      </w:r>
      <w:r w:rsidR="00C119D6">
        <w:rPr>
          <w:rFonts w:ascii="Bookman Old Style" w:hAnsi="Bookman Old Style"/>
          <w:sz w:val="28"/>
          <w:szCs w:val="28"/>
          <w:lang w:val="en-US"/>
        </w:rPr>
        <w:t>f</w:t>
      </w:r>
      <w:r w:rsidRPr="00DC0678">
        <w:rPr>
          <w:rFonts w:ascii="Bookman Old Style" w:hAnsi="Bookman Old Style"/>
          <w:sz w:val="28"/>
          <w:szCs w:val="28"/>
          <w:lang w:val="en-US"/>
        </w:rPr>
        <w:t xml:space="preserve"> </w:t>
      </w:r>
      <w:r w:rsidR="00107F90">
        <w:rPr>
          <w:rFonts w:ascii="Bookman Old Style" w:hAnsi="Bookman Old Style"/>
          <w:sz w:val="28"/>
          <w:szCs w:val="28"/>
          <w:lang w:val="en-US"/>
        </w:rPr>
        <w:t xml:space="preserve">the </w:t>
      </w:r>
      <w:r w:rsidRPr="00DC0678">
        <w:rPr>
          <w:rFonts w:ascii="Bookman Old Style" w:hAnsi="Bookman Old Style"/>
          <w:sz w:val="28"/>
          <w:szCs w:val="28"/>
          <w:lang w:val="en-US"/>
        </w:rPr>
        <w:t xml:space="preserve">PS) and his counterpart, the PS </w:t>
      </w:r>
      <w:r w:rsidR="00C119D6">
        <w:rPr>
          <w:rFonts w:ascii="Bookman Old Style" w:hAnsi="Bookman Old Style"/>
          <w:sz w:val="28"/>
          <w:szCs w:val="28"/>
          <w:lang w:val="en-US"/>
        </w:rPr>
        <w:t xml:space="preserve">of the </w:t>
      </w:r>
      <w:r w:rsidRPr="00DC0678">
        <w:rPr>
          <w:rFonts w:ascii="Bookman Old Style" w:hAnsi="Bookman Old Style"/>
          <w:sz w:val="28"/>
          <w:szCs w:val="28"/>
          <w:lang w:val="en-US"/>
        </w:rPr>
        <w:t>MFAIR, gave rise to the litigation instituted on urgent basis in the High Court by the affected public servants in the two matters.</w:t>
      </w:r>
    </w:p>
    <w:p w14:paraId="2D12E52E" w14:textId="77777777" w:rsidR="00DC0678" w:rsidRPr="00DC0678" w:rsidRDefault="00DC0678" w:rsidP="00DC0678">
      <w:pPr>
        <w:pStyle w:val="ListParagraph"/>
        <w:rPr>
          <w:rFonts w:ascii="Bookman Old Style" w:hAnsi="Bookman Old Style"/>
          <w:sz w:val="28"/>
          <w:szCs w:val="28"/>
          <w:lang w:val="en-US"/>
        </w:rPr>
      </w:pPr>
    </w:p>
    <w:p w14:paraId="6FE1309D" w14:textId="57A6A134" w:rsidR="00DC0678" w:rsidRPr="00DC0678" w:rsidRDefault="00DC0678"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At the hearing of the appeal, learned counsel for the </w:t>
      </w:r>
      <w:proofErr w:type="spellStart"/>
      <w:r w:rsidRPr="00DC0678">
        <w:rPr>
          <w:rFonts w:ascii="Bookman Old Style" w:hAnsi="Bookman Old Style"/>
          <w:sz w:val="28"/>
          <w:szCs w:val="28"/>
          <w:lang w:val="en-US"/>
        </w:rPr>
        <w:t>GoL</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Mr</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Letompa</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Letlatsa</w:t>
      </w:r>
      <w:proofErr w:type="spellEnd"/>
      <w:r w:rsidRPr="00DC0678">
        <w:rPr>
          <w:rFonts w:ascii="Bookman Old Style" w:hAnsi="Bookman Old Style"/>
          <w:sz w:val="28"/>
          <w:szCs w:val="28"/>
          <w:lang w:val="en-US"/>
        </w:rPr>
        <w:t xml:space="preserve">, conceded that the appeal in the </w:t>
      </w:r>
      <w:proofErr w:type="spellStart"/>
      <w:r w:rsidRPr="00DC0678">
        <w:rPr>
          <w:rFonts w:ascii="Bookman Old Style" w:hAnsi="Bookman Old Style"/>
          <w:i/>
          <w:sz w:val="28"/>
          <w:szCs w:val="28"/>
          <w:lang w:val="en-US"/>
        </w:rPr>
        <w:t>Kanono</w:t>
      </w:r>
      <w:proofErr w:type="spellEnd"/>
      <w:r w:rsidRPr="00DC0678">
        <w:rPr>
          <w:rFonts w:ascii="Bookman Old Style" w:hAnsi="Bookman Old Style"/>
          <w:i/>
          <w:sz w:val="28"/>
          <w:szCs w:val="28"/>
          <w:lang w:val="en-US"/>
        </w:rPr>
        <w:t xml:space="preserve"> matter</w:t>
      </w:r>
      <w:r w:rsidRPr="00DC0678">
        <w:rPr>
          <w:rFonts w:ascii="Bookman Old Style" w:hAnsi="Bookman Old Style"/>
          <w:sz w:val="28"/>
          <w:szCs w:val="28"/>
          <w:lang w:val="en-US"/>
        </w:rPr>
        <w:t xml:space="preserve"> must succeed. For that reason, I find it unnecessary to traverse the pleadings relating to the </w:t>
      </w:r>
      <w:proofErr w:type="spellStart"/>
      <w:r w:rsidRPr="00DC0678">
        <w:rPr>
          <w:rFonts w:ascii="Bookman Old Style" w:hAnsi="Bookman Old Style"/>
          <w:i/>
          <w:sz w:val="28"/>
          <w:szCs w:val="28"/>
          <w:lang w:val="en-US"/>
        </w:rPr>
        <w:t>Kanono</w:t>
      </w:r>
      <w:proofErr w:type="spellEnd"/>
      <w:r w:rsidRPr="00DC0678">
        <w:rPr>
          <w:rFonts w:ascii="Bookman Old Style" w:hAnsi="Bookman Old Style"/>
          <w:sz w:val="28"/>
          <w:szCs w:val="28"/>
          <w:lang w:val="en-US"/>
        </w:rPr>
        <w:t xml:space="preserve"> </w:t>
      </w:r>
      <w:r w:rsidRPr="00A352CD">
        <w:rPr>
          <w:rFonts w:ascii="Bookman Old Style" w:hAnsi="Bookman Old Style"/>
          <w:i/>
          <w:sz w:val="28"/>
          <w:szCs w:val="28"/>
          <w:lang w:val="en-US"/>
        </w:rPr>
        <w:t>matter</w:t>
      </w:r>
      <w:r w:rsidRPr="00DC0678">
        <w:rPr>
          <w:rFonts w:ascii="Bookman Old Style" w:hAnsi="Bookman Old Style"/>
          <w:sz w:val="28"/>
          <w:szCs w:val="28"/>
          <w:lang w:val="en-US"/>
        </w:rPr>
        <w:t xml:space="preserve">. I will make further brief comments about the </w:t>
      </w:r>
      <w:proofErr w:type="spellStart"/>
      <w:r w:rsidRPr="00A352CD">
        <w:rPr>
          <w:rFonts w:ascii="Bookman Old Style" w:hAnsi="Bookman Old Style"/>
          <w:i/>
          <w:sz w:val="28"/>
          <w:szCs w:val="28"/>
          <w:lang w:val="en-US"/>
        </w:rPr>
        <w:t>Kanono</w:t>
      </w:r>
      <w:proofErr w:type="spellEnd"/>
      <w:r w:rsidRPr="00A352CD">
        <w:rPr>
          <w:rFonts w:ascii="Bookman Old Style" w:hAnsi="Bookman Old Style"/>
          <w:i/>
          <w:sz w:val="28"/>
          <w:szCs w:val="28"/>
          <w:lang w:val="en-US"/>
        </w:rPr>
        <w:t xml:space="preserve"> </w:t>
      </w:r>
      <w:r w:rsidR="00A352CD" w:rsidRPr="00A352CD">
        <w:rPr>
          <w:rFonts w:ascii="Bookman Old Style" w:hAnsi="Bookman Old Style"/>
          <w:i/>
          <w:sz w:val="28"/>
          <w:szCs w:val="28"/>
          <w:lang w:val="en-US"/>
        </w:rPr>
        <w:t>matter</w:t>
      </w:r>
      <w:r w:rsidR="00A352CD">
        <w:rPr>
          <w:rFonts w:ascii="Bookman Old Style" w:hAnsi="Bookman Old Style"/>
          <w:sz w:val="28"/>
          <w:szCs w:val="28"/>
          <w:lang w:val="en-US"/>
        </w:rPr>
        <w:t xml:space="preserve"> </w:t>
      </w:r>
      <w:r w:rsidRPr="00DC0678">
        <w:rPr>
          <w:rFonts w:ascii="Bookman Old Style" w:hAnsi="Bookman Old Style"/>
          <w:sz w:val="28"/>
          <w:szCs w:val="28"/>
          <w:lang w:val="en-US"/>
        </w:rPr>
        <w:t xml:space="preserve">at the end of </w:t>
      </w:r>
      <w:r w:rsidR="00107F90">
        <w:rPr>
          <w:rFonts w:ascii="Bookman Old Style" w:hAnsi="Bookman Old Style"/>
          <w:sz w:val="28"/>
          <w:szCs w:val="28"/>
          <w:lang w:val="en-US"/>
        </w:rPr>
        <w:t xml:space="preserve">this </w:t>
      </w:r>
      <w:r w:rsidRPr="00DC0678">
        <w:rPr>
          <w:rFonts w:ascii="Bookman Old Style" w:hAnsi="Bookman Old Style"/>
          <w:sz w:val="28"/>
          <w:szCs w:val="28"/>
          <w:lang w:val="en-US"/>
        </w:rPr>
        <w:t xml:space="preserve">judgment from which it will be clear that the </w:t>
      </w:r>
      <w:proofErr w:type="spellStart"/>
      <w:r w:rsidRPr="00DC0678">
        <w:rPr>
          <w:rFonts w:ascii="Bookman Old Style" w:hAnsi="Bookman Old Style"/>
          <w:sz w:val="28"/>
          <w:szCs w:val="28"/>
          <w:lang w:val="en-US"/>
        </w:rPr>
        <w:t>GoL’s</w:t>
      </w:r>
      <w:proofErr w:type="spellEnd"/>
      <w:r w:rsidRPr="00DC0678">
        <w:rPr>
          <w:rFonts w:ascii="Bookman Old Style" w:hAnsi="Bookman Old Style"/>
          <w:sz w:val="28"/>
          <w:szCs w:val="28"/>
          <w:lang w:val="en-US"/>
        </w:rPr>
        <w:t xml:space="preserve"> concession </w:t>
      </w:r>
      <w:r w:rsidRPr="00DC0678">
        <w:rPr>
          <w:rFonts w:ascii="Bookman Old Style" w:hAnsi="Bookman Old Style"/>
          <w:i/>
          <w:sz w:val="28"/>
          <w:szCs w:val="28"/>
          <w:lang w:val="en-US"/>
        </w:rPr>
        <w:t>vis a vis</w:t>
      </w:r>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Ms</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Kanono</w:t>
      </w:r>
      <w:proofErr w:type="spellEnd"/>
      <w:r w:rsidRPr="00DC0678">
        <w:rPr>
          <w:rFonts w:ascii="Bookman Old Style" w:hAnsi="Bookman Old Style"/>
          <w:sz w:val="28"/>
          <w:szCs w:val="28"/>
          <w:lang w:val="en-US"/>
        </w:rPr>
        <w:t xml:space="preserve"> was properly made.</w:t>
      </w:r>
    </w:p>
    <w:p w14:paraId="51EBE7B8" w14:textId="77777777" w:rsidR="006B1278" w:rsidRPr="00DC0678" w:rsidRDefault="006B1278" w:rsidP="007F293B">
      <w:pPr>
        <w:spacing w:line="360" w:lineRule="auto"/>
        <w:jc w:val="both"/>
        <w:rPr>
          <w:rFonts w:ascii="Bookman Old Style" w:hAnsi="Bookman Old Style"/>
          <w:sz w:val="28"/>
          <w:szCs w:val="28"/>
          <w:lang w:val="en-US"/>
        </w:rPr>
      </w:pPr>
    </w:p>
    <w:p w14:paraId="1D0B5A11" w14:textId="534C00A3" w:rsidR="0016211A" w:rsidRPr="00DC0678" w:rsidRDefault="00B9329D" w:rsidP="007F293B">
      <w:pPr>
        <w:spacing w:line="360" w:lineRule="auto"/>
        <w:jc w:val="both"/>
        <w:rPr>
          <w:rFonts w:ascii="Bookman Old Style" w:hAnsi="Bookman Old Style"/>
          <w:b/>
          <w:sz w:val="28"/>
          <w:szCs w:val="28"/>
          <w:lang w:val="en-US"/>
        </w:rPr>
      </w:pPr>
      <w:r w:rsidRPr="00DC0678">
        <w:rPr>
          <w:rFonts w:ascii="Bookman Old Style" w:hAnsi="Bookman Old Style"/>
          <w:b/>
          <w:sz w:val="28"/>
          <w:szCs w:val="28"/>
          <w:lang w:val="en-US"/>
        </w:rPr>
        <w:t>The Mabaso matter</w:t>
      </w:r>
    </w:p>
    <w:p w14:paraId="284FDFAD" w14:textId="7BED83D9" w:rsidR="004523E1" w:rsidRDefault="006E2981"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The applicants in the </w:t>
      </w:r>
      <w:r w:rsidRPr="00DC0678">
        <w:rPr>
          <w:rFonts w:ascii="Bookman Old Style" w:hAnsi="Bookman Old Style"/>
          <w:i/>
          <w:sz w:val="28"/>
          <w:szCs w:val="28"/>
          <w:lang w:val="en-US"/>
        </w:rPr>
        <w:t>Mabaso</w:t>
      </w:r>
      <w:r w:rsidRPr="00DC0678">
        <w:rPr>
          <w:rFonts w:ascii="Bookman Old Style" w:hAnsi="Bookman Old Style"/>
          <w:sz w:val="28"/>
          <w:szCs w:val="28"/>
          <w:lang w:val="en-US"/>
        </w:rPr>
        <w:t xml:space="preserve"> </w:t>
      </w:r>
      <w:r w:rsidRPr="00A352CD">
        <w:rPr>
          <w:rFonts w:ascii="Bookman Old Style" w:hAnsi="Bookman Old Style"/>
          <w:i/>
          <w:sz w:val="28"/>
          <w:szCs w:val="28"/>
          <w:lang w:val="en-US"/>
        </w:rPr>
        <w:t>matter</w:t>
      </w:r>
      <w:r w:rsidRPr="00DC0678">
        <w:rPr>
          <w:rFonts w:ascii="Bookman Old Style" w:hAnsi="Bookman Old Style"/>
          <w:sz w:val="28"/>
          <w:szCs w:val="28"/>
          <w:lang w:val="en-US"/>
        </w:rPr>
        <w:t xml:space="preserve"> were employees</w:t>
      </w:r>
      <w:r w:rsidR="008568DF" w:rsidRPr="00DC0678">
        <w:rPr>
          <w:rFonts w:ascii="Bookman Old Style" w:hAnsi="Bookman Old Style"/>
          <w:sz w:val="28"/>
          <w:szCs w:val="28"/>
          <w:lang w:val="en-US"/>
        </w:rPr>
        <w:t xml:space="preserve"> of the MFAIR and consider themselves as career diplomats with extensive training and experience in the work of that Ministry.</w:t>
      </w:r>
      <w:r w:rsidRPr="00DC0678">
        <w:rPr>
          <w:rFonts w:ascii="Bookman Old Style" w:hAnsi="Bookman Old Style"/>
          <w:sz w:val="28"/>
          <w:szCs w:val="28"/>
          <w:lang w:val="en-US"/>
        </w:rPr>
        <w:t xml:space="preserve"> The</w:t>
      </w:r>
      <w:r w:rsidR="008568DF" w:rsidRPr="00DC0678">
        <w:rPr>
          <w:rFonts w:ascii="Bookman Old Style" w:hAnsi="Bookman Old Style"/>
          <w:sz w:val="28"/>
          <w:szCs w:val="28"/>
          <w:lang w:val="en-US"/>
        </w:rPr>
        <w:t>ir</w:t>
      </w:r>
      <w:r w:rsidRPr="00DC0678">
        <w:rPr>
          <w:rFonts w:ascii="Bookman Old Style" w:hAnsi="Bookman Old Style"/>
          <w:sz w:val="28"/>
          <w:szCs w:val="28"/>
          <w:lang w:val="en-US"/>
        </w:rPr>
        <w:t xml:space="preserve"> grievance stems from their transfer</w:t>
      </w:r>
      <w:r w:rsidR="008568DF" w:rsidRPr="00DC0678">
        <w:rPr>
          <w:rFonts w:ascii="Bookman Old Style" w:hAnsi="Bookman Old Style"/>
          <w:sz w:val="28"/>
          <w:szCs w:val="28"/>
          <w:lang w:val="en-US"/>
        </w:rPr>
        <w:t>, with immediate effect,</w:t>
      </w:r>
      <w:r w:rsidRPr="00DC0678">
        <w:rPr>
          <w:rFonts w:ascii="Bookman Old Style" w:hAnsi="Bookman Old Style"/>
          <w:sz w:val="28"/>
          <w:szCs w:val="28"/>
          <w:lang w:val="en-US"/>
        </w:rPr>
        <w:t xml:space="preserve"> by the PS o</w:t>
      </w:r>
      <w:r w:rsidR="00286ECC">
        <w:rPr>
          <w:rFonts w:ascii="Bookman Old Style" w:hAnsi="Bookman Old Style"/>
          <w:sz w:val="28"/>
          <w:szCs w:val="28"/>
          <w:lang w:val="en-US"/>
        </w:rPr>
        <w:t>f</w:t>
      </w:r>
      <w:r w:rsidRPr="00DC0678">
        <w:rPr>
          <w:rFonts w:ascii="Bookman Old Style" w:hAnsi="Bookman Old Style"/>
          <w:sz w:val="28"/>
          <w:szCs w:val="28"/>
          <w:lang w:val="en-US"/>
        </w:rPr>
        <w:t xml:space="preserve"> </w:t>
      </w:r>
      <w:r w:rsidR="002F3187">
        <w:rPr>
          <w:rFonts w:ascii="Bookman Old Style" w:hAnsi="Bookman Old Style"/>
          <w:sz w:val="28"/>
          <w:szCs w:val="28"/>
          <w:lang w:val="en-US"/>
        </w:rPr>
        <w:t xml:space="preserve">the </w:t>
      </w:r>
      <w:r w:rsidRPr="00DC0678">
        <w:rPr>
          <w:rFonts w:ascii="Bookman Old Style" w:hAnsi="Bookman Old Style"/>
          <w:sz w:val="28"/>
          <w:szCs w:val="28"/>
          <w:lang w:val="en-US"/>
        </w:rPr>
        <w:t xml:space="preserve">PS from the MFAIR to other ministries of the </w:t>
      </w:r>
      <w:proofErr w:type="spellStart"/>
      <w:r w:rsidRPr="00DC0678">
        <w:rPr>
          <w:rFonts w:ascii="Bookman Old Style" w:hAnsi="Bookman Old Style"/>
          <w:sz w:val="28"/>
          <w:szCs w:val="28"/>
          <w:lang w:val="en-US"/>
        </w:rPr>
        <w:t>GoL</w:t>
      </w:r>
      <w:proofErr w:type="spellEnd"/>
      <w:r w:rsidR="008758FE" w:rsidRPr="00DC0678">
        <w:rPr>
          <w:rFonts w:ascii="Bookman Old Style" w:hAnsi="Bookman Old Style"/>
          <w:sz w:val="28"/>
          <w:szCs w:val="28"/>
          <w:lang w:val="en-US"/>
        </w:rPr>
        <w:t xml:space="preserve"> (the receiving ministries)</w:t>
      </w:r>
      <w:r w:rsidRPr="00DC0678">
        <w:rPr>
          <w:rFonts w:ascii="Bookman Old Style" w:hAnsi="Bookman Old Style"/>
          <w:sz w:val="28"/>
          <w:szCs w:val="28"/>
          <w:lang w:val="en-US"/>
        </w:rPr>
        <w:t>.</w:t>
      </w:r>
      <w:r w:rsidR="008568DF" w:rsidRPr="00DC0678">
        <w:rPr>
          <w:rFonts w:ascii="Bookman Old Style" w:hAnsi="Bookman Old Style"/>
          <w:sz w:val="28"/>
          <w:szCs w:val="28"/>
          <w:lang w:val="en-US"/>
        </w:rPr>
        <w:t xml:space="preserve"> </w:t>
      </w:r>
      <w:r w:rsidR="008758FE" w:rsidRPr="00DC0678">
        <w:rPr>
          <w:rFonts w:ascii="Bookman Old Style" w:hAnsi="Bookman Old Style"/>
          <w:sz w:val="28"/>
          <w:szCs w:val="28"/>
          <w:lang w:val="en-US"/>
        </w:rPr>
        <w:t xml:space="preserve">The </w:t>
      </w:r>
      <w:r w:rsidR="00A4540A">
        <w:rPr>
          <w:rFonts w:ascii="Bookman Old Style" w:hAnsi="Bookman Old Style"/>
          <w:sz w:val="28"/>
          <w:szCs w:val="28"/>
          <w:lang w:val="en-US"/>
        </w:rPr>
        <w:t xml:space="preserve">applicants’ </w:t>
      </w:r>
      <w:r w:rsidR="008758FE" w:rsidRPr="00DC0678">
        <w:rPr>
          <w:rFonts w:ascii="Bookman Old Style" w:hAnsi="Bookman Old Style"/>
          <w:sz w:val="28"/>
          <w:szCs w:val="28"/>
          <w:lang w:val="en-US"/>
        </w:rPr>
        <w:t xml:space="preserve">letters of transfer are dated </w:t>
      </w:r>
      <w:r w:rsidR="008758FE" w:rsidRPr="00DC0678">
        <w:rPr>
          <w:rFonts w:ascii="Bookman Old Style" w:hAnsi="Bookman Old Style"/>
          <w:sz w:val="28"/>
          <w:szCs w:val="28"/>
          <w:lang w:val="en-US"/>
        </w:rPr>
        <w:lastRenderedPageBreak/>
        <w:t>28 April 2021 and directed them to be</w:t>
      </w:r>
      <w:r w:rsidR="00107F90">
        <w:rPr>
          <w:rFonts w:ascii="Bookman Old Style" w:hAnsi="Bookman Old Style"/>
          <w:sz w:val="28"/>
          <w:szCs w:val="28"/>
          <w:lang w:val="en-US"/>
        </w:rPr>
        <w:t xml:space="preserve"> at their respective receiving M</w:t>
      </w:r>
      <w:r w:rsidR="008758FE" w:rsidRPr="00DC0678">
        <w:rPr>
          <w:rFonts w:ascii="Bookman Old Style" w:hAnsi="Bookman Old Style"/>
          <w:sz w:val="28"/>
          <w:szCs w:val="28"/>
          <w:lang w:val="en-US"/>
        </w:rPr>
        <w:t>inistries on 3 May.</w:t>
      </w:r>
    </w:p>
    <w:p w14:paraId="2C5B214E" w14:textId="77777777" w:rsidR="00DC0678" w:rsidRDefault="00DC0678" w:rsidP="00DC0678">
      <w:pPr>
        <w:pStyle w:val="ListParagraph"/>
        <w:spacing w:line="360" w:lineRule="auto"/>
        <w:ind w:left="0"/>
        <w:jc w:val="both"/>
        <w:rPr>
          <w:rFonts w:ascii="Bookman Old Style" w:hAnsi="Bookman Old Style"/>
          <w:sz w:val="28"/>
          <w:szCs w:val="28"/>
          <w:lang w:val="en-US"/>
        </w:rPr>
      </w:pPr>
    </w:p>
    <w:p w14:paraId="3E6C11D0" w14:textId="1C0FBA8D" w:rsidR="008568DF" w:rsidRPr="00DC0678" w:rsidRDefault="008568DF" w:rsidP="007F293B">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It was common ground </w:t>
      </w:r>
      <w:r w:rsidRPr="00DC0678">
        <w:rPr>
          <w:rFonts w:ascii="Bookman Old Style" w:hAnsi="Bookman Old Style"/>
          <w:i/>
          <w:sz w:val="28"/>
          <w:szCs w:val="28"/>
          <w:lang w:val="en-US"/>
        </w:rPr>
        <w:t>a quo</w:t>
      </w:r>
      <w:r w:rsidRPr="00DC0678">
        <w:rPr>
          <w:rFonts w:ascii="Bookman Old Style" w:hAnsi="Bookman Old Style"/>
          <w:sz w:val="28"/>
          <w:szCs w:val="28"/>
          <w:lang w:val="en-US"/>
        </w:rPr>
        <w:t xml:space="preserve"> that the transfer with immediate effect was without the applicants being afforded an opportunity to be heard or to make representations.</w:t>
      </w:r>
      <w:r w:rsidR="008758FE" w:rsidRPr="00DC0678">
        <w:rPr>
          <w:rFonts w:ascii="Bookman Old Style" w:hAnsi="Bookman Old Style"/>
          <w:sz w:val="28"/>
          <w:szCs w:val="28"/>
          <w:lang w:val="en-US"/>
        </w:rPr>
        <w:t xml:space="preserve"> </w:t>
      </w:r>
      <w:r w:rsidRPr="00DC0678">
        <w:rPr>
          <w:rFonts w:ascii="Bookman Old Style" w:hAnsi="Bookman Old Style"/>
          <w:sz w:val="28"/>
          <w:szCs w:val="28"/>
          <w:lang w:val="en-US"/>
        </w:rPr>
        <w:t xml:space="preserve">Because of the transfer, the applicants approached </w:t>
      </w:r>
      <w:r w:rsidR="00C64C0F" w:rsidRPr="00DC0678">
        <w:rPr>
          <w:rFonts w:ascii="Bookman Old Style" w:hAnsi="Bookman Old Style"/>
          <w:sz w:val="28"/>
          <w:szCs w:val="28"/>
          <w:lang w:val="en-US"/>
        </w:rPr>
        <w:t xml:space="preserve">the High Court </w:t>
      </w:r>
      <w:r w:rsidRPr="00DC0678">
        <w:rPr>
          <w:rFonts w:ascii="Bookman Old Style" w:hAnsi="Bookman Old Style"/>
          <w:sz w:val="28"/>
          <w:szCs w:val="28"/>
          <w:lang w:val="en-US"/>
        </w:rPr>
        <w:t xml:space="preserve">on an urgent basis and obtained an interim interdict pending the </w:t>
      </w:r>
      <w:proofErr w:type="spellStart"/>
      <w:r w:rsidRPr="00DC0678">
        <w:rPr>
          <w:rFonts w:ascii="Bookman Old Style" w:hAnsi="Bookman Old Style"/>
          <w:sz w:val="28"/>
          <w:szCs w:val="28"/>
          <w:lang w:val="en-US"/>
        </w:rPr>
        <w:t>finalisation</w:t>
      </w:r>
      <w:proofErr w:type="spellEnd"/>
      <w:r w:rsidRPr="00DC0678">
        <w:rPr>
          <w:rFonts w:ascii="Bookman Old Style" w:hAnsi="Bookman Old Style"/>
          <w:sz w:val="28"/>
          <w:szCs w:val="28"/>
          <w:lang w:val="en-US"/>
        </w:rPr>
        <w:t xml:space="preserve"> of a review application to set aside the transfers. </w:t>
      </w:r>
      <w:r w:rsidR="00EA39F9" w:rsidRPr="00DC0678">
        <w:rPr>
          <w:rFonts w:ascii="Bookman Old Style" w:hAnsi="Bookman Old Style"/>
          <w:sz w:val="28"/>
          <w:szCs w:val="28"/>
          <w:lang w:val="en-US"/>
        </w:rPr>
        <w:t>The interim relief was granted, the r</w:t>
      </w:r>
      <w:r w:rsidR="006361A9" w:rsidRPr="00DC0678">
        <w:rPr>
          <w:rFonts w:ascii="Bookman Old Style" w:hAnsi="Bookman Old Style"/>
          <w:sz w:val="28"/>
          <w:szCs w:val="28"/>
          <w:lang w:val="en-US"/>
        </w:rPr>
        <w:t xml:space="preserve">eview </w:t>
      </w:r>
      <w:r w:rsidR="00286ECC" w:rsidRPr="00DC0678">
        <w:rPr>
          <w:rFonts w:ascii="Bookman Old Style" w:hAnsi="Bookman Old Style"/>
          <w:sz w:val="28"/>
          <w:szCs w:val="28"/>
          <w:lang w:val="en-US"/>
        </w:rPr>
        <w:t>heard,</w:t>
      </w:r>
      <w:r w:rsidR="006361A9" w:rsidRPr="00DC0678">
        <w:rPr>
          <w:rFonts w:ascii="Bookman Old Style" w:hAnsi="Bookman Old Style"/>
          <w:sz w:val="28"/>
          <w:szCs w:val="28"/>
          <w:lang w:val="en-US"/>
        </w:rPr>
        <w:t xml:space="preserve"> and the transfers reviewed and set aside. </w:t>
      </w:r>
      <w:proofErr w:type="spellStart"/>
      <w:r w:rsidR="006361A9" w:rsidRPr="00DC0678">
        <w:rPr>
          <w:rFonts w:ascii="Bookman Old Style" w:hAnsi="Bookman Old Style"/>
          <w:sz w:val="28"/>
          <w:szCs w:val="28"/>
          <w:lang w:val="en-US"/>
        </w:rPr>
        <w:t>Sakoane</w:t>
      </w:r>
      <w:proofErr w:type="spellEnd"/>
      <w:r w:rsidR="006361A9" w:rsidRPr="00DC0678">
        <w:rPr>
          <w:rFonts w:ascii="Bookman Old Style" w:hAnsi="Bookman Old Style"/>
          <w:sz w:val="28"/>
          <w:szCs w:val="28"/>
          <w:lang w:val="en-US"/>
        </w:rPr>
        <w:t xml:space="preserve"> CJ made the following order:</w:t>
      </w:r>
    </w:p>
    <w:p w14:paraId="12B6FA8E" w14:textId="4DD13A32" w:rsidR="00C64C0F" w:rsidRPr="008758FE" w:rsidRDefault="00C64C0F" w:rsidP="007F293B">
      <w:pPr>
        <w:spacing w:line="360" w:lineRule="auto"/>
        <w:ind w:firstLine="720"/>
        <w:jc w:val="both"/>
        <w:rPr>
          <w:rFonts w:ascii="Bookman Old Style" w:hAnsi="Bookman Old Style"/>
          <w:i/>
          <w:lang w:val="en-US"/>
        </w:rPr>
      </w:pPr>
      <w:r w:rsidRPr="008758FE">
        <w:rPr>
          <w:rFonts w:ascii="Bookman Old Style" w:hAnsi="Bookman Old Style"/>
          <w:i/>
          <w:lang w:val="en-US"/>
        </w:rPr>
        <w:t>‘1. The applications are granted.</w:t>
      </w:r>
    </w:p>
    <w:p w14:paraId="6EB27A8F" w14:textId="690476A2" w:rsidR="00C64C0F" w:rsidRPr="008758FE" w:rsidRDefault="00C64C0F" w:rsidP="007F293B">
      <w:pPr>
        <w:spacing w:line="360" w:lineRule="auto"/>
        <w:ind w:left="720"/>
        <w:jc w:val="both"/>
        <w:rPr>
          <w:rFonts w:ascii="Bookman Old Style" w:hAnsi="Bookman Old Style"/>
          <w:i/>
          <w:lang w:val="en-US"/>
        </w:rPr>
      </w:pPr>
      <w:r w:rsidRPr="008758FE">
        <w:rPr>
          <w:rFonts w:ascii="Bookman Old Style" w:hAnsi="Bookman Old Style"/>
          <w:i/>
          <w:lang w:val="en-US"/>
        </w:rPr>
        <w:t xml:space="preserve">2. The transfers of the applicants per the letters of the Principal Secretary of Public Service dated 28 </w:t>
      </w:r>
      <w:r w:rsidR="00286ECC" w:rsidRPr="008758FE">
        <w:rPr>
          <w:rFonts w:ascii="Bookman Old Style" w:hAnsi="Bookman Old Style"/>
          <w:i/>
          <w:lang w:val="en-US"/>
        </w:rPr>
        <w:t>April</w:t>
      </w:r>
      <w:r w:rsidRPr="008758FE">
        <w:rPr>
          <w:rFonts w:ascii="Bookman Old Style" w:hAnsi="Bookman Old Style"/>
          <w:i/>
          <w:lang w:val="en-US"/>
        </w:rPr>
        <w:t xml:space="preserve"> 2021 are reviewed and set aside.</w:t>
      </w:r>
    </w:p>
    <w:p w14:paraId="176FEBDA" w14:textId="5E7ECB22" w:rsidR="00C64C0F" w:rsidRPr="008758FE" w:rsidRDefault="00C64C0F" w:rsidP="007F293B">
      <w:pPr>
        <w:spacing w:line="360" w:lineRule="auto"/>
        <w:ind w:firstLine="720"/>
        <w:jc w:val="both"/>
        <w:rPr>
          <w:rFonts w:ascii="Bookman Old Style" w:hAnsi="Bookman Old Style"/>
          <w:i/>
          <w:lang w:val="en-US"/>
        </w:rPr>
      </w:pPr>
      <w:r w:rsidRPr="008758FE">
        <w:rPr>
          <w:rFonts w:ascii="Bookman Old Style" w:hAnsi="Bookman Old Style"/>
          <w:i/>
          <w:lang w:val="en-US"/>
        </w:rPr>
        <w:t xml:space="preserve">3. The respondents </w:t>
      </w:r>
      <w:r w:rsidR="008758FE" w:rsidRPr="008758FE">
        <w:rPr>
          <w:rFonts w:ascii="Bookman Old Style" w:hAnsi="Bookman Old Style"/>
          <w:i/>
          <w:lang w:val="en-US"/>
        </w:rPr>
        <w:t xml:space="preserve">must pay the </w:t>
      </w:r>
      <w:r w:rsidR="00286ECC" w:rsidRPr="008758FE">
        <w:rPr>
          <w:rFonts w:ascii="Bookman Old Style" w:hAnsi="Bookman Old Style"/>
          <w:i/>
          <w:lang w:val="en-US"/>
        </w:rPr>
        <w:t>costs</w:t>
      </w:r>
      <w:r w:rsidR="008758FE" w:rsidRPr="008758FE">
        <w:rPr>
          <w:rFonts w:ascii="Bookman Old Style" w:hAnsi="Bookman Old Style"/>
          <w:i/>
          <w:lang w:val="en-US"/>
        </w:rPr>
        <w:t>.</w:t>
      </w:r>
      <w:r w:rsidR="00286ECC">
        <w:rPr>
          <w:rFonts w:ascii="Bookman Old Style" w:hAnsi="Bookman Old Style"/>
          <w:i/>
          <w:lang w:val="en-US"/>
        </w:rPr>
        <w:t>’</w:t>
      </w:r>
    </w:p>
    <w:p w14:paraId="5EF6B921" w14:textId="77777777" w:rsidR="00B9329D" w:rsidRDefault="00B9329D" w:rsidP="007F293B">
      <w:pPr>
        <w:spacing w:line="360" w:lineRule="auto"/>
        <w:jc w:val="both"/>
        <w:rPr>
          <w:rFonts w:ascii="Bookman Old Style" w:hAnsi="Bookman Old Style"/>
          <w:b/>
          <w:lang w:val="en-US"/>
        </w:rPr>
      </w:pPr>
    </w:p>
    <w:p w14:paraId="2C39FDC7" w14:textId="433E55AB" w:rsidR="0016211A" w:rsidRPr="004E6E0C" w:rsidRDefault="0016211A" w:rsidP="007F293B">
      <w:pPr>
        <w:spacing w:line="360" w:lineRule="auto"/>
        <w:jc w:val="both"/>
        <w:rPr>
          <w:rFonts w:ascii="Bookman Old Style" w:hAnsi="Bookman Old Style"/>
          <w:i/>
          <w:sz w:val="28"/>
          <w:szCs w:val="28"/>
          <w:lang w:val="en-US"/>
        </w:rPr>
      </w:pPr>
      <w:r w:rsidRPr="004E6E0C">
        <w:rPr>
          <w:rFonts w:ascii="Bookman Old Style" w:hAnsi="Bookman Old Style"/>
          <w:i/>
          <w:sz w:val="28"/>
          <w:szCs w:val="28"/>
          <w:lang w:val="en-US"/>
        </w:rPr>
        <w:t>Pleadings</w:t>
      </w:r>
    </w:p>
    <w:p w14:paraId="164B9E02" w14:textId="0EF70985" w:rsidR="006361A9" w:rsidRPr="00DC0678" w:rsidRDefault="006361A9"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The 7</w:t>
      </w:r>
      <w:r w:rsidRPr="00286ECC">
        <w:rPr>
          <w:rFonts w:ascii="Bookman Old Style" w:hAnsi="Bookman Old Style"/>
          <w:sz w:val="28"/>
          <w:szCs w:val="28"/>
          <w:vertAlign w:val="superscript"/>
          <w:lang w:val="en-US"/>
        </w:rPr>
        <w:t>th</w:t>
      </w:r>
      <w:r w:rsidR="00286ECC">
        <w:rPr>
          <w:rFonts w:ascii="Bookman Old Style" w:hAnsi="Bookman Old Style"/>
          <w:sz w:val="28"/>
          <w:szCs w:val="28"/>
          <w:lang w:val="en-US"/>
        </w:rPr>
        <w:t xml:space="preserve"> </w:t>
      </w:r>
      <w:r w:rsidRPr="00DC0678">
        <w:rPr>
          <w:rFonts w:ascii="Bookman Old Style" w:hAnsi="Bookman Old Style"/>
          <w:sz w:val="28"/>
          <w:szCs w:val="28"/>
          <w:lang w:val="en-US"/>
        </w:rPr>
        <w:t xml:space="preserve">respondent, </w:t>
      </w:r>
      <w:proofErr w:type="spellStart"/>
      <w:r w:rsidRPr="00DC0678">
        <w:rPr>
          <w:rFonts w:ascii="Bookman Old Style" w:hAnsi="Bookman Old Style"/>
          <w:sz w:val="28"/>
          <w:szCs w:val="28"/>
          <w:lang w:val="en-US"/>
        </w:rPr>
        <w:t>Mr</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Ramoroke</w:t>
      </w:r>
      <w:proofErr w:type="spellEnd"/>
      <w:r w:rsidRPr="00DC0678">
        <w:rPr>
          <w:rFonts w:ascii="Bookman Old Style" w:hAnsi="Bookman Old Style"/>
          <w:sz w:val="28"/>
          <w:szCs w:val="28"/>
          <w:lang w:val="en-US"/>
        </w:rPr>
        <w:t xml:space="preserve">, deposed to the founding affidavit on behalf of all the applicants. He alleged that he was transferred with immediate effect to the Ministry of </w:t>
      </w:r>
      <w:proofErr w:type="spellStart"/>
      <w:r w:rsidRPr="00DC0678">
        <w:rPr>
          <w:rFonts w:ascii="Bookman Old Style" w:hAnsi="Bookman Old Style"/>
          <w:sz w:val="28"/>
          <w:szCs w:val="28"/>
          <w:lang w:val="en-US"/>
        </w:rPr>
        <w:t>Labour</w:t>
      </w:r>
      <w:proofErr w:type="spellEnd"/>
      <w:r w:rsidRPr="00DC0678">
        <w:rPr>
          <w:rFonts w:ascii="Bookman Old Style" w:hAnsi="Bookman Old Style"/>
          <w:sz w:val="28"/>
          <w:szCs w:val="28"/>
          <w:lang w:val="en-US"/>
        </w:rPr>
        <w:t xml:space="preserve"> and Employment by the P</w:t>
      </w:r>
      <w:r w:rsidR="00A11C04">
        <w:rPr>
          <w:rFonts w:ascii="Bookman Old Style" w:hAnsi="Bookman Old Style"/>
          <w:sz w:val="28"/>
          <w:szCs w:val="28"/>
          <w:lang w:val="en-US"/>
        </w:rPr>
        <w:t>S</w:t>
      </w:r>
      <w:r w:rsidRPr="00DC0678">
        <w:rPr>
          <w:rFonts w:ascii="Bookman Old Style" w:hAnsi="Bookman Old Style"/>
          <w:sz w:val="28"/>
          <w:szCs w:val="28"/>
          <w:lang w:val="en-US"/>
        </w:rPr>
        <w:t xml:space="preserve"> o</w:t>
      </w:r>
      <w:r w:rsidR="00286ECC">
        <w:rPr>
          <w:rFonts w:ascii="Bookman Old Style" w:hAnsi="Bookman Old Style"/>
          <w:sz w:val="28"/>
          <w:szCs w:val="28"/>
          <w:lang w:val="en-US"/>
        </w:rPr>
        <w:t>f</w:t>
      </w:r>
      <w:r w:rsidRPr="00DC0678">
        <w:rPr>
          <w:rFonts w:ascii="Bookman Old Style" w:hAnsi="Bookman Old Style"/>
          <w:sz w:val="28"/>
          <w:szCs w:val="28"/>
          <w:lang w:val="en-US"/>
        </w:rPr>
        <w:t xml:space="preserve"> </w:t>
      </w:r>
      <w:r w:rsidR="002F3187">
        <w:rPr>
          <w:rFonts w:ascii="Bookman Old Style" w:hAnsi="Bookman Old Style"/>
          <w:sz w:val="28"/>
          <w:szCs w:val="28"/>
          <w:lang w:val="en-US"/>
        </w:rPr>
        <w:t xml:space="preserve">the </w:t>
      </w:r>
      <w:r w:rsidRPr="00DC0678">
        <w:rPr>
          <w:rFonts w:ascii="Bookman Old Style" w:hAnsi="Bookman Old Style"/>
          <w:sz w:val="28"/>
          <w:szCs w:val="28"/>
          <w:lang w:val="en-US"/>
        </w:rPr>
        <w:t>PS.</w:t>
      </w:r>
      <w:r w:rsidR="00F04F69" w:rsidRPr="00DC0678">
        <w:rPr>
          <w:rFonts w:ascii="Bookman Old Style" w:hAnsi="Bookman Old Style"/>
          <w:sz w:val="28"/>
          <w:szCs w:val="28"/>
          <w:lang w:val="en-US"/>
        </w:rPr>
        <w:t xml:space="preserve"> The letter of transfer </w:t>
      </w:r>
      <w:r w:rsidR="00536311">
        <w:rPr>
          <w:rFonts w:ascii="Bookman Old Style" w:hAnsi="Bookman Old Style"/>
          <w:sz w:val="28"/>
          <w:szCs w:val="28"/>
          <w:lang w:val="en-US"/>
        </w:rPr>
        <w:t xml:space="preserve">(which is similar in respect of all the applicants) </w:t>
      </w:r>
      <w:r w:rsidR="00F04F69" w:rsidRPr="00DC0678">
        <w:rPr>
          <w:rFonts w:ascii="Bookman Old Style" w:hAnsi="Bookman Old Style"/>
          <w:sz w:val="28"/>
          <w:szCs w:val="28"/>
          <w:lang w:val="en-US"/>
        </w:rPr>
        <w:t>reads:</w:t>
      </w:r>
    </w:p>
    <w:p w14:paraId="44911063" w14:textId="4E8D0944" w:rsidR="002F5124" w:rsidRPr="002F3187" w:rsidRDefault="002F5124" w:rsidP="007F293B">
      <w:pPr>
        <w:spacing w:line="360" w:lineRule="auto"/>
        <w:ind w:left="720"/>
        <w:jc w:val="both"/>
        <w:rPr>
          <w:rFonts w:ascii="Bookman Old Style" w:hAnsi="Bookman Old Style"/>
          <w:i/>
          <w:lang w:val="en-US"/>
        </w:rPr>
      </w:pPr>
      <w:r w:rsidRPr="002F3187">
        <w:rPr>
          <w:rFonts w:ascii="Bookman Old Style" w:hAnsi="Bookman Old Style"/>
          <w:i/>
          <w:lang w:val="en-US"/>
        </w:rPr>
        <w:t xml:space="preserve">‘Kindly be informed that it has been decided to transfer you from the [MFAIR] to the Ministry of </w:t>
      </w:r>
      <w:proofErr w:type="spellStart"/>
      <w:r w:rsidRPr="002F3187">
        <w:rPr>
          <w:rFonts w:ascii="Bookman Old Style" w:hAnsi="Bookman Old Style"/>
          <w:i/>
          <w:lang w:val="en-US"/>
        </w:rPr>
        <w:t>Labour</w:t>
      </w:r>
      <w:proofErr w:type="spellEnd"/>
      <w:r w:rsidRPr="002F3187">
        <w:rPr>
          <w:rFonts w:ascii="Bookman Old Style" w:hAnsi="Bookman Old Style"/>
          <w:i/>
          <w:lang w:val="en-US"/>
        </w:rPr>
        <w:t xml:space="preserve"> and Employment to assume full duty and responsibility of the position of Administrative Officer</w:t>
      </w:r>
      <w:r w:rsidR="008B3D48" w:rsidRPr="002F3187">
        <w:rPr>
          <w:rFonts w:ascii="Bookman Old Style" w:hAnsi="Bookman Old Style"/>
          <w:i/>
          <w:lang w:val="en-US"/>
        </w:rPr>
        <w:t>, Grade</w:t>
      </w:r>
      <w:r w:rsidRPr="002F3187">
        <w:rPr>
          <w:rFonts w:ascii="Bookman Old Style" w:hAnsi="Bookman Old Style"/>
          <w:i/>
          <w:lang w:val="en-US"/>
        </w:rPr>
        <w:t>, with effect from 03</w:t>
      </w:r>
      <w:r w:rsidRPr="002F3187">
        <w:rPr>
          <w:rFonts w:ascii="Bookman Old Style" w:hAnsi="Bookman Old Style"/>
          <w:i/>
          <w:vertAlign w:val="superscript"/>
          <w:lang w:val="en-US"/>
        </w:rPr>
        <w:t>rd</w:t>
      </w:r>
      <w:r w:rsidRPr="002F3187">
        <w:rPr>
          <w:rFonts w:ascii="Bookman Old Style" w:hAnsi="Bookman Old Style"/>
          <w:i/>
          <w:lang w:val="en-US"/>
        </w:rPr>
        <w:t xml:space="preserve"> May 2021. Your conditions of service will in other respect remain the same’.</w:t>
      </w:r>
    </w:p>
    <w:p w14:paraId="1303E0B4" w14:textId="77777777" w:rsidR="00D7252D" w:rsidRDefault="00D7252D" w:rsidP="007F293B">
      <w:pPr>
        <w:spacing w:line="360" w:lineRule="auto"/>
        <w:jc w:val="both"/>
        <w:rPr>
          <w:rFonts w:ascii="Bookman Old Style" w:hAnsi="Bookman Old Style"/>
          <w:lang w:val="en-US"/>
        </w:rPr>
      </w:pPr>
    </w:p>
    <w:p w14:paraId="2F8F7316" w14:textId="1BEBD0CA" w:rsidR="008B3D48" w:rsidRPr="00DC0678" w:rsidRDefault="008B3D48"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It is apparent from the face of the letter that no reasons are given for the transfer</w:t>
      </w:r>
      <w:r w:rsidR="00536311">
        <w:rPr>
          <w:rFonts w:ascii="Bookman Old Style" w:hAnsi="Bookman Old Style"/>
          <w:sz w:val="28"/>
          <w:szCs w:val="28"/>
          <w:lang w:val="en-US"/>
        </w:rPr>
        <w:t xml:space="preserve"> nor for </w:t>
      </w:r>
      <w:r w:rsidRPr="00DC0678">
        <w:rPr>
          <w:rFonts w:ascii="Bookman Old Style" w:hAnsi="Bookman Old Style"/>
          <w:sz w:val="28"/>
          <w:szCs w:val="28"/>
          <w:lang w:val="en-US"/>
        </w:rPr>
        <w:t xml:space="preserve">the shortness of the period to report </w:t>
      </w:r>
      <w:r w:rsidRPr="00DC0678">
        <w:rPr>
          <w:rFonts w:ascii="Bookman Old Style" w:hAnsi="Bookman Old Style"/>
          <w:sz w:val="28"/>
          <w:szCs w:val="28"/>
          <w:lang w:val="en-US"/>
        </w:rPr>
        <w:lastRenderedPageBreak/>
        <w:t>to the receiving Ministr</w:t>
      </w:r>
      <w:r w:rsidR="00A4540A">
        <w:rPr>
          <w:rFonts w:ascii="Bookman Old Style" w:hAnsi="Bookman Old Style"/>
          <w:sz w:val="28"/>
          <w:szCs w:val="28"/>
          <w:lang w:val="en-US"/>
        </w:rPr>
        <w:t>ies</w:t>
      </w:r>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Mr</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Ramoroke</w:t>
      </w:r>
      <w:proofErr w:type="spellEnd"/>
      <w:r w:rsidRPr="00DC0678">
        <w:rPr>
          <w:rFonts w:ascii="Bookman Old Style" w:hAnsi="Bookman Old Style"/>
          <w:sz w:val="28"/>
          <w:szCs w:val="28"/>
          <w:lang w:val="en-US"/>
        </w:rPr>
        <w:t xml:space="preserve"> alleges that ‘our efforts with my co-applicants to get those reasons from our superiors were futile’. He asserts that the letters are ‘motivated by ulterior motives and bad faith’.</w:t>
      </w:r>
      <w:r w:rsidR="00B60F64" w:rsidRPr="00DC0678">
        <w:rPr>
          <w:rFonts w:ascii="Bookman Old Style" w:hAnsi="Bookman Old Style"/>
          <w:sz w:val="28"/>
          <w:szCs w:val="28"/>
          <w:lang w:val="en-US"/>
        </w:rPr>
        <w:t xml:space="preserve"> The deponent states further that when he reported for duty at the receiving Ministry on 4 May, </w:t>
      </w:r>
      <w:r w:rsidR="00FE4E91" w:rsidRPr="00DC0678">
        <w:rPr>
          <w:rFonts w:ascii="Bookman Old Style" w:hAnsi="Bookman Old Style"/>
          <w:sz w:val="28"/>
          <w:szCs w:val="28"/>
          <w:lang w:val="en-US"/>
        </w:rPr>
        <w:t xml:space="preserve">it became clear to him that the Minister for </w:t>
      </w:r>
      <w:proofErr w:type="spellStart"/>
      <w:r w:rsidR="00FE4E91" w:rsidRPr="00DC0678">
        <w:rPr>
          <w:rFonts w:ascii="Bookman Old Style" w:hAnsi="Bookman Old Style"/>
          <w:sz w:val="28"/>
          <w:szCs w:val="28"/>
          <w:lang w:val="en-US"/>
        </w:rPr>
        <w:t>Labour</w:t>
      </w:r>
      <w:proofErr w:type="spellEnd"/>
      <w:r w:rsidR="00FE4E91" w:rsidRPr="00DC0678">
        <w:rPr>
          <w:rFonts w:ascii="Bookman Old Style" w:hAnsi="Bookman Old Style"/>
          <w:sz w:val="28"/>
          <w:szCs w:val="28"/>
          <w:lang w:val="en-US"/>
        </w:rPr>
        <w:t xml:space="preserve"> and Employment neither </w:t>
      </w:r>
      <w:r w:rsidR="00B60F64" w:rsidRPr="00DC0678">
        <w:rPr>
          <w:rFonts w:ascii="Bookman Old Style" w:hAnsi="Bookman Old Style"/>
          <w:sz w:val="28"/>
          <w:szCs w:val="28"/>
          <w:lang w:val="en-US"/>
        </w:rPr>
        <w:t>played no part in the transfer</w:t>
      </w:r>
      <w:r w:rsidR="00FE4E91" w:rsidRPr="00DC0678">
        <w:rPr>
          <w:rFonts w:ascii="Bookman Old Style" w:hAnsi="Bookman Old Style"/>
          <w:sz w:val="28"/>
          <w:szCs w:val="28"/>
          <w:lang w:val="en-US"/>
        </w:rPr>
        <w:t xml:space="preserve"> nor concurred in the transfer as required by </w:t>
      </w:r>
      <w:r w:rsidR="00D7252D" w:rsidRPr="00DC0678">
        <w:rPr>
          <w:rFonts w:ascii="Bookman Old Style" w:hAnsi="Bookman Old Style"/>
          <w:sz w:val="28"/>
          <w:szCs w:val="28"/>
          <w:lang w:val="en-US"/>
        </w:rPr>
        <w:t>Regulation 32(1) of the Public Service Regulations 2008</w:t>
      </w:r>
      <w:r w:rsidR="00B60F64" w:rsidRPr="00DC0678">
        <w:rPr>
          <w:rFonts w:ascii="Bookman Old Style" w:hAnsi="Bookman Old Style"/>
          <w:sz w:val="28"/>
          <w:szCs w:val="28"/>
          <w:lang w:val="en-US"/>
        </w:rPr>
        <w:t>.</w:t>
      </w:r>
    </w:p>
    <w:p w14:paraId="769F0ABE" w14:textId="77777777" w:rsidR="0013595F" w:rsidRPr="00DC0678" w:rsidRDefault="0013595F" w:rsidP="007F293B">
      <w:pPr>
        <w:spacing w:line="360" w:lineRule="auto"/>
        <w:jc w:val="both"/>
        <w:rPr>
          <w:rFonts w:ascii="Bookman Old Style" w:hAnsi="Bookman Old Style"/>
          <w:sz w:val="28"/>
          <w:szCs w:val="28"/>
          <w:lang w:val="en-US"/>
        </w:rPr>
      </w:pPr>
    </w:p>
    <w:p w14:paraId="4E6C0EC7" w14:textId="3341F964" w:rsidR="0013595F" w:rsidRPr="00DC0678" w:rsidRDefault="0013595F"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One of the co-applicants</w:t>
      </w:r>
      <w:r w:rsidR="00B95FA3" w:rsidRPr="00DC0678">
        <w:rPr>
          <w:rFonts w:ascii="Bookman Old Style" w:hAnsi="Bookman Old Style"/>
          <w:sz w:val="28"/>
          <w:szCs w:val="28"/>
          <w:lang w:val="en-US"/>
        </w:rPr>
        <w:t>,</w:t>
      </w:r>
      <w:r w:rsidRPr="00DC0678">
        <w:rPr>
          <w:rFonts w:ascii="Bookman Old Style" w:hAnsi="Bookman Old Style"/>
          <w:sz w:val="28"/>
          <w:szCs w:val="28"/>
          <w:lang w:val="en-US"/>
        </w:rPr>
        <w:t xml:space="preserve"> </w:t>
      </w:r>
      <w:proofErr w:type="spellStart"/>
      <w:r w:rsidR="00B95FA3" w:rsidRPr="00DC0678">
        <w:rPr>
          <w:rFonts w:ascii="Bookman Old Style" w:hAnsi="Bookman Old Style"/>
          <w:sz w:val="28"/>
          <w:szCs w:val="28"/>
          <w:lang w:val="en-US"/>
        </w:rPr>
        <w:t>Ms</w:t>
      </w:r>
      <w:proofErr w:type="spellEnd"/>
      <w:r w:rsidR="00B95FA3" w:rsidRPr="00DC0678">
        <w:rPr>
          <w:rFonts w:ascii="Bookman Old Style" w:hAnsi="Bookman Old Style"/>
          <w:sz w:val="28"/>
          <w:szCs w:val="28"/>
          <w:lang w:val="en-US"/>
        </w:rPr>
        <w:t xml:space="preserve"> ‘</w:t>
      </w:r>
      <w:proofErr w:type="spellStart"/>
      <w:r w:rsidR="00B95FA3" w:rsidRPr="00DC0678">
        <w:rPr>
          <w:rFonts w:ascii="Bookman Old Style" w:hAnsi="Bookman Old Style"/>
          <w:sz w:val="28"/>
          <w:szCs w:val="28"/>
          <w:lang w:val="en-US"/>
        </w:rPr>
        <w:t>Nyane</w:t>
      </w:r>
      <w:proofErr w:type="spellEnd"/>
      <w:r w:rsidR="00B95FA3" w:rsidRPr="00DC0678">
        <w:rPr>
          <w:rFonts w:ascii="Bookman Old Style" w:hAnsi="Bookman Old Style"/>
          <w:sz w:val="28"/>
          <w:szCs w:val="28"/>
          <w:lang w:val="en-US"/>
        </w:rPr>
        <w:t xml:space="preserve"> </w:t>
      </w:r>
      <w:proofErr w:type="spellStart"/>
      <w:r w:rsidR="00B95FA3" w:rsidRPr="00DC0678">
        <w:rPr>
          <w:rFonts w:ascii="Bookman Old Style" w:hAnsi="Bookman Old Style"/>
          <w:sz w:val="28"/>
          <w:szCs w:val="28"/>
          <w:lang w:val="en-US"/>
        </w:rPr>
        <w:t>Moeti</w:t>
      </w:r>
      <w:proofErr w:type="spellEnd"/>
      <w:r w:rsidR="00B95FA3" w:rsidRPr="00DC0678">
        <w:rPr>
          <w:rFonts w:ascii="Bookman Old Style" w:hAnsi="Bookman Old Style"/>
          <w:sz w:val="28"/>
          <w:szCs w:val="28"/>
          <w:lang w:val="en-US"/>
        </w:rPr>
        <w:t xml:space="preserve">, in a confirmatory affidavit alleged that </w:t>
      </w:r>
      <w:r w:rsidR="00AC44C2" w:rsidRPr="00DC0678">
        <w:rPr>
          <w:rFonts w:ascii="Bookman Old Style" w:hAnsi="Bookman Old Style"/>
          <w:sz w:val="28"/>
          <w:szCs w:val="28"/>
          <w:lang w:val="en-US"/>
        </w:rPr>
        <w:t xml:space="preserve">in her case she was transferred to the Ministry of Tourism, Environment and Culture and when she reported for duty </w:t>
      </w:r>
      <w:r w:rsidR="00BC2974" w:rsidRPr="00DC0678">
        <w:rPr>
          <w:rFonts w:ascii="Bookman Old Style" w:hAnsi="Bookman Old Style"/>
          <w:sz w:val="28"/>
          <w:szCs w:val="28"/>
          <w:lang w:val="en-US"/>
        </w:rPr>
        <w:t xml:space="preserve">the principal secretary of the receiving Ministry informed her that they had </w:t>
      </w:r>
      <w:r w:rsidR="00D10463" w:rsidRPr="00DC0678">
        <w:rPr>
          <w:rFonts w:ascii="Bookman Old Style" w:hAnsi="Bookman Old Style"/>
          <w:sz w:val="28"/>
          <w:szCs w:val="28"/>
          <w:lang w:val="en-US"/>
        </w:rPr>
        <w:t>not</w:t>
      </w:r>
      <w:r w:rsidR="00BC2974" w:rsidRPr="00DC0678">
        <w:rPr>
          <w:rFonts w:ascii="Bookman Old Style" w:hAnsi="Bookman Old Style"/>
          <w:sz w:val="28"/>
          <w:szCs w:val="28"/>
          <w:lang w:val="en-US"/>
        </w:rPr>
        <w:t xml:space="preserve"> been consulted</w:t>
      </w:r>
      <w:r w:rsidR="00A4540A">
        <w:rPr>
          <w:rFonts w:ascii="Bookman Old Style" w:hAnsi="Bookman Old Style"/>
          <w:sz w:val="28"/>
          <w:szCs w:val="28"/>
          <w:lang w:val="en-US"/>
        </w:rPr>
        <w:t>. She could thus not be accepted to commence work in the receiving Ministry.</w:t>
      </w:r>
      <w:r w:rsidR="00BC2974" w:rsidRPr="00DC0678">
        <w:rPr>
          <w:rFonts w:ascii="Bookman Old Style" w:hAnsi="Bookman Old Style"/>
          <w:sz w:val="28"/>
          <w:szCs w:val="28"/>
          <w:lang w:val="en-US"/>
        </w:rPr>
        <w:t xml:space="preserve"> </w:t>
      </w:r>
    </w:p>
    <w:p w14:paraId="3E0EC405" w14:textId="77777777" w:rsidR="006361A9" w:rsidRPr="00DC0678" w:rsidRDefault="006361A9" w:rsidP="007F293B">
      <w:pPr>
        <w:spacing w:line="360" w:lineRule="auto"/>
        <w:jc w:val="both"/>
        <w:rPr>
          <w:rFonts w:ascii="Bookman Old Style" w:hAnsi="Bookman Old Style"/>
          <w:sz w:val="28"/>
          <w:szCs w:val="28"/>
          <w:lang w:val="en-US"/>
        </w:rPr>
      </w:pPr>
    </w:p>
    <w:p w14:paraId="33B53770" w14:textId="17EA7615" w:rsidR="006361A9" w:rsidRPr="00DC0678" w:rsidRDefault="006361A9"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According to </w:t>
      </w:r>
      <w:proofErr w:type="spellStart"/>
      <w:r w:rsidR="00796025" w:rsidRPr="00DC0678">
        <w:rPr>
          <w:rFonts w:ascii="Bookman Old Style" w:hAnsi="Bookman Old Style"/>
          <w:sz w:val="28"/>
          <w:szCs w:val="28"/>
          <w:lang w:val="en-US"/>
        </w:rPr>
        <w:t>Mr</w:t>
      </w:r>
      <w:proofErr w:type="spellEnd"/>
      <w:r w:rsidR="00796025" w:rsidRPr="00DC0678">
        <w:rPr>
          <w:rFonts w:ascii="Bookman Old Style" w:hAnsi="Bookman Old Style"/>
          <w:sz w:val="28"/>
          <w:szCs w:val="28"/>
          <w:lang w:val="en-US"/>
        </w:rPr>
        <w:t xml:space="preserve"> </w:t>
      </w:r>
      <w:proofErr w:type="spellStart"/>
      <w:r w:rsidR="00796025" w:rsidRPr="00DC0678">
        <w:rPr>
          <w:rFonts w:ascii="Bookman Old Style" w:hAnsi="Bookman Old Style"/>
          <w:sz w:val="28"/>
          <w:szCs w:val="28"/>
          <w:lang w:val="en-US"/>
        </w:rPr>
        <w:t>Ramoroke</w:t>
      </w:r>
      <w:proofErr w:type="spellEnd"/>
      <w:r w:rsidR="00796025" w:rsidRPr="00DC0678">
        <w:rPr>
          <w:rFonts w:ascii="Bookman Old Style" w:hAnsi="Bookman Old Style"/>
          <w:sz w:val="28"/>
          <w:szCs w:val="28"/>
          <w:lang w:val="en-US"/>
        </w:rPr>
        <w:t xml:space="preserve">, </w:t>
      </w:r>
      <w:r w:rsidR="00536311">
        <w:rPr>
          <w:rFonts w:ascii="Bookman Old Style" w:hAnsi="Bookman Old Style"/>
          <w:sz w:val="28"/>
          <w:szCs w:val="28"/>
          <w:lang w:val="en-US"/>
        </w:rPr>
        <w:t xml:space="preserve">prior to the transfers, </w:t>
      </w:r>
      <w:r w:rsidRPr="00DC0678">
        <w:rPr>
          <w:rFonts w:ascii="Bookman Old Style" w:hAnsi="Bookman Old Style"/>
          <w:sz w:val="28"/>
          <w:szCs w:val="28"/>
          <w:lang w:val="en-US"/>
        </w:rPr>
        <w:t xml:space="preserve">he and the other applicants had </w:t>
      </w:r>
      <w:r w:rsidR="004F686B" w:rsidRPr="00DC0678">
        <w:rPr>
          <w:rFonts w:ascii="Bookman Old Style" w:hAnsi="Bookman Old Style"/>
          <w:sz w:val="28"/>
          <w:szCs w:val="28"/>
          <w:lang w:val="en-US"/>
        </w:rPr>
        <w:t xml:space="preserve">instituted court proceedings against the </w:t>
      </w:r>
      <w:proofErr w:type="spellStart"/>
      <w:r w:rsidR="004F686B" w:rsidRPr="00DC0678">
        <w:rPr>
          <w:rFonts w:ascii="Bookman Old Style" w:hAnsi="Bookman Old Style"/>
          <w:sz w:val="28"/>
          <w:szCs w:val="28"/>
          <w:lang w:val="en-US"/>
        </w:rPr>
        <w:t>GoL</w:t>
      </w:r>
      <w:proofErr w:type="spellEnd"/>
      <w:r w:rsidR="004F686B" w:rsidRPr="00DC0678">
        <w:rPr>
          <w:rFonts w:ascii="Bookman Old Style" w:hAnsi="Bookman Old Style"/>
          <w:sz w:val="28"/>
          <w:szCs w:val="28"/>
          <w:lang w:val="en-US"/>
        </w:rPr>
        <w:t xml:space="preserve"> in </w:t>
      </w:r>
      <w:r w:rsidR="004F686B" w:rsidRPr="00A4540A">
        <w:rPr>
          <w:rFonts w:ascii="Bookman Old Style" w:hAnsi="Bookman Old Style"/>
          <w:i/>
          <w:sz w:val="28"/>
          <w:szCs w:val="28"/>
          <w:lang w:val="en-US"/>
        </w:rPr>
        <w:t>CIV/APN/85/2021</w:t>
      </w:r>
      <w:r w:rsidR="004F686B" w:rsidRPr="00DC0678">
        <w:rPr>
          <w:rFonts w:ascii="Bookman Old Style" w:hAnsi="Bookman Old Style"/>
          <w:sz w:val="28"/>
          <w:szCs w:val="28"/>
          <w:lang w:val="en-US"/>
        </w:rPr>
        <w:t xml:space="preserve">. Those proceedings are pending. He alleged that the PS </w:t>
      </w:r>
      <w:r w:rsidR="002F3187">
        <w:rPr>
          <w:rFonts w:ascii="Bookman Old Style" w:hAnsi="Bookman Old Style"/>
          <w:sz w:val="28"/>
          <w:szCs w:val="28"/>
          <w:lang w:val="en-US"/>
        </w:rPr>
        <w:t xml:space="preserve">of the </w:t>
      </w:r>
      <w:r w:rsidR="004F686B" w:rsidRPr="00DC0678">
        <w:rPr>
          <w:rFonts w:ascii="Bookman Old Style" w:hAnsi="Bookman Old Style"/>
          <w:sz w:val="28"/>
          <w:szCs w:val="28"/>
          <w:lang w:val="en-US"/>
        </w:rPr>
        <w:t>MFAIR ‘expressed his dissatisfaction and unhappiness’ about th</w:t>
      </w:r>
      <w:r w:rsidR="00536311">
        <w:rPr>
          <w:rFonts w:ascii="Bookman Old Style" w:hAnsi="Bookman Old Style"/>
          <w:sz w:val="28"/>
          <w:szCs w:val="28"/>
          <w:lang w:val="en-US"/>
        </w:rPr>
        <w:t>at</w:t>
      </w:r>
      <w:r w:rsidR="004F686B" w:rsidRPr="00DC0678">
        <w:rPr>
          <w:rFonts w:ascii="Bookman Old Style" w:hAnsi="Bookman Old Style"/>
          <w:sz w:val="28"/>
          <w:szCs w:val="28"/>
          <w:lang w:val="en-US"/>
        </w:rPr>
        <w:t xml:space="preserve"> litigation. At management meetings</w:t>
      </w:r>
      <w:r w:rsidR="008758FE" w:rsidRPr="00DC0678">
        <w:rPr>
          <w:rFonts w:ascii="Bookman Old Style" w:hAnsi="Bookman Old Style"/>
          <w:sz w:val="28"/>
          <w:szCs w:val="28"/>
          <w:lang w:val="en-US"/>
        </w:rPr>
        <w:t>,</w:t>
      </w:r>
      <w:r w:rsidR="004F686B" w:rsidRPr="00DC0678">
        <w:rPr>
          <w:rFonts w:ascii="Bookman Old Style" w:hAnsi="Bookman Old Style"/>
          <w:sz w:val="28"/>
          <w:szCs w:val="28"/>
          <w:lang w:val="en-US"/>
        </w:rPr>
        <w:t xml:space="preserve"> the PS </w:t>
      </w:r>
      <w:r w:rsidR="002F3187">
        <w:rPr>
          <w:rFonts w:ascii="Bookman Old Style" w:hAnsi="Bookman Old Style"/>
          <w:sz w:val="28"/>
          <w:szCs w:val="28"/>
          <w:lang w:val="en-US"/>
        </w:rPr>
        <w:t xml:space="preserve">of the </w:t>
      </w:r>
      <w:r w:rsidR="004F686B" w:rsidRPr="00DC0678">
        <w:rPr>
          <w:rFonts w:ascii="Bookman Old Style" w:hAnsi="Bookman Old Style"/>
          <w:sz w:val="28"/>
          <w:szCs w:val="28"/>
          <w:lang w:val="en-US"/>
        </w:rPr>
        <w:t>MFAIR ‘expressed his feelings of frustration’ about the</w:t>
      </w:r>
      <w:r w:rsidR="008758FE" w:rsidRPr="00DC0678">
        <w:rPr>
          <w:rFonts w:ascii="Bookman Old Style" w:hAnsi="Bookman Old Style"/>
          <w:sz w:val="28"/>
          <w:szCs w:val="28"/>
          <w:lang w:val="en-US"/>
        </w:rPr>
        <w:t xml:space="preserve"> litigation and that the </w:t>
      </w:r>
      <w:proofErr w:type="spellStart"/>
      <w:r w:rsidR="008758FE" w:rsidRPr="00DC0678">
        <w:rPr>
          <w:rFonts w:ascii="Bookman Old Style" w:hAnsi="Bookman Old Style"/>
          <w:sz w:val="28"/>
          <w:szCs w:val="28"/>
          <w:lang w:val="en-US"/>
        </w:rPr>
        <w:t>GoL</w:t>
      </w:r>
      <w:proofErr w:type="spellEnd"/>
      <w:r w:rsidR="008758FE" w:rsidRPr="00DC0678">
        <w:rPr>
          <w:rFonts w:ascii="Bookman Old Style" w:hAnsi="Bookman Old Style"/>
          <w:sz w:val="28"/>
          <w:szCs w:val="28"/>
          <w:lang w:val="en-US"/>
        </w:rPr>
        <w:t xml:space="preserve"> had</w:t>
      </w:r>
      <w:r w:rsidR="004F686B" w:rsidRPr="00DC0678">
        <w:rPr>
          <w:rFonts w:ascii="Bookman Old Style" w:hAnsi="Bookman Old Style"/>
          <w:sz w:val="28"/>
          <w:szCs w:val="28"/>
          <w:lang w:val="en-US"/>
        </w:rPr>
        <w:t xml:space="preserve"> </w:t>
      </w:r>
      <w:r w:rsidR="008758FE" w:rsidRPr="00DC0678">
        <w:rPr>
          <w:rFonts w:ascii="Bookman Old Style" w:hAnsi="Bookman Old Style"/>
          <w:sz w:val="28"/>
          <w:szCs w:val="28"/>
          <w:lang w:val="en-US"/>
        </w:rPr>
        <w:t>the</w:t>
      </w:r>
      <w:r w:rsidR="004F686B" w:rsidRPr="00DC0678">
        <w:rPr>
          <w:rFonts w:ascii="Bookman Old Style" w:hAnsi="Bookman Old Style"/>
          <w:sz w:val="28"/>
          <w:szCs w:val="28"/>
          <w:lang w:val="en-US"/>
        </w:rPr>
        <w:t xml:space="preserve"> option to ‘frustrate’ the litigation by transferring the applicants to other ministries </w:t>
      </w:r>
      <w:proofErr w:type="gramStart"/>
      <w:r w:rsidR="004F686B" w:rsidRPr="00DC0678">
        <w:rPr>
          <w:rFonts w:ascii="Bookman Old Style" w:hAnsi="Bookman Old Style"/>
          <w:sz w:val="28"/>
          <w:szCs w:val="28"/>
          <w:lang w:val="en-US"/>
        </w:rPr>
        <w:t>in order to</w:t>
      </w:r>
      <w:proofErr w:type="gramEnd"/>
      <w:r w:rsidR="004F686B" w:rsidRPr="00DC0678">
        <w:rPr>
          <w:rFonts w:ascii="Bookman Old Style" w:hAnsi="Bookman Old Style"/>
          <w:sz w:val="28"/>
          <w:szCs w:val="28"/>
          <w:lang w:val="en-US"/>
        </w:rPr>
        <w:t xml:space="preserve"> ‘render such litigation abortive’. </w:t>
      </w:r>
      <w:r w:rsidR="001B53EC">
        <w:rPr>
          <w:rFonts w:ascii="Bookman Old Style" w:hAnsi="Bookman Old Style"/>
          <w:sz w:val="28"/>
          <w:szCs w:val="28"/>
          <w:lang w:val="en-US"/>
        </w:rPr>
        <w:t>On</w:t>
      </w:r>
      <w:r w:rsidR="008758FE" w:rsidRPr="00DC0678">
        <w:rPr>
          <w:rFonts w:ascii="Bookman Old Style" w:hAnsi="Bookman Old Style"/>
          <w:sz w:val="28"/>
          <w:szCs w:val="28"/>
          <w:lang w:val="en-US"/>
        </w:rPr>
        <w:t xml:space="preserve"> an</w:t>
      </w:r>
      <w:r w:rsidR="004F686B" w:rsidRPr="00DC0678">
        <w:rPr>
          <w:rFonts w:ascii="Bookman Old Style" w:hAnsi="Bookman Old Style"/>
          <w:sz w:val="28"/>
          <w:szCs w:val="28"/>
          <w:lang w:val="en-US"/>
        </w:rPr>
        <w:t>other occasion, the deponent states, the PS</w:t>
      </w:r>
      <w:r w:rsidR="002F3187">
        <w:rPr>
          <w:rFonts w:ascii="Bookman Old Style" w:hAnsi="Bookman Old Style"/>
          <w:sz w:val="28"/>
          <w:szCs w:val="28"/>
          <w:lang w:val="en-US"/>
        </w:rPr>
        <w:t xml:space="preserve"> of the </w:t>
      </w:r>
      <w:r w:rsidR="004F686B" w:rsidRPr="00DC0678">
        <w:rPr>
          <w:rFonts w:ascii="Bookman Old Style" w:hAnsi="Bookman Old Style"/>
          <w:sz w:val="28"/>
          <w:szCs w:val="28"/>
          <w:lang w:val="en-US"/>
        </w:rPr>
        <w:t xml:space="preserve">MFAIR accused the applicants of instituting the litigation to embarrass the ‘authorities and that we should know that the authorities have the means to retaliate.’ </w:t>
      </w:r>
    </w:p>
    <w:p w14:paraId="372C1C8A" w14:textId="77777777" w:rsidR="008758FE" w:rsidRPr="00DC0678" w:rsidRDefault="008758FE" w:rsidP="007F293B">
      <w:pPr>
        <w:spacing w:line="360" w:lineRule="auto"/>
        <w:jc w:val="both"/>
        <w:rPr>
          <w:rFonts w:ascii="Bookman Old Style" w:hAnsi="Bookman Old Style"/>
          <w:sz w:val="28"/>
          <w:szCs w:val="28"/>
          <w:lang w:val="en-US"/>
        </w:rPr>
      </w:pPr>
    </w:p>
    <w:p w14:paraId="324F9AA6" w14:textId="507BA375" w:rsidR="008758FE" w:rsidRPr="00DC0678" w:rsidRDefault="00D7252D" w:rsidP="00DC0678">
      <w:pPr>
        <w:pStyle w:val="ListParagraph"/>
        <w:numPr>
          <w:ilvl w:val="0"/>
          <w:numId w:val="1"/>
        </w:numPr>
        <w:spacing w:line="360" w:lineRule="auto"/>
        <w:ind w:left="0" w:firstLine="0"/>
        <w:jc w:val="both"/>
        <w:rPr>
          <w:rFonts w:ascii="Bookman Old Style" w:hAnsi="Bookman Old Style"/>
          <w:sz w:val="28"/>
          <w:szCs w:val="28"/>
          <w:lang w:val="en-US"/>
        </w:rPr>
      </w:pPr>
      <w:proofErr w:type="spellStart"/>
      <w:r w:rsidRPr="00DC0678">
        <w:rPr>
          <w:rFonts w:ascii="Bookman Old Style" w:hAnsi="Bookman Old Style"/>
          <w:sz w:val="28"/>
          <w:szCs w:val="28"/>
          <w:lang w:val="en-US"/>
        </w:rPr>
        <w:t>Mr</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Ramoroke</w:t>
      </w:r>
      <w:proofErr w:type="spellEnd"/>
      <w:r w:rsidRPr="00DC0678">
        <w:rPr>
          <w:rFonts w:ascii="Bookman Old Style" w:hAnsi="Bookman Old Style"/>
          <w:sz w:val="28"/>
          <w:szCs w:val="28"/>
          <w:lang w:val="en-US"/>
        </w:rPr>
        <w:t xml:space="preserve"> asserts further that because he and the other applicants were not given a hearing before the</w:t>
      </w:r>
      <w:r w:rsidR="00796025" w:rsidRPr="00DC0678">
        <w:rPr>
          <w:rFonts w:ascii="Bookman Old Style" w:hAnsi="Bookman Old Style"/>
          <w:sz w:val="28"/>
          <w:szCs w:val="28"/>
          <w:lang w:val="en-US"/>
        </w:rPr>
        <w:t>ir transfers</w:t>
      </w:r>
      <w:r w:rsidRPr="00DC0678">
        <w:rPr>
          <w:rFonts w:ascii="Bookman Old Style" w:hAnsi="Bookman Old Style"/>
          <w:sz w:val="28"/>
          <w:szCs w:val="28"/>
          <w:lang w:val="en-US"/>
        </w:rPr>
        <w:t>, the transfer decision</w:t>
      </w:r>
      <w:r w:rsidR="00796025" w:rsidRPr="00DC0678">
        <w:rPr>
          <w:rFonts w:ascii="Bookman Old Style" w:hAnsi="Bookman Old Style"/>
          <w:sz w:val="28"/>
          <w:szCs w:val="28"/>
          <w:lang w:val="en-US"/>
        </w:rPr>
        <w:t>s</w:t>
      </w:r>
      <w:r w:rsidRPr="00DC0678">
        <w:rPr>
          <w:rFonts w:ascii="Bookman Old Style" w:hAnsi="Bookman Old Style"/>
          <w:sz w:val="28"/>
          <w:szCs w:val="28"/>
          <w:lang w:val="en-US"/>
        </w:rPr>
        <w:t xml:space="preserve"> </w:t>
      </w:r>
      <w:r w:rsidR="00796025" w:rsidRPr="00DC0678">
        <w:rPr>
          <w:rFonts w:ascii="Bookman Old Style" w:hAnsi="Bookman Old Style"/>
          <w:sz w:val="28"/>
          <w:szCs w:val="28"/>
          <w:lang w:val="en-US"/>
        </w:rPr>
        <w:t xml:space="preserve">are </w:t>
      </w:r>
      <w:r w:rsidRPr="00DC0678">
        <w:rPr>
          <w:rFonts w:ascii="Bookman Old Style" w:hAnsi="Bookman Old Style"/>
          <w:sz w:val="28"/>
          <w:szCs w:val="28"/>
          <w:lang w:val="en-US"/>
        </w:rPr>
        <w:t xml:space="preserve">unlawful. He maintains that the rules of natural justice required that they </w:t>
      </w:r>
      <w:r w:rsidR="00A4540A">
        <w:rPr>
          <w:rFonts w:ascii="Bookman Old Style" w:hAnsi="Bookman Old Style"/>
          <w:sz w:val="28"/>
          <w:szCs w:val="28"/>
          <w:lang w:val="en-US"/>
        </w:rPr>
        <w:t xml:space="preserve">be given a </w:t>
      </w:r>
      <w:r w:rsidRPr="00DC0678">
        <w:rPr>
          <w:rFonts w:ascii="Bookman Old Style" w:hAnsi="Bookman Old Style"/>
          <w:sz w:val="28"/>
          <w:szCs w:val="28"/>
          <w:lang w:val="en-US"/>
        </w:rPr>
        <w:t>hearing before the transfers.</w:t>
      </w:r>
      <w:r w:rsidR="0053548C" w:rsidRPr="00DC0678">
        <w:rPr>
          <w:rFonts w:ascii="Bookman Old Style" w:hAnsi="Bookman Old Style"/>
          <w:sz w:val="28"/>
          <w:szCs w:val="28"/>
          <w:lang w:val="en-US"/>
        </w:rPr>
        <w:t xml:space="preserve"> He adds that had they been given a hearing they would have demonstrated that it would not be fair to transfer them ‘given that the transfers are highly prejudicial to our career development’.</w:t>
      </w:r>
    </w:p>
    <w:p w14:paraId="33DCFC5B" w14:textId="77777777" w:rsidR="00796025" w:rsidRPr="00DC0678" w:rsidRDefault="00796025" w:rsidP="007F293B">
      <w:pPr>
        <w:spacing w:line="360" w:lineRule="auto"/>
        <w:jc w:val="both"/>
        <w:rPr>
          <w:rFonts w:ascii="Bookman Old Style" w:hAnsi="Bookman Old Style"/>
          <w:sz w:val="28"/>
          <w:szCs w:val="28"/>
          <w:lang w:val="en-US"/>
        </w:rPr>
      </w:pPr>
    </w:p>
    <w:p w14:paraId="3FC9F68A" w14:textId="50CBC5A8" w:rsidR="00796025" w:rsidRPr="00DC0678" w:rsidRDefault="00796025" w:rsidP="00DC0678">
      <w:pPr>
        <w:pStyle w:val="ListParagraph"/>
        <w:numPr>
          <w:ilvl w:val="0"/>
          <w:numId w:val="1"/>
        </w:numPr>
        <w:spacing w:line="360" w:lineRule="auto"/>
        <w:ind w:left="0" w:firstLine="0"/>
        <w:jc w:val="both"/>
        <w:rPr>
          <w:rFonts w:ascii="Bookman Old Style" w:hAnsi="Bookman Old Style"/>
          <w:sz w:val="28"/>
          <w:szCs w:val="28"/>
          <w:lang w:val="en-US"/>
        </w:rPr>
      </w:pPr>
      <w:proofErr w:type="spellStart"/>
      <w:r w:rsidRPr="00DC0678">
        <w:rPr>
          <w:rFonts w:ascii="Bookman Old Style" w:hAnsi="Bookman Old Style"/>
          <w:sz w:val="28"/>
          <w:szCs w:val="28"/>
          <w:lang w:val="en-US"/>
        </w:rPr>
        <w:t>Mr</w:t>
      </w:r>
      <w:proofErr w:type="spellEnd"/>
      <w:r w:rsidRPr="00DC0678">
        <w:rPr>
          <w:rFonts w:ascii="Bookman Old Style" w:hAnsi="Bookman Old Style"/>
          <w:sz w:val="28"/>
          <w:szCs w:val="28"/>
          <w:lang w:val="en-US"/>
        </w:rPr>
        <w:t xml:space="preserve"> Khumalo, the P</w:t>
      </w:r>
      <w:r w:rsidR="00B1373B">
        <w:rPr>
          <w:rFonts w:ascii="Bookman Old Style" w:hAnsi="Bookman Old Style"/>
          <w:sz w:val="28"/>
          <w:szCs w:val="28"/>
          <w:lang w:val="en-US"/>
        </w:rPr>
        <w:t>S</w:t>
      </w:r>
      <w:r w:rsidRPr="00DC0678">
        <w:rPr>
          <w:rFonts w:ascii="Bookman Old Style" w:hAnsi="Bookman Old Style"/>
          <w:sz w:val="28"/>
          <w:szCs w:val="28"/>
          <w:lang w:val="en-US"/>
        </w:rPr>
        <w:t xml:space="preserve"> o</w:t>
      </w:r>
      <w:r w:rsidR="00B1373B">
        <w:rPr>
          <w:rFonts w:ascii="Bookman Old Style" w:hAnsi="Bookman Old Style"/>
          <w:sz w:val="28"/>
          <w:szCs w:val="28"/>
          <w:lang w:val="en-US"/>
        </w:rPr>
        <w:t>f</w:t>
      </w:r>
      <w:r w:rsidRPr="00DC0678">
        <w:rPr>
          <w:rFonts w:ascii="Bookman Old Style" w:hAnsi="Bookman Old Style"/>
          <w:sz w:val="28"/>
          <w:szCs w:val="28"/>
          <w:lang w:val="en-US"/>
        </w:rPr>
        <w:t xml:space="preserve"> </w:t>
      </w:r>
      <w:r w:rsidR="00B1373B">
        <w:rPr>
          <w:rFonts w:ascii="Bookman Old Style" w:hAnsi="Bookman Old Style"/>
          <w:sz w:val="28"/>
          <w:szCs w:val="28"/>
          <w:lang w:val="en-US"/>
        </w:rPr>
        <w:t xml:space="preserve">the </w:t>
      </w:r>
      <w:r w:rsidRPr="00DC0678">
        <w:rPr>
          <w:rFonts w:ascii="Bookman Old Style" w:hAnsi="Bookman Old Style"/>
          <w:sz w:val="28"/>
          <w:szCs w:val="28"/>
          <w:lang w:val="en-US"/>
        </w:rPr>
        <w:t>PS</w:t>
      </w:r>
      <w:r w:rsidR="00536311">
        <w:rPr>
          <w:rFonts w:ascii="Bookman Old Style" w:hAnsi="Bookman Old Style"/>
          <w:sz w:val="28"/>
          <w:szCs w:val="28"/>
          <w:lang w:val="en-US"/>
        </w:rPr>
        <w:t>,</w:t>
      </w:r>
      <w:r w:rsidRPr="00DC0678">
        <w:rPr>
          <w:rFonts w:ascii="Bookman Old Style" w:hAnsi="Bookman Old Style"/>
          <w:sz w:val="28"/>
          <w:szCs w:val="28"/>
          <w:lang w:val="en-US"/>
        </w:rPr>
        <w:t xml:space="preserve"> deposed to the opposing affidavit on behalf of the </w:t>
      </w:r>
      <w:proofErr w:type="spellStart"/>
      <w:r w:rsidR="00A4540A">
        <w:rPr>
          <w:rFonts w:ascii="Bookman Old Style" w:hAnsi="Bookman Old Style"/>
          <w:sz w:val="28"/>
          <w:szCs w:val="28"/>
          <w:lang w:val="en-US"/>
        </w:rPr>
        <w:t>GoL</w:t>
      </w:r>
      <w:proofErr w:type="spellEnd"/>
      <w:r w:rsidR="00A4540A">
        <w:rPr>
          <w:rFonts w:ascii="Bookman Old Style" w:hAnsi="Bookman Old Style"/>
          <w:sz w:val="28"/>
          <w:szCs w:val="28"/>
          <w:lang w:val="en-US"/>
        </w:rPr>
        <w:t>.</w:t>
      </w:r>
      <w:r w:rsidRPr="00DC0678">
        <w:rPr>
          <w:rFonts w:ascii="Bookman Old Style" w:hAnsi="Bookman Old Style"/>
          <w:sz w:val="28"/>
          <w:szCs w:val="28"/>
          <w:lang w:val="en-US"/>
        </w:rPr>
        <w:t xml:space="preserve"> He states that he is not </w:t>
      </w:r>
      <w:proofErr w:type="gramStart"/>
      <w:r w:rsidRPr="00DC0678">
        <w:rPr>
          <w:rFonts w:ascii="Bookman Old Style" w:hAnsi="Bookman Old Style"/>
          <w:sz w:val="28"/>
          <w:szCs w:val="28"/>
          <w:lang w:val="en-US"/>
        </w:rPr>
        <w:t>in a position</w:t>
      </w:r>
      <w:proofErr w:type="gramEnd"/>
      <w:r w:rsidRPr="00DC0678">
        <w:rPr>
          <w:rFonts w:ascii="Bookman Old Style" w:hAnsi="Bookman Old Style"/>
          <w:sz w:val="28"/>
          <w:szCs w:val="28"/>
          <w:lang w:val="en-US"/>
        </w:rPr>
        <w:t xml:space="preserve"> to comment on allegations made about the PS </w:t>
      </w:r>
      <w:r w:rsidR="00B1373B">
        <w:rPr>
          <w:rFonts w:ascii="Bookman Old Style" w:hAnsi="Bookman Old Style"/>
          <w:sz w:val="28"/>
          <w:szCs w:val="28"/>
          <w:lang w:val="en-US"/>
        </w:rPr>
        <w:t xml:space="preserve">of the </w:t>
      </w:r>
      <w:r w:rsidRPr="00DC0678">
        <w:rPr>
          <w:rFonts w:ascii="Bookman Old Style" w:hAnsi="Bookman Old Style"/>
          <w:sz w:val="28"/>
          <w:szCs w:val="28"/>
          <w:lang w:val="en-US"/>
        </w:rPr>
        <w:t>MFAIR who he says had in any event not been cited. According to him</w:t>
      </w:r>
      <w:r w:rsidR="00536311">
        <w:rPr>
          <w:rFonts w:ascii="Bookman Old Style" w:hAnsi="Bookman Old Style"/>
          <w:sz w:val="28"/>
          <w:szCs w:val="28"/>
          <w:lang w:val="en-US"/>
        </w:rPr>
        <w:t>,</w:t>
      </w:r>
      <w:r w:rsidRPr="00DC0678">
        <w:rPr>
          <w:rFonts w:ascii="Bookman Old Style" w:hAnsi="Bookman Old Style"/>
          <w:sz w:val="28"/>
          <w:szCs w:val="28"/>
          <w:lang w:val="en-US"/>
        </w:rPr>
        <w:t xml:space="preserve"> those allegations are in any event irrelevant to the issue </w:t>
      </w:r>
      <w:proofErr w:type="gramStart"/>
      <w:r w:rsidRPr="00DC0678">
        <w:rPr>
          <w:rFonts w:ascii="Bookman Old Style" w:hAnsi="Bookman Old Style"/>
          <w:sz w:val="28"/>
          <w:szCs w:val="28"/>
          <w:lang w:val="en-US"/>
        </w:rPr>
        <w:t>whether or not</w:t>
      </w:r>
      <w:proofErr w:type="gramEnd"/>
      <w:r w:rsidRPr="00DC0678">
        <w:rPr>
          <w:rFonts w:ascii="Bookman Old Style" w:hAnsi="Bookman Old Style"/>
          <w:sz w:val="28"/>
          <w:szCs w:val="28"/>
          <w:lang w:val="en-US"/>
        </w:rPr>
        <w:t xml:space="preserve"> the respondents were entitled to a hearing. According to </w:t>
      </w:r>
      <w:proofErr w:type="spellStart"/>
      <w:r w:rsidRPr="00DC0678">
        <w:rPr>
          <w:rFonts w:ascii="Bookman Old Style" w:hAnsi="Bookman Old Style"/>
          <w:sz w:val="28"/>
          <w:szCs w:val="28"/>
          <w:lang w:val="en-US"/>
        </w:rPr>
        <w:t>Mr</w:t>
      </w:r>
      <w:proofErr w:type="spellEnd"/>
      <w:r w:rsidRPr="00DC0678">
        <w:rPr>
          <w:rFonts w:ascii="Bookman Old Style" w:hAnsi="Bookman Old Style"/>
          <w:sz w:val="28"/>
          <w:szCs w:val="28"/>
          <w:lang w:val="en-US"/>
        </w:rPr>
        <w:t xml:space="preserve"> Khumalo, every now and then and for the ‘effectiveness and efficiency’ of the public service</w:t>
      </w:r>
      <w:r w:rsidR="00B1373B">
        <w:rPr>
          <w:rFonts w:ascii="Bookman Old Style" w:hAnsi="Bookman Old Style"/>
          <w:sz w:val="28"/>
          <w:szCs w:val="28"/>
          <w:lang w:val="en-US"/>
        </w:rPr>
        <w:t>,</w:t>
      </w:r>
      <w:r w:rsidRPr="00DC0678">
        <w:rPr>
          <w:rFonts w:ascii="Bookman Old Style" w:hAnsi="Bookman Old Style"/>
          <w:sz w:val="28"/>
          <w:szCs w:val="28"/>
          <w:lang w:val="en-US"/>
        </w:rPr>
        <w:t xml:space="preserve"> public servants are transferred from one ministry to another. He denies that the respondents made any effort to obtain the reasons for their transfers and that</w:t>
      </w:r>
      <w:r w:rsidR="00536311">
        <w:rPr>
          <w:rFonts w:ascii="Bookman Old Style" w:hAnsi="Bookman Old Style"/>
          <w:sz w:val="28"/>
          <w:szCs w:val="28"/>
          <w:lang w:val="en-US"/>
        </w:rPr>
        <w:t>,</w:t>
      </w:r>
      <w:r w:rsidRPr="00DC0678">
        <w:rPr>
          <w:rFonts w:ascii="Bookman Old Style" w:hAnsi="Bookman Old Style"/>
          <w:sz w:val="28"/>
          <w:szCs w:val="28"/>
          <w:lang w:val="en-US"/>
        </w:rPr>
        <w:t xml:space="preserve"> in any event</w:t>
      </w:r>
      <w:r w:rsidR="00536311">
        <w:rPr>
          <w:rFonts w:ascii="Bookman Old Style" w:hAnsi="Bookman Old Style"/>
          <w:sz w:val="28"/>
          <w:szCs w:val="28"/>
          <w:lang w:val="en-US"/>
        </w:rPr>
        <w:t>,</w:t>
      </w:r>
      <w:r w:rsidRPr="00DC0678">
        <w:rPr>
          <w:rFonts w:ascii="Bookman Old Style" w:hAnsi="Bookman Old Style"/>
          <w:sz w:val="28"/>
          <w:szCs w:val="28"/>
          <w:lang w:val="en-US"/>
        </w:rPr>
        <w:t xml:space="preserve"> they were not entitled to reasons.</w:t>
      </w:r>
    </w:p>
    <w:p w14:paraId="464A3BCB" w14:textId="77777777" w:rsidR="006B0CA0" w:rsidRPr="00DC0678" w:rsidRDefault="006B0CA0" w:rsidP="007F293B">
      <w:pPr>
        <w:spacing w:line="360" w:lineRule="auto"/>
        <w:jc w:val="both"/>
        <w:rPr>
          <w:rFonts w:ascii="Bookman Old Style" w:hAnsi="Bookman Old Style"/>
          <w:sz w:val="28"/>
          <w:szCs w:val="28"/>
          <w:lang w:val="en-US"/>
        </w:rPr>
      </w:pPr>
    </w:p>
    <w:p w14:paraId="28E4C60C" w14:textId="51008359" w:rsidR="006B0CA0" w:rsidRPr="00DC0678" w:rsidRDefault="006B0CA0"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The deponent denies that the transfer decision </w:t>
      </w:r>
      <w:r w:rsidR="00D10463" w:rsidRPr="00DC0678">
        <w:rPr>
          <w:rFonts w:ascii="Bookman Old Style" w:hAnsi="Bookman Old Style"/>
          <w:sz w:val="28"/>
          <w:szCs w:val="28"/>
          <w:lang w:val="en-US"/>
        </w:rPr>
        <w:t>was</w:t>
      </w:r>
      <w:r w:rsidRPr="00DC0678">
        <w:rPr>
          <w:rFonts w:ascii="Bookman Old Style" w:hAnsi="Bookman Old Style"/>
          <w:sz w:val="28"/>
          <w:szCs w:val="28"/>
          <w:lang w:val="en-US"/>
        </w:rPr>
        <w:t xml:space="preserve"> motivated by ulterior motives</w:t>
      </w:r>
      <w:r w:rsidR="00536311">
        <w:rPr>
          <w:rFonts w:ascii="Bookman Old Style" w:hAnsi="Bookman Old Style"/>
          <w:sz w:val="28"/>
          <w:szCs w:val="28"/>
          <w:lang w:val="en-US"/>
        </w:rPr>
        <w:t xml:space="preserve"> or bad faith. </w:t>
      </w:r>
      <w:proofErr w:type="spellStart"/>
      <w:r w:rsidR="00536311">
        <w:rPr>
          <w:rFonts w:ascii="Bookman Old Style" w:hAnsi="Bookman Old Style"/>
          <w:sz w:val="28"/>
          <w:szCs w:val="28"/>
          <w:lang w:val="en-US"/>
        </w:rPr>
        <w:t>Mr</w:t>
      </w:r>
      <w:proofErr w:type="spellEnd"/>
      <w:r w:rsidR="00536311">
        <w:rPr>
          <w:rFonts w:ascii="Bookman Old Style" w:hAnsi="Bookman Old Style"/>
          <w:sz w:val="28"/>
          <w:szCs w:val="28"/>
          <w:lang w:val="en-US"/>
        </w:rPr>
        <w:t xml:space="preserve"> Khumalo states</w:t>
      </w:r>
      <w:r w:rsidRPr="00DC0678">
        <w:rPr>
          <w:rFonts w:ascii="Bookman Old Style" w:hAnsi="Bookman Old Style"/>
          <w:sz w:val="28"/>
          <w:szCs w:val="28"/>
          <w:lang w:val="en-US"/>
        </w:rPr>
        <w:t xml:space="preserve"> further that a pre-transfer hearing is only required where a public servant stands to be prejudiced by a transfer. According to him, it would ‘hamper the very goal of an efficient and effective public service if every transfer would have to be preceded by a hearing’.</w:t>
      </w:r>
    </w:p>
    <w:p w14:paraId="01BB5989" w14:textId="77777777" w:rsidR="0013595F" w:rsidRPr="00DC0678" w:rsidRDefault="0013595F" w:rsidP="007F293B">
      <w:pPr>
        <w:spacing w:line="360" w:lineRule="auto"/>
        <w:jc w:val="both"/>
        <w:rPr>
          <w:rFonts w:ascii="Bookman Old Style" w:hAnsi="Bookman Old Style"/>
          <w:sz w:val="28"/>
          <w:szCs w:val="28"/>
          <w:lang w:val="en-US"/>
        </w:rPr>
      </w:pPr>
    </w:p>
    <w:p w14:paraId="49696C32" w14:textId="10F452FD" w:rsidR="0016211A" w:rsidRPr="00DC0678" w:rsidRDefault="00407781" w:rsidP="007F293B">
      <w:pPr>
        <w:spacing w:line="360" w:lineRule="auto"/>
        <w:jc w:val="both"/>
        <w:rPr>
          <w:rFonts w:ascii="Bookman Old Style" w:hAnsi="Bookman Old Style"/>
          <w:b/>
          <w:sz w:val="28"/>
          <w:szCs w:val="28"/>
          <w:lang w:val="en-US"/>
        </w:rPr>
      </w:pPr>
      <w:r w:rsidRPr="00DC0678">
        <w:rPr>
          <w:rFonts w:ascii="Bookman Old Style" w:hAnsi="Bookman Old Style"/>
          <w:b/>
          <w:sz w:val="28"/>
          <w:szCs w:val="28"/>
          <w:lang w:val="en-US"/>
        </w:rPr>
        <w:lastRenderedPageBreak/>
        <w:t>The applicable legislative framework</w:t>
      </w:r>
    </w:p>
    <w:p w14:paraId="19EE0128" w14:textId="77777777" w:rsidR="00407781" w:rsidRPr="00DC0678" w:rsidRDefault="00407781" w:rsidP="007F293B">
      <w:pPr>
        <w:spacing w:line="360" w:lineRule="auto"/>
        <w:jc w:val="both"/>
        <w:rPr>
          <w:rFonts w:ascii="Bookman Old Style" w:hAnsi="Bookman Old Style"/>
          <w:b/>
          <w:sz w:val="28"/>
          <w:szCs w:val="28"/>
          <w:lang w:val="en-US"/>
        </w:rPr>
      </w:pPr>
    </w:p>
    <w:p w14:paraId="5AAF185F" w14:textId="67855D0D" w:rsidR="00407781" w:rsidRPr="00DC0678" w:rsidRDefault="00407781"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Before I </w:t>
      </w:r>
      <w:proofErr w:type="spellStart"/>
      <w:r w:rsidRPr="00DC0678">
        <w:rPr>
          <w:rFonts w:ascii="Bookman Old Style" w:hAnsi="Bookman Old Style"/>
          <w:sz w:val="28"/>
          <w:szCs w:val="28"/>
          <w:lang w:val="en-US"/>
        </w:rPr>
        <w:t>summarise</w:t>
      </w:r>
      <w:proofErr w:type="spellEnd"/>
      <w:r w:rsidRPr="00DC0678">
        <w:rPr>
          <w:rFonts w:ascii="Bookman Old Style" w:hAnsi="Bookman Old Style"/>
          <w:sz w:val="28"/>
          <w:szCs w:val="28"/>
          <w:lang w:val="en-US"/>
        </w:rPr>
        <w:t xml:space="preserve"> the High Court’s </w:t>
      </w:r>
      <w:r w:rsidR="002F3187" w:rsidRPr="00DC0678">
        <w:rPr>
          <w:rFonts w:ascii="Bookman Old Style" w:hAnsi="Bookman Old Style"/>
          <w:sz w:val="28"/>
          <w:szCs w:val="28"/>
          <w:lang w:val="en-US"/>
        </w:rPr>
        <w:t>judgment,</w:t>
      </w:r>
      <w:r w:rsidRPr="00DC0678">
        <w:rPr>
          <w:rFonts w:ascii="Bookman Old Style" w:hAnsi="Bookman Old Style"/>
          <w:sz w:val="28"/>
          <w:szCs w:val="28"/>
          <w:lang w:val="en-US"/>
        </w:rPr>
        <w:t xml:space="preserve"> I propose to</w:t>
      </w:r>
      <w:r w:rsidR="00304B55" w:rsidRPr="00DC0678">
        <w:rPr>
          <w:rFonts w:ascii="Bookman Old Style" w:hAnsi="Bookman Old Style"/>
          <w:sz w:val="28"/>
          <w:szCs w:val="28"/>
          <w:lang w:val="en-US"/>
        </w:rPr>
        <w:t xml:space="preserve"> reproduce </w:t>
      </w:r>
      <w:r w:rsidRPr="00DC0678">
        <w:rPr>
          <w:rFonts w:ascii="Bookman Old Style" w:hAnsi="Bookman Old Style"/>
          <w:sz w:val="28"/>
          <w:szCs w:val="28"/>
          <w:lang w:val="en-US"/>
        </w:rPr>
        <w:t xml:space="preserve">the relevant statutory framework </w:t>
      </w:r>
      <w:r w:rsidR="00304B55" w:rsidRPr="00DC0678">
        <w:rPr>
          <w:rFonts w:ascii="Bookman Old Style" w:hAnsi="Bookman Old Style"/>
          <w:sz w:val="28"/>
          <w:szCs w:val="28"/>
          <w:lang w:val="en-US"/>
        </w:rPr>
        <w:t xml:space="preserve">which the </w:t>
      </w:r>
      <w:r w:rsidR="00536311">
        <w:rPr>
          <w:rFonts w:ascii="Bookman Old Style" w:hAnsi="Bookman Old Style"/>
          <w:sz w:val="28"/>
          <w:szCs w:val="28"/>
          <w:lang w:val="en-US"/>
        </w:rPr>
        <w:t xml:space="preserve">Chief Justice </w:t>
      </w:r>
      <w:r w:rsidR="00304B55" w:rsidRPr="00DC0678">
        <w:rPr>
          <w:rFonts w:ascii="Bookman Old Style" w:hAnsi="Bookman Old Style"/>
          <w:sz w:val="28"/>
          <w:szCs w:val="28"/>
          <w:lang w:val="en-US"/>
        </w:rPr>
        <w:t xml:space="preserve">quoted in </w:t>
      </w:r>
      <w:r w:rsidR="00536311">
        <w:rPr>
          <w:rFonts w:ascii="Bookman Old Style" w:hAnsi="Bookman Old Style"/>
          <w:sz w:val="28"/>
          <w:szCs w:val="28"/>
          <w:lang w:val="en-US"/>
        </w:rPr>
        <w:t xml:space="preserve">his </w:t>
      </w:r>
      <w:r w:rsidR="00304B55" w:rsidRPr="00DC0678">
        <w:rPr>
          <w:rFonts w:ascii="Bookman Old Style" w:hAnsi="Bookman Old Style"/>
          <w:sz w:val="28"/>
          <w:szCs w:val="28"/>
          <w:lang w:val="en-US"/>
        </w:rPr>
        <w:t xml:space="preserve">judgment. </w:t>
      </w:r>
      <w:r w:rsidRPr="00DC0678">
        <w:rPr>
          <w:rFonts w:ascii="Bookman Old Style" w:hAnsi="Bookman Old Style"/>
          <w:sz w:val="28"/>
          <w:szCs w:val="28"/>
          <w:lang w:val="en-US"/>
        </w:rPr>
        <w:t>The Public Service Act 1 of 2005</w:t>
      </w:r>
      <w:r w:rsidR="00536311">
        <w:rPr>
          <w:rFonts w:ascii="Bookman Old Style" w:hAnsi="Bookman Old Style"/>
          <w:sz w:val="28"/>
          <w:szCs w:val="28"/>
          <w:lang w:val="en-US"/>
        </w:rPr>
        <w:t xml:space="preserve"> (as amended)</w:t>
      </w:r>
      <w:r w:rsidRPr="00DC0678">
        <w:rPr>
          <w:rFonts w:ascii="Bookman Old Style" w:hAnsi="Bookman Old Style"/>
          <w:sz w:val="28"/>
          <w:szCs w:val="28"/>
          <w:lang w:val="en-US"/>
        </w:rPr>
        <w:t xml:space="preserve"> in s 13(2)(e) empowers the PS o</w:t>
      </w:r>
      <w:r w:rsidR="00B1373B">
        <w:rPr>
          <w:rFonts w:ascii="Bookman Old Style" w:hAnsi="Bookman Old Style"/>
          <w:sz w:val="28"/>
          <w:szCs w:val="28"/>
          <w:lang w:val="en-US"/>
        </w:rPr>
        <w:t>f the</w:t>
      </w:r>
      <w:r w:rsidRPr="00DC0678">
        <w:rPr>
          <w:rFonts w:ascii="Bookman Old Style" w:hAnsi="Bookman Old Style"/>
          <w:sz w:val="28"/>
          <w:szCs w:val="28"/>
          <w:lang w:val="en-US"/>
        </w:rPr>
        <w:t xml:space="preserve"> PS to make transfers. It states:</w:t>
      </w:r>
    </w:p>
    <w:p w14:paraId="415350F4" w14:textId="63873C7C" w:rsidR="00407781" w:rsidRPr="00DC0678" w:rsidRDefault="00407781" w:rsidP="007F293B">
      <w:pPr>
        <w:spacing w:line="360" w:lineRule="auto"/>
        <w:ind w:left="720"/>
        <w:jc w:val="both"/>
        <w:rPr>
          <w:rFonts w:ascii="Bookman Old Style" w:hAnsi="Bookman Old Style"/>
          <w:i/>
          <w:lang w:val="en-US"/>
        </w:rPr>
      </w:pPr>
      <w:r w:rsidRPr="00DC0678">
        <w:rPr>
          <w:rFonts w:ascii="Bookman Old Style" w:hAnsi="Bookman Old Style"/>
          <w:i/>
          <w:lang w:val="en-US"/>
        </w:rPr>
        <w:t>‘13(2) Without limiting the generality of sub-section (1), the Principal Secretary is responsible for-</w:t>
      </w:r>
    </w:p>
    <w:p w14:paraId="47982409" w14:textId="7C3AF7B8" w:rsidR="00407781" w:rsidRPr="00DC0678" w:rsidRDefault="00407781" w:rsidP="007F293B">
      <w:pPr>
        <w:spacing w:line="360" w:lineRule="auto"/>
        <w:ind w:left="720"/>
        <w:jc w:val="both"/>
        <w:rPr>
          <w:rFonts w:ascii="Bookman Old Style" w:hAnsi="Bookman Old Style"/>
          <w:i/>
          <w:lang w:val="en-US"/>
        </w:rPr>
      </w:pPr>
      <w:r w:rsidRPr="00DC0678">
        <w:rPr>
          <w:rFonts w:ascii="Bookman Old Style" w:hAnsi="Bookman Old Style"/>
          <w:i/>
          <w:lang w:val="en-US"/>
        </w:rPr>
        <w:t>…</w:t>
      </w:r>
    </w:p>
    <w:p w14:paraId="7D3E45A7" w14:textId="21413628" w:rsidR="00407781" w:rsidRPr="007F293B" w:rsidRDefault="00407781" w:rsidP="007F293B">
      <w:pPr>
        <w:spacing w:line="360" w:lineRule="auto"/>
        <w:ind w:left="720"/>
        <w:jc w:val="both"/>
        <w:rPr>
          <w:rFonts w:ascii="Bookman Old Style" w:hAnsi="Bookman Old Style"/>
          <w:i/>
          <w:sz w:val="22"/>
          <w:szCs w:val="22"/>
          <w:lang w:val="en-US"/>
        </w:rPr>
      </w:pPr>
      <w:r w:rsidRPr="00DC0678">
        <w:rPr>
          <w:rFonts w:ascii="Bookman Old Style" w:hAnsi="Bookman Old Style"/>
          <w:i/>
          <w:lang w:val="en-US"/>
        </w:rPr>
        <w:t>(e) transferring and rotating officers from one department to another, within, and reorganizing the Ministry under the Principal Secretary’s supervision’.</w:t>
      </w:r>
    </w:p>
    <w:p w14:paraId="55EDDCEC" w14:textId="77777777" w:rsidR="00407781" w:rsidRDefault="00407781" w:rsidP="007F293B">
      <w:pPr>
        <w:spacing w:line="360" w:lineRule="auto"/>
        <w:jc w:val="both"/>
        <w:rPr>
          <w:rFonts w:ascii="Bookman Old Style" w:hAnsi="Bookman Old Style"/>
          <w:lang w:val="en-US"/>
        </w:rPr>
      </w:pPr>
    </w:p>
    <w:p w14:paraId="5DC77000" w14:textId="74421FFA" w:rsidR="00407781" w:rsidRPr="00DC0678" w:rsidRDefault="00407781"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In terms of Regulation 32</w:t>
      </w:r>
      <w:r w:rsidR="00D620C8" w:rsidRPr="00DC0678">
        <w:rPr>
          <w:rFonts w:ascii="Bookman Old Style" w:hAnsi="Bookman Old Style"/>
          <w:sz w:val="28"/>
          <w:szCs w:val="28"/>
          <w:lang w:val="en-US"/>
        </w:rPr>
        <w:t xml:space="preserve"> </w:t>
      </w:r>
      <w:r w:rsidRPr="00DC0678">
        <w:rPr>
          <w:rFonts w:ascii="Bookman Old Style" w:hAnsi="Bookman Old Style"/>
          <w:sz w:val="28"/>
          <w:szCs w:val="28"/>
          <w:lang w:val="en-US"/>
        </w:rPr>
        <w:t>of the Public Service Regulations 2008</w:t>
      </w:r>
      <w:r w:rsidR="00C4338F" w:rsidRPr="00DC0678">
        <w:rPr>
          <w:rFonts w:ascii="Bookman Old Style" w:hAnsi="Bookman Old Style"/>
          <w:sz w:val="28"/>
          <w:szCs w:val="28"/>
          <w:lang w:val="en-US"/>
        </w:rPr>
        <w:t>:</w:t>
      </w:r>
    </w:p>
    <w:p w14:paraId="58885CEF" w14:textId="77777777" w:rsidR="00C4338F" w:rsidRDefault="00C4338F" w:rsidP="007F293B">
      <w:pPr>
        <w:spacing w:line="360" w:lineRule="auto"/>
        <w:ind w:left="720"/>
        <w:jc w:val="both"/>
        <w:rPr>
          <w:rFonts w:ascii="Bookman Old Style" w:hAnsi="Bookman Old Style"/>
          <w:sz w:val="22"/>
          <w:szCs w:val="22"/>
          <w:lang w:val="en-US"/>
        </w:rPr>
      </w:pPr>
    </w:p>
    <w:p w14:paraId="39F7BA23" w14:textId="6EFAF2CE" w:rsidR="00C4338F" w:rsidRPr="00DC0678" w:rsidRDefault="00C4338F" w:rsidP="007F293B">
      <w:pPr>
        <w:spacing w:line="360" w:lineRule="auto"/>
        <w:ind w:left="720"/>
        <w:jc w:val="both"/>
        <w:rPr>
          <w:rFonts w:ascii="Bookman Old Style" w:hAnsi="Bookman Old Style"/>
          <w:i/>
          <w:lang w:val="en-US"/>
        </w:rPr>
      </w:pPr>
      <w:r w:rsidRPr="00DC0678">
        <w:rPr>
          <w:rFonts w:ascii="Bookman Old Style" w:hAnsi="Bookman Old Style"/>
          <w:i/>
          <w:lang w:val="en-US"/>
        </w:rPr>
        <w:t>‘</w:t>
      </w:r>
      <w:r w:rsidR="00D620C8" w:rsidRPr="00DC0678">
        <w:rPr>
          <w:rFonts w:ascii="Bookman Old Style" w:hAnsi="Bookman Old Style"/>
          <w:i/>
          <w:lang w:val="en-US"/>
        </w:rPr>
        <w:t>(1)</w:t>
      </w:r>
      <w:r w:rsidR="00633C8B" w:rsidRPr="00DC0678">
        <w:rPr>
          <w:rFonts w:ascii="Bookman Old Style" w:hAnsi="Bookman Old Style"/>
          <w:i/>
          <w:lang w:val="en-US"/>
        </w:rPr>
        <w:t xml:space="preserve"> </w:t>
      </w:r>
      <w:r w:rsidRPr="00DC0678">
        <w:rPr>
          <w:rFonts w:ascii="Bookman Old Style" w:hAnsi="Bookman Old Style"/>
          <w:i/>
          <w:lang w:val="en-US"/>
        </w:rPr>
        <w:t>The Principal Secretary may transfer a public officer to work anywhere within the public service with the concurrence of the Minister and in consultation with the Head of Department of the receiving Ministry, department or agency.</w:t>
      </w:r>
    </w:p>
    <w:p w14:paraId="546407A1" w14:textId="18AAAB43" w:rsidR="00D620C8" w:rsidRPr="00DC0678" w:rsidRDefault="00D620C8" w:rsidP="007F293B">
      <w:pPr>
        <w:spacing w:line="360" w:lineRule="auto"/>
        <w:ind w:left="720"/>
        <w:jc w:val="both"/>
        <w:rPr>
          <w:rFonts w:ascii="Bookman Old Style" w:hAnsi="Bookman Old Style"/>
          <w:i/>
          <w:lang w:val="en-US"/>
        </w:rPr>
      </w:pPr>
      <w:r w:rsidRPr="00DC0678">
        <w:rPr>
          <w:rFonts w:ascii="Bookman Old Style" w:hAnsi="Bookman Old Style"/>
          <w:i/>
          <w:lang w:val="en-US"/>
        </w:rPr>
        <w:t xml:space="preserve">(2) </w:t>
      </w:r>
      <w:r w:rsidR="00633C8B" w:rsidRPr="00DC0678">
        <w:rPr>
          <w:rFonts w:ascii="Bookman Old Style" w:hAnsi="Bookman Old Style"/>
          <w:i/>
          <w:lang w:val="en-US"/>
        </w:rPr>
        <w:t xml:space="preserve">The Head of Department may transfer a public officer within the Ministry, </w:t>
      </w:r>
      <w:proofErr w:type="gramStart"/>
      <w:r w:rsidR="00633C8B" w:rsidRPr="00DC0678">
        <w:rPr>
          <w:rFonts w:ascii="Bookman Old Style" w:hAnsi="Bookman Old Style"/>
          <w:i/>
          <w:lang w:val="en-US"/>
        </w:rPr>
        <w:t>department</w:t>
      </w:r>
      <w:proofErr w:type="gramEnd"/>
      <w:r w:rsidR="00633C8B" w:rsidRPr="00DC0678">
        <w:rPr>
          <w:rFonts w:ascii="Bookman Old Style" w:hAnsi="Bookman Old Style"/>
          <w:i/>
          <w:lang w:val="en-US"/>
        </w:rPr>
        <w:t xml:space="preserve"> or agency.</w:t>
      </w:r>
    </w:p>
    <w:p w14:paraId="28C13F6B" w14:textId="13F2F317" w:rsidR="00633C8B" w:rsidRPr="00DC0678" w:rsidRDefault="00633C8B" w:rsidP="007F293B">
      <w:pPr>
        <w:spacing w:line="360" w:lineRule="auto"/>
        <w:ind w:left="720"/>
        <w:jc w:val="both"/>
        <w:rPr>
          <w:rFonts w:ascii="Bookman Old Style" w:hAnsi="Bookman Old Style"/>
          <w:i/>
          <w:lang w:val="en-US"/>
        </w:rPr>
      </w:pPr>
      <w:r w:rsidRPr="00DC0678">
        <w:rPr>
          <w:rFonts w:ascii="Bookman Old Style" w:hAnsi="Bookman Old Style"/>
          <w:i/>
          <w:lang w:val="en-US"/>
        </w:rPr>
        <w:t xml:space="preserve">(3) In instances where the transfer is to another ministry, </w:t>
      </w:r>
      <w:proofErr w:type="gramStart"/>
      <w:r w:rsidRPr="00DC0678">
        <w:rPr>
          <w:rFonts w:ascii="Bookman Old Style" w:hAnsi="Bookman Old Style"/>
          <w:i/>
          <w:lang w:val="en-US"/>
        </w:rPr>
        <w:t>department</w:t>
      </w:r>
      <w:proofErr w:type="gramEnd"/>
      <w:r w:rsidRPr="00DC0678">
        <w:rPr>
          <w:rFonts w:ascii="Bookman Old Style" w:hAnsi="Bookman Old Style"/>
          <w:i/>
          <w:lang w:val="en-US"/>
        </w:rPr>
        <w:t xml:space="preserve"> or agency the Head of Department shall consult with the Head of Department of the receiving ministry, who shall also seek the concurrence of the relevant Minister, and such transfer shall be </w:t>
      </w:r>
      <w:proofErr w:type="spellStart"/>
      <w:r w:rsidRPr="00DC0678">
        <w:rPr>
          <w:rFonts w:ascii="Bookman Old Style" w:hAnsi="Bookman Old Style"/>
          <w:i/>
          <w:lang w:val="en-US"/>
        </w:rPr>
        <w:t>authorised</w:t>
      </w:r>
      <w:proofErr w:type="spellEnd"/>
      <w:r w:rsidRPr="00DC0678">
        <w:rPr>
          <w:rFonts w:ascii="Bookman Old Style" w:hAnsi="Bookman Old Style"/>
          <w:i/>
          <w:lang w:val="en-US"/>
        </w:rPr>
        <w:t xml:space="preserve"> by the principal Secretary.</w:t>
      </w:r>
    </w:p>
    <w:p w14:paraId="47E76AA4" w14:textId="7FC3DA9F" w:rsidR="00633C8B" w:rsidRPr="00DC0678" w:rsidRDefault="00633C8B" w:rsidP="007F293B">
      <w:pPr>
        <w:spacing w:line="360" w:lineRule="auto"/>
        <w:ind w:left="720"/>
        <w:jc w:val="both"/>
        <w:rPr>
          <w:rFonts w:ascii="Bookman Old Style" w:hAnsi="Bookman Old Style"/>
          <w:i/>
          <w:lang w:val="en-US"/>
        </w:rPr>
      </w:pPr>
      <w:r w:rsidRPr="00DC0678">
        <w:rPr>
          <w:rFonts w:ascii="Bookman Old Style" w:hAnsi="Bookman Old Style"/>
          <w:i/>
          <w:lang w:val="en-US"/>
        </w:rPr>
        <w:t>…</w:t>
      </w:r>
    </w:p>
    <w:p w14:paraId="17A70B23" w14:textId="5D6C896A" w:rsidR="00633C8B" w:rsidRPr="00DC0678" w:rsidRDefault="00633C8B" w:rsidP="007F293B">
      <w:pPr>
        <w:spacing w:line="360" w:lineRule="auto"/>
        <w:ind w:left="720"/>
        <w:jc w:val="both"/>
        <w:rPr>
          <w:rFonts w:ascii="Bookman Old Style" w:hAnsi="Bookman Old Style"/>
          <w:i/>
          <w:lang w:val="en-US"/>
        </w:rPr>
      </w:pPr>
      <w:r w:rsidRPr="00DC0678">
        <w:rPr>
          <w:rFonts w:ascii="Bookman Old Style" w:hAnsi="Bookman Old Style"/>
          <w:i/>
          <w:lang w:val="en-US"/>
        </w:rPr>
        <w:t>(6) Notwithstanding sub-regulation (1) an officer is liable to immediate transfer if it is necessary for operational requirements.’</w:t>
      </w:r>
    </w:p>
    <w:p w14:paraId="5C7BF189" w14:textId="6C55F36A" w:rsidR="00407781" w:rsidRDefault="00407781" w:rsidP="007F293B">
      <w:pPr>
        <w:spacing w:line="360" w:lineRule="auto"/>
        <w:jc w:val="both"/>
        <w:rPr>
          <w:rFonts w:ascii="Bookman Old Style" w:hAnsi="Bookman Old Style"/>
          <w:b/>
          <w:lang w:val="en-US"/>
        </w:rPr>
      </w:pPr>
    </w:p>
    <w:p w14:paraId="0956DA90" w14:textId="462E032F" w:rsidR="00C4338F" w:rsidRPr="002F3187" w:rsidRDefault="0037567D" w:rsidP="002F3187">
      <w:pPr>
        <w:pStyle w:val="ListParagraph"/>
        <w:numPr>
          <w:ilvl w:val="0"/>
          <w:numId w:val="1"/>
        </w:numPr>
        <w:spacing w:line="360" w:lineRule="auto"/>
        <w:ind w:left="0" w:firstLine="0"/>
        <w:jc w:val="both"/>
        <w:rPr>
          <w:rFonts w:ascii="Bookman Old Style" w:hAnsi="Bookman Old Style"/>
          <w:sz w:val="28"/>
          <w:szCs w:val="28"/>
          <w:lang w:val="en-US"/>
        </w:rPr>
      </w:pPr>
      <w:r w:rsidRPr="002F3187">
        <w:rPr>
          <w:rFonts w:ascii="Bookman Old Style" w:hAnsi="Bookman Old Style"/>
          <w:sz w:val="28"/>
          <w:szCs w:val="28"/>
          <w:lang w:val="en-US"/>
        </w:rPr>
        <w:t xml:space="preserve">Section 11(1) of the </w:t>
      </w:r>
      <w:r w:rsidR="00304B55" w:rsidRPr="002F3187">
        <w:rPr>
          <w:rFonts w:ascii="Bookman Old Style" w:hAnsi="Bookman Old Style"/>
          <w:sz w:val="28"/>
          <w:szCs w:val="28"/>
          <w:lang w:val="en-US"/>
        </w:rPr>
        <w:t xml:space="preserve">Basic </w:t>
      </w:r>
      <w:r w:rsidRPr="002F3187">
        <w:rPr>
          <w:rFonts w:ascii="Bookman Old Style" w:hAnsi="Bookman Old Style"/>
          <w:sz w:val="28"/>
          <w:szCs w:val="28"/>
          <w:lang w:val="en-US"/>
        </w:rPr>
        <w:t>Conditions of Employment for Public Officers 2011 states:</w:t>
      </w:r>
    </w:p>
    <w:p w14:paraId="76835703" w14:textId="62B4CC2A" w:rsidR="0037567D" w:rsidRPr="002F3187" w:rsidRDefault="0037567D" w:rsidP="007F293B">
      <w:pPr>
        <w:spacing w:line="360" w:lineRule="auto"/>
        <w:ind w:left="720"/>
        <w:jc w:val="both"/>
        <w:rPr>
          <w:rFonts w:ascii="Bookman Old Style" w:hAnsi="Bookman Old Style"/>
          <w:i/>
          <w:lang w:val="en-US"/>
        </w:rPr>
      </w:pPr>
      <w:r w:rsidRPr="002F3187">
        <w:rPr>
          <w:rFonts w:ascii="Bookman Old Style" w:hAnsi="Bookman Old Style"/>
          <w:i/>
          <w:lang w:val="en-US"/>
        </w:rPr>
        <w:t>‘A public officer shall be liable to be transferred to any public office from one service to another inside and outside Lesotho’.</w:t>
      </w:r>
    </w:p>
    <w:p w14:paraId="734537AB" w14:textId="77777777" w:rsidR="0037567D" w:rsidRDefault="0037567D" w:rsidP="007F293B">
      <w:pPr>
        <w:spacing w:line="360" w:lineRule="auto"/>
        <w:jc w:val="both"/>
        <w:rPr>
          <w:rFonts w:ascii="Bookman Old Style" w:hAnsi="Bookman Old Style"/>
          <w:lang w:val="en-US"/>
        </w:rPr>
      </w:pPr>
    </w:p>
    <w:p w14:paraId="5362441C" w14:textId="2419303F" w:rsidR="0037567D" w:rsidRPr="00DC0678" w:rsidRDefault="0037567D"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The </w:t>
      </w:r>
      <w:r w:rsidR="00BD77DC">
        <w:rPr>
          <w:rFonts w:ascii="Bookman Old Style" w:hAnsi="Bookman Old Style"/>
          <w:sz w:val="28"/>
          <w:szCs w:val="28"/>
          <w:lang w:val="en-US"/>
        </w:rPr>
        <w:t>High Court</w:t>
      </w:r>
      <w:r w:rsidRPr="00DC0678">
        <w:rPr>
          <w:rFonts w:ascii="Bookman Old Style" w:hAnsi="Bookman Old Style"/>
          <w:sz w:val="28"/>
          <w:szCs w:val="28"/>
          <w:lang w:val="en-US"/>
        </w:rPr>
        <w:t xml:space="preserve"> also referred to Regulations 102 and 106 governing deployment and transfers in the foreign service. I will not repeat them here because they are not relevant to the outcome of the appeal.</w:t>
      </w:r>
    </w:p>
    <w:p w14:paraId="7A1B98A1" w14:textId="77777777" w:rsidR="0037567D" w:rsidRPr="00DC0678" w:rsidRDefault="0037567D" w:rsidP="007F293B">
      <w:pPr>
        <w:spacing w:line="360" w:lineRule="auto"/>
        <w:jc w:val="both"/>
        <w:rPr>
          <w:rFonts w:ascii="Bookman Old Style" w:hAnsi="Bookman Old Style"/>
          <w:b/>
          <w:sz w:val="28"/>
          <w:szCs w:val="28"/>
          <w:lang w:val="en-US"/>
        </w:rPr>
      </w:pPr>
    </w:p>
    <w:p w14:paraId="6C68834B" w14:textId="547CFA2F" w:rsidR="0016211A" w:rsidRPr="00DC0678" w:rsidRDefault="0016211A" w:rsidP="007F293B">
      <w:pPr>
        <w:spacing w:line="360" w:lineRule="auto"/>
        <w:jc w:val="both"/>
        <w:rPr>
          <w:rFonts w:ascii="Bookman Old Style" w:hAnsi="Bookman Old Style"/>
          <w:b/>
          <w:sz w:val="28"/>
          <w:szCs w:val="28"/>
          <w:lang w:val="en-US"/>
        </w:rPr>
      </w:pPr>
      <w:r w:rsidRPr="00DC0678">
        <w:rPr>
          <w:rFonts w:ascii="Bookman Old Style" w:hAnsi="Bookman Old Style"/>
          <w:b/>
          <w:sz w:val="28"/>
          <w:szCs w:val="28"/>
          <w:lang w:val="en-US"/>
        </w:rPr>
        <w:t>High Court’s approach</w:t>
      </w:r>
    </w:p>
    <w:p w14:paraId="08A780DE" w14:textId="77777777" w:rsidR="0016211A" w:rsidRPr="00DC0678" w:rsidRDefault="0016211A" w:rsidP="007F293B">
      <w:pPr>
        <w:spacing w:line="360" w:lineRule="auto"/>
        <w:jc w:val="both"/>
        <w:rPr>
          <w:rFonts w:ascii="Bookman Old Style" w:hAnsi="Bookman Old Style"/>
          <w:b/>
          <w:sz w:val="28"/>
          <w:szCs w:val="28"/>
          <w:lang w:val="en-US"/>
        </w:rPr>
      </w:pPr>
    </w:p>
    <w:p w14:paraId="161D94AA" w14:textId="024FB6FC" w:rsidR="00622B12" w:rsidRPr="00DC0678" w:rsidRDefault="0037567D"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The Chief Justice first considered the alleged </w:t>
      </w:r>
      <w:r w:rsidR="00622B12" w:rsidRPr="00DC0678">
        <w:rPr>
          <w:rFonts w:ascii="Bookman Old Style" w:hAnsi="Bookman Old Style"/>
          <w:sz w:val="28"/>
          <w:szCs w:val="28"/>
          <w:lang w:val="en-US"/>
        </w:rPr>
        <w:t xml:space="preserve">non-compliance with Regulation 32(1). </w:t>
      </w:r>
      <w:r w:rsidR="003E7995" w:rsidRPr="00DC0678">
        <w:rPr>
          <w:rFonts w:ascii="Bookman Old Style" w:hAnsi="Bookman Old Style"/>
          <w:sz w:val="28"/>
          <w:szCs w:val="28"/>
          <w:lang w:val="en-US"/>
        </w:rPr>
        <w:t>Contrary to the Crown’s argument that the regulation is not peremptory as to consultation, the learned Chief Justice, correctly in my view</w:t>
      </w:r>
      <w:r w:rsidR="00536311">
        <w:rPr>
          <w:rFonts w:ascii="Bookman Old Style" w:hAnsi="Bookman Old Style"/>
          <w:sz w:val="28"/>
          <w:szCs w:val="28"/>
          <w:lang w:val="en-US"/>
        </w:rPr>
        <w:t>,</w:t>
      </w:r>
      <w:r w:rsidR="003E7995" w:rsidRPr="00DC0678">
        <w:rPr>
          <w:rFonts w:ascii="Bookman Old Style" w:hAnsi="Bookman Old Style"/>
          <w:sz w:val="28"/>
          <w:szCs w:val="28"/>
          <w:lang w:val="en-US"/>
        </w:rPr>
        <w:t xml:space="preserve"> </w:t>
      </w:r>
      <w:proofErr w:type="gramStart"/>
      <w:r w:rsidR="003E7995" w:rsidRPr="00DC0678">
        <w:rPr>
          <w:rFonts w:ascii="Bookman Old Style" w:hAnsi="Bookman Old Style"/>
          <w:sz w:val="28"/>
          <w:szCs w:val="28"/>
          <w:lang w:val="en-US"/>
        </w:rPr>
        <w:t>came to the conclusion</w:t>
      </w:r>
      <w:proofErr w:type="gramEnd"/>
      <w:r w:rsidR="003E7995" w:rsidRPr="00DC0678">
        <w:rPr>
          <w:rFonts w:ascii="Bookman Old Style" w:hAnsi="Bookman Old Style"/>
          <w:sz w:val="28"/>
          <w:szCs w:val="28"/>
          <w:lang w:val="en-US"/>
        </w:rPr>
        <w:t xml:space="preserve"> that the P</w:t>
      </w:r>
      <w:r w:rsidR="00A11C04">
        <w:rPr>
          <w:rFonts w:ascii="Bookman Old Style" w:hAnsi="Bookman Old Style"/>
          <w:sz w:val="28"/>
          <w:szCs w:val="28"/>
          <w:lang w:val="en-US"/>
        </w:rPr>
        <w:t>S</w:t>
      </w:r>
      <w:r w:rsidR="003E7995" w:rsidRPr="00DC0678">
        <w:rPr>
          <w:rFonts w:ascii="Bookman Old Style" w:hAnsi="Bookman Old Style"/>
          <w:sz w:val="28"/>
          <w:szCs w:val="28"/>
          <w:lang w:val="en-US"/>
        </w:rPr>
        <w:t xml:space="preserve"> o</w:t>
      </w:r>
      <w:r w:rsidR="00D9421B">
        <w:rPr>
          <w:rFonts w:ascii="Bookman Old Style" w:hAnsi="Bookman Old Style"/>
          <w:sz w:val="28"/>
          <w:szCs w:val="28"/>
          <w:lang w:val="en-US"/>
        </w:rPr>
        <w:t xml:space="preserve">f the </w:t>
      </w:r>
      <w:r w:rsidR="003E7995" w:rsidRPr="00DC0678">
        <w:rPr>
          <w:rFonts w:ascii="Bookman Old Style" w:hAnsi="Bookman Old Style"/>
          <w:sz w:val="28"/>
          <w:szCs w:val="28"/>
          <w:lang w:val="en-US"/>
        </w:rPr>
        <w:t>PS has no discretion in the matter. According to the Chief Justice, ‘Ministerial concurrence and departmental consultation are the jurisdictional facts for the proper exercise of the power to transfer’.</w:t>
      </w:r>
    </w:p>
    <w:p w14:paraId="3A7D85CE" w14:textId="77777777" w:rsidR="003E7995" w:rsidRPr="00DC0678" w:rsidRDefault="003E7995" w:rsidP="007F293B">
      <w:pPr>
        <w:spacing w:line="360" w:lineRule="auto"/>
        <w:jc w:val="both"/>
        <w:rPr>
          <w:rFonts w:ascii="Bookman Old Style" w:hAnsi="Bookman Old Style"/>
          <w:sz w:val="28"/>
          <w:szCs w:val="28"/>
          <w:lang w:val="en-US"/>
        </w:rPr>
      </w:pPr>
    </w:p>
    <w:p w14:paraId="49B547EB" w14:textId="6CD8C62C" w:rsidR="003E7995" w:rsidRPr="00DC0678" w:rsidRDefault="003E7995"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The High Court added</w:t>
      </w:r>
      <w:r w:rsidR="00536311">
        <w:rPr>
          <w:rFonts w:ascii="Bookman Old Style" w:hAnsi="Bookman Old Style"/>
          <w:sz w:val="28"/>
          <w:szCs w:val="28"/>
          <w:lang w:val="en-US"/>
        </w:rPr>
        <w:t>:</w:t>
      </w:r>
    </w:p>
    <w:p w14:paraId="4A94CE6C" w14:textId="77777777" w:rsidR="003E7995" w:rsidRDefault="003E7995" w:rsidP="007F293B">
      <w:pPr>
        <w:spacing w:line="360" w:lineRule="auto"/>
        <w:jc w:val="both"/>
        <w:rPr>
          <w:rFonts w:ascii="Bookman Old Style" w:hAnsi="Bookman Old Style"/>
          <w:lang w:val="en-US"/>
        </w:rPr>
      </w:pPr>
    </w:p>
    <w:p w14:paraId="62F73563" w14:textId="59A5D7E1" w:rsidR="003E7995" w:rsidRPr="007F293B" w:rsidRDefault="003E7995" w:rsidP="007F293B">
      <w:pPr>
        <w:spacing w:line="360" w:lineRule="auto"/>
        <w:ind w:left="720"/>
        <w:jc w:val="both"/>
        <w:rPr>
          <w:rFonts w:ascii="Bookman Old Style" w:hAnsi="Bookman Old Style"/>
          <w:i/>
          <w:sz w:val="22"/>
          <w:szCs w:val="22"/>
          <w:lang w:val="en-US"/>
        </w:rPr>
      </w:pPr>
      <w:r w:rsidRPr="007F293B">
        <w:rPr>
          <w:rFonts w:ascii="Bookman Old Style" w:hAnsi="Bookman Old Style"/>
          <w:i/>
          <w:sz w:val="22"/>
          <w:szCs w:val="22"/>
          <w:lang w:val="en-US"/>
        </w:rPr>
        <w:t xml:space="preserve">‘[19] The purpose served by these two jurisdictional facts is to make the process of transfer smooth, coordinated and orderly. This is to avoid misunderstandings and friction between </w:t>
      </w:r>
      <w:r w:rsidR="007D7DC2" w:rsidRPr="007F293B">
        <w:rPr>
          <w:rFonts w:ascii="Bookman Old Style" w:hAnsi="Bookman Old Style"/>
          <w:i/>
          <w:sz w:val="22"/>
          <w:szCs w:val="22"/>
          <w:lang w:val="en-US"/>
        </w:rPr>
        <w:t xml:space="preserve">the </w:t>
      </w:r>
      <w:r w:rsidR="007D7DC2">
        <w:rPr>
          <w:rFonts w:ascii="Bookman Old Style" w:hAnsi="Bookman Old Style"/>
          <w:i/>
          <w:sz w:val="22"/>
          <w:szCs w:val="22"/>
          <w:lang w:val="en-US"/>
        </w:rPr>
        <w:t>Princip</w:t>
      </w:r>
      <w:r w:rsidR="00597D5A">
        <w:rPr>
          <w:rFonts w:ascii="Bookman Old Style" w:hAnsi="Bookman Old Style"/>
          <w:i/>
          <w:sz w:val="22"/>
          <w:szCs w:val="22"/>
          <w:lang w:val="en-US"/>
        </w:rPr>
        <w:t xml:space="preserve">al </w:t>
      </w:r>
      <w:r w:rsidR="007D7DC2">
        <w:rPr>
          <w:rFonts w:ascii="Bookman Old Style" w:hAnsi="Bookman Old Style"/>
          <w:i/>
          <w:sz w:val="22"/>
          <w:szCs w:val="22"/>
          <w:lang w:val="en-US"/>
        </w:rPr>
        <w:t xml:space="preserve">Secretary </w:t>
      </w:r>
      <w:r w:rsidRPr="007F293B">
        <w:rPr>
          <w:rFonts w:ascii="Bookman Old Style" w:hAnsi="Bookman Old Style"/>
          <w:i/>
          <w:sz w:val="22"/>
          <w:szCs w:val="22"/>
          <w:lang w:val="en-US"/>
        </w:rPr>
        <w:t>as the administrative head and the Minister as the poli</w:t>
      </w:r>
      <w:r w:rsidR="00990A74" w:rsidRPr="007F293B">
        <w:rPr>
          <w:rFonts w:ascii="Bookman Old Style" w:hAnsi="Bookman Old Style"/>
          <w:i/>
          <w:sz w:val="22"/>
          <w:szCs w:val="22"/>
          <w:lang w:val="en-US"/>
        </w:rPr>
        <w:t xml:space="preserve">tical authority on the one hand, and between the </w:t>
      </w:r>
      <w:r w:rsidR="00597D5A">
        <w:rPr>
          <w:rFonts w:ascii="Bookman Old Style" w:hAnsi="Bookman Old Style"/>
          <w:i/>
          <w:sz w:val="22"/>
          <w:szCs w:val="22"/>
          <w:lang w:val="en-US"/>
        </w:rPr>
        <w:t>Principal</w:t>
      </w:r>
      <w:r w:rsidR="007D7DC2">
        <w:rPr>
          <w:rFonts w:ascii="Bookman Old Style" w:hAnsi="Bookman Old Style"/>
          <w:i/>
          <w:sz w:val="22"/>
          <w:szCs w:val="22"/>
          <w:lang w:val="en-US"/>
        </w:rPr>
        <w:t xml:space="preserve"> Secretary </w:t>
      </w:r>
      <w:r w:rsidR="00990A74" w:rsidRPr="007F293B">
        <w:rPr>
          <w:rFonts w:ascii="Bookman Old Style" w:hAnsi="Bookman Old Style"/>
          <w:i/>
          <w:sz w:val="22"/>
          <w:szCs w:val="22"/>
          <w:lang w:val="en-US"/>
        </w:rPr>
        <w:t>and Heads of Departments (sic) of receiving ministries on the other.</w:t>
      </w:r>
    </w:p>
    <w:p w14:paraId="4E99C338" w14:textId="77777777" w:rsidR="007D7DC2" w:rsidRDefault="007D7DC2" w:rsidP="007F293B">
      <w:pPr>
        <w:spacing w:line="360" w:lineRule="auto"/>
        <w:ind w:left="720"/>
        <w:jc w:val="both"/>
        <w:rPr>
          <w:rFonts w:ascii="Bookman Old Style" w:hAnsi="Bookman Old Style"/>
          <w:i/>
          <w:sz w:val="22"/>
          <w:szCs w:val="22"/>
          <w:lang w:val="en-US"/>
        </w:rPr>
      </w:pPr>
    </w:p>
    <w:p w14:paraId="6361D5E4" w14:textId="25FBF766" w:rsidR="00990A74" w:rsidRPr="007F293B" w:rsidRDefault="00990A74" w:rsidP="007F293B">
      <w:pPr>
        <w:spacing w:line="360" w:lineRule="auto"/>
        <w:ind w:left="720"/>
        <w:jc w:val="both"/>
        <w:rPr>
          <w:rFonts w:ascii="Bookman Old Style" w:hAnsi="Bookman Old Style"/>
          <w:i/>
          <w:sz w:val="22"/>
          <w:szCs w:val="22"/>
          <w:lang w:val="en-US"/>
        </w:rPr>
      </w:pPr>
      <w:r w:rsidRPr="007F293B">
        <w:rPr>
          <w:rFonts w:ascii="Bookman Old Style" w:hAnsi="Bookman Old Style"/>
          <w:i/>
          <w:sz w:val="22"/>
          <w:szCs w:val="22"/>
          <w:lang w:val="en-US"/>
        </w:rPr>
        <w:lastRenderedPageBreak/>
        <w:t>[20] Transferring ‘’with the concurrence’’ and ‘’in consultation’’ obliges all three functionaries to engage in a meaningful dialogue to reach an agreement on the necessity to make transfers. The dialogue also constitutes a system of checks and balances of the power to transfer.</w:t>
      </w:r>
      <w:r w:rsidR="007D7DC2">
        <w:rPr>
          <w:rFonts w:ascii="Bookman Old Style" w:hAnsi="Bookman Old Style"/>
          <w:i/>
          <w:sz w:val="22"/>
          <w:szCs w:val="22"/>
          <w:lang w:val="en-US"/>
        </w:rPr>
        <w:t xml:space="preserve"> </w:t>
      </w:r>
    </w:p>
    <w:p w14:paraId="435AFE36" w14:textId="77777777" w:rsidR="00990A74" w:rsidRPr="007F293B" w:rsidRDefault="00990A74" w:rsidP="007F293B">
      <w:pPr>
        <w:spacing w:line="360" w:lineRule="auto"/>
        <w:ind w:left="720"/>
        <w:jc w:val="both"/>
        <w:rPr>
          <w:rFonts w:ascii="Bookman Old Style" w:hAnsi="Bookman Old Style"/>
          <w:i/>
          <w:sz w:val="22"/>
          <w:szCs w:val="22"/>
          <w:lang w:val="en-US"/>
        </w:rPr>
      </w:pPr>
    </w:p>
    <w:p w14:paraId="1DF066C4" w14:textId="53BF755E" w:rsidR="00990A74" w:rsidRPr="007F293B" w:rsidRDefault="00990A74" w:rsidP="007F293B">
      <w:pPr>
        <w:spacing w:line="360" w:lineRule="auto"/>
        <w:ind w:left="720"/>
        <w:jc w:val="both"/>
        <w:rPr>
          <w:rFonts w:ascii="Bookman Old Style" w:hAnsi="Bookman Old Style"/>
          <w:i/>
          <w:sz w:val="22"/>
          <w:szCs w:val="22"/>
          <w:lang w:val="en-US"/>
        </w:rPr>
      </w:pPr>
      <w:r w:rsidRPr="007F293B">
        <w:rPr>
          <w:rFonts w:ascii="Bookman Old Style" w:hAnsi="Bookman Old Style"/>
          <w:i/>
          <w:sz w:val="22"/>
          <w:szCs w:val="22"/>
          <w:lang w:val="en-US"/>
        </w:rPr>
        <w:t xml:space="preserve">[21] Where the decision to transfer is non-compliant with the regulation 32(1) procedure, there is no room for an argument that the exercise of the power is unlawful. The exercise of a power contrary to law is void ab initio. A letter of transfer issued thereby is pro non </w:t>
      </w:r>
      <w:proofErr w:type="spellStart"/>
      <w:r w:rsidRPr="007F293B">
        <w:rPr>
          <w:rFonts w:ascii="Bookman Old Style" w:hAnsi="Bookman Old Style"/>
          <w:i/>
          <w:sz w:val="22"/>
          <w:szCs w:val="22"/>
          <w:lang w:val="en-US"/>
        </w:rPr>
        <w:t>scripto</w:t>
      </w:r>
      <w:proofErr w:type="spellEnd"/>
      <w:r w:rsidRPr="007F293B">
        <w:rPr>
          <w:rFonts w:ascii="Bookman Old Style" w:hAnsi="Bookman Old Style"/>
          <w:i/>
          <w:sz w:val="22"/>
          <w:szCs w:val="22"/>
          <w:lang w:val="en-US"/>
        </w:rPr>
        <w:t>. In my judgment, a public officer affected thereby is within his or rights to challenge same</w:t>
      </w:r>
      <w:r w:rsidR="00533A7D">
        <w:rPr>
          <w:rFonts w:ascii="Bookman Old Style" w:hAnsi="Bookman Old Style"/>
          <w:i/>
          <w:sz w:val="22"/>
          <w:szCs w:val="22"/>
          <w:lang w:val="en-US"/>
        </w:rPr>
        <w:t>.</w:t>
      </w:r>
      <w:r w:rsidRPr="007F293B">
        <w:rPr>
          <w:rFonts w:ascii="Bookman Old Style" w:hAnsi="Bookman Old Style"/>
          <w:i/>
          <w:sz w:val="22"/>
          <w:szCs w:val="22"/>
          <w:lang w:val="en-US"/>
        </w:rPr>
        <w:t>’</w:t>
      </w:r>
    </w:p>
    <w:p w14:paraId="5766FA7B" w14:textId="77777777" w:rsidR="004476C6" w:rsidRDefault="004476C6" w:rsidP="007F293B">
      <w:pPr>
        <w:spacing w:line="360" w:lineRule="auto"/>
        <w:ind w:left="720"/>
        <w:jc w:val="both"/>
        <w:rPr>
          <w:rFonts w:ascii="Bookman Old Style" w:hAnsi="Bookman Old Style"/>
          <w:lang w:val="en-US"/>
        </w:rPr>
      </w:pPr>
    </w:p>
    <w:p w14:paraId="67EFD154" w14:textId="76D8889F" w:rsidR="004476C6" w:rsidRPr="00533A7D" w:rsidRDefault="004476C6" w:rsidP="00533A7D">
      <w:pPr>
        <w:pStyle w:val="ListParagraph"/>
        <w:numPr>
          <w:ilvl w:val="0"/>
          <w:numId w:val="1"/>
        </w:numPr>
        <w:spacing w:line="360" w:lineRule="auto"/>
        <w:ind w:left="0" w:firstLine="0"/>
        <w:jc w:val="both"/>
        <w:rPr>
          <w:rFonts w:ascii="Bookman Old Style" w:hAnsi="Bookman Old Style"/>
          <w:sz w:val="28"/>
          <w:szCs w:val="28"/>
          <w:lang w:val="en-US"/>
        </w:rPr>
      </w:pPr>
      <w:r w:rsidRPr="00533A7D">
        <w:rPr>
          <w:rFonts w:ascii="Bookman Old Style" w:hAnsi="Bookman Old Style"/>
          <w:sz w:val="28"/>
          <w:szCs w:val="28"/>
          <w:lang w:val="en-US"/>
        </w:rPr>
        <w:t>The Chief Justice found</w:t>
      </w:r>
      <w:r w:rsidR="00536311">
        <w:rPr>
          <w:rFonts w:ascii="Bookman Old Style" w:hAnsi="Bookman Old Style"/>
          <w:sz w:val="28"/>
          <w:szCs w:val="28"/>
          <w:lang w:val="en-US"/>
        </w:rPr>
        <w:t>,</w:t>
      </w:r>
      <w:r w:rsidRPr="00533A7D">
        <w:rPr>
          <w:rFonts w:ascii="Bookman Old Style" w:hAnsi="Bookman Old Style"/>
          <w:sz w:val="28"/>
          <w:szCs w:val="28"/>
          <w:lang w:val="en-US"/>
        </w:rPr>
        <w:t xml:space="preserve"> as a fact</w:t>
      </w:r>
      <w:r w:rsidR="00536311">
        <w:rPr>
          <w:rFonts w:ascii="Bookman Old Style" w:hAnsi="Bookman Old Style"/>
          <w:sz w:val="28"/>
          <w:szCs w:val="28"/>
          <w:lang w:val="en-US"/>
        </w:rPr>
        <w:t>,</w:t>
      </w:r>
      <w:r w:rsidRPr="00533A7D">
        <w:rPr>
          <w:rFonts w:ascii="Bookman Old Style" w:hAnsi="Bookman Old Style"/>
          <w:sz w:val="28"/>
          <w:szCs w:val="28"/>
          <w:lang w:val="en-US"/>
        </w:rPr>
        <w:t xml:space="preserve"> that in the </w:t>
      </w:r>
      <w:r w:rsidR="00536311">
        <w:rPr>
          <w:rFonts w:ascii="Bookman Old Style" w:hAnsi="Bookman Old Style"/>
          <w:sz w:val="28"/>
          <w:szCs w:val="28"/>
          <w:lang w:val="en-US"/>
        </w:rPr>
        <w:t xml:space="preserve">case of </w:t>
      </w:r>
      <w:proofErr w:type="spellStart"/>
      <w:r w:rsidR="00536311">
        <w:rPr>
          <w:rFonts w:ascii="Bookman Old Style" w:hAnsi="Bookman Old Style"/>
          <w:sz w:val="28"/>
          <w:szCs w:val="28"/>
          <w:lang w:val="en-US"/>
        </w:rPr>
        <w:t>Ms</w:t>
      </w:r>
      <w:proofErr w:type="spellEnd"/>
      <w:r w:rsidR="00536311">
        <w:rPr>
          <w:rFonts w:ascii="Bookman Old Style" w:hAnsi="Bookman Old Style"/>
          <w:sz w:val="28"/>
          <w:szCs w:val="28"/>
          <w:lang w:val="en-US"/>
        </w:rPr>
        <w:t xml:space="preserve"> </w:t>
      </w:r>
      <w:proofErr w:type="spellStart"/>
      <w:r w:rsidR="00536311">
        <w:rPr>
          <w:rFonts w:ascii="Bookman Old Style" w:hAnsi="Bookman Old Style"/>
          <w:sz w:val="28"/>
          <w:szCs w:val="28"/>
          <w:lang w:val="en-US"/>
        </w:rPr>
        <w:t>Moeti</w:t>
      </w:r>
      <w:proofErr w:type="spellEnd"/>
      <w:r w:rsidR="00536311">
        <w:rPr>
          <w:rFonts w:ascii="Bookman Old Style" w:hAnsi="Bookman Old Style"/>
          <w:sz w:val="28"/>
          <w:szCs w:val="28"/>
          <w:lang w:val="en-US"/>
        </w:rPr>
        <w:t xml:space="preserve"> the receiving M</w:t>
      </w:r>
      <w:r w:rsidRPr="00533A7D">
        <w:rPr>
          <w:rFonts w:ascii="Bookman Old Style" w:hAnsi="Bookman Old Style"/>
          <w:sz w:val="28"/>
          <w:szCs w:val="28"/>
          <w:lang w:val="en-US"/>
        </w:rPr>
        <w:t xml:space="preserve">inistry was not consulted. He found the denial by the Crown in the case of the other </w:t>
      </w:r>
      <w:r w:rsidR="00A4540A">
        <w:rPr>
          <w:rFonts w:ascii="Bookman Old Style" w:hAnsi="Bookman Old Style"/>
          <w:sz w:val="28"/>
          <w:szCs w:val="28"/>
          <w:lang w:val="en-US"/>
        </w:rPr>
        <w:t xml:space="preserve">applicants </w:t>
      </w:r>
      <w:r w:rsidRPr="00533A7D">
        <w:rPr>
          <w:rFonts w:ascii="Bookman Old Style" w:hAnsi="Bookman Old Style"/>
          <w:sz w:val="28"/>
          <w:szCs w:val="28"/>
          <w:lang w:val="en-US"/>
        </w:rPr>
        <w:t xml:space="preserve">implausible. </w:t>
      </w:r>
      <w:r w:rsidR="00536311">
        <w:rPr>
          <w:rFonts w:ascii="Bookman Old Style" w:hAnsi="Bookman Old Style"/>
          <w:sz w:val="28"/>
          <w:szCs w:val="28"/>
          <w:lang w:val="en-US"/>
        </w:rPr>
        <w:t>The Chief Justice</w:t>
      </w:r>
      <w:r w:rsidRPr="00533A7D">
        <w:rPr>
          <w:rFonts w:ascii="Bookman Old Style" w:hAnsi="Bookman Old Style"/>
          <w:sz w:val="28"/>
          <w:szCs w:val="28"/>
          <w:lang w:val="en-US"/>
        </w:rPr>
        <w:t xml:space="preserve"> said:</w:t>
      </w:r>
    </w:p>
    <w:p w14:paraId="25CC09DD" w14:textId="77777777" w:rsidR="0037567D" w:rsidRDefault="0037567D" w:rsidP="007F293B">
      <w:pPr>
        <w:spacing w:line="360" w:lineRule="auto"/>
        <w:jc w:val="both"/>
        <w:rPr>
          <w:rFonts w:ascii="Bookman Old Style" w:hAnsi="Bookman Old Style"/>
          <w:lang w:val="en-US"/>
        </w:rPr>
      </w:pPr>
    </w:p>
    <w:p w14:paraId="3D098F66" w14:textId="39207234" w:rsidR="00DF2E73" w:rsidRPr="00533A7D" w:rsidRDefault="007F293B" w:rsidP="007F293B">
      <w:pPr>
        <w:spacing w:line="360" w:lineRule="auto"/>
        <w:ind w:left="720"/>
        <w:jc w:val="both"/>
        <w:rPr>
          <w:rFonts w:ascii="Bookman Old Style" w:hAnsi="Bookman Old Style"/>
          <w:lang w:val="en-US"/>
        </w:rPr>
      </w:pPr>
      <w:r w:rsidRPr="00533A7D">
        <w:rPr>
          <w:rFonts w:ascii="Bookman Old Style" w:hAnsi="Bookman Old Style"/>
          <w:i/>
          <w:lang w:val="en-US"/>
        </w:rPr>
        <w:t>‘</w:t>
      </w:r>
      <w:r w:rsidR="00247D51" w:rsidRPr="00533A7D">
        <w:rPr>
          <w:rFonts w:ascii="Bookman Old Style" w:hAnsi="Bookman Old Style"/>
          <w:i/>
          <w:lang w:val="en-US"/>
        </w:rPr>
        <w:t xml:space="preserve">The disputed fact on consultation must be resolved in </w:t>
      </w:r>
      <w:proofErr w:type="spellStart"/>
      <w:r w:rsidR="00247D51" w:rsidRPr="00533A7D">
        <w:rPr>
          <w:rFonts w:ascii="Bookman Old Style" w:hAnsi="Bookman Old Style"/>
          <w:i/>
          <w:lang w:val="en-US"/>
        </w:rPr>
        <w:t>favour</w:t>
      </w:r>
      <w:proofErr w:type="spellEnd"/>
      <w:r w:rsidR="00247D51" w:rsidRPr="00533A7D">
        <w:rPr>
          <w:rFonts w:ascii="Bookman Old Style" w:hAnsi="Bookman Old Style"/>
          <w:i/>
          <w:lang w:val="en-US"/>
        </w:rPr>
        <w:t xml:space="preserve"> of the respondents. The reason is that the Principal Secretary could easily have produced evidence of the consultative process he engaged in once the applicants challenged his averments.</w:t>
      </w:r>
    </w:p>
    <w:p w14:paraId="16A96DF4" w14:textId="0312EEEE" w:rsidR="00D02167" w:rsidRPr="00533A7D" w:rsidRDefault="00D02167" w:rsidP="007F293B">
      <w:pPr>
        <w:spacing w:line="360" w:lineRule="auto"/>
        <w:ind w:left="720"/>
        <w:jc w:val="both"/>
        <w:rPr>
          <w:rFonts w:ascii="Bookman Old Style" w:hAnsi="Bookman Old Style"/>
          <w:i/>
          <w:lang w:val="en-US"/>
        </w:rPr>
      </w:pPr>
      <w:r w:rsidRPr="00533A7D">
        <w:rPr>
          <w:rFonts w:ascii="Bookman Old Style" w:hAnsi="Bookman Old Style"/>
          <w:i/>
          <w:lang w:val="en-US"/>
        </w:rPr>
        <w:t>…</w:t>
      </w:r>
    </w:p>
    <w:p w14:paraId="0864CA80" w14:textId="659EC3FA" w:rsidR="00D02167" w:rsidRPr="00533A7D" w:rsidRDefault="00D02167" w:rsidP="007F293B">
      <w:pPr>
        <w:spacing w:line="360" w:lineRule="auto"/>
        <w:ind w:left="720"/>
        <w:jc w:val="both"/>
        <w:rPr>
          <w:rFonts w:ascii="Bookman Old Style" w:hAnsi="Bookman Old Style"/>
          <w:i/>
          <w:lang w:val="en-US"/>
        </w:rPr>
      </w:pPr>
      <w:r w:rsidRPr="00533A7D">
        <w:rPr>
          <w:rFonts w:ascii="Bookman Old Style" w:hAnsi="Bookman Old Style"/>
          <w:i/>
          <w:lang w:val="en-US"/>
        </w:rPr>
        <w:t>As to when and how the consultations were mad</w:t>
      </w:r>
      <w:r w:rsidR="004476C6" w:rsidRPr="00533A7D">
        <w:rPr>
          <w:rFonts w:ascii="Bookman Old Style" w:hAnsi="Bookman Old Style"/>
          <w:i/>
          <w:lang w:val="en-US"/>
        </w:rPr>
        <w:t>e, the court is none the wiser.</w:t>
      </w:r>
      <w:r w:rsidR="007F293B" w:rsidRPr="00533A7D">
        <w:rPr>
          <w:rFonts w:ascii="Bookman Old Style" w:hAnsi="Bookman Old Style"/>
          <w:i/>
          <w:lang w:val="en-US"/>
        </w:rPr>
        <w:t>’</w:t>
      </w:r>
    </w:p>
    <w:p w14:paraId="16D1372C" w14:textId="77777777" w:rsidR="007F293B" w:rsidRPr="007F293B" w:rsidRDefault="007F293B" w:rsidP="007F293B">
      <w:pPr>
        <w:spacing w:line="360" w:lineRule="auto"/>
        <w:ind w:left="720"/>
        <w:jc w:val="both"/>
        <w:rPr>
          <w:rFonts w:ascii="Bookman Old Style" w:hAnsi="Bookman Old Style"/>
          <w:i/>
          <w:sz w:val="22"/>
          <w:szCs w:val="22"/>
          <w:lang w:val="en-US"/>
        </w:rPr>
      </w:pPr>
    </w:p>
    <w:p w14:paraId="3E6084A0" w14:textId="27DA5D41" w:rsidR="00D02167" w:rsidRPr="00DC0678" w:rsidRDefault="00EF3739"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In </w:t>
      </w:r>
      <w:r w:rsidR="005842DD">
        <w:rPr>
          <w:rFonts w:ascii="Bookman Old Style" w:hAnsi="Bookman Old Style"/>
          <w:sz w:val="28"/>
          <w:szCs w:val="28"/>
          <w:lang w:val="en-US"/>
        </w:rPr>
        <w:t>relation to the assertion by</w:t>
      </w:r>
      <w:r w:rsidRPr="00DC0678">
        <w:rPr>
          <w:rFonts w:ascii="Bookman Old Style" w:hAnsi="Bookman Old Style"/>
          <w:sz w:val="28"/>
          <w:szCs w:val="28"/>
          <w:lang w:val="en-US"/>
        </w:rPr>
        <w:t xml:space="preserve"> </w:t>
      </w:r>
      <w:proofErr w:type="spellStart"/>
      <w:r w:rsidR="00A4540A">
        <w:rPr>
          <w:rFonts w:ascii="Bookman Old Style" w:hAnsi="Bookman Old Style"/>
          <w:sz w:val="28"/>
          <w:szCs w:val="28"/>
          <w:lang w:val="en-US"/>
        </w:rPr>
        <w:t>Mr</w:t>
      </w:r>
      <w:proofErr w:type="spellEnd"/>
      <w:r w:rsidR="00A4540A">
        <w:rPr>
          <w:rFonts w:ascii="Bookman Old Style" w:hAnsi="Bookman Old Style"/>
          <w:sz w:val="28"/>
          <w:szCs w:val="28"/>
          <w:lang w:val="en-US"/>
        </w:rPr>
        <w:t xml:space="preserve"> Khumalo </w:t>
      </w:r>
      <w:r w:rsidRPr="00DC0678">
        <w:rPr>
          <w:rFonts w:ascii="Bookman Old Style" w:hAnsi="Bookman Old Style"/>
          <w:sz w:val="28"/>
          <w:szCs w:val="28"/>
          <w:lang w:val="en-US"/>
        </w:rPr>
        <w:t xml:space="preserve">that there was consultation, the learned </w:t>
      </w:r>
      <w:r w:rsidR="00D02167" w:rsidRPr="00DC0678">
        <w:rPr>
          <w:rFonts w:ascii="Bookman Old Style" w:hAnsi="Bookman Old Style"/>
          <w:sz w:val="28"/>
          <w:szCs w:val="28"/>
          <w:lang w:val="en-US"/>
        </w:rPr>
        <w:t xml:space="preserve">Chief Justice </w:t>
      </w:r>
      <w:r w:rsidRPr="00DC0678">
        <w:rPr>
          <w:rFonts w:ascii="Bookman Old Style" w:hAnsi="Bookman Old Style"/>
          <w:sz w:val="28"/>
          <w:szCs w:val="28"/>
          <w:lang w:val="en-US"/>
        </w:rPr>
        <w:t xml:space="preserve">said: </w:t>
      </w:r>
      <w:r w:rsidRPr="00DC0678">
        <w:rPr>
          <w:rFonts w:ascii="Bookman Old Style" w:hAnsi="Bookman Old Style"/>
          <w:i/>
          <w:sz w:val="28"/>
          <w:szCs w:val="28"/>
          <w:lang w:val="en-US"/>
        </w:rPr>
        <w:t>‘This statement does not inspire confidence in me that the receiving ministries were consulted.</w:t>
      </w:r>
      <w:r w:rsidRPr="00DC0678">
        <w:rPr>
          <w:rFonts w:ascii="Bookman Old Style" w:hAnsi="Bookman Old Style"/>
          <w:sz w:val="28"/>
          <w:szCs w:val="28"/>
          <w:lang w:val="en-US"/>
        </w:rPr>
        <w:t>’</w:t>
      </w:r>
    </w:p>
    <w:p w14:paraId="0B08EE17" w14:textId="77777777" w:rsidR="00EF3739" w:rsidRPr="00DC0678" w:rsidRDefault="00EF3739" w:rsidP="007F293B">
      <w:pPr>
        <w:spacing w:line="360" w:lineRule="auto"/>
        <w:jc w:val="both"/>
        <w:rPr>
          <w:rFonts w:ascii="Bookman Old Style" w:hAnsi="Bookman Old Style"/>
          <w:sz w:val="28"/>
          <w:szCs w:val="28"/>
          <w:lang w:val="en-US"/>
        </w:rPr>
      </w:pPr>
    </w:p>
    <w:p w14:paraId="70A2ABB7" w14:textId="0E456A7E" w:rsidR="00EF3739" w:rsidRPr="00DC0678" w:rsidRDefault="00EF3739"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The court </w:t>
      </w:r>
      <w:r w:rsidR="00B31F84">
        <w:rPr>
          <w:rFonts w:ascii="Bookman Old Style" w:hAnsi="Bookman Old Style"/>
          <w:sz w:val="28"/>
          <w:szCs w:val="28"/>
          <w:lang w:val="en-US"/>
        </w:rPr>
        <w:t xml:space="preserve">therefore </w:t>
      </w:r>
      <w:r w:rsidRPr="00DC0678">
        <w:rPr>
          <w:rFonts w:ascii="Bookman Old Style" w:hAnsi="Bookman Old Style"/>
          <w:sz w:val="28"/>
          <w:szCs w:val="28"/>
          <w:lang w:val="en-US"/>
        </w:rPr>
        <w:t>concluded that:</w:t>
      </w:r>
    </w:p>
    <w:p w14:paraId="733E554B" w14:textId="77777777" w:rsidR="007F293B" w:rsidRDefault="007F293B" w:rsidP="007F293B">
      <w:pPr>
        <w:spacing w:line="360" w:lineRule="auto"/>
        <w:jc w:val="both"/>
        <w:rPr>
          <w:rFonts w:ascii="Bookman Old Style" w:hAnsi="Bookman Old Style"/>
          <w:i/>
          <w:lang w:val="en-US"/>
        </w:rPr>
      </w:pPr>
    </w:p>
    <w:p w14:paraId="567EF9B8" w14:textId="77777777" w:rsidR="00533A7D" w:rsidRPr="00344368" w:rsidRDefault="00EF3739" w:rsidP="007F293B">
      <w:pPr>
        <w:spacing w:line="360" w:lineRule="auto"/>
        <w:ind w:left="720"/>
        <w:jc w:val="both"/>
        <w:rPr>
          <w:rFonts w:ascii="Bookman Old Style" w:hAnsi="Bookman Old Style"/>
          <w:lang w:val="en-US"/>
        </w:rPr>
      </w:pPr>
      <w:r w:rsidRPr="00344368">
        <w:rPr>
          <w:rFonts w:ascii="Bookman Old Style" w:hAnsi="Bookman Old Style"/>
          <w:i/>
          <w:lang w:val="en-US"/>
        </w:rPr>
        <w:lastRenderedPageBreak/>
        <w:t>‘The applicants have made good their cause of action of non-compliance with regulation 32(1). On the authority of Lloyd (supra), the transfers of the applicants stand to be reviewed and set aside.’</w:t>
      </w:r>
      <w:r w:rsidR="004E6B6D" w:rsidRPr="00344368">
        <w:rPr>
          <w:rFonts w:ascii="Bookman Old Style" w:hAnsi="Bookman Old Style"/>
          <w:i/>
          <w:lang w:val="en-US"/>
        </w:rPr>
        <w:t xml:space="preserve">  </w:t>
      </w:r>
    </w:p>
    <w:p w14:paraId="69E8AB46" w14:textId="77777777" w:rsidR="00533A7D" w:rsidRDefault="00533A7D" w:rsidP="00533A7D">
      <w:pPr>
        <w:spacing w:line="360" w:lineRule="auto"/>
        <w:jc w:val="both"/>
        <w:rPr>
          <w:rFonts w:ascii="Bookman Old Style" w:hAnsi="Bookman Old Style"/>
          <w:i/>
          <w:sz w:val="22"/>
          <w:szCs w:val="22"/>
          <w:lang w:val="en-US"/>
        </w:rPr>
      </w:pPr>
    </w:p>
    <w:p w14:paraId="568B30FC" w14:textId="05DC2B1C" w:rsidR="00533A7D" w:rsidRDefault="004E6B6D" w:rsidP="00533A7D">
      <w:pPr>
        <w:pStyle w:val="ListParagraph"/>
        <w:numPr>
          <w:ilvl w:val="0"/>
          <w:numId w:val="1"/>
        </w:numPr>
        <w:spacing w:line="360" w:lineRule="auto"/>
        <w:ind w:left="0" w:firstLine="0"/>
        <w:jc w:val="both"/>
        <w:rPr>
          <w:rFonts w:ascii="Bookman Old Style" w:hAnsi="Bookman Old Style"/>
          <w:lang w:val="en-US"/>
        </w:rPr>
      </w:pPr>
      <w:r w:rsidRPr="00533A7D">
        <w:rPr>
          <w:rFonts w:ascii="Bookman Old Style" w:hAnsi="Bookman Old Style"/>
          <w:sz w:val="28"/>
          <w:szCs w:val="28"/>
          <w:lang w:val="en-US"/>
        </w:rPr>
        <w:t xml:space="preserve">The passage quoted by the Chief Justice from </w:t>
      </w:r>
      <w:r w:rsidRPr="00533A7D">
        <w:rPr>
          <w:rFonts w:ascii="Bookman Old Style" w:hAnsi="Bookman Old Style"/>
          <w:i/>
          <w:iCs/>
          <w:sz w:val="28"/>
          <w:szCs w:val="28"/>
          <w:lang w:val="en-US"/>
        </w:rPr>
        <w:t>Lloyd v McMahon</w:t>
      </w:r>
      <w:r w:rsidR="00533A7D">
        <w:rPr>
          <w:rStyle w:val="FootnoteReference"/>
          <w:rFonts w:ascii="Bookman Old Style" w:hAnsi="Bookman Old Style"/>
          <w:i/>
          <w:iCs/>
          <w:sz w:val="28"/>
          <w:szCs w:val="28"/>
          <w:lang w:val="en-US"/>
        </w:rPr>
        <w:footnoteReference w:id="1"/>
      </w:r>
      <w:r w:rsidR="00344368">
        <w:rPr>
          <w:rFonts w:ascii="Bookman Old Style" w:hAnsi="Bookman Old Style"/>
          <w:i/>
          <w:iCs/>
          <w:sz w:val="28"/>
          <w:szCs w:val="28"/>
          <w:lang w:val="en-US"/>
        </w:rPr>
        <w:t xml:space="preserve"> </w:t>
      </w:r>
      <w:r w:rsidRPr="00533A7D">
        <w:rPr>
          <w:rFonts w:ascii="Bookman Old Style" w:hAnsi="Bookman Old Style"/>
          <w:sz w:val="28"/>
          <w:szCs w:val="28"/>
          <w:lang w:val="en-US"/>
        </w:rPr>
        <w:t>reads:</w:t>
      </w:r>
      <w:r>
        <w:rPr>
          <w:rFonts w:ascii="Bookman Old Style" w:hAnsi="Bookman Old Style"/>
          <w:lang w:val="en-US"/>
        </w:rPr>
        <w:t xml:space="preserve"> </w:t>
      </w:r>
    </w:p>
    <w:p w14:paraId="2BA270A3" w14:textId="5117FE24" w:rsidR="00EF3739" w:rsidRPr="004E6B6D" w:rsidRDefault="004E6B6D" w:rsidP="00533A7D">
      <w:pPr>
        <w:spacing w:line="360" w:lineRule="auto"/>
        <w:ind w:left="720"/>
        <w:jc w:val="both"/>
        <w:rPr>
          <w:rFonts w:ascii="Bookman Old Style" w:hAnsi="Bookman Old Style"/>
          <w:u w:val="single"/>
          <w:lang w:val="en-US"/>
        </w:rPr>
      </w:pPr>
      <w:r>
        <w:rPr>
          <w:rFonts w:ascii="Bookman Old Style" w:hAnsi="Bookman Old Style"/>
          <w:lang w:val="en-US"/>
        </w:rPr>
        <w:t>‘</w:t>
      </w:r>
      <w:r w:rsidR="00344368">
        <w:rPr>
          <w:rFonts w:ascii="Bookman Old Style" w:hAnsi="Bookman Old Style"/>
          <w:lang w:val="en-US"/>
        </w:rPr>
        <w:t xml:space="preserve">. . . </w:t>
      </w:r>
      <w:r>
        <w:rPr>
          <w:rFonts w:ascii="Bookman Old Style" w:hAnsi="Bookman Old Style"/>
          <w:lang w:val="en-US"/>
        </w:rPr>
        <w:t xml:space="preserve">[I]t is well </w:t>
      </w:r>
      <w:r w:rsidR="00344368">
        <w:rPr>
          <w:rFonts w:ascii="Bookman Old Style" w:hAnsi="Bookman Old Style"/>
          <w:lang w:val="en-US"/>
        </w:rPr>
        <w:t>established</w:t>
      </w:r>
      <w:r>
        <w:rPr>
          <w:rFonts w:ascii="Bookman Old Style" w:hAnsi="Bookman Old Style"/>
          <w:lang w:val="en-US"/>
        </w:rPr>
        <w:t xml:space="preserve"> that when a statute has conferred on anybody the power to make decisions affecting individuals, the courts will not only require the procedure prescribed by the statute to be </w:t>
      </w:r>
      <w:r w:rsidR="009E0B76">
        <w:rPr>
          <w:rFonts w:ascii="Bookman Old Style" w:hAnsi="Bookman Old Style"/>
          <w:lang w:val="en-US"/>
        </w:rPr>
        <w:t>followed but</w:t>
      </w:r>
      <w:r>
        <w:rPr>
          <w:rFonts w:ascii="Bookman Old Style" w:hAnsi="Bookman Old Style"/>
          <w:lang w:val="en-US"/>
        </w:rPr>
        <w:t xml:space="preserve"> will readily imply so much and no more to be introduced by way of additional procedural safeguards as will ensure the attainment of fairness’.</w:t>
      </w:r>
    </w:p>
    <w:p w14:paraId="7CBC98AB" w14:textId="77777777" w:rsidR="004476C6" w:rsidRDefault="004476C6" w:rsidP="007F293B">
      <w:pPr>
        <w:spacing w:line="360" w:lineRule="auto"/>
        <w:jc w:val="both"/>
        <w:rPr>
          <w:rFonts w:ascii="Bookman Old Style" w:hAnsi="Bookman Old Style"/>
          <w:i/>
          <w:lang w:val="en-US"/>
        </w:rPr>
      </w:pPr>
    </w:p>
    <w:p w14:paraId="1C8FB1AD" w14:textId="1CF5B11E" w:rsidR="00094692" w:rsidRPr="00DC0678" w:rsidRDefault="00FD1F6B"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The </w:t>
      </w:r>
      <w:r w:rsidR="00215C43" w:rsidRPr="00DC0678">
        <w:rPr>
          <w:rFonts w:ascii="Bookman Old Style" w:hAnsi="Bookman Old Style"/>
          <w:sz w:val="28"/>
          <w:szCs w:val="28"/>
          <w:lang w:val="en-US"/>
        </w:rPr>
        <w:t xml:space="preserve">High Court next considered the </w:t>
      </w:r>
      <w:r w:rsidR="00A4540A">
        <w:rPr>
          <w:rFonts w:ascii="Bookman Old Style" w:hAnsi="Bookman Old Style"/>
          <w:sz w:val="28"/>
          <w:szCs w:val="28"/>
          <w:lang w:val="en-US"/>
        </w:rPr>
        <w:t xml:space="preserve">applicants’ </w:t>
      </w:r>
      <w:r w:rsidR="00215C43" w:rsidRPr="00DC0678">
        <w:rPr>
          <w:rFonts w:ascii="Bookman Old Style" w:hAnsi="Bookman Old Style"/>
          <w:sz w:val="28"/>
          <w:szCs w:val="28"/>
          <w:lang w:val="en-US"/>
        </w:rPr>
        <w:t>alleged entitlement to a pre-transfer hearing. After extensively discussing Lesotho</w:t>
      </w:r>
      <w:r w:rsidR="0051235E">
        <w:rPr>
          <w:rFonts w:ascii="Bookman Old Style" w:hAnsi="Bookman Old Style"/>
          <w:sz w:val="28"/>
          <w:szCs w:val="28"/>
          <w:lang w:val="en-US"/>
        </w:rPr>
        <w:t>’s</w:t>
      </w:r>
      <w:r w:rsidR="00215C43" w:rsidRPr="00DC0678">
        <w:rPr>
          <w:rFonts w:ascii="Bookman Old Style" w:hAnsi="Bookman Old Style"/>
          <w:sz w:val="28"/>
          <w:szCs w:val="28"/>
          <w:lang w:val="en-US"/>
        </w:rPr>
        <w:t xml:space="preserve"> and comparative jurisprudence on the issue</w:t>
      </w:r>
      <w:r w:rsidR="00536311">
        <w:rPr>
          <w:rFonts w:ascii="Bookman Old Style" w:hAnsi="Bookman Old Style"/>
          <w:sz w:val="28"/>
          <w:szCs w:val="28"/>
          <w:lang w:val="en-US"/>
        </w:rPr>
        <w:t>,</w:t>
      </w:r>
      <w:r w:rsidR="008469EB" w:rsidRPr="00DC0678">
        <w:rPr>
          <w:rFonts w:ascii="Bookman Old Style" w:hAnsi="Bookman Old Style"/>
          <w:sz w:val="28"/>
          <w:szCs w:val="28"/>
          <w:lang w:val="en-US"/>
        </w:rPr>
        <w:t xml:space="preserve"> the court below held that there is no invariable right to </w:t>
      </w:r>
      <w:proofErr w:type="spellStart"/>
      <w:r w:rsidR="008469EB" w:rsidRPr="00BC1BFD">
        <w:rPr>
          <w:rFonts w:ascii="Bookman Old Style" w:hAnsi="Bookman Old Style"/>
          <w:i/>
          <w:iCs/>
          <w:sz w:val="28"/>
          <w:szCs w:val="28"/>
          <w:lang w:val="en-US"/>
        </w:rPr>
        <w:t>audi</w:t>
      </w:r>
      <w:proofErr w:type="spellEnd"/>
      <w:r w:rsidR="008469EB" w:rsidRPr="00BC1BFD">
        <w:rPr>
          <w:rFonts w:ascii="Bookman Old Style" w:hAnsi="Bookman Old Style"/>
          <w:i/>
          <w:iCs/>
          <w:sz w:val="28"/>
          <w:szCs w:val="28"/>
          <w:lang w:val="en-US"/>
        </w:rPr>
        <w:t xml:space="preserve"> </w:t>
      </w:r>
      <w:r w:rsidR="008469EB" w:rsidRPr="00DC0678">
        <w:rPr>
          <w:rFonts w:ascii="Bookman Old Style" w:hAnsi="Bookman Old Style"/>
          <w:sz w:val="28"/>
          <w:szCs w:val="28"/>
          <w:lang w:val="en-US"/>
        </w:rPr>
        <w:t xml:space="preserve">when an employee is being transferred; that the power of transfer is the prerogative of the government; that in a transfer situation the right to </w:t>
      </w:r>
      <w:proofErr w:type="spellStart"/>
      <w:r w:rsidR="008469EB" w:rsidRPr="00BC1BFD">
        <w:rPr>
          <w:rFonts w:ascii="Bookman Old Style" w:hAnsi="Bookman Old Style"/>
          <w:i/>
          <w:iCs/>
          <w:sz w:val="28"/>
          <w:szCs w:val="28"/>
          <w:lang w:val="en-US"/>
        </w:rPr>
        <w:t>audi</w:t>
      </w:r>
      <w:proofErr w:type="spellEnd"/>
      <w:r w:rsidR="008469EB" w:rsidRPr="00BC1BFD">
        <w:rPr>
          <w:rFonts w:ascii="Bookman Old Style" w:hAnsi="Bookman Old Style"/>
          <w:i/>
          <w:iCs/>
          <w:sz w:val="28"/>
          <w:szCs w:val="28"/>
          <w:lang w:val="en-US"/>
        </w:rPr>
        <w:t xml:space="preserve"> </w:t>
      </w:r>
      <w:r w:rsidR="008469EB" w:rsidRPr="00DC0678">
        <w:rPr>
          <w:rFonts w:ascii="Bookman Old Style" w:hAnsi="Bookman Old Style"/>
          <w:sz w:val="28"/>
          <w:szCs w:val="28"/>
          <w:lang w:val="en-US"/>
        </w:rPr>
        <w:t>only arises if the transfer has the potential to cause prejudice to the transferee (such as diminution in benefits or radical change in responsibility); that</w:t>
      </w:r>
      <w:r w:rsidR="00A4540A">
        <w:rPr>
          <w:rFonts w:ascii="Bookman Old Style" w:hAnsi="Bookman Old Style"/>
          <w:sz w:val="28"/>
          <w:szCs w:val="28"/>
          <w:lang w:val="en-US"/>
        </w:rPr>
        <w:t>,</w:t>
      </w:r>
      <w:r w:rsidR="008469EB" w:rsidRPr="00DC0678">
        <w:rPr>
          <w:rFonts w:ascii="Bookman Old Style" w:hAnsi="Bookman Old Style"/>
          <w:sz w:val="28"/>
          <w:szCs w:val="28"/>
          <w:lang w:val="en-US"/>
        </w:rPr>
        <w:t xml:space="preserve"> excepting </w:t>
      </w:r>
      <w:proofErr w:type="spellStart"/>
      <w:r w:rsidR="00536311">
        <w:rPr>
          <w:rFonts w:ascii="Bookman Old Style" w:hAnsi="Bookman Old Style"/>
          <w:sz w:val="28"/>
          <w:szCs w:val="28"/>
          <w:lang w:val="en-US"/>
        </w:rPr>
        <w:t>Ms</w:t>
      </w:r>
      <w:proofErr w:type="spellEnd"/>
      <w:r w:rsidR="00536311">
        <w:rPr>
          <w:rFonts w:ascii="Bookman Old Style" w:hAnsi="Bookman Old Style"/>
          <w:sz w:val="28"/>
          <w:szCs w:val="28"/>
          <w:lang w:val="en-US"/>
        </w:rPr>
        <w:t xml:space="preserve"> </w:t>
      </w:r>
      <w:proofErr w:type="spellStart"/>
      <w:r w:rsidR="008469EB" w:rsidRPr="00DC0678">
        <w:rPr>
          <w:rFonts w:ascii="Bookman Old Style" w:hAnsi="Bookman Old Style"/>
          <w:sz w:val="28"/>
          <w:szCs w:val="28"/>
          <w:lang w:val="en-US"/>
        </w:rPr>
        <w:t>Kanono</w:t>
      </w:r>
      <w:proofErr w:type="spellEnd"/>
      <w:r w:rsidR="00A4540A">
        <w:rPr>
          <w:rFonts w:ascii="Bookman Old Style" w:hAnsi="Bookman Old Style"/>
          <w:sz w:val="28"/>
          <w:szCs w:val="28"/>
          <w:lang w:val="en-US"/>
        </w:rPr>
        <w:t>,</w:t>
      </w:r>
      <w:r w:rsidR="008469EB" w:rsidRPr="00DC0678">
        <w:rPr>
          <w:rFonts w:ascii="Bookman Old Style" w:hAnsi="Bookman Old Style"/>
          <w:sz w:val="28"/>
          <w:szCs w:val="28"/>
          <w:lang w:val="en-US"/>
        </w:rPr>
        <w:t xml:space="preserve"> the respondents stood to suffer no such prejudice. </w:t>
      </w:r>
    </w:p>
    <w:p w14:paraId="4582D946" w14:textId="77777777" w:rsidR="00094692" w:rsidRPr="00DC0678" w:rsidRDefault="00094692" w:rsidP="007F293B">
      <w:pPr>
        <w:spacing w:line="360" w:lineRule="auto"/>
        <w:jc w:val="both"/>
        <w:rPr>
          <w:rFonts w:ascii="Bookman Old Style" w:hAnsi="Bookman Old Style"/>
          <w:sz w:val="28"/>
          <w:szCs w:val="28"/>
          <w:lang w:val="en-US"/>
        </w:rPr>
      </w:pPr>
    </w:p>
    <w:p w14:paraId="6A809F31" w14:textId="18130EA3" w:rsidR="001A2537" w:rsidRPr="00DC0678" w:rsidRDefault="00094692"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The Chief Justice found</w:t>
      </w:r>
      <w:r w:rsidR="00536311">
        <w:rPr>
          <w:rFonts w:ascii="Bookman Old Style" w:hAnsi="Bookman Old Style"/>
          <w:sz w:val="28"/>
          <w:szCs w:val="28"/>
          <w:lang w:val="en-US"/>
        </w:rPr>
        <w:t>, again</w:t>
      </w:r>
      <w:r w:rsidRPr="00DC0678">
        <w:rPr>
          <w:rFonts w:ascii="Bookman Old Style" w:hAnsi="Bookman Old Style"/>
          <w:sz w:val="28"/>
          <w:szCs w:val="28"/>
          <w:lang w:val="en-US"/>
        </w:rPr>
        <w:t xml:space="preserve"> as a fact</w:t>
      </w:r>
      <w:r w:rsidR="00536311">
        <w:rPr>
          <w:rFonts w:ascii="Bookman Old Style" w:hAnsi="Bookman Old Style"/>
          <w:sz w:val="28"/>
          <w:szCs w:val="28"/>
          <w:lang w:val="en-US"/>
        </w:rPr>
        <w:t>,</w:t>
      </w:r>
      <w:r w:rsidRPr="00DC0678">
        <w:rPr>
          <w:rFonts w:ascii="Bookman Old Style" w:hAnsi="Bookman Old Style"/>
          <w:sz w:val="28"/>
          <w:szCs w:val="28"/>
          <w:lang w:val="en-US"/>
        </w:rPr>
        <w:t xml:space="preserve"> that except for </w:t>
      </w:r>
      <w:proofErr w:type="spellStart"/>
      <w:r w:rsidRPr="00DC0678">
        <w:rPr>
          <w:rFonts w:ascii="Bookman Old Style" w:hAnsi="Bookman Old Style"/>
          <w:sz w:val="28"/>
          <w:szCs w:val="28"/>
          <w:lang w:val="en-US"/>
        </w:rPr>
        <w:t>Ms</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Kanono</w:t>
      </w:r>
      <w:proofErr w:type="spellEnd"/>
      <w:r w:rsidRPr="00DC0678">
        <w:rPr>
          <w:rFonts w:ascii="Bookman Old Style" w:hAnsi="Bookman Old Style"/>
          <w:sz w:val="28"/>
          <w:szCs w:val="28"/>
          <w:lang w:val="en-US"/>
        </w:rPr>
        <w:t xml:space="preserve">, ‘All the applicants …do not complain about the transfers having any changes to their grades, salaries or benefits. Their only gripe is that they have new and different responsibilities. Absent </w:t>
      </w:r>
      <w:r w:rsidRPr="00DC0678">
        <w:rPr>
          <w:rFonts w:ascii="Bookman Old Style" w:hAnsi="Bookman Old Style"/>
          <w:sz w:val="28"/>
          <w:szCs w:val="28"/>
          <w:lang w:val="en-US"/>
        </w:rPr>
        <w:lastRenderedPageBreak/>
        <w:t xml:space="preserve">any diminution of responsibilities, I do not see how these new responsibilities constitute prejudice to their rights or interests.’  </w:t>
      </w:r>
      <w:r w:rsidR="008469EB" w:rsidRPr="00DC0678">
        <w:rPr>
          <w:rFonts w:ascii="Bookman Old Style" w:hAnsi="Bookman Old Style"/>
          <w:sz w:val="28"/>
          <w:szCs w:val="28"/>
          <w:lang w:val="en-US"/>
        </w:rPr>
        <w:t xml:space="preserve">In so concluding, the court </w:t>
      </w:r>
      <w:r w:rsidR="008469EB" w:rsidRPr="00DC0678">
        <w:rPr>
          <w:rFonts w:ascii="Bookman Old Style" w:hAnsi="Bookman Old Style"/>
          <w:i/>
          <w:sz w:val="28"/>
          <w:szCs w:val="28"/>
          <w:lang w:val="en-US"/>
        </w:rPr>
        <w:t>a quo</w:t>
      </w:r>
      <w:r w:rsidR="008469EB" w:rsidRPr="00DC0678">
        <w:rPr>
          <w:rFonts w:ascii="Bookman Old Style" w:hAnsi="Bookman Old Style"/>
          <w:sz w:val="28"/>
          <w:szCs w:val="28"/>
          <w:lang w:val="en-US"/>
        </w:rPr>
        <w:t xml:space="preserve"> rejected respondents’ pleaded reliance on pre-transfer </w:t>
      </w:r>
      <w:proofErr w:type="spellStart"/>
      <w:r w:rsidR="008469EB" w:rsidRPr="00DC0678">
        <w:rPr>
          <w:rFonts w:ascii="Bookman Old Style" w:hAnsi="Bookman Old Style"/>
          <w:i/>
          <w:sz w:val="28"/>
          <w:szCs w:val="28"/>
          <w:lang w:val="en-US"/>
        </w:rPr>
        <w:t>audi</w:t>
      </w:r>
      <w:proofErr w:type="spellEnd"/>
      <w:r w:rsidR="008469EB" w:rsidRPr="00DC0678">
        <w:rPr>
          <w:rFonts w:ascii="Bookman Old Style" w:hAnsi="Bookman Old Style"/>
          <w:sz w:val="28"/>
          <w:szCs w:val="28"/>
          <w:lang w:val="en-US"/>
        </w:rPr>
        <w:t>.</w:t>
      </w:r>
    </w:p>
    <w:p w14:paraId="2A62783D" w14:textId="77777777" w:rsidR="001A2537" w:rsidRPr="00DC0678" w:rsidRDefault="001A2537" w:rsidP="007F293B">
      <w:pPr>
        <w:spacing w:line="360" w:lineRule="auto"/>
        <w:jc w:val="both"/>
        <w:rPr>
          <w:rFonts w:ascii="Bookman Old Style" w:hAnsi="Bookman Old Style"/>
          <w:sz w:val="28"/>
          <w:szCs w:val="28"/>
          <w:lang w:val="en-US"/>
        </w:rPr>
      </w:pPr>
    </w:p>
    <w:p w14:paraId="6A39D7DF" w14:textId="23854A43" w:rsidR="004476C6" w:rsidRPr="00DC0678" w:rsidRDefault="001A2537"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The legal and factual conclusions underpinning the High Court’s judgment on the pleaded reliance on </w:t>
      </w:r>
      <w:proofErr w:type="spellStart"/>
      <w:r w:rsidRPr="00BC1BFD">
        <w:rPr>
          <w:rFonts w:ascii="Bookman Old Style" w:hAnsi="Bookman Old Style"/>
          <w:i/>
          <w:iCs/>
          <w:sz w:val="28"/>
          <w:szCs w:val="28"/>
          <w:lang w:val="en-US"/>
        </w:rPr>
        <w:t>audi</w:t>
      </w:r>
      <w:proofErr w:type="spellEnd"/>
      <w:r w:rsidRPr="00BC1BFD">
        <w:rPr>
          <w:rFonts w:ascii="Bookman Old Style" w:hAnsi="Bookman Old Style"/>
          <w:i/>
          <w:iCs/>
          <w:sz w:val="28"/>
          <w:szCs w:val="28"/>
          <w:lang w:val="en-US"/>
        </w:rPr>
        <w:t xml:space="preserve"> </w:t>
      </w:r>
      <w:r w:rsidRPr="00DC0678">
        <w:rPr>
          <w:rFonts w:ascii="Bookman Old Style" w:hAnsi="Bookman Old Style"/>
          <w:sz w:val="28"/>
          <w:szCs w:val="28"/>
          <w:lang w:val="en-US"/>
        </w:rPr>
        <w:t xml:space="preserve">has not been </w:t>
      </w:r>
      <w:proofErr w:type="gramStart"/>
      <w:r w:rsidRPr="00DC0678">
        <w:rPr>
          <w:rFonts w:ascii="Bookman Old Style" w:hAnsi="Bookman Old Style"/>
          <w:sz w:val="28"/>
          <w:szCs w:val="28"/>
          <w:lang w:val="en-US"/>
        </w:rPr>
        <w:t>cross-appealed</w:t>
      </w:r>
      <w:proofErr w:type="gramEnd"/>
      <w:r w:rsidRPr="00DC0678">
        <w:rPr>
          <w:rFonts w:ascii="Bookman Old Style" w:hAnsi="Bookman Old Style"/>
          <w:sz w:val="28"/>
          <w:szCs w:val="28"/>
          <w:lang w:val="en-US"/>
        </w:rPr>
        <w:t xml:space="preserve"> by the respondents and I prefer not to say anything further about it.</w:t>
      </w:r>
      <w:r w:rsidR="008469EB" w:rsidRPr="00DC0678">
        <w:rPr>
          <w:rFonts w:ascii="Bookman Old Style" w:hAnsi="Bookman Old Style"/>
          <w:sz w:val="28"/>
          <w:szCs w:val="28"/>
          <w:lang w:val="en-US"/>
        </w:rPr>
        <w:t xml:space="preserve"> </w:t>
      </w:r>
    </w:p>
    <w:p w14:paraId="4F8A4CB7" w14:textId="77777777" w:rsidR="00DF2E73" w:rsidRPr="00DC0678" w:rsidRDefault="00DF2E73" w:rsidP="007F293B">
      <w:pPr>
        <w:spacing w:line="360" w:lineRule="auto"/>
        <w:jc w:val="both"/>
        <w:rPr>
          <w:rFonts w:ascii="Bookman Old Style" w:hAnsi="Bookman Old Style"/>
          <w:sz w:val="28"/>
          <w:szCs w:val="28"/>
          <w:lang w:val="en-US"/>
        </w:rPr>
      </w:pPr>
    </w:p>
    <w:p w14:paraId="2BFAC299" w14:textId="62C27A5F" w:rsidR="00E56A19" w:rsidRPr="00DC0678" w:rsidRDefault="00E56A19"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The Chief Justice found the </w:t>
      </w:r>
      <w:r w:rsidR="004F29A1">
        <w:rPr>
          <w:rFonts w:ascii="Bookman Old Style" w:hAnsi="Bookman Old Style"/>
          <w:sz w:val="28"/>
          <w:szCs w:val="28"/>
          <w:lang w:val="en-US"/>
        </w:rPr>
        <w:t xml:space="preserve">applicants’ </w:t>
      </w:r>
      <w:r w:rsidRPr="00DC0678">
        <w:rPr>
          <w:rFonts w:ascii="Bookman Old Style" w:hAnsi="Bookman Old Style"/>
          <w:sz w:val="28"/>
          <w:szCs w:val="28"/>
          <w:lang w:val="en-US"/>
        </w:rPr>
        <w:t xml:space="preserve">right to </w:t>
      </w:r>
      <w:proofErr w:type="spellStart"/>
      <w:r w:rsidR="004F29A1" w:rsidRPr="004F29A1">
        <w:rPr>
          <w:rFonts w:ascii="Bookman Old Style" w:hAnsi="Bookman Old Style"/>
          <w:i/>
          <w:sz w:val="28"/>
          <w:szCs w:val="28"/>
          <w:lang w:val="en-US"/>
        </w:rPr>
        <w:t>audi</w:t>
      </w:r>
      <w:proofErr w:type="spellEnd"/>
      <w:r w:rsidR="004F29A1">
        <w:rPr>
          <w:rFonts w:ascii="Bookman Old Style" w:hAnsi="Bookman Old Style"/>
          <w:sz w:val="28"/>
          <w:szCs w:val="28"/>
          <w:lang w:val="en-US"/>
        </w:rPr>
        <w:t xml:space="preserve"> </w:t>
      </w:r>
      <w:r w:rsidRPr="00DC0678">
        <w:rPr>
          <w:rFonts w:ascii="Bookman Old Style" w:hAnsi="Bookman Old Style"/>
          <w:sz w:val="28"/>
          <w:szCs w:val="28"/>
          <w:lang w:val="en-US"/>
        </w:rPr>
        <w:t xml:space="preserve">for a different reason: The Crown’s non-compliance with </w:t>
      </w:r>
      <w:r w:rsidR="00EF3739" w:rsidRPr="00DC0678">
        <w:rPr>
          <w:rFonts w:ascii="Bookman Old Style" w:hAnsi="Bookman Old Style"/>
          <w:sz w:val="28"/>
          <w:szCs w:val="28"/>
          <w:lang w:val="en-US"/>
        </w:rPr>
        <w:t xml:space="preserve">Human Resources &amp; Development Policy Manual </w:t>
      </w:r>
      <w:r w:rsidR="00B95E93">
        <w:rPr>
          <w:rFonts w:ascii="Bookman Old Style" w:hAnsi="Bookman Old Style"/>
          <w:sz w:val="28"/>
          <w:szCs w:val="28"/>
          <w:lang w:val="en-US"/>
        </w:rPr>
        <w:t xml:space="preserve">(the Manual) </w:t>
      </w:r>
      <w:r w:rsidR="00EF3739" w:rsidRPr="00DC0678">
        <w:rPr>
          <w:rFonts w:ascii="Bookman Old Style" w:hAnsi="Bookman Old Style"/>
          <w:sz w:val="28"/>
          <w:szCs w:val="28"/>
          <w:lang w:val="en-US"/>
        </w:rPr>
        <w:t>approved by the Cabinet on 1 November 2017</w:t>
      </w:r>
      <w:r w:rsidR="00B95E93">
        <w:rPr>
          <w:rFonts w:ascii="Bookman Old Style" w:hAnsi="Bookman Old Style"/>
          <w:sz w:val="28"/>
          <w:szCs w:val="28"/>
          <w:lang w:val="en-US"/>
        </w:rPr>
        <w:t>. According to the Manual,</w:t>
      </w:r>
      <w:r w:rsidR="00EF3739" w:rsidRPr="00DC0678">
        <w:rPr>
          <w:rFonts w:ascii="Bookman Old Style" w:hAnsi="Bookman Old Style"/>
          <w:sz w:val="28"/>
          <w:szCs w:val="28"/>
          <w:lang w:val="en-US"/>
        </w:rPr>
        <w:t xml:space="preserve"> a public officer must be given three months’ notice </w:t>
      </w:r>
      <w:r w:rsidR="00A4540A">
        <w:rPr>
          <w:rFonts w:ascii="Bookman Old Style" w:hAnsi="Bookman Old Style"/>
          <w:sz w:val="28"/>
          <w:szCs w:val="28"/>
          <w:lang w:val="en-US"/>
        </w:rPr>
        <w:t xml:space="preserve">of a transfer </w:t>
      </w:r>
      <w:r w:rsidR="00EF3739" w:rsidRPr="00DC0678">
        <w:rPr>
          <w:rFonts w:ascii="Bookman Old Style" w:hAnsi="Bookman Old Style"/>
          <w:sz w:val="28"/>
          <w:szCs w:val="28"/>
          <w:lang w:val="en-US"/>
        </w:rPr>
        <w:t xml:space="preserve">unless operational requirements dictate an immediate transfer. </w:t>
      </w:r>
    </w:p>
    <w:p w14:paraId="2E09BA86" w14:textId="77777777" w:rsidR="00765705" w:rsidRPr="00DC0678" w:rsidRDefault="00765705" w:rsidP="007F293B">
      <w:pPr>
        <w:spacing w:line="360" w:lineRule="auto"/>
        <w:jc w:val="both"/>
        <w:rPr>
          <w:rFonts w:ascii="Bookman Old Style" w:hAnsi="Bookman Old Style"/>
          <w:sz w:val="28"/>
          <w:szCs w:val="28"/>
          <w:lang w:val="en-US"/>
        </w:rPr>
      </w:pPr>
    </w:p>
    <w:p w14:paraId="464564CC" w14:textId="36DF51D4" w:rsidR="00765705" w:rsidRPr="00DC0678" w:rsidRDefault="00C64248"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The M</w:t>
      </w:r>
      <w:r w:rsidR="00765705" w:rsidRPr="00DC0678">
        <w:rPr>
          <w:rFonts w:ascii="Bookman Old Style" w:hAnsi="Bookman Old Style"/>
          <w:sz w:val="28"/>
          <w:szCs w:val="28"/>
          <w:lang w:val="en-US"/>
        </w:rPr>
        <w:t xml:space="preserve">anual was not relied on by the respondents in their pleaded case as a ground of review. That must explain the fact that the learned Chief Justice did not cite it in the part of his judgement dealing with the applicable legal framework. The </w:t>
      </w:r>
      <w:r w:rsidR="00777E37">
        <w:rPr>
          <w:rFonts w:ascii="Bookman Old Style" w:hAnsi="Bookman Old Style"/>
          <w:sz w:val="28"/>
          <w:szCs w:val="28"/>
          <w:lang w:val="en-US"/>
        </w:rPr>
        <w:t xml:space="preserve">Manual </w:t>
      </w:r>
      <w:r w:rsidR="00765705" w:rsidRPr="00DC0678">
        <w:rPr>
          <w:rFonts w:ascii="Bookman Old Style" w:hAnsi="Bookman Old Style"/>
          <w:sz w:val="28"/>
          <w:szCs w:val="28"/>
          <w:lang w:val="en-US"/>
        </w:rPr>
        <w:t xml:space="preserve">appears as part of </w:t>
      </w:r>
      <w:r w:rsidR="00765705" w:rsidRPr="0051235E">
        <w:rPr>
          <w:rFonts w:ascii="Bookman Old Style" w:hAnsi="Bookman Old Style"/>
          <w:i/>
          <w:sz w:val="28"/>
          <w:szCs w:val="28"/>
          <w:lang w:val="en-US"/>
        </w:rPr>
        <w:t>Annexure A1</w:t>
      </w:r>
      <w:r w:rsidR="00765705" w:rsidRPr="00DC0678">
        <w:rPr>
          <w:rFonts w:ascii="Bookman Old Style" w:hAnsi="Bookman Old Style"/>
          <w:sz w:val="28"/>
          <w:szCs w:val="28"/>
          <w:lang w:val="en-US"/>
        </w:rPr>
        <w:t xml:space="preserve"> to </w:t>
      </w:r>
      <w:proofErr w:type="spellStart"/>
      <w:r w:rsidR="00765705" w:rsidRPr="00DC0678">
        <w:rPr>
          <w:rFonts w:ascii="Bookman Old Style" w:hAnsi="Bookman Old Style"/>
          <w:sz w:val="28"/>
          <w:szCs w:val="28"/>
          <w:lang w:val="en-US"/>
        </w:rPr>
        <w:t>Mr</w:t>
      </w:r>
      <w:proofErr w:type="spellEnd"/>
      <w:r w:rsidR="00765705" w:rsidRPr="00DC0678">
        <w:rPr>
          <w:rFonts w:ascii="Bookman Old Style" w:hAnsi="Bookman Old Style"/>
          <w:sz w:val="28"/>
          <w:szCs w:val="28"/>
          <w:lang w:val="en-US"/>
        </w:rPr>
        <w:t xml:space="preserve"> </w:t>
      </w:r>
      <w:proofErr w:type="spellStart"/>
      <w:r w:rsidR="00BC1BFD" w:rsidRPr="00DC0678">
        <w:rPr>
          <w:rFonts w:ascii="Bookman Old Style" w:hAnsi="Bookman Old Style"/>
          <w:sz w:val="28"/>
          <w:szCs w:val="28"/>
          <w:lang w:val="en-US"/>
        </w:rPr>
        <w:t>Ramoroke</w:t>
      </w:r>
      <w:proofErr w:type="spellEnd"/>
      <w:r w:rsidR="00BC1BFD" w:rsidRPr="00DC0678">
        <w:rPr>
          <w:rFonts w:ascii="Bookman Old Style" w:hAnsi="Bookman Old Style"/>
          <w:sz w:val="28"/>
          <w:szCs w:val="28"/>
          <w:lang w:val="en-US"/>
        </w:rPr>
        <w:t>’ s</w:t>
      </w:r>
      <w:r w:rsidR="00765705" w:rsidRPr="00DC0678">
        <w:rPr>
          <w:rFonts w:ascii="Bookman Old Style" w:hAnsi="Bookman Old Style"/>
          <w:sz w:val="28"/>
          <w:szCs w:val="28"/>
          <w:lang w:val="en-US"/>
        </w:rPr>
        <w:t xml:space="preserve"> affidavit and no specific reference is made that it is relied on as invalidating the transfers. It clearly </w:t>
      </w:r>
      <w:r w:rsidR="00777E37">
        <w:rPr>
          <w:rFonts w:ascii="Bookman Old Style" w:hAnsi="Bookman Old Style"/>
          <w:sz w:val="28"/>
          <w:szCs w:val="28"/>
          <w:lang w:val="en-US"/>
        </w:rPr>
        <w:t xml:space="preserve">was </w:t>
      </w:r>
      <w:r w:rsidR="00765705" w:rsidRPr="00DC0678">
        <w:rPr>
          <w:rFonts w:ascii="Bookman Old Style" w:hAnsi="Bookman Old Style"/>
          <w:sz w:val="28"/>
          <w:szCs w:val="28"/>
          <w:lang w:val="en-US"/>
        </w:rPr>
        <w:t>intended as mere background information. In any event, the applicable legal principle is clear:</w:t>
      </w:r>
    </w:p>
    <w:p w14:paraId="3D69FF3B" w14:textId="77777777" w:rsidR="002243C6" w:rsidRDefault="002243C6" w:rsidP="007F293B">
      <w:pPr>
        <w:spacing w:line="360" w:lineRule="auto"/>
        <w:jc w:val="both"/>
        <w:rPr>
          <w:rFonts w:ascii="Bookman Old Style" w:hAnsi="Bookman Old Style"/>
          <w:lang w:val="en-US"/>
        </w:rPr>
      </w:pPr>
    </w:p>
    <w:p w14:paraId="267148A9" w14:textId="05CC9E78" w:rsidR="002243C6" w:rsidRPr="007F293B" w:rsidRDefault="00EA0B96" w:rsidP="007F293B">
      <w:pPr>
        <w:spacing w:line="360" w:lineRule="auto"/>
        <w:ind w:left="720"/>
        <w:jc w:val="both"/>
        <w:rPr>
          <w:rFonts w:ascii="Bookman Old Style" w:hAnsi="Bookman Old Style"/>
          <w:sz w:val="22"/>
          <w:szCs w:val="22"/>
          <w:lang w:val="en-US"/>
        </w:rPr>
      </w:pPr>
      <w:r w:rsidRPr="007F293B">
        <w:rPr>
          <w:rFonts w:ascii="Bookman Old Style" w:hAnsi="Bookman Old Style"/>
          <w:i/>
          <w:sz w:val="22"/>
          <w:szCs w:val="22"/>
          <w:lang w:val="en-US"/>
        </w:rPr>
        <w:t xml:space="preserve">‘It is not proper for a party in motion proceedings to base an argument on passages in documents which have been annexed to the papers when the </w:t>
      </w:r>
      <w:r w:rsidRPr="007F293B">
        <w:rPr>
          <w:rFonts w:ascii="Bookman Old Style" w:hAnsi="Bookman Old Style"/>
          <w:i/>
          <w:sz w:val="22"/>
          <w:szCs w:val="22"/>
          <w:lang w:val="en-US"/>
        </w:rPr>
        <w:lastRenderedPageBreak/>
        <w:t>conclusions to be drawn from such passages have not been canvassed in the affidavits.</w:t>
      </w:r>
      <w:r w:rsidR="008A6FDC" w:rsidRPr="007F293B">
        <w:rPr>
          <w:rFonts w:ascii="Bookman Old Style" w:hAnsi="Bookman Old Style"/>
          <w:i/>
          <w:sz w:val="22"/>
          <w:szCs w:val="22"/>
          <w:lang w:val="en-US"/>
        </w:rPr>
        <w:t>’</w:t>
      </w:r>
      <w:r w:rsidR="008A6FDC" w:rsidRPr="007F293B">
        <w:rPr>
          <w:rStyle w:val="FootnoteReference"/>
          <w:rFonts w:ascii="Bookman Old Style" w:hAnsi="Bookman Old Style"/>
          <w:sz w:val="22"/>
          <w:szCs w:val="22"/>
          <w:lang w:val="en-US"/>
        </w:rPr>
        <w:footnoteReference w:id="2"/>
      </w:r>
    </w:p>
    <w:p w14:paraId="2A2DA72A" w14:textId="77777777" w:rsidR="00E56A19" w:rsidRDefault="00E56A19" w:rsidP="007F293B">
      <w:pPr>
        <w:spacing w:line="360" w:lineRule="auto"/>
        <w:jc w:val="both"/>
        <w:rPr>
          <w:rFonts w:ascii="Bookman Old Style" w:hAnsi="Bookman Old Style"/>
          <w:lang w:val="en-US"/>
        </w:rPr>
      </w:pPr>
    </w:p>
    <w:p w14:paraId="44F61B82" w14:textId="2E5801B5" w:rsidR="00A25208" w:rsidRPr="00DC0678" w:rsidRDefault="00DB0EC1"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I am satisfied that the court below was not entitled to invalidate the transfers on the ground that the transfers did not comply with the Manual.</w:t>
      </w:r>
    </w:p>
    <w:p w14:paraId="2B18F55B" w14:textId="77777777" w:rsidR="00DB0EC1" w:rsidRPr="00DC0678" w:rsidRDefault="00DB0EC1" w:rsidP="007F293B">
      <w:pPr>
        <w:spacing w:line="360" w:lineRule="auto"/>
        <w:jc w:val="both"/>
        <w:rPr>
          <w:rFonts w:ascii="Bookman Old Style" w:hAnsi="Bookman Old Style"/>
          <w:sz w:val="28"/>
          <w:szCs w:val="28"/>
          <w:lang w:val="en-US"/>
        </w:rPr>
      </w:pPr>
    </w:p>
    <w:p w14:paraId="77895CA0" w14:textId="754C0D32" w:rsidR="00DB0EC1" w:rsidRPr="00DC0678" w:rsidRDefault="00DB0EC1"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It remains to consider if the other basis on which the transfers were invalidated can be sustained – that is non-compliance with Regulation 32(1).</w:t>
      </w:r>
    </w:p>
    <w:p w14:paraId="4E8D50A2" w14:textId="77777777" w:rsidR="00C64248" w:rsidRPr="00DC0678" w:rsidRDefault="00C64248" w:rsidP="007F293B">
      <w:pPr>
        <w:spacing w:line="360" w:lineRule="auto"/>
        <w:jc w:val="both"/>
        <w:rPr>
          <w:rFonts w:ascii="Bookman Old Style" w:hAnsi="Bookman Old Style"/>
          <w:sz w:val="28"/>
          <w:szCs w:val="28"/>
          <w:lang w:val="en-US"/>
        </w:rPr>
      </w:pPr>
    </w:p>
    <w:p w14:paraId="5BE31FD0" w14:textId="77777777" w:rsidR="00BC1BFD" w:rsidRPr="00BC1BFD" w:rsidRDefault="00C64248" w:rsidP="00DC0678">
      <w:pPr>
        <w:pStyle w:val="ListParagraph"/>
        <w:numPr>
          <w:ilvl w:val="0"/>
          <w:numId w:val="1"/>
        </w:numPr>
        <w:spacing w:line="360" w:lineRule="auto"/>
        <w:ind w:left="0" w:firstLine="0"/>
        <w:jc w:val="both"/>
        <w:rPr>
          <w:rFonts w:ascii="Bookman Old Style" w:hAnsi="Bookman Old Style"/>
          <w:i/>
          <w:sz w:val="28"/>
          <w:szCs w:val="28"/>
          <w:lang w:val="en-US"/>
        </w:rPr>
      </w:pPr>
      <w:r w:rsidRPr="00DC0678">
        <w:rPr>
          <w:rFonts w:ascii="Bookman Old Style" w:hAnsi="Bookman Old Style"/>
          <w:sz w:val="28"/>
          <w:szCs w:val="28"/>
          <w:lang w:val="en-US"/>
        </w:rPr>
        <w:t xml:space="preserve">The Crown </w:t>
      </w:r>
      <w:proofErr w:type="spellStart"/>
      <w:r w:rsidRPr="00DC0678">
        <w:rPr>
          <w:rFonts w:ascii="Bookman Old Style" w:hAnsi="Bookman Old Style"/>
          <w:sz w:val="28"/>
          <w:szCs w:val="28"/>
          <w:lang w:val="en-US"/>
        </w:rPr>
        <w:t>criticises</w:t>
      </w:r>
      <w:proofErr w:type="spellEnd"/>
      <w:r w:rsidRPr="00DC0678">
        <w:rPr>
          <w:rFonts w:ascii="Bookman Old Style" w:hAnsi="Bookman Old Style"/>
          <w:sz w:val="28"/>
          <w:szCs w:val="28"/>
          <w:lang w:val="en-US"/>
        </w:rPr>
        <w:t xml:space="preserve"> the High Court’s conclusion on Reg. 32(1). It is said that it</w:t>
      </w:r>
      <w:r w:rsidR="00BC1BFD">
        <w:rPr>
          <w:rFonts w:ascii="Bookman Old Style" w:hAnsi="Bookman Old Style"/>
          <w:sz w:val="28"/>
          <w:szCs w:val="28"/>
          <w:lang w:val="en-US"/>
        </w:rPr>
        <w:t>:</w:t>
      </w:r>
    </w:p>
    <w:p w14:paraId="33485E82" w14:textId="77777777" w:rsidR="00BC1BFD" w:rsidRPr="00BC1BFD" w:rsidRDefault="00BC1BFD" w:rsidP="00BC1BFD">
      <w:pPr>
        <w:pStyle w:val="ListParagraph"/>
        <w:rPr>
          <w:rFonts w:ascii="Bookman Old Style" w:hAnsi="Bookman Old Style"/>
          <w:sz w:val="28"/>
          <w:szCs w:val="28"/>
          <w:lang w:val="en-US"/>
        </w:rPr>
      </w:pPr>
    </w:p>
    <w:p w14:paraId="1E5B46DF" w14:textId="1C46B014" w:rsidR="00C64248" w:rsidRPr="00BC1BFD" w:rsidRDefault="00C64248" w:rsidP="00BC1BFD">
      <w:pPr>
        <w:pStyle w:val="ListParagraph"/>
        <w:spacing w:line="360" w:lineRule="auto"/>
        <w:jc w:val="both"/>
        <w:rPr>
          <w:rFonts w:ascii="Bookman Old Style" w:hAnsi="Bookman Old Style"/>
          <w:i/>
          <w:lang w:val="en-US"/>
        </w:rPr>
      </w:pPr>
      <w:r w:rsidRPr="00BC1BFD">
        <w:rPr>
          <w:rFonts w:ascii="Bookman Old Style" w:hAnsi="Bookman Old Style"/>
          <w:i/>
          <w:lang w:val="en-US"/>
        </w:rPr>
        <w:t>‘</w:t>
      </w:r>
      <w:r w:rsidR="00344368">
        <w:rPr>
          <w:rFonts w:ascii="Bookman Old Style" w:hAnsi="Bookman Old Style"/>
          <w:i/>
          <w:lang w:val="en-US"/>
        </w:rPr>
        <w:t xml:space="preserve">. . . </w:t>
      </w:r>
      <w:r w:rsidRPr="00BC1BFD">
        <w:rPr>
          <w:rFonts w:ascii="Bookman Old Style" w:hAnsi="Bookman Old Style"/>
          <w:i/>
          <w:lang w:val="en-US"/>
        </w:rPr>
        <w:t>erre</w:t>
      </w:r>
      <w:r w:rsidR="00344368">
        <w:rPr>
          <w:rFonts w:ascii="Bookman Old Style" w:hAnsi="Bookman Old Style"/>
          <w:i/>
          <w:lang w:val="en-US"/>
        </w:rPr>
        <w:t xml:space="preserve">d . . . </w:t>
      </w:r>
      <w:r w:rsidRPr="00BC1BFD">
        <w:rPr>
          <w:rFonts w:ascii="Bookman Old Style" w:hAnsi="Bookman Old Style"/>
          <w:i/>
          <w:lang w:val="en-US"/>
        </w:rPr>
        <w:t>in holding that concurrence of the receiving Ministry is mandatory in every case where transfer of a Public officer is effected by the Principal Secretary under regulation 32(1) of the Public Service Regulations 2008’.</w:t>
      </w:r>
    </w:p>
    <w:p w14:paraId="6C21BDA7" w14:textId="77777777" w:rsidR="00C64248" w:rsidRPr="00DC0678" w:rsidRDefault="00C64248" w:rsidP="007F293B">
      <w:pPr>
        <w:spacing w:line="360" w:lineRule="auto"/>
        <w:jc w:val="both"/>
        <w:rPr>
          <w:rFonts w:ascii="Bookman Old Style" w:hAnsi="Bookman Old Style"/>
          <w:i/>
          <w:sz w:val="28"/>
          <w:szCs w:val="28"/>
          <w:lang w:val="en-US"/>
        </w:rPr>
      </w:pPr>
    </w:p>
    <w:p w14:paraId="539C416A" w14:textId="10DC6A17" w:rsidR="00746610" w:rsidRPr="00DC0678" w:rsidRDefault="00746610"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The approach adopted by the Chief Justice on Reg. 32(1) is sound. I have already quoted </w:t>
      </w:r>
      <w:r w:rsidR="00777E37">
        <w:rPr>
          <w:rFonts w:ascii="Bookman Old Style" w:hAnsi="Bookman Old Style"/>
          <w:sz w:val="28"/>
          <w:szCs w:val="28"/>
          <w:lang w:val="en-US"/>
        </w:rPr>
        <w:t xml:space="preserve">the Chief Justice’s main findings in full </w:t>
      </w:r>
      <w:r w:rsidRPr="00DC0678">
        <w:rPr>
          <w:rFonts w:ascii="Bookman Old Style" w:hAnsi="Bookman Old Style"/>
          <w:sz w:val="28"/>
          <w:szCs w:val="28"/>
          <w:lang w:val="en-US"/>
        </w:rPr>
        <w:t xml:space="preserve">and need not repeat </w:t>
      </w:r>
      <w:r w:rsidR="007814A9">
        <w:rPr>
          <w:rFonts w:ascii="Bookman Old Style" w:hAnsi="Bookman Old Style"/>
          <w:sz w:val="28"/>
          <w:szCs w:val="28"/>
          <w:lang w:val="en-US"/>
        </w:rPr>
        <w:t>it</w:t>
      </w:r>
      <w:r w:rsidRPr="00DC0678">
        <w:rPr>
          <w:rFonts w:ascii="Bookman Old Style" w:hAnsi="Bookman Old Style"/>
          <w:sz w:val="28"/>
          <w:szCs w:val="28"/>
          <w:lang w:val="en-US"/>
        </w:rPr>
        <w:t>, except to add a few observations of my own in support of it. I</w:t>
      </w:r>
      <w:r w:rsidR="00777E37">
        <w:rPr>
          <w:rFonts w:ascii="Bookman Old Style" w:hAnsi="Bookman Old Style"/>
          <w:sz w:val="28"/>
          <w:szCs w:val="28"/>
          <w:lang w:val="en-US"/>
        </w:rPr>
        <w:t>n so doing, I</w:t>
      </w:r>
      <w:r w:rsidRPr="00DC0678">
        <w:rPr>
          <w:rFonts w:ascii="Bookman Old Style" w:hAnsi="Bookman Old Style"/>
          <w:sz w:val="28"/>
          <w:szCs w:val="28"/>
          <w:lang w:val="en-US"/>
        </w:rPr>
        <w:t xml:space="preserve"> proceed from the premise that the fact-finding by the court below that there was no c</w:t>
      </w:r>
      <w:r w:rsidR="007814A9">
        <w:rPr>
          <w:rFonts w:ascii="Bookman Old Style" w:hAnsi="Bookman Old Style"/>
          <w:sz w:val="28"/>
          <w:szCs w:val="28"/>
          <w:lang w:val="en-US"/>
        </w:rPr>
        <w:t>onsultation with the receiving M</w:t>
      </w:r>
      <w:r w:rsidRPr="00DC0678">
        <w:rPr>
          <w:rFonts w:ascii="Bookman Old Style" w:hAnsi="Bookman Old Style"/>
          <w:sz w:val="28"/>
          <w:szCs w:val="28"/>
          <w:lang w:val="en-US"/>
        </w:rPr>
        <w:t>inistries is unassailable and is</w:t>
      </w:r>
      <w:r w:rsidR="00777E37">
        <w:rPr>
          <w:rFonts w:ascii="Bookman Old Style" w:hAnsi="Bookman Old Style"/>
          <w:sz w:val="28"/>
          <w:szCs w:val="28"/>
          <w:lang w:val="en-US"/>
        </w:rPr>
        <w:t>,</w:t>
      </w:r>
      <w:r w:rsidRPr="00DC0678">
        <w:rPr>
          <w:rFonts w:ascii="Bookman Old Style" w:hAnsi="Bookman Old Style"/>
          <w:sz w:val="28"/>
          <w:szCs w:val="28"/>
          <w:lang w:val="en-US"/>
        </w:rPr>
        <w:t xml:space="preserve"> in any event</w:t>
      </w:r>
      <w:r w:rsidR="00777E37">
        <w:rPr>
          <w:rFonts w:ascii="Bookman Old Style" w:hAnsi="Bookman Old Style"/>
          <w:sz w:val="28"/>
          <w:szCs w:val="28"/>
          <w:lang w:val="en-US"/>
        </w:rPr>
        <w:t>,</w:t>
      </w:r>
      <w:r w:rsidRPr="00DC0678">
        <w:rPr>
          <w:rFonts w:ascii="Bookman Old Style" w:hAnsi="Bookman Old Style"/>
          <w:sz w:val="28"/>
          <w:szCs w:val="28"/>
          <w:lang w:val="en-US"/>
        </w:rPr>
        <w:t xml:space="preserve"> not challenged in the grounds of appeal filed of record. </w:t>
      </w:r>
    </w:p>
    <w:p w14:paraId="37DC8B7D" w14:textId="77777777" w:rsidR="00746610" w:rsidRPr="00DC0678" w:rsidRDefault="00746610" w:rsidP="007F293B">
      <w:pPr>
        <w:spacing w:line="360" w:lineRule="auto"/>
        <w:jc w:val="both"/>
        <w:rPr>
          <w:rFonts w:ascii="Bookman Old Style" w:hAnsi="Bookman Old Style"/>
          <w:sz w:val="28"/>
          <w:szCs w:val="28"/>
          <w:lang w:val="en-US"/>
        </w:rPr>
      </w:pPr>
    </w:p>
    <w:p w14:paraId="6575B0FE" w14:textId="207D8C56" w:rsidR="00C64248" w:rsidRPr="00DC0678" w:rsidRDefault="00746610"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lastRenderedPageBreak/>
        <w:t xml:space="preserve">It does not avail the Crown to </w:t>
      </w:r>
      <w:proofErr w:type="spellStart"/>
      <w:r w:rsidRPr="00DC0678">
        <w:rPr>
          <w:rFonts w:ascii="Bookman Old Style" w:hAnsi="Bookman Old Style"/>
          <w:sz w:val="28"/>
          <w:szCs w:val="28"/>
          <w:lang w:val="en-US"/>
        </w:rPr>
        <w:t>criticise</w:t>
      </w:r>
      <w:proofErr w:type="spellEnd"/>
      <w:r w:rsidRPr="00DC0678">
        <w:rPr>
          <w:rFonts w:ascii="Bookman Old Style" w:hAnsi="Bookman Old Style"/>
          <w:sz w:val="28"/>
          <w:szCs w:val="28"/>
          <w:lang w:val="en-US"/>
        </w:rPr>
        <w:t xml:space="preserve"> </w:t>
      </w:r>
      <w:r w:rsidRPr="00A4540A">
        <w:rPr>
          <w:rFonts w:ascii="Bookman Old Style" w:hAnsi="Bookman Old Style"/>
          <w:i/>
          <w:sz w:val="28"/>
          <w:szCs w:val="28"/>
          <w:lang w:val="en-US"/>
        </w:rPr>
        <w:t>that</w:t>
      </w:r>
      <w:r w:rsidRPr="00DC0678">
        <w:rPr>
          <w:rFonts w:ascii="Bookman Old Style" w:hAnsi="Bookman Old Style"/>
          <w:sz w:val="28"/>
          <w:szCs w:val="28"/>
          <w:lang w:val="en-US"/>
        </w:rPr>
        <w:t xml:space="preserve"> fact-finding in</w:t>
      </w:r>
      <w:r w:rsidR="0098013E">
        <w:rPr>
          <w:rFonts w:ascii="Bookman Old Style" w:hAnsi="Bookman Old Style"/>
          <w:sz w:val="28"/>
          <w:szCs w:val="28"/>
          <w:lang w:val="en-US"/>
        </w:rPr>
        <w:t xml:space="preserve"> its </w:t>
      </w:r>
      <w:r w:rsidRPr="00DC0678">
        <w:rPr>
          <w:rFonts w:ascii="Bookman Old Style" w:hAnsi="Bookman Old Style"/>
          <w:sz w:val="28"/>
          <w:szCs w:val="28"/>
          <w:lang w:val="en-US"/>
        </w:rPr>
        <w:t xml:space="preserve">heads of argument when the grounds of appeal are silent on the matter. Be that as it may, and in so far as it may be considered a live issue, the failure by the </w:t>
      </w:r>
      <w:proofErr w:type="spellStart"/>
      <w:r w:rsidR="00A4540A">
        <w:rPr>
          <w:rFonts w:ascii="Bookman Old Style" w:hAnsi="Bookman Old Style"/>
          <w:sz w:val="28"/>
          <w:szCs w:val="28"/>
          <w:lang w:val="en-US"/>
        </w:rPr>
        <w:t>GoL</w:t>
      </w:r>
      <w:proofErr w:type="spellEnd"/>
      <w:r w:rsidR="00A4540A">
        <w:rPr>
          <w:rFonts w:ascii="Bookman Old Style" w:hAnsi="Bookman Old Style"/>
          <w:sz w:val="28"/>
          <w:szCs w:val="28"/>
          <w:lang w:val="en-US"/>
        </w:rPr>
        <w:t xml:space="preserve"> </w:t>
      </w:r>
      <w:r w:rsidRPr="00DC0678">
        <w:rPr>
          <w:rFonts w:ascii="Bookman Old Style" w:hAnsi="Bookman Old Style"/>
          <w:sz w:val="28"/>
          <w:szCs w:val="28"/>
          <w:lang w:val="en-US"/>
        </w:rPr>
        <w:t xml:space="preserve">to produce proof of the consultation is telling. That failure and the clear evidence of </w:t>
      </w:r>
      <w:proofErr w:type="spellStart"/>
      <w:r w:rsidRPr="00DC0678">
        <w:rPr>
          <w:rFonts w:ascii="Bookman Old Style" w:hAnsi="Bookman Old Style"/>
          <w:sz w:val="28"/>
          <w:szCs w:val="28"/>
          <w:lang w:val="en-US"/>
        </w:rPr>
        <w:t>Ms</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Moeti</w:t>
      </w:r>
      <w:proofErr w:type="spellEnd"/>
      <w:r w:rsidRPr="00DC0678">
        <w:rPr>
          <w:rFonts w:ascii="Bookman Old Style" w:hAnsi="Bookman Old Style"/>
          <w:sz w:val="28"/>
          <w:szCs w:val="28"/>
          <w:lang w:val="en-US"/>
        </w:rPr>
        <w:t xml:space="preserve"> corroborate the respondents’ version that no c</w:t>
      </w:r>
      <w:r w:rsidR="005B6558">
        <w:rPr>
          <w:rFonts w:ascii="Bookman Old Style" w:hAnsi="Bookman Old Style"/>
          <w:sz w:val="28"/>
          <w:szCs w:val="28"/>
          <w:lang w:val="en-US"/>
        </w:rPr>
        <w:t>onsultation with the receiving M</w:t>
      </w:r>
      <w:r w:rsidRPr="00DC0678">
        <w:rPr>
          <w:rFonts w:ascii="Bookman Old Style" w:hAnsi="Bookman Old Style"/>
          <w:sz w:val="28"/>
          <w:szCs w:val="28"/>
          <w:lang w:val="en-US"/>
        </w:rPr>
        <w:t>inistries had taken place.</w:t>
      </w:r>
    </w:p>
    <w:p w14:paraId="09926BA2" w14:textId="77777777" w:rsidR="00746610" w:rsidRPr="00DC0678" w:rsidRDefault="00746610" w:rsidP="007F293B">
      <w:pPr>
        <w:spacing w:line="360" w:lineRule="auto"/>
        <w:jc w:val="both"/>
        <w:rPr>
          <w:rFonts w:ascii="Bookman Old Style" w:hAnsi="Bookman Old Style"/>
          <w:sz w:val="28"/>
          <w:szCs w:val="28"/>
          <w:lang w:val="en-US"/>
        </w:rPr>
      </w:pPr>
    </w:p>
    <w:p w14:paraId="5137D608" w14:textId="0B7D903E" w:rsidR="00746610" w:rsidRPr="00DC0678" w:rsidRDefault="00746610"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Compliance with Reg. 32(1) is not a mere formality. The embarrassment </w:t>
      </w:r>
      <w:proofErr w:type="spellStart"/>
      <w:r w:rsidRPr="00DC0678">
        <w:rPr>
          <w:rFonts w:ascii="Bookman Old Style" w:hAnsi="Bookman Old Style"/>
          <w:sz w:val="28"/>
          <w:szCs w:val="28"/>
          <w:lang w:val="en-US"/>
        </w:rPr>
        <w:t>Ms</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Moeti</w:t>
      </w:r>
      <w:proofErr w:type="spellEnd"/>
      <w:r w:rsidRPr="00DC0678">
        <w:rPr>
          <w:rFonts w:ascii="Bookman Old Style" w:hAnsi="Bookman Old Style"/>
          <w:sz w:val="28"/>
          <w:szCs w:val="28"/>
          <w:lang w:val="en-US"/>
        </w:rPr>
        <w:t xml:space="preserve"> and </w:t>
      </w:r>
      <w:proofErr w:type="spellStart"/>
      <w:r w:rsidRPr="00DC0678">
        <w:rPr>
          <w:rFonts w:ascii="Bookman Old Style" w:hAnsi="Bookman Old Style"/>
          <w:sz w:val="28"/>
          <w:szCs w:val="28"/>
          <w:lang w:val="en-US"/>
        </w:rPr>
        <w:t>Mr</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Ramoroke</w:t>
      </w:r>
      <w:proofErr w:type="spellEnd"/>
      <w:r w:rsidRPr="00DC0678">
        <w:rPr>
          <w:rFonts w:ascii="Bookman Old Style" w:hAnsi="Bookman Old Style"/>
          <w:sz w:val="28"/>
          <w:szCs w:val="28"/>
          <w:lang w:val="en-US"/>
        </w:rPr>
        <w:t xml:space="preserve"> found themselves </w:t>
      </w:r>
      <w:r w:rsidR="0098013E">
        <w:rPr>
          <w:rFonts w:ascii="Bookman Old Style" w:hAnsi="Bookman Old Style"/>
          <w:sz w:val="28"/>
          <w:szCs w:val="28"/>
          <w:lang w:val="en-US"/>
        </w:rPr>
        <w:t xml:space="preserve">in </w:t>
      </w:r>
      <w:r w:rsidRPr="00DC0678">
        <w:rPr>
          <w:rFonts w:ascii="Bookman Old Style" w:hAnsi="Bookman Old Style"/>
          <w:sz w:val="28"/>
          <w:szCs w:val="28"/>
          <w:lang w:val="en-US"/>
        </w:rPr>
        <w:t xml:space="preserve">demonstrates its importance. Not only does consultation promote sound administration as stated by the Chief Justice, </w:t>
      </w:r>
      <w:r w:rsidR="0098013E" w:rsidRPr="00DC0678">
        <w:rPr>
          <w:rFonts w:ascii="Bookman Old Style" w:hAnsi="Bookman Old Style"/>
          <w:sz w:val="28"/>
          <w:szCs w:val="28"/>
          <w:lang w:val="en-US"/>
        </w:rPr>
        <w:t>but it</w:t>
      </w:r>
      <w:r w:rsidR="00332488" w:rsidRPr="00DC0678">
        <w:rPr>
          <w:rFonts w:ascii="Bookman Old Style" w:hAnsi="Bookman Old Style"/>
          <w:sz w:val="28"/>
          <w:szCs w:val="28"/>
          <w:lang w:val="en-US"/>
        </w:rPr>
        <w:t xml:space="preserve"> also promotes fairness to </w:t>
      </w:r>
      <w:r w:rsidR="00A4540A">
        <w:rPr>
          <w:rFonts w:ascii="Bookman Old Style" w:hAnsi="Bookman Old Style"/>
          <w:sz w:val="28"/>
          <w:szCs w:val="28"/>
          <w:lang w:val="en-US"/>
        </w:rPr>
        <w:t xml:space="preserve">an </w:t>
      </w:r>
      <w:r w:rsidR="00332488" w:rsidRPr="00DC0678">
        <w:rPr>
          <w:rFonts w:ascii="Bookman Old Style" w:hAnsi="Bookman Old Style"/>
          <w:sz w:val="28"/>
          <w:szCs w:val="28"/>
          <w:lang w:val="en-US"/>
        </w:rPr>
        <w:t>affected public officer. It is</w:t>
      </w:r>
      <w:r w:rsidR="00777E37">
        <w:rPr>
          <w:rFonts w:ascii="Bookman Old Style" w:hAnsi="Bookman Old Style"/>
          <w:sz w:val="28"/>
          <w:szCs w:val="28"/>
          <w:lang w:val="en-US"/>
        </w:rPr>
        <w:t>,</w:t>
      </w:r>
      <w:r w:rsidR="00332488" w:rsidRPr="00DC0678">
        <w:rPr>
          <w:rFonts w:ascii="Bookman Old Style" w:hAnsi="Bookman Old Style"/>
          <w:sz w:val="28"/>
          <w:szCs w:val="28"/>
          <w:lang w:val="en-US"/>
        </w:rPr>
        <w:t xml:space="preserve"> in that sense</w:t>
      </w:r>
      <w:r w:rsidR="00777E37">
        <w:rPr>
          <w:rFonts w:ascii="Bookman Old Style" w:hAnsi="Bookman Old Style"/>
          <w:sz w:val="28"/>
          <w:szCs w:val="28"/>
          <w:lang w:val="en-US"/>
        </w:rPr>
        <w:t>,</w:t>
      </w:r>
      <w:r w:rsidR="00332488" w:rsidRPr="00DC0678">
        <w:rPr>
          <w:rFonts w:ascii="Bookman Old Style" w:hAnsi="Bookman Old Style"/>
          <w:sz w:val="28"/>
          <w:szCs w:val="28"/>
          <w:lang w:val="en-US"/>
        </w:rPr>
        <w:t xml:space="preserve"> a legislative enactment intended for the benefit of public servants and which can </w:t>
      </w:r>
      <w:proofErr w:type="gramStart"/>
      <w:r w:rsidR="00332488" w:rsidRPr="00DC0678">
        <w:rPr>
          <w:rFonts w:ascii="Bookman Old Style" w:hAnsi="Bookman Old Style"/>
          <w:sz w:val="28"/>
          <w:szCs w:val="28"/>
          <w:lang w:val="en-US"/>
        </w:rPr>
        <w:t>found</w:t>
      </w:r>
      <w:proofErr w:type="gramEnd"/>
      <w:r w:rsidR="00332488" w:rsidRPr="00DC0678">
        <w:rPr>
          <w:rFonts w:ascii="Bookman Old Style" w:hAnsi="Bookman Old Style"/>
          <w:sz w:val="28"/>
          <w:szCs w:val="28"/>
          <w:lang w:val="en-US"/>
        </w:rPr>
        <w:t xml:space="preserve"> </w:t>
      </w:r>
      <w:r w:rsidR="00D10463" w:rsidRPr="00DC0678">
        <w:rPr>
          <w:rFonts w:ascii="Bookman Old Style" w:hAnsi="Bookman Old Style"/>
          <w:sz w:val="28"/>
          <w:szCs w:val="28"/>
          <w:lang w:val="en-US"/>
        </w:rPr>
        <w:t>an</w:t>
      </w:r>
      <w:r w:rsidR="00332488" w:rsidRPr="00DC0678">
        <w:rPr>
          <w:rFonts w:ascii="Bookman Old Style" w:hAnsi="Bookman Old Style"/>
          <w:sz w:val="28"/>
          <w:szCs w:val="28"/>
          <w:lang w:val="en-US"/>
        </w:rPr>
        <w:t xml:space="preserve"> actionable cause of action if breached.</w:t>
      </w:r>
      <w:r w:rsidR="000165A1" w:rsidRPr="00DC0678">
        <w:rPr>
          <w:rStyle w:val="FootnoteReference"/>
          <w:rFonts w:ascii="Bookman Old Style" w:hAnsi="Bookman Old Style"/>
          <w:sz w:val="28"/>
          <w:szCs w:val="28"/>
          <w:lang w:val="en-US"/>
        </w:rPr>
        <w:footnoteReference w:id="3"/>
      </w:r>
      <w:r w:rsidR="00332488" w:rsidRPr="00DC0678">
        <w:rPr>
          <w:rFonts w:ascii="Bookman Old Style" w:hAnsi="Bookman Old Style"/>
          <w:sz w:val="28"/>
          <w:szCs w:val="28"/>
          <w:lang w:val="en-US"/>
        </w:rPr>
        <w:t xml:space="preserve"> </w:t>
      </w:r>
    </w:p>
    <w:p w14:paraId="5985EE91" w14:textId="77777777" w:rsidR="00AD70E5" w:rsidRPr="00DC0678" w:rsidRDefault="00AD70E5" w:rsidP="007F293B">
      <w:pPr>
        <w:spacing w:line="360" w:lineRule="auto"/>
        <w:jc w:val="both"/>
        <w:rPr>
          <w:rFonts w:ascii="Bookman Old Style" w:hAnsi="Bookman Old Style"/>
          <w:sz w:val="28"/>
          <w:szCs w:val="28"/>
          <w:lang w:val="en-US"/>
        </w:rPr>
      </w:pPr>
    </w:p>
    <w:p w14:paraId="35C17CF9" w14:textId="44E3053D" w:rsidR="00AD70E5" w:rsidRPr="00DC0678" w:rsidRDefault="00AD70E5"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Baxter explains the principle as follows: </w:t>
      </w:r>
    </w:p>
    <w:p w14:paraId="5AE41E2B" w14:textId="77777777" w:rsidR="00AD70E5" w:rsidRDefault="00AD70E5" w:rsidP="007F293B">
      <w:pPr>
        <w:spacing w:line="360" w:lineRule="auto"/>
        <w:jc w:val="both"/>
        <w:rPr>
          <w:rFonts w:ascii="Bookman Old Style" w:hAnsi="Bookman Old Style"/>
          <w:lang w:val="en-US"/>
        </w:rPr>
      </w:pPr>
    </w:p>
    <w:p w14:paraId="793C19C0" w14:textId="4E18360B" w:rsidR="00AD70E5" w:rsidRDefault="00AD70E5" w:rsidP="007F293B">
      <w:pPr>
        <w:spacing w:line="360" w:lineRule="auto"/>
        <w:ind w:left="720"/>
        <w:jc w:val="both"/>
        <w:rPr>
          <w:rFonts w:ascii="Bookman Old Style" w:hAnsi="Bookman Old Style"/>
          <w:lang w:val="en-US"/>
        </w:rPr>
      </w:pPr>
      <w:r w:rsidRPr="007F293B">
        <w:rPr>
          <w:rFonts w:ascii="Bookman Old Style" w:hAnsi="Bookman Old Style"/>
          <w:i/>
          <w:sz w:val="22"/>
          <w:szCs w:val="22"/>
          <w:lang w:val="en-US"/>
        </w:rPr>
        <w:t>‘Where legislation has been enacted in the interests of a particular or individual or class of persons, the courts will presume that a violation of the legislation will automatically affect the interests of such individual or class and anyone falling within the protected category will have standing to challenge actions taken in violation of the legislation without having to establish that his interests are in fact affected.’</w:t>
      </w:r>
      <w:r>
        <w:rPr>
          <w:rStyle w:val="FootnoteReference"/>
          <w:rFonts w:ascii="Bookman Old Style" w:hAnsi="Bookman Old Style"/>
          <w:lang w:val="en-US"/>
        </w:rPr>
        <w:footnoteReference w:id="4"/>
      </w:r>
    </w:p>
    <w:p w14:paraId="3F0F0092" w14:textId="77777777" w:rsidR="00652A4E" w:rsidRDefault="00652A4E" w:rsidP="007F293B">
      <w:pPr>
        <w:spacing w:line="360" w:lineRule="auto"/>
        <w:jc w:val="both"/>
        <w:rPr>
          <w:rFonts w:ascii="Bookman Old Style" w:hAnsi="Bookman Old Style"/>
          <w:lang w:val="en-US"/>
        </w:rPr>
      </w:pPr>
    </w:p>
    <w:p w14:paraId="704EFD75" w14:textId="3C75DB29" w:rsidR="00652A4E" w:rsidRPr="00DC0678" w:rsidRDefault="00652A4E"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I am satisfied that the High Court’s finding that Reg. 32(1) was breach</w:t>
      </w:r>
      <w:r w:rsidR="00777E37">
        <w:rPr>
          <w:rFonts w:ascii="Bookman Old Style" w:hAnsi="Bookman Old Style"/>
          <w:sz w:val="28"/>
          <w:szCs w:val="28"/>
          <w:lang w:val="en-US"/>
        </w:rPr>
        <w:t>ed and invalidated the transfer</w:t>
      </w:r>
      <w:r w:rsidRPr="00DC0678">
        <w:rPr>
          <w:rFonts w:ascii="Bookman Old Style" w:hAnsi="Bookman Old Style"/>
          <w:sz w:val="28"/>
          <w:szCs w:val="28"/>
          <w:lang w:val="en-US"/>
        </w:rPr>
        <w:t xml:space="preserve"> of the applicants in the </w:t>
      </w:r>
      <w:r w:rsidRPr="00DC0678">
        <w:rPr>
          <w:rFonts w:ascii="Bookman Old Style" w:hAnsi="Bookman Old Style"/>
          <w:i/>
          <w:sz w:val="28"/>
          <w:szCs w:val="28"/>
          <w:lang w:val="en-US"/>
        </w:rPr>
        <w:lastRenderedPageBreak/>
        <w:t>Mabaso</w:t>
      </w:r>
      <w:r w:rsidRPr="00DC0678">
        <w:rPr>
          <w:rFonts w:ascii="Bookman Old Style" w:hAnsi="Bookman Old Style"/>
          <w:sz w:val="28"/>
          <w:szCs w:val="28"/>
          <w:lang w:val="en-US"/>
        </w:rPr>
        <w:t xml:space="preserve"> </w:t>
      </w:r>
      <w:r w:rsidRPr="00A4540A">
        <w:rPr>
          <w:rFonts w:ascii="Bookman Old Style" w:hAnsi="Bookman Old Style"/>
          <w:i/>
          <w:sz w:val="28"/>
          <w:szCs w:val="28"/>
          <w:lang w:val="en-US"/>
        </w:rPr>
        <w:t>matter</w:t>
      </w:r>
      <w:r w:rsidRPr="00DC0678">
        <w:rPr>
          <w:rFonts w:ascii="Bookman Old Style" w:hAnsi="Bookman Old Style"/>
          <w:sz w:val="28"/>
          <w:szCs w:val="28"/>
          <w:lang w:val="en-US"/>
        </w:rPr>
        <w:t xml:space="preserve"> cannot be faulted and that the appeal should be dismissed.</w:t>
      </w:r>
    </w:p>
    <w:p w14:paraId="158D8724" w14:textId="77777777" w:rsidR="00544F0A" w:rsidRPr="00DC0678" w:rsidRDefault="00544F0A" w:rsidP="00DC0678">
      <w:pPr>
        <w:spacing w:line="360" w:lineRule="auto"/>
        <w:jc w:val="both"/>
        <w:rPr>
          <w:rFonts w:ascii="Bookman Old Style" w:hAnsi="Bookman Old Style"/>
          <w:sz w:val="28"/>
          <w:szCs w:val="28"/>
          <w:lang w:val="en-US"/>
        </w:rPr>
      </w:pPr>
    </w:p>
    <w:p w14:paraId="0984B8D4" w14:textId="77777777" w:rsidR="00A4540A" w:rsidRDefault="00544F0A"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In the court below</w:t>
      </w:r>
      <w:r w:rsidR="00777E37">
        <w:rPr>
          <w:rFonts w:ascii="Bookman Old Style" w:hAnsi="Bookman Old Style"/>
          <w:sz w:val="28"/>
          <w:szCs w:val="28"/>
          <w:lang w:val="en-US"/>
        </w:rPr>
        <w:t>,</w:t>
      </w:r>
      <w:r w:rsidRPr="00DC0678">
        <w:rPr>
          <w:rFonts w:ascii="Bookman Old Style" w:hAnsi="Bookman Old Style"/>
          <w:sz w:val="28"/>
          <w:szCs w:val="28"/>
          <w:lang w:val="en-US"/>
        </w:rPr>
        <w:t xml:space="preserve"> the Crown had raised a point </w:t>
      </w:r>
      <w:r w:rsidRPr="00DC0678">
        <w:rPr>
          <w:rFonts w:ascii="Bookman Old Style" w:hAnsi="Bookman Old Style"/>
          <w:i/>
          <w:sz w:val="28"/>
          <w:szCs w:val="28"/>
          <w:lang w:val="en-US"/>
        </w:rPr>
        <w:t xml:space="preserve">in </w:t>
      </w:r>
      <w:proofErr w:type="spellStart"/>
      <w:r w:rsidRPr="00DC0678">
        <w:rPr>
          <w:rFonts w:ascii="Bookman Old Style" w:hAnsi="Bookman Old Style"/>
          <w:i/>
          <w:sz w:val="28"/>
          <w:szCs w:val="28"/>
          <w:lang w:val="en-US"/>
        </w:rPr>
        <w:t>limine</w:t>
      </w:r>
      <w:proofErr w:type="spellEnd"/>
      <w:r w:rsidRPr="00DC0678">
        <w:rPr>
          <w:rFonts w:ascii="Bookman Old Style" w:hAnsi="Bookman Old Style"/>
          <w:sz w:val="28"/>
          <w:szCs w:val="28"/>
          <w:lang w:val="en-US"/>
        </w:rPr>
        <w:t xml:space="preserve"> that there was non-joinder in that the individu</w:t>
      </w:r>
      <w:r w:rsidR="00A4540A">
        <w:rPr>
          <w:rFonts w:ascii="Bookman Old Style" w:hAnsi="Bookman Old Style"/>
          <w:sz w:val="28"/>
          <w:szCs w:val="28"/>
          <w:lang w:val="en-US"/>
        </w:rPr>
        <w:t>als who replaced the applicants</w:t>
      </w:r>
      <w:r w:rsidRPr="00DC0678">
        <w:rPr>
          <w:rFonts w:ascii="Bookman Old Style" w:hAnsi="Bookman Old Style"/>
          <w:sz w:val="28"/>
          <w:szCs w:val="28"/>
          <w:lang w:val="en-US"/>
        </w:rPr>
        <w:t xml:space="preserve"> in the positions from which they were transferred ought to have been </w:t>
      </w:r>
      <w:proofErr w:type="gramStart"/>
      <w:r w:rsidRPr="00DC0678">
        <w:rPr>
          <w:rFonts w:ascii="Bookman Old Style" w:hAnsi="Bookman Old Style"/>
          <w:sz w:val="28"/>
          <w:szCs w:val="28"/>
          <w:lang w:val="en-US"/>
        </w:rPr>
        <w:t>joined</w:t>
      </w:r>
      <w:r w:rsidR="00FD381F">
        <w:rPr>
          <w:rFonts w:ascii="Bookman Old Style" w:hAnsi="Bookman Old Style"/>
          <w:sz w:val="28"/>
          <w:szCs w:val="28"/>
          <w:lang w:val="en-US"/>
        </w:rPr>
        <w:t>,</w:t>
      </w:r>
      <w:r w:rsidRPr="00DC0678">
        <w:rPr>
          <w:rFonts w:ascii="Bookman Old Style" w:hAnsi="Bookman Old Style"/>
          <w:sz w:val="28"/>
          <w:szCs w:val="28"/>
          <w:lang w:val="en-US"/>
        </w:rPr>
        <w:t xml:space="preserve"> but</w:t>
      </w:r>
      <w:proofErr w:type="gramEnd"/>
      <w:r w:rsidRPr="00DC0678">
        <w:rPr>
          <w:rFonts w:ascii="Bookman Old Style" w:hAnsi="Bookman Old Style"/>
          <w:sz w:val="28"/>
          <w:szCs w:val="28"/>
          <w:lang w:val="en-US"/>
        </w:rPr>
        <w:t xml:space="preserve"> were not. That was rejected by the High Court and </w:t>
      </w:r>
      <w:r w:rsidR="00A4540A">
        <w:rPr>
          <w:rFonts w:ascii="Bookman Old Style" w:hAnsi="Bookman Old Style"/>
          <w:sz w:val="28"/>
          <w:szCs w:val="28"/>
          <w:lang w:val="en-US"/>
        </w:rPr>
        <w:t>in one of the grounds of appeal</w:t>
      </w:r>
      <w:r w:rsidRPr="00DC0678">
        <w:rPr>
          <w:rFonts w:ascii="Bookman Old Style" w:hAnsi="Bookman Old Style"/>
          <w:sz w:val="28"/>
          <w:szCs w:val="28"/>
          <w:lang w:val="en-US"/>
        </w:rPr>
        <w:t xml:space="preserve"> the Crown </w:t>
      </w:r>
      <w:r w:rsidR="00A4540A">
        <w:rPr>
          <w:rFonts w:ascii="Bookman Old Style" w:hAnsi="Bookman Old Style"/>
          <w:sz w:val="28"/>
          <w:szCs w:val="28"/>
          <w:lang w:val="en-US"/>
        </w:rPr>
        <w:t xml:space="preserve">alleged </w:t>
      </w:r>
      <w:r w:rsidRPr="00DC0678">
        <w:rPr>
          <w:rFonts w:ascii="Bookman Old Style" w:hAnsi="Bookman Old Style"/>
          <w:sz w:val="28"/>
          <w:szCs w:val="28"/>
          <w:lang w:val="en-US"/>
        </w:rPr>
        <w:t>that the objection was good and ought to have been sustained. I see no mer</w:t>
      </w:r>
      <w:r w:rsidR="002F52ED" w:rsidRPr="00DC0678">
        <w:rPr>
          <w:rFonts w:ascii="Bookman Old Style" w:hAnsi="Bookman Old Style"/>
          <w:sz w:val="28"/>
          <w:szCs w:val="28"/>
          <w:lang w:val="en-US"/>
        </w:rPr>
        <w:t xml:space="preserve">it in the objection </w:t>
      </w:r>
      <w:proofErr w:type="gramStart"/>
      <w:r w:rsidR="002F52ED" w:rsidRPr="00DC0678">
        <w:rPr>
          <w:rFonts w:ascii="Bookman Old Style" w:hAnsi="Bookman Old Style"/>
          <w:sz w:val="28"/>
          <w:szCs w:val="28"/>
          <w:lang w:val="en-US"/>
        </w:rPr>
        <w:t>for the</w:t>
      </w:r>
      <w:r w:rsidRPr="00DC0678">
        <w:rPr>
          <w:rFonts w:ascii="Bookman Old Style" w:hAnsi="Bookman Old Style"/>
          <w:sz w:val="28"/>
          <w:szCs w:val="28"/>
          <w:lang w:val="en-US"/>
        </w:rPr>
        <w:t xml:space="preserve"> reasons that</w:t>
      </w:r>
      <w:proofErr w:type="gramEnd"/>
      <w:r w:rsidRPr="00DC0678">
        <w:rPr>
          <w:rFonts w:ascii="Bookman Old Style" w:hAnsi="Bookman Old Style"/>
          <w:sz w:val="28"/>
          <w:szCs w:val="28"/>
          <w:lang w:val="en-US"/>
        </w:rPr>
        <w:t xml:space="preserve"> the High Court advanced.</w:t>
      </w:r>
      <w:r w:rsidR="002F52ED" w:rsidRPr="00DC0678">
        <w:rPr>
          <w:rFonts w:ascii="Bookman Old Style" w:hAnsi="Bookman Old Style"/>
          <w:sz w:val="28"/>
          <w:szCs w:val="28"/>
          <w:lang w:val="en-US"/>
        </w:rPr>
        <w:t xml:space="preserve"> </w:t>
      </w:r>
    </w:p>
    <w:p w14:paraId="5209B919" w14:textId="77777777" w:rsidR="00A4540A" w:rsidRPr="00A4540A" w:rsidRDefault="00A4540A" w:rsidP="00A4540A">
      <w:pPr>
        <w:spacing w:line="360" w:lineRule="auto"/>
        <w:jc w:val="both"/>
        <w:rPr>
          <w:rFonts w:ascii="Bookman Old Style" w:hAnsi="Bookman Old Style"/>
          <w:sz w:val="28"/>
          <w:szCs w:val="28"/>
          <w:lang w:val="en-US"/>
        </w:rPr>
      </w:pPr>
    </w:p>
    <w:p w14:paraId="6D8AE45F" w14:textId="43B3567C" w:rsidR="00D24514" w:rsidRPr="00DC0678" w:rsidRDefault="00FD381F" w:rsidP="00DC0678">
      <w:pPr>
        <w:pStyle w:val="ListParagraph"/>
        <w:numPr>
          <w:ilvl w:val="0"/>
          <w:numId w:val="1"/>
        </w:numPr>
        <w:spacing w:line="360" w:lineRule="auto"/>
        <w:ind w:left="0" w:firstLine="0"/>
        <w:jc w:val="both"/>
        <w:rPr>
          <w:rFonts w:ascii="Bookman Old Style" w:hAnsi="Bookman Old Style"/>
          <w:sz w:val="28"/>
          <w:szCs w:val="28"/>
          <w:lang w:val="en-US"/>
        </w:rPr>
      </w:pPr>
      <w:r>
        <w:rPr>
          <w:rFonts w:ascii="Bookman Old Style" w:hAnsi="Bookman Old Style"/>
          <w:sz w:val="28"/>
          <w:szCs w:val="28"/>
          <w:lang w:val="en-US"/>
        </w:rPr>
        <w:t>Although our understanding is that the point was abandoned on appeal, the High Court’s conclusion needs to be confirmed in the event it is later suggested that the concession was not properly made.</w:t>
      </w:r>
    </w:p>
    <w:p w14:paraId="22934510" w14:textId="77777777" w:rsidR="00D24514" w:rsidRPr="00DC0678" w:rsidRDefault="00D24514" w:rsidP="00DC0678">
      <w:pPr>
        <w:spacing w:line="360" w:lineRule="auto"/>
        <w:jc w:val="both"/>
        <w:rPr>
          <w:rFonts w:ascii="Bookman Old Style" w:hAnsi="Bookman Old Style"/>
          <w:sz w:val="28"/>
          <w:szCs w:val="28"/>
          <w:lang w:val="en-US"/>
        </w:rPr>
      </w:pPr>
    </w:p>
    <w:p w14:paraId="0BE58490" w14:textId="16193FA0" w:rsidR="00FD381F" w:rsidRDefault="002F52ED"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Frankly, I fail to see what contribution those individuals could have made to the inquiry whether the Crown acted unlawfully</w:t>
      </w:r>
      <w:r w:rsidR="00FD381F">
        <w:rPr>
          <w:rFonts w:ascii="Bookman Old Style" w:hAnsi="Bookman Old Style"/>
          <w:sz w:val="28"/>
          <w:szCs w:val="28"/>
          <w:lang w:val="en-US"/>
        </w:rPr>
        <w:t>,</w:t>
      </w:r>
      <w:r w:rsidRPr="00DC0678">
        <w:rPr>
          <w:rFonts w:ascii="Bookman Old Style" w:hAnsi="Bookman Old Style"/>
          <w:sz w:val="28"/>
          <w:szCs w:val="28"/>
          <w:lang w:val="en-US"/>
        </w:rPr>
        <w:t xml:space="preserve"> save to seek to justify their retention in the offices to which they were transferred. Besides, and as I have shown, the requirement to comply with the procedure dictated by Reg 32(1) had to be complied with</w:t>
      </w:r>
      <w:r w:rsidR="00FD381F">
        <w:rPr>
          <w:rFonts w:ascii="Bookman Old Style" w:hAnsi="Bookman Old Style"/>
          <w:sz w:val="28"/>
          <w:szCs w:val="28"/>
          <w:lang w:val="en-US"/>
        </w:rPr>
        <w:t>,</w:t>
      </w:r>
      <w:r w:rsidRPr="00DC0678">
        <w:rPr>
          <w:rFonts w:ascii="Bookman Old Style" w:hAnsi="Bookman Old Style"/>
          <w:sz w:val="28"/>
          <w:szCs w:val="28"/>
          <w:lang w:val="en-US"/>
        </w:rPr>
        <w:t xml:space="preserve"> and as the Chief Justice correctly held, rendered the transfers void </w:t>
      </w:r>
      <w:r w:rsidRPr="00DC0678">
        <w:rPr>
          <w:rFonts w:ascii="Bookman Old Style" w:hAnsi="Bookman Old Style"/>
          <w:i/>
          <w:sz w:val="28"/>
          <w:szCs w:val="28"/>
          <w:lang w:val="en-US"/>
        </w:rPr>
        <w:t>ab initio</w:t>
      </w:r>
      <w:r w:rsidRPr="00DC0678">
        <w:rPr>
          <w:rFonts w:ascii="Bookman Old Style" w:hAnsi="Bookman Old Style"/>
          <w:sz w:val="28"/>
          <w:szCs w:val="28"/>
          <w:lang w:val="en-US"/>
        </w:rPr>
        <w:t>. As the High Court said:</w:t>
      </w:r>
    </w:p>
    <w:p w14:paraId="51D4916F" w14:textId="77777777" w:rsidR="00FD381F" w:rsidRPr="00FD381F" w:rsidRDefault="00FD381F" w:rsidP="00FD381F">
      <w:pPr>
        <w:spacing w:line="360" w:lineRule="auto"/>
        <w:jc w:val="both"/>
        <w:rPr>
          <w:rFonts w:ascii="Bookman Old Style" w:hAnsi="Bookman Old Style"/>
          <w:sz w:val="28"/>
          <w:szCs w:val="28"/>
          <w:lang w:val="en-US"/>
        </w:rPr>
      </w:pPr>
    </w:p>
    <w:p w14:paraId="71863E27" w14:textId="0FAF4610" w:rsidR="00544F0A" w:rsidRPr="00DC0678" w:rsidRDefault="00FD381F" w:rsidP="00FD381F">
      <w:pPr>
        <w:pStyle w:val="ListParagraph"/>
        <w:spacing w:line="360" w:lineRule="auto"/>
        <w:jc w:val="both"/>
        <w:rPr>
          <w:rFonts w:ascii="Bookman Old Style" w:hAnsi="Bookman Old Style"/>
          <w:sz w:val="28"/>
          <w:szCs w:val="28"/>
          <w:lang w:val="en-US"/>
        </w:rPr>
      </w:pPr>
      <w:r>
        <w:rPr>
          <w:rFonts w:ascii="Bookman Old Style" w:hAnsi="Bookman Old Style"/>
          <w:sz w:val="28"/>
          <w:szCs w:val="28"/>
          <w:lang w:val="en-US"/>
        </w:rPr>
        <w:t>‘</w:t>
      </w:r>
      <w:r w:rsidR="00D24514" w:rsidRPr="00FD381F">
        <w:rPr>
          <w:rFonts w:ascii="Bookman Old Style" w:hAnsi="Bookman Old Style"/>
          <w:lang w:val="en-US"/>
        </w:rPr>
        <w:t xml:space="preserve">The Principal Secretary …is the source of any impossibility that may arise from the reversal of his unlawful decision. </w:t>
      </w:r>
      <w:r w:rsidR="001E7179" w:rsidRPr="00FD381F">
        <w:rPr>
          <w:rFonts w:ascii="Bookman Old Style" w:hAnsi="Bookman Old Style"/>
          <w:lang w:val="en-US"/>
        </w:rPr>
        <w:t xml:space="preserve">A </w:t>
      </w:r>
      <w:proofErr w:type="spellStart"/>
      <w:r w:rsidR="001E7179" w:rsidRPr="00FD381F">
        <w:rPr>
          <w:rFonts w:ascii="Bookman Old Style" w:hAnsi="Bookman Old Style"/>
          <w:lang w:val="en-US"/>
        </w:rPr>
        <w:t>favourable</w:t>
      </w:r>
      <w:proofErr w:type="spellEnd"/>
      <w:r w:rsidR="001E7179" w:rsidRPr="00FD381F">
        <w:rPr>
          <w:rFonts w:ascii="Bookman Old Style" w:hAnsi="Bookman Old Style"/>
          <w:lang w:val="en-US"/>
        </w:rPr>
        <w:t xml:space="preserve"> court </w:t>
      </w:r>
      <w:r w:rsidR="001E7179" w:rsidRPr="00FD381F">
        <w:rPr>
          <w:rFonts w:ascii="Bookman Old Style" w:hAnsi="Bookman Old Style"/>
          <w:lang w:val="en-US"/>
        </w:rPr>
        <w:lastRenderedPageBreak/>
        <w:t>order would be putting right what went wrong. No impossibility can stand to what the law puts right.</w:t>
      </w:r>
      <w:r w:rsidR="001E7179" w:rsidRPr="00DC0678">
        <w:rPr>
          <w:rFonts w:ascii="Bookman Old Style" w:hAnsi="Bookman Old Style"/>
          <w:sz w:val="28"/>
          <w:szCs w:val="28"/>
          <w:lang w:val="en-US"/>
        </w:rPr>
        <w:t>’</w:t>
      </w:r>
    </w:p>
    <w:p w14:paraId="4208E87A" w14:textId="77777777" w:rsidR="00652A4E" w:rsidRPr="00DC0678" w:rsidRDefault="00652A4E" w:rsidP="00DC0678">
      <w:pPr>
        <w:spacing w:line="360" w:lineRule="auto"/>
        <w:jc w:val="both"/>
        <w:rPr>
          <w:rFonts w:ascii="Bookman Old Style" w:hAnsi="Bookman Old Style"/>
          <w:sz w:val="28"/>
          <w:szCs w:val="28"/>
          <w:lang w:val="en-US"/>
        </w:rPr>
      </w:pPr>
    </w:p>
    <w:p w14:paraId="6ACB5CE5" w14:textId="16B7AF76" w:rsidR="00652A4E" w:rsidRPr="00DC0678" w:rsidRDefault="00652A4E" w:rsidP="00DC0678">
      <w:pPr>
        <w:spacing w:line="360" w:lineRule="auto"/>
        <w:jc w:val="both"/>
        <w:rPr>
          <w:rFonts w:ascii="Bookman Old Style" w:hAnsi="Bookman Old Style"/>
          <w:b/>
          <w:sz w:val="28"/>
          <w:szCs w:val="28"/>
          <w:lang w:val="en-US"/>
        </w:rPr>
      </w:pPr>
      <w:proofErr w:type="spellStart"/>
      <w:r w:rsidRPr="00DC0678">
        <w:rPr>
          <w:rFonts w:ascii="Bookman Old Style" w:hAnsi="Bookman Old Style"/>
          <w:b/>
          <w:sz w:val="28"/>
          <w:szCs w:val="28"/>
          <w:lang w:val="en-US"/>
        </w:rPr>
        <w:t>Kanono</w:t>
      </w:r>
      <w:proofErr w:type="spellEnd"/>
      <w:r w:rsidRPr="00DC0678">
        <w:rPr>
          <w:rFonts w:ascii="Bookman Old Style" w:hAnsi="Bookman Old Style"/>
          <w:b/>
          <w:sz w:val="28"/>
          <w:szCs w:val="28"/>
          <w:lang w:val="en-US"/>
        </w:rPr>
        <w:t xml:space="preserve"> matter</w:t>
      </w:r>
    </w:p>
    <w:p w14:paraId="353A35EB" w14:textId="15694855" w:rsidR="009F3F05" w:rsidRPr="00DC0678" w:rsidRDefault="00652A4E"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I have already explained that the Crown has conceded that its actions in relation to </w:t>
      </w:r>
      <w:proofErr w:type="spellStart"/>
      <w:r w:rsidRPr="00DC0678">
        <w:rPr>
          <w:rFonts w:ascii="Bookman Old Style" w:hAnsi="Bookman Old Style"/>
          <w:sz w:val="28"/>
          <w:szCs w:val="28"/>
          <w:lang w:val="en-US"/>
        </w:rPr>
        <w:t>Ms</w:t>
      </w:r>
      <w:proofErr w:type="spellEnd"/>
      <w:r w:rsidRPr="00DC0678">
        <w:rPr>
          <w:rFonts w:ascii="Bookman Old Style" w:hAnsi="Bookman Old Style"/>
          <w:sz w:val="28"/>
          <w:szCs w:val="28"/>
          <w:lang w:val="en-US"/>
        </w:rPr>
        <w:t xml:space="preserve"> </w:t>
      </w:r>
      <w:proofErr w:type="spellStart"/>
      <w:r w:rsidRPr="00DC0678">
        <w:rPr>
          <w:rFonts w:ascii="Bookman Old Style" w:hAnsi="Bookman Old Style"/>
          <w:sz w:val="28"/>
          <w:szCs w:val="28"/>
          <w:lang w:val="en-US"/>
        </w:rPr>
        <w:t>Kanono</w:t>
      </w:r>
      <w:proofErr w:type="spellEnd"/>
      <w:r w:rsidRPr="00DC0678">
        <w:rPr>
          <w:rFonts w:ascii="Bookman Old Style" w:hAnsi="Bookman Old Style"/>
          <w:sz w:val="28"/>
          <w:szCs w:val="28"/>
          <w:lang w:val="en-US"/>
        </w:rPr>
        <w:t xml:space="preserve"> are unlawful and that he</w:t>
      </w:r>
      <w:r w:rsidR="00704A43" w:rsidRPr="00DC0678">
        <w:rPr>
          <w:rFonts w:ascii="Bookman Old Style" w:hAnsi="Bookman Old Style"/>
          <w:sz w:val="28"/>
          <w:szCs w:val="28"/>
          <w:lang w:val="en-US"/>
        </w:rPr>
        <w:t>r</w:t>
      </w:r>
      <w:r w:rsidRPr="00DC0678">
        <w:rPr>
          <w:rFonts w:ascii="Bookman Old Style" w:hAnsi="Bookman Old Style"/>
          <w:sz w:val="28"/>
          <w:szCs w:val="28"/>
          <w:lang w:val="en-US"/>
        </w:rPr>
        <w:t xml:space="preserve"> transfer was </w:t>
      </w:r>
      <w:r w:rsidR="00704A43" w:rsidRPr="00DC0678">
        <w:rPr>
          <w:rFonts w:ascii="Bookman Old Style" w:hAnsi="Bookman Old Style"/>
          <w:sz w:val="28"/>
          <w:szCs w:val="28"/>
          <w:lang w:val="en-US"/>
        </w:rPr>
        <w:t xml:space="preserve">equally </w:t>
      </w:r>
      <w:r w:rsidRPr="00DC0678">
        <w:rPr>
          <w:rFonts w:ascii="Bookman Old Style" w:hAnsi="Bookman Old Style"/>
          <w:sz w:val="28"/>
          <w:szCs w:val="28"/>
          <w:lang w:val="en-US"/>
        </w:rPr>
        <w:t xml:space="preserve">liable to be set aside. </w:t>
      </w:r>
      <w:r w:rsidR="00704A43" w:rsidRPr="00DC0678">
        <w:rPr>
          <w:rFonts w:ascii="Bookman Old Style" w:hAnsi="Bookman Old Style"/>
          <w:sz w:val="28"/>
          <w:szCs w:val="28"/>
          <w:lang w:val="en-US"/>
        </w:rPr>
        <w:t xml:space="preserve">The appeal against the Chief Justice’s judgment and order setting aside her transfer must therefore also fail. </w:t>
      </w:r>
      <w:r w:rsidR="009F3F05" w:rsidRPr="00DC0678">
        <w:rPr>
          <w:rFonts w:ascii="Bookman Old Style" w:hAnsi="Bookman Old Style"/>
          <w:sz w:val="28"/>
          <w:szCs w:val="28"/>
          <w:lang w:val="en-US"/>
        </w:rPr>
        <w:t>Because</w:t>
      </w:r>
      <w:r w:rsidR="00704A43" w:rsidRPr="00DC0678">
        <w:rPr>
          <w:rFonts w:ascii="Bookman Old Style" w:hAnsi="Bookman Old Style"/>
          <w:sz w:val="28"/>
          <w:szCs w:val="28"/>
          <w:lang w:val="en-US"/>
        </w:rPr>
        <w:t xml:space="preserve"> of the concession by the </w:t>
      </w:r>
      <w:proofErr w:type="spellStart"/>
      <w:r w:rsidR="00704A43" w:rsidRPr="00DC0678">
        <w:rPr>
          <w:rFonts w:ascii="Bookman Old Style" w:hAnsi="Bookman Old Style"/>
          <w:sz w:val="28"/>
          <w:szCs w:val="28"/>
          <w:lang w:val="en-US"/>
        </w:rPr>
        <w:t>GoL</w:t>
      </w:r>
      <w:proofErr w:type="spellEnd"/>
      <w:r w:rsidR="00704A43" w:rsidRPr="00DC0678">
        <w:rPr>
          <w:rFonts w:ascii="Bookman Old Style" w:hAnsi="Bookman Old Style"/>
          <w:sz w:val="28"/>
          <w:szCs w:val="28"/>
          <w:lang w:val="en-US"/>
        </w:rPr>
        <w:t>, a</w:t>
      </w:r>
      <w:r w:rsidR="009F3F05" w:rsidRPr="00DC0678">
        <w:rPr>
          <w:rFonts w:ascii="Bookman Old Style" w:hAnsi="Bookman Old Style"/>
          <w:sz w:val="28"/>
          <w:szCs w:val="28"/>
          <w:lang w:val="en-US"/>
        </w:rPr>
        <w:t xml:space="preserve">dvocate </w:t>
      </w:r>
      <w:proofErr w:type="spellStart"/>
      <w:r w:rsidR="009F3F05" w:rsidRPr="00DC0678">
        <w:rPr>
          <w:rFonts w:ascii="Bookman Old Style" w:hAnsi="Bookman Old Style"/>
          <w:sz w:val="28"/>
          <w:szCs w:val="28"/>
          <w:lang w:val="en-US"/>
        </w:rPr>
        <w:t>Setlojoane</w:t>
      </w:r>
      <w:proofErr w:type="spellEnd"/>
      <w:r w:rsidR="009F3F05" w:rsidRPr="00DC0678">
        <w:rPr>
          <w:rFonts w:ascii="Bookman Old Style" w:hAnsi="Bookman Old Style"/>
          <w:sz w:val="28"/>
          <w:szCs w:val="28"/>
          <w:lang w:val="en-US"/>
        </w:rPr>
        <w:t xml:space="preserve"> who on appeal appeared for </w:t>
      </w:r>
      <w:proofErr w:type="spellStart"/>
      <w:r w:rsidR="009F3F05" w:rsidRPr="00DC0678">
        <w:rPr>
          <w:rFonts w:ascii="Bookman Old Style" w:hAnsi="Bookman Old Style"/>
          <w:sz w:val="28"/>
          <w:szCs w:val="28"/>
          <w:lang w:val="en-US"/>
        </w:rPr>
        <w:t>Ms</w:t>
      </w:r>
      <w:proofErr w:type="spellEnd"/>
      <w:r w:rsidR="009F3F05" w:rsidRPr="00DC0678">
        <w:rPr>
          <w:rFonts w:ascii="Bookman Old Style" w:hAnsi="Bookman Old Style"/>
          <w:sz w:val="28"/>
          <w:szCs w:val="28"/>
          <w:lang w:val="en-US"/>
        </w:rPr>
        <w:t xml:space="preserve"> </w:t>
      </w:r>
      <w:proofErr w:type="spellStart"/>
      <w:r w:rsidR="009F3F05" w:rsidRPr="00DC0678">
        <w:rPr>
          <w:rFonts w:ascii="Bookman Old Style" w:hAnsi="Bookman Old Style"/>
          <w:sz w:val="28"/>
          <w:szCs w:val="28"/>
          <w:lang w:val="en-US"/>
        </w:rPr>
        <w:t>Kanono</w:t>
      </w:r>
      <w:proofErr w:type="spellEnd"/>
      <w:r w:rsidR="009F3F05" w:rsidRPr="00DC0678">
        <w:rPr>
          <w:rFonts w:ascii="Bookman Old Style" w:hAnsi="Bookman Old Style"/>
          <w:sz w:val="28"/>
          <w:szCs w:val="28"/>
          <w:lang w:val="en-US"/>
        </w:rPr>
        <w:t xml:space="preserve"> asked that the court makes an order </w:t>
      </w:r>
      <w:r w:rsidR="00704A43" w:rsidRPr="00DC0678">
        <w:rPr>
          <w:rFonts w:ascii="Bookman Old Style" w:hAnsi="Bookman Old Style"/>
          <w:sz w:val="28"/>
          <w:szCs w:val="28"/>
          <w:lang w:val="en-US"/>
        </w:rPr>
        <w:t xml:space="preserve">dismissing the Crown’s </w:t>
      </w:r>
      <w:r w:rsidR="009F3F05" w:rsidRPr="00DC0678">
        <w:rPr>
          <w:rFonts w:ascii="Bookman Old Style" w:hAnsi="Bookman Old Style"/>
          <w:sz w:val="28"/>
          <w:szCs w:val="28"/>
          <w:lang w:val="en-US"/>
        </w:rPr>
        <w:t xml:space="preserve">appeal, with costs. </w:t>
      </w:r>
      <w:proofErr w:type="spellStart"/>
      <w:r w:rsidR="009F3F05" w:rsidRPr="00DC0678">
        <w:rPr>
          <w:rFonts w:ascii="Bookman Old Style" w:hAnsi="Bookman Old Style"/>
          <w:sz w:val="28"/>
          <w:szCs w:val="28"/>
          <w:lang w:val="en-US"/>
        </w:rPr>
        <w:t>Mr</w:t>
      </w:r>
      <w:proofErr w:type="spellEnd"/>
      <w:r w:rsidR="009F3F05" w:rsidRPr="00DC0678">
        <w:rPr>
          <w:rFonts w:ascii="Bookman Old Style" w:hAnsi="Bookman Old Style"/>
          <w:sz w:val="28"/>
          <w:szCs w:val="28"/>
          <w:lang w:val="en-US"/>
        </w:rPr>
        <w:t xml:space="preserve"> </w:t>
      </w:r>
      <w:proofErr w:type="spellStart"/>
      <w:r w:rsidR="009F3F05" w:rsidRPr="00DC0678">
        <w:rPr>
          <w:rFonts w:ascii="Bookman Old Style" w:hAnsi="Bookman Old Style"/>
          <w:sz w:val="28"/>
          <w:szCs w:val="28"/>
          <w:lang w:val="en-US"/>
        </w:rPr>
        <w:t>Letlatsa</w:t>
      </w:r>
      <w:proofErr w:type="spellEnd"/>
      <w:r w:rsidR="009F3F05" w:rsidRPr="00DC0678">
        <w:rPr>
          <w:rFonts w:ascii="Bookman Old Style" w:hAnsi="Bookman Old Style"/>
          <w:sz w:val="28"/>
          <w:szCs w:val="28"/>
          <w:lang w:val="en-US"/>
        </w:rPr>
        <w:t xml:space="preserve"> for the Crown conceded that </w:t>
      </w:r>
      <w:proofErr w:type="spellStart"/>
      <w:r w:rsidR="009F3F05" w:rsidRPr="00DC0678">
        <w:rPr>
          <w:rFonts w:ascii="Bookman Old Style" w:hAnsi="Bookman Old Style"/>
          <w:sz w:val="28"/>
          <w:szCs w:val="28"/>
          <w:lang w:val="en-US"/>
        </w:rPr>
        <w:t>Ms</w:t>
      </w:r>
      <w:proofErr w:type="spellEnd"/>
      <w:r w:rsidR="009F3F05" w:rsidRPr="00DC0678">
        <w:rPr>
          <w:rFonts w:ascii="Bookman Old Style" w:hAnsi="Bookman Old Style"/>
          <w:sz w:val="28"/>
          <w:szCs w:val="28"/>
          <w:lang w:val="en-US"/>
        </w:rPr>
        <w:t xml:space="preserve"> </w:t>
      </w:r>
      <w:proofErr w:type="spellStart"/>
      <w:r w:rsidR="009F3F05" w:rsidRPr="00DC0678">
        <w:rPr>
          <w:rFonts w:ascii="Bookman Old Style" w:hAnsi="Bookman Old Style"/>
          <w:sz w:val="28"/>
          <w:szCs w:val="28"/>
          <w:lang w:val="en-US"/>
        </w:rPr>
        <w:t>Kanono</w:t>
      </w:r>
      <w:proofErr w:type="spellEnd"/>
      <w:r w:rsidR="009F3F05" w:rsidRPr="00DC0678">
        <w:rPr>
          <w:rFonts w:ascii="Bookman Old Style" w:hAnsi="Bookman Old Style"/>
          <w:sz w:val="28"/>
          <w:szCs w:val="28"/>
          <w:lang w:val="en-US"/>
        </w:rPr>
        <w:t xml:space="preserve"> is entitled to her costs.</w:t>
      </w:r>
    </w:p>
    <w:p w14:paraId="1C8E825A" w14:textId="77777777" w:rsidR="00704A43" w:rsidRPr="00DC0678" w:rsidRDefault="00704A43" w:rsidP="00DC0678">
      <w:pPr>
        <w:spacing w:line="360" w:lineRule="auto"/>
        <w:jc w:val="both"/>
        <w:rPr>
          <w:rFonts w:ascii="Bookman Old Style" w:hAnsi="Bookman Old Style"/>
          <w:sz w:val="28"/>
          <w:szCs w:val="28"/>
          <w:lang w:val="en-US"/>
        </w:rPr>
      </w:pPr>
    </w:p>
    <w:p w14:paraId="222B7D81" w14:textId="797A8A49" w:rsidR="00704A43" w:rsidRPr="00DC0678" w:rsidRDefault="00704A43" w:rsidP="00DC0678">
      <w:pPr>
        <w:spacing w:line="360" w:lineRule="auto"/>
        <w:jc w:val="both"/>
        <w:rPr>
          <w:rFonts w:ascii="Bookman Old Style" w:hAnsi="Bookman Old Style"/>
          <w:b/>
          <w:sz w:val="28"/>
          <w:szCs w:val="28"/>
          <w:lang w:val="en-US"/>
        </w:rPr>
      </w:pPr>
      <w:r w:rsidRPr="00DC0678">
        <w:rPr>
          <w:rFonts w:ascii="Bookman Old Style" w:hAnsi="Bookman Old Style"/>
          <w:b/>
          <w:sz w:val="28"/>
          <w:szCs w:val="28"/>
          <w:lang w:val="en-US"/>
        </w:rPr>
        <w:t>Order</w:t>
      </w:r>
    </w:p>
    <w:p w14:paraId="622AB249" w14:textId="04044A84" w:rsidR="00BF2B07" w:rsidRPr="00DC0678" w:rsidRDefault="00704A43" w:rsidP="00DC0678">
      <w:pPr>
        <w:pStyle w:val="ListParagraph"/>
        <w:numPr>
          <w:ilvl w:val="0"/>
          <w:numId w:val="1"/>
        </w:numPr>
        <w:spacing w:line="360" w:lineRule="auto"/>
        <w:ind w:left="0" w:firstLine="0"/>
        <w:jc w:val="both"/>
        <w:rPr>
          <w:rFonts w:ascii="Bookman Old Style" w:hAnsi="Bookman Old Style"/>
          <w:sz w:val="28"/>
          <w:szCs w:val="28"/>
          <w:lang w:val="en-US"/>
        </w:rPr>
      </w:pPr>
      <w:r w:rsidRPr="00DC0678">
        <w:rPr>
          <w:rFonts w:ascii="Bookman Old Style" w:hAnsi="Bookman Old Style"/>
          <w:sz w:val="28"/>
          <w:szCs w:val="28"/>
          <w:lang w:val="en-US"/>
        </w:rPr>
        <w:t xml:space="preserve">I accordingly </w:t>
      </w:r>
      <w:r w:rsidR="00B31F84">
        <w:rPr>
          <w:rFonts w:ascii="Bookman Old Style" w:hAnsi="Bookman Old Style"/>
          <w:sz w:val="28"/>
          <w:szCs w:val="28"/>
          <w:lang w:val="en-US"/>
        </w:rPr>
        <w:t>make</w:t>
      </w:r>
      <w:r w:rsidRPr="00DC0678">
        <w:rPr>
          <w:rFonts w:ascii="Bookman Old Style" w:hAnsi="Bookman Old Style"/>
          <w:sz w:val="28"/>
          <w:szCs w:val="28"/>
          <w:lang w:val="en-US"/>
        </w:rPr>
        <w:t xml:space="preserve"> the following order</w:t>
      </w:r>
      <w:r w:rsidR="00BF2B07" w:rsidRPr="00DC0678">
        <w:rPr>
          <w:rFonts w:ascii="Bookman Old Style" w:hAnsi="Bookman Old Style"/>
          <w:sz w:val="28"/>
          <w:szCs w:val="28"/>
          <w:lang w:val="en-US"/>
        </w:rPr>
        <w:t>:</w:t>
      </w:r>
    </w:p>
    <w:p w14:paraId="68E20C70" w14:textId="77777777" w:rsidR="00BF2B07" w:rsidRPr="00DC0678" w:rsidRDefault="00BF2B07" w:rsidP="00DC0678">
      <w:pPr>
        <w:spacing w:line="360" w:lineRule="auto"/>
        <w:jc w:val="both"/>
        <w:rPr>
          <w:rFonts w:ascii="Bookman Old Style" w:hAnsi="Bookman Old Style"/>
          <w:sz w:val="28"/>
          <w:szCs w:val="28"/>
          <w:lang w:val="en-US"/>
        </w:rPr>
      </w:pPr>
    </w:p>
    <w:p w14:paraId="6B5A9819" w14:textId="25A2DC2B" w:rsidR="00BF2B07" w:rsidRPr="00DC0678" w:rsidRDefault="00BF2B07" w:rsidP="00FF38E3">
      <w:pPr>
        <w:spacing w:line="360" w:lineRule="auto"/>
        <w:ind w:left="720"/>
        <w:jc w:val="both"/>
        <w:rPr>
          <w:rFonts w:ascii="Bookman Old Style" w:hAnsi="Bookman Old Style"/>
          <w:sz w:val="28"/>
          <w:szCs w:val="28"/>
          <w:lang w:val="en-US"/>
        </w:rPr>
      </w:pPr>
      <w:r w:rsidRPr="00DC0678">
        <w:rPr>
          <w:rFonts w:ascii="Bookman Old Style" w:hAnsi="Bookman Old Style"/>
          <w:sz w:val="28"/>
          <w:szCs w:val="28"/>
          <w:lang w:val="en-US"/>
        </w:rPr>
        <w:t>The appeals against the judgement and order of the High Court in CIV/APN/ 146/2021 and CIV/APN/149/2021 are dismissed, with costs.</w:t>
      </w:r>
    </w:p>
    <w:p w14:paraId="73E5124B" w14:textId="77777777" w:rsidR="00BF2B07" w:rsidRPr="00DC0678" w:rsidRDefault="00BF2B07" w:rsidP="00DC0678">
      <w:pPr>
        <w:spacing w:line="360" w:lineRule="auto"/>
        <w:jc w:val="both"/>
        <w:rPr>
          <w:rFonts w:ascii="Bookman Old Style" w:hAnsi="Bookman Old Style"/>
          <w:sz w:val="28"/>
          <w:szCs w:val="28"/>
          <w:lang w:val="en-US"/>
        </w:rPr>
      </w:pPr>
    </w:p>
    <w:p w14:paraId="35FBBBB0" w14:textId="108E80AB" w:rsidR="00BF2B07" w:rsidRPr="00DC0678" w:rsidRDefault="00571126" w:rsidP="00571126">
      <w:pPr>
        <w:spacing w:line="360" w:lineRule="auto"/>
        <w:jc w:val="center"/>
        <w:rPr>
          <w:rFonts w:ascii="Bookman Old Style" w:hAnsi="Bookman Old Style"/>
          <w:sz w:val="28"/>
          <w:szCs w:val="28"/>
          <w:lang w:val="en-US"/>
        </w:rPr>
      </w:pPr>
      <w:r>
        <w:rPr>
          <w:noProof/>
          <w:lang w:eastAsia="en-GB"/>
        </w:rPr>
        <w:drawing>
          <wp:inline distT="0" distB="0" distL="0" distR="0" wp14:anchorId="45EADEFC" wp14:editId="5E795298">
            <wp:extent cx="11430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14:paraId="13EC0C5C" w14:textId="77777777" w:rsidR="00312F40" w:rsidRPr="00312F40" w:rsidRDefault="00312F40" w:rsidP="00312F40">
      <w:pPr>
        <w:spacing w:line="360" w:lineRule="auto"/>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________________________________</w:t>
      </w:r>
    </w:p>
    <w:p w14:paraId="61A2EA6E" w14:textId="77777777" w:rsidR="00312F40" w:rsidRPr="00312F40" w:rsidRDefault="00312F40" w:rsidP="00312F40">
      <w:pPr>
        <w:spacing w:line="360" w:lineRule="auto"/>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PT DAMASEB</w:t>
      </w:r>
    </w:p>
    <w:p w14:paraId="420862F7" w14:textId="77777777" w:rsidR="00312F40" w:rsidRPr="00312F40" w:rsidRDefault="00312F40" w:rsidP="00312F40">
      <w:pPr>
        <w:spacing w:line="360" w:lineRule="auto"/>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65F5F40E" w14:textId="77777777" w:rsidR="00BF2B07" w:rsidRPr="00312F40" w:rsidRDefault="00BF2B07" w:rsidP="00DC0678">
      <w:pPr>
        <w:spacing w:line="360" w:lineRule="auto"/>
        <w:jc w:val="both"/>
        <w:rPr>
          <w:rFonts w:ascii="Bookman Old Style" w:hAnsi="Bookman Old Style"/>
          <w:sz w:val="28"/>
          <w:szCs w:val="28"/>
          <w:lang w:val="en-US"/>
        </w:rPr>
      </w:pPr>
    </w:p>
    <w:p w14:paraId="625D9D16" w14:textId="374D7DB2" w:rsidR="00312F40" w:rsidRDefault="00312F40" w:rsidP="00312F40">
      <w:pPr>
        <w:spacing w:line="360" w:lineRule="auto"/>
        <w:jc w:val="both"/>
        <w:rPr>
          <w:rFonts w:ascii="Bookman Old Style" w:hAnsi="Bookman Old Style" w:cs="Arial"/>
          <w:bCs/>
          <w:color w:val="000000"/>
          <w:sz w:val="28"/>
          <w:szCs w:val="28"/>
          <w:lang w:val="en-US"/>
        </w:rPr>
      </w:pPr>
    </w:p>
    <w:p w14:paraId="2A0D6167" w14:textId="7224F862" w:rsidR="00312F40" w:rsidRDefault="00312F40" w:rsidP="00312F40">
      <w:pPr>
        <w:spacing w:line="360" w:lineRule="auto"/>
        <w:jc w:val="both"/>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lastRenderedPageBreak/>
        <w:t> I agree:</w:t>
      </w:r>
    </w:p>
    <w:p w14:paraId="3A7D19AA" w14:textId="4D8E2E20" w:rsidR="00571126" w:rsidRPr="00312F40" w:rsidRDefault="00571126" w:rsidP="00571126">
      <w:pPr>
        <w:spacing w:line="360" w:lineRule="auto"/>
        <w:jc w:val="center"/>
        <w:rPr>
          <w:rFonts w:ascii="Bookman Old Style" w:hAnsi="Bookman Old Style" w:cs="Arial"/>
          <w:bCs/>
          <w:color w:val="000000"/>
          <w:sz w:val="28"/>
          <w:szCs w:val="28"/>
          <w:lang w:val="en-US"/>
        </w:rPr>
      </w:pPr>
      <w:r>
        <w:rPr>
          <w:noProof/>
          <w:lang w:eastAsia="en-GB"/>
        </w:rPr>
        <w:drawing>
          <wp:inline distT="0" distB="0" distL="0" distR="0" wp14:anchorId="628C6C16" wp14:editId="401B7D2E">
            <wp:extent cx="18573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5E5E8309" w14:textId="77777777" w:rsidR="00312F40" w:rsidRPr="00312F40" w:rsidRDefault="00312F40" w:rsidP="00312F40">
      <w:pPr>
        <w:spacing w:line="360" w:lineRule="auto"/>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_______________________________</w:t>
      </w:r>
    </w:p>
    <w:p w14:paraId="491F8201" w14:textId="2DD365B8" w:rsidR="00312F40" w:rsidRPr="00312F40" w:rsidRDefault="00571126" w:rsidP="00571126">
      <w:pPr>
        <w:tabs>
          <w:tab w:val="center" w:pos="4510"/>
          <w:tab w:val="left" w:pos="7920"/>
        </w:tabs>
        <w:spacing w:line="360" w:lineRule="auto"/>
        <w:rPr>
          <w:rFonts w:ascii="Bookman Old Style" w:hAnsi="Bookman Old Style" w:cs="Arial"/>
          <w:b/>
          <w:bCs/>
          <w:color w:val="000000"/>
          <w:sz w:val="28"/>
          <w:szCs w:val="28"/>
          <w:lang w:val="en-US"/>
        </w:rPr>
      </w:pPr>
      <w:r>
        <w:rPr>
          <w:rFonts w:ascii="Bookman Old Style" w:hAnsi="Bookman Old Style" w:cs="Arial"/>
          <w:b/>
          <w:bCs/>
          <w:color w:val="000000"/>
          <w:sz w:val="28"/>
          <w:szCs w:val="28"/>
          <w:lang w:val="en-US"/>
        </w:rPr>
        <w:tab/>
      </w:r>
      <w:r w:rsidR="00312F40" w:rsidRPr="00312F40">
        <w:rPr>
          <w:rFonts w:ascii="Bookman Old Style" w:hAnsi="Bookman Old Style" w:cs="Arial"/>
          <w:b/>
          <w:bCs/>
          <w:color w:val="000000"/>
          <w:sz w:val="28"/>
          <w:szCs w:val="28"/>
          <w:lang w:val="en-US"/>
        </w:rPr>
        <w:t xml:space="preserve">J V D WESTHUIZEN </w:t>
      </w:r>
      <w:r>
        <w:rPr>
          <w:rFonts w:ascii="Bookman Old Style" w:hAnsi="Bookman Old Style" w:cs="Arial"/>
          <w:b/>
          <w:bCs/>
          <w:color w:val="000000"/>
          <w:sz w:val="28"/>
          <w:szCs w:val="28"/>
          <w:lang w:val="en-US"/>
        </w:rPr>
        <w:tab/>
      </w:r>
    </w:p>
    <w:p w14:paraId="53F85567" w14:textId="77777777" w:rsidR="00312F40" w:rsidRPr="00312F40" w:rsidRDefault="00312F40" w:rsidP="00312F40">
      <w:pPr>
        <w:spacing w:line="360" w:lineRule="auto"/>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ACTING JUSTICE OF APPEAL</w:t>
      </w:r>
    </w:p>
    <w:p w14:paraId="397DF252" w14:textId="77777777" w:rsidR="00312F40" w:rsidRPr="00312F40" w:rsidRDefault="00312F40" w:rsidP="00312F40">
      <w:pPr>
        <w:spacing w:line="360" w:lineRule="auto"/>
        <w:jc w:val="both"/>
        <w:rPr>
          <w:rFonts w:ascii="Bookman Old Style" w:hAnsi="Bookman Old Style" w:cs="Arial"/>
          <w:bCs/>
          <w:color w:val="000000"/>
          <w:sz w:val="28"/>
          <w:szCs w:val="28"/>
          <w:lang w:val="en-US"/>
        </w:rPr>
      </w:pPr>
    </w:p>
    <w:p w14:paraId="5BB24EE9" w14:textId="47EA2E88" w:rsidR="00312F40" w:rsidRDefault="00312F40" w:rsidP="00312F40">
      <w:pPr>
        <w:spacing w:line="360" w:lineRule="auto"/>
        <w:jc w:val="both"/>
        <w:rPr>
          <w:rFonts w:ascii="Bookman Old Style" w:hAnsi="Bookman Old Style" w:cs="Arial"/>
          <w:bCs/>
          <w:color w:val="000000"/>
          <w:sz w:val="28"/>
          <w:szCs w:val="28"/>
          <w:lang w:val="en-US"/>
        </w:rPr>
      </w:pPr>
      <w:r w:rsidRPr="00312F40">
        <w:rPr>
          <w:rFonts w:ascii="Bookman Old Style" w:hAnsi="Bookman Old Style" w:cs="Arial"/>
          <w:bCs/>
          <w:color w:val="000000"/>
          <w:sz w:val="28"/>
          <w:szCs w:val="28"/>
          <w:lang w:val="en-US"/>
        </w:rPr>
        <w:t> I agree:</w:t>
      </w:r>
    </w:p>
    <w:p w14:paraId="2F441F56" w14:textId="297B2A8D" w:rsidR="0089466C" w:rsidRPr="00312F40" w:rsidRDefault="00571126" w:rsidP="00571126">
      <w:pPr>
        <w:spacing w:line="360" w:lineRule="auto"/>
        <w:jc w:val="center"/>
        <w:rPr>
          <w:rFonts w:ascii="Bookman Old Style" w:hAnsi="Bookman Old Style" w:cs="Arial"/>
          <w:bCs/>
          <w:color w:val="000000"/>
          <w:sz w:val="28"/>
          <w:szCs w:val="28"/>
          <w:lang w:val="en-US"/>
        </w:rPr>
      </w:pPr>
      <w:r>
        <w:rPr>
          <w:noProof/>
          <w:lang w:eastAsia="en-GB"/>
        </w:rPr>
        <w:drawing>
          <wp:inline distT="0" distB="0" distL="0" distR="0" wp14:anchorId="751C2D66" wp14:editId="55069B83">
            <wp:extent cx="21050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628A1E74" w14:textId="77777777" w:rsidR="00312F40" w:rsidRPr="00312F40" w:rsidRDefault="00312F40" w:rsidP="00312F40">
      <w:pPr>
        <w:spacing w:line="360" w:lineRule="auto"/>
        <w:jc w:val="center"/>
        <w:rPr>
          <w:rFonts w:ascii="Bookman Old Style" w:hAnsi="Bookman Old Style" w:cs="Arial"/>
          <w:bCs/>
          <w:color w:val="000000"/>
          <w:sz w:val="28"/>
          <w:szCs w:val="28"/>
          <w:lang w:val="en-US"/>
        </w:rPr>
      </w:pPr>
      <w:r w:rsidRPr="00312F40">
        <w:rPr>
          <w:rFonts w:ascii="Bookman Old Style" w:hAnsi="Bookman Old Style" w:cs="Arial"/>
          <w:b/>
          <w:bCs/>
          <w:color w:val="000000"/>
          <w:sz w:val="28"/>
          <w:szCs w:val="28"/>
          <w:lang w:val="en-US"/>
        </w:rPr>
        <w:t>_______________________________</w:t>
      </w:r>
    </w:p>
    <w:p w14:paraId="67BF31DD" w14:textId="18AC74E1" w:rsidR="00312F40" w:rsidRPr="00312F40" w:rsidRDefault="00312F40" w:rsidP="00312F40">
      <w:pPr>
        <w:spacing w:line="360" w:lineRule="auto"/>
        <w:jc w:val="center"/>
        <w:rPr>
          <w:rFonts w:ascii="Bookman Old Style" w:hAnsi="Bookman Old Style" w:cs="Arial"/>
          <w:b/>
          <w:bCs/>
          <w:color w:val="000000"/>
          <w:sz w:val="28"/>
          <w:szCs w:val="28"/>
          <w:lang w:val="en-US"/>
        </w:rPr>
      </w:pPr>
      <w:r w:rsidRPr="00312F40">
        <w:rPr>
          <w:rFonts w:ascii="Bookman Old Style" w:hAnsi="Bookman Old Style" w:cs="Arial"/>
          <w:b/>
          <w:bCs/>
          <w:color w:val="000000"/>
          <w:sz w:val="28"/>
          <w:szCs w:val="28"/>
          <w:lang w:val="en-US"/>
        </w:rPr>
        <w:t xml:space="preserve">N T MTSHIYA </w:t>
      </w:r>
    </w:p>
    <w:p w14:paraId="61F8EA3D" w14:textId="4B13E4C0" w:rsidR="00BF2B07" w:rsidRPr="00DC0678" w:rsidRDefault="00312F40" w:rsidP="0089466C">
      <w:pPr>
        <w:spacing w:line="360" w:lineRule="auto"/>
        <w:jc w:val="center"/>
        <w:rPr>
          <w:rFonts w:ascii="Bookman Old Style" w:hAnsi="Bookman Old Style"/>
          <w:sz w:val="28"/>
          <w:szCs w:val="28"/>
          <w:lang w:val="en-US"/>
        </w:rPr>
      </w:pPr>
      <w:r w:rsidRPr="00312F40">
        <w:rPr>
          <w:rFonts w:ascii="Bookman Old Style" w:hAnsi="Bookman Old Style" w:cs="Arial"/>
          <w:b/>
          <w:bCs/>
          <w:color w:val="000000"/>
          <w:sz w:val="28"/>
          <w:szCs w:val="28"/>
          <w:lang w:val="en-US"/>
        </w:rPr>
        <w:t>ACTING JUSTICE OF APPEAL</w:t>
      </w:r>
    </w:p>
    <w:p w14:paraId="2B3F46DB" w14:textId="77777777" w:rsidR="00BF2B07" w:rsidRPr="00DC0678" w:rsidRDefault="00BF2B07" w:rsidP="00DC0678">
      <w:pPr>
        <w:spacing w:line="360" w:lineRule="auto"/>
        <w:jc w:val="both"/>
        <w:rPr>
          <w:rFonts w:ascii="Bookman Old Style" w:hAnsi="Bookman Old Style"/>
          <w:sz w:val="28"/>
          <w:szCs w:val="28"/>
          <w:lang w:val="en-US"/>
        </w:rPr>
      </w:pPr>
    </w:p>
    <w:p w14:paraId="4EB3DCAA" w14:textId="77777777" w:rsidR="006B6E8A" w:rsidRPr="00DC0678" w:rsidRDefault="006B6E8A" w:rsidP="00DC0678">
      <w:pPr>
        <w:spacing w:line="360" w:lineRule="auto"/>
        <w:jc w:val="both"/>
        <w:rPr>
          <w:rFonts w:ascii="Bookman Old Style" w:hAnsi="Bookman Old Style"/>
          <w:sz w:val="28"/>
          <w:szCs w:val="28"/>
          <w:lang w:val="en-US"/>
        </w:rPr>
      </w:pPr>
    </w:p>
    <w:p w14:paraId="65253328" w14:textId="0FBDCCF2" w:rsidR="006B6E8A" w:rsidRPr="00571126" w:rsidRDefault="006B6E8A" w:rsidP="00DC0678">
      <w:pPr>
        <w:spacing w:line="360" w:lineRule="auto"/>
        <w:jc w:val="both"/>
        <w:rPr>
          <w:rFonts w:ascii="Bookman Old Style" w:hAnsi="Bookman Old Style"/>
          <w:caps/>
          <w:sz w:val="28"/>
          <w:szCs w:val="28"/>
          <w:lang w:val="en-US"/>
        </w:rPr>
      </w:pPr>
      <w:r w:rsidRPr="00571126">
        <w:rPr>
          <w:rFonts w:ascii="Bookman Old Style" w:hAnsi="Bookman Old Style"/>
          <w:b/>
          <w:caps/>
          <w:sz w:val="28"/>
          <w:szCs w:val="28"/>
          <w:lang w:val="en-US"/>
        </w:rPr>
        <w:t xml:space="preserve">For the </w:t>
      </w:r>
      <w:r w:rsidR="00312F40" w:rsidRPr="00571126">
        <w:rPr>
          <w:rFonts w:ascii="Bookman Old Style" w:hAnsi="Bookman Old Style"/>
          <w:b/>
          <w:caps/>
          <w:sz w:val="28"/>
          <w:szCs w:val="28"/>
          <w:lang w:val="en-US"/>
        </w:rPr>
        <w:t>appellants</w:t>
      </w:r>
      <w:r w:rsidRPr="00571126">
        <w:rPr>
          <w:rFonts w:ascii="Bookman Old Style" w:hAnsi="Bookman Old Style"/>
          <w:b/>
          <w:caps/>
          <w:sz w:val="28"/>
          <w:szCs w:val="28"/>
          <w:lang w:val="en-US"/>
        </w:rPr>
        <w:t>:</w:t>
      </w:r>
      <w:r w:rsidRPr="00571126">
        <w:rPr>
          <w:rFonts w:ascii="Bookman Old Style" w:hAnsi="Bookman Old Style"/>
          <w:caps/>
          <w:sz w:val="28"/>
          <w:szCs w:val="28"/>
          <w:lang w:val="en-US"/>
        </w:rPr>
        <w:t xml:space="preserve"> </w:t>
      </w:r>
      <w:r w:rsidRPr="00571126">
        <w:rPr>
          <w:rFonts w:ascii="Bookman Old Style" w:hAnsi="Bookman Old Style"/>
          <w:caps/>
          <w:sz w:val="28"/>
          <w:szCs w:val="28"/>
          <w:lang w:val="en-US"/>
        </w:rPr>
        <w:tab/>
      </w:r>
      <w:r w:rsidRPr="00571126">
        <w:rPr>
          <w:rFonts w:ascii="Bookman Old Style" w:hAnsi="Bookman Old Style"/>
          <w:caps/>
          <w:sz w:val="28"/>
          <w:szCs w:val="28"/>
          <w:lang w:val="en-US"/>
        </w:rPr>
        <w:tab/>
      </w:r>
      <w:r w:rsidRPr="00571126">
        <w:rPr>
          <w:rFonts w:ascii="Bookman Old Style" w:hAnsi="Bookman Old Style"/>
          <w:caps/>
          <w:sz w:val="28"/>
          <w:szCs w:val="28"/>
          <w:lang w:val="en-US"/>
        </w:rPr>
        <w:tab/>
      </w:r>
      <w:r w:rsidR="00571126">
        <w:rPr>
          <w:rFonts w:ascii="Bookman Old Style" w:hAnsi="Bookman Old Style"/>
          <w:caps/>
          <w:sz w:val="28"/>
          <w:szCs w:val="28"/>
          <w:lang w:val="en-US"/>
        </w:rPr>
        <w:t xml:space="preserve">adv </w:t>
      </w:r>
      <w:r w:rsidRPr="00571126">
        <w:rPr>
          <w:rFonts w:ascii="Bookman Old Style" w:hAnsi="Bookman Old Style"/>
          <w:caps/>
          <w:sz w:val="28"/>
          <w:szCs w:val="28"/>
          <w:lang w:val="en-US"/>
        </w:rPr>
        <w:t>L Letompa</w:t>
      </w:r>
    </w:p>
    <w:p w14:paraId="3778DFD1" w14:textId="35CD490E" w:rsidR="00312F40" w:rsidRPr="00571126" w:rsidRDefault="00BF2B07" w:rsidP="00DC0678">
      <w:pPr>
        <w:spacing w:line="360" w:lineRule="auto"/>
        <w:jc w:val="both"/>
        <w:rPr>
          <w:rFonts w:ascii="Bookman Old Style" w:hAnsi="Bookman Old Style"/>
          <w:caps/>
          <w:sz w:val="28"/>
          <w:szCs w:val="28"/>
          <w:lang w:val="en-US"/>
        </w:rPr>
      </w:pPr>
      <w:r w:rsidRPr="00571126">
        <w:rPr>
          <w:rFonts w:ascii="Bookman Old Style" w:hAnsi="Bookman Old Style"/>
          <w:b/>
          <w:caps/>
          <w:sz w:val="28"/>
          <w:szCs w:val="28"/>
          <w:lang w:val="en-US"/>
        </w:rPr>
        <w:t xml:space="preserve">For the </w:t>
      </w:r>
      <w:r w:rsidR="006B6E8A" w:rsidRPr="00571126">
        <w:rPr>
          <w:rFonts w:ascii="Bookman Old Style" w:hAnsi="Bookman Old Style"/>
          <w:b/>
          <w:caps/>
          <w:sz w:val="28"/>
          <w:szCs w:val="28"/>
          <w:lang w:val="en-US"/>
        </w:rPr>
        <w:t>respondents</w:t>
      </w:r>
      <w:r w:rsidR="006B6E8A" w:rsidRPr="00571126">
        <w:rPr>
          <w:rFonts w:ascii="Bookman Old Style" w:hAnsi="Bookman Old Style"/>
          <w:caps/>
          <w:sz w:val="28"/>
          <w:szCs w:val="28"/>
          <w:lang w:val="en-US"/>
        </w:rPr>
        <w:t>:</w:t>
      </w:r>
      <w:r w:rsidRPr="00571126">
        <w:rPr>
          <w:rFonts w:ascii="Bookman Old Style" w:hAnsi="Bookman Old Style"/>
          <w:caps/>
          <w:sz w:val="28"/>
          <w:szCs w:val="28"/>
          <w:lang w:val="en-US"/>
        </w:rPr>
        <w:tab/>
      </w:r>
      <w:r w:rsidRPr="00571126">
        <w:rPr>
          <w:rFonts w:ascii="Bookman Old Style" w:hAnsi="Bookman Old Style"/>
          <w:caps/>
          <w:sz w:val="28"/>
          <w:szCs w:val="28"/>
          <w:lang w:val="en-US"/>
        </w:rPr>
        <w:tab/>
      </w:r>
      <w:r w:rsidR="00571126">
        <w:rPr>
          <w:rFonts w:ascii="Bookman Old Style" w:hAnsi="Bookman Old Style"/>
          <w:caps/>
          <w:sz w:val="28"/>
          <w:szCs w:val="28"/>
          <w:lang w:val="en-US"/>
        </w:rPr>
        <w:t xml:space="preserve">MR </w:t>
      </w:r>
      <w:r w:rsidR="006B6E8A" w:rsidRPr="00571126">
        <w:rPr>
          <w:rFonts w:ascii="Bookman Old Style" w:hAnsi="Bookman Old Style"/>
          <w:caps/>
          <w:sz w:val="28"/>
          <w:szCs w:val="28"/>
          <w:lang w:val="en-US"/>
        </w:rPr>
        <w:t xml:space="preserve">Q. Letsika and </w:t>
      </w:r>
    </w:p>
    <w:p w14:paraId="358E1919" w14:textId="3370D9B0" w:rsidR="00BF2B07" w:rsidRPr="00DC0678" w:rsidRDefault="00312F40" w:rsidP="00312F40">
      <w:pPr>
        <w:spacing w:line="360" w:lineRule="auto"/>
        <w:ind w:left="4320" w:firstLine="720"/>
        <w:jc w:val="both"/>
        <w:rPr>
          <w:rFonts w:ascii="Bookman Old Style" w:hAnsi="Bookman Old Style"/>
          <w:sz w:val="28"/>
          <w:szCs w:val="28"/>
          <w:lang w:val="en-US"/>
        </w:rPr>
      </w:pPr>
      <w:r w:rsidRPr="00571126">
        <w:rPr>
          <w:rFonts w:ascii="Bookman Old Style" w:hAnsi="Bookman Old Style"/>
          <w:caps/>
          <w:sz w:val="28"/>
          <w:szCs w:val="28"/>
          <w:lang w:val="en-US"/>
        </w:rPr>
        <w:t>A</w:t>
      </w:r>
      <w:r w:rsidR="00D10463" w:rsidRPr="00571126">
        <w:rPr>
          <w:rFonts w:ascii="Bookman Old Style" w:hAnsi="Bookman Old Style"/>
          <w:caps/>
          <w:sz w:val="28"/>
          <w:szCs w:val="28"/>
          <w:lang w:val="en-US"/>
        </w:rPr>
        <w:t>dv.</w:t>
      </w:r>
      <w:r w:rsidR="006B6E8A" w:rsidRPr="00571126">
        <w:rPr>
          <w:rFonts w:ascii="Bookman Old Style" w:hAnsi="Bookman Old Style"/>
          <w:caps/>
          <w:sz w:val="28"/>
          <w:szCs w:val="28"/>
          <w:lang w:val="en-US"/>
        </w:rPr>
        <w:t xml:space="preserve"> R J Setlojoane</w:t>
      </w:r>
    </w:p>
    <w:p w14:paraId="78D060DD" w14:textId="77777777" w:rsidR="006B6E8A" w:rsidRPr="00DC0678" w:rsidRDefault="006B6E8A" w:rsidP="00DC0678">
      <w:pPr>
        <w:spacing w:line="360" w:lineRule="auto"/>
        <w:jc w:val="both"/>
        <w:rPr>
          <w:rFonts w:ascii="Bookman Old Style" w:hAnsi="Bookman Old Style"/>
          <w:sz w:val="28"/>
          <w:szCs w:val="28"/>
          <w:lang w:val="en-US"/>
        </w:rPr>
      </w:pPr>
    </w:p>
    <w:p w14:paraId="25235AEB" w14:textId="77777777" w:rsidR="006B6E8A" w:rsidRPr="00DC0678" w:rsidRDefault="006B6E8A" w:rsidP="00DC0678">
      <w:pPr>
        <w:spacing w:line="360" w:lineRule="auto"/>
        <w:jc w:val="both"/>
        <w:rPr>
          <w:rFonts w:ascii="Bookman Old Style" w:hAnsi="Bookman Old Style"/>
          <w:sz w:val="28"/>
          <w:szCs w:val="28"/>
          <w:lang w:val="en-US"/>
        </w:rPr>
      </w:pPr>
    </w:p>
    <w:p w14:paraId="6D181D36" w14:textId="071F9C1E" w:rsidR="00704A43" w:rsidRPr="00DC0678" w:rsidRDefault="00704A43" w:rsidP="00DC0678">
      <w:pPr>
        <w:spacing w:line="360" w:lineRule="auto"/>
        <w:jc w:val="both"/>
        <w:rPr>
          <w:rFonts w:ascii="Bookman Old Style" w:hAnsi="Bookman Old Style"/>
          <w:sz w:val="28"/>
          <w:szCs w:val="28"/>
          <w:lang w:val="en-US"/>
        </w:rPr>
      </w:pPr>
    </w:p>
    <w:p w14:paraId="3A53A052" w14:textId="77777777" w:rsidR="009F3F05" w:rsidRPr="00DC0678" w:rsidRDefault="009F3F05" w:rsidP="00DC0678">
      <w:pPr>
        <w:spacing w:line="360" w:lineRule="auto"/>
        <w:jc w:val="both"/>
        <w:rPr>
          <w:rFonts w:ascii="Bookman Old Style" w:hAnsi="Bookman Old Style"/>
          <w:sz w:val="28"/>
          <w:szCs w:val="28"/>
          <w:lang w:val="en-US"/>
        </w:rPr>
      </w:pPr>
    </w:p>
    <w:p w14:paraId="4BC0004B" w14:textId="77777777" w:rsidR="009F3F05" w:rsidRPr="00DC0678" w:rsidRDefault="009F3F05" w:rsidP="00DC0678">
      <w:pPr>
        <w:spacing w:line="360" w:lineRule="auto"/>
        <w:jc w:val="both"/>
        <w:rPr>
          <w:rFonts w:ascii="Bookman Old Style" w:hAnsi="Bookman Old Style"/>
          <w:sz w:val="28"/>
          <w:szCs w:val="28"/>
          <w:lang w:val="en-US"/>
        </w:rPr>
      </w:pPr>
    </w:p>
    <w:p w14:paraId="2A66DA0D" w14:textId="77777777" w:rsidR="0016211A" w:rsidRPr="00DC0678" w:rsidRDefault="0016211A" w:rsidP="00DC0678">
      <w:pPr>
        <w:spacing w:line="360" w:lineRule="auto"/>
        <w:jc w:val="both"/>
        <w:rPr>
          <w:rFonts w:ascii="Bookman Old Style" w:hAnsi="Bookman Old Style"/>
          <w:sz w:val="28"/>
          <w:szCs w:val="28"/>
          <w:lang w:val="en-US"/>
        </w:rPr>
      </w:pPr>
    </w:p>
    <w:p w14:paraId="46C7E6BC" w14:textId="77777777" w:rsidR="0016211A" w:rsidRPr="00DC0678" w:rsidRDefault="0016211A" w:rsidP="00DC0678">
      <w:pPr>
        <w:spacing w:line="360" w:lineRule="auto"/>
        <w:jc w:val="both"/>
        <w:rPr>
          <w:rFonts w:ascii="Bookman Old Style" w:hAnsi="Bookman Old Style"/>
          <w:sz w:val="28"/>
          <w:szCs w:val="28"/>
          <w:lang w:val="en-US"/>
        </w:rPr>
      </w:pPr>
    </w:p>
    <w:sectPr w:rsidR="0016211A" w:rsidRPr="00DC0678" w:rsidSect="00571126">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FC9E" w14:textId="77777777" w:rsidR="0077631C" w:rsidRDefault="0077631C" w:rsidP="008A6FDC">
      <w:r>
        <w:separator/>
      </w:r>
    </w:p>
  </w:endnote>
  <w:endnote w:type="continuationSeparator" w:id="0">
    <w:p w14:paraId="52A065A0" w14:textId="77777777" w:rsidR="0077631C" w:rsidRDefault="0077631C" w:rsidP="008A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25992" w14:textId="77777777" w:rsidR="0077631C" w:rsidRDefault="0077631C" w:rsidP="008A6FDC">
      <w:r>
        <w:separator/>
      </w:r>
    </w:p>
  </w:footnote>
  <w:footnote w:type="continuationSeparator" w:id="0">
    <w:p w14:paraId="61C20BFC" w14:textId="77777777" w:rsidR="0077631C" w:rsidRDefault="0077631C" w:rsidP="008A6FDC">
      <w:r>
        <w:continuationSeparator/>
      </w:r>
    </w:p>
  </w:footnote>
  <w:footnote w:id="1">
    <w:p w14:paraId="01792F59" w14:textId="4DB48316" w:rsidR="00533A7D" w:rsidRPr="00533A7D" w:rsidRDefault="00533A7D">
      <w:pPr>
        <w:pStyle w:val="FootnoteText"/>
        <w:rPr>
          <w:rFonts w:ascii="Bookman Old Style" w:hAnsi="Bookman Old Style" w:cs="Arial"/>
          <w:sz w:val="20"/>
          <w:szCs w:val="20"/>
          <w:lang w:val="en-ZW"/>
        </w:rPr>
      </w:pPr>
      <w:r w:rsidRPr="00533A7D">
        <w:rPr>
          <w:rStyle w:val="FootnoteReference"/>
          <w:rFonts w:ascii="Bookman Old Style" w:hAnsi="Bookman Old Style" w:cs="Arial"/>
          <w:sz w:val="20"/>
          <w:szCs w:val="20"/>
        </w:rPr>
        <w:footnoteRef/>
      </w:r>
      <w:r w:rsidRPr="00533A7D">
        <w:rPr>
          <w:rFonts w:ascii="Bookman Old Style" w:hAnsi="Bookman Old Style" w:cs="Arial"/>
          <w:sz w:val="20"/>
          <w:szCs w:val="20"/>
        </w:rPr>
        <w:t xml:space="preserve"> </w:t>
      </w:r>
      <w:r w:rsidRPr="00533A7D">
        <w:rPr>
          <w:rFonts w:ascii="Bookman Old Style" w:hAnsi="Bookman Old Style" w:cs="Arial"/>
          <w:i/>
          <w:iCs/>
          <w:sz w:val="20"/>
          <w:szCs w:val="20"/>
          <w:lang w:val="en-US"/>
        </w:rPr>
        <w:t>Lloyd v McMahon</w:t>
      </w:r>
      <w:r w:rsidRPr="00533A7D">
        <w:rPr>
          <w:rFonts w:ascii="Bookman Old Style" w:hAnsi="Bookman Old Style" w:cs="Arial"/>
          <w:sz w:val="20"/>
          <w:szCs w:val="20"/>
          <w:lang w:val="en-US"/>
        </w:rPr>
        <w:t xml:space="preserve"> [1987] 2 WLR 821 at 878</w:t>
      </w:r>
      <w:r w:rsidR="004F29A1">
        <w:rPr>
          <w:rFonts w:ascii="Bookman Old Style" w:hAnsi="Bookman Old Style" w:cs="Arial"/>
          <w:sz w:val="20"/>
          <w:szCs w:val="20"/>
          <w:lang w:val="en-US"/>
        </w:rPr>
        <w:t>.</w:t>
      </w:r>
    </w:p>
  </w:footnote>
  <w:footnote w:id="2">
    <w:p w14:paraId="15E81154" w14:textId="475F2265" w:rsidR="008A6FDC" w:rsidRPr="00533A7D" w:rsidRDefault="008A6FDC">
      <w:pPr>
        <w:pStyle w:val="FootnoteText"/>
        <w:rPr>
          <w:rFonts w:ascii="Bookman Old Style" w:hAnsi="Bookman Old Style" w:cs="Arial"/>
          <w:sz w:val="20"/>
          <w:szCs w:val="20"/>
          <w:lang w:val="en-US"/>
        </w:rPr>
      </w:pPr>
      <w:r w:rsidRPr="00533A7D">
        <w:rPr>
          <w:rStyle w:val="FootnoteReference"/>
          <w:rFonts w:ascii="Bookman Old Style" w:hAnsi="Bookman Old Style" w:cs="Arial"/>
          <w:sz w:val="20"/>
          <w:szCs w:val="20"/>
        </w:rPr>
        <w:footnoteRef/>
      </w:r>
      <w:r w:rsidRPr="00533A7D">
        <w:rPr>
          <w:rFonts w:ascii="Bookman Old Style" w:hAnsi="Bookman Old Style" w:cs="Arial"/>
          <w:sz w:val="20"/>
          <w:szCs w:val="20"/>
        </w:rPr>
        <w:t xml:space="preserve"> </w:t>
      </w:r>
      <w:r w:rsidRPr="00533A7D">
        <w:rPr>
          <w:rFonts w:ascii="Bookman Old Style" w:hAnsi="Bookman Old Style" w:cs="Arial"/>
          <w:i/>
          <w:sz w:val="20"/>
          <w:szCs w:val="20"/>
          <w:lang w:val="en-US"/>
        </w:rPr>
        <w:t>Minister of Land Affairs and Agriculture</w:t>
      </w:r>
      <w:r w:rsidRPr="00533A7D">
        <w:rPr>
          <w:rFonts w:ascii="Bookman Old Style" w:hAnsi="Bookman Old Style" w:cs="Arial"/>
          <w:sz w:val="20"/>
          <w:szCs w:val="20"/>
          <w:lang w:val="en-US"/>
        </w:rPr>
        <w:t xml:space="preserve"> </w:t>
      </w:r>
      <w:r w:rsidRPr="00533A7D">
        <w:rPr>
          <w:rFonts w:ascii="Bookman Old Style" w:hAnsi="Bookman Old Style" w:cs="Arial"/>
          <w:i/>
          <w:sz w:val="20"/>
          <w:szCs w:val="20"/>
          <w:lang w:val="en-US"/>
        </w:rPr>
        <w:t xml:space="preserve">and Others v D &amp;F </w:t>
      </w:r>
      <w:proofErr w:type="spellStart"/>
      <w:r w:rsidRPr="00533A7D">
        <w:rPr>
          <w:rFonts w:ascii="Bookman Old Style" w:hAnsi="Bookman Old Style" w:cs="Arial"/>
          <w:i/>
          <w:sz w:val="20"/>
          <w:szCs w:val="20"/>
          <w:lang w:val="en-US"/>
        </w:rPr>
        <w:t>Wevell</w:t>
      </w:r>
      <w:proofErr w:type="spellEnd"/>
      <w:r w:rsidRPr="00533A7D">
        <w:rPr>
          <w:rFonts w:ascii="Bookman Old Style" w:hAnsi="Bookman Old Style" w:cs="Arial"/>
          <w:i/>
          <w:sz w:val="20"/>
          <w:szCs w:val="20"/>
          <w:lang w:val="en-US"/>
        </w:rPr>
        <w:t xml:space="preserve"> Trust and Others</w:t>
      </w:r>
      <w:r w:rsidRPr="00533A7D">
        <w:rPr>
          <w:rFonts w:ascii="Bookman Old Style" w:hAnsi="Bookman Old Style" w:cs="Arial"/>
          <w:sz w:val="20"/>
          <w:szCs w:val="20"/>
          <w:lang w:val="en-US"/>
        </w:rPr>
        <w:t xml:space="preserve"> 2008 (2) SA 184 (SCA) para 43. See also </w:t>
      </w:r>
      <w:proofErr w:type="spellStart"/>
      <w:r w:rsidRPr="00533A7D">
        <w:rPr>
          <w:rFonts w:ascii="Bookman Old Style" w:hAnsi="Bookman Old Style" w:cs="Arial"/>
          <w:i/>
          <w:sz w:val="20"/>
          <w:szCs w:val="20"/>
          <w:lang w:val="en-US"/>
        </w:rPr>
        <w:t>Swissborough</w:t>
      </w:r>
      <w:proofErr w:type="spellEnd"/>
      <w:r w:rsidRPr="00533A7D">
        <w:rPr>
          <w:rFonts w:ascii="Bookman Old Style" w:hAnsi="Bookman Old Style" w:cs="Arial"/>
          <w:i/>
          <w:sz w:val="20"/>
          <w:szCs w:val="20"/>
          <w:lang w:val="en-US"/>
        </w:rPr>
        <w:t xml:space="preserve"> Diamond Mines (Pty) Ltd and Others </w:t>
      </w:r>
      <w:r w:rsidR="00E509BF" w:rsidRPr="00533A7D">
        <w:rPr>
          <w:rFonts w:ascii="Bookman Old Style" w:hAnsi="Bookman Old Style" w:cs="Arial"/>
          <w:i/>
          <w:sz w:val="20"/>
          <w:szCs w:val="20"/>
          <w:lang w:val="en-US"/>
        </w:rPr>
        <w:t>v Government of the RSA and Others</w:t>
      </w:r>
      <w:r w:rsidR="00E509BF" w:rsidRPr="00533A7D">
        <w:rPr>
          <w:rFonts w:ascii="Bookman Old Style" w:hAnsi="Bookman Old Style" w:cs="Arial"/>
          <w:sz w:val="20"/>
          <w:szCs w:val="20"/>
          <w:lang w:val="en-US"/>
        </w:rPr>
        <w:t xml:space="preserve"> 1999 (2) SA 279 (T) at 323G-J.</w:t>
      </w:r>
    </w:p>
  </w:footnote>
  <w:footnote w:id="3">
    <w:p w14:paraId="04B68404" w14:textId="0D06D0D3" w:rsidR="000165A1" w:rsidRPr="00533A7D" w:rsidRDefault="000165A1">
      <w:pPr>
        <w:pStyle w:val="FootnoteText"/>
        <w:rPr>
          <w:rFonts w:ascii="Bookman Old Style" w:hAnsi="Bookman Old Style" w:cs="Arial"/>
          <w:sz w:val="20"/>
          <w:szCs w:val="20"/>
          <w:lang w:val="en-US"/>
        </w:rPr>
      </w:pPr>
      <w:r w:rsidRPr="00533A7D">
        <w:rPr>
          <w:rStyle w:val="FootnoteReference"/>
          <w:rFonts w:ascii="Bookman Old Style" w:hAnsi="Bookman Old Style" w:cs="Arial"/>
          <w:sz w:val="20"/>
          <w:szCs w:val="20"/>
        </w:rPr>
        <w:footnoteRef/>
      </w:r>
      <w:r w:rsidRPr="00533A7D">
        <w:rPr>
          <w:rFonts w:ascii="Bookman Old Style" w:hAnsi="Bookman Old Style" w:cs="Arial"/>
          <w:sz w:val="20"/>
          <w:szCs w:val="20"/>
        </w:rPr>
        <w:t xml:space="preserve"> </w:t>
      </w:r>
      <w:r w:rsidRPr="00FF38E3">
        <w:rPr>
          <w:rFonts w:ascii="Bookman Old Style" w:hAnsi="Bookman Old Style" w:cs="Arial"/>
          <w:i/>
          <w:iCs/>
          <w:sz w:val="20"/>
          <w:szCs w:val="20"/>
          <w:lang w:val="en-US"/>
        </w:rPr>
        <w:t>Patz v Green &amp; Co</w:t>
      </w:r>
      <w:r w:rsidRPr="00533A7D">
        <w:rPr>
          <w:rFonts w:ascii="Bookman Old Style" w:hAnsi="Bookman Old Style" w:cs="Arial"/>
          <w:sz w:val="20"/>
          <w:szCs w:val="20"/>
          <w:lang w:val="en-US"/>
        </w:rPr>
        <w:t xml:space="preserve"> 1907 TS 427 at 433; </w:t>
      </w:r>
      <w:proofErr w:type="spellStart"/>
      <w:r w:rsidR="009B7753" w:rsidRPr="00533A7D">
        <w:rPr>
          <w:rFonts w:ascii="Bookman Old Style" w:hAnsi="Bookman Old Style" w:cs="Arial"/>
          <w:i/>
          <w:sz w:val="20"/>
          <w:szCs w:val="20"/>
          <w:lang w:val="en-US"/>
        </w:rPr>
        <w:t>Roodeport</w:t>
      </w:r>
      <w:proofErr w:type="spellEnd"/>
      <w:r w:rsidR="009B7753" w:rsidRPr="00533A7D">
        <w:rPr>
          <w:rFonts w:ascii="Bookman Old Style" w:hAnsi="Bookman Old Style" w:cs="Arial"/>
          <w:i/>
          <w:sz w:val="20"/>
          <w:szCs w:val="20"/>
          <w:lang w:val="en-US"/>
        </w:rPr>
        <w:t xml:space="preserve"> </w:t>
      </w:r>
      <w:r w:rsidR="00AD70E5" w:rsidRPr="00533A7D">
        <w:rPr>
          <w:rFonts w:ascii="Bookman Old Style" w:hAnsi="Bookman Old Style" w:cs="Arial"/>
          <w:i/>
          <w:sz w:val="20"/>
          <w:szCs w:val="20"/>
          <w:lang w:val="en-US"/>
        </w:rPr>
        <w:t xml:space="preserve">– </w:t>
      </w:r>
      <w:proofErr w:type="spellStart"/>
      <w:r w:rsidR="00AD70E5" w:rsidRPr="00533A7D">
        <w:rPr>
          <w:rFonts w:ascii="Bookman Old Style" w:hAnsi="Bookman Old Style" w:cs="Arial"/>
          <w:i/>
          <w:sz w:val="20"/>
          <w:szCs w:val="20"/>
          <w:lang w:val="en-US"/>
        </w:rPr>
        <w:t>Maraisburg</w:t>
      </w:r>
      <w:proofErr w:type="spellEnd"/>
      <w:r w:rsidR="00AD70E5" w:rsidRPr="00533A7D">
        <w:rPr>
          <w:rFonts w:ascii="Bookman Old Style" w:hAnsi="Bookman Old Style" w:cs="Arial"/>
          <w:i/>
          <w:sz w:val="20"/>
          <w:szCs w:val="20"/>
          <w:lang w:val="en-US"/>
        </w:rPr>
        <w:t xml:space="preserve"> Town Council v Eastern Properties (Prop) Ltd</w:t>
      </w:r>
      <w:r w:rsidR="00AD70E5" w:rsidRPr="00533A7D">
        <w:rPr>
          <w:rFonts w:ascii="Bookman Old Style" w:hAnsi="Bookman Old Style" w:cs="Arial"/>
          <w:sz w:val="20"/>
          <w:szCs w:val="20"/>
          <w:lang w:val="en-US"/>
        </w:rPr>
        <w:t xml:space="preserve"> 1933 AD 87 at 96.  </w:t>
      </w:r>
    </w:p>
  </w:footnote>
  <w:footnote w:id="4">
    <w:p w14:paraId="11DE3418" w14:textId="00B19336" w:rsidR="00AD70E5" w:rsidRPr="00C2424F" w:rsidRDefault="00AD70E5">
      <w:pPr>
        <w:pStyle w:val="FootnoteText"/>
        <w:rPr>
          <w:rFonts w:ascii="Bookman Old Style" w:hAnsi="Bookman Old Style" w:cs="Arial"/>
          <w:sz w:val="20"/>
          <w:szCs w:val="20"/>
          <w:lang w:val="en-US"/>
        </w:rPr>
      </w:pPr>
      <w:r w:rsidRPr="00533A7D">
        <w:rPr>
          <w:rStyle w:val="FootnoteReference"/>
          <w:rFonts w:ascii="Bookman Old Style" w:hAnsi="Bookman Old Style" w:cs="Arial"/>
          <w:sz w:val="20"/>
          <w:szCs w:val="20"/>
        </w:rPr>
        <w:footnoteRef/>
      </w:r>
      <w:r w:rsidRPr="00533A7D">
        <w:rPr>
          <w:rFonts w:ascii="Bookman Old Style" w:hAnsi="Bookman Old Style" w:cs="Arial"/>
          <w:sz w:val="20"/>
          <w:szCs w:val="20"/>
        </w:rPr>
        <w:t xml:space="preserve"> </w:t>
      </w:r>
      <w:r w:rsidR="00C2424F">
        <w:rPr>
          <w:rFonts w:ascii="Bookman Old Style" w:hAnsi="Bookman Old Style" w:cs="Arial"/>
          <w:sz w:val="20"/>
          <w:szCs w:val="20"/>
        </w:rPr>
        <w:t>L</w:t>
      </w:r>
      <w:r w:rsidR="00340BFF">
        <w:rPr>
          <w:rFonts w:ascii="Bookman Old Style" w:hAnsi="Bookman Old Style" w:cs="Arial"/>
          <w:sz w:val="20"/>
          <w:szCs w:val="20"/>
        </w:rPr>
        <w:t xml:space="preserve">. </w:t>
      </w:r>
      <w:r w:rsidR="00C2424F">
        <w:rPr>
          <w:rFonts w:ascii="Bookman Old Style" w:hAnsi="Bookman Old Style" w:cs="Arial"/>
          <w:sz w:val="20"/>
          <w:szCs w:val="20"/>
        </w:rPr>
        <w:t>Baxter</w:t>
      </w:r>
      <w:r w:rsidR="00340BFF">
        <w:rPr>
          <w:rFonts w:ascii="Bookman Old Style" w:hAnsi="Bookman Old Style" w:cs="Arial"/>
          <w:sz w:val="20"/>
          <w:szCs w:val="20"/>
        </w:rPr>
        <w:t xml:space="preserve"> A</w:t>
      </w:r>
      <w:r w:rsidR="00C2424F">
        <w:rPr>
          <w:rFonts w:ascii="Bookman Old Style" w:hAnsi="Bookman Old Style" w:cs="Arial"/>
          <w:i/>
          <w:iCs/>
          <w:sz w:val="20"/>
          <w:szCs w:val="20"/>
        </w:rPr>
        <w:t>dministrative Law</w:t>
      </w:r>
      <w:r w:rsidR="00340BFF">
        <w:rPr>
          <w:rFonts w:ascii="Bookman Old Style" w:hAnsi="Bookman Old Style" w:cs="Arial"/>
          <w:sz w:val="20"/>
          <w:szCs w:val="20"/>
        </w:rPr>
        <w:t xml:space="preserve"> </w:t>
      </w:r>
      <w:r w:rsidR="00C2424F" w:rsidRPr="00340BFF">
        <w:rPr>
          <w:rFonts w:ascii="Bookman Old Style" w:hAnsi="Bookman Old Style" w:cs="Arial"/>
          <w:sz w:val="20"/>
          <w:szCs w:val="20"/>
        </w:rPr>
        <w:t>(1984)</w:t>
      </w:r>
      <w:r w:rsidR="00C2424F">
        <w:rPr>
          <w:rFonts w:ascii="Bookman Old Style" w:hAnsi="Bookman Old Style" w:cs="Arial"/>
          <w:sz w:val="20"/>
          <w:szCs w:val="20"/>
        </w:rPr>
        <w:t xml:space="preserve"> at p 659-660.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763817"/>
      <w:docPartObj>
        <w:docPartGallery w:val="Page Numbers (Top of Page)"/>
        <w:docPartUnique/>
      </w:docPartObj>
    </w:sdtPr>
    <w:sdtEndPr>
      <w:rPr>
        <w:noProof/>
      </w:rPr>
    </w:sdtEndPr>
    <w:sdtContent>
      <w:p w14:paraId="7508920E" w14:textId="5369D8A5" w:rsidR="00571126" w:rsidRDefault="00571126">
        <w:pPr>
          <w:pStyle w:val="Header"/>
          <w:jc w:val="right"/>
        </w:pPr>
        <w:r>
          <w:fldChar w:fldCharType="begin"/>
        </w:r>
        <w:r>
          <w:instrText xml:space="preserve"> PAGE   \* MERGEFORMAT </w:instrText>
        </w:r>
        <w:r>
          <w:fldChar w:fldCharType="separate"/>
        </w:r>
        <w:r w:rsidR="00DE5708">
          <w:rPr>
            <w:noProof/>
          </w:rPr>
          <w:t>16</w:t>
        </w:r>
        <w:r>
          <w:rPr>
            <w:noProof/>
          </w:rPr>
          <w:fldChar w:fldCharType="end"/>
        </w:r>
      </w:p>
    </w:sdtContent>
  </w:sdt>
  <w:p w14:paraId="34E93573" w14:textId="77777777" w:rsidR="00571126" w:rsidRDefault="0057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F472A"/>
    <w:multiLevelType w:val="hybridMultilevel"/>
    <w:tmpl w:val="7D3CFC6E"/>
    <w:lvl w:ilvl="0" w:tplc="CD3403DA">
      <w:start w:val="1"/>
      <w:numFmt w:val="decimal"/>
      <w:lvlText w:val="[%1]"/>
      <w:lvlJc w:val="left"/>
      <w:pPr>
        <w:ind w:left="360" w:hanging="360"/>
      </w:pPr>
      <w:rPr>
        <w:rFonts w:hint="default"/>
        <w:i w:val="0"/>
        <w:sz w:val="28"/>
        <w:szCs w:val="28"/>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E96"/>
    <w:rsid w:val="00002695"/>
    <w:rsid w:val="000028DC"/>
    <w:rsid w:val="00005770"/>
    <w:rsid w:val="00005E5F"/>
    <w:rsid w:val="00006D9E"/>
    <w:rsid w:val="00007098"/>
    <w:rsid w:val="000073EC"/>
    <w:rsid w:val="000119B7"/>
    <w:rsid w:val="00011F4F"/>
    <w:rsid w:val="00012406"/>
    <w:rsid w:val="00016222"/>
    <w:rsid w:val="000165A1"/>
    <w:rsid w:val="00020256"/>
    <w:rsid w:val="00021E86"/>
    <w:rsid w:val="00024211"/>
    <w:rsid w:val="000268D5"/>
    <w:rsid w:val="00031EDB"/>
    <w:rsid w:val="000323C1"/>
    <w:rsid w:val="0003599B"/>
    <w:rsid w:val="00037F46"/>
    <w:rsid w:val="00040D0B"/>
    <w:rsid w:val="00043737"/>
    <w:rsid w:val="00044D0B"/>
    <w:rsid w:val="0004582C"/>
    <w:rsid w:val="00046CA0"/>
    <w:rsid w:val="000501E1"/>
    <w:rsid w:val="0005176A"/>
    <w:rsid w:val="00051CDF"/>
    <w:rsid w:val="0005408A"/>
    <w:rsid w:val="000544FA"/>
    <w:rsid w:val="00056202"/>
    <w:rsid w:val="00066165"/>
    <w:rsid w:val="00067349"/>
    <w:rsid w:val="00071B43"/>
    <w:rsid w:val="00075FCC"/>
    <w:rsid w:val="000765D1"/>
    <w:rsid w:val="00076FCC"/>
    <w:rsid w:val="000815AE"/>
    <w:rsid w:val="000817B4"/>
    <w:rsid w:val="00081C62"/>
    <w:rsid w:val="00082052"/>
    <w:rsid w:val="00083D0B"/>
    <w:rsid w:val="0008415E"/>
    <w:rsid w:val="00084EB9"/>
    <w:rsid w:val="000850BF"/>
    <w:rsid w:val="0008591C"/>
    <w:rsid w:val="00086F90"/>
    <w:rsid w:val="00087FA8"/>
    <w:rsid w:val="00087FAC"/>
    <w:rsid w:val="00090F5C"/>
    <w:rsid w:val="00092CD7"/>
    <w:rsid w:val="00094692"/>
    <w:rsid w:val="000A2015"/>
    <w:rsid w:val="000A57DA"/>
    <w:rsid w:val="000A699A"/>
    <w:rsid w:val="000A6FB3"/>
    <w:rsid w:val="000B016F"/>
    <w:rsid w:val="000B1BA9"/>
    <w:rsid w:val="000B40E8"/>
    <w:rsid w:val="000B5612"/>
    <w:rsid w:val="000C2BCB"/>
    <w:rsid w:val="000C4D6C"/>
    <w:rsid w:val="000C6ABC"/>
    <w:rsid w:val="000D2AF6"/>
    <w:rsid w:val="000D53B8"/>
    <w:rsid w:val="000D5544"/>
    <w:rsid w:val="000D5D6D"/>
    <w:rsid w:val="000E16E8"/>
    <w:rsid w:val="000E2AB5"/>
    <w:rsid w:val="000E3156"/>
    <w:rsid w:val="000E3637"/>
    <w:rsid w:val="000E47EF"/>
    <w:rsid w:val="000F0209"/>
    <w:rsid w:val="000F0D66"/>
    <w:rsid w:val="000F4EEF"/>
    <w:rsid w:val="0010293F"/>
    <w:rsid w:val="00107639"/>
    <w:rsid w:val="00107F90"/>
    <w:rsid w:val="0011091C"/>
    <w:rsid w:val="001121BF"/>
    <w:rsid w:val="001124B5"/>
    <w:rsid w:val="00113E99"/>
    <w:rsid w:val="001140DA"/>
    <w:rsid w:val="00114F00"/>
    <w:rsid w:val="00114F5C"/>
    <w:rsid w:val="0011557B"/>
    <w:rsid w:val="00121F7F"/>
    <w:rsid w:val="00123003"/>
    <w:rsid w:val="001241DF"/>
    <w:rsid w:val="001258F0"/>
    <w:rsid w:val="00125EA7"/>
    <w:rsid w:val="00126463"/>
    <w:rsid w:val="00126E89"/>
    <w:rsid w:val="00127695"/>
    <w:rsid w:val="00130EDE"/>
    <w:rsid w:val="00131CB2"/>
    <w:rsid w:val="00132D4B"/>
    <w:rsid w:val="00134096"/>
    <w:rsid w:val="00134714"/>
    <w:rsid w:val="0013595F"/>
    <w:rsid w:val="00135A09"/>
    <w:rsid w:val="00135A8B"/>
    <w:rsid w:val="00136D2F"/>
    <w:rsid w:val="00137BEF"/>
    <w:rsid w:val="00137F29"/>
    <w:rsid w:val="00140FF5"/>
    <w:rsid w:val="001414AD"/>
    <w:rsid w:val="0014212A"/>
    <w:rsid w:val="00145470"/>
    <w:rsid w:val="00145780"/>
    <w:rsid w:val="00146328"/>
    <w:rsid w:val="00146BEF"/>
    <w:rsid w:val="00151E35"/>
    <w:rsid w:val="00152C82"/>
    <w:rsid w:val="00152E11"/>
    <w:rsid w:val="00155AE7"/>
    <w:rsid w:val="00156EE7"/>
    <w:rsid w:val="00161050"/>
    <w:rsid w:val="0016211A"/>
    <w:rsid w:val="00164BAB"/>
    <w:rsid w:val="001661A2"/>
    <w:rsid w:val="001663AF"/>
    <w:rsid w:val="00166AF7"/>
    <w:rsid w:val="00167CB5"/>
    <w:rsid w:val="0017084A"/>
    <w:rsid w:val="00173631"/>
    <w:rsid w:val="00174170"/>
    <w:rsid w:val="00174531"/>
    <w:rsid w:val="001757CB"/>
    <w:rsid w:val="00175AF2"/>
    <w:rsid w:val="001767CE"/>
    <w:rsid w:val="00176A29"/>
    <w:rsid w:val="00180702"/>
    <w:rsid w:val="00181A5F"/>
    <w:rsid w:val="00182836"/>
    <w:rsid w:val="00183AED"/>
    <w:rsid w:val="00187ED7"/>
    <w:rsid w:val="001906AD"/>
    <w:rsid w:val="001929B9"/>
    <w:rsid w:val="0019303F"/>
    <w:rsid w:val="00194865"/>
    <w:rsid w:val="00194A7D"/>
    <w:rsid w:val="001954B4"/>
    <w:rsid w:val="001969AA"/>
    <w:rsid w:val="001A2537"/>
    <w:rsid w:val="001A631C"/>
    <w:rsid w:val="001A6B08"/>
    <w:rsid w:val="001A76F1"/>
    <w:rsid w:val="001B1583"/>
    <w:rsid w:val="001B1C5A"/>
    <w:rsid w:val="001B1D41"/>
    <w:rsid w:val="001B1DC8"/>
    <w:rsid w:val="001B2616"/>
    <w:rsid w:val="001B486A"/>
    <w:rsid w:val="001B4A66"/>
    <w:rsid w:val="001B4B37"/>
    <w:rsid w:val="001B52E9"/>
    <w:rsid w:val="001B53EC"/>
    <w:rsid w:val="001C186D"/>
    <w:rsid w:val="001C4CB9"/>
    <w:rsid w:val="001D015A"/>
    <w:rsid w:val="001D1327"/>
    <w:rsid w:val="001D13F0"/>
    <w:rsid w:val="001D2860"/>
    <w:rsid w:val="001D3129"/>
    <w:rsid w:val="001D3455"/>
    <w:rsid w:val="001D731E"/>
    <w:rsid w:val="001D7B0B"/>
    <w:rsid w:val="001E08CB"/>
    <w:rsid w:val="001E0E49"/>
    <w:rsid w:val="001E4003"/>
    <w:rsid w:val="001E5831"/>
    <w:rsid w:val="001E6AFA"/>
    <w:rsid w:val="001E7179"/>
    <w:rsid w:val="001F0618"/>
    <w:rsid w:val="001F0CA2"/>
    <w:rsid w:val="001F162F"/>
    <w:rsid w:val="001F1709"/>
    <w:rsid w:val="001F393C"/>
    <w:rsid w:val="001F4B01"/>
    <w:rsid w:val="001F7292"/>
    <w:rsid w:val="001F737D"/>
    <w:rsid w:val="00200119"/>
    <w:rsid w:val="00202DEF"/>
    <w:rsid w:val="0020312F"/>
    <w:rsid w:val="00205149"/>
    <w:rsid w:val="00211D6A"/>
    <w:rsid w:val="00214DC2"/>
    <w:rsid w:val="00215C43"/>
    <w:rsid w:val="0021664F"/>
    <w:rsid w:val="002176C6"/>
    <w:rsid w:val="00217F9F"/>
    <w:rsid w:val="00220944"/>
    <w:rsid w:val="00220D47"/>
    <w:rsid w:val="00220F8E"/>
    <w:rsid w:val="00223839"/>
    <w:rsid w:val="002243C6"/>
    <w:rsid w:val="00224947"/>
    <w:rsid w:val="00224BD2"/>
    <w:rsid w:val="002252D4"/>
    <w:rsid w:val="0022560C"/>
    <w:rsid w:val="00225D01"/>
    <w:rsid w:val="00227102"/>
    <w:rsid w:val="00227364"/>
    <w:rsid w:val="00230919"/>
    <w:rsid w:val="00230939"/>
    <w:rsid w:val="0023324B"/>
    <w:rsid w:val="0024184B"/>
    <w:rsid w:val="00241B48"/>
    <w:rsid w:val="0024239F"/>
    <w:rsid w:val="0024428E"/>
    <w:rsid w:val="00245727"/>
    <w:rsid w:val="00246FBC"/>
    <w:rsid w:val="00247450"/>
    <w:rsid w:val="00247AE5"/>
    <w:rsid w:val="00247D51"/>
    <w:rsid w:val="00252F04"/>
    <w:rsid w:val="0025522A"/>
    <w:rsid w:val="0025554E"/>
    <w:rsid w:val="00257589"/>
    <w:rsid w:val="00257BDF"/>
    <w:rsid w:val="0026270B"/>
    <w:rsid w:val="0026286A"/>
    <w:rsid w:val="00262CC6"/>
    <w:rsid w:val="0026455C"/>
    <w:rsid w:val="002664C1"/>
    <w:rsid w:val="00267F13"/>
    <w:rsid w:val="00271772"/>
    <w:rsid w:val="00272EF0"/>
    <w:rsid w:val="002759E6"/>
    <w:rsid w:val="00276935"/>
    <w:rsid w:val="00280187"/>
    <w:rsid w:val="002807AB"/>
    <w:rsid w:val="00281F5C"/>
    <w:rsid w:val="002826C5"/>
    <w:rsid w:val="00282D8E"/>
    <w:rsid w:val="00286417"/>
    <w:rsid w:val="00286ECC"/>
    <w:rsid w:val="00290BE9"/>
    <w:rsid w:val="00292884"/>
    <w:rsid w:val="0029468D"/>
    <w:rsid w:val="00296B5B"/>
    <w:rsid w:val="002975F1"/>
    <w:rsid w:val="002A470B"/>
    <w:rsid w:val="002B0495"/>
    <w:rsid w:val="002B327F"/>
    <w:rsid w:val="002B3DDB"/>
    <w:rsid w:val="002B63F3"/>
    <w:rsid w:val="002C0FBF"/>
    <w:rsid w:val="002C2E68"/>
    <w:rsid w:val="002C360C"/>
    <w:rsid w:val="002D1F92"/>
    <w:rsid w:val="002D39B1"/>
    <w:rsid w:val="002D55E2"/>
    <w:rsid w:val="002D7983"/>
    <w:rsid w:val="002E089C"/>
    <w:rsid w:val="002E5085"/>
    <w:rsid w:val="002E5B85"/>
    <w:rsid w:val="002E693A"/>
    <w:rsid w:val="002F2699"/>
    <w:rsid w:val="002F3007"/>
    <w:rsid w:val="002F3187"/>
    <w:rsid w:val="002F37E9"/>
    <w:rsid w:val="002F5124"/>
    <w:rsid w:val="002F52ED"/>
    <w:rsid w:val="002F5482"/>
    <w:rsid w:val="002F587B"/>
    <w:rsid w:val="002F593B"/>
    <w:rsid w:val="002F5987"/>
    <w:rsid w:val="002F6BC2"/>
    <w:rsid w:val="002F71EC"/>
    <w:rsid w:val="002F71EF"/>
    <w:rsid w:val="0030116A"/>
    <w:rsid w:val="003019F6"/>
    <w:rsid w:val="00301AB8"/>
    <w:rsid w:val="00304543"/>
    <w:rsid w:val="00304B55"/>
    <w:rsid w:val="003064F1"/>
    <w:rsid w:val="003070A2"/>
    <w:rsid w:val="00307318"/>
    <w:rsid w:val="0031035E"/>
    <w:rsid w:val="00310D12"/>
    <w:rsid w:val="003116D8"/>
    <w:rsid w:val="00311755"/>
    <w:rsid w:val="00312D6B"/>
    <w:rsid w:val="00312D99"/>
    <w:rsid w:val="00312F40"/>
    <w:rsid w:val="003157E6"/>
    <w:rsid w:val="00316516"/>
    <w:rsid w:val="003168FF"/>
    <w:rsid w:val="003171E8"/>
    <w:rsid w:val="003173BC"/>
    <w:rsid w:val="003208C0"/>
    <w:rsid w:val="00321681"/>
    <w:rsid w:val="00321DBD"/>
    <w:rsid w:val="00323C07"/>
    <w:rsid w:val="00323FEA"/>
    <w:rsid w:val="00324FA7"/>
    <w:rsid w:val="00325697"/>
    <w:rsid w:val="003302C6"/>
    <w:rsid w:val="00330797"/>
    <w:rsid w:val="0033218F"/>
    <w:rsid w:val="00332488"/>
    <w:rsid w:val="0033555E"/>
    <w:rsid w:val="00335817"/>
    <w:rsid w:val="0033787C"/>
    <w:rsid w:val="003401EF"/>
    <w:rsid w:val="00340BFF"/>
    <w:rsid w:val="00344368"/>
    <w:rsid w:val="003516DE"/>
    <w:rsid w:val="00352BF4"/>
    <w:rsid w:val="00354938"/>
    <w:rsid w:val="00355C9D"/>
    <w:rsid w:val="00355CB4"/>
    <w:rsid w:val="0035670A"/>
    <w:rsid w:val="003572AF"/>
    <w:rsid w:val="003574DC"/>
    <w:rsid w:val="00357744"/>
    <w:rsid w:val="00357DB9"/>
    <w:rsid w:val="003608B0"/>
    <w:rsid w:val="00361111"/>
    <w:rsid w:val="00363827"/>
    <w:rsid w:val="00364D4F"/>
    <w:rsid w:val="00365877"/>
    <w:rsid w:val="003715BE"/>
    <w:rsid w:val="00373F3E"/>
    <w:rsid w:val="0037567D"/>
    <w:rsid w:val="003759AD"/>
    <w:rsid w:val="00380A73"/>
    <w:rsid w:val="0038575A"/>
    <w:rsid w:val="00386D32"/>
    <w:rsid w:val="00392B3D"/>
    <w:rsid w:val="0039511A"/>
    <w:rsid w:val="003953CB"/>
    <w:rsid w:val="00395A7C"/>
    <w:rsid w:val="00397EB0"/>
    <w:rsid w:val="003A2109"/>
    <w:rsid w:val="003A32EF"/>
    <w:rsid w:val="003A3533"/>
    <w:rsid w:val="003A6777"/>
    <w:rsid w:val="003A774C"/>
    <w:rsid w:val="003B1933"/>
    <w:rsid w:val="003B258C"/>
    <w:rsid w:val="003B3BF0"/>
    <w:rsid w:val="003C0575"/>
    <w:rsid w:val="003C1FD4"/>
    <w:rsid w:val="003C2226"/>
    <w:rsid w:val="003C34F8"/>
    <w:rsid w:val="003C3ED4"/>
    <w:rsid w:val="003C6114"/>
    <w:rsid w:val="003C7A27"/>
    <w:rsid w:val="003D290A"/>
    <w:rsid w:val="003D2D82"/>
    <w:rsid w:val="003D6C70"/>
    <w:rsid w:val="003E42DA"/>
    <w:rsid w:val="003E5A0B"/>
    <w:rsid w:val="003E7995"/>
    <w:rsid w:val="003E7A35"/>
    <w:rsid w:val="003F3000"/>
    <w:rsid w:val="003F3491"/>
    <w:rsid w:val="003F4CE4"/>
    <w:rsid w:val="003F5E4B"/>
    <w:rsid w:val="004013AC"/>
    <w:rsid w:val="0040360D"/>
    <w:rsid w:val="00403A3A"/>
    <w:rsid w:val="00405C4B"/>
    <w:rsid w:val="00406763"/>
    <w:rsid w:val="00407781"/>
    <w:rsid w:val="00407AB5"/>
    <w:rsid w:val="00412088"/>
    <w:rsid w:val="00412C9B"/>
    <w:rsid w:val="0041778D"/>
    <w:rsid w:val="004204C0"/>
    <w:rsid w:val="00421CDE"/>
    <w:rsid w:val="004229CE"/>
    <w:rsid w:val="004230D7"/>
    <w:rsid w:val="0042385C"/>
    <w:rsid w:val="004302C3"/>
    <w:rsid w:val="00434FBC"/>
    <w:rsid w:val="00435DEB"/>
    <w:rsid w:val="00436F6D"/>
    <w:rsid w:val="004374F9"/>
    <w:rsid w:val="00437EE6"/>
    <w:rsid w:val="00440D25"/>
    <w:rsid w:val="00441B92"/>
    <w:rsid w:val="00446F38"/>
    <w:rsid w:val="004476C6"/>
    <w:rsid w:val="004523E1"/>
    <w:rsid w:val="00452EBB"/>
    <w:rsid w:val="00453756"/>
    <w:rsid w:val="004555D4"/>
    <w:rsid w:val="00461413"/>
    <w:rsid w:val="004616D8"/>
    <w:rsid w:val="00462531"/>
    <w:rsid w:val="004626D5"/>
    <w:rsid w:val="00462B48"/>
    <w:rsid w:val="00463C97"/>
    <w:rsid w:val="00466F9F"/>
    <w:rsid w:val="00471E19"/>
    <w:rsid w:val="00472C51"/>
    <w:rsid w:val="0047312B"/>
    <w:rsid w:val="00473D14"/>
    <w:rsid w:val="0047481F"/>
    <w:rsid w:val="0047567B"/>
    <w:rsid w:val="00475CB1"/>
    <w:rsid w:val="00482588"/>
    <w:rsid w:val="00483EEA"/>
    <w:rsid w:val="00484B9E"/>
    <w:rsid w:val="00485702"/>
    <w:rsid w:val="00485FCC"/>
    <w:rsid w:val="00487A26"/>
    <w:rsid w:val="00487DEA"/>
    <w:rsid w:val="00490B49"/>
    <w:rsid w:val="0049200C"/>
    <w:rsid w:val="00492C74"/>
    <w:rsid w:val="00493664"/>
    <w:rsid w:val="0049469D"/>
    <w:rsid w:val="00495D4F"/>
    <w:rsid w:val="0049630C"/>
    <w:rsid w:val="004973C1"/>
    <w:rsid w:val="004A0397"/>
    <w:rsid w:val="004A15D8"/>
    <w:rsid w:val="004A5DCF"/>
    <w:rsid w:val="004B34F4"/>
    <w:rsid w:val="004B4E98"/>
    <w:rsid w:val="004B7CF7"/>
    <w:rsid w:val="004C2B89"/>
    <w:rsid w:val="004C4328"/>
    <w:rsid w:val="004C45CA"/>
    <w:rsid w:val="004C70C9"/>
    <w:rsid w:val="004D0D4E"/>
    <w:rsid w:val="004D6AD1"/>
    <w:rsid w:val="004D6E77"/>
    <w:rsid w:val="004D7FE5"/>
    <w:rsid w:val="004E0B4D"/>
    <w:rsid w:val="004E289E"/>
    <w:rsid w:val="004E359C"/>
    <w:rsid w:val="004E6B6D"/>
    <w:rsid w:val="004E6E0C"/>
    <w:rsid w:val="004E7A1D"/>
    <w:rsid w:val="004F00D9"/>
    <w:rsid w:val="004F0F95"/>
    <w:rsid w:val="004F29A1"/>
    <w:rsid w:val="004F317A"/>
    <w:rsid w:val="004F6009"/>
    <w:rsid w:val="004F686B"/>
    <w:rsid w:val="004F7A7A"/>
    <w:rsid w:val="00500B11"/>
    <w:rsid w:val="00501F69"/>
    <w:rsid w:val="00503BD1"/>
    <w:rsid w:val="00505392"/>
    <w:rsid w:val="00505CEA"/>
    <w:rsid w:val="00512318"/>
    <w:rsid w:val="0051235E"/>
    <w:rsid w:val="0051460B"/>
    <w:rsid w:val="005149E0"/>
    <w:rsid w:val="00514F9D"/>
    <w:rsid w:val="00516561"/>
    <w:rsid w:val="00523E4E"/>
    <w:rsid w:val="00525CFD"/>
    <w:rsid w:val="005302A6"/>
    <w:rsid w:val="00530D7C"/>
    <w:rsid w:val="0053279D"/>
    <w:rsid w:val="00532AEE"/>
    <w:rsid w:val="00532CB7"/>
    <w:rsid w:val="00532EEF"/>
    <w:rsid w:val="00533A7D"/>
    <w:rsid w:val="00533E9F"/>
    <w:rsid w:val="0053548C"/>
    <w:rsid w:val="00536311"/>
    <w:rsid w:val="00536C46"/>
    <w:rsid w:val="00536E30"/>
    <w:rsid w:val="00537BC8"/>
    <w:rsid w:val="005418CB"/>
    <w:rsid w:val="0054365B"/>
    <w:rsid w:val="00544F0A"/>
    <w:rsid w:val="005451A5"/>
    <w:rsid w:val="005465B5"/>
    <w:rsid w:val="0054740C"/>
    <w:rsid w:val="00547D2D"/>
    <w:rsid w:val="0055169A"/>
    <w:rsid w:val="00553B63"/>
    <w:rsid w:val="00553C23"/>
    <w:rsid w:val="00553E9D"/>
    <w:rsid w:val="00553FE4"/>
    <w:rsid w:val="00555858"/>
    <w:rsid w:val="00556075"/>
    <w:rsid w:val="00556837"/>
    <w:rsid w:val="00560142"/>
    <w:rsid w:val="00560894"/>
    <w:rsid w:val="00561A5E"/>
    <w:rsid w:val="0056523B"/>
    <w:rsid w:val="00567004"/>
    <w:rsid w:val="00571126"/>
    <w:rsid w:val="005725A6"/>
    <w:rsid w:val="00572B14"/>
    <w:rsid w:val="005734AB"/>
    <w:rsid w:val="005766CC"/>
    <w:rsid w:val="005817AB"/>
    <w:rsid w:val="00582806"/>
    <w:rsid w:val="005842DD"/>
    <w:rsid w:val="00584E4C"/>
    <w:rsid w:val="00585F98"/>
    <w:rsid w:val="00590F96"/>
    <w:rsid w:val="0059146F"/>
    <w:rsid w:val="005915D7"/>
    <w:rsid w:val="00592F9F"/>
    <w:rsid w:val="00593D2C"/>
    <w:rsid w:val="00594C2D"/>
    <w:rsid w:val="005959FA"/>
    <w:rsid w:val="00596E36"/>
    <w:rsid w:val="00597D5A"/>
    <w:rsid w:val="005A1157"/>
    <w:rsid w:val="005A202E"/>
    <w:rsid w:val="005A2CE1"/>
    <w:rsid w:val="005A2D73"/>
    <w:rsid w:val="005A3C0B"/>
    <w:rsid w:val="005A42C0"/>
    <w:rsid w:val="005A69E3"/>
    <w:rsid w:val="005A7AE4"/>
    <w:rsid w:val="005B084A"/>
    <w:rsid w:val="005B0FBC"/>
    <w:rsid w:val="005B11ED"/>
    <w:rsid w:val="005B1203"/>
    <w:rsid w:val="005B1768"/>
    <w:rsid w:val="005B2B2F"/>
    <w:rsid w:val="005B4732"/>
    <w:rsid w:val="005B5654"/>
    <w:rsid w:val="005B63C5"/>
    <w:rsid w:val="005B6558"/>
    <w:rsid w:val="005B6576"/>
    <w:rsid w:val="005B6A83"/>
    <w:rsid w:val="005B6E26"/>
    <w:rsid w:val="005B7F25"/>
    <w:rsid w:val="005C215F"/>
    <w:rsid w:val="005C272B"/>
    <w:rsid w:val="005C2AAD"/>
    <w:rsid w:val="005C2DCD"/>
    <w:rsid w:val="005C37C5"/>
    <w:rsid w:val="005C5C75"/>
    <w:rsid w:val="005C72D5"/>
    <w:rsid w:val="005D0D4C"/>
    <w:rsid w:val="005D14E5"/>
    <w:rsid w:val="005D2227"/>
    <w:rsid w:val="005D22BA"/>
    <w:rsid w:val="005D3F38"/>
    <w:rsid w:val="005D6F20"/>
    <w:rsid w:val="005E252C"/>
    <w:rsid w:val="005E3E39"/>
    <w:rsid w:val="005E6731"/>
    <w:rsid w:val="005F17C0"/>
    <w:rsid w:val="005F21EB"/>
    <w:rsid w:val="005F58CD"/>
    <w:rsid w:val="005F7E37"/>
    <w:rsid w:val="00600D11"/>
    <w:rsid w:val="00601D11"/>
    <w:rsid w:val="00604B6E"/>
    <w:rsid w:val="00604BA6"/>
    <w:rsid w:val="00604C8F"/>
    <w:rsid w:val="00605847"/>
    <w:rsid w:val="00612839"/>
    <w:rsid w:val="006131BD"/>
    <w:rsid w:val="00613574"/>
    <w:rsid w:val="00613A3A"/>
    <w:rsid w:val="006144E9"/>
    <w:rsid w:val="00614B50"/>
    <w:rsid w:val="00614CFC"/>
    <w:rsid w:val="00615DFB"/>
    <w:rsid w:val="00615EF7"/>
    <w:rsid w:val="006216C4"/>
    <w:rsid w:val="00621DA1"/>
    <w:rsid w:val="00622B12"/>
    <w:rsid w:val="00626ED6"/>
    <w:rsid w:val="00631435"/>
    <w:rsid w:val="00632BB0"/>
    <w:rsid w:val="00632ED8"/>
    <w:rsid w:val="00633736"/>
    <w:rsid w:val="00633C8B"/>
    <w:rsid w:val="00634ABF"/>
    <w:rsid w:val="006361A9"/>
    <w:rsid w:val="00641469"/>
    <w:rsid w:val="00641728"/>
    <w:rsid w:val="00642010"/>
    <w:rsid w:val="00643908"/>
    <w:rsid w:val="00644C0B"/>
    <w:rsid w:val="0064733B"/>
    <w:rsid w:val="00651028"/>
    <w:rsid w:val="00652A4E"/>
    <w:rsid w:val="00653294"/>
    <w:rsid w:val="0065359B"/>
    <w:rsid w:val="00653D83"/>
    <w:rsid w:val="00653FEE"/>
    <w:rsid w:val="006543D5"/>
    <w:rsid w:val="00655A0A"/>
    <w:rsid w:val="00660CE7"/>
    <w:rsid w:val="00661B09"/>
    <w:rsid w:val="006637B3"/>
    <w:rsid w:val="00665D18"/>
    <w:rsid w:val="00666041"/>
    <w:rsid w:val="006663F3"/>
    <w:rsid w:val="006663F6"/>
    <w:rsid w:val="006666D4"/>
    <w:rsid w:val="00670CEF"/>
    <w:rsid w:val="00673465"/>
    <w:rsid w:val="00673F57"/>
    <w:rsid w:val="006764A3"/>
    <w:rsid w:val="00685205"/>
    <w:rsid w:val="0068528F"/>
    <w:rsid w:val="00685936"/>
    <w:rsid w:val="0069061A"/>
    <w:rsid w:val="00691A79"/>
    <w:rsid w:val="00692B46"/>
    <w:rsid w:val="00693FF6"/>
    <w:rsid w:val="00695FE7"/>
    <w:rsid w:val="006A2251"/>
    <w:rsid w:val="006A4F4D"/>
    <w:rsid w:val="006B00FB"/>
    <w:rsid w:val="006B0CA0"/>
    <w:rsid w:val="006B1278"/>
    <w:rsid w:val="006B184E"/>
    <w:rsid w:val="006B2E7A"/>
    <w:rsid w:val="006B6E8A"/>
    <w:rsid w:val="006B7273"/>
    <w:rsid w:val="006B76B6"/>
    <w:rsid w:val="006C6616"/>
    <w:rsid w:val="006D02CC"/>
    <w:rsid w:val="006D07BA"/>
    <w:rsid w:val="006D1EF8"/>
    <w:rsid w:val="006D2877"/>
    <w:rsid w:val="006D58CF"/>
    <w:rsid w:val="006D593E"/>
    <w:rsid w:val="006D620C"/>
    <w:rsid w:val="006E1804"/>
    <w:rsid w:val="006E2981"/>
    <w:rsid w:val="006F05C5"/>
    <w:rsid w:val="006F3D1A"/>
    <w:rsid w:val="006F5226"/>
    <w:rsid w:val="006F6BE8"/>
    <w:rsid w:val="006F7158"/>
    <w:rsid w:val="006F7DB7"/>
    <w:rsid w:val="00700C91"/>
    <w:rsid w:val="0070339A"/>
    <w:rsid w:val="00703F28"/>
    <w:rsid w:val="00704A43"/>
    <w:rsid w:val="007072D7"/>
    <w:rsid w:val="00707709"/>
    <w:rsid w:val="00711D58"/>
    <w:rsid w:val="00712116"/>
    <w:rsid w:val="00715CED"/>
    <w:rsid w:val="00715D41"/>
    <w:rsid w:val="00716627"/>
    <w:rsid w:val="0071717A"/>
    <w:rsid w:val="0072135C"/>
    <w:rsid w:val="007213E3"/>
    <w:rsid w:val="00721C99"/>
    <w:rsid w:val="0072449D"/>
    <w:rsid w:val="00731BC8"/>
    <w:rsid w:val="00732CCD"/>
    <w:rsid w:val="007355DA"/>
    <w:rsid w:val="007356ED"/>
    <w:rsid w:val="007360A5"/>
    <w:rsid w:val="0074032F"/>
    <w:rsid w:val="00742405"/>
    <w:rsid w:val="00744DAC"/>
    <w:rsid w:val="00746610"/>
    <w:rsid w:val="0075292B"/>
    <w:rsid w:val="00752967"/>
    <w:rsid w:val="007532AE"/>
    <w:rsid w:val="00753889"/>
    <w:rsid w:val="00755B94"/>
    <w:rsid w:val="0075773C"/>
    <w:rsid w:val="007606EB"/>
    <w:rsid w:val="00765303"/>
    <w:rsid w:val="00765705"/>
    <w:rsid w:val="00765740"/>
    <w:rsid w:val="007676D1"/>
    <w:rsid w:val="00770ADC"/>
    <w:rsid w:val="00770FC1"/>
    <w:rsid w:val="00771D54"/>
    <w:rsid w:val="007723C6"/>
    <w:rsid w:val="007737EC"/>
    <w:rsid w:val="0077513A"/>
    <w:rsid w:val="0077631C"/>
    <w:rsid w:val="00777B90"/>
    <w:rsid w:val="00777E37"/>
    <w:rsid w:val="00777ED8"/>
    <w:rsid w:val="00777FCD"/>
    <w:rsid w:val="00780952"/>
    <w:rsid w:val="00780C32"/>
    <w:rsid w:val="007814A9"/>
    <w:rsid w:val="00787883"/>
    <w:rsid w:val="00790DF2"/>
    <w:rsid w:val="0079318C"/>
    <w:rsid w:val="00796025"/>
    <w:rsid w:val="00796EE0"/>
    <w:rsid w:val="00797293"/>
    <w:rsid w:val="007973AC"/>
    <w:rsid w:val="00797A08"/>
    <w:rsid w:val="00797CA0"/>
    <w:rsid w:val="007A03E0"/>
    <w:rsid w:val="007A1C43"/>
    <w:rsid w:val="007A2421"/>
    <w:rsid w:val="007B2894"/>
    <w:rsid w:val="007B3921"/>
    <w:rsid w:val="007B4FA7"/>
    <w:rsid w:val="007B5DB5"/>
    <w:rsid w:val="007B6B47"/>
    <w:rsid w:val="007C1B02"/>
    <w:rsid w:val="007C736D"/>
    <w:rsid w:val="007C7B93"/>
    <w:rsid w:val="007D063C"/>
    <w:rsid w:val="007D3AF2"/>
    <w:rsid w:val="007D4D1F"/>
    <w:rsid w:val="007D53F2"/>
    <w:rsid w:val="007D5963"/>
    <w:rsid w:val="007D63C8"/>
    <w:rsid w:val="007D7DC2"/>
    <w:rsid w:val="007E052E"/>
    <w:rsid w:val="007E0A44"/>
    <w:rsid w:val="007E1973"/>
    <w:rsid w:val="007E3133"/>
    <w:rsid w:val="007E4B92"/>
    <w:rsid w:val="007E5FA8"/>
    <w:rsid w:val="007E7C42"/>
    <w:rsid w:val="007F2558"/>
    <w:rsid w:val="007F293B"/>
    <w:rsid w:val="007F5101"/>
    <w:rsid w:val="007F680E"/>
    <w:rsid w:val="007F6BE7"/>
    <w:rsid w:val="007F7FF8"/>
    <w:rsid w:val="00803885"/>
    <w:rsid w:val="00805A83"/>
    <w:rsid w:val="00806BAE"/>
    <w:rsid w:val="00806C17"/>
    <w:rsid w:val="00806E27"/>
    <w:rsid w:val="00807A2B"/>
    <w:rsid w:val="008109E6"/>
    <w:rsid w:val="00810EA2"/>
    <w:rsid w:val="00817800"/>
    <w:rsid w:val="00817EFD"/>
    <w:rsid w:val="0082011B"/>
    <w:rsid w:val="008211CD"/>
    <w:rsid w:val="00822A17"/>
    <w:rsid w:val="00824C3C"/>
    <w:rsid w:val="00825DAF"/>
    <w:rsid w:val="00825E77"/>
    <w:rsid w:val="008270AC"/>
    <w:rsid w:val="008343B2"/>
    <w:rsid w:val="008345FC"/>
    <w:rsid w:val="008355CA"/>
    <w:rsid w:val="008365D1"/>
    <w:rsid w:val="00842D0E"/>
    <w:rsid w:val="00844BD1"/>
    <w:rsid w:val="00844F2A"/>
    <w:rsid w:val="00845E53"/>
    <w:rsid w:val="0084650F"/>
    <w:rsid w:val="008469EB"/>
    <w:rsid w:val="00850EC9"/>
    <w:rsid w:val="008513A6"/>
    <w:rsid w:val="0085264A"/>
    <w:rsid w:val="00852A68"/>
    <w:rsid w:val="00853AD8"/>
    <w:rsid w:val="008568DF"/>
    <w:rsid w:val="008619A7"/>
    <w:rsid w:val="0086295C"/>
    <w:rsid w:val="0086397B"/>
    <w:rsid w:val="00864376"/>
    <w:rsid w:val="008644DD"/>
    <w:rsid w:val="008657DD"/>
    <w:rsid w:val="00867467"/>
    <w:rsid w:val="00867DE5"/>
    <w:rsid w:val="00867E6D"/>
    <w:rsid w:val="00870349"/>
    <w:rsid w:val="00870D42"/>
    <w:rsid w:val="00871230"/>
    <w:rsid w:val="00873BE7"/>
    <w:rsid w:val="00874BBE"/>
    <w:rsid w:val="008758FE"/>
    <w:rsid w:val="00876166"/>
    <w:rsid w:val="0087752D"/>
    <w:rsid w:val="00877A16"/>
    <w:rsid w:val="00881C87"/>
    <w:rsid w:val="008841F7"/>
    <w:rsid w:val="008847B8"/>
    <w:rsid w:val="00884A01"/>
    <w:rsid w:val="008853F9"/>
    <w:rsid w:val="00886BC2"/>
    <w:rsid w:val="00887E6D"/>
    <w:rsid w:val="008901BE"/>
    <w:rsid w:val="00890761"/>
    <w:rsid w:val="0089107D"/>
    <w:rsid w:val="008927AF"/>
    <w:rsid w:val="008935F1"/>
    <w:rsid w:val="008942F3"/>
    <w:rsid w:val="0089466C"/>
    <w:rsid w:val="008A1BDB"/>
    <w:rsid w:val="008A24BA"/>
    <w:rsid w:val="008A4342"/>
    <w:rsid w:val="008A43D8"/>
    <w:rsid w:val="008A4EFD"/>
    <w:rsid w:val="008A6312"/>
    <w:rsid w:val="008A6FDC"/>
    <w:rsid w:val="008A7269"/>
    <w:rsid w:val="008A7938"/>
    <w:rsid w:val="008B3059"/>
    <w:rsid w:val="008B381B"/>
    <w:rsid w:val="008B3D48"/>
    <w:rsid w:val="008B6508"/>
    <w:rsid w:val="008B7534"/>
    <w:rsid w:val="008C1414"/>
    <w:rsid w:val="008C1AAB"/>
    <w:rsid w:val="008C1EDB"/>
    <w:rsid w:val="008C22D4"/>
    <w:rsid w:val="008C23FF"/>
    <w:rsid w:val="008C7648"/>
    <w:rsid w:val="008C79F2"/>
    <w:rsid w:val="008D2B7D"/>
    <w:rsid w:val="008D3DAF"/>
    <w:rsid w:val="008D51C5"/>
    <w:rsid w:val="008D575D"/>
    <w:rsid w:val="008E319F"/>
    <w:rsid w:val="008E721F"/>
    <w:rsid w:val="008E7A81"/>
    <w:rsid w:val="008F0EE4"/>
    <w:rsid w:val="008F1956"/>
    <w:rsid w:val="008F19D0"/>
    <w:rsid w:val="008F2D6C"/>
    <w:rsid w:val="008F4735"/>
    <w:rsid w:val="008F5C7A"/>
    <w:rsid w:val="008F5E6B"/>
    <w:rsid w:val="008F699F"/>
    <w:rsid w:val="00900ABE"/>
    <w:rsid w:val="009010B3"/>
    <w:rsid w:val="00902CBA"/>
    <w:rsid w:val="00903378"/>
    <w:rsid w:val="0090613E"/>
    <w:rsid w:val="009065A9"/>
    <w:rsid w:val="00906FC0"/>
    <w:rsid w:val="009105F6"/>
    <w:rsid w:val="00912773"/>
    <w:rsid w:val="00912D75"/>
    <w:rsid w:val="009134AC"/>
    <w:rsid w:val="009153C1"/>
    <w:rsid w:val="0092039F"/>
    <w:rsid w:val="00921691"/>
    <w:rsid w:val="00924718"/>
    <w:rsid w:val="00926C36"/>
    <w:rsid w:val="00927884"/>
    <w:rsid w:val="0093036E"/>
    <w:rsid w:val="009311EE"/>
    <w:rsid w:val="009327F4"/>
    <w:rsid w:val="00936FE3"/>
    <w:rsid w:val="0094205E"/>
    <w:rsid w:val="0094548F"/>
    <w:rsid w:val="00945DA4"/>
    <w:rsid w:val="009509BB"/>
    <w:rsid w:val="00952B4A"/>
    <w:rsid w:val="00953084"/>
    <w:rsid w:val="00953747"/>
    <w:rsid w:val="0095500C"/>
    <w:rsid w:val="009555F3"/>
    <w:rsid w:val="00955B13"/>
    <w:rsid w:val="0095776A"/>
    <w:rsid w:val="009603A5"/>
    <w:rsid w:val="00961C4A"/>
    <w:rsid w:val="00962CBB"/>
    <w:rsid w:val="00965800"/>
    <w:rsid w:val="0096630D"/>
    <w:rsid w:val="00967A11"/>
    <w:rsid w:val="009728A5"/>
    <w:rsid w:val="00974117"/>
    <w:rsid w:val="00974784"/>
    <w:rsid w:val="00976185"/>
    <w:rsid w:val="00976A23"/>
    <w:rsid w:val="009776E4"/>
    <w:rsid w:val="0098013E"/>
    <w:rsid w:val="009815FD"/>
    <w:rsid w:val="0098240A"/>
    <w:rsid w:val="0098571D"/>
    <w:rsid w:val="00990A74"/>
    <w:rsid w:val="0099135F"/>
    <w:rsid w:val="009924B9"/>
    <w:rsid w:val="00992DA2"/>
    <w:rsid w:val="0099385B"/>
    <w:rsid w:val="00995BF2"/>
    <w:rsid w:val="009978D3"/>
    <w:rsid w:val="009A0570"/>
    <w:rsid w:val="009A11A4"/>
    <w:rsid w:val="009A2803"/>
    <w:rsid w:val="009A4836"/>
    <w:rsid w:val="009A5BA0"/>
    <w:rsid w:val="009B0B9E"/>
    <w:rsid w:val="009B1520"/>
    <w:rsid w:val="009B4D57"/>
    <w:rsid w:val="009B4FC7"/>
    <w:rsid w:val="009B5049"/>
    <w:rsid w:val="009B68F4"/>
    <w:rsid w:val="009B6A19"/>
    <w:rsid w:val="009B6A6F"/>
    <w:rsid w:val="009B726D"/>
    <w:rsid w:val="009B7753"/>
    <w:rsid w:val="009C190E"/>
    <w:rsid w:val="009C1FCD"/>
    <w:rsid w:val="009C4BC5"/>
    <w:rsid w:val="009C6102"/>
    <w:rsid w:val="009C68AF"/>
    <w:rsid w:val="009C7D06"/>
    <w:rsid w:val="009D0026"/>
    <w:rsid w:val="009D09ED"/>
    <w:rsid w:val="009D3FDF"/>
    <w:rsid w:val="009D50F4"/>
    <w:rsid w:val="009D7D18"/>
    <w:rsid w:val="009E0B76"/>
    <w:rsid w:val="009E137B"/>
    <w:rsid w:val="009E1CCB"/>
    <w:rsid w:val="009E7180"/>
    <w:rsid w:val="009E72CD"/>
    <w:rsid w:val="009E74B7"/>
    <w:rsid w:val="009F0FFF"/>
    <w:rsid w:val="009F1128"/>
    <w:rsid w:val="009F1A7D"/>
    <w:rsid w:val="009F35E1"/>
    <w:rsid w:val="009F3F05"/>
    <w:rsid w:val="009F431B"/>
    <w:rsid w:val="009F462B"/>
    <w:rsid w:val="009F4DD1"/>
    <w:rsid w:val="009F563C"/>
    <w:rsid w:val="009F78F6"/>
    <w:rsid w:val="009F7C08"/>
    <w:rsid w:val="00A00F65"/>
    <w:rsid w:val="00A01A67"/>
    <w:rsid w:val="00A07E31"/>
    <w:rsid w:val="00A10948"/>
    <w:rsid w:val="00A119D8"/>
    <w:rsid w:val="00A11C04"/>
    <w:rsid w:val="00A13BBB"/>
    <w:rsid w:val="00A153A0"/>
    <w:rsid w:val="00A16E4E"/>
    <w:rsid w:val="00A21B97"/>
    <w:rsid w:val="00A234D1"/>
    <w:rsid w:val="00A25208"/>
    <w:rsid w:val="00A26B0D"/>
    <w:rsid w:val="00A30CFA"/>
    <w:rsid w:val="00A31449"/>
    <w:rsid w:val="00A32026"/>
    <w:rsid w:val="00A33B54"/>
    <w:rsid w:val="00A34BEA"/>
    <w:rsid w:val="00A35019"/>
    <w:rsid w:val="00A351C3"/>
    <w:rsid w:val="00A352CD"/>
    <w:rsid w:val="00A35D54"/>
    <w:rsid w:val="00A375D5"/>
    <w:rsid w:val="00A40341"/>
    <w:rsid w:val="00A42171"/>
    <w:rsid w:val="00A43D62"/>
    <w:rsid w:val="00A44CF1"/>
    <w:rsid w:val="00A4540A"/>
    <w:rsid w:val="00A50017"/>
    <w:rsid w:val="00A512F4"/>
    <w:rsid w:val="00A520F0"/>
    <w:rsid w:val="00A53601"/>
    <w:rsid w:val="00A545E9"/>
    <w:rsid w:val="00A54FE6"/>
    <w:rsid w:val="00A565FF"/>
    <w:rsid w:val="00A612BA"/>
    <w:rsid w:val="00A613AA"/>
    <w:rsid w:val="00A62D78"/>
    <w:rsid w:val="00A62E68"/>
    <w:rsid w:val="00A658A0"/>
    <w:rsid w:val="00A702C7"/>
    <w:rsid w:val="00A70458"/>
    <w:rsid w:val="00A71219"/>
    <w:rsid w:val="00A71E0F"/>
    <w:rsid w:val="00A71EE8"/>
    <w:rsid w:val="00A721DE"/>
    <w:rsid w:val="00A721F7"/>
    <w:rsid w:val="00A750F8"/>
    <w:rsid w:val="00A81181"/>
    <w:rsid w:val="00A8284D"/>
    <w:rsid w:val="00A8377D"/>
    <w:rsid w:val="00A83D5E"/>
    <w:rsid w:val="00A863DC"/>
    <w:rsid w:val="00A90491"/>
    <w:rsid w:val="00A90B1D"/>
    <w:rsid w:val="00A91222"/>
    <w:rsid w:val="00A936EA"/>
    <w:rsid w:val="00AA2293"/>
    <w:rsid w:val="00AA22FF"/>
    <w:rsid w:val="00AB0C8D"/>
    <w:rsid w:val="00AB2112"/>
    <w:rsid w:val="00AB5A8D"/>
    <w:rsid w:val="00AB67C7"/>
    <w:rsid w:val="00AB764F"/>
    <w:rsid w:val="00AC177E"/>
    <w:rsid w:val="00AC44C2"/>
    <w:rsid w:val="00AC61C4"/>
    <w:rsid w:val="00AC65AC"/>
    <w:rsid w:val="00AC6ADF"/>
    <w:rsid w:val="00AD12C6"/>
    <w:rsid w:val="00AD2F9C"/>
    <w:rsid w:val="00AD32A0"/>
    <w:rsid w:val="00AD3CA8"/>
    <w:rsid w:val="00AD424B"/>
    <w:rsid w:val="00AD66F7"/>
    <w:rsid w:val="00AD6DE0"/>
    <w:rsid w:val="00AD70E5"/>
    <w:rsid w:val="00AD7F9A"/>
    <w:rsid w:val="00AE0D21"/>
    <w:rsid w:val="00AE265B"/>
    <w:rsid w:val="00AE2A37"/>
    <w:rsid w:val="00AE34F4"/>
    <w:rsid w:val="00AE6CCD"/>
    <w:rsid w:val="00AE7E62"/>
    <w:rsid w:val="00AF0CEA"/>
    <w:rsid w:val="00AF435D"/>
    <w:rsid w:val="00AF52C7"/>
    <w:rsid w:val="00AF5ABA"/>
    <w:rsid w:val="00B000A5"/>
    <w:rsid w:val="00B03F37"/>
    <w:rsid w:val="00B054EA"/>
    <w:rsid w:val="00B10860"/>
    <w:rsid w:val="00B12688"/>
    <w:rsid w:val="00B1373B"/>
    <w:rsid w:val="00B1459F"/>
    <w:rsid w:val="00B14FB3"/>
    <w:rsid w:val="00B158F0"/>
    <w:rsid w:val="00B16658"/>
    <w:rsid w:val="00B1698C"/>
    <w:rsid w:val="00B1770B"/>
    <w:rsid w:val="00B17E95"/>
    <w:rsid w:val="00B24B5B"/>
    <w:rsid w:val="00B2546C"/>
    <w:rsid w:val="00B26845"/>
    <w:rsid w:val="00B271D1"/>
    <w:rsid w:val="00B2791A"/>
    <w:rsid w:val="00B27C5A"/>
    <w:rsid w:val="00B27E8E"/>
    <w:rsid w:val="00B30361"/>
    <w:rsid w:val="00B31D7F"/>
    <w:rsid w:val="00B31F84"/>
    <w:rsid w:val="00B32065"/>
    <w:rsid w:val="00B3251B"/>
    <w:rsid w:val="00B331D1"/>
    <w:rsid w:val="00B33676"/>
    <w:rsid w:val="00B34398"/>
    <w:rsid w:val="00B36287"/>
    <w:rsid w:val="00B41A2D"/>
    <w:rsid w:val="00B42343"/>
    <w:rsid w:val="00B4252A"/>
    <w:rsid w:val="00B4280A"/>
    <w:rsid w:val="00B44518"/>
    <w:rsid w:val="00B46B43"/>
    <w:rsid w:val="00B5019B"/>
    <w:rsid w:val="00B5061D"/>
    <w:rsid w:val="00B52B65"/>
    <w:rsid w:val="00B554BF"/>
    <w:rsid w:val="00B5558A"/>
    <w:rsid w:val="00B60DE9"/>
    <w:rsid w:val="00B60F64"/>
    <w:rsid w:val="00B61595"/>
    <w:rsid w:val="00B61E58"/>
    <w:rsid w:val="00B63B1D"/>
    <w:rsid w:val="00B64B6B"/>
    <w:rsid w:val="00B66C95"/>
    <w:rsid w:val="00B74AE9"/>
    <w:rsid w:val="00B75192"/>
    <w:rsid w:val="00B75215"/>
    <w:rsid w:val="00B80933"/>
    <w:rsid w:val="00B80CD9"/>
    <w:rsid w:val="00B81EF5"/>
    <w:rsid w:val="00B864DB"/>
    <w:rsid w:val="00B93020"/>
    <w:rsid w:val="00B9329D"/>
    <w:rsid w:val="00B94FFF"/>
    <w:rsid w:val="00B95E93"/>
    <w:rsid w:val="00B95FA3"/>
    <w:rsid w:val="00BA1FC0"/>
    <w:rsid w:val="00BA4200"/>
    <w:rsid w:val="00BA59F8"/>
    <w:rsid w:val="00BA6EB4"/>
    <w:rsid w:val="00BB0F6D"/>
    <w:rsid w:val="00BB18A7"/>
    <w:rsid w:val="00BB393A"/>
    <w:rsid w:val="00BB4ADC"/>
    <w:rsid w:val="00BB74A9"/>
    <w:rsid w:val="00BB76CD"/>
    <w:rsid w:val="00BC051B"/>
    <w:rsid w:val="00BC0BD5"/>
    <w:rsid w:val="00BC176A"/>
    <w:rsid w:val="00BC1BFD"/>
    <w:rsid w:val="00BC1F80"/>
    <w:rsid w:val="00BC2974"/>
    <w:rsid w:val="00BC56B6"/>
    <w:rsid w:val="00BD0A9E"/>
    <w:rsid w:val="00BD2AC0"/>
    <w:rsid w:val="00BD372B"/>
    <w:rsid w:val="00BD6F3A"/>
    <w:rsid w:val="00BD77DC"/>
    <w:rsid w:val="00BD7DBF"/>
    <w:rsid w:val="00BE2FDB"/>
    <w:rsid w:val="00BE4C91"/>
    <w:rsid w:val="00BE6C10"/>
    <w:rsid w:val="00BF056E"/>
    <w:rsid w:val="00BF0FEE"/>
    <w:rsid w:val="00BF1A90"/>
    <w:rsid w:val="00BF2B07"/>
    <w:rsid w:val="00BF30B0"/>
    <w:rsid w:val="00BF30C5"/>
    <w:rsid w:val="00BF30E3"/>
    <w:rsid w:val="00BF59F7"/>
    <w:rsid w:val="00BF5DB3"/>
    <w:rsid w:val="00BF78B2"/>
    <w:rsid w:val="00BF79F5"/>
    <w:rsid w:val="00C0065A"/>
    <w:rsid w:val="00C01491"/>
    <w:rsid w:val="00C018C0"/>
    <w:rsid w:val="00C048BE"/>
    <w:rsid w:val="00C05AB2"/>
    <w:rsid w:val="00C06A96"/>
    <w:rsid w:val="00C10230"/>
    <w:rsid w:val="00C103B1"/>
    <w:rsid w:val="00C10605"/>
    <w:rsid w:val="00C10DC2"/>
    <w:rsid w:val="00C119D6"/>
    <w:rsid w:val="00C11C12"/>
    <w:rsid w:val="00C122D9"/>
    <w:rsid w:val="00C13D8C"/>
    <w:rsid w:val="00C15857"/>
    <w:rsid w:val="00C15DB8"/>
    <w:rsid w:val="00C17121"/>
    <w:rsid w:val="00C174B9"/>
    <w:rsid w:val="00C20068"/>
    <w:rsid w:val="00C21187"/>
    <w:rsid w:val="00C23BEE"/>
    <w:rsid w:val="00C2424F"/>
    <w:rsid w:val="00C2495D"/>
    <w:rsid w:val="00C25118"/>
    <w:rsid w:val="00C269FF"/>
    <w:rsid w:val="00C3109F"/>
    <w:rsid w:val="00C31A64"/>
    <w:rsid w:val="00C33110"/>
    <w:rsid w:val="00C34003"/>
    <w:rsid w:val="00C355E5"/>
    <w:rsid w:val="00C40EE5"/>
    <w:rsid w:val="00C41D09"/>
    <w:rsid w:val="00C4338F"/>
    <w:rsid w:val="00C43D3F"/>
    <w:rsid w:val="00C43EAB"/>
    <w:rsid w:val="00C4473F"/>
    <w:rsid w:val="00C44EF9"/>
    <w:rsid w:val="00C46940"/>
    <w:rsid w:val="00C5163E"/>
    <w:rsid w:val="00C52A84"/>
    <w:rsid w:val="00C5375F"/>
    <w:rsid w:val="00C5380D"/>
    <w:rsid w:val="00C548B9"/>
    <w:rsid w:val="00C568ED"/>
    <w:rsid w:val="00C57D8E"/>
    <w:rsid w:val="00C61F6A"/>
    <w:rsid w:val="00C62027"/>
    <w:rsid w:val="00C629B3"/>
    <w:rsid w:val="00C6416C"/>
    <w:rsid w:val="00C64248"/>
    <w:rsid w:val="00C64C0F"/>
    <w:rsid w:val="00C654F2"/>
    <w:rsid w:val="00C65C69"/>
    <w:rsid w:val="00C670F0"/>
    <w:rsid w:val="00C67249"/>
    <w:rsid w:val="00C727A4"/>
    <w:rsid w:val="00C73103"/>
    <w:rsid w:val="00C7376A"/>
    <w:rsid w:val="00C7470C"/>
    <w:rsid w:val="00C777D8"/>
    <w:rsid w:val="00C81E2C"/>
    <w:rsid w:val="00C825D3"/>
    <w:rsid w:val="00C82810"/>
    <w:rsid w:val="00C82B62"/>
    <w:rsid w:val="00C850E3"/>
    <w:rsid w:val="00C874E4"/>
    <w:rsid w:val="00C90C11"/>
    <w:rsid w:val="00C90E62"/>
    <w:rsid w:val="00C920E9"/>
    <w:rsid w:val="00C93CC4"/>
    <w:rsid w:val="00C96659"/>
    <w:rsid w:val="00C96ED5"/>
    <w:rsid w:val="00CA09BC"/>
    <w:rsid w:val="00CA5592"/>
    <w:rsid w:val="00CB01C0"/>
    <w:rsid w:val="00CB1F79"/>
    <w:rsid w:val="00CB3467"/>
    <w:rsid w:val="00CB489E"/>
    <w:rsid w:val="00CB54A5"/>
    <w:rsid w:val="00CB5FEC"/>
    <w:rsid w:val="00CB7196"/>
    <w:rsid w:val="00CB725D"/>
    <w:rsid w:val="00CC1E7A"/>
    <w:rsid w:val="00CC2E63"/>
    <w:rsid w:val="00CC467E"/>
    <w:rsid w:val="00CC55E3"/>
    <w:rsid w:val="00CC6570"/>
    <w:rsid w:val="00CC6C8E"/>
    <w:rsid w:val="00CC7518"/>
    <w:rsid w:val="00CD107B"/>
    <w:rsid w:val="00CD5ADD"/>
    <w:rsid w:val="00CD686B"/>
    <w:rsid w:val="00CD70B4"/>
    <w:rsid w:val="00CE0AB0"/>
    <w:rsid w:val="00CE18BD"/>
    <w:rsid w:val="00CE25EC"/>
    <w:rsid w:val="00CE3104"/>
    <w:rsid w:val="00CE3AC4"/>
    <w:rsid w:val="00CE5FD4"/>
    <w:rsid w:val="00CE6BBD"/>
    <w:rsid w:val="00CE6D14"/>
    <w:rsid w:val="00CE6EF4"/>
    <w:rsid w:val="00CF0F59"/>
    <w:rsid w:val="00CF2633"/>
    <w:rsid w:val="00CF3CEA"/>
    <w:rsid w:val="00CF6B83"/>
    <w:rsid w:val="00CF7061"/>
    <w:rsid w:val="00D0097D"/>
    <w:rsid w:val="00D00BC7"/>
    <w:rsid w:val="00D02167"/>
    <w:rsid w:val="00D02CF4"/>
    <w:rsid w:val="00D0459E"/>
    <w:rsid w:val="00D0504C"/>
    <w:rsid w:val="00D07F27"/>
    <w:rsid w:val="00D10463"/>
    <w:rsid w:val="00D11B0D"/>
    <w:rsid w:val="00D22022"/>
    <w:rsid w:val="00D237F6"/>
    <w:rsid w:val="00D24514"/>
    <w:rsid w:val="00D268AB"/>
    <w:rsid w:val="00D271B5"/>
    <w:rsid w:val="00D30DE1"/>
    <w:rsid w:val="00D31A6B"/>
    <w:rsid w:val="00D32ABE"/>
    <w:rsid w:val="00D361F4"/>
    <w:rsid w:val="00D40EAF"/>
    <w:rsid w:val="00D5041E"/>
    <w:rsid w:val="00D50642"/>
    <w:rsid w:val="00D5211E"/>
    <w:rsid w:val="00D5330B"/>
    <w:rsid w:val="00D54563"/>
    <w:rsid w:val="00D54787"/>
    <w:rsid w:val="00D57411"/>
    <w:rsid w:val="00D620C8"/>
    <w:rsid w:val="00D63189"/>
    <w:rsid w:val="00D66A52"/>
    <w:rsid w:val="00D7252D"/>
    <w:rsid w:val="00D74084"/>
    <w:rsid w:val="00D746B2"/>
    <w:rsid w:val="00D77C1F"/>
    <w:rsid w:val="00D80508"/>
    <w:rsid w:val="00D8094E"/>
    <w:rsid w:val="00D81018"/>
    <w:rsid w:val="00D83D18"/>
    <w:rsid w:val="00D85DAB"/>
    <w:rsid w:val="00D87605"/>
    <w:rsid w:val="00D91EBF"/>
    <w:rsid w:val="00D9285D"/>
    <w:rsid w:val="00D93822"/>
    <w:rsid w:val="00D93886"/>
    <w:rsid w:val="00D9421B"/>
    <w:rsid w:val="00D97DD9"/>
    <w:rsid w:val="00DA0B3A"/>
    <w:rsid w:val="00DA27C0"/>
    <w:rsid w:val="00DA43BD"/>
    <w:rsid w:val="00DA56B8"/>
    <w:rsid w:val="00DB0CBA"/>
    <w:rsid w:val="00DB0EC1"/>
    <w:rsid w:val="00DB58F1"/>
    <w:rsid w:val="00DB5E5B"/>
    <w:rsid w:val="00DB6733"/>
    <w:rsid w:val="00DC01A1"/>
    <w:rsid w:val="00DC0505"/>
    <w:rsid w:val="00DC0678"/>
    <w:rsid w:val="00DD0E0F"/>
    <w:rsid w:val="00DD5518"/>
    <w:rsid w:val="00DD67BE"/>
    <w:rsid w:val="00DD6850"/>
    <w:rsid w:val="00DD69C3"/>
    <w:rsid w:val="00DD7795"/>
    <w:rsid w:val="00DE08E7"/>
    <w:rsid w:val="00DE4E88"/>
    <w:rsid w:val="00DE5708"/>
    <w:rsid w:val="00DF0A66"/>
    <w:rsid w:val="00DF2E73"/>
    <w:rsid w:val="00DF4EA7"/>
    <w:rsid w:val="00DF656D"/>
    <w:rsid w:val="00E0053F"/>
    <w:rsid w:val="00E014E2"/>
    <w:rsid w:val="00E0157A"/>
    <w:rsid w:val="00E0323E"/>
    <w:rsid w:val="00E06750"/>
    <w:rsid w:val="00E10015"/>
    <w:rsid w:val="00E1246C"/>
    <w:rsid w:val="00E14085"/>
    <w:rsid w:val="00E1438B"/>
    <w:rsid w:val="00E14AE1"/>
    <w:rsid w:val="00E17DB3"/>
    <w:rsid w:val="00E17F1A"/>
    <w:rsid w:val="00E20925"/>
    <w:rsid w:val="00E225DB"/>
    <w:rsid w:val="00E23E96"/>
    <w:rsid w:val="00E24570"/>
    <w:rsid w:val="00E25B6B"/>
    <w:rsid w:val="00E33535"/>
    <w:rsid w:val="00E37B2A"/>
    <w:rsid w:val="00E404BB"/>
    <w:rsid w:val="00E41916"/>
    <w:rsid w:val="00E4286C"/>
    <w:rsid w:val="00E43B9D"/>
    <w:rsid w:val="00E45A5B"/>
    <w:rsid w:val="00E4783F"/>
    <w:rsid w:val="00E509BF"/>
    <w:rsid w:val="00E50D50"/>
    <w:rsid w:val="00E51322"/>
    <w:rsid w:val="00E53211"/>
    <w:rsid w:val="00E54025"/>
    <w:rsid w:val="00E540E6"/>
    <w:rsid w:val="00E562BC"/>
    <w:rsid w:val="00E56651"/>
    <w:rsid w:val="00E56A19"/>
    <w:rsid w:val="00E60023"/>
    <w:rsid w:val="00E62ABE"/>
    <w:rsid w:val="00E63DDE"/>
    <w:rsid w:val="00E672C8"/>
    <w:rsid w:val="00E67F0A"/>
    <w:rsid w:val="00E71A2D"/>
    <w:rsid w:val="00E74478"/>
    <w:rsid w:val="00E747E1"/>
    <w:rsid w:val="00E74A63"/>
    <w:rsid w:val="00E74FA6"/>
    <w:rsid w:val="00E75EFD"/>
    <w:rsid w:val="00E81A47"/>
    <w:rsid w:val="00E8652A"/>
    <w:rsid w:val="00E86579"/>
    <w:rsid w:val="00E87CB5"/>
    <w:rsid w:val="00E9014B"/>
    <w:rsid w:val="00E932BB"/>
    <w:rsid w:val="00E943A5"/>
    <w:rsid w:val="00E95D31"/>
    <w:rsid w:val="00E97A86"/>
    <w:rsid w:val="00E97C2F"/>
    <w:rsid w:val="00EA042F"/>
    <w:rsid w:val="00EA0B96"/>
    <w:rsid w:val="00EA2295"/>
    <w:rsid w:val="00EA39F9"/>
    <w:rsid w:val="00EA5960"/>
    <w:rsid w:val="00EA60D7"/>
    <w:rsid w:val="00EA6CBA"/>
    <w:rsid w:val="00EA71D4"/>
    <w:rsid w:val="00EB13F5"/>
    <w:rsid w:val="00EB4602"/>
    <w:rsid w:val="00EB71E5"/>
    <w:rsid w:val="00EB7CD0"/>
    <w:rsid w:val="00EC03BD"/>
    <w:rsid w:val="00EC0795"/>
    <w:rsid w:val="00EC1DF1"/>
    <w:rsid w:val="00EC1ED7"/>
    <w:rsid w:val="00EC2F59"/>
    <w:rsid w:val="00EC64AF"/>
    <w:rsid w:val="00EC68E0"/>
    <w:rsid w:val="00EC73DC"/>
    <w:rsid w:val="00ED02A4"/>
    <w:rsid w:val="00ED0EBF"/>
    <w:rsid w:val="00ED60F8"/>
    <w:rsid w:val="00ED61FF"/>
    <w:rsid w:val="00EE240F"/>
    <w:rsid w:val="00EE7CF8"/>
    <w:rsid w:val="00EF364A"/>
    <w:rsid w:val="00EF3739"/>
    <w:rsid w:val="00EF3F49"/>
    <w:rsid w:val="00EF47FC"/>
    <w:rsid w:val="00EF494B"/>
    <w:rsid w:val="00EF4BA6"/>
    <w:rsid w:val="00EF5C90"/>
    <w:rsid w:val="00EF5FA2"/>
    <w:rsid w:val="00EF6A58"/>
    <w:rsid w:val="00F009E8"/>
    <w:rsid w:val="00F0220F"/>
    <w:rsid w:val="00F02413"/>
    <w:rsid w:val="00F04BB6"/>
    <w:rsid w:val="00F04F69"/>
    <w:rsid w:val="00F069E3"/>
    <w:rsid w:val="00F105F9"/>
    <w:rsid w:val="00F119BE"/>
    <w:rsid w:val="00F12852"/>
    <w:rsid w:val="00F12EC6"/>
    <w:rsid w:val="00F13E9E"/>
    <w:rsid w:val="00F14A2D"/>
    <w:rsid w:val="00F15315"/>
    <w:rsid w:val="00F175A5"/>
    <w:rsid w:val="00F21648"/>
    <w:rsid w:val="00F21CDD"/>
    <w:rsid w:val="00F22F31"/>
    <w:rsid w:val="00F2395C"/>
    <w:rsid w:val="00F275E7"/>
    <w:rsid w:val="00F309D9"/>
    <w:rsid w:val="00F345D5"/>
    <w:rsid w:val="00F36F7B"/>
    <w:rsid w:val="00F4084E"/>
    <w:rsid w:val="00F437B9"/>
    <w:rsid w:val="00F4464B"/>
    <w:rsid w:val="00F447CF"/>
    <w:rsid w:val="00F4537F"/>
    <w:rsid w:val="00F456EF"/>
    <w:rsid w:val="00F457D3"/>
    <w:rsid w:val="00F46A7D"/>
    <w:rsid w:val="00F505CD"/>
    <w:rsid w:val="00F562B6"/>
    <w:rsid w:val="00F60C0F"/>
    <w:rsid w:val="00F61AD4"/>
    <w:rsid w:val="00F61DC3"/>
    <w:rsid w:val="00F64AC6"/>
    <w:rsid w:val="00F65895"/>
    <w:rsid w:val="00F7109C"/>
    <w:rsid w:val="00F71660"/>
    <w:rsid w:val="00F733C8"/>
    <w:rsid w:val="00F74281"/>
    <w:rsid w:val="00F76343"/>
    <w:rsid w:val="00F80954"/>
    <w:rsid w:val="00F8124B"/>
    <w:rsid w:val="00F819A3"/>
    <w:rsid w:val="00F85679"/>
    <w:rsid w:val="00F91E92"/>
    <w:rsid w:val="00F9312E"/>
    <w:rsid w:val="00F951B8"/>
    <w:rsid w:val="00F958F7"/>
    <w:rsid w:val="00F96381"/>
    <w:rsid w:val="00F970D2"/>
    <w:rsid w:val="00FA1F84"/>
    <w:rsid w:val="00FA369A"/>
    <w:rsid w:val="00FA3973"/>
    <w:rsid w:val="00FA3F5F"/>
    <w:rsid w:val="00FA3FE4"/>
    <w:rsid w:val="00FA4B9C"/>
    <w:rsid w:val="00FA5170"/>
    <w:rsid w:val="00FA7A59"/>
    <w:rsid w:val="00FB2E97"/>
    <w:rsid w:val="00FC1808"/>
    <w:rsid w:val="00FC1B02"/>
    <w:rsid w:val="00FC3FAE"/>
    <w:rsid w:val="00FC5BD4"/>
    <w:rsid w:val="00FD02FD"/>
    <w:rsid w:val="00FD163F"/>
    <w:rsid w:val="00FD1F6B"/>
    <w:rsid w:val="00FD381F"/>
    <w:rsid w:val="00FD5F4A"/>
    <w:rsid w:val="00FE1800"/>
    <w:rsid w:val="00FE4E91"/>
    <w:rsid w:val="00FE7732"/>
    <w:rsid w:val="00FF0375"/>
    <w:rsid w:val="00FF1918"/>
    <w:rsid w:val="00FF23FD"/>
    <w:rsid w:val="00FF38E3"/>
    <w:rsid w:val="00FF49C0"/>
    <w:rsid w:val="00FF5638"/>
    <w:rsid w:val="00FF610D"/>
    <w:rsid w:val="00FF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27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FDC"/>
  </w:style>
  <w:style w:type="character" w:customStyle="1" w:styleId="FootnoteTextChar">
    <w:name w:val="Footnote Text Char"/>
    <w:basedOn w:val="DefaultParagraphFont"/>
    <w:link w:val="FootnoteText"/>
    <w:uiPriority w:val="99"/>
    <w:rsid w:val="008A6FDC"/>
  </w:style>
  <w:style w:type="character" w:styleId="FootnoteReference">
    <w:name w:val="footnote reference"/>
    <w:basedOn w:val="DefaultParagraphFont"/>
    <w:uiPriority w:val="99"/>
    <w:unhideWhenUsed/>
    <w:rsid w:val="008A6FDC"/>
    <w:rPr>
      <w:vertAlign w:val="superscript"/>
    </w:rPr>
  </w:style>
  <w:style w:type="paragraph" w:styleId="ListParagraph">
    <w:name w:val="List Paragraph"/>
    <w:basedOn w:val="Normal"/>
    <w:uiPriority w:val="34"/>
    <w:qFormat/>
    <w:rsid w:val="00DC0678"/>
    <w:pPr>
      <w:ind w:left="720"/>
      <w:contextualSpacing/>
    </w:pPr>
  </w:style>
  <w:style w:type="paragraph" w:styleId="Header">
    <w:name w:val="header"/>
    <w:basedOn w:val="Normal"/>
    <w:link w:val="HeaderChar"/>
    <w:uiPriority w:val="99"/>
    <w:unhideWhenUsed/>
    <w:rsid w:val="00571126"/>
    <w:pPr>
      <w:tabs>
        <w:tab w:val="center" w:pos="4680"/>
        <w:tab w:val="right" w:pos="9360"/>
      </w:tabs>
    </w:pPr>
  </w:style>
  <w:style w:type="character" w:customStyle="1" w:styleId="HeaderChar">
    <w:name w:val="Header Char"/>
    <w:basedOn w:val="DefaultParagraphFont"/>
    <w:link w:val="Header"/>
    <w:uiPriority w:val="99"/>
    <w:rsid w:val="00571126"/>
  </w:style>
  <w:style w:type="paragraph" w:styleId="Footer">
    <w:name w:val="footer"/>
    <w:basedOn w:val="Normal"/>
    <w:link w:val="FooterChar"/>
    <w:uiPriority w:val="99"/>
    <w:unhideWhenUsed/>
    <w:rsid w:val="00571126"/>
    <w:pPr>
      <w:tabs>
        <w:tab w:val="center" w:pos="4680"/>
        <w:tab w:val="right" w:pos="9360"/>
      </w:tabs>
    </w:pPr>
  </w:style>
  <w:style w:type="character" w:customStyle="1" w:styleId="FooterChar">
    <w:name w:val="Footer Char"/>
    <w:basedOn w:val="DefaultParagraphFont"/>
    <w:link w:val="Footer"/>
    <w:uiPriority w:val="99"/>
    <w:rsid w:val="0057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F79CB1-854D-B945-BFDF-4EA09924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Manapo Mphutlane</cp:lastModifiedBy>
  <cp:revision>9</cp:revision>
  <dcterms:created xsi:type="dcterms:W3CDTF">2022-05-23T19:08:00Z</dcterms:created>
  <dcterms:modified xsi:type="dcterms:W3CDTF">2022-05-24T09:03:00Z</dcterms:modified>
</cp:coreProperties>
</file>