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E3A" w:rsidRDefault="00D54E3A" w:rsidP="00CF4DEE">
      <w:pPr>
        <w:rPr>
          <w:rFonts w:ascii="Bookman Old Style" w:hAnsi="Bookman Old Style"/>
          <w:b/>
          <w:sz w:val="28"/>
          <w:szCs w:val="28"/>
        </w:rPr>
      </w:pPr>
      <w:bookmarkStart w:id="0" w:name="_GoBack"/>
      <w:bookmarkEnd w:id="0"/>
    </w:p>
    <w:p w:rsidR="00D831DD" w:rsidRDefault="00D831DD" w:rsidP="00D831DD">
      <w:pPr>
        <w:jc w:val="center"/>
        <w:rPr>
          <w:rFonts w:ascii="Bookman Old Style" w:hAnsi="Bookman Old Style"/>
          <w:b/>
          <w:sz w:val="28"/>
          <w:szCs w:val="28"/>
        </w:rPr>
      </w:pPr>
      <w:r>
        <w:rPr>
          <w:rFonts w:ascii="Bookman Old Style" w:hAnsi="Bookman Old Style"/>
          <w:b/>
          <w:sz w:val="28"/>
          <w:szCs w:val="28"/>
        </w:rPr>
        <w:t>IN THE COURT OF APPEAL OF LESOTHO</w:t>
      </w:r>
    </w:p>
    <w:p w:rsidR="00D54E3A" w:rsidRDefault="00D54E3A" w:rsidP="00D54E3A">
      <w:pPr>
        <w:jc w:val="both"/>
        <w:rPr>
          <w:rFonts w:ascii="Bookman Old Style" w:hAnsi="Bookman Old Style"/>
          <w:b/>
          <w:sz w:val="28"/>
          <w:szCs w:val="28"/>
        </w:rPr>
      </w:pPr>
      <w:r>
        <w:rPr>
          <w:rFonts w:ascii="Bookman Old Style" w:hAnsi="Bookman Old Style"/>
          <w:b/>
          <w:sz w:val="28"/>
          <w:szCs w:val="28"/>
        </w:rPr>
        <w:t>Held at Maseru</w:t>
      </w:r>
    </w:p>
    <w:p w:rsidR="00D831DD" w:rsidRDefault="00D831DD" w:rsidP="00D831DD">
      <w:pPr>
        <w:jc w:val="right"/>
        <w:rPr>
          <w:rFonts w:ascii="Bookman Old Style" w:hAnsi="Bookman Old Style"/>
          <w:b/>
          <w:sz w:val="28"/>
          <w:szCs w:val="28"/>
        </w:rPr>
      </w:pPr>
      <w:r>
        <w:rPr>
          <w:rFonts w:ascii="Bookman Old Style" w:hAnsi="Bookman Old Style"/>
          <w:b/>
          <w:sz w:val="28"/>
          <w:szCs w:val="28"/>
        </w:rPr>
        <w:t xml:space="preserve">C </w:t>
      </w:r>
      <w:r w:rsidR="00BE053B">
        <w:rPr>
          <w:rFonts w:ascii="Bookman Old Style" w:hAnsi="Bookman Old Style"/>
          <w:b/>
          <w:sz w:val="28"/>
          <w:szCs w:val="28"/>
        </w:rPr>
        <w:t>OF A (CRI-RESERVE</w:t>
      </w:r>
      <w:r>
        <w:rPr>
          <w:rFonts w:ascii="Bookman Old Style" w:hAnsi="Bookman Old Style"/>
          <w:b/>
          <w:sz w:val="28"/>
          <w:szCs w:val="28"/>
        </w:rPr>
        <w:t>) 1/20</w:t>
      </w:r>
      <w:r w:rsidR="00BE053B">
        <w:rPr>
          <w:rFonts w:ascii="Bookman Old Style" w:hAnsi="Bookman Old Style"/>
          <w:b/>
          <w:sz w:val="28"/>
          <w:szCs w:val="28"/>
        </w:rPr>
        <w:t>2</w:t>
      </w:r>
      <w:r>
        <w:rPr>
          <w:rFonts w:ascii="Bookman Old Style" w:hAnsi="Bookman Old Style"/>
          <w:b/>
          <w:sz w:val="28"/>
          <w:szCs w:val="28"/>
        </w:rPr>
        <w:t>1</w:t>
      </w:r>
    </w:p>
    <w:p w:rsidR="00BE053B" w:rsidRPr="002E1E25" w:rsidRDefault="00BE053B" w:rsidP="00BE053B">
      <w:pPr>
        <w:jc w:val="right"/>
        <w:rPr>
          <w:rFonts w:ascii="Bookman Old Style" w:hAnsi="Bookman Old Style"/>
          <w:b/>
          <w:sz w:val="28"/>
          <w:szCs w:val="28"/>
        </w:rPr>
      </w:pPr>
      <w:r w:rsidRPr="002E1E25">
        <w:rPr>
          <w:rFonts w:ascii="Bookman Old Style" w:hAnsi="Bookman Old Style"/>
          <w:b/>
          <w:sz w:val="28"/>
          <w:szCs w:val="28"/>
        </w:rPr>
        <w:t>CRI/T/58/2011</w:t>
      </w:r>
    </w:p>
    <w:p w:rsidR="00D831DD" w:rsidRDefault="00D831DD" w:rsidP="00D831DD">
      <w:pPr>
        <w:spacing w:line="240" w:lineRule="auto"/>
        <w:rPr>
          <w:rFonts w:ascii="Bookman Old Style" w:hAnsi="Bookman Old Style"/>
          <w:sz w:val="28"/>
          <w:szCs w:val="28"/>
        </w:rPr>
      </w:pPr>
      <w:r>
        <w:rPr>
          <w:rFonts w:ascii="Bookman Old Style" w:hAnsi="Bookman Old Style"/>
          <w:sz w:val="28"/>
          <w:szCs w:val="28"/>
        </w:rPr>
        <w:t xml:space="preserve">In the matter </w:t>
      </w:r>
      <w:r w:rsidR="00BE053B">
        <w:rPr>
          <w:rFonts w:ascii="Bookman Old Style" w:hAnsi="Bookman Old Style"/>
          <w:sz w:val="28"/>
          <w:szCs w:val="28"/>
        </w:rPr>
        <w:t>of</w:t>
      </w:r>
      <w:r>
        <w:rPr>
          <w:rFonts w:ascii="Bookman Old Style" w:hAnsi="Bookman Old Style"/>
          <w:sz w:val="28"/>
          <w:szCs w:val="28"/>
        </w:rPr>
        <w:t>:</w:t>
      </w:r>
    </w:p>
    <w:p w:rsidR="00D831DD" w:rsidRDefault="00D831DD" w:rsidP="00D831DD">
      <w:pPr>
        <w:spacing w:line="240" w:lineRule="auto"/>
        <w:rPr>
          <w:rFonts w:ascii="Bookman Old Style" w:hAnsi="Bookman Old Style"/>
          <w:b/>
          <w:sz w:val="28"/>
          <w:szCs w:val="28"/>
        </w:rPr>
      </w:pPr>
    </w:p>
    <w:p w:rsidR="00D831DD" w:rsidRDefault="00BE053B" w:rsidP="00D831DD">
      <w:pPr>
        <w:spacing w:line="240" w:lineRule="auto"/>
        <w:rPr>
          <w:rFonts w:ascii="Bookman Old Style" w:hAnsi="Bookman Old Style"/>
          <w:b/>
          <w:sz w:val="28"/>
          <w:szCs w:val="28"/>
        </w:rPr>
      </w:pPr>
      <w:r>
        <w:rPr>
          <w:rFonts w:ascii="Bookman Old Style" w:hAnsi="Bookman Old Style"/>
          <w:b/>
          <w:sz w:val="28"/>
          <w:szCs w:val="28"/>
        </w:rPr>
        <w:t xml:space="preserve">REX                                 </w:t>
      </w:r>
      <w:r w:rsidR="00D831DD">
        <w:rPr>
          <w:rFonts w:ascii="Bookman Old Style" w:hAnsi="Bookman Old Style"/>
          <w:b/>
          <w:sz w:val="28"/>
          <w:szCs w:val="28"/>
        </w:rPr>
        <w:tab/>
      </w:r>
      <w:r w:rsidR="00D831DD">
        <w:rPr>
          <w:rFonts w:ascii="Bookman Old Style" w:hAnsi="Bookman Old Style"/>
          <w:b/>
          <w:sz w:val="28"/>
          <w:szCs w:val="28"/>
        </w:rPr>
        <w:tab/>
      </w:r>
      <w:r w:rsidR="00D831DD">
        <w:rPr>
          <w:rFonts w:ascii="Bookman Old Style" w:hAnsi="Bookman Old Style"/>
          <w:b/>
          <w:sz w:val="28"/>
          <w:szCs w:val="28"/>
        </w:rPr>
        <w:tab/>
      </w:r>
      <w:r w:rsidR="00D831DD">
        <w:rPr>
          <w:rFonts w:ascii="Bookman Old Style" w:hAnsi="Bookman Old Style"/>
          <w:b/>
          <w:sz w:val="28"/>
          <w:szCs w:val="28"/>
        </w:rPr>
        <w:tab/>
      </w:r>
      <w:r w:rsidR="00D831DD">
        <w:rPr>
          <w:rFonts w:ascii="Bookman Old Style" w:hAnsi="Bookman Old Style"/>
          <w:b/>
          <w:sz w:val="28"/>
          <w:szCs w:val="28"/>
        </w:rPr>
        <w:tab/>
      </w:r>
    </w:p>
    <w:p w:rsidR="00D831DD" w:rsidRDefault="00D831DD" w:rsidP="00D831DD">
      <w:pPr>
        <w:spacing w:line="240" w:lineRule="auto"/>
        <w:rPr>
          <w:rFonts w:ascii="Bookman Old Style" w:hAnsi="Bookman Old Style"/>
          <w:b/>
          <w:sz w:val="28"/>
          <w:szCs w:val="28"/>
        </w:rPr>
      </w:pPr>
    </w:p>
    <w:p w:rsidR="00D831DD" w:rsidRDefault="00234C8A" w:rsidP="00D831DD">
      <w:pPr>
        <w:spacing w:line="240" w:lineRule="auto"/>
        <w:rPr>
          <w:rFonts w:ascii="Bookman Old Style" w:hAnsi="Bookman Old Style"/>
          <w:sz w:val="28"/>
          <w:szCs w:val="28"/>
        </w:rPr>
      </w:pPr>
      <w:r w:rsidRPr="0010726B">
        <w:rPr>
          <w:rFonts w:ascii="Bookman Old Style" w:hAnsi="Bookman Old Style"/>
          <w:sz w:val="28"/>
          <w:szCs w:val="28"/>
        </w:rPr>
        <w:t>Versus</w:t>
      </w:r>
    </w:p>
    <w:p w:rsidR="00D831DD" w:rsidRDefault="00D831DD" w:rsidP="00D831DD">
      <w:pPr>
        <w:spacing w:line="240" w:lineRule="auto"/>
        <w:rPr>
          <w:rFonts w:ascii="Bookman Old Style" w:hAnsi="Bookman Old Style"/>
          <w:b/>
          <w:sz w:val="28"/>
          <w:szCs w:val="28"/>
        </w:rPr>
      </w:pPr>
    </w:p>
    <w:p w:rsidR="00D831DD" w:rsidRDefault="00BA5E4C" w:rsidP="00D831DD">
      <w:pPr>
        <w:spacing w:line="240" w:lineRule="auto"/>
        <w:rPr>
          <w:rFonts w:ascii="Bookman Old Style" w:hAnsi="Bookman Old Style"/>
          <w:b/>
          <w:sz w:val="28"/>
          <w:szCs w:val="28"/>
        </w:rPr>
      </w:pPr>
      <w:r w:rsidRPr="00BA5E4C">
        <w:rPr>
          <w:rFonts w:ascii="Bookman Old Style" w:hAnsi="Bookman Old Style"/>
          <w:b/>
          <w:sz w:val="28"/>
          <w:szCs w:val="28"/>
        </w:rPr>
        <w:t>MAPHALE PHANTŠI</w:t>
      </w:r>
      <w:r w:rsidR="00D831DD">
        <w:rPr>
          <w:rFonts w:ascii="Bookman Old Style" w:hAnsi="Bookman Old Style"/>
          <w:b/>
          <w:sz w:val="28"/>
          <w:szCs w:val="28"/>
        </w:rPr>
        <w:tab/>
      </w:r>
      <w:r w:rsidR="00D831DD">
        <w:rPr>
          <w:rFonts w:ascii="Bookman Old Style" w:hAnsi="Bookman Old Style"/>
          <w:b/>
          <w:sz w:val="28"/>
          <w:szCs w:val="28"/>
        </w:rPr>
        <w:tab/>
      </w:r>
      <w:r w:rsidR="00D0407E">
        <w:rPr>
          <w:rFonts w:ascii="Bookman Old Style" w:hAnsi="Bookman Old Style"/>
          <w:b/>
          <w:sz w:val="28"/>
          <w:szCs w:val="28"/>
        </w:rPr>
        <w:t xml:space="preserve">                                          ACCUSED</w:t>
      </w:r>
      <w:r w:rsidR="00D831DD">
        <w:rPr>
          <w:rFonts w:ascii="Bookman Old Style" w:hAnsi="Bookman Old Style"/>
          <w:b/>
          <w:sz w:val="28"/>
          <w:szCs w:val="28"/>
        </w:rPr>
        <w:tab/>
      </w:r>
      <w:r w:rsidR="00D831DD">
        <w:rPr>
          <w:rFonts w:ascii="Bookman Old Style" w:hAnsi="Bookman Old Style"/>
          <w:b/>
          <w:sz w:val="28"/>
          <w:szCs w:val="28"/>
        </w:rPr>
        <w:tab/>
        <w:t xml:space="preserve">   </w:t>
      </w:r>
      <w:r>
        <w:rPr>
          <w:rFonts w:ascii="Bookman Old Style" w:hAnsi="Bookman Old Style"/>
          <w:b/>
          <w:sz w:val="28"/>
          <w:szCs w:val="28"/>
        </w:rPr>
        <w:t xml:space="preserve">            </w:t>
      </w:r>
      <w:r w:rsidR="00D831DD">
        <w:rPr>
          <w:rFonts w:ascii="Bookman Old Style" w:hAnsi="Bookman Old Style"/>
          <w:b/>
          <w:sz w:val="28"/>
          <w:szCs w:val="28"/>
        </w:rPr>
        <w:t xml:space="preserve"> </w:t>
      </w:r>
    </w:p>
    <w:p w:rsidR="00D831DD" w:rsidRDefault="00D831DD" w:rsidP="00D831DD">
      <w:pPr>
        <w:spacing w:line="240" w:lineRule="auto"/>
        <w:rPr>
          <w:rFonts w:ascii="Bookman Old Style" w:hAnsi="Bookman Old Style"/>
          <w:b/>
          <w:sz w:val="28"/>
          <w:szCs w:val="28"/>
        </w:rPr>
      </w:pPr>
    </w:p>
    <w:p w:rsidR="00D831DD" w:rsidRDefault="00D831DD" w:rsidP="00D831DD">
      <w:pPr>
        <w:spacing w:line="240" w:lineRule="auto"/>
        <w:rPr>
          <w:rFonts w:ascii="Bookman Old Style" w:hAnsi="Bookman Old Style"/>
          <w:sz w:val="28"/>
          <w:szCs w:val="28"/>
        </w:rPr>
      </w:pPr>
      <w:r>
        <w:rPr>
          <w:rFonts w:ascii="Bookman Old Style" w:hAnsi="Bookman Old Style"/>
          <w:b/>
          <w:sz w:val="28"/>
          <w:szCs w:val="28"/>
        </w:rPr>
        <w:t>CORAM:</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D54E3A" w:rsidRPr="00D54E3A">
        <w:rPr>
          <w:rFonts w:ascii="Bookman Old Style" w:hAnsi="Bookman Old Style"/>
          <w:sz w:val="28"/>
          <w:szCs w:val="28"/>
        </w:rPr>
        <w:t xml:space="preserve">DR </w:t>
      </w:r>
      <w:r>
        <w:rPr>
          <w:rFonts w:ascii="Bookman Old Style" w:hAnsi="Bookman Old Style"/>
          <w:sz w:val="28"/>
          <w:szCs w:val="28"/>
        </w:rPr>
        <w:t>K.E. MOSITO P</w:t>
      </w:r>
    </w:p>
    <w:p w:rsidR="00D831DD" w:rsidRDefault="00D831DD" w:rsidP="00D831DD">
      <w:pPr>
        <w:spacing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06081F">
        <w:rPr>
          <w:rFonts w:ascii="Bookman Old Style" w:hAnsi="Bookman Old Style"/>
          <w:sz w:val="28"/>
          <w:szCs w:val="28"/>
        </w:rPr>
        <w:t>P. T. DAMASED</w:t>
      </w:r>
      <w:r>
        <w:rPr>
          <w:rFonts w:ascii="Bookman Old Style" w:hAnsi="Bookman Old Style"/>
          <w:sz w:val="28"/>
          <w:szCs w:val="28"/>
        </w:rPr>
        <w:t xml:space="preserve"> AJA</w:t>
      </w:r>
    </w:p>
    <w:p w:rsidR="00D831DD" w:rsidRDefault="00D831DD" w:rsidP="00D831DD">
      <w:pPr>
        <w:spacing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D54E3A">
        <w:rPr>
          <w:rFonts w:ascii="Bookman Old Style" w:hAnsi="Bookman Old Style"/>
          <w:sz w:val="28"/>
          <w:szCs w:val="28"/>
        </w:rPr>
        <w:t xml:space="preserve">DR </w:t>
      </w:r>
      <w:r w:rsidR="0006081F">
        <w:rPr>
          <w:rFonts w:ascii="Bookman Old Style" w:hAnsi="Bookman Old Style"/>
          <w:sz w:val="28"/>
          <w:szCs w:val="28"/>
        </w:rPr>
        <w:t>J. VAN DER WESTHUIZEN</w:t>
      </w:r>
      <w:r>
        <w:rPr>
          <w:rFonts w:ascii="Bookman Old Style" w:hAnsi="Bookman Old Style"/>
          <w:sz w:val="28"/>
          <w:szCs w:val="28"/>
        </w:rPr>
        <w:t xml:space="preserve"> AJA</w:t>
      </w:r>
    </w:p>
    <w:p w:rsidR="00D831DD" w:rsidRDefault="00D831DD" w:rsidP="00D831DD">
      <w:pPr>
        <w:spacing w:line="240" w:lineRule="auto"/>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p>
    <w:p w:rsidR="00D831DD" w:rsidRDefault="00D831DD" w:rsidP="00D831DD">
      <w:pPr>
        <w:spacing w:line="240" w:lineRule="auto"/>
        <w:rPr>
          <w:rFonts w:ascii="Bookman Old Style" w:hAnsi="Bookman Old Style"/>
          <w:sz w:val="28"/>
          <w:szCs w:val="28"/>
        </w:rPr>
      </w:pPr>
      <w:r>
        <w:rPr>
          <w:rFonts w:ascii="Bookman Old Style" w:hAnsi="Bookman Old Style"/>
          <w:b/>
          <w:sz w:val="28"/>
          <w:szCs w:val="28"/>
        </w:rPr>
        <w:t>HEARD:</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3D499C">
        <w:rPr>
          <w:rFonts w:ascii="Bookman Old Style" w:hAnsi="Bookman Old Style"/>
          <w:sz w:val="28"/>
          <w:szCs w:val="28"/>
        </w:rPr>
        <w:t>23</w:t>
      </w:r>
      <w:r>
        <w:rPr>
          <w:rFonts w:ascii="Bookman Old Style" w:hAnsi="Bookman Old Style"/>
          <w:sz w:val="28"/>
          <w:szCs w:val="28"/>
        </w:rPr>
        <w:t xml:space="preserve"> </w:t>
      </w:r>
      <w:r w:rsidR="003D499C">
        <w:rPr>
          <w:rFonts w:ascii="Bookman Old Style" w:hAnsi="Bookman Old Style"/>
          <w:sz w:val="28"/>
          <w:szCs w:val="28"/>
        </w:rPr>
        <w:t>APRIL</w:t>
      </w:r>
      <w:r>
        <w:rPr>
          <w:rFonts w:ascii="Bookman Old Style" w:hAnsi="Bookman Old Style"/>
          <w:sz w:val="28"/>
          <w:szCs w:val="28"/>
        </w:rPr>
        <w:t xml:space="preserve"> 20</w:t>
      </w:r>
      <w:r w:rsidR="003D499C">
        <w:rPr>
          <w:rFonts w:ascii="Bookman Old Style" w:hAnsi="Bookman Old Style"/>
          <w:sz w:val="28"/>
          <w:szCs w:val="28"/>
        </w:rPr>
        <w:t>2</w:t>
      </w:r>
      <w:r>
        <w:rPr>
          <w:rFonts w:ascii="Bookman Old Style" w:hAnsi="Bookman Old Style"/>
          <w:sz w:val="28"/>
          <w:szCs w:val="28"/>
        </w:rPr>
        <w:t>1</w:t>
      </w:r>
    </w:p>
    <w:p w:rsidR="00D831DD" w:rsidRDefault="00D831DD" w:rsidP="00D831DD">
      <w:pPr>
        <w:spacing w:line="240" w:lineRule="auto"/>
        <w:rPr>
          <w:rFonts w:ascii="Bookman Old Style" w:hAnsi="Bookman Old Style"/>
          <w:sz w:val="28"/>
          <w:szCs w:val="28"/>
        </w:rPr>
      </w:pPr>
      <w:r>
        <w:rPr>
          <w:rFonts w:ascii="Bookman Old Style" w:hAnsi="Bookman Old Style"/>
          <w:b/>
          <w:sz w:val="28"/>
          <w:szCs w:val="28"/>
        </w:rPr>
        <w:t>DELIVERED:</w:t>
      </w:r>
      <w:r>
        <w:rPr>
          <w:rFonts w:ascii="Bookman Old Style" w:hAnsi="Bookman Old Style"/>
          <w:b/>
          <w:sz w:val="28"/>
          <w:szCs w:val="28"/>
        </w:rPr>
        <w:tab/>
      </w:r>
      <w:r>
        <w:rPr>
          <w:rFonts w:ascii="Bookman Old Style" w:hAnsi="Bookman Old Style"/>
          <w:b/>
          <w:sz w:val="28"/>
          <w:szCs w:val="28"/>
        </w:rPr>
        <w:tab/>
      </w:r>
      <w:r w:rsidR="003D499C">
        <w:rPr>
          <w:rFonts w:ascii="Bookman Old Style" w:hAnsi="Bookman Old Style"/>
          <w:sz w:val="28"/>
          <w:szCs w:val="28"/>
        </w:rPr>
        <w:t>14</w:t>
      </w:r>
      <w:r>
        <w:rPr>
          <w:rFonts w:ascii="Bookman Old Style" w:hAnsi="Bookman Old Style"/>
          <w:sz w:val="28"/>
          <w:szCs w:val="28"/>
        </w:rPr>
        <w:t xml:space="preserve"> MAY </w:t>
      </w:r>
      <w:r w:rsidR="003D499C" w:rsidRPr="003D499C">
        <w:rPr>
          <w:rFonts w:ascii="Bookman Old Style" w:hAnsi="Bookman Old Style"/>
          <w:sz w:val="28"/>
          <w:szCs w:val="28"/>
        </w:rPr>
        <w:t>2021</w:t>
      </w:r>
      <w:r>
        <w:rPr>
          <w:rFonts w:ascii="Bookman Old Style" w:hAnsi="Bookman Old Style"/>
          <w:sz w:val="28"/>
          <w:szCs w:val="28"/>
        </w:rPr>
        <w:tab/>
      </w:r>
    </w:p>
    <w:p w:rsidR="002E1E25" w:rsidRDefault="002E1E25" w:rsidP="002E1E25">
      <w:pPr>
        <w:jc w:val="right"/>
        <w:rPr>
          <w:rFonts w:ascii="Bookman Old Style" w:hAnsi="Bookman Old Style"/>
          <w:b/>
          <w:sz w:val="28"/>
          <w:szCs w:val="28"/>
        </w:rPr>
      </w:pPr>
    </w:p>
    <w:p w:rsidR="000C0B30" w:rsidRPr="00BA7C7E" w:rsidRDefault="000C0B30" w:rsidP="000C0B30">
      <w:pPr>
        <w:jc w:val="center"/>
        <w:rPr>
          <w:rFonts w:ascii="Bookman Old Style" w:hAnsi="Bookman Old Style"/>
          <w:b/>
          <w:i/>
          <w:sz w:val="28"/>
          <w:szCs w:val="28"/>
        </w:rPr>
      </w:pPr>
      <w:r w:rsidRPr="00BA7C7E">
        <w:rPr>
          <w:rFonts w:ascii="Bookman Old Style" w:hAnsi="Bookman Old Style"/>
          <w:b/>
          <w:i/>
          <w:sz w:val="28"/>
          <w:szCs w:val="28"/>
        </w:rPr>
        <w:t>SUMMARY</w:t>
      </w:r>
    </w:p>
    <w:p w:rsidR="002E1E25" w:rsidRDefault="00A55DE8" w:rsidP="00C969FE">
      <w:pPr>
        <w:jc w:val="both"/>
        <w:rPr>
          <w:rFonts w:ascii="Bookman Old Style" w:hAnsi="Bookman Old Style"/>
          <w:i/>
          <w:sz w:val="28"/>
          <w:szCs w:val="28"/>
        </w:rPr>
      </w:pPr>
      <w:r w:rsidRPr="00DA3D0E">
        <w:rPr>
          <w:rFonts w:ascii="Bookman Old Style" w:hAnsi="Bookman Old Style"/>
          <w:i/>
          <w:sz w:val="28"/>
          <w:szCs w:val="28"/>
        </w:rPr>
        <w:t xml:space="preserve">Criminal law and procedure - </w:t>
      </w:r>
      <w:r w:rsidR="00C969FE" w:rsidRPr="00DA3D0E">
        <w:rPr>
          <w:rFonts w:ascii="Bookman Old Style" w:hAnsi="Bookman Old Style"/>
          <w:i/>
          <w:sz w:val="28"/>
          <w:szCs w:val="28"/>
        </w:rPr>
        <w:t xml:space="preserve">Reservation of law in terms of 15(1) of the Court of </w:t>
      </w:r>
      <w:r w:rsidR="00DA3D0E" w:rsidRPr="00DA3D0E">
        <w:rPr>
          <w:rFonts w:ascii="Bookman Old Style" w:hAnsi="Bookman Old Style"/>
          <w:i/>
          <w:sz w:val="28"/>
          <w:szCs w:val="28"/>
        </w:rPr>
        <w:t>Appeal Act</w:t>
      </w:r>
      <w:r w:rsidR="00C969FE" w:rsidRPr="00DA3D0E">
        <w:rPr>
          <w:rFonts w:ascii="Bookman Old Style" w:hAnsi="Bookman Old Style"/>
          <w:i/>
          <w:sz w:val="28"/>
          <w:szCs w:val="28"/>
        </w:rPr>
        <w:t xml:space="preserve"> N</w:t>
      </w:r>
      <w:r w:rsidR="007B63D5" w:rsidRPr="00DA3D0E">
        <w:rPr>
          <w:rFonts w:ascii="Bookman Old Style" w:hAnsi="Bookman Old Style"/>
          <w:i/>
          <w:sz w:val="28"/>
          <w:szCs w:val="28"/>
        </w:rPr>
        <w:t xml:space="preserve">o.10 of </w:t>
      </w:r>
      <w:r w:rsidR="00C969FE" w:rsidRPr="00DA3D0E">
        <w:rPr>
          <w:rFonts w:ascii="Bookman Old Style" w:hAnsi="Bookman Old Style"/>
          <w:i/>
          <w:sz w:val="28"/>
          <w:szCs w:val="28"/>
        </w:rPr>
        <w:t>1978 – Accused convicted at the end of the trial –</w:t>
      </w:r>
      <w:r w:rsidRPr="00DA3D0E">
        <w:rPr>
          <w:rFonts w:ascii="Bookman Old Style" w:hAnsi="Bookman Old Style"/>
          <w:i/>
          <w:sz w:val="28"/>
          <w:szCs w:val="28"/>
        </w:rPr>
        <w:t xml:space="preserve">Whether </w:t>
      </w:r>
      <w:r w:rsidR="00DA3D0E" w:rsidRPr="00DA3D0E">
        <w:rPr>
          <w:rFonts w:ascii="Bookman Old Style" w:hAnsi="Bookman Old Style"/>
          <w:i/>
          <w:sz w:val="28"/>
          <w:szCs w:val="28"/>
        </w:rPr>
        <w:t xml:space="preserve">the decision of the Court of </w:t>
      </w:r>
      <w:r w:rsidR="00426021" w:rsidRPr="00DA3D0E">
        <w:rPr>
          <w:rFonts w:ascii="Bookman Old Style" w:hAnsi="Bookman Old Style"/>
          <w:i/>
          <w:sz w:val="28"/>
          <w:szCs w:val="28"/>
        </w:rPr>
        <w:t>Appeal in</w:t>
      </w:r>
      <w:r w:rsidR="00DA3D0E" w:rsidRPr="00DA3D0E">
        <w:rPr>
          <w:rFonts w:ascii="Bookman Old Style" w:hAnsi="Bookman Old Style"/>
          <w:i/>
          <w:sz w:val="28"/>
          <w:szCs w:val="28"/>
        </w:rPr>
        <w:t xml:space="preserve"> </w:t>
      </w:r>
      <w:proofErr w:type="spellStart"/>
      <w:r w:rsidR="00DA3D0E" w:rsidRPr="00DA3D0E">
        <w:rPr>
          <w:rFonts w:ascii="Bookman Old Style" w:hAnsi="Bookman Old Style"/>
          <w:i/>
          <w:sz w:val="28"/>
          <w:szCs w:val="28"/>
        </w:rPr>
        <w:t>Mohale</w:t>
      </w:r>
      <w:proofErr w:type="spellEnd"/>
      <w:r w:rsidR="00DA3D0E" w:rsidRPr="00DA3D0E">
        <w:rPr>
          <w:rFonts w:ascii="Bookman Old Style" w:hAnsi="Bookman Old Style"/>
          <w:i/>
          <w:sz w:val="28"/>
          <w:szCs w:val="28"/>
        </w:rPr>
        <w:t xml:space="preserve"> and Another v Rex C of A (CRI) N</w:t>
      </w:r>
      <w:r w:rsidR="006B7B58" w:rsidRPr="00DA3D0E">
        <w:rPr>
          <w:rFonts w:ascii="Bookman Old Style" w:hAnsi="Bookman Old Style"/>
          <w:i/>
          <w:sz w:val="28"/>
          <w:szCs w:val="28"/>
        </w:rPr>
        <w:t xml:space="preserve">o 2 </w:t>
      </w:r>
      <w:r w:rsidR="00DA3D0E" w:rsidRPr="00DA3D0E">
        <w:rPr>
          <w:rFonts w:ascii="Bookman Old Style" w:hAnsi="Bookman Old Style"/>
          <w:i/>
          <w:sz w:val="28"/>
          <w:szCs w:val="28"/>
        </w:rPr>
        <w:t xml:space="preserve">of 2005 is correct regard being had to the fact that, it is </w:t>
      </w:r>
      <w:r w:rsidR="00557209">
        <w:rPr>
          <w:rFonts w:ascii="Bookman Old Style" w:hAnsi="Bookman Old Style"/>
          <w:i/>
          <w:sz w:val="28"/>
          <w:szCs w:val="28"/>
        </w:rPr>
        <w:t>inconsistent with</w:t>
      </w:r>
      <w:r w:rsidR="00DA3D0E" w:rsidRPr="00DA3D0E">
        <w:rPr>
          <w:rFonts w:ascii="Bookman Old Style" w:hAnsi="Bookman Old Style"/>
          <w:i/>
          <w:sz w:val="28"/>
          <w:szCs w:val="28"/>
        </w:rPr>
        <w:t xml:space="preserve"> se</w:t>
      </w:r>
      <w:r w:rsidR="00426021">
        <w:rPr>
          <w:rFonts w:ascii="Bookman Old Style" w:hAnsi="Bookman Old Style"/>
          <w:i/>
          <w:sz w:val="28"/>
          <w:szCs w:val="28"/>
        </w:rPr>
        <w:t xml:space="preserve">ction 12(4) of the Constitution </w:t>
      </w:r>
      <w:r w:rsidR="00557209">
        <w:rPr>
          <w:rFonts w:ascii="Bookman Old Style" w:hAnsi="Bookman Old Style"/>
          <w:i/>
          <w:sz w:val="28"/>
          <w:szCs w:val="28"/>
        </w:rPr>
        <w:t>–</w:t>
      </w:r>
      <w:r w:rsidR="00426021">
        <w:rPr>
          <w:rFonts w:ascii="Bookman Old Style" w:hAnsi="Bookman Old Style"/>
          <w:i/>
          <w:sz w:val="28"/>
          <w:szCs w:val="28"/>
        </w:rPr>
        <w:t xml:space="preserve"> </w:t>
      </w:r>
      <w:r w:rsidR="00557209">
        <w:rPr>
          <w:rFonts w:ascii="Bookman Old Style" w:hAnsi="Bookman Old Style"/>
          <w:i/>
          <w:sz w:val="28"/>
          <w:szCs w:val="28"/>
        </w:rPr>
        <w:t xml:space="preserve">Whether </w:t>
      </w:r>
      <w:r w:rsidR="00426021" w:rsidRPr="00426021">
        <w:rPr>
          <w:rFonts w:ascii="Bookman Old Style" w:hAnsi="Bookman Old Style"/>
          <w:i/>
          <w:sz w:val="28"/>
          <w:szCs w:val="28"/>
        </w:rPr>
        <w:t xml:space="preserve">the relevant age for consideration for purposes of section 26 (1) of the Children’s Act </w:t>
      </w:r>
      <w:r w:rsidR="00426021">
        <w:rPr>
          <w:rFonts w:ascii="Bookman Old Style" w:hAnsi="Bookman Old Style"/>
          <w:i/>
          <w:sz w:val="28"/>
          <w:szCs w:val="28"/>
        </w:rPr>
        <w:t xml:space="preserve">, </w:t>
      </w:r>
      <w:r w:rsidR="00AA6FB2" w:rsidRPr="00AA6FB2">
        <w:rPr>
          <w:rFonts w:ascii="Bookman Old Style" w:hAnsi="Bookman Old Style"/>
          <w:i/>
          <w:sz w:val="28"/>
          <w:szCs w:val="28"/>
        </w:rPr>
        <w:t xml:space="preserve">in light of </w:t>
      </w:r>
      <w:r w:rsidR="00426021">
        <w:rPr>
          <w:rFonts w:ascii="Bookman Old Style" w:hAnsi="Bookman Old Style"/>
          <w:i/>
          <w:sz w:val="28"/>
          <w:szCs w:val="28"/>
        </w:rPr>
        <w:t xml:space="preserve">section 12(4) of the Constitution </w:t>
      </w:r>
      <w:r w:rsidR="00426021" w:rsidRPr="00426021">
        <w:rPr>
          <w:rFonts w:ascii="Bookman Old Style" w:hAnsi="Bookman Old Style"/>
          <w:i/>
          <w:sz w:val="28"/>
          <w:szCs w:val="28"/>
        </w:rPr>
        <w:t>is the age of the date of the commission of the crime and not the date of sentence.</w:t>
      </w:r>
    </w:p>
    <w:p w:rsidR="00426021" w:rsidRPr="00DA3D0E" w:rsidRDefault="00426021" w:rsidP="00C969FE">
      <w:pPr>
        <w:jc w:val="both"/>
        <w:rPr>
          <w:rFonts w:ascii="Bookman Old Style" w:hAnsi="Bookman Old Style"/>
          <w:i/>
          <w:sz w:val="28"/>
          <w:szCs w:val="28"/>
        </w:rPr>
      </w:pPr>
    </w:p>
    <w:p w:rsidR="000C0B30" w:rsidRDefault="00426021" w:rsidP="00426021">
      <w:pPr>
        <w:jc w:val="center"/>
        <w:rPr>
          <w:rFonts w:ascii="Bookman Old Style" w:hAnsi="Bookman Old Style"/>
          <w:b/>
          <w:sz w:val="28"/>
          <w:szCs w:val="28"/>
        </w:rPr>
      </w:pPr>
      <w:r>
        <w:rPr>
          <w:rFonts w:ascii="Bookman Old Style" w:hAnsi="Bookman Old Style"/>
          <w:b/>
          <w:sz w:val="28"/>
          <w:szCs w:val="28"/>
        </w:rPr>
        <w:t>JUDGMENT</w:t>
      </w:r>
    </w:p>
    <w:p w:rsidR="00426021" w:rsidRDefault="00426021" w:rsidP="00426021">
      <w:pPr>
        <w:jc w:val="center"/>
        <w:rPr>
          <w:rFonts w:ascii="Bookman Old Style" w:hAnsi="Bookman Old Style"/>
          <w:b/>
          <w:sz w:val="28"/>
          <w:szCs w:val="28"/>
        </w:rPr>
      </w:pPr>
    </w:p>
    <w:p w:rsidR="00636F5A" w:rsidRDefault="003D499C" w:rsidP="003D499C">
      <w:pPr>
        <w:jc w:val="both"/>
        <w:rPr>
          <w:rFonts w:ascii="Bookman Old Style" w:hAnsi="Bookman Old Style"/>
          <w:b/>
          <w:sz w:val="28"/>
          <w:szCs w:val="28"/>
        </w:rPr>
      </w:pPr>
      <w:r w:rsidRPr="003D499C">
        <w:rPr>
          <w:rFonts w:ascii="Bookman Old Style" w:hAnsi="Bookman Old Style"/>
          <w:b/>
          <w:sz w:val="28"/>
          <w:szCs w:val="28"/>
        </w:rPr>
        <w:t>K.E. MOSITO P</w:t>
      </w:r>
    </w:p>
    <w:p w:rsidR="003D499C" w:rsidRDefault="003D499C" w:rsidP="003D499C">
      <w:pPr>
        <w:jc w:val="both"/>
        <w:rPr>
          <w:rFonts w:ascii="Bookman Old Style" w:hAnsi="Bookman Old Style"/>
          <w:sz w:val="28"/>
          <w:szCs w:val="28"/>
        </w:rPr>
      </w:pPr>
      <w:r>
        <w:rPr>
          <w:rFonts w:ascii="Bookman Old Style" w:hAnsi="Bookman Old Style"/>
          <w:b/>
          <w:sz w:val="28"/>
          <w:szCs w:val="28"/>
        </w:rPr>
        <w:t>Background</w:t>
      </w:r>
    </w:p>
    <w:p w:rsidR="00636F5A" w:rsidRDefault="00636F5A" w:rsidP="000E22F7">
      <w:pPr>
        <w:spacing w:line="360" w:lineRule="auto"/>
        <w:jc w:val="both"/>
        <w:rPr>
          <w:rFonts w:ascii="Bookman Old Style" w:hAnsi="Bookman Old Style"/>
          <w:b/>
          <w:sz w:val="28"/>
          <w:szCs w:val="28"/>
        </w:rPr>
      </w:pPr>
      <w:r>
        <w:rPr>
          <w:rFonts w:ascii="Bookman Old Style" w:hAnsi="Bookman Old Style"/>
          <w:sz w:val="28"/>
          <w:szCs w:val="28"/>
        </w:rPr>
        <w:t>[1]</w:t>
      </w:r>
      <w:r>
        <w:rPr>
          <w:rFonts w:ascii="Bookman Old Style" w:hAnsi="Bookman Old Style"/>
          <w:sz w:val="28"/>
          <w:szCs w:val="28"/>
        </w:rPr>
        <w:tab/>
        <w:t>On the 27</w:t>
      </w:r>
      <w:r w:rsidRPr="00636F5A">
        <w:rPr>
          <w:rFonts w:ascii="Bookman Old Style" w:hAnsi="Bookman Old Style"/>
          <w:sz w:val="28"/>
          <w:szCs w:val="28"/>
          <w:vertAlign w:val="superscript"/>
        </w:rPr>
        <w:t>th</w:t>
      </w:r>
      <w:r>
        <w:rPr>
          <w:rFonts w:ascii="Bookman Old Style" w:hAnsi="Bookman Old Style"/>
          <w:sz w:val="28"/>
          <w:szCs w:val="28"/>
        </w:rPr>
        <w:t xml:space="preserve"> </w:t>
      </w:r>
      <w:r w:rsidR="003D499C">
        <w:rPr>
          <w:rFonts w:ascii="Bookman Old Style" w:hAnsi="Bookman Old Style"/>
          <w:sz w:val="28"/>
          <w:szCs w:val="28"/>
        </w:rPr>
        <w:t xml:space="preserve">day of May 2019, </w:t>
      </w:r>
      <w:proofErr w:type="spellStart"/>
      <w:r w:rsidR="003D499C">
        <w:rPr>
          <w:rFonts w:ascii="Bookman Old Style" w:hAnsi="Bookman Old Style"/>
          <w:sz w:val="28"/>
          <w:szCs w:val="28"/>
        </w:rPr>
        <w:t>Nom</w:t>
      </w:r>
      <w:r w:rsidR="000E22F7">
        <w:rPr>
          <w:rFonts w:ascii="Bookman Old Style" w:hAnsi="Bookman Old Style"/>
          <w:sz w:val="28"/>
          <w:szCs w:val="28"/>
        </w:rPr>
        <w:t>n</w:t>
      </w:r>
      <w:r w:rsidR="00B26334">
        <w:rPr>
          <w:rFonts w:ascii="Bookman Old Style" w:hAnsi="Bookman Old Style"/>
          <w:sz w:val="28"/>
          <w:szCs w:val="28"/>
        </w:rPr>
        <w:t>g</w:t>
      </w:r>
      <w:r w:rsidR="003D499C">
        <w:rPr>
          <w:rFonts w:ascii="Bookman Old Style" w:hAnsi="Bookman Old Style"/>
          <w:sz w:val="28"/>
          <w:szCs w:val="28"/>
        </w:rPr>
        <w:t>congo</w:t>
      </w:r>
      <w:proofErr w:type="spellEnd"/>
      <w:r w:rsidR="003D499C">
        <w:rPr>
          <w:rFonts w:ascii="Bookman Old Style" w:hAnsi="Bookman Old Style"/>
          <w:sz w:val="28"/>
          <w:szCs w:val="28"/>
        </w:rPr>
        <w:t xml:space="preserve"> J</w:t>
      </w:r>
      <w:r>
        <w:rPr>
          <w:rFonts w:ascii="Bookman Old Style" w:hAnsi="Bookman Old Style"/>
          <w:sz w:val="28"/>
          <w:szCs w:val="28"/>
        </w:rPr>
        <w:t xml:space="preserve"> convicted </w:t>
      </w:r>
      <w:proofErr w:type="spellStart"/>
      <w:r w:rsidR="003D499C" w:rsidRPr="003D499C">
        <w:rPr>
          <w:rFonts w:ascii="Bookman Old Style" w:hAnsi="Bookman Old Style"/>
          <w:sz w:val="28"/>
          <w:szCs w:val="28"/>
        </w:rPr>
        <w:t>Maphale</w:t>
      </w:r>
      <w:proofErr w:type="spellEnd"/>
      <w:r w:rsidR="003D499C" w:rsidRPr="003D499C">
        <w:rPr>
          <w:rFonts w:ascii="Bookman Old Style" w:hAnsi="Bookman Old Style"/>
          <w:sz w:val="28"/>
          <w:szCs w:val="28"/>
        </w:rPr>
        <w:t xml:space="preserve"> </w:t>
      </w:r>
      <w:proofErr w:type="spellStart"/>
      <w:r w:rsidR="003D499C" w:rsidRPr="003D499C">
        <w:rPr>
          <w:rFonts w:ascii="Bookman Old Style" w:hAnsi="Bookman Old Style"/>
          <w:sz w:val="28"/>
          <w:szCs w:val="28"/>
        </w:rPr>
        <w:t>Phantši</w:t>
      </w:r>
      <w:proofErr w:type="spellEnd"/>
      <w:r w:rsidR="003D499C">
        <w:rPr>
          <w:rFonts w:ascii="Bookman Old Style" w:hAnsi="Bookman Old Style"/>
          <w:sz w:val="28"/>
          <w:szCs w:val="28"/>
        </w:rPr>
        <w:t xml:space="preserve"> (hereinafter referred to as “</w:t>
      </w:r>
      <w:r>
        <w:rPr>
          <w:rFonts w:ascii="Bookman Old Style" w:hAnsi="Bookman Old Style"/>
          <w:sz w:val="28"/>
          <w:szCs w:val="28"/>
        </w:rPr>
        <w:t>the accused</w:t>
      </w:r>
      <w:r w:rsidR="000E22F7">
        <w:rPr>
          <w:rFonts w:ascii="Bookman Old Style" w:hAnsi="Bookman Old Style"/>
          <w:sz w:val="28"/>
          <w:szCs w:val="28"/>
        </w:rPr>
        <w:t>”)</w:t>
      </w:r>
      <w:r>
        <w:rPr>
          <w:rFonts w:ascii="Bookman Old Style" w:hAnsi="Bookman Old Style"/>
          <w:sz w:val="28"/>
          <w:szCs w:val="28"/>
        </w:rPr>
        <w:t xml:space="preserve"> of Murder of one </w:t>
      </w:r>
      <w:proofErr w:type="spellStart"/>
      <w:r>
        <w:rPr>
          <w:rFonts w:ascii="Bookman Old Style" w:hAnsi="Bookman Old Style"/>
          <w:sz w:val="28"/>
          <w:szCs w:val="28"/>
        </w:rPr>
        <w:t>Lethibela</w:t>
      </w:r>
      <w:proofErr w:type="spellEnd"/>
      <w:r>
        <w:rPr>
          <w:rFonts w:ascii="Bookman Old Style" w:hAnsi="Bookman Old Style"/>
          <w:sz w:val="28"/>
          <w:szCs w:val="28"/>
        </w:rPr>
        <w:t xml:space="preserve"> </w:t>
      </w:r>
      <w:proofErr w:type="spellStart"/>
      <w:r>
        <w:rPr>
          <w:rFonts w:ascii="Bookman Old Style" w:hAnsi="Bookman Old Style"/>
          <w:sz w:val="28"/>
          <w:szCs w:val="28"/>
        </w:rPr>
        <w:t>Letsipa</w:t>
      </w:r>
      <w:proofErr w:type="spellEnd"/>
      <w:r>
        <w:rPr>
          <w:rFonts w:ascii="Bookman Old Style" w:hAnsi="Bookman Old Style"/>
          <w:sz w:val="28"/>
          <w:szCs w:val="28"/>
        </w:rPr>
        <w:t xml:space="preserve">.  In mitigation of sentence and </w:t>
      </w:r>
      <w:r w:rsidR="00557209">
        <w:rPr>
          <w:rFonts w:ascii="Bookman Old Style" w:hAnsi="Bookman Old Style"/>
          <w:sz w:val="28"/>
          <w:szCs w:val="28"/>
        </w:rPr>
        <w:t>also</w:t>
      </w:r>
      <w:r>
        <w:rPr>
          <w:rFonts w:ascii="Bookman Old Style" w:hAnsi="Bookman Old Style"/>
          <w:sz w:val="28"/>
          <w:szCs w:val="28"/>
        </w:rPr>
        <w:t xml:space="preserve"> according to the charge sheet</w:t>
      </w:r>
      <w:r w:rsidR="00557209">
        <w:rPr>
          <w:rFonts w:ascii="Bookman Old Style" w:hAnsi="Bookman Old Style"/>
          <w:sz w:val="28"/>
          <w:szCs w:val="28"/>
        </w:rPr>
        <w:t>,</w:t>
      </w:r>
      <w:r>
        <w:rPr>
          <w:rFonts w:ascii="Bookman Old Style" w:hAnsi="Bookman Old Style"/>
          <w:sz w:val="28"/>
          <w:szCs w:val="28"/>
        </w:rPr>
        <w:t xml:space="preserve"> </w:t>
      </w:r>
      <w:r w:rsidR="000E22F7" w:rsidRPr="000E22F7">
        <w:rPr>
          <w:rFonts w:ascii="Bookman Old Style" w:hAnsi="Bookman Old Style"/>
          <w:sz w:val="28"/>
          <w:szCs w:val="28"/>
        </w:rPr>
        <w:t>the accused</w:t>
      </w:r>
      <w:r>
        <w:rPr>
          <w:rFonts w:ascii="Bookman Old Style" w:hAnsi="Bookman Old Style"/>
          <w:sz w:val="28"/>
          <w:szCs w:val="28"/>
        </w:rPr>
        <w:t xml:space="preserve"> was 17 years of age at the time he committed the offence.  He was 27 years of age when he was finally convicted and came up for sentence.  </w:t>
      </w:r>
    </w:p>
    <w:p w:rsidR="00636F5A" w:rsidRDefault="00636F5A" w:rsidP="00636F5A">
      <w:pPr>
        <w:spacing w:line="360" w:lineRule="auto"/>
        <w:jc w:val="both"/>
        <w:rPr>
          <w:rFonts w:ascii="Bookman Old Style" w:hAnsi="Bookman Old Style"/>
          <w:sz w:val="28"/>
          <w:szCs w:val="28"/>
        </w:rPr>
      </w:pPr>
      <w:r w:rsidRPr="00636F5A">
        <w:rPr>
          <w:rFonts w:ascii="Bookman Old Style" w:hAnsi="Bookman Old Style"/>
          <w:sz w:val="28"/>
          <w:szCs w:val="28"/>
        </w:rPr>
        <w:t>[2]</w:t>
      </w:r>
      <w:r w:rsidRPr="00636F5A">
        <w:rPr>
          <w:rFonts w:ascii="Bookman Old Style" w:hAnsi="Bookman Old Style"/>
          <w:sz w:val="28"/>
          <w:szCs w:val="28"/>
        </w:rPr>
        <w:tab/>
      </w:r>
      <w:r w:rsidR="00287C9A" w:rsidRPr="00287C9A">
        <w:rPr>
          <w:rFonts w:ascii="Bookman Old Style" w:hAnsi="Bookman Old Style"/>
          <w:sz w:val="28"/>
          <w:szCs w:val="28"/>
        </w:rPr>
        <w:t xml:space="preserve">Immediately </w:t>
      </w:r>
      <w:r w:rsidR="00114622">
        <w:rPr>
          <w:rFonts w:ascii="Bookman Old Style" w:hAnsi="Bookman Old Style"/>
          <w:sz w:val="28"/>
          <w:szCs w:val="28"/>
        </w:rPr>
        <w:t xml:space="preserve">upon </w:t>
      </w:r>
      <w:r w:rsidR="00287C9A">
        <w:rPr>
          <w:rFonts w:ascii="Bookman Old Style" w:hAnsi="Bookman Old Style"/>
          <w:sz w:val="28"/>
          <w:szCs w:val="28"/>
        </w:rPr>
        <w:t>conviction of the accused</w:t>
      </w:r>
      <w:r w:rsidR="00287C9A" w:rsidRPr="00287C9A">
        <w:rPr>
          <w:rFonts w:ascii="Bookman Old Style" w:hAnsi="Bookman Old Style"/>
          <w:sz w:val="28"/>
          <w:szCs w:val="28"/>
        </w:rPr>
        <w:t xml:space="preserve">, </w:t>
      </w:r>
      <w:r w:rsidR="000136D7" w:rsidRPr="000136D7">
        <w:rPr>
          <w:rFonts w:ascii="Bookman Old Style" w:hAnsi="Bookman Old Style"/>
          <w:sz w:val="28"/>
          <w:szCs w:val="28"/>
        </w:rPr>
        <w:t xml:space="preserve">the High Court reserved a question of law </w:t>
      </w:r>
      <w:r w:rsidR="000136D7">
        <w:rPr>
          <w:rFonts w:ascii="Bookman Old Style" w:hAnsi="Bookman Old Style"/>
          <w:sz w:val="28"/>
          <w:szCs w:val="28"/>
        </w:rPr>
        <w:t xml:space="preserve">on sentence </w:t>
      </w:r>
      <w:r w:rsidR="000136D7" w:rsidRPr="000136D7">
        <w:rPr>
          <w:rFonts w:ascii="Bookman Old Style" w:hAnsi="Bookman Old Style"/>
          <w:sz w:val="28"/>
          <w:szCs w:val="28"/>
        </w:rPr>
        <w:t>for consideration by th</w:t>
      </w:r>
      <w:r w:rsidR="000136D7">
        <w:rPr>
          <w:rFonts w:ascii="Bookman Old Style" w:hAnsi="Bookman Old Style"/>
          <w:sz w:val="28"/>
          <w:szCs w:val="28"/>
        </w:rPr>
        <w:t>is Court</w:t>
      </w:r>
      <w:r w:rsidR="000136D7" w:rsidRPr="000136D7">
        <w:rPr>
          <w:rFonts w:ascii="Bookman Old Style" w:hAnsi="Bookman Old Style"/>
          <w:sz w:val="28"/>
          <w:szCs w:val="28"/>
        </w:rPr>
        <w:t>.</w:t>
      </w:r>
      <w:r w:rsidR="00B64B06" w:rsidRPr="00B64B06">
        <w:t xml:space="preserve"> </w:t>
      </w:r>
      <w:r w:rsidR="00B64B06" w:rsidRPr="00B64B06">
        <w:rPr>
          <w:rFonts w:ascii="Bookman Old Style" w:hAnsi="Bookman Old Style"/>
          <w:sz w:val="28"/>
          <w:szCs w:val="28"/>
        </w:rPr>
        <w:t xml:space="preserve">The question formulated by the learned judge in terms of section 15 (1) of the Court of Appeal Act, </w:t>
      </w:r>
      <w:r w:rsidR="00D131D7">
        <w:rPr>
          <w:rFonts w:ascii="Bookman Old Style" w:hAnsi="Bookman Old Style"/>
          <w:sz w:val="28"/>
          <w:szCs w:val="28"/>
        </w:rPr>
        <w:t xml:space="preserve">1978, </w:t>
      </w:r>
      <w:r w:rsidR="00B64B06" w:rsidRPr="00B64B06">
        <w:rPr>
          <w:rFonts w:ascii="Bookman Old Style" w:hAnsi="Bookman Old Style"/>
          <w:sz w:val="28"/>
          <w:szCs w:val="28"/>
        </w:rPr>
        <w:t>was framed as follows:</w:t>
      </w:r>
      <w:r w:rsidR="000136D7" w:rsidRPr="000136D7">
        <w:rPr>
          <w:rFonts w:ascii="Bookman Old Style" w:hAnsi="Bookman Old Style"/>
          <w:sz w:val="28"/>
          <w:szCs w:val="28"/>
        </w:rPr>
        <w:t xml:space="preserve">  </w:t>
      </w:r>
    </w:p>
    <w:p w:rsidR="00636F5A" w:rsidRPr="004102B4" w:rsidRDefault="00636F5A" w:rsidP="00121D8A">
      <w:pPr>
        <w:spacing w:line="240" w:lineRule="auto"/>
        <w:ind w:left="567" w:right="567"/>
        <w:jc w:val="both"/>
        <w:rPr>
          <w:rFonts w:ascii="Bookman Old Style" w:hAnsi="Bookman Old Style"/>
          <w:sz w:val="24"/>
          <w:szCs w:val="24"/>
        </w:rPr>
      </w:pPr>
      <w:r w:rsidRPr="004102B4">
        <w:rPr>
          <w:rFonts w:ascii="Bookman Old Style" w:hAnsi="Bookman Old Style"/>
          <w:sz w:val="24"/>
          <w:szCs w:val="24"/>
        </w:rPr>
        <w:t>In C of A (CRI) NO</w:t>
      </w:r>
      <w:r w:rsidR="00B13525" w:rsidRPr="004102B4">
        <w:rPr>
          <w:rFonts w:ascii="Bookman Old Style" w:hAnsi="Bookman Old Style"/>
          <w:sz w:val="24"/>
          <w:szCs w:val="24"/>
        </w:rPr>
        <w:t xml:space="preserve"> </w:t>
      </w:r>
      <w:r w:rsidRPr="004102B4">
        <w:rPr>
          <w:rFonts w:ascii="Bookman Old Style" w:hAnsi="Bookman Old Style"/>
          <w:sz w:val="24"/>
          <w:szCs w:val="24"/>
        </w:rPr>
        <w:t xml:space="preserve">2 of 2005 </w:t>
      </w:r>
      <w:proofErr w:type="spellStart"/>
      <w:r w:rsidRPr="004102B4">
        <w:rPr>
          <w:rFonts w:ascii="Bookman Old Style" w:hAnsi="Bookman Old Style"/>
          <w:sz w:val="24"/>
          <w:szCs w:val="24"/>
        </w:rPr>
        <w:t>Phamong</w:t>
      </w:r>
      <w:proofErr w:type="spellEnd"/>
      <w:r w:rsidRPr="004102B4">
        <w:rPr>
          <w:rFonts w:ascii="Bookman Old Style" w:hAnsi="Bookman Old Style"/>
          <w:sz w:val="24"/>
          <w:szCs w:val="24"/>
        </w:rPr>
        <w:t xml:space="preserve"> </w:t>
      </w:r>
      <w:proofErr w:type="spellStart"/>
      <w:r w:rsidRPr="004102B4">
        <w:rPr>
          <w:rFonts w:ascii="Bookman Old Style" w:hAnsi="Bookman Old Style"/>
          <w:sz w:val="24"/>
          <w:szCs w:val="24"/>
        </w:rPr>
        <w:t>Mohale</w:t>
      </w:r>
      <w:proofErr w:type="spellEnd"/>
      <w:r w:rsidRPr="004102B4">
        <w:rPr>
          <w:rFonts w:ascii="Bookman Old Style" w:hAnsi="Bookman Old Style"/>
          <w:sz w:val="24"/>
          <w:szCs w:val="24"/>
        </w:rPr>
        <w:t xml:space="preserve"> first appellant and Khotso </w:t>
      </w:r>
      <w:proofErr w:type="spellStart"/>
      <w:r w:rsidRPr="004102B4">
        <w:rPr>
          <w:rFonts w:ascii="Bookman Old Style" w:hAnsi="Bookman Old Style"/>
          <w:sz w:val="24"/>
          <w:szCs w:val="24"/>
        </w:rPr>
        <w:t>Mohale</w:t>
      </w:r>
      <w:proofErr w:type="spellEnd"/>
      <w:r w:rsidRPr="004102B4">
        <w:rPr>
          <w:rFonts w:ascii="Bookman Old Style" w:hAnsi="Bookman Old Style"/>
          <w:sz w:val="24"/>
          <w:szCs w:val="24"/>
        </w:rPr>
        <w:t xml:space="preserve"> second appellant vs REX Respondent:.  The Court of Appeal</w:t>
      </w:r>
      <w:r w:rsidR="00B13525" w:rsidRPr="004102B4">
        <w:rPr>
          <w:rFonts w:ascii="Bookman Old Style" w:hAnsi="Bookman Old Style"/>
          <w:sz w:val="24"/>
          <w:szCs w:val="24"/>
        </w:rPr>
        <w:t>,</w:t>
      </w:r>
      <w:r w:rsidRPr="004102B4">
        <w:rPr>
          <w:rFonts w:ascii="Bookman Old Style" w:hAnsi="Bookman Old Style"/>
          <w:sz w:val="24"/>
          <w:szCs w:val="24"/>
        </w:rPr>
        <w:t xml:space="preserve"> </w:t>
      </w:r>
      <w:proofErr w:type="spellStart"/>
      <w:r w:rsidRPr="004102B4">
        <w:rPr>
          <w:rFonts w:ascii="Bookman Old Style" w:hAnsi="Bookman Old Style"/>
          <w:sz w:val="24"/>
          <w:szCs w:val="24"/>
        </w:rPr>
        <w:t>Ramodibedi</w:t>
      </w:r>
      <w:proofErr w:type="spellEnd"/>
      <w:r w:rsidRPr="004102B4">
        <w:rPr>
          <w:rFonts w:ascii="Bookman Old Style" w:hAnsi="Bookman Old Style"/>
          <w:sz w:val="24"/>
          <w:szCs w:val="24"/>
        </w:rPr>
        <w:t xml:space="preserve"> JA </w:t>
      </w:r>
      <w:r w:rsidR="00B13525" w:rsidRPr="004102B4">
        <w:rPr>
          <w:rFonts w:ascii="Bookman Old Style" w:hAnsi="Bookman Old Style"/>
          <w:sz w:val="24"/>
          <w:szCs w:val="24"/>
        </w:rPr>
        <w:t>[</w:t>
      </w:r>
      <w:r w:rsidRPr="004102B4">
        <w:rPr>
          <w:rFonts w:ascii="Bookman Old Style" w:hAnsi="Bookman Old Style"/>
          <w:sz w:val="24"/>
          <w:szCs w:val="24"/>
        </w:rPr>
        <w:t xml:space="preserve">with </w:t>
      </w:r>
      <w:proofErr w:type="spellStart"/>
      <w:r w:rsidRPr="004102B4">
        <w:rPr>
          <w:rFonts w:ascii="Bookman Old Style" w:hAnsi="Bookman Old Style"/>
          <w:sz w:val="24"/>
          <w:szCs w:val="24"/>
        </w:rPr>
        <w:t>Grosskopf</w:t>
      </w:r>
      <w:proofErr w:type="spellEnd"/>
      <w:r w:rsidRPr="004102B4">
        <w:rPr>
          <w:rFonts w:ascii="Bookman Old Style" w:hAnsi="Bookman Old Style"/>
          <w:sz w:val="24"/>
          <w:szCs w:val="24"/>
        </w:rPr>
        <w:t xml:space="preserve"> JA and </w:t>
      </w:r>
      <w:proofErr w:type="spellStart"/>
      <w:r w:rsidRPr="004102B4">
        <w:rPr>
          <w:rFonts w:ascii="Bookman Old Style" w:hAnsi="Bookman Old Style"/>
          <w:sz w:val="24"/>
          <w:szCs w:val="24"/>
        </w:rPr>
        <w:t>Melunsky</w:t>
      </w:r>
      <w:proofErr w:type="spellEnd"/>
      <w:r w:rsidRPr="004102B4">
        <w:rPr>
          <w:rFonts w:ascii="Bookman Old Style" w:hAnsi="Bookman Old Style"/>
          <w:sz w:val="24"/>
          <w:szCs w:val="24"/>
        </w:rPr>
        <w:t xml:space="preserve"> concurring</w:t>
      </w:r>
      <w:r w:rsidR="00B13525" w:rsidRPr="004102B4">
        <w:rPr>
          <w:rFonts w:ascii="Bookman Old Style" w:hAnsi="Bookman Old Style"/>
          <w:sz w:val="24"/>
          <w:szCs w:val="24"/>
        </w:rPr>
        <w:t>]</w:t>
      </w:r>
      <w:r w:rsidRPr="004102B4">
        <w:rPr>
          <w:rFonts w:ascii="Bookman Old Style" w:hAnsi="Bookman Old Style"/>
          <w:sz w:val="24"/>
          <w:szCs w:val="24"/>
        </w:rPr>
        <w:t xml:space="preserve"> held as</w:t>
      </w:r>
      <w:r w:rsidR="00D131D7">
        <w:rPr>
          <w:rFonts w:ascii="Bookman Old Style" w:hAnsi="Bookman Old Style"/>
          <w:sz w:val="24"/>
          <w:szCs w:val="24"/>
        </w:rPr>
        <w:t xml:space="preserve"> follows</w:t>
      </w:r>
      <w:r w:rsidRPr="004102B4">
        <w:rPr>
          <w:rFonts w:ascii="Bookman Old Style" w:hAnsi="Bookman Old Style"/>
          <w:sz w:val="24"/>
          <w:szCs w:val="24"/>
        </w:rPr>
        <w:t>:</w:t>
      </w:r>
    </w:p>
    <w:p w:rsidR="00636F5A" w:rsidRPr="004102B4" w:rsidRDefault="00636F5A" w:rsidP="00CD1742">
      <w:pPr>
        <w:spacing w:line="240" w:lineRule="auto"/>
        <w:ind w:left="851" w:right="851"/>
        <w:jc w:val="both"/>
        <w:rPr>
          <w:rFonts w:ascii="Bookman Old Style" w:hAnsi="Bookman Old Style"/>
          <w:sz w:val="24"/>
          <w:szCs w:val="24"/>
        </w:rPr>
      </w:pPr>
      <w:r w:rsidRPr="004102B4">
        <w:rPr>
          <w:rFonts w:ascii="Bookman Old Style" w:hAnsi="Bookman Old Style"/>
          <w:sz w:val="24"/>
          <w:szCs w:val="24"/>
        </w:rPr>
        <w:t>“I</w:t>
      </w:r>
      <w:r w:rsidR="00121D8A" w:rsidRPr="004102B4">
        <w:rPr>
          <w:rFonts w:ascii="Bookman Old Style" w:hAnsi="Bookman Old Style"/>
          <w:sz w:val="24"/>
          <w:szCs w:val="24"/>
        </w:rPr>
        <w:t xml:space="preserve">t follows from these considerations that the correct interpretation of section </w:t>
      </w:r>
      <w:r w:rsidRPr="004102B4">
        <w:rPr>
          <w:rFonts w:ascii="Bookman Old Style" w:hAnsi="Bookman Old Style"/>
          <w:sz w:val="24"/>
          <w:szCs w:val="24"/>
        </w:rPr>
        <w:t>2</w:t>
      </w:r>
      <w:r w:rsidR="00CD4783">
        <w:rPr>
          <w:rFonts w:ascii="Bookman Old Style" w:hAnsi="Bookman Old Style"/>
          <w:sz w:val="24"/>
          <w:szCs w:val="24"/>
        </w:rPr>
        <w:t>6</w:t>
      </w:r>
      <w:r w:rsidRPr="004102B4">
        <w:rPr>
          <w:rFonts w:ascii="Bookman Old Style" w:hAnsi="Bookman Old Style"/>
          <w:sz w:val="24"/>
          <w:szCs w:val="24"/>
        </w:rPr>
        <w:t xml:space="preserve"> (1) </w:t>
      </w:r>
      <w:r w:rsidR="00121D8A" w:rsidRPr="004102B4">
        <w:rPr>
          <w:rFonts w:ascii="Bookman Old Style" w:hAnsi="Bookman Old Style"/>
          <w:sz w:val="24"/>
          <w:szCs w:val="24"/>
        </w:rPr>
        <w:t xml:space="preserve">of the </w:t>
      </w:r>
      <w:r w:rsidRPr="004102B4">
        <w:rPr>
          <w:rFonts w:ascii="Bookman Old Style" w:hAnsi="Bookman Old Style"/>
          <w:sz w:val="24"/>
          <w:szCs w:val="24"/>
        </w:rPr>
        <w:t>C</w:t>
      </w:r>
      <w:r w:rsidR="00121D8A" w:rsidRPr="004102B4">
        <w:rPr>
          <w:rFonts w:ascii="Bookman Old Style" w:hAnsi="Bookman Old Style"/>
          <w:sz w:val="24"/>
          <w:szCs w:val="24"/>
        </w:rPr>
        <w:t>hildren’s</w:t>
      </w:r>
      <w:r w:rsidR="00CD4783">
        <w:rPr>
          <w:rFonts w:ascii="Bookman Old Style" w:hAnsi="Bookman Old Style"/>
          <w:sz w:val="24"/>
          <w:szCs w:val="24"/>
        </w:rPr>
        <w:t xml:space="preserve"> </w:t>
      </w:r>
      <w:r w:rsidRPr="004102B4">
        <w:rPr>
          <w:rFonts w:ascii="Bookman Old Style" w:hAnsi="Bookman Old Style"/>
          <w:sz w:val="24"/>
          <w:szCs w:val="24"/>
        </w:rPr>
        <w:t>A</w:t>
      </w:r>
      <w:r w:rsidR="00121D8A" w:rsidRPr="004102B4">
        <w:rPr>
          <w:rFonts w:ascii="Bookman Old Style" w:hAnsi="Bookman Old Style"/>
          <w:sz w:val="24"/>
          <w:szCs w:val="24"/>
        </w:rPr>
        <w:t>ct</w:t>
      </w:r>
      <w:r w:rsidR="00CD1742" w:rsidRPr="004102B4">
        <w:rPr>
          <w:rFonts w:ascii="Bookman Old Style" w:hAnsi="Bookman Old Style"/>
          <w:sz w:val="24"/>
          <w:szCs w:val="24"/>
        </w:rPr>
        <w:t>,</w:t>
      </w:r>
      <w:r w:rsidRPr="004102B4">
        <w:rPr>
          <w:rFonts w:ascii="Bookman Old Style" w:hAnsi="Bookman Old Style"/>
          <w:sz w:val="24"/>
          <w:szCs w:val="24"/>
        </w:rPr>
        <w:t xml:space="preserve"> </w:t>
      </w:r>
      <w:r w:rsidR="00CD1742" w:rsidRPr="004102B4">
        <w:rPr>
          <w:rFonts w:ascii="Bookman Old Style" w:hAnsi="Bookman Old Style"/>
          <w:sz w:val="24"/>
          <w:szCs w:val="24"/>
        </w:rPr>
        <w:t xml:space="preserve">in my judgment, is that if at the date of </w:t>
      </w:r>
      <w:r w:rsidR="00BB5947" w:rsidRPr="004102B4">
        <w:rPr>
          <w:rFonts w:ascii="Bookman Old Style" w:hAnsi="Bookman Old Style"/>
          <w:sz w:val="24"/>
          <w:szCs w:val="24"/>
        </w:rPr>
        <w:t>sentence,</w:t>
      </w:r>
      <w:r w:rsidR="00CD1742" w:rsidRPr="004102B4">
        <w:rPr>
          <w:rFonts w:ascii="Bookman Old Style" w:hAnsi="Bookman Old Style"/>
          <w:sz w:val="24"/>
          <w:szCs w:val="24"/>
        </w:rPr>
        <w:t xml:space="preserve"> the accused has attained the age of 18 years,</w:t>
      </w:r>
      <w:r w:rsidRPr="004102B4">
        <w:rPr>
          <w:rFonts w:ascii="Bookman Old Style" w:hAnsi="Bookman Old Style"/>
          <w:sz w:val="24"/>
          <w:szCs w:val="24"/>
        </w:rPr>
        <w:t xml:space="preserve"> </w:t>
      </w:r>
      <w:r w:rsidR="00CD1742" w:rsidRPr="004102B4">
        <w:rPr>
          <w:rFonts w:ascii="Bookman Old Style" w:hAnsi="Bookman Old Style"/>
          <w:sz w:val="24"/>
          <w:szCs w:val="24"/>
        </w:rPr>
        <w:t>it is within the court’s discretion to impose whatever sentence it deems appropriate in the circumstances</w:t>
      </w:r>
      <w:r w:rsidRPr="004102B4">
        <w:rPr>
          <w:rFonts w:ascii="Bookman Old Style" w:hAnsi="Bookman Old Style"/>
          <w:sz w:val="24"/>
          <w:szCs w:val="24"/>
        </w:rPr>
        <w:t>.</w:t>
      </w:r>
      <w:r w:rsidR="00CD1742" w:rsidRPr="004102B4">
        <w:rPr>
          <w:rFonts w:ascii="Bookman Old Style" w:hAnsi="Bookman Old Style"/>
          <w:sz w:val="24"/>
          <w:szCs w:val="24"/>
        </w:rPr>
        <w:t xml:space="preserve"> Put</w:t>
      </w:r>
      <w:r w:rsidR="00121D8A" w:rsidRPr="004102B4">
        <w:rPr>
          <w:rFonts w:ascii="Bookman Old Style" w:hAnsi="Bookman Old Style"/>
          <w:sz w:val="24"/>
          <w:szCs w:val="24"/>
        </w:rPr>
        <w:t xml:space="preserve"> differently the relevant age for consideration for the purposes of </w:t>
      </w:r>
      <w:r w:rsidR="00D131D7">
        <w:rPr>
          <w:rFonts w:ascii="Bookman Old Style" w:hAnsi="Bookman Old Style"/>
          <w:sz w:val="24"/>
          <w:szCs w:val="24"/>
        </w:rPr>
        <w:t xml:space="preserve">section </w:t>
      </w:r>
      <w:r w:rsidRPr="004102B4">
        <w:rPr>
          <w:rFonts w:ascii="Bookman Old Style" w:hAnsi="Bookman Old Style"/>
          <w:sz w:val="24"/>
          <w:szCs w:val="24"/>
        </w:rPr>
        <w:t xml:space="preserve">26 (1) </w:t>
      </w:r>
      <w:r w:rsidR="00121D8A" w:rsidRPr="004102B4">
        <w:rPr>
          <w:rFonts w:ascii="Bookman Old Style" w:hAnsi="Bookman Old Style"/>
          <w:sz w:val="24"/>
          <w:szCs w:val="24"/>
        </w:rPr>
        <w:t xml:space="preserve">is the age </w:t>
      </w:r>
      <w:r w:rsidR="00CD1742" w:rsidRPr="004102B4">
        <w:rPr>
          <w:rFonts w:ascii="Bookman Old Style" w:hAnsi="Bookman Old Style"/>
          <w:sz w:val="24"/>
          <w:szCs w:val="24"/>
        </w:rPr>
        <w:t>on the date of sentence</w:t>
      </w:r>
      <w:r w:rsidR="00CD4783">
        <w:rPr>
          <w:rFonts w:ascii="Bookman Old Style" w:hAnsi="Bookman Old Style"/>
          <w:sz w:val="24"/>
          <w:szCs w:val="24"/>
        </w:rPr>
        <w:t>.</w:t>
      </w:r>
      <w:r w:rsidRPr="004102B4">
        <w:rPr>
          <w:rFonts w:ascii="Bookman Old Style" w:hAnsi="Bookman Old Style"/>
          <w:sz w:val="24"/>
          <w:szCs w:val="24"/>
        </w:rPr>
        <w:t>”</w:t>
      </w:r>
    </w:p>
    <w:p w:rsidR="00636F5A" w:rsidRPr="004102B4" w:rsidRDefault="00636F5A" w:rsidP="00121D8A">
      <w:pPr>
        <w:spacing w:line="240" w:lineRule="auto"/>
        <w:ind w:left="567" w:right="567"/>
        <w:jc w:val="both"/>
        <w:rPr>
          <w:rFonts w:ascii="Bookman Old Style" w:hAnsi="Bookman Old Style"/>
          <w:sz w:val="24"/>
          <w:szCs w:val="24"/>
        </w:rPr>
      </w:pPr>
      <w:r w:rsidRPr="004102B4">
        <w:rPr>
          <w:rFonts w:ascii="Bookman Old Style" w:hAnsi="Bookman Old Style"/>
          <w:sz w:val="24"/>
          <w:szCs w:val="24"/>
        </w:rPr>
        <w:t xml:space="preserve">My dilemma arose out of the apparent conflict of this </w:t>
      </w:r>
      <w:r w:rsidRPr="004102B4">
        <w:rPr>
          <w:rFonts w:ascii="Bookman Old Style" w:hAnsi="Bookman Old Style"/>
          <w:i/>
          <w:sz w:val="24"/>
          <w:szCs w:val="24"/>
        </w:rPr>
        <w:t>dicta</w:t>
      </w:r>
      <w:r w:rsidRPr="004102B4">
        <w:rPr>
          <w:rFonts w:ascii="Bookman Old Style" w:hAnsi="Bookman Old Style"/>
          <w:sz w:val="24"/>
          <w:szCs w:val="24"/>
        </w:rPr>
        <w:t xml:space="preserve"> and the provisions of section 12 (4) of the Constitution which provide</w:t>
      </w:r>
      <w:r w:rsidR="00B13525" w:rsidRPr="004102B4">
        <w:rPr>
          <w:rFonts w:ascii="Bookman Old Style" w:hAnsi="Bookman Old Style"/>
          <w:sz w:val="24"/>
          <w:szCs w:val="24"/>
        </w:rPr>
        <w:t xml:space="preserve"> that</w:t>
      </w:r>
      <w:r w:rsidRPr="004102B4">
        <w:rPr>
          <w:rFonts w:ascii="Bookman Old Style" w:hAnsi="Bookman Old Style"/>
          <w:sz w:val="24"/>
          <w:szCs w:val="24"/>
        </w:rPr>
        <w:t>:</w:t>
      </w:r>
    </w:p>
    <w:p w:rsidR="00FD6724" w:rsidRPr="004102B4" w:rsidRDefault="00FD6724" w:rsidP="00B13525">
      <w:pPr>
        <w:spacing w:line="240" w:lineRule="auto"/>
        <w:ind w:left="851" w:right="851"/>
        <w:jc w:val="both"/>
        <w:rPr>
          <w:rFonts w:ascii="Bookman Old Style" w:hAnsi="Bookman Old Style"/>
          <w:b/>
          <w:sz w:val="24"/>
          <w:szCs w:val="24"/>
        </w:rPr>
      </w:pPr>
      <w:r w:rsidRPr="004102B4">
        <w:rPr>
          <w:rFonts w:ascii="Bookman Old Style" w:hAnsi="Bookman Old Style"/>
          <w:sz w:val="24"/>
          <w:szCs w:val="24"/>
        </w:rPr>
        <w:t>“</w:t>
      </w:r>
      <w:r w:rsidR="00B13525" w:rsidRPr="004102B4">
        <w:rPr>
          <w:sz w:val="24"/>
          <w:szCs w:val="24"/>
        </w:rPr>
        <w:t xml:space="preserve">No person shall be held to be guilty of a criminal offence on account of any act or omission that did not, at the time it took place, constitute such an offence, and no penalty shall be imposed for a criminal offence that is </w:t>
      </w:r>
      <w:r w:rsidR="00B13525" w:rsidRPr="004102B4">
        <w:rPr>
          <w:sz w:val="24"/>
          <w:szCs w:val="24"/>
        </w:rPr>
        <w:lastRenderedPageBreak/>
        <w:t>severer in degree or description than the maximum penalty that might have been imposed for that offence at the time when it was committed.”</w:t>
      </w:r>
    </w:p>
    <w:p w:rsidR="00FD6724" w:rsidRPr="004102B4" w:rsidRDefault="00045399" w:rsidP="00121D8A">
      <w:pPr>
        <w:spacing w:line="240" w:lineRule="auto"/>
        <w:ind w:left="567" w:right="567"/>
        <w:jc w:val="both"/>
        <w:rPr>
          <w:rFonts w:ascii="Bookman Old Style" w:hAnsi="Bookman Old Style"/>
          <w:sz w:val="24"/>
          <w:szCs w:val="24"/>
        </w:rPr>
      </w:pPr>
      <w:r w:rsidRPr="004102B4">
        <w:rPr>
          <w:rFonts w:ascii="Bookman Old Style" w:hAnsi="Bookman Old Style"/>
          <w:sz w:val="24"/>
          <w:szCs w:val="24"/>
        </w:rPr>
        <w:t>The</w:t>
      </w:r>
      <w:r w:rsidR="00B13525" w:rsidRPr="004102B4">
        <w:rPr>
          <w:rFonts w:ascii="Bookman Old Style" w:hAnsi="Bookman Old Style"/>
          <w:sz w:val="24"/>
          <w:szCs w:val="24"/>
        </w:rPr>
        <w:t xml:space="preserve"> sentence of incarceration which seems called for on this instance where the court of appeal in the </w:t>
      </w:r>
      <w:proofErr w:type="spellStart"/>
      <w:r w:rsidR="00B13525" w:rsidRPr="004102B4">
        <w:rPr>
          <w:rFonts w:ascii="Bookman Old Style" w:hAnsi="Bookman Old Style"/>
          <w:sz w:val="24"/>
          <w:szCs w:val="24"/>
        </w:rPr>
        <w:t>Mohale</w:t>
      </w:r>
      <w:proofErr w:type="spellEnd"/>
      <w:r w:rsidR="00B13525" w:rsidRPr="004102B4">
        <w:rPr>
          <w:rFonts w:ascii="Bookman Old Style" w:hAnsi="Bookman Old Style"/>
          <w:sz w:val="24"/>
          <w:szCs w:val="24"/>
        </w:rPr>
        <w:t xml:space="preserve"> case says I am at large to impose, seems to me to be in conflict with the clear provisions of the Constitution as to the relevant time for the imposi</w:t>
      </w:r>
      <w:r w:rsidR="00375EE6">
        <w:rPr>
          <w:rFonts w:ascii="Bookman Old Style" w:hAnsi="Bookman Old Style"/>
          <w:sz w:val="24"/>
          <w:szCs w:val="24"/>
        </w:rPr>
        <w:t>tion of the sentence.</w:t>
      </w:r>
    </w:p>
    <w:p w:rsidR="00295B6C" w:rsidRDefault="00D0257C" w:rsidP="00885A64">
      <w:pPr>
        <w:spacing w:line="360" w:lineRule="auto"/>
        <w:jc w:val="both"/>
        <w:rPr>
          <w:rFonts w:ascii="Bookman Old Style" w:hAnsi="Bookman Old Style"/>
          <w:sz w:val="28"/>
          <w:szCs w:val="28"/>
        </w:rPr>
      </w:pPr>
      <w:r>
        <w:rPr>
          <w:rFonts w:ascii="Bookman Old Style" w:hAnsi="Bookman Old Style"/>
          <w:sz w:val="28"/>
          <w:szCs w:val="28"/>
        </w:rPr>
        <w:t>[3</w:t>
      </w:r>
      <w:r w:rsidR="00287C9A">
        <w:rPr>
          <w:rFonts w:ascii="Bookman Old Style" w:hAnsi="Bookman Old Style"/>
          <w:sz w:val="28"/>
          <w:szCs w:val="28"/>
        </w:rPr>
        <w:t>] Although</w:t>
      </w:r>
      <w:r w:rsidR="00045399">
        <w:rPr>
          <w:rFonts w:ascii="Bookman Old Style" w:hAnsi="Bookman Old Style"/>
          <w:sz w:val="28"/>
          <w:szCs w:val="28"/>
        </w:rPr>
        <w:t xml:space="preserve"> th</w:t>
      </w:r>
      <w:r w:rsidR="00287C9A">
        <w:rPr>
          <w:rFonts w:ascii="Bookman Old Style" w:hAnsi="Bookman Old Style"/>
          <w:sz w:val="28"/>
          <w:szCs w:val="28"/>
        </w:rPr>
        <w:t>e present</w:t>
      </w:r>
      <w:r w:rsidR="00045399">
        <w:rPr>
          <w:rFonts w:ascii="Bookman Old Style" w:hAnsi="Bookman Old Style"/>
          <w:sz w:val="28"/>
          <w:szCs w:val="28"/>
        </w:rPr>
        <w:t xml:space="preserve"> matter did not originally appear on the </w:t>
      </w:r>
      <w:proofErr w:type="spellStart"/>
      <w:r w:rsidR="00045399">
        <w:rPr>
          <w:rFonts w:ascii="Bookman Old Style" w:hAnsi="Bookman Old Style"/>
          <w:sz w:val="28"/>
          <w:szCs w:val="28"/>
        </w:rPr>
        <w:t>roll</w:t>
      </w:r>
      <w:proofErr w:type="spellEnd"/>
      <w:r w:rsidR="00045399">
        <w:rPr>
          <w:rFonts w:ascii="Bookman Old Style" w:hAnsi="Bookman Old Style"/>
          <w:sz w:val="28"/>
          <w:szCs w:val="28"/>
        </w:rPr>
        <w:t xml:space="preserve"> of cases for this session, by its very nature, it cried out for urgent consideration. It therefore had to be enrolled and considered. The </w:t>
      </w:r>
      <w:r w:rsidR="0061529E">
        <w:rPr>
          <w:rFonts w:ascii="Bookman Old Style" w:hAnsi="Bookman Old Style"/>
          <w:sz w:val="28"/>
          <w:szCs w:val="28"/>
        </w:rPr>
        <w:t>counse</w:t>
      </w:r>
      <w:r w:rsidR="00045399">
        <w:rPr>
          <w:rFonts w:ascii="Bookman Old Style" w:hAnsi="Bookman Old Style"/>
          <w:sz w:val="28"/>
          <w:szCs w:val="28"/>
        </w:rPr>
        <w:t xml:space="preserve">l appearing in the matter were </w:t>
      </w:r>
      <w:r w:rsidR="0061529E">
        <w:rPr>
          <w:rFonts w:ascii="Bookman Old Style" w:hAnsi="Bookman Old Style"/>
          <w:sz w:val="28"/>
          <w:szCs w:val="28"/>
        </w:rPr>
        <w:t xml:space="preserve">invited and </w:t>
      </w:r>
      <w:r w:rsidR="00045399">
        <w:rPr>
          <w:rFonts w:ascii="Bookman Old Style" w:hAnsi="Bookman Old Style"/>
          <w:sz w:val="28"/>
          <w:szCs w:val="28"/>
        </w:rPr>
        <w:t xml:space="preserve">directed to prepare </w:t>
      </w:r>
      <w:r w:rsidR="0061529E">
        <w:rPr>
          <w:rFonts w:ascii="Bookman Old Style" w:hAnsi="Bookman Old Style"/>
          <w:sz w:val="28"/>
          <w:szCs w:val="28"/>
        </w:rPr>
        <w:t>to</w:t>
      </w:r>
      <w:r w:rsidR="00045399">
        <w:rPr>
          <w:rFonts w:ascii="Bookman Old Style" w:hAnsi="Bookman Old Style"/>
          <w:sz w:val="28"/>
          <w:szCs w:val="28"/>
        </w:rPr>
        <w:t xml:space="preserve"> address the Court on the </w:t>
      </w:r>
      <w:r w:rsidR="00287C9A">
        <w:rPr>
          <w:rFonts w:ascii="Bookman Old Style" w:hAnsi="Bookman Old Style"/>
          <w:sz w:val="28"/>
          <w:szCs w:val="28"/>
        </w:rPr>
        <w:t xml:space="preserve">above </w:t>
      </w:r>
      <w:r w:rsidR="00045399">
        <w:rPr>
          <w:rFonts w:ascii="Bookman Old Style" w:hAnsi="Bookman Old Style"/>
          <w:sz w:val="28"/>
          <w:szCs w:val="28"/>
        </w:rPr>
        <w:t>issues raised by the learned judge.</w:t>
      </w:r>
      <w:r w:rsidR="00287C9A">
        <w:rPr>
          <w:rFonts w:ascii="Bookman Old Style" w:hAnsi="Bookman Old Style"/>
          <w:sz w:val="28"/>
          <w:szCs w:val="28"/>
        </w:rPr>
        <w:t xml:space="preserve"> The matter was ultimately placed before us.</w:t>
      </w:r>
    </w:p>
    <w:p w:rsidR="0086470A" w:rsidRPr="0086470A" w:rsidRDefault="0086470A" w:rsidP="00885A64">
      <w:pPr>
        <w:spacing w:line="360" w:lineRule="auto"/>
        <w:jc w:val="both"/>
        <w:rPr>
          <w:rFonts w:ascii="Bookman Old Style" w:hAnsi="Bookman Old Style"/>
          <w:b/>
          <w:sz w:val="28"/>
          <w:szCs w:val="28"/>
        </w:rPr>
      </w:pPr>
      <w:r w:rsidRPr="0086470A">
        <w:rPr>
          <w:rFonts w:ascii="Bookman Old Style" w:hAnsi="Bookman Old Style"/>
          <w:b/>
          <w:sz w:val="28"/>
          <w:szCs w:val="28"/>
        </w:rPr>
        <w:t>Factual Matrix</w:t>
      </w:r>
    </w:p>
    <w:p w:rsidR="0086470A" w:rsidRDefault="00B269F0" w:rsidP="0015183A">
      <w:pPr>
        <w:spacing w:line="360" w:lineRule="auto"/>
        <w:jc w:val="both"/>
        <w:rPr>
          <w:rFonts w:ascii="Bookman Old Style" w:hAnsi="Bookman Old Style"/>
          <w:sz w:val="28"/>
          <w:szCs w:val="28"/>
        </w:rPr>
      </w:pPr>
      <w:r w:rsidRPr="00B269F0">
        <w:rPr>
          <w:rFonts w:ascii="Bookman Old Style" w:hAnsi="Bookman Old Style"/>
          <w:sz w:val="28"/>
          <w:szCs w:val="28"/>
        </w:rPr>
        <w:t xml:space="preserve">[4] </w:t>
      </w:r>
      <w:r w:rsidR="0061529E">
        <w:rPr>
          <w:rFonts w:ascii="Bookman Old Style" w:hAnsi="Bookman Old Style"/>
          <w:sz w:val="28"/>
          <w:szCs w:val="28"/>
        </w:rPr>
        <w:t>The facts that led to the prosecution of the accused are not complicated. They are that, the</w:t>
      </w:r>
      <w:r w:rsidR="0086470A">
        <w:rPr>
          <w:rFonts w:ascii="Bookman Old Style" w:hAnsi="Bookman Old Style"/>
          <w:sz w:val="28"/>
          <w:szCs w:val="28"/>
        </w:rPr>
        <w:t xml:space="preserve"> </w:t>
      </w:r>
      <w:r w:rsidR="00484786">
        <w:rPr>
          <w:rFonts w:ascii="Bookman Old Style" w:hAnsi="Bookman Old Style"/>
          <w:sz w:val="28"/>
          <w:szCs w:val="28"/>
        </w:rPr>
        <w:t>accus</w:t>
      </w:r>
      <w:r w:rsidR="0086470A">
        <w:rPr>
          <w:rFonts w:ascii="Bookman Old Style" w:hAnsi="Bookman Old Style"/>
          <w:sz w:val="28"/>
          <w:szCs w:val="28"/>
        </w:rPr>
        <w:t xml:space="preserve">ed </w:t>
      </w:r>
      <w:r w:rsidR="0086470A" w:rsidRPr="0086470A">
        <w:rPr>
          <w:rFonts w:ascii="Bookman Old Style" w:hAnsi="Bookman Old Style"/>
          <w:sz w:val="28"/>
          <w:szCs w:val="28"/>
        </w:rPr>
        <w:t xml:space="preserve">was charged with the crime of </w:t>
      </w:r>
      <w:r w:rsidR="0086470A">
        <w:rPr>
          <w:rFonts w:ascii="Bookman Old Style" w:hAnsi="Bookman Old Style"/>
          <w:sz w:val="28"/>
          <w:szCs w:val="28"/>
        </w:rPr>
        <w:t>murder in that, upon or about the 11</w:t>
      </w:r>
      <w:r w:rsidR="0086470A" w:rsidRPr="0086470A">
        <w:rPr>
          <w:rFonts w:ascii="Bookman Old Style" w:hAnsi="Bookman Old Style"/>
          <w:sz w:val="28"/>
          <w:szCs w:val="28"/>
          <w:vertAlign w:val="superscript"/>
        </w:rPr>
        <w:t>th</w:t>
      </w:r>
      <w:r w:rsidR="0086470A">
        <w:rPr>
          <w:rFonts w:ascii="Bookman Old Style" w:hAnsi="Bookman Old Style"/>
          <w:sz w:val="28"/>
          <w:szCs w:val="28"/>
        </w:rPr>
        <w:t xml:space="preserve"> day of July 2010 at or near </w:t>
      </w:r>
      <w:proofErr w:type="spellStart"/>
      <w:r w:rsidR="0086470A">
        <w:rPr>
          <w:rFonts w:ascii="Bookman Old Style" w:hAnsi="Bookman Old Style"/>
          <w:sz w:val="28"/>
          <w:szCs w:val="28"/>
        </w:rPr>
        <w:t>Liphakoeng</w:t>
      </w:r>
      <w:proofErr w:type="spellEnd"/>
      <w:r w:rsidR="0086470A">
        <w:rPr>
          <w:rFonts w:ascii="Bookman Old Style" w:hAnsi="Bookman Old Style"/>
          <w:sz w:val="28"/>
          <w:szCs w:val="28"/>
        </w:rPr>
        <w:t xml:space="preserve"> </w:t>
      </w:r>
      <w:proofErr w:type="spellStart"/>
      <w:r w:rsidR="0086470A">
        <w:rPr>
          <w:rFonts w:ascii="Bookman Old Style" w:hAnsi="Bookman Old Style"/>
          <w:sz w:val="28"/>
          <w:szCs w:val="28"/>
        </w:rPr>
        <w:t>Malieleng</w:t>
      </w:r>
      <w:proofErr w:type="spellEnd"/>
      <w:r w:rsidR="0086470A">
        <w:rPr>
          <w:rFonts w:ascii="Bookman Old Style" w:hAnsi="Bookman Old Style"/>
          <w:sz w:val="28"/>
          <w:szCs w:val="28"/>
        </w:rPr>
        <w:t xml:space="preserve"> in the district of Berea, he unlawfully and intentionally killed one </w:t>
      </w:r>
      <w:proofErr w:type="spellStart"/>
      <w:r w:rsidR="0086470A">
        <w:rPr>
          <w:rFonts w:ascii="Bookman Old Style" w:hAnsi="Bookman Old Style"/>
          <w:sz w:val="28"/>
          <w:szCs w:val="28"/>
        </w:rPr>
        <w:t>Lethibela</w:t>
      </w:r>
      <w:proofErr w:type="spellEnd"/>
      <w:r w:rsidR="0086470A">
        <w:rPr>
          <w:rFonts w:ascii="Bookman Old Style" w:hAnsi="Bookman Old Style"/>
          <w:sz w:val="28"/>
          <w:szCs w:val="28"/>
        </w:rPr>
        <w:t xml:space="preserve"> </w:t>
      </w:r>
      <w:proofErr w:type="spellStart"/>
      <w:r w:rsidR="0086470A">
        <w:rPr>
          <w:rFonts w:ascii="Bookman Old Style" w:hAnsi="Bookman Old Style"/>
          <w:sz w:val="28"/>
          <w:szCs w:val="28"/>
        </w:rPr>
        <w:t>Letsipa</w:t>
      </w:r>
      <w:proofErr w:type="spellEnd"/>
      <w:r w:rsidR="0086470A">
        <w:rPr>
          <w:rFonts w:ascii="Bookman Old Style" w:hAnsi="Bookman Old Style"/>
          <w:sz w:val="28"/>
          <w:szCs w:val="28"/>
        </w:rPr>
        <w:t xml:space="preserve"> by stabbing him with a knife. He pleaded not guilty to the charge. </w:t>
      </w:r>
      <w:r w:rsidR="0069315C">
        <w:rPr>
          <w:rFonts w:ascii="Bookman Old Style" w:hAnsi="Bookman Old Style"/>
          <w:sz w:val="28"/>
          <w:szCs w:val="28"/>
        </w:rPr>
        <w:t>On 27 May 2019</w:t>
      </w:r>
      <w:r w:rsidR="0086470A">
        <w:rPr>
          <w:rFonts w:ascii="Bookman Old Style" w:hAnsi="Bookman Old Style"/>
          <w:sz w:val="28"/>
          <w:szCs w:val="28"/>
        </w:rPr>
        <w:t>, he was found guilty of murder.</w:t>
      </w:r>
      <w:r w:rsidR="0086470A" w:rsidRPr="0086470A">
        <w:rPr>
          <w:rFonts w:ascii="Bookman Old Style" w:hAnsi="Bookman Old Style"/>
          <w:sz w:val="28"/>
          <w:szCs w:val="28"/>
        </w:rPr>
        <w:t xml:space="preserve"> </w:t>
      </w:r>
      <w:r w:rsidR="004D39EB">
        <w:rPr>
          <w:rFonts w:ascii="Bookman Old Style" w:hAnsi="Bookman Old Style"/>
          <w:sz w:val="28"/>
          <w:szCs w:val="28"/>
        </w:rPr>
        <w:t xml:space="preserve">Later on, the court determined the existence of </w:t>
      </w:r>
      <w:r w:rsidR="00FC31CA">
        <w:rPr>
          <w:rFonts w:ascii="Bookman Old Style" w:hAnsi="Bookman Old Style"/>
          <w:sz w:val="28"/>
          <w:szCs w:val="28"/>
        </w:rPr>
        <w:t>extenuating circumstances.</w:t>
      </w:r>
      <w:r w:rsidR="0015183A" w:rsidRPr="0015183A">
        <w:t xml:space="preserve"> </w:t>
      </w:r>
      <w:r w:rsidR="00214E97">
        <w:rPr>
          <w:rFonts w:ascii="Bookman Old Style" w:hAnsi="Bookman Old Style"/>
          <w:sz w:val="28"/>
          <w:szCs w:val="28"/>
        </w:rPr>
        <w:t>The accused</w:t>
      </w:r>
      <w:r w:rsidR="0015183A" w:rsidRPr="0015183A">
        <w:rPr>
          <w:rFonts w:ascii="Bookman Old Style" w:hAnsi="Bookman Old Style"/>
          <w:sz w:val="28"/>
          <w:szCs w:val="28"/>
        </w:rPr>
        <w:t xml:space="preserve"> is described in the charge sheet as being aged 17</w:t>
      </w:r>
      <w:r w:rsidR="0015183A">
        <w:rPr>
          <w:rFonts w:ascii="Bookman Old Style" w:hAnsi="Bookman Old Style"/>
          <w:sz w:val="28"/>
          <w:szCs w:val="28"/>
        </w:rPr>
        <w:t xml:space="preserve"> </w:t>
      </w:r>
      <w:r w:rsidR="0015183A" w:rsidRPr="0015183A">
        <w:rPr>
          <w:rFonts w:ascii="Bookman Old Style" w:hAnsi="Bookman Old Style"/>
          <w:sz w:val="28"/>
          <w:szCs w:val="28"/>
        </w:rPr>
        <w:t>y</w:t>
      </w:r>
      <w:r w:rsidR="00214E97">
        <w:rPr>
          <w:rFonts w:ascii="Bookman Old Style" w:hAnsi="Bookman Old Style"/>
          <w:sz w:val="28"/>
          <w:szCs w:val="28"/>
        </w:rPr>
        <w:t>ears on the date of the commission of the offence</w:t>
      </w:r>
      <w:r w:rsidR="0015183A" w:rsidRPr="0015183A">
        <w:rPr>
          <w:rFonts w:ascii="Bookman Old Style" w:hAnsi="Bookman Old Style"/>
          <w:sz w:val="28"/>
          <w:szCs w:val="28"/>
        </w:rPr>
        <w:t xml:space="preserve">. If that is so, he </w:t>
      </w:r>
      <w:r w:rsidR="00214E97">
        <w:rPr>
          <w:rFonts w:ascii="Bookman Old Style" w:hAnsi="Bookman Old Style"/>
          <w:sz w:val="28"/>
          <w:szCs w:val="28"/>
        </w:rPr>
        <w:t>was</w:t>
      </w:r>
      <w:r w:rsidR="00484786">
        <w:rPr>
          <w:rFonts w:ascii="Bookman Old Style" w:hAnsi="Bookman Old Style"/>
          <w:sz w:val="28"/>
          <w:szCs w:val="28"/>
        </w:rPr>
        <w:t>,</w:t>
      </w:r>
      <w:r w:rsidR="00214E97">
        <w:rPr>
          <w:rFonts w:ascii="Bookman Old Style" w:hAnsi="Bookman Old Style"/>
          <w:sz w:val="28"/>
          <w:szCs w:val="28"/>
        </w:rPr>
        <w:t xml:space="preserve"> </w:t>
      </w:r>
      <w:r w:rsidR="0015183A" w:rsidRPr="0015183A">
        <w:rPr>
          <w:rFonts w:ascii="Bookman Old Style" w:hAnsi="Bookman Old Style"/>
          <w:sz w:val="28"/>
          <w:szCs w:val="28"/>
        </w:rPr>
        <w:t>is in terms of the Children's</w:t>
      </w:r>
      <w:r w:rsidR="0015183A">
        <w:rPr>
          <w:rFonts w:ascii="Bookman Old Style" w:hAnsi="Bookman Old Style"/>
          <w:sz w:val="28"/>
          <w:szCs w:val="28"/>
        </w:rPr>
        <w:t xml:space="preserve"> </w:t>
      </w:r>
      <w:r w:rsidR="0015183A" w:rsidRPr="0015183A">
        <w:rPr>
          <w:rFonts w:ascii="Bookman Old Style" w:hAnsi="Bookman Old Style"/>
          <w:sz w:val="28"/>
          <w:szCs w:val="28"/>
        </w:rPr>
        <w:t>Protection</w:t>
      </w:r>
      <w:r w:rsidR="0015183A">
        <w:rPr>
          <w:rFonts w:ascii="Bookman Old Style" w:hAnsi="Bookman Old Style"/>
          <w:sz w:val="28"/>
          <w:szCs w:val="28"/>
        </w:rPr>
        <w:t xml:space="preserve"> </w:t>
      </w:r>
      <w:r w:rsidR="0015183A" w:rsidRPr="0015183A">
        <w:rPr>
          <w:rFonts w:ascii="Bookman Old Style" w:hAnsi="Bookman Old Style"/>
          <w:sz w:val="28"/>
          <w:szCs w:val="28"/>
        </w:rPr>
        <w:t>Act,</w:t>
      </w:r>
      <w:r w:rsidR="00484786">
        <w:rPr>
          <w:rFonts w:ascii="Bookman Old Style" w:hAnsi="Bookman Old Style"/>
          <w:sz w:val="28"/>
          <w:szCs w:val="28"/>
        </w:rPr>
        <w:t xml:space="preserve"> 1980,</w:t>
      </w:r>
      <w:r w:rsidR="0015183A" w:rsidRPr="0015183A">
        <w:rPr>
          <w:rFonts w:ascii="Bookman Old Style" w:hAnsi="Bookman Old Style"/>
          <w:sz w:val="28"/>
          <w:szCs w:val="28"/>
        </w:rPr>
        <w:t xml:space="preserve"> a child. Section 2 the</w:t>
      </w:r>
      <w:r w:rsidR="00214E97">
        <w:rPr>
          <w:rFonts w:ascii="Bookman Old Style" w:hAnsi="Bookman Old Style"/>
          <w:sz w:val="28"/>
          <w:szCs w:val="28"/>
        </w:rPr>
        <w:t xml:space="preserve"> Act</w:t>
      </w:r>
      <w:r w:rsidR="0015183A" w:rsidRPr="0015183A">
        <w:rPr>
          <w:rFonts w:ascii="Bookman Old Style" w:hAnsi="Bookman Old Style"/>
          <w:sz w:val="28"/>
          <w:szCs w:val="28"/>
        </w:rPr>
        <w:t xml:space="preserve"> describes a child as an</w:t>
      </w:r>
      <w:r w:rsidR="00214E97">
        <w:rPr>
          <w:rFonts w:ascii="Bookman Old Style" w:hAnsi="Bookman Old Style"/>
          <w:sz w:val="28"/>
          <w:szCs w:val="28"/>
        </w:rPr>
        <w:t xml:space="preserve"> </w:t>
      </w:r>
      <w:r w:rsidR="0015183A" w:rsidRPr="0015183A">
        <w:rPr>
          <w:rFonts w:ascii="Bookman Old Style" w:hAnsi="Bookman Old Style"/>
          <w:sz w:val="28"/>
          <w:szCs w:val="28"/>
        </w:rPr>
        <w:t>unmarried person under the age of 18 years.</w:t>
      </w:r>
      <w:r w:rsidR="00214E97">
        <w:rPr>
          <w:rFonts w:ascii="Bookman Old Style" w:hAnsi="Bookman Old Style"/>
          <w:sz w:val="28"/>
          <w:szCs w:val="28"/>
        </w:rPr>
        <w:t xml:space="preserve"> More about this later.</w:t>
      </w:r>
    </w:p>
    <w:p w:rsidR="00805695" w:rsidRDefault="00805695" w:rsidP="00885A64">
      <w:pPr>
        <w:spacing w:line="360" w:lineRule="auto"/>
        <w:jc w:val="both"/>
        <w:rPr>
          <w:rFonts w:ascii="Bookman Old Style" w:hAnsi="Bookman Old Style"/>
          <w:b/>
          <w:sz w:val="28"/>
          <w:szCs w:val="28"/>
        </w:rPr>
      </w:pPr>
      <w:r w:rsidRPr="00805695">
        <w:rPr>
          <w:rFonts w:ascii="Bookman Old Style" w:hAnsi="Bookman Old Style"/>
          <w:b/>
          <w:sz w:val="28"/>
          <w:szCs w:val="28"/>
        </w:rPr>
        <w:t>The issue</w:t>
      </w:r>
    </w:p>
    <w:p w:rsidR="00E76E31" w:rsidRDefault="00B269F0" w:rsidP="00885A64">
      <w:pPr>
        <w:spacing w:line="360" w:lineRule="auto"/>
        <w:jc w:val="both"/>
        <w:rPr>
          <w:rFonts w:ascii="Bookman Old Style" w:hAnsi="Bookman Old Style"/>
          <w:sz w:val="28"/>
          <w:szCs w:val="28"/>
        </w:rPr>
      </w:pPr>
      <w:r>
        <w:rPr>
          <w:rFonts w:ascii="Bookman Old Style" w:hAnsi="Bookman Old Style"/>
          <w:sz w:val="28"/>
          <w:szCs w:val="28"/>
        </w:rPr>
        <w:lastRenderedPageBreak/>
        <w:t>[5</w:t>
      </w:r>
      <w:r w:rsidR="008749F3" w:rsidRPr="008749F3">
        <w:rPr>
          <w:rFonts w:ascii="Bookman Old Style" w:hAnsi="Bookman Old Style"/>
          <w:sz w:val="28"/>
          <w:szCs w:val="28"/>
        </w:rPr>
        <w:t xml:space="preserve">] </w:t>
      </w:r>
      <w:r w:rsidR="00805695" w:rsidRPr="00805695">
        <w:rPr>
          <w:rFonts w:ascii="Bookman Old Style" w:hAnsi="Bookman Old Style"/>
          <w:sz w:val="28"/>
          <w:szCs w:val="28"/>
        </w:rPr>
        <w:t xml:space="preserve">The issue raised in this </w:t>
      </w:r>
      <w:r w:rsidR="00805695">
        <w:rPr>
          <w:rFonts w:ascii="Bookman Old Style" w:hAnsi="Bookman Old Style"/>
          <w:sz w:val="28"/>
          <w:szCs w:val="28"/>
        </w:rPr>
        <w:t>reservation</w:t>
      </w:r>
      <w:r w:rsidR="00805695" w:rsidRPr="00805695">
        <w:rPr>
          <w:rFonts w:ascii="Bookman Old Style" w:hAnsi="Bookman Old Style"/>
          <w:sz w:val="28"/>
          <w:szCs w:val="28"/>
        </w:rPr>
        <w:t xml:space="preserve"> is whether</w:t>
      </w:r>
      <w:r w:rsidR="00CD4783">
        <w:rPr>
          <w:rFonts w:ascii="Bookman Old Style" w:hAnsi="Bookman Old Style"/>
          <w:sz w:val="28"/>
          <w:szCs w:val="28"/>
        </w:rPr>
        <w:t xml:space="preserve">, regard being </w:t>
      </w:r>
      <w:r w:rsidR="00375EE6">
        <w:rPr>
          <w:rFonts w:ascii="Bookman Old Style" w:hAnsi="Bookman Old Style"/>
          <w:sz w:val="28"/>
          <w:szCs w:val="28"/>
        </w:rPr>
        <w:t>had to</w:t>
      </w:r>
      <w:r w:rsidR="00CD4783">
        <w:rPr>
          <w:rFonts w:ascii="Bookman Old Style" w:hAnsi="Bookman Old Style"/>
          <w:sz w:val="28"/>
          <w:szCs w:val="28"/>
        </w:rPr>
        <w:t xml:space="preserve"> the provisions of </w:t>
      </w:r>
      <w:r w:rsidR="00E76E31" w:rsidRPr="00E76E31">
        <w:rPr>
          <w:rFonts w:ascii="Bookman Old Style" w:hAnsi="Bookman Old Style"/>
          <w:sz w:val="28"/>
          <w:szCs w:val="28"/>
        </w:rPr>
        <w:t xml:space="preserve"> </w:t>
      </w:r>
      <w:r w:rsidR="00CD4783" w:rsidRPr="00CD4783">
        <w:rPr>
          <w:rFonts w:ascii="Bookman Old Style" w:hAnsi="Bookman Old Style"/>
          <w:sz w:val="28"/>
          <w:szCs w:val="28"/>
        </w:rPr>
        <w:t xml:space="preserve">section 12(4) of the Constitution </w:t>
      </w:r>
      <w:r w:rsidR="00221EC0">
        <w:rPr>
          <w:rFonts w:ascii="Bookman Old Style" w:hAnsi="Bookman Old Style"/>
          <w:sz w:val="28"/>
          <w:szCs w:val="28"/>
        </w:rPr>
        <w:t>of Lesotho, 1993,</w:t>
      </w:r>
      <w:r w:rsidR="00E76E31" w:rsidRPr="00E76E31">
        <w:rPr>
          <w:rFonts w:ascii="Bookman Old Style" w:hAnsi="Bookman Old Style"/>
          <w:sz w:val="28"/>
          <w:szCs w:val="28"/>
        </w:rPr>
        <w:t xml:space="preserve">the decision of this </w:t>
      </w:r>
      <w:r w:rsidR="00E76E31" w:rsidRPr="000C0B30">
        <w:rPr>
          <w:rFonts w:ascii="Bookman Old Style" w:hAnsi="Bookman Old Style"/>
          <w:sz w:val="28"/>
          <w:szCs w:val="28"/>
        </w:rPr>
        <w:t xml:space="preserve">Court in </w:t>
      </w:r>
      <w:proofErr w:type="spellStart"/>
      <w:r w:rsidR="00E76E31" w:rsidRPr="000C0B30">
        <w:rPr>
          <w:rFonts w:ascii="Bookman Old Style" w:hAnsi="Bookman Old Style"/>
          <w:i/>
          <w:sz w:val="28"/>
          <w:szCs w:val="28"/>
        </w:rPr>
        <w:t>Mohale</w:t>
      </w:r>
      <w:proofErr w:type="spellEnd"/>
      <w:r w:rsidR="00E76E31" w:rsidRPr="000C0B30">
        <w:rPr>
          <w:rFonts w:ascii="Bookman Old Style" w:hAnsi="Bookman Old Style"/>
          <w:i/>
          <w:sz w:val="28"/>
          <w:szCs w:val="28"/>
        </w:rPr>
        <w:t xml:space="preserve"> and Another v Rex C of A (CRI) NO 2 of 2005</w:t>
      </w:r>
      <w:r w:rsidR="00E76E31" w:rsidRPr="000C0B30">
        <w:rPr>
          <w:rFonts w:ascii="Bookman Old Style" w:hAnsi="Bookman Old Style"/>
          <w:sz w:val="28"/>
          <w:szCs w:val="28"/>
        </w:rPr>
        <w:t xml:space="preserve"> </w:t>
      </w:r>
      <w:r w:rsidR="00CD4783" w:rsidRPr="000C0B30">
        <w:rPr>
          <w:rFonts w:ascii="Bookman Old Style" w:hAnsi="Bookman Old Style"/>
          <w:sz w:val="28"/>
          <w:szCs w:val="28"/>
        </w:rPr>
        <w:t>was correct in holding that, the relevant age for consideration for purposes</w:t>
      </w:r>
      <w:r w:rsidR="00CD4783" w:rsidRPr="00CD4783">
        <w:rPr>
          <w:rFonts w:ascii="Bookman Old Style" w:hAnsi="Bookman Old Style"/>
          <w:sz w:val="28"/>
          <w:szCs w:val="28"/>
        </w:rPr>
        <w:t xml:space="preserve"> of 26 (1) </w:t>
      </w:r>
      <w:r w:rsidR="00CD4783">
        <w:rPr>
          <w:rFonts w:ascii="Bookman Old Style" w:hAnsi="Bookman Old Style"/>
          <w:sz w:val="28"/>
          <w:szCs w:val="28"/>
        </w:rPr>
        <w:t xml:space="preserve">of the Children’s Protection Act, 1980, </w:t>
      </w:r>
      <w:r w:rsidR="00CD4783" w:rsidRPr="00CD4783">
        <w:rPr>
          <w:rFonts w:ascii="Bookman Old Style" w:hAnsi="Bookman Old Style"/>
          <w:sz w:val="28"/>
          <w:szCs w:val="28"/>
        </w:rPr>
        <w:t>is the age on the date of sentence</w:t>
      </w:r>
      <w:r w:rsidR="00CD4783">
        <w:rPr>
          <w:rFonts w:ascii="Bookman Old Style" w:hAnsi="Bookman Old Style"/>
          <w:sz w:val="28"/>
          <w:szCs w:val="28"/>
        </w:rPr>
        <w:t xml:space="preserve"> as opposed to the age on the commission of the offence.</w:t>
      </w:r>
      <w:r w:rsidR="00CD4783" w:rsidRPr="00CD4783">
        <w:rPr>
          <w:rFonts w:ascii="Bookman Old Style" w:hAnsi="Bookman Old Style"/>
          <w:sz w:val="28"/>
          <w:szCs w:val="28"/>
        </w:rPr>
        <w:t xml:space="preserve"> </w:t>
      </w:r>
    </w:p>
    <w:p w:rsidR="009E6D8A" w:rsidRPr="009E6D8A" w:rsidRDefault="009E6D8A" w:rsidP="00885A64">
      <w:pPr>
        <w:spacing w:line="360" w:lineRule="auto"/>
        <w:jc w:val="both"/>
        <w:rPr>
          <w:rFonts w:ascii="Bookman Old Style" w:hAnsi="Bookman Old Style"/>
          <w:b/>
          <w:sz w:val="28"/>
          <w:szCs w:val="28"/>
        </w:rPr>
      </w:pPr>
      <w:r w:rsidRPr="009E6D8A">
        <w:rPr>
          <w:rFonts w:ascii="Bookman Old Style" w:hAnsi="Bookman Old Style"/>
          <w:b/>
          <w:sz w:val="28"/>
          <w:szCs w:val="28"/>
        </w:rPr>
        <w:t>The law</w:t>
      </w:r>
    </w:p>
    <w:p w:rsidR="00985D13" w:rsidRDefault="00B269F0" w:rsidP="00885A64">
      <w:pPr>
        <w:spacing w:line="360" w:lineRule="auto"/>
        <w:jc w:val="both"/>
        <w:rPr>
          <w:rFonts w:ascii="Bookman Old Style" w:hAnsi="Bookman Old Style"/>
          <w:sz w:val="28"/>
          <w:szCs w:val="28"/>
        </w:rPr>
      </w:pPr>
      <w:r>
        <w:rPr>
          <w:rFonts w:ascii="Bookman Old Style" w:hAnsi="Bookman Old Style"/>
          <w:sz w:val="28"/>
          <w:szCs w:val="28"/>
        </w:rPr>
        <w:t>[6</w:t>
      </w:r>
      <w:r w:rsidRPr="00B269F0">
        <w:rPr>
          <w:rFonts w:ascii="Bookman Old Style" w:hAnsi="Bookman Old Style"/>
          <w:sz w:val="28"/>
          <w:szCs w:val="28"/>
        </w:rPr>
        <w:t xml:space="preserve">] </w:t>
      </w:r>
      <w:r w:rsidR="008749F3" w:rsidRPr="008749F3">
        <w:rPr>
          <w:rFonts w:ascii="Bookman Old Style" w:hAnsi="Bookman Old Style"/>
          <w:sz w:val="28"/>
          <w:szCs w:val="28"/>
        </w:rPr>
        <w:t>In order to deal with the specific question of law reserved, it is necessary to begin by examining the</w:t>
      </w:r>
      <w:r w:rsidR="00FC0AD2">
        <w:rPr>
          <w:rFonts w:ascii="Bookman Old Style" w:hAnsi="Bookman Old Style"/>
          <w:sz w:val="28"/>
          <w:szCs w:val="28"/>
        </w:rPr>
        <w:t xml:space="preserve"> constitutional and </w:t>
      </w:r>
      <w:r w:rsidR="008749F3" w:rsidRPr="008749F3">
        <w:rPr>
          <w:rFonts w:ascii="Bookman Old Style" w:hAnsi="Bookman Old Style"/>
          <w:sz w:val="28"/>
          <w:szCs w:val="28"/>
        </w:rPr>
        <w:t xml:space="preserve">legal framework within which the issue </w:t>
      </w:r>
      <w:r w:rsidR="003B07D7" w:rsidRPr="008749F3">
        <w:rPr>
          <w:rFonts w:ascii="Bookman Old Style" w:hAnsi="Bookman Old Style"/>
          <w:sz w:val="28"/>
          <w:szCs w:val="28"/>
        </w:rPr>
        <w:t>arises.</w:t>
      </w:r>
      <w:r w:rsidR="003B07D7">
        <w:rPr>
          <w:rFonts w:ascii="Bookman Old Style" w:hAnsi="Bookman Old Style"/>
          <w:sz w:val="28"/>
          <w:szCs w:val="28"/>
        </w:rPr>
        <w:t xml:space="preserve"> Section</w:t>
      </w:r>
      <w:r w:rsidR="00985D13">
        <w:rPr>
          <w:rFonts w:ascii="Bookman Old Style" w:hAnsi="Bookman Old Style"/>
          <w:sz w:val="28"/>
          <w:szCs w:val="28"/>
        </w:rPr>
        <w:t xml:space="preserve"> 2 of the Constitution of Lesotho,1993,  provides that, ‘[t]</w:t>
      </w:r>
      <w:r w:rsidR="00985D13" w:rsidRPr="00985D13">
        <w:rPr>
          <w:rFonts w:ascii="Bookman Old Style" w:hAnsi="Bookman Old Style"/>
          <w:sz w:val="28"/>
          <w:szCs w:val="28"/>
        </w:rPr>
        <w:t>his Constitution is the supreme law of Lesotho and if any other law is inconsistent</w:t>
      </w:r>
      <w:r w:rsidR="00985D13">
        <w:rPr>
          <w:rFonts w:ascii="Bookman Old Style" w:hAnsi="Bookman Old Style"/>
          <w:sz w:val="28"/>
          <w:szCs w:val="28"/>
        </w:rPr>
        <w:t xml:space="preserve"> </w:t>
      </w:r>
      <w:r w:rsidR="00985D13" w:rsidRPr="00985D13">
        <w:rPr>
          <w:rFonts w:ascii="Bookman Old Style" w:hAnsi="Bookman Old Style"/>
          <w:sz w:val="28"/>
          <w:szCs w:val="28"/>
        </w:rPr>
        <w:t>with this Constitution, that other law shall, to the extent of the inconsistency, be</w:t>
      </w:r>
      <w:r w:rsidR="00985D13">
        <w:rPr>
          <w:rFonts w:ascii="Bookman Old Style" w:hAnsi="Bookman Old Style"/>
          <w:sz w:val="28"/>
          <w:szCs w:val="28"/>
        </w:rPr>
        <w:t xml:space="preserve"> </w:t>
      </w:r>
      <w:r w:rsidR="00985D13" w:rsidRPr="00985D13">
        <w:rPr>
          <w:rFonts w:ascii="Bookman Old Style" w:hAnsi="Bookman Old Style"/>
          <w:sz w:val="28"/>
          <w:szCs w:val="28"/>
        </w:rPr>
        <w:t>void.</w:t>
      </w:r>
      <w:r w:rsidR="00985D13">
        <w:rPr>
          <w:rFonts w:ascii="Bookman Old Style" w:hAnsi="Bookman Old Style"/>
          <w:sz w:val="28"/>
          <w:szCs w:val="28"/>
        </w:rPr>
        <w:t xml:space="preserve">’ </w:t>
      </w:r>
      <w:r w:rsidR="00E66DC3">
        <w:rPr>
          <w:rFonts w:ascii="Bookman Old Style" w:hAnsi="Bookman Old Style"/>
          <w:sz w:val="28"/>
          <w:szCs w:val="28"/>
        </w:rPr>
        <w:t xml:space="preserve">In this context, </w:t>
      </w:r>
      <w:r w:rsidR="00E66DC3" w:rsidRPr="00E66DC3">
        <w:rPr>
          <w:rFonts w:ascii="Bookman Old Style" w:hAnsi="Bookman Old Style"/>
          <w:sz w:val="28"/>
          <w:szCs w:val="28"/>
        </w:rPr>
        <w:t>"law</w:t>
      </w:r>
      <w:r w:rsidR="00E66DC3">
        <w:rPr>
          <w:rFonts w:ascii="Bookman Old Style" w:hAnsi="Bookman Old Style"/>
          <w:sz w:val="28"/>
          <w:szCs w:val="28"/>
        </w:rPr>
        <w:t>” includes</w:t>
      </w:r>
      <w:r w:rsidR="00E66DC3" w:rsidRPr="00E66DC3">
        <w:rPr>
          <w:rFonts w:ascii="Bookman Old Style" w:hAnsi="Bookman Old Style"/>
          <w:sz w:val="28"/>
          <w:szCs w:val="28"/>
        </w:rPr>
        <w:t xml:space="preserve"> any instrument having the force of law made in exercise of a power</w:t>
      </w:r>
      <w:r w:rsidR="00E66DC3">
        <w:rPr>
          <w:rFonts w:ascii="Bookman Old Style" w:hAnsi="Bookman Old Style"/>
          <w:sz w:val="28"/>
          <w:szCs w:val="28"/>
        </w:rPr>
        <w:t xml:space="preserve"> </w:t>
      </w:r>
      <w:r w:rsidR="00E66DC3" w:rsidRPr="00E66DC3">
        <w:rPr>
          <w:rFonts w:ascii="Bookman Old Style" w:hAnsi="Bookman Old Style"/>
          <w:sz w:val="28"/>
          <w:szCs w:val="28"/>
        </w:rPr>
        <w:t>conferred by a law; and the customary law of Lesotho and any other unwritten rule of law</w:t>
      </w:r>
      <w:r w:rsidR="00E66DC3">
        <w:rPr>
          <w:rFonts w:ascii="Bookman Old Style" w:hAnsi="Bookman Old Style"/>
          <w:sz w:val="28"/>
          <w:szCs w:val="28"/>
        </w:rPr>
        <w:t>.</w:t>
      </w:r>
      <w:r w:rsidR="00E66DC3">
        <w:rPr>
          <w:rStyle w:val="FootnoteReference"/>
          <w:rFonts w:ascii="Bookman Old Style" w:hAnsi="Bookman Old Style"/>
          <w:sz w:val="28"/>
          <w:szCs w:val="28"/>
        </w:rPr>
        <w:footnoteReference w:id="1"/>
      </w:r>
      <w:r w:rsidR="00E66DC3" w:rsidRPr="00E66DC3">
        <w:rPr>
          <w:rFonts w:ascii="Bookman Old Style" w:hAnsi="Bookman Old Style"/>
          <w:sz w:val="28"/>
          <w:szCs w:val="28"/>
        </w:rPr>
        <w:t xml:space="preserve"> </w:t>
      </w:r>
      <w:r w:rsidR="00985D13">
        <w:rPr>
          <w:rFonts w:ascii="Bookman Old Style" w:hAnsi="Bookman Old Style"/>
          <w:sz w:val="28"/>
          <w:szCs w:val="28"/>
        </w:rPr>
        <w:t xml:space="preserve">Accordingly, </w:t>
      </w:r>
      <w:r w:rsidR="00985D13" w:rsidRPr="00985D13">
        <w:rPr>
          <w:rFonts w:ascii="Bookman Old Style" w:hAnsi="Bookman Old Style"/>
          <w:sz w:val="28"/>
          <w:szCs w:val="28"/>
        </w:rPr>
        <w:t>one</w:t>
      </w:r>
      <w:r w:rsidR="004C65D1" w:rsidRPr="004C65D1">
        <w:rPr>
          <w:rFonts w:ascii="Bookman Old Style" w:hAnsi="Bookman Old Style"/>
          <w:sz w:val="28"/>
          <w:szCs w:val="28"/>
        </w:rPr>
        <w:t xml:space="preserve"> of the consequences of </w:t>
      </w:r>
      <w:r w:rsidR="00985D13">
        <w:rPr>
          <w:rFonts w:ascii="Bookman Old Style" w:hAnsi="Bookman Old Style"/>
          <w:sz w:val="28"/>
          <w:szCs w:val="28"/>
        </w:rPr>
        <w:t xml:space="preserve">Lesotho’s </w:t>
      </w:r>
      <w:r w:rsidR="004C65D1" w:rsidRPr="004C65D1">
        <w:rPr>
          <w:rFonts w:ascii="Bookman Old Style" w:hAnsi="Bookman Old Style"/>
          <w:sz w:val="28"/>
          <w:szCs w:val="28"/>
        </w:rPr>
        <w:t>constitutional democracy is the requirement that all laws must be construed in light of the Constitution.  This requirement flows from the supremacy of the Constitution.</w:t>
      </w:r>
      <w:r w:rsidR="00985D13">
        <w:rPr>
          <w:rFonts w:ascii="Bookman Old Style" w:hAnsi="Bookman Old Style"/>
          <w:sz w:val="28"/>
          <w:szCs w:val="28"/>
        </w:rPr>
        <w:t xml:space="preserve"> </w:t>
      </w:r>
      <w:r w:rsidR="00985D13" w:rsidRPr="00985D13">
        <w:rPr>
          <w:rFonts w:ascii="Bookman Old Style" w:hAnsi="Bookman Old Style"/>
          <w:sz w:val="28"/>
          <w:szCs w:val="28"/>
        </w:rPr>
        <w:t xml:space="preserve">Thus, </w:t>
      </w:r>
      <w:r w:rsidR="00E66DC3">
        <w:rPr>
          <w:rFonts w:ascii="Bookman Old Style" w:hAnsi="Bookman Old Style"/>
          <w:sz w:val="28"/>
          <w:szCs w:val="28"/>
        </w:rPr>
        <w:t xml:space="preserve">all </w:t>
      </w:r>
      <w:r w:rsidR="003B07D7">
        <w:rPr>
          <w:rFonts w:ascii="Bookman Old Style" w:hAnsi="Bookman Old Style"/>
          <w:sz w:val="28"/>
          <w:szCs w:val="28"/>
        </w:rPr>
        <w:t xml:space="preserve">laws </w:t>
      </w:r>
      <w:r w:rsidR="003B07D7" w:rsidRPr="00985D13">
        <w:rPr>
          <w:rFonts w:ascii="Bookman Old Style" w:hAnsi="Bookman Old Style"/>
          <w:sz w:val="28"/>
          <w:szCs w:val="28"/>
        </w:rPr>
        <w:t>must</w:t>
      </w:r>
      <w:r w:rsidR="00985D13" w:rsidRPr="00985D13">
        <w:rPr>
          <w:rFonts w:ascii="Bookman Old Style" w:hAnsi="Bookman Old Style"/>
          <w:sz w:val="28"/>
          <w:szCs w:val="28"/>
        </w:rPr>
        <w:t xml:space="preserve"> be construed in a manner that will bring </w:t>
      </w:r>
      <w:r w:rsidR="00B82603">
        <w:rPr>
          <w:rFonts w:ascii="Bookman Old Style" w:hAnsi="Bookman Old Style"/>
          <w:sz w:val="28"/>
          <w:szCs w:val="28"/>
        </w:rPr>
        <w:t>them</w:t>
      </w:r>
      <w:r w:rsidR="00985D13" w:rsidRPr="00985D13">
        <w:rPr>
          <w:rFonts w:ascii="Bookman Old Style" w:hAnsi="Bookman Old Style"/>
          <w:sz w:val="28"/>
          <w:szCs w:val="28"/>
        </w:rPr>
        <w:t xml:space="preserve"> within </w:t>
      </w:r>
      <w:r w:rsidR="00B82603">
        <w:rPr>
          <w:rFonts w:ascii="Bookman Old Style" w:hAnsi="Bookman Old Style"/>
          <w:sz w:val="28"/>
          <w:szCs w:val="28"/>
        </w:rPr>
        <w:t xml:space="preserve">the </w:t>
      </w:r>
      <w:r w:rsidR="00985D13" w:rsidRPr="00985D13">
        <w:rPr>
          <w:rFonts w:ascii="Bookman Old Style" w:hAnsi="Bookman Old Style"/>
          <w:sz w:val="28"/>
          <w:szCs w:val="28"/>
        </w:rPr>
        <w:t>constitutional confines.</w:t>
      </w:r>
      <w:r w:rsidR="00985D13">
        <w:rPr>
          <w:rFonts w:ascii="Bookman Old Style" w:hAnsi="Bookman Old Style"/>
          <w:sz w:val="28"/>
          <w:szCs w:val="28"/>
        </w:rPr>
        <w:t xml:space="preserve"> </w:t>
      </w:r>
    </w:p>
    <w:p w:rsidR="009E6D8A" w:rsidRDefault="00B269F0" w:rsidP="00885A64">
      <w:pPr>
        <w:spacing w:line="360" w:lineRule="auto"/>
        <w:jc w:val="both"/>
        <w:rPr>
          <w:rFonts w:ascii="Bookman Old Style" w:hAnsi="Bookman Old Style"/>
          <w:sz w:val="28"/>
          <w:szCs w:val="28"/>
        </w:rPr>
      </w:pPr>
      <w:r>
        <w:rPr>
          <w:rFonts w:ascii="Bookman Old Style" w:hAnsi="Bookman Old Style"/>
          <w:sz w:val="28"/>
          <w:szCs w:val="28"/>
        </w:rPr>
        <w:t>[7</w:t>
      </w:r>
      <w:r w:rsidRPr="00B269F0">
        <w:rPr>
          <w:rFonts w:ascii="Bookman Old Style" w:hAnsi="Bookman Old Style"/>
          <w:sz w:val="28"/>
          <w:szCs w:val="28"/>
        </w:rPr>
        <w:t xml:space="preserve">] </w:t>
      </w:r>
      <w:r w:rsidR="009E6D8A" w:rsidRPr="009E6D8A">
        <w:rPr>
          <w:rFonts w:ascii="Bookman Old Style" w:hAnsi="Bookman Old Style"/>
          <w:sz w:val="28"/>
          <w:szCs w:val="28"/>
        </w:rPr>
        <w:t xml:space="preserve">This case presents this Court with an opportunity of defining the reach of the principles </w:t>
      </w:r>
      <w:r w:rsidR="004C65D1">
        <w:rPr>
          <w:rFonts w:ascii="Bookman Old Style" w:hAnsi="Bookman Old Style"/>
          <w:sz w:val="28"/>
          <w:szCs w:val="28"/>
        </w:rPr>
        <w:t xml:space="preserve">expressed by the courts of this country </w:t>
      </w:r>
      <w:r w:rsidR="009E6D8A" w:rsidRPr="009E6D8A">
        <w:rPr>
          <w:rFonts w:ascii="Bookman Old Style" w:hAnsi="Bookman Old Style"/>
          <w:sz w:val="28"/>
          <w:szCs w:val="28"/>
        </w:rPr>
        <w:t xml:space="preserve">in the context of the Constitution and the principle of </w:t>
      </w:r>
      <w:r w:rsidR="009E6D8A" w:rsidRPr="009E6D8A">
        <w:rPr>
          <w:rFonts w:ascii="Bookman Old Style" w:hAnsi="Bookman Old Style"/>
          <w:sz w:val="28"/>
          <w:szCs w:val="28"/>
        </w:rPr>
        <w:lastRenderedPageBreak/>
        <w:t>con</w:t>
      </w:r>
      <w:r w:rsidR="004102B4">
        <w:rPr>
          <w:rFonts w:ascii="Bookman Old Style" w:hAnsi="Bookman Old Style"/>
          <w:sz w:val="28"/>
          <w:szCs w:val="28"/>
        </w:rPr>
        <w:t xml:space="preserve">stitutional supremacy. </w:t>
      </w:r>
      <w:r w:rsidR="009E6D8A" w:rsidRPr="009E6D8A">
        <w:rPr>
          <w:rFonts w:ascii="Bookman Old Style" w:hAnsi="Bookman Old Style"/>
          <w:sz w:val="28"/>
          <w:szCs w:val="28"/>
        </w:rPr>
        <w:t xml:space="preserve">This is achieved by declaring invalid any conduct inconsistent with the Constitution. This is because decisions </w:t>
      </w:r>
      <w:r w:rsidR="009E6D8A">
        <w:rPr>
          <w:rFonts w:ascii="Bookman Old Style" w:hAnsi="Bookman Old Style"/>
          <w:sz w:val="28"/>
          <w:szCs w:val="28"/>
        </w:rPr>
        <w:t xml:space="preserve">of the courts of Lesotho must </w:t>
      </w:r>
      <w:r w:rsidR="009E6D8A" w:rsidRPr="009E6D8A">
        <w:rPr>
          <w:rFonts w:ascii="Bookman Old Style" w:hAnsi="Bookman Old Style"/>
          <w:sz w:val="28"/>
          <w:szCs w:val="28"/>
        </w:rPr>
        <w:t>derive their validity, as every precedent and other law, from the Constitution</w:t>
      </w:r>
      <w:r w:rsidR="00264028">
        <w:rPr>
          <w:rFonts w:ascii="Bookman Old Style" w:hAnsi="Bookman Old Style"/>
          <w:sz w:val="28"/>
          <w:szCs w:val="28"/>
        </w:rPr>
        <w:t xml:space="preserve"> of this country</w:t>
      </w:r>
      <w:r w:rsidR="009E6D8A" w:rsidRPr="009E6D8A">
        <w:rPr>
          <w:rFonts w:ascii="Bookman Old Style" w:hAnsi="Bookman Old Style"/>
          <w:sz w:val="28"/>
          <w:szCs w:val="28"/>
        </w:rPr>
        <w:t xml:space="preserve">. </w:t>
      </w:r>
    </w:p>
    <w:p w:rsidR="00780ACC" w:rsidRDefault="00B269F0" w:rsidP="00885A64">
      <w:pPr>
        <w:spacing w:line="360" w:lineRule="auto"/>
        <w:jc w:val="both"/>
      </w:pPr>
      <w:r>
        <w:rPr>
          <w:rFonts w:ascii="Bookman Old Style" w:hAnsi="Bookman Old Style"/>
          <w:sz w:val="28"/>
          <w:szCs w:val="28"/>
        </w:rPr>
        <w:t>[8</w:t>
      </w:r>
      <w:r w:rsidRPr="00B269F0">
        <w:rPr>
          <w:rFonts w:ascii="Bookman Old Style" w:hAnsi="Bookman Old Style"/>
          <w:sz w:val="28"/>
          <w:szCs w:val="28"/>
        </w:rPr>
        <w:t xml:space="preserve">] </w:t>
      </w:r>
      <w:r w:rsidR="0069145B">
        <w:rPr>
          <w:rFonts w:ascii="Bookman Old Style" w:hAnsi="Bookman Old Style"/>
          <w:sz w:val="28"/>
          <w:szCs w:val="28"/>
        </w:rPr>
        <w:t>Section 12</w:t>
      </w:r>
      <w:r w:rsidR="0069145B" w:rsidRPr="0069145B">
        <w:rPr>
          <w:rFonts w:ascii="Bookman Old Style" w:hAnsi="Bookman Old Style"/>
          <w:sz w:val="28"/>
          <w:szCs w:val="28"/>
        </w:rPr>
        <w:t xml:space="preserve"> of the Constitution contains various provisions to secure the protection of the law for a person charged with a criminal offence. </w:t>
      </w:r>
      <w:r w:rsidR="00780ACC">
        <w:rPr>
          <w:rFonts w:ascii="Bookman Old Style" w:hAnsi="Bookman Old Style"/>
          <w:sz w:val="28"/>
          <w:szCs w:val="28"/>
        </w:rPr>
        <w:t>Section</w:t>
      </w:r>
      <w:r w:rsidR="006D3757">
        <w:rPr>
          <w:rFonts w:ascii="Bookman Old Style" w:hAnsi="Bookman Old Style"/>
          <w:sz w:val="28"/>
          <w:szCs w:val="28"/>
        </w:rPr>
        <w:t xml:space="preserve"> 12 (4) of the Constitution provides</w:t>
      </w:r>
      <w:r w:rsidR="00780ACC">
        <w:rPr>
          <w:rFonts w:ascii="Bookman Old Style" w:hAnsi="Bookman Old Style"/>
          <w:sz w:val="28"/>
          <w:szCs w:val="28"/>
        </w:rPr>
        <w:t xml:space="preserve"> that</w:t>
      </w:r>
      <w:r w:rsidR="00CD5E09">
        <w:rPr>
          <w:rFonts w:ascii="Bookman Old Style" w:hAnsi="Bookman Old Style"/>
          <w:sz w:val="28"/>
          <w:szCs w:val="28"/>
        </w:rPr>
        <w:t>, ‘</w:t>
      </w:r>
      <w:r w:rsidR="00FB253A">
        <w:rPr>
          <w:rFonts w:ascii="Bookman Old Style" w:hAnsi="Bookman Old Style"/>
          <w:sz w:val="28"/>
          <w:szCs w:val="28"/>
        </w:rPr>
        <w:t>…</w:t>
      </w:r>
      <w:r w:rsidR="006D3757" w:rsidRPr="006D3757">
        <w:rPr>
          <w:rFonts w:ascii="Bookman Old Style" w:hAnsi="Bookman Old Style"/>
          <w:sz w:val="28"/>
          <w:szCs w:val="28"/>
        </w:rPr>
        <w:t>no penalty shall be imposed for a criminal offence that is severer in degree or description than the maximum penalty that might have been imposed for that offence at the time when it was committed.</w:t>
      </w:r>
      <w:r w:rsidR="006D3757">
        <w:rPr>
          <w:rFonts w:ascii="Bookman Old Style" w:hAnsi="Bookman Old Style"/>
          <w:sz w:val="28"/>
          <w:szCs w:val="28"/>
        </w:rPr>
        <w:t xml:space="preserve">’ </w:t>
      </w:r>
      <w:r w:rsidR="002934B2">
        <w:rPr>
          <w:rFonts w:ascii="Bookman Old Style" w:hAnsi="Bookman Old Style"/>
          <w:sz w:val="28"/>
          <w:szCs w:val="28"/>
        </w:rPr>
        <w:t xml:space="preserve">This section, must be </w:t>
      </w:r>
      <w:r w:rsidR="002934B2" w:rsidRPr="002934B2">
        <w:rPr>
          <w:rFonts w:ascii="Bookman Old Style" w:hAnsi="Bookman Old Style"/>
          <w:sz w:val="28"/>
          <w:szCs w:val="28"/>
        </w:rPr>
        <w:t>purposive</w:t>
      </w:r>
      <w:r w:rsidR="002934B2">
        <w:rPr>
          <w:rFonts w:ascii="Bookman Old Style" w:hAnsi="Bookman Old Style"/>
          <w:sz w:val="28"/>
          <w:szCs w:val="28"/>
        </w:rPr>
        <w:t>ly</w:t>
      </w:r>
      <w:r w:rsidR="002934B2" w:rsidRPr="002934B2">
        <w:rPr>
          <w:rFonts w:ascii="Bookman Old Style" w:hAnsi="Bookman Old Style"/>
          <w:sz w:val="28"/>
          <w:szCs w:val="28"/>
        </w:rPr>
        <w:t xml:space="preserve"> and generous</w:t>
      </w:r>
      <w:r w:rsidR="002934B2">
        <w:rPr>
          <w:rFonts w:ascii="Bookman Old Style" w:hAnsi="Bookman Old Style"/>
          <w:sz w:val="28"/>
          <w:szCs w:val="28"/>
        </w:rPr>
        <w:t>ly construed and understood so as to</w:t>
      </w:r>
      <w:r w:rsidR="002934B2" w:rsidRPr="002934B2">
        <w:rPr>
          <w:rFonts w:ascii="Bookman Old Style" w:hAnsi="Bookman Old Style"/>
          <w:sz w:val="28"/>
          <w:szCs w:val="28"/>
        </w:rPr>
        <w:t xml:space="preserve"> avoid what Lord Wilberforce called</w:t>
      </w:r>
      <w:r w:rsidR="002934B2">
        <w:rPr>
          <w:rFonts w:ascii="Bookman Old Style" w:hAnsi="Bookman Old Style"/>
          <w:sz w:val="28"/>
          <w:szCs w:val="28"/>
        </w:rPr>
        <w:t xml:space="preserve"> </w:t>
      </w:r>
      <w:r w:rsidR="002934B2" w:rsidRPr="002934B2">
        <w:rPr>
          <w:rFonts w:ascii="Bookman Old Style" w:hAnsi="Bookman Old Style"/>
          <w:sz w:val="28"/>
          <w:szCs w:val="28"/>
        </w:rPr>
        <w:t>"the austerity of tabulated legalism"</w:t>
      </w:r>
      <w:r w:rsidR="002934B2">
        <w:rPr>
          <w:rStyle w:val="FootnoteReference"/>
          <w:rFonts w:ascii="Bookman Old Style" w:hAnsi="Bookman Old Style"/>
          <w:sz w:val="28"/>
          <w:szCs w:val="28"/>
        </w:rPr>
        <w:footnoteReference w:id="2"/>
      </w:r>
      <w:r w:rsidR="00450511">
        <w:rPr>
          <w:rFonts w:ascii="Bookman Old Style" w:hAnsi="Bookman Old Style"/>
          <w:sz w:val="28"/>
          <w:szCs w:val="28"/>
        </w:rPr>
        <w:t>, “suitable to give to individuals the full measure of the fundamental rights and freedoms referred to.”</w:t>
      </w:r>
      <w:r w:rsidR="002934B2" w:rsidRPr="002934B2">
        <w:rPr>
          <w:rFonts w:ascii="Bookman Old Style" w:hAnsi="Bookman Old Style"/>
          <w:sz w:val="28"/>
          <w:szCs w:val="28"/>
        </w:rPr>
        <w:t xml:space="preserve"> </w:t>
      </w:r>
      <w:r w:rsidR="002934B2">
        <w:rPr>
          <w:rFonts w:ascii="Bookman Old Style" w:hAnsi="Bookman Old Style"/>
          <w:sz w:val="28"/>
          <w:szCs w:val="28"/>
        </w:rPr>
        <w:t xml:space="preserve"> </w:t>
      </w:r>
      <w:r w:rsidR="002934B2" w:rsidRPr="002934B2">
        <w:rPr>
          <w:rFonts w:ascii="Bookman Old Style" w:hAnsi="Bookman Old Style"/>
          <w:sz w:val="28"/>
          <w:szCs w:val="28"/>
        </w:rPr>
        <w:t>This</w:t>
      </w:r>
      <w:r w:rsidR="006D3757">
        <w:rPr>
          <w:rFonts w:ascii="Bookman Old Style" w:hAnsi="Bookman Old Style"/>
          <w:sz w:val="28"/>
          <w:szCs w:val="28"/>
        </w:rPr>
        <w:t xml:space="preserve"> provision embodies the principle of </w:t>
      </w:r>
      <w:r w:rsidR="006D3757" w:rsidRPr="00780ACC">
        <w:rPr>
          <w:rFonts w:ascii="Bookman Old Style" w:hAnsi="Bookman Old Style"/>
          <w:sz w:val="28"/>
          <w:szCs w:val="28"/>
        </w:rPr>
        <w:t>legality.</w:t>
      </w:r>
      <w:r w:rsidR="0069145B" w:rsidRPr="00780ACC">
        <w:rPr>
          <w:rFonts w:ascii="Bookman Old Style" w:hAnsi="Bookman Old Style"/>
          <w:sz w:val="28"/>
          <w:szCs w:val="28"/>
        </w:rPr>
        <w:t xml:space="preserve"> </w:t>
      </w:r>
      <w:r w:rsidR="00780ACC" w:rsidRPr="00780ACC">
        <w:rPr>
          <w:rFonts w:ascii="Bookman Old Style" w:hAnsi="Bookman Old Style"/>
          <w:sz w:val="28"/>
          <w:szCs w:val="28"/>
        </w:rPr>
        <w:t>In criminal law, the principle of legality guarantees the primacy of law in all criminal proceedings. It seeks fundamentally to afford an accused person the right to be tried and punished only in accordance with existing law.</w:t>
      </w:r>
      <w:r w:rsidR="00780ACC" w:rsidRPr="00780ACC">
        <w:t xml:space="preserve"> </w:t>
      </w:r>
    </w:p>
    <w:p w:rsidR="00F2397E" w:rsidRDefault="00B269F0" w:rsidP="00885A64">
      <w:pPr>
        <w:spacing w:line="360" w:lineRule="auto"/>
        <w:jc w:val="both"/>
        <w:rPr>
          <w:rFonts w:ascii="Bookman Old Style" w:hAnsi="Bookman Old Style"/>
          <w:sz w:val="28"/>
          <w:szCs w:val="28"/>
        </w:rPr>
      </w:pPr>
      <w:r w:rsidRPr="00B269F0">
        <w:rPr>
          <w:rFonts w:ascii="Bookman Old Style" w:hAnsi="Bookman Old Style"/>
          <w:sz w:val="28"/>
          <w:szCs w:val="28"/>
        </w:rPr>
        <w:t>[</w:t>
      </w:r>
      <w:r>
        <w:rPr>
          <w:rFonts w:ascii="Bookman Old Style" w:hAnsi="Bookman Old Style"/>
          <w:sz w:val="28"/>
          <w:szCs w:val="28"/>
        </w:rPr>
        <w:t>9</w:t>
      </w:r>
      <w:r w:rsidRPr="00B269F0">
        <w:rPr>
          <w:rFonts w:ascii="Bookman Old Style" w:hAnsi="Bookman Old Style"/>
          <w:sz w:val="28"/>
          <w:szCs w:val="28"/>
        </w:rPr>
        <w:t xml:space="preserve">] </w:t>
      </w:r>
      <w:r w:rsidR="00342FB8">
        <w:rPr>
          <w:rFonts w:ascii="Bookman Old Style" w:hAnsi="Bookman Old Style"/>
          <w:sz w:val="28"/>
          <w:szCs w:val="28"/>
        </w:rPr>
        <w:t xml:space="preserve">The section is not </w:t>
      </w:r>
      <w:r w:rsidR="00342FB8" w:rsidRPr="00342FB8">
        <w:rPr>
          <w:rFonts w:ascii="Bookman Old Style" w:hAnsi="Bookman Old Style"/>
          <w:sz w:val="28"/>
          <w:szCs w:val="28"/>
        </w:rPr>
        <w:t>confined to prohibiting the retrospective application of the criminal law to an accused’s disadvantage. It embodies the principle that only the law can define a crime and prescribe a penalty (</w:t>
      </w:r>
      <w:proofErr w:type="spellStart"/>
      <w:r w:rsidR="00342FB8" w:rsidRPr="00342FB8">
        <w:rPr>
          <w:rFonts w:ascii="Bookman Old Style" w:hAnsi="Bookman Old Style"/>
          <w:i/>
          <w:sz w:val="28"/>
          <w:szCs w:val="28"/>
        </w:rPr>
        <w:t>nullum</w:t>
      </w:r>
      <w:proofErr w:type="spellEnd"/>
      <w:r w:rsidR="00342FB8" w:rsidRPr="00342FB8">
        <w:rPr>
          <w:rFonts w:ascii="Bookman Old Style" w:hAnsi="Bookman Old Style"/>
          <w:i/>
          <w:sz w:val="28"/>
          <w:szCs w:val="28"/>
        </w:rPr>
        <w:t xml:space="preserve"> </w:t>
      </w:r>
      <w:proofErr w:type="spellStart"/>
      <w:r w:rsidR="00342FB8" w:rsidRPr="00342FB8">
        <w:rPr>
          <w:rFonts w:ascii="Bookman Old Style" w:hAnsi="Bookman Old Style"/>
          <w:i/>
          <w:sz w:val="28"/>
          <w:szCs w:val="28"/>
        </w:rPr>
        <w:t>crimen</w:t>
      </w:r>
      <w:proofErr w:type="spellEnd"/>
      <w:r w:rsidR="00342FB8" w:rsidRPr="00342FB8">
        <w:rPr>
          <w:rFonts w:ascii="Bookman Old Style" w:hAnsi="Bookman Old Style"/>
          <w:i/>
          <w:sz w:val="28"/>
          <w:szCs w:val="28"/>
        </w:rPr>
        <w:t xml:space="preserve">, </w:t>
      </w:r>
      <w:proofErr w:type="spellStart"/>
      <w:r w:rsidR="00342FB8" w:rsidRPr="00342FB8">
        <w:rPr>
          <w:rFonts w:ascii="Bookman Old Style" w:hAnsi="Bookman Old Style"/>
          <w:i/>
          <w:sz w:val="28"/>
          <w:szCs w:val="28"/>
        </w:rPr>
        <w:t>nulla</w:t>
      </w:r>
      <w:proofErr w:type="spellEnd"/>
      <w:r w:rsidR="00342FB8" w:rsidRPr="00342FB8">
        <w:rPr>
          <w:rFonts w:ascii="Bookman Old Style" w:hAnsi="Bookman Old Style"/>
          <w:i/>
          <w:sz w:val="28"/>
          <w:szCs w:val="28"/>
        </w:rPr>
        <w:t xml:space="preserve"> </w:t>
      </w:r>
      <w:proofErr w:type="spellStart"/>
      <w:r w:rsidR="00342FB8" w:rsidRPr="00342FB8">
        <w:rPr>
          <w:rFonts w:ascii="Bookman Old Style" w:hAnsi="Bookman Old Style"/>
          <w:i/>
          <w:sz w:val="28"/>
          <w:szCs w:val="28"/>
        </w:rPr>
        <w:t>poena</w:t>
      </w:r>
      <w:proofErr w:type="spellEnd"/>
      <w:r w:rsidR="00342FB8" w:rsidRPr="00342FB8">
        <w:rPr>
          <w:rFonts w:ascii="Bookman Old Style" w:hAnsi="Bookman Old Style"/>
          <w:i/>
          <w:sz w:val="28"/>
          <w:szCs w:val="28"/>
        </w:rPr>
        <w:t xml:space="preserve"> sine </w:t>
      </w:r>
      <w:proofErr w:type="spellStart"/>
      <w:r w:rsidR="00342FB8" w:rsidRPr="00342FB8">
        <w:rPr>
          <w:rFonts w:ascii="Bookman Old Style" w:hAnsi="Bookman Old Style"/>
          <w:i/>
          <w:sz w:val="28"/>
          <w:szCs w:val="28"/>
        </w:rPr>
        <w:t>lege</w:t>
      </w:r>
      <w:proofErr w:type="spellEnd"/>
      <w:r w:rsidR="00342FB8" w:rsidRPr="00342FB8">
        <w:rPr>
          <w:rFonts w:ascii="Bookman Old Style" w:hAnsi="Bookman Old Style"/>
          <w:sz w:val="28"/>
          <w:szCs w:val="28"/>
        </w:rPr>
        <w:t>)</w:t>
      </w:r>
      <w:r w:rsidR="00F2397E">
        <w:rPr>
          <w:rFonts w:ascii="Bookman Old Style" w:hAnsi="Bookman Old Style"/>
          <w:sz w:val="28"/>
          <w:szCs w:val="28"/>
        </w:rPr>
        <w:t xml:space="preserve">. It further </w:t>
      </w:r>
      <w:r w:rsidR="00F2397E" w:rsidRPr="00F2397E">
        <w:rPr>
          <w:rFonts w:ascii="Bookman Old Style" w:hAnsi="Bookman Old Style"/>
          <w:sz w:val="28"/>
          <w:szCs w:val="28"/>
        </w:rPr>
        <w:t>embodies</w:t>
      </w:r>
      <w:r w:rsidR="00342FB8" w:rsidRPr="00342FB8">
        <w:rPr>
          <w:rFonts w:ascii="Bookman Old Style" w:hAnsi="Bookman Old Style"/>
          <w:sz w:val="28"/>
          <w:szCs w:val="28"/>
        </w:rPr>
        <w:t xml:space="preserve"> the principle that the criminal law must not be </w:t>
      </w:r>
      <w:r w:rsidR="00342FB8" w:rsidRPr="00342FB8">
        <w:rPr>
          <w:rFonts w:ascii="Bookman Old Style" w:hAnsi="Bookman Old Style"/>
          <w:sz w:val="28"/>
          <w:szCs w:val="28"/>
        </w:rPr>
        <w:lastRenderedPageBreak/>
        <w:t>extensively construed to an accused’s detriment</w:t>
      </w:r>
      <w:r w:rsidR="00F2397E">
        <w:rPr>
          <w:rFonts w:ascii="Bookman Old Style" w:hAnsi="Bookman Old Style"/>
          <w:sz w:val="28"/>
          <w:szCs w:val="28"/>
        </w:rPr>
        <w:t xml:space="preserve">. </w:t>
      </w:r>
      <w:r w:rsidR="00F2397E" w:rsidRPr="00342FB8">
        <w:rPr>
          <w:rFonts w:ascii="Bookman Old Style" w:hAnsi="Bookman Old Style"/>
          <w:sz w:val="28"/>
          <w:szCs w:val="28"/>
        </w:rPr>
        <w:t>It</w:t>
      </w:r>
      <w:r w:rsidR="00342FB8" w:rsidRPr="00342FB8">
        <w:rPr>
          <w:rFonts w:ascii="Bookman Old Style" w:hAnsi="Bookman Old Style"/>
          <w:sz w:val="28"/>
          <w:szCs w:val="28"/>
        </w:rPr>
        <w:t xml:space="preserve"> follows from this that an offence must be clearly defined in law.</w:t>
      </w:r>
      <w:r w:rsidR="00FD79E0">
        <w:rPr>
          <w:rStyle w:val="FootnoteReference"/>
          <w:rFonts w:ascii="Bookman Old Style" w:hAnsi="Bookman Old Style"/>
          <w:sz w:val="28"/>
          <w:szCs w:val="28"/>
        </w:rPr>
        <w:footnoteReference w:id="3"/>
      </w:r>
      <w:r w:rsidR="00FD79E0">
        <w:rPr>
          <w:rFonts w:ascii="Bookman Old Style" w:hAnsi="Bookman Old Style"/>
          <w:sz w:val="28"/>
          <w:szCs w:val="28"/>
        </w:rPr>
        <w:t xml:space="preserve"> </w:t>
      </w:r>
    </w:p>
    <w:p w:rsidR="00780ACC" w:rsidRDefault="00B269F0" w:rsidP="00885A64">
      <w:pPr>
        <w:spacing w:line="360" w:lineRule="auto"/>
        <w:jc w:val="both"/>
        <w:rPr>
          <w:rFonts w:ascii="Bookman Old Style" w:hAnsi="Bookman Old Style"/>
          <w:sz w:val="28"/>
          <w:szCs w:val="28"/>
        </w:rPr>
      </w:pPr>
      <w:r>
        <w:rPr>
          <w:rFonts w:ascii="Bookman Old Style" w:hAnsi="Bookman Old Style"/>
          <w:sz w:val="28"/>
          <w:szCs w:val="28"/>
        </w:rPr>
        <w:t>[10</w:t>
      </w:r>
      <w:r w:rsidRPr="00B269F0">
        <w:rPr>
          <w:rFonts w:ascii="Bookman Old Style" w:hAnsi="Bookman Old Style"/>
          <w:sz w:val="28"/>
          <w:szCs w:val="28"/>
        </w:rPr>
        <w:t xml:space="preserve">] </w:t>
      </w:r>
      <w:r w:rsidR="00342FB8" w:rsidRPr="00342FB8">
        <w:rPr>
          <w:rFonts w:ascii="Bookman Old Style" w:hAnsi="Bookman Old Style"/>
          <w:sz w:val="28"/>
          <w:szCs w:val="28"/>
        </w:rPr>
        <w:t>Th</w:t>
      </w:r>
      <w:r w:rsidR="00F2397E">
        <w:rPr>
          <w:rFonts w:ascii="Bookman Old Style" w:hAnsi="Bookman Old Style"/>
          <w:sz w:val="28"/>
          <w:szCs w:val="28"/>
        </w:rPr>
        <w:t>e above</w:t>
      </w:r>
      <w:r w:rsidR="00342FB8" w:rsidRPr="00342FB8">
        <w:rPr>
          <w:rFonts w:ascii="Bookman Old Style" w:hAnsi="Bookman Old Style"/>
          <w:sz w:val="28"/>
          <w:szCs w:val="28"/>
        </w:rPr>
        <w:t xml:space="preserve"> condition is satisfied where the individual can know from the wording of the relevant provision and, if need be, with the assistance of the courts’ interpretation of it, what acts and omissions will make him liable.</w:t>
      </w:r>
      <w:r w:rsidR="00342FB8">
        <w:rPr>
          <w:rStyle w:val="FootnoteReference"/>
          <w:rFonts w:ascii="Bookman Old Style" w:hAnsi="Bookman Old Style"/>
          <w:sz w:val="28"/>
          <w:szCs w:val="28"/>
        </w:rPr>
        <w:footnoteReference w:id="4"/>
      </w:r>
      <w:r w:rsidR="00F2397E">
        <w:rPr>
          <w:rFonts w:ascii="Bookman Old Style" w:hAnsi="Bookman Old Style"/>
          <w:sz w:val="28"/>
          <w:szCs w:val="28"/>
        </w:rPr>
        <w:t xml:space="preserve"> </w:t>
      </w:r>
      <w:r w:rsidR="00780ACC" w:rsidRPr="001134AB">
        <w:rPr>
          <w:rFonts w:ascii="Bookman Old Style" w:hAnsi="Bookman Old Style"/>
          <w:sz w:val="28"/>
          <w:szCs w:val="28"/>
        </w:rPr>
        <w:t>The principle of legality is</w:t>
      </w:r>
      <w:r w:rsidR="001134AB" w:rsidRPr="001134AB">
        <w:rPr>
          <w:rFonts w:ascii="Bookman Old Style" w:hAnsi="Bookman Old Style"/>
          <w:sz w:val="28"/>
          <w:szCs w:val="28"/>
        </w:rPr>
        <w:t xml:space="preserve"> one of the venerated concepts in </w:t>
      </w:r>
      <w:r w:rsidR="00F2397E">
        <w:rPr>
          <w:rFonts w:ascii="Bookman Old Style" w:hAnsi="Bookman Old Style"/>
          <w:sz w:val="28"/>
          <w:szCs w:val="28"/>
        </w:rPr>
        <w:t xml:space="preserve">our common law </w:t>
      </w:r>
      <w:r w:rsidR="001134AB" w:rsidRPr="001134AB">
        <w:rPr>
          <w:rFonts w:ascii="Bookman Old Style" w:hAnsi="Bookman Old Style"/>
          <w:sz w:val="28"/>
          <w:szCs w:val="28"/>
        </w:rPr>
        <w:t xml:space="preserve">and is </w:t>
      </w:r>
      <w:r w:rsidR="00780ACC" w:rsidRPr="001134AB">
        <w:rPr>
          <w:rFonts w:ascii="Bookman Old Style" w:hAnsi="Bookman Old Style"/>
          <w:sz w:val="28"/>
          <w:szCs w:val="28"/>
        </w:rPr>
        <w:t>embedd</w:t>
      </w:r>
      <w:r w:rsidR="00CD5E09">
        <w:rPr>
          <w:rFonts w:ascii="Bookman Old Style" w:hAnsi="Bookman Old Style"/>
          <w:sz w:val="28"/>
          <w:szCs w:val="28"/>
        </w:rPr>
        <w:t xml:space="preserve">ed in the ancient Latin phrase </w:t>
      </w:r>
      <w:proofErr w:type="spellStart"/>
      <w:r w:rsidR="00780ACC" w:rsidRPr="00CD5E09">
        <w:rPr>
          <w:rFonts w:ascii="Bookman Old Style" w:hAnsi="Bookman Old Style"/>
          <w:i/>
          <w:sz w:val="28"/>
          <w:szCs w:val="28"/>
        </w:rPr>
        <w:t>Nulla</w:t>
      </w:r>
      <w:proofErr w:type="spellEnd"/>
      <w:r w:rsidR="00780ACC" w:rsidRPr="00CD5E09">
        <w:rPr>
          <w:rFonts w:ascii="Bookman Old Style" w:hAnsi="Bookman Old Style"/>
          <w:i/>
          <w:sz w:val="28"/>
          <w:szCs w:val="28"/>
        </w:rPr>
        <w:t xml:space="preserve"> </w:t>
      </w:r>
      <w:proofErr w:type="spellStart"/>
      <w:r w:rsidR="00780ACC" w:rsidRPr="00CD5E09">
        <w:rPr>
          <w:rFonts w:ascii="Bookman Old Style" w:hAnsi="Bookman Old Style"/>
          <w:i/>
          <w:sz w:val="28"/>
          <w:szCs w:val="28"/>
        </w:rPr>
        <w:t>poena</w:t>
      </w:r>
      <w:proofErr w:type="spellEnd"/>
      <w:r w:rsidR="00780ACC" w:rsidRPr="00CD5E09">
        <w:rPr>
          <w:rFonts w:ascii="Bookman Old Style" w:hAnsi="Bookman Old Style"/>
          <w:i/>
          <w:sz w:val="28"/>
          <w:szCs w:val="28"/>
        </w:rPr>
        <w:t xml:space="preserve"> sine </w:t>
      </w:r>
      <w:proofErr w:type="spellStart"/>
      <w:r w:rsidR="00780ACC" w:rsidRPr="00CD5E09">
        <w:rPr>
          <w:rFonts w:ascii="Bookman Old Style" w:hAnsi="Bookman Old Style"/>
          <w:i/>
          <w:sz w:val="28"/>
          <w:szCs w:val="28"/>
        </w:rPr>
        <w:t>lege</w:t>
      </w:r>
      <w:proofErr w:type="spellEnd"/>
      <w:r w:rsidR="00780ACC" w:rsidRPr="001134AB">
        <w:rPr>
          <w:rFonts w:ascii="Bookman Old Style" w:hAnsi="Bookman Old Style"/>
          <w:sz w:val="28"/>
          <w:szCs w:val="28"/>
        </w:rPr>
        <w:t xml:space="preserve"> which mean</w:t>
      </w:r>
      <w:r w:rsidR="00F2397E">
        <w:rPr>
          <w:rFonts w:ascii="Bookman Old Style" w:hAnsi="Bookman Old Style"/>
          <w:sz w:val="28"/>
          <w:szCs w:val="28"/>
        </w:rPr>
        <w:t>s no punishment unless by law.</w:t>
      </w:r>
    </w:p>
    <w:p w:rsidR="00874D8F" w:rsidRPr="00450511" w:rsidRDefault="00B269F0" w:rsidP="00874D8F">
      <w:pPr>
        <w:spacing w:line="360" w:lineRule="auto"/>
        <w:jc w:val="both"/>
        <w:rPr>
          <w:rFonts w:ascii="Bookman Old Style" w:hAnsi="Bookman Old Style"/>
          <w:b/>
          <w:sz w:val="28"/>
          <w:szCs w:val="28"/>
        </w:rPr>
      </w:pPr>
      <w:r>
        <w:rPr>
          <w:rFonts w:ascii="Bookman Old Style" w:hAnsi="Bookman Old Style"/>
          <w:sz w:val="28"/>
          <w:szCs w:val="28"/>
        </w:rPr>
        <w:t>[11</w:t>
      </w:r>
      <w:r w:rsidRPr="00B269F0">
        <w:rPr>
          <w:rFonts w:ascii="Bookman Old Style" w:hAnsi="Bookman Old Style"/>
          <w:sz w:val="28"/>
          <w:szCs w:val="28"/>
        </w:rPr>
        <w:t xml:space="preserve">] </w:t>
      </w:r>
      <w:r w:rsidR="007B4E2A">
        <w:rPr>
          <w:rFonts w:ascii="Bookman Old Style" w:hAnsi="Bookman Old Style"/>
          <w:sz w:val="28"/>
          <w:szCs w:val="28"/>
        </w:rPr>
        <w:t xml:space="preserve">The above constitutional principles have been concretised by </w:t>
      </w:r>
      <w:r w:rsidR="00AF37C9">
        <w:rPr>
          <w:rFonts w:ascii="Bookman Old Style" w:hAnsi="Bookman Old Style"/>
          <w:sz w:val="28"/>
          <w:szCs w:val="28"/>
        </w:rPr>
        <w:t>legislative provision</w:t>
      </w:r>
      <w:r w:rsidR="00862723">
        <w:rPr>
          <w:rFonts w:ascii="Bookman Old Style" w:hAnsi="Bookman Old Style"/>
          <w:sz w:val="28"/>
          <w:szCs w:val="28"/>
        </w:rPr>
        <w:t>s</w:t>
      </w:r>
      <w:r w:rsidR="00AF37C9">
        <w:rPr>
          <w:rFonts w:ascii="Bookman Old Style" w:hAnsi="Bookman Old Style"/>
          <w:sz w:val="28"/>
          <w:szCs w:val="28"/>
        </w:rPr>
        <w:t xml:space="preserve"> </w:t>
      </w:r>
      <w:r w:rsidR="00862723">
        <w:rPr>
          <w:rFonts w:ascii="Bookman Old Style" w:hAnsi="Bookman Old Style"/>
          <w:sz w:val="28"/>
          <w:szCs w:val="28"/>
        </w:rPr>
        <w:t>in</w:t>
      </w:r>
      <w:r w:rsidR="00AF37C9">
        <w:rPr>
          <w:rFonts w:ascii="Bookman Old Style" w:hAnsi="Bookman Old Style"/>
          <w:sz w:val="28"/>
          <w:szCs w:val="28"/>
        </w:rPr>
        <w:t xml:space="preserve"> various </w:t>
      </w:r>
      <w:r w:rsidR="00862723">
        <w:rPr>
          <w:rFonts w:ascii="Bookman Old Style" w:hAnsi="Bookman Old Style"/>
          <w:sz w:val="28"/>
          <w:szCs w:val="28"/>
        </w:rPr>
        <w:t>statutes</w:t>
      </w:r>
      <w:r w:rsidR="00AF37C9">
        <w:rPr>
          <w:rFonts w:ascii="Bookman Old Style" w:hAnsi="Bookman Old Style"/>
          <w:sz w:val="28"/>
          <w:szCs w:val="28"/>
        </w:rPr>
        <w:t>.</w:t>
      </w:r>
      <w:r w:rsidR="00862723">
        <w:rPr>
          <w:rFonts w:ascii="Bookman Old Style" w:hAnsi="Bookman Old Style"/>
          <w:sz w:val="28"/>
          <w:szCs w:val="28"/>
        </w:rPr>
        <w:t xml:space="preserve"> </w:t>
      </w:r>
      <w:r w:rsidR="00F2397E">
        <w:rPr>
          <w:rFonts w:ascii="Bookman Old Style" w:hAnsi="Bookman Old Style"/>
          <w:sz w:val="28"/>
          <w:szCs w:val="28"/>
        </w:rPr>
        <w:t>In relation to juvenile justice</w:t>
      </w:r>
      <w:r w:rsidR="007B4E2A">
        <w:rPr>
          <w:rFonts w:ascii="Bookman Old Style" w:hAnsi="Bookman Old Style"/>
          <w:sz w:val="28"/>
          <w:szCs w:val="28"/>
        </w:rPr>
        <w:t>,</w:t>
      </w:r>
      <w:r w:rsidR="00862723">
        <w:rPr>
          <w:rFonts w:ascii="Bookman Old Style" w:hAnsi="Bookman Old Style"/>
          <w:sz w:val="28"/>
          <w:szCs w:val="28"/>
        </w:rPr>
        <w:t xml:space="preserve"> the provisions of </w:t>
      </w:r>
      <w:r w:rsidR="00862723" w:rsidRPr="000C0B30">
        <w:rPr>
          <w:rFonts w:ascii="Bookman Old Style" w:hAnsi="Bookman Old Style"/>
          <w:sz w:val="28"/>
          <w:szCs w:val="28"/>
        </w:rPr>
        <w:t>the</w:t>
      </w:r>
      <w:r w:rsidR="007B4E2A" w:rsidRPr="000C0B30">
        <w:rPr>
          <w:rFonts w:ascii="Bookman Old Style" w:hAnsi="Bookman Old Style"/>
          <w:sz w:val="28"/>
          <w:szCs w:val="28"/>
        </w:rPr>
        <w:t xml:space="preserve"> </w:t>
      </w:r>
      <w:r w:rsidR="007B4E2A" w:rsidRPr="000C0B30">
        <w:rPr>
          <w:rFonts w:ascii="Bookman Old Style" w:hAnsi="Bookman Old Style"/>
          <w:i/>
          <w:sz w:val="28"/>
          <w:szCs w:val="28"/>
        </w:rPr>
        <w:t>Children’s Protection Act</w:t>
      </w:r>
      <w:r w:rsidR="008F0179" w:rsidRPr="000C0B30">
        <w:rPr>
          <w:rStyle w:val="FootnoteReference"/>
          <w:rFonts w:ascii="Bookman Old Style" w:hAnsi="Bookman Old Style"/>
          <w:sz w:val="28"/>
          <w:szCs w:val="28"/>
        </w:rPr>
        <w:footnoteReference w:id="5"/>
      </w:r>
      <w:r w:rsidR="00862723" w:rsidRPr="000C0B30">
        <w:rPr>
          <w:rFonts w:ascii="Bookman Old Style" w:hAnsi="Bookman Old Style"/>
          <w:sz w:val="28"/>
          <w:szCs w:val="28"/>
        </w:rPr>
        <w:t xml:space="preserve"> </w:t>
      </w:r>
      <w:r w:rsidR="00885A64" w:rsidRPr="000C0B30">
        <w:rPr>
          <w:rFonts w:ascii="Bookman Old Style" w:hAnsi="Bookman Old Style"/>
          <w:sz w:val="28"/>
          <w:szCs w:val="28"/>
        </w:rPr>
        <w:t xml:space="preserve">and its repealing enactment: the </w:t>
      </w:r>
      <w:r w:rsidR="00885A64" w:rsidRPr="000C0B30">
        <w:rPr>
          <w:rFonts w:ascii="Bookman Old Style" w:hAnsi="Bookman Old Style"/>
          <w:i/>
          <w:sz w:val="28"/>
          <w:szCs w:val="28"/>
        </w:rPr>
        <w:t>Children Protection and Welfare</w:t>
      </w:r>
      <w:r w:rsidR="00862723" w:rsidRPr="000C0B30">
        <w:rPr>
          <w:rFonts w:ascii="Bookman Old Style" w:hAnsi="Bookman Old Style"/>
          <w:i/>
          <w:sz w:val="28"/>
          <w:szCs w:val="28"/>
        </w:rPr>
        <w:t xml:space="preserve"> Ac</w:t>
      </w:r>
      <w:r w:rsidR="008F0179" w:rsidRPr="000C0B30">
        <w:rPr>
          <w:rFonts w:ascii="Bookman Old Style" w:hAnsi="Bookman Old Style"/>
          <w:i/>
          <w:sz w:val="28"/>
          <w:szCs w:val="28"/>
        </w:rPr>
        <w:t xml:space="preserve">t </w:t>
      </w:r>
      <w:r w:rsidR="008F0179" w:rsidRPr="000C0B30">
        <w:rPr>
          <w:rFonts w:ascii="Bookman Old Style" w:hAnsi="Bookman Old Style"/>
          <w:sz w:val="28"/>
          <w:szCs w:val="28"/>
        </w:rPr>
        <w:t>(CPWA)</w:t>
      </w:r>
      <w:r w:rsidR="008F0179" w:rsidRPr="000C0B30">
        <w:rPr>
          <w:rStyle w:val="FootnoteReference"/>
          <w:rFonts w:ascii="Bookman Old Style" w:hAnsi="Bookman Old Style"/>
          <w:sz w:val="28"/>
          <w:szCs w:val="28"/>
        </w:rPr>
        <w:footnoteReference w:id="6"/>
      </w:r>
      <w:r w:rsidR="00885A64" w:rsidRPr="000C0B30">
        <w:rPr>
          <w:rFonts w:ascii="Bookman Old Style" w:hAnsi="Bookman Old Style"/>
          <w:sz w:val="28"/>
          <w:szCs w:val="28"/>
        </w:rPr>
        <w:t xml:space="preserve">, also help to concretise the provisions of section 12(4) of the Constitution. </w:t>
      </w:r>
      <w:r w:rsidR="00F1014B" w:rsidRPr="000C0B30">
        <w:rPr>
          <w:rFonts w:ascii="Bookman Old Style" w:hAnsi="Bookman Old Style"/>
          <w:sz w:val="28"/>
          <w:szCs w:val="28"/>
        </w:rPr>
        <w:t>However, the former and not the latter</w:t>
      </w:r>
      <w:r w:rsidR="00F1014B">
        <w:rPr>
          <w:rFonts w:ascii="Bookman Old Style" w:hAnsi="Bookman Old Style"/>
          <w:sz w:val="28"/>
          <w:szCs w:val="28"/>
        </w:rPr>
        <w:t xml:space="preserve"> Act is applicable to the present matter.</w:t>
      </w:r>
      <w:r w:rsidR="00862723">
        <w:rPr>
          <w:rFonts w:ascii="Bookman Old Style" w:hAnsi="Bookman Old Style"/>
          <w:sz w:val="28"/>
          <w:szCs w:val="28"/>
        </w:rPr>
        <w:t xml:space="preserve"> </w:t>
      </w:r>
      <w:r w:rsidR="00874D8F" w:rsidRPr="00874D8F">
        <w:rPr>
          <w:rFonts w:ascii="Bookman Old Style" w:hAnsi="Bookman Old Style"/>
          <w:sz w:val="28"/>
          <w:szCs w:val="28"/>
        </w:rPr>
        <w:t>Section</w:t>
      </w:r>
      <w:r w:rsidR="00874D8F">
        <w:rPr>
          <w:rFonts w:ascii="Bookman Old Style" w:hAnsi="Bookman Old Style"/>
          <w:sz w:val="28"/>
          <w:szCs w:val="28"/>
        </w:rPr>
        <w:t xml:space="preserve"> </w:t>
      </w:r>
      <w:r w:rsidR="00874D8F" w:rsidRPr="00874D8F">
        <w:rPr>
          <w:rFonts w:ascii="Bookman Old Style" w:hAnsi="Bookman Old Style"/>
          <w:sz w:val="28"/>
          <w:szCs w:val="28"/>
        </w:rPr>
        <w:t xml:space="preserve">26 of the Children’s Protection Act provides that no child shall be punished by imprisonment. </w:t>
      </w:r>
      <w:r w:rsidR="00B40EB8">
        <w:rPr>
          <w:rFonts w:ascii="Bookman Old Style" w:hAnsi="Bookman Old Style"/>
          <w:sz w:val="28"/>
          <w:szCs w:val="28"/>
        </w:rPr>
        <w:t>When about to enter the stage of sentencing</w:t>
      </w:r>
      <w:r w:rsidR="00FB2564">
        <w:rPr>
          <w:rFonts w:ascii="Bookman Old Style" w:hAnsi="Bookman Old Style"/>
          <w:sz w:val="28"/>
          <w:szCs w:val="28"/>
        </w:rPr>
        <w:t xml:space="preserve">, the learned judge had to grapple with the provisions of </w:t>
      </w:r>
      <w:r w:rsidR="00FB2564" w:rsidRPr="00FB2564">
        <w:rPr>
          <w:rFonts w:ascii="Bookman Old Style" w:hAnsi="Bookman Old Style"/>
          <w:sz w:val="28"/>
          <w:szCs w:val="28"/>
        </w:rPr>
        <w:t>section 26 of the Children’s Protection Act</w:t>
      </w:r>
      <w:r w:rsidR="00FB2564">
        <w:rPr>
          <w:rFonts w:ascii="Bookman Old Style" w:hAnsi="Bookman Old Style"/>
          <w:sz w:val="28"/>
          <w:szCs w:val="28"/>
        </w:rPr>
        <w:t>;</w:t>
      </w:r>
      <w:r w:rsidR="00FB2564" w:rsidRPr="00FB2564">
        <w:t xml:space="preserve"> </w:t>
      </w:r>
      <w:r w:rsidR="00FB2564" w:rsidRPr="00FB2564">
        <w:rPr>
          <w:rFonts w:ascii="Bookman Old Style" w:hAnsi="Bookman Old Style"/>
          <w:sz w:val="28"/>
          <w:szCs w:val="28"/>
        </w:rPr>
        <w:t>section 12(4) of the Constitution of Lesotho, 1993</w:t>
      </w:r>
      <w:r w:rsidR="00FB2564">
        <w:rPr>
          <w:rFonts w:ascii="Bookman Old Style" w:hAnsi="Bookman Old Style"/>
          <w:sz w:val="28"/>
          <w:szCs w:val="28"/>
        </w:rPr>
        <w:t xml:space="preserve">; as well as </w:t>
      </w:r>
      <w:r w:rsidR="00FB2564" w:rsidRPr="00FB2564">
        <w:rPr>
          <w:rFonts w:ascii="Bookman Old Style" w:hAnsi="Bookman Old Style"/>
          <w:sz w:val="28"/>
          <w:szCs w:val="28"/>
        </w:rPr>
        <w:t xml:space="preserve">the decision of this Court in </w:t>
      </w:r>
      <w:proofErr w:type="spellStart"/>
      <w:r w:rsidR="00FB2564" w:rsidRPr="00FB2564">
        <w:rPr>
          <w:rFonts w:ascii="Bookman Old Style" w:hAnsi="Bookman Old Style"/>
          <w:sz w:val="28"/>
          <w:szCs w:val="28"/>
        </w:rPr>
        <w:t>Mohale</w:t>
      </w:r>
      <w:proofErr w:type="spellEnd"/>
      <w:r w:rsidR="00FB2564" w:rsidRPr="00FB2564">
        <w:rPr>
          <w:rFonts w:ascii="Bookman Old Style" w:hAnsi="Bookman Old Style"/>
          <w:sz w:val="28"/>
          <w:szCs w:val="28"/>
        </w:rPr>
        <w:t xml:space="preserve"> and Another v Rex C of A (CRI) NO 2 of 2005</w:t>
      </w:r>
      <w:r w:rsidR="00FB2564">
        <w:rPr>
          <w:rFonts w:ascii="Bookman Old Style" w:hAnsi="Bookman Old Style"/>
          <w:sz w:val="28"/>
          <w:szCs w:val="28"/>
        </w:rPr>
        <w:t>. This was the legal basis for the present reservation.</w:t>
      </w:r>
    </w:p>
    <w:p w:rsidR="00450511" w:rsidRDefault="00B269F0" w:rsidP="00FD79E0">
      <w:pPr>
        <w:spacing w:line="360" w:lineRule="auto"/>
        <w:jc w:val="both"/>
        <w:rPr>
          <w:rFonts w:ascii="Bookman Old Style" w:hAnsi="Bookman Old Style"/>
          <w:b/>
          <w:sz w:val="28"/>
          <w:szCs w:val="28"/>
        </w:rPr>
      </w:pPr>
      <w:r>
        <w:rPr>
          <w:rFonts w:ascii="Bookman Old Style" w:hAnsi="Bookman Old Style"/>
          <w:b/>
          <w:sz w:val="28"/>
          <w:szCs w:val="28"/>
        </w:rPr>
        <w:t>Cons</w:t>
      </w:r>
      <w:r w:rsidR="00450511" w:rsidRPr="00450511">
        <w:rPr>
          <w:rFonts w:ascii="Bookman Old Style" w:hAnsi="Bookman Old Style"/>
          <w:b/>
          <w:sz w:val="28"/>
          <w:szCs w:val="28"/>
        </w:rPr>
        <w:t>ideration of the question reserved for decision</w:t>
      </w:r>
    </w:p>
    <w:p w:rsidR="00450511" w:rsidRDefault="00B269F0" w:rsidP="00FD79E0">
      <w:pPr>
        <w:spacing w:line="360" w:lineRule="auto"/>
        <w:jc w:val="both"/>
        <w:rPr>
          <w:rFonts w:ascii="Bookman Old Style" w:hAnsi="Bookman Old Style"/>
          <w:sz w:val="28"/>
          <w:szCs w:val="28"/>
        </w:rPr>
      </w:pPr>
      <w:r>
        <w:rPr>
          <w:rFonts w:ascii="Bookman Old Style" w:hAnsi="Bookman Old Style"/>
          <w:sz w:val="28"/>
          <w:szCs w:val="28"/>
        </w:rPr>
        <w:lastRenderedPageBreak/>
        <w:t>[12</w:t>
      </w:r>
      <w:r w:rsidRPr="00B269F0">
        <w:rPr>
          <w:rFonts w:ascii="Bookman Old Style" w:hAnsi="Bookman Old Style"/>
          <w:sz w:val="28"/>
          <w:szCs w:val="28"/>
        </w:rPr>
        <w:t xml:space="preserve">] </w:t>
      </w:r>
      <w:r w:rsidR="00A75A9F">
        <w:rPr>
          <w:rFonts w:ascii="Bookman Old Style" w:hAnsi="Bookman Old Style"/>
          <w:sz w:val="28"/>
          <w:szCs w:val="28"/>
        </w:rPr>
        <w:t>Turning to consider the</w:t>
      </w:r>
      <w:r w:rsidR="00A75A9F" w:rsidRPr="00A75A9F">
        <w:rPr>
          <w:rFonts w:ascii="Bookman Old Style" w:hAnsi="Bookman Old Style"/>
          <w:sz w:val="28"/>
          <w:szCs w:val="28"/>
        </w:rPr>
        <w:t xml:space="preserve"> question</w:t>
      </w:r>
      <w:r w:rsidR="00415685">
        <w:rPr>
          <w:rFonts w:ascii="Bookman Old Style" w:hAnsi="Bookman Old Style"/>
          <w:sz w:val="28"/>
          <w:szCs w:val="28"/>
        </w:rPr>
        <w:t>s</w:t>
      </w:r>
      <w:r w:rsidR="00A75A9F" w:rsidRPr="00A75A9F">
        <w:rPr>
          <w:rFonts w:ascii="Bookman Old Style" w:hAnsi="Bookman Old Style"/>
          <w:sz w:val="28"/>
          <w:szCs w:val="28"/>
        </w:rPr>
        <w:t xml:space="preserve"> reserved for decision</w:t>
      </w:r>
      <w:r w:rsidR="00A75A9F">
        <w:rPr>
          <w:rFonts w:ascii="Bookman Old Style" w:hAnsi="Bookman Old Style"/>
          <w:sz w:val="28"/>
          <w:szCs w:val="28"/>
        </w:rPr>
        <w:t xml:space="preserve">, the starting point is that, section 15(1) of the Court of Appeal Act provides </w:t>
      </w:r>
      <w:r w:rsidR="00415685">
        <w:rPr>
          <w:rFonts w:ascii="Bookman Old Style" w:hAnsi="Bookman Old Style"/>
          <w:sz w:val="28"/>
          <w:szCs w:val="28"/>
        </w:rPr>
        <w:t xml:space="preserve">that: </w:t>
      </w:r>
    </w:p>
    <w:p w:rsidR="00832421" w:rsidRPr="00832421" w:rsidRDefault="00415685" w:rsidP="00832421">
      <w:pPr>
        <w:spacing w:line="240" w:lineRule="auto"/>
        <w:ind w:left="567" w:right="567"/>
        <w:jc w:val="both"/>
        <w:rPr>
          <w:rFonts w:ascii="Bookman Old Style" w:hAnsi="Bookman Old Style"/>
          <w:sz w:val="24"/>
          <w:szCs w:val="24"/>
        </w:rPr>
      </w:pPr>
      <w:r w:rsidRPr="00832421">
        <w:rPr>
          <w:rFonts w:ascii="Bookman Old Style" w:hAnsi="Bookman Old Style"/>
          <w:sz w:val="24"/>
          <w:szCs w:val="24"/>
        </w:rPr>
        <w:t xml:space="preserve">15. (1) In addition and without prejudice to the right of appeal given by this or any other Act, a Judge of the High Court may, upon the determination of a conviction whether in its original or appellate criminal jurisdiction, reserve any question of law arising therein for the consideration of </w:t>
      </w:r>
      <w:r w:rsidR="00832421" w:rsidRPr="00832421">
        <w:rPr>
          <w:rFonts w:ascii="Bookman Old Style" w:hAnsi="Bookman Old Style"/>
          <w:sz w:val="24"/>
          <w:szCs w:val="24"/>
        </w:rPr>
        <w:t>the court.</w:t>
      </w:r>
    </w:p>
    <w:p w:rsidR="00415685" w:rsidRPr="00832421" w:rsidRDefault="00832421" w:rsidP="00832421">
      <w:pPr>
        <w:spacing w:line="240" w:lineRule="auto"/>
        <w:ind w:left="567" w:right="567"/>
        <w:jc w:val="both"/>
        <w:rPr>
          <w:rFonts w:ascii="Bookman Old Style" w:hAnsi="Bookman Old Style"/>
          <w:sz w:val="24"/>
          <w:szCs w:val="24"/>
        </w:rPr>
      </w:pPr>
      <w:r w:rsidRPr="00832421">
        <w:rPr>
          <w:rFonts w:ascii="Bookman Old Style" w:hAnsi="Bookman Old Style"/>
          <w:sz w:val="24"/>
          <w:szCs w:val="24"/>
        </w:rPr>
        <w:t>(2) The Court shall determine any question reserved for its consideration under subsection (1).</w:t>
      </w:r>
    </w:p>
    <w:p w:rsidR="00832421" w:rsidRPr="00832421" w:rsidRDefault="00832421" w:rsidP="00832421">
      <w:pPr>
        <w:spacing w:line="240" w:lineRule="auto"/>
        <w:ind w:left="567" w:right="567"/>
        <w:jc w:val="both"/>
        <w:rPr>
          <w:rFonts w:ascii="Bookman Old Style" w:hAnsi="Bookman Old Style"/>
          <w:sz w:val="24"/>
          <w:szCs w:val="24"/>
        </w:rPr>
      </w:pPr>
      <w:r w:rsidRPr="00832421">
        <w:rPr>
          <w:rFonts w:ascii="Bookman Old Style" w:hAnsi="Bookman Old Style"/>
          <w:sz w:val="24"/>
          <w:szCs w:val="24"/>
        </w:rPr>
        <w:t>(3) On the determination by the Court of a question reserved for its consideration under subsection (1), the Court may make an order confirming, or setting aside the decision of the High Court, and shall have the same powers in relation to a case stated by the High Court as it has in relation to an appeal.</w:t>
      </w:r>
    </w:p>
    <w:p w:rsidR="00754B00" w:rsidRDefault="00B269F0" w:rsidP="006F47AE">
      <w:pPr>
        <w:shd w:val="clear" w:color="auto" w:fill="FFFFFF"/>
        <w:spacing w:line="360" w:lineRule="auto"/>
        <w:jc w:val="both"/>
        <w:rPr>
          <w:rFonts w:ascii="Bookman Old Style" w:hAnsi="Bookman Old Style"/>
          <w:sz w:val="28"/>
          <w:szCs w:val="28"/>
        </w:rPr>
      </w:pPr>
      <w:r>
        <w:rPr>
          <w:rFonts w:ascii="Bookman Old Style" w:hAnsi="Bookman Old Style"/>
          <w:sz w:val="28"/>
          <w:szCs w:val="28"/>
        </w:rPr>
        <w:t>[13</w:t>
      </w:r>
      <w:r w:rsidRPr="00B269F0">
        <w:rPr>
          <w:rFonts w:ascii="Bookman Old Style" w:hAnsi="Bookman Old Style"/>
          <w:sz w:val="28"/>
          <w:szCs w:val="28"/>
        </w:rPr>
        <w:t xml:space="preserve">] </w:t>
      </w:r>
      <w:r w:rsidR="003A5D69">
        <w:rPr>
          <w:rFonts w:ascii="Bookman Old Style" w:hAnsi="Bookman Old Style"/>
          <w:sz w:val="28"/>
          <w:szCs w:val="28"/>
        </w:rPr>
        <w:t xml:space="preserve">The first issue is </w:t>
      </w:r>
      <w:r w:rsidR="003A5D69" w:rsidRPr="00234C8A">
        <w:rPr>
          <w:rFonts w:ascii="Bookman Old Style" w:hAnsi="Bookman Old Style"/>
          <w:sz w:val="28"/>
          <w:szCs w:val="28"/>
        </w:rPr>
        <w:t xml:space="preserve">whether the judgment of this Court in </w:t>
      </w:r>
      <w:proofErr w:type="spellStart"/>
      <w:r w:rsidR="003A5D69" w:rsidRPr="00234C8A">
        <w:rPr>
          <w:rFonts w:ascii="Bookman Old Style" w:hAnsi="Bookman Old Style"/>
          <w:i/>
          <w:sz w:val="28"/>
          <w:szCs w:val="28"/>
        </w:rPr>
        <w:t>Mohale</w:t>
      </w:r>
      <w:proofErr w:type="spellEnd"/>
      <w:r w:rsidR="003A5D69" w:rsidRPr="00234C8A">
        <w:rPr>
          <w:rFonts w:ascii="Bookman Old Style" w:hAnsi="Bookman Old Style"/>
          <w:i/>
          <w:sz w:val="28"/>
          <w:szCs w:val="28"/>
        </w:rPr>
        <w:t xml:space="preserve"> and Another v Rex</w:t>
      </w:r>
      <w:r w:rsidR="00E76B6E" w:rsidRPr="00234C8A">
        <w:rPr>
          <w:rStyle w:val="FootnoteReference"/>
          <w:rFonts w:ascii="Bookman Old Style" w:hAnsi="Bookman Old Style"/>
          <w:sz w:val="28"/>
          <w:szCs w:val="28"/>
        </w:rPr>
        <w:footnoteReference w:id="7"/>
      </w:r>
      <w:r w:rsidR="003A5D69" w:rsidRPr="00234C8A">
        <w:rPr>
          <w:rFonts w:ascii="Bookman Old Style" w:hAnsi="Bookman Old Style"/>
          <w:sz w:val="28"/>
          <w:szCs w:val="28"/>
        </w:rPr>
        <w:t xml:space="preserve"> (per </w:t>
      </w:r>
      <w:proofErr w:type="spellStart"/>
      <w:r w:rsidR="003A5D69" w:rsidRPr="00234C8A">
        <w:rPr>
          <w:rFonts w:ascii="Bookman Old Style" w:hAnsi="Bookman Old Style"/>
          <w:sz w:val="28"/>
          <w:szCs w:val="28"/>
        </w:rPr>
        <w:t>Ramodibedi</w:t>
      </w:r>
      <w:proofErr w:type="spellEnd"/>
      <w:r w:rsidR="003A5D69" w:rsidRPr="00234C8A">
        <w:rPr>
          <w:rFonts w:ascii="Bookman Old Style" w:hAnsi="Bookman Old Style"/>
          <w:sz w:val="28"/>
          <w:szCs w:val="28"/>
        </w:rPr>
        <w:t xml:space="preserve"> JA, with </w:t>
      </w:r>
      <w:proofErr w:type="spellStart"/>
      <w:r w:rsidR="003A5D69" w:rsidRPr="00234C8A">
        <w:rPr>
          <w:rFonts w:ascii="Bookman Old Style" w:hAnsi="Bookman Old Style"/>
          <w:sz w:val="28"/>
          <w:szCs w:val="28"/>
        </w:rPr>
        <w:t>Grosskopf</w:t>
      </w:r>
      <w:proofErr w:type="spellEnd"/>
      <w:r w:rsidR="003A5D69" w:rsidRPr="00234C8A">
        <w:rPr>
          <w:rFonts w:ascii="Bookman Old Style" w:hAnsi="Bookman Old Style"/>
          <w:sz w:val="28"/>
          <w:szCs w:val="28"/>
        </w:rPr>
        <w:t xml:space="preserve"> and </w:t>
      </w:r>
      <w:proofErr w:type="spellStart"/>
      <w:r w:rsidR="003A5D69" w:rsidRPr="00234C8A">
        <w:rPr>
          <w:rFonts w:ascii="Bookman Old Style" w:hAnsi="Bookman Old Style"/>
          <w:sz w:val="28"/>
          <w:szCs w:val="28"/>
        </w:rPr>
        <w:t>Melunsky</w:t>
      </w:r>
      <w:proofErr w:type="spellEnd"/>
      <w:r w:rsidR="003A5D69" w:rsidRPr="00234C8A">
        <w:rPr>
          <w:rFonts w:ascii="Bookman Old Style" w:hAnsi="Bookman Old Style"/>
          <w:sz w:val="28"/>
          <w:szCs w:val="28"/>
        </w:rPr>
        <w:t xml:space="preserve"> </w:t>
      </w:r>
      <w:r w:rsidR="006F47AE" w:rsidRPr="00234C8A">
        <w:rPr>
          <w:rFonts w:ascii="Bookman Old Style" w:hAnsi="Bookman Old Style"/>
          <w:sz w:val="28"/>
          <w:szCs w:val="28"/>
        </w:rPr>
        <w:t xml:space="preserve">JJA </w:t>
      </w:r>
      <w:r w:rsidR="003A5D69" w:rsidRPr="00234C8A">
        <w:rPr>
          <w:rFonts w:ascii="Bookman Old Style" w:hAnsi="Bookman Old Style"/>
          <w:sz w:val="28"/>
          <w:szCs w:val="28"/>
        </w:rPr>
        <w:t>concurring]</w:t>
      </w:r>
      <w:r w:rsidR="00E76B6E" w:rsidRPr="00234C8A">
        <w:rPr>
          <w:rFonts w:ascii="Bookman Old Style" w:hAnsi="Bookman Old Style"/>
          <w:sz w:val="28"/>
          <w:szCs w:val="28"/>
        </w:rPr>
        <w:t xml:space="preserve"> was</w:t>
      </w:r>
      <w:r w:rsidR="00E76B6E">
        <w:rPr>
          <w:rFonts w:ascii="Bookman Old Style" w:hAnsi="Bookman Old Style"/>
          <w:sz w:val="28"/>
          <w:szCs w:val="28"/>
        </w:rPr>
        <w:t xml:space="preserve"> correctly decided</w:t>
      </w:r>
      <w:r w:rsidR="003A5D69" w:rsidRPr="003A5D69">
        <w:rPr>
          <w:rFonts w:ascii="Bookman Old Style" w:hAnsi="Bookman Old Style"/>
          <w:sz w:val="28"/>
          <w:szCs w:val="28"/>
        </w:rPr>
        <w:t xml:space="preserve">.  </w:t>
      </w:r>
      <w:r w:rsidR="00754B00">
        <w:rPr>
          <w:rFonts w:ascii="Bookman Old Style" w:hAnsi="Bookman Old Style"/>
          <w:sz w:val="28"/>
          <w:szCs w:val="28"/>
        </w:rPr>
        <w:t xml:space="preserve">As indicated earlier, the issue whether the decision that, </w:t>
      </w:r>
      <w:r w:rsidR="00754B00" w:rsidRPr="00754B00">
        <w:rPr>
          <w:rFonts w:ascii="Bookman Old Style" w:hAnsi="Bookman Old Style"/>
          <w:sz w:val="28"/>
          <w:szCs w:val="28"/>
        </w:rPr>
        <w:t>“</w:t>
      </w:r>
      <w:r w:rsidR="00754B00">
        <w:rPr>
          <w:rFonts w:ascii="Bookman Old Style" w:hAnsi="Bookman Old Style"/>
          <w:sz w:val="28"/>
          <w:szCs w:val="28"/>
        </w:rPr>
        <w:t>…</w:t>
      </w:r>
      <w:r w:rsidR="00754B00" w:rsidRPr="00754B00">
        <w:rPr>
          <w:rFonts w:ascii="Bookman Old Style" w:hAnsi="Bookman Old Style"/>
          <w:sz w:val="28"/>
          <w:szCs w:val="28"/>
        </w:rPr>
        <w:t>the correct interpretation of section 2</w:t>
      </w:r>
      <w:r w:rsidR="00FC0AD2">
        <w:rPr>
          <w:rFonts w:ascii="Bookman Old Style" w:hAnsi="Bookman Old Style"/>
          <w:sz w:val="28"/>
          <w:szCs w:val="28"/>
        </w:rPr>
        <w:t>6</w:t>
      </w:r>
      <w:r w:rsidR="00754B00" w:rsidRPr="00754B00">
        <w:rPr>
          <w:rFonts w:ascii="Bookman Old Style" w:hAnsi="Bookman Old Style"/>
          <w:sz w:val="28"/>
          <w:szCs w:val="28"/>
        </w:rPr>
        <w:t xml:space="preserve"> (1) of the Children’s Act, </w:t>
      </w:r>
      <w:r w:rsidR="00754B00">
        <w:rPr>
          <w:rFonts w:ascii="Bookman Old Style" w:hAnsi="Bookman Old Style"/>
          <w:sz w:val="28"/>
          <w:szCs w:val="28"/>
        </w:rPr>
        <w:t>…</w:t>
      </w:r>
      <w:r w:rsidR="00754B00" w:rsidRPr="00754B00">
        <w:rPr>
          <w:rFonts w:ascii="Bookman Old Style" w:hAnsi="Bookman Old Style"/>
          <w:sz w:val="28"/>
          <w:szCs w:val="28"/>
        </w:rPr>
        <w:t xml:space="preserve"> is that if at the date of </w:t>
      </w:r>
      <w:r w:rsidR="00375EE6" w:rsidRPr="00754B00">
        <w:rPr>
          <w:rFonts w:ascii="Bookman Old Style" w:hAnsi="Bookman Old Style"/>
          <w:sz w:val="28"/>
          <w:szCs w:val="28"/>
        </w:rPr>
        <w:t>sentence,</w:t>
      </w:r>
      <w:r w:rsidR="00754B00" w:rsidRPr="00754B00">
        <w:rPr>
          <w:rFonts w:ascii="Bookman Old Style" w:hAnsi="Bookman Old Style"/>
          <w:sz w:val="28"/>
          <w:szCs w:val="28"/>
        </w:rPr>
        <w:t xml:space="preserve"> the accused has attained the age of 18 years, it is within the court’s discretion to impose whatever sentence it deems appropriate in the circumstances. Put differently the relevant age for consideration for the purposes of 26 (1) is the age on the date of sentence”</w:t>
      </w:r>
      <w:r w:rsidR="00754B00">
        <w:rPr>
          <w:rFonts w:ascii="Bookman Old Style" w:hAnsi="Bookman Old Style"/>
          <w:sz w:val="28"/>
          <w:szCs w:val="28"/>
        </w:rPr>
        <w:t xml:space="preserve"> was correct.</w:t>
      </w:r>
    </w:p>
    <w:p w:rsidR="008D581A" w:rsidRDefault="00B269F0" w:rsidP="006F47AE">
      <w:pPr>
        <w:shd w:val="clear" w:color="auto" w:fill="FFFFFF"/>
        <w:spacing w:line="360" w:lineRule="auto"/>
        <w:jc w:val="both"/>
        <w:rPr>
          <w:rFonts w:ascii="Bookman Old Style" w:hAnsi="Bookman Old Style"/>
          <w:sz w:val="28"/>
          <w:szCs w:val="28"/>
        </w:rPr>
      </w:pPr>
      <w:r w:rsidRPr="00B269F0">
        <w:rPr>
          <w:rFonts w:ascii="Bookman Old Style" w:hAnsi="Bookman Old Style"/>
          <w:sz w:val="28"/>
          <w:szCs w:val="28"/>
        </w:rPr>
        <w:t>[</w:t>
      </w:r>
      <w:r>
        <w:rPr>
          <w:rFonts w:ascii="Bookman Old Style" w:hAnsi="Bookman Old Style"/>
          <w:sz w:val="28"/>
          <w:szCs w:val="28"/>
        </w:rPr>
        <w:t>1</w:t>
      </w:r>
      <w:r w:rsidRPr="00B269F0">
        <w:rPr>
          <w:rFonts w:ascii="Bookman Old Style" w:hAnsi="Bookman Old Style"/>
          <w:sz w:val="28"/>
          <w:szCs w:val="28"/>
        </w:rPr>
        <w:t xml:space="preserve">4] </w:t>
      </w:r>
      <w:r w:rsidR="00754B00">
        <w:rPr>
          <w:rFonts w:ascii="Bookman Old Style" w:hAnsi="Bookman Old Style"/>
          <w:sz w:val="28"/>
          <w:szCs w:val="28"/>
        </w:rPr>
        <w:t xml:space="preserve">When the decision </w:t>
      </w:r>
      <w:r w:rsidR="00754B00" w:rsidRPr="00234C8A">
        <w:rPr>
          <w:rFonts w:ascii="Bookman Old Style" w:hAnsi="Bookman Old Style"/>
          <w:sz w:val="28"/>
          <w:szCs w:val="28"/>
        </w:rPr>
        <w:t xml:space="preserve">in </w:t>
      </w:r>
      <w:proofErr w:type="spellStart"/>
      <w:r w:rsidR="00754B00" w:rsidRPr="00234C8A">
        <w:rPr>
          <w:rFonts w:ascii="Bookman Old Style" w:hAnsi="Bookman Old Style"/>
          <w:i/>
          <w:sz w:val="28"/>
          <w:szCs w:val="28"/>
        </w:rPr>
        <w:t>Mohale</w:t>
      </w:r>
      <w:proofErr w:type="spellEnd"/>
      <w:r w:rsidR="00754B00" w:rsidRPr="00234C8A">
        <w:rPr>
          <w:rFonts w:ascii="Bookman Old Style" w:hAnsi="Bookman Old Style"/>
          <w:i/>
          <w:sz w:val="28"/>
          <w:szCs w:val="28"/>
        </w:rPr>
        <w:t xml:space="preserve"> and Another v Rex</w:t>
      </w:r>
      <w:r w:rsidR="00754B00" w:rsidRPr="00234C8A">
        <w:rPr>
          <w:rFonts w:ascii="Bookman Old Style" w:hAnsi="Bookman Old Style"/>
          <w:sz w:val="28"/>
          <w:szCs w:val="28"/>
        </w:rPr>
        <w:t xml:space="preserve"> (</w:t>
      </w:r>
      <w:r w:rsidR="00754B00" w:rsidRPr="00234C8A">
        <w:rPr>
          <w:rFonts w:ascii="Bookman Old Style" w:hAnsi="Bookman Old Style"/>
          <w:i/>
          <w:sz w:val="28"/>
          <w:szCs w:val="28"/>
        </w:rPr>
        <w:t>supra</w:t>
      </w:r>
      <w:r w:rsidR="00754B00" w:rsidRPr="00234C8A">
        <w:rPr>
          <w:rFonts w:ascii="Bookman Old Style" w:hAnsi="Bookman Old Style"/>
          <w:sz w:val="28"/>
          <w:szCs w:val="28"/>
        </w:rPr>
        <w:t xml:space="preserve">) was </w:t>
      </w:r>
      <w:r w:rsidR="003E7A9C" w:rsidRPr="00234C8A">
        <w:rPr>
          <w:rFonts w:ascii="Bookman Old Style" w:hAnsi="Bookman Old Style"/>
          <w:sz w:val="28"/>
          <w:szCs w:val="28"/>
        </w:rPr>
        <w:t>made, in 2005, the current Constitution of Lesotho was already in operation. The Constitution came</w:t>
      </w:r>
      <w:r w:rsidR="003E7A9C">
        <w:rPr>
          <w:rFonts w:ascii="Bookman Old Style" w:hAnsi="Bookman Old Style"/>
          <w:sz w:val="28"/>
          <w:szCs w:val="28"/>
        </w:rPr>
        <w:t xml:space="preserve"> into force on 1 April 1993.  Section 12(4) thereof provides in part that,</w:t>
      </w:r>
      <w:r w:rsidR="00754B00">
        <w:rPr>
          <w:rFonts w:ascii="Bookman Old Style" w:hAnsi="Bookman Old Style"/>
          <w:sz w:val="28"/>
          <w:szCs w:val="28"/>
        </w:rPr>
        <w:t xml:space="preserve"> </w:t>
      </w:r>
      <w:r w:rsidR="00754B00" w:rsidRPr="00754B00">
        <w:rPr>
          <w:rFonts w:ascii="Bookman Old Style" w:hAnsi="Bookman Old Style"/>
          <w:sz w:val="28"/>
          <w:szCs w:val="28"/>
        </w:rPr>
        <w:t>“</w:t>
      </w:r>
      <w:r w:rsidR="003E7A9C">
        <w:rPr>
          <w:rFonts w:ascii="Bookman Old Style" w:hAnsi="Bookman Old Style"/>
          <w:sz w:val="28"/>
          <w:szCs w:val="28"/>
        </w:rPr>
        <w:t>…</w:t>
      </w:r>
      <w:r w:rsidR="00754B00" w:rsidRPr="00754B00">
        <w:rPr>
          <w:rFonts w:ascii="Bookman Old Style" w:hAnsi="Bookman Old Style"/>
          <w:sz w:val="28"/>
          <w:szCs w:val="28"/>
        </w:rPr>
        <w:t xml:space="preserve">no penalty shall be imposed for a criminal offence that is severer in degree or </w:t>
      </w:r>
      <w:r w:rsidR="00754B00" w:rsidRPr="00754B00">
        <w:rPr>
          <w:rFonts w:ascii="Bookman Old Style" w:hAnsi="Bookman Old Style"/>
          <w:sz w:val="28"/>
          <w:szCs w:val="28"/>
        </w:rPr>
        <w:lastRenderedPageBreak/>
        <w:t xml:space="preserve">description than the maximum penalty that might have been imposed for that offence at the time when it was </w:t>
      </w:r>
      <w:r w:rsidR="00754B00" w:rsidRPr="00B42F5E">
        <w:rPr>
          <w:rFonts w:ascii="Bookman Old Style" w:hAnsi="Bookman Old Style"/>
          <w:sz w:val="28"/>
          <w:szCs w:val="28"/>
        </w:rPr>
        <w:t>committed.”</w:t>
      </w:r>
      <w:r w:rsidR="000525BA">
        <w:rPr>
          <w:rFonts w:ascii="Bookman Old Style" w:hAnsi="Bookman Old Style"/>
          <w:sz w:val="28"/>
          <w:szCs w:val="28"/>
        </w:rPr>
        <w:t xml:space="preserve"> This provision is</w:t>
      </w:r>
      <w:r w:rsidR="000525BA" w:rsidRPr="000525BA">
        <w:rPr>
          <w:rFonts w:ascii="Bookman Old Style" w:hAnsi="Bookman Old Style"/>
          <w:sz w:val="28"/>
          <w:szCs w:val="28"/>
        </w:rPr>
        <w:t xml:space="preserve"> clearly inconsistent with the imposition of a sentence </w:t>
      </w:r>
      <w:r w:rsidR="00150378">
        <w:rPr>
          <w:rFonts w:ascii="Bookman Old Style" w:hAnsi="Bookman Old Style"/>
          <w:sz w:val="28"/>
          <w:szCs w:val="28"/>
        </w:rPr>
        <w:t xml:space="preserve">that, </w:t>
      </w:r>
      <w:r w:rsidR="000525BA">
        <w:rPr>
          <w:rFonts w:ascii="Bookman Old Style" w:hAnsi="Bookman Old Style"/>
          <w:sz w:val="28"/>
          <w:szCs w:val="28"/>
        </w:rPr>
        <w:t>an accused</w:t>
      </w:r>
      <w:r w:rsidR="000525BA" w:rsidRPr="000525BA">
        <w:rPr>
          <w:rFonts w:ascii="Bookman Old Style" w:hAnsi="Bookman Old Style"/>
          <w:sz w:val="28"/>
          <w:szCs w:val="28"/>
        </w:rPr>
        <w:t xml:space="preserve"> who at the time of the commission of </w:t>
      </w:r>
      <w:r w:rsidR="000525BA">
        <w:rPr>
          <w:rFonts w:ascii="Bookman Old Style" w:hAnsi="Bookman Old Style"/>
          <w:sz w:val="28"/>
          <w:szCs w:val="28"/>
        </w:rPr>
        <w:t>an</w:t>
      </w:r>
      <w:r w:rsidR="000525BA" w:rsidRPr="000525BA">
        <w:rPr>
          <w:rFonts w:ascii="Bookman Old Style" w:hAnsi="Bookman Old Style"/>
          <w:sz w:val="28"/>
          <w:szCs w:val="28"/>
        </w:rPr>
        <w:t xml:space="preserve"> offence for which he was convicted</w:t>
      </w:r>
      <w:r w:rsidR="00150378">
        <w:rPr>
          <w:rFonts w:ascii="Bookman Old Style" w:hAnsi="Bookman Old Style"/>
          <w:sz w:val="28"/>
          <w:szCs w:val="28"/>
        </w:rPr>
        <w:t>,</w:t>
      </w:r>
      <w:r w:rsidR="000525BA" w:rsidRPr="000525BA">
        <w:rPr>
          <w:rFonts w:ascii="Bookman Old Style" w:hAnsi="Bookman Old Style"/>
          <w:sz w:val="28"/>
          <w:szCs w:val="28"/>
        </w:rPr>
        <w:t xml:space="preserve"> had not attained the age </w:t>
      </w:r>
      <w:r w:rsidR="000525BA">
        <w:rPr>
          <w:rFonts w:ascii="Bookman Old Style" w:hAnsi="Bookman Old Style"/>
          <w:sz w:val="28"/>
          <w:szCs w:val="28"/>
        </w:rPr>
        <w:t>contemplated by section 2</w:t>
      </w:r>
      <w:r w:rsidR="008D581A">
        <w:rPr>
          <w:rFonts w:ascii="Bookman Old Style" w:hAnsi="Bookman Old Style"/>
          <w:sz w:val="28"/>
          <w:szCs w:val="28"/>
        </w:rPr>
        <w:t>6(</w:t>
      </w:r>
      <w:r w:rsidR="000525BA">
        <w:rPr>
          <w:rFonts w:ascii="Bookman Old Style" w:hAnsi="Bookman Old Style"/>
          <w:sz w:val="28"/>
          <w:szCs w:val="28"/>
        </w:rPr>
        <w:t>1</w:t>
      </w:r>
      <w:r w:rsidR="008D581A">
        <w:rPr>
          <w:rFonts w:ascii="Bookman Old Style" w:hAnsi="Bookman Old Style"/>
          <w:sz w:val="28"/>
          <w:szCs w:val="28"/>
        </w:rPr>
        <w:t xml:space="preserve">) </w:t>
      </w:r>
      <w:r w:rsidR="000525BA">
        <w:rPr>
          <w:rFonts w:ascii="Bookman Old Style" w:hAnsi="Bookman Old Style"/>
          <w:sz w:val="28"/>
          <w:szCs w:val="28"/>
        </w:rPr>
        <w:t xml:space="preserve">of the </w:t>
      </w:r>
      <w:r w:rsidR="000525BA" w:rsidRPr="008D581A">
        <w:rPr>
          <w:rFonts w:ascii="Bookman Old Style" w:hAnsi="Bookman Old Style"/>
          <w:sz w:val="28"/>
          <w:szCs w:val="28"/>
        </w:rPr>
        <w:t xml:space="preserve">Children’s Protection Act. </w:t>
      </w:r>
      <w:r w:rsidR="008D581A" w:rsidRPr="008D581A">
        <w:rPr>
          <w:rFonts w:ascii="Bookman Old Style" w:hAnsi="Bookman Old Style"/>
          <w:sz w:val="28"/>
          <w:szCs w:val="28"/>
        </w:rPr>
        <w:t>I a</w:t>
      </w:r>
      <w:r w:rsidR="00FC0AD2">
        <w:rPr>
          <w:rFonts w:ascii="Bookman Old Style" w:hAnsi="Bookman Old Style"/>
          <w:sz w:val="28"/>
          <w:szCs w:val="28"/>
        </w:rPr>
        <w:t>m of the view that,</w:t>
      </w:r>
      <w:r w:rsidR="00150378" w:rsidRPr="00150378">
        <w:rPr>
          <w:rFonts w:ascii="Bookman Old Style" w:hAnsi="Bookman Old Style"/>
          <w:sz w:val="28"/>
          <w:szCs w:val="28"/>
        </w:rPr>
        <w:t xml:space="preserve"> the provisions of section</w:t>
      </w:r>
      <w:r w:rsidR="00FC0AD2">
        <w:rPr>
          <w:rFonts w:ascii="Bookman Old Style" w:hAnsi="Bookman Old Style"/>
          <w:sz w:val="28"/>
          <w:szCs w:val="28"/>
        </w:rPr>
        <w:t xml:space="preserve"> </w:t>
      </w:r>
      <w:r w:rsidR="00FC0AD2" w:rsidRPr="00FC0AD2">
        <w:rPr>
          <w:rFonts w:ascii="Bookman Old Style" w:hAnsi="Bookman Old Style"/>
          <w:sz w:val="28"/>
          <w:szCs w:val="28"/>
        </w:rPr>
        <w:t xml:space="preserve">12(4) </w:t>
      </w:r>
      <w:r w:rsidR="00FC0AD2">
        <w:rPr>
          <w:rFonts w:ascii="Bookman Old Style" w:hAnsi="Bookman Old Style"/>
          <w:sz w:val="28"/>
          <w:szCs w:val="28"/>
        </w:rPr>
        <w:t>of the Constitution were intended</w:t>
      </w:r>
      <w:r w:rsidR="00150378" w:rsidRPr="00150378">
        <w:rPr>
          <w:rFonts w:ascii="Bookman Old Style" w:hAnsi="Bookman Old Style"/>
          <w:sz w:val="28"/>
          <w:szCs w:val="28"/>
        </w:rPr>
        <w:t xml:space="preserve"> to prevent the imposition of a heavier punishment for an offence which at the time of its commission could only attract a light punishment.</w:t>
      </w:r>
      <w:r w:rsidR="000525BA">
        <w:rPr>
          <w:rStyle w:val="FootnoteReference"/>
          <w:rFonts w:ascii="Bookman Old Style" w:hAnsi="Bookman Old Style"/>
          <w:sz w:val="28"/>
          <w:szCs w:val="28"/>
        </w:rPr>
        <w:footnoteReference w:id="8"/>
      </w:r>
      <w:r w:rsidR="000525BA">
        <w:rPr>
          <w:rFonts w:ascii="Bookman Old Style" w:hAnsi="Bookman Old Style"/>
          <w:sz w:val="28"/>
          <w:szCs w:val="28"/>
        </w:rPr>
        <w:t xml:space="preserve"> </w:t>
      </w:r>
    </w:p>
    <w:p w:rsidR="00CF6CB6" w:rsidRDefault="00B269F0" w:rsidP="006F47AE">
      <w:pPr>
        <w:shd w:val="clear" w:color="auto" w:fill="FFFFFF"/>
        <w:spacing w:line="360" w:lineRule="auto"/>
        <w:jc w:val="both"/>
        <w:rPr>
          <w:rFonts w:ascii="Bookman Old Style" w:hAnsi="Bookman Old Style"/>
          <w:sz w:val="28"/>
          <w:szCs w:val="28"/>
        </w:rPr>
      </w:pPr>
      <w:r>
        <w:rPr>
          <w:rFonts w:ascii="Bookman Old Style" w:hAnsi="Bookman Old Style"/>
          <w:sz w:val="28"/>
          <w:szCs w:val="28"/>
        </w:rPr>
        <w:t>[15</w:t>
      </w:r>
      <w:r w:rsidRPr="00B269F0">
        <w:rPr>
          <w:rFonts w:ascii="Bookman Old Style" w:hAnsi="Bookman Old Style"/>
          <w:sz w:val="28"/>
          <w:szCs w:val="28"/>
        </w:rPr>
        <w:t xml:space="preserve">] </w:t>
      </w:r>
      <w:r w:rsidR="00CF6CB6">
        <w:rPr>
          <w:rFonts w:ascii="Bookman Old Style" w:hAnsi="Bookman Old Style"/>
          <w:sz w:val="28"/>
          <w:szCs w:val="28"/>
        </w:rPr>
        <w:t xml:space="preserve">What then should we do </w:t>
      </w:r>
      <w:r w:rsidR="00CF6CB6" w:rsidRPr="00234C8A">
        <w:rPr>
          <w:rFonts w:ascii="Bookman Old Style" w:hAnsi="Bookman Old Style"/>
          <w:sz w:val="28"/>
          <w:szCs w:val="28"/>
        </w:rPr>
        <w:t>with our decision in</w:t>
      </w:r>
      <w:r w:rsidR="00CF6CB6" w:rsidRPr="00234C8A">
        <w:t xml:space="preserve"> </w:t>
      </w:r>
      <w:proofErr w:type="spellStart"/>
      <w:r w:rsidR="00CF6CB6" w:rsidRPr="00234C8A">
        <w:rPr>
          <w:rFonts w:ascii="Bookman Old Style" w:hAnsi="Bookman Old Style"/>
          <w:sz w:val="28"/>
          <w:szCs w:val="28"/>
        </w:rPr>
        <w:t>Mohale</w:t>
      </w:r>
      <w:proofErr w:type="spellEnd"/>
      <w:r w:rsidR="00CF6CB6" w:rsidRPr="00234C8A">
        <w:rPr>
          <w:rFonts w:ascii="Bookman Old Style" w:hAnsi="Bookman Old Style"/>
          <w:sz w:val="28"/>
          <w:szCs w:val="28"/>
        </w:rPr>
        <w:t xml:space="preserve"> and Another v Rex </w:t>
      </w:r>
      <w:r w:rsidR="00CF6CB6" w:rsidRPr="00234C8A">
        <w:rPr>
          <w:rFonts w:ascii="Bookman Old Style" w:hAnsi="Bookman Old Style"/>
          <w:i/>
          <w:sz w:val="28"/>
          <w:szCs w:val="28"/>
        </w:rPr>
        <w:t>(supra)</w:t>
      </w:r>
      <w:r w:rsidR="00CF6CB6" w:rsidRPr="00234C8A">
        <w:rPr>
          <w:rFonts w:ascii="Bookman Old Style" w:hAnsi="Bookman Old Style"/>
          <w:sz w:val="28"/>
          <w:szCs w:val="28"/>
        </w:rPr>
        <w:t xml:space="preserve">? </w:t>
      </w:r>
      <w:r w:rsidR="002A068A" w:rsidRPr="00234C8A">
        <w:rPr>
          <w:rFonts w:ascii="Bookman Old Style" w:hAnsi="Bookman Old Style"/>
          <w:sz w:val="28"/>
          <w:szCs w:val="28"/>
        </w:rPr>
        <w:t xml:space="preserve">In </w:t>
      </w:r>
      <w:proofErr w:type="spellStart"/>
      <w:r w:rsidR="002A068A" w:rsidRPr="00234C8A">
        <w:rPr>
          <w:rFonts w:ascii="Bookman Old Style" w:hAnsi="Bookman Old Style"/>
          <w:i/>
          <w:sz w:val="28"/>
          <w:szCs w:val="28"/>
        </w:rPr>
        <w:t>Chirwa</w:t>
      </w:r>
      <w:proofErr w:type="spellEnd"/>
      <w:r w:rsidR="002A068A" w:rsidRPr="00234C8A">
        <w:rPr>
          <w:rFonts w:ascii="Bookman Old Style" w:hAnsi="Bookman Old Style"/>
          <w:i/>
          <w:sz w:val="28"/>
          <w:szCs w:val="28"/>
        </w:rPr>
        <w:t xml:space="preserve"> v Transnet Limited</w:t>
      </w:r>
      <w:r w:rsidR="002A068A" w:rsidRPr="00234C8A">
        <w:rPr>
          <w:rFonts w:ascii="Bookman Old Style" w:hAnsi="Bookman Old Style"/>
          <w:sz w:val="28"/>
          <w:szCs w:val="28"/>
        </w:rPr>
        <w:t>,</w:t>
      </w:r>
      <w:r w:rsidR="002A068A" w:rsidRPr="00234C8A">
        <w:rPr>
          <w:rStyle w:val="FootnoteReference"/>
          <w:rFonts w:ascii="Bookman Old Style" w:hAnsi="Bookman Old Style"/>
          <w:sz w:val="28"/>
          <w:szCs w:val="28"/>
        </w:rPr>
        <w:footnoteReference w:id="9"/>
      </w:r>
      <w:r w:rsidR="002A068A" w:rsidRPr="00234C8A">
        <w:rPr>
          <w:rFonts w:ascii="Bookman Old Style" w:hAnsi="Bookman Old Style"/>
          <w:sz w:val="28"/>
          <w:szCs w:val="28"/>
        </w:rPr>
        <w:t xml:space="preserve"> the Constitutional Court of South Africa once faced a similar dilemma. This is apparent from its following remarks:</w:t>
      </w:r>
      <w:r w:rsidR="00CF6CB6">
        <w:rPr>
          <w:rFonts w:ascii="Bookman Old Style" w:hAnsi="Bookman Old Style"/>
          <w:sz w:val="28"/>
          <w:szCs w:val="28"/>
        </w:rPr>
        <w:t xml:space="preserve"> </w:t>
      </w:r>
    </w:p>
    <w:p w:rsidR="00CF6CB6" w:rsidRPr="00AB6DED" w:rsidRDefault="00D73289" w:rsidP="00AB6DED">
      <w:pPr>
        <w:shd w:val="clear" w:color="auto" w:fill="FFFFFF"/>
        <w:spacing w:line="240" w:lineRule="auto"/>
        <w:ind w:left="567" w:right="567"/>
        <w:jc w:val="both"/>
        <w:rPr>
          <w:rFonts w:ascii="Bookman Old Style" w:hAnsi="Bookman Old Style"/>
          <w:sz w:val="24"/>
          <w:szCs w:val="24"/>
        </w:rPr>
      </w:pPr>
      <w:proofErr w:type="gramStart"/>
      <w:r w:rsidRPr="00AB6DED">
        <w:rPr>
          <w:rFonts w:ascii="Bookman Old Style" w:hAnsi="Bookman Old Style"/>
          <w:sz w:val="24"/>
          <w:szCs w:val="24"/>
        </w:rPr>
        <w:t xml:space="preserve">“ </w:t>
      </w:r>
      <w:r w:rsidR="00CF6CB6" w:rsidRPr="00AB6DED">
        <w:rPr>
          <w:rFonts w:ascii="Bookman Old Style" w:hAnsi="Bookman Old Style"/>
          <w:sz w:val="24"/>
          <w:szCs w:val="24"/>
        </w:rPr>
        <w:t>[</w:t>
      </w:r>
      <w:proofErr w:type="gramEnd"/>
      <w:r w:rsidR="00CF6CB6" w:rsidRPr="00AB6DED">
        <w:rPr>
          <w:rFonts w:ascii="Bookman Old Style" w:hAnsi="Bookman Old Style"/>
          <w:sz w:val="24"/>
          <w:szCs w:val="24"/>
        </w:rPr>
        <w:t>P]</w:t>
      </w:r>
      <w:proofErr w:type="spellStart"/>
      <w:r w:rsidR="00CF6CB6" w:rsidRPr="00AB6DED">
        <w:rPr>
          <w:rFonts w:ascii="Bookman Old Style" w:hAnsi="Bookman Old Style"/>
          <w:sz w:val="24"/>
          <w:szCs w:val="24"/>
        </w:rPr>
        <w:t>recedents</w:t>
      </w:r>
      <w:proofErr w:type="spellEnd"/>
      <w:r w:rsidR="00CF6CB6" w:rsidRPr="00AB6DED">
        <w:rPr>
          <w:rFonts w:ascii="Bookman Old Style" w:hAnsi="Bookman Old Style"/>
          <w:sz w:val="24"/>
          <w:szCs w:val="24"/>
        </w:rPr>
        <w:t xml:space="preserve"> must be respected in order to ensure legal certainty and equality before the law. This is essential for the rule of law. Law cannot ‘rule’ unless it is reasonably predictable. A highest court of appeal — and this Court in particular — has to be especially cautious as far as adherence to or deviation from its own previous decisions is concerned. It is the upper guardian of the letter, spirit and values of the Constitution. The Constitution is the supreme law and has had a major impact on the entire South African legal order – as it was intended to do. But it is young; so is the legislation following from it. As a jurisprudence develops, understanding may increase and interpretations may change. At the same time, though, a single source of consistent, authoritative and binding decisions is essential for the development of a stable constitutional jurisprudence and for the effective protection of fundamental rights. This Court must not easily and without coherent and compelling reason deviate from its own previous decisions, or be seen to have done so. One exceptional instance where this principle may be invoked is when this Court’s earlier decisions have given rise to </w:t>
      </w:r>
      <w:r w:rsidR="00CF6CB6" w:rsidRPr="00AB6DED">
        <w:rPr>
          <w:rFonts w:ascii="Bookman Old Style" w:hAnsi="Bookman Old Style"/>
          <w:sz w:val="24"/>
          <w:szCs w:val="24"/>
        </w:rPr>
        <w:lastRenderedPageBreak/>
        <w:t>controversy or uncertainty, leading to conflicting decisions in the lower courts.</w:t>
      </w:r>
      <w:r w:rsidRPr="00AB6DED">
        <w:rPr>
          <w:rFonts w:ascii="Bookman Old Style" w:hAnsi="Bookman Old Style"/>
          <w:sz w:val="24"/>
          <w:szCs w:val="24"/>
        </w:rPr>
        <w:t>”</w:t>
      </w:r>
      <w:r w:rsidR="002A068A" w:rsidRPr="00AB6DED">
        <w:rPr>
          <w:rStyle w:val="FootnoteReference"/>
          <w:rFonts w:ascii="Bookman Old Style" w:hAnsi="Bookman Old Style"/>
          <w:sz w:val="24"/>
          <w:szCs w:val="24"/>
        </w:rPr>
        <w:footnoteReference w:id="10"/>
      </w:r>
    </w:p>
    <w:p w:rsidR="00B269F0" w:rsidRPr="0046072C" w:rsidRDefault="00B269F0" w:rsidP="0046072C">
      <w:pPr>
        <w:shd w:val="clear" w:color="auto" w:fill="FFFFFF"/>
        <w:spacing w:line="360" w:lineRule="auto"/>
        <w:jc w:val="both"/>
        <w:rPr>
          <w:rFonts w:ascii="Bookman Old Style" w:hAnsi="Bookman Old Style"/>
          <w:sz w:val="28"/>
          <w:szCs w:val="28"/>
        </w:rPr>
      </w:pPr>
      <w:r>
        <w:rPr>
          <w:rFonts w:ascii="Bookman Old Style" w:hAnsi="Bookman Old Style"/>
          <w:sz w:val="28"/>
          <w:szCs w:val="28"/>
        </w:rPr>
        <w:t>[16</w:t>
      </w:r>
      <w:r w:rsidRPr="00B269F0">
        <w:rPr>
          <w:rFonts w:ascii="Bookman Old Style" w:hAnsi="Bookman Old Style"/>
          <w:sz w:val="28"/>
          <w:szCs w:val="28"/>
        </w:rPr>
        <w:t xml:space="preserve">] </w:t>
      </w:r>
      <w:r w:rsidR="00D73289">
        <w:rPr>
          <w:rFonts w:ascii="Bookman Old Style" w:hAnsi="Bookman Old Style"/>
          <w:sz w:val="28"/>
          <w:szCs w:val="28"/>
        </w:rPr>
        <w:t xml:space="preserve">I fully appreciate and associate myself with the </w:t>
      </w:r>
      <w:r w:rsidR="003A75BC">
        <w:rPr>
          <w:rFonts w:ascii="Bookman Old Style" w:hAnsi="Bookman Old Style"/>
          <w:sz w:val="28"/>
          <w:szCs w:val="28"/>
        </w:rPr>
        <w:t>foregoing</w:t>
      </w:r>
      <w:r w:rsidR="00D73289">
        <w:rPr>
          <w:rFonts w:ascii="Bookman Old Style" w:hAnsi="Bookman Old Style"/>
          <w:sz w:val="28"/>
          <w:szCs w:val="28"/>
        </w:rPr>
        <w:t xml:space="preserve"> </w:t>
      </w:r>
      <w:r w:rsidR="003A75BC">
        <w:rPr>
          <w:rFonts w:ascii="Bookman Old Style" w:hAnsi="Bookman Old Style"/>
          <w:sz w:val="28"/>
          <w:szCs w:val="28"/>
        </w:rPr>
        <w:t xml:space="preserve">remarks. I adopt the remarks </w:t>
      </w:r>
      <w:r w:rsidR="003A75BC" w:rsidRPr="003A75BC">
        <w:rPr>
          <w:rFonts w:ascii="Bookman Old Style" w:hAnsi="Bookman Old Style"/>
          <w:i/>
          <w:sz w:val="28"/>
          <w:szCs w:val="28"/>
        </w:rPr>
        <w:t>mutatis mutandis</w:t>
      </w:r>
      <w:r w:rsidR="003A75BC">
        <w:rPr>
          <w:rFonts w:ascii="Bookman Old Style" w:hAnsi="Bookman Old Style"/>
          <w:sz w:val="28"/>
          <w:szCs w:val="28"/>
        </w:rPr>
        <w:t>.</w:t>
      </w:r>
      <w:r w:rsidR="003A75BC" w:rsidRPr="008D581A">
        <w:rPr>
          <w:rFonts w:ascii="Bookman Old Style" w:hAnsi="Bookman Old Style"/>
          <w:sz w:val="28"/>
          <w:szCs w:val="28"/>
        </w:rPr>
        <w:t xml:space="preserve"> </w:t>
      </w:r>
      <w:r w:rsidR="006F4C8F" w:rsidRPr="00234C8A">
        <w:rPr>
          <w:rFonts w:ascii="Bookman Old Style" w:hAnsi="Bookman Old Style"/>
          <w:sz w:val="28"/>
          <w:szCs w:val="28"/>
        </w:rPr>
        <w:t xml:space="preserve">In </w:t>
      </w:r>
      <w:r w:rsidR="006F4C8F" w:rsidRPr="00234C8A">
        <w:rPr>
          <w:rFonts w:ascii="Bookman Old Style" w:hAnsi="Bookman Old Style"/>
          <w:i/>
          <w:sz w:val="28"/>
          <w:szCs w:val="28"/>
        </w:rPr>
        <w:t>Rodriquez de</w:t>
      </w:r>
      <w:r w:rsidR="006F4C8F" w:rsidRPr="006F4C8F">
        <w:rPr>
          <w:rFonts w:ascii="Bookman Old Style" w:hAnsi="Bookman Old Style"/>
          <w:b/>
          <w:i/>
          <w:sz w:val="28"/>
          <w:szCs w:val="28"/>
        </w:rPr>
        <w:t xml:space="preserve"> </w:t>
      </w:r>
      <w:proofErr w:type="spellStart"/>
      <w:r w:rsidR="006F4C8F" w:rsidRPr="00234C8A">
        <w:rPr>
          <w:rFonts w:ascii="Bookman Old Style" w:hAnsi="Bookman Old Style"/>
          <w:i/>
          <w:sz w:val="28"/>
          <w:szCs w:val="28"/>
        </w:rPr>
        <w:t>Quijas</w:t>
      </w:r>
      <w:proofErr w:type="spellEnd"/>
      <w:r w:rsidR="006F4C8F" w:rsidRPr="00234C8A">
        <w:rPr>
          <w:rFonts w:ascii="Bookman Old Style" w:hAnsi="Bookman Old Style"/>
          <w:i/>
          <w:sz w:val="28"/>
          <w:szCs w:val="28"/>
        </w:rPr>
        <w:t xml:space="preserve"> u Shearson/American Express</w:t>
      </w:r>
      <w:r w:rsidR="006F4C8F" w:rsidRPr="00234C8A">
        <w:rPr>
          <w:rFonts w:ascii="Bookman Old Style" w:hAnsi="Bookman Old Style"/>
          <w:sz w:val="28"/>
          <w:szCs w:val="28"/>
        </w:rPr>
        <w:t>,</w:t>
      </w:r>
      <w:r w:rsidR="006F4C8F" w:rsidRPr="00234C8A">
        <w:rPr>
          <w:rStyle w:val="FootnoteReference"/>
          <w:rFonts w:ascii="Bookman Old Style" w:hAnsi="Bookman Old Style"/>
          <w:sz w:val="28"/>
          <w:szCs w:val="28"/>
        </w:rPr>
        <w:footnoteReference w:id="11"/>
      </w:r>
      <w:r w:rsidR="006F4C8F" w:rsidRPr="00234C8A">
        <w:rPr>
          <w:rFonts w:ascii="Bookman Old Style" w:hAnsi="Bookman Old Style"/>
          <w:sz w:val="28"/>
          <w:szCs w:val="28"/>
        </w:rPr>
        <w:t xml:space="preserve"> </w:t>
      </w:r>
      <w:r w:rsidR="002B07A3" w:rsidRPr="00234C8A">
        <w:rPr>
          <w:rFonts w:ascii="Bookman Old Style" w:hAnsi="Bookman Old Style"/>
          <w:sz w:val="28"/>
          <w:szCs w:val="28"/>
        </w:rPr>
        <w:t>the court remarked that, i</w:t>
      </w:r>
      <w:r w:rsidR="006F4C8F" w:rsidRPr="00234C8A">
        <w:rPr>
          <w:rFonts w:ascii="Bookman Old Style" w:hAnsi="Bookman Old Style"/>
          <w:sz w:val="28"/>
          <w:szCs w:val="28"/>
        </w:rPr>
        <w:t>f a precedent of th</w:t>
      </w:r>
      <w:r w:rsidR="0046072C">
        <w:rPr>
          <w:rFonts w:ascii="Bookman Old Style" w:hAnsi="Bookman Old Style"/>
          <w:sz w:val="28"/>
          <w:szCs w:val="28"/>
        </w:rPr>
        <w:t>e</w:t>
      </w:r>
      <w:r w:rsidR="006F4C8F" w:rsidRPr="00234C8A">
        <w:rPr>
          <w:rFonts w:ascii="Bookman Old Style" w:hAnsi="Bookman Old Style"/>
          <w:sz w:val="28"/>
          <w:szCs w:val="28"/>
        </w:rPr>
        <w:t xml:space="preserve"> Court has direct application in a case, yet appears to rest on reasons rejected in some other line of decisions, the Court of Appeals should follow the case which directly controls, leaving to this Court the prerogative of overruling its own decisions</w:t>
      </w:r>
      <w:r w:rsidR="002B07A3" w:rsidRPr="00234C8A">
        <w:rPr>
          <w:rFonts w:ascii="Bookman Old Style" w:hAnsi="Bookman Old Style"/>
          <w:sz w:val="28"/>
          <w:szCs w:val="28"/>
        </w:rPr>
        <w:t>.</w:t>
      </w:r>
      <w:r w:rsidR="006F4C8F" w:rsidRPr="006F4C8F">
        <w:rPr>
          <w:rFonts w:ascii="Bookman Old Style" w:hAnsi="Bookman Old Style"/>
          <w:sz w:val="28"/>
          <w:szCs w:val="28"/>
        </w:rPr>
        <w:t xml:space="preserve"> </w:t>
      </w:r>
      <w:r w:rsidR="0046072C">
        <w:rPr>
          <w:rFonts w:ascii="Bookman Old Style" w:hAnsi="Bookman Old Style"/>
          <w:sz w:val="28"/>
          <w:szCs w:val="28"/>
        </w:rPr>
        <w:t xml:space="preserve">What this actually means is that, this Court has the </w:t>
      </w:r>
      <w:r w:rsidR="0046072C" w:rsidRPr="0046072C">
        <w:rPr>
          <w:rFonts w:ascii="Bookman Old Style" w:hAnsi="Bookman Old Style"/>
          <w:sz w:val="28"/>
          <w:szCs w:val="28"/>
        </w:rPr>
        <w:t>prerogative of overruling its own decisions.</w:t>
      </w:r>
    </w:p>
    <w:p w:rsidR="0081243F" w:rsidRDefault="00B269F0" w:rsidP="006F4C8F">
      <w:pPr>
        <w:shd w:val="clear" w:color="auto" w:fill="FFFFFF"/>
        <w:spacing w:line="360" w:lineRule="auto"/>
        <w:jc w:val="both"/>
        <w:rPr>
          <w:rFonts w:ascii="Bookman Old Style" w:hAnsi="Bookman Old Style"/>
          <w:sz w:val="28"/>
          <w:szCs w:val="28"/>
        </w:rPr>
      </w:pPr>
      <w:r w:rsidRPr="00B269F0">
        <w:rPr>
          <w:rFonts w:ascii="Bookman Old Style" w:hAnsi="Bookman Old Style"/>
          <w:sz w:val="28"/>
          <w:szCs w:val="28"/>
        </w:rPr>
        <w:t>[</w:t>
      </w:r>
      <w:r>
        <w:rPr>
          <w:rFonts w:ascii="Bookman Old Style" w:hAnsi="Bookman Old Style"/>
          <w:sz w:val="28"/>
          <w:szCs w:val="28"/>
        </w:rPr>
        <w:t>17</w:t>
      </w:r>
      <w:r w:rsidRPr="00B269F0">
        <w:rPr>
          <w:rFonts w:ascii="Bookman Old Style" w:hAnsi="Bookman Old Style"/>
          <w:sz w:val="28"/>
          <w:szCs w:val="28"/>
        </w:rPr>
        <w:t xml:space="preserve">] </w:t>
      </w:r>
      <w:r w:rsidR="003A75BC">
        <w:rPr>
          <w:rFonts w:ascii="Bookman Old Style" w:hAnsi="Bookman Old Style"/>
          <w:sz w:val="28"/>
          <w:szCs w:val="28"/>
        </w:rPr>
        <w:t xml:space="preserve">With the </w:t>
      </w:r>
      <w:r w:rsidR="002B07A3" w:rsidRPr="00234C8A">
        <w:rPr>
          <w:rFonts w:ascii="Bookman Old Style" w:hAnsi="Bookman Old Style"/>
          <w:sz w:val="28"/>
          <w:szCs w:val="28"/>
        </w:rPr>
        <w:t>foregoing</w:t>
      </w:r>
      <w:r w:rsidR="003A75BC" w:rsidRPr="00234C8A">
        <w:rPr>
          <w:rFonts w:ascii="Bookman Old Style" w:hAnsi="Bookman Old Style"/>
          <w:sz w:val="28"/>
          <w:szCs w:val="28"/>
        </w:rPr>
        <w:t xml:space="preserve"> remarks in mind, I</w:t>
      </w:r>
      <w:r w:rsidR="00AF0EE4" w:rsidRPr="00234C8A">
        <w:rPr>
          <w:rFonts w:ascii="Bookman Old Style" w:hAnsi="Bookman Old Style"/>
          <w:sz w:val="28"/>
          <w:szCs w:val="28"/>
        </w:rPr>
        <w:t xml:space="preserve"> </w:t>
      </w:r>
      <w:r w:rsidRPr="00234C8A">
        <w:rPr>
          <w:rFonts w:ascii="Bookman Old Style" w:hAnsi="Bookman Old Style"/>
          <w:sz w:val="28"/>
          <w:szCs w:val="28"/>
        </w:rPr>
        <w:t>nevertheless hold</w:t>
      </w:r>
      <w:r w:rsidR="008D581A" w:rsidRPr="00234C8A">
        <w:rPr>
          <w:rFonts w:ascii="Bookman Old Style" w:hAnsi="Bookman Old Style"/>
          <w:sz w:val="28"/>
          <w:szCs w:val="28"/>
        </w:rPr>
        <w:t xml:space="preserve"> that</w:t>
      </w:r>
      <w:r w:rsidR="00AF0EE4" w:rsidRPr="00234C8A">
        <w:rPr>
          <w:rFonts w:ascii="Bookman Old Style" w:hAnsi="Bookman Old Style"/>
          <w:sz w:val="28"/>
          <w:szCs w:val="28"/>
        </w:rPr>
        <w:t>,</w:t>
      </w:r>
      <w:r w:rsidR="008D581A" w:rsidRPr="00234C8A">
        <w:rPr>
          <w:rFonts w:ascii="Bookman Old Style" w:hAnsi="Bookman Old Style"/>
          <w:sz w:val="28"/>
          <w:szCs w:val="28"/>
        </w:rPr>
        <w:t xml:space="preserve"> the decision in </w:t>
      </w:r>
      <w:proofErr w:type="spellStart"/>
      <w:r w:rsidR="008D581A" w:rsidRPr="00234C8A">
        <w:rPr>
          <w:rFonts w:ascii="Bookman Old Style" w:hAnsi="Bookman Old Style"/>
          <w:i/>
          <w:sz w:val="28"/>
          <w:szCs w:val="28"/>
        </w:rPr>
        <w:t>Mohale</w:t>
      </w:r>
      <w:proofErr w:type="spellEnd"/>
      <w:r w:rsidR="008D581A" w:rsidRPr="00234C8A">
        <w:rPr>
          <w:rFonts w:ascii="Bookman Old Style" w:hAnsi="Bookman Old Style"/>
          <w:i/>
          <w:sz w:val="28"/>
          <w:szCs w:val="28"/>
        </w:rPr>
        <w:t xml:space="preserve"> and Another v Rex</w:t>
      </w:r>
      <w:r w:rsidR="008D581A" w:rsidRPr="00234C8A">
        <w:rPr>
          <w:rFonts w:ascii="Bookman Old Style" w:hAnsi="Bookman Old Style"/>
          <w:sz w:val="28"/>
          <w:szCs w:val="28"/>
        </w:rPr>
        <w:t xml:space="preserve"> </w:t>
      </w:r>
      <w:r w:rsidR="008D581A" w:rsidRPr="00234C8A">
        <w:rPr>
          <w:rFonts w:ascii="Bookman Old Style" w:hAnsi="Bookman Old Style"/>
          <w:i/>
          <w:sz w:val="28"/>
          <w:szCs w:val="28"/>
        </w:rPr>
        <w:t>(supra)</w:t>
      </w:r>
      <w:r w:rsidR="008D581A" w:rsidRPr="00234C8A">
        <w:rPr>
          <w:rFonts w:ascii="Bookman Old Style" w:hAnsi="Bookman Old Style"/>
          <w:sz w:val="28"/>
          <w:szCs w:val="28"/>
        </w:rPr>
        <w:t xml:space="preserve"> </w:t>
      </w:r>
      <w:r w:rsidR="0046072C">
        <w:rPr>
          <w:rFonts w:ascii="Bookman Old Style" w:hAnsi="Bookman Old Style"/>
          <w:sz w:val="28"/>
          <w:szCs w:val="28"/>
        </w:rPr>
        <w:t>was</w:t>
      </w:r>
      <w:r w:rsidR="003A75BC" w:rsidRPr="00234C8A">
        <w:rPr>
          <w:rFonts w:ascii="Bookman Old Style" w:hAnsi="Bookman Old Style"/>
          <w:sz w:val="28"/>
          <w:szCs w:val="28"/>
        </w:rPr>
        <w:t xml:space="preserve"> </w:t>
      </w:r>
      <w:r w:rsidR="002D5B74" w:rsidRPr="00234C8A">
        <w:rPr>
          <w:rFonts w:ascii="Bookman Old Style" w:hAnsi="Bookman Old Style"/>
          <w:sz w:val="28"/>
          <w:szCs w:val="28"/>
        </w:rPr>
        <w:t>incorrect</w:t>
      </w:r>
      <w:r w:rsidR="0046072C">
        <w:rPr>
          <w:rFonts w:ascii="Bookman Old Style" w:hAnsi="Bookman Old Style"/>
          <w:sz w:val="28"/>
          <w:szCs w:val="28"/>
        </w:rPr>
        <w:t>ly</w:t>
      </w:r>
      <w:r w:rsidR="002D5B74" w:rsidRPr="00234C8A">
        <w:rPr>
          <w:rFonts w:ascii="Bookman Old Style" w:hAnsi="Bookman Old Style"/>
          <w:sz w:val="28"/>
          <w:szCs w:val="28"/>
        </w:rPr>
        <w:t xml:space="preserve"> decided</w:t>
      </w:r>
      <w:r w:rsidR="008D581A" w:rsidRPr="00234C8A">
        <w:rPr>
          <w:rFonts w:ascii="Bookman Old Style" w:hAnsi="Bookman Old Style"/>
          <w:sz w:val="28"/>
          <w:szCs w:val="28"/>
        </w:rPr>
        <w:t xml:space="preserve"> </w:t>
      </w:r>
      <w:r w:rsidR="00AF0EE4" w:rsidRPr="00234C8A">
        <w:rPr>
          <w:rFonts w:ascii="Bookman Old Style" w:hAnsi="Bookman Old Style"/>
          <w:sz w:val="28"/>
          <w:szCs w:val="28"/>
        </w:rPr>
        <w:t>to the extent that it held that</w:t>
      </w:r>
      <w:r w:rsidR="00F53342" w:rsidRPr="00234C8A">
        <w:rPr>
          <w:rFonts w:ascii="Bookman Old Style" w:hAnsi="Bookman Old Style"/>
          <w:sz w:val="28"/>
          <w:szCs w:val="28"/>
        </w:rPr>
        <w:t>,</w:t>
      </w:r>
      <w:r w:rsidR="008D581A" w:rsidRPr="00234C8A">
        <w:rPr>
          <w:rFonts w:ascii="Bookman Old Style" w:hAnsi="Bookman Old Style"/>
          <w:sz w:val="28"/>
          <w:szCs w:val="28"/>
        </w:rPr>
        <w:t xml:space="preserve"> if at the date of sentence the accused has attained the age of 18 years, it is within the court’s discretion to impose whatever</w:t>
      </w:r>
      <w:r w:rsidR="008D581A" w:rsidRPr="008D581A">
        <w:rPr>
          <w:rFonts w:ascii="Bookman Old Style" w:hAnsi="Bookman Old Style"/>
          <w:sz w:val="28"/>
          <w:szCs w:val="28"/>
        </w:rPr>
        <w:t xml:space="preserve"> sentence it deems appropriate in the circumstances.</w:t>
      </w:r>
      <w:r w:rsidR="008D581A">
        <w:rPr>
          <w:rFonts w:ascii="Bookman Old Style" w:hAnsi="Bookman Old Style"/>
          <w:sz w:val="28"/>
          <w:szCs w:val="28"/>
        </w:rPr>
        <w:t xml:space="preserve"> </w:t>
      </w:r>
      <w:r w:rsidR="00B42F5E" w:rsidRPr="00B42F5E">
        <w:rPr>
          <w:rFonts w:ascii="Bookman Old Style" w:hAnsi="Bookman Old Style"/>
          <w:sz w:val="28"/>
          <w:szCs w:val="28"/>
        </w:rPr>
        <w:t>Th</w:t>
      </w:r>
      <w:r w:rsidR="00F53342">
        <w:rPr>
          <w:rFonts w:ascii="Bookman Old Style" w:hAnsi="Bookman Old Style"/>
          <w:sz w:val="28"/>
          <w:szCs w:val="28"/>
        </w:rPr>
        <w:t>e correct legal position is that, the</w:t>
      </w:r>
      <w:r w:rsidR="009733F1" w:rsidRPr="009733F1">
        <w:rPr>
          <w:rFonts w:ascii="Bookman Old Style" w:hAnsi="Bookman Old Style"/>
          <w:sz w:val="28"/>
          <w:szCs w:val="28"/>
        </w:rPr>
        <w:t xml:space="preserve"> relevant age for consideration for the purpose</w:t>
      </w:r>
      <w:r w:rsidR="00B42F5E">
        <w:rPr>
          <w:rFonts w:ascii="Bookman Old Style" w:hAnsi="Bookman Old Style"/>
          <w:sz w:val="28"/>
          <w:szCs w:val="28"/>
        </w:rPr>
        <w:t xml:space="preserve"> </w:t>
      </w:r>
      <w:r w:rsidR="009733F1" w:rsidRPr="009733F1">
        <w:rPr>
          <w:rFonts w:ascii="Bookman Old Style" w:hAnsi="Bookman Old Style"/>
          <w:sz w:val="28"/>
          <w:szCs w:val="28"/>
        </w:rPr>
        <w:t xml:space="preserve">of </w:t>
      </w:r>
      <w:r w:rsidR="0081243F">
        <w:rPr>
          <w:rFonts w:ascii="Bookman Old Style" w:hAnsi="Bookman Old Style"/>
          <w:sz w:val="28"/>
          <w:szCs w:val="28"/>
        </w:rPr>
        <w:t xml:space="preserve">section </w:t>
      </w:r>
      <w:r w:rsidR="009733F1" w:rsidRPr="009733F1">
        <w:rPr>
          <w:rFonts w:ascii="Bookman Old Style" w:hAnsi="Bookman Old Style"/>
          <w:sz w:val="28"/>
          <w:szCs w:val="28"/>
        </w:rPr>
        <w:t xml:space="preserve">26 (1) </w:t>
      </w:r>
      <w:r w:rsidR="0081243F">
        <w:rPr>
          <w:rFonts w:ascii="Bookman Old Style" w:hAnsi="Bookman Old Style"/>
          <w:sz w:val="28"/>
          <w:szCs w:val="28"/>
        </w:rPr>
        <w:t xml:space="preserve">of the Children Protection Act, </w:t>
      </w:r>
      <w:r w:rsidR="009733F1" w:rsidRPr="009733F1">
        <w:rPr>
          <w:rFonts w:ascii="Bookman Old Style" w:hAnsi="Bookman Old Style"/>
          <w:sz w:val="28"/>
          <w:szCs w:val="28"/>
        </w:rPr>
        <w:t>is the age</w:t>
      </w:r>
      <w:r w:rsidR="0081243F">
        <w:rPr>
          <w:rFonts w:ascii="Bookman Old Style" w:hAnsi="Bookman Old Style"/>
          <w:sz w:val="28"/>
          <w:szCs w:val="28"/>
        </w:rPr>
        <w:t xml:space="preserve"> of the commission of the offence, not the date of sentence.</w:t>
      </w:r>
      <w:r w:rsidR="009733F1" w:rsidRPr="009733F1">
        <w:rPr>
          <w:rFonts w:ascii="Bookman Old Style" w:hAnsi="Bookman Old Style"/>
          <w:sz w:val="28"/>
          <w:szCs w:val="28"/>
        </w:rPr>
        <w:t xml:space="preserve"> </w:t>
      </w:r>
    </w:p>
    <w:p w:rsidR="006F47AE" w:rsidRDefault="00B269F0" w:rsidP="006F47AE">
      <w:pPr>
        <w:shd w:val="clear" w:color="auto" w:fill="FFFFFF"/>
        <w:spacing w:line="360" w:lineRule="auto"/>
        <w:jc w:val="both"/>
        <w:rPr>
          <w:rFonts w:ascii="Bookman Old Style" w:hAnsi="Bookman Old Style"/>
          <w:sz w:val="28"/>
          <w:szCs w:val="28"/>
        </w:rPr>
      </w:pPr>
      <w:r w:rsidRPr="00B269F0">
        <w:rPr>
          <w:rFonts w:ascii="Bookman Old Style" w:hAnsi="Bookman Old Style"/>
          <w:sz w:val="28"/>
          <w:szCs w:val="28"/>
        </w:rPr>
        <w:t>[</w:t>
      </w:r>
      <w:r>
        <w:rPr>
          <w:rFonts w:ascii="Bookman Old Style" w:hAnsi="Bookman Old Style"/>
          <w:sz w:val="28"/>
          <w:szCs w:val="28"/>
        </w:rPr>
        <w:t>18</w:t>
      </w:r>
      <w:r w:rsidRPr="00B269F0">
        <w:rPr>
          <w:rFonts w:ascii="Bookman Old Style" w:hAnsi="Bookman Old Style"/>
          <w:sz w:val="28"/>
          <w:szCs w:val="28"/>
        </w:rPr>
        <w:t xml:space="preserve">] </w:t>
      </w:r>
      <w:r w:rsidR="00754B00" w:rsidRPr="00754B00">
        <w:rPr>
          <w:rFonts w:ascii="Bookman Old Style" w:hAnsi="Bookman Old Style"/>
          <w:sz w:val="28"/>
          <w:szCs w:val="28"/>
        </w:rPr>
        <w:t>In</w:t>
      </w:r>
      <w:r w:rsidR="00754B00">
        <w:rPr>
          <w:rFonts w:ascii="Bookman Old Style" w:hAnsi="Bookman Old Style"/>
          <w:sz w:val="28"/>
          <w:szCs w:val="28"/>
        </w:rPr>
        <w:t xml:space="preserve"> </w:t>
      </w:r>
      <w:proofErr w:type="spellStart"/>
      <w:r w:rsidR="00754B00" w:rsidRPr="00234C8A">
        <w:rPr>
          <w:rFonts w:ascii="Bookman Old Style" w:hAnsi="Bookman Old Style"/>
          <w:i/>
          <w:sz w:val="28"/>
          <w:szCs w:val="28"/>
        </w:rPr>
        <w:t>Lepule</w:t>
      </w:r>
      <w:proofErr w:type="spellEnd"/>
      <w:r w:rsidR="00754B00" w:rsidRPr="00234C8A">
        <w:rPr>
          <w:rFonts w:ascii="Bookman Old Style" w:hAnsi="Bookman Old Style"/>
          <w:i/>
          <w:sz w:val="28"/>
          <w:szCs w:val="28"/>
        </w:rPr>
        <w:t xml:space="preserve"> v </w:t>
      </w:r>
      <w:proofErr w:type="spellStart"/>
      <w:r w:rsidR="00754B00" w:rsidRPr="00234C8A">
        <w:rPr>
          <w:rFonts w:ascii="Bookman Old Style" w:hAnsi="Bookman Old Style"/>
          <w:i/>
          <w:sz w:val="28"/>
          <w:szCs w:val="28"/>
        </w:rPr>
        <w:t>Lepule</w:t>
      </w:r>
      <w:proofErr w:type="spellEnd"/>
      <w:r w:rsidR="00754B00" w:rsidRPr="00234C8A">
        <w:rPr>
          <w:rFonts w:ascii="Bookman Old Style" w:hAnsi="Bookman Old Style"/>
          <w:i/>
          <w:sz w:val="28"/>
          <w:szCs w:val="28"/>
        </w:rPr>
        <w:t xml:space="preserve"> and Others</w:t>
      </w:r>
      <w:r w:rsidR="00A55737">
        <w:rPr>
          <w:rStyle w:val="FootnoteReference"/>
          <w:rFonts w:ascii="Bookman Old Style" w:hAnsi="Bookman Old Style"/>
          <w:b/>
          <w:sz w:val="28"/>
          <w:szCs w:val="28"/>
        </w:rPr>
        <w:footnoteReference w:id="12"/>
      </w:r>
      <w:r w:rsidR="00754B00" w:rsidRPr="00754B00">
        <w:rPr>
          <w:rFonts w:ascii="Bookman Old Style" w:hAnsi="Bookman Old Style"/>
          <w:sz w:val="28"/>
          <w:szCs w:val="28"/>
        </w:rPr>
        <w:t xml:space="preserve"> this Court pointed out that, all courts in Lesotho, including the Court of Appeal, are creatures of  legislation   in   that   they   have   been   established   by   the   Constitution  and  the  relevant  legislation  and  they  exercise  their  jurisdiction in terms of the law of the land.</w:t>
      </w:r>
      <w:r w:rsidR="00F830BB" w:rsidRPr="00F830BB">
        <w:t xml:space="preserve"> </w:t>
      </w:r>
      <w:r w:rsidR="00F830BB" w:rsidRPr="00F830BB">
        <w:rPr>
          <w:rFonts w:ascii="Bookman Old Style" w:hAnsi="Bookman Old Style"/>
          <w:sz w:val="28"/>
          <w:szCs w:val="28"/>
        </w:rPr>
        <w:t xml:space="preserve">The jurisdiction </w:t>
      </w:r>
      <w:r w:rsidR="00F830BB" w:rsidRPr="00F830BB">
        <w:rPr>
          <w:rFonts w:ascii="Bookman Old Style" w:hAnsi="Bookman Old Style"/>
          <w:sz w:val="28"/>
          <w:szCs w:val="28"/>
        </w:rPr>
        <w:lastRenderedPageBreak/>
        <w:t>of an apex court to review its own decisions is not an appeal in disguise.</w:t>
      </w:r>
      <w:r w:rsidR="00F830BB">
        <w:rPr>
          <w:rFonts w:ascii="Bookman Old Style" w:hAnsi="Bookman Old Style"/>
          <w:sz w:val="28"/>
          <w:szCs w:val="28"/>
        </w:rPr>
        <w:t xml:space="preserve"> As was pointed out in </w:t>
      </w:r>
      <w:proofErr w:type="spellStart"/>
      <w:r w:rsidR="00F830BB" w:rsidRPr="00F830BB">
        <w:rPr>
          <w:rFonts w:ascii="Bookman Old Style" w:hAnsi="Bookman Old Style"/>
          <w:sz w:val="28"/>
          <w:szCs w:val="28"/>
        </w:rPr>
        <w:t>Lepule</w:t>
      </w:r>
      <w:proofErr w:type="spellEnd"/>
      <w:r w:rsidR="00F830BB" w:rsidRPr="00F830BB">
        <w:rPr>
          <w:rFonts w:ascii="Bookman Old Style" w:hAnsi="Bookman Old Style"/>
          <w:sz w:val="28"/>
          <w:szCs w:val="28"/>
        </w:rPr>
        <w:t xml:space="preserve"> v </w:t>
      </w:r>
      <w:proofErr w:type="spellStart"/>
      <w:r w:rsidR="00F830BB" w:rsidRPr="00F830BB">
        <w:rPr>
          <w:rFonts w:ascii="Bookman Old Style" w:hAnsi="Bookman Old Style"/>
          <w:sz w:val="28"/>
          <w:szCs w:val="28"/>
        </w:rPr>
        <w:t>Lepule</w:t>
      </w:r>
      <w:proofErr w:type="spellEnd"/>
      <w:r w:rsidR="00F830BB" w:rsidRPr="00F830BB">
        <w:rPr>
          <w:rFonts w:ascii="Bookman Old Style" w:hAnsi="Bookman Old Style"/>
          <w:sz w:val="28"/>
          <w:szCs w:val="28"/>
        </w:rPr>
        <w:t xml:space="preserve"> and Others</w:t>
      </w:r>
      <w:r w:rsidR="00F830BB">
        <w:rPr>
          <w:rFonts w:ascii="Bookman Old Style" w:hAnsi="Bookman Old Style"/>
          <w:sz w:val="28"/>
          <w:szCs w:val="28"/>
        </w:rPr>
        <w:t xml:space="preserve"> </w:t>
      </w:r>
      <w:r w:rsidR="00F830BB" w:rsidRPr="00F830BB">
        <w:rPr>
          <w:rFonts w:ascii="Bookman Old Style" w:hAnsi="Bookman Old Style"/>
          <w:i/>
          <w:sz w:val="28"/>
          <w:szCs w:val="28"/>
        </w:rPr>
        <w:t>(supra)</w:t>
      </w:r>
      <w:r w:rsidR="00F830BB">
        <w:rPr>
          <w:rFonts w:ascii="Bookman Old Style" w:hAnsi="Bookman Old Style"/>
          <w:sz w:val="28"/>
          <w:szCs w:val="28"/>
        </w:rPr>
        <w:t>:</w:t>
      </w:r>
    </w:p>
    <w:p w:rsidR="00F830BB" w:rsidRPr="00F830BB" w:rsidRDefault="00F830BB" w:rsidP="00F830BB">
      <w:pPr>
        <w:shd w:val="clear" w:color="auto" w:fill="FFFFFF"/>
        <w:spacing w:line="240" w:lineRule="auto"/>
        <w:ind w:left="1440" w:right="1440"/>
        <w:jc w:val="both"/>
        <w:rPr>
          <w:rFonts w:ascii="Bookman Old Style" w:hAnsi="Bookman Old Style"/>
          <w:sz w:val="24"/>
          <w:szCs w:val="24"/>
        </w:rPr>
      </w:pPr>
      <w:r>
        <w:rPr>
          <w:rFonts w:ascii="Bookman Old Style" w:hAnsi="Bookman Old Style" w:cs="Arial"/>
          <w:color w:val="333333"/>
          <w:sz w:val="24"/>
          <w:szCs w:val="24"/>
          <w:shd w:val="clear" w:color="auto" w:fill="FFFFFF"/>
        </w:rPr>
        <w:t>[97] …</w:t>
      </w:r>
      <w:r w:rsidRPr="00F830BB">
        <w:rPr>
          <w:rFonts w:ascii="Bookman Old Style" w:hAnsi="Bookman Old Style" w:cs="Arial"/>
          <w:color w:val="333333"/>
          <w:sz w:val="24"/>
          <w:szCs w:val="24"/>
          <w:shd w:val="clear" w:color="auto" w:fill="FFFFFF"/>
        </w:rPr>
        <w:t xml:space="preserve"> we are persuaded that although the Lesotho Court of Appeal does not have direct jurisdiction, whether in the Constitution or in the applicable legislation to review its own judgments, the Court may, when the appropriate circumstances arise, exercise that jurisdiction, based on its inherent common law duty and obligation to serve the interests of justice. However, similar to the jurisdictions discussed earlier, this Court, must be circumspect in doing so, but not exercise that power with undue rigidity. This Court must therefore proceed to do so only when exceptional circumstances are present. Similarly, exceptional circumstances will exist where, in the prior judgment, a patent error has occurred and or there has been a gross or serious miscarriage of justice which can be corrected only by reviewing this Court’s prior judgment.</w:t>
      </w:r>
    </w:p>
    <w:p w:rsidR="006F47AE" w:rsidRPr="006F47AE" w:rsidRDefault="00B269F0" w:rsidP="006F47AE">
      <w:pPr>
        <w:shd w:val="clear" w:color="auto" w:fill="FFFFFF"/>
        <w:spacing w:line="360" w:lineRule="auto"/>
        <w:jc w:val="both"/>
        <w:rPr>
          <w:rFonts w:ascii="Times New Roman" w:eastAsia="Times New Roman" w:hAnsi="Times New Roman" w:cs="Times New Roman"/>
          <w:sz w:val="32"/>
          <w:szCs w:val="32"/>
          <w:lang w:eastAsia="en-ZA"/>
        </w:rPr>
      </w:pPr>
      <w:r>
        <w:rPr>
          <w:rFonts w:ascii="Bookman Old Style" w:hAnsi="Bookman Old Style"/>
          <w:sz w:val="28"/>
          <w:szCs w:val="28"/>
        </w:rPr>
        <w:t>[19</w:t>
      </w:r>
      <w:r w:rsidRPr="00B269F0">
        <w:rPr>
          <w:rFonts w:ascii="Bookman Old Style" w:hAnsi="Bookman Old Style"/>
          <w:sz w:val="28"/>
          <w:szCs w:val="28"/>
        </w:rPr>
        <w:t xml:space="preserve">] </w:t>
      </w:r>
      <w:r w:rsidR="00477B84">
        <w:rPr>
          <w:rFonts w:ascii="Bookman Old Style" w:hAnsi="Bookman Old Style"/>
          <w:sz w:val="28"/>
          <w:szCs w:val="28"/>
        </w:rPr>
        <w:t>I</w:t>
      </w:r>
      <w:r w:rsidR="006F47AE" w:rsidRPr="00234C8A">
        <w:rPr>
          <w:rFonts w:ascii="Bookman Old Style" w:hAnsi="Bookman Old Style"/>
          <w:sz w:val="28"/>
          <w:szCs w:val="28"/>
        </w:rPr>
        <w:t xml:space="preserve">n </w:t>
      </w:r>
      <w:r w:rsidR="006F47AE" w:rsidRPr="00234C8A">
        <w:rPr>
          <w:rFonts w:ascii="Bookman Old Style" w:hAnsi="Bookman Old Style"/>
          <w:i/>
          <w:sz w:val="28"/>
          <w:szCs w:val="28"/>
        </w:rPr>
        <w:t>Hippo Transport v Commissioner of Customs &amp; Excise</w:t>
      </w:r>
      <w:r w:rsidR="006F47AE" w:rsidRPr="00234C8A">
        <w:rPr>
          <w:rFonts w:ascii="Bookman Old Style" w:hAnsi="Bookman Old Style"/>
          <w:sz w:val="28"/>
          <w:szCs w:val="28"/>
        </w:rPr>
        <w:t>,</w:t>
      </w:r>
      <w:r w:rsidR="006F47AE" w:rsidRPr="00234C8A">
        <w:rPr>
          <w:rStyle w:val="FootnoteReference"/>
          <w:rFonts w:ascii="Bookman Old Style" w:hAnsi="Bookman Old Style"/>
          <w:sz w:val="28"/>
          <w:szCs w:val="28"/>
        </w:rPr>
        <w:footnoteReference w:id="13"/>
      </w:r>
      <w:r w:rsidR="00477B84" w:rsidRPr="00477B84">
        <w:t xml:space="preserve"> </w:t>
      </w:r>
      <w:r w:rsidR="00477B84" w:rsidRPr="00477B84">
        <w:rPr>
          <w:rFonts w:ascii="Bookman Old Style" w:hAnsi="Bookman Old Style"/>
          <w:sz w:val="28"/>
          <w:szCs w:val="28"/>
        </w:rPr>
        <w:t>this Court</w:t>
      </w:r>
      <w:r w:rsidR="006F47AE" w:rsidRPr="00477B84">
        <w:rPr>
          <w:rFonts w:ascii="Bookman Old Style" w:hAnsi="Bookman Old Style"/>
          <w:sz w:val="28"/>
          <w:szCs w:val="28"/>
        </w:rPr>
        <w:t xml:space="preserve"> </w:t>
      </w:r>
      <w:r w:rsidR="00477B84">
        <w:rPr>
          <w:rFonts w:ascii="Bookman Old Style" w:hAnsi="Bookman Old Style"/>
          <w:sz w:val="28"/>
          <w:szCs w:val="28"/>
        </w:rPr>
        <w:t xml:space="preserve">pointed out that, </w:t>
      </w:r>
      <w:r w:rsidR="006F47AE" w:rsidRPr="00234C8A">
        <w:rPr>
          <w:rFonts w:ascii="Times New Roman" w:eastAsia="Times New Roman" w:hAnsi="Times New Roman" w:cs="Times New Roman"/>
          <w:sz w:val="32"/>
          <w:szCs w:val="32"/>
          <w:lang w:eastAsia="en-ZA"/>
        </w:rPr>
        <w:t>if any apparent error is noticed by a "superior  court" in respect of any orders passed by it the superior court has not  only  power,  but  a  duty  to</w:t>
      </w:r>
      <w:r w:rsidR="006F47AE" w:rsidRPr="006F47AE">
        <w:rPr>
          <w:rFonts w:ascii="Times New Roman" w:eastAsia="Times New Roman" w:hAnsi="Times New Roman" w:cs="Times New Roman"/>
          <w:sz w:val="32"/>
          <w:szCs w:val="32"/>
          <w:lang w:eastAsia="en-ZA"/>
        </w:rPr>
        <w:t xml:space="preserve">  correct  it.</w:t>
      </w:r>
      <w:r w:rsidR="006F47AE">
        <w:rPr>
          <w:rFonts w:ascii="Times New Roman" w:eastAsia="Times New Roman" w:hAnsi="Times New Roman" w:cs="Times New Roman"/>
          <w:sz w:val="32"/>
          <w:szCs w:val="32"/>
          <w:lang w:eastAsia="en-ZA"/>
        </w:rPr>
        <w:t xml:space="preserve"> T</w:t>
      </w:r>
      <w:r w:rsidR="006F47AE" w:rsidRPr="006F47AE">
        <w:rPr>
          <w:rFonts w:ascii="Times New Roman" w:eastAsia="Times New Roman" w:hAnsi="Times New Roman" w:cs="Times New Roman"/>
          <w:sz w:val="32"/>
          <w:szCs w:val="32"/>
          <w:lang w:eastAsia="en-ZA"/>
        </w:rPr>
        <w:t>he  power  to  review  is  inherent  in  courts  of  superior  jurisdiction,  but  such  power  is  limited to the legality of the administrative action or decision.</w:t>
      </w:r>
    </w:p>
    <w:p w:rsidR="00832421" w:rsidRPr="00220FD4" w:rsidRDefault="00220FD4" w:rsidP="00A84E76">
      <w:pPr>
        <w:spacing w:line="360" w:lineRule="auto"/>
        <w:ind w:right="567"/>
        <w:jc w:val="both"/>
        <w:rPr>
          <w:rFonts w:ascii="Bookman Old Style" w:hAnsi="Bookman Old Style"/>
          <w:b/>
          <w:sz w:val="28"/>
          <w:szCs w:val="28"/>
        </w:rPr>
      </w:pPr>
      <w:r w:rsidRPr="00220FD4">
        <w:rPr>
          <w:rFonts w:ascii="Bookman Old Style" w:hAnsi="Bookman Old Style"/>
          <w:b/>
          <w:sz w:val="28"/>
          <w:szCs w:val="28"/>
        </w:rPr>
        <w:t>Disposal</w:t>
      </w:r>
    </w:p>
    <w:p w:rsidR="00220FD4" w:rsidRDefault="00B269F0" w:rsidP="00A84E76">
      <w:pPr>
        <w:spacing w:line="360" w:lineRule="auto"/>
        <w:ind w:right="567"/>
        <w:jc w:val="both"/>
        <w:rPr>
          <w:rFonts w:ascii="Bookman Old Style" w:hAnsi="Bookman Old Style"/>
          <w:sz w:val="28"/>
          <w:szCs w:val="28"/>
        </w:rPr>
      </w:pPr>
      <w:r w:rsidRPr="00B269F0">
        <w:rPr>
          <w:rFonts w:ascii="Bookman Old Style" w:hAnsi="Bookman Old Style"/>
          <w:sz w:val="28"/>
          <w:szCs w:val="28"/>
        </w:rPr>
        <w:t>[</w:t>
      </w:r>
      <w:r>
        <w:rPr>
          <w:rFonts w:ascii="Bookman Old Style" w:hAnsi="Bookman Old Style"/>
          <w:sz w:val="28"/>
          <w:szCs w:val="28"/>
        </w:rPr>
        <w:t>20</w:t>
      </w:r>
      <w:r w:rsidRPr="00B269F0">
        <w:rPr>
          <w:rFonts w:ascii="Bookman Old Style" w:hAnsi="Bookman Old Style"/>
          <w:sz w:val="28"/>
          <w:szCs w:val="28"/>
        </w:rPr>
        <w:t xml:space="preserve">] </w:t>
      </w:r>
      <w:r w:rsidR="00220FD4">
        <w:rPr>
          <w:rFonts w:ascii="Bookman Old Style" w:hAnsi="Bookman Old Style"/>
          <w:sz w:val="28"/>
          <w:szCs w:val="28"/>
        </w:rPr>
        <w:t xml:space="preserve">The decision of this Court in </w:t>
      </w:r>
      <w:proofErr w:type="spellStart"/>
      <w:r w:rsidR="00220FD4" w:rsidRPr="00220FD4">
        <w:rPr>
          <w:rFonts w:ascii="Bookman Old Style" w:hAnsi="Bookman Old Style"/>
          <w:sz w:val="28"/>
          <w:szCs w:val="28"/>
        </w:rPr>
        <w:t>Mohale</w:t>
      </w:r>
      <w:proofErr w:type="spellEnd"/>
      <w:r w:rsidR="00220FD4" w:rsidRPr="00220FD4">
        <w:rPr>
          <w:rFonts w:ascii="Bookman Old Style" w:hAnsi="Bookman Old Style"/>
          <w:sz w:val="28"/>
          <w:szCs w:val="28"/>
        </w:rPr>
        <w:t xml:space="preserve"> and Another v Rex </w:t>
      </w:r>
      <w:r w:rsidR="00FF09A2" w:rsidRPr="00FF09A2">
        <w:rPr>
          <w:rFonts w:ascii="Bookman Old Style" w:hAnsi="Bookman Old Style"/>
          <w:i/>
          <w:sz w:val="28"/>
          <w:szCs w:val="28"/>
        </w:rPr>
        <w:t>(supra)</w:t>
      </w:r>
      <w:r w:rsidR="00FF09A2">
        <w:rPr>
          <w:rFonts w:ascii="Bookman Old Style" w:hAnsi="Bookman Old Style"/>
          <w:sz w:val="28"/>
          <w:szCs w:val="28"/>
        </w:rPr>
        <w:t xml:space="preserve">, </w:t>
      </w:r>
      <w:r w:rsidR="00220FD4">
        <w:rPr>
          <w:rFonts w:ascii="Bookman Old Style" w:hAnsi="Bookman Old Style"/>
          <w:sz w:val="28"/>
          <w:szCs w:val="28"/>
        </w:rPr>
        <w:t>is inconsistent with s</w:t>
      </w:r>
      <w:r w:rsidR="00220FD4" w:rsidRPr="00220FD4">
        <w:rPr>
          <w:rFonts w:ascii="Bookman Old Style" w:hAnsi="Bookman Old Style"/>
          <w:sz w:val="28"/>
          <w:szCs w:val="28"/>
        </w:rPr>
        <w:t xml:space="preserve">ection </w:t>
      </w:r>
      <w:r w:rsidR="00220FD4">
        <w:rPr>
          <w:rFonts w:ascii="Bookman Old Style" w:hAnsi="Bookman Old Style"/>
          <w:sz w:val="28"/>
          <w:szCs w:val="28"/>
        </w:rPr>
        <w:t>12(</w:t>
      </w:r>
      <w:r w:rsidR="00FF09A2">
        <w:rPr>
          <w:rFonts w:ascii="Bookman Old Style" w:hAnsi="Bookman Old Style"/>
          <w:sz w:val="28"/>
          <w:szCs w:val="28"/>
        </w:rPr>
        <w:t>4</w:t>
      </w:r>
      <w:r w:rsidR="00220FD4">
        <w:rPr>
          <w:rFonts w:ascii="Bookman Old Style" w:hAnsi="Bookman Old Style"/>
          <w:sz w:val="28"/>
          <w:szCs w:val="28"/>
        </w:rPr>
        <w:t xml:space="preserve">) of the Constitution of Lesotho for holding that, </w:t>
      </w:r>
      <w:r w:rsidR="00220FD4" w:rsidRPr="00220FD4">
        <w:rPr>
          <w:rFonts w:ascii="Bookman Old Style" w:hAnsi="Bookman Old Style"/>
          <w:sz w:val="28"/>
          <w:szCs w:val="28"/>
        </w:rPr>
        <w:t>the correct interpretation of section 2</w:t>
      </w:r>
      <w:r w:rsidR="00477B84">
        <w:rPr>
          <w:rFonts w:ascii="Bookman Old Style" w:hAnsi="Bookman Old Style"/>
          <w:sz w:val="28"/>
          <w:szCs w:val="28"/>
        </w:rPr>
        <w:t>6</w:t>
      </w:r>
      <w:r w:rsidR="00220FD4" w:rsidRPr="00220FD4">
        <w:rPr>
          <w:rFonts w:ascii="Bookman Old Style" w:hAnsi="Bookman Old Style"/>
          <w:sz w:val="28"/>
          <w:szCs w:val="28"/>
        </w:rPr>
        <w:t xml:space="preserve"> (1) of the Children’s </w:t>
      </w:r>
      <w:r w:rsidR="00477B84">
        <w:rPr>
          <w:rFonts w:ascii="Bookman Old Style" w:hAnsi="Bookman Old Style"/>
          <w:sz w:val="28"/>
          <w:szCs w:val="28"/>
        </w:rPr>
        <w:t xml:space="preserve">Protection </w:t>
      </w:r>
      <w:r w:rsidR="00220FD4" w:rsidRPr="00220FD4">
        <w:rPr>
          <w:rFonts w:ascii="Bookman Old Style" w:hAnsi="Bookman Old Style"/>
          <w:sz w:val="28"/>
          <w:szCs w:val="28"/>
        </w:rPr>
        <w:t>Act is that</w:t>
      </w:r>
      <w:r w:rsidR="00220FD4">
        <w:rPr>
          <w:rFonts w:ascii="Bookman Old Style" w:hAnsi="Bookman Old Style"/>
          <w:sz w:val="28"/>
          <w:szCs w:val="28"/>
        </w:rPr>
        <w:t>,</w:t>
      </w:r>
      <w:r w:rsidR="00220FD4" w:rsidRPr="00220FD4">
        <w:rPr>
          <w:rFonts w:ascii="Bookman Old Style" w:hAnsi="Bookman Old Style"/>
          <w:sz w:val="28"/>
          <w:szCs w:val="28"/>
        </w:rPr>
        <w:t xml:space="preserve"> if at the date of sentence the accused has attained the age of 18 </w:t>
      </w:r>
      <w:r w:rsidR="00FF09A2" w:rsidRPr="00220FD4">
        <w:rPr>
          <w:rFonts w:ascii="Bookman Old Style" w:hAnsi="Bookman Old Style"/>
          <w:sz w:val="28"/>
          <w:szCs w:val="28"/>
        </w:rPr>
        <w:t>years</w:t>
      </w:r>
      <w:r w:rsidR="00825F8E">
        <w:rPr>
          <w:rFonts w:ascii="Bookman Old Style" w:hAnsi="Bookman Old Style"/>
          <w:sz w:val="28"/>
          <w:szCs w:val="28"/>
        </w:rPr>
        <w:t xml:space="preserve">, </w:t>
      </w:r>
      <w:r w:rsidR="00825F8E" w:rsidRPr="00825F8E">
        <w:rPr>
          <w:rFonts w:ascii="Bookman Old Style" w:hAnsi="Bookman Old Style"/>
          <w:sz w:val="28"/>
          <w:szCs w:val="28"/>
        </w:rPr>
        <w:t xml:space="preserve">it is within the court’s discretion to impose whatever sentence it </w:t>
      </w:r>
      <w:r w:rsidR="00825F8E" w:rsidRPr="00825F8E">
        <w:rPr>
          <w:rFonts w:ascii="Bookman Old Style" w:hAnsi="Bookman Old Style"/>
          <w:sz w:val="28"/>
          <w:szCs w:val="28"/>
        </w:rPr>
        <w:lastRenderedPageBreak/>
        <w:t>deems appropriate in the circumstances.</w:t>
      </w:r>
      <w:r w:rsidR="00825F8E">
        <w:rPr>
          <w:rFonts w:ascii="Bookman Old Style" w:hAnsi="Bookman Old Style"/>
          <w:sz w:val="28"/>
          <w:szCs w:val="28"/>
        </w:rPr>
        <w:t xml:space="preserve"> </w:t>
      </w:r>
      <w:r w:rsidR="004564AA" w:rsidRPr="004564AA">
        <w:rPr>
          <w:rFonts w:ascii="Bookman Old Style" w:hAnsi="Bookman Old Style"/>
          <w:sz w:val="28"/>
          <w:szCs w:val="28"/>
        </w:rPr>
        <w:t xml:space="preserve">The decision of this Court </w:t>
      </w:r>
      <w:r w:rsidR="004564AA">
        <w:rPr>
          <w:rFonts w:ascii="Bookman Old Style" w:hAnsi="Bookman Old Style"/>
          <w:sz w:val="28"/>
          <w:szCs w:val="28"/>
        </w:rPr>
        <w:t>was</w:t>
      </w:r>
      <w:r w:rsidR="002C4AB9">
        <w:rPr>
          <w:rFonts w:ascii="Bookman Old Style" w:hAnsi="Bookman Old Style"/>
          <w:sz w:val="28"/>
          <w:szCs w:val="28"/>
        </w:rPr>
        <w:t xml:space="preserve"> incorrect in holding that,</w:t>
      </w:r>
      <w:r w:rsidR="00220FD4" w:rsidRPr="00220FD4">
        <w:rPr>
          <w:rFonts w:ascii="Bookman Old Style" w:hAnsi="Bookman Old Style"/>
          <w:sz w:val="28"/>
          <w:szCs w:val="28"/>
        </w:rPr>
        <w:t xml:space="preserve"> the relevant age for consideration for purposes of </w:t>
      </w:r>
      <w:r w:rsidR="00825F8E">
        <w:rPr>
          <w:rFonts w:ascii="Bookman Old Style" w:hAnsi="Bookman Old Style"/>
          <w:sz w:val="28"/>
          <w:szCs w:val="28"/>
        </w:rPr>
        <w:t xml:space="preserve">section </w:t>
      </w:r>
      <w:r w:rsidR="00220FD4" w:rsidRPr="00220FD4">
        <w:rPr>
          <w:rFonts w:ascii="Bookman Old Style" w:hAnsi="Bookman Old Style"/>
          <w:sz w:val="28"/>
          <w:szCs w:val="28"/>
        </w:rPr>
        <w:t>26 (1)</w:t>
      </w:r>
      <w:r w:rsidR="004564AA" w:rsidRPr="004564AA">
        <w:t xml:space="preserve"> </w:t>
      </w:r>
      <w:r w:rsidR="004564AA" w:rsidRPr="004564AA">
        <w:rPr>
          <w:rFonts w:ascii="Bookman Old Style" w:hAnsi="Bookman Old Style"/>
          <w:sz w:val="28"/>
          <w:szCs w:val="28"/>
        </w:rPr>
        <w:t xml:space="preserve">of the Children’s </w:t>
      </w:r>
      <w:r w:rsidR="00840AA1">
        <w:rPr>
          <w:rFonts w:ascii="Bookman Old Style" w:hAnsi="Bookman Old Style"/>
          <w:sz w:val="28"/>
          <w:szCs w:val="28"/>
        </w:rPr>
        <w:t xml:space="preserve">Protection </w:t>
      </w:r>
      <w:r w:rsidR="004564AA" w:rsidRPr="004564AA">
        <w:rPr>
          <w:rFonts w:ascii="Bookman Old Style" w:hAnsi="Bookman Old Style"/>
          <w:sz w:val="28"/>
          <w:szCs w:val="28"/>
        </w:rPr>
        <w:t>Act</w:t>
      </w:r>
      <w:r w:rsidR="00825F8E">
        <w:rPr>
          <w:rFonts w:ascii="Bookman Old Style" w:hAnsi="Bookman Old Style"/>
          <w:sz w:val="28"/>
          <w:szCs w:val="28"/>
        </w:rPr>
        <w:t xml:space="preserve">, </w:t>
      </w:r>
      <w:r w:rsidR="00220FD4" w:rsidRPr="00220FD4">
        <w:rPr>
          <w:rFonts w:ascii="Bookman Old Style" w:hAnsi="Bookman Old Style"/>
          <w:sz w:val="28"/>
          <w:szCs w:val="28"/>
        </w:rPr>
        <w:t>is t</w:t>
      </w:r>
      <w:r w:rsidR="00825F8E">
        <w:rPr>
          <w:rFonts w:ascii="Bookman Old Style" w:hAnsi="Bookman Old Style"/>
          <w:sz w:val="28"/>
          <w:szCs w:val="28"/>
        </w:rPr>
        <w:t>he age of the accused on the date of sentence as opposed to the</w:t>
      </w:r>
      <w:r w:rsidR="00840AA1">
        <w:rPr>
          <w:rFonts w:ascii="Bookman Old Style" w:hAnsi="Bookman Old Style"/>
          <w:sz w:val="28"/>
          <w:szCs w:val="28"/>
        </w:rPr>
        <w:t xml:space="preserve"> </w:t>
      </w:r>
      <w:r w:rsidR="00825F8E">
        <w:rPr>
          <w:rFonts w:ascii="Bookman Old Style" w:hAnsi="Bookman Old Style"/>
          <w:sz w:val="28"/>
          <w:szCs w:val="28"/>
        </w:rPr>
        <w:t xml:space="preserve"> </w:t>
      </w:r>
      <w:r w:rsidR="00840AA1" w:rsidRPr="00840AA1">
        <w:rPr>
          <w:rFonts w:ascii="Bookman Old Style" w:hAnsi="Bookman Old Style"/>
          <w:sz w:val="28"/>
          <w:szCs w:val="28"/>
        </w:rPr>
        <w:t xml:space="preserve">age of the </w:t>
      </w:r>
      <w:r w:rsidR="00825F8E">
        <w:rPr>
          <w:rFonts w:ascii="Bookman Old Style" w:hAnsi="Bookman Old Style"/>
          <w:sz w:val="28"/>
          <w:szCs w:val="28"/>
        </w:rPr>
        <w:t>commission of the offence</w:t>
      </w:r>
      <w:r w:rsidR="00FF09A2">
        <w:rPr>
          <w:rFonts w:ascii="Bookman Old Style" w:hAnsi="Bookman Old Style"/>
          <w:sz w:val="28"/>
          <w:szCs w:val="28"/>
        </w:rPr>
        <w:t>.</w:t>
      </w:r>
      <w:r w:rsidR="00840AA1">
        <w:rPr>
          <w:rFonts w:ascii="Bookman Old Style" w:hAnsi="Bookman Old Style"/>
          <w:sz w:val="28"/>
          <w:szCs w:val="28"/>
        </w:rPr>
        <w:t xml:space="preserve"> </w:t>
      </w:r>
    </w:p>
    <w:p w:rsidR="00E714D1" w:rsidRDefault="00EC0FAA" w:rsidP="00EC0FAA">
      <w:pPr>
        <w:spacing w:line="360" w:lineRule="auto"/>
        <w:ind w:right="567"/>
        <w:jc w:val="both"/>
        <w:rPr>
          <w:rFonts w:ascii="Bookman Old Style" w:hAnsi="Bookman Old Style"/>
          <w:sz w:val="28"/>
          <w:szCs w:val="28"/>
        </w:rPr>
      </w:pPr>
      <w:r w:rsidRPr="00EC0FAA">
        <w:rPr>
          <w:rFonts w:ascii="Bookman Old Style" w:hAnsi="Bookman Old Style"/>
          <w:sz w:val="28"/>
          <w:szCs w:val="28"/>
        </w:rPr>
        <w:t xml:space="preserve">[21] </w:t>
      </w:r>
      <w:r w:rsidR="00E714D1">
        <w:rPr>
          <w:rFonts w:ascii="Bookman Old Style" w:hAnsi="Bookman Old Style"/>
          <w:sz w:val="28"/>
          <w:szCs w:val="28"/>
        </w:rPr>
        <w:t xml:space="preserve">The present case is a clear testimony that </w:t>
      </w:r>
      <w:r w:rsidR="00E714D1" w:rsidRPr="00E714D1">
        <w:rPr>
          <w:rFonts w:ascii="Bookman Old Style" w:hAnsi="Bookman Old Style"/>
          <w:sz w:val="28"/>
          <w:szCs w:val="28"/>
        </w:rPr>
        <w:t>delay in the dispensation of justice is inimical to the attainment of substantial justice</w:t>
      </w:r>
      <w:r w:rsidR="00E714D1">
        <w:rPr>
          <w:rFonts w:ascii="Bookman Old Style" w:hAnsi="Bookman Old Style"/>
          <w:sz w:val="28"/>
          <w:szCs w:val="28"/>
        </w:rPr>
        <w:t xml:space="preserve">. </w:t>
      </w:r>
      <w:r w:rsidRPr="00EC0FAA">
        <w:rPr>
          <w:rFonts w:ascii="Bookman Old Style" w:hAnsi="Bookman Old Style"/>
          <w:sz w:val="28"/>
          <w:szCs w:val="28"/>
        </w:rPr>
        <w:t>In spite of the various machineries for criminal justice administration, the problems of delays have rendered the</w:t>
      </w:r>
      <w:r>
        <w:rPr>
          <w:rFonts w:ascii="Bookman Old Style" w:hAnsi="Bookman Old Style"/>
          <w:sz w:val="28"/>
          <w:szCs w:val="28"/>
        </w:rPr>
        <w:t xml:space="preserve"> </w:t>
      </w:r>
      <w:r w:rsidRPr="00EC0FAA">
        <w:rPr>
          <w:rFonts w:ascii="Bookman Old Style" w:hAnsi="Bookman Old Style"/>
          <w:sz w:val="28"/>
          <w:szCs w:val="28"/>
        </w:rPr>
        <w:t>quick dispensation of criminal justice more of a myth than a reality</w:t>
      </w:r>
      <w:r>
        <w:rPr>
          <w:rFonts w:ascii="Bookman Old Style" w:hAnsi="Bookman Old Style"/>
          <w:sz w:val="28"/>
          <w:szCs w:val="28"/>
        </w:rPr>
        <w:t xml:space="preserve"> in Lesotho</w:t>
      </w:r>
      <w:r w:rsidRPr="00EC0FAA">
        <w:rPr>
          <w:rFonts w:ascii="Bookman Old Style" w:hAnsi="Bookman Old Style"/>
          <w:sz w:val="28"/>
          <w:szCs w:val="28"/>
        </w:rPr>
        <w:t xml:space="preserve">. </w:t>
      </w:r>
      <w:r>
        <w:rPr>
          <w:rFonts w:ascii="Bookman Old Style" w:hAnsi="Bookman Old Style"/>
          <w:sz w:val="28"/>
          <w:szCs w:val="28"/>
        </w:rPr>
        <w:t>T</w:t>
      </w:r>
      <w:r w:rsidRPr="00EC0FAA">
        <w:rPr>
          <w:rFonts w:ascii="Bookman Old Style" w:hAnsi="Bookman Old Style"/>
          <w:sz w:val="28"/>
          <w:szCs w:val="28"/>
        </w:rPr>
        <w:t>he trend of delay in the system runs through pre-trial, trial and post-trial stages of the criminal justice system</w:t>
      </w:r>
      <w:r>
        <w:rPr>
          <w:rFonts w:ascii="Bookman Old Style" w:hAnsi="Bookman Old Style"/>
          <w:sz w:val="28"/>
          <w:szCs w:val="28"/>
        </w:rPr>
        <w:t xml:space="preserve"> of this country. Had the accused been tried within a reasonable time of the commission of the offence, problems of the present nature would hardly ever arise.</w:t>
      </w:r>
    </w:p>
    <w:p w:rsidR="002C4AB9" w:rsidRDefault="002C4AB9" w:rsidP="00A84E76">
      <w:pPr>
        <w:spacing w:line="360" w:lineRule="auto"/>
        <w:ind w:right="567"/>
        <w:jc w:val="both"/>
        <w:rPr>
          <w:rFonts w:ascii="Bookman Old Style" w:hAnsi="Bookman Old Style"/>
          <w:b/>
          <w:sz w:val="28"/>
          <w:szCs w:val="28"/>
        </w:rPr>
      </w:pPr>
      <w:r w:rsidRPr="002C4AB9">
        <w:rPr>
          <w:rFonts w:ascii="Bookman Old Style" w:hAnsi="Bookman Old Style"/>
          <w:b/>
          <w:sz w:val="28"/>
          <w:szCs w:val="28"/>
        </w:rPr>
        <w:t>Order</w:t>
      </w:r>
    </w:p>
    <w:p w:rsidR="002C4AB9" w:rsidRDefault="00EC0FAA" w:rsidP="00A84E76">
      <w:pPr>
        <w:spacing w:line="360" w:lineRule="auto"/>
        <w:ind w:right="567"/>
        <w:jc w:val="both"/>
        <w:rPr>
          <w:rFonts w:ascii="Bookman Old Style" w:hAnsi="Bookman Old Style"/>
          <w:sz w:val="28"/>
          <w:szCs w:val="28"/>
        </w:rPr>
      </w:pPr>
      <w:r>
        <w:rPr>
          <w:rFonts w:ascii="Bookman Old Style" w:hAnsi="Bookman Old Style"/>
          <w:sz w:val="28"/>
          <w:szCs w:val="28"/>
        </w:rPr>
        <w:t>[22</w:t>
      </w:r>
      <w:r w:rsidR="00B269F0" w:rsidRPr="00B269F0">
        <w:rPr>
          <w:rFonts w:ascii="Bookman Old Style" w:hAnsi="Bookman Old Style"/>
          <w:sz w:val="28"/>
          <w:szCs w:val="28"/>
        </w:rPr>
        <w:t xml:space="preserve">] </w:t>
      </w:r>
      <w:r w:rsidR="002C4AB9" w:rsidRPr="002C4AB9">
        <w:rPr>
          <w:rFonts w:ascii="Bookman Old Style" w:hAnsi="Bookman Old Style"/>
          <w:sz w:val="28"/>
          <w:szCs w:val="28"/>
        </w:rPr>
        <w:t>In the result, the following order is made:</w:t>
      </w:r>
    </w:p>
    <w:p w:rsidR="009207AB" w:rsidRDefault="009207AB" w:rsidP="009207AB">
      <w:pPr>
        <w:pStyle w:val="ListParagraph"/>
        <w:numPr>
          <w:ilvl w:val="0"/>
          <w:numId w:val="2"/>
        </w:numPr>
        <w:spacing w:line="360" w:lineRule="auto"/>
        <w:jc w:val="both"/>
        <w:rPr>
          <w:rFonts w:ascii="Bookman Old Style" w:hAnsi="Bookman Old Style"/>
          <w:sz w:val="28"/>
          <w:szCs w:val="28"/>
        </w:rPr>
      </w:pPr>
      <w:r>
        <w:rPr>
          <w:rFonts w:ascii="Bookman Old Style" w:hAnsi="Bookman Old Style"/>
          <w:sz w:val="28"/>
          <w:szCs w:val="28"/>
        </w:rPr>
        <w:t>T</w:t>
      </w:r>
      <w:r w:rsidRPr="009207AB">
        <w:rPr>
          <w:rFonts w:ascii="Bookman Old Style" w:hAnsi="Bookman Old Style"/>
          <w:sz w:val="28"/>
          <w:szCs w:val="28"/>
        </w:rPr>
        <w:t xml:space="preserve">he decision of this Court in </w:t>
      </w:r>
      <w:proofErr w:type="spellStart"/>
      <w:r w:rsidRPr="009207AB">
        <w:rPr>
          <w:rFonts w:ascii="Bookman Old Style" w:hAnsi="Bookman Old Style"/>
          <w:sz w:val="28"/>
          <w:szCs w:val="28"/>
        </w:rPr>
        <w:t>Mohale</w:t>
      </w:r>
      <w:proofErr w:type="spellEnd"/>
      <w:r w:rsidRPr="009207AB">
        <w:rPr>
          <w:rFonts w:ascii="Bookman Old Style" w:hAnsi="Bookman Old Style"/>
          <w:sz w:val="28"/>
          <w:szCs w:val="28"/>
        </w:rPr>
        <w:t xml:space="preserve"> and Another v Rex C of A (CRI) NO 2 of 2005 is </w:t>
      </w:r>
      <w:r>
        <w:rPr>
          <w:rFonts w:ascii="Bookman Old Style" w:hAnsi="Bookman Old Style"/>
          <w:sz w:val="28"/>
          <w:szCs w:val="28"/>
        </w:rPr>
        <w:t xml:space="preserve">overruled </w:t>
      </w:r>
      <w:r w:rsidR="00426021">
        <w:rPr>
          <w:rFonts w:ascii="Bookman Old Style" w:hAnsi="Bookman Old Style"/>
          <w:sz w:val="28"/>
          <w:szCs w:val="28"/>
        </w:rPr>
        <w:t xml:space="preserve">to the extent of its </w:t>
      </w:r>
      <w:r w:rsidRPr="009207AB">
        <w:rPr>
          <w:rFonts w:ascii="Bookman Old Style" w:hAnsi="Bookman Old Style"/>
          <w:sz w:val="28"/>
          <w:szCs w:val="28"/>
        </w:rPr>
        <w:t>inconsisten</w:t>
      </w:r>
      <w:r w:rsidR="00AA6FB2">
        <w:rPr>
          <w:rFonts w:ascii="Bookman Old Style" w:hAnsi="Bookman Old Style"/>
          <w:sz w:val="28"/>
          <w:szCs w:val="28"/>
        </w:rPr>
        <w:t>cy</w:t>
      </w:r>
      <w:r w:rsidRPr="009207AB">
        <w:rPr>
          <w:rFonts w:ascii="Bookman Old Style" w:hAnsi="Bookman Old Style"/>
          <w:sz w:val="28"/>
          <w:szCs w:val="28"/>
        </w:rPr>
        <w:t xml:space="preserve"> with section 12(4) of the Constitution</w:t>
      </w:r>
      <w:r>
        <w:rPr>
          <w:rFonts w:ascii="Bookman Old Style" w:hAnsi="Bookman Old Style"/>
          <w:sz w:val="28"/>
          <w:szCs w:val="28"/>
        </w:rPr>
        <w:t>.</w:t>
      </w:r>
    </w:p>
    <w:p w:rsidR="009207AB" w:rsidRDefault="009207AB" w:rsidP="00426021">
      <w:pPr>
        <w:pStyle w:val="ListParagraph"/>
        <w:numPr>
          <w:ilvl w:val="0"/>
          <w:numId w:val="2"/>
        </w:numPr>
        <w:spacing w:line="360" w:lineRule="auto"/>
        <w:jc w:val="both"/>
        <w:rPr>
          <w:rFonts w:ascii="Bookman Old Style" w:hAnsi="Bookman Old Style"/>
          <w:sz w:val="28"/>
          <w:szCs w:val="28"/>
        </w:rPr>
      </w:pPr>
      <w:r>
        <w:rPr>
          <w:rFonts w:ascii="Bookman Old Style" w:hAnsi="Bookman Old Style"/>
          <w:sz w:val="28"/>
          <w:szCs w:val="28"/>
        </w:rPr>
        <w:t>For the avoidance of doubt, it is hereby declared that,</w:t>
      </w:r>
      <w:r w:rsidRPr="009207AB">
        <w:t xml:space="preserve"> </w:t>
      </w:r>
      <w:r w:rsidRPr="009207AB">
        <w:rPr>
          <w:rFonts w:ascii="Bookman Old Style" w:hAnsi="Bookman Old Style"/>
          <w:sz w:val="28"/>
          <w:szCs w:val="28"/>
        </w:rPr>
        <w:t xml:space="preserve">the relevant age for consideration for purposes of </w:t>
      </w:r>
      <w:r w:rsidR="00426021">
        <w:rPr>
          <w:rFonts w:ascii="Bookman Old Style" w:hAnsi="Bookman Old Style"/>
          <w:sz w:val="28"/>
          <w:szCs w:val="28"/>
        </w:rPr>
        <w:t xml:space="preserve">section </w:t>
      </w:r>
      <w:r w:rsidRPr="009207AB">
        <w:rPr>
          <w:rFonts w:ascii="Bookman Old Style" w:hAnsi="Bookman Old Style"/>
          <w:sz w:val="28"/>
          <w:szCs w:val="28"/>
        </w:rPr>
        <w:t xml:space="preserve">26 (1) of the Children’s </w:t>
      </w:r>
      <w:r w:rsidR="00DC3B3A">
        <w:rPr>
          <w:rFonts w:ascii="Bookman Old Style" w:hAnsi="Bookman Old Style"/>
          <w:sz w:val="28"/>
          <w:szCs w:val="28"/>
        </w:rPr>
        <w:t xml:space="preserve">Protection </w:t>
      </w:r>
      <w:r w:rsidRPr="009207AB">
        <w:rPr>
          <w:rFonts w:ascii="Bookman Old Style" w:hAnsi="Bookman Old Style"/>
          <w:sz w:val="28"/>
          <w:szCs w:val="28"/>
        </w:rPr>
        <w:t>Act</w:t>
      </w:r>
      <w:r w:rsidR="00426021" w:rsidRPr="00426021">
        <w:rPr>
          <w:rFonts w:ascii="Bookman Old Style" w:hAnsi="Bookman Old Style"/>
          <w:sz w:val="28"/>
          <w:szCs w:val="28"/>
        </w:rPr>
        <w:t>,</w:t>
      </w:r>
      <w:r w:rsidR="00BA7C7E">
        <w:rPr>
          <w:rFonts w:ascii="Bookman Old Style" w:hAnsi="Bookman Old Style"/>
          <w:sz w:val="28"/>
          <w:szCs w:val="28"/>
        </w:rPr>
        <w:t>1980,</w:t>
      </w:r>
      <w:r w:rsidR="00426021" w:rsidRPr="00426021">
        <w:rPr>
          <w:rFonts w:ascii="Bookman Old Style" w:hAnsi="Bookman Old Style"/>
          <w:sz w:val="28"/>
          <w:szCs w:val="28"/>
        </w:rPr>
        <w:t xml:space="preserve"> </w:t>
      </w:r>
      <w:r w:rsidR="00AA6FB2">
        <w:rPr>
          <w:rFonts w:ascii="Bookman Old Style" w:hAnsi="Bookman Old Style"/>
          <w:sz w:val="28"/>
          <w:szCs w:val="28"/>
        </w:rPr>
        <w:t>in light of</w:t>
      </w:r>
      <w:r w:rsidR="00426021" w:rsidRPr="00426021">
        <w:rPr>
          <w:rFonts w:ascii="Bookman Old Style" w:hAnsi="Bookman Old Style"/>
          <w:sz w:val="28"/>
          <w:szCs w:val="28"/>
        </w:rPr>
        <w:t xml:space="preserve"> section 12(4) of the Constitution</w:t>
      </w:r>
      <w:r w:rsidR="00BA7C7E">
        <w:rPr>
          <w:rFonts w:ascii="Bookman Old Style" w:hAnsi="Bookman Old Style"/>
          <w:sz w:val="28"/>
          <w:szCs w:val="28"/>
        </w:rPr>
        <w:t>,</w:t>
      </w:r>
      <w:r w:rsidRPr="009207AB">
        <w:rPr>
          <w:rFonts w:ascii="Bookman Old Style" w:hAnsi="Bookman Old Style"/>
          <w:sz w:val="28"/>
          <w:szCs w:val="28"/>
        </w:rPr>
        <w:t xml:space="preserve"> is the age o</w:t>
      </w:r>
      <w:r w:rsidR="00426021">
        <w:rPr>
          <w:rFonts w:ascii="Bookman Old Style" w:hAnsi="Bookman Old Style"/>
          <w:sz w:val="28"/>
          <w:szCs w:val="28"/>
        </w:rPr>
        <w:t>f</w:t>
      </w:r>
      <w:r w:rsidRPr="009207AB">
        <w:rPr>
          <w:rFonts w:ascii="Bookman Old Style" w:hAnsi="Bookman Old Style"/>
          <w:sz w:val="28"/>
          <w:szCs w:val="28"/>
        </w:rPr>
        <w:t xml:space="preserve"> the date of </w:t>
      </w:r>
      <w:r>
        <w:rPr>
          <w:rFonts w:ascii="Bookman Old Style" w:hAnsi="Bookman Old Style"/>
          <w:sz w:val="28"/>
          <w:szCs w:val="28"/>
        </w:rPr>
        <w:t xml:space="preserve">the commission of the crime and not the date of </w:t>
      </w:r>
      <w:r w:rsidRPr="009207AB">
        <w:rPr>
          <w:rFonts w:ascii="Bookman Old Style" w:hAnsi="Bookman Old Style"/>
          <w:sz w:val="28"/>
          <w:szCs w:val="28"/>
        </w:rPr>
        <w:t>sentence.</w:t>
      </w:r>
    </w:p>
    <w:p w:rsidR="005F51CD" w:rsidRDefault="005F51CD" w:rsidP="009207AB">
      <w:pPr>
        <w:pStyle w:val="ListParagraph"/>
        <w:numPr>
          <w:ilvl w:val="0"/>
          <w:numId w:val="2"/>
        </w:numPr>
        <w:spacing w:line="360" w:lineRule="auto"/>
        <w:jc w:val="both"/>
        <w:rPr>
          <w:rFonts w:ascii="Bookman Old Style" w:hAnsi="Bookman Old Style"/>
          <w:sz w:val="28"/>
          <w:szCs w:val="28"/>
        </w:rPr>
      </w:pPr>
      <w:r>
        <w:rPr>
          <w:rFonts w:ascii="Bookman Old Style" w:hAnsi="Bookman Old Style"/>
          <w:sz w:val="28"/>
          <w:szCs w:val="28"/>
        </w:rPr>
        <w:t>The matter is remitted to the High Court for treatment according to law.</w:t>
      </w:r>
    </w:p>
    <w:p w:rsidR="009207AB" w:rsidRPr="009207AB" w:rsidRDefault="00D54E3A" w:rsidP="00D54E3A">
      <w:pPr>
        <w:pStyle w:val="ListParagraph"/>
        <w:spacing w:line="360" w:lineRule="auto"/>
        <w:ind w:left="357"/>
        <w:jc w:val="center"/>
        <w:rPr>
          <w:rFonts w:ascii="Bookman Old Style" w:hAnsi="Bookman Old Style"/>
          <w:sz w:val="28"/>
          <w:szCs w:val="28"/>
        </w:rPr>
      </w:pPr>
      <w:r>
        <w:rPr>
          <w:noProof/>
          <w:lang w:eastAsia="en-ZA"/>
        </w:rPr>
        <w:lastRenderedPageBreak/>
        <w:drawing>
          <wp:inline distT="0" distB="0" distL="0" distR="0" wp14:anchorId="11693A6A" wp14:editId="0CF2A24B">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rsidR="00D51A50" w:rsidRDefault="00D51A50" w:rsidP="00D51A50">
      <w:pPr>
        <w:spacing w:after="0" w:line="360" w:lineRule="auto"/>
        <w:jc w:val="center"/>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____________________________________</w:t>
      </w:r>
    </w:p>
    <w:p w:rsidR="00D51A50" w:rsidRDefault="00D54E3A" w:rsidP="00D51A50">
      <w:pPr>
        <w:spacing w:after="0" w:line="360" w:lineRule="auto"/>
        <w:jc w:val="center"/>
        <w:rPr>
          <w:rFonts w:ascii="Bookman Old Style" w:eastAsia="Calibri" w:hAnsi="Bookman Old Style" w:cs="Times New Roman"/>
          <w:b/>
          <w:sz w:val="28"/>
          <w:szCs w:val="28"/>
          <w:lang w:val="en-GB"/>
        </w:rPr>
      </w:pPr>
      <w:r>
        <w:rPr>
          <w:rFonts w:ascii="Bookman Old Style" w:eastAsia="Calibri" w:hAnsi="Bookman Old Style" w:cs="Times New Roman"/>
          <w:b/>
          <w:sz w:val="28"/>
          <w:szCs w:val="28"/>
          <w:lang w:val="en-GB"/>
        </w:rPr>
        <w:t xml:space="preserve">DR </w:t>
      </w:r>
      <w:r w:rsidR="00D51A50">
        <w:rPr>
          <w:rFonts w:ascii="Bookman Old Style" w:eastAsia="Calibri" w:hAnsi="Bookman Old Style" w:cs="Times New Roman"/>
          <w:b/>
          <w:sz w:val="28"/>
          <w:szCs w:val="28"/>
          <w:lang w:val="en-GB"/>
        </w:rPr>
        <w:t xml:space="preserve">K E MOSITO </w:t>
      </w:r>
    </w:p>
    <w:p w:rsidR="00D51A50" w:rsidRDefault="00D51A50" w:rsidP="00D51A50">
      <w:pPr>
        <w:spacing w:after="0" w:line="360" w:lineRule="auto"/>
        <w:jc w:val="center"/>
        <w:rPr>
          <w:rFonts w:ascii="Bookman Old Style" w:eastAsia="Calibri" w:hAnsi="Bookman Old Style" w:cs="Times New Roman"/>
          <w:b/>
          <w:sz w:val="28"/>
          <w:szCs w:val="28"/>
          <w:lang w:val="en-GB"/>
        </w:rPr>
      </w:pPr>
      <w:r>
        <w:rPr>
          <w:rFonts w:ascii="Bookman Old Style" w:eastAsia="Calibri" w:hAnsi="Bookman Old Style" w:cs="Times New Roman"/>
          <w:b/>
          <w:sz w:val="28"/>
          <w:szCs w:val="28"/>
          <w:lang w:val="en-GB"/>
        </w:rPr>
        <w:t>PRESIDENT OF THE COURT OF APPEAL</w:t>
      </w:r>
    </w:p>
    <w:p w:rsidR="00D51A50" w:rsidRDefault="00D51A50" w:rsidP="00D51A50">
      <w:pPr>
        <w:spacing w:after="0" w:line="360" w:lineRule="auto"/>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I agree:</w:t>
      </w:r>
    </w:p>
    <w:p w:rsidR="00D54E3A" w:rsidRDefault="00D54E3A" w:rsidP="00D51A50">
      <w:pPr>
        <w:spacing w:after="0" w:line="360" w:lineRule="auto"/>
        <w:jc w:val="center"/>
        <w:rPr>
          <w:rFonts w:ascii="Bookman Old Style" w:eastAsia="Calibri" w:hAnsi="Bookman Old Style" w:cs="Times New Roman"/>
          <w:sz w:val="28"/>
          <w:szCs w:val="28"/>
          <w:lang w:val="en-GB"/>
        </w:rPr>
      </w:pPr>
    </w:p>
    <w:p w:rsidR="00D54E3A" w:rsidRDefault="00D54E3A" w:rsidP="00D51A50">
      <w:pPr>
        <w:spacing w:after="0" w:line="360" w:lineRule="auto"/>
        <w:jc w:val="center"/>
        <w:rPr>
          <w:rFonts w:ascii="Bookman Old Style" w:eastAsia="Calibri" w:hAnsi="Bookman Old Style" w:cs="Times New Roman"/>
          <w:sz w:val="28"/>
          <w:szCs w:val="28"/>
          <w:lang w:val="en-GB"/>
        </w:rPr>
      </w:pPr>
      <w:r w:rsidRPr="000A436B">
        <w:rPr>
          <w:rFonts w:ascii="Bookman Old Style" w:hAnsi="Bookman Old Style"/>
          <w:b/>
          <w:noProof/>
          <w:color w:val="000000" w:themeColor="text1"/>
          <w:sz w:val="28"/>
          <w:szCs w:val="28"/>
          <w:lang w:eastAsia="en-ZA"/>
        </w:rPr>
        <w:drawing>
          <wp:inline distT="0" distB="0" distL="0" distR="0" wp14:anchorId="195720D0" wp14:editId="3E9287BB">
            <wp:extent cx="1314450" cy="504825"/>
            <wp:effectExtent l="0" t="0" r="0" b="9525"/>
            <wp:docPr id="1" name="Picture 1" descr="C:\Users\manapo.mphutlane\Pictures\SIGNATURES OF HON JUDGES OF APPE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o.mphutlane\Pictures\SIGNATURES OF HON JUDGES OF APPEAL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p>
    <w:p w:rsidR="00D51A50" w:rsidRDefault="00D51A50" w:rsidP="00D51A50">
      <w:pPr>
        <w:spacing w:after="0" w:line="360" w:lineRule="auto"/>
        <w:jc w:val="center"/>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_________________________________</w:t>
      </w:r>
    </w:p>
    <w:p w:rsidR="00D51A50" w:rsidRPr="00D51A50" w:rsidRDefault="00D54E3A" w:rsidP="00D51A50">
      <w:pPr>
        <w:spacing w:after="0" w:line="360" w:lineRule="auto"/>
        <w:jc w:val="center"/>
        <w:rPr>
          <w:rFonts w:ascii="Bookman Old Style" w:eastAsia="Calibri" w:hAnsi="Bookman Old Style" w:cs="Times New Roman"/>
          <w:b/>
          <w:sz w:val="28"/>
          <w:szCs w:val="28"/>
          <w:lang w:val="en-GB"/>
        </w:rPr>
      </w:pPr>
      <w:r>
        <w:rPr>
          <w:rFonts w:ascii="Bookman Old Style" w:hAnsi="Bookman Old Style"/>
          <w:b/>
          <w:sz w:val="28"/>
          <w:szCs w:val="28"/>
        </w:rPr>
        <w:t xml:space="preserve">P. T. DAMASED </w:t>
      </w:r>
      <w:r w:rsidR="00D51A50" w:rsidRPr="00D51A50">
        <w:rPr>
          <w:rFonts w:ascii="Bookman Old Style" w:eastAsia="Calibri" w:hAnsi="Bookman Old Style" w:cs="Times New Roman"/>
          <w:b/>
          <w:sz w:val="28"/>
          <w:szCs w:val="28"/>
          <w:lang w:val="en-GB"/>
        </w:rPr>
        <w:t xml:space="preserve"> </w:t>
      </w:r>
    </w:p>
    <w:p w:rsidR="00D51A50" w:rsidRDefault="00D51A50" w:rsidP="00D51A50">
      <w:pPr>
        <w:spacing w:after="0" w:line="360" w:lineRule="auto"/>
        <w:jc w:val="center"/>
        <w:rPr>
          <w:rFonts w:ascii="Bookman Old Style" w:eastAsia="Calibri" w:hAnsi="Bookman Old Style" w:cs="Times New Roman"/>
          <w:b/>
          <w:sz w:val="28"/>
          <w:szCs w:val="28"/>
          <w:lang w:val="en-GB"/>
        </w:rPr>
      </w:pPr>
      <w:r>
        <w:rPr>
          <w:rFonts w:ascii="Bookman Old Style" w:eastAsia="Calibri" w:hAnsi="Bookman Old Style" w:cs="Times New Roman"/>
          <w:b/>
          <w:sz w:val="28"/>
          <w:szCs w:val="28"/>
          <w:lang w:val="en-GB"/>
        </w:rPr>
        <w:t>ACTING JUSTICE OF APPEAL</w:t>
      </w:r>
    </w:p>
    <w:p w:rsidR="00D54E3A" w:rsidRDefault="00D51A50" w:rsidP="00D51A50">
      <w:pPr>
        <w:spacing w:after="0" w:line="360" w:lineRule="auto"/>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I agree:</w:t>
      </w:r>
      <w:r>
        <w:rPr>
          <w:rFonts w:ascii="Bookman Old Style" w:eastAsia="Calibri" w:hAnsi="Bookman Old Style" w:cs="Times New Roman"/>
          <w:sz w:val="28"/>
          <w:szCs w:val="28"/>
          <w:lang w:val="en-GB"/>
        </w:rPr>
        <w:tab/>
        <w:t xml:space="preserve">       </w:t>
      </w:r>
    </w:p>
    <w:p w:rsidR="00D54E3A" w:rsidRDefault="00D54E3A" w:rsidP="00D54E3A">
      <w:pPr>
        <w:spacing w:after="0" w:line="360" w:lineRule="auto"/>
        <w:jc w:val="center"/>
        <w:rPr>
          <w:rFonts w:ascii="Bookman Old Style" w:eastAsia="Calibri" w:hAnsi="Bookman Old Style" w:cs="Times New Roman"/>
          <w:sz w:val="28"/>
          <w:szCs w:val="28"/>
          <w:lang w:val="en-GB"/>
        </w:rPr>
      </w:pPr>
      <w:r w:rsidRPr="00A15AB6">
        <w:rPr>
          <w:rFonts w:ascii="Bookman Old Style" w:hAnsi="Bookman Old Style"/>
          <w:b/>
          <w:noProof/>
          <w:sz w:val="28"/>
          <w:szCs w:val="28"/>
          <w:lang w:eastAsia="en-ZA"/>
        </w:rPr>
        <w:drawing>
          <wp:inline distT="0" distB="0" distL="0" distR="0" wp14:anchorId="69EDE840" wp14:editId="66F3D64F">
            <wp:extent cx="1857375" cy="676275"/>
            <wp:effectExtent l="0" t="0" r="9525" b="9525"/>
            <wp:docPr id="3" name="Picture 3" descr="C:\Users\manapo.mphutlane\Pictures\SIGNATURES OF HON JUDGES OF APPEA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apo.mphutlane\Pictures\SIGNATURES OF HON JUDGES OF APPEAL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rsidR="00D51A50" w:rsidRDefault="00D51A50" w:rsidP="00D54E3A">
      <w:pPr>
        <w:spacing w:after="0" w:line="360" w:lineRule="auto"/>
        <w:jc w:val="center"/>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__________________________________</w:t>
      </w:r>
    </w:p>
    <w:p w:rsidR="00D51A50" w:rsidRDefault="00D54E3A" w:rsidP="00D51A50">
      <w:pPr>
        <w:spacing w:after="0" w:line="360" w:lineRule="auto"/>
        <w:jc w:val="center"/>
        <w:rPr>
          <w:rFonts w:ascii="Bookman Old Style" w:eastAsia="Calibri" w:hAnsi="Bookman Old Style" w:cs="Times New Roman"/>
          <w:b/>
          <w:sz w:val="28"/>
          <w:szCs w:val="28"/>
          <w:lang w:val="en-GB"/>
        </w:rPr>
      </w:pPr>
      <w:r>
        <w:rPr>
          <w:rFonts w:ascii="Bookman Old Style" w:eastAsia="Calibri" w:hAnsi="Bookman Old Style" w:cs="Times New Roman"/>
          <w:b/>
          <w:sz w:val="28"/>
          <w:szCs w:val="28"/>
          <w:lang w:val="en-GB"/>
        </w:rPr>
        <w:t xml:space="preserve">DR J. VAN DER WESTHUIZEN </w:t>
      </w:r>
      <w:r w:rsidR="00D51A50" w:rsidRPr="00D51A50">
        <w:rPr>
          <w:rFonts w:ascii="Bookman Old Style" w:eastAsia="Calibri" w:hAnsi="Bookman Old Style" w:cs="Times New Roman"/>
          <w:b/>
          <w:sz w:val="28"/>
          <w:szCs w:val="28"/>
          <w:lang w:val="en-GB"/>
        </w:rPr>
        <w:t xml:space="preserve"> </w:t>
      </w:r>
    </w:p>
    <w:p w:rsidR="00D51A50" w:rsidRDefault="00D51A50" w:rsidP="00D51A50">
      <w:pPr>
        <w:spacing w:after="0" w:line="360" w:lineRule="auto"/>
        <w:jc w:val="center"/>
        <w:rPr>
          <w:rFonts w:ascii="Bookman Old Style" w:eastAsia="Calibri" w:hAnsi="Bookman Old Style" w:cs="Times New Roman"/>
          <w:b/>
          <w:sz w:val="28"/>
          <w:szCs w:val="28"/>
          <w:lang w:val="en-GB"/>
        </w:rPr>
      </w:pPr>
      <w:r>
        <w:rPr>
          <w:rFonts w:ascii="Bookman Old Style" w:eastAsia="Calibri" w:hAnsi="Bookman Old Style" w:cs="Times New Roman"/>
          <w:b/>
          <w:sz w:val="28"/>
          <w:szCs w:val="28"/>
          <w:lang w:val="en-GB"/>
        </w:rPr>
        <w:t>ACTING JUSTICE OF APPEAL</w:t>
      </w:r>
    </w:p>
    <w:p w:rsidR="00D51A50" w:rsidRDefault="00D51A50" w:rsidP="00D51A50">
      <w:pPr>
        <w:spacing w:after="0" w:line="360" w:lineRule="auto"/>
        <w:jc w:val="center"/>
        <w:rPr>
          <w:rFonts w:ascii="Bookman Old Style" w:eastAsia="Calibri" w:hAnsi="Bookman Old Style" w:cs="Times New Roman"/>
          <w:b/>
          <w:sz w:val="28"/>
          <w:szCs w:val="28"/>
          <w:lang w:val="en-GB"/>
        </w:rPr>
      </w:pPr>
    </w:p>
    <w:p w:rsidR="00D51A50" w:rsidRDefault="00D51A50" w:rsidP="00D51A50">
      <w:pPr>
        <w:spacing w:after="0" w:line="360" w:lineRule="auto"/>
        <w:jc w:val="center"/>
        <w:rPr>
          <w:rFonts w:ascii="Bookman Old Style" w:eastAsia="Calibri" w:hAnsi="Bookman Old Style" w:cs="Times New Roman"/>
          <w:b/>
          <w:sz w:val="28"/>
          <w:szCs w:val="28"/>
          <w:lang w:val="en-GB"/>
        </w:rPr>
      </w:pPr>
    </w:p>
    <w:p w:rsidR="00D51A50" w:rsidRDefault="00D51A50" w:rsidP="00D51A50">
      <w:pPr>
        <w:spacing w:after="0" w:line="360" w:lineRule="auto"/>
        <w:jc w:val="center"/>
        <w:rPr>
          <w:rFonts w:ascii="Bookman Old Style" w:eastAsia="Calibri" w:hAnsi="Bookman Old Style" w:cs="Times New Roman"/>
          <w:sz w:val="28"/>
          <w:szCs w:val="28"/>
          <w:lang w:val="en-GB"/>
        </w:rPr>
      </w:pPr>
    </w:p>
    <w:p w:rsidR="00D51A50" w:rsidRPr="00D54E3A" w:rsidRDefault="00D51A50" w:rsidP="00D51A50">
      <w:pPr>
        <w:spacing w:after="0" w:line="360" w:lineRule="auto"/>
        <w:jc w:val="both"/>
        <w:rPr>
          <w:rFonts w:ascii="Bookman Old Style" w:eastAsia="Calibri" w:hAnsi="Bookman Old Style" w:cs="Times New Roman"/>
          <w:caps/>
          <w:sz w:val="28"/>
          <w:szCs w:val="28"/>
          <w:lang w:val="en-GB"/>
        </w:rPr>
      </w:pPr>
      <w:r w:rsidRPr="00D54E3A">
        <w:rPr>
          <w:rFonts w:ascii="Bookman Old Style" w:eastAsia="Calibri" w:hAnsi="Bookman Old Style" w:cs="Times New Roman"/>
          <w:b/>
          <w:caps/>
          <w:sz w:val="28"/>
          <w:szCs w:val="28"/>
          <w:lang w:val="en-GB"/>
        </w:rPr>
        <w:t>For the Crown:</w:t>
      </w:r>
      <w:r w:rsidRPr="00D54E3A">
        <w:rPr>
          <w:rFonts w:ascii="Bookman Old Style" w:eastAsia="Calibri" w:hAnsi="Bookman Old Style" w:cs="Times New Roman"/>
          <w:b/>
          <w:caps/>
          <w:sz w:val="28"/>
          <w:szCs w:val="28"/>
          <w:lang w:val="en-GB"/>
        </w:rPr>
        <w:tab/>
      </w:r>
      <w:r w:rsidRPr="00D54E3A">
        <w:rPr>
          <w:rFonts w:ascii="Bookman Old Style" w:eastAsia="Calibri" w:hAnsi="Bookman Old Style" w:cs="Times New Roman"/>
          <w:caps/>
          <w:sz w:val="28"/>
          <w:szCs w:val="28"/>
          <w:lang w:val="en-GB"/>
        </w:rPr>
        <w:tab/>
      </w:r>
      <w:r w:rsidR="00D54E3A">
        <w:rPr>
          <w:rFonts w:ascii="Bookman Old Style" w:eastAsia="Calibri" w:hAnsi="Bookman Old Style" w:cs="Times New Roman"/>
          <w:caps/>
          <w:sz w:val="28"/>
          <w:szCs w:val="28"/>
          <w:lang w:val="en-GB"/>
        </w:rPr>
        <w:tab/>
      </w:r>
      <w:r w:rsidRPr="00D54E3A">
        <w:rPr>
          <w:rFonts w:ascii="Bookman Old Style" w:eastAsia="Calibri" w:hAnsi="Bookman Old Style" w:cs="Times New Roman"/>
          <w:caps/>
          <w:sz w:val="28"/>
          <w:szCs w:val="28"/>
          <w:lang w:val="en-GB"/>
        </w:rPr>
        <w:t>Adv. R. THABA</w:t>
      </w:r>
    </w:p>
    <w:p w:rsidR="00450511" w:rsidRPr="00D54E3A" w:rsidRDefault="00D51A50" w:rsidP="00D51A50">
      <w:pPr>
        <w:spacing w:after="0" w:line="360" w:lineRule="auto"/>
        <w:jc w:val="both"/>
        <w:rPr>
          <w:rFonts w:ascii="Bookman Old Style" w:hAnsi="Bookman Old Style"/>
          <w:caps/>
          <w:sz w:val="28"/>
          <w:szCs w:val="28"/>
        </w:rPr>
      </w:pPr>
      <w:r w:rsidRPr="00D54E3A">
        <w:rPr>
          <w:rFonts w:ascii="Bookman Old Style" w:eastAsia="Calibri" w:hAnsi="Bookman Old Style" w:cs="Times New Roman"/>
          <w:b/>
          <w:caps/>
          <w:sz w:val="28"/>
          <w:szCs w:val="28"/>
          <w:lang w:val="en-GB"/>
        </w:rPr>
        <w:t>For the Accused:</w:t>
      </w:r>
      <w:r w:rsidRPr="00D54E3A">
        <w:rPr>
          <w:rFonts w:ascii="Bookman Old Style" w:eastAsia="Calibri" w:hAnsi="Bookman Old Style" w:cs="Times New Roman"/>
          <w:caps/>
          <w:sz w:val="28"/>
          <w:szCs w:val="28"/>
          <w:lang w:val="en-GB"/>
        </w:rPr>
        <w:tab/>
        <w:t xml:space="preserve">        Mr. E.M. SELLO</w:t>
      </w:r>
    </w:p>
    <w:sectPr w:rsidR="00450511" w:rsidRPr="00D54E3A" w:rsidSect="004A23C7">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FDB" w:rsidRDefault="00FC2FDB" w:rsidP="00E66DC3">
      <w:pPr>
        <w:spacing w:after="0" w:line="240" w:lineRule="auto"/>
      </w:pPr>
      <w:r>
        <w:separator/>
      </w:r>
    </w:p>
  </w:endnote>
  <w:endnote w:type="continuationSeparator" w:id="0">
    <w:p w:rsidR="00FC2FDB" w:rsidRDefault="00FC2FDB" w:rsidP="00E6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FDB" w:rsidRDefault="00FC2FDB" w:rsidP="00E66DC3">
      <w:pPr>
        <w:spacing w:after="0" w:line="240" w:lineRule="auto"/>
      </w:pPr>
      <w:r>
        <w:separator/>
      </w:r>
    </w:p>
  </w:footnote>
  <w:footnote w:type="continuationSeparator" w:id="0">
    <w:p w:rsidR="00FC2FDB" w:rsidRDefault="00FC2FDB" w:rsidP="00E66DC3">
      <w:pPr>
        <w:spacing w:after="0" w:line="240" w:lineRule="auto"/>
      </w:pPr>
      <w:r>
        <w:continuationSeparator/>
      </w:r>
    </w:p>
  </w:footnote>
  <w:footnote w:id="1">
    <w:p w:rsidR="00E66DC3" w:rsidRPr="00E66DC3" w:rsidRDefault="00E66DC3">
      <w:pPr>
        <w:pStyle w:val="FootnoteText"/>
        <w:rPr>
          <w:lang w:val="en-GB"/>
        </w:rPr>
      </w:pPr>
      <w:r>
        <w:rPr>
          <w:rStyle w:val="FootnoteReference"/>
        </w:rPr>
        <w:footnoteRef/>
      </w:r>
      <w:r>
        <w:t xml:space="preserve"> </w:t>
      </w:r>
      <w:r>
        <w:rPr>
          <w:lang w:val="en-GB"/>
        </w:rPr>
        <w:t>Section 154 of the Constitution of Lesotho, 1993.</w:t>
      </w:r>
    </w:p>
  </w:footnote>
  <w:footnote w:id="2">
    <w:p w:rsidR="002934B2" w:rsidRPr="002934B2" w:rsidRDefault="002934B2">
      <w:pPr>
        <w:pStyle w:val="FootnoteText"/>
        <w:rPr>
          <w:lang w:val="en-GB"/>
        </w:rPr>
      </w:pPr>
      <w:r>
        <w:rPr>
          <w:rStyle w:val="FootnoteReference"/>
        </w:rPr>
        <w:footnoteRef/>
      </w:r>
      <w:r>
        <w:t xml:space="preserve"> </w:t>
      </w:r>
      <w:r w:rsidRPr="002934B2">
        <w:t>Minister</w:t>
      </w:r>
      <w:r>
        <w:t xml:space="preserve"> </w:t>
      </w:r>
      <w:r w:rsidRPr="002934B2">
        <w:t>of Home Affairs (Bermuda) v Fisher 1980 AC 319 at 328H</w:t>
      </w:r>
      <w:r>
        <w:t>.</w:t>
      </w:r>
    </w:p>
  </w:footnote>
  <w:footnote w:id="3">
    <w:p w:rsidR="00FD79E0" w:rsidRPr="00FD79E0" w:rsidRDefault="00FD79E0">
      <w:pPr>
        <w:pStyle w:val="FootnoteText"/>
        <w:rPr>
          <w:lang w:val="en-GB"/>
        </w:rPr>
      </w:pPr>
      <w:r>
        <w:rPr>
          <w:rStyle w:val="FootnoteReference"/>
        </w:rPr>
        <w:footnoteRef/>
      </w:r>
      <w:r>
        <w:t xml:space="preserve"> </w:t>
      </w:r>
      <w:r w:rsidRPr="00FD79E0">
        <w:t>Kokkinakis v. Greece (1993) 17 E.H.H.R. 397.</w:t>
      </w:r>
    </w:p>
  </w:footnote>
  <w:footnote w:id="4">
    <w:p w:rsidR="00342FB8" w:rsidRPr="00342FB8" w:rsidRDefault="00342FB8">
      <w:pPr>
        <w:pStyle w:val="FootnoteText"/>
        <w:rPr>
          <w:lang w:val="en-GB"/>
        </w:rPr>
      </w:pPr>
      <w:r>
        <w:rPr>
          <w:rStyle w:val="FootnoteReference"/>
        </w:rPr>
        <w:footnoteRef/>
      </w:r>
      <w:r>
        <w:t xml:space="preserve"> </w:t>
      </w:r>
      <w:r>
        <w:rPr>
          <w:lang w:val="en-GB"/>
        </w:rPr>
        <w:t>Ibid.</w:t>
      </w:r>
    </w:p>
  </w:footnote>
  <w:footnote w:id="5">
    <w:p w:rsidR="008F0179" w:rsidRDefault="008F0179">
      <w:pPr>
        <w:pStyle w:val="FootnoteText"/>
      </w:pPr>
      <w:r>
        <w:rPr>
          <w:rStyle w:val="FootnoteReference"/>
        </w:rPr>
        <w:footnoteRef/>
      </w:r>
      <w:r>
        <w:t xml:space="preserve"> </w:t>
      </w:r>
      <w:r w:rsidRPr="008F0179">
        <w:t xml:space="preserve"> </w:t>
      </w:r>
      <w:r w:rsidRPr="008F0179">
        <w:t>Children</w:t>
      </w:r>
      <w:r>
        <w:t xml:space="preserve">’s  Protection </w:t>
      </w:r>
      <w:r w:rsidRPr="008F0179">
        <w:t>Act</w:t>
      </w:r>
      <w:r>
        <w:t xml:space="preserve"> </w:t>
      </w:r>
      <w:r w:rsidR="0015183A" w:rsidRPr="0015183A">
        <w:t xml:space="preserve">No.6 </w:t>
      </w:r>
      <w:r>
        <w:t xml:space="preserve"> </w:t>
      </w:r>
      <w:r w:rsidRPr="008F0179">
        <w:t xml:space="preserve">of  </w:t>
      </w:r>
      <w:r>
        <w:t>1980.</w:t>
      </w:r>
    </w:p>
  </w:footnote>
  <w:footnote w:id="6">
    <w:p w:rsidR="008F0179" w:rsidRDefault="008F0179">
      <w:pPr>
        <w:pStyle w:val="FootnoteText"/>
      </w:pPr>
      <w:r>
        <w:rPr>
          <w:rStyle w:val="FootnoteReference"/>
        </w:rPr>
        <w:footnoteRef/>
      </w:r>
      <w:r>
        <w:t xml:space="preserve"> </w:t>
      </w:r>
      <w:r w:rsidRPr="008F0179">
        <w:t xml:space="preserve"> </w:t>
      </w:r>
      <w:r w:rsidRPr="008F0179">
        <w:t>Children  Protection  and  WelfareAct7of  2011</w:t>
      </w:r>
      <w:r>
        <w:t>.</w:t>
      </w:r>
    </w:p>
  </w:footnote>
  <w:footnote w:id="7">
    <w:p w:rsidR="00E76B6E" w:rsidRPr="00E76B6E" w:rsidRDefault="00E76B6E">
      <w:pPr>
        <w:pStyle w:val="FootnoteText"/>
        <w:rPr>
          <w:lang w:val="en-GB"/>
        </w:rPr>
      </w:pPr>
      <w:r>
        <w:rPr>
          <w:rStyle w:val="FootnoteReference"/>
        </w:rPr>
        <w:footnoteRef/>
      </w:r>
      <w:r>
        <w:t xml:space="preserve"> </w:t>
      </w:r>
      <w:r w:rsidRPr="00E76B6E">
        <w:t>Mohale and Another v Rex C of A (CRI) NO 2 of 2005</w:t>
      </w:r>
      <w:r>
        <w:t>.</w:t>
      </w:r>
    </w:p>
  </w:footnote>
  <w:footnote w:id="8">
    <w:p w:rsidR="000525BA" w:rsidRDefault="000525BA">
      <w:pPr>
        <w:pStyle w:val="FootnoteText"/>
      </w:pPr>
      <w:r>
        <w:rPr>
          <w:rStyle w:val="FootnoteReference"/>
        </w:rPr>
        <w:footnoteRef/>
      </w:r>
      <w:r>
        <w:t xml:space="preserve"> </w:t>
      </w:r>
      <w:r w:rsidRPr="000525BA">
        <w:t xml:space="preserve">In </w:t>
      </w:r>
      <w:r w:rsidRPr="000525BA">
        <w:t>Ikpasa v. Bendel State (1981) 9 S.C.7 at p.15.</w:t>
      </w:r>
    </w:p>
  </w:footnote>
  <w:footnote w:id="9">
    <w:p w:rsidR="002A068A" w:rsidRDefault="002A068A">
      <w:pPr>
        <w:pStyle w:val="FootnoteText"/>
      </w:pPr>
      <w:r>
        <w:rPr>
          <w:rStyle w:val="FootnoteReference"/>
        </w:rPr>
        <w:footnoteRef/>
      </w:r>
      <w:r>
        <w:t xml:space="preserve"> </w:t>
      </w:r>
      <w:r w:rsidRPr="002A068A">
        <w:t>Chirwa v Transnet Limited 2008 4 SA 367 (CC).</w:t>
      </w:r>
    </w:p>
  </w:footnote>
  <w:footnote w:id="10">
    <w:p w:rsidR="002A068A" w:rsidRDefault="002A068A">
      <w:pPr>
        <w:pStyle w:val="FootnoteText"/>
      </w:pPr>
      <w:r>
        <w:rPr>
          <w:rStyle w:val="FootnoteReference"/>
        </w:rPr>
        <w:footnoteRef/>
      </w:r>
      <w:r>
        <w:t xml:space="preserve"> </w:t>
      </w:r>
      <w:r w:rsidRPr="002A068A">
        <w:t xml:space="preserve">Gcaba </w:t>
      </w:r>
      <w:r>
        <w:t>para 62.</w:t>
      </w:r>
    </w:p>
  </w:footnote>
  <w:footnote w:id="11">
    <w:p w:rsidR="006F4C8F" w:rsidRDefault="006F4C8F" w:rsidP="006F4C8F">
      <w:pPr>
        <w:pStyle w:val="FootnoteText"/>
      </w:pPr>
      <w:r>
        <w:rPr>
          <w:rStyle w:val="FootnoteReference"/>
        </w:rPr>
        <w:footnoteRef/>
      </w:r>
      <w:r>
        <w:t xml:space="preserve"> Rodriquez de </w:t>
      </w:r>
      <w:r>
        <w:t>Quijas u Shearson/American Express, 490 U.S. 477 at 484.</w:t>
      </w:r>
    </w:p>
  </w:footnote>
  <w:footnote w:id="12">
    <w:p w:rsidR="00A55737" w:rsidRPr="00A55737" w:rsidRDefault="00A55737">
      <w:pPr>
        <w:pStyle w:val="FootnoteText"/>
        <w:rPr>
          <w:lang w:val="en-GB"/>
        </w:rPr>
      </w:pPr>
      <w:r>
        <w:rPr>
          <w:rStyle w:val="FootnoteReference"/>
        </w:rPr>
        <w:footnoteRef/>
      </w:r>
      <w:r>
        <w:t xml:space="preserve"> </w:t>
      </w:r>
      <w:r w:rsidRPr="00A55737">
        <w:t xml:space="preserve">Lepule v Lepule and Others (C of </w:t>
      </w:r>
      <w:r w:rsidRPr="00A55737">
        <w:t>A (CIV) NO. 34/2014) para 75.</w:t>
      </w:r>
    </w:p>
  </w:footnote>
  <w:footnote w:id="13">
    <w:p w:rsidR="006F47AE" w:rsidRPr="006F47AE" w:rsidRDefault="006F47AE">
      <w:pPr>
        <w:pStyle w:val="FootnoteText"/>
        <w:rPr>
          <w:lang w:val="en-GB"/>
        </w:rPr>
      </w:pPr>
      <w:r>
        <w:rPr>
          <w:rStyle w:val="FootnoteReference"/>
        </w:rPr>
        <w:footnoteRef/>
      </w:r>
      <w:r>
        <w:t xml:space="preserve"> </w:t>
      </w:r>
      <w:r w:rsidRPr="006F47AE">
        <w:t xml:space="preserve">Hippo Transport v Commissioner of Customs &amp; </w:t>
      </w:r>
      <w:r>
        <w:t xml:space="preserve">Excise C of </w:t>
      </w:r>
      <w:r>
        <w:t>A (CIV) 06 of 2017 at para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560776"/>
      <w:docPartObj>
        <w:docPartGallery w:val="Page Numbers (Top of Page)"/>
        <w:docPartUnique/>
      </w:docPartObj>
    </w:sdtPr>
    <w:sdtEndPr>
      <w:rPr>
        <w:noProof/>
      </w:rPr>
    </w:sdtEndPr>
    <w:sdtContent>
      <w:p w:rsidR="004A23C7" w:rsidRDefault="004A23C7">
        <w:pPr>
          <w:pStyle w:val="Header"/>
          <w:jc w:val="right"/>
        </w:pPr>
        <w:r>
          <w:fldChar w:fldCharType="begin"/>
        </w:r>
        <w:r>
          <w:instrText xml:space="preserve"> PAGE   \* MERGEFORMAT </w:instrText>
        </w:r>
        <w:r>
          <w:fldChar w:fldCharType="separate"/>
        </w:r>
        <w:r w:rsidR="00BA1CF6">
          <w:rPr>
            <w:noProof/>
          </w:rPr>
          <w:t>12</w:t>
        </w:r>
        <w:r>
          <w:rPr>
            <w:noProof/>
          </w:rPr>
          <w:fldChar w:fldCharType="end"/>
        </w:r>
      </w:p>
    </w:sdtContent>
  </w:sdt>
  <w:p w:rsidR="004A23C7" w:rsidRDefault="004A2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38EC"/>
    <w:multiLevelType w:val="hybridMultilevel"/>
    <w:tmpl w:val="E8083702"/>
    <w:lvl w:ilvl="0" w:tplc="15BE9B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46E7F26"/>
    <w:multiLevelType w:val="hybridMultilevel"/>
    <w:tmpl w:val="39C20F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5A"/>
    <w:rsid w:val="000136D7"/>
    <w:rsid w:val="00027461"/>
    <w:rsid w:val="00045399"/>
    <w:rsid w:val="000525BA"/>
    <w:rsid w:val="0006081F"/>
    <w:rsid w:val="00097915"/>
    <w:rsid w:val="000C0B30"/>
    <w:rsid w:val="000E22F7"/>
    <w:rsid w:val="0010726B"/>
    <w:rsid w:val="001134AB"/>
    <w:rsid w:val="00114622"/>
    <w:rsid w:val="00121D8A"/>
    <w:rsid w:val="00150378"/>
    <w:rsid w:val="0015183A"/>
    <w:rsid w:val="0016212D"/>
    <w:rsid w:val="001B1E01"/>
    <w:rsid w:val="00214E97"/>
    <w:rsid w:val="00220FD4"/>
    <w:rsid w:val="00221EC0"/>
    <w:rsid w:val="00234C8A"/>
    <w:rsid w:val="00235BD3"/>
    <w:rsid w:val="00252EDC"/>
    <w:rsid w:val="00264028"/>
    <w:rsid w:val="00287C9A"/>
    <w:rsid w:val="002934B2"/>
    <w:rsid w:val="00295B6C"/>
    <w:rsid w:val="002A068A"/>
    <w:rsid w:val="002A4036"/>
    <w:rsid w:val="002B07A3"/>
    <w:rsid w:val="002C4AB9"/>
    <w:rsid w:val="002D5B74"/>
    <w:rsid w:val="002E1E25"/>
    <w:rsid w:val="003034C7"/>
    <w:rsid w:val="00342FB8"/>
    <w:rsid w:val="00375EE6"/>
    <w:rsid w:val="003A5D69"/>
    <w:rsid w:val="003A75BC"/>
    <w:rsid w:val="003B07D7"/>
    <w:rsid w:val="003D499C"/>
    <w:rsid w:val="003D5C18"/>
    <w:rsid w:val="003E7A9C"/>
    <w:rsid w:val="004102B4"/>
    <w:rsid w:val="00414903"/>
    <w:rsid w:val="00415685"/>
    <w:rsid w:val="00426021"/>
    <w:rsid w:val="004412A7"/>
    <w:rsid w:val="00450511"/>
    <w:rsid w:val="004564AA"/>
    <w:rsid w:val="0046072C"/>
    <w:rsid w:val="00477B84"/>
    <w:rsid w:val="00484786"/>
    <w:rsid w:val="004A23C7"/>
    <w:rsid w:val="004C65D1"/>
    <w:rsid w:val="004D39EB"/>
    <w:rsid w:val="00557209"/>
    <w:rsid w:val="0057542D"/>
    <w:rsid w:val="005E435B"/>
    <w:rsid w:val="005F51CD"/>
    <w:rsid w:val="0061529E"/>
    <w:rsid w:val="00636F5A"/>
    <w:rsid w:val="0069145B"/>
    <w:rsid w:val="0069315C"/>
    <w:rsid w:val="006B7B58"/>
    <w:rsid w:val="006D3757"/>
    <w:rsid w:val="006F47AE"/>
    <w:rsid w:val="006F4C8F"/>
    <w:rsid w:val="00731903"/>
    <w:rsid w:val="00754B00"/>
    <w:rsid w:val="00780ACC"/>
    <w:rsid w:val="00784645"/>
    <w:rsid w:val="00794E54"/>
    <w:rsid w:val="007951E6"/>
    <w:rsid w:val="007A5469"/>
    <w:rsid w:val="007B2BFB"/>
    <w:rsid w:val="007B4E2A"/>
    <w:rsid w:val="007B63D5"/>
    <w:rsid w:val="00805695"/>
    <w:rsid w:val="0081243F"/>
    <w:rsid w:val="00825F8E"/>
    <w:rsid w:val="00832421"/>
    <w:rsid w:val="00840AA1"/>
    <w:rsid w:val="00862723"/>
    <w:rsid w:val="0086470A"/>
    <w:rsid w:val="008749F3"/>
    <w:rsid w:val="00874D8F"/>
    <w:rsid w:val="00885A64"/>
    <w:rsid w:val="008D581A"/>
    <w:rsid w:val="008F0179"/>
    <w:rsid w:val="00917C19"/>
    <w:rsid w:val="009207AB"/>
    <w:rsid w:val="00927316"/>
    <w:rsid w:val="009542C5"/>
    <w:rsid w:val="009733F1"/>
    <w:rsid w:val="00985D13"/>
    <w:rsid w:val="009E2412"/>
    <w:rsid w:val="009E6D8A"/>
    <w:rsid w:val="00A24EEA"/>
    <w:rsid w:val="00A55737"/>
    <w:rsid w:val="00A55DE8"/>
    <w:rsid w:val="00A73054"/>
    <w:rsid w:val="00A75A9F"/>
    <w:rsid w:val="00A84E76"/>
    <w:rsid w:val="00A976CE"/>
    <w:rsid w:val="00AA6FB2"/>
    <w:rsid w:val="00AB6DED"/>
    <w:rsid w:val="00AF0EE4"/>
    <w:rsid w:val="00AF2AED"/>
    <w:rsid w:val="00AF37C9"/>
    <w:rsid w:val="00B13525"/>
    <w:rsid w:val="00B26334"/>
    <w:rsid w:val="00B269F0"/>
    <w:rsid w:val="00B40EB8"/>
    <w:rsid w:val="00B42F5E"/>
    <w:rsid w:val="00B478CD"/>
    <w:rsid w:val="00B64B06"/>
    <w:rsid w:val="00B739CD"/>
    <w:rsid w:val="00B82603"/>
    <w:rsid w:val="00BA1CF6"/>
    <w:rsid w:val="00BA5E4C"/>
    <w:rsid w:val="00BA7C7E"/>
    <w:rsid w:val="00BB5947"/>
    <w:rsid w:val="00BE053B"/>
    <w:rsid w:val="00C51AD0"/>
    <w:rsid w:val="00C969FE"/>
    <w:rsid w:val="00CD1742"/>
    <w:rsid w:val="00CD4783"/>
    <w:rsid w:val="00CD5E09"/>
    <w:rsid w:val="00CF4DEE"/>
    <w:rsid w:val="00CF6CB6"/>
    <w:rsid w:val="00D0257C"/>
    <w:rsid w:val="00D0407E"/>
    <w:rsid w:val="00D131D7"/>
    <w:rsid w:val="00D51A50"/>
    <w:rsid w:val="00D54E3A"/>
    <w:rsid w:val="00D631C0"/>
    <w:rsid w:val="00D73289"/>
    <w:rsid w:val="00D831DD"/>
    <w:rsid w:val="00DA3D0E"/>
    <w:rsid w:val="00DC3B3A"/>
    <w:rsid w:val="00DD42D9"/>
    <w:rsid w:val="00DE2AFA"/>
    <w:rsid w:val="00E66DC3"/>
    <w:rsid w:val="00E714D1"/>
    <w:rsid w:val="00E76B6E"/>
    <w:rsid w:val="00E76E31"/>
    <w:rsid w:val="00EC0FAA"/>
    <w:rsid w:val="00ED12E8"/>
    <w:rsid w:val="00F1014B"/>
    <w:rsid w:val="00F2397E"/>
    <w:rsid w:val="00F53342"/>
    <w:rsid w:val="00F830BB"/>
    <w:rsid w:val="00FB253A"/>
    <w:rsid w:val="00FB2564"/>
    <w:rsid w:val="00FC0AD2"/>
    <w:rsid w:val="00FC2FDB"/>
    <w:rsid w:val="00FC31CA"/>
    <w:rsid w:val="00FD6724"/>
    <w:rsid w:val="00FD79E0"/>
    <w:rsid w:val="00FF09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8887"/>
  <w15:chartTrackingRefBased/>
  <w15:docId w15:val="{8E2C5A56-C131-4913-89AA-18B89AF6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6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DC3"/>
    <w:rPr>
      <w:sz w:val="20"/>
      <w:szCs w:val="20"/>
    </w:rPr>
  </w:style>
  <w:style w:type="character" w:styleId="FootnoteReference">
    <w:name w:val="footnote reference"/>
    <w:basedOn w:val="DefaultParagraphFont"/>
    <w:uiPriority w:val="99"/>
    <w:semiHidden/>
    <w:unhideWhenUsed/>
    <w:rsid w:val="00E66DC3"/>
    <w:rPr>
      <w:vertAlign w:val="superscript"/>
    </w:rPr>
  </w:style>
  <w:style w:type="paragraph" w:styleId="ListParagraph">
    <w:name w:val="List Paragraph"/>
    <w:basedOn w:val="Normal"/>
    <w:uiPriority w:val="34"/>
    <w:qFormat/>
    <w:rsid w:val="009207AB"/>
    <w:pPr>
      <w:ind w:left="720"/>
      <w:contextualSpacing/>
    </w:pPr>
  </w:style>
  <w:style w:type="paragraph" w:styleId="Header">
    <w:name w:val="header"/>
    <w:basedOn w:val="Normal"/>
    <w:link w:val="HeaderChar"/>
    <w:uiPriority w:val="99"/>
    <w:unhideWhenUsed/>
    <w:rsid w:val="004A2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3C7"/>
  </w:style>
  <w:style w:type="paragraph" w:styleId="Footer">
    <w:name w:val="footer"/>
    <w:basedOn w:val="Normal"/>
    <w:link w:val="FooterChar"/>
    <w:uiPriority w:val="99"/>
    <w:unhideWhenUsed/>
    <w:rsid w:val="004A2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91866">
      <w:bodyDiv w:val="1"/>
      <w:marLeft w:val="0"/>
      <w:marRight w:val="0"/>
      <w:marTop w:val="0"/>
      <w:marBottom w:val="0"/>
      <w:divBdr>
        <w:top w:val="none" w:sz="0" w:space="0" w:color="auto"/>
        <w:left w:val="none" w:sz="0" w:space="0" w:color="auto"/>
        <w:bottom w:val="none" w:sz="0" w:space="0" w:color="auto"/>
        <w:right w:val="none" w:sz="0" w:space="0" w:color="auto"/>
      </w:divBdr>
      <w:divsChild>
        <w:div w:id="114491654">
          <w:marLeft w:val="0"/>
          <w:marRight w:val="0"/>
          <w:marTop w:val="0"/>
          <w:marBottom w:val="0"/>
          <w:divBdr>
            <w:top w:val="none" w:sz="0" w:space="0" w:color="auto"/>
            <w:left w:val="none" w:sz="0" w:space="0" w:color="auto"/>
            <w:bottom w:val="none" w:sz="0" w:space="0" w:color="auto"/>
            <w:right w:val="none" w:sz="0" w:space="0" w:color="auto"/>
          </w:divBdr>
        </w:div>
        <w:div w:id="1440372168">
          <w:marLeft w:val="0"/>
          <w:marRight w:val="0"/>
          <w:marTop w:val="0"/>
          <w:marBottom w:val="0"/>
          <w:divBdr>
            <w:top w:val="none" w:sz="0" w:space="0" w:color="auto"/>
            <w:left w:val="none" w:sz="0" w:space="0" w:color="auto"/>
            <w:bottom w:val="none" w:sz="0" w:space="0" w:color="auto"/>
            <w:right w:val="none" w:sz="0" w:space="0" w:color="auto"/>
          </w:divBdr>
        </w:div>
        <w:div w:id="1976718735">
          <w:marLeft w:val="0"/>
          <w:marRight w:val="0"/>
          <w:marTop w:val="0"/>
          <w:marBottom w:val="0"/>
          <w:divBdr>
            <w:top w:val="none" w:sz="0" w:space="0" w:color="auto"/>
            <w:left w:val="none" w:sz="0" w:space="0" w:color="auto"/>
            <w:bottom w:val="none" w:sz="0" w:space="0" w:color="auto"/>
            <w:right w:val="none" w:sz="0" w:space="0" w:color="auto"/>
          </w:divBdr>
        </w:div>
        <w:div w:id="45953675">
          <w:marLeft w:val="0"/>
          <w:marRight w:val="0"/>
          <w:marTop w:val="0"/>
          <w:marBottom w:val="0"/>
          <w:divBdr>
            <w:top w:val="none" w:sz="0" w:space="0" w:color="auto"/>
            <w:left w:val="none" w:sz="0" w:space="0" w:color="auto"/>
            <w:bottom w:val="none" w:sz="0" w:space="0" w:color="auto"/>
            <w:right w:val="none" w:sz="0" w:space="0" w:color="auto"/>
          </w:divBdr>
        </w:div>
        <w:div w:id="362441731">
          <w:marLeft w:val="0"/>
          <w:marRight w:val="0"/>
          <w:marTop w:val="0"/>
          <w:marBottom w:val="0"/>
          <w:divBdr>
            <w:top w:val="none" w:sz="0" w:space="0" w:color="auto"/>
            <w:left w:val="none" w:sz="0" w:space="0" w:color="auto"/>
            <w:bottom w:val="none" w:sz="0" w:space="0" w:color="auto"/>
            <w:right w:val="none" w:sz="0" w:space="0" w:color="auto"/>
          </w:divBdr>
        </w:div>
        <w:div w:id="1210073866">
          <w:marLeft w:val="0"/>
          <w:marRight w:val="0"/>
          <w:marTop w:val="0"/>
          <w:marBottom w:val="0"/>
          <w:divBdr>
            <w:top w:val="none" w:sz="0" w:space="0" w:color="auto"/>
            <w:left w:val="none" w:sz="0" w:space="0" w:color="auto"/>
            <w:bottom w:val="none" w:sz="0" w:space="0" w:color="auto"/>
            <w:right w:val="none" w:sz="0" w:space="0" w:color="auto"/>
          </w:divBdr>
        </w:div>
        <w:div w:id="1904756952">
          <w:marLeft w:val="0"/>
          <w:marRight w:val="0"/>
          <w:marTop w:val="0"/>
          <w:marBottom w:val="0"/>
          <w:divBdr>
            <w:top w:val="none" w:sz="0" w:space="0" w:color="auto"/>
            <w:left w:val="none" w:sz="0" w:space="0" w:color="auto"/>
            <w:bottom w:val="none" w:sz="0" w:space="0" w:color="auto"/>
            <w:right w:val="none" w:sz="0" w:space="0" w:color="auto"/>
          </w:divBdr>
        </w:div>
      </w:divsChild>
    </w:div>
    <w:div w:id="1315451904">
      <w:bodyDiv w:val="1"/>
      <w:marLeft w:val="0"/>
      <w:marRight w:val="0"/>
      <w:marTop w:val="0"/>
      <w:marBottom w:val="0"/>
      <w:divBdr>
        <w:top w:val="none" w:sz="0" w:space="0" w:color="auto"/>
        <w:left w:val="none" w:sz="0" w:space="0" w:color="auto"/>
        <w:bottom w:val="none" w:sz="0" w:space="0" w:color="auto"/>
        <w:right w:val="none" w:sz="0" w:space="0" w:color="auto"/>
      </w:divBdr>
    </w:div>
    <w:div w:id="20951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6364-9F43-44CE-8480-49F2518D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Manapo Mphutlane</dc:creator>
  <cp:keywords/>
  <dc:description/>
  <cp:lastModifiedBy>Relebohile Sehapi</cp:lastModifiedBy>
  <cp:revision>4</cp:revision>
  <dcterms:created xsi:type="dcterms:W3CDTF">2021-05-17T08:15:00Z</dcterms:created>
  <dcterms:modified xsi:type="dcterms:W3CDTF">2021-06-02T13:18:00Z</dcterms:modified>
</cp:coreProperties>
</file>