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B698" w14:textId="77777777" w:rsidR="003040B5" w:rsidRDefault="003040B5" w:rsidP="005935E9">
      <w:pPr>
        <w:spacing w:line="360" w:lineRule="auto"/>
        <w:jc w:val="both"/>
        <w:rPr>
          <w:rFonts w:ascii="Bookman Old Style" w:hAnsi="Bookman Old Style" w:cs="Times New Roman"/>
          <w:b/>
          <w:sz w:val="24"/>
          <w:szCs w:val="24"/>
        </w:rPr>
      </w:pPr>
      <w:bookmarkStart w:id="0" w:name="_GoBack"/>
      <w:bookmarkEnd w:id="0"/>
    </w:p>
    <w:p w14:paraId="0980C3BA" w14:textId="498C34AF" w:rsidR="005935E9" w:rsidRPr="003040B5" w:rsidRDefault="00DA1F0A" w:rsidP="003040B5">
      <w:pPr>
        <w:spacing w:line="360" w:lineRule="auto"/>
        <w:jc w:val="center"/>
        <w:rPr>
          <w:rFonts w:ascii="Bookman Old Style" w:hAnsi="Bookman Old Style" w:cs="Times New Roman"/>
          <w:b/>
          <w:sz w:val="28"/>
          <w:szCs w:val="28"/>
        </w:rPr>
      </w:pPr>
      <w:r>
        <w:rPr>
          <w:rFonts w:ascii="Bookman Old Style" w:hAnsi="Bookman Old Style" w:cs="Times New Roman"/>
          <w:b/>
          <w:sz w:val="28"/>
          <w:szCs w:val="28"/>
        </w:rPr>
        <w:t xml:space="preserve">IN THE COURT </w:t>
      </w:r>
      <w:r w:rsidR="005935E9" w:rsidRPr="003040B5">
        <w:rPr>
          <w:rFonts w:ascii="Bookman Old Style" w:hAnsi="Bookman Old Style" w:cs="Times New Roman"/>
          <w:b/>
          <w:sz w:val="28"/>
          <w:szCs w:val="28"/>
        </w:rPr>
        <w:t>OF APPEAL OF LESOTHO</w:t>
      </w:r>
    </w:p>
    <w:p w14:paraId="04CA5C36" w14:textId="38E58403" w:rsidR="005935E9" w:rsidRDefault="005935E9" w:rsidP="005935E9">
      <w:pPr>
        <w:spacing w:line="360" w:lineRule="auto"/>
        <w:jc w:val="both"/>
        <w:rPr>
          <w:rFonts w:ascii="Bookman Old Style" w:hAnsi="Bookman Old Style" w:cs="Times New Roman"/>
          <w:b/>
          <w:sz w:val="24"/>
          <w:szCs w:val="24"/>
        </w:rPr>
      </w:pPr>
      <w:r w:rsidRPr="003A1A75">
        <w:rPr>
          <w:rFonts w:ascii="Bookman Old Style" w:hAnsi="Bookman Old Style" w:cs="Times New Roman"/>
          <w:b/>
          <w:sz w:val="24"/>
          <w:szCs w:val="24"/>
        </w:rPr>
        <w:t xml:space="preserve">HELD AT MASERU </w:t>
      </w:r>
      <w:r w:rsidRPr="003A1A75">
        <w:rPr>
          <w:rFonts w:ascii="Bookman Old Style" w:hAnsi="Bookman Old Style" w:cs="Times New Roman"/>
          <w:b/>
          <w:sz w:val="24"/>
          <w:szCs w:val="24"/>
        </w:rPr>
        <w:tab/>
      </w:r>
      <w:r w:rsidRPr="003A1A75">
        <w:rPr>
          <w:rFonts w:ascii="Bookman Old Style" w:hAnsi="Bookman Old Style" w:cs="Times New Roman"/>
          <w:b/>
          <w:sz w:val="24"/>
          <w:szCs w:val="24"/>
        </w:rPr>
        <w:tab/>
      </w:r>
      <w:r w:rsidRPr="003A1A75">
        <w:rPr>
          <w:rFonts w:ascii="Bookman Old Style" w:hAnsi="Bookman Old Style" w:cs="Times New Roman"/>
          <w:b/>
          <w:sz w:val="24"/>
          <w:szCs w:val="24"/>
        </w:rPr>
        <w:tab/>
      </w:r>
      <w:r w:rsidRPr="003A1A75">
        <w:rPr>
          <w:rFonts w:ascii="Bookman Old Style" w:hAnsi="Bookman Old Style" w:cs="Times New Roman"/>
          <w:b/>
          <w:sz w:val="24"/>
          <w:szCs w:val="24"/>
        </w:rPr>
        <w:tab/>
      </w:r>
      <w:r>
        <w:rPr>
          <w:rFonts w:ascii="Bookman Old Style" w:hAnsi="Bookman Old Style" w:cs="Times New Roman"/>
          <w:b/>
          <w:sz w:val="24"/>
          <w:szCs w:val="24"/>
        </w:rPr>
        <w:t xml:space="preserve">    </w:t>
      </w:r>
      <w:r w:rsidR="0070250A">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p>
    <w:p w14:paraId="58063457" w14:textId="77777777" w:rsidR="003040B5" w:rsidRDefault="003040B5" w:rsidP="003040B5">
      <w:pPr>
        <w:spacing w:line="360" w:lineRule="auto"/>
        <w:jc w:val="right"/>
        <w:rPr>
          <w:rFonts w:ascii="Bookman Old Style" w:hAnsi="Bookman Old Style" w:cs="Times New Roman"/>
          <w:b/>
          <w:sz w:val="24"/>
          <w:szCs w:val="24"/>
        </w:rPr>
      </w:pPr>
      <w:r w:rsidRPr="003A1A75">
        <w:rPr>
          <w:rFonts w:ascii="Bookman Old Style" w:hAnsi="Bookman Old Style" w:cs="Times New Roman"/>
          <w:b/>
          <w:sz w:val="24"/>
          <w:szCs w:val="24"/>
        </w:rPr>
        <w:t xml:space="preserve">C OF A </w:t>
      </w:r>
      <w:r>
        <w:rPr>
          <w:rFonts w:ascii="Bookman Old Style" w:hAnsi="Bookman Old Style" w:cs="Times New Roman"/>
          <w:b/>
          <w:sz w:val="24"/>
          <w:szCs w:val="24"/>
        </w:rPr>
        <w:t>(</w:t>
      </w:r>
      <w:r w:rsidRPr="003A1A75">
        <w:rPr>
          <w:rFonts w:ascii="Bookman Old Style" w:hAnsi="Bookman Old Style" w:cs="Times New Roman"/>
          <w:b/>
          <w:sz w:val="24"/>
          <w:szCs w:val="24"/>
        </w:rPr>
        <w:t>C</w:t>
      </w:r>
      <w:r>
        <w:rPr>
          <w:rFonts w:ascii="Bookman Old Style" w:hAnsi="Bookman Old Style" w:cs="Times New Roman"/>
          <w:b/>
          <w:sz w:val="24"/>
          <w:szCs w:val="24"/>
        </w:rPr>
        <w:t>R</w:t>
      </w:r>
      <w:r w:rsidRPr="003A1A75">
        <w:rPr>
          <w:rFonts w:ascii="Bookman Old Style" w:hAnsi="Bookman Old Style" w:cs="Times New Roman"/>
          <w:b/>
          <w:sz w:val="24"/>
          <w:szCs w:val="24"/>
        </w:rPr>
        <w:t>I</w:t>
      </w:r>
      <w:r>
        <w:rPr>
          <w:rFonts w:ascii="Bookman Old Style" w:hAnsi="Bookman Old Style" w:cs="Times New Roman"/>
          <w:b/>
          <w:sz w:val="24"/>
          <w:szCs w:val="24"/>
        </w:rPr>
        <w:t>)</w:t>
      </w:r>
      <w:r w:rsidRPr="003A1A75">
        <w:rPr>
          <w:rFonts w:ascii="Bookman Old Style" w:hAnsi="Bookman Old Style" w:cs="Times New Roman"/>
          <w:b/>
          <w:sz w:val="24"/>
          <w:szCs w:val="24"/>
        </w:rPr>
        <w:t xml:space="preserve"> </w:t>
      </w:r>
      <w:r>
        <w:rPr>
          <w:rFonts w:ascii="Bookman Old Style" w:hAnsi="Bookman Old Style" w:cs="Times New Roman"/>
          <w:b/>
          <w:sz w:val="24"/>
          <w:szCs w:val="24"/>
        </w:rPr>
        <w:t>NO 05</w:t>
      </w:r>
      <w:r w:rsidRPr="003A1A75">
        <w:rPr>
          <w:rFonts w:ascii="Bookman Old Style" w:hAnsi="Bookman Old Style" w:cs="Times New Roman"/>
          <w:b/>
          <w:sz w:val="24"/>
          <w:szCs w:val="24"/>
        </w:rPr>
        <w:t>/</w:t>
      </w:r>
      <w:r>
        <w:rPr>
          <w:rFonts w:ascii="Bookman Old Style" w:hAnsi="Bookman Old Style" w:cs="Times New Roman"/>
          <w:b/>
          <w:sz w:val="24"/>
          <w:szCs w:val="24"/>
        </w:rPr>
        <w:t>20</w:t>
      </w:r>
    </w:p>
    <w:p w14:paraId="62404002" w14:textId="77777777" w:rsidR="005935E9" w:rsidRPr="003A1A75" w:rsidRDefault="005935E9" w:rsidP="005935E9">
      <w:pPr>
        <w:spacing w:line="360" w:lineRule="auto"/>
        <w:jc w:val="both"/>
        <w:rPr>
          <w:rFonts w:ascii="Bookman Old Style" w:hAnsi="Bookman Old Style" w:cs="Times New Roman"/>
          <w:b/>
          <w:sz w:val="24"/>
          <w:szCs w:val="24"/>
        </w:rPr>
      </w:pPr>
      <w:r w:rsidRPr="003A1A75">
        <w:rPr>
          <w:rFonts w:ascii="Bookman Old Style" w:hAnsi="Bookman Old Style" w:cs="Times New Roman"/>
          <w:b/>
          <w:sz w:val="24"/>
          <w:szCs w:val="24"/>
        </w:rPr>
        <w:t>In the matter between:</w:t>
      </w:r>
    </w:p>
    <w:p w14:paraId="55E47600" w14:textId="2E01C3EF" w:rsidR="005935E9" w:rsidRDefault="005935E9" w:rsidP="005935E9">
      <w:pPr>
        <w:spacing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LIBOCHE LESENYA                                             </w:t>
      </w:r>
      <w:r w:rsidR="0070250A">
        <w:rPr>
          <w:rFonts w:ascii="Bookman Old Style" w:hAnsi="Bookman Old Style" w:cs="Times New Roman"/>
          <w:b/>
          <w:sz w:val="24"/>
          <w:szCs w:val="24"/>
        </w:rPr>
        <w:t xml:space="preserve">                     </w:t>
      </w:r>
      <w:r w:rsidRPr="003A1A75">
        <w:rPr>
          <w:rFonts w:ascii="Bookman Old Style" w:hAnsi="Bookman Old Style" w:cs="Times New Roman"/>
          <w:b/>
          <w:sz w:val="24"/>
          <w:szCs w:val="24"/>
        </w:rPr>
        <w:t>A</w:t>
      </w:r>
      <w:r>
        <w:rPr>
          <w:rFonts w:ascii="Bookman Old Style" w:hAnsi="Bookman Old Style" w:cs="Times New Roman"/>
          <w:b/>
          <w:sz w:val="24"/>
          <w:szCs w:val="24"/>
        </w:rPr>
        <w:t>P</w:t>
      </w:r>
      <w:r w:rsidRPr="003A1A75">
        <w:rPr>
          <w:rFonts w:ascii="Bookman Old Style" w:hAnsi="Bookman Old Style" w:cs="Times New Roman"/>
          <w:b/>
          <w:sz w:val="24"/>
          <w:szCs w:val="24"/>
        </w:rPr>
        <w:t>PELLANT</w:t>
      </w:r>
    </w:p>
    <w:p w14:paraId="7DBA5732" w14:textId="6DD20B20" w:rsidR="005935E9" w:rsidRPr="003040B5" w:rsidRDefault="005935E9" w:rsidP="005935E9">
      <w:pPr>
        <w:spacing w:line="360" w:lineRule="auto"/>
        <w:jc w:val="both"/>
        <w:rPr>
          <w:rFonts w:ascii="Bookman Old Style" w:hAnsi="Bookman Old Style" w:cs="Times New Roman"/>
          <w:sz w:val="24"/>
          <w:szCs w:val="24"/>
        </w:rPr>
      </w:pPr>
      <w:r w:rsidRPr="003040B5">
        <w:rPr>
          <w:rFonts w:ascii="Bookman Old Style" w:hAnsi="Bookman Old Style" w:cs="Times New Roman"/>
          <w:sz w:val="24"/>
          <w:szCs w:val="24"/>
        </w:rPr>
        <w:t>AND</w:t>
      </w:r>
    </w:p>
    <w:p w14:paraId="2D1DB03E" w14:textId="1EA09284" w:rsidR="005935E9" w:rsidRDefault="005935E9" w:rsidP="005935E9">
      <w:pPr>
        <w:spacing w:line="360" w:lineRule="auto"/>
        <w:jc w:val="both"/>
        <w:rPr>
          <w:rFonts w:ascii="Bookman Old Style" w:hAnsi="Bookman Old Style" w:cs="Times New Roman"/>
          <w:b/>
          <w:sz w:val="24"/>
          <w:szCs w:val="24"/>
        </w:rPr>
      </w:pPr>
      <w:r>
        <w:rPr>
          <w:rFonts w:ascii="Bookman Old Style" w:hAnsi="Bookman Old Style" w:cs="Times New Roman"/>
          <w:b/>
          <w:sz w:val="24"/>
          <w:szCs w:val="24"/>
        </w:rPr>
        <w:t>REX</w:t>
      </w:r>
      <w:r w:rsidRPr="003A1A75">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0070250A">
        <w:rPr>
          <w:rFonts w:ascii="Bookman Old Style" w:hAnsi="Bookman Old Style" w:cs="Times New Roman"/>
          <w:b/>
          <w:sz w:val="24"/>
          <w:szCs w:val="24"/>
        </w:rPr>
        <w:t xml:space="preserve">                </w:t>
      </w:r>
      <w:r w:rsidRPr="003A1A75">
        <w:rPr>
          <w:rFonts w:ascii="Bookman Old Style" w:hAnsi="Bookman Old Style" w:cs="Times New Roman"/>
          <w:b/>
          <w:sz w:val="24"/>
          <w:szCs w:val="24"/>
        </w:rPr>
        <w:t>RESPONDENT</w:t>
      </w:r>
    </w:p>
    <w:p w14:paraId="3CFA596E" w14:textId="77777777" w:rsidR="003040B5" w:rsidRDefault="003040B5" w:rsidP="003040B5">
      <w:pPr>
        <w:spacing w:line="360" w:lineRule="auto"/>
        <w:jc w:val="both"/>
        <w:rPr>
          <w:rFonts w:ascii="Bookman Old Style" w:hAnsi="Bookman Old Style" w:cs="Times New Roman"/>
          <w:b/>
          <w:sz w:val="24"/>
          <w:szCs w:val="24"/>
        </w:rPr>
      </w:pPr>
    </w:p>
    <w:p w14:paraId="4312873F" w14:textId="77777777" w:rsidR="003040B5" w:rsidRPr="003040B5" w:rsidRDefault="003040B5" w:rsidP="003040B5">
      <w:pPr>
        <w:spacing w:line="360" w:lineRule="auto"/>
        <w:jc w:val="both"/>
        <w:rPr>
          <w:rFonts w:ascii="Bookman Old Style" w:hAnsi="Bookman Old Style" w:cs="Times New Roman"/>
          <w:sz w:val="24"/>
          <w:szCs w:val="24"/>
        </w:rPr>
      </w:pPr>
      <w:r w:rsidRPr="003A1A75">
        <w:rPr>
          <w:rFonts w:ascii="Bookman Old Style" w:hAnsi="Bookman Old Style" w:cs="Times New Roman"/>
          <w:b/>
          <w:sz w:val="24"/>
          <w:szCs w:val="24"/>
        </w:rPr>
        <w:t>CORAM:</w:t>
      </w:r>
      <w:r>
        <w:rPr>
          <w:rFonts w:ascii="Bookman Old Style" w:hAnsi="Bookman Old Style" w:cs="Times New Roman"/>
          <w:b/>
          <w:sz w:val="24"/>
          <w:szCs w:val="24"/>
        </w:rPr>
        <w:tab/>
      </w:r>
      <w:r>
        <w:rPr>
          <w:rFonts w:ascii="Bookman Old Style" w:hAnsi="Bookman Old Style" w:cs="Times New Roman"/>
          <w:b/>
          <w:sz w:val="24"/>
          <w:szCs w:val="24"/>
        </w:rPr>
        <w:tab/>
      </w:r>
      <w:r w:rsidRPr="003040B5">
        <w:rPr>
          <w:rFonts w:ascii="Bookman Old Style" w:hAnsi="Bookman Old Style" w:cs="Times New Roman"/>
          <w:sz w:val="24"/>
          <w:szCs w:val="24"/>
        </w:rPr>
        <w:t>PT DAMASEB AJA</w:t>
      </w:r>
    </w:p>
    <w:p w14:paraId="38DB5042" w14:textId="77777777" w:rsidR="003040B5" w:rsidRPr="003040B5" w:rsidRDefault="003040B5" w:rsidP="003040B5">
      <w:pPr>
        <w:spacing w:line="360" w:lineRule="auto"/>
        <w:ind w:left="1440" w:firstLine="720"/>
        <w:jc w:val="both"/>
        <w:rPr>
          <w:rFonts w:ascii="Bookman Old Style" w:hAnsi="Bookman Old Style" w:cs="Times New Roman"/>
          <w:sz w:val="24"/>
          <w:szCs w:val="24"/>
        </w:rPr>
      </w:pPr>
      <w:r w:rsidRPr="003040B5">
        <w:rPr>
          <w:rFonts w:ascii="Bookman Old Style" w:hAnsi="Bookman Old Style" w:cs="Times New Roman"/>
          <w:sz w:val="24"/>
          <w:szCs w:val="24"/>
        </w:rPr>
        <w:t>MH CHINHENGO AJA</w:t>
      </w:r>
    </w:p>
    <w:p w14:paraId="50A2BBAF" w14:textId="77777777" w:rsidR="003040B5" w:rsidRPr="003A1A75" w:rsidRDefault="003040B5" w:rsidP="003040B5">
      <w:pPr>
        <w:spacing w:line="360" w:lineRule="auto"/>
        <w:ind w:left="1440" w:firstLine="720"/>
        <w:jc w:val="both"/>
        <w:rPr>
          <w:rFonts w:ascii="Bookman Old Style" w:hAnsi="Bookman Old Style" w:cs="Times New Roman"/>
          <w:sz w:val="24"/>
          <w:szCs w:val="24"/>
        </w:rPr>
      </w:pPr>
      <w:r w:rsidRPr="003040B5">
        <w:rPr>
          <w:rFonts w:ascii="Bookman Old Style" w:hAnsi="Bookman Old Style" w:cs="Times New Roman"/>
          <w:sz w:val="24"/>
          <w:szCs w:val="24"/>
        </w:rPr>
        <w:t>NT MSTHIYA AJA</w:t>
      </w:r>
    </w:p>
    <w:p w14:paraId="0E06FBE6" w14:textId="77777777" w:rsidR="003040B5" w:rsidRDefault="003040B5" w:rsidP="005935E9">
      <w:pPr>
        <w:spacing w:line="360" w:lineRule="auto"/>
        <w:jc w:val="both"/>
        <w:rPr>
          <w:rFonts w:ascii="Bookman Old Style" w:hAnsi="Bookman Old Style" w:cs="Times New Roman"/>
          <w:b/>
          <w:caps/>
          <w:sz w:val="24"/>
          <w:szCs w:val="24"/>
        </w:rPr>
      </w:pPr>
    </w:p>
    <w:p w14:paraId="5F0E2FE0" w14:textId="5F4DEECF" w:rsidR="005935E9" w:rsidRPr="003040B5" w:rsidRDefault="005935E9" w:rsidP="005935E9">
      <w:pPr>
        <w:spacing w:line="360" w:lineRule="auto"/>
        <w:jc w:val="both"/>
        <w:rPr>
          <w:rFonts w:ascii="Bookman Old Style" w:hAnsi="Bookman Old Style" w:cs="Times New Roman"/>
          <w:caps/>
          <w:sz w:val="24"/>
          <w:szCs w:val="24"/>
        </w:rPr>
      </w:pPr>
      <w:r w:rsidRPr="003040B5">
        <w:rPr>
          <w:rFonts w:ascii="Bookman Old Style" w:hAnsi="Bookman Old Style" w:cs="Times New Roman"/>
          <w:b/>
          <w:caps/>
          <w:sz w:val="24"/>
          <w:szCs w:val="24"/>
        </w:rPr>
        <w:t xml:space="preserve">HEARD: </w:t>
      </w:r>
      <w:r w:rsidR="003040B5" w:rsidRPr="003040B5">
        <w:rPr>
          <w:rFonts w:ascii="Bookman Old Style" w:hAnsi="Bookman Old Style" w:cs="Times New Roman"/>
          <w:b/>
          <w:caps/>
          <w:sz w:val="24"/>
          <w:szCs w:val="24"/>
        </w:rPr>
        <w:tab/>
      </w:r>
      <w:r w:rsidR="003040B5" w:rsidRPr="003040B5">
        <w:rPr>
          <w:rFonts w:ascii="Bookman Old Style" w:hAnsi="Bookman Old Style" w:cs="Times New Roman"/>
          <w:b/>
          <w:caps/>
          <w:sz w:val="24"/>
          <w:szCs w:val="24"/>
        </w:rPr>
        <w:tab/>
      </w:r>
      <w:r w:rsidRPr="003040B5">
        <w:rPr>
          <w:rFonts w:ascii="Bookman Old Style" w:hAnsi="Bookman Old Style" w:cs="Times New Roman"/>
          <w:caps/>
          <w:sz w:val="24"/>
          <w:szCs w:val="24"/>
        </w:rPr>
        <w:t>12</w:t>
      </w:r>
      <w:r w:rsidR="003040B5">
        <w:rPr>
          <w:rFonts w:ascii="Bookman Old Style" w:hAnsi="Bookman Old Style" w:cs="Times New Roman"/>
          <w:caps/>
          <w:sz w:val="24"/>
          <w:szCs w:val="24"/>
          <w:vertAlign w:val="superscript"/>
        </w:rPr>
        <w:t xml:space="preserve"> </w:t>
      </w:r>
      <w:r w:rsidRPr="003040B5">
        <w:rPr>
          <w:rFonts w:ascii="Bookman Old Style" w:hAnsi="Bookman Old Style" w:cs="Times New Roman"/>
          <w:caps/>
          <w:sz w:val="24"/>
          <w:szCs w:val="24"/>
        </w:rPr>
        <w:t>April 2021</w:t>
      </w:r>
    </w:p>
    <w:p w14:paraId="2E651C08" w14:textId="731BCE2F" w:rsidR="0070250A" w:rsidRPr="003040B5" w:rsidRDefault="005935E9" w:rsidP="005935E9">
      <w:pPr>
        <w:spacing w:line="360" w:lineRule="auto"/>
        <w:jc w:val="both"/>
        <w:rPr>
          <w:rFonts w:ascii="Bookman Old Style" w:hAnsi="Bookman Old Style" w:cs="Times New Roman"/>
          <w:caps/>
          <w:sz w:val="24"/>
          <w:szCs w:val="24"/>
        </w:rPr>
      </w:pPr>
      <w:r w:rsidRPr="003040B5">
        <w:rPr>
          <w:rFonts w:ascii="Bookman Old Style" w:hAnsi="Bookman Old Style" w:cs="Times New Roman"/>
          <w:b/>
          <w:caps/>
          <w:sz w:val="24"/>
          <w:szCs w:val="24"/>
        </w:rPr>
        <w:t xml:space="preserve">DELIVERED:  </w:t>
      </w:r>
      <w:r w:rsidR="003040B5" w:rsidRPr="003040B5">
        <w:rPr>
          <w:rFonts w:ascii="Bookman Old Style" w:hAnsi="Bookman Old Style" w:cs="Times New Roman"/>
          <w:b/>
          <w:caps/>
          <w:sz w:val="24"/>
          <w:szCs w:val="24"/>
        </w:rPr>
        <w:tab/>
      </w:r>
      <w:r w:rsidRPr="003040B5">
        <w:rPr>
          <w:rFonts w:ascii="Bookman Old Style" w:hAnsi="Bookman Old Style" w:cs="Times New Roman"/>
          <w:caps/>
          <w:sz w:val="24"/>
          <w:szCs w:val="24"/>
        </w:rPr>
        <w:t xml:space="preserve">14 May 2021 </w:t>
      </w:r>
    </w:p>
    <w:p w14:paraId="3E4F86C2" w14:textId="7E4168F9" w:rsidR="005935E9" w:rsidRPr="003A1A75" w:rsidRDefault="005935E9" w:rsidP="005935E9">
      <w:pPr>
        <w:spacing w:line="360" w:lineRule="auto"/>
        <w:jc w:val="both"/>
        <w:rPr>
          <w:rFonts w:ascii="Bookman Old Style" w:hAnsi="Bookman Old Style" w:cs="Times New Roman"/>
          <w:b/>
          <w:sz w:val="24"/>
          <w:szCs w:val="24"/>
        </w:rPr>
      </w:pPr>
      <w:r w:rsidRPr="003A1A75">
        <w:rPr>
          <w:rFonts w:ascii="Bookman Old Style" w:hAnsi="Bookman Old Style" w:cs="Times New Roman"/>
          <w:b/>
          <w:sz w:val="24"/>
          <w:szCs w:val="24"/>
        </w:rPr>
        <w:t xml:space="preserve">                                           </w:t>
      </w:r>
    </w:p>
    <w:p w14:paraId="7C772F71" w14:textId="77777777" w:rsidR="000A4665" w:rsidRDefault="005935E9" w:rsidP="005935E9">
      <w:pPr>
        <w:spacing w:line="360" w:lineRule="auto"/>
        <w:ind w:left="3600"/>
        <w:jc w:val="both"/>
        <w:rPr>
          <w:rFonts w:ascii="Bookman Old Style" w:hAnsi="Bookman Old Style" w:cs="Times New Roman"/>
          <w:b/>
          <w:sz w:val="24"/>
          <w:szCs w:val="24"/>
          <w:u w:val="single"/>
        </w:rPr>
      </w:pPr>
      <w:r>
        <w:rPr>
          <w:rFonts w:ascii="Bookman Old Style" w:hAnsi="Bookman Old Style" w:cs="Times New Roman"/>
          <w:b/>
          <w:sz w:val="24"/>
          <w:szCs w:val="24"/>
          <w:u w:val="single"/>
        </w:rPr>
        <w:t>Summary</w:t>
      </w:r>
    </w:p>
    <w:p w14:paraId="6B8FFD41" w14:textId="4760E25D" w:rsidR="005935E9" w:rsidRDefault="000A4665" w:rsidP="00AC0BB6">
      <w:pPr>
        <w:spacing w:line="360" w:lineRule="auto"/>
        <w:jc w:val="both"/>
        <w:rPr>
          <w:rFonts w:ascii="Bookman Old Style" w:hAnsi="Bookman Old Style" w:cs="Times New Roman"/>
          <w:bCs/>
          <w:i/>
          <w:iCs/>
          <w:sz w:val="24"/>
          <w:szCs w:val="24"/>
        </w:rPr>
      </w:pPr>
      <w:r w:rsidRPr="000A4665">
        <w:rPr>
          <w:rFonts w:ascii="Bookman Old Style" w:hAnsi="Bookman Old Style" w:cs="Times New Roman"/>
          <w:bCs/>
          <w:i/>
          <w:iCs/>
          <w:sz w:val="24"/>
          <w:szCs w:val="24"/>
        </w:rPr>
        <w:t>Appellant</w:t>
      </w:r>
      <w:r w:rsidR="00FD5F41">
        <w:rPr>
          <w:rFonts w:ascii="Bookman Old Style" w:hAnsi="Bookman Old Style" w:cs="Times New Roman"/>
          <w:bCs/>
          <w:i/>
          <w:iCs/>
          <w:sz w:val="24"/>
          <w:szCs w:val="24"/>
        </w:rPr>
        <w:t>’s</w:t>
      </w:r>
      <w:r>
        <w:rPr>
          <w:rFonts w:ascii="Bookman Old Style" w:hAnsi="Bookman Old Style" w:cs="Times New Roman"/>
          <w:bCs/>
          <w:i/>
          <w:iCs/>
          <w:sz w:val="24"/>
          <w:szCs w:val="24"/>
        </w:rPr>
        <w:t xml:space="preserve"> younger brother, accused 2</w:t>
      </w:r>
      <w:r w:rsidR="001C14B1">
        <w:rPr>
          <w:rFonts w:ascii="Bookman Old Style" w:hAnsi="Bookman Old Style" w:cs="Times New Roman"/>
          <w:bCs/>
          <w:i/>
          <w:iCs/>
          <w:sz w:val="24"/>
          <w:szCs w:val="24"/>
        </w:rPr>
        <w:t>,</w:t>
      </w:r>
      <w:r>
        <w:rPr>
          <w:rFonts w:ascii="Bookman Old Style" w:hAnsi="Bookman Old Style" w:cs="Times New Roman"/>
          <w:bCs/>
          <w:i/>
          <w:iCs/>
          <w:sz w:val="24"/>
          <w:szCs w:val="24"/>
        </w:rPr>
        <w:t xml:space="preserve"> </w:t>
      </w:r>
      <w:r w:rsidR="00FD5F41">
        <w:rPr>
          <w:rFonts w:ascii="Bookman Old Style" w:hAnsi="Bookman Old Style" w:cs="Times New Roman"/>
          <w:bCs/>
          <w:i/>
          <w:iCs/>
          <w:sz w:val="24"/>
          <w:szCs w:val="24"/>
        </w:rPr>
        <w:t xml:space="preserve">was </w:t>
      </w:r>
      <w:r>
        <w:rPr>
          <w:rFonts w:ascii="Bookman Old Style" w:hAnsi="Bookman Old Style" w:cs="Times New Roman"/>
          <w:bCs/>
          <w:i/>
          <w:iCs/>
          <w:sz w:val="24"/>
          <w:szCs w:val="24"/>
        </w:rPr>
        <w:t xml:space="preserve">charged with </w:t>
      </w:r>
      <w:r w:rsidR="000861F9">
        <w:rPr>
          <w:rFonts w:ascii="Bookman Old Style" w:hAnsi="Bookman Old Style" w:cs="Times New Roman"/>
          <w:bCs/>
          <w:i/>
          <w:iCs/>
          <w:sz w:val="24"/>
          <w:szCs w:val="24"/>
        </w:rPr>
        <w:t xml:space="preserve">the </w:t>
      </w:r>
      <w:r>
        <w:rPr>
          <w:rFonts w:ascii="Bookman Old Style" w:hAnsi="Bookman Old Style" w:cs="Times New Roman"/>
          <w:bCs/>
          <w:i/>
          <w:iCs/>
          <w:sz w:val="24"/>
          <w:szCs w:val="24"/>
        </w:rPr>
        <w:t>murder of appellant’s wife</w:t>
      </w:r>
      <w:r w:rsidR="001C14B1">
        <w:rPr>
          <w:rFonts w:ascii="Bookman Old Style" w:hAnsi="Bookman Old Style" w:cs="Times New Roman"/>
          <w:bCs/>
          <w:i/>
          <w:iCs/>
          <w:sz w:val="24"/>
          <w:szCs w:val="24"/>
        </w:rPr>
        <w:t xml:space="preserve"> - </w:t>
      </w:r>
      <w:r>
        <w:rPr>
          <w:rFonts w:ascii="Bookman Old Style" w:hAnsi="Bookman Old Style" w:cs="Times New Roman"/>
          <w:bCs/>
          <w:i/>
          <w:iCs/>
          <w:sz w:val="24"/>
          <w:szCs w:val="24"/>
        </w:rPr>
        <w:t>Common cause that killing perpetrated only by accused 2 who pleaded guilty at trial - Appellant pleading not guilty but convicted on basis of common purpose</w:t>
      </w:r>
      <w:r w:rsidR="005935E9" w:rsidRPr="000A4665">
        <w:rPr>
          <w:rFonts w:ascii="Bookman Old Style" w:hAnsi="Bookman Old Style" w:cs="Times New Roman"/>
          <w:bCs/>
          <w:i/>
          <w:iCs/>
          <w:sz w:val="24"/>
          <w:szCs w:val="24"/>
        </w:rPr>
        <w:t xml:space="preserve"> </w:t>
      </w:r>
      <w:r>
        <w:rPr>
          <w:rFonts w:ascii="Bookman Old Style" w:hAnsi="Bookman Old Style" w:cs="Times New Roman"/>
          <w:bCs/>
          <w:i/>
          <w:iCs/>
          <w:sz w:val="24"/>
          <w:szCs w:val="24"/>
        </w:rPr>
        <w:t>and sentenced to 18 years imprisonment</w:t>
      </w:r>
      <w:r w:rsidR="001C14B1">
        <w:rPr>
          <w:rFonts w:ascii="Bookman Old Style" w:hAnsi="Bookman Old Style" w:cs="Times New Roman"/>
          <w:bCs/>
          <w:i/>
          <w:iCs/>
          <w:sz w:val="24"/>
          <w:szCs w:val="24"/>
        </w:rPr>
        <w:t>;</w:t>
      </w:r>
    </w:p>
    <w:p w14:paraId="28FACF10" w14:textId="6AD8D5FC" w:rsidR="000A4665" w:rsidRDefault="000A4665" w:rsidP="00AC0BB6">
      <w:pPr>
        <w:spacing w:line="360" w:lineRule="auto"/>
        <w:jc w:val="both"/>
        <w:rPr>
          <w:rFonts w:ascii="Bookman Old Style" w:hAnsi="Bookman Old Style" w:cs="Times New Roman"/>
          <w:bCs/>
          <w:i/>
          <w:iCs/>
          <w:sz w:val="24"/>
          <w:szCs w:val="24"/>
        </w:rPr>
      </w:pPr>
      <w:r>
        <w:rPr>
          <w:rFonts w:ascii="Bookman Old Style" w:hAnsi="Bookman Old Style" w:cs="Times New Roman"/>
          <w:bCs/>
          <w:i/>
          <w:iCs/>
          <w:sz w:val="24"/>
          <w:szCs w:val="24"/>
        </w:rPr>
        <w:t>Appeal against conviction and sentence -</w:t>
      </w:r>
      <w:r w:rsidR="001C14B1">
        <w:rPr>
          <w:rFonts w:ascii="Bookman Old Style" w:hAnsi="Bookman Old Style" w:cs="Times New Roman"/>
          <w:bCs/>
          <w:i/>
          <w:iCs/>
          <w:sz w:val="24"/>
          <w:szCs w:val="24"/>
        </w:rPr>
        <w:t xml:space="preserve"> I</w:t>
      </w:r>
      <w:r>
        <w:rPr>
          <w:rFonts w:ascii="Bookman Old Style" w:hAnsi="Bookman Old Style" w:cs="Times New Roman"/>
          <w:bCs/>
          <w:i/>
          <w:iCs/>
          <w:sz w:val="24"/>
          <w:szCs w:val="24"/>
        </w:rPr>
        <w:t xml:space="preserve">ndictment not sufficiently informative that Crown relied for criminal liability on common purpose; </w:t>
      </w:r>
    </w:p>
    <w:p w14:paraId="0387E4A4" w14:textId="1B961A56" w:rsidR="000A4665" w:rsidRPr="000A4665" w:rsidRDefault="000A4665" w:rsidP="00AC0BB6">
      <w:pPr>
        <w:spacing w:line="360" w:lineRule="auto"/>
        <w:jc w:val="both"/>
        <w:rPr>
          <w:rFonts w:ascii="Bookman Old Style" w:hAnsi="Bookman Old Style" w:cs="Times New Roman"/>
          <w:bCs/>
          <w:i/>
          <w:iCs/>
          <w:sz w:val="24"/>
          <w:szCs w:val="24"/>
        </w:rPr>
      </w:pPr>
      <w:r>
        <w:rPr>
          <w:rFonts w:ascii="Bookman Old Style" w:hAnsi="Bookman Old Style" w:cs="Times New Roman"/>
          <w:bCs/>
          <w:i/>
          <w:iCs/>
          <w:sz w:val="24"/>
          <w:szCs w:val="24"/>
        </w:rPr>
        <w:lastRenderedPageBreak/>
        <w:t xml:space="preserve">Held: failure of indictment to make any reference to reliance on common purpose by Crown in violation of appellant’s right to a fair trial and prejudicial to him- </w:t>
      </w:r>
      <w:r w:rsidR="001C14B1">
        <w:rPr>
          <w:rFonts w:ascii="Bookman Old Style" w:hAnsi="Bookman Old Style" w:cs="Times New Roman"/>
          <w:bCs/>
          <w:i/>
          <w:iCs/>
          <w:sz w:val="24"/>
          <w:szCs w:val="24"/>
        </w:rPr>
        <w:t>C</w:t>
      </w:r>
      <w:r>
        <w:rPr>
          <w:rFonts w:ascii="Bookman Old Style" w:hAnsi="Bookman Old Style" w:cs="Times New Roman"/>
          <w:bCs/>
          <w:i/>
          <w:iCs/>
          <w:sz w:val="24"/>
          <w:szCs w:val="24"/>
        </w:rPr>
        <w:t>onviction quashed and sentence set aside</w:t>
      </w:r>
      <w:r w:rsidR="001C14B1">
        <w:rPr>
          <w:rFonts w:ascii="Bookman Old Style" w:hAnsi="Bookman Old Style" w:cs="Times New Roman"/>
          <w:bCs/>
          <w:i/>
          <w:iCs/>
          <w:sz w:val="24"/>
          <w:szCs w:val="24"/>
        </w:rPr>
        <w:t xml:space="preserve"> </w:t>
      </w:r>
      <w:r w:rsidR="00AC0BB6">
        <w:rPr>
          <w:rFonts w:ascii="Bookman Old Style" w:hAnsi="Bookman Old Style" w:cs="Times New Roman"/>
          <w:bCs/>
          <w:i/>
          <w:iCs/>
          <w:sz w:val="24"/>
          <w:szCs w:val="24"/>
        </w:rPr>
        <w:t>- Director of Public Prosecutions left to decide whether to re-institute prosecution</w:t>
      </w:r>
      <w:r w:rsidR="001C14B1">
        <w:rPr>
          <w:rFonts w:ascii="Bookman Old Style" w:hAnsi="Bookman Old Style" w:cs="Times New Roman"/>
          <w:bCs/>
          <w:i/>
          <w:iCs/>
          <w:sz w:val="24"/>
          <w:szCs w:val="24"/>
        </w:rPr>
        <w:t xml:space="preserve"> </w:t>
      </w:r>
      <w:r w:rsidR="00AC0BB6">
        <w:rPr>
          <w:rFonts w:ascii="Bookman Old Style" w:hAnsi="Bookman Old Style" w:cs="Times New Roman"/>
          <w:bCs/>
          <w:i/>
          <w:iCs/>
          <w:sz w:val="24"/>
          <w:szCs w:val="24"/>
        </w:rPr>
        <w:t>- in event of prosecution de novo trial to be before a different judge</w:t>
      </w:r>
      <w:r w:rsidR="001C14B1">
        <w:rPr>
          <w:rFonts w:ascii="Bookman Old Style" w:hAnsi="Bookman Old Style" w:cs="Times New Roman"/>
          <w:bCs/>
          <w:i/>
          <w:iCs/>
          <w:sz w:val="24"/>
          <w:szCs w:val="24"/>
        </w:rPr>
        <w:t>.</w:t>
      </w:r>
      <w:r>
        <w:rPr>
          <w:rFonts w:ascii="Bookman Old Style" w:hAnsi="Bookman Old Style" w:cs="Times New Roman"/>
          <w:bCs/>
          <w:i/>
          <w:iCs/>
          <w:sz w:val="24"/>
          <w:szCs w:val="24"/>
        </w:rPr>
        <w:t xml:space="preserve"> </w:t>
      </w:r>
    </w:p>
    <w:p w14:paraId="62AFE1A5" w14:textId="77777777" w:rsidR="00765BD9" w:rsidRDefault="00765BD9">
      <w:pPr>
        <w:rPr>
          <w:rFonts w:ascii="Bookman Old Style" w:hAnsi="Bookman Old Style"/>
          <w:b/>
          <w:bCs/>
        </w:rPr>
      </w:pPr>
    </w:p>
    <w:p w14:paraId="7B1ED9D1" w14:textId="173EE3A5" w:rsidR="0007684A" w:rsidRPr="003040B5" w:rsidRDefault="005935E9">
      <w:pPr>
        <w:rPr>
          <w:rFonts w:ascii="Bookman Old Style" w:hAnsi="Bookman Old Style"/>
          <w:b/>
          <w:bCs/>
          <w:sz w:val="28"/>
          <w:szCs w:val="28"/>
        </w:rPr>
      </w:pPr>
      <w:r w:rsidRPr="003040B5">
        <w:rPr>
          <w:rFonts w:ascii="Bookman Old Style" w:hAnsi="Bookman Old Style"/>
          <w:b/>
          <w:bCs/>
          <w:sz w:val="28"/>
          <w:szCs w:val="28"/>
        </w:rPr>
        <w:t>CHINHENGO AJA</w:t>
      </w:r>
    </w:p>
    <w:p w14:paraId="7C34FE91" w14:textId="65A675A4" w:rsidR="005935E9" w:rsidRPr="003040B5" w:rsidRDefault="005935E9" w:rsidP="005935E9">
      <w:pPr>
        <w:jc w:val="center"/>
        <w:rPr>
          <w:rFonts w:ascii="Bookman Old Style" w:hAnsi="Bookman Old Style"/>
          <w:b/>
          <w:bCs/>
          <w:sz w:val="28"/>
          <w:szCs w:val="28"/>
        </w:rPr>
      </w:pPr>
      <w:r w:rsidRPr="003040B5">
        <w:rPr>
          <w:rFonts w:ascii="Bookman Old Style" w:hAnsi="Bookman Old Style"/>
          <w:b/>
          <w:bCs/>
          <w:sz w:val="28"/>
          <w:szCs w:val="28"/>
        </w:rPr>
        <w:t>JUDGMENT</w:t>
      </w:r>
    </w:p>
    <w:p w14:paraId="47821F47" w14:textId="3012A566" w:rsidR="00537E03" w:rsidRPr="008900C8" w:rsidRDefault="00DA1F0A" w:rsidP="00DA1F0A">
      <w:pPr>
        <w:spacing w:line="360" w:lineRule="auto"/>
        <w:jc w:val="both"/>
        <w:rPr>
          <w:rFonts w:ascii="Bookman Old Style" w:hAnsi="Bookman Old Style"/>
          <w:sz w:val="28"/>
          <w:szCs w:val="28"/>
        </w:rPr>
      </w:pPr>
      <w:r w:rsidRPr="008900C8">
        <w:rPr>
          <w:rFonts w:ascii="Bookman Old Style" w:hAnsi="Bookman Old Style"/>
          <w:sz w:val="28"/>
          <w:szCs w:val="28"/>
        </w:rPr>
        <w:t>[1]</w:t>
      </w:r>
      <w:r w:rsidRPr="008900C8">
        <w:rPr>
          <w:rFonts w:ascii="Bookman Old Style" w:hAnsi="Bookman Old Style"/>
          <w:sz w:val="28"/>
          <w:szCs w:val="28"/>
        </w:rPr>
        <w:tab/>
      </w:r>
      <w:r w:rsidR="00E86CB7" w:rsidRPr="008900C8">
        <w:rPr>
          <w:rFonts w:ascii="Bookman Old Style" w:hAnsi="Bookman Old Style"/>
          <w:sz w:val="28"/>
          <w:szCs w:val="28"/>
        </w:rPr>
        <w:t>This is an appeal against the decision of the High Court</w:t>
      </w:r>
      <w:r w:rsidR="00526C4F" w:rsidRPr="008900C8">
        <w:rPr>
          <w:rFonts w:ascii="Bookman Old Style" w:hAnsi="Bookman Old Style"/>
          <w:sz w:val="28"/>
          <w:szCs w:val="28"/>
        </w:rPr>
        <w:t xml:space="preserve"> convicting the appellant (</w:t>
      </w:r>
      <w:proofErr w:type="spellStart"/>
      <w:r w:rsidR="00526C4F" w:rsidRPr="008900C8">
        <w:rPr>
          <w:rFonts w:ascii="Bookman Old Style" w:hAnsi="Bookman Old Style"/>
          <w:sz w:val="28"/>
          <w:szCs w:val="28"/>
        </w:rPr>
        <w:t>Liboche</w:t>
      </w:r>
      <w:proofErr w:type="spellEnd"/>
      <w:r w:rsidR="00526C4F" w:rsidRPr="008900C8">
        <w:rPr>
          <w:rFonts w:ascii="Bookman Old Style" w:hAnsi="Bookman Old Style"/>
          <w:sz w:val="28"/>
          <w:szCs w:val="28"/>
        </w:rPr>
        <w:t xml:space="preserve"> </w:t>
      </w:r>
      <w:proofErr w:type="spellStart"/>
      <w:r w:rsidR="00526C4F" w:rsidRPr="008900C8">
        <w:rPr>
          <w:rFonts w:ascii="Bookman Old Style" w:hAnsi="Bookman Old Style"/>
          <w:sz w:val="28"/>
          <w:szCs w:val="28"/>
        </w:rPr>
        <w:t>Lesenya</w:t>
      </w:r>
      <w:proofErr w:type="spellEnd"/>
      <w:r w:rsidR="00526C4F" w:rsidRPr="008900C8">
        <w:rPr>
          <w:rFonts w:ascii="Bookman Old Style" w:hAnsi="Bookman Old Style"/>
          <w:sz w:val="28"/>
          <w:szCs w:val="28"/>
        </w:rPr>
        <w:t>) of the murder of his wife</w:t>
      </w:r>
      <w:r w:rsidR="00861008" w:rsidRPr="008900C8">
        <w:rPr>
          <w:rFonts w:ascii="Bookman Old Style" w:hAnsi="Bookman Old Style"/>
          <w:sz w:val="28"/>
          <w:szCs w:val="28"/>
        </w:rPr>
        <w:t>,</w:t>
      </w:r>
      <w:r w:rsidR="00861008" w:rsidRPr="008900C8">
        <w:rPr>
          <w:rFonts w:ascii="Bookman Old Style" w:hAnsi="Bookman Old Style"/>
          <w:b/>
          <w:bCs/>
          <w:sz w:val="28"/>
          <w:szCs w:val="28"/>
        </w:rPr>
        <w:t xml:space="preserve"> </w:t>
      </w:r>
      <w:r w:rsidR="00861008" w:rsidRPr="008900C8">
        <w:rPr>
          <w:rFonts w:ascii="Bookman Old Style" w:hAnsi="Bookman Old Style"/>
          <w:sz w:val="28"/>
          <w:szCs w:val="28"/>
        </w:rPr>
        <w:t>‘</w:t>
      </w:r>
      <w:proofErr w:type="spellStart"/>
      <w:r w:rsidR="00861008" w:rsidRPr="008900C8">
        <w:rPr>
          <w:rFonts w:ascii="Bookman Old Style" w:hAnsi="Bookman Old Style"/>
          <w:sz w:val="28"/>
          <w:szCs w:val="28"/>
        </w:rPr>
        <w:t>Mantai</w:t>
      </w:r>
      <w:proofErr w:type="spellEnd"/>
      <w:r w:rsidR="00861008" w:rsidRPr="008900C8">
        <w:rPr>
          <w:rFonts w:ascii="Bookman Old Style" w:hAnsi="Bookman Old Style"/>
          <w:sz w:val="28"/>
          <w:szCs w:val="28"/>
        </w:rPr>
        <w:t xml:space="preserve"> </w:t>
      </w:r>
      <w:proofErr w:type="spellStart"/>
      <w:r w:rsidR="00861008" w:rsidRPr="008900C8">
        <w:rPr>
          <w:rFonts w:ascii="Bookman Old Style" w:hAnsi="Bookman Old Style"/>
          <w:sz w:val="28"/>
          <w:szCs w:val="28"/>
        </w:rPr>
        <w:t>Lesenya</w:t>
      </w:r>
      <w:proofErr w:type="spellEnd"/>
      <w:r w:rsidR="00861008" w:rsidRPr="008900C8">
        <w:rPr>
          <w:rFonts w:ascii="Bookman Old Style" w:hAnsi="Bookman Old Style"/>
          <w:sz w:val="28"/>
          <w:szCs w:val="28"/>
        </w:rPr>
        <w:t>,</w:t>
      </w:r>
      <w:r w:rsidR="00526C4F" w:rsidRPr="008900C8">
        <w:rPr>
          <w:rFonts w:ascii="Bookman Old Style" w:hAnsi="Bookman Old Style"/>
          <w:sz w:val="28"/>
          <w:szCs w:val="28"/>
        </w:rPr>
        <w:t xml:space="preserve"> and sentencing him to 1</w:t>
      </w:r>
      <w:r w:rsidR="00233343" w:rsidRPr="008900C8">
        <w:rPr>
          <w:rFonts w:ascii="Bookman Old Style" w:hAnsi="Bookman Old Style"/>
          <w:sz w:val="28"/>
          <w:szCs w:val="28"/>
        </w:rPr>
        <w:t>8</w:t>
      </w:r>
      <w:r w:rsidR="00526C4F" w:rsidRPr="008900C8">
        <w:rPr>
          <w:rFonts w:ascii="Bookman Old Style" w:hAnsi="Bookman Old Style"/>
          <w:sz w:val="28"/>
          <w:szCs w:val="28"/>
        </w:rPr>
        <w:t xml:space="preserve"> years imprisonment. </w:t>
      </w:r>
      <w:r w:rsidR="00257FEA" w:rsidRPr="008900C8">
        <w:rPr>
          <w:rFonts w:ascii="Bookman Old Style" w:hAnsi="Bookman Old Style"/>
          <w:sz w:val="28"/>
          <w:szCs w:val="28"/>
        </w:rPr>
        <w:t>He</w:t>
      </w:r>
      <w:r w:rsidR="00526C4F" w:rsidRPr="008900C8">
        <w:rPr>
          <w:rFonts w:ascii="Bookman Old Style" w:hAnsi="Bookman Old Style"/>
          <w:sz w:val="28"/>
          <w:szCs w:val="28"/>
        </w:rPr>
        <w:t xml:space="preserve"> was charged togeth</w:t>
      </w:r>
      <w:r w:rsidR="008900C8">
        <w:rPr>
          <w:rFonts w:ascii="Bookman Old Style" w:hAnsi="Bookman Old Style"/>
          <w:sz w:val="28"/>
          <w:szCs w:val="28"/>
        </w:rPr>
        <w:t xml:space="preserve">er with his younger brother, </w:t>
      </w:r>
      <w:proofErr w:type="spellStart"/>
      <w:r w:rsidR="008900C8">
        <w:rPr>
          <w:rFonts w:ascii="Bookman Old Style" w:hAnsi="Bookman Old Style"/>
          <w:sz w:val="28"/>
          <w:szCs w:val="28"/>
        </w:rPr>
        <w:t>Ts</w:t>
      </w:r>
      <w:r w:rsidR="00526C4F" w:rsidRPr="008900C8">
        <w:rPr>
          <w:rFonts w:ascii="Bookman Old Style" w:hAnsi="Bookman Old Style"/>
          <w:sz w:val="28"/>
          <w:szCs w:val="28"/>
        </w:rPr>
        <w:t>o</w:t>
      </w:r>
      <w:r w:rsidR="008900C8">
        <w:rPr>
          <w:rFonts w:ascii="Bookman Old Style" w:hAnsi="Bookman Old Style"/>
          <w:sz w:val="28"/>
          <w:szCs w:val="28"/>
        </w:rPr>
        <w:t>a</w:t>
      </w:r>
      <w:r w:rsidR="00526C4F" w:rsidRPr="008900C8">
        <w:rPr>
          <w:rFonts w:ascii="Bookman Old Style" w:hAnsi="Bookman Old Style"/>
          <w:sz w:val="28"/>
          <w:szCs w:val="28"/>
        </w:rPr>
        <w:t>nelo</w:t>
      </w:r>
      <w:proofErr w:type="spellEnd"/>
      <w:r w:rsidR="00526C4F" w:rsidRPr="008900C8">
        <w:rPr>
          <w:rFonts w:ascii="Bookman Old Style" w:hAnsi="Bookman Old Style"/>
          <w:sz w:val="28"/>
          <w:szCs w:val="28"/>
        </w:rPr>
        <w:t xml:space="preserve"> </w:t>
      </w:r>
      <w:proofErr w:type="spellStart"/>
      <w:r w:rsidR="00526C4F" w:rsidRPr="008900C8">
        <w:rPr>
          <w:rFonts w:ascii="Bookman Old Style" w:hAnsi="Bookman Old Style"/>
          <w:sz w:val="28"/>
          <w:szCs w:val="28"/>
        </w:rPr>
        <w:t>Letsenya</w:t>
      </w:r>
      <w:proofErr w:type="spellEnd"/>
      <w:r w:rsidR="008900C8">
        <w:rPr>
          <w:rFonts w:ascii="Bookman Old Style" w:hAnsi="Bookman Old Style"/>
          <w:sz w:val="28"/>
          <w:szCs w:val="28"/>
        </w:rPr>
        <w:t xml:space="preserve"> (“</w:t>
      </w:r>
      <w:proofErr w:type="spellStart"/>
      <w:r w:rsidR="008900C8">
        <w:rPr>
          <w:rFonts w:ascii="Bookman Old Style" w:hAnsi="Bookman Old Style"/>
          <w:sz w:val="28"/>
          <w:szCs w:val="28"/>
        </w:rPr>
        <w:t>Ts</w:t>
      </w:r>
      <w:r w:rsidR="00257FEA" w:rsidRPr="008900C8">
        <w:rPr>
          <w:rFonts w:ascii="Bookman Old Style" w:hAnsi="Bookman Old Style"/>
          <w:sz w:val="28"/>
          <w:szCs w:val="28"/>
        </w:rPr>
        <w:t>o</w:t>
      </w:r>
      <w:r w:rsidR="008900C8">
        <w:rPr>
          <w:rFonts w:ascii="Bookman Old Style" w:hAnsi="Bookman Old Style"/>
          <w:sz w:val="28"/>
          <w:szCs w:val="28"/>
        </w:rPr>
        <w:t>a</w:t>
      </w:r>
      <w:r w:rsidR="00257FEA" w:rsidRPr="008900C8">
        <w:rPr>
          <w:rFonts w:ascii="Bookman Old Style" w:hAnsi="Bookman Old Style"/>
          <w:sz w:val="28"/>
          <w:szCs w:val="28"/>
        </w:rPr>
        <w:t>nelo</w:t>
      </w:r>
      <w:proofErr w:type="spellEnd"/>
      <w:r w:rsidR="00257FEA" w:rsidRPr="008900C8">
        <w:rPr>
          <w:rFonts w:ascii="Bookman Old Style" w:hAnsi="Bookman Old Style"/>
          <w:sz w:val="28"/>
          <w:szCs w:val="28"/>
        </w:rPr>
        <w:t>” or “</w:t>
      </w:r>
      <w:r w:rsidR="00AC0BB6" w:rsidRPr="008900C8">
        <w:rPr>
          <w:rFonts w:ascii="Bookman Old Style" w:hAnsi="Bookman Old Style"/>
          <w:sz w:val="28"/>
          <w:szCs w:val="28"/>
        </w:rPr>
        <w:t>a</w:t>
      </w:r>
      <w:r w:rsidR="00257FEA" w:rsidRPr="008900C8">
        <w:rPr>
          <w:rFonts w:ascii="Bookman Old Style" w:hAnsi="Bookman Old Style"/>
          <w:sz w:val="28"/>
          <w:szCs w:val="28"/>
        </w:rPr>
        <w:t>ccused 2”).</w:t>
      </w:r>
      <w:r w:rsidR="00526C4F" w:rsidRPr="008900C8">
        <w:rPr>
          <w:rFonts w:ascii="Bookman Old Style" w:hAnsi="Bookman Old Style"/>
          <w:sz w:val="28"/>
          <w:szCs w:val="28"/>
        </w:rPr>
        <w:t xml:space="preserve"> </w:t>
      </w:r>
      <w:r w:rsidR="00257FEA" w:rsidRPr="008900C8">
        <w:rPr>
          <w:rFonts w:ascii="Bookman Old Style" w:hAnsi="Bookman Old Style"/>
          <w:sz w:val="28"/>
          <w:szCs w:val="28"/>
        </w:rPr>
        <w:t xml:space="preserve">The brother </w:t>
      </w:r>
      <w:r w:rsidR="00526C4F" w:rsidRPr="008900C8">
        <w:rPr>
          <w:rFonts w:ascii="Bookman Old Style" w:hAnsi="Bookman Old Style"/>
          <w:sz w:val="28"/>
          <w:szCs w:val="28"/>
        </w:rPr>
        <w:t xml:space="preserve">pleaded guilty to the charge and was sentenced to 12 years imprisonment. </w:t>
      </w:r>
      <w:proofErr w:type="gramStart"/>
      <w:r w:rsidR="00257FEA" w:rsidRPr="008900C8">
        <w:rPr>
          <w:rFonts w:ascii="Bookman Old Style" w:hAnsi="Bookman Old Style"/>
          <w:sz w:val="28"/>
          <w:szCs w:val="28"/>
        </w:rPr>
        <w:t xml:space="preserve">In light </w:t>
      </w:r>
      <w:r w:rsidR="00861008" w:rsidRPr="008900C8">
        <w:rPr>
          <w:rFonts w:ascii="Bookman Old Style" w:hAnsi="Bookman Old Style"/>
          <w:sz w:val="28"/>
          <w:szCs w:val="28"/>
        </w:rPr>
        <w:t>of</w:t>
      </w:r>
      <w:proofErr w:type="gramEnd"/>
      <w:r w:rsidR="00861008" w:rsidRPr="008900C8">
        <w:rPr>
          <w:rFonts w:ascii="Bookman Old Style" w:hAnsi="Bookman Old Style"/>
          <w:sz w:val="28"/>
          <w:szCs w:val="28"/>
        </w:rPr>
        <w:t xml:space="preserve"> </w:t>
      </w:r>
      <w:proofErr w:type="spellStart"/>
      <w:r w:rsidR="008900C8">
        <w:rPr>
          <w:rFonts w:ascii="Bookman Old Style" w:hAnsi="Bookman Old Style"/>
          <w:sz w:val="28"/>
          <w:szCs w:val="28"/>
        </w:rPr>
        <w:t>Ts</w:t>
      </w:r>
      <w:r w:rsidR="00257FEA" w:rsidRPr="008900C8">
        <w:rPr>
          <w:rFonts w:ascii="Bookman Old Style" w:hAnsi="Bookman Old Style"/>
          <w:sz w:val="28"/>
          <w:szCs w:val="28"/>
        </w:rPr>
        <w:t>o</w:t>
      </w:r>
      <w:r w:rsidR="008900C8">
        <w:rPr>
          <w:rFonts w:ascii="Bookman Old Style" w:hAnsi="Bookman Old Style"/>
          <w:sz w:val="28"/>
          <w:szCs w:val="28"/>
        </w:rPr>
        <w:t>a</w:t>
      </w:r>
      <w:r w:rsidR="00257FEA" w:rsidRPr="008900C8">
        <w:rPr>
          <w:rFonts w:ascii="Bookman Old Style" w:hAnsi="Bookman Old Style"/>
          <w:sz w:val="28"/>
          <w:szCs w:val="28"/>
        </w:rPr>
        <w:t>nelo’s</w:t>
      </w:r>
      <w:proofErr w:type="spellEnd"/>
      <w:r w:rsidR="00257FEA" w:rsidRPr="008900C8">
        <w:rPr>
          <w:rFonts w:ascii="Bookman Old Style" w:hAnsi="Bookman Old Style"/>
          <w:sz w:val="28"/>
          <w:szCs w:val="28"/>
        </w:rPr>
        <w:t xml:space="preserve"> guilty plea the trial </w:t>
      </w:r>
      <w:r w:rsidR="00982231" w:rsidRPr="008900C8">
        <w:rPr>
          <w:rFonts w:ascii="Bookman Old Style" w:hAnsi="Bookman Old Style"/>
          <w:sz w:val="28"/>
          <w:szCs w:val="28"/>
        </w:rPr>
        <w:t>consequently</w:t>
      </w:r>
      <w:r w:rsidR="00861008" w:rsidRPr="008900C8">
        <w:rPr>
          <w:rFonts w:ascii="Bookman Old Style" w:hAnsi="Bookman Old Style"/>
          <w:sz w:val="28"/>
          <w:szCs w:val="28"/>
        </w:rPr>
        <w:t xml:space="preserve"> </w:t>
      </w:r>
      <w:r w:rsidR="00257FEA" w:rsidRPr="008900C8">
        <w:rPr>
          <w:rFonts w:ascii="Bookman Old Style" w:hAnsi="Bookman Old Style"/>
          <w:sz w:val="28"/>
          <w:szCs w:val="28"/>
        </w:rPr>
        <w:t>focus</w:t>
      </w:r>
      <w:r w:rsidR="00AC0BB6" w:rsidRPr="008900C8">
        <w:rPr>
          <w:rFonts w:ascii="Bookman Old Style" w:hAnsi="Bookman Old Style"/>
          <w:sz w:val="28"/>
          <w:szCs w:val="28"/>
        </w:rPr>
        <w:t>sed</w:t>
      </w:r>
      <w:r w:rsidR="00257FEA" w:rsidRPr="008900C8">
        <w:rPr>
          <w:rFonts w:ascii="Bookman Old Style" w:hAnsi="Bookman Old Style"/>
          <w:sz w:val="28"/>
          <w:szCs w:val="28"/>
        </w:rPr>
        <w:t xml:space="preserve"> on the appellant. The appellant</w:t>
      </w:r>
      <w:r w:rsidR="00526C4F" w:rsidRPr="008900C8">
        <w:rPr>
          <w:rFonts w:ascii="Bookman Old Style" w:hAnsi="Bookman Old Style"/>
          <w:sz w:val="28"/>
          <w:szCs w:val="28"/>
        </w:rPr>
        <w:t xml:space="preserve"> </w:t>
      </w:r>
      <w:r w:rsidR="001C14B1" w:rsidRPr="008900C8">
        <w:rPr>
          <w:rFonts w:ascii="Bookman Old Style" w:hAnsi="Bookman Old Style"/>
          <w:sz w:val="28"/>
          <w:szCs w:val="28"/>
        </w:rPr>
        <w:t xml:space="preserve">is </w:t>
      </w:r>
      <w:r w:rsidR="00861008" w:rsidRPr="008900C8">
        <w:rPr>
          <w:rFonts w:ascii="Bookman Old Style" w:hAnsi="Bookman Old Style"/>
          <w:sz w:val="28"/>
          <w:szCs w:val="28"/>
        </w:rPr>
        <w:t xml:space="preserve">aggrieved by the decision of the </w:t>
      </w:r>
      <w:r w:rsidR="001C14B1" w:rsidRPr="008900C8">
        <w:rPr>
          <w:rFonts w:ascii="Bookman Old Style" w:hAnsi="Bookman Old Style"/>
          <w:sz w:val="28"/>
          <w:szCs w:val="28"/>
        </w:rPr>
        <w:t xml:space="preserve">High </w:t>
      </w:r>
      <w:r w:rsidR="007B370A" w:rsidRPr="008900C8">
        <w:rPr>
          <w:rFonts w:ascii="Bookman Old Style" w:hAnsi="Bookman Old Style"/>
          <w:sz w:val="28"/>
          <w:szCs w:val="28"/>
        </w:rPr>
        <w:t>C</w:t>
      </w:r>
      <w:r w:rsidR="00861008" w:rsidRPr="008900C8">
        <w:rPr>
          <w:rFonts w:ascii="Bookman Old Style" w:hAnsi="Bookman Old Style"/>
          <w:sz w:val="28"/>
          <w:szCs w:val="28"/>
        </w:rPr>
        <w:t xml:space="preserve">ourt and </w:t>
      </w:r>
      <w:r w:rsidR="00526C4F" w:rsidRPr="008900C8">
        <w:rPr>
          <w:rFonts w:ascii="Bookman Old Style" w:hAnsi="Bookman Old Style"/>
          <w:sz w:val="28"/>
          <w:szCs w:val="28"/>
        </w:rPr>
        <w:t>against both conviction and sentence</w:t>
      </w:r>
      <w:r w:rsidR="00257FEA" w:rsidRPr="008900C8">
        <w:rPr>
          <w:rFonts w:ascii="Bookman Old Style" w:hAnsi="Bookman Old Style"/>
          <w:sz w:val="28"/>
          <w:szCs w:val="28"/>
        </w:rPr>
        <w:t>.</w:t>
      </w:r>
      <w:r w:rsidR="00526C4F" w:rsidRPr="008900C8">
        <w:rPr>
          <w:rFonts w:ascii="Bookman Old Style" w:hAnsi="Bookman Old Style"/>
          <w:sz w:val="28"/>
          <w:szCs w:val="28"/>
        </w:rPr>
        <w:t xml:space="preserve"> </w:t>
      </w:r>
    </w:p>
    <w:p w14:paraId="33334873" w14:textId="77777777" w:rsidR="0016360C" w:rsidRPr="004669AB" w:rsidRDefault="0016360C" w:rsidP="00B20E47">
      <w:pPr>
        <w:pStyle w:val="ListParagraph"/>
        <w:spacing w:line="360" w:lineRule="auto"/>
        <w:ind w:hanging="720"/>
        <w:jc w:val="both"/>
        <w:rPr>
          <w:rFonts w:ascii="Bookman Old Style" w:hAnsi="Bookman Old Style"/>
          <w:sz w:val="24"/>
          <w:szCs w:val="24"/>
        </w:rPr>
      </w:pPr>
    </w:p>
    <w:p w14:paraId="32DDAACF" w14:textId="34EF1BAE" w:rsidR="0016360C" w:rsidRPr="0016360C" w:rsidRDefault="0016360C" w:rsidP="00B20E47">
      <w:pPr>
        <w:pStyle w:val="ListParagraph"/>
        <w:spacing w:line="360" w:lineRule="auto"/>
        <w:ind w:hanging="720"/>
        <w:jc w:val="both"/>
        <w:rPr>
          <w:rFonts w:ascii="Bookman Old Style" w:hAnsi="Bookman Old Style"/>
          <w:b/>
          <w:bCs/>
          <w:sz w:val="24"/>
          <w:szCs w:val="24"/>
        </w:rPr>
      </w:pPr>
      <w:r w:rsidRPr="0016360C">
        <w:rPr>
          <w:rFonts w:ascii="Bookman Old Style" w:hAnsi="Bookman Old Style"/>
          <w:b/>
          <w:bCs/>
          <w:sz w:val="24"/>
          <w:szCs w:val="24"/>
        </w:rPr>
        <w:t>Brief facts of case</w:t>
      </w:r>
    </w:p>
    <w:p w14:paraId="4A24A6AA" w14:textId="137E43E2" w:rsidR="0016360C" w:rsidRPr="008900C8" w:rsidRDefault="00DA1F0A" w:rsidP="00DA1F0A">
      <w:pPr>
        <w:spacing w:line="360" w:lineRule="auto"/>
        <w:jc w:val="both"/>
        <w:rPr>
          <w:rFonts w:ascii="Bookman Old Style" w:hAnsi="Bookman Old Style"/>
          <w:sz w:val="28"/>
          <w:szCs w:val="28"/>
        </w:rPr>
      </w:pPr>
      <w:r w:rsidRPr="008900C8">
        <w:rPr>
          <w:rFonts w:ascii="Bookman Old Style" w:hAnsi="Bookman Old Style"/>
          <w:sz w:val="28"/>
          <w:szCs w:val="28"/>
        </w:rPr>
        <w:t>[2]</w:t>
      </w:r>
      <w:r w:rsidRPr="008900C8">
        <w:rPr>
          <w:rFonts w:ascii="Bookman Old Style" w:hAnsi="Bookman Old Style"/>
          <w:sz w:val="28"/>
          <w:szCs w:val="28"/>
        </w:rPr>
        <w:tab/>
      </w:r>
      <w:r w:rsidR="00982231" w:rsidRPr="008900C8">
        <w:rPr>
          <w:rFonts w:ascii="Bookman Old Style" w:hAnsi="Bookman Old Style"/>
          <w:sz w:val="28"/>
          <w:szCs w:val="28"/>
        </w:rPr>
        <w:t xml:space="preserve">It is common cause that after 12.00 midnight </w:t>
      </w:r>
      <w:r w:rsidR="0016360C" w:rsidRPr="008900C8">
        <w:rPr>
          <w:rFonts w:ascii="Bookman Old Style" w:hAnsi="Bookman Old Style"/>
          <w:sz w:val="28"/>
          <w:szCs w:val="28"/>
        </w:rPr>
        <w:t xml:space="preserve">or in the early hours </w:t>
      </w:r>
      <w:r w:rsidR="00982231" w:rsidRPr="008900C8">
        <w:rPr>
          <w:rFonts w:ascii="Bookman Old Style" w:hAnsi="Bookman Old Style"/>
          <w:sz w:val="28"/>
          <w:szCs w:val="28"/>
        </w:rPr>
        <w:t>o</w:t>
      </w:r>
      <w:r w:rsidR="0016360C" w:rsidRPr="008900C8">
        <w:rPr>
          <w:rFonts w:ascii="Bookman Old Style" w:hAnsi="Bookman Old Style"/>
          <w:sz w:val="28"/>
          <w:szCs w:val="28"/>
        </w:rPr>
        <w:t>f</w:t>
      </w:r>
      <w:r w:rsidR="00982231" w:rsidRPr="008900C8">
        <w:rPr>
          <w:rFonts w:ascii="Bookman Old Style" w:hAnsi="Bookman Old Style"/>
          <w:sz w:val="28"/>
          <w:szCs w:val="28"/>
        </w:rPr>
        <w:t xml:space="preserve"> 22 November 2008</w:t>
      </w:r>
      <w:r w:rsidR="0016360C" w:rsidRPr="008900C8">
        <w:rPr>
          <w:rFonts w:ascii="Bookman Old Style" w:hAnsi="Bookman Old Style"/>
          <w:sz w:val="28"/>
          <w:szCs w:val="28"/>
        </w:rPr>
        <w:t>,</w:t>
      </w:r>
      <w:r w:rsidR="00982231" w:rsidRPr="008900C8">
        <w:rPr>
          <w:rFonts w:ascii="Bookman Old Style" w:hAnsi="Bookman Old Style"/>
          <w:sz w:val="28"/>
          <w:szCs w:val="28"/>
        </w:rPr>
        <w:t xml:space="preserve"> </w:t>
      </w:r>
      <w:r w:rsidR="00AC0BB6" w:rsidRPr="008900C8">
        <w:rPr>
          <w:rFonts w:ascii="Bookman Old Style" w:hAnsi="Bookman Old Style"/>
          <w:sz w:val="28"/>
          <w:szCs w:val="28"/>
        </w:rPr>
        <w:t>a</w:t>
      </w:r>
      <w:r w:rsidR="00982231" w:rsidRPr="008900C8">
        <w:rPr>
          <w:rFonts w:ascii="Bookman Old Style" w:hAnsi="Bookman Old Style"/>
          <w:sz w:val="28"/>
          <w:szCs w:val="28"/>
        </w:rPr>
        <w:t xml:space="preserve">ccused 2, armed with the appellant’s </w:t>
      </w:r>
      <w:r w:rsidR="00AC0BB6" w:rsidRPr="008900C8">
        <w:rPr>
          <w:rFonts w:ascii="Bookman Old Style" w:hAnsi="Bookman Old Style"/>
          <w:sz w:val="28"/>
          <w:szCs w:val="28"/>
        </w:rPr>
        <w:t xml:space="preserve">service </w:t>
      </w:r>
      <w:r w:rsidR="00982231" w:rsidRPr="008900C8">
        <w:rPr>
          <w:rFonts w:ascii="Bookman Old Style" w:hAnsi="Bookman Old Style"/>
          <w:sz w:val="28"/>
          <w:szCs w:val="28"/>
        </w:rPr>
        <w:t xml:space="preserve">pistol shot and killed appellant’s wife </w:t>
      </w:r>
      <w:r w:rsidR="0016360C" w:rsidRPr="008900C8">
        <w:rPr>
          <w:rFonts w:ascii="Bookman Old Style" w:hAnsi="Bookman Old Style"/>
          <w:sz w:val="28"/>
          <w:szCs w:val="28"/>
        </w:rPr>
        <w:t>‘</w:t>
      </w:r>
      <w:proofErr w:type="spellStart"/>
      <w:r w:rsidR="0016360C" w:rsidRPr="008900C8">
        <w:rPr>
          <w:rFonts w:ascii="Bookman Old Style" w:hAnsi="Bookman Old Style"/>
          <w:sz w:val="28"/>
          <w:szCs w:val="28"/>
        </w:rPr>
        <w:t>Mantai</w:t>
      </w:r>
      <w:proofErr w:type="spellEnd"/>
      <w:r w:rsidR="0016360C" w:rsidRPr="008900C8">
        <w:rPr>
          <w:rFonts w:ascii="Bookman Old Style" w:hAnsi="Bookman Old Style"/>
          <w:sz w:val="28"/>
          <w:szCs w:val="28"/>
        </w:rPr>
        <w:t xml:space="preserve"> </w:t>
      </w:r>
      <w:r w:rsidR="00982231" w:rsidRPr="008900C8">
        <w:rPr>
          <w:rFonts w:ascii="Bookman Old Style" w:hAnsi="Bookman Old Style"/>
          <w:sz w:val="28"/>
          <w:szCs w:val="28"/>
        </w:rPr>
        <w:t xml:space="preserve">at </w:t>
      </w:r>
      <w:r w:rsidR="0016360C" w:rsidRPr="008900C8">
        <w:rPr>
          <w:rFonts w:ascii="Bookman Old Style" w:hAnsi="Bookman Old Style"/>
          <w:sz w:val="28"/>
          <w:szCs w:val="28"/>
        </w:rPr>
        <w:t xml:space="preserve">the appellant’s matrimonial home at </w:t>
      </w:r>
      <w:proofErr w:type="spellStart"/>
      <w:r w:rsidR="00982231" w:rsidRPr="008900C8">
        <w:rPr>
          <w:rFonts w:ascii="Bookman Old Style" w:hAnsi="Bookman Old Style"/>
          <w:sz w:val="28"/>
          <w:szCs w:val="28"/>
        </w:rPr>
        <w:t>Mazenod</w:t>
      </w:r>
      <w:proofErr w:type="spellEnd"/>
      <w:r w:rsidR="00982231" w:rsidRPr="008900C8">
        <w:rPr>
          <w:rFonts w:ascii="Bookman Old Style" w:hAnsi="Bookman Old Style"/>
          <w:sz w:val="28"/>
          <w:szCs w:val="28"/>
        </w:rPr>
        <w:t xml:space="preserve"> in Maseru. </w:t>
      </w:r>
      <w:r w:rsidR="00AC0BB6" w:rsidRPr="008900C8">
        <w:rPr>
          <w:rFonts w:ascii="Bookman Old Style" w:hAnsi="Bookman Old Style"/>
          <w:sz w:val="28"/>
          <w:szCs w:val="28"/>
        </w:rPr>
        <w:t>Appellant’</w:t>
      </w:r>
      <w:r w:rsidR="00982231" w:rsidRPr="008900C8">
        <w:rPr>
          <w:rFonts w:ascii="Bookman Old Style" w:hAnsi="Bookman Old Style"/>
          <w:sz w:val="28"/>
          <w:szCs w:val="28"/>
        </w:rPr>
        <w:t>s wife and young children reside</w:t>
      </w:r>
      <w:r w:rsidR="0016360C" w:rsidRPr="008900C8">
        <w:rPr>
          <w:rFonts w:ascii="Bookman Old Style" w:hAnsi="Bookman Old Style"/>
          <w:sz w:val="28"/>
          <w:szCs w:val="28"/>
        </w:rPr>
        <w:t xml:space="preserve"> there while he, as a police officer based at Mafeteng</w:t>
      </w:r>
      <w:r w:rsidR="00AC0BB6" w:rsidRPr="008900C8">
        <w:rPr>
          <w:rFonts w:ascii="Bookman Old Style" w:hAnsi="Bookman Old Style"/>
          <w:sz w:val="28"/>
          <w:szCs w:val="28"/>
        </w:rPr>
        <w:t>,</w:t>
      </w:r>
      <w:r w:rsidR="0016360C" w:rsidRPr="008900C8">
        <w:rPr>
          <w:rFonts w:ascii="Bookman Old Style" w:hAnsi="Bookman Old Style"/>
          <w:sz w:val="28"/>
          <w:szCs w:val="28"/>
        </w:rPr>
        <w:t xml:space="preserve"> </w:t>
      </w:r>
      <w:r w:rsidR="00AC0BB6" w:rsidRPr="008900C8">
        <w:rPr>
          <w:rFonts w:ascii="Bookman Old Style" w:hAnsi="Bookman Old Style"/>
          <w:sz w:val="28"/>
          <w:szCs w:val="28"/>
        </w:rPr>
        <w:t>resid</w:t>
      </w:r>
      <w:r w:rsidR="0016360C" w:rsidRPr="008900C8">
        <w:rPr>
          <w:rFonts w:ascii="Bookman Old Style" w:hAnsi="Bookman Old Style"/>
          <w:sz w:val="28"/>
          <w:szCs w:val="28"/>
        </w:rPr>
        <w:t xml:space="preserve">ed in government accommodation at the workplace but maintained the home at </w:t>
      </w:r>
      <w:proofErr w:type="spellStart"/>
      <w:r w:rsidR="0016360C" w:rsidRPr="008900C8">
        <w:rPr>
          <w:rFonts w:ascii="Bookman Old Style" w:hAnsi="Bookman Old Style"/>
          <w:sz w:val="28"/>
          <w:szCs w:val="28"/>
        </w:rPr>
        <w:t>Mazenod</w:t>
      </w:r>
      <w:proofErr w:type="spellEnd"/>
      <w:r w:rsidR="00982231" w:rsidRPr="008900C8">
        <w:rPr>
          <w:rFonts w:ascii="Bookman Old Style" w:hAnsi="Bookman Old Style"/>
          <w:sz w:val="28"/>
          <w:szCs w:val="28"/>
        </w:rPr>
        <w:t xml:space="preserve">. Accused 2 had travelled from Mafeteng to </w:t>
      </w:r>
      <w:proofErr w:type="spellStart"/>
      <w:r w:rsidR="00982231" w:rsidRPr="008900C8">
        <w:rPr>
          <w:rFonts w:ascii="Bookman Old Style" w:hAnsi="Bookman Old Style"/>
          <w:sz w:val="28"/>
          <w:szCs w:val="28"/>
        </w:rPr>
        <w:t>Mazenod</w:t>
      </w:r>
      <w:proofErr w:type="spellEnd"/>
      <w:r w:rsidR="00982231" w:rsidRPr="008900C8">
        <w:rPr>
          <w:rFonts w:ascii="Bookman Old Style" w:hAnsi="Bookman Old Style"/>
          <w:sz w:val="28"/>
          <w:szCs w:val="28"/>
        </w:rPr>
        <w:t xml:space="preserve"> in the evening of 21 November </w:t>
      </w:r>
      <w:r w:rsidR="00982231" w:rsidRPr="008900C8">
        <w:rPr>
          <w:rFonts w:ascii="Bookman Old Style" w:hAnsi="Bookman Old Style"/>
          <w:sz w:val="28"/>
          <w:szCs w:val="28"/>
        </w:rPr>
        <w:lastRenderedPageBreak/>
        <w:t>20</w:t>
      </w:r>
      <w:r w:rsidR="0016360C" w:rsidRPr="008900C8">
        <w:rPr>
          <w:rFonts w:ascii="Bookman Old Style" w:hAnsi="Bookman Old Style"/>
          <w:sz w:val="28"/>
          <w:szCs w:val="28"/>
        </w:rPr>
        <w:t>0</w:t>
      </w:r>
      <w:r w:rsidR="00982231" w:rsidRPr="008900C8">
        <w:rPr>
          <w:rFonts w:ascii="Bookman Old Style" w:hAnsi="Bookman Old Style"/>
          <w:sz w:val="28"/>
          <w:szCs w:val="28"/>
        </w:rPr>
        <w:t>8</w:t>
      </w:r>
      <w:r w:rsidR="0016360C" w:rsidRPr="008900C8">
        <w:rPr>
          <w:rFonts w:ascii="Bookman Old Style" w:hAnsi="Bookman Old Style"/>
          <w:sz w:val="28"/>
          <w:szCs w:val="28"/>
        </w:rPr>
        <w:t xml:space="preserve"> with the sole purpose of committing the offence</w:t>
      </w:r>
      <w:r w:rsidR="00AC0BB6" w:rsidRPr="008900C8">
        <w:rPr>
          <w:rFonts w:ascii="Bookman Old Style" w:hAnsi="Bookman Old Style"/>
          <w:sz w:val="28"/>
          <w:szCs w:val="28"/>
        </w:rPr>
        <w:t xml:space="preserve"> of which he was convicted</w:t>
      </w:r>
      <w:r w:rsidR="00982231" w:rsidRPr="008900C8">
        <w:rPr>
          <w:rFonts w:ascii="Bookman Old Style" w:hAnsi="Bookman Old Style"/>
          <w:sz w:val="28"/>
          <w:szCs w:val="28"/>
        </w:rPr>
        <w:t>.</w:t>
      </w:r>
    </w:p>
    <w:p w14:paraId="4914EC7A" w14:textId="77777777" w:rsidR="0016360C" w:rsidRDefault="0016360C" w:rsidP="0016360C">
      <w:pPr>
        <w:pStyle w:val="ListParagraph"/>
        <w:jc w:val="both"/>
        <w:rPr>
          <w:rFonts w:ascii="Bookman Old Style" w:hAnsi="Bookman Old Style"/>
          <w:sz w:val="24"/>
          <w:szCs w:val="24"/>
        </w:rPr>
      </w:pPr>
    </w:p>
    <w:p w14:paraId="3D9A75CD" w14:textId="2566D495" w:rsidR="0016360C"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[3]</w:t>
      </w:r>
      <w:r w:rsidRPr="00DA1F0A">
        <w:rPr>
          <w:rFonts w:ascii="Bookman Old Style" w:hAnsi="Bookman Old Style"/>
          <w:sz w:val="28"/>
          <w:szCs w:val="28"/>
        </w:rPr>
        <w:tab/>
      </w:r>
      <w:r w:rsidR="00BE270B" w:rsidRPr="00DA1F0A">
        <w:rPr>
          <w:rFonts w:ascii="Bookman Old Style" w:hAnsi="Bookman Old Style"/>
          <w:sz w:val="28"/>
          <w:szCs w:val="28"/>
        </w:rPr>
        <w:t>The evidence indicates that the appellant had an altercation with his wife over a motor vehicle that they had recently purchased. The altercation resulted in the wife boiling some oil and scalding the appellant with it</w:t>
      </w:r>
      <w:r w:rsidR="00AC0BB6" w:rsidRPr="00DA1F0A">
        <w:rPr>
          <w:rFonts w:ascii="Bookman Old Style" w:hAnsi="Bookman Old Style"/>
          <w:sz w:val="28"/>
          <w:szCs w:val="28"/>
        </w:rPr>
        <w:t>,</w:t>
      </w:r>
      <w:r w:rsidR="00BE270B" w:rsidRPr="00DA1F0A">
        <w:rPr>
          <w:rFonts w:ascii="Bookman Old Style" w:hAnsi="Bookman Old Style"/>
          <w:sz w:val="28"/>
          <w:szCs w:val="28"/>
        </w:rPr>
        <w:t xml:space="preserve"> thereby causing </w:t>
      </w:r>
      <w:r w:rsidR="0016360C" w:rsidRPr="00DA1F0A">
        <w:rPr>
          <w:rFonts w:ascii="Bookman Old Style" w:hAnsi="Bookman Old Style"/>
          <w:sz w:val="28"/>
          <w:szCs w:val="28"/>
        </w:rPr>
        <w:t xml:space="preserve">him </w:t>
      </w:r>
      <w:r w:rsidR="00BE270B" w:rsidRPr="00DA1F0A">
        <w:rPr>
          <w:rFonts w:ascii="Bookman Old Style" w:hAnsi="Bookman Old Style"/>
          <w:sz w:val="28"/>
          <w:szCs w:val="28"/>
        </w:rPr>
        <w:t xml:space="preserve">serious burns on the face and hands. </w:t>
      </w:r>
    </w:p>
    <w:p w14:paraId="69A5FB8F" w14:textId="77777777" w:rsidR="0016360C" w:rsidRPr="0016360C" w:rsidRDefault="0016360C" w:rsidP="0016360C">
      <w:pPr>
        <w:pStyle w:val="ListParagraph"/>
        <w:rPr>
          <w:rFonts w:ascii="Bookman Old Style" w:hAnsi="Bookman Old Style"/>
          <w:sz w:val="24"/>
          <w:szCs w:val="24"/>
        </w:rPr>
      </w:pPr>
    </w:p>
    <w:p w14:paraId="4780D3D0" w14:textId="0DA86CF7" w:rsidR="00833FD8"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[4]</w:t>
      </w:r>
      <w:r w:rsidRPr="00DA1F0A">
        <w:rPr>
          <w:rFonts w:ascii="Bookman Old Style" w:hAnsi="Bookman Old Style"/>
          <w:sz w:val="28"/>
          <w:szCs w:val="28"/>
        </w:rPr>
        <w:tab/>
      </w:r>
      <w:r w:rsidR="00BE270B" w:rsidRPr="00DA1F0A">
        <w:rPr>
          <w:rFonts w:ascii="Bookman Old Style" w:hAnsi="Bookman Old Style"/>
          <w:sz w:val="28"/>
          <w:szCs w:val="28"/>
        </w:rPr>
        <w:t xml:space="preserve">The appellant, </w:t>
      </w:r>
      <w:r w:rsidR="00AC0BB6" w:rsidRPr="00DA1F0A">
        <w:rPr>
          <w:rFonts w:ascii="Bookman Old Style" w:hAnsi="Bookman Old Style"/>
          <w:sz w:val="28"/>
          <w:szCs w:val="28"/>
        </w:rPr>
        <w:t>a</w:t>
      </w:r>
      <w:r w:rsidR="00BE270B" w:rsidRPr="00DA1F0A">
        <w:rPr>
          <w:rFonts w:ascii="Bookman Old Style" w:hAnsi="Bookman Old Style"/>
          <w:sz w:val="28"/>
          <w:szCs w:val="28"/>
        </w:rPr>
        <w:t xml:space="preserve">ccused 2 and several of appellants’ friends were very distressed </w:t>
      </w:r>
      <w:r w:rsidR="0016360C" w:rsidRPr="00DA1F0A">
        <w:rPr>
          <w:rFonts w:ascii="Bookman Old Style" w:hAnsi="Bookman Old Style"/>
          <w:sz w:val="28"/>
          <w:szCs w:val="28"/>
        </w:rPr>
        <w:t xml:space="preserve">and angry </w:t>
      </w:r>
      <w:r w:rsidR="00BE270B" w:rsidRPr="00DA1F0A">
        <w:rPr>
          <w:rFonts w:ascii="Bookman Old Style" w:hAnsi="Bookman Old Style"/>
          <w:sz w:val="28"/>
          <w:szCs w:val="28"/>
        </w:rPr>
        <w:t xml:space="preserve">about </w:t>
      </w:r>
      <w:r w:rsidR="0016360C" w:rsidRPr="00DA1F0A">
        <w:rPr>
          <w:rFonts w:ascii="Bookman Old Style" w:hAnsi="Bookman Old Style"/>
          <w:sz w:val="28"/>
          <w:szCs w:val="28"/>
        </w:rPr>
        <w:t>what ‘</w:t>
      </w:r>
      <w:proofErr w:type="spellStart"/>
      <w:r w:rsidR="0016360C" w:rsidRPr="00DA1F0A">
        <w:rPr>
          <w:rFonts w:ascii="Bookman Old Style" w:hAnsi="Bookman Old Style"/>
          <w:sz w:val="28"/>
          <w:szCs w:val="28"/>
        </w:rPr>
        <w:t>Mantai</w:t>
      </w:r>
      <w:proofErr w:type="spellEnd"/>
      <w:r w:rsidR="001C14B1" w:rsidRPr="00DA1F0A">
        <w:rPr>
          <w:rFonts w:ascii="Bookman Old Style" w:hAnsi="Bookman Old Style"/>
          <w:sz w:val="28"/>
          <w:szCs w:val="28"/>
        </w:rPr>
        <w:t>’</w:t>
      </w:r>
      <w:r w:rsidR="0016360C" w:rsidRPr="00DA1F0A">
        <w:rPr>
          <w:rFonts w:ascii="Bookman Old Style" w:hAnsi="Bookman Old Style"/>
          <w:sz w:val="28"/>
          <w:szCs w:val="28"/>
        </w:rPr>
        <w:t xml:space="preserve"> had done to the appellant.</w:t>
      </w:r>
      <w:r w:rsidR="00BE270B" w:rsidRPr="00DA1F0A">
        <w:rPr>
          <w:rFonts w:ascii="Bookman Old Style" w:hAnsi="Bookman Old Style"/>
          <w:sz w:val="28"/>
          <w:szCs w:val="28"/>
        </w:rPr>
        <w:t xml:space="preserve"> </w:t>
      </w:r>
      <w:r w:rsidR="0016360C" w:rsidRPr="00DA1F0A">
        <w:rPr>
          <w:rFonts w:ascii="Bookman Old Style" w:hAnsi="Bookman Old Style"/>
          <w:sz w:val="28"/>
          <w:szCs w:val="28"/>
        </w:rPr>
        <w:t>They</w:t>
      </w:r>
      <w:r w:rsidR="00BE270B" w:rsidRPr="00DA1F0A">
        <w:rPr>
          <w:rFonts w:ascii="Bookman Old Style" w:hAnsi="Bookman Old Style"/>
          <w:sz w:val="28"/>
          <w:szCs w:val="28"/>
        </w:rPr>
        <w:t xml:space="preserve"> talked about what appropriate reaction the appellant could take</w:t>
      </w:r>
      <w:r w:rsidR="0031175D" w:rsidRPr="00DA1F0A">
        <w:rPr>
          <w:rFonts w:ascii="Bookman Old Style" w:hAnsi="Bookman Old Style"/>
          <w:sz w:val="28"/>
          <w:szCs w:val="28"/>
        </w:rPr>
        <w:t>, including some revenge action</w:t>
      </w:r>
      <w:r w:rsidR="00BE270B" w:rsidRPr="00DA1F0A">
        <w:rPr>
          <w:rFonts w:ascii="Bookman Old Style" w:hAnsi="Bookman Old Style"/>
          <w:sz w:val="28"/>
          <w:szCs w:val="28"/>
        </w:rPr>
        <w:t xml:space="preserve">. His best friend also a police officer at Mafeteng, </w:t>
      </w:r>
      <w:r w:rsidR="0031175D" w:rsidRPr="00DA1F0A">
        <w:rPr>
          <w:rFonts w:ascii="Bookman Old Style" w:hAnsi="Bookman Old Style"/>
          <w:sz w:val="28"/>
          <w:szCs w:val="28"/>
        </w:rPr>
        <w:t xml:space="preserve">one </w:t>
      </w:r>
      <w:proofErr w:type="spellStart"/>
      <w:r w:rsidR="0031175D" w:rsidRPr="00DA1F0A">
        <w:rPr>
          <w:rFonts w:ascii="Bookman Old Style" w:hAnsi="Bookman Old Style"/>
          <w:sz w:val="28"/>
          <w:szCs w:val="28"/>
        </w:rPr>
        <w:t>Mokotjo</w:t>
      </w:r>
      <w:proofErr w:type="spellEnd"/>
      <w:r w:rsidR="0031175D" w:rsidRPr="00DA1F0A">
        <w:rPr>
          <w:rFonts w:ascii="Bookman Old Style" w:hAnsi="Bookman Old Style"/>
          <w:sz w:val="28"/>
          <w:szCs w:val="28"/>
        </w:rPr>
        <w:t xml:space="preserve">, </w:t>
      </w:r>
      <w:r w:rsidR="00BE270B" w:rsidRPr="00DA1F0A">
        <w:rPr>
          <w:rFonts w:ascii="Bookman Old Style" w:hAnsi="Bookman Old Style"/>
          <w:sz w:val="28"/>
          <w:szCs w:val="28"/>
        </w:rPr>
        <w:t xml:space="preserve">who testified </w:t>
      </w:r>
      <w:r w:rsidR="0031175D" w:rsidRPr="00DA1F0A">
        <w:rPr>
          <w:rFonts w:ascii="Bookman Old Style" w:hAnsi="Bookman Old Style"/>
          <w:sz w:val="28"/>
          <w:szCs w:val="28"/>
        </w:rPr>
        <w:t xml:space="preserve">at the trial </w:t>
      </w:r>
      <w:r w:rsidR="00BE270B" w:rsidRPr="00DA1F0A">
        <w:rPr>
          <w:rFonts w:ascii="Bookman Old Style" w:hAnsi="Bookman Old Style"/>
          <w:sz w:val="28"/>
          <w:szCs w:val="28"/>
        </w:rPr>
        <w:t>as PW1</w:t>
      </w:r>
      <w:r w:rsidR="0031175D" w:rsidRPr="00DA1F0A">
        <w:rPr>
          <w:rFonts w:ascii="Bookman Old Style" w:hAnsi="Bookman Old Style"/>
          <w:sz w:val="28"/>
          <w:szCs w:val="28"/>
        </w:rPr>
        <w:t xml:space="preserve"> and </w:t>
      </w:r>
      <w:r w:rsidR="00AC0BB6" w:rsidRPr="00DA1F0A">
        <w:rPr>
          <w:rFonts w:ascii="Bookman Old Style" w:hAnsi="Bookman Old Style"/>
          <w:sz w:val="28"/>
          <w:szCs w:val="28"/>
        </w:rPr>
        <w:t>a</w:t>
      </w:r>
      <w:r w:rsidR="0031175D" w:rsidRPr="00DA1F0A">
        <w:rPr>
          <w:rFonts w:ascii="Bookman Old Style" w:hAnsi="Bookman Old Style"/>
          <w:sz w:val="28"/>
          <w:szCs w:val="28"/>
        </w:rPr>
        <w:t xml:space="preserve">ccused 2 </w:t>
      </w:r>
      <w:r w:rsidR="00BE270B" w:rsidRPr="00DA1F0A">
        <w:rPr>
          <w:rFonts w:ascii="Bookman Old Style" w:hAnsi="Bookman Old Style"/>
          <w:sz w:val="28"/>
          <w:szCs w:val="28"/>
        </w:rPr>
        <w:t xml:space="preserve">became </w:t>
      </w:r>
      <w:r w:rsidR="0031175D" w:rsidRPr="00DA1F0A">
        <w:rPr>
          <w:rFonts w:ascii="Bookman Old Style" w:hAnsi="Bookman Old Style"/>
          <w:sz w:val="28"/>
          <w:szCs w:val="28"/>
        </w:rPr>
        <w:t xml:space="preserve">much </w:t>
      </w:r>
      <w:r w:rsidR="00BE270B" w:rsidRPr="00DA1F0A">
        <w:rPr>
          <w:rFonts w:ascii="Bookman Old Style" w:hAnsi="Bookman Old Style"/>
          <w:sz w:val="28"/>
          <w:szCs w:val="28"/>
        </w:rPr>
        <w:t>more involved</w:t>
      </w:r>
      <w:r w:rsidR="0031175D" w:rsidRPr="00DA1F0A">
        <w:rPr>
          <w:rFonts w:ascii="Bookman Old Style" w:hAnsi="Bookman Old Style"/>
          <w:sz w:val="28"/>
          <w:szCs w:val="28"/>
        </w:rPr>
        <w:t xml:space="preserve"> in what </w:t>
      </w:r>
      <w:r w:rsidR="00AC0BB6" w:rsidRPr="00DA1F0A">
        <w:rPr>
          <w:rFonts w:ascii="Bookman Old Style" w:hAnsi="Bookman Old Style"/>
          <w:sz w:val="28"/>
          <w:szCs w:val="28"/>
        </w:rPr>
        <w:t xml:space="preserve">later happened resulting in the death of </w:t>
      </w:r>
      <w:proofErr w:type="spellStart"/>
      <w:r w:rsidR="00AC0BB6" w:rsidRPr="00DA1F0A">
        <w:rPr>
          <w:rFonts w:ascii="Bookman Old Style" w:hAnsi="Bookman Old Style"/>
          <w:sz w:val="28"/>
          <w:szCs w:val="28"/>
        </w:rPr>
        <w:t>Mantai</w:t>
      </w:r>
      <w:proofErr w:type="spellEnd"/>
      <w:r w:rsidR="0031175D" w:rsidRPr="00DA1F0A">
        <w:rPr>
          <w:rFonts w:ascii="Bookman Old Style" w:hAnsi="Bookman Old Style"/>
          <w:sz w:val="28"/>
          <w:szCs w:val="28"/>
        </w:rPr>
        <w:t xml:space="preserve">. </w:t>
      </w:r>
      <w:r w:rsidR="0016360C" w:rsidRPr="00DA1F0A">
        <w:rPr>
          <w:rFonts w:ascii="Bookman Old Style" w:hAnsi="Bookman Old Style"/>
          <w:sz w:val="28"/>
          <w:szCs w:val="28"/>
        </w:rPr>
        <w:t>On his part</w:t>
      </w:r>
      <w:r w:rsidR="00AC0BB6" w:rsidRPr="00DA1F0A">
        <w:rPr>
          <w:rFonts w:ascii="Bookman Old Style" w:hAnsi="Bookman Old Style"/>
          <w:sz w:val="28"/>
          <w:szCs w:val="28"/>
        </w:rPr>
        <w:t>,</w:t>
      </w:r>
      <w:r w:rsidR="0016360C" w:rsidRPr="00DA1F0A">
        <w:rPr>
          <w:rFonts w:ascii="Bookman Old Style" w:hAnsi="Bookman Old Style"/>
          <w:sz w:val="28"/>
          <w:szCs w:val="28"/>
        </w:rPr>
        <w:t xml:space="preserve"> t</w:t>
      </w:r>
      <w:r w:rsidR="0031175D" w:rsidRPr="00DA1F0A">
        <w:rPr>
          <w:rFonts w:ascii="Bookman Old Style" w:hAnsi="Bookman Old Style"/>
          <w:sz w:val="28"/>
          <w:szCs w:val="28"/>
        </w:rPr>
        <w:t>he appellant consulted a lawyer and instructed him to file for divorce. H</w:t>
      </w:r>
      <w:r w:rsidR="0016360C" w:rsidRPr="00DA1F0A">
        <w:rPr>
          <w:rFonts w:ascii="Bookman Old Style" w:hAnsi="Bookman Old Style"/>
          <w:sz w:val="28"/>
          <w:szCs w:val="28"/>
        </w:rPr>
        <w:t>owever, h</w:t>
      </w:r>
      <w:r w:rsidR="0031175D" w:rsidRPr="00DA1F0A">
        <w:rPr>
          <w:rFonts w:ascii="Bookman Old Style" w:hAnsi="Bookman Old Style"/>
          <w:sz w:val="28"/>
          <w:szCs w:val="28"/>
        </w:rPr>
        <w:t xml:space="preserve">e, </w:t>
      </w:r>
      <w:r w:rsidR="00AC0BB6" w:rsidRPr="00DA1F0A">
        <w:rPr>
          <w:rFonts w:ascii="Bookman Old Style" w:hAnsi="Bookman Old Style"/>
          <w:sz w:val="28"/>
          <w:szCs w:val="28"/>
        </w:rPr>
        <w:t>a</w:t>
      </w:r>
      <w:r w:rsidR="0031175D" w:rsidRPr="00DA1F0A">
        <w:rPr>
          <w:rFonts w:ascii="Bookman Old Style" w:hAnsi="Bookman Old Style"/>
          <w:sz w:val="28"/>
          <w:szCs w:val="28"/>
        </w:rPr>
        <w:t>ccused 2 and PW1</w:t>
      </w:r>
      <w:r w:rsidR="00AC0BB6" w:rsidRPr="00DA1F0A">
        <w:rPr>
          <w:rFonts w:ascii="Bookman Old Style" w:hAnsi="Bookman Old Style"/>
          <w:sz w:val="28"/>
          <w:szCs w:val="28"/>
        </w:rPr>
        <w:t xml:space="preserve"> </w:t>
      </w:r>
      <w:r w:rsidR="0016360C" w:rsidRPr="00DA1F0A">
        <w:rPr>
          <w:rFonts w:ascii="Bookman Old Style" w:hAnsi="Bookman Old Style"/>
          <w:sz w:val="28"/>
          <w:szCs w:val="28"/>
        </w:rPr>
        <w:t xml:space="preserve">also </w:t>
      </w:r>
      <w:r w:rsidR="0031175D" w:rsidRPr="00DA1F0A">
        <w:rPr>
          <w:rFonts w:ascii="Bookman Old Style" w:hAnsi="Bookman Old Style"/>
          <w:sz w:val="28"/>
          <w:szCs w:val="28"/>
        </w:rPr>
        <w:t xml:space="preserve">discussed the killing of </w:t>
      </w:r>
      <w:proofErr w:type="spellStart"/>
      <w:r w:rsidR="0031175D" w:rsidRPr="00DA1F0A">
        <w:rPr>
          <w:rFonts w:ascii="Bookman Old Style" w:hAnsi="Bookman Old Style"/>
          <w:sz w:val="28"/>
          <w:szCs w:val="28"/>
        </w:rPr>
        <w:t>Mantai</w:t>
      </w:r>
      <w:proofErr w:type="spellEnd"/>
      <w:r w:rsidR="00AC0BB6" w:rsidRPr="00DA1F0A">
        <w:rPr>
          <w:rFonts w:ascii="Bookman Old Style" w:hAnsi="Bookman Old Style"/>
          <w:sz w:val="28"/>
          <w:szCs w:val="28"/>
        </w:rPr>
        <w:t>, apparently</w:t>
      </w:r>
      <w:r w:rsidR="0031175D" w:rsidRPr="00DA1F0A">
        <w:rPr>
          <w:rFonts w:ascii="Bookman Old Style" w:hAnsi="Bookman Old Style"/>
          <w:sz w:val="28"/>
          <w:szCs w:val="28"/>
        </w:rPr>
        <w:t xml:space="preserve">. The evidence </w:t>
      </w:r>
      <w:r w:rsidR="0016360C" w:rsidRPr="00DA1F0A">
        <w:rPr>
          <w:rFonts w:ascii="Bookman Old Style" w:hAnsi="Bookman Old Style"/>
          <w:sz w:val="28"/>
          <w:szCs w:val="28"/>
        </w:rPr>
        <w:t xml:space="preserve">seems to </w:t>
      </w:r>
      <w:r w:rsidR="0031175D" w:rsidRPr="00DA1F0A">
        <w:rPr>
          <w:rFonts w:ascii="Bookman Old Style" w:hAnsi="Bookman Old Style"/>
          <w:sz w:val="28"/>
          <w:szCs w:val="28"/>
        </w:rPr>
        <w:t>indicate</w:t>
      </w:r>
      <w:r w:rsidR="00AC0BB6" w:rsidRPr="00DA1F0A">
        <w:rPr>
          <w:rFonts w:ascii="Bookman Old Style" w:hAnsi="Bookman Old Style"/>
          <w:sz w:val="28"/>
          <w:szCs w:val="28"/>
        </w:rPr>
        <w:t>,</w:t>
      </w:r>
      <w:r w:rsidR="0031175D" w:rsidRPr="00DA1F0A">
        <w:rPr>
          <w:rFonts w:ascii="Bookman Old Style" w:hAnsi="Bookman Old Style"/>
          <w:sz w:val="28"/>
          <w:szCs w:val="28"/>
        </w:rPr>
        <w:t xml:space="preserve"> that PW1</w:t>
      </w:r>
      <w:r w:rsidR="00AC0BB6" w:rsidRPr="00DA1F0A">
        <w:rPr>
          <w:rFonts w:ascii="Bookman Old Style" w:hAnsi="Bookman Old Style"/>
          <w:sz w:val="28"/>
          <w:szCs w:val="28"/>
        </w:rPr>
        <w:t xml:space="preserve"> </w:t>
      </w:r>
      <w:r w:rsidR="0031175D" w:rsidRPr="00DA1F0A">
        <w:rPr>
          <w:rFonts w:ascii="Bookman Old Style" w:hAnsi="Bookman Old Style"/>
          <w:sz w:val="28"/>
          <w:szCs w:val="28"/>
        </w:rPr>
        <w:t xml:space="preserve">discouraged the appellant from taking that course of action </w:t>
      </w:r>
      <w:r w:rsidR="0016360C" w:rsidRPr="00DA1F0A">
        <w:rPr>
          <w:rFonts w:ascii="Bookman Old Style" w:hAnsi="Bookman Old Style"/>
          <w:sz w:val="28"/>
          <w:szCs w:val="28"/>
        </w:rPr>
        <w:t>but it also indicates</w:t>
      </w:r>
      <w:r w:rsidR="0031175D" w:rsidRPr="00DA1F0A">
        <w:rPr>
          <w:rFonts w:ascii="Bookman Old Style" w:hAnsi="Bookman Old Style"/>
          <w:sz w:val="28"/>
          <w:szCs w:val="28"/>
        </w:rPr>
        <w:t xml:space="preserve"> that PW1 participated to an appreciable extent in what happened before and after the fatal shooting of the appellant’s wife by </w:t>
      </w:r>
      <w:r w:rsidR="00AC0BB6" w:rsidRPr="00DA1F0A">
        <w:rPr>
          <w:rFonts w:ascii="Bookman Old Style" w:hAnsi="Bookman Old Style"/>
          <w:sz w:val="28"/>
          <w:szCs w:val="28"/>
        </w:rPr>
        <w:t>a</w:t>
      </w:r>
      <w:r w:rsidR="0031175D" w:rsidRPr="00DA1F0A">
        <w:rPr>
          <w:rFonts w:ascii="Bookman Old Style" w:hAnsi="Bookman Old Style"/>
          <w:sz w:val="28"/>
          <w:szCs w:val="28"/>
        </w:rPr>
        <w:t xml:space="preserve">ccused 2. </w:t>
      </w:r>
      <w:r w:rsidR="0016360C" w:rsidRPr="00DA1F0A">
        <w:rPr>
          <w:rFonts w:ascii="Bookman Old Style" w:hAnsi="Bookman Old Style"/>
          <w:sz w:val="28"/>
          <w:szCs w:val="28"/>
        </w:rPr>
        <w:t xml:space="preserve">He was treated as an accomplice witness at the trial although he </w:t>
      </w:r>
      <w:r w:rsidR="00833FD8" w:rsidRPr="00DA1F0A">
        <w:rPr>
          <w:rFonts w:ascii="Bookman Old Style" w:hAnsi="Bookman Old Style"/>
          <w:sz w:val="28"/>
          <w:szCs w:val="28"/>
        </w:rPr>
        <w:t xml:space="preserve">had not been specifically charged with the murder. </w:t>
      </w:r>
      <w:r w:rsidR="0031175D" w:rsidRPr="00DA1F0A">
        <w:rPr>
          <w:rFonts w:ascii="Bookman Old Style" w:hAnsi="Bookman Old Style"/>
          <w:sz w:val="28"/>
          <w:szCs w:val="28"/>
        </w:rPr>
        <w:t xml:space="preserve">For instance, </w:t>
      </w:r>
      <w:r w:rsidR="00833FD8" w:rsidRPr="00DA1F0A">
        <w:rPr>
          <w:rFonts w:ascii="Bookman Old Style" w:hAnsi="Bookman Old Style"/>
          <w:sz w:val="28"/>
          <w:szCs w:val="28"/>
        </w:rPr>
        <w:t xml:space="preserve">it is common cause that PW1 participated in the discussions about killing </w:t>
      </w:r>
      <w:proofErr w:type="spellStart"/>
      <w:r w:rsidR="00833FD8" w:rsidRPr="00DA1F0A">
        <w:rPr>
          <w:rFonts w:ascii="Bookman Old Style" w:hAnsi="Bookman Old Style"/>
          <w:sz w:val="28"/>
          <w:szCs w:val="28"/>
        </w:rPr>
        <w:t>Mantai</w:t>
      </w:r>
      <w:proofErr w:type="spellEnd"/>
      <w:r w:rsidR="00833FD8" w:rsidRPr="00DA1F0A">
        <w:rPr>
          <w:rFonts w:ascii="Bookman Old Style" w:hAnsi="Bookman Old Style"/>
          <w:sz w:val="28"/>
          <w:szCs w:val="28"/>
        </w:rPr>
        <w:t xml:space="preserve">. </w:t>
      </w:r>
      <w:r w:rsidR="00AC0BB6" w:rsidRPr="00DA1F0A">
        <w:rPr>
          <w:rFonts w:ascii="Bookman Old Style" w:hAnsi="Bookman Old Style"/>
          <w:sz w:val="28"/>
          <w:szCs w:val="28"/>
        </w:rPr>
        <w:t xml:space="preserve">After the killing, </w:t>
      </w:r>
      <w:r w:rsidR="007B370A" w:rsidRPr="00DA1F0A">
        <w:rPr>
          <w:rFonts w:ascii="Bookman Old Style" w:hAnsi="Bookman Old Style"/>
          <w:sz w:val="28"/>
          <w:szCs w:val="28"/>
        </w:rPr>
        <w:t xml:space="preserve">and </w:t>
      </w:r>
      <w:r w:rsidR="00220240" w:rsidRPr="00DA1F0A">
        <w:rPr>
          <w:rFonts w:ascii="Bookman Old Style" w:hAnsi="Bookman Old Style"/>
          <w:sz w:val="28"/>
          <w:szCs w:val="28"/>
        </w:rPr>
        <w:t xml:space="preserve">after receiving a message from accused 2 that he had </w:t>
      </w:r>
      <w:r w:rsidR="00220240" w:rsidRPr="00DA1F0A">
        <w:rPr>
          <w:rFonts w:ascii="Bookman Old Style" w:hAnsi="Bookman Old Style"/>
          <w:sz w:val="28"/>
          <w:szCs w:val="28"/>
        </w:rPr>
        <w:lastRenderedPageBreak/>
        <w:t xml:space="preserve">shot and killed </w:t>
      </w:r>
      <w:proofErr w:type="spellStart"/>
      <w:r w:rsidR="00220240" w:rsidRPr="00DA1F0A">
        <w:rPr>
          <w:rFonts w:ascii="Bookman Old Style" w:hAnsi="Bookman Old Style"/>
          <w:sz w:val="28"/>
          <w:szCs w:val="28"/>
        </w:rPr>
        <w:t>Mantai</w:t>
      </w:r>
      <w:proofErr w:type="spellEnd"/>
      <w:r w:rsidR="00220240" w:rsidRPr="00DA1F0A">
        <w:rPr>
          <w:rFonts w:ascii="Bookman Old Style" w:hAnsi="Bookman Old Style"/>
          <w:sz w:val="28"/>
          <w:szCs w:val="28"/>
        </w:rPr>
        <w:t xml:space="preserve">, </w:t>
      </w:r>
      <w:r w:rsidR="00AC0BB6" w:rsidRPr="00DA1F0A">
        <w:rPr>
          <w:rFonts w:ascii="Bookman Old Style" w:hAnsi="Bookman Old Style"/>
          <w:sz w:val="28"/>
          <w:szCs w:val="28"/>
        </w:rPr>
        <w:t>h</w:t>
      </w:r>
      <w:r w:rsidR="00833FD8" w:rsidRPr="00DA1F0A">
        <w:rPr>
          <w:rFonts w:ascii="Bookman Old Style" w:hAnsi="Bookman Old Style"/>
          <w:sz w:val="28"/>
          <w:szCs w:val="28"/>
        </w:rPr>
        <w:t>e</w:t>
      </w:r>
      <w:r w:rsidR="0031175D" w:rsidRPr="00DA1F0A">
        <w:rPr>
          <w:rFonts w:ascii="Bookman Old Style" w:hAnsi="Bookman Old Style"/>
          <w:sz w:val="28"/>
          <w:szCs w:val="28"/>
        </w:rPr>
        <w:t xml:space="preserve"> drove</w:t>
      </w:r>
      <w:r w:rsidR="005232C5" w:rsidRPr="00DA1F0A">
        <w:rPr>
          <w:rFonts w:ascii="Bookman Old Style" w:hAnsi="Bookman Old Style"/>
          <w:sz w:val="28"/>
          <w:szCs w:val="28"/>
        </w:rPr>
        <w:t xml:space="preserve"> </w:t>
      </w:r>
      <w:r w:rsidR="0031175D" w:rsidRPr="00DA1F0A">
        <w:rPr>
          <w:rFonts w:ascii="Bookman Old Style" w:hAnsi="Bookman Old Style"/>
          <w:sz w:val="28"/>
          <w:szCs w:val="28"/>
        </w:rPr>
        <w:t xml:space="preserve">to Maseru </w:t>
      </w:r>
      <w:r w:rsidR="00833FD8" w:rsidRPr="00DA1F0A">
        <w:rPr>
          <w:rFonts w:ascii="Bookman Old Style" w:hAnsi="Bookman Old Style"/>
          <w:sz w:val="28"/>
          <w:szCs w:val="28"/>
        </w:rPr>
        <w:t xml:space="preserve">at night </w:t>
      </w:r>
      <w:r w:rsidR="005232C5" w:rsidRPr="00DA1F0A">
        <w:rPr>
          <w:rFonts w:ascii="Bookman Old Style" w:hAnsi="Bookman Old Style"/>
          <w:sz w:val="28"/>
          <w:szCs w:val="28"/>
        </w:rPr>
        <w:t xml:space="preserve">and picked up </w:t>
      </w:r>
      <w:r w:rsidR="00220240" w:rsidRPr="00DA1F0A">
        <w:rPr>
          <w:rFonts w:ascii="Bookman Old Style" w:hAnsi="Bookman Old Style"/>
          <w:sz w:val="28"/>
          <w:szCs w:val="28"/>
        </w:rPr>
        <w:t xml:space="preserve">accused 2 </w:t>
      </w:r>
      <w:r w:rsidR="005232C5" w:rsidRPr="00DA1F0A">
        <w:rPr>
          <w:rFonts w:ascii="Bookman Old Style" w:hAnsi="Bookman Old Style"/>
          <w:sz w:val="28"/>
          <w:szCs w:val="28"/>
        </w:rPr>
        <w:t xml:space="preserve">and drove </w:t>
      </w:r>
      <w:r w:rsidR="00220240" w:rsidRPr="00DA1F0A">
        <w:rPr>
          <w:rFonts w:ascii="Bookman Old Style" w:hAnsi="Bookman Old Style"/>
          <w:sz w:val="28"/>
          <w:szCs w:val="28"/>
        </w:rPr>
        <w:t xml:space="preserve">with </w:t>
      </w:r>
      <w:r w:rsidR="005232C5" w:rsidRPr="00DA1F0A">
        <w:rPr>
          <w:rFonts w:ascii="Bookman Old Style" w:hAnsi="Bookman Old Style"/>
          <w:sz w:val="28"/>
          <w:szCs w:val="28"/>
        </w:rPr>
        <w:t xml:space="preserve">him back to Mafeteng. According to </w:t>
      </w:r>
      <w:r w:rsidR="00220240" w:rsidRPr="00DA1F0A">
        <w:rPr>
          <w:rFonts w:ascii="Bookman Old Style" w:hAnsi="Bookman Old Style"/>
          <w:sz w:val="28"/>
          <w:szCs w:val="28"/>
        </w:rPr>
        <w:t>a</w:t>
      </w:r>
      <w:r w:rsidR="005232C5" w:rsidRPr="00DA1F0A">
        <w:rPr>
          <w:rFonts w:ascii="Bookman Old Style" w:hAnsi="Bookman Old Style"/>
          <w:sz w:val="28"/>
          <w:szCs w:val="28"/>
        </w:rPr>
        <w:t xml:space="preserve">ccused 2, PW1 </w:t>
      </w:r>
      <w:r w:rsidR="00220240" w:rsidRPr="00DA1F0A">
        <w:rPr>
          <w:rFonts w:ascii="Bookman Old Style" w:hAnsi="Bookman Old Style"/>
          <w:sz w:val="28"/>
          <w:szCs w:val="28"/>
        </w:rPr>
        <w:t xml:space="preserve">had </w:t>
      </w:r>
      <w:r w:rsidR="005232C5" w:rsidRPr="00DA1F0A">
        <w:rPr>
          <w:rFonts w:ascii="Bookman Old Style" w:hAnsi="Bookman Old Style"/>
          <w:sz w:val="28"/>
          <w:szCs w:val="28"/>
        </w:rPr>
        <w:t xml:space="preserve">also advised him that after the shooting </w:t>
      </w:r>
      <w:r w:rsidR="00220240" w:rsidRPr="00DA1F0A">
        <w:rPr>
          <w:rFonts w:ascii="Bookman Old Style" w:hAnsi="Bookman Old Style"/>
          <w:sz w:val="28"/>
          <w:szCs w:val="28"/>
        </w:rPr>
        <w:t xml:space="preserve">the target </w:t>
      </w:r>
      <w:r w:rsidR="005232C5" w:rsidRPr="00DA1F0A">
        <w:rPr>
          <w:rFonts w:ascii="Bookman Old Style" w:hAnsi="Bookman Old Style"/>
          <w:sz w:val="28"/>
          <w:szCs w:val="28"/>
        </w:rPr>
        <w:t xml:space="preserve">it was necessary for </w:t>
      </w:r>
      <w:r w:rsidR="00833FD8" w:rsidRPr="00DA1F0A">
        <w:rPr>
          <w:rFonts w:ascii="Bookman Old Style" w:hAnsi="Bookman Old Style"/>
          <w:sz w:val="28"/>
          <w:szCs w:val="28"/>
        </w:rPr>
        <w:t>him (accused</w:t>
      </w:r>
      <w:r w:rsidR="001C14B1" w:rsidRPr="00DA1F0A">
        <w:rPr>
          <w:rFonts w:ascii="Bookman Old Style" w:hAnsi="Bookman Old Style"/>
          <w:sz w:val="28"/>
          <w:szCs w:val="28"/>
        </w:rPr>
        <w:t xml:space="preserve"> </w:t>
      </w:r>
      <w:r w:rsidR="00833FD8" w:rsidRPr="00DA1F0A">
        <w:rPr>
          <w:rFonts w:ascii="Bookman Old Style" w:hAnsi="Bookman Old Style"/>
          <w:sz w:val="28"/>
          <w:szCs w:val="28"/>
        </w:rPr>
        <w:t>2)</w:t>
      </w:r>
      <w:r w:rsidR="005232C5" w:rsidRPr="00DA1F0A">
        <w:rPr>
          <w:rFonts w:ascii="Bookman Old Style" w:hAnsi="Bookman Old Style"/>
          <w:sz w:val="28"/>
          <w:szCs w:val="28"/>
        </w:rPr>
        <w:t xml:space="preserve"> to retrieve all the spent cartridges or shells</w:t>
      </w:r>
      <w:r w:rsidR="00220240" w:rsidRPr="00DA1F0A">
        <w:rPr>
          <w:rFonts w:ascii="Bookman Old Style" w:hAnsi="Bookman Old Style"/>
          <w:sz w:val="28"/>
          <w:szCs w:val="28"/>
        </w:rPr>
        <w:t>. That</w:t>
      </w:r>
      <w:r w:rsidR="005232C5" w:rsidRPr="00DA1F0A">
        <w:rPr>
          <w:rFonts w:ascii="Bookman Old Style" w:hAnsi="Bookman Old Style"/>
          <w:sz w:val="28"/>
          <w:szCs w:val="28"/>
        </w:rPr>
        <w:t xml:space="preserve"> </w:t>
      </w:r>
      <w:r w:rsidR="00220240" w:rsidRPr="00DA1F0A">
        <w:rPr>
          <w:rFonts w:ascii="Bookman Old Style" w:hAnsi="Bookman Old Style"/>
          <w:sz w:val="28"/>
          <w:szCs w:val="28"/>
        </w:rPr>
        <w:t>a</w:t>
      </w:r>
      <w:r w:rsidR="005232C5" w:rsidRPr="00DA1F0A">
        <w:rPr>
          <w:rFonts w:ascii="Bookman Old Style" w:hAnsi="Bookman Old Style"/>
          <w:sz w:val="28"/>
          <w:szCs w:val="28"/>
        </w:rPr>
        <w:t>ccused 2 di</w:t>
      </w:r>
      <w:r w:rsidR="00220240" w:rsidRPr="00DA1F0A">
        <w:rPr>
          <w:rFonts w:ascii="Bookman Old Style" w:hAnsi="Bookman Old Style"/>
          <w:sz w:val="28"/>
          <w:szCs w:val="28"/>
        </w:rPr>
        <w:t>d and showed the shells to PW1 on their way to Mafeteng</w:t>
      </w:r>
      <w:r w:rsidR="005232C5" w:rsidRPr="00DA1F0A">
        <w:rPr>
          <w:rFonts w:ascii="Bookman Old Style" w:hAnsi="Bookman Old Style"/>
          <w:sz w:val="28"/>
          <w:szCs w:val="28"/>
        </w:rPr>
        <w:t>.</w:t>
      </w:r>
    </w:p>
    <w:p w14:paraId="0FC006EE" w14:textId="54D6978D" w:rsidR="00833FD8" w:rsidRDefault="005232C5" w:rsidP="00833FD8">
      <w:pPr>
        <w:pStyle w:val="ListParagraph"/>
        <w:jc w:val="both"/>
        <w:rPr>
          <w:rFonts w:ascii="Bookman Old Style" w:hAnsi="Bookman Old Style"/>
          <w:sz w:val="24"/>
          <w:szCs w:val="24"/>
        </w:rPr>
      </w:pPr>
      <w:r w:rsidRPr="0016360C">
        <w:rPr>
          <w:rFonts w:ascii="Bookman Old Style" w:hAnsi="Bookman Old Style"/>
          <w:sz w:val="24"/>
          <w:szCs w:val="24"/>
        </w:rPr>
        <w:t xml:space="preserve"> </w:t>
      </w:r>
    </w:p>
    <w:p w14:paraId="34B3244D" w14:textId="6160DE5F" w:rsidR="00982231"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[5]</w:t>
      </w:r>
      <w:r w:rsidRPr="00DA1F0A">
        <w:rPr>
          <w:rFonts w:ascii="Bookman Old Style" w:hAnsi="Bookman Old Style"/>
          <w:sz w:val="28"/>
          <w:szCs w:val="28"/>
        </w:rPr>
        <w:tab/>
      </w:r>
      <w:r w:rsidR="005232C5" w:rsidRPr="00DA1F0A">
        <w:rPr>
          <w:rFonts w:ascii="Bookman Old Style" w:hAnsi="Bookman Old Style"/>
          <w:sz w:val="28"/>
          <w:szCs w:val="28"/>
        </w:rPr>
        <w:t xml:space="preserve">The evidence of PW1 and </w:t>
      </w:r>
      <w:r w:rsidR="00220240" w:rsidRPr="00DA1F0A">
        <w:rPr>
          <w:rFonts w:ascii="Bookman Old Style" w:hAnsi="Bookman Old Style"/>
          <w:sz w:val="28"/>
          <w:szCs w:val="28"/>
        </w:rPr>
        <w:t>a</w:t>
      </w:r>
      <w:r w:rsidR="005232C5" w:rsidRPr="00DA1F0A">
        <w:rPr>
          <w:rFonts w:ascii="Bookman Old Style" w:hAnsi="Bookman Old Style"/>
          <w:sz w:val="28"/>
          <w:szCs w:val="28"/>
        </w:rPr>
        <w:t>ccused 2 implicate</w:t>
      </w:r>
      <w:r w:rsidR="00220240" w:rsidRPr="00DA1F0A">
        <w:rPr>
          <w:rFonts w:ascii="Bookman Old Style" w:hAnsi="Bookman Old Style"/>
          <w:sz w:val="28"/>
          <w:szCs w:val="28"/>
        </w:rPr>
        <w:t>d</w:t>
      </w:r>
      <w:r w:rsidR="005232C5" w:rsidRPr="00DA1F0A">
        <w:rPr>
          <w:rFonts w:ascii="Bookman Old Style" w:hAnsi="Bookman Old Style"/>
          <w:sz w:val="28"/>
          <w:szCs w:val="28"/>
        </w:rPr>
        <w:t xml:space="preserve"> the appellant in the commission of the offence. It points to the appellant </w:t>
      </w:r>
      <w:r w:rsidR="00220240" w:rsidRPr="00DA1F0A">
        <w:rPr>
          <w:rFonts w:ascii="Bookman Old Style" w:hAnsi="Bookman Old Style"/>
          <w:sz w:val="28"/>
          <w:szCs w:val="28"/>
        </w:rPr>
        <w:t xml:space="preserve">as </w:t>
      </w:r>
      <w:r w:rsidR="005232C5" w:rsidRPr="00DA1F0A">
        <w:rPr>
          <w:rFonts w:ascii="Bookman Old Style" w:hAnsi="Bookman Old Style"/>
          <w:sz w:val="28"/>
          <w:szCs w:val="28"/>
        </w:rPr>
        <w:t xml:space="preserve">having agreed that </w:t>
      </w:r>
      <w:proofErr w:type="spellStart"/>
      <w:r w:rsidR="005232C5" w:rsidRPr="00DA1F0A">
        <w:rPr>
          <w:rFonts w:ascii="Bookman Old Style" w:hAnsi="Bookman Old Style"/>
          <w:sz w:val="28"/>
          <w:szCs w:val="28"/>
        </w:rPr>
        <w:t>Mantai</w:t>
      </w:r>
      <w:proofErr w:type="spellEnd"/>
      <w:r w:rsidR="005232C5" w:rsidRPr="00DA1F0A">
        <w:rPr>
          <w:rFonts w:ascii="Bookman Old Style" w:hAnsi="Bookman Old Style"/>
          <w:sz w:val="28"/>
          <w:szCs w:val="28"/>
        </w:rPr>
        <w:t xml:space="preserve"> should be killed. It </w:t>
      </w:r>
      <w:r w:rsidR="00833FD8" w:rsidRPr="00DA1F0A">
        <w:rPr>
          <w:rFonts w:ascii="Bookman Old Style" w:hAnsi="Bookman Old Style"/>
          <w:sz w:val="28"/>
          <w:szCs w:val="28"/>
        </w:rPr>
        <w:t>i</w:t>
      </w:r>
      <w:r w:rsidR="005232C5" w:rsidRPr="00DA1F0A">
        <w:rPr>
          <w:rFonts w:ascii="Bookman Old Style" w:hAnsi="Bookman Old Style"/>
          <w:sz w:val="28"/>
          <w:szCs w:val="28"/>
        </w:rPr>
        <w:t xml:space="preserve">s </w:t>
      </w:r>
      <w:r w:rsidR="00220240" w:rsidRPr="00DA1F0A">
        <w:rPr>
          <w:rFonts w:ascii="Bookman Old Style" w:hAnsi="Bookman Old Style"/>
          <w:sz w:val="28"/>
          <w:szCs w:val="28"/>
        </w:rPr>
        <w:t>in evidence</w:t>
      </w:r>
      <w:r w:rsidR="005232C5" w:rsidRPr="00DA1F0A">
        <w:rPr>
          <w:rFonts w:ascii="Bookman Old Style" w:hAnsi="Bookman Old Style"/>
          <w:sz w:val="28"/>
          <w:szCs w:val="28"/>
        </w:rPr>
        <w:t xml:space="preserve"> that </w:t>
      </w:r>
      <w:r w:rsidR="00220240" w:rsidRPr="00DA1F0A">
        <w:rPr>
          <w:rFonts w:ascii="Bookman Old Style" w:hAnsi="Bookman Old Style"/>
          <w:sz w:val="28"/>
          <w:szCs w:val="28"/>
        </w:rPr>
        <w:t>a</w:t>
      </w:r>
      <w:r w:rsidR="005232C5" w:rsidRPr="00DA1F0A">
        <w:rPr>
          <w:rFonts w:ascii="Bookman Old Style" w:hAnsi="Bookman Old Style"/>
          <w:sz w:val="28"/>
          <w:szCs w:val="28"/>
        </w:rPr>
        <w:t>ccused 2 used appellant’s service pistol and ammunition</w:t>
      </w:r>
      <w:r w:rsidR="00220240" w:rsidRPr="00DA1F0A">
        <w:rPr>
          <w:rFonts w:ascii="Bookman Old Style" w:hAnsi="Bookman Old Style"/>
          <w:sz w:val="28"/>
          <w:szCs w:val="28"/>
        </w:rPr>
        <w:t xml:space="preserve"> either then in the magazine or</w:t>
      </w:r>
      <w:r w:rsidR="005232C5" w:rsidRPr="00DA1F0A">
        <w:rPr>
          <w:rFonts w:ascii="Bookman Old Style" w:hAnsi="Bookman Old Style"/>
          <w:sz w:val="28"/>
          <w:szCs w:val="28"/>
        </w:rPr>
        <w:t xml:space="preserve"> provided by PW1.</w:t>
      </w:r>
      <w:r w:rsidR="00220240" w:rsidRPr="00DA1F0A">
        <w:rPr>
          <w:rFonts w:ascii="Bookman Old Style" w:hAnsi="Bookman Old Style"/>
          <w:sz w:val="28"/>
          <w:szCs w:val="28"/>
        </w:rPr>
        <w:t xml:space="preserve"> It</w:t>
      </w:r>
      <w:r w:rsidR="005232C5" w:rsidRPr="00DA1F0A">
        <w:rPr>
          <w:rFonts w:ascii="Bookman Old Style" w:hAnsi="Bookman Old Style"/>
          <w:sz w:val="28"/>
          <w:szCs w:val="28"/>
        </w:rPr>
        <w:t xml:space="preserve"> is </w:t>
      </w:r>
      <w:r w:rsidR="00833FD8" w:rsidRPr="00DA1F0A">
        <w:rPr>
          <w:rFonts w:ascii="Bookman Old Style" w:hAnsi="Bookman Old Style"/>
          <w:sz w:val="28"/>
          <w:szCs w:val="28"/>
        </w:rPr>
        <w:t>clear and undisputed</w:t>
      </w:r>
      <w:r w:rsidR="005232C5" w:rsidRPr="00DA1F0A">
        <w:rPr>
          <w:rFonts w:ascii="Bookman Old Style" w:hAnsi="Bookman Old Style"/>
          <w:sz w:val="28"/>
          <w:szCs w:val="28"/>
        </w:rPr>
        <w:t xml:space="preserve"> that the actual killing of </w:t>
      </w:r>
      <w:proofErr w:type="spellStart"/>
      <w:r w:rsidR="005232C5" w:rsidRPr="00DA1F0A">
        <w:rPr>
          <w:rFonts w:ascii="Bookman Old Style" w:hAnsi="Bookman Old Style"/>
          <w:sz w:val="28"/>
          <w:szCs w:val="28"/>
        </w:rPr>
        <w:t>Mantai</w:t>
      </w:r>
      <w:proofErr w:type="spellEnd"/>
      <w:r w:rsidR="005232C5" w:rsidRPr="00DA1F0A">
        <w:rPr>
          <w:rFonts w:ascii="Bookman Old Style" w:hAnsi="Bookman Old Style"/>
          <w:sz w:val="28"/>
          <w:szCs w:val="28"/>
        </w:rPr>
        <w:t xml:space="preserve"> was </w:t>
      </w:r>
      <w:r w:rsidR="00833FD8" w:rsidRPr="00DA1F0A">
        <w:rPr>
          <w:rFonts w:ascii="Bookman Old Style" w:hAnsi="Bookman Old Style"/>
          <w:sz w:val="28"/>
          <w:szCs w:val="28"/>
        </w:rPr>
        <w:t>done by</w:t>
      </w:r>
      <w:r w:rsidR="005232C5" w:rsidRPr="00DA1F0A">
        <w:rPr>
          <w:rFonts w:ascii="Bookman Old Style" w:hAnsi="Bookman Old Style"/>
          <w:sz w:val="28"/>
          <w:szCs w:val="28"/>
        </w:rPr>
        <w:t xml:space="preserve"> </w:t>
      </w:r>
      <w:r w:rsidR="00220240" w:rsidRPr="00DA1F0A">
        <w:rPr>
          <w:rFonts w:ascii="Bookman Old Style" w:hAnsi="Bookman Old Style"/>
          <w:sz w:val="28"/>
          <w:szCs w:val="28"/>
        </w:rPr>
        <w:t>a</w:t>
      </w:r>
      <w:r w:rsidR="005232C5" w:rsidRPr="00DA1F0A">
        <w:rPr>
          <w:rFonts w:ascii="Bookman Old Style" w:hAnsi="Bookman Old Style"/>
          <w:sz w:val="28"/>
          <w:szCs w:val="28"/>
        </w:rPr>
        <w:t>ccused 2</w:t>
      </w:r>
      <w:r w:rsidR="00833FD8" w:rsidRPr="00DA1F0A">
        <w:rPr>
          <w:rFonts w:ascii="Bookman Old Style" w:hAnsi="Bookman Old Style"/>
          <w:sz w:val="28"/>
          <w:szCs w:val="28"/>
        </w:rPr>
        <w:t xml:space="preserve"> alone</w:t>
      </w:r>
      <w:r w:rsidR="005232C5" w:rsidRPr="00DA1F0A">
        <w:rPr>
          <w:rFonts w:ascii="Bookman Old Style" w:hAnsi="Bookman Old Style"/>
          <w:sz w:val="28"/>
          <w:szCs w:val="28"/>
        </w:rPr>
        <w:t xml:space="preserve">.  </w:t>
      </w:r>
      <w:r w:rsidR="00BE270B" w:rsidRPr="00DA1F0A">
        <w:rPr>
          <w:rFonts w:ascii="Bookman Old Style" w:hAnsi="Bookman Old Style"/>
          <w:sz w:val="28"/>
          <w:szCs w:val="28"/>
        </w:rPr>
        <w:t xml:space="preserve"> </w:t>
      </w:r>
    </w:p>
    <w:p w14:paraId="57846AA0" w14:textId="5B717EDC" w:rsidR="00982231" w:rsidRDefault="00765BD9" w:rsidP="00B20E47">
      <w:pPr>
        <w:pStyle w:val="ListParagraph"/>
        <w:ind w:left="0"/>
        <w:jc w:val="both"/>
        <w:rPr>
          <w:rFonts w:ascii="Bookman Old Style" w:hAnsi="Bookman Old Style"/>
          <w:b/>
          <w:bCs/>
          <w:sz w:val="24"/>
          <w:szCs w:val="24"/>
        </w:rPr>
      </w:pPr>
      <w:r>
        <w:rPr>
          <w:rFonts w:ascii="Bookman Old Style" w:hAnsi="Bookman Old Style"/>
          <w:b/>
          <w:bCs/>
          <w:sz w:val="24"/>
          <w:szCs w:val="24"/>
        </w:rPr>
        <w:t>I</w:t>
      </w:r>
      <w:r w:rsidRPr="00765BD9">
        <w:rPr>
          <w:rFonts w:ascii="Bookman Old Style" w:hAnsi="Bookman Old Style"/>
          <w:b/>
          <w:bCs/>
          <w:sz w:val="24"/>
          <w:szCs w:val="24"/>
        </w:rPr>
        <w:t>ndictment</w:t>
      </w:r>
      <w:r w:rsidR="008D38EC">
        <w:rPr>
          <w:rFonts w:ascii="Bookman Old Style" w:hAnsi="Bookman Old Style"/>
          <w:b/>
          <w:bCs/>
          <w:sz w:val="24"/>
          <w:szCs w:val="24"/>
        </w:rPr>
        <w:t xml:space="preserve"> </w:t>
      </w:r>
      <w:r w:rsidRPr="00765BD9">
        <w:rPr>
          <w:rFonts w:ascii="Bookman Old Style" w:hAnsi="Bookman Old Style"/>
          <w:b/>
          <w:bCs/>
          <w:sz w:val="24"/>
          <w:szCs w:val="24"/>
        </w:rPr>
        <w:t xml:space="preserve">- </w:t>
      </w:r>
      <w:r>
        <w:rPr>
          <w:rFonts w:ascii="Bookman Old Style" w:hAnsi="Bookman Old Style"/>
          <w:b/>
          <w:bCs/>
          <w:sz w:val="24"/>
          <w:szCs w:val="24"/>
        </w:rPr>
        <w:t>lack of mention of common purpose as possible basis of conviction</w:t>
      </w:r>
    </w:p>
    <w:p w14:paraId="112B1A35" w14:textId="77777777" w:rsidR="00765BD9" w:rsidRPr="00765BD9" w:rsidRDefault="00765BD9" w:rsidP="00982231">
      <w:pPr>
        <w:pStyle w:val="ListParagraph"/>
        <w:rPr>
          <w:rFonts w:ascii="Bookman Old Style" w:hAnsi="Bookman Old Style"/>
          <w:b/>
          <w:bCs/>
          <w:sz w:val="24"/>
          <w:szCs w:val="24"/>
        </w:rPr>
      </w:pPr>
    </w:p>
    <w:p w14:paraId="4511EAAF" w14:textId="16D8228F" w:rsidR="00220240"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[6]</w:t>
      </w:r>
      <w:r w:rsidRPr="00DA1F0A">
        <w:rPr>
          <w:rFonts w:ascii="Bookman Old Style" w:hAnsi="Bookman Old Style"/>
          <w:sz w:val="28"/>
          <w:szCs w:val="28"/>
        </w:rPr>
        <w:tab/>
      </w:r>
      <w:r w:rsidR="005232C5" w:rsidRPr="00DA1F0A">
        <w:rPr>
          <w:rFonts w:ascii="Bookman Old Style" w:hAnsi="Bookman Old Style"/>
          <w:sz w:val="28"/>
          <w:szCs w:val="28"/>
        </w:rPr>
        <w:t>At the hearing of the appeal, th</w:t>
      </w:r>
      <w:r w:rsidR="00833FD8" w:rsidRPr="00DA1F0A">
        <w:rPr>
          <w:rFonts w:ascii="Bookman Old Style" w:hAnsi="Bookman Old Style"/>
          <w:sz w:val="28"/>
          <w:szCs w:val="28"/>
        </w:rPr>
        <w:t>e</w:t>
      </w:r>
      <w:r w:rsidR="005232C5" w:rsidRPr="00DA1F0A">
        <w:rPr>
          <w:rFonts w:ascii="Bookman Old Style" w:hAnsi="Bookman Old Style"/>
          <w:sz w:val="28"/>
          <w:szCs w:val="28"/>
        </w:rPr>
        <w:t xml:space="preserve"> Court raised the propriety of the indictment </w:t>
      </w:r>
      <w:r w:rsidR="004669AB" w:rsidRPr="00DA1F0A">
        <w:rPr>
          <w:rFonts w:ascii="Bookman Old Style" w:hAnsi="Bookman Old Style"/>
          <w:sz w:val="28"/>
          <w:szCs w:val="28"/>
        </w:rPr>
        <w:t xml:space="preserve">and </w:t>
      </w:r>
      <w:r w:rsidR="00833FD8" w:rsidRPr="00DA1F0A">
        <w:rPr>
          <w:rFonts w:ascii="Bookman Old Style" w:hAnsi="Bookman Old Style"/>
          <w:sz w:val="28"/>
          <w:szCs w:val="28"/>
        </w:rPr>
        <w:t>invited</w:t>
      </w:r>
      <w:r w:rsidR="004669AB" w:rsidRPr="00DA1F0A">
        <w:rPr>
          <w:rFonts w:ascii="Bookman Old Style" w:hAnsi="Bookman Old Style"/>
          <w:sz w:val="28"/>
          <w:szCs w:val="28"/>
        </w:rPr>
        <w:t xml:space="preserve"> counsel to make submissions thereon. </w:t>
      </w:r>
      <w:r w:rsidR="00833FD8" w:rsidRPr="00DA1F0A">
        <w:rPr>
          <w:rFonts w:ascii="Bookman Old Style" w:hAnsi="Bookman Old Style"/>
          <w:sz w:val="28"/>
          <w:szCs w:val="28"/>
        </w:rPr>
        <w:t>In making th</w:t>
      </w:r>
      <w:r w:rsidR="00220240" w:rsidRPr="00DA1F0A">
        <w:rPr>
          <w:rFonts w:ascii="Bookman Old Style" w:hAnsi="Bookman Old Style"/>
          <w:sz w:val="28"/>
          <w:szCs w:val="28"/>
        </w:rPr>
        <w:t>at</w:t>
      </w:r>
      <w:r w:rsidR="00833FD8" w:rsidRPr="00DA1F0A">
        <w:rPr>
          <w:rFonts w:ascii="Bookman Old Style" w:hAnsi="Bookman Old Style"/>
          <w:sz w:val="28"/>
          <w:szCs w:val="28"/>
        </w:rPr>
        <w:t xml:space="preserve"> invitation, t</w:t>
      </w:r>
      <w:r w:rsidR="004669AB" w:rsidRPr="00DA1F0A">
        <w:rPr>
          <w:rFonts w:ascii="Bookman Old Style" w:hAnsi="Bookman Old Style"/>
          <w:sz w:val="28"/>
          <w:szCs w:val="28"/>
        </w:rPr>
        <w:t>he Court was</w:t>
      </w:r>
      <w:r w:rsidR="00833FD8" w:rsidRPr="00DA1F0A">
        <w:rPr>
          <w:rFonts w:ascii="Bookman Old Style" w:hAnsi="Bookman Old Style"/>
          <w:sz w:val="28"/>
          <w:szCs w:val="28"/>
        </w:rPr>
        <w:t xml:space="preserve"> concerned</w:t>
      </w:r>
      <w:r w:rsidR="004669AB" w:rsidRPr="00DA1F0A">
        <w:rPr>
          <w:rFonts w:ascii="Bookman Old Style" w:hAnsi="Bookman Old Style"/>
          <w:sz w:val="28"/>
          <w:szCs w:val="28"/>
        </w:rPr>
        <w:t xml:space="preserve"> that the indictment </w:t>
      </w:r>
      <w:r w:rsidR="00833FD8" w:rsidRPr="00DA1F0A">
        <w:rPr>
          <w:rFonts w:ascii="Bookman Old Style" w:hAnsi="Bookman Old Style"/>
          <w:sz w:val="28"/>
          <w:szCs w:val="28"/>
        </w:rPr>
        <w:t xml:space="preserve">did not sufficiently inform the appellant that he could be </w:t>
      </w:r>
      <w:r w:rsidR="004669AB" w:rsidRPr="00DA1F0A">
        <w:rPr>
          <w:rFonts w:ascii="Bookman Old Style" w:hAnsi="Bookman Old Style"/>
          <w:sz w:val="28"/>
          <w:szCs w:val="28"/>
        </w:rPr>
        <w:t>convict</w:t>
      </w:r>
      <w:r w:rsidR="00833FD8" w:rsidRPr="00DA1F0A">
        <w:rPr>
          <w:rFonts w:ascii="Bookman Old Style" w:hAnsi="Bookman Old Style"/>
          <w:sz w:val="28"/>
          <w:szCs w:val="28"/>
        </w:rPr>
        <w:t>ed of the murder of ‘</w:t>
      </w:r>
      <w:proofErr w:type="spellStart"/>
      <w:r w:rsidR="00833FD8" w:rsidRPr="00DA1F0A">
        <w:rPr>
          <w:rFonts w:ascii="Bookman Old Style" w:hAnsi="Bookman Old Style"/>
          <w:sz w:val="28"/>
          <w:szCs w:val="28"/>
        </w:rPr>
        <w:t>Mantai</w:t>
      </w:r>
      <w:proofErr w:type="spellEnd"/>
      <w:r w:rsidR="004669AB" w:rsidRPr="00DA1F0A">
        <w:rPr>
          <w:rFonts w:ascii="Bookman Old Style" w:hAnsi="Bookman Old Style"/>
          <w:sz w:val="28"/>
          <w:szCs w:val="28"/>
        </w:rPr>
        <w:t xml:space="preserve"> </w:t>
      </w:r>
      <w:r w:rsidR="00833FD8" w:rsidRPr="00DA1F0A">
        <w:rPr>
          <w:rFonts w:ascii="Bookman Old Style" w:hAnsi="Bookman Old Style"/>
          <w:sz w:val="28"/>
          <w:szCs w:val="28"/>
        </w:rPr>
        <w:t>on the</w:t>
      </w:r>
      <w:r w:rsidR="004669AB" w:rsidRPr="00DA1F0A">
        <w:rPr>
          <w:rFonts w:ascii="Bookman Old Style" w:hAnsi="Bookman Old Style"/>
          <w:sz w:val="28"/>
          <w:szCs w:val="28"/>
        </w:rPr>
        <w:t xml:space="preserve"> bas</w:t>
      </w:r>
      <w:r w:rsidR="00833FD8" w:rsidRPr="00DA1F0A">
        <w:rPr>
          <w:rFonts w:ascii="Bookman Old Style" w:hAnsi="Bookman Old Style"/>
          <w:sz w:val="28"/>
          <w:szCs w:val="28"/>
        </w:rPr>
        <w:t>is</w:t>
      </w:r>
      <w:r w:rsidR="004669AB" w:rsidRPr="00DA1F0A">
        <w:rPr>
          <w:rFonts w:ascii="Bookman Old Style" w:hAnsi="Bookman Old Style"/>
          <w:sz w:val="28"/>
          <w:szCs w:val="28"/>
        </w:rPr>
        <w:t xml:space="preserve"> o</w:t>
      </w:r>
      <w:r w:rsidR="00833FD8" w:rsidRPr="00DA1F0A">
        <w:rPr>
          <w:rFonts w:ascii="Bookman Old Style" w:hAnsi="Bookman Old Style"/>
          <w:sz w:val="28"/>
          <w:szCs w:val="28"/>
        </w:rPr>
        <w:t>f</w:t>
      </w:r>
      <w:r w:rsidR="004669AB" w:rsidRPr="00DA1F0A">
        <w:rPr>
          <w:rFonts w:ascii="Bookman Old Style" w:hAnsi="Bookman Old Style"/>
          <w:sz w:val="28"/>
          <w:szCs w:val="28"/>
        </w:rPr>
        <w:t xml:space="preserve"> common purpose</w:t>
      </w:r>
      <w:r w:rsidR="00833FD8" w:rsidRPr="00DA1F0A">
        <w:rPr>
          <w:rFonts w:ascii="Bookman Old Style" w:hAnsi="Bookman Old Style"/>
          <w:sz w:val="28"/>
          <w:szCs w:val="28"/>
        </w:rPr>
        <w:t>, which</w:t>
      </w:r>
      <w:r w:rsidR="00220240" w:rsidRPr="00DA1F0A">
        <w:rPr>
          <w:rFonts w:ascii="Bookman Old Style" w:hAnsi="Bookman Old Style"/>
          <w:sz w:val="28"/>
          <w:szCs w:val="28"/>
        </w:rPr>
        <w:t>, as it was, was the basis of</w:t>
      </w:r>
      <w:r w:rsidR="00833FD8" w:rsidRPr="00DA1F0A">
        <w:rPr>
          <w:rFonts w:ascii="Bookman Old Style" w:hAnsi="Bookman Old Style"/>
          <w:sz w:val="28"/>
          <w:szCs w:val="28"/>
        </w:rPr>
        <w:t xml:space="preserve"> the court </w:t>
      </w:r>
      <w:r w:rsidR="00833FD8" w:rsidRPr="00DA1F0A">
        <w:rPr>
          <w:rFonts w:ascii="Bookman Old Style" w:hAnsi="Bookman Old Style"/>
          <w:i/>
          <w:iCs/>
          <w:sz w:val="28"/>
          <w:szCs w:val="28"/>
        </w:rPr>
        <w:t>a quo</w:t>
      </w:r>
      <w:r w:rsidR="00220240" w:rsidRPr="00DA1F0A">
        <w:rPr>
          <w:rFonts w:ascii="Bookman Old Style" w:hAnsi="Bookman Old Style"/>
          <w:sz w:val="28"/>
          <w:szCs w:val="28"/>
        </w:rPr>
        <w:t>’s decision</w:t>
      </w:r>
      <w:r w:rsidR="00833FD8" w:rsidRPr="00DA1F0A">
        <w:rPr>
          <w:rFonts w:ascii="Bookman Old Style" w:hAnsi="Bookman Old Style"/>
          <w:sz w:val="28"/>
          <w:szCs w:val="28"/>
        </w:rPr>
        <w:t>.</w:t>
      </w:r>
      <w:r w:rsidR="004669AB" w:rsidRPr="00DA1F0A">
        <w:rPr>
          <w:rFonts w:ascii="Bookman Old Style" w:hAnsi="Bookman Old Style"/>
          <w:sz w:val="28"/>
          <w:szCs w:val="28"/>
        </w:rPr>
        <w:t xml:space="preserve"> </w:t>
      </w:r>
      <w:r w:rsidR="00833FD8" w:rsidRPr="00DA1F0A">
        <w:rPr>
          <w:rFonts w:ascii="Bookman Old Style" w:hAnsi="Bookman Old Style"/>
          <w:sz w:val="28"/>
          <w:szCs w:val="28"/>
        </w:rPr>
        <w:t xml:space="preserve">The Court’s preliminary view was that the failure </w:t>
      </w:r>
      <w:r w:rsidR="0010031B" w:rsidRPr="00DA1F0A">
        <w:rPr>
          <w:rFonts w:ascii="Bookman Old Style" w:hAnsi="Bookman Old Style"/>
          <w:sz w:val="28"/>
          <w:szCs w:val="28"/>
        </w:rPr>
        <w:t>of the indictment to allege common purpose</w:t>
      </w:r>
      <w:r w:rsidR="004669AB" w:rsidRPr="00DA1F0A">
        <w:rPr>
          <w:rFonts w:ascii="Bookman Old Style" w:hAnsi="Bookman Old Style"/>
          <w:sz w:val="28"/>
          <w:szCs w:val="28"/>
        </w:rPr>
        <w:t xml:space="preserve"> was</w:t>
      </w:r>
      <w:r w:rsidR="0010031B" w:rsidRPr="00DA1F0A">
        <w:rPr>
          <w:rFonts w:ascii="Bookman Old Style" w:hAnsi="Bookman Old Style"/>
          <w:sz w:val="28"/>
          <w:szCs w:val="28"/>
        </w:rPr>
        <w:t xml:space="preserve"> potentially</w:t>
      </w:r>
      <w:r w:rsidR="004669AB" w:rsidRPr="00DA1F0A">
        <w:rPr>
          <w:rFonts w:ascii="Bookman Old Style" w:hAnsi="Bookman Old Style"/>
          <w:sz w:val="28"/>
          <w:szCs w:val="28"/>
        </w:rPr>
        <w:t xml:space="preserve"> fatal to appellant’s conviction. </w:t>
      </w:r>
    </w:p>
    <w:p w14:paraId="5B65102B" w14:textId="77777777" w:rsidR="00220240" w:rsidRPr="00220240" w:rsidRDefault="00220240" w:rsidP="00B20E47">
      <w:pPr>
        <w:pStyle w:val="ListParagraph"/>
        <w:spacing w:line="360" w:lineRule="auto"/>
        <w:ind w:hanging="720"/>
        <w:rPr>
          <w:rFonts w:ascii="Bookman Old Style" w:hAnsi="Bookman Old Style"/>
          <w:sz w:val="24"/>
          <w:szCs w:val="24"/>
        </w:rPr>
      </w:pPr>
    </w:p>
    <w:p w14:paraId="4668320C" w14:textId="79EA8BBE" w:rsidR="0010031B"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lastRenderedPageBreak/>
        <w:t>[7]</w:t>
      </w:r>
      <w:r w:rsidRPr="00DA1F0A">
        <w:rPr>
          <w:rFonts w:ascii="Bookman Old Style" w:hAnsi="Bookman Old Style"/>
          <w:sz w:val="28"/>
          <w:szCs w:val="28"/>
        </w:rPr>
        <w:tab/>
      </w:r>
      <w:r w:rsidR="00483D4E" w:rsidRPr="00DA1F0A">
        <w:rPr>
          <w:rFonts w:ascii="Bookman Old Style" w:hAnsi="Bookman Old Style"/>
          <w:sz w:val="28"/>
          <w:szCs w:val="28"/>
        </w:rPr>
        <w:t>It is</w:t>
      </w:r>
      <w:r w:rsidR="004669AB" w:rsidRPr="00DA1F0A">
        <w:rPr>
          <w:rFonts w:ascii="Bookman Old Style" w:hAnsi="Bookman Old Style"/>
          <w:sz w:val="28"/>
          <w:szCs w:val="28"/>
        </w:rPr>
        <w:t xml:space="preserve"> </w:t>
      </w:r>
      <w:r w:rsidR="00483D4E" w:rsidRPr="00DA1F0A">
        <w:rPr>
          <w:rFonts w:ascii="Bookman Old Style" w:hAnsi="Bookman Old Style"/>
          <w:sz w:val="28"/>
          <w:szCs w:val="28"/>
        </w:rPr>
        <w:t xml:space="preserve">important to set out the indictment as put to the appellant and </w:t>
      </w:r>
      <w:r w:rsidR="00220240" w:rsidRPr="00DA1F0A">
        <w:rPr>
          <w:rFonts w:ascii="Bookman Old Style" w:hAnsi="Bookman Old Style"/>
          <w:sz w:val="28"/>
          <w:szCs w:val="28"/>
        </w:rPr>
        <w:t>a</w:t>
      </w:r>
      <w:r w:rsidR="00483D4E" w:rsidRPr="00DA1F0A">
        <w:rPr>
          <w:rFonts w:ascii="Bookman Old Style" w:hAnsi="Bookman Old Style"/>
          <w:sz w:val="28"/>
          <w:szCs w:val="28"/>
        </w:rPr>
        <w:t>ccused 2</w:t>
      </w:r>
      <w:r w:rsidR="0010031B" w:rsidRPr="00DA1F0A">
        <w:rPr>
          <w:rFonts w:ascii="Bookman Old Style" w:hAnsi="Bookman Old Style"/>
          <w:sz w:val="28"/>
          <w:szCs w:val="28"/>
        </w:rPr>
        <w:t xml:space="preserve"> and the basis of appellant’s conviction as found by the trial court. </w:t>
      </w:r>
      <w:r w:rsidR="003E4A16" w:rsidRPr="00DA1F0A">
        <w:rPr>
          <w:rFonts w:ascii="Bookman Old Style" w:hAnsi="Bookman Old Style"/>
          <w:sz w:val="28"/>
          <w:szCs w:val="28"/>
        </w:rPr>
        <w:t>If t</w:t>
      </w:r>
      <w:r w:rsidR="0010031B" w:rsidRPr="00DA1F0A">
        <w:rPr>
          <w:rFonts w:ascii="Bookman Old Style" w:hAnsi="Bookman Old Style"/>
          <w:sz w:val="28"/>
          <w:szCs w:val="28"/>
        </w:rPr>
        <w:t>he Court’s inclination as expressed in the invitation to counsel is correct</w:t>
      </w:r>
      <w:r w:rsidR="008D38EC" w:rsidRPr="00DA1F0A">
        <w:rPr>
          <w:rFonts w:ascii="Bookman Old Style" w:hAnsi="Bookman Old Style"/>
          <w:sz w:val="28"/>
          <w:szCs w:val="28"/>
        </w:rPr>
        <w:t>, then</w:t>
      </w:r>
      <w:r w:rsidR="0010031B" w:rsidRPr="00DA1F0A">
        <w:rPr>
          <w:rFonts w:ascii="Bookman Old Style" w:hAnsi="Bookman Old Style"/>
          <w:sz w:val="28"/>
          <w:szCs w:val="28"/>
        </w:rPr>
        <w:t xml:space="preserve"> </w:t>
      </w:r>
      <w:r w:rsidR="00196003" w:rsidRPr="00DA1F0A">
        <w:rPr>
          <w:rFonts w:ascii="Bookman Old Style" w:hAnsi="Bookman Old Style"/>
          <w:sz w:val="28"/>
          <w:szCs w:val="28"/>
        </w:rPr>
        <w:t>that</w:t>
      </w:r>
      <w:r w:rsidR="00220240" w:rsidRPr="00DA1F0A">
        <w:rPr>
          <w:rFonts w:ascii="Bookman Old Style" w:hAnsi="Bookman Old Style"/>
          <w:sz w:val="28"/>
          <w:szCs w:val="28"/>
        </w:rPr>
        <w:t>, in my opinion,</w:t>
      </w:r>
      <w:r w:rsidR="008D38EC" w:rsidRPr="00DA1F0A">
        <w:rPr>
          <w:rFonts w:ascii="Bookman Old Style" w:hAnsi="Bookman Old Style"/>
          <w:sz w:val="28"/>
          <w:szCs w:val="28"/>
        </w:rPr>
        <w:t xml:space="preserve"> </w:t>
      </w:r>
      <w:r w:rsidR="00196003" w:rsidRPr="00DA1F0A">
        <w:rPr>
          <w:rFonts w:ascii="Bookman Old Style" w:hAnsi="Bookman Old Style"/>
          <w:sz w:val="28"/>
          <w:szCs w:val="28"/>
        </w:rPr>
        <w:t>on its own</w:t>
      </w:r>
      <w:r w:rsidR="008D38EC" w:rsidRPr="00DA1F0A">
        <w:rPr>
          <w:rFonts w:ascii="Bookman Old Style" w:hAnsi="Bookman Old Style"/>
          <w:sz w:val="28"/>
          <w:szCs w:val="28"/>
        </w:rPr>
        <w:t xml:space="preserve"> </w:t>
      </w:r>
      <w:r w:rsidR="0010031B" w:rsidRPr="00DA1F0A">
        <w:rPr>
          <w:rFonts w:ascii="Bookman Old Style" w:hAnsi="Bookman Old Style"/>
          <w:sz w:val="28"/>
          <w:szCs w:val="28"/>
        </w:rPr>
        <w:t>is dispositive of this appeal.</w:t>
      </w:r>
      <w:r w:rsidR="00537E03" w:rsidRPr="00DA1F0A">
        <w:rPr>
          <w:rFonts w:ascii="Bookman Old Style" w:hAnsi="Bookman Old Style"/>
          <w:sz w:val="28"/>
          <w:szCs w:val="28"/>
        </w:rPr>
        <w:t xml:space="preserve"> </w:t>
      </w:r>
    </w:p>
    <w:p w14:paraId="2654C795" w14:textId="77777777" w:rsidR="0010031B" w:rsidRPr="0010031B" w:rsidRDefault="0010031B" w:rsidP="00B20E47">
      <w:pPr>
        <w:pStyle w:val="ListParagraph"/>
        <w:spacing w:line="360" w:lineRule="auto"/>
        <w:ind w:hanging="720"/>
        <w:rPr>
          <w:rFonts w:ascii="Bookman Old Style" w:hAnsi="Bookman Old Style"/>
          <w:sz w:val="24"/>
          <w:szCs w:val="24"/>
        </w:rPr>
      </w:pPr>
    </w:p>
    <w:p w14:paraId="694B406B" w14:textId="37376057" w:rsidR="0010031B"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[8]</w:t>
      </w:r>
      <w:r w:rsidRPr="00DA1F0A">
        <w:rPr>
          <w:rFonts w:ascii="Bookman Old Style" w:hAnsi="Bookman Old Style"/>
          <w:sz w:val="28"/>
          <w:szCs w:val="28"/>
        </w:rPr>
        <w:tab/>
      </w:r>
      <w:r w:rsidR="0010031B" w:rsidRPr="00DA1F0A">
        <w:rPr>
          <w:rFonts w:ascii="Bookman Old Style" w:hAnsi="Bookman Old Style"/>
          <w:sz w:val="28"/>
          <w:szCs w:val="28"/>
        </w:rPr>
        <w:t>A</w:t>
      </w:r>
      <w:r w:rsidR="00451B3A" w:rsidRPr="00DA1F0A">
        <w:rPr>
          <w:rFonts w:ascii="Bookman Old Style" w:hAnsi="Bookman Old Style"/>
          <w:sz w:val="28"/>
          <w:szCs w:val="28"/>
        </w:rPr>
        <w:t xml:space="preserve">n </w:t>
      </w:r>
      <w:r w:rsidR="00537E03" w:rsidRPr="00DA1F0A">
        <w:rPr>
          <w:rFonts w:ascii="Bookman Old Style" w:hAnsi="Bookman Old Style"/>
          <w:sz w:val="28"/>
          <w:szCs w:val="28"/>
        </w:rPr>
        <w:t xml:space="preserve">indictment </w:t>
      </w:r>
      <w:r w:rsidR="0010031B" w:rsidRPr="00DA1F0A">
        <w:rPr>
          <w:rFonts w:ascii="Bookman Old Style" w:hAnsi="Bookman Old Style"/>
          <w:sz w:val="28"/>
          <w:szCs w:val="28"/>
        </w:rPr>
        <w:t xml:space="preserve">or charge </w:t>
      </w:r>
      <w:r w:rsidR="00451B3A" w:rsidRPr="00DA1F0A">
        <w:rPr>
          <w:rFonts w:ascii="Bookman Old Style" w:hAnsi="Bookman Old Style"/>
          <w:sz w:val="28"/>
          <w:szCs w:val="28"/>
        </w:rPr>
        <w:t xml:space="preserve">is intended to tell the accused person in clear and unmistakeable language what the charge is that he </w:t>
      </w:r>
      <w:proofErr w:type="gramStart"/>
      <w:r w:rsidR="00451B3A" w:rsidRPr="00DA1F0A">
        <w:rPr>
          <w:rFonts w:ascii="Bookman Old Style" w:hAnsi="Bookman Old Style"/>
          <w:sz w:val="28"/>
          <w:szCs w:val="28"/>
        </w:rPr>
        <w:t>has</w:t>
      </w:r>
      <w:r w:rsidR="004669AB" w:rsidRPr="00DA1F0A">
        <w:rPr>
          <w:rFonts w:ascii="Bookman Old Style" w:hAnsi="Bookman Old Style"/>
          <w:sz w:val="28"/>
          <w:szCs w:val="28"/>
        </w:rPr>
        <w:t xml:space="preserve"> </w:t>
      </w:r>
      <w:r w:rsidR="00451B3A" w:rsidRPr="00DA1F0A">
        <w:rPr>
          <w:rFonts w:ascii="Bookman Old Style" w:hAnsi="Bookman Old Style"/>
          <w:sz w:val="28"/>
          <w:szCs w:val="28"/>
        </w:rPr>
        <w:t>to</w:t>
      </w:r>
      <w:proofErr w:type="gramEnd"/>
      <w:r w:rsidR="00451B3A" w:rsidRPr="00DA1F0A">
        <w:rPr>
          <w:rFonts w:ascii="Bookman Old Style" w:hAnsi="Bookman Old Style"/>
          <w:sz w:val="28"/>
          <w:szCs w:val="28"/>
        </w:rPr>
        <w:t xml:space="preserve"> meet</w:t>
      </w:r>
      <w:r w:rsidR="004669AB" w:rsidRPr="00DA1F0A">
        <w:rPr>
          <w:rFonts w:ascii="Bookman Old Style" w:hAnsi="Bookman Old Style"/>
          <w:sz w:val="28"/>
          <w:szCs w:val="28"/>
        </w:rPr>
        <w:t>. T</w:t>
      </w:r>
      <w:r w:rsidR="00451B3A" w:rsidRPr="00DA1F0A">
        <w:rPr>
          <w:rFonts w:ascii="Bookman Old Style" w:hAnsi="Bookman Old Style"/>
          <w:sz w:val="28"/>
          <w:szCs w:val="28"/>
        </w:rPr>
        <w:t xml:space="preserve">he Criminal Procedure and </w:t>
      </w:r>
      <w:r w:rsidR="004669AB" w:rsidRPr="00DA1F0A">
        <w:rPr>
          <w:rFonts w:ascii="Bookman Old Style" w:hAnsi="Bookman Old Style"/>
          <w:sz w:val="28"/>
          <w:szCs w:val="28"/>
        </w:rPr>
        <w:t>E</w:t>
      </w:r>
      <w:r w:rsidR="00451B3A" w:rsidRPr="00DA1F0A">
        <w:rPr>
          <w:rFonts w:ascii="Bookman Old Style" w:hAnsi="Bookman Old Style"/>
          <w:sz w:val="28"/>
          <w:szCs w:val="28"/>
        </w:rPr>
        <w:t>vidence Act requires that a</w:t>
      </w:r>
      <w:r w:rsidR="00537E03" w:rsidRPr="00DA1F0A">
        <w:rPr>
          <w:rFonts w:ascii="Bookman Old Style" w:hAnsi="Bookman Old Style"/>
          <w:sz w:val="28"/>
          <w:szCs w:val="28"/>
        </w:rPr>
        <w:t xml:space="preserve"> charge </w:t>
      </w:r>
      <w:r w:rsidR="00451B3A" w:rsidRPr="00DA1F0A">
        <w:rPr>
          <w:rFonts w:ascii="Bookman Old Style" w:hAnsi="Bookman Old Style"/>
          <w:sz w:val="28"/>
          <w:szCs w:val="28"/>
        </w:rPr>
        <w:t>must set forth the offence with which the accused is charged in such manner, and with such particulars as to the alleged time and place of com</w:t>
      </w:r>
      <w:r w:rsidR="004669AB" w:rsidRPr="00DA1F0A">
        <w:rPr>
          <w:rFonts w:ascii="Bookman Old Style" w:hAnsi="Bookman Old Style"/>
          <w:sz w:val="28"/>
          <w:szCs w:val="28"/>
        </w:rPr>
        <w:t>m</w:t>
      </w:r>
      <w:r w:rsidR="00451B3A" w:rsidRPr="00DA1F0A">
        <w:rPr>
          <w:rFonts w:ascii="Bookman Old Style" w:hAnsi="Bookman Old Style"/>
          <w:sz w:val="28"/>
          <w:szCs w:val="28"/>
        </w:rPr>
        <w:t>i</w:t>
      </w:r>
      <w:r w:rsidR="004669AB" w:rsidRPr="00DA1F0A">
        <w:rPr>
          <w:rFonts w:ascii="Bookman Old Style" w:hAnsi="Bookman Old Style"/>
          <w:sz w:val="28"/>
          <w:szCs w:val="28"/>
        </w:rPr>
        <w:t>tti</w:t>
      </w:r>
      <w:r w:rsidR="00451B3A" w:rsidRPr="00DA1F0A">
        <w:rPr>
          <w:rFonts w:ascii="Bookman Old Style" w:hAnsi="Bookman Old Style"/>
          <w:sz w:val="28"/>
          <w:szCs w:val="28"/>
        </w:rPr>
        <w:t>ng the offence and the person, if any, against whom and the property, if any, in respect of which the offence is alleged to have been committed as may be reasonably sufficient to inform the accused person of the nature of the charge</w:t>
      </w:r>
      <w:r w:rsidR="004669AB" w:rsidRPr="00DA1F0A">
        <w:rPr>
          <w:rFonts w:ascii="Bookman Old Style" w:hAnsi="Bookman Old Style"/>
          <w:sz w:val="28"/>
          <w:szCs w:val="28"/>
        </w:rPr>
        <w:t>.</w:t>
      </w:r>
      <w:r w:rsidR="00451B3A" w:rsidRPr="00DA1F0A">
        <w:rPr>
          <w:rFonts w:ascii="Bookman Old Style" w:hAnsi="Bookman Old Style"/>
          <w:sz w:val="28"/>
          <w:szCs w:val="28"/>
        </w:rPr>
        <w:t xml:space="preserve"> </w:t>
      </w:r>
    </w:p>
    <w:p w14:paraId="06F32B1B" w14:textId="77777777" w:rsidR="0010031B" w:rsidRPr="00DA1F0A" w:rsidRDefault="0010031B" w:rsidP="0010031B">
      <w:pPr>
        <w:pStyle w:val="ListParagraph"/>
        <w:rPr>
          <w:rFonts w:ascii="Bookman Old Style" w:hAnsi="Bookman Old Style"/>
          <w:sz w:val="28"/>
          <w:szCs w:val="28"/>
        </w:rPr>
      </w:pPr>
    </w:p>
    <w:p w14:paraId="5071C00F" w14:textId="2B5306B8" w:rsidR="00065E9C"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[9]</w:t>
      </w:r>
      <w:r w:rsidRPr="00DA1F0A">
        <w:rPr>
          <w:rFonts w:ascii="Bookman Old Style" w:hAnsi="Bookman Old Style"/>
          <w:sz w:val="28"/>
          <w:szCs w:val="28"/>
        </w:rPr>
        <w:tab/>
      </w:r>
      <w:r w:rsidR="008A7123" w:rsidRPr="00DA1F0A">
        <w:rPr>
          <w:rFonts w:ascii="Bookman Old Style" w:hAnsi="Bookman Old Style"/>
          <w:sz w:val="28"/>
          <w:szCs w:val="28"/>
        </w:rPr>
        <w:t xml:space="preserve">The indictment </w:t>
      </w:r>
      <w:r w:rsidR="0010031B" w:rsidRPr="00DA1F0A">
        <w:rPr>
          <w:rFonts w:ascii="Bookman Old Style" w:hAnsi="Bookman Old Style"/>
          <w:sz w:val="28"/>
          <w:szCs w:val="28"/>
        </w:rPr>
        <w:t xml:space="preserve">in this case </w:t>
      </w:r>
      <w:r w:rsidR="008A7123" w:rsidRPr="00DA1F0A">
        <w:rPr>
          <w:rFonts w:ascii="Bookman Old Style" w:hAnsi="Bookman Old Style"/>
          <w:sz w:val="28"/>
          <w:szCs w:val="28"/>
        </w:rPr>
        <w:t>reads</w:t>
      </w:r>
      <w:r w:rsidR="00483D4E" w:rsidRPr="00DA1F0A">
        <w:rPr>
          <w:rFonts w:ascii="Bookman Old Style" w:hAnsi="Bookman Old Style"/>
          <w:sz w:val="28"/>
          <w:szCs w:val="28"/>
        </w:rPr>
        <w:t xml:space="preserve">: </w:t>
      </w:r>
    </w:p>
    <w:p w14:paraId="1106614F" w14:textId="77777777" w:rsidR="00065E9C" w:rsidRPr="00B20E47" w:rsidRDefault="00065E9C" w:rsidP="00B20E47">
      <w:pPr>
        <w:pStyle w:val="ListParagraph"/>
        <w:spacing w:line="360" w:lineRule="auto"/>
        <w:jc w:val="both"/>
        <w:rPr>
          <w:rFonts w:ascii="Bookman Old Style" w:hAnsi="Bookman Old Style"/>
        </w:rPr>
      </w:pPr>
    </w:p>
    <w:p w14:paraId="4B2B1469" w14:textId="77777777" w:rsidR="00065E9C" w:rsidRPr="00B20E47" w:rsidRDefault="00483D4E">
      <w:pPr>
        <w:pStyle w:val="ListParagraph"/>
        <w:ind w:left="1440"/>
        <w:jc w:val="both"/>
        <w:rPr>
          <w:rFonts w:ascii="Bookman Old Style" w:hAnsi="Bookman Old Style"/>
        </w:rPr>
      </w:pPr>
      <w:r w:rsidRPr="00B20E47">
        <w:rPr>
          <w:rFonts w:ascii="Bookman Old Style" w:hAnsi="Bookman Old Style"/>
        </w:rPr>
        <w:t>“</w:t>
      </w:r>
      <w:r w:rsidR="00065E9C" w:rsidRPr="00B20E47">
        <w:rPr>
          <w:rFonts w:ascii="Bookman Old Style" w:hAnsi="Bookman Old Style"/>
        </w:rPr>
        <w:t>T</w:t>
      </w:r>
      <w:r w:rsidRPr="00B20E47">
        <w:rPr>
          <w:rFonts w:ascii="Bookman Old Style" w:hAnsi="Bookman Old Style"/>
        </w:rPr>
        <w:t>he Director of Public Prosecution who as such prosecutes on behalf of The King</w:t>
      </w:r>
      <w:r w:rsidR="00065E9C" w:rsidRPr="00B20E47">
        <w:rPr>
          <w:rFonts w:ascii="Bookman Old Style" w:hAnsi="Bookman Old Style"/>
        </w:rPr>
        <w:t>,</w:t>
      </w:r>
      <w:r w:rsidRPr="00B20E47">
        <w:rPr>
          <w:rFonts w:ascii="Bookman Old Style" w:hAnsi="Bookman Old Style"/>
        </w:rPr>
        <w:t xml:space="preserve"> presents and informs the court, </w:t>
      </w:r>
    </w:p>
    <w:p w14:paraId="4B3413E4" w14:textId="77777777" w:rsidR="00065E9C" w:rsidRPr="00B20E47" w:rsidRDefault="00065E9C">
      <w:pPr>
        <w:pStyle w:val="ListParagraph"/>
        <w:ind w:left="1440"/>
        <w:jc w:val="both"/>
        <w:rPr>
          <w:rFonts w:ascii="Bookman Old Style" w:hAnsi="Bookman Old Style"/>
          <w:b/>
          <w:bCs/>
        </w:rPr>
      </w:pPr>
    </w:p>
    <w:p w14:paraId="0ABE3FB6" w14:textId="3F9ED3E7" w:rsidR="00065E9C" w:rsidRPr="00B20E47" w:rsidRDefault="00483D4E">
      <w:pPr>
        <w:pStyle w:val="ListParagraph"/>
        <w:ind w:left="1440"/>
        <w:jc w:val="both"/>
        <w:rPr>
          <w:rFonts w:ascii="Bookman Old Style" w:hAnsi="Bookman Old Style"/>
          <w:b/>
          <w:bCs/>
        </w:rPr>
      </w:pPr>
      <w:r w:rsidRPr="00B20E47">
        <w:rPr>
          <w:rFonts w:ascii="Bookman Old Style" w:hAnsi="Bookman Old Style"/>
          <w:b/>
          <w:bCs/>
        </w:rPr>
        <w:t>That</w:t>
      </w:r>
      <w:r w:rsidR="00065E9C" w:rsidRPr="00B20E47">
        <w:rPr>
          <w:rFonts w:ascii="Bookman Old Style" w:hAnsi="Bookman Old Style"/>
          <w:b/>
          <w:bCs/>
        </w:rPr>
        <w:t>:</w:t>
      </w:r>
    </w:p>
    <w:p w14:paraId="2351F30D" w14:textId="679C09D7" w:rsidR="00065E9C" w:rsidRPr="00B20E47" w:rsidRDefault="00483D4E">
      <w:pPr>
        <w:pStyle w:val="ListParagraph"/>
        <w:ind w:left="2160"/>
        <w:jc w:val="both"/>
        <w:rPr>
          <w:rFonts w:ascii="Bookman Old Style" w:hAnsi="Bookman Old Style"/>
        </w:rPr>
      </w:pPr>
      <w:r w:rsidRPr="00B20E47">
        <w:rPr>
          <w:rFonts w:ascii="Bookman Old Style" w:hAnsi="Bookman Old Style"/>
        </w:rPr>
        <w:t xml:space="preserve">1. </w:t>
      </w:r>
      <w:proofErr w:type="spellStart"/>
      <w:r w:rsidRPr="00B20E47">
        <w:rPr>
          <w:rFonts w:ascii="Bookman Old Style" w:hAnsi="Bookman Old Style"/>
          <w:b/>
          <w:bCs/>
        </w:rPr>
        <w:t>Liboche</w:t>
      </w:r>
      <w:proofErr w:type="spellEnd"/>
      <w:r w:rsidRPr="00B20E47">
        <w:rPr>
          <w:rFonts w:ascii="Bookman Old Style" w:hAnsi="Bookman Old Style"/>
          <w:b/>
          <w:bCs/>
        </w:rPr>
        <w:t xml:space="preserve"> </w:t>
      </w:r>
      <w:proofErr w:type="spellStart"/>
      <w:r w:rsidRPr="00B20E47">
        <w:rPr>
          <w:rFonts w:ascii="Bookman Old Style" w:hAnsi="Bookman Old Style"/>
          <w:b/>
          <w:bCs/>
        </w:rPr>
        <w:t>Les</w:t>
      </w:r>
      <w:r w:rsidR="00065E9C" w:rsidRPr="00B20E47">
        <w:rPr>
          <w:rFonts w:ascii="Bookman Old Style" w:hAnsi="Bookman Old Style"/>
          <w:b/>
          <w:bCs/>
        </w:rPr>
        <w:t>e</w:t>
      </w:r>
      <w:r w:rsidRPr="00B20E47">
        <w:rPr>
          <w:rFonts w:ascii="Bookman Old Style" w:hAnsi="Bookman Old Style"/>
          <w:b/>
          <w:bCs/>
        </w:rPr>
        <w:t>nya</w:t>
      </w:r>
      <w:proofErr w:type="spellEnd"/>
      <w:r w:rsidRPr="00B20E47">
        <w:rPr>
          <w:rFonts w:ascii="Bookman Old Style" w:hAnsi="Bookman Old Style"/>
        </w:rPr>
        <w:t xml:space="preserve"> a m/m adult of h/m </w:t>
      </w:r>
      <w:proofErr w:type="spellStart"/>
      <w:r w:rsidRPr="00B20E47">
        <w:rPr>
          <w:rFonts w:ascii="Bookman Old Style" w:hAnsi="Bookman Old Style"/>
        </w:rPr>
        <w:t>Lefu</w:t>
      </w:r>
      <w:proofErr w:type="spellEnd"/>
      <w:r w:rsidRPr="00B20E47">
        <w:rPr>
          <w:rFonts w:ascii="Bookman Old Style" w:hAnsi="Bookman Old Style"/>
        </w:rPr>
        <w:t xml:space="preserve"> of </w:t>
      </w:r>
      <w:proofErr w:type="spellStart"/>
      <w:r w:rsidRPr="00B20E47">
        <w:rPr>
          <w:rFonts w:ascii="Bookman Old Style" w:hAnsi="Bookman Old Style"/>
        </w:rPr>
        <w:t>Lekhobanyane</w:t>
      </w:r>
      <w:proofErr w:type="spellEnd"/>
      <w:r w:rsidRPr="00B20E47">
        <w:rPr>
          <w:rFonts w:ascii="Bookman Old Style" w:hAnsi="Bookman Old Style"/>
        </w:rPr>
        <w:t xml:space="preserve"> u/c </w:t>
      </w:r>
      <w:proofErr w:type="spellStart"/>
      <w:r w:rsidRPr="00B20E47">
        <w:rPr>
          <w:rFonts w:ascii="Bookman Old Style" w:hAnsi="Bookman Old Style"/>
        </w:rPr>
        <w:t>Masupha</w:t>
      </w:r>
      <w:proofErr w:type="spellEnd"/>
      <w:r w:rsidRPr="00B20E47">
        <w:rPr>
          <w:rFonts w:ascii="Bookman Old Style" w:hAnsi="Bookman Old Style"/>
        </w:rPr>
        <w:t xml:space="preserve"> </w:t>
      </w:r>
      <w:proofErr w:type="spellStart"/>
      <w:r w:rsidRPr="00B20E47">
        <w:rPr>
          <w:rFonts w:ascii="Bookman Old Style" w:hAnsi="Bookman Old Style"/>
        </w:rPr>
        <w:t>Seeiso</w:t>
      </w:r>
      <w:proofErr w:type="spellEnd"/>
      <w:r w:rsidRPr="00B20E47">
        <w:rPr>
          <w:rFonts w:ascii="Bookman Old Style" w:hAnsi="Bookman Old Style"/>
        </w:rPr>
        <w:t xml:space="preserve"> at </w:t>
      </w:r>
      <w:proofErr w:type="spellStart"/>
      <w:r w:rsidRPr="00B20E47">
        <w:rPr>
          <w:rFonts w:ascii="Bookman Old Style" w:hAnsi="Bookman Old Style"/>
        </w:rPr>
        <w:t>Mazenod</w:t>
      </w:r>
      <w:proofErr w:type="spellEnd"/>
      <w:r w:rsidRPr="00B20E47">
        <w:rPr>
          <w:rFonts w:ascii="Bookman Old Style" w:hAnsi="Bookman Old Style"/>
        </w:rPr>
        <w:t xml:space="preserve"> Ha-</w:t>
      </w:r>
      <w:proofErr w:type="spellStart"/>
      <w:r w:rsidRPr="00B20E47">
        <w:rPr>
          <w:rFonts w:ascii="Bookman Old Style" w:hAnsi="Bookman Old Style"/>
        </w:rPr>
        <w:t>Lekhobanyane</w:t>
      </w:r>
      <w:proofErr w:type="spellEnd"/>
      <w:r w:rsidRPr="00B20E47">
        <w:rPr>
          <w:rFonts w:ascii="Bookman Old Style" w:hAnsi="Bookman Old Style"/>
        </w:rPr>
        <w:t xml:space="preserve">, </w:t>
      </w:r>
    </w:p>
    <w:p w14:paraId="6ED180DA" w14:textId="77777777" w:rsidR="00065E9C" w:rsidRPr="00B20E47" w:rsidRDefault="00065E9C">
      <w:pPr>
        <w:pStyle w:val="ListParagraph"/>
        <w:ind w:left="2160"/>
        <w:jc w:val="both"/>
        <w:rPr>
          <w:rFonts w:ascii="Bookman Old Style" w:hAnsi="Bookman Old Style"/>
        </w:rPr>
      </w:pPr>
    </w:p>
    <w:p w14:paraId="59DBDC73" w14:textId="5FF53333" w:rsidR="00065E9C" w:rsidRPr="00B20E47" w:rsidRDefault="00483D4E">
      <w:pPr>
        <w:pStyle w:val="ListParagraph"/>
        <w:ind w:left="2160"/>
        <w:jc w:val="both"/>
        <w:rPr>
          <w:rFonts w:ascii="Bookman Old Style" w:hAnsi="Bookman Old Style"/>
        </w:rPr>
      </w:pPr>
      <w:r w:rsidRPr="00B20E47">
        <w:rPr>
          <w:rFonts w:ascii="Bookman Old Style" w:hAnsi="Bookman Old Style"/>
        </w:rPr>
        <w:t xml:space="preserve">2. </w:t>
      </w:r>
      <w:proofErr w:type="spellStart"/>
      <w:r w:rsidRPr="00B20E47">
        <w:rPr>
          <w:rFonts w:ascii="Bookman Old Style" w:hAnsi="Bookman Old Style"/>
          <w:b/>
          <w:bCs/>
        </w:rPr>
        <w:t>Ts’oanelo</w:t>
      </w:r>
      <w:proofErr w:type="spellEnd"/>
      <w:r w:rsidRPr="00B20E47">
        <w:rPr>
          <w:rFonts w:ascii="Bookman Old Style" w:hAnsi="Bookman Old Style"/>
          <w:b/>
          <w:bCs/>
        </w:rPr>
        <w:t xml:space="preserve"> </w:t>
      </w:r>
      <w:proofErr w:type="spellStart"/>
      <w:r w:rsidRPr="00B20E47">
        <w:rPr>
          <w:rFonts w:ascii="Bookman Old Style" w:hAnsi="Bookman Old Style"/>
          <w:b/>
          <w:bCs/>
        </w:rPr>
        <w:t>Lesenya</w:t>
      </w:r>
      <w:proofErr w:type="spellEnd"/>
      <w:r w:rsidRPr="00B20E47">
        <w:rPr>
          <w:rFonts w:ascii="Bookman Old Style" w:hAnsi="Bookman Old Style"/>
        </w:rPr>
        <w:t xml:space="preserve"> a m/m adult</w:t>
      </w:r>
      <w:r w:rsidR="00065E9C" w:rsidRPr="00B20E47">
        <w:rPr>
          <w:rFonts w:ascii="Bookman Old Style" w:hAnsi="Bookman Old Style"/>
        </w:rPr>
        <w:t xml:space="preserve"> of h/m Joel </w:t>
      </w:r>
      <w:proofErr w:type="spellStart"/>
      <w:r w:rsidR="00065E9C" w:rsidRPr="00B20E47">
        <w:rPr>
          <w:rFonts w:ascii="Bookman Old Style" w:hAnsi="Bookman Old Style"/>
        </w:rPr>
        <w:t>Seeiso</w:t>
      </w:r>
      <w:proofErr w:type="spellEnd"/>
      <w:r w:rsidR="00065E9C" w:rsidRPr="00B20E47">
        <w:rPr>
          <w:rFonts w:ascii="Bookman Old Style" w:hAnsi="Bookman Old Style"/>
        </w:rPr>
        <w:t xml:space="preserve"> u</w:t>
      </w:r>
      <w:r w:rsidR="008A7123" w:rsidRPr="00B20E47">
        <w:rPr>
          <w:rFonts w:ascii="Bookman Old Style" w:hAnsi="Bookman Old Style"/>
        </w:rPr>
        <w:t>/</w:t>
      </w:r>
      <w:r w:rsidR="00065E9C" w:rsidRPr="00B20E47">
        <w:rPr>
          <w:rFonts w:ascii="Bookman Old Style" w:hAnsi="Bookman Old Style"/>
        </w:rPr>
        <w:t>c</w:t>
      </w:r>
      <w:r w:rsidR="008A7123" w:rsidRPr="00B20E47">
        <w:rPr>
          <w:rFonts w:ascii="Bookman Old Style" w:hAnsi="Bookman Old Style"/>
        </w:rPr>
        <w:t xml:space="preserve"> </w:t>
      </w:r>
      <w:r w:rsidR="00065E9C" w:rsidRPr="00B20E47">
        <w:rPr>
          <w:rFonts w:ascii="Bookman Old Style" w:hAnsi="Bookman Old Style"/>
        </w:rPr>
        <w:t>at Ha-</w:t>
      </w:r>
      <w:proofErr w:type="spellStart"/>
      <w:r w:rsidR="00065E9C" w:rsidRPr="00B20E47">
        <w:rPr>
          <w:rFonts w:ascii="Bookman Old Style" w:hAnsi="Bookman Old Style"/>
        </w:rPr>
        <w:t>Makhakhe</w:t>
      </w:r>
      <w:proofErr w:type="spellEnd"/>
      <w:r w:rsidR="00065E9C" w:rsidRPr="00B20E47">
        <w:rPr>
          <w:rFonts w:ascii="Bookman Old Style" w:hAnsi="Bookman Old Style"/>
        </w:rPr>
        <w:t xml:space="preserve"> </w:t>
      </w:r>
    </w:p>
    <w:p w14:paraId="6FDC1C2E" w14:textId="42A014B9" w:rsidR="00065E9C" w:rsidRPr="00B20E47" w:rsidRDefault="00065E9C">
      <w:pPr>
        <w:pStyle w:val="ListParagraph"/>
        <w:ind w:left="1440" w:firstLine="720"/>
        <w:jc w:val="center"/>
        <w:rPr>
          <w:rFonts w:ascii="Bookman Old Style" w:hAnsi="Bookman Old Style"/>
          <w:b/>
          <w:bCs/>
          <w:u w:val="single"/>
        </w:rPr>
      </w:pPr>
      <w:r w:rsidRPr="00B20E47">
        <w:rPr>
          <w:rFonts w:ascii="Bookman Old Style" w:hAnsi="Bookman Old Style"/>
          <w:b/>
          <w:bCs/>
          <w:u w:val="single"/>
        </w:rPr>
        <w:t>(HEREINAFTER CALLED THE ACCUSED</w:t>
      </w:r>
    </w:p>
    <w:p w14:paraId="26677C94" w14:textId="588AE4BD" w:rsidR="00065E9C" w:rsidRPr="00B20E47" w:rsidRDefault="00065E9C">
      <w:pPr>
        <w:pStyle w:val="ListParagraph"/>
        <w:ind w:left="1440" w:firstLine="720"/>
        <w:jc w:val="center"/>
        <w:rPr>
          <w:rFonts w:ascii="Bookman Old Style" w:hAnsi="Bookman Old Style"/>
          <w:b/>
          <w:bCs/>
          <w:u w:val="single"/>
        </w:rPr>
      </w:pPr>
      <w:r w:rsidRPr="00B20E47">
        <w:rPr>
          <w:rFonts w:ascii="Bookman Old Style" w:hAnsi="Bookman Old Style"/>
          <w:b/>
          <w:bCs/>
          <w:u w:val="single"/>
        </w:rPr>
        <w:t>ARE GUILTY OF THE CRIME OF MURDER)</w:t>
      </w:r>
    </w:p>
    <w:p w14:paraId="63761B79" w14:textId="77777777" w:rsidR="00BE0ED0" w:rsidRPr="00B20E47" w:rsidRDefault="00BE0ED0">
      <w:pPr>
        <w:pStyle w:val="ListParagraph"/>
        <w:ind w:left="1440" w:firstLine="720"/>
        <w:jc w:val="center"/>
        <w:rPr>
          <w:rFonts w:ascii="Bookman Old Style" w:hAnsi="Bookman Old Style"/>
          <w:b/>
          <w:bCs/>
          <w:u w:val="single"/>
        </w:rPr>
      </w:pPr>
    </w:p>
    <w:p w14:paraId="54E3D158" w14:textId="6B23012C" w:rsidR="00065E9C" w:rsidRPr="00B20E47" w:rsidRDefault="00065E9C">
      <w:pPr>
        <w:pStyle w:val="ListParagraph"/>
        <w:ind w:left="1440"/>
        <w:jc w:val="both"/>
        <w:rPr>
          <w:rFonts w:ascii="Bookman Old Style" w:hAnsi="Bookman Old Style"/>
        </w:rPr>
      </w:pPr>
      <w:r w:rsidRPr="00B20E47">
        <w:rPr>
          <w:rFonts w:ascii="Bookman Old Style" w:hAnsi="Bookman Old Style"/>
        </w:rPr>
        <w:t>In that upon or about the 22</w:t>
      </w:r>
      <w:r w:rsidRPr="00B20E47">
        <w:rPr>
          <w:rFonts w:ascii="Bookman Old Style" w:hAnsi="Bookman Old Style"/>
          <w:vertAlign w:val="superscript"/>
        </w:rPr>
        <w:t>nd</w:t>
      </w:r>
      <w:r w:rsidRPr="00B20E47">
        <w:rPr>
          <w:rFonts w:ascii="Bookman Old Style" w:hAnsi="Bookman Old Style"/>
        </w:rPr>
        <w:t xml:space="preserve"> day of November 2008 at or near Ha-</w:t>
      </w:r>
      <w:proofErr w:type="spellStart"/>
      <w:r w:rsidRPr="00B20E47">
        <w:rPr>
          <w:rFonts w:ascii="Bookman Old Style" w:hAnsi="Bookman Old Style"/>
        </w:rPr>
        <w:t>Lekhobanyane</w:t>
      </w:r>
      <w:proofErr w:type="spellEnd"/>
      <w:r w:rsidRPr="00B20E47">
        <w:rPr>
          <w:rFonts w:ascii="Bookman Old Style" w:hAnsi="Bookman Old Style"/>
        </w:rPr>
        <w:t xml:space="preserve"> in the district of Maseru, the said accused did one, the </w:t>
      </w:r>
      <w:r w:rsidRPr="00B20E47">
        <w:rPr>
          <w:rFonts w:ascii="Bookman Old Style" w:hAnsi="Bookman Old Style"/>
        </w:rPr>
        <w:lastRenderedPageBreak/>
        <w:t xml:space="preserve">other or </w:t>
      </w:r>
      <w:proofErr w:type="gramStart"/>
      <w:r w:rsidRPr="00B20E47">
        <w:rPr>
          <w:rFonts w:ascii="Bookman Old Style" w:hAnsi="Bookman Old Style"/>
        </w:rPr>
        <w:t>both of them</w:t>
      </w:r>
      <w:proofErr w:type="gramEnd"/>
      <w:r w:rsidRPr="00B20E47">
        <w:rPr>
          <w:rFonts w:ascii="Bookman Old Style" w:hAnsi="Bookman Old Style"/>
        </w:rPr>
        <w:t xml:space="preserve"> unlawfully and intentionally kill one </w:t>
      </w:r>
      <w:r w:rsidRPr="00B20E47">
        <w:rPr>
          <w:rFonts w:ascii="Bookman Old Style" w:hAnsi="Bookman Old Style"/>
          <w:b/>
          <w:bCs/>
        </w:rPr>
        <w:t>‘</w:t>
      </w:r>
      <w:proofErr w:type="spellStart"/>
      <w:r w:rsidRPr="00B20E47">
        <w:rPr>
          <w:rFonts w:ascii="Bookman Old Style" w:hAnsi="Bookman Old Style"/>
          <w:b/>
          <w:bCs/>
        </w:rPr>
        <w:t>Mantai</w:t>
      </w:r>
      <w:proofErr w:type="spellEnd"/>
      <w:r w:rsidRPr="00B20E47">
        <w:rPr>
          <w:rFonts w:ascii="Bookman Old Style" w:hAnsi="Bookman Old Style"/>
          <w:b/>
          <w:bCs/>
        </w:rPr>
        <w:t xml:space="preserve"> </w:t>
      </w:r>
      <w:proofErr w:type="spellStart"/>
      <w:r w:rsidRPr="00B20E47">
        <w:rPr>
          <w:rFonts w:ascii="Bookman Old Style" w:hAnsi="Bookman Old Style"/>
          <w:b/>
          <w:bCs/>
        </w:rPr>
        <w:t>Lesenya</w:t>
      </w:r>
      <w:proofErr w:type="spellEnd"/>
      <w:r w:rsidRPr="00B20E47">
        <w:rPr>
          <w:rFonts w:ascii="Bookman Old Style" w:hAnsi="Bookman Old Style"/>
        </w:rPr>
        <w:t>.”</w:t>
      </w:r>
    </w:p>
    <w:p w14:paraId="38F0D2CC" w14:textId="77777777" w:rsidR="00065E9C" w:rsidRPr="00065E9C" w:rsidRDefault="00065E9C" w:rsidP="00065E9C">
      <w:pPr>
        <w:pStyle w:val="ListParagraph"/>
        <w:ind w:left="1440"/>
        <w:jc w:val="both"/>
        <w:rPr>
          <w:rFonts w:ascii="Bookman Old Style" w:hAnsi="Bookman Old Style"/>
          <w:sz w:val="20"/>
          <w:szCs w:val="20"/>
        </w:rPr>
      </w:pPr>
    </w:p>
    <w:p w14:paraId="3CA6AB34" w14:textId="07AEA12A" w:rsidR="00DD726B"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[10]</w:t>
      </w:r>
      <w:r w:rsidRPr="00DA1F0A">
        <w:rPr>
          <w:rFonts w:ascii="Bookman Old Style" w:hAnsi="Bookman Old Style"/>
          <w:sz w:val="28"/>
          <w:szCs w:val="28"/>
        </w:rPr>
        <w:tab/>
      </w:r>
      <w:r w:rsidR="008A7123" w:rsidRPr="00DA1F0A">
        <w:rPr>
          <w:rFonts w:ascii="Bookman Old Style" w:hAnsi="Bookman Old Style"/>
          <w:sz w:val="28"/>
          <w:szCs w:val="28"/>
        </w:rPr>
        <w:t>The importance of the indictment as framed derives from the fact</w:t>
      </w:r>
      <w:r w:rsidR="0010031B" w:rsidRPr="00DA1F0A">
        <w:rPr>
          <w:rFonts w:ascii="Bookman Old Style" w:hAnsi="Bookman Old Style"/>
          <w:sz w:val="28"/>
          <w:szCs w:val="28"/>
        </w:rPr>
        <w:t xml:space="preserve">, </w:t>
      </w:r>
      <w:r w:rsidR="00196003" w:rsidRPr="00DA1F0A">
        <w:rPr>
          <w:rFonts w:ascii="Bookman Old Style" w:hAnsi="Bookman Old Style"/>
          <w:sz w:val="28"/>
          <w:szCs w:val="28"/>
        </w:rPr>
        <w:t xml:space="preserve">as </w:t>
      </w:r>
      <w:r w:rsidR="0010031B" w:rsidRPr="00DA1F0A">
        <w:rPr>
          <w:rFonts w:ascii="Bookman Old Style" w:hAnsi="Bookman Old Style"/>
          <w:sz w:val="28"/>
          <w:szCs w:val="28"/>
        </w:rPr>
        <w:t>earlier stated,</w:t>
      </w:r>
      <w:r w:rsidR="008A7123" w:rsidRPr="00DA1F0A">
        <w:rPr>
          <w:rFonts w:ascii="Bookman Old Style" w:hAnsi="Bookman Old Style"/>
          <w:sz w:val="28"/>
          <w:szCs w:val="28"/>
        </w:rPr>
        <w:t xml:space="preserve"> that </w:t>
      </w:r>
      <w:r w:rsidR="00196003" w:rsidRPr="00DA1F0A">
        <w:rPr>
          <w:rFonts w:ascii="Bookman Old Style" w:hAnsi="Bookman Old Style"/>
          <w:sz w:val="28"/>
          <w:szCs w:val="28"/>
        </w:rPr>
        <w:t>a</w:t>
      </w:r>
      <w:r w:rsidR="008A7123" w:rsidRPr="00DA1F0A">
        <w:rPr>
          <w:rFonts w:ascii="Bookman Old Style" w:hAnsi="Bookman Old Style"/>
          <w:sz w:val="28"/>
          <w:szCs w:val="28"/>
        </w:rPr>
        <w:t xml:space="preserve">ccused 2 </w:t>
      </w:r>
      <w:r w:rsidR="00F22FA5" w:rsidRPr="00DA1F0A">
        <w:rPr>
          <w:rFonts w:ascii="Bookman Old Style" w:hAnsi="Bookman Old Style"/>
          <w:sz w:val="28"/>
          <w:szCs w:val="28"/>
        </w:rPr>
        <w:t xml:space="preserve">alone </w:t>
      </w:r>
      <w:r w:rsidR="008A7123" w:rsidRPr="00DA1F0A">
        <w:rPr>
          <w:rFonts w:ascii="Bookman Old Style" w:hAnsi="Bookman Old Style"/>
          <w:sz w:val="28"/>
          <w:szCs w:val="28"/>
        </w:rPr>
        <w:t xml:space="preserve">committed the </w:t>
      </w:r>
      <w:r w:rsidR="008A7123" w:rsidRPr="00DA1F0A">
        <w:rPr>
          <w:rFonts w:ascii="Bookman Old Style" w:hAnsi="Bookman Old Style"/>
          <w:i/>
          <w:iCs/>
          <w:sz w:val="28"/>
          <w:szCs w:val="28"/>
        </w:rPr>
        <w:t xml:space="preserve">actus </w:t>
      </w:r>
      <w:proofErr w:type="spellStart"/>
      <w:r w:rsidR="008A7123" w:rsidRPr="00DA1F0A">
        <w:rPr>
          <w:rFonts w:ascii="Bookman Old Style" w:hAnsi="Bookman Old Style"/>
          <w:i/>
          <w:iCs/>
          <w:sz w:val="28"/>
          <w:szCs w:val="28"/>
        </w:rPr>
        <w:t>reus</w:t>
      </w:r>
      <w:proofErr w:type="spellEnd"/>
      <w:r w:rsidR="008A7123" w:rsidRPr="00DA1F0A">
        <w:rPr>
          <w:rFonts w:ascii="Bookman Old Style" w:hAnsi="Bookman Old Style"/>
          <w:sz w:val="28"/>
          <w:szCs w:val="28"/>
        </w:rPr>
        <w:t xml:space="preserve"> of the offence</w:t>
      </w:r>
      <w:r w:rsidR="00E82089" w:rsidRPr="00DA1F0A">
        <w:rPr>
          <w:rFonts w:ascii="Bookman Old Style" w:hAnsi="Bookman Old Style"/>
          <w:sz w:val="28"/>
          <w:szCs w:val="28"/>
        </w:rPr>
        <w:t>. Accordingly,</w:t>
      </w:r>
      <w:r w:rsidR="008A7123" w:rsidRPr="00DA1F0A">
        <w:rPr>
          <w:rFonts w:ascii="Bookman Old Style" w:hAnsi="Bookman Old Style"/>
          <w:sz w:val="28"/>
          <w:szCs w:val="28"/>
        </w:rPr>
        <w:t xml:space="preserve"> if the appellant </w:t>
      </w:r>
      <w:r w:rsidR="00F22FA5" w:rsidRPr="00DA1F0A">
        <w:rPr>
          <w:rFonts w:ascii="Bookman Old Style" w:hAnsi="Bookman Old Style"/>
          <w:sz w:val="28"/>
          <w:szCs w:val="28"/>
        </w:rPr>
        <w:t>wa</w:t>
      </w:r>
      <w:r w:rsidR="008A7123" w:rsidRPr="00DA1F0A">
        <w:rPr>
          <w:rFonts w:ascii="Bookman Old Style" w:hAnsi="Bookman Old Style"/>
          <w:sz w:val="28"/>
          <w:szCs w:val="28"/>
        </w:rPr>
        <w:t xml:space="preserve">s </w:t>
      </w:r>
      <w:r w:rsidR="004669AB" w:rsidRPr="00DA1F0A">
        <w:rPr>
          <w:rFonts w:ascii="Bookman Old Style" w:hAnsi="Bookman Old Style"/>
          <w:sz w:val="28"/>
          <w:szCs w:val="28"/>
        </w:rPr>
        <w:t xml:space="preserve">to be found </w:t>
      </w:r>
      <w:r w:rsidR="008A7123" w:rsidRPr="00DA1F0A">
        <w:rPr>
          <w:rFonts w:ascii="Bookman Old Style" w:hAnsi="Bookman Old Style"/>
          <w:sz w:val="28"/>
          <w:szCs w:val="28"/>
        </w:rPr>
        <w:t xml:space="preserve">guilty of murder that </w:t>
      </w:r>
      <w:r w:rsidR="00F22FA5" w:rsidRPr="00DA1F0A">
        <w:rPr>
          <w:rFonts w:ascii="Bookman Old Style" w:hAnsi="Bookman Old Style"/>
          <w:sz w:val="28"/>
          <w:szCs w:val="28"/>
        </w:rPr>
        <w:t>could only</w:t>
      </w:r>
      <w:r w:rsidR="008A7123" w:rsidRPr="00DA1F0A">
        <w:rPr>
          <w:rFonts w:ascii="Bookman Old Style" w:hAnsi="Bookman Old Style"/>
          <w:sz w:val="28"/>
          <w:szCs w:val="28"/>
        </w:rPr>
        <w:t xml:space="preserve"> be on some other basis</w:t>
      </w:r>
      <w:r w:rsidR="0010031B" w:rsidRPr="00DA1F0A">
        <w:rPr>
          <w:rFonts w:ascii="Bookman Old Style" w:hAnsi="Bookman Old Style"/>
          <w:sz w:val="28"/>
          <w:szCs w:val="28"/>
        </w:rPr>
        <w:t xml:space="preserve"> </w:t>
      </w:r>
      <w:r w:rsidR="00196003" w:rsidRPr="00DA1F0A">
        <w:rPr>
          <w:rFonts w:ascii="Bookman Old Style" w:hAnsi="Bookman Old Style"/>
          <w:sz w:val="28"/>
          <w:szCs w:val="28"/>
        </w:rPr>
        <w:t>proving</w:t>
      </w:r>
      <w:r w:rsidR="0010031B" w:rsidRPr="00DA1F0A">
        <w:rPr>
          <w:rFonts w:ascii="Bookman Old Style" w:hAnsi="Bookman Old Style"/>
          <w:sz w:val="28"/>
          <w:szCs w:val="28"/>
        </w:rPr>
        <w:t xml:space="preserve"> his participation in the commission of the offence</w:t>
      </w:r>
      <w:r w:rsidR="00F22FA5" w:rsidRPr="00DA1F0A">
        <w:rPr>
          <w:rFonts w:ascii="Bookman Old Style" w:hAnsi="Bookman Old Style"/>
          <w:sz w:val="28"/>
          <w:szCs w:val="28"/>
        </w:rPr>
        <w:t>. It occurred to the Court that the omission from the indictment of any reference to the appellant acting in common purpose with his accomplices to kill ‘</w:t>
      </w:r>
      <w:proofErr w:type="spellStart"/>
      <w:r w:rsidR="00F22FA5" w:rsidRPr="00DA1F0A">
        <w:rPr>
          <w:rFonts w:ascii="Bookman Old Style" w:hAnsi="Bookman Old Style"/>
          <w:sz w:val="28"/>
          <w:szCs w:val="28"/>
        </w:rPr>
        <w:t>Mantai</w:t>
      </w:r>
      <w:proofErr w:type="spellEnd"/>
      <w:r w:rsidR="00F22FA5" w:rsidRPr="00DA1F0A">
        <w:rPr>
          <w:rFonts w:ascii="Bookman Old Style" w:hAnsi="Bookman Old Style"/>
          <w:sz w:val="28"/>
          <w:szCs w:val="28"/>
        </w:rPr>
        <w:t xml:space="preserve"> implicated his rights to a fair trial </w:t>
      </w:r>
      <w:r w:rsidR="002178B3" w:rsidRPr="00DA1F0A">
        <w:rPr>
          <w:rFonts w:ascii="Bookman Old Style" w:hAnsi="Bookman Old Style"/>
          <w:sz w:val="28"/>
          <w:szCs w:val="28"/>
        </w:rPr>
        <w:t>guaranteed by</w:t>
      </w:r>
      <w:r w:rsidR="00F22FA5" w:rsidRPr="00DA1F0A">
        <w:rPr>
          <w:rFonts w:ascii="Bookman Old Style" w:hAnsi="Bookman Old Style"/>
          <w:sz w:val="28"/>
          <w:szCs w:val="28"/>
        </w:rPr>
        <w:t xml:space="preserve"> s</w:t>
      </w:r>
      <w:r w:rsidR="008D38EC" w:rsidRPr="00DA1F0A">
        <w:rPr>
          <w:rFonts w:ascii="Bookman Old Style" w:hAnsi="Bookman Old Style"/>
          <w:sz w:val="28"/>
          <w:szCs w:val="28"/>
        </w:rPr>
        <w:t>ection</w:t>
      </w:r>
      <w:r w:rsidR="00F22FA5" w:rsidRPr="00DA1F0A">
        <w:rPr>
          <w:rFonts w:ascii="Bookman Old Style" w:hAnsi="Bookman Old Style"/>
          <w:sz w:val="28"/>
          <w:szCs w:val="28"/>
        </w:rPr>
        <w:t xml:space="preserve"> 12 of the Constitution</w:t>
      </w:r>
      <w:r w:rsidR="008D38EC" w:rsidRPr="00DA1F0A">
        <w:rPr>
          <w:rFonts w:ascii="Bookman Old Style" w:hAnsi="Bookman Old Style"/>
          <w:sz w:val="28"/>
          <w:szCs w:val="28"/>
        </w:rPr>
        <w:t>.</w:t>
      </w:r>
      <w:r w:rsidR="00860EB5" w:rsidRPr="00DA1F0A">
        <w:rPr>
          <w:rStyle w:val="FootnoteReference"/>
          <w:rFonts w:ascii="Bookman Old Style" w:hAnsi="Bookman Old Style"/>
          <w:sz w:val="28"/>
          <w:szCs w:val="28"/>
        </w:rPr>
        <w:footnoteReference w:id="1"/>
      </w:r>
      <w:r w:rsidR="00E82089" w:rsidRPr="00DA1F0A">
        <w:rPr>
          <w:rFonts w:ascii="Bookman Old Style" w:hAnsi="Bookman Old Style"/>
          <w:sz w:val="28"/>
          <w:szCs w:val="28"/>
        </w:rPr>
        <w:t xml:space="preserve"> </w:t>
      </w:r>
      <w:r w:rsidR="002178B3" w:rsidRPr="00DA1F0A">
        <w:rPr>
          <w:rFonts w:ascii="Bookman Old Style" w:hAnsi="Bookman Old Style"/>
          <w:sz w:val="28"/>
          <w:szCs w:val="28"/>
        </w:rPr>
        <w:t>The omission received no attention whatsoever at the trial and</w:t>
      </w:r>
      <w:r w:rsidR="00196003" w:rsidRPr="00DA1F0A">
        <w:rPr>
          <w:rFonts w:ascii="Bookman Old Style" w:hAnsi="Bookman Old Style"/>
          <w:sz w:val="28"/>
          <w:szCs w:val="28"/>
        </w:rPr>
        <w:t xml:space="preserve"> was</w:t>
      </w:r>
      <w:r w:rsidR="002178B3" w:rsidRPr="00DA1F0A">
        <w:rPr>
          <w:rFonts w:ascii="Bookman Old Style" w:hAnsi="Bookman Old Style"/>
          <w:sz w:val="28"/>
          <w:szCs w:val="28"/>
        </w:rPr>
        <w:t xml:space="preserve"> not canvassed in the heads of argument on appeal. </w:t>
      </w:r>
      <w:r w:rsidR="00DD726B" w:rsidRPr="00DA1F0A">
        <w:rPr>
          <w:rFonts w:ascii="Bookman Old Style" w:hAnsi="Bookman Old Style"/>
          <w:sz w:val="28"/>
          <w:szCs w:val="28"/>
        </w:rPr>
        <w:t xml:space="preserve">The conviction of the appellant </w:t>
      </w:r>
      <w:r w:rsidR="002178B3" w:rsidRPr="00DA1F0A">
        <w:rPr>
          <w:rFonts w:ascii="Bookman Old Style" w:hAnsi="Bookman Old Style"/>
          <w:sz w:val="28"/>
          <w:szCs w:val="28"/>
        </w:rPr>
        <w:t xml:space="preserve">thus </w:t>
      </w:r>
      <w:r w:rsidR="007B370A" w:rsidRPr="00DA1F0A">
        <w:rPr>
          <w:rFonts w:ascii="Bookman Old Style" w:hAnsi="Bookman Old Style"/>
          <w:sz w:val="28"/>
          <w:szCs w:val="28"/>
        </w:rPr>
        <w:t>had, unquestionably</w:t>
      </w:r>
      <w:r w:rsidR="00D308C9" w:rsidRPr="00DA1F0A">
        <w:rPr>
          <w:rFonts w:ascii="Bookman Old Style" w:hAnsi="Bookman Old Style"/>
          <w:sz w:val="28"/>
          <w:szCs w:val="28"/>
        </w:rPr>
        <w:t>, to</w:t>
      </w:r>
      <w:r w:rsidR="007B370A" w:rsidRPr="00DA1F0A">
        <w:rPr>
          <w:rFonts w:ascii="Bookman Old Style" w:hAnsi="Bookman Old Style"/>
          <w:sz w:val="28"/>
          <w:szCs w:val="28"/>
        </w:rPr>
        <w:t xml:space="preserve"> </w:t>
      </w:r>
      <w:r w:rsidR="00DD726B" w:rsidRPr="00DA1F0A">
        <w:rPr>
          <w:rFonts w:ascii="Bookman Old Style" w:hAnsi="Bookman Old Style"/>
          <w:sz w:val="28"/>
          <w:szCs w:val="28"/>
        </w:rPr>
        <w:t xml:space="preserve">depend on whether the Crown proved that he had associated with </w:t>
      </w:r>
      <w:r w:rsidR="00196003" w:rsidRPr="00DA1F0A">
        <w:rPr>
          <w:rFonts w:ascii="Bookman Old Style" w:hAnsi="Bookman Old Style"/>
          <w:sz w:val="28"/>
          <w:szCs w:val="28"/>
        </w:rPr>
        <w:t>a</w:t>
      </w:r>
      <w:r w:rsidR="00DD726B" w:rsidRPr="00DA1F0A">
        <w:rPr>
          <w:rFonts w:ascii="Bookman Old Style" w:hAnsi="Bookman Old Style"/>
          <w:sz w:val="28"/>
          <w:szCs w:val="28"/>
        </w:rPr>
        <w:t>ccused 2 and PW1</w:t>
      </w:r>
      <w:r w:rsidR="002178B3" w:rsidRPr="00DA1F0A">
        <w:rPr>
          <w:rFonts w:ascii="Bookman Old Style" w:hAnsi="Bookman Old Style"/>
          <w:sz w:val="28"/>
          <w:szCs w:val="28"/>
        </w:rPr>
        <w:t xml:space="preserve"> in committing the offence charged</w:t>
      </w:r>
      <w:r w:rsidR="00DD726B" w:rsidRPr="00DA1F0A">
        <w:rPr>
          <w:rFonts w:ascii="Bookman Old Style" w:hAnsi="Bookman Old Style"/>
          <w:sz w:val="28"/>
          <w:szCs w:val="28"/>
        </w:rPr>
        <w:t xml:space="preserve">. </w:t>
      </w:r>
    </w:p>
    <w:p w14:paraId="39F01A1B" w14:textId="77777777" w:rsidR="00DD726B" w:rsidRDefault="00DD726B" w:rsidP="00B20E47">
      <w:pPr>
        <w:pStyle w:val="ListParagraph"/>
        <w:spacing w:line="360" w:lineRule="auto"/>
        <w:ind w:hanging="720"/>
        <w:jc w:val="both"/>
        <w:rPr>
          <w:rFonts w:ascii="Bookman Old Style" w:hAnsi="Bookman Old Style"/>
          <w:sz w:val="24"/>
          <w:szCs w:val="24"/>
        </w:rPr>
      </w:pPr>
    </w:p>
    <w:p w14:paraId="5E834597" w14:textId="370AFAAF" w:rsidR="00B4098A"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[11]</w:t>
      </w:r>
      <w:r w:rsidRPr="00DA1F0A">
        <w:rPr>
          <w:rFonts w:ascii="Bookman Old Style" w:hAnsi="Bookman Old Style"/>
          <w:sz w:val="28"/>
          <w:szCs w:val="28"/>
        </w:rPr>
        <w:tab/>
      </w:r>
      <w:r w:rsidR="00E82089" w:rsidRPr="00DA1F0A">
        <w:rPr>
          <w:rFonts w:ascii="Bookman Old Style" w:hAnsi="Bookman Old Style"/>
          <w:sz w:val="28"/>
          <w:szCs w:val="28"/>
        </w:rPr>
        <w:t>T</w:t>
      </w:r>
      <w:r w:rsidR="00BE0ED0" w:rsidRPr="00DA1F0A">
        <w:rPr>
          <w:rFonts w:ascii="Bookman Old Style" w:hAnsi="Bookman Old Style"/>
          <w:sz w:val="28"/>
          <w:szCs w:val="28"/>
        </w:rPr>
        <w:t>he</w:t>
      </w:r>
      <w:r w:rsidR="008A7123" w:rsidRPr="00DA1F0A">
        <w:rPr>
          <w:rFonts w:ascii="Bookman Old Style" w:hAnsi="Bookman Old Style"/>
          <w:sz w:val="28"/>
          <w:szCs w:val="28"/>
        </w:rPr>
        <w:t xml:space="preserve"> learned judge </w:t>
      </w:r>
      <w:r w:rsidR="008A7123" w:rsidRPr="00DA1F0A">
        <w:rPr>
          <w:rFonts w:ascii="Bookman Old Style" w:hAnsi="Bookman Old Style"/>
          <w:i/>
          <w:iCs/>
          <w:sz w:val="28"/>
          <w:szCs w:val="28"/>
        </w:rPr>
        <w:t>a quo</w:t>
      </w:r>
      <w:r w:rsidR="002178B3" w:rsidRPr="00DA1F0A">
        <w:rPr>
          <w:rFonts w:ascii="Bookman Old Style" w:hAnsi="Bookman Old Style"/>
          <w:sz w:val="28"/>
          <w:szCs w:val="28"/>
        </w:rPr>
        <w:t>,</w:t>
      </w:r>
      <w:r w:rsidR="008A7123" w:rsidRPr="00DA1F0A">
        <w:rPr>
          <w:rFonts w:ascii="Bookman Old Style" w:hAnsi="Bookman Old Style"/>
          <w:i/>
          <w:iCs/>
          <w:sz w:val="28"/>
          <w:szCs w:val="28"/>
        </w:rPr>
        <w:t xml:space="preserve"> </w:t>
      </w:r>
      <w:r w:rsidR="00DD726B" w:rsidRPr="00DA1F0A">
        <w:rPr>
          <w:rFonts w:ascii="Bookman Old Style" w:hAnsi="Bookman Old Style"/>
          <w:sz w:val="28"/>
          <w:szCs w:val="28"/>
        </w:rPr>
        <w:t>bas</w:t>
      </w:r>
      <w:r w:rsidR="0010031B" w:rsidRPr="00DA1F0A">
        <w:rPr>
          <w:rFonts w:ascii="Bookman Old Style" w:hAnsi="Bookman Old Style"/>
          <w:sz w:val="28"/>
          <w:szCs w:val="28"/>
        </w:rPr>
        <w:t xml:space="preserve">ed appellant’s conviction </w:t>
      </w:r>
      <w:r w:rsidR="00DD726B" w:rsidRPr="00DA1F0A">
        <w:rPr>
          <w:rFonts w:ascii="Bookman Old Style" w:hAnsi="Bookman Old Style"/>
          <w:sz w:val="28"/>
          <w:szCs w:val="28"/>
        </w:rPr>
        <w:t>on common purpose. H</w:t>
      </w:r>
      <w:r w:rsidR="00196003" w:rsidRPr="00DA1F0A">
        <w:rPr>
          <w:rFonts w:ascii="Bookman Old Style" w:hAnsi="Bookman Old Style"/>
          <w:sz w:val="28"/>
          <w:szCs w:val="28"/>
        </w:rPr>
        <w:t>e</w:t>
      </w:r>
      <w:r w:rsidR="00DD726B" w:rsidRPr="00DA1F0A">
        <w:rPr>
          <w:rFonts w:ascii="Bookman Old Style" w:hAnsi="Bookman Old Style"/>
          <w:sz w:val="28"/>
          <w:szCs w:val="28"/>
        </w:rPr>
        <w:t xml:space="preserve"> s</w:t>
      </w:r>
      <w:r w:rsidR="008A7123" w:rsidRPr="00DA1F0A">
        <w:rPr>
          <w:rFonts w:ascii="Bookman Old Style" w:hAnsi="Bookman Old Style"/>
          <w:sz w:val="28"/>
          <w:szCs w:val="28"/>
        </w:rPr>
        <w:t xml:space="preserve">aid the following in convicting the appellant: </w:t>
      </w:r>
    </w:p>
    <w:p w14:paraId="555CBB02" w14:textId="77777777" w:rsidR="00B4098A" w:rsidRDefault="00B4098A" w:rsidP="00B4098A">
      <w:pPr>
        <w:pStyle w:val="ListParagraph"/>
        <w:jc w:val="both"/>
        <w:rPr>
          <w:rFonts w:ascii="Bookman Old Style" w:hAnsi="Bookman Old Style"/>
          <w:sz w:val="24"/>
          <w:szCs w:val="24"/>
        </w:rPr>
      </w:pPr>
    </w:p>
    <w:p w14:paraId="63BBA9BA" w14:textId="77777777" w:rsidR="00B4098A" w:rsidRPr="00B20E47" w:rsidRDefault="008A7123">
      <w:pPr>
        <w:pStyle w:val="ListParagraph"/>
        <w:ind w:left="1440"/>
        <w:jc w:val="both"/>
        <w:rPr>
          <w:rFonts w:ascii="Bookman Old Style" w:hAnsi="Bookman Old Style"/>
        </w:rPr>
      </w:pPr>
      <w:r w:rsidRPr="00B20E47">
        <w:rPr>
          <w:rFonts w:ascii="Bookman Old Style" w:hAnsi="Bookman Old Style"/>
        </w:rPr>
        <w:t>“</w:t>
      </w:r>
      <w:r w:rsidR="00AB283A" w:rsidRPr="00B20E47">
        <w:rPr>
          <w:rFonts w:ascii="Bookman Old Style" w:hAnsi="Bookman Old Style"/>
        </w:rPr>
        <w:t xml:space="preserve">[21] </w:t>
      </w:r>
      <w:r w:rsidR="00BE0ED0" w:rsidRPr="00B20E47">
        <w:rPr>
          <w:rFonts w:ascii="Bookman Old Style" w:hAnsi="Bookman Old Style"/>
        </w:rPr>
        <w:t xml:space="preserve">The case against A1 (appellant) is circumstantial, in terms of which the inferential rules as developed in </w:t>
      </w:r>
      <w:r w:rsidR="00BE0ED0" w:rsidRPr="00B20E47">
        <w:rPr>
          <w:rFonts w:ascii="Bookman Old Style" w:hAnsi="Bookman Old Style"/>
          <w:i/>
          <w:iCs/>
        </w:rPr>
        <w:t xml:space="preserve">R v </w:t>
      </w:r>
      <w:proofErr w:type="spellStart"/>
      <w:r w:rsidR="00BE0ED0" w:rsidRPr="00B20E47">
        <w:rPr>
          <w:rFonts w:ascii="Bookman Old Style" w:hAnsi="Bookman Old Style"/>
          <w:i/>
          <w:iCs/>
        </w:rPr>
        <w:t>Blom</w:t>
      </w:r>
      <w:proofErr w:type="spellEnd"/>
      <w:r w:rsidR="00BE0ED0" w:rsidRPr="00B20E47">
        <w:rPr>
          <w:rFonts w:ascii="Bookman Old Style" w:hAnsi="Bookman Old Style"/>
        </w:rPr>
        <w:t xml:space="preserve"> 193</w:t>
      </w:r>
      <w:r w:rsidR="00AB283A" w:rsidRPr="00B20E47">
        <w:rPr>
          <w:rFonts w:ascii="Bookman Old Style" w:hAnsi="Bookman Old Style"/>
        </w:rPr>
        <w:t xml:space="preserve">9 AD 288 at 202-3, must apply. The two rules are stated as follows: </w:t>
      </w:r>
    </w:p>
    <w:p w14:paraId="63367EE8" w14:textId="77777777" w:rsidR="00B4098A" w:rsidRPr="00B20E47" w:rsidRDefault="00B4098A" w:rsidP="00B20E47">
      <w:pPr>
        <w:pStyle w:val="ListParagraph"/>
        <w:jc w:val="both"/>
        <w:rPr>
          <w:rFonts w:ascii="Bookman Old Style" w:hAnsi="Bookman Old Style"/>
        </w:rPr>
      </w:pPr>
    </w:p>
    <w:p w14:paraId="30198581" w14:textId="77777777" w:rsidR="00B4098A" w:rsidRPr="00B20E47" w:rsidRDefault="00AB283A" w:rsidP="00B20E47">
      <w:pPr>
        <w:pStyle w:val="ListParagraph"/>
        <w:ind w:left="1440"/>
        <w:jc w:val="both"/>
        <w:rPr>
          <w:rFonts w:ascii="Bookman Old Style" w:hAnsi="Bookman Old Style"/>
        </w:rPr>
      </w:pPr>
      <w:r w:rsidRPr="00B20E47">
        <w:rPr>
          <w:rFonts w:ascii="Bookman Old Style" w:hAnsi="Bookman Old Style"/>
        </w:rPr>
        <w:lastRenderedPageBreak/>
        <w:t>‘(1) The inference sought to be drawn must be consistent with all the proved facts. If not, then the inference cannot be drawn.</w:t>
      </w:r>
    </w:p>
    <w:p w14:paraId="35081F29" w14:textId="3CAF6745" w:rsidR="00B4098A" w:rsidRPr="00B20E47" w:rsidRDefault="00AB283A" w:rsidP="00B20E47">
      <w:pPr>
        <w:pStyle w:val="ListParagraph"/>
        <w:jc w:val="both"/>
        <w:rPr>
          <w:rFonts w:ascii="Bookman Old Style" w:hAnsi="Bookman Old Style"/>
        </w:rPr>
      </w:pPr>
      <w:r w:rsidRPr="00B20E47">
        <w:rPr>
          <w:rFonts w:ascii="Bookman Old Style" w:hAnsi="Bookman Old Style"/>
        </w:rPr>
        <w:t xml:space="preserve"> </w:t>
      </w:r>
    </w:p>
    <w:p w14:paraId="26F9CF69" w14:textId="1F85D2F7" w:rsidR="00B4098A" w:rsidRPr="00B20E47" w:rsidRDefault="00AB283A" w:rsidP="00B20E47">
      <w:pPr>
        <w:pStyle w:val="ListParagraph"/>
        <w:ind w:left="1440"/>
        <w:jc w:val="both"/>
        <w:rPr>
          <w:rFonts w:ascii="Bookman Old Style" w:hAnsi="Bookman Old Style"/>
        </w:rPr>
      </w:pPr>
      <w:r w:rsidRPr="00B20E47">
        <w:rPr>
          <w:rFonts w:ascii="Bookman Old Style" w:hAnsi="Bookman Old Style"/>
        </w:rPr>
        <w:t xml:space="preserve">(2) </w:t>
      </w:r>
      <w:r w:rsidR="00DD726B" w:rsidRPr="00B20E47">
        <w:rPr>
          <w:rFonts w:ascii="Bookman Old Style" w:hAnsi="Bookman Old Style"/>
        </w:rPr>
        <w:t>T</w:t>
      </w:r>
      <w:r w:rsidRPr="00B20E47">
        <w:rPr>
          <w:rFonts w:ascii="Bookman Old Style" w:hAnsi="Bookman Old Style"/>
        </w:rPr>
        <w:t>he proved facts must be such that they exclude every reasonable inference from them save the one to be drawn. If they do not exclude other reasonable inferences, then there must be doubt whether the inference sought to be drawn is correct.</w:t>
      </w:r>
      <w:r w:rsidR="00B4098A" w:rsidRPr="00B20E47">
        <w:rPr>
          <w:rFonts w:ascii="Bookman Old Style" w:hAnsi="Bookman Old Style"/>
        </w:rPr>
        <w:t>’</w:t>
      </w:r>
      <w:r w:rsidRPr="00B20E47">
        <w:rPr>
          <w:rFonts w:ascii="Bookman Old Style" w:hAnsi="Bookman Old Style"/>
        </w:rPr>
        <w:t xml:space="preserve"> </w:t>
      </w:r>
    </w:p>
    <w:p w14:paraId="295ED79A" w14:textId="77777777" w:rsidR="00B4098A" w:rsidRPr="00B20E47" w:rsidRDefault="00B4098A" w:rsidP="00B20E47">
      <w:pPr>
        <w:pStyle w:val="ListParagraph"/>
        <w:jc w:val="both"/>
        <w:rPr>
          <w:rFonts w:ascii="Bookman Old Style" w:hAnsi="Bookman Old Style"/>
        </w:rPr>
      </w:pPr>
    </w:p>
    <w:p w14:paraId="7CE8B8EA" w14:textId="7CAACACB" w:rsidR="00860EB5" w:rsidRPr="00B20E47" w:rsidRDefault="00AB283A">
      <w:pPr>
        <w:pStyle w:val="ListParagraph"/>
        <w:ind w:left="1440"/>
        <w:jc w:val="both"/>
        <w:rPr>
          <w:rFonts w:ascii="Bookman Old Style" w:hAnsi="Bookman Old Style"/>
        </w:rPr>
      </w:pPr>
      <w:r w:rsidRPr="00B20E47">
        <w:rPr>
          <w:rFonts w:ascii="Bookman Old Style" w:hAnsi="Bookman Old Style"/>
        </w:rPr>
        <w:t>[22] The inference sought to be drawn in this case that A1 is complicit in his wife’s murder is consistent with proven facts:</w:t>
      </w:r>
      <w:r w:rsidR="00B4098A" w:rsidRPr="00B20E47">
        <w:rPr>
          <w:rFonts w:ascii="Bookman Old Style" w:hAnsi="Bookman Old Style"/>
        </w:rPr>
        <w:t xml:space="preserve"> </w:t>
      </w:r>
      <w:r w:rsidRPr="00B20E47">
        <w:rPr>
          <w:rFonts w:ascii="Bookman Old Style" w:hAnsi="Bookman Old Style"/>
        </w:rPr>
        <w:t xml:space="preserve">it is a proven fact that A2 used A1’s cell phone which he used to flag that he be fetched after killing the deceased. His defence that A2 used his firearm without his permission is rejected as false beyond a reasonable doubt. Curiously, A1 has not at all sought </w:t>
      </w:r>
      <w:r w:rsidR="00B4098A" w:rsidRPr="00B20E47">
        <w:rPr>
          <w:rFonts w:ascii="Bookman Old Style" w:hAnsi="Bookman Old Style"/>
        </w:rPr>
        <w:t>to explain why his cell phone got to be in the hands of A2 on that day; was it taken without his consent as well, we do not know what his explanation is regarding it, but, what is clear as it emerged during cross-examination, is that A1 was fully aware and was part of the plot to murder his wife in revenge for scalding him with hot oil. I am convinced that the State has proved its case against A1 beyond a reasonable doubt that he acted with common purpose to murder his wife. A1’s version that he was not part to the plot to kill the deceased is rejected on the score that it is false beyond any reasonable doubt.”</w:t>
      </w:r>
    </w:p>
    <w:p w14:paraId="04BCC713" w14:textId="6099874F" w:rsidR="00B4098A" w:rsidRDefault="00B4098A" w:rsidP="00B4098A">
      <w:pPr>
        <w:pStyle w:val="ListParagraph"/>
        <w:ind w:left="1440"/>
        <w:jc w:val="both"/>
        <w:rPr>
          <w:rFonts w:ascii="Bookman Old Style" w:hAnsi="Bookman Old Style"/>
          <w:sz w:val="24"/>
          <w:szCs w:val="24"/>
        </w:rPr>
      </w:pPr>
      <w:r>
        <w:rPr>
          <w:rFonts w:ascii="Bookman Old Style" w:hAnsi="Bookman Old Style"/>
          <w:sz w:val="24"/>
          <w:szCs w:val="24"/>
        </w:rPr>
        <w:t xml:space="preserve">  </w:t>
      </w:r>
    </w:p>
    <w:p w14:paraId="00E878D3" w14:textId="10D9DEC3" w:rsidR="007E0252"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[12]</w:t>
      </w:r>
      <w:r w:rsidRPr="00DA1F0A">
        <w:rPr>
          <w:rFonts w:ascii="Bookman Old Style" w:hAnsi="Bookman Old Style"/>
          <w:sz w:val="28"/>
          <w:szCs w:val="28"/>
        </w:rPr>
        <w:tab/>
      </w:r>
      <w:r w:rsidR="002178B3" w:rsidRPr="00DA1F0A">
        <w:rPr>
          <w:rFonts w:ascii="Bookman Old Style" w:hAnsi="Bookman Old Style"/>
          <w:sz w:val="28"/>
          <w:szCs w:val="28"/>
        </w:rPr>
        <w:t xml:space="preserve">It may be argued that this Court should look beyond the omission to the evidence and determine </w:t>
      </w:r>
      <w:proofErr w:type="gramStart"/>
      <w:r w:rsidR="002178B3" w:rsidRPr="00DA1F0A">
        <w:rPr>
          <w:rFonts w:ascii="Bookman Old Style" w:hAnsi="Bookman Old Style"/>
          <w:sz w:val="28"/>
          <w:szCs w:val="28"/>
        </w:rPr>
        <w:t>whether or not</w:t>
      </w:r>
      <w:proofErr w:type="gramEnd"/>
      <w:r w:rsidR="002178B3" w:rsidRPr="00DA1F0A">
        <w:rPr>
          <w:rFonts w:ascii="Bookman Old Style" w:hAnsi="Bookman Old Style"/>
          <w:sz w:val="28"/>
          <w:szCs w:val="28"/>
        </w:rPr>
        <w:t xml:space="preserve"> substantive justice has been done. I do not think that such an argument </w:t>
      </w:r>
      <w:r w:rsidR="003F6EF9" w:rsidRPr="00DA1F0A">
        <w:rPr>
          <w:rFonts w:ascii="Bookman Old Style" w:hAnsi="Bookman Old Style"/>
          <w:sz w:val="28"/>
          <w:szCs w:val="28"/>
        </w:rPr>
        <w:t xml:space="preserve">can </w:t>
      </w:r>
      <w:r w:rsidR="002178B3" w:rsidRPr="00DA1F0A">
        <w:rPr>
          <w:rFonts w:ascii="Bookman Old Style" w:hAnsi="Bookman Old Style"/>
          <w:sz w:val="28"/>
          <w:szCs w:val="28"/>
        </w:rPr>
        <w:t>hold</w:t>
      </w:r>
      <w:r w:rsidR="007E0252" w:rsidRPr="00DA1F0A">
        <w:rPr>
          <w:rFonts w:ascii="Bookman Old Style" w:hAnsi="Bookman Old Style"/>
          <w:sz w:val="28"/>
          <w:szCs w:val="28"/>
        </w:rPr>
        <w:t xml:space="preserve"> true</w:t>
      </w:r>
      <w:r w:rsidR="002178B3" w:rsidRPr="00DA1F0A">
        <w:rPr>
          <w:rFonts w:ascii="Bookman Old Style" w:hAnsi="Bookman Old Style"/>
          <w:sz w:val="28"/>
          <w:szCs w:val="28"/>
        </w:rPr>
        <w:t xml:space="preserve"> </w:t>
      </w:r>
      <w:r w:rsidR="003F6EF9" w:rsidRPr="00DA1F0A">
        <w:rPr>
          <w:rFonts w:ascii="Bookman Old Style" w:hAnsi="Bookman Old Style"/>
          <w:sz w:val="28"/>
          <w:szCs w:val="28"/>
        </w:rPr>
        <w:t xml:space="preserve">in this case </w:t>
      </w:r>
      <w:r w:rsidR="002178B3" w:rsidRPr="00DA1F0A">
        <w:rPr>
          <w:rFonts w:ascii="Bookman Old Style" w:hAnsi="Bookman Old Style"/>
          <w:sz w:val="28"/>
          <w:szCs w:val="28"/>
        </w:rPr>
        <w:t xml:space="preserve">because the </w:t>
      </w:r>
      <w:r w:rsidR="003F6EF9" w:rsidRPr="00DA1F0A">
        <w:rPr>
          <w:rFonts w:ascii="Bookman Old Style" w:hAnsi="Bookman Old Style"/>
          <w:sz w:val="28"/>
          <w:szCs w:val="28"/>
        </w:rPr>
        <w:t xml:space="preserve">correct </w:t>
      </w:r>
      <w:r w:rsidR="002178B3" w:rsidRPr="00DA1F0A">
        <w:rPr>
          <w:rFonts w:ascii="Bookman Old Style" w:hAnsi="Bookman Old Style"/>
          <w:sz w:val="28"/>
          <w:szCs w:val="28"/>
        </w:rPr>
        <w:t xml:space="preserve">framing of </w:t>
      </w:r>
      <w:r w:rsidR="003F6EF9" w:rsidRPr="00DA1F0A">
        <w:rPr>
          <w:rFonts w:ascii="Bookman Old Style" w:hAnsi="Bookman Old Style"/>
          <w:sz w:val="28"/>
          <w:szCs w:val="28"/>
        </w:rPr>
        <w:t>the</w:t>
      </w:r>
      <w:r w:rsidR="002178B3" w:rsidRPr="00DA1F0A">
        <w:rPr>
          <w:rFonts w:ascii="Bookman Old Style" w:hAnsi="Bookman Old Style"/>
          <w:sz w:val="28"/>
          <w:szCs w:val="28"/>
        </w:rPr>
        <w:t xml:space="preserve"> charge </w:t>
      </w:r>
      <w:r w:rsidR="003F6EF9" w:rsidRPr="00DA1F0A">
        <w:rPr>
          <w:rFonts w:ascii="Bookman Old Style" w:hAnsi="Bookman Old Style"/>
          <w:sz w:val="28"/>
          <w:szCs w:val="28"/>
        </w:rPr>
        <w:t>wa</w:t>
      </w:r>
      <w:r w:rsidR="002178B3" w:rsidRPr="00DA1F0A">
        <w:rPr>
          <w:rFonts w:ascii="Bookman Old Style" w:hAnsi="Bookman Old Style"/>
          <w:sz w:val="28"/>
          <w:szCs w:val="28"/>
        </w:rPr>
        <w:t xml:space="preserve">s such a fundamental </w:t>
      </w:r>
      <w:r w:rsidR="00F028AB" w:rsidRPr="00DA1F0A">
        <w:rPr>
          <w:rFonts w:ascii="Bookman Old Style" w:hAnsi="Bookman Old Style"/>
          <w:sz w:val="28"/>
          <w:szCs w:val="28"/>
        </w:rPr>
        <w:t xml:space="preserve">matter of procedure </w:t>
      </w:r>
      <w:r w:rsidR="007E0252" w:rsidRPr="00DA1F0A">
        <w:rPr>
          <w:rFonts w:ascii="Bookman Old Style" w:hAnsi="Bookman Old Style"/>
          <w:sz w:val="28"/>
          <w:szCs w:val="28"/>
        </w:rPr>
        <w:t xml:space="preserve">and substance </w:t>
      </w:r>
      <w:r w:rsidR="00F028AB" w:rsidRPr="00DA1F0A">
        <w:rPr>
          <w:rFonts w:ascii="Bookman Old Style" w:hAnsi="Bookman Old Style"/>
          <w:sz w:val="28"/>
          <w:szCs w:val="28"/>
        </w:rPr>
        <w:t xml:space="preserve">that it cannot be ignored unless the proper preparation of indictments and </w:t>
      </w:r>
      <w:r w:rsidR="00860EB5" w:rsidRPr="00DA1F0A">
        <w:rPr>
          <w:rFonts w:ascii="Bookman Old Style" w:hAnsi="Bookman Old Style"/>
          <w:sz w:val="28"/>
          <w:szCs w:val="28"/>
        </w:rPr>
        <w:t xml:space="preserve">the making of </w:t>
      </w:r>
      <w:r w:rsidR="003F6EF9" w:rsidRPr="00DA1F0A">
        <w:rPr>
          <w:rFonts w:ascii="Bookman Old Style" w:hAnsi="Bookman Old Style"/>
          <w:sz w:val="28"/>
          <w:szCs w:val="28"/>
        </w:rPr>
        <w:t xml:space="preserve">any </w:t>
      </w:r>
      <w:r w:rsidR="00F028AB" w:rsidRPr="00DA1F0A">
        <w:rPr>
          <w:rFonts w:ascii="Bookman Old Style" w:hAnsi="Bookman Old Style"/>
          <w:sz w:val="28"/>
          <w:szCs w:val="28"/>
        </w:rPr>
        <w:t>necessary amendments thereto are no longer a vital part of our criminal justice system. Counsel’</w:t>
      </w:r>
      <w:r w:rsidR="007E0252" w:rsidRPr="00DA1F0A">
        <w:rPr>
          <w:rFonts w:ascii="Bookman Old Style" w:hAnsi="Bookman Old Style"/>
          <w:sz w:val="28"/>
          <w:szCs w:val="28"/>
        </w:rPr>
        <w:t>s</w:t>
      </w:r>
      <w:r w:rsidR="00F028AB" w:rsidRPr="00DA1F0A">
        <w:rPr>
          <w:rFonts w:ascii="Bookman Old Style" w:hAnsi="Bookman Old Style"/>
          <w:sz w:val="28"/>
          <w:szCs w:val="28"/>
        </w:rPr>
        <w:t xml:space="preserve"> broad submissions on the omission was no more than that </w:t>
      </w:r>
      <w:r w:rsidR="007E0252" w:rsidRPr="00DA1F0A">
        <w:rPr>
          <w:rFonts w:ascii="Bookman Old Style" w:hAnsi="Bookman Old Style"/>
          <w:sz w:val="28"/>
          <w:szCs w:val="28"/>
        </w:rPr>
        <w:t>that is how</w:t>
      </w:r>
      <w:r w:rsidR="00F028AB" w:rsidRPr="00DA1F0A">
        <w:rPr>
          <w:rFonts w:ascii="Bookman Old Style" w:hAnsi="Bookman Old Style"/>
          <w:sz w:val="28"/>
          <w:szCs w:val="28"/>
        </w:rPr>
        <w:t xml:space="preserve"> </w:t>
      </w:r>
      <w:r w:rsidR="007E0252" w:rsidRPr="00DA1F0A">
        <w:rPr>
          <w:rFonts w:ascii="Bookman Old Style" w:hAnsi="Bookman Old Style"/>
          <w:sz w:val="28"/>
          <w:szCs w:val="28"/>
        </w:rPr>
        <w:t>an</w:t>
      </w:r>
      <w:r w:rsidR="00F028AB" w:rsidRPr="00DA1F0A">
        <w:rPr>
          <w:rFonts w:ascii="Bookman Old Style" w:hAnsi="Bookman Old Style"/>
          <w:sz w:val="28"/>
          <w:szCs w:val="28"/>
        </w:rPr>
        <w:t xml:space="preserve"> indictment </w:t>
      </w:r>
      <w:r w:rsidR="007E0252" w:rsidRPr="00DA1F0A">
        <w:rPr>
          <w:rFonts w:ascii="Bookman Old Style" w:hAnsi="Bookman Old Style"/>
          <w:sz w:val="28"/>
          <w:szCs w:val="28"/>
        </w:rPr>
        <w:t xml:space="preserve">for murder </w:t>
      </w:r>
      <w:r w:rsidR="00F028AB" w:rsidRPr="00DA1F0A">
        <w:rPr>
          <w:rFonts w:ascii="Bookman Old Style" w:hAnsi="Bookman Old Style"/>
          <w:sz w:val="28"/>
          <w:szCs w:val="28"/>
        </w:rPr>
        <w:t>is framed and ha</w:t>
      </w:r>
      <w:r w:rsidR="007E0252" w:rsidRPr="00DA1F0A">
        <w:rPr>
          <w:rFonts w:ascii="Bookman Old Style" w:hAnsi="Bookman Old Style"/>
          <w:sz w:val="28"/>
          <w:szCs w:val="28"/>
        </w:rPr>
        <w:t>s</w:t>
      </w:r>
      <w:r w:rsidR="00F028AB" w:rsidRPr="00DA1F0A">
        <w:rPr>
          <w:rFonts w:ascii="Bookman Old Style" w:hAnsi="Bookman Old Style"/>
          <w:sz w:val="28"/>
          <w:szCs w:val="28"/>
        </w:rPr>
        <w:t xml:space="preserve"> always been </w:t>
      </w:r>
      <w:r w:rsidR="003F6EF9" w:rsidRPr="00DA1F0A">
        <w:rPr>
          <w:rFonts w:ascii="Bookman Old Style" w:hAnsi="Bookman Old Style"/>
          <w:sz w:val="28"/>
          <w:szCs w:val="28"/>
        </w:rPr>
        <w:t>formulated</w:t>
      </w:r>
      <w:r w:rsidR="00F028AB" w:rsidRPr="00DA1F0A">
        <w:rPr>
          <w:rFonts w:ascii="Bookman Old Style" w:hAnsi="Bookman Old Style"/>
          <w:sz w:val="28"/>
          <w:szCs w:val="28"/>
        </w:rPr>
        <w:t xml:space="preserve"> in this jurisdiction. That</w:t>
      </w:r>
      <w:r w:rsidR="00860EB5" w:rsidRPr="00DA1F0A">
        <w:rPr>
          <w:rFonts w:ascii="Bookman Old Style" w:hAnsi="Bookman Old Style"/>
          <w:sz w:val="28"/>
          <w:szCs w:val="28"/>
        </w:rPr>
        <w:t>,</w:t>
      </w:r>
      <w:r w:rsidR="00F028AB" w:rsidRPr="00DA1F0A">
        <w:rPr>
          <w:rFonts w:ascii="Bookman Old Style" w:hAnsi="Bookman Old Style"/>
          <w:sz w:val="28"/>
          <w:szCs w:val="28"/>
        </w:rPr>
        <w:t xml:space="preserve"> to me</w:t>
      </w:r>
      <w:r w:rsidR="00860EB5" w:rsidRPr="00DA1F0A">
        <w:rPr>
          <w:rFonts w:ascii="Bookman Old Style" w:hAnsi="Bookman Old Style"/>
          <w:sz w:val="28"/>
          <w:szCs w:val="28"/>
        </w:rPr>
        <w:t>,</w:t>
      </w:r>
      <w:r w:rsidR="00F028AB" w:rsidRPr="00DA1F0A">
        <w:rPr>
          <w:rFonts w:ascii="Bookman Old Style" w:hAnsi="Bookman Old Style"/>
          <w:sz w:val="28"/>
          <w:szCs w:val="28"/>
        </w:rPr>
        <w:t xml:space="preserve"> cannot be </w:t>
      </w:r>
      <w:proofErr w:type="gramStart"/>
      <w:r w:rsidR="00F028AB" w:rsidRPr="00DA1F0A">
        <w:rPr>
          <w:rFonts w:ascii="Bookman Old Style" w:hAnsi="Bookman Old Style"/>
          <w:sz w:val="28"/>
          <w:szCs w:val="28"/>
        </w:rPr>
        <w:t>sufficient</w:t>
      </w:r>
      <w:proofErr w:type="gramEnd"/>
      <w:r w:rsidR="00F028AB" w:rsidRPr="00DA1F0A">
        <w:rPr>
          <w:rFonts w:ascii="Bookman Old Style" w:hAnsi="Bookman Old Style"/>
          <w:sz w:val="28"/>
          <w:szCs w:val="28"/>
        </w:rPr>
        <w:t xml:space="preserve"> justification for adopting a</w:t>
      </w:r>
      <w:r w:rsidR="00860EB5" w:rsidRPr="00DA1F0A">
        <w:rPr>
          <w:rFonts w:ascii="Bookman Old Style" w:hAnsi="Bookman Old Style"/>
          <w:sz w:val="28"/>
          <w:szCs w:val="28"/>
        </w:rPr>
        <w:t>n approach</w:t>
      </w:r>
      <w:r w:rsidR="00F028AB" w:rsidRPr="00DA1F0A">
        <w:rPr>
          <w:rFonts w:ascii="Bookman Old Style" w:hAnsi="Bookman Old Style"/>
          <w:sz w:val="28"/>
          <w:szCs w:val="28"/>
        </w:rPr>
        <w:t xml:space="preserve"> potentially prejudi</w:t>
      </w:r>
      <w:r w:rsidR="00860EB5" w:rsidRPr="00DA1F0A">
        <w:rPr>
          <w:rFonts w:ascii="Bookman Old Style" w:hAnsi="Bookman Old Style"/>
          <w:sz w:val="28"/>
          <w:szCs w:val="28"/>
        </w:rPr>
        <w:t xml:space="preserve">cial to an </w:t>
      </w:r>
      <w:r w:rsidR="00860EB5" w:rsidRPr="00DA1F0A">
        <w:rPr>
          <w:rFonts w:ascii="Bookman Old Style" w:hAnsi="Bookman Old Style"/>
          <w:sz w:val="28"/>
          <w:szCs w:val="28"/>
        </w:rPr>
        <w:lastRenderedPageBreak/>
        <w:t>accused person’s fair trial rights especially when such person is charged with so serious an offence as murder.</w:t>
      </w:r>
    </w:p>
    <w:p w14:paraId="50F1369A" w14:textId="77777777" w:rsidR="00765BD9" w:rsidRDefault="00765BD9" w:rsidP="007E0252">
      <w:pPr>
        <w:pStyle w:val="ListParagraph"/>
        <w:jc w:val="both"/>
        <w:rPr>
          <w:rFonts w:ascii="Bookman Old Style" w:hAnsi="Bookman Old Style"/>
          <w:b/>
          <w:bCs/>
          <w:sz w:val="24"/>
          <w:szCs w:val="24"/>
        </w:rPr>
      </w:pPr>
    </w:p>
    <w:p w14:paraId="32E4191D" w14:textId="50C88BB5" w:rsidR="007E0252" w:rsidRPr="00DA1F0A" w:rsidRDefault="00765BD9" w:rsidP="00B20E47">
      <w:pPr>
        <w:pStyle w:val="ListParagraph"/>
        <w:spacing w:line="360" w:lineRule="auto"/>
        <w:ind w:hanging="720"/>
        <w:jc w:val="both"/>
        <w:rPr>
          <w:rFonts w:ascii="Bookman Old Style" w:hAnsi="Bookman Old Style"/>
          <w:b/>
          <w:bCs/>
          <w:sz w:val="28"/>
          <w:szCs w:val="28"/>
        </w:rPr>
      </w:pPr>
      <w:r w:rsidRPr="00DA1F0A">
        <w:rPr>
          <w:rFonts w:ascii="Bookman Old Style" w:hAnsi="Bookman Old Style"/>
          <w:b/>
          <w:bCs/>
          <w:sz w:val="28"/>
          <w:szCs w:val="28"/>
        </w:rPr>
        <w:t>Necessity of disclosing reliance on common purpose</w:t>
      </w:r>
    </w:p>
    <w:p w14:paraId="4CB28CAC" w14:textId="66DF54C9" w:rsidR="00B4098A"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[13]</w:t>
      </w:r>
      <w:r w:rsidRPr="00DA1F0A">
        <w:rPr>
          <w:rFonts w:ascii="Bookman Old Style" w:hAnsi="Bookman Old Style"/>
          <w:sz w:val="28"/>
          <w:szCs w:val="28"/>
        </w:rPr>
        <w:tab/>
      </w:r>
      <w:r w:rsidR="00644FC4" w:rsidRPr="00DA1F0A">
        <w:rPr>
          <w:rFonts w:ascii="Bookman Old Style" w:hAnsi="Bookman Old Style"/>
          <w:sz w:val="28"/>
          <w:szCs w:val="28"/>
        </w:rPr>
        <w:t xml:space="preserve">The right to a fair trial necessarily includes the right to be informed of the charge with </w:t>
      </w:r>
      <w:proofErr w:type="gramStart"/>
      <w:r w:rsidR="00644FC4" w:rsidRPr="00DA1F0A">
        <w:rPr>
          <w:rFonts w:ascii="Bookman Old Style" w:hAnsi="Bookman Old Style"/>
          <w:sz w:val="28"/>
          <w:szCs w:val="28"/>
        </w:rPr>
        <w:t>sufficient</w:t>
      </w:r>
      <w:proofErr w:type="gramEnd"/>
      <w:r w:rsidR="00644FC4" w:rsidRPr="00DA1F0A">
        <w:rPr>
          <w:rFonts w:ascii="Bookman Old Style" w:hAnsi="Bookman Old Style"/>
          <w:sz w:val="28"/>
          <w:szCs w:val="28"/>
        </w:rPr>
        <w:t xml:space="preserve"> detail to answer it. Where therefore the Crown intends to rely on common purpose, it must communicate its intention in the indictment clearly and unambiguously. If the evidence of the Crown proves common purpose, the Crown can </w:t>
      </w:r>
      <w:r w:rsidR="009213C2" w:rsidRPr="00DA1F0A">
        <w:rPr>
          <w:rFonts w:ascii="Bookman Old Style" w:hAnsi="Bookman Old Style"/>
          <w:sz w:val="28"/>
          <w:szCs w:val="28"/>
        </w:rPr>
        <w:t xml:space="preserve">even </w:t>
      </w:r>
      <w:r w:rsidR="00644FC4" w:rsidRPr="00DA1F0A">
        <w:rPr>
          <w:rFonts w:ascii="Bookman Old Style" w:hAnsi="Bookman Old Style"/>
          <w:sz w:val="28"/>
          <w:szCs w:val="28"/>
        </w:rPr>
        <w:t xml:space="preserve">amend the indictment after all the evidence has been </w:t>
      </w:r>
      <w:r w:rsidR="009213C2" w:rsidRPr="00DA1F0A">
        <w:rPr>
          <w:rFonts w:ascii="Bookman Old Style" w:hAnsi="Bookman Old Style"/>
          <w:sz w:val="28"/>
          <w:szCs w:val="28"/>
        </w:rPr>
        <w:t>le</w:t>
      </w:r>
      <w:r w:rsidR="00765BD9" w:rsidRPr="00DA1F0A">
        <w:rPr>
          <w:rFonts w:ascii="Bookman Old Style" w:hAnsi="Bookman Old Style"/>
          <w:sz w:val="28"/>
          <w:szCs w:val="28"/>
        </w:rPr>
        <w:t xml:space="preserve">d. </w:t>
      </w:r>
      <w:proofErr w:type="gramStart"/>
      <w:r w:rsidR="00765BD9" w:rsidRPr="00DA1F0A">
        <w:rPr>
          <w:rFonts w:ascii="Bookman Old Style" w:hAnsi="Bookman Old Style"/>
          <w:sz w:val="28"/>
          <w:szCs w:val="28"/>
        </w:rPr>
        <w:t>Generally speaking, a</w:t>
      </w:r>
      <w:proofErr w:type="gramEnd"/>
      <w:r w:rsidR="00644FC4" w:rsidRPr="00DA1F0A">
        <w:rPr>
          <w:rFonts w:ascii="Bookman Old Style" w:hAnsi="Bookman Old Style"/>
          <w:sz w:val="28"/>
          <w:szCs w:val="28"/>
        </w:rPr>
        <w:t xml:space="preserve"> trial court has the power to amend the indictment at any stage before judgment is delivered</w:t>
      </w:r>
      <w:r w:rsidR="009213C2" w:rsidRPr="00DA1F0A">
        <w:rPr>
          <w:rFonts w:ascii="Bookman Old Style" w:hAnsi="Bookman Old Style"/>
          <w:sz w:val="28"/>
          <w:szCs w:val="28"/>
        </w:rPr>
        <w:t xml:space="preserve"> regard being had to prejudice to the accused</w:t>
      </w:r>
      <w:r w:rsidR="00644FC4" w:rsidRPr="00DA1F0A">
        <w:rPr>
          <w:rFonts w:ascii="Bookman Old Style" w:hAnsi="Bookman Old Style"/>
          <w:sz w:val="28"/>
          <w:szCs w:val="28"/>
        </w:rPr>
        <w:t>.</w:t>
      </w:r>
      <w:r w:rsidR="00765BD9" w:rsidRPr="00DA1F0A">
        <w:rPr>
          <w:rFonts w:ascii="Bookman Old Style" w:hAnsi="Bookman Old Style"/>
          <w:sz w:val="28"/>
          <w:szCs w:val="28"/>
        </w:rPr>
        <w:t xml:space="preserve"> In this case the Crown did not allege common purpose, as it should have or amended the indictment </w:t>
      </w:r>
      <w:r w:rsidR="00B93B5E" w:rsidRPr="00DA1F0A">
        <w:rPr>
          <w:rFonts w:ascii="Bookman Old Style" w:hAnsi="Bookman Old Style"/>
          <w:sz w:val="28"/>
          <w:szCs w:val="28"/>
        </w:rPr>
        <w:t>before judgment. It can be assumed that the appellant must have been shocked to learn, as the judgment was read out to him that, although he did not himself physically kill his wife, he was guilty of her murder based on the doctrine of common purpose.</w:t>
      </w:r>
    </w:p>
    <w:p w14:paraId="20BDC907" w14:textId="77777777" w:rsidR="005D2A79" w:rsidRDefault="005D2A79" w:rsidP="005D2A79">
      <w:pPr>
        <w:pStyle w:val="ListParagraph"/>
        <w:jc w:val="both"/>
        <w:rPr>
          <w:rFonts w:ascii="Bookman Old Style" w:hAnsi="Bookman Old Style"/>
          <w:sz w:val="24"/>
          <w:szCs w:val="24"/>
        </w:rPr>
      </w:pPr>
    </w:p>
    <w:p w14:paraId="07E8AA19" w14:textId="1264DCDA" w:rsidR="00860EB5"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[14]</w:t>
      </w:r>
      <w:r w:rsidRPr="00DA1F0A">
        <w:rPr>
          <w:rFonts w:ascii="Bookman Old Style" w:hAnsi="Bookman Old Style"/>
          <w:sz w:val="28"/>
          <w:szCs w:val="28"/>
        </w:rPr>
        <w:tab/>
      </w:r>
      <w:r w:rsidR="00B328A8" w:rsidRPr="00DA1F0A">
        <w:rPr>
          <w:rFonts w:ascii="Bookman Old Style" w:hAnsi="Bookman Old Style"/>
          <w:sz w:val="28"/>
          <w:szCs w:val="28"/>
        </w:rPr>
        <w:t xml:space="preserve">In </w:t>
      </w:r>
      <w:proofErr w:type="spellStart"/>
      <w:r w:rsidR="00B328A8" w:rsidRPr="00DA1F0A">
        <w:rPr>
          <w:rFonts w:ascii="Bookman Old Style" w:hAnsi="Bookman Old Style"/>
          <w:i/>
          <w:iCs/>
          <w:sz w:val="28"/>
          <w:szCs w:val="28"/>
        </w:rPr>
        <w:t>Ntuli</w:t>
      </w:r>
      <w:proofErr w:type="spellEnd"/>
      <w:r w:rsidR="00B328A8" w:rsidRPr="00DA1F0A">
        <w:rPr>
          <w:rFonts w:ascii="Bookman Old Style" w:hAnsi="Bookman Old Style"/>
          <w:i/>
          <w:iCs/>
          <w:sz w:val="28"/>
          <w:szCs w:val="28"/>
        </w:rPr>
        <w:t xml:space="preserve"> &amp; another v S</w:t>
      </w:r>
      <w:r w:rsidR="007E0252" w:rsidRPr="00DA1F0A">
        <w:rPr>
          <w:rFonts w:ascii="Bookman Old Style" w:hAnsi="Bookman Old Style"/>
          <w:i/>
          <w:iCs/>
          <w:sz w:val="28"/>
          <w:szCs w:val="28"/>
        </w:rPr>
        <w:t xml:space="preserve"> </w:t>
      </w:r>
      <w:r w:rsidR="00B328A8" w:rsidRPr="00DA1F0A">
        <w:rPr>
          <w:rStyle w:val="FootnoteReference"/>
          <w:rFonts w:ascii="Bookman Old Style" w:hAnsi="Bookman Old Style"/>
          <w:sz w:val="28"/>
          <w:szCs w:val="28"/>
        </w:rPr>
        <w:footnoteReference w:id="2"/>
      </w:r>
      <w:r w:rsidR="005D2A79" w:rsidRPr="00DA1F0A">
        <w:rPr>
          <w:rFonts w:ascii="Bookman Old Style" w:hAnsi="Bookman Old Style"/>
          <w:i/>
          <w:iCs/>
          <w:sz w:val="28"/>
          <w:szCs w:val="28"/>
        </w:rPr>
        <w:t>,</w:t>
      </w:r>
      <w:r w:rsidR="00B328A8" w:rsidRPr="00DA1F0A">
        <w:rPr>
          <w:rFonts w:ascii="Bookman Old Style" w:hAnsi="Bookman Old Style"/>
          <w:sz w:val="28"/>
          <w:szCs w:val="28"/>
        </w:rPr>
        <w:t xml:space="preserve"> </w:t>
      </w:r>
      <w:r w:rsidR="005D2A79" w:rsidRPr="00DA1F0A">
        <w:rPr>
          <w:rFonts w:ascii="Bookman Old Style" w:hAnsi="Bookman Old Style"/>
          <w:sz w:val="28"/>
          <w:szCs w:val="28"/>
        </w:rPr>
        <w:t>a</w:t>
      </w:r>
      <w:r w:rsidR="00B328A8" w:rsidRPr="00DA1F0A">
        <w:rPr>
          <w:rFonts w:ascii="Bookman Old Style" w:hAnsi="Bookman Old Style"/>
          <w:sz w:val="28"/>
          <w:szCs w:val="28"/>
        </w:rPr>
        <w:t xml:space="preserve"> judgment</w:t>
      </w:r>
      <w:r w:rsidR="005D2A79" w:rsidRPr="00DA1F0A">
        <w:rPr>
          <w:rFonts w:ascii="Bookman Old Style" w:hAnsi="Bookman Old Style"/>
          <w:sz w:val="28"/>
          <w:szCs w:val="28"/>
        </w:rPr>
        <w:t xml:space="preserve"> </w:t>
      </w:r>
      <w:r w:rsidR="007E0252" w:rsidRPr="00DA1F0A">
        <w:rPr>
          <w:rFonts w:ascii="Bookman Old Style" w:hAnsi="Bookman Old Style"/>
          <w:sz w:val="28"/>
          <w:szCs w:val="28"/>
        </w:rPr>
        <w:t xml:space="preserve">that has persuasive value </w:t>
      </w:r>
      <w:r w:rsidR="005D2A79" w:rsidRPr="00DA1F0A">
        <w:rPr>
          <w:rFonts w:ascii="Bookman Old Style" w:hAnsi="Bookman Old Style"/>
          <w:sz w:val="28"/>
          <w:szCs w:val="28"/>
        </w:rPr>
        <w:t>in this country,</w:t>
      </w:r>
      <w:r w:rsidR="00B328A8" w:rsidRPr="00DA1F0A">
        <w:rPr>
          <w:rFonts w:ascii="Bookman Old Style" w:hAnsi="Bookman Old Style"/>
          <w:sz w:val="28"/>
          <w:szCs w:val="28"/>
        </w:rPr>
        <w:t xml:space="preserve"> </w:t>
      </w:r>
      <w:r w:rsidR="007E0252" w:rsidRPr="00DA1F0A">
        <w:rPr>
          <w:rFonts w:ascii="Bookman Old Style" w:hAnsi="Bookman Old Style"/>
          <w:sz w:val="28"/>
          <w:szCs w:val="28"/>
        </w:rPr>
        <w:t xml:space="preserve">the court </w:t>
      </w:r>
      <w:r w:rsidR="00B328A8" w:rsidRPr="00DA1F0A">
        <w:rPr>
          <w:rFonts w:ascii="Bookman Old Style" w:hAnsi="Bookman Old Style"/>
          <w:sz w:val="28"/>
          <w:szCs w:val="28"/>
        </w:rPr>
        <w:t xml:space="preserve">said </w:t>
      </w:r>
      <w:r w:rsidR="007E0252" w:rsidRPr="00DA1F0A">
        <w:rPr>
          <w:rFonts w:ascii="Bookman Old Style" w:hAnsi="Bookman Old Style"/>
          <w:sz w:val="28"/>
          <w:szCs w:val="28"/>
        </w:rPr>
        <w:t xml:space="preserve">that whether </w:t>
      </w:r>
      <w:r w:rsidR="00B93B5E" w:rsidRPr="00DA1F0A">
        <w:rPr>
          <w:rFonts w:ascii="Bookman Old Style" w:hAnsi="Bookman Old Style"/>
          <w:sz w:val="28"/>
          <w:szCs w:val="28"/>
        </w:rPr>
        <w:t xml:space="preserve">or not </w:t>
      </w:r>
      <w:r w:rsidR="007E0252" w:rsidRPr="00DA1F0A">
        <w:rPr>
          <w:rFonts w:ascii="Bookman Old Style" w:hAnsi="Bookman Old Style"/>
          <w:sz w:val="28"/>
          <w:szCs w:val="28"/>
        </w:rPr>
        <w:t xml:space="preserve">reference to reliance on common purpose in an indictment </w:t>
      </w:r>
      <w:r w:rsidR="003F6EF9" w:rsidRPr="00DA1F0A">
        <w:rPr>
          <w:rFonts w:ascii="Bookman Old Style" w:hAnsi="Bookman Old Style"/>
          <w:sz w:val="28"/>
          <w:szCs w:val="28"/>
        </w:rPr>
        <w:t xml:space="preserve">should be made </w:t>
      </w:r>
      <w:r w:rsidR="00B328A8" w:rsidRPr="00DA1F0A">
        <w:rPr>
          <w:rFonts w:ascii="Bookman Old Style" w:hAnsi="Bookman Old Style"/>
          <w:sz w:val="28"/>
          <w:szCs w:val="28"/>
        </w:rPr>
        <w:t>turns on whether an accused has a fair trial or is prejudiced</w:t>
      </w:r>
      <w:r w:rsidR="003F6EF9" w:rsidRPr="00DA1F0A">
        <w:rPr>
          <w:rFonts w:ascii="Bookman Old Style" w:hAnsi="Bookman Old Style"/>
          <w:sz w:val="28"/>
          <w:szCs w:val="28"/>
        </w:rPr>
        <w:t>,</w:t>
      </w:r>
      <w:r w:rsidR="00B328A8" w:rsidRPr="00DA1F0A">
        <w:rPr>
          <w:rFonts w:ascii="Bookman Old Style" w:hAnsi="Bookman Old Style"/>
          <w:sz w:val="28"/>
          <w:szCs w:val="28"/>
        </w:rPr>
        <w:t xml:space="preserve"> especially where the defence would have been different </w:t>
      </w:r>
      <w:r w:rsidR="00B93B5E" w:rsidRPr="00DA1F0A">
        <w:rPr>
          <w:rFonts w:ascii="Bookman Old Style" w:hAnsi="Bookman Old Style"/>
          <w:sz w:val="28"/>
          <w:szCs w:val="28"/>
        </w:rPr>
        <w:t xml:space="preserve">or </w:t>
      </w:r>
      <w:r w:rsidR="00B93B5E" w:rsidRPr="00DA1F0A">
        <w:rPr>
          <w:rFonts w:ascii="Bookman Old Style" w:hAnsi="Bookman Old Style"/>
          <w:sz w:val="28"/>
          <w:szCs w:val="28"/>
        </w:rPr>
        <w:lastRenderedPageBreak/>
        <w:t xml:space="preserve">differently structured </w:t>
      </w:r>
      <w:r w:rsidR="00B328A8" w:rsidRPr="00DA1F0A">
        <w:rPr>
          <w:rFonts w:ascii="Bookman Old Style" w:hAnsi="Bookman Old Style"/>
          <w:sz w:val="28"/>
          <w:szCs w:val="28"/>
        </w:rPr>
        <w:t>if the allegation of common purpose had been made in the indictment or as amended.</w:t>
      </w:r>
    </w:p>
    <w:p w14:paraId="26A3AEDA" w14:textId="77777777" w:rsidR="005D2A79" w:rsidRDefault="005D2A79" w:rsidP="00B20E47">
      <w:pPr>
        <w:pStyle w:val="ListParagraph"/>
        <w:spacing w:line="360" w:lineRule="auto"/>
        <w:ind w:hanging="720"/>
        <w:jc w:val="both"/>
        <w:rPr>
          <w:rFonts w:ascii="Bookman Old Style" w:hAnsi="Bookman Old Style"/>
          <w:sz w:val="24"/>
          <w:szCs w:val="24"/>
        </w:rPr>
      </w:pPr>
    </w:p>
    <w:p w14:paraId="2739CC18" w14:textId="5A27FFF9" w:rsidR="007E0252"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[15]</w:t>
      </w:r>
      <w:r w:rsidRPr="00DA1F0A">
        <w:rPr>
          <w:rFonts w:ascii="Bookman Old Style" w:hAnsi="Bookman Old Style"/>
          <w:sz w:val="28"/>
          <w:szCs w:val="28"/>
        </w:rPr>
        <w:tab/>
      </w:r>
      <w:r w:rsidR="00B328A8" w:rsidRPr="00DA1F0A">
        <w:rPr>
          <w:rFonts w:ascii="Bookman Old Style" w:hAnsi="Bookman Old Style"/>
          <w:sz w:val="28"/>
          <w:szCs w:val="28"/>
        </w:rPr>
        <w:t xml:space="preserve">Every case </w:t>
      </w:r>
      <w:proofErr w:type="gramStart"/>
      <w:r w:rsidR="00B328A8" w:rsidRPr="00DA1F0A">
        <w:rPr>
          <w:rFonts w:ascii="Bookman Old Style" w:hAnsi="Bookman Old Style"/>
          <w:sz w:val="28"/>
          <w:szCs w:val="28"/>
        </w:rPr>
        <w:t>has to</w:t>
      </w:r>
      <w:proofErr w:type="gramEnd"/>
      <w:r w:rsidR="00B328A8" w:rsidRPr="00DA1F0A">
        <w:rPr>
          <w:rFonts w:ascii="Bookman Old Style" w:hAnsi="Bookman Old Style"/>
          <w:sz w:val="28"/>
          <w:szCs w:val="28"/>
        </w:rPr>
        <w:t xml:space="preserve"> be examined on its own facts. The omission of a mention </w:t>
      </w:r>
      <w:r w:rsidR="0041731D" w:rsidRPr="00DA1F0A">
        <w:rPr>
          <w:rFonts w:ascii="Bookman Old Style" w:hAnsi="Bookman Old Style"/>
          <w:sz w:val="28"/>
          <w:szCs w:val="28"/>
        </w:rPr>
        <w:t xml:space="preserve">of </w:t>
      </w:r>
      <w:r w:rsidR="00B328A8" w:rsidRPr="00DA1F0A">
        <w:rPr>
          <w:rFonts w:ascii="Bookman Old Style" w:hAnsi="Bookman Old Style"/>
          <w:sz w:val="28"/>
          <w:szCs w:val="28"/>
        </w:rPr>
        <w:t>common purpose may not cause prejudice in one case but may do so in another. So</w:t>
      </w:r>
      <w:r w:rsidR="007E0BEC" w:rsidRPr="00DA1F0A">
        <w:rPr>
          <w:rFonts w:ascii="Bookman Old Style" w:hAnsi="Bookman Old Style"/>
          <w:sz w:val="28"/>
          <w:szCs w:val="28"/>
        </w:rPr>
        <w:t>,</w:t>
      </w:r>
      <w:r w:rsidR="00B328A8" w:rsidRPr="00DA1F0A">
        <w:rPr>
          <w:rFonts w:ascii="Bookman Old Style" w:hAnsi="Bookman Old Style"/>
          <w:sz w:val="28"/>
          <w:szCs w:val="28"/>
        </w:rPr>
        <w:t xml:space="preserve"> the peculiar circumstances of a </w:t>
      </w:r>
      <w:r w:rsidR="007E0252" w:rsidRPr="00DA1F0A">
        <w:rPr>
          <w:rFonts w:ascii="Bookman Old Style" w:hAnsi="Bookman Old Style"/>
          <w:sz w:val="28"/>
          <w:szCs w:val="28"/>
        </w:rPr>
        <w:t>case</w:t>
      </w:r>
      <w:r w:rsidR="00B328A8" w:rsidRPr="00DA1F0A">
        <w:rPr>
          <w:rFonts w:ascii="Bookman Old Style" w:hAnsi="Bookman Old Style"/>
          <w:sz w:val="28"/>
          <w:szCs w:val="28"/>
        </w:rPr>
        <w:t xml:space="preserve"> must </w:t>
      </w:r>
      <w:r w:rsidR="007E0252" w:rsidRPr="00DA1F0A">
        <w:rPr>
          <w:rFonts w:ascii="Bookman Old Style" w:hAnsi="Bookman Old Style"/>
          <w:sz w:val="28"/>
          <w:szCs w:val="28"/>
        </w:rPr>
        <w:t xml:space="preserve">invariably </w:t>
      </w:r>
      <w:r w:rsidR="00B328A8" w:rsidRPr="00DA1F0A">
        <w:rPr>
          <w:rFonts w:ascii="Bookman Old Style" w:hAnsi="Bookman Old Style"/>
          <w:sz w:val="28"/>
          <w:szCs w:val="28"/>
        </w:rPr>
        <w:t>be examined</w:t>
      </w:r>
      <w:r w:rsidR="007E0252" w:rsidRPr="00DA1F0A">
        <w:rPr>
          <w:rFonts w:ascii="Bookman Old Style" w:hAnsi="Bookman Old Style"/>
          <w:sz w:val="28"/>
          <w:szCs w:val="28"/>
        </w:rPr>
        <w:t>:</w:t>
      </w:r>
      <w:r w:rsidR="00B328A8" w:rsidRPr="00DA1F0A">
        <w:rPr>
          <w:rFonts w:ascii="Bookman Old Style" w:hAnsi="Bookman Old Style"/>
          <w:sz w:val="28"/>
          <w:szCs w:val="28"/>
        </w:rPr>
        <w:t xml:space="preserve"> it may emerge that the accused</w:t>
      </w:r>
      <w:r w:rsidR="007E0BEC" w:rsidRPr="00DA1F0A">
        <w:rPr>
          <w:rFonts w:ascii="Bookman Old Style" w:hAnsi="Bookman Old Style"/>
          <w:sz w:val="28"/>
          <w:szCs w:val="28"/>
        </w:rPr>
        <w:t xml:space="preserve">’s rights to a fair trial </w:t>
      </w:r>
      <w:r w:rsidR="007E0252" w:rsidRPr="00DA1F0A">
        <w:rPr>
          <w:rFonts w:ascii="Bookman Old Style" w:hAnsi="Bookman Old Style"/>
          <w:sz w:val="28"/>
          <w:szCs w:val="28"/>
        </w:rPr>
        <w:t>are</w:t>
      </w:r>
      <w:r w:rsidR="007E0BEC" w:rsidRPr="00DA1F0A">
        <w:rPr>
          <w:rFonts w:ascii="Bookman Old Style" w:hAnsi="Bookman Old Style"/>
          <w:sz w:val="28"/>
          <w:szCs w:val="28"/>
        </w:rPr>
        <w:t xml:space="preserve"> compromised</w:t>
      </w:r>
      <w:r w:rsidR="007E0252" w:rsidRPr="00DA1F0A">
        <w:rPr>
          <w:rFonts w:ascii="Bookman Old Style" w:hAnsi="Bookman Old Style"/>
          <w:sz w:val="28"/>
          <w:szCs w:val="28"/>
        </w:rPr>
        <w:t xml:space="preserve"> by a failure to </w:t>
      </w:r>
      <w:proofErr w:type="gramStart"/>
      <w:r w:rsidR="007E0252" w:rsidRPr="00DA1F0A">
        <w:rPr>
          <w:rFonts w:ascii="Bookman Old Style" w:hAnsi="Bookman Old Style"/>
          <w:sz w:val="28"/>
          <w:szCs w:val="28"/>
        </w:rPr>
        <w:t>make reference</w:t>
      </w:r>
      <w:proofErr w:type="gramEnd"/>
      <w:r w:rsidR="007E0252" w:rsidRPr="00DA1F0A">
        <w:rPr>
          <w:rFonts w:ascii="Bookman Old Style" w:hAnsi="Bookman Old Style"/>
          <w:sz w:val="28"/>
          <w:szCs w:val="28"/>
        </w:rPr>
        <w:t xml:space="preserve"> in the indictment </w:t>
      </w:r>
      <w:r w:rsidR="003F6EF9" w:rsidRPr="00DA1F0A">
        <w:rPr>
          <w:rFonts w:ascii="Bookman Old Style" w:hAnsi="Bookman Old Style"/>
          <w:sz w:val="28"/>
          <w:szCs w:val="28"/>
        </w:rPr>
        <w:t xml:space="preserve">to common purpose </w:t>
      </w:r>
      <w:r w:rsidR="007E0252" w:rsidRPr="00DA1F0A">
        <w:rPr>
          <w:rFonts w:ascii="Bookman Old Style" w:hAnsi="Bookman Old Style"/>
          <w:sz w:val="28"/>
          <w:szCs w:val="28"/>
        </w:rPr>
        <w:t>when the Crown actually relies on it for securing a conviction</w:t>
      </w:r>
      <w:r w:rsidR="007E0BEC" w:rsidRPr="00DA1F0A">
        <w:rPr>
          <w:rFonts w:ascii="Bookman Old Style" w:hAnsi="Bookman Old Style"/>
          <w:sz w:val="28"/>
          <w:szCs w:val="28"/>
        </w:rPr>
        <w:t>.</w:t>
      </w:r>
      <w:r w:rsidR="007E0252" w:rsidRPr="00DA1F0A">
        <w:rPr>
          <w:rFonts w:ascii="Bookman Old Style" w:hAnsi="Bookman Old Style"/>
          <w:sz w:val="28"/>
          <w:szCs w:val="28"/>
        </w:rPr>
        <w:t xml:space="preserve"> In my view, t</w:t>
      </w:r>
      <w:r w:rsidR="007E0BEC" w:rsidRPr="00DA1F0A">
        <w:rPr>
          <w:rFonts w:ascii="Bookman Old Style" w:hAnsi="Bookman Old Style"/>
          <w:sz w:val="28"/>
          <w:szCs w:val="28"/>
        </w:rPr>
        <w:t>he omission in an indictment about any reliance on common purpose or the failure to amend the indictment to reflect such reliance can be fatal to a conviction</w:t>
      </w:r>
      <w:r w:rsidR="00B93B5E" w:rsidRPr="00DA1F0A">
        <w:rPr>
          <w:rFonts w:ascii="Bookman Old Style" w:hAnsi="Bookman Old Style"/>
          <w:sz w:val="28"/>
          <w:szCs w:val="28"/>
        </w:rPr>
        <w:t xml:space="preserve"> if it can be shown that the accused person was prejudiced</w:t>
      </w:r>
      <w:r w:rsidR="007E0252" w:rsidRPr="00DA1F0A">
        <w:rPr>
          <w:rFonts w:ascii="Bookman Old Style" w:hAnsi="Bookman Old Style"/>
          <w:sz w:val="28"/>
          <w:szCs w:val="28"/>
        </w:rPr>
        <w:t>. And that</w:t>
      </w:r>
      <w:r w:rsidR="007E0BEC" w:rsidRPr="00DA1F0A">
        <w:rPr>
          <w:rFonts w:ascii="Bookman Old Style" w:hAnsi="Bookman Old Style"/>
          <w:sz w:val="28"/>
          <w:szCs w:val="28"/>
        </w:rPr>
        <w:t xml:space="preserve"> is the case here. </w:t>
      </w:r>
    </w:p>
    <w:p w14:paraId="6F578F14" w14:textId="77777777" w:rsidR="007E0252" w:rsidRPr="007E0252" w:rsidRDefault="007E0252" w:rsidP="007E0252">
      <w:pPr>
        <w:pStyle w:val="ListParagraph"/>
        <w:rPr>
          <w:rFonts w:ascii="Bookman Old Style" w:hAnsi="Bookman Old Style"/>
          <w:sz w:val="24"/>
          <w:szCs w:val="24"/>
        </w:rPr>
      </w:pPr>
    </w:p>
    <w:p w14:paraId="6E1CD104" w14:textId="64135625" w:rsidR="00372111"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[16]</w:t>
      </w:r>
      <w:r w:rsidRPr="00DA1F0A">
        <w:rPr>
          <w:rFonts w:ascii="Bookman Old Style" w:hAnsi="Bookman Old Style"/>
          <w:sz w:val="28"/>
          <w:szCs w:val="28"/>
        </w:rPr>
        <w:tab/>
      </w:r>
      <w:r w:rsidR="007E0BEC" w:rsidRPr="00DA1F0A">
        <w:rPr>
          <w:rFonts w:ascii="Bookman Old Style" w:hAnsi="Bookman Old Style"/>
          <w:sz w:val="28"/>
          <w:szCs w:val="28"/>
        </w:rPr>
        <w:t>Common purpose is resorted to where the evidence is insufficient to link offenders to each other and to the crime alleged. In this case the Crown had to allege from the</w:t>
      </w:r>
      <w:r w:rsidR="007E0252" w:rsidRPr="00DA1F0A">
        <w:rPr>
          <w:rFonts w:ascii="Bookman Old Style" w:hAnsi="Bookman Old Style"/>
          <w:sz w:val="28"/>
          <w:szCs w:val="28"/>
        </w:rPr>
        <w:t xml:space="preserve"> outset</w:t>
      </w:r>
      <w:r w:rsidR="007E0BEC" w:rsidRPr="00DA1F0A">
        <w:rPr>
          <w:rFonts w:ascii="Bookman Old Style" w:hAnsi="Bookman Old Style"/>
          <w:sz w:val="28"/>
          <w:szCs w:val="28"/>
        </w:rPr>
        <w:t xml:space="preserve"> that it was relying on common purpose. Many lay people know that punishment of any sort is associated with the individual accused’s own criminal acts</w:t>
      </w:r>
      <w:r w:rsidR="007E0252" w:rsidRPr="00DA1F0A">
        <w:rPr>
          <w:rFonts w:ascii="Bookman Old Style" w:hAnsi="Bookman Old Style"/>
          <w:sz w:val="28"/>
          <w:szCs w:val="28"/>
        </w:rPr>
        <w:t>.</w:t>
      </w:r>
      <w:r w:rsidR="000D6580" w:rsidRPr="00DA1F0A">
        <w:rPr>
          <w:rFonts w:ascii="Bookman Old Style" w:hAnsi="Bookman Old Style"/>
          <w:sz w:val="28"/>
          <w:szCs w:val="28"/>
        </w:rPr>
        <w:t xml:space="preserve"> </w:t>
      </w:r>
      <w:r w:rsidR="007E0252" w:rsidRPr="00DA1F0A">
        <w:rPr>
          <w:rFonts w:ascii="Bookman Old Style" w:hAnsi="Bookman Old Style"/>
          <w:sz w:val="28"/>
          <w:szCs w:val="28"/>
        </w:rPr>
        <w:t>I</w:t>
      </w:r>
      <w:r w:rsidR="000D6580" w:rsidRPr="00DA1F0A">
        <w:rPr>
          <w:rFonts w:ascii="Bookman Old Style" w:hAnsi="Bookman Old Style"/>
          <w:sz w:val="28"/>
          <w:szCs w:val="28"/>
        </w:rPr>
        <w:t xml:space="preserve">t is not within </w:t>
      </w:r>
      <w:r w:rsidR="007E0252" w:rsidRPr="00DA1F0A">
        <w:rPr>
          <w:rFonts w:ascii="Bookman Old Style" w:hAnsi="Bookman Old Style"/>
          <w:sz w:val="28"/>
          <w:szCs w:val="28"/>
        </w:rPr>
        <w:t>lay people’s</w:t>
      </w:r>
      <w:r w:rsidR="000D6580" w:rsidRPr="00DA1F0A">
        <w:rPr>
          <w:rFonts w:ascii="Bookman Old Style" w:hAnsi="Bookman Old Style"/>
          <w:sz w:val="28"/>
          <w:szCs w:val="28"/>
        </w:rPr>
        <w:t xml:space="preserve"> contemplation or understanding that criminal liability may be found</w:t>
      </w:r>
      <w:r w:rsidR="007E0252" w:rsidRPr="00DA1F0A">
        <w:rPr>
          <w:rFonts w:ascii="Bookman Old Style" w:hAnsi="Bookman Old Style"/>
          <w:sz w:val="28"/>
          <w:szCs w:val="28"/>
        </w:rPr>
        <w:t>ed</w:t>
      </w:r>
      <w:r w:rsidR="000D6580" w:rsidRPr="00DA1F0A">
        <w:rPr>
          <w:rFonts w:ascii="Bookman Old Style" w:hAnsi="Bookman Old Style"/>
          <w:sz w:val="28"/>
          <w:szCs w:val="28"/>
        </w:rPr>
        <w:t xml:space="preserve"> on a legal conceptual or construct such as common purpose.</w:t>
      </w:r>
      <w:r w:rsidR="007E0252" w:rsidRPr="00DA1F0A">
        <w:rPr>
          <w:rFonts w:ascii="Bookman Old Style" w:hAnsi="Bookman Old Style"/>
          <w:sz w:val="28"/>
          <w:szCs w:val="28"/>
        </w:rPr>
        <w:t xml:space="preserve"> </w:t>
      </w:r>
      <w:r w:rsidR="000D6580" w:rsidRPr="00DA1F0A">
        <w:rPr>
          <w:rFonts w:ascii="Bookman Old Style" w:hAnsi="Bookman Old Style"/>
          <w:sz w:val="28"/>
          <w:szCs w:val="28"/>
        </w:rPr>
        <w:t>The Crown therefore had to inform the appellant</w:t>
      </w:r>
      <w:r w:rsidR="005D2A79" w:rsidRPr="00DA1F0A">
        <w:rPr>
          <w:rFonts w:ascii="Bookman Old Style" w:hAnsi="Bookman Old Style"/>
          <w:sz w:val="28"/>
          <w:szCs w:val="28"/>
        </w:rPr>
        <w:t xml:space="preserve"> </w:t>
      </w:r>
      <w:r w:rsidR="000D6580" w:rsidRPr="00DA1F0A">
        <w:rPr>
          <w:rFonts w:ascii="Bookman Old Style" w:hAnsi="Bookman Old Style"/>
          <w:sz w:val="28"/>
          <w:szCs w:val="28"/>
        </w:rPr>
        <w:t xml:space="preserve">in the indictment of the basis on which he was being charged for murder. This way the appellant would have been </w:t>
      </w:r>
      <w:proofErr w:type="gramStart"/>
      <w:r w:rsidR="000D6580" w:rsidRPr="00DA1F0A">
        <w:rPr>
          <w:rFonts w:ascii="Bookman Old Style" w:hAnsi="Bookman Old Style"/>
          <w:sz w:val="28"/>
          <w:szCs w:val="28"/>
        </w:rPr>
        <w:t>warned in advance</w:t>
      </w:r>
      <w:proofErr w:type="gramEnd"/>
      <w:r w:rsidR="000D6580" w:rsidRPr="00DA1F0A">
        <w:rPr>
          <w:rFonts w:ascii="Bookman Old Style" w:hAnsi="Bookman Old Style"/>
          <w:sz w:val="28"/>
          <w:szCs w:val="28"/>
        </w:rPr>
        <w:t xml:space="preserve"> and would have anticipated the case against him fully and defended himself effectively. The </w:t>
      </w:r>
      <w:r w:rsidR="000D6580" w:rsidRPr="00DA1F0A">
        <w:rPr>
          <w:rFonts w:ascii="Bookman Old Style" w:hAnsi="Bookman Old Style"/>
          <w:sz w:val="28"/>
          <w:szCs w:val="28"/>
        </w:rPr>
        <w:lastRenderedPageBreak/>
        <w:t xml:space="preserve">intention to murder was in this case inferred from common purpose and the circumstantial evidence in support thereof. </w:t>
      </w:r>
      <w:r w:rsidR="004B5359" w:rsidRPr="00DA1F0A">
        <w:rPr>
          <w:rFonts w:ascii="Bookman Old Style" w:hAnsi="Bookman Old Style"/>
          <w:sz w:val="28"/>
          <w:szCs w:val="28"/>
        </w:rPr>
        <w:t>I</w:t>
      </w:r>
      <w:r w:rsidR="000D6580" w:rsidRPr="00DA1F0A">
        <w:rPr>
          <w:rFonts w:ascii="Bookman Old Style" w:hAnsi="Bookman Old Style"/>
          <w:sz w:val="28"/>
          <w:szCs w:val="28"/>
        </w:rPr>
        <w:t>nform</w:t>
      </w:r>
      <w:r w:rsidR="004B5359" w:rsidRPr="00DA1F0A">
        <w:rPr>
          <w:rFonts w:ascii="Bookman Old Style" w:hAnsi="Bookman Old Style"/>
          <w:sz w:val="28"/>
          <w:szCs w:val="28"/>
        </w:rPr>
        <w:t>ing</w:t>
      </w:r>
      <w:r w:rsidR="000D6580" w:rsidRPr="00DA1F0A">
        <w:rPr>
          <w:rFonts w:ascii="Bookman Old Style" w:hAnsi="Bookman Old Style"/>
          <w:sz w:val="28"/>
          <w:szCs w:val="28"/>
        </w:rPr>
        <w:t xml:space="preserve"> the appellant that </w:t>
      </w:r>
      <w:r w:rsidR="004B5359" w:rsidRPr="00DA1F0A">
        <w:rPr>
          <w:rFonts w:ascii="Bookman Old Style" w:hAnsi="Bookman Old Style"/>
          <w:sz w:val="28"/>
          <w:szCs w:val="28"/>
        </w:rPr>
        <w:t>the Crown</w:t>
      </w:r>
      <w:r w:rsidR="000D6580" w:rsidRPr="00DA1F0A">
        <w:rPr>
          <w:rFonts w:ascii="Bookman Old Style" w:hAnsi="Bookman Old Style"/>
          <w:sz w:val="28"/>
          <w:szCs w:val="28"/>
        </w:rPr>
        <w:t xml:space="preserve"> was relying on common purpose would have properly balanced the fairness of the trial</w:t>
      </w:r>
      <w:r w:rsidR="00372111" w:rsidRPr="00DA1F0A">
        <w:rPr>
          <w:rFonts w:ascii="Bookman Old Style" w:hAnsi="Bookman Old Style"/>
          <w:sz w:val="28"/>
          <w:szCs w:val="28"/>
        </w:rPr>
        <w:t>. Knowing that he was not the one who killed ‘</w:t>
      </w:r>
      <w:proofErr w:type="spellStart"/>
      <w:r w:rsidR="00372111" w:rsidRPr="00DA1F0A">
        <w:rPr>
          <w:rFonts w:ascii="Bookman Old Style" w:hAnsi="Bookman Old Style"/>
          <w:sz w:val="28"/>
          <w:szCs w:val="28"/>
        </w:rPr>
        <w:t>Mantai</w:t>
      </w:r>
      <w:proofErr w:type="spellEnd"/>
      <w:r w:rsidR="00372111" w:rsidRPr="00DA1F0A">
        <w:rPr>
          <w:rFonts w:ascii="Bookman Old Style" w:hAnsi="Bookman Old Style"/>
          <w:sz w:val="28"/>
          <w:szCs w:val="28"/>
        </w:rPr>
        <w:t>, I have no doubt that the appellant w</w:t>
      </w:r>
      <w:r w:rsidR="003F6EF9" w:rsidRPr="00DA1F0A">
        <w:rPr>
          <w:rFonts w:ascii="Bookman Old Style" w:hAnsi="Bookman Old Style"/>
          <w:sz w:val="28"/>
          <w:szCs w:val="28"/>
        </w:rPr>
        <w:t>ould have been</w:t>
      </w:r>
      <w:r w:rsidR="00372111" w:rsidRPr="00DA1F0A">
        <w:rPr>
          <w:rFonts w:ascii="Bookman Old Style" w:hAnsi="Bookman Old Style"/>
          <w:sz w:val="28"/>
          <w:szCs w:val="28"/>
        </w:rPr>
        <w:t xml:space="preserve"> </w:t>
      </w:r>
      <w:r w:rsidR="003F6EF9" w:rsidRPr="00DA1F0A">
        <w:rPr>
          <w:rFonts w:ascii="Bookman Old Style" w:hAnsi="Bookman Old Style"/>
          <w:sz w:val="28"/>
          <w:szCs w:val="28"/>
        </w:rPr>
        <w:t>un</w:t>
      </w:r>
      <w:r w:rsidR="00372111" w:rsidRPr="00DA1F0A">
        <w:rPr>
          <w:rFonts w:ascii="Bookman Old Style" w:hAnsi="Bookman Old Style"/>
          <w:sz w:val="28"/>
          <w:szCs w:val="28"/>
        </w:rPr>
        <w:t xml:space="preserve">aware that criminal liability would be imputed to him </w:t>
      </w:r>
      <w:proofErr w:type="gramStart"/>
      <w:r w:rsidR="00372111" w:rsidRPr="00DA1F0A">
        <w:rPr>
          <w:rFonts w:ascii="Bookman Old Style" w:hAnsi="Bookman Old Style"/>
          <w:sz w:val="28"/>
          <w:szCs w:val="28"/>
        </w:rPr>
        <w:t>on the basis of</w:t>
      </w:r>
      <w:proofErr w:type="gramEnd"/>
      <w:r w:rsidR="00372111" w:rsidRPr="00DA1F0A">
        <w:rPr>
          <w:rFonts w:ascii="Bookman Old Style" w:hAnsi="Bookman Old Style"/>
          <w:sz w:val="28"/>
          <w:szCs w:val="28"/>
        </w:rPr>
        <w:t xml:space="preserve"> common purpose.</w:t>
      </w:r>
    </w:p>
    <w:p w14:paraId="12E7B2CB" w14:textId="77777777" w:rsidR="005D2A79" w:rsidRDefault="005D2A79" w:rsidP="00B20E47">
      <w:pPr>
        <w:pStyle w:val="ListParagraph"/>
        <w:spacing w:line="360" w:lineRule="auto"/>
        <w:ind w:hanging="720"/>
        <w:jc w:val="both"/>
        <w:rPr>
          <w:rFonts w:ascii="Bookman Old Style" w:hAnsi="Bookman Old Style"/>
          <w:sz w:val="24"/>
          <w:szCs w:val="24"/>
        </w:rPr>
      </w:pPr>
    </w:p>
    <w:p w14:paraId="1857FD5E" w14:textId="498C46CC" w:rsidR="007A559B"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[17]</w:t>
      </w:r>
      <w:r w:rsidRPr="00DA1F0A">
        <w:rPr>
          <w:rFonts w:ascii="Bookman Old Style" w:hAnsi="Bookman Old Style"/>
          <w:sz w:val="28"/>
          <w:szCs w:val="28"/>
        </w:rPr>
        <w:tab/>
      </w:r>
      <w:r w:rsidR="00372111" w:rsidRPr="00DA1F0A">
        <w:rPr>
          <w:rFonts w:ascii="Bookman Old Style" w:hAnsi="Bookman Old Style"/>
          <w:sz w:val="28"/>
          <w:szCs w:val="28"/>
        </w:rPr>
        <w:t xml:space="preserve">The confusion that arose to the prejudice of the appellant is </w:t>
      </w:r>
      <w:proofErr w:type="gramStart"/>
      <w:r w:rsidR="00372111" w:rsidRPr="00DA1F0A">
        <w:rPr>
          <w:rFonts w:ascii="Bookman Old Style" w:hAnsi="Bookman Old Style"/>
          <w:sz w:val="28"/>
          <w:szCs w:val="28"/>
        </w:rPr>
        <w:t>all the more</w:t>
      </w:r>
      <w:proofErr w:type="gramEnd"/>
      <w:r w:rsidR="00372111" w:rsidRPr="00DA1F0A">
        <w:rPr>
          <w:rFonts w:ascii="Bookman Old Style" w:hAnsi="Bookman Old Style"/>
          <w:sz w:val="28"/>
          <w:szCs w:val="28"/>
        </w:rPr>
        <w:t xml:space="preserve"> apparent when the conduct of his defence counsel is examined.</w:t>
      </w:r>
      <w:r w:rsidR="007E0BEC" w:rsidRPr="00DA1F0A">
        <w:rPr>
          <w:rFonts w:ascii="Bookman Old Style" w:hAnsi="Bookman Old Style"/>
          <w:sz w:val="28"/>
          <w:szCs w:val="28"/>
        </w:rPr>
        <w:t xml:space="preserve"> </w:t>
      </w:r>
      <w:r w:rsidR="00372111" w:rsidRPr="00DA1F0A">
        <w:rPr>
          <w:rFonts w:ascii="Bookman Old Style" w:hAnsi="Bookman Old Style"/>
          <w:sz w:val="28"/>
          <w:szCs w:val="28"/>
        </w:rPr>
        <w:t xml:space="preserve">In leading </w:t>
      </w:r>
      <w:r w:rsidR="00535164" w:rsidRPr="00DA1F0A">
        <w:rPr>
          <w:rFonts w:ascii="Bookman Old Style" w:hAnsi="Bookman Old Style"/>
          <w:sz w:val="28"/>
          <w:szCs w:val="28"/>
        </w:rPr>
        <w:t xml:space="preserve">appellant defence counsel </w:t>
      </w:r>
      <w:r w:rsidR="004B5359" w:rsidRPr="00DA1F0A">
        <w:rPr>
          <w:rFonts w:ascii="Bookman Old Style" w:hAnsi="Bookman Old Style"/>
          <w:sz w:val="28"/>
          <w:szCs w:val="28"/>
        </w:rPr>
        <w:t>stat</w:t>
      </w:r>
      <w:r w:rsidR="00535164" w:rsidRPr="00DA1F0A">
        <w:rPr>
          <w:rFonts w:ascii="Bookman Old Style" w:hAnsi="Bookman Old Style"/>
          <w:sz w:val="28"/>
          <w:szCs w:val="28"/>
        </w:rPr>
        <w:t xml:space="preserve">ed the approach he </w:t>
      </w:r>
      <w:r w:rsidR="004B5359" w:rsidRPr="00DA1F0A">
        <w:rPr>
          <w:rFonts w:ascii="Bookman Old Style" w:hAnsi="Bookman Old Style"/>
          <w:sz w:val="28"/>
          <w:szCs w:val="28"/>
        </w:rPr>
        <w:t xml:space="preserve">and the appellant </w:t>
      </w:r>
      <w:r w:rsidR="00535164" w:rsidRPr="00DA1F0A">
        <w:rPr>
          <w:rFonts w:ascii="Bookman Old Style" w:hAnsi="Bookman Old Style"/>
          <w:sz w:val="28"/>
          <w:szCs w:val="28"/>
        </w:rPr>
        <w:t>w</w:t>
      </w:r>
      <w:r w:rsidR="004B5359" w:rsidRPr="00DA1F0A">
        <w:rPr>
          <w:rFonts w:ascii="Bookman Old Style" w:hAnsi="Bookman Old Style"/>
          <w:sz w:val="28"/>
          <w:szCs w:val="28"/>
        </w:rPr>
        <w:t>ere</w:t>
      </w:r>
      <w:r w:rsidR="00535164" w:rsidRPr="00DA1F0A">
        <w:rPr>
          <w:rFonts w:ascii="Bookman Old Style" w:hAnsi="Bookman Old Style"/>
          <w:sz w:val="28"/>
          <w:szCs w:val="28"/>
        </w:rPr>
        <w:t xml:space="preserve"> to take</w:t>
      </w:r>
      <w:r w:rsidR="004B5359" w:rsidRPr="00DA1F0A">
        <w:rPr>
          <w:rFonts w:ascii="Bookman Old Style" w:hAnsi="Bookman Old Style"/>
          <w:sz w:val="28"/>
          <w:szCs w:val="28"/>
        </w:rPr>
        <w:t>.</w:t>
      </w:r>
      <w:r w:rsidR="00535164" w:rsidRPr="00DA1F0A">
        <w:rPr>
          <w:rFonts w:ascii="Bookman Old Style" w:hAnsi="Bookman Old Style"/>
          <w:sz w:val="28"/>
          <w:szCs w:val="28"/>
        </w:rPr>
        <w:t xml:space="preserve"> </w:t>
      </w:r>
      <w:r w:rsidR="00535164" w:rsidRPr="00DA1F0A">
        <w:rPr>
          <w:rFonts w:ascii="Bookman Old Style" w:hAnsi="Bookman Old Style"/>
          <w:i/>
          <w:iCs/>
          <w:sz w:val="28"/>
          <w:szCs w:val="28"/>
        </w:rPr>
        <w:t>Vide</w:t>
      </w:r>
      <w:r w:rsidR="003F6EF9" w:rsidRPr="00DA1F0A">
        <w:rPr>
          <w:rFonts w:ascii="Bookman Old Style" w:hAnsi="Bookman Old Style"/>
          <w:i/>
          <w:iCs/>
          <w:sz w:val="28"/>
          <w:szCs w:val="28"/>
        </w:rPr>
        <w:t xml:space="preserve"> </w:t>
      </w:r>
      <w:r w:rsidR="003F6EF9" w:rsidRPr="00DA1F0A">
        <w:rPr>
          <w:rFonts w:ascii="Bookman Old Style" w:hAnsi="Bookman Old Style"/>
          <w:sz w:val="28"/>
          <w:szCs w:val="28"/>
        </w:rPr>
        <w:t>what transpired between appellant and his counsel:</w:t>
      </w:r>
      <w:r w:rsidR="00535164" w:rsidRPr="00DA1F0A">
        <w:rPr>
          <w:rFonts w:ascii="Bookman Old Style" w:hAnsi="Bookman Old Style"/>
          <w:sz w:val="28"/>
          <w:szCs w:val="28"/>
        </w:rPr>
        <w:t xml:space="preserve"> </w:t>
      </w:r>
    </w:p>
    <w:p w14:paraId="43A5B505" w14:textId="77777777" w:rsidR="007A559B" w:rsidRDefault="007A559B" w:rsidP="00B20E47">
      <w:pPr>
        <w:pStyle w:val="ListParagraph"/>
        <w:spacing w:line="360" w:lineRule="auto"/>
        <w:ind w:hanging="720"/>
        <w:jc w:val="both"/>
        <w:rPr>
          <w:rFonts w:ascii="Bookman Old Style" w:hAnsi="Bookman Old Style"/>
          <w:sz w:val="24"/>
          <w:szCs w:val="24"/>
        </w:rPr>
      </w:pPr>
    </w:p>
    <w:p w14:paraId="37CD1884" w14:textId="6EE4B94D" w:rsidR="007A559B" w:rsidRPr="00B20E47" w:rsidRDefault="00535164">
      <w:pPr>
        <w:pStyle w:val="ListParagraph"/>
        <w:ind w:left="1440"/>
        <w:jc w:val="both"/>
        <w:rPr>
          <w:rFonts w:ascii="Bookman Old Style" w:hAnsi="Bookman Old Style"/>
        </w:rPr>
      </w:pPr>
      <w:r w:rsidRPr="00B20E47">
        <w:rPr>
          <w:rFonts w:ascii="Bookman Old Style" w:hAnsi="Bookman Old Style"/>
        </w:rPr>
        <w:t>“DC: Tell my lord and gentlemen assessors because indeed one way or the other, you have to answer before my lord for that incident and tell my lord and gentlemen assessors you</w:t>
      </w:r>
      <w:r w:rsidR="00F01DE7">
        <w:rPr>
          <w:rFonts w:ascii="Bookman Old Style" w:hAnsi="Bookman Old Style"/>
        </w:rPr>
        <w:t>r</w:t>
      </w:r>
      <w:r w:rsidRPr="00B20E47">
        <w:rPr>
          <w:rFonts w:ascii="Bookman Old Style" w:hAnsi="Bookman Old Style"/>
        </w:rPr>
        <w:t xml:space="preserve"> version of the story and your involvement, because the evidence before my lord taints you. It is your time to put yourself in or out, what transpired, what did you do? </w:t>
      </w:r>
    </w:p>
    <w:p w14:paraId="71524AEA" w14:textId="77777777" w:rsidR="007A559B" w:rsidRPr="00B20E47" w:rsidRDefault="007A559B">
      <w:pPr>
        <w:pStyle w:val="ListParagraph"/>
        <w:ind w:left="1440"/>
        <w:jc w:val="both"/>
        <w:rPr>
          <w:rFonts w:ascii="Bookman Old Style" w:hAnsi="Bookman Old Style"/>
        </w:rPr>
      </w:pPr>
    </w:p>
    <w:p w14:paraId="641DBBE2" w14:textId="77777777" w:rsidR="00627259" w:rsidRDefault="00535164">
      <w:pPr>
        <w:pStyle w:val="ListParagraph"/>
        <w:ind w:left="1440"/>
        <w:jc w:val="both"/>
        <w:rPr>
          <w:rFonts w:ascii="Bookman Old Style" w:hAnsi="Bookman Old Style"/>
        </w:rPr>
      </w:pPr>
      <w:r w:rsidRPr="00B20E47">
        <w:rPr>
          <w:rFonts w:ascii="Bookman Old Style" w:hAnsi="Bookman Old Style"/>
        </w:rPr>
        <w:t>DW1 (appellant): I wasn’t involved in any of what happened.</w:t>
      </w:r>
    </w:p>
    <w:p w14:paraId="0CEAC067" w14:textId="1C6B86C4" w:rsidR="007A559B" w:rsidRPr="00B20E47" w:rsidRDefault="00535164">
      <w:pPr>
        <w:pStyle w:val="ListParagraph"/>
        <w:ind w:left="1440"/>
        <w:jc w:val="both"/>
        <w:rPr>
          <w:rFonts w:ascii="Bookman Old Style" w:hAnsi="Bookman Old Style"/>
        </w:rPr>
      </w:pPr>
      <w:r w:rsidRPr="00B20E47">
        <w:rPr>
          <w:rFonts w:ascii="Bookman Old Style" w:hAnsi="Bookman Old Style"/>
        </w:rPr>
        <w:t xml:space="preserve"> </w:t>
      </w:r>
    </w:p>
    <w:p w14:paraId="15C1852C" w14:textId="0AEF55F4" w:rsidR="007A559B" w:rsidRPr="00B20E47" w:rsidRDefault="00535164">
      <w:pPr>
        <w:pStyle w:val="ListParagraph"/>
        <w:ind w:left="1440"/>
        <w:jc w:val="both"/>
        <w:rPr>
          <w:rFonts w:ascii="Bookman Old Style" w:hAnsi="Bookman Old Style"/>
        </w:rPr>
      </w:pPr>
      <w:r w:rsidRPr="00B20E47">
        <w:rPr>
          <w:rFonts w:ascii="Bookman Old Style" w:hAnsi="Bookman Old Style"/>
        </w:rPr>
        <w:t>DC: I will guide you. I think your answer is rather absurd. Do you remember that the murder weapon utilised in this incident, I told you that there had been admis</w:t>
      </w:r>
      <w:r w:rsidR="007A559B" w:rsidRPr="00B20E47">
        <w:rPr>
          <w:rFonts w:ascii="Bookman Old Style" w:hAnsi="Bookman Old Style"/>
        </w:rPr>
        <w:t>s</w:t>
      </w:r>
      <w:r w:rsidRPr="00B20E47">
        <w:rPr>
          <w:rFonts w:ascii="Bookman Old Style" w:hAnsi="Bookman Old Style"/>
        </w:rPr>
        <w:t>ions, murder weapon in this inc</w:t>
      </w:r>
      <w:r w:rsidR="007A559B" w:rsidRPr="00B20E47">
        <w:rPr>
          <w:rFonts w:ascii="Bookman Old Style" w:hAnsi="Bookman Old Style"/>
        </w:rPr>
        <w:t>i</w:t>
      </w:r>
      <w:r w:rsidRPr="00B20E47">
        <w:rPr>
          <w:rFonts w:ascii="Bookman Old Style" w:hAnsi="Bookman Old Style"/>
        </w:rPr>
        <w:t>dent is your issue part of your uniform from the Lesotho Mounted Police</w:t>
      </w:r>
      <w:r w:rsidR="00730302" w:rsidRPr="00B20E47">
        <w:rPr>
          <w:rFonts w:ascii="Bookman Old Style" w:hAnsi="Bookman Old Style"/>
        </w:rPr>
        <w:t>?</w:t>
      </w:r>
      <w:r w:rsidRPr="00B20E47">
        <w:rPr>
          <w:rFonts w:ascii="Bookman Old Style" w:hAnsi="Bookman Old Style"/>
        </w:rPr>
        <w:t xml:space="preserve"> </w:t>
      </w:r>
    </w:p>
    <w:p w14:paraId="00450B70" w14:textId="77777777" w:rsidR="007A559B" w:rsidRPr="00B20E47" w:rsidRDefault="007A559B">
      <w:pPr>
        <w:pStyle w:val="ListParagraph"/>
        <w:ind w:left="1440"/>
        <w:jc w:val="both"/>
        <w:rPr>
          <w:rFonts w:ascii="Bookman Old Style" w:hAnsi="Bookman Old Style"/>
        </w:rPr>
      </w:pPr>
    </w:p>
    <w:p w14:paraId="3694ADD1" w14:textId="77777777" w:rsidR="007A559B" w:rsidRPr="00B20E47" w:rsidRDefault="00535164">
      <w:pPr>
        <w:pStyle w:val="ListParagraph"/>
        <w:ind w:left="1440"/>
        <w:jc w:val="both"/>
        <w:rPr>
          <w:rFonts w:ascii="Bookman Old Style" w:hAnsi="Bookman Old Style"/>
        </w:rPr>
      </w:pPr>
      <w:r w:rsidRPr="00B20E47">
        <w:rPr>
          <w:rFonts w:ascii="Bookman Old Style" w:hAnsi="Bookman Old Style"/>
        </w:rPr>
        <w:t xml:space="preserve">DW1: Yes, I am aware. </w:t>
      </w:r>
    </w:p>
    <w:p w14:paraId="37384577" w14:textId="77777777" w:rsidR="007A559B" w:rsidRPr="00B20E47" w:rsidRDefault="007A559B">
      <w:pPr>
        <w:pStyle w:val="ListParagraph"/>
        <w:ind w:left="1440"/>
        <w:jc w:val="both"/>
        <w:rPr>
          <w:rFonts w:ascii="Bookman Old Style" w:hAnsi="Bookman Old Style"/>
        </w:rPr>
      </w:pPr>
    </w:p>
    <w:p w14:paraId="64CD331A" w14:textId="00DCF1E3" w:rsidR="007A559B" w:rsidRPr="00B20E47" w:rsidRDefault="00535164">
      <w:pPr>
        <w:pStyle w:val="ListParagraph"/>
        <w:ind w:left="1440"/>
        <w:jc w:val="both"/>
        <w:rPr>
          <w:rFonts w:ascii="Bookman Old Style" w:hAnsi="Bookman Old Style"/>
        </w:rPr>
      </w:pPr>
      <w:r w:rsidRPr="00B20E47">
        <w:rPr>
          <w:rFonts w:ascii="Bookman Old Style" w:hAnsi="Bookman Old Style"/>
        </w:rPr>
        <w:t>DC:</w:t>
      </w:r>
      <w:r w:rsidR="007A559B" w:rsidRPr="00B20E47">
        <w:rPr>
          <w:rFonts w:ascii="Bookman Old Style" w:hAnsi="Bookman Old Style"/>
        </w:rPr>
        <w:t xml:space="preserve"> </w:t>
      </w:r>
      <w:r w:rsidRPr="00B20E47">
        <w:rPr>
          <w:rFonts w:ascii="Bookman Old Style" w:hAnsi="Bookman Old Style"/>
        </w:rPr>
        <w:t>Surely if that was the weapon which we have admitted before my lord you have to say something</w:t>
      </w:r>
      <w:r w:rsidR="00472BD4" w:rsidRPr="00B20E47">
        <w:rPr>
          <w:rFonts w:ascii="Bookman Old Style" w:hAnsi="Bookman Old Style"/>
        </w:rPr>
        <w:t xml:space="preserve"> about it, because you are not 100% innocent. I am saying it’s [pistol] an issue from your work, and it has been used. Surely you must tell my Lord, you must explain some sort. </w:t>
      </w:r>
      <w:r w:rsidR="00472BD4" w:rsidRPr="00B20E47">
        <w:rPr>
          <w:rFonts w:ascii="Bookman Old Style" w:hAnsi="Bookman Old Style"/>
        </w:rPr>
        <w:lastRenderedPageBreak/>
        <w:t>I need not spoon feed you. You are a member of the force help this court.”</w:t>
      </w:r>
      <w:r w:rsidR="00472BD4" w:rsidRPr="00B20E47">
        <w:rPr>
          <w:rStyle w:val="FootnoteReference"/>
          <w:rFonts w:ascii="Bookman Old Style" w:hAnsi="Bookman Old Style"/>
        </w:rPr>
        <w:footnoteReference w:id="3"/>
      </w:r>
      <w:r w:rsidRPr="00B20E47">
        <w:rPr>
          <w:rFonts w:ascii="Bookman Old Style" w:hAnsi="Bookman Old Style"/>
        </w:rPr>
        <w:t xml:space="preserve"> </w:t>
      </w:r>
    </w:p>
    <w:p w14:paraId="0BF86101" w14:textId="77777777" w:rsidR="007A559B" w:rsidRPr="007A559B" w:rsidRDefault="007A559B" w:rsidP="007A559B">
      <w:pPr>
        <w:pStyle w:val="ListParagraph"/>
        <w:ind w:left="1440"/>
        <w:jc w:val="both"/>
        <w:rPr>
          <w:rFonts w:ascii="Bookman Old Style" w:hAnsi="Bookman Old Style"/>
          <w:sz w:val="20"/>
          <w:szCs w:val="20"/>
        </w:rPr>
      </w:pPr>
    </w:p>
    <w:p w14:paraId="0F8B583D" w14:textId="52E6AE4A" w:rsidR="00730302"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[18]</w:t>
      </w:r>
      <w:r w:rsidRPr="00DA1F0A">
        <w:rPr>
          <w:rFonts w:ascii="Bookman Old Style" w:hAnsi="Bookman Old Style"/>
          <w:sz w:val="28"/>
          <w:szCs w:val="28"/>
        </w:rPr>
        <w:tab/>
      </w:r>
      <w:r w:rsidR="00472BD4" w:rsidRPr="00DA1F0A">
        <w:rPr>
          <w:rFonts w:ascii="Bookman Old Style" w:hAnsi="Bookman Old Style"/>
          <w:sz w:val="28"/>
          <w:szCs w:val="28"/>
        </w:rPr>
        <w:t>Appellants own counsel was</w:t>
      </w:r>
      <w:r w:rsidR="007A559B" w:rsidRPr="00DA1F0A">
        <w:rPr>
          <w:rFonts w:ascii="Bookman Old Style" w:hAnsi="Bookman Old Style"/>
          <w:sz w:val="28"/>
          <w:szCs w:val="28"/>
        </w:rPr>
        <w:t xml:space="preserve"> </w:t>
      </w:r>
      <w:r w:rsidR="00472BD4" w:rsidRPr="00DA1F0A">
        <w:rPr>
          <w:rFonts w:ascii="Bookman Old Style" w:hAnsi="Bookman Old Style"/>
          <w:sz w:val="28"/>
          <w:szCs w:val="28"/>
        </w:rPr>
        <w:t xml:space="preserve">trying very hard to get the appellant to admit things that he did not wish to admit. The same goes for alleged confessions </w:t>
      </w:r>
      <w:r w:rsidR="00B93B5E" w:rsidRPr="00DA1F0A">
        <w:rPr>
          <w:rFonts w:ascii="Bookman Old Style" w:hAnsi="Bookman Old Style"/>
          <w:sz w:val="28"/>
          <w:szCs w:val="28"/>
        </w:rPr>
        <w:t xml:space="preserve">by appellant </w:t>
      </w:r>
      <w:r w:rsidR="00472BD4" w:rsidRPr="00DA1F0A">
        <w:rPr>
          <w:rFonts w:ascii="Bookman Old Style" w:hAnsi="Bookman Old Style"/>
          <w:sz w:val="28"/>
          <w:szCs w:val="28"/>
        </w:rPr>
        <w:t xml:space="preserve">to a pastor and to a magistrate </w:t>
      </w:r>
      <w:r w:rsidR="007A559B" w:rsidRPr="00DA1F0A">
        <w:rPr>
          <w:rFonts w:ascii="Bookman Old Style" w:hAnsi="Bookman Old Style"/>
          <w:sz w:val="28"/>
          <w:szCs w:val="28"/>
        </w:rPr>
        <w:t>in regard which, again, counsel wanted the appellant to admit when he was not so inclined.</w:t>
      </w:r>
      <w:r w:rsidR="00B93B5E" w:rsidRPr="00DA1F0A">
        <w:rPr>
          <w:rFonts w:ascii="Bookman Old Style" w:hAnsi="Bookman Old Style"/>
          <w:sz w:val="28"/>
          <w:szCs w:val="28"/>
        </w:rPr>
        <w:t xml:space="preserve"> Notably the alleged confessions were, rather curiously only brought to the attention of the court but not produced in evidence. This and other possible irregularities, including a failure by the prosecution to apply for a separation of tria</w:t>
      </w:r>
      <w:r w:rsidR="00093A54" w:rsidRPr="00DA1F0A">
        <w:rPr>
          <w:rFonts w:ascii="Bookman Old Style" w:hAnsi="Bookman Old Style"/>
          <w:sz w:val="28"/>
          <w:szCs w:val="28"/>
        </w:rPr>
        <w:t>ls when the circumstances appear to have called for such separation are no longer issues upon which this Court needs to pronounce itself. The decision on the insufficiency or inadequacy of the indictment suffices for all practical purposes.</w:t>
      </w:r>
      <w:r w:rsidR="00B93B5E" w:rsidRPr="00DA1F0A">
        <w:rPr>
          <w:rFonts w:ascii="Bookman Old Style" w:hAnsi="Bookman Old Style"/>
          <w:sz w:val="28"/>
          <w:szCs w:val="28"/>
        </w:rPr>
        <w:t xml:space="preserve"> </w:t>
      </w:r>
    </w:p>
    <w:p w14:paraId="3035C162" w14:textId="19488E64" w:rsidR="00730302" w:rsidRDefault="007A559B" w:rsidP="00B20E47">
      <w:pPr>
        <w:pStyle w:val="ListParagraph"/>
        <w:spacing w:line="360" w:lineRule="auto"/>
        <w:ind w:hanging="720"/>
        <w:jc w:val="both"/>
        <w:rPr>
          <w:rFonts w:ascii="Bookman Old Style" w:hAnsi="Bookman Old Style"/>
          <w:sz w:val="24"/>
          <w:szCs w:val="24"/>
        </w:rPr>
      </w:pPr>
      <w:r>
        <w:rPr>
          <w:rFonts w:ascii="Bookman Old Style" w:hAnsi="Bookman Old Style"/>
          <w:sz w:val="24"/>
          <w:szCs w:val="24"/>
        </w:rPr>
        <w:t xml:space="preserve"> </w:t>
      </w:r>
    </w:p>
    <w:p w14:paraId="1F0F94FE" w14:textId="773E4915" w:rsidR="00093A54"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[19]</w:t>
      </w:r>
      <w:r w:rsidRPr="00DA1F0A">
        <w:rPr>
          <w:rFonts w:ascii="Bookman Old Style" w:hAnsi="Bookman Old Style"/>
          <w:sz w:val="28"/>
          <w:szCs w:val="28"/>
        </w:rPr>
        <w:tab/>
      </w:r>
      <w:r w:rsidR="00730302" w:rsidRPr="00DA1F0A">
        <w:rPr>
          <w:rFonts w:ascii="Bookman Old Style" w:hAnsi="Bookman Old Style"/>
          <w:sz w:val="28"/>
          <w:szCs w:val="28"/>
        </w:rPr>
        <w:t>T</w:t>
      </w:r>
      <w:r w:rsidR="007A559B" w:rsidRPr="00DA1F0A">
        <w:rPr>
          <w:rFonts w:ascii="Bookman Old Style" w:hAnsi="Bookman Old Style"/>
          <w:sz w:val="28"/>
          <w:szCs w:val="28"/>
        </w:rPr>
        <w:t xml:space="preserve">he exchange between appellant’s counsel and appellant </w:t>
      </w:r>
      <w:r w:rsidR="00730302" w:rsidRPr="00DA1F0A">
        <w:rPr>
          <w:rFonts w:ascii="Bookman Old Style" w:hAnsi="Bookman Old Style"/>
          <w:sz w:val="28"/>
          <w:szCs w:val="28"/>
        </w:rPr>
        <w:t xml:space="preserve">himself </w:t>
      </w:r>
      <w:r w:rsidR="00093A54" w:rsidRPr="00DA1F0A">
        <w:rPr>
          <w:rFonts w:ascii="Bookman Old Style" w:hAnsi="Bookman Old Style"/>
          <w:sz w:val="28"/>
          <w:szCs w:val="28"/>
        </w:rPr>
        <w:t xml:space="preserve">is significant. It </w:t>
      </w:r>
      <w:r w:rsidR="007A559B" w:rsidRPr="00DA1F0A">
        <w:rPr>
          <w:rFonts w:ascii="Bookman Old Style" w:hAnsi="Bookman Old Style"/>
          <w:sz w:val="28"/>
          <w:szCs w:val="28"/>
        </w:rPr>
        <w:t xml:space="preserve">demonstrates that the omission to </w:t>
      </w:r>
      <w:r w:rsidR="00093A54" w:rsidRPr="00DA1F0A">
        <w:rPr>
          <w:rFonts w:ascii="Bookman Old Style" w:hAnsi="Bookman Old Style"/>
          <w:sz w:val="28"/>
          <w:szCs w:val="28"/>
        </w:rPr>
        <w:t>indicate in the indictment</w:t>
      </w:r>
      <w:r w:rsidR="00D64C6E" w:rsidRPr="00DA1F0A">
        <w:rPr>
          <w:rFonts w:ascii="Bookman Old Style" w:hAnsi="Bookman Old Style"/>
          <w:sz w:val="28"/>
          <w:szCs w:val="28"/>
        </w:rPr>
        <w:t xml:space="preserve"> that </w:t>
      </w:r>
      <w:r w:rsidR="00730302" w:rsidRPr="00DA1F0A">
        <w:rPr>
          <w:rFonts w:ascii="Bookman Old Style" w:hAnsi="Bookman Old Style"/>
          <w:sz w:val="28"/>
          <w:szCs w:val="28"/>
        </w:rPr>
        <w:t>appellant’s</w:t>
      </w:r>
      <w:r w:rsidR="00D64C6E" w:rsidRPr="00DA1F0A">
        <w:rPr>
          <w:rFonts w:ascii="Bookman Old Style" w:hAnsi="Bookman Old Style"/>
          <w:sz w:val="28"/>
          <w:szCs w:val="28"/>
        </w:rPr>
        <w:t xml:space="preserve"> criminal liability would be based on common purpose put not only the appellant but also his counsel at a tangent as to the handling of the defence. That omission impacted quite negatively on the appellant’s defence. </w:t>
      </w:r>
    </w:p>
    <w:p w14:paraId="33D39DC7" w14:textId="77777777" w:rsidR="00093A54" w:rsidRPr="00093A54" w:rsidRDefault="00093A54" w:rsidP="00093A54">
      <w:pPr>
        <w:pStyle w:val="ListParagraph"/>
        <w:rPr>
          <w:rFonts w:ascii="Bookman Old Style" w:hAnsi="Bookman Old Style"/>
          <w:sz w:val="24"/>
          <w:szCs w:val="24"/>
        </w:rPr>
      </w:pPr>
    </w:p>
    <w:p w14:paraId="42DC5E47" w14:textId="6597FA4E" w:rsidR="0018795F"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[20]</w:t>
      </w:r>
      <w:r w:rsidRPr="00DA1F0A">
        <w:rPr>
          <w:rFonts w:ascii="Bookman Old Style" w:hAnsi="Bookman Old Style"/>
          <w:sz w:val="28"/>
          <w:szCs w:val="28"/>
        </w:rPr>
        <w:tab/>
      </w:r>
      <w:r w:rsidR="00D64C6E" w:rsidRPr="00DA1F0A">
        <w:rPr>
          <w:rFonts w:ascii="Bookman Old Style" w:hAnsi="Bookman Old Style"/>
          <w:sz w:val="28"/>
          <w:szCs w:val="28"/>
        </w:rPr>
        <w:t xml:space="preserve">The appellant </w:t>
      </w:r>
      <w:r w:rsidR="00093A54" w:rsidRPr="00DA1F0A">
        <w:rPr>
          <w:rFonts w:ascii="Bookman Old Style" w:hAnsi="Bookman Old Style"/>
          <w:sz w:val="28"/>
          <w:szCs w:val="28"/>
        </w:rPr>
        <w:t>testified</w:t>
      </w:r>
      <w:r w:rsidR="00730302" w:rsidRPr="00DA1F0A">
        <w:rPr>
          <w:rFonts w:ascii="Bookman Old Style" w:hAnsi="Bookman Old Style"/>
          <w:sz w:val="28"/>
          <w:szCs w:val="28"/>
        </w:rPr>
        <w:t xml:space="preserve"> </w:t>
      </w:r>
      <w:r w:rsidR="00D64C6E" w:rsidRPr="00DA1F0A">
        <w:rPr>
          <w:rFonts w:ascii="Bookman Old Style" w:hAnsi="Bookman Old Style"/>
          <w:sz w:val="28"/>
          <w:szCs w:val="28"/>
        </w:rPr>
        <w:t>that</w:t>
      </w:r>
      <w:r w:rsidR="00730302" w:rsidRPr="00DA1F0A">
        <w:rPr>
          <w:rFonts w:ascii="Bookman Old Style" w:hAnsi="Bookman Old Style"/>
          <w:sz w:val="28"/>
          <w:szCs w:val="28"/>
        </w:rPr>
        <w:t>,</w:t>
      </w:r>
      <w:r w:rsidR="00D64C6E" w:rsidRPr="00DA1F0A">
        <w:rPr>
          <w:rFonts w:ascii="Bookman Old Style" w:hAnsi="Bookman Old Style"/>
          <w:sz w:val="28"/>
          <w:szCs w:val="28"/>
        </w:rPr>
        <w:t xml:space="preserve"> </w:t>
      </w:r>
      <w:r w:rsidR="00730302" w:rsidRPr="00DA1F0A">
        <w:rPr>
          <w:rFonts w:ascii="Bookman Old Style" w:hAnsi="Bookman Old Style"/>
          <w:sz w:val="28"/>
          <w:szCs w:val="28"/>
        </w:rPr>
        <w:t xml:space="preserve">at first, </w:t>
      </w:r>
      <w:r w:rsidR="00D64C6E" w:rsidRPr="00DA1F0A">
        <w:rPr>
          <w:rFonts w:ascii="Bookman Old Style" w:hAnsi="Bookman Old Style"/>
          <w:sz w:val="28"/>
          <w:szCs w:val="28"/>
        </w:rPr>
        <w:t>he did not know that his brother had used his service pistol to commit the offence.</w:t>
      </w:r>
      <w:r w:rsidR="005D2A79" w:rsidRPr="00DA1F0A">
        <w:rPr>
          <w:rFonts w:ascii="Bookman Old Style" w:hAnsi="Bookman Old Style"/>
          <w:sz w:val="28"/>
          <w:szCs w:val="28"/>
        </w:rPr>
        <w:t xml:space="preserve"> </w:t>
      </w:r>
      <w:r w:rsidR="0018795F" w:rsidRPr="00DA1F0A">
        <w:rPr>
          <w:rFonts w:ascii="Bookman Old Style" w:hAnsi="Bookman Old Style"/>
          <w:sz w:val="28"/>
          <w:szCs w:val="28"/>
        </w:rPr>
        <w:t xml:space="preserve">There is evidence that when </w:t>
      </w:r>
      <w:r w:rsidR="00730302" w:rsidRPr="00DA1F0A">
        <w:rPr>
          <w:rFonts w:ascii="Bookman Old Style" w:hAnsi="Bookman Old Style"/>
          <w:sz w:val="28"/>
          <w:szCs w:val="28"/>
        </w:rPr>
        <w:t>a</w:t>
      </w:r>
      <w:r w:rsidR="0018795F" w:rsidRPr="00DA1F0A">
        <w:rPr>
          <w:rFonts w:ascii="Bookman Old Style" w:hAnsi="Bookman Old Style"/>
          <w:sz w:val="28"/>
          <w:szCs w:val="28"/>
        </w:rPr>
        <w:t>ccused 2 returned with the spent cartridges</w:t>
      </w:r>
      <w:r w:rsidR="00F01DE7" w:rsidRPr="00DA1F0A">
        <w:rPr>
          <w:rFonts w:ascii="Bookman Old Style" w:hAnsi="Bookman Old Style"/>
          <w:sz w:val="28"/>
          <w:szCs w:val="28"/>
        </w:rPr>
        <w:t>,</w:t>
      </w:r>
      <w:r w:rsidR="0018795F" w:rsidRPr="00DA1F0A">
        <w:rPr>
          <w:rFonts w:ascii="Bookman Old Style" w:hAnsi="Bookman Old Style"/>
          <w:sz w:val="28"/>
          <w:szCs w:val="28"/>
        </w:rPr>
        <w:t xml:space="preserve"> </w:t>
      </w:r>
      <w:r w:rsidR="0018795F" w:rsidRPr="00DA1F0A">
        <w:rPr>
          <w:rFonts w:ascii="Bookman Old Style" w:hAnsi="Bookman Old Style"/>
          <w:sz w:val="28"/>
          <w:szCs w:val="28"/>
        </w:rPr>
        <w:lastRenderedPageBreak/>
        <w:t xml:space="preserve">he did not give them to his brother to dispose of </w:t>
      </w:r>
      <w:r w:rsidR="00093A54" w:rsidRPr="00DA1F0A">
        <w:rPr>
          <w:rFonts w:ascii="Bookman Old Style" w:hAnsi="Bookman Old Style"/>
          <w:sz w:val="28"/>
          <w:szCs w:val="28"/>
        </w:rPr>
        <w:t xml:space="preserve">them </w:t>
      </w:r>
      <w:r w:rsidR="0018795F" w:rsidRPr="00DA1F0A">
        <w:rPr>
          <w:rFonts w:ascii="Bookman Old Style" w:hAnsi="Bookman Old Style"/>
          <w:sz w:val="28"/>
          <w:szCs w:val="28"/>
        </w:rPr>
        <w:t xml:space="preserve">but </w:t>
      </w:r>
      <w:r w:rsidR="00093A54" w:rsidRPr="00DA1F0A">
        <w:rPr>
          <w:rFonts w:ascii="Bookman Old Style" w:hAnsi="Bookman Old Style"/>
          <w:sz w:val="28"/>
          <w:szCs w:val="28"/>
        </w:rPr>
        <w:t>first</w:t>
      </w:r>
      <w:r w:rsidR="0018795F" w:rsidRPr="00DA1F0A">
        <w:rPr>
          <w:rFonts w:ascii="Bookman Old Style" w:hAnsi="Bookman Old Style"/>
          <w:sz w:val="28"/>
          <w:szCs w:val="28"/>
        </w:rPr>
        <w:t xml:space="preserve"> hid them in a stove in the house and later threw them into a toilet pit used by the appellant. When he returned with the</w:t>
      </w:r>
      <w:r w:rsidR="00730302" w:rsidRPr="00DA1F0A">
        <w:rPr>
          <w:rFonts w:ascii="Bookman Old Style" w:hAnsi="Bookman Old Style"/>
          <w:sz w:val="28"/>
          <w:szCs w:val="28"/>
        </w:rPr>
        <w:t xml:space="preserve"> murder weapon</w:t>
      </w:r>
      <w:r w:rsidR="00093A54" w:rsidRPr="00DA1F0A">
        <w:rPr>
          <w:rFonts w:ascii="Bookman Old Style" w:hAnsi="Bookman Old Style"/>
          <w:sz w:val="28"/>
          <w:szCs w:val="28"/>
        </w:rPr>
        <w:t>,</w:t>
      </w:r>
      <w:r w:rsidR="0018795F" w:rsidRPr="00DA1F0A">
        <w:rPr>
          <w:rFonts w:ascii="Bookman Old Style" w:hAnsi="Bookman Old Style"/>
          <w:sz w:val="28"/>
          <w:szCs w:val="28"/>
        </w:rPr>
        <w:t xml:space="preserve"> he placed it where he had picked it up</w:t>
      </w:r>
      <w:r w:rsidR="00093A54" w:rsidRPr="00DA1F0A">
        <w:rPr>
          <w:rFonts w:ascii="Bookman Old Style" w:hAnsi="Bookman Old Style"/>
          <w:sz w:val="28"/>
          <w:szCs w:val="28"/>
        </w:rPr>
        <w:t xml:space="preserve"> </w:t>
      </w:r>
      <w:r w:rsidR="0018795F" w:rsidRPr="00DA1F0A">
        <w:rPr>
          <w:rFonts w:ascii="Bookman Old Style" w:hAnsi="Bookman Old Style"/>
          <w:sz w:val="28"/>
          <w:szCs w:val="28"/>
        </w:rPr>
        <w:t>so that</w:t>
      </w:r>
      <w:r w:rsidR="00093A54" w:rsidRPr="00DA1F0A">
        <w:rPr>
          <w:rFonts w:ascii="Bookman Old Style" w:hAnsi="Bookman Old Style"/>
          <w:sz w:val="28"/>
          <w:szCs w:val="28"/>
        </w:rPr>
        <w:t xml:space="preserve">, according to him, </w:t>
      </w:r>
      <w:r w:rsidR="0018795F" w:rsidRPr="00DA1F0A">
        <w:rPr>
          <w:rFonts w:ascii="Bookman Old Style" w:hAnsi="Bookman Old Style"/>
          <w:sz w:val="28"/>
          <w:szCs w:val="28"/>
        </w:rPr>
        <w:t xml:space="preserve">if </w:t>
      </w:r>
      <w:r w:rsidR="00093A54" w:rsidRPr="00DA1F0A">
        <w:rPr>
          <w:rFonts w:ascii="Bookman Old Style" w:hAnsi="Bookman Old Style"/>
          <w:sz w:val="28"/>
          <w:szCs w:val="28"/>
        </w:rPr>
        <w:t xml:space="preserve">the police looked for it, it would be found </w:t>
      </w:r>
      <w:r w:rsidR="0018795F" w:rsidRPr="00DA1F0A">
        <w:rPr>
          <w:rFonts w:ascii="Bookman Old Style" w:hAnsi="Bookman Old Style"/>
          <w:sz w:val="28"/>
          <w:szCs w:val="28"/>
        </w:rPr>
        <w:t xml:space="preserve">in the possession of the </w:t>
      </w:r>
      <w:r w:rsidR="00730302" w:rsidRPr="00DA1F0A">
        <w:rPr>
          <w:rFonts w:ascii="Bookman Old Style" w:hAnsi="Bookman Old Style"/>
          <w:sz w:val="28"/>
          <w:szCs w:val="28"/>
        </w:rPr>
        <w:t xml:space="preserve">rightful possessor, the </w:t>
      </w:r>
      <w:r w:rsidR="0018795F" w:rsidRPr="00DA1F0A">
        <w:rPr>
          <w:rFonts w:ascii="Bookman Old Style" w:hAnsi="Bookman Old Style"/>
          <w:sz w:val="28"/>
          <w:szCs w:val="28"/>
        </w:rPr>
        <w:t>appellant</w:t>
      </w:r>
      <w:r w:rsidR="00093A54" w:rsidRPr="00DA1F0A">
        <w:rPr>
          <w:rFonts w:ascii="Bookman Old Style" w:hAnsi="Bookman Old Style"/>
          <w:sz w:val="28"/>
          <w:szCs w:val="28"/>
        </w:rPr>
        <w:t xml:space="preserve"> and not him</w:t>
      </w:r>
      <w:r w:rsidR="0018795F" w:rsidRPr="00DA1F0A">
        <w:rPr>
          <w:rFonts w:ascii="Bookman Old Style" w:hAnsi="Bookman Old Style"/>
          <w:sz w:val="28"/>
          <w:szCs w:val="28"/>
        </w:rPr>
        <w:t>. Not much evidence was led as to the interaction between the appellant and accused 2 after the killing</w:t>
      </w:r>
      <w:r w:rsidR="00942B84" w:rsidRPr="00DA1F0A">
        <w:rPr>
          <w:rFonts w:ascii="Bookman Old Style" w:hAnsi="Bookman Old Style"/>
          <w:sz w:val="28"/>
          <w:szCs w:val="28"/>
        </w:rPr>
        <w:t>.</w:t>
      </w:r>
      <w:r w:rsidR="0018795F" w:rsidRPr="00DA1F0A">
        <w:rPr>
          <w:rFonts w:ascii="Bookman Old Style" w:hAnsi="Bookman Old Style"/>
          <w:sz w:val="28"/>
          <w:szCs w:val="28"/>
        </w:rPr>
        <w:t xml:space="preserve"> </w:t>
      </w:r>
      <w:r w:rsidR="00942B84" w:rsidRPr="00DA1F0A">
        <w:rPr>
          <w:rFonts w:ascii="Bookman Old Style" w:hAnsi="Bookman Old Style"/>
          <w:sz w:val="28"/>
          <w:szCs w:val="28"/>
        </w:rPr>
        <w:t>That</w:t>
      </w:r>
      <w:r w:rsidR="0018795F" w:rsidRPr="00DA1F0A">
        <w:rPr>
          <w:rFonts w:ascii="Bookman Old Style" w:hAnsi="Bookman Old Style"/>
          <w:sz w:val="28"/>
          <w:szCs w:val="28"/>
        </w:rPr>
        <w:t xml:space="preserve"> somewhat suggests that the plan to kill </w:t>
      </w:r>
      <w:r w:rsidR="00942B84" w:rsidRPr="00DA1F0A">
        <w:rPr>
          <w:rFonts w:ascii="Bookman Old Style" w:hAnsi="Bookman Old Style"/>
          <w:sz w:val="28"/>
          <w:szCs w:val="28"/>
        </w:rPr>
        <w:t>“</w:t>
      </w:r>
      <w:proofErr w:type="spellStart"/>
      <w:r w:rsidR="00942B84" w:rsidRPr="00DA1F0A">
        <w:rPr>
          <w:rFonts w:ascii="Bookman Old Style" w:hAnsi="Bookman Old Style"/>
          <w:sz w:val="28"/>
          <w:szCs w:val="28"/>
        </w:rPr>
        <w:t>Mantai</w:t>
      </w:r>
      <w:proofErr w:type="spellEnd"/>
      <w:r w:rsidR="00942B84" w:rsidRPr="00DA1F0A">
        <w:rPr>
          <w:rFonts w:ascii="Bookman Old Style" w:hAnsi="Bookman Old Style"/>
          <w:sz w:val="28"/>
          <w:szCs w:val="28"/>
        </w:rPr>
        <w:t xml:space="preserve"> </w:t>
      </w:r>
      <w:r w:rsidR="0018795F" w:rsidRPr="00DA1F0A">
        <w:rPr>
          <w:rFonts w:ascii="Bookman Old Style" w:hAnsi="Bookman Old Style"/>
          <w:sz w:val="28"/>
          <w:szCs w:val="28"/>
        </w:rPr>
        <w:t>may not have been hatched jointly to the extent that PW1 and accused 2 want the court to believe.</w:t>
      </w:r>
      <w:r w:rsidR="00D64C6E" w:rsidRPr="00DA1F0A">
        <w:rPr>
          <w:rFonts w:ascii="Bookman Old Style" w:hAnsi="Bookman Old Style"/>
          <w:sz w:val="28"/>
          <w:szCs w:val="28"/>
        </w:rPr>
        <w:t xml:space="preserve"> If the defence had been put on notice</w:t>
      </w:r>
      <w:r w:rsidR="0018795F" w:rsidRPr="00DA1F0A">
        <w:rPr>
          <w:rFonts w:ascii="Bookman Old Style" w:hAnsi="Bookman Old Style"/>
          <w:sz w:val="28"/>
          <w:szCs w:val="28"/>
        </w:rPr>
        <w:t xml:space="preserve"> </w:t>
      </w:r>
      <w:proofErr w:type="gramStart"/>
      <w:r w:rsidR="0018795F" w:rsidRPr="00DA1F0A">
        <w:rPr>
          <w:rFonts w:ascii="Bookman Old Style" w:hAnsi="Bookman Old Style"/>
          <w:sz w:val="28"/>
          <w:szCs w:val="28"/>
        </w:rPr>
        <w:t>in regard to</w:t>
      </w:r>
      <w:proofErr w:type="gramEnd"/>
      <w:r w:rsidR="0018795F" w:rsidRPr="00DA1F0A">
        <w:rPr>
          <w:rFonts w:ascii="Bookman Old Style" w:hAnsi="Bookman Old Style"/>
          <w:sz w:val="28"/>
          <w:szCs w:val="28"/>
        </w:rPr>
        <w:t xml:space="preserve"> common purpose</w:t>
      </w:r>
      <w:r w:rsidR="00D64C6E" w:rsidRPr="00DA1F0A">
        <w:rPr>
          <w:rFonts w:ascii="Bookman Old Style" w:hAnsi="Bookman Old Style"/>
          <w:sz w:val="28"/>
          <w:szCs w:val="28"/>
        </w:rPr>
        <w:t>, they would have had the option to give a more detailed</w:t>
      </w:r>
      <w:r w:rsidR="00942B84" w:rsidRPr="00DA1F0A">
        <w:rPr>
          <w:rFonts w:ascii="Bookman Old Style" w:hAnsi="Bookman Old Style"/>
          <w:sz w:val="28"/>
          <w:szCs w:val="28"/>
        </w:rPr>
        <w:t>, focussed</w:t>
      </w:r>
      <w:r w:rsidR="00D64C6E" w:rsidRPr="00DA1F0A">
        <w:rPr>
          <w:rFonts w:ascii="Bookman Old Style" w:hAnsi="Bookman Old Style"/>
          <w:sz w:val="28"/>
          <w:szCs w:val="28"/>
        </w:rPr>
        <w:t xml:space="preserve"> and possibly exculpatory account of the alleged discussion</w:t>
      </w:r>
      <w:r w:rsidR="0018795F" w:rsidRPr="00DA1F0A">
        <w:rPr>
          <w:rFonts w:ascii="Bookman Old Style" w:hAnsi="Bookman Old Style"/>
          <w:sz w:val="28"/>
          <w:szCs w:val="28"/>
        </w:rPr>
        <w:t>s</w:t>
      </w:r>
      <w:r w:rsidR="00D64C6E" w:rsidRPr="00DA1F0A">
        <w:rPr>
          <w:rFonts w:ascii="Bookman Old Style" w:hAnsi="Bookman Old Style"/>
          <w:sz w:val="28"/>
          <w:szCs w:val="28"/>
        </w:rPr>
        <w:t xml:space="preserve"> and agreement to kill the deceased.</w:t>
      </w:r>
    </w:p>
    <w:p w14:paraId="74705FE4" w14:textId="77777777" w:rsidR="00A25946" w:rsidRDefault="00A25946" w:rsidP="00A25946">
      <w:pPr>
        <w:pStyle w:val="ListParagraph"/>
        <w:jc w:val="both"/>
        <w:rPr>
          <w:rFonts w:ascii="Bookman Old Style" w:hAnsi="Bookman Old Style"/>
          <w:sz w:val="24"/>
          <w:szCs w:val="24"/>
        </w:rPr>
      </w:pPr>
    </w:p>
    <w:p w14:paraId="3739DF33" w14:textId="3F38DF7D" w:rsidR="00942B84"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[21]</w:t>
      </w:r>
      <w:r w:rsidRPr="00DA1F0A">
        <w:rPr>
          <w:rFonts w:ascii="Bookman Old Style" w:hAnsi="Bookman Old Style"/>
          <w:sz w:val="28"/>
          <w:szCs w:val="28"/>
        </w:rPr>
        <w:tab/>
      </w:r>
      <w:r w:rsidR="0018795F" w:rsidRPr="00DA1F0A">
        <w:rPr>
          <w:rFonts w:ascii="Bookman Old Style" w:hAnsi="Bookman Old Style"/>
          <w:sz w:val="28"/>
          <w:szCs w:val="28"/>
        </w:rPr>
        <w:t xml:space="preserve">From the above discussion some doubt is cast on the finding, based on circumstantial evidence that the only reasonable inference to draw from the facts is that the appellant acted in common purpose to commit the murder when he discussed the matter with PW1 and accused 2. </w:t>
      </w:r>
      <w:r w:rsidR="00942B84" w:rsidRPr="00DA1F0A">
        <w:rPr>
          <w:rFonts w:ascii="Bookman Old Style" w:hAnsi="Bookman Old Style"/>
          <w:sz w:val="28"/>
          <w:szCs w:val="28"/>
        </w:rPr>
        <w:t>T</w:t>
      </w:r>
      <w:r w:rsidR="0018795F" w:rsidRPr="00DA1F0A">
        <w:rPr>
          <w:rFonts w:ascii="Bookman Old Style" w:hAnsi="Bookman Old Style"/>
          <w:sz w:val="28"/>
          <w:szCs w:val="28"/>
        </w:rPr>
        <w:t xml:space="preserve">he Crown had the duty to forewarn the appellant </w:t>
      </w:r>
      <w:r w:rsidR="0007684A" w:rsidRPr="00DA1F0A">
        <w:rPr>
          <w:rFonts w:ascii="Bookman Old Style" w:hAnsi="Bookman Old Style"/>
          <w:sz w:val="28"/>
          <w:szCs w:val="28"/>
        </w:rPr>
        <w:t>about invoking</w:t>
      </w:r>
      <w:r w:rsidR="0018795F" w:rsidRPr="00DA1F0A">
        <w:rPr>
          <w:rFonts w:ascii="Bookman Old Style" w:hAnsi="Bookman Old Style"/>
          <w:sz w:val="28"/>
          <w:szCs w:val="28"/>
        </w:rPr>
        <w:t xml:space="preserve"> common purpose </w:t>
      </w:r>
      <w:r w:rsidR="0007684A" w:rsidRPr="00DA1F0A">
        <w:rPr>
          <w:rFonts w:ascii="Bookman Old Style" w:hAnsi="Bookman Old Style"/>
          <w:sz w:val="28"/>
          <w:szCs w:val="28"/>
        </w:rPr>
        <w:t>and</w:t>
      </w:r>
      <w:r w:rsidR="002F7C41" w:rsidRPr="00DA1F0A">
        <w:rPr>
          <w:rFonts w:ascii="Bookman Old Style" w:hAnsi="Bookman Old Style"/>
          <w:sz w:val="28"/>
          <w:szCs w:val="28"/>
        </w:rPr>
        <w:t xml:space="preserve"> </w:t>
      </w:r>
      <w:r w:rsidR="00942B84" w:rsidRPr="00DA1F0A">
        <w:rPr>
          <w:rFonts w:ascii="Bookman Old Style" w:hAnsi="Bookman Old Style"/>
          <w:sz w:val="28"/>
          <w:szCs w:val="28"/>
        </w:rPr>
        <w:t>sh</w:t>
      </w:r>
      <w:r w:rsidR="0007684A" w:rsidRPr="00DA1F0A">
        <w:rPr>
          <w:rFonts w:ascii="Bookman Old Style" w:hAnsi="Bookman Old Style"/>
          <w:sz w:val="28"/>
          <w:szCs w:val="28"/>
        </w:rPr>
        <w:t xml:space="preserve">ould not </w:t>
      </w:r>
      <w:r w:rsidR="00942B84" w:rsidRPr="00DA1F0A">
        <w:rPr>
          <w:rFonts w:ascii="Bookman Old Style" w:hAnsi="Bookman Old Style"/>
          <w:sz w:val="28"/>
          <w:szCs w:val="28"/>
        </w:rPr>
        <w:t xml:space="preserve">have </w:t>
      </w:r>
      <w:r w:rsidR="0007684A" w:rsidRPr="00DA1F0A">
        <w:rPr>
          <w:rFonts w:ascii="Bookman Old Style" w:hAnsi="Bookman Old Style"/>
          <w:sz w:val="28"/>
          <w:szCs w:val="28"/>
        </w:rPr>
        <w:t>simply assume</w:t>
      </w:r>
      <w:r w:rsidR="00942B84" w:rsidRPr="00DA1F0A">
        <w:rPr>
          <w:rFonts w:ascii="Bookman Old Style" w:hAnsi="Bookman Old Style"/>
          <w:sz w:val="28"/>
          <w:szCs w:val="28"/>
        </w:rPr>
        <w:t>d</w:t>
      </w:r>
      <w:r w:rsidR="0007684A" w:rsidRPr="00DA1F0A">
        <w:rPr>
          <w:rFonts w:ascii="Bookman Old Style" w:hAnsi="Bookman Old Style"/>
          <w:sz w:val="28"/>
          <w:szCs w:val="28"/>
        </w:rPr>
        <w:t xml:space="preserve"> that it </w:t>
      </w:r>
      <w:r w:rsidR="00942B84" w:rsidRPr="00DA1F0A">
        <w:rPr>
          <w:rFonts w:ascii="Bookman Old Style" w:hAnsi="Bookman Old Style"/>
          <w:sz w:val="28"/>
          <w:szCs w:val="28"/>
        </w:rPr>
        <w:t>was proper to</w:t>
      </w:r>
      <w:r w:rsidR="0007684A" w:rsidRPr="00DA1F0A">
        <w:rPr>
          <w:rFonts w:ascii="Bookman Old Style" w:hAnsi="Bookman Old Style"/>
          <w:sz w:val="28"/>
          <w:szCs w:val="28"/>
        </w:rPr>
        <w:t xml:space="preserve"> associate him with the conduct of his accomplices</w:t>
      </w:r>
      <w:r w:rsidR="00730302" w:rsidRPr="00DA1F0A">
        <w:rPr>
          <w:rFonts w:ascii="Bookman Old Style" w:hAnsi="Bookman Old Style"/>
          <w:sz w:val="28"/>
          <w:szCs w:val="28"/>
        </w:rPr>
        <w:t xml:space="preserve"> without that advance warning</w:t>
      </w:r>
      <w:r w:rsidR="0007684A" w:rsidRPr="00DA1F0A">
        <w:rPr>
          <w:rFonts w:ascii="Bookman Old Style" w:hAnsi="Bookman Old Style"/>
          <w:sz w:val="28"/>
          <w:szCs w:val="28"/>
        </w:rPr>
        <w:t xml:space="preserve">. </w:t>
      </w:r>
    </w:p>
    <w:p w14:paraId="42346CC3" w14:textId="77777777" w:rsidR="00942B84" w:rsidRPr="00942B84" w:rsidRDefault="00942B84" w:rsidP="00B20E47">
      <w:pPr>
        <w:pStyle w:val="ListParagraph"/>
        <w:spacing w:line="360" w:lineRule="auto"/>
        <w:ind w:hanging="720"/>
        <w:rPr>
          <w:rFonts w:ascii="Bookman Old Style" w:hAnsi="Bookman Old Style"/>
          <w:sz w:val="24"/>
          <w:szCs w:val="24"/>
        </w:rPr>
      </w:pPr>
    </w:p>
    <w:p w14:paraId="501E2F01" w14:textId="613EC37B" w:rsidR="00A25946"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[22]</w:t>
      </w:r>
      <w:r w:rsidRPr="00DA1F0A">
        <w:rPr>
          <w:rFonts w:ascii="Bookman Old Style" w:hAnsi="Bookman Old Style"/>
          <w:sz w:val="28"/>
          <w:szCs w:val="28"/>
        </w:rPr>
        <w:tab/>
      </w:r>
      <w:r w:rsidR="0007684A" w:rsidRPr="00DA1F0A">
        <w:rPr>
          <w:rFonts w:ascii="Bookman Old Style" w:hAnsi="Bookman Old Style"/>
          <w:sz w:val="28"/>
          <w:szCs w:val="28"/>
        </w:rPr>
        <w:t>The law is generally that all the essential elements and facts that make up a</w:t>
      </w:r>
      <w:r w:rsidR="00942B84" w:rsidRPr="00DA1F0A">
        <w:rPr>
          <w:rFonts w:ascii="Bookman Old Style" w:hAnsi="Bookman Old Style"/>
          <w:sz w:val="28"/>
          <w:szCs w:val="28"/>
        </w:rPr>
        <w:t>n indictment</w:t>
      </w:r>
      <w:r w:rsidR="0007684A" w:rsidRPr="00DA1F0A">
        <w:rPr>
          <w:rFonts w:ascii="Bookman Old Style" w:hAnsi="Bookman Old Style"/>
          <w:sz w:val="28"/>
          <w:szCs w:val="28"/>
        </w:rPr>
        <w:t xml:space="preserve"> must be known to an accused person </w:t>
      </w:r>
      <w:r w:rsidR="0007684A" w:rsidRPr="00DA1F0A">
        <w:rPr>
          <w:rFonts w:ascii="Bookman Old Style" w:hAnsi="Bookman Old Style"/>
          <w:sz w:val="28"/>
          <w:szCs w:val="28"/>
        </w:rPr>
        <w:lastRenderedPageBreak/>
        <w:t xml:space="preserve">early on in order to avert prejudice </w:t>
      </w:r>
      <w:proofErr w:type="gramStart"/>
      <w:r w:rsidR="0007684A" w:rsidRPr="00DA1F0A">
        <w:rPr>
          <w:rFonts w:ascii="Bookman Old Style" w:hAnsi="Bookman Old Style"/>
          <w:sz w:val="28"/>
          <w:szCs w:val="28"/>
        </w:rPr>
        <w:t xml:space="preserve">and </w:t>
      </w:r>
      <w:r w:rsidR="00730302" w:rsidRPr="00DA1F0A">
        <w:rPr>
          <w:rFonts w:ascii="Bookman Old Style" w:hAnsi="Bookman Old Style"/>
          <w:sz w:val="28"/>
          <w:szCs w:val="28"/>
        </w:rPr>
        <w:t>also</w:t>
      </w:r>
      <w:proofErr w:type="gramEnd"/>
      <w:r w:rsidR="00730302" w:rsidRPr="00DA1F0A">
        <w:rPr>
          <w:rFonts w:ascii="Bookman Old Style" w:hAnsi="Bookman Old Style"/>
          <w:sz w:val="28"/>
          <w:szCs w:val="28"/>
        </w:rPr>
        <w:t xml:space="preserve"> to ensure</w:t>
      </w:r>
      <w:r w:rsidR="0007684A" w:rsidRPr="00DA1F0A">
        <w:rPr>
          <w:rFonts w:ascii="Bookman Old Style" w:hAnsi="Bookman Old Style"/>
          <w:sz w:val="28"/>
          <w:szCs w:val="28"/>
        </w:rPr>
        <w:t xml:space="preserve"> he is best informed about the conduct of his defence. </w:t>
      </w:r>
      <w:r w:rsidR="00A25946" w:rsidRPr="00DA1F0A">
        <w:rPr>
          <w:rFonts w:ascii="Bookman Old Style" w:hAnsi="Bookman Old Style"/>
          <w:sz w:val="28"/>
          <w:szCs w:val="28"/>
        </w:rPr>
        <w:t>As stated in</w:t>
      </w:r>
      <w:r w:rsidR="0007684A" w:rsidRPr="00DA1F0A">
        <w:rPr>
          <w:rFonts w:ascii="Bookman Old Style" w:hAnsi="Bookman Old Style"/>
          <w:sz w:val="28"/>
          <w:szCs w:val="28"/>
        </w:rPr>
        <w:t xml:space="preserve"> </w:t>
      </w:r>
      <w:r w:rsidR="002F7C41" w:rsidRPr="00DA1F0A">
        <w:rPr>
          <w:rFonts w:ascii="Bookman Old Style" w:hAnsi="Bookman Old Style"/>
          <w:i/>
          <w:iCs/>
          <w:sz w:val="28"/>
          <w:szCs w:val="28"/>
        </w:rPr>
        <w:t>S</w:t>
      </w:r>
      <w:r w:rsidR="00A25946" w:rsidRPr="00DA1F0A">
        <w:rPr>
          <w:rFonts w:ascii="Bookman Old Style" w:hAnsi="Bookman Old Style"/>
          <w:i/>
          <w:iCs/>
          <w:sz w:val="28"/>
          <w:szCs w:val="28"/>
        </w:rPr>
        <w:t xml:space="preserve"> </w:t>
      </w:r>
      <w:r w:rsidR="002F7C41" w:rsidRPr="00DA1F0A">
        <w:rPr>
          <w:rFonts w:ascii="Bookman Old Style" w:hAnsi="Bookman Old Style"/>
          <w:i/>
          <w:iCs/>
          <w:sz w:val="28"/>
          <w:szCs w:val="28"/>
        </w:rPr>
        <w:t>v Alexander &amp; Others</w:t>
      </w:r>
      <w:r w:rsidR="002F7C41" w:rsidRPr="00DA1F0A">
        <w:rPr>
          <w:rStyle w:val="FootnoteReference"/>
          <w:rFonts w:ascii="Bookman Old Style" w:hAnsi="Bookman Old Style"/>
          <w:sz w:val="28"/>
          <w:szCs w:val="28"/>
        </w:rPr>
        <w:footnoteReference w:id="4"/>
      </w:r>
      <w:r w:rsidR="002F7C41" w:rsidRPr="00DA1F0A">
        <w:rPr>
          <w:rFonts w:ascii="Bookman Old Style" w:hAnsi="Bookman Old Style"/>
          <w:sz w:val="28"/>
          <w:szCs w:val="28"/>
        </w:rPr>
        <w:t xml:space="preserve">, referred </w:t>
      </w:r>
      <w:r w:rsidR="00942B84" w:rsidRPr="00DA1F0A">
        <w:rPr>
          <w:rFonts w:ascii="Bookman Old Style" w:hAnsi="Bookman Old Style"/>
          <w:sz w:val="28"/>
          <w:szCs w:val="28"/>
        </w:rPr>
        <w:t xml:space="preserve">to </w:t>
      </w:r>
      <w:r w:rsidR="002F7C41" w:rsidRPr="00DA1F0A">
        <w:rPr>
          <w:rFonts w:ascii="Bookman Old Style" w:hAnsi="Bookman Old Style"/>
          <w:sz w:val="28"/>
          <w:szCs w:val="28"/>
        </w:rPr>
        <w:t xml:space="preserve">with approval in </w:t>
      </w:r>
      <w:proofErr w:type="spellStart"/>
      <w:r w:rsidR="002F7C41" w:rsidRPr="00DA1F0A">
        <w:rPr>
          <w:rFonts w:ascii="Bookman Old Style" w:hAnsi="Bookman Old Style"/>
          <w:i/>
          <w:iCs/>
          <w:sz w:val="28"/>
          <w:szCs w:val="28"/>
        </w:rPr>
        <w:t>Nthuli</w:t>
      </w:r>
      <w:proofErr w:type="spellEnd"/>
      <w:r w:rsidR="002F7C41" w:rsidRPr="00DA1F0A">
        <w:rPr>
          <w:rFonts w:ascii="Bookman Old Style" w:hAnsi="Bookman Old Style"/>
          <w:sz w:val="28"/>
          <w:szCs w:val="28"/>
        </w:rPr>
        <w:t xml:space="preserve"> </w:t>
      </w:r>
      <w:r w:rsidR="00A25946" w:rsidRPr="00DA1F0A">
        <w:rPr>
          <w:rFonts w:ascii="Bookman Old Style" w:hAnsi="Bookman Old Style"/>
          <w:sz w:val="28"/>
          <w:szCs w:val="28"/>
        </w:rPr>
        <w:t>(</w:t>
      </w:r>
      <w:r w:rsidR="002F7C41" w:rsidRPr="00DA1F0A">
        <w:rPr>
          <w:rFonts w:ascii="Bookman Old Style" w:hAnsi="Bookman Old Style"/>
          <w:sz w:val="28"/>
          <w:szCs w:val="28"/>
        </w:rPr>
        <w:t>supra</w:t>
      </w:r>
      <w:r w:rsidR="00A25946" w:rsidRPr="00DA1F0A">
        <w:rPr>
          <w:rFonts w:ascii="Bookman Old Style" w:hAnsi="Bookman Old Style"/>
          <w:sz w:val="28"/>
          <w:szCs w:val="28"/>
        </w:rPr>
        <w:t>)</w:t>
      </w:r>
      <w:r w:rsidR="002F7C41" w:rsidRPr="00DA1F0A">
        <w:rPr>
          <w:rFonts w:ascii="Bookman Old Style" w:hAnsi="Bookman Old Style"/>
          <w:sz w:val="28"/>
          <w:szCs w:val="28"/>
        </w:rPr>
        <w:t xml:space="preserve">: </w:t>
      </w:r>
    </w:p>
    <w:p w14:paraId="30FE1035" w14:textId="77777777" w:rsidR="00A25946" w:rsidRPr="00A25946" w:rsidRDefault="00A25946" w:rsidP="00A25946">
      <w:pPr>
        <w:pStyle w:val="ListParagraph"/>
        <w:rPr>
          <w:rFonts w:ascii="Bookman Old Style" w:hAnsi="Bookman Old Style"/>
          <w:sz w:val="24"/>
          <w:szCs w:val="24"/>
        </w:rPr>
      </w:pPr>
    </w:p>
    <w:p w14:paraId="1CBF583A" w14:textId="395F031C" w:rsidR="00472BD4" w:rsidRPr="00B20E47" w:rsidRDefault="002F7C41">
      <w:pPr>
        <w:pStyle w:val="ListParagraph"/>
        <w:ind w:left="1440"/>
        <w:jc w:val="both"/>
        <w:rPr>
          <w:rFonts w:ascii="Bookman Old Style" w:hAnsi="Bookman Old Style"/>
        </w:rPr>
      </w:pPr>
      <w:r w:rsidRPr="00B20E47">
        <w:rPr>
          <w:rFonts w:ascii="Bookman Old Style" w:hAnsi="Bookman Old Style"/>
        </w:rPr>
        <w:t xml:space="preserve">“It has been authoritatively laid down by the Appellate Division in the case of </w:t>
      </w:r>
      <w:r w:rsidRPr="00B20E47">
        <w:rPr>
          <w:rFonts w:ascii="Bookman Old Style" w:hAnsi="Bookman Old Style"/>
          <w:i/>
          <w:iCs/>
        </w:rPr>
        <w:t xml:space="preserve">Rex v </w:t>
      </w:r>
      <w:proofErr w:type="spellStart"/>
      <w:r w:rsidRPr="00B20E47">
        <w:rPr>
          <w:rFonts w:ascii="Bookman Old Style" w:hAnsi="Bookman Old Style"/>
          <w:i/>
          <w:iCs/>
        </w:rPr>
        <w:t>Heyne</w:t>
      </w:r>
      <w:proofErr w:type="spellEnd"/>
      <w:r w:rsidRPr="00B20E47">
        <w:rPr>
          <w:rFonts w:ascii="Bookman Old Style" w:hAnsi="Bookman Old Style"/>
          <w:i/>
          <w:iCs/>
        </w:rPr>
        <w:t xml:space="preserve"> and Others</w:t>
      </w:r>
      <w:r w:rsidRPr="00B20E47">
        <w:rPr>
          <w:rFonts w:ascii="Bookman Old Style" w:hAnsi="Bookman Old Style"/>
        </w:rPr>
        <w:t>, 1956 (3) SA 604 (AD), that when there is a series of acts done in pursuance of one criminal design the law recognises the pra</w:t>
      </w:r>
      <w:r w:rsidR="00A25946" w:rsidRPr="00B20E47">
        <w:rPr>
          <w:rFonts w:ascii="Bookman Old Style" w:hAnsi="Bookman Old Style"/>
        </w:rPr>
        <w:t>c</w:t>
      </w:r>
      <w:r w:rsidRPr="00B20E47">
        <w:rPr>
          <w:rFonts w:ascii="Bookman Old Style" w:hAnsi="Bookman Old Style"/>
        </w:rPr>
        <w:t>tical necessity of allowing the State, with due regard to what is fair to the accused, to charge the series as a criminal course of conduct, i.e. as a single crime. It was further held in the same case that collaborators participating in such a course</w:t>
      </w:r>
      <w:r w:rsidR="0007684A" w:rsidRPr="00B20E47">
        <w:rPr>
          <w:rFonts w:ascii="Bookman Old Style" w:hAnsi="Bookman Old Style"/>
        </w:rPr>
        <w:t xml:space="preserve"> of</w:t>
      </w:r>
      <w:r w:rsidRPr="00B20E47">
        <w:rPr>
          <w:rFonts w:ascii="Bookman Old Style" w:hAnsi="Bookman Old Style"/>
        </w:rPr>
        <w:t xml:space="preserve"> criminal conduct may be joined in one indictment even if they participated therein at different times. It remains therefore to be seen whether the State has in fact alleged in its indictment a criminal course of conduct. To my mind, it not essential </w:t>
      </w:r>
      <w:r w:rsidR="00A25946" w:rsidRPr="00B20E47">
        <w:rPr>
          <w:rFonts w:ascii="Bookman Old Style" w:hAnsi="Bookman Old Style"/>
        </w:rPr>
        <w:t>for the State to allege in an indictment in so many words that the accused acted in concert or with a common purpose or in a criminal course of conduct. It will be sufficient if the State alleges in its indictment sufficient particulars to show that the accused in doing that they allege to have done became associated with one another in an unlawful purpose or scheme and that the series of acts done by them was done in connection with and in the furtherance of that unlawful purpose.”</w:t>
      </w:r>
      <w:r w:rsidR="00A25946" w:rsidRPr="00B20E47">
        <w:rPr>
          <w:rStyle w:val="FootnoteReference"/>
          <w:rFonts w:ascii="Bookman Old Style" w:hAnsi="Bookman Old Style"/>
        </w:rPr>
        <w:footnoteReference w:id="5"/>
      </w:r>
      <w:r w:rsidR="0007684A" w:rsidRPr="00B20E47">
        <w:rPr>
          <w:rFonts w:ascii="Bookman Old Style" w:hAnsi="Bookman Old Style"/>
        </w:rPr>
        <w:t xml:space="preserve">  </w:t>
      </w:r>
      <w:r w:rsidR="007A559B" w:rsidRPr="00B20E47">
        <w:rPr>
          <w:rFonts w:ascii="Bookman Old Style" w:hAnsi="Bookman Old Style"/>
        </w:rPr>
        <w:t xml:space="preserve"> </w:t>
      </w:r>
    </w:p>
    <w:p w14:paraId="1BB92CBF" w14:textId="4E27FCAC" w:rsidR="00B328A8" w:rsidRDefault="00B328A8" w:rsidP="00730302">
      <w:pPr>
        <w:pStyle w:val="ListParagraph"/>
        <w:jc w:val="both"/>
        <w:rPr>
          <w:rFonts w:ascii="Bookman Old Style" w:hAnsi="Bookman Old Style"/>
          <w:sz w:val="24"/>
          <w:szCs w:val="24"/>
        </w:rPr>
      </w:pPr>
      <w:r>
        <w:rPr>
          <w:rFonts w:ascii="Bookman Old Style" w:hAnsi="Bookman Old Style"/>
          <w:sz w:val="24"/>
          <w:szCs w:val="24"/>
        </w:rPr>
        <w:t xml:space="preserve"> </w:t>
      </w:r>
    </w:p>
    <w:p w14:paraId="24B61100" w14:textId="386A6799" w:rsidR="009E4F3C"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[23]</w:t>
      </w:r>
      <w:r w:rsidRPr="00DA1F0A">
        <w:rPr>
          <w:rFonts w:ascii="Bookman Old Style" w:hAnsi="Bookman Old Style"/>
          <w:sz w:val="28"/>
          <w:szCs w:val="28"/>
        </w:rPr>
        <w:tab/>
      </w:r>
      <w:r w:rsidR="008272A6" w:rsidRPr="00DA1F0A">
        <w:rPr>
          <w:rFonts w:ascii="Bookman Old Style" w:hAnsi="Bookman Old Style"/>
          <w:sz w:val="28"/>
          <w:szCs w:val="28"/>
        </w:rPr>
        <w:t>The position of the law</w:t>
      </w:r>
      <w:r w:rsidR="002B12CC" w:rsidRPr="00DA1F0A">
        <w:rPr>
          <w:rFonts w:ascii="Bookman Old Style" w:hAnsi="Bookman Old Style"/>
          <w:sz w:val="28"/>
          <w:szCs w:val="28"/>
        </w:rPr>
        <w:t>,</w:t>
      </w:r>
      <w:r w:rsidR="008272A6" w:rsidRPr="00DA1F0A">
        <w:rPr>
          <w:rFonts w:ascii="Bookman Old Style" w:hAnsi="Bookman Old Style"/>
          <w:sz w:val="28"/>
          <w:szCs w:val="28"/>
        </w:rPr>
        <w:t xml:space="preserve"> which I embrace</w:t>
      </w:r>
      <w:r w:rsidR="002B12CC" w:rsidRPr="00DA1F0A">
        <w:rPr>
          <w:rFonts w:ascii="Bookman Old Style" w:hAnsi="Bookman Old Style"/>
          <w:sz w:val="28"/>
          <w:szCs w:val="28"/>
        </w:rPr>
        <w:t>,</w:t>
      </w:r>
      <w:r w:rsidR="008272A6" w:rsidRPr="00DA1F0A">
        <w:rPr>
          <w:rFonts w:ascii="Bookman Old Style" w:hAnsi="Bookman Old Style"/>
          <w:sz w:val="28"/>
          <w:szCs w:val="28"/>
        </w:rPr>
        <w:t xml:space="preserve"> is summarised in another </w:t>
      </w:r>
      <w:r w:rsidR="00627259" w:rsidRPr="00DA1F0A">
        <w:rPr>
          <w:rFonts w:ascii="Bookman Old Style" w:hAnsi="Bookman Old Style"/>
          <w:sz w:val="28"/>
          <w:szCs w:val="28"/>
        </w:rPr>
        <w:t>S</w:t>
      </w:r>
      <w:r w:rsidR="008272A6" w:rsidRPr="00DA1F0A">
        <w:rPr>
          <w:rFonts w:ascii="Bookman Old Style" w:hAnsi="Bookman Old Style"/>
          <w:sz w:val="28"/>
          <w:szCs w:val="28"/>
        </w:rPr>
        <w:t xml:space="preserve">outh African case, </w:t>
      </w:r>
      <w:r w:rsidR="008272A6" w:rsidRPr="00DA1F0A">
        <w:rPr>
          <w:rFonts w:ascii="Bookman Old Style" w:hAnsi="Bookman Old Style"/>
          <w:i/>
          <w:iCs/>
          <w:sz w:val="28"/>
          <w:szCs w:val="28"/>
        </w:rPr>
        <w:t>Mahlangu &amp; Others v State</w:t>
      </w:r>
      <w:r w:rsidR="00020884" w:rsidRPr="00DA1F0A">
        <w:rPr>
          <w:rFonts w:ascii="Bookman Old Style" w:hAnsi="Bookman Old Style"/>
          <w:i/>
          <w:iCs/>
          <w:sz w:val="28"/>
          <w:szCs w:val="28"/>
        </w:rPr>
        <w:t>.</w:t>
      </w:r>
      <w:r w:rsidR="008272A6" w:rsidRPr="00DA1F0A">
        <w:rPr>
          <w:rStyle w:val="FootnoteReference"/>
          <w:rFonts w:ascii="Bookman Old Style" w:hAnsi="Bookman Old Style"/>
          <w:sz w:val="28"/>
          <w:szCs w:val="28"/>
        </w:rPr>
        <w:footnoteReference w:id="6"/>
      </w:r>
      <w:r w:rsidR="008272A6" w:rsidRPr="00DA1F0A">
        <w:rPr>
          <w:rFonts w:ascii="Bookman Old Style" w:hAnsi="Bookman Old Style"/>
          <w:sz w:val="28"/>
          <w:szCs w:val="28"/>
        </w:rPr>
        <w:t xml:space="preserve"> I quote </w:t>
      </w:r>
      <w:r w:rsidR="002B12CC" w:rsidRPr="00DA1F0A">
        <w:rPr>
          <w:rFonts w:ascii="Bookman Old Style" w:hAnsi="Bookman Old Style"/>
          <w:sz w:val="28"/>
          <w:szCs w:val="28"/>
        </w:rPr>
        <w:t xml:space="preserve">from it </w:t>
      </w:r>
      <w:r w:rsidR="008272A6" w:rsidRPr="00DA1F0A">
        <w:rPr>
          <w:rFonts w:ascii="Bookman Old Style" w:hAnsi="Bookman Old Style"/>
          <w:sz w:val="28"/>
          <w:szCs w:val="28"/>
        </w:rPr>
        <w:t xml:space="preserve">extensively: </w:t>
      </w:r>
    </w:p>
    <w:p w14:paraId="57D7B07C" w14:textId="2FEB72AD" w:rsidR="009E4F3C" w:rsidRPr="00B20E47" w:rsidRDefault="008272A6">
      <w:pPr>
        <w:ind w:left="1440"/>
        <w:jc w:val="both"/>
        <w:rPr>
          <w:rFonts w:ascii="Bookman Old Style" w:hAnsi="Bookman Old Style"/>
        </w:rPr>
      </w:pPr>
      <w:r w:rsidRPr="00B20E47">
        <w:rPr>
          <w:rFonts w:ascii="Bookman Old Style" w:hAnsi="Bookman Old Style"/>
        </w:rPr>
        <w:t xml:space="preserve">“[6] </w:t>
      </w:r>
      <w:r w:rsidR="00627259">
        <w:rPr>
          <w:rFonts w:ascii="Bookman Old Style" w:hAnsi="Bookman Old Style"/>
        </w:rPr>
        <w:t xml:space="preserve">… </w:t>
      </w:r>
      <w:r w:rsidRPr="00B20E47">
        <w:rPr>
          <w:rFonts w:ascii="Bookman Old Style" w:hAnsi="Bookman Old Style"/>
        </w:rPr>
        <w:t>the crisp issue in this appeal is whether the State</w:t>
      </w:r>
      <w:r w:rsidR="009E4F3C" w:rsidRPr="00B20E47">
        <w:rPr>
          <w:rFonts w:ascii="Bookman Old Style" w:hAnsi="Bookman Old Style"/>
        </w:rPr>
        <w:t xml:space="preserve"> </w:t>
      </w:r>
      <w:r w:rsidRPr="00B20E47">
        <w:rPr>
          <w:rFonts w:ascii="Bookman Old Style" w:hAnsi="Bookman Old Style"/>
        </w:rPr>
        <w:t xml:space="preserve">is obliged, where it intends to secure the conviction of the accused relying on common purpose, to disclose this intent in the indictment. … </w:t>
      </w:r>
    </w:p>
    <w:p w14:paraId="49089505" w14:textId="77777777" w:rsidR="009E4F3C" w:rsidRPr="00B20E47" w:rsidRDefault="008272A6">
      <w:pPr>
        <w:ind w:left="1440"/>
        <w:jc w:val="both"/>
        <w:rPr>
          <w:rFonts w:ascii="Bookman Old Style" w:hAnsi="Bookman Old Style"/>
        </w:rPr>
      </w:pPr>
      <w:r w:rsidRPr="00B20E47">
        <w:rPr>
          <w:rFonts w:ascii="Bookman Old Style" w:hAnsi="Bookman Old Style"/>
        </w:rPr>
        <w:t>[9] Burchell and Milton</w:t>
      </w:r>
      <w:r w:rsidR="003873E4" w:rsidRPr="00B20E47">
        <w:rPr>
          <w:rStyle w:val="FootnoteReference"/>
          <w:rFonts w:ascii="Bookman Old Style" w:hAnsi="Bookman Old Style"/>
        </w:rPr>
        <w:footnoteReference w:id="7"/>
      </w:r>
      <w:r w:rsidR="003873E4" w:rsidRPr="00B20E47">
        <w:rPr>
          <w:rFonts w:ascii="Bookman Old Style" w:hAnsi="Bookman Old Style"/>
        </w:rPr>
        <w:t xml:space="preserve"> define the doctrine of common purpose in the following terms: </w:t>
      </w:r>
    </w:p>
    <w:p w14:paraId="38E41EEA" w14:textId="65FD7F46" w:rsidR="009E4F3C" w:rsidRPr="00B20E47" w:rsidRDefault="003873E4">
      <w:pPr>
        <w:ind w:left="2160"/>
        <w:jc w:val="both"/>
        <w:rPr>
          <w:rFonts w:ascii="Bookman Old Style" w:hAnsi="Bookman Old Style"/>
        </w:rPr>
      </w:pPr>
      <w:r w:rsidRPr="00B20E47">
        <w:rPr>
          <w:rFonts w:ascii="Bookman Old Style" w:hAnsi="Bookman Old Style"/>
        </w:rPr>
        <w:t>‘Where two or more people agree to commit a crime or actively associate</w:t>
      </w:r>
      <w:r w:rsidR="009E4F3C" w:rsidRPr="00B20E47">
        <w:rPr>
          <w:rFonts w:ascii="Bookman Old Style" w:hAnsi="Bookman Old Style"/>
        </w:rPr>
        <w:t xml:space="preserve"> </w:t>
      </w:r>
      <w:r w:rsidRPr="00B20E47">
        <w:rPr>
          <w:rFonts w:ascii="Bookman Old Style" w:hAnsi="Bookman Old Style"/>
        </w:rPr>
        <w:t xml:space="preserve">in a joint unlawful enterprise, each will be responsible for specific criminal conduct committed by one of their number </w:t>
      </w:r>
      <w:r w:rsidRPr="00B20E47">
        <w:rPr>
          <w:rFonts w:ascii="Bookman Old Style" w:hAnsi="Bookman Old Style"/>
        </w:rPr>
        <w:lastRenderedPageBreak/>
        <w:t>which fall within their common design. Liability arises from their ‘common purpose’ to commit the crime.</w:t>
      </w:r>
      <w:r w:rsidR="009E4F3C" w:rsidRPr="00B20E47">
        <w:rPr>
          <w:rFonts w:ascii="Bookman Old Style" w:hAnsi="Bookman Old Style"/>
        </w:rPr>
        <w:t>’</w:t>
      </w:r>
      <w:r w:rsidRPr="00B20E47">
        <w:rPr>
          <w:rFonts w:ascii="Bookman Old Style" w:hAnsi="Bookman Old Style"/>
        </w:rPr>
        <w:t xml:space="preserve"> </w:t>
      </w:r>
    </w:p>
    <w:p w14:paraId="3A5A051A" w14:textId="382E3027" w:rsidR="00627259" w:rsidRDefault="003873E4">
      <w:pPr>
        <w:ind w:left="1440"/>
        <w:jc w:val="both"/>
        <w:rPr>
          <w:rFonts w:ascii="Bookman Old Style" w:hAnsi="Bookman Old Style"/>
        </w:rPr>
      </w:pPr>
      <w:r w:rsidRPr="00B20E47">
        <w:rPr>
          <w:rFonts w:ascii="Bookman Old Style" w:hAnsi="Bookman Old Style"/>
        </w:rPr>
        <w:t>[10] It is trite that the</w:t>
      </w:r>
      <w:r w:rsidR="009E4F3C" w:rsidRPr="00B20E47">
        <w:rPr>
          <w:rFonts w:ascii="Bookman Old Style" w:hAnsi="Bookman Old Style"/>
        </w:rPr>
        <w:t xml:space="preserve"> </w:t>
      </w:r>
      <w:r w:rsidRPr="00B20E47">
        <w:rPr>
          <w:rFonts w:ascii="Bookman Old Style" w:hAnsi="Bookman Old Style"/>
          <w:i/>
          <w:iCs/>
        </w:rPr>
        <w:t>onus</w:t>
      </w:r>
      <w:r w:rsidRPr="00B20E47">
        <w:rPr>
          <w:rFonts w:ascii="Bookman Old Style" w:hAnsi="Bookman Old Style"/>
        </w:rPr>
        <w:t xml:space="preserve"> of establishing common purpose rests on the State. In the matter of </w:t>
      </w:r>
      <w:r w:rsidRPr="00B20E47">
        <w:rPr>
          <w:rFonts w:ascii="Bookman Old Style" w:hAnsi="Bookman Old Style"/>
          <w:i/>
          <w:iCs/>
        </w:rPr>
        <w:t xml:space="preserve">S v </w:t>
      </w:r>
      <w:proofErr w:type="spellStart"/>
      <w:r w:rsidRPr="00B20E47">
        <w:rPr>
          <w:rFonts w:ascii="Bookman Old Style" w:hAnsi="Bookman Old Style"/>
          <w:i/>
          <w:iCs/>
        </w:rPr>
        <w:t>Mgedezi</w:t>
      </w:r>
      <w:proofErr w:type="spellEnd"/>
      <w:r w:rsidRPr="00B20E47">
        <w:rPr>
          <w:rFonts w:ascii="Bookman Old Style" w:hAnsi="Bookman Old Style"/>
          <w:i/>
          <w:iCs/>
        </w:rPr>
        <w:t xml:space="preserve"> and Others</w:t>
      </w:r>
      <w:r w:rsidR="00174A52" w:rsidRPr="00B20E47">
        <w:rPr>
          <w:rStyle w:val="FootnoteReference"/>
          <w:rFonts w:ascii="Bookman Old Style" w:hAnsi="Bookman Old Style"/>
        </w:rPr>
        <w:footnoteReference w:id="8"/>
      </w:r>
      <w:r w:rsidRPr="00B20E47">
        <w:rPr>
          <w:rFonts w:ascii="Bookman Old Style" w:hAnsi="Bookman Old Style"/>
        </w:rPr>
        <w:t xml:space="preserve"> the Appellate Court held that ‘the prerequisites for common purpose are ‘firstly he must have been present at the scene where the violence was committed. Secondl</w:t>
      </w:r>
      <w:r w:rsidR="00174A52" w:rsidRPr="00B20E47">
        <w:rPr>
          <w:rFonts w:ascii="Bookman Old Style" w:hAnsi="Bookman Old Style"/>
        </w:rPr>
        <w:t>y</w:t>
      </w:r>
      <w:r w:rsidRPr="00B20E47">
        <w:rPr>
          <w:rFonts w:ascii="Bookman Old Style" w:hAnsi="Bookman Old Style"/>
        </w:rPr>
        <w:t>, he must have been aware</w:t>
      </w:r>
      <w:r w:rsidR="00174A52" w:rsidRPr="00B20E47">
        <w:rPr>
          <w:rFonts w:ascii="Bookman Old Style" w:hAnsi="Bookman Old Style"/>
        </w:rPr>
        <w:t xml:space="preserve"> </w:t>
      </w:r>
      <w:r w:rsidRPr="00B20E47">
        <w:rPr>
          <w:rFonts w:ascii="Bookman Old Style" w:hAnsi="Bookman Old Style"/>
        </w:rPr>
        <w:t>of the assault on the victim; thirdly,</w:t>
      </w:r>
      <w:r w:rsidR="00174A52" w:rsidRPr="00B20E47">
        <w:rPr>
          <w:rFonts w:ascii="Bookman Old Style" w:hAnsi="Bookman Old Style"/>
        </w:rPr>
        <w:t xml:space="preserve"> </w:t>
      </w:r>
      <w:r w:rsidRPr="00B20E47">
        <w:rPr>
          <w:rFonts w:ascii="Bookman Old Style" w:hAnsi="Bookman Old Style"/>
        </w:rPr>
        <w:t>he must hast have intended to make common cause</w:t>
      </w:r>
      <w:r w:rsidR="00174A52" w:rsidRPr="00B20E47">
        <w:rPr>
          <w:rFonts w:ascii="Bookman Old Style" w:hAnsi="Bookman Old Style"/>
        </w:rPr>
        <w:t xml:space="preserve"> </w:t>
      </w:r>
      <w:r w:rsidR="0069334D" w:rsidRPr="00B20E47">
        <w:rPr>
          <w:rFonts w:ascii="Bookman Old Style" w:hAnsi="Bookman Old Style"/>
        </w:rPr>
        <w:t xml:space="preserve">with those who were </w:t>
      </w:r>
      <w:proofErr w:type="gramStart"/>
      <w:r w:rsidR="0069334D" w:rsidRPr="00B20E47">
        <w:rPr>
          <w:rFonts w:ascii="Bookman Old Style" w:hAnsi="Bookman Old Style"/>
        </w:rPr>
        <w:t>actually</w:t>
      </w:r>
      <w:r w:rsidR="00174A52" w:rsidRPr="00B20E47">
        <w:rPr>
          <w:rFonts w:ascii="Bookman Old Style" w:hAnsi="Bookman Old Style"/>
        </w:rPr>
        <w:t xml:space="preserve"> </w:t>
      </w:r>
      <w:r w:rsidR="0069334D" w:rsidRPr="00B20E47">
        <w:rPr>
          <w:rFonts w:ascii="Bookman Old Style" w:hAnsi="Bookman Old Style"/>
        </w:rPr>
        <w:t>perpetrating</w:t>
      </w:r>
      <w:proofErr w:type="gramEnd"/>
      <w:r w:rsidR="0069334D" w:rsidRPr="00B20E47">
        <w:rPr>
          <w:rFonts w:ascii="Bookman Old Style" w:hAnsi="Bookman Old Style"/>
        </w:rPr>
        <w:t xml:space="preserve"> the assault. Fourthly,</w:t>
      </w:r>
      <w:r w:rsidR="00174A52" w:rsidRPr="00B20E47">
        <w:rPr>
          <w:rFonts w:ascii="Bookman Old Style" w:hAnsi="Bookman Old Style"/>
        </w:rPr>
        <w:t xml:space="preserve"> </w:t>
      </w:r>
      <w:r w:rsidR="0069334D" w:rsidRPr="00B20E47">
        <w:rPr>
          <w:rFonts w:ascii="Bookman Old Style" w:hAnsi="Bookman Old Style"/>
        </w:rPr>
        <w:t>he must have m</w:t>
      </w:r>
      <w:r w:rsidR="00DA1F0A">
        <w:rPr>
          <w:rFonts w:ascii="Bookman Old Style" w:hAnsi="Bookman Old Style"/>
        </w:rPr>
        <w:t xml:space="preserve">anifested his sharing of the </w:t>
      </w:r>
      <w:r w:rsidR="0069334D" w:rsidRPr="00B20E47">
        <w:rPr>
          <w:rFonts w:ascii="Bookman Old Style" w:hAnsi="Bookman Old Style"/>
        </w:rPr>
        <w:t xml:space="preserve">common purposes with the </w:t>
      </w:r>
      <w:r w:rsidR="00174A52" w:rsidRPr="00B20E47">
        <w:rPr>
          <w:rFonts w:ascii="Bookman Old Style" w:hAnsi="Bookman Old Style"/>
        </w:rPr>
        <w:t xml:space="preserve">perpetrators of the assault by himself performing some act of association with the </w:t>
      </w:r>
      <w:r w:rsidR="0069334D" w:rsidRPr="00B20E47">
        <w:rPr>
          <w:rFonts w:ascii="Bookman Old Style" w:hAnsi="Bookman Old Style"/>
        </w:rPr>
        <w:t xml:space="preserve">conduct of others. Fifthly, he must have had the requisite </w:t>
      </w:r>
      <w:proofErr w:type="spellStart"/>
      <w:r w:rsidR="0069334D" w:rsidRPr="00B20E47">
        <w:rPr>
          <w:rFonts w:ascii="Bookman Old Style" w:hAnsi="Bookman Old Style"/>
          <w:i/>
          <w:iCs/>
        </w:rPr>
        <w:t>mens</w:t>
      </w:r>
      <w:proofErr w:type="spellEnd"/>
      <w:r w:rsidR="0069334D" w:rsidRPr="00B20E47">
        <w:rPr>
          <w:rFonts w:ascii="Bookman Old Style" w:hAnsi="Bookman Old Style"/>
          <w:i/>
          <w:iCs/>
        </w:rPr>
        <w:t xml:space="preserve"> rea</w:t>
      </w:r>
      <w:r w:rsidR="0069334D" w:rsidRPr="00B20E47">
        <w:rPr>
          <w:rFonts w:ascii="Bookman Old Style" w:hAnsi="Bookman Old Style"/>
        </w:rPr>
        <w:t xml:space="preserve"> ; so, in respect of the killing of the deceased, he must have intended the victim to be killed, or he must have foreseen the possibility of the killing and</w:t>
      </w:r>
      <w:r w:rsidR="00174A52" w:rsidRPr="00B20E47">
        <w:rPr>
          <w:rFonts w:ascii="Bookman Old Style" w:hAnsi="Bookman Old Style"/>
        </w:rPr>
        <w:t xml:space="preserve"> </w:t>
      </w:r>
      <w:r w:rsidR="0069334D" w:rsidRPr="00B20E47">
        <w:rPr>
          <w:rFonts w:ascii="Bookman Old Style" w:hAnsi="Bookman Old Style"/>
        </w:rPr>
        <w:t>performed his own act</w:t>
      </w:r>
      <w:r w:rsidR="00174A52" w:rsidRPr="00B20E47">
        <w:rPr>
          <w:rFonts w:ascii="Bookman Old Style" w:hAnsi="Bookman Old Style"/>
        </w:rPr>
        <w:t xml:space="preserve"> </w:t>
      </w:r>
      <w:r w:rsidR="0069334D" w:rsidRPr="00B20E47">
        <w:rPr>
          <w:rFonts w:ascii="Bookman Old Style" w:hAnsi="Bookman Old Style"/>
        </w:rPr>
        <w:t>of association with recklessness</w:t>
      </w:r>
      <w:r w:rsidR="00174A52" w:rsidRPr="00B20E47">
        <w:rPr>
          <w:rFonts w:ascii="Bookman Old Style" w:hAnsi="Bookman Old Style"/>
        </w:rPr>
        <w:t xml:space="preserve"> </w:t>
      </w:r>
      <w:r w:rsidR="0069334D" w:rsidRPr="00B20E47">
        <w:rPr>
          <w:rFonts w:ascii="Bookman Old Style" w:hAnsi="Bookman Old Style"/>
        </w:rPr>
        <w:t xml:space="preserve">as to whether or not death was to ensue.’ </w:t>
      </w:r>
    </w:p>
    <w:p w14:paraId="08F1778A" w14:textId="769B2EA9" w:rsidR="00284E5A" w:rsidRPr="00B20E47" w:rsidRDefault="0069334D">
      <w:pPr>
        <w:ind w:left="1440"/>
        <w:jc w:val="both"/>
        <w:rPr>
          <w:rFonts w:ascii="Bookman Old Style" w:hAnsi="Bookman Old Style"/>
        </w:rPr>
      </w:pPr>
      <w:r w:rsidRPr="00B20E47">
        <w:rPr>
          <w:rFonts w:ascii="Bookman Old Style" w:hAnsi="Bookman Old Style"/>
        </w:rPr>
        <w:t xml:space="preserve">[11] … </w:t>
      </w:r>
      <w:r w:rsidR="00284E5A" w:rsidRPr="00B20E47">
        <w:rPr>
          <w:rFonts w:ascii="Bookman Old Style" w:hAnsi="Bookman Old Style"/>
        </w:rPr>
        <w:t>t</w:t>
      </w:r>
      <w:r w:rsidRPr="00B20E47">
        <w:rPr>
          <w:rFonts w:ascii="Bookman Old Style" w:hAnsi="Bookman Old Style"/>
        </w:rPr>
        <w:t xml:space="preserve">he Criminal </w:t>
      </w:r>
      <w:r w:rsidR="00284E5A" w:rsidRPr="00B20E47">
        <w:rPr>
          <w:rFonts w:ascii="Bookman Old Style" w:hAnsi="Bookman Old Style"/>
        </w:rPr>
        <w:t>P</w:t>
      </w:r>
      <w:r w:rsidRPr="00B20E47">
        <w:rPr>
          <w:rFonts w:ascii="Bookman Old Style" w:hAnsi="Bookman Old Style"/>
        </w:rPr>
        <w:t>rocedure Act provides in peremptory terms that the accused shall be provided with an indictment which shall be accompanied by a summary of substantial facts of the case, which in the opinion of the attorney general, are necessary to inform the accused of the allegations against him.</w:t>
      </w:r>
    </w:p>
    <w:p w14:paraId="0001A87E" w14:textId="458D0FA8" w:rsidR="00284E5A" w:rsidRPr="00B20E47" w:rsidRDefault="00E12575">
      <w:pPr>
        <w:ind w:left="1440"/>
        <w:jc w:val="both"/>
        <w:rPr>
          <w:rFonts w:ascii="Bookman Old Style" w:hAnsi="Bookman Old Style"/>
        </w:rPr>
      </w:pPr>
      <w:r w:rsidRPr="00B20E47">
        <w:rPr>
          <w:rFonts w:ascii="Bookman Old Style" w:hAnsi="Bookman Old Style"/>
        </w:rPr>
        <w:t xml:space="preserve">[12] The above must be read together … with the Constitution… which provides that every accused person has a right to a fair trial, which includes the right to be informed of the charge with </w:t>
      </w:r>
      <w:proofErr w:type="gramStart"/>
      <w:r w:rsidRPr="00B20E47">
        <w:rPr>
          <w:rFonts w:ascii="Bookman Old Style" w:hAnsi="Bookman Old Style"/>
        </w:rPr>
        <w:t>sufficient</w:t>
      </w:r>
      <w:proofErr w:type="gramEnd"/>
      <w:r w:rsidRPr="00B20E47">
        <w:rPr>
          <w:rFonts w:ascii="Bookman Old Style" w:hAnsi="Bookman Old Style"/>
        </w:rPr>
        <w:t xml:space="preserve"> detail to answer it. … </w:t>
      </w:r>
    </w:p>
    <w:p w14:paraId="3B6A0E76" w14:textId="77777777" w:rsidR="00284E5A" w:rsidRPr="00B20E47" w:rsidRDefault="00E12575">
      <w:pPr>
        <w:ind w:left="720" w:firstLine="720"/>
        <w:jc w:val="both"/>
        <w:rPr>
          <w:rFonts w:ascii="Bookman Old Style" w:hAnsi="Bookman Old Style"/>
        </w:rPr>
      </w:pPr>
      <w:r w:rsidRPr="00B20E47">
        <w:rPr>
          <w:rFonts w:ascii="Bookman Old Style" w:hAnsi="Bookman Old Style"/>
        </w:rPr>
        <w:t xml:space="preserve">[14] In </w:t>
      </w:r>
      <w:r w:rsidRPr="00B20E47">
        <w:rPr>
          <w:rFonts w:ascii="Bookman Old Style" w:hAnsi="Bookman Old Style"/>
          <w:i/>
          <w:iCs/>
        </w:rPr>
        <w:t>S v National High Command</w:t>
      </w:r>
      <w:r w:rsidRPr="00B20E47">
        <w:rPr>
          <w:rStyle w:val="FootnoteReference"/>
          <w:rFonts w:ascii="Bookman Old Style" w:hAnsi="Bookman Old Style"/>
        </w:rPr>
        <w:footnoteReference w:id="9"/>
      </w:r>
      <w:r w:rsidRPr="00B20E47">
        <w:rPr>
          <w:rFonts w:ascii="Bookman Old Style" w:hAnsi="Bookman Old Style"/>
        </w:rPr>
        <w:t xml:space="preserve"> at para 464 the court held that: </w:t>
      </w:r>
    </w:p>
    <w:p w14:paraId="605C9AB9" w14:textId="6ACB719E" w:rsidR="00284E5A" w:rsidRPr="00B20E47" w:rsidRDefault="00E12575">
      <w:pPr>
        <w:ind w:left="2160"/>
        <w:jc w:val="both"/>
        <w:rPr>
          <w:rFonts w:ascii="Bookman Old Style" w:hAnsi="Bookman Old Style"/>
        </w:rPr>
      </w:pPr>
      <w:r w:rsidRPr="00B20E47">
        <w:rPr>
          <w:rFonts w:ascii="Bookman Old Style" w:hAnsi="Bookman Old Style"/>
        </w:rPr>
        <w:t>‘Now it is clear that where a common purpose is alleged, the State has to supply particulars on which it will rely to ask the court to draw the inference that each and every one of the accused was a participant in the conspiracy, or</w:t>
      </w:r>
      <w:r w:rsidR="00284E5A" w:rsidRPr="00B20E47">
        <w:rPr>
          <w:rFonts w:ascii="Bookman Old Style" w:hAnsi="Bookman Old Style"/>
        </w:rPr>
        <w:t xml:space="preserve"> </w:t>
      </w:r>
      <w:r w:rsidRPr="00B20E47">
        <w:rPr>
          <w:rFonts w:ascii="Bookman Old Style" w:hAnsi="Bookman Old Style"/>
        </w:rPr>
        <w:t xml:space="preserve">a party to the alleged common purpose.’ </w:t>
      </w:r>
    </w:p>
    <w:p w14:paraId="7570C134" w14:textId="2960A8B0" w:rsidR="00284E5A" w:rsidRPr="00B20E47" w:rsidRDefault="00E12575">
      <w:pPr>
        <w:ind w:left="1440"/>
        <w:jc w:val="both"/>
        <w:rPr>
          <w:rFonts w:ascii="Bookman Old Style" w:hAnsi="Bookman Old Style"/>
        </w:rPr>
      </w:pPr>
      <w:r w:rsidRPr="00B20E47">
        <w:rPr>
          <w:rFonts w:ascii="Bookman Old Style" w:hAnsi="Bookman Old Style"/>
        </w:rPr>
        <w:t xml:space="preserve">[15] When one has regard to the doctrine of common purpose, </w:t>
      </w:r>
      <w:proofErr w:type="gramStart"/>
      <w:r w:rsidRPr="00B20E47">
        <w:rPr>
          <w:rFonts w:ascii="Bookman Old Style" w:hAnsi="Bookman Old Style"/>
        </w:rPr>
        <w:t>it is clear that it</w:t>
      </w:r>
      <w:proofErr w:type="gramEnd"/>
      <w:r w:rsidRPr="00B20E47">
        <w:rPr>
          <w:rFonts w:ascii="Bookman Old Style" w:hAnsi="Bookman Old Style"/>
        </w:rPr>
        <w:t xml:space="preserve"> is wide enough to be regarded as a dr</w:t>
      </w:r>
      <w:r w:rsidR="008620E3" w:rsidRPr="00B20E47">
        <w:rPr>
          <w:rFonts w:ascii="Bookman Old Style" w:hAnsi="Bookman Old Style"/>
        </w:rPr>
        <w:t>a</w:t>
      </w:r>
      <w:r w:rsidRPr="00B20E47">
        <w:rPr>
          <w:rFonts w:ascii="Bookman Old Style" w:hAnsi="Bookman Old Style"/>
        </w:rPr>
        <w:t>gnet, catching anyone in its ambit</w:t>
      </w:r>
      <w:r w:rsidR="008620E3" w:rsidRPr="00B20E47">
        <w:rPr>
          <w:rFonts w:ascii="Bookman Old Style" w:hAnsi="Bookman Old Style"/>
        </w:rPr>
        <w:t>. … The stage of informing the accused what the charge he is to meet, is through the indictment and the summary of facts.</w:t>
      </w:r>
      <w:r w:rsidR="00284E5A" w:rsidRPr="00B20E47">
        <w:rPr>
          <w:rFonts w:ascii="Bookman Old Style" w:hAnsi="Bookman Old Style"/>
        </w:rPr>
        <w:t xml:space="preserve"> </w:t>
      </w:r>
      <w:r w:rsidR="008620E3" w:rsidRPr="00B20E47">
        <w:rPr>
          <w:rFonts w:ascii="Bookman Old Style" w:hAnsi="Bookman Old Style"/>
        </w:rPr>
        <w:t>The right of an accused to a fair trial does not commence at the plea stage, or at the commencement of leading evidence, but when he is served with the indictment or charge sheet. It can hardly be said that a charge sheet or indictment</w:t>
      </w:r>
      <w:r w:rsidR="00284E5A" w:rsidRPr="00B20E47">
        <w:rPr>
          <w:rFonts w:ascii="Bookman Old Style" w:hAnsi="Bookman Old Style"/>
        </w:rPr>
        <w:t xml:space="preserve"> </w:t>
      </w:r>
      <w:r w:rsidR="008620E3" w:rsidRPr="00B20E47">
        <w:rPr>
          <w:rFonts w:ascii="Bookman Old Style" w:hAnsi="Bookman Old Style"/>
        </w:rPr>
        <w:t>which does not spell out that reliance on common purpose will be made to secure a convi</w:t>
      </w:r>
      <w:r w:rsidR="00284E5A" w:rsidRPr="00B20E47">
        <w:rPr>
          <w:rFonts w:ascii="Bookman Old Style" w:hAnsi="Bookman Old Style"/>
        </w:rPr>
        <w:t>c</w:t>
      </w:r>
      <w:r w:rsidR="008620E3" w:rsidRPr="00B20E47">
        <w:rPr>
          <w:rFonts w:ascii="Bookman Old Style" w:hAnsi="Bookman Old Style"/>
        </w:rPr>
        <w:t xml:space="preserve">tion, does not prejudice the accused in </w:t>
      </w:r>
      <w:r w:rsidR="008620E3" w:rsidRPr="00B20E47">
        <w:rPr>
          <w:rFonts w:ascii="Bookman Old Style" w:hAnsi="Bookman Old Style"/>
        </w:rPr>
        <w:lastRenderedPageBreak/>
        <w:t xml:space="preserve">preparing for his trial. The failure to specify the common purpose simply means the State has not provided the accused with </w:t>
      </w:r>
      <w:proofErr w:type="gramStart"/>
      <w:r w:rsidR="008620E3" w:rsidRPr="00B20E47">
        <w:rPr>
          <w:rFonts w:ascii="Bookman Old Style" w:hAnsi="Bookman Old Style"/>
        </w:rPr>
        <w:t>sufficient</w:t>
      </w:r>
      <w:proofErr w:type="gramEnd"/>
      <w:r w:rsidR="008620E3" w:rsidRPr="00B20E47">
        <w:rPr>
          <w:rFonts w:ascii="Bookman Old Style" w:hAnsi="Bookman Old Style"/>
        </w:rPr>
        <w:t xml:space="preserve"> detail in breach [of the Cons</w:t>
      </w:r>
      <w:r w:rsidR="00284E5A" w:rsidRPr="00B20E47">
        <w:rPr>
          <w:rFonts w:ascii="Bookman Old Style" w:hAnsi="Bookman Old Style"/>
        </w:rPr>
        <w:t>ti</w:t>
      </w:r>
      <w:r w:rsidR="008620E3" w:rsidRPr="00B20E47">
        <w:rPr>
          <w:rFonts w:ascii="Bookman Old Style" w:hAnsi="Bookman Old Style"/>
        </w:rPr>
        <w:t>tution]</w:t>
      </w:r>
      <w:r w:rsidR="00284E5A" w:rsidRPr="00B20E47">
        <w:rPr>
          <w:rFonts w:ascii="Bookman Old Style" w:hAnsi="Bookman Old Style"/>
        </w:rPr>
        <w:t xml:space="preserve"> </w:t>
      </w:r>
      <w:r w:rsidR="008620E3" w:rsidRPr="00B20E47">
        <w:rPr>
          <w:rFonts w:ascii="Bookman Old Style" w:hAnsi="Bookman Old Style"/>
        </w:rPr>
        <w:t>…</w:t>
      </w:r>
      <w:r w:rsidR="00284E5A" w:rsidRPr="00B20E47">
        <w:rPr>
          <w:rFonts w:ascii="Bookman Old Style" w:hAnsi="Bookman Old Style"/>
        </w:rPr>
        <w:t>.</w:t>
      </w:r>
      <w:r w:rsidR="008620E3" w:rsidRPr="00B20E47">
        <w:rPr>
          <w:rFonts w:ascii="Bookman Old Style" w:hAnsi="Bookman Old Style"/>
        </w:rPr>
        <w:t xml:space="preserve"> </w:t>
      </w:r>
    </w:p>
    <w:p w14:paraId="119B4C29" w14:textId="5B51E62B" w:rsidR="00284E5A" w:rsidRPr="00B20E47" w:rsidRDefault="008620E3">
      <w:pPr>
        <w:ind w:left="1440"/>
        <w:jc w:val="both"/>
        <w:rPr>
          <w:rFonts w:ascii="Bookman Old Style" w:hAnsi="Bookman Old Style"/>
        </w:rPr>
      </w:pPr>
      <w:r w:rsidRPr="00B20E47">
        <w:rPr>
          <w:rFonts w:ascii="Bookman Old Style" w:hAnsi="Bookman Old Style"/>
        </w:rPr>
        <w:t>[17]</w:t>
      </w:r>
      <w:r w:rsidR="002B12CC" w:rsidRPr="00B20E47">
        <w:rPr>
          <w:rFonts w:ascii="Bookman Old Style" w:hAnsi="Bookman Old Style"/>
        </w:rPr>
        <w:t xml:space="preserve"> </w:t>
      </w:r>
      <w:r w:rsidRPr="00B20E47">
        <w:rPr>
          <w:rFonts w:ascii="Bookman Old Style" w:hAnsi="Bookman Old Style"/>
        </w:rPr>
        <w:t xml:space="preserve">In the matter of </w:t>
      </w:r>
      <w:r w:rsidRPr="00B20E47">
        <w:rPr>
          <w:rFonts w:ascii="Bookman Old Style" w:hAnsi="Bookman Old Style"/>
          <w:i/>
          <w:iCs/>
        </w:rPr>
        <w:t xml:space="preserve">S v </w:t>
      </w:r>
      <w:proofErr w:type="spellStart"/>
      <w:r w:rsidRPr="00B20E47">
        <w:rPr>
          <w:rFonts w:ascii="Bookman Old Style" w:hAnsi="Bookman Old Style"/>
          <w:i/>
          <w:iCs/>
        </w:rPr>
        <w:t>Ndaba</w:t>
      </w:r>
      <w:proofErr w:type="spellEnd"/>
      <w:r w:rsidRPr="00B20E47">
        <w:rPr>
          <w:rStyle w:val="FootnoteReference"/>
          <w:rFonts w:ascii="Bookman Old Style" w:hAnsi="Bookman Old Style"/>
        </w:rPr>
        <w:footnoteReference w:id="10"/>
      </w:r>
      <w:r w:rsidRPr="00B20E47">
        <w:rPr>
          <w:rFonts w:ascii="Bookman Old Style" w:hAnsi="Bookman Old Style"/>
        </w:rPr>
        <w:t xml:space="preserve"> where the State relied on </w:t>
      </w:r>
      <w:r w:rsidR="00284E7F" w:rsidRPr="00B20E47">
        <w:rPr>
          <w:rFonts w:ascii="Bookman Old Style" w:hAnsi="Bookman Old Style"/>
        </w:rPr>
        <w:t xml:space="preserve">common purpose, which it had not alleged in the charge sheet, or summary of substantial facts… or in the opening address … the Court held that: </w:t>
      </w:r>
    </w:p>
    <w:p w14:paraId="3607C5E3" w14:textId="5377EB4A" w:rsidR="00284E5A" w:rsidRPr="00B20E47" w:rsidRDefault="00284E7F">
      <w:pPr>
        <w:ind w:left="2160"/>
        <w:jc w:val="both"/>
        <w:rPr>
          <w:rFonts w:ascii="Bookman Old Style" w:hAnsi="Bookman Old Style"/>
        </w:rPr>
      </w:pPr>
      <w:r w:rsidRPr="00B20E47">
        <w:rPr>
          <w:rFonts w:ascii="Bookman Old Style" w:hAnsi="Bookman Old Style"/>
        </w:rPr>
        <w:t>‘(102) I am satisfied that the allegatio</w:t>
      </w:r>
      <w:r w:rsidR="00284E5A" w:rsidRPr="00B20E47">
        <w:rPr>
          <w:rFonts w:ascii="Bookman Old Style" w:hAnsi="Bookman Old Style"/>
        </w:rPr>
        <w:t>n</w:t>
      </w:r>
      <w:r w:rsidRPr="00B20E47">
        <w:rPr>
          <w:rFonts w:ascii="Bookman Old Style" w:hAnsi="Bookman Old Style"/>
        </w:rPr>
        <w:t xml:space="preserve">s of common purpose </w:t>
      </w:r>
      <w:proofErr w:type="gramStart"/>
      <w:r w:rsidRPr="00B20E47">
        <w:rPr>
          <w:rFonts w:ascii="Bookman Old Style" w:hAnsi="Bookman Old Style"/>
        </w:rPr>
        <w:t>has</w:t>
      </w:r>
      <w:proofErr w:type="gramEnd"/>
      <w:r w:rsidRPr="00B20E47">
        <w:rPr>
          <w:rFonts w:ascii="Bookman Old Style" w:hAnsi="Bookman Old Style"/>
        </w:rPr>
        <w:t xml:space="preserve"> to be made by the State in the indictment, or at least in the summary of substantial facts….</w:t>
      </w:r>
      <w:r w:rsidR="00284E5A" w:rsidRPr="00B20E47">
        <w:rPr>
          <w:rFonts w:ascii="Bookman Old Style" w:hAnsi="Bookman Old Style"/>
        </w:rPr>
        <w:t>’.</w:t>
      </w:r>
      <w:r w:rsidRPr="00B20E47">
        <w:rPr>
          <w:rFonts w:ascii="Bookman Old Style" w:hAnsi="Bookman Old Style"/>
        </w:rPr>
        <w:t xml:space="preserve"> </w:t>
      </w:r>
    </w:p>
    <w:p w14:paraId="415074F0" w14:textId="77777777" w:rsidR="002B12CC" w:rsidRPr="00B20E47" w:rsidRDefault="00284E7F">
      <w:pPr>
        <w:ind w:left="1440"/>
        <w:jc w:val="both"/>
        <w:rPr>
          <w:rFonts w:ascii="Bookman Old Style" w:hAnsi="Bookman Old Style"/>
        </w:rPr>
      </w:pPr>
      <w:r w:rsidRPr="00B20E47">
        <w:rPr>
          <w:rFonts w:ascii="Bookman Old Style" w:hAnsi="Bookman Old Style"/>
        </w:rPr>
        <w:t xml:space="preserve">[18] It is common cause that the indictment and the summary of facts, </w:t>
      </w:r>
      <w:r w:rsidRPr="00B20E47">
        <w:rPr>
          <w:rFonts w:ascii="Bookman Old Style" w:hAnsi="Bookman Old Style"/>
          <w:i/>
          <w:iCs/>
        </w:rPr>
        <w:t xml:space="preserve">in </w:t>
      </w:r>
      <w:proofErr w:type="spellStart"/>
      <w:r w:rsidRPr="00B20E47">
        <w:rPr>
          <w:rFonts w:ascii="Bookman Old Style" w:hAnsi="Bookman Old Style"/>
          <w:i/>
          <w:iCs/>
        </w:rPr>
        <w:t>casu</w:t>
      </w:r>
      <w:proofErr w:type="spellEnd"/>
      <w:r w:rsidRPr="00B20E47">
        <w:rPr>
          <w:rFonts w:ascii="Bookman Old Style" w:hAnsi="Bookman Old Style"/>
        </w:rPr>
        <w:t xml:space="preserve">, did </w:t>
      </w:r>
      <w:r w:rsidR="00284E5A" w:rsidRPr="00B20E47">
        <w:rPr>
          <w:rFonts w:ascii="Bookman Old Style" w:hAnsi="Bookman Old Style"/>
        </w:rPr>
        <w:t>n</w:t>
      </w:r>
      <w:r w:rsidRPr="00B20E47">
        <w:rPr>
          <w:rFonts w:ascii="Bookman Old Style" w:hAnsi="Bookman Old Style"/>
        </w:rPr>
        <w:t>ot indicate that the State would rely on common purpose to secure their conviction. It is also common cause</w:t>
      </w:r>
      <w:r w:rsidR="00284E5A" w:rsidRPr="00B20E47">
        <w:rPr>
          <w:rFonts w:ascii="Bookman Old Style" w:hAnsi="Bookman Old Style"/>
        </w:rPr>
        <w:t xml:space="preserve"> </w:t>
      </w:r>
      <w:r w:rsidRPr="00B20E47">
        <w:rPr>
          <w:rFonts w:ascii="Bookman Old Style" w:hAnsi="Bookman Old Style"/>
        </w:rPr>
        <w:t>that the State neither applied for the amendment of the charge…, during the trial nor before judgment was handed down. … The very fact that the appellants were not duly informed prejudiced them in preparing their defence. In my view</w:t>
      </w:r>
      <w:r w:rsidR="002B12CC" w:rsidRPr="00B20E47">
        <w:rPr>
          <w:rFonts w:ascii="Bookman Old Style" w:hAnsi="Bookman Old Style"/>
        </w:rPr>
        <w:t>,</w:t>
      </w:r>
      <w:r w:rsidRPr="00B20E47">
        <w:rPr>
          <w:rFonts w:ascii="Bookman Old Style" w:hAnsi="Bookman Old Style"/>
        </w:rPr>
        <w:t xml:space="preserve"> prejudice set in at the </w:t>
      </w:r>
      <w:r w:rsidR="009E4F3C" w:rsidRPr="00B20E47">
        <w:rPr>
          <w:rFonts w:ascii="Bookman Old Style" w:hAnsi="Bookman Old Style"/>
        </w:rPr>
        <w:t>very moment they were presented with the indictment and summary of substantial facts, thus tainting the entire process</w:t>
      </w:r>
      <w:r w:rsidR="002B12CC" w:rsidRPr="00B20E47">
        <w:rPr>
          <w:rFonts w:ascii="Bookman Old Style" w:hAnsi="Bookman Old Style"/>
        </w:rPr>
        <w:t xml:space="preserve"> </w:t>
      </w:r>
      <w:r w:rsidR="009E4F3C" w:rsidRPr="00B20E47">
        <w:rPr>
          <w:rFonts w:ascii="Bookman Old Style" w:hAnsi="Bookman Old Style"/>
        </w:rPr>
        <w:t xml:space="preserve">of a fair trial…. </w:t>
      </w:r>
    </w:p>
    <w:p w14:paraId="79298DBD" w14:textId="770D7BC3" w:rsidR="00284E7F" w:rsidRPr="00B20E47" w:rsidRDefault="009E4F3C">
      <w:pPr>
        <w:ind w:left="1440"/>
        <w:jc w:val="both"/>
        <w:rPr>
          <w:rFonts w:ascii="Bookman Old Style" w:hAnsi="Bookman Old Style"/>
        </w:rPr>
      </w:pPr>
      <w:r w:rsidRPr="00B20E47">
        <w:rPr>
          <w:rFonts w:ascii="Bookman Old Style" w:hAnsi="Bookman Old Style"/>
        </w:rPr>
        <w:t xml:space="preserve">[19] In my view, and in the light of the above authorities, the nature of the prejudice is such that it deprived the appellants of a fair trial, thus warranting that their conviction should be set aside….”. </w:t>
      </w:r>
    </w:p>
    <w:p w14:paraId="240055CE" w14:textId="77777777" w:rsidR="0069334D" w:rsidRDefault="0069334D" w:rsidP="0069334D">
      <w:pPr>
        <w:pStyle w:val="ListParagraph"/>
        <w:jc w:val="both"/>
        <w:rPr>
          <w:rFonts w:ascii="Bookman Old Style" w:hAnsi="Bookman Old Style"/>
          <w:sz w:val="24"/>
          <w:szCs w:val="24"/>
        </w:rPr>
      </w:pPr>
    </w:p>
    <w:p w14:paraId="2D7FCD40" w14:textId="08386259" w:rsidR="008272A6"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[24]</w:t>
      </w:r>
      <w:r w:rsidRPr="00DA1F0A">
        <w:rPr>
          <w:rFonts w:ascii="Bookman Old Style" w:hAnsi="Bookman Old Style"/>
          <w:sz w:val="28"/>
          <w:szCs w:val="28"/>
        </w:rPr>
        <w:tab/>
      </w:r>
      <w:r w:rsidR="0050020D" w:rsidRPr="00DA1F0A">
        <w:rPr>
          <w:rFonts w:ascii="Bookman Old Style" w:hAnsi="Bookman Old Style"/>
          <w:sz w:val="28"/>
          <w:szCs w:val="28"/>
        </w:rPr>
        <w:t>The law as widely applied and accepted in South Africa</w:t>
      </w:r>
      <w:r w:rsidR="00DB3FBA" w:rsidRPr="00DA1F0A">
        <w:rPr>
          <w:rFonts w:ascii="Bookman Old Style" w:hAnsi="Bookman Old Style"/>
          <w:sz w:val="28"/>
          <w:szCs w:val="28"/>
        </w:rPr>
        <w:t xml:space="preserve"> and </w:t>
      </w:r>
      <w:r w:rsidR="0050020D" w:rsidRPr="00DA1F0A">
        <w:rPr>
          <w:rFonts w:ascii="Bookman Old Style" w:hAnsi="Bookman Old Style"/>
          <w:sz w:val="28"/>
          <w:szCs w:val="28"/>
        </w:rPr>
        <w:t xml:space="preserve">other jurisdictions </w:t>
      </w:r>
      <w:r w:rsidR="00DB3FBA" w:rsidRPr="00DA1F0A">
        <w:rPr>
          <w:rFonts w:ascii="Bookman Old Style" w:hAnsi="Bookman Old Style"/>
          <w:sz w:val="28"/>
          <w:szCs w:val="28"/>
        </w:rPr>
        <w:t>must surely be the same in this country.</w:t>
      </w:r>
    </w:p>
    <w:p w14:paraId="293BA787" w14:textId="77777777" w:rsidR="00020884" w:rsidRPr="008272A6" w:rsidRDefault="00020884" w:rsidP="00B20E47">
      <w:pPr>
        <w:pStyle w:val="ListParagraph"/>
        <w:spacing w:line="360" w:lineRule="auto"/>
        <w:jc w:val="both"/>
        <w:rPr>
          <w:rFonts w:ascii="Bookman Old Style" w:hAnsi="Bookman Old Style"/>
          <w:sz w:val="24"/>
          <w:szCs w:val="24"/>
        </w:rPr>
      </w:pPr>
    </w:p>
    <w:p w14:paraId="5224C5CF" w14:textId="41E01126" w:rsidR="00730302" w:rsidRPr="00DA1F0A" w:rsidRDefault="00730302" w:rsidP="00B20E47">
      <w:pPr>
        <w:pStyle w:val="ListParagraph"/>
        <w:spacing w:line="360" w:lineRule="auto"/>
        <w:ind w:hanging="720"/>
        <w:jc w:val="both"/>
        <w:rPr>
          <w:rFonts w:ascii="Bookman Old Style" w:hAnsi="Bookman Old Style"/>
          <w:b/>
          <w:bCs/>
          <w:sz w:val="28"/>
          <w:szCs w:val="28"/>
        </w:rPr>
      </w:pPr>
      <w:r w:rsidRPr="00DA1F0A">
        <w:rPr>
          <w:rFonts w:ascii="Bookman Old Style" w:hAnsi="Bookman Old Style"/>
          <w:b/>
          <w:bCs/>
          <w:sz w:val="28"/>
          <w:szCs w:val="28"/>
        </w:rPr>
        <w:t>Grounds of appeal</w:t>
      </w:r>
      <w:r w:rsidR="00942B84" w:rsidRPr="00DA1F0A">
        <w:rPr>
          <w:rFonts w:ascii="Bookman Old Style" w:hAnsi="Bookman Old Style"/>
          <w:b/>
          <w:bCs/>
          <w:sz w:val="28"/>
          <w:szCs w:val="28"/>
        </w:rPr>
        <w:t xml:space="preserve"> and</w:t>
      </w:r>
      <w:r w:rsidRPr="00DA1F0A">
        <w:rPr>
          <w:rFonts w:ascii="Bookman Old Style" w:hAnsi="Bookman Old Style"/>
          <w:b/>
          <w:bCs/>
          <w:sz w:val="28"/>
          <w:szCs w:val="28"/>
        </w:rPr>
        <w:t xml:space="preserve"> </w:t>
      </w:r>
      <w:r w:rsidR="002B12CC" w:rsidRPr="00DA1F0A">
        <w:rPr>
          <w:rFonts w:ascii="Bookman Old Style" w:hAnsi="Bookman Old Style"/>
          <w:b/>
          <w:bCs/>
          <w:sz w:val="28"/>
          <w:szCs w:val="28"/>
        </w:rPr>
        <w:t>court’s</w:t>
      </w:r>
      <w:r w:rsidRPr="00DA1F0A">
        <w:rPr>
          <w:rFonts w:ascii="Bookman Old Style" w:hAnsi="Bookman Old Style"/>
          <w:b/>
          <w:bCs/>
          <w:sz w:val="28"/>
          <w:szCs w:val="28"/>
        </w:rPr>
        <w:t xml:space="preserve"> invitation to counsel </w:t>
      </w:r>
    </w:p>
    <w:p w14:paraId="186C5537" w14:textId="62499057" w:rsidR="00146586" w:rsidRPr="00DA1F0A" w:rsidRDefault="00DA1F0A" w:rsidP="00DA1F0A">
      <w:pPr>
        <w:pStyle w:val="ListParagraph"/>
        <w:spacing w:line="360" w:lineRule="auto"/>
        <w:ind w:hanging="720"/>
        <w:jc w:val="both"/>
        <w:rPr>
          <w:rFonts w:ascii="Bookman Old Style" w:hAnsi="Bookman Old Style"/>
          <w:sz w:val="24"/>
          <w:szCs w:val="24"/>
        </w:rPr>
      </w:pPr>
      <w:r w:rsidRPr="00DA1F0A">
        <w:rPr>
          <w:rFonts w:ascii="Bookman Old Style" w:hAnsi="Bookman Old Style"/>
          <w:sz w:val="28"/>
          <w:szCs w:val="28"/>
        </w:rPr>
        <w:t>[25]</w:t>
      </w:r>
      <w:r w:rsidRPr="00DA1F0A">
        <w:rPr>
          <w:rFonts w:ascii="Bookman Old Style" w:hAnsi="Bookman Old Style"/>
          <w:sz w:val="28"/>
          <w:szCs w:val="28"/>
        </w:rPr>
        <w:tab/>
      </w:r>
      <w:r w:rsidR="00644FC4" w:rsidRPr="00DA1F0A">
        <w:rPr>
          <w:rFonts w:ascii="Bookman Old Style" w:hAnsi="Bookman Old Style"/>
          <w:sz w:val="28"/>
          <w:szCs w:val="28"/>
        </w:rPr>
        <w:t xml:space="preserve">The appellant’s </w:t>
      </w:r>
      <w:r w:rsidR="00526C4F" w:rsidRPr="00DA1F0A">
        <w:rPr>
          <w:rFonts w:ascii="Bookman Old Style" w:hAnsi="Bookman Old Style"/>
          <w:sz w:val="28"/>
          <w:szCs w:val="28"/>
        </w:rPr>
        <w:t>grounds</w:t>
      </w:r>
      <w:r w:rsidR="00146586" w:rsidRPr="00DA1F0A">
        <w:rPr>
          <w:rFonts w:ascii="Bookman Old Style" w:hAnsi="Bookman Old Style"/>
          <w:sz w:val="28"/>
          <w:szCs w:val="28"/>
        </w:rPr>
        <w:t xml:space="preserve"> </w:t>
      </w:r>
      <w:r w:rsidR="00644FC4" w:rsidRPr="00DA1F0A">
        <w:rPr>
          <w:rFonts w:ascii="Bookman Old Style" w:hAnsi="Bookman Old Style"/>
          <w:sz w:val="28"/>
          <w:szCs w:val="28"/>
        </w:rPr>
        <w:t xml:space="preserve">are </w:t>
      </w:r>
      <w:r w:rsidR="00146586" w:rsidRPr="00DA1F0A">
        <w:rPr>
          <w:rFonts w:ascii="Bookman Old Style" w:hAnsi="Bookman Old Style"/>
          <w:sz w:val="28"/>
          <w:szCs w:val="28"/>
        </w:rPr>
        <w:t>that the court erred and misdirected itself</w:t>
      </w:r>
      <w:r w:rsidR="00146586" w:rsidRPr="00DA1F0A">
        <w:rPr>
          <w:rFonts w:ascii="Bookman Old Style" w:hAnsi="Bookman Old Style"/>
          <w:sz w:val="24"/>
          <w:szCs w:val="24"/>
        </w:rPr>
        <w:t xml:space="preserve"> – </w:t>
      </w:r>
    </w:p>
    <w:p w14:paraId="21A2D4EB" w14:textId="77777777" w:rsidR="00146586" w:rsidRDefault="00146586" w:rsidP="00146586">
      <w:pPr>
        <w:pStyle w:val="ListParagraph"/>
        <w:jc w:val="both"/>
        <w:rPr>
          <w:rFonts w:ascii="Bookman Old Style" w:hAnsi="Bookman Old Style"/>
          <w:sz w:val="24"/>
          <w:szCs w:val="24"/>
        </w:rPr>
      </w:pPr>
    </w:p>
    <w:p w14:paraId="2B27DCAF" w14:textId="334A01E3" w:rsidR="00644FC4" w:rsidRDefault="00146586" w:rsidP="00B20E47">
      <w:pPr>
        <w:pStyle w:val="ListParagraph"/>
        <w:numPr>
          <w:ilvl w:val="0"/>
          <w:numId w:val="2"/>
        </w:numPr>
        <w:ind w:left="1440" w:hanging="720"/>
        <w:jc w:val="both"/>
        <w:rPr>
          <w:rFonts w:ascii="Bookman Old Style" w:hAnsi="Bookman Old Style"/>
          <w:sz w:val="24"/>
          <w:szCs w:val="24"/>
        </w:rPr>
      </w:pPr>
      <w:r>
        <w:rPr>
          <w:rFonts w:ascii="Bookman Old Style" w:hAnsi="Bookman Old Style"/>
          <w:sz w:val="24"/>
          <w:szCs w:val="24"/>
        </w:rPr>
        <w:t>in finding that the Crown proved the appellant’s guilt beyond a reasonable doubt;</w:t>
      </w:r>
    </w:p>
    <w:p w14:paraId="6579B7CF" w14:textId="4469D547" w:rsidR="00146586" w:rsidRDefault="00146586" w:rsidP="00B20E47">
      <w:pPr>
        <w:pStyle w:val="ListParagraph"/>
        <w:ind w:left="1440" w:hanging="720"/>
        <w:jc w:val="both"/>
        <w:rPr>
          <w:rFonts w:ascii="Bookman Old Style" w:hAnsi="Bookman Old Style"/>
          <w:sz w:val="24"/>
          <w:szCs w:val="24"/>
        </w:rPr>
      </w:pPr>
      <w:r>
        <w:rPr>
          <w:rFonts w:ascii="Bookman Old Style" w:hAnsi="Bookman Old Style"/>
          <w:sz w:val="24"/>
          <w:szCs w:val="24"/>
        </w:rPr>
        <w:t xml:space="preserve"> </w:t>
      </w:r>
    </w:p>
    <w:p w14:paraId="62A15626" w14:textId="20DF0EA2" w:rsidR="00146586" w:rsidRDefault="00146586" w:rsidP="00B20E47">
      <w:pPr>
        <w:pStyle w:val="ListParagraph"/>
        <w:ind w:left="1440" w:hanging="720"/>
        <w:jc w:val="both"/>
        <w:rPr>
          <w:rFonts w:ascii="Bookman Old Style" w:hAnsi="Bookman Old Style"/>
          <w:sz w:val="24"/>
          <w:szCs w:val="24"/>
        </w:rPr>
      </w:pPr>
      <w:r>
        <w:rPr>
          <w:rFonts w:ascii="Bookman Old Style" w:hAnsi="Bookman Old Style"/>
          <w:sz w:val="24"/>
          <w:szCs w:val="24"/>
        </w:rPr>
        <w:t xml:space="preserve">(b) </w:t>
      </w:r>
      <w:r w:rsidR="00683F14">
        <w:rPr>
          <w:rFonts w:ascii="Bookman Old Style" w:hAnsi="Bookman Old Style"/>
          <w:sz w:val="24"/>
          <w:szCs w:val="24"/>
        </w:rPr>
        <w:tab/>
      </w:r>
      <w:r>
        <w:rPr>
          <w:rFonts w:ascii="Bookman Old Style" w:hAnsi="Bookman Old Style"/>
          <w:sz w:val="24"/>
          <w:szCs w:val="24"/>
        </w:rPr>
        <w:t>in finding that there was evidence of appellant’s complicit in the murder of his wife;</w:t>
      </w:r>
    </w:p>
    <w:p w14:paraId="13644E07" w14:textId="73D23753" w:rsidR="00146586" w:rsidRDefault="00146586" w:rsidP="00B20E47">
      <w:pPr>
        <w:pStyle w:val="ListParagraph"/>
        <w:ind w:left="1440" w:hanging="720"/>
        <w:jc w:val="both"/>
        <w:rPr>
          <w:rFonts w:ascii="Bookman Old Style" w:hAnsi="Bookman Old Style"/>
          <w:sz w:val="24"/>
          <w:szCs w:val="24"/>
        </w:rPr>
      </w:pPr>
      <w:r>
        <w:rPr>
          <w:rFonts w:ascii="Bookman Old Style" w:hAnsi="Bookman Old Style"/>
          <w:sz w:val="24"/>
          <w:szCs w:val="24"/>
        </w:rPr>
        <w:t xml:space="preserve"> </w:t>
      </w:r>
    </w:p>
    <w:p w14:paraId="7156E155" w14:textId="28412575" w:rsidR="00146586" w:rsidRDefault="00146586" w:rsidP="00B20E47">
      <w:pPr>
        <w:pStyle w:val="ListParagraph"/>
        <w:ind w:left="1440" w:hanging="720"/>
        <w:jc w:val="both"/>
        <w:rPr>
          <w:rFonts w:ascii="Bookman Old Style" w:hAnsi="Bookman Old Style"/>
          <w:sz w:val="24"/>
          <w:szCs w:val="24"/>
        </w:rPr>
      </w:pPr>
      <w:r>
        <w:rPr>
          <w:rFonts w:ascii="Bookman Old Style" w:hAnsi="Bookman Old Style"/>
          <w:sz w:val="24"/>
          <w:szCs w:val="24"/>
        </w:rPr>
        <w:lastRenderedPageBreak/>
        <w:t xml:space="preserve">(c) </w:t>
      </w:r>
      <w:r w:rsidR="00683F14">
        <w:rPr>
          <w:rFonts w:ascii="Bookman Old Style" w:hAnsi="Bookman Old Style"/>
          <w:sz w:val="24"/>
          <w:szCs w:val="24"/>
        </w:rPr>
        <w:tab/>
      </w:r>
      <w:r>
        <w:rPr>
          <w:rFonts w:ascii="Bookman Old Style" w:hAnsi="Bookman Old Style"/>
          <w:sz w:val="24"/>
          <w:szCs w:val="24"/>
        </w:rPr>
        <w:t>in making an inference that the appellant participated in the murder of his wife;</w:t>
      </w:r>
    </w:p>
    <w:p w14:paraId="6AE1F743" w14:textId="79D7C2FE" w:rsidR="00146586" w:rsidRDefault="00146586" w:rsidP="00B20E47">
      <w:pPr>
        <w:pStyle w:val="ListParagraph"/>
        <w:ind w:left="1440" w:hanging="720"/>
        <w:jc w:val="both"/>
        <w:rPr>
          <w:rFonts w:ascii="Bookman Old Style" w:hAnsi="Bookman Old Style"/>
          <w:sz w:val="24"/>
          <w:szCs w:val="24"/>
        </w:rPr>
      </w:pPr>
    </w:p>
    <w:p w14:paraId="65607BA3" w14:textId="6646D3B7" w:rsidR="00146586" w:rsidRDefault="00146586" w:rsidP="00B20E47">
      <w:pPr>
        <w:pStyle w:val="ListParagraph"/>
        <w:ind w:left="1440" w:hanging="720"/>
        <w:jc w:val="both"/>
        <w:rPr>
          <w:rFonts w:ascii="Bookman Old Style" w:hAnsi="Bookman Old Style"/>
          <w:sz w:val="24"/>
          <w:szCs w:val="24"/>
        </w:rPr>
      </w:pPr>
      <w:r>
        <w:rPr>
          <w:rFonts w:ascii="Bookman Old Style" w:hAnsi="Bookman Old Style"/>
          <w:sz w:val="24"/>
          <w:szCs w:val="24"/>
        </w:rPr>
        <w:t xml:space="preserve">(d) </w:t>
      </w:r>
      <w:r w:rsidR="00683F14">
        <w:rPr>
          <w:rFonts w:ascii="Bookman Old Style" w:hAnsi="Bookman Old Style"/>
          <w:sz w:val="24"/>
          <w:szCs w:val="24"/>
        </w:rPr>
        <w:tab/>
      </w:r>
      <w:r>
        <w:rPr>
          <w:rFonts w:ascii="Bookman Old Style" w:hAnsi="Bookman Old Style"/>
          <w:sz w:val="24"/>
          <w:szCs w:val="24"/>
        </w:rPr>
        <w:t>in relying on the appellant’s alleged confession when the sa</w:t>
      </w:r>
      <w:r w:rsidR="00A25946">
        <w:rPr>
          <w:rFonts w:ascii="Bookman Old Style" w:hAnsi="Bookman Old Style"/>
          <w:sz w:val="24"/>
          <w:szCs w:val="24"/>
        </w:rPr>
        <w:t>i</w:t>
      </w:r>
      <w:r>
        <w:rPr>
          <w:rFonts w:ascii="Bookman Old Style" w:hAnsi="Bookman Old Style"/>
          <w:sz w:val="24"/>
          <w:szCs w:val="24"/>
        </w:rPr>
        <w:t>d confession was not an unequivocal admission of guilt;</w:t>
      </w:r>
    </w:p>
    <w:p w14:paraId="12CCBA99" w14:textId="463507FE" w:rsidR="00146586" w:rsidRDefault="00146586" w:rsidP="00B20E47">
      <w:pPr>
        <w:pStyle w:val="ListParagraph"/>
        <w:ind w:left="1440" w:hanging="720"/>
        <w:jc w:val="both"/>
        <w:rPr>
          <w:rFonts w:ascii="Bookman Old Style" w:hAnsi="Bookman Old Style"/>
          <w:sz w:val="24"/>
          <w:szCs w:val="24"/>
        </w:rPr>
      </w:pPr>
      <w:r>
        <w:rPr>
          <w:rFonts w:ascii="Bookman Old Style" w:hAnsi="Bookman Old Style"/>
          <w:sz w:val="24"/>
          <w:szCs w:val="24"/>
        </w:rPr>
        <w:t xml:space="preserve">(e) </w:t>
      </w:r>
      <w:r w:rsidR="00683F14">
        <w:rPr>
          <w:rFonts w:ascii="Bookman Old Style" w:hAnsi="Bookman Old Style"/>
          <w:sz w:val="24"/>
          <w:szCs w:val="24"/>
        </w:rPr>
        <w:tab/>
      </w:r>
      <w:r>
        <w:rPr>
          <w:rFonts w:ascii="Bookman Old Style" w:hAnsi="Bookman Old Style"/>
          <w:sz w:val="24"/>
          <w:szCs w:val="24"/>
        </w:rPr>
        <w:t>in not finding that the appellant’s evidence was reasonably possibly true to justify a verdict of not guilty;</w:t>
      </w:r>
    </w:p>
    <w:p w14:paraId="658719E1" w14:textId="0AF8C527" w:rsidR="00146586" w:rsidRDefault="00146586" w:rsidP="00B20E47">
      <w:pPr>
        <w:pStyle w:val="ListParagraph"/>
        <w:ind w:left="1440" w:hanging="720"/>
        <w:jc w:val="both"/>
        <w:rPr>
          <w:rFonts w:ascii="Bookman Old Style" w:hAnsi="Bookman Old Style"/>
          <w:sz w:val="24"/>
          <w:szCs w:val="24"/>
        </w:rPr>
      </w:pPr>
    </w:p>
    <w:p w14:paraId="04B018AD" w14:textId="7B80866B" w:rsidR="00146586" w:rsidRDefault="00146586" w:rsidP="00B20E47">
      <w:pPr>
        <w:pStyle w:val="ListParagraph"/>
        <w:ind w:left="1440" w:hanging="720"/>
        <w:jc w:val="both"/>
        <w:rPr>
          <w:rFonts w:ascii="Bookman Old Style" w:hAnsi="Bookman Old Style"/>
          <w:sz w:val="24"/>
          <w:szCs w:val="24"/>
        </w:rPr>
      </w:pPr>
      <w:r>
        <w:rPr>
          <w:rFonts w:ascii="Bookman Old Style" w:hAnsi="Bookman Old Style"/>
          <w:sz w:val="24"/>
          <w:szCs w:val="24"/>
        </w:rPr>
        <w:t>(f)</w:t>
      </w:r>
      <w:r w:rsidR="00A25946">
        <w:rPr>
          <w:rFonts w:ascii="Bookman Old Style" w:hAnsi="Bookman Old Style"/>
          <w:sz w:val="24"/>
          <w:szCs w:val="24"/>
        </w:rPr>
        <w:t xml:space="preserve"> </w:t>
      </w:r>
      <w:r w:rsidR="00683F14">
        <w:rPr>
          <w:rFonts w:ascii="Bookman Old Style" w:hAnsi="Bookman Old Style"/>
          <w:sz w:val="24"/>
          <w:szCs w:val="24"/>
        </w:rPr>
        <w:tab/>
      </w:r>
      <w:r>
        <w:rPr>
          <w:rFonts w:ascii="Bookman Old Style" w:hAnsi="Bookman Old Style"/>
          <w:sz w:val="24"/>
          <w:szCs w:val="24"/>
        </w:rPr>
        <w:t xml:space="preserve">in imposing a sentence of 15 years imprisonment which was </w:t>
      </w:r>
      <w:r w:rsidR="00CB4825">
        <w:rPr>
          <w:rFonts w:ascii="Bookman Old Style" w:hAnsi="Bookman Old Style"/>
          <w:sz w:val="24"/>
          <w:szCs w:val="24"/>
        </w:rPr>
        <w:t>“too excessive and harsh in all the circumstances”.</w:t>
      </w:r>
    </w:p>
    <w:p w14:paraId="3DFC1169" w14:textId="0A120BAF" w:rsidR="0040050D" w:rsidRDefault="00146586" w:rsidP="00146586">
      <w:pPr>
        <w:pStyle w:val="ListParagraph"/>
        <w:jc w:val="both"/>
        <w:rPr>
          <w:rFonts w:ascii="Bookman Old Style" w:hAnsi="Bookman Old Style"/>
          <w:sz w:val="24"/>
          <w:szCs w:val="24"/>
        </w:rPr>
      </w:pPr>
      <w:r>
        <w:rPr>
          <w:rFonts w:ascii="Bookman Old Style" w:hAnsi="Bookman Old Style"/>
          <w:sz w:val="24"/>
          <w:szCs w:val="24"/>
        </w:rPr>
        <w:t xml:space="preserve"> </w:t>
      </w:r>
    </w:p>
    <w:p w14:paraId="720022C1" w14:textId="356A7C1F" w:rsidR="008F044B"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[26]</w:t>
      </w:r>
      <w:r w:rsidRPr="00DA1F0A">
        <w:rPr>
          <w:rFonts w:ascii="Bookman Old Style" w:hAnsi="Bookman Old Style"/>
          <w:sz w:val="28"/>
          <w:szCs w:val="28"/>
        </w:rPr>
        <w:tab/>
      </w:r>
      <w:r w:rsidR="00A25946" w:rsidRPr="00DA1F0A">
        <w:rPr>
          <w:rFonts w:ascii="Bookman Old Style" w:hAnsi="Bookman Old Style"/>
          <w:sz w:val="28"/>
          <w:szCs w:val="28"/>
        </w:rPr>
        <w:t>The grounds of appeal</w:t>
      </w:r>
      <w:r w:rsidR="003D74BA" w:rsidRPr="00DA1F0A">
        <w:rPr>
          <w:rFonts w:ascii="Bookman Old Style" w:hAnsi="Bookman Old Style"/>
          <w:sz w:val="28"/>
          <w:szCs w:val="28"/>
        </w:rPr>
        <w:t xml:space="preserve"> which were formulated without regard to the issue raised with counsel by the Court to a large extent revolve around the omission to </w:t>
      </w:r>
      <w:proofErr w:type="gramStart"/>
      <w:r w:rsidR="003D74BA" w:rsidRPr="00DA1F0A">
        <w:rPr>
          <w:rFonts w:ascii="Bookman Old Style" w:hAnsi="Bookman Old Style"/>
          <w:sz w:val="28"/>
          <w:szCs w:val="28"/>
        </w:rPr>
        <w:t>make reference</w:t>
      </w:r>
      <w:proofErr w:type="gramEnd"/>
      <w:r w:rsidR="003D74BA" w:rsidRPr="00DA1F0A">
        <w:rPr>
          <w:rFonts w:ascii="Bookman Old Style" w:hAnsi="Bookman Old Style"/>
          <w:sz w:val="28"/>
          <w:szCs w:val="28"/>
        </w:rPr>
        <w:t xml:space="preserve"> to common purpose in the indictment and its consequences.</w:t>
      </w:r>
      <w:r w:rsidR="00A25946" w:rsidRPr="00DA1F0A">
        <w:rPr>
          <w:rFonts w:ascii="Bookman Old Style" w:hAnsi="Bookman Old Style"/>
          <w:sz w:val="28"/>
          <w:szCs w:val="28"/>
        </w:rPr>
        <w:t xml:space="preserve"> </w:t>
      </w:r>
      <w:r w:rsidR="003D74BA" w:rsidRPr="00DA1F0A">
        <w:rPr>
          <w:rFonts w:ascii="Bookman Old Style" w:hAnsi="Bookman Old Style"/>
          <w:sz w:val="28"/>
          <w:szCs w:val="28"/>
        </w:rPr>
        <w:t>In the grounds of appeal, t</w:t>
      </w:r>
      <w:r w:rsidR="00A25946" w:rsidRPr="00DA1F0A">
        <w:rPr>
          <w:rFonts w:ascii="Bookman Old Style" w:hAnsi="Bookman Old Style"/>
          <w:sz w:val="28"/>
          <w:szCs w:val="28"/>
        </w:rPr>
        <w:t xml:space="preserve">he </w:t>
      </w:r>
      <w:r w:rsidR="003D74BA" w:rsidRPr="00DA1F0A">
        <w:rPr>
          <w:rFonts w:ascii="Bookman Old Style" w:hAnsi="Bookman Old Style"/>
          <w:sz w:val="28"/>
          <w:szCs w:val="28"/>
        </w:rPr>
        <w:t xml:space="preserve">appellant </w:t>
      </w:r>
      <w:r w:rsidR="00A25946" w:rsidRPr="00DA1F0A">
        <w:rPr>
          <w:rFonts w:ascii="Bookman Old Style" w:hAnsi="Bookman Old Style"/>
          <w:sz w:val="28"/>
          <w:szCs w:val="28"/>
        </w:rPr>
        <w:t>complaint</w:t>
      </w:r>
      <w:r w:rsidR="003D74BA" w:rsidRPr="00DA1F0A">
        <w:rPr>
          <w:rFonts w:ascii="Bookman Old Style" w:hAnsi="Bookman Old Style"/>
          <w:sz w:val="28"/>
          <w:szCs w:val="28"/>
        </w:rPr>
        <w:t>s</w:t>
      </w:r>
      <w:r w:rsidR="00A25946" w:rsidRPr="00DA1F0A">
        <w:rPr>
          <w:rFonts w:ascii="Bookman Old Style" w:hAnsi="Bookman Old Style"/>
          <w:sz w:val="28"/>
          <w:szCs w:val="28"/>
        </w:rPr>
        <w:t xml:space="preserve"> that the </w:t>
      </w:r>
      <w:r w:rsidR="008F044B" w:rsidRPr="00DA1F0A">
        <w:rPr>
          <w:rFonts w:ascii="Bookman Old Style" w:hAnsi="Bookman Old Style"/>
          <w:sz w:val="28"/>
          <w:szCs w:val="28"/>
        </w:rPr>
        <w:t>Crown did not prove the appellant’s guilt beyond a reasonable doubt</w:t>
      </w:r>
      <w:r w:rsidR="003D74BA" w:rsidRPr="00DA1F0A">
        <w:rPr>
          <w:rFonts w:ascii="Bookman Old Style" w:hAnsi="Bookman Old Style"/>
          <w:sz w:val="28"/>
          <w:szCs w:val="28"/>
        </w:rPr>
        <w:t>;</w:t>
      </w:r>
      <w:r w:rsidR="008F044B" w:rsidRPr="00DA1F0A">
        <w:rPr>
          <w:rFonts w:ascii="Bookman Old Style" w:hAnsi="Bookman Old Style"/>
          <w:sz w:val="28"/>
          <w:szCs w:val="28"/>
        </w:rPr>
        <w:t xml:space="preserve"> that the finding that there was evidence of appellant’s complicit in the murder </w:t>
      </w:r>
      <w:r w:rsidR="003D74BA" w:rsidRPr="00DA1F0A">
        <w:rPr>
          <w:rFonts w:ascii="Bookman Old Style" w:hAnsi="Bookman Old Style"/>
          <w:sz w:val="28"/>
          <w:szCs w:val="28"/>
        </w:rPr>
        <w:t xml:space="preserve">was wrong, </w:t>
      </w:r>
      <w:r w:rsidR="008F044B" w:rsidRPr="00DA1F0A">
        <w:rPr>
          <w:rFonts w:ascii="Bookman Old Style" w:hAnsi="Bookman Old Style"/>
          <w:sz w:val="28"/>
          <w:szCs w:val="28"/>
        </w:rPr>
        <w:t>and th</w:t>
      </w:r>
      <w:r w:rsidR="003D74BA" w:rsidRPr="00DA1F0A">
        <w:rPr>
          <w:rFonts w:ascii="Bookman Old Style" w:hAnsi="Bookman Old Style"/>
          <w:sz w:val="28"/>
          <w:szCs w:val="28"/>
        </w:rPr>
        <w:t>at</w:t>
      </w:r>
      <w:r w:rsidR="008F044B" w:rsidRPr="00DA1F0A">
        <w:rPr>
          <w:rFonts w:ascii="Bookman Old Style" w:hAnsi="Bookman Old Style"/>
          <w:sz w:val="28"/>
          <w:szCs w:val="28"/>
        </w:rPr>
        <w:t xml:space="preserve"> making the inference that the appellant participated in the murder of his wife</w:t>
      </w:r>
      <w:r w:rsidR="003D74BA" w:rsidRPr="00DA1F0A">
        <w:rPr>
          <w:rFonts w:ascii="Bookman Old Style" w:hAnsi="Bookman Old Style"/>
          <w:sz w:val="28"/>
          <w:szCs w:val="28"/>
        </w:rPr>
        <w:t xml:space="preserve"> was also wrong. I</w:t>
      </w:r>
      <w:r w:rsidR="008F044B" w:rsidRPr="00DA1F0A">
        <w:rPr>
          <w:rFonts w:ascii="Bookman Old Style" w:hAnsi="Bookman Old Style"/>
          <w:sz w:val="28"/>
          <w:szCs w:val="28"/>
        </w:rPr>
        <w:t xml:space="preserve">n my view the genesis </w:t>
      </w:r>
      <w:r w:rsidR="003D74BA" w:rsidRPr="00DA1F0A">
        <w:rPr>
          <w:rFonts w:ascii="Bookman Old Style" w:hAnsi="Bookman Old Style"/>
          <w:sz w:val="28"/>
          <w:szCs w:val="28"/>
        </w:rPr>
        <w:t xml:space="preserve">of the complaints lies </w:t>
      </w:r>
      <w:r w:rsidR="008F044B" w:rsidRPr="00DA1F0A">
        <w:rPr>
          <w:rFonts w:ascii="Bookman Old Style" w:hAnsi="Bookman Old Style"/>
          <w:sz w:val="28"/>
          <w:szCs w:val="28"/>
        </w:rPr>
        <w:t>in the failure by the Crown to aver common purpose in the indictment.</w:t>
      </w:r>
    </w:p>
    <w:p w14:paraId="403CD5BF" w14:textId="77777777" w:rsidR="00FD48FC" w:rsidRDefault="00FD48FC" w:rsidP="00FD48FC">
      <w:pPr>
        <w:pStyle w:val="ListParagraph"/>
        <w:jc w:val="both"/>
        <w:rPr>
          <w:rFonts w:ascii="Bookman Old Style" w:hAnsi="Bookman Old Style"/>
          <w:sz w:val="24"/>
          <w:szCs w:val="24"/>
        </w:rPr>
      </w:pPr>
    </w:p>
    <w:p w14:paraId="54507627" w14:textId="21AD6E36" w:rsidR="00FD48FC" w:rsidRPr="00DA1F0A" w:rsidRDefault="00DA1F0A" w:rsidP="00DA1F0A">
      <w:pPr>
        <w:spacing w:line="360" w:lineRule="auto"/>
        <w:jc w:val="both"/>
        <w:rPr>
          <w:rFonts w:ascii="Bookman Old Style" w:hAnsi="Bookman Old Style"/>
          <w:sz w:val="28"/>
          <w:szCs w:val="28"/>
        </w:rPr>
      </w:pPr>
      <w:r w:rsidRPr="00DA1F0A">
        <w:rPr>
          <w:rFonts w:ascii="Bookman Old Style" w:hAnsi="Bookman Old Style"/>
          <w:sz w:val="28"/>
          <w:szCs w:val="28"/>
        </w:rPr>
        <w:t>[27]</w:t>
      </w:r>
      <w:r w:rsidRPr="00DA1F0A">
        <w:rPr>
          <w:rFonts w:ascii="Bookman Old Style" w:hAnsi="Bookman Old Style"/>
          <w:sz w:val="28"/>
          <w:szCs w:val="28"/>
        </w:rPr>
        <w:tab/>
      </w:r>
      <w:r w:rsidR="008F044B" w:rsidRPr="00DA1F0A">
        <w:rPr>
          <w:rFonts w:ascii="Bookman Old Style" w:hAnsi="Bookman Old Style"/>
          <w:sz w:val="28"/>
          <w:szCs w:val="28"/>
        </w:rPr>
        <w:t xml:space="preserve">In conclusion, I consider that the participation of the appellant in the murder of his wife would have been better handled by the Crown and the defence had common purpose as the basis of </w:t>
      </w:r>
      <w:r w:rsidR="003D74BA" w:rsidRPr="00DA1F0A">
        <w:rPr>
          <w:rFonts w:ascii="Bookman Old Style" w:hAnsi="Bookman Old Style"/>
          <w:sz w:val="28"/>
          <w:szCs w:val="28"/>
        </w:rPr>
        <w:t xml:space="preserve">criminal </w:t>
      </w:r>
      <w:r w:rsidR="008F044B" w:rsidRPr="00DA1F0A">
        <w:rPr>
          <w:rFonts w:ascii="Bookman Old Style" w:hAnsi="Bookman Old Style"/>
          <w:sz w:val="28"/>
          <w:szCs w:val="28"/>
        </w:rPr>
        <w:t xml:space="preserve">liability of the appellant been </w:t>
      </w:r>
      <w:r w:rsidR="00FD48FC" w:rsidRPr="00DA1F0A">
        <w:rPr>
          <w:rFonts w:ascii="Bookman Old Style" w:hAnsi="Bookman Old Style"/>
          <w:sz w:val="28"/>
          <w:szCs w:val="28"/>
        </w:rPr>
        <w:t>stated</w:t>
      </w:r>
      <w:r w:rsidR="008F044B" w:rsidRPr="00DA1F0A">
        <w:rPr>
          <w:rFonts w:ascii="Bookman Old Style" w:hAnsi="Bookman Old Style"/>
          <w:sz w:val="28"/>
          <w:szCs w:val="28"/>
        </w:rPr>
        <w:t xml:space="preserve"> in the indictment. The proper route to take in this case, I think, is to set aside or quash the conviction</w:t>
      </w:r>
      <w:r w:rsidR="003D74BA" w:rsidRPr="00DA1F0A">
        <w:rPr>
          <w:rFonts w:ascii="Bookman Old Style" w:hAnsi="Bookman Old Style"/>
          <w:sz w:val="28"/>
          <w:szCs w:val="28"/>
        </w:rPr>
        <w:t xml:space="preserve"> and leave it to the discretion of the prosecuting authorities to decide whether to embark on a second prosecution</w:t>
      </w:r>
      <w:r w:rsidR="008F044B" w:rsidRPr="00DA1F0A">
        <w:rPr>
          <w:rFonts w:ascii="Bookman Old Style" w:hAnsi="Bookman Old Style"/>
          <w:sz w:val="28"/>
          <w:szCs w:val="28"/>
        </w:rPr>
        <w:t xml:space="preserve">. </w:t>
      </w:r>
      <w:r w:rsidR="00E25274" w:rsidRPr="00DA1F0A">
        <w:rPr>
          <w:rFonts w:ascii="Bookman Old Style" w:hAnsi="Bookman Old Style"/>
          <w:sz w:val="28"/>
          <w:szCs w:val="28"/>
        </w:rPr>
        <w:t xml:space="preserve">It is inappropriate, in my view, for a court of appeal </w:t>
      </w:r>
      <w:r w:rsidR="00E25274" w:rsidRPr="00DA1F0A">
        <w:rPr>
          <w:rFonts w:ascii="Bookman Old Style" w:hAnsi="Bookman Old Style"/>
          <w:sz w:val="28"/>
          <w:szCs w:val="28"/>
        </w:rPr>
        <w:lastRenderedPageBreak/>
        <w:t xml:space="preserve">to </w:t>
      </w:r>
      <w:proofErr w:type="gramStart"/>
      <w:r w:rsidR="00E25274" w:rsidRPr="00DA1F0A">
        <w:rPr>
          <w:rFonts w:ascii="Bookman Old Style" w:hAnsi="Bookman Old Style"/>
          <w:sz w:val="28"/>
          <w:szCs w:val="28"/>
        </w:rPr>
        <w:t>enter into</w:t>
      </w:r>
      <w:proofErr w:type="gramEnd"/>
      <w:r w:rsidR="00E25274" w:rsidRPr="00DA1F0A">
        <w:rPr>
          <w:rFonts w:ascii="Bookman Old Style" w:hAnsi="Bookman Old Style"/>
          <w:sz w:val="28"/>
          <w:szCs w:val="28"/>
        </w:rPr>
        <w:t xml:space="preserve"> matters which should properly be reserved to prosecutorial discretion. While a court of appeal should permit a re-trial after quashing a conviction unless insufficient evidence has been led at the trial or a second prosecution would be an abuse of process, the final decision whether or not to prosecut</w:t>
      </w:r>
      <w:r w:rsidR="003D74BA" w:rsidRPr="00DA1F0A">
        <w:rPr>
          <w:rFonts w:ascii="Bookman Old Style" w:hAnsi="Bookman Old Style"/>
          <w:sz w:val="28"/>
          <w:szCs w:val="28"/>
        </w:rPr>
        <w:t xml:space="preserve">e </w:t>
      </w:r>
      <w:r w:rsidR="00765BD9" w:rsidRPr="00DA1F0A">
        <w:rPr>
          <w:rFonts w:ascii="Bookman Old Style" w:hAnsi="Bookman Old Style"/>
          <w:sz w:val="28"/>
          <w:szCs w:val="28"/>
        </w:rPr>
        <w:t>the accused again</w:t>
      </w:r>
      <w:r w:rsidR="00E25274" w:rsidRPr="00DA1F0A">
        <w:rPr>
          <w:rFonts w:ascii="Bookman Old Style" w:hAnsi="Bookman Old Style"/>
          <w:sz w:val="28"/>
          <w:szCs w:val="28"/>
        </w:rPr>
        <w:t xml:space="preserve"> should be left to the discretion of the prosecuting authority. </w:t>
      </w:r>
      <w:r w:rsidR="008F044B" w:rsidRPr="00DA1F0A">
        <w:rPr>
          <w:rFonts w:ascii="Bookman Old Style" w:hAnsi="Bookman Old Style"/>
          <w:sz w:val="28"/>
          <w:szCs w:val="28"/>
        </w:rPr>
        <w:t>The Director of Public Prosecution</w:t>
      </w:r>
      <w:r w:rsidR="00DF32C0" w:rsidRPr="00DA1F0A">
        <w:rPr>
          <w:rFonts w:ascii="Bookman Old Style" w:hAnsi="Bookman Old Style"/>
          <w:sz w:val="28"/>
          <w:szCs w:val="28"/>
        </w:rPr>
        <w:t>s</w:t>
      </w:r>
      <w:r w:rsidR="008F044B" w:rsidRPr="00DA1F0A">
        <w:rPr>
          <w:rFonts w:ascii="Bookman Old Style" w:hAnsi="Bookman Old Style"/>
          <w:sz w:val="28"/>
          <w:szCs w:val="28"/>
        </w:rPr>
        <w:t xml:space="preserve"> may</w:t>
      </w:r>
      <w:r w:rsidR="00E25274" w:rsidRPr="00DA1F0A">
        <w:rPr>
          <w:rFonts w:ascii="Bookman Old Style" w:hAnsi="Bookman Old Style"/>
          <w:sz w:val="28"/>
          <w:szCs w:val="28"/>
        </w:rPr>
        <w:t>, in this case,</w:t>
      </w:r>
      <w:r w:rsidR="008F044B" w:rsidRPr="00DA1F0A">
        <w:rPr>
          <w:rFonts w:ascii="Bookman Old Style" w:hAnsi="Bookman Old Style"/>
          <w:sz w:val="28"/>
          <w:szCs w:val="28"/>
        </w:rPr>
        <w:t xml:space="preserve"> </w:t>
      </w:r>
      <w:r w:rsidR="00A246B6" w:rsidRPr="00DA1F0A">
        <w:rPr>
          <w:rFonts w:ascii="Bookman Old Style" w:hAnsi="Bookman Old Style"/>
          <w:sz w:val="28"/>
          <w:szCs w:val="28"/>
        </w:rPr>
        <w:t>re-institut</w:t>
      </w:r>
      <w:r w:rsidR="004B6F92" w:rsidRPr="00DA1F0A">
        <w:rPr>
          <w:rFonts w:ascii="Bookman Old Style" w:hAnsi="Bookman Old Style"/>
          <w:sz w:val="28"/>
          <w:szCs w:val="28"/>
        </w:rPr>
        <w:t>e</w:t>
      </w:r>
      <w:r w:rsidR="00A246B6" w:rsidRPr="00DA1F0A">
        <w:rPr>
          <w:rFonts w:ascii="Bookman Old Style" w:hAnsi="Bookman Old Style"/>
          <w:sz w:val="28"/>
          <w:szCs w:val="28"/>
        </w:rPr>
        <w:t xml:space="preserve"> the prosecution</w:t>
      </w:r>
      <w:r w:rsidR="00765BD9" w:rsidRPr="00DA1F0A">
        <w:rPr>
          <w:rFonts w:ascii="Bookman Old Style" w:hAnsi="Bookman Old Style"/>
          <w:sz w:val="28"/>
          <w:szCs w:val="28"/>
        </w:rPr>
        <w:t>, if she so sees fit</w:t>
      </w:r>
      <w:r w:rsidR="00A246B6" w:rsidRPr="00DA1F0A">
        <w:rPr>
          <w:rFonts w:ascii="Bookman Old Style" w:hAnsi="Bookman Old Style"/>
          <w:sz w:val="28"/>
          <w:szCs w:val="28"/>
        </w:rPr>
        <w:t>. In that event</w:t>
      </w:r>
      <w:r w:rsidR="008F044B" w:rsidRPr="00DA1F0A">
        <w:rPr>
          <w:rFonts w:ascii="Bookman Old Style" w:hAnsi="Bookman Old Style"/>
          <w:sz w:val="28"/>
          <w:szCs w:val="28"/>
        </w:rPr>
        <w:t xml:space="preserve"> the </w:t>
      </w:r>
      <w:r w:rsidR="00765BD9" w:rsidRPr="00DA1F0A">
        <w:rPr>
          <w:rFonts w:ascii="Bookman Old Style" w:hAnsi="Bookman Old Style"/>
          <w:sz w:val="28"/>
          <w:szCs w:val="28"/>
        </w:rPr>
        <w:t>trial</w:t>
      </w:r>
      <w:r w:rsidR="008F044B" w:rsidRPr="00DA1F0A">
        <w:rPr>
          <w:rFonts w:ascii="Bookman Old Style" w:hAnsi="Bookman Old Style"/>
          <w:sz w:val="28"/>
          <w:szCs w:val="28"/>
        </w:rPr>
        <w:t xml:space="preserve"> </w:t>
      </w:r>
      <w:r w:rsidR="00E25274" w:rsidRPr="00DA1F0A">
        <w:rPr>
          <w:rFonts w:ascii="Bookman Old Style" w:hAnsi="Bookman Old Style"/>
          <w:sz w:val="28"/>
          <w:szCs w:val="28"/>
        </w:rPr>
        <w:t>sh</w:t>
      </w:r>
      <w:r w:rsidR="00A246B6" w:rsidRPr="00DA1F0A">
        <w:rPr>
          <w:rFonts w:ascii="Bookman Old Style" w:hAnsi="Bookman Old Style"/>
          <w:sz w:val="28"/>
          <w:szCs w:val="28"/>
        </w:rPr>
        <w:t xml:space="preserve">ould </w:t>
      </w:r>
      <w:r w:rsidR="008F044B" w:rsidRPr="00DA1F0A">
        <w:rPr>
          <w:rFonts w:ascii="Bookman Old Style" w:hAnsi="Bookman Old Style"/>
          <w:sz w:val="28"/>
          <w:szCs w:val="28"/>
        </w:rPr>
        <w:t>be before a different judge</w:t>
      </w:r>
      <w:r w:rsidR="00A246B6" w:rsidRPr="00DA1F0A">
        <w:rPr>
          <w:rFonts w:ascii="Bookman Old Style" w:hAnsi="Bookman Old Style"/>
          <w:sz w:val="28"/>
          <w:szCs w:val="28"/>
        </w:rPr>
        <w:t>.</w:t>
      </w:r>
    </w:p>
    <w:p w14:paraId="2DD19BFF" w14:textId="77777777" w:rsidR="00FD48FC" w:rsidRPr="00FD48FC" w:rsidRDefault="00FD48FC" w:rsidP="00FD48FC">
      <w:pPr>
        <w:pStyle w:val="ListParagraph"/>
        <w:rPr>
          <w:rFonts w:ascii="Bookman Old Style" w:hAnsi="Bookman Old Style"/>
          <w:sz w:val="24"/>
          <w:szCs w:val="24"/>
        </w:rPr>
      </w:pPr>
    </w:p>
    <w:p w14:paraId="725B3433" w14:textId="731F4F36" w:rsidR="00A246B6" w:rsidRPr="00DA1F0A" w:rsidRDefault="00DA1F0A" w:rsidP="00DA1F0A">
      <w:pPr>
        <w:jc w:val="both"/>
        <w:rPr>
          <w:rFonts w:ascii="Bookman Old Style" w:hAnsi="Bookman Old Style"/>
          <w:sz w:val="28"/>
          <w:szCs w:val="28"/>
        </w:rPr>
      </w:pPr>
      <w:r w:rsidRPr="00DA1F0A">
        <w:rPr>
          <w:rFonts w:ascii="Bookman Old Style" w:hAnsi="Bookman Old Style"/>
          <w:sz w:val="28"/>
          <w:szCs w:val="28"/>
        </w:rPr>
        <w:t>[28]</w:t>
      </w:r>
      <w:r w:rsidRPr="00DA1F0A">
        <w:rPr>
          <w:rFonts w:ascii="Bookman Old Style" w:hAnsi="Bookman Old Style"/>
          <w:sz w:val="28"/>
          <w:szCs w:val="28"/>
        </w:rPr>
        <w:tab/>
      </w:r>
      <w:r w:rsidR="00A246B6" w:rsidRPr="00DA1F0A">
        <w:rPr>
          <w:rFonts w:ascii="Bookman Old Style" w:hAnsi="Bookman Old Style"/>
          <w:sz w:val="28"/>
          <w:szCs w:val="28"/>
        </w:rPr>
        <w:t xml:space="preserve">The order of this Court is </w:t>
      </w:r>
      <w:r w:rsidR="004B6F92" w:rsidRPr="00DA1F0A">
        <w:rPr>
          <w:rFonts w:ascii="Bookman Old Style" w:hAnsi="Bookman Old Style"/>
          <w:sz w:val="28"/>
          <w:szCs w:val="28"/>
        </w:rPr>
        <w:t xml:space="preserve">accordingly </w:t>
      </w:r>
      <w:r w:rsidR="00A246B6" w:rsidRPr="00DA1F0A">
        <w:rPr>
          <w:rFonts w:ascii="Bookman Old Style" w:hAnsi="Bookman Old Style"/>
          <w:sz w:val="28"/>
          <w:szCs w:val="28"/>
        </w:rPr>
        <w:t xml:space="preserve">the following- </w:t>
      </w:r>
    </w:p>
    <w:p w14:paraId="0F9ECA6D" w14:textId="77777777" w:rsidR="004B6F92" w:rsidRPr="00DA1F0A" w:rsidRDefault="004B6F92" w:rsidP="00A246B6">
      <w:pPr>
        <w:pStyle w:val="ListParagraph"/>
        <w:jc w:val="both"/>
        <w:rPr>
          <w:rFonts w:ascii="Bookman Old Style" w:hAnsi="Bookman Old Style"/>
          <w:sz w:val="28"/>
          <w:szCs w:val="28"/>
        </w:rPr>
      </w:pPr>
    </w:p>
    <w:p w14:paraId="33CC1895" w14:textId="377EDBAC" w:rsidR="00683F14" w:rsidRPr="00DA1F0A" w:rsidRDefault="00A246B6" w:rsidP="00B20E47">
      <w:pPr>
        <w:pStyle w:val="ListParagraph"/>
        <w:numPr>
          <w:ilvl w:val="0"/>
          <w:numId w:val="7"/>
        </w:numPr>
        <w:spacing w:line="360" w:lineRule="auto"/>
        <w:jc w:val="both"/>
        <w:rPr>
          <w:rFonts w:ascii="Bookman Old Style" w:hAnsi="Bookman Old Style"/>
          <w:sz w:val="28"/>
          <w:szCs w:val="28"/>
        </w:rPr>
      </w:pPr>
      <w:r w:rsidRPr="00DA1F0A">
        <w:rPr>
          <w:rFonts w:ascii="Bookman Old Style" w:hAnsi="Bookman Old Style"/>
          <w:sz w:val="28"/>
          <w:szCs w:val="28"/>
        </w:rPr>
        <w:t>The appeal succeeds.</w:t>
      </w:r>
    </w:p>
    <w:p w14:paraId="6C7495C9" w14:textId="77777777" w:rsidR="00683F14" w:rsidRPr="00DA1F0A" w:rsidRDefault="00683F14" w:rsidP="00B20E47">
      <w:pPr>
        <w:pStyle w:val="ListParagraph"/>
        <w:spacing w:line="360" w:lineRule="auto"/>
        <w:ind w:left="1080"/>
        <w:jc w:val="both"/>
        <w:rPr>
          <w:rFonts w:ascii="Bookman Old Style" w:hAnsi="Bookman Old Style"/>
          <w:sz w:val="28"/>
          <w:szCs w:val="28"/>
        </w:rPr>
      </w:pPr>
    </w:p>
    <w:p w14:paraId="00B186E3" w14:textId="35DC9802" w:rsidR="00683F14" w:rsidRPr="00DA1F0A" w:rsidRDefault="00A246B6" w:rsidP="00B20E47">
      <w:pPr>
        <w:pStyle w:val="ListParagraph"/>
        <w:numPr>
          <w:ilvl w:val="0"/>
          <w:numId w:val="7"/>
        </w:numPr>
        <w:spacing w:line="360" w:lineRule="auto"/>
        <w:rPr>
          <w:rFonts w:ascii="Bookman Old Style" w:hAnsi="Bookman Old Style"/>
          <w:sz w:val="28"/>
          <w:szCs w:val="28"/>
        </w:rPr>
      </w:pPr>
      <w:r w:rsidRPr="00DA1F0A">
        <w:rPr>
          <w:rFonts w:ascii="Bookman Old Style" w:hAnsi="Bookman Old Style"/>
          <w:sz w:val="28"/>
          <w:szCs w:val="28"/>
        </w:rPr>
        <w:t>The conviction of the appellant on the charge of murder is quashed</w:t>
      </w:r>
      <w:r w:rsidR="00B20E47" w:rsidRPr="00DA1F0A">
        <w:rPr>
          <w:rFonts w:ascii="Bookman Old Style" w:hAnsi="Bookman Old Style"/>
          <w:sz w:val="28"/>
          <w:szCs w:val="28"/>
        </w:rPr>
        <w:t xml:space="preserve"> and the sentence is set aside</w:t>
      </w:r>
      <w:r w:rsidRPr="00DA1F0A">
        <w:rPr>
          <w:rFonts w:ascii="Bookman Old Style" w:hAnsi="Bookman Old Style"/>
          <w:sz w:val="28"/>
          <w:szCs w:val="28"/>
        </w:rPr>
        <w:t xml:space="preserve">. </w:t>
      </w:r>
    </w:p>
    <w:p w14:paraId="57418E69" w14:textId="6AC0429D" w:rsidR="00683F14" w:rsidRPr="00DA1F0A" w:rsidRDefault="00683F14" w:rsidP="00B20E47">
      <w:pPr>
        <w:pStyle w:val="ListParagraph"/>
        <w:spacing w:line="360" w:lineRule="auto"/>
        <w:ind w:left="1080"/>
        <w:rPr>
          <w:rFonts w:ascii="Bookman Old Style" w:hAnsi="Bookman Old Style"/>
          <w:sz w:val="28"/>
          <w:szCs w:val="28"/>
        </w:rPr>
      </w:pPr>
    </w:p>
    <w:p w14:paraId="1DC3A511" w14:textId="60FE80D0" w:rsidR="00FD48FC" w:rsidRPr="00DA1F0A" w:rsidRDefault="00A246B6" w:rsidP="00B20E47">
      <w:pPr>
        <w:pStyle w:val="ListParagraph"/>
        <w:numPr>
          <w:ilvl w:val="0"/>
          <w:numId w:val="7"/>
        </w:numPr>
        <w:spacing w:line="360" w:lineRule="auto"/>
        <w:jc w:val="both"/>
        <w:rPr>
          <w:rFonts w:ascii="Bookman Old Style" w:hAnsi="Bookman Old Style"/>
          <w:sz w:val="28"/>
          <w:szCs w:val="28"/>
        </w:rPr>
      </w:pPr>
      <w:r w:rsidRPr="00DA1F0A">
        <w:rPr>
          <w:rFonts w:ascii="Bookman Old Style" w:hAnsi="Bookman Old Style"/>
          <w:sz w:val="28"/>
          <w:szCs w:val="28"/>
        </w:rPr>
        <w:t>The Director of Public Prosecutions may</w:t>
      </w:r>
      <w:r w:rsidR="00B20E47" w:rsidRPr="00DA1F0A">
        <w:rPr>
          <w:rFonts w:ascii="Bookman Old Style" w:hAnsi="Bookman Old Style"/>
          <w:sz w:val="28"/>
          <w:szCs w:val="28"/>
        </w:rPr>
        <w:t>,</w:t>
      </w:r>
      <w:r w:rsidRPr="00DA1F0A">
        <w:rPr>
          <w:rFonts w:ascii="Bookman Old Style" w:hAnsi="Bookman Old Style"/>
          <w:sz w:val="28"/>
          <w:szCs w:val="28"/>
        </w:rPr>
        <w:t xml:space="preserve"> </w:t>
      </w:r>
      <w:r w:rsidR="004B6F92" w:rsidRPr="00DA1F0A">
        <w:rPr>
          <w:rFonts w:ascii="Bookman Old Style" w:hAnsi="Bookman Old Style"/>
          <w:sz w:val="28"/>
          <w:szCs w:val="28"/>
        </w:rPr>
        <w:t>in her discretion</w:t>
      </w:r>
      <w:r w:rsidR="00B20E47" w:rsidRPr="00DA1F0A">
        <w:rPr>
          <w:rFonts w:ascii="Bookman Old Style" w:hAnsi="Bookman Old Style"/>
          <w:sz w:val="28"/>
          <w:szCs w:val="28"/>
        </w:rPr>
        <w:t>,</w:t>
      </w:r>
      <w:r w:rsidR="004B6F92" w:rsidRPr="00DA1F0A">
        <w:rPr>
          <w:rFonts w:ascii="Bookman Old Style" w:hAnsi="Bookman Old Style"/>
          <w:sz w:val="28"/>
          <w:szCs w:val="28"/>
        </w:rPr>
        <w:t xml:space="preserve"> </w:t>
      </w:r>
      <w:r w:rsidRPr="00DA1F0A">
        <w:rPr>
          <w:rFonts w:ascii="Bookman Old Style" w:hAnsi="Bookman Old Style"/>
          <w:sz w:val="28"/>
          <w:szCs w:val="28"/>
        </w:rPr>
        <w:t xml:space="preserve">institute </w:t>
      </w:r>
      <w:r w:rsidR="004B6F92" w:rsidRPr="00DA1F0A">
        <w:rPr>
          <w:rFonts w:ascii="Bookman Old Style" w:hAnsi="Bookman Old Style"/>
          <w:sz w:val="28"/>
          <w:szCs w:val="28"/>
        </w:rPr>
        <w:t xml:space="preserve">a second </w:t>
      </w:r>
      <w:r w:rsidRPr="00DA1F0A">
        <w:rPr>
          <w:rFonts w:ascii="Bookman Old Style" w:hAnsi="Bookman Old Style"/>
          <w:sz w:val="28"/>
          <w:szCs w:val="28"/>
        </w:rPr>
        <w:t>prosecution and, if she so decides</w:t>
      </w:r>
      <w:r w:rsidR="004B6F92" w:rsidRPr="00DA1F0A">
        <w:rPr>
          <w:rFonts w:ascii="Bookman Old Style" w:hAnsi="Bookman Old Style"/>
          <w:sz w:val="28"/>
          <w:szCs w:val="28"/>
        </w:rPr>
        <w:t>,</w:t>
      </w:r>
      <w:r w:rsidRPr="00DA1F0A">
        <w:rPr>
          <w:rFonts w:ascii="Bookman Old Style" w:hAnsi="Bookman Old Style"/>
          <w:sz w:val="28"/>
          <w:szCs w:val="28"/>
        </w:rPr>
        <w:t xml:space="preserve"> the trial </w:t>
      </w:r>
      <w:r w:rsidRPr="00DA1F0A">
        <w:rPr>
          <w:rFonts w:ascii="Bookman Old Style" w:hAnsi="Bookman Old Style"/>
          <w:i/>
          <w:iCs/>
          <w:sz w:val="28"/>
          <w:szCs w:val="28"/>
        </w:rPr>
        <w:t>de novo</w:t>
      </w:r>
      <w:r w:rsidRPr="00DA1F0A">
        <w:rPr>
          <w:rFonts w:ascii="Bookman Old Style" w:hAnsi="Bookman Old Style"/>
          <w:sz w:val="28"/>
          <w:szCs w:val="28"/>
        </w:rPr>
        <w:t xml:space="preserve"> must be before a different judge.</w:t>
      </w:r>
    </w:p>
    <w:p w14:paraId="02170630" w14:textId="77777777" w:rsidR="003040B5" w:rsidRPr="003040B5" w:rsidRDefault="003040B5" w:rsidP="003040B5">
      <w:pPr>
        <w:pStyle w:val="ListParagraph"/>
        <w:rPr>
          <w:rFonts w:ascii="Bookman Old Style" w:hAnsi="Bookman Old Style"/>
          <w:sz w:val="24"/>
          <w:szCs w:val="24"/>
        </w:rPr>
      </w:pPr>
    </w:p>
    <w:p w14:paraId="20CA2210" w14:textId="0ECB1D98" w:rsidR="00FD48FC" w:rsidRPr="00683F14" w:rsidRDefault="003040B5" w:rsidP="003040B5">
      <w:pPr>
        <w:pStyle w:val="ListParagraph"/>
        <w:spacing w:line="360" w:lineRule="auto"/>
        <w:jc w:val="center"/>
        <w:rPr>
          <w:rFonts w:ascii="Bookman Old Style" w:hAnsi="Bookman Old Style"/>
          <w:sz w:val="24"/>
          <w:szCs w:val="24"/>
        </w:rPr>
      </w:pPr>
      <w:r w:rsidRPr="00FB3BA2">
        <w:rPr>
          <w:rFonts w:ascii="Bookman Old Style" w:hAnsi="Bookman Old Style"/>
          <w:b/>
          <w:noProof/>
          <w:color w:val="000000" w:themeColor="text1"/>
          <w:sz w:val="28"/>
          <w:szCs w:val="28"/>
          <w:lang w:eastAsia="en-ZA"/>
        </w:rPr>
        <w:drawing>
          <wp:inline distT="0" distB="0" distL="0" distR="0" wp14:anchorId="213AFBFB" wp14:editId="6EE182A7">
            <wp:extent cx="1819275" cy="504825"/>
            <wp:effectExtent l="0" t="0" r="9525" b="9525"/>
            <wp:docPr id="4" name="Picture 4" descr="C:\Users\manapo.mphutlane\Pictures\SIGNATU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po.mphutlane\Pictures\SIGNATURES OF HON JUDGES OF APPE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inline>
        </w:drawing>
      </w:r>
    </w:p>
    <w:p w14:paraId="45605D5B" w14:textId="030E79BF" w:rsidR="00FD48FC" w:rsidRDefault="00033A21" w:rsidP="00FD48FC">
      <w:pPr>
        <w:pStyle w:val="ListParagraph"/>
        <w:jc w:val="center"/>
        <w:rPr>
          <w:rFonts w:ascii="Bookman Old Style" w:hAnsi="Bookman Old Style" w:cs="Times New Roman"/>
          <w:b/>
          <w:sz w:val="24"/>
          <w:szCs w:val="24"/>
        </w:rPr>
      </w:pPr>
      <w:r>
        <w:rPr>
          <w:rFonts w:ascii="Bookman Old Style" w:hAnsi="Bookman Old Style" w:cs="Times New Roman"/>
          <w:b/>
          <w:sz w:val="24"/>
          <w:szCs w:val="24"/>
        </w:rPr>
        <w:t>______________________________________</w:t>
      </w:r>
    </w:p>
    <w:p w14:paraId="600FF6AD" w14:textId="77777777" w:rsidR="00FD48FC" w:rsidRDefault="00FD48FC" w:rsidP="00FD48FC">
      <w:pPr>
        <w:pStyle w:val="ListParagraph"/>
        <w:jc w:val="center"/>
        <w:rPr>
          <w:rFonts w:ascii="Bookman Old Style" w:hAnsi="Bookman Old Style" w:cs="Times New Roman"/>
          <w:b/>
          <w:sz w:val="24"/>
          <w:szCs w:val="24"/>
        </w:rPr>
      </w:pPr>
    </w:p>
    <w:p w14:paraId="05897AC9" w14:textId="5ED7EB3A" w:rsidR="00FD48FC" w:rsidRPr="00DA1F0A" w:rsidRDefault="003B6DD6" w:rsidP="00FD48FC">
      <w:pPr>
        <w:pStyle w:val="ListParagraph"/>
        <w:jc w:val="center"/>
        <w:rPr>
          <w:rFonts w:ascii="Bookman Old Style" w:hAnsi="Bookman Old Style"/>
          <w:b/>
          <w:sz w:val="28"/>
          <w:szCs w:val="28"/>
        </w:rPr>
      </w:pPr>
      <w:r w:rsidRPr="00DA1F0A">
        <w:rPr>
          <w:rFonts w:ascii="Bookman Old Style" w:hAnsi="Bookman Old Style" w:cs="Times New Roman"/>
          <w:b/>
          <w:sz w:val="28"/>
          <w:szCs w:val="28"/>
        </w:rPr>
        <w:t>MH CHINHENGO</w:t>
      </w:r>
    </w:p>
    <w:p w14:paraId="063822A0" w14:textId="5703DD4C" w:rsidR="00FD48FC" w:rsidRPr="00DA1F0A" w:rsidRDefault="003B6DD6" w:rsidP="00FD48FC">
      <w:pPr>
        <w:pStyle w:val="ListParagraph"/>
        <w:jc w:val="center"/>
        <w:rPr>
          <w:rFonts w:ascii="Bookman Old Style" w:hAnsi="Bookman Old Style" w:cs="Times New Roman"/>
          <w:b/>
          <w:sz w:val="28"/>
          <w:szCs w:val="28"/>
        </w:rPr>
      </w:pPr>
      <w:r w:rsidRPr="00DA1F0A">
        <w:rPr>
          <w:rFonts w:ascii="Bookman Old Style" w:hAnsi="Bookman Old Style" w:cs="Times New Roman"/>
          <w:b/>
          <w:sz w:val="28"/>
          <w:szCs w:val="28"/>
        </w:rPr>
        <w:t>ACTING JUSTICE OF APPEAL</w:t>
      </w:r>
    </w:p>
    <w:p w14:paraId="3295110B" w14:textId="17074F56" w:rsidR="00FD48FC" w:rsidRPr="00DA1F0A" w:rsidRDefault="003040B5" w:rsidP="003040B5">
      <w:pPr>
        <w:jc w:val="both"/>
        <w:rPr>
          <w:rFonts w:ascii="Bookman Old Style" w:hAnsi="Bookman Old Style" w:cs="Times New Roman"/>
          <w:bCs/>
          <w:sz w:val="28"/>
          <w:szCs w:val="28"/>
        </w:rPr>
      </w:pPr>
      <w:r w:rsidRPr="00DA1F0A">
        <w:rPr>
          <w:rFonts w:ascii="Bookman Old Style" w:hAnsi="Bookman Old Style" w:cs="Times New Roman"/>
          <w:bCs/>
          <w:sz w:val="28"/>
          <w:szCs w:val="28"/>
        </w:rPr>
        <w:t>I agree</w:t>
      </w:r>
    </w:p>
    <w:p w14:paraId="1BBBA053" w14:textId="39945802" w:rsidR="00FD48FC" w:rsidRDefault="003040B5" w:rsidP="00FD48FC">
      <w:pPr>
        <w:pStyle w:val="ListParagraph"/>
        <w:jc w:val="center"/>
        <w:rPr>
          <w:rFonts w:ascii="Bookman Old Style" w:hAnsi="Bookman Old Style" w:cs="Times New Roman"/>
          <w:b/>
          <w:sz w:val="24"/>
          <w:szCs w:val="24"/>
        </w:rPr>
      </w:pPr>
      <w:r w:rsidRPr="000A436B">
        <w:rPr>
          <w:rFonts w:ascii="Bookman Old Style" w:hAnsi="Bookman Old Style"/>
          <w:b/>
          <w:noProof/>
          <w:color w:val="000000" w:themeColor="text1"/>
          <w:sz w:val="28"/>
          <w:szCs w:val="28"/>
          <w:lang w:eastAsia="en-ZA"/>
        </w:rPr>
        <w:lastRenderedPageBreak/>
        <w:drawing>
          <wp:inline distT="0" distB="0" distL="0" distR="0" wp14:anchorId="0B010E16" wp14:editId="42860ECD">
            <wp:extent cx="1314450" cy="504825"/>
            <wp:effectExtent l="0" t="0" r="0" b="9525"/>
            <wp:docPr id="1" name="Picture 1"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14:paraId="08025504" w14:textId="5D6138BA" w:rsidR="00FD48FC" w:rsidRDefault="00033A21" w:rsidP="00FD48FC">
      <w:pPr>
        <w:pStyle w:val="ListParagraph"/>
        <w:jc w:val="center"/>
        <w:rPr>
          <w:rFonts w:ascii="Bookman Old Style" w:hAnsi="Bookman Old Style" w:cs="Times New Roman"/>
          <w:b/>
          <w:sz w:val="24"/>
          <w:szCs w:val="24"/>
        </w:rPr>
      </w:pPr>
      <w:r>
        <w:rPr>
          <w:rFonts w:ascii="Bookman Old Style" w:hAnsi="Bookman Old Style" w:cs="Times New Roman"/>
          <w:b/>
          <w:sz w:val="24"/>
          <w:szCs w:val="24"/>
        </w:rPr>
        <w:t>__________________________________</w:t>
      </w:r>
    </w:p>
    <w:p w14:paraId="5C842B28" w14:textId="58810993" w:rsidR="00FD48FC" w:rsidRPr="00DA1F0A" w:rsidRDefault="003B6DD6" w:rsidP="00FD48FC">
      <w:pPr>
        <w:pStyle w:val="ListParagraph"/>
        <w:jc w:val="center"/>
        <w:rPr>
          <w:rFonts w:ascii="Bookman Old Style" w:hAnsi="Bookman Old Style" w:cs="Times New Roman"/>
          <w:b/>
          <w:sz w:val="28"/>
          <w:szCs w:val="28"/>
        </w:rPr>
      </w:pPr>
      <w:r w:rsidRPr="00DA1F0A">
        <w:rPr>
          <w:rFonts w:ascii="Bookman Old Style" w:hAnsi="Bookman Old Style" w:cs="Times New Roman"/>
          <w:b/>
          <w:sz w:val="28"/>
          <w:szCs w:val="28"/>
        </w:rPr>
        <w:t>PT DAMASEB</w:t>
      </w:r>
    </w:p>
    <w:p w14:paraId="557879EB" w14:textId="1F9DC1D9" w:rsidR="00FD48FC" w:rsidRPr="00DA1F0A" w:rsidRDefault="003B6DD6" w:rsidP="00FD48FC">
      <w:pPr>
        <w:pStyle w:val="ListParagraph"/>
        <w:jc w:val="center"/>
        <w:rPr>
          <w:rFonts w:ascii="Bookman Old Style" w:hAnsi="Bookman Old Style" w:cs="Times New Roman"/>
          <w:b/>
          <w:sz w:val="28"/>
          <w:szCs w:val="28"/>
        </w:rPr>
      </w:pPr>
      <w:r w:rsidRPr="00DA1F0A">
        <w:rPr>
          <w:rFonts w:ascii="Bookman Old Style" w:hAnsi="Bookman Old Style" w:cs="Times New Roman"/>
          <w:b/>
          <w:sz w:val="28"/>
          <w:szCs w:val="28"/>
        </w:rPr>
        <w:t>ACTING JUSTICE OF APPEAL</w:t>
      </w:r>
    </w:p>
    <w:p w14:paraId="09EA04CA" w14:textId="2DFE0488" w:rsidR="00FD48FC" w:rsidRPr="00DA1F0A" w:rsidRDefault="003040B5" w:rsidP="003040B5">
      <w:pPr>
        <w:jc w:val="both"/>
        <w:rPr>
          <w:rFonts w:ascii="Bookman Old Style" w:hAnsi="Bookman Old Style" w:cs="Times New Roman"/>
          <w:bCs/>
          <w:sz w:val="28"/>
          <w:szCs w:val="28"/>
        </w:rPr>
      </w:pPr>
      <w:r w:rsidRPr="00DA1F0A">
        <w:rPr>
          <w:rFonts w:ascii="Bookman Old Style" w:hAnsi="Bookman Old Style" w:cs="Times New Roman"/>
          <w:bCs/>
          <w:sz w:val="28"/>
          <w:szCs w:val="28"/>
        </w:rPr>
        <w:t>I agree</w:t>
      </w:r>
    </w:p>
    <w:p w14:paraId="2BF299C7" w14:textId="6E195A02" w:rsidR="003040B5" w:rsidRPr="003040B5" w:rsidRDefault="003040B5" w:rsidP="003040B5">
      <w:pPr>
        <w:jc w:val="center"/>
        <w:rPr>
          <w:rFonts w:ascii="Bookman Old Style" w:hAnsi="Bookman Old Style" w:cs="Times New Roman"/>
          <w:bCs/>
          <w:sz w:val="24"/>
          <w:szCs w:val="24"/>
        </w:rPr>
      </w:pPr>
      <w:r w:rsidRPr="003040B5">
        <w:rPr>
          <w:rFonts w:ascii="Bookman Old Style" w:hAnsi="Bookman Old Style" w:cs="Times New Roman"/>
          <w:bCs/>
          <w:noProof/>
          <w:sz w:val="24"/>
          <w:szCs w:val="24"/>
          <w:lang w:val="en-ZA" w:eastAsia="en-ZA"/>
        </w:rPr>
        <w:drawing>
          <wp:inline distT="0" distB="0" distL="0" distR="0" wp14:anchorId="6CE7A0E2" wp14:editId="1C93D32E">
            <wp:extent cx="2105025" cy="638175"/>
            <wp:effectExtent l="0" t="0" r="9525" b="9525"/>
            <wp:docPr id="2" name="Picture 2" descr="C:\Users\manapo.mphutlane\Pictures\SIGNAT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RES OF HON JUDGES OF APP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71C679BE" w14:textId="75CA1515" w:rsidR="00FD48FC" w:rsidRDefault="00033A21" w:rsidP="00FD48FC">
      <w:pPr>
        <w:pStyle w:val="ListParagraph"/>
        <w:jc w:val="center"/>
        <w:rPr>
          <w:rFonts w:ascii="Bookman Old Style" w:hAnsi="Bookman Old Style" w:cs="Times New Roman"/>
          <w:b/>
          <w:sz w:val="24"/>
          <w:szCs w:val="24"/>
        </w:rPr>
      </w:pPr>
      <w:r>
        <w:rPr>
          <w:rFonts w:ascii="Bookman Old Style" w:hAnsi="Bookman Old Style" w:cs="Times New Roman"/>
          <w:b/>
          <w:sz w:val="24"/>
          <w:szCs w:val="24"/>
        </w:rPr>
        <w:t>__________________________________</w:t>
      </w:r>
    </w:p>
    <w:p w14:paraId="66396F59" w14:textId="3F843DD4" w:rsidR="00FD48FC" w:rsidRPr="00DA1F0A" w:rsidRDefault="003040B5" w:rsidP="00FD48FC">
      <w:pPr>
        <w:pStyle w:val="ListParagraph"/>
        <w:jc w:val="center"/>
        <w:rPr>
          <w:rFonts w:ascii="Bookman Old Style" w:hAnsi="Bookman Old Style" w:cs="Times New Roman"/>
          <w:b/>
          <w:sz w:val="28"/>
          <w:szCs w:val="28"/>
        </w:rPr>
      </w:pPr>
      <w:r w:rsidRPr="00DA1F0A">
        <w:rPr>
          <w:rFonts w:ascii="Bookman Old Style" w:hAnsi="Bookman Old Style" w:cs="Times New Roman"/>
          <w:b/>
          <w:sz w:val="28"/>
          <w:szCs w:val="28"/>
        </w:rPr>
        <w:t>NT M</w:t>
      </w:r>
      <w:r w:rsidR="003B6DD6" w:rsidRPr="00DA1F0A">
        <w:rPr>
          <w:rFonts w:ascii="Bookman Old Style" w:hAnsi="Bookman Old Style" w:cs="Times New Roman"/>
          <w:b/>
          <w:sz w:val="28"/>
          <w:szCs w:val="28"/>
        </w:rPr>
        <w:t>T</w:t>
      </w:r>
      <w:r w:rsidRPr="00DA1F0A">
        <w:rPr>
          <w:rFonts w:ascii="Bookman Old Style" w:hAnsi="Bookman Old Style" w:cs="Times New Roman"/>
          <w:b/>
          <w:sz w:val="28"/>
          <w:szCs w:val="28"/>
        </w:rPr>
        <w:t>S</w:t>
      </w:r>
      <w:r w:rsidR="003B6DD6" w:rsidRPr="00DA1F0A">
        <w:rPr>
          <w:rFonts w:ascii="Bookman Old Style" w:hAnsi="Bookman Old Style" w:cs="Times New Roman"/>
          <w:b/>
          <w:sz w:val="28"/>
          <w:szCs w:val="28"/>
        </w:rPr>
        <w:t>HIYA</w:t>
      </w:r>
    </w:p>
    <w:p w14:paraId="447196F4" w14:textId="47992EEF" w:rsidR="00FD48FC" w:rsidRPr="00DA1F0A" w:rsidRDefault="003B6DD6" w:rsidP="00FD48FC">
      <w:pPr>
        <w:pStyle w:val="ListParagraph"/>
        <w:jc w:val="center"/>
        <w:rPr>
          <w:rFonts w:ascii="Bookman Old Style" w:hAnsi="Bookman Old Style" w:cs="Times New Roman"/>
          <w:b/>
          <w:sz w:val="28"/>
          <w:szCs w:val="28"/>
        </w:rPr>
      </w:pPr>
      <w:r w:rsidRPr="00DA1F0A">
        <w:rPr>
          <w:rFonts w:ascii="Bookman Old Style" w:hAnsi="Bookman Old Style" w:cs="Times New Roman"/>
          <w:b/>
          <w:sz w:val="28"/>
          <w:szCs w:val="28"/>
        </w:rPr>
        <w:t>ACTING JUSTICE OF APPEAL</w:t>
      </w:r>
    </w:p>
    <w:p w14:paraId="54B8DE83" w14:textId="77777777" w:rsidR="00FD48FC" w:rsidRDefault="00FD48FC" w:rsidP="00FD48FC">
      <w:pPr>
        <w:pStyle w:val="ListParagraph"/>
        <w:jc w:val="both"/>
        <w:rPr>
          <w:rFonts w:ascii="Bookman Old Style" w:hAnsi="Bookman Old Style" w:cs="Times New Roman"/>
          <w:bCs/>
          <w:sz w:val="24"/>
          <w:szCs w:val="24"/>
        </w:rPr>
      </w:pPr>
    </w:p>
    <w:p w14:paraId="533D398E" w14:textId="77777777" w:rsidR="00FD48FC" w:rsidRDefault="00FD48FC" w:rsidP="00FD48FC">
      <w:pPr>
        <w:pStyle w:val="ListParagraph"/>
        <w:jc w:val="both"/>
        <w:rPr>
          <w:rFonts w:ascii="Bookman Old Style" w:hAnsi="Bookman Old Style" w:cs="Times New Roman"/>
          <w:bCs/>
          <w:sz w:val="24"/>
          <w:szCs w:val="24"/>
        </w:rPr>
      </w:pPr>
    </w:p>
    <w:p w14:paraId="6ED5E0FD" w14:textId="77777777" w:rsidR="00FD48FC" w:rsidRDefault="00FD48FC" w:rsidP="00FD48FC">
      <w:pPr>
        <w:pStyle w:val="ListParagraph"/>
        <w:jc w:val="both"/>
      </w:pPr>
      <w:r>
        <w:rPr>
          <w:rFonts w:ascii="Bookman Old Style" w:hAnsi="Bookman Old Style" w:cs="Times New Roman"/>
          <w:bCs/>
          <w:sz w:val="24"/>
          <w:szCs w:val="24"/>
        </w:rPr>
        <w:t xml:space="preserve"> </w:t>
      </w:r>
    </w:p>
    <w:p w14:paraId="1E253309" w14:textId="57B02742" w:rsidR="00FD48FC" w:rsidRPr="003040B5" w:rsidRDefault="00033A21" w:rsidP="003040B5">
      <w:pPr>
        <w:spacing w:line="360" w:lineRule="auto"/>
        <w:jc w:val="both"/>
        <w:rPr>
          <w:rFonts w:ascii="Bookman Old Style" w:hAnsi="Bookman Old Style" w:cs="Times New Roman"/>
          <w:bCs/>
          <w:sz w:val="24"/>
          <w:szCs w:val="24"/>
        </w:rPr>
      </w:pPr>
      <w:r w:rsidRPr="003040B5">
        <w:rPr>
          <w:rFonts w:ascii="Bookman Old Style" w:hAnsi="Bookman Old Style" w:cs="Times New Roman"/>
          <w:b/>
          <w:bCs/>
          <w:sz w:val="24"/>
          <w:szCs w:val="24"/>
        </w:rPr>
        <w:t>FOR APPELLANT:</w:t>
      </w:r>
      <w:r w:rsidRPr="003040B5">
        <w:rPr>
          <w:rFonts w:ascii="Bookman Old Style" w:hAnsi="Bookman Old Style" w:cs="Times New Roman"/>
          <w:bCs/>
          <w:sz w:val="24"/>
          <w:szCs w:val="24"/>
        </w:rPr>
        <w:t xml:space="preserve"> </w:t>
      </w:r>
      <w:r w:rsidR="003040B5" w:rsidRPr="003040B5">
        <w:rPr>
          <w:rFonts w:ascii="Bookman Old Style" w:hAnsi="Bookman Old Style" w:cs="Times New Roman"/>
          <w:bCs/>
          <w:sz w:val="24"/>
          <w:szCs w:val="24"/>
        </w:rPr>
        <w:tab/>
      </w:r>
      <w:r w:rsidR="003040B5" w:rsidRPr="003040B5">
        <w:rPr>
          <w:rFonts w:ascii="Bookman Old Style" w:hAnsi="Bookman Old Style" w:cs="Times New Roman"/>
          <w:bCs/>
          <w:sz w:val="24"/>
          <w:szCs w:val="24"/>
        </w:rPr>
        <w:tab/>
      </w:r>
      <w:r w:rsidRPr="003040B5">
        <w:rPr>
          <w:rFonts w:ascii="Bookman Old Style" w:hAnsi="Bookman Old Style" w:cs="Times New Roman"/>
          <w:bCs/>
          <w:sz w:val="24"/>
          <w:szCs w:val="24"/>
        </w:rPr>
        <w:t>ADVOCATE M E TEELE KC</w:t>
      </w:r>
    </w:p>
    <w:p w14:paraId="6497AB7B" w14:textId="248E4B8B" w:rsidR="00033A21" w:rsidRPr="003040B5" w:rsidRDefault="00033A21" w:rsidP="003040B5">
      <w:pPr>
        <w:spacing w:line="360" w:lineRule="auto"/>
        <w:jc w:val="both"/>
        <w:rPr>
          <w:rFonts w:ascii="Bookman Old Style" w:hAnsi="Bookman Old Style" w:cs="Times New Roman"/>
          <w:bCs/>
          <w:sz w:val="24"/>
          <w:szCs w:val="24"/>
        </w:rPr>
      </w:pPr>
      <w:r w:rsidRPr="003040B5">
        <w:rPr>
          <w:rFonts w:ascii="Bookman Old Style" w:hAnsi="Bookman Old Style" w:cs="Times New Roman"/>
          <w:b/>
          <w:bCs/>
          <w:sz w:val="24"/>
          <w:szCs w:val="24"/>
        </w:rPr>
        <w:t>FOR RESPONDENT:</w:t>
      </w:r>
      <w:r w:rsidRPr="003040B5">
        <w:rPr>
          <w:rFonts w:ascii="Bookman Old Style" w:hAnsi="Bookman Old Style" w:cs="Times New Roman"/>
          <w:bCs/>
          <w:sz w:val="24"/>
          <w:szCs w:val="24"/>
        </w:rPr>
        <w:t xml:space="preserve"> </w:t>
      </w:r>
      <w:r w:rsidR="003040B5" w:rsidRPr="003040B5">
        <w:rPr>
          <w:rFonts w:ascii="Bookman Old Style" w:hAnsi="Bookman Old Style" w:cs="Times New Roman"/>
          <w:bCs/>
          <w:sz w:val="24"/>
          <w:szCs w:val="24"/>
        </w:rPr>
        <w:tab/>
      </w:r>
      <w:r w:rsidR="003040B5" w:rsidRPr="003040B5">
        <w:rPr>
          <w:rFonts w:ascii="Bookman Old Style" w:hAnsi="Bookman Old Style" w:cs="Times New Roman"/>
          <w:bCs/>
          <w:sz w:val="24"/>
          <w:szCs w:val="24"/>
        </w:rPr>
        <w:tab/>
      </w:r>
      <w:r w:rsidRPr="003040B5">
        <w:rPr>
          <w:rFonts w:ascii="Bookman Old Style" w:hAnsi="Bookman Old Style" w:cs="Times New Roman"/>
          <w:bCs/>
          <w:sz w:val="24"/>
          <w:szCs w:val="24"/>
        </w:rPr>
        <w:t>ADVOCATE T TLALI</w:t>
      </w:r>
    </w:p>
    <w:p w14:paraId="1B52D3BD" w14:textId="75A046D4" w:rsidR="00146586" w:rsidRPr="0040050D" w:rsidRDefault="00A25946" w:rsidP="00A246B6">
      <w:pPr>
        <w:pStyle w:val="ListParagraph"/>
        <w:jc w:val="both"/>
        <w:rPr>
          <w:rFonts w:ascii="Bookman Old Style" w:hAnsi="Bookman Old Style"/>
          <w:sz w:val="24"/>
          <w:szCs w:val="24"/>
        </w:rPr>
      </w:pPr>
      <w:r>
        <w:rPr>
          <w:rFonts w:ascii="Bookman Old Style" w:hAnsi="Bookman Old Style"/>
          <w:sz w:val="24"/>
          <w:szCs w:val="24"/>
        </w:rPr>
        <w:t xml:space="preserve"> </w:t>
      </w:r>
    </w:p>
    <w:sectPr w:rsidR="00146586" w:rsidRPr="0040050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516C" w14:textId="77777777" w:rsidR="00161CEF" w:rsidRDefault="00161CEF" w:rsidP="00860EB5">
      <w:pPr>
        <w:spacing w:after="0" w:line="240" w:lineRule="auto"/>
      </w:pPr>
      <w:r>
        <w:separator/>
      </w:r>
    </w:p>
  </w:endnote>
  <w:endnote w:type="continuationSeparator" w:id="0">
    <w:p w14:paraId="775A4630" w14:textId="77777777" w:rsidR="00161CEF" w:rsidRDefault="00161CEF" w:rsidP="0086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4785913"/>
      <w:docPartObj>
        <w:docPartGallery w:val="Page Numbers (Bottom of Page)"/>
        <w:docPartUnique/>
      </w:docPartObj>
    </w:sdtPr>
    <w:sdtEndPr>
      <w:rPr>
        <w:rStyle w:val="PageNumber"/>
      </w:rPr>
    </w:sdtEndPr>
    <w:sdtContent>
      <w:p w14:paraId="351F1C33" w14:textId="0A48ED21" w:rsidR="00FD48FC" w:rsidRDefault="00FD48FC" w:rsidP="00767C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094F3" w14:textId="77777777" w:rsidR="00FD48FC" w:rsidRDefault="00FD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3807315"/>
      <w:docPartObj>
        <w:docPartGallery w:val="Page Numbers (Bottom of Page)"/>
        <w:docPartUnique/>
      </w:docPartObj>
    </w:sdtPr>
    <w:sdtEndPr>
      <w:rPr>
        <w:rStyle w:val="PageNumber"/>
      </w:rPr>
    </w:sdtEndPr>
    <w:sdtContent>
      <w:p w14:paraId="21E3DA29" w14:textId="24D5D1E8" w:rsidR="00FD48FC" w:rsidRDefault="00FD48FC" w:rsidP="00767C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E677C">
          <w:rPr>
            <w:rStyle w:val="PageNumber"/>
            <w:noProof/>
          </w:rPr>
          <w:t>1</w:t>
        </w:r>
        <w:r>
          <w:rPr>
            <w:rStyle w:val="PageNumber"/>
          </w:rPr>
          <w:fldChar w:fldCharType="end"/>
        </w:r>
      </w:p>
    </w:sdtContent>
  </w:sdt>
  <w:p w14:paraId="6BCC9102" w14:textId="77777777" w:rsidR="00FD48FC" w:rsidRDefault="00FD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BC56F" w14:textId="77777777" w:rsidR="00161CEF" w:rsidRDefault="00161CEF" w:rsidP="00860EB5">
      <w:pPr>
        <w:spacing w:after="0" w:line="240" w:lineRule="auto"/>
      </w:pPr>
      <w:r>
        <w:separator/>
      </w:r>
    </w:p>
  </w:footnote>
  <w:footnote w:type="continuationSeparator" w:id="0">
    <w:p w14:paraId="6AE011FE" w14:textId="77777777" w:rsidR="00161CEF" w:rsidRDefault="00161CEF" w:rsidP="00860EB5">
      <w:pPr>
        <w:spacing w:after="0" w:line="240" w:lineRule="auto"/>
      </w:pPr>
      <w:r>
        <w:continuationSeparator/>
      </w:r>
    </w:p>
  </w:footnote>
  <w:footnote w:id="1">
    <w:p w14:paraId="4F338B19" w14:textId="6D7A755D" w:rsidR="0007684A" w:rsidRPr="00B20E47" w:rsidRDefault="0007684A" w:rsidP="00B20E47">
      <w:pPr>
        <w:spacing w:after="0" w:line="240" w:lineRule="auto"/>
        <w:jc w:val="both"/>
        <w:rPr>
          <w:rFonts w:ascii="Bookman Old Style" w:eastAsia="Times New Roman" w:hAnsi="Bookman Old Style" w:cs="Arial"/>
          <w:color w:val="333333"/>
          <w:sz w:val="20"/>
          <w:szCs w:val="20"/>
          <w:lang w:val="en-ZW" w:eastAsia="en-GB"/>
        </w:rPr>
      </w:pPr>
      <w:r w:rsidRPr="00B20E47">
        <w:rPr>
          <w:rStyle w:val="FootnoteReference"/>
          <w:rFonts w:ascii="Bookman Old Style" w:hAnsi="Bookman Old Style"/>
          <w:sz w:val="20"/>
          <w:szCs w:val="20"/>
        </w:rPr>
        <w:footnoteRef/>
      </w:r>
      <w:r w:rsidRPr="00B20E47">
        <w:rPr>
          <w:rFonts w:ascii="Bookman Old Style" w:hAnsi="Bookman Old Style"/>
          <w:sz w:val="20"/>
          <w:szCs w:val="20"/>
        </w:rPr>
        <w:t xml:space="preserve"> Section 12 </w:t>
      </w:r>
      <w:r w:rsidRPr="00B20E47">
        <w:rPr>
          <w:rFonts w:ascii="Bookman Old Style" w:eastAsia="Times New Roman" w:hAnsi="Bookman Old Style" w:cs="Arial"/>
          <w:color w:val="333333"/>
          <w:sz w:val="20"/>
          <w:szCs w:val="20"/>
          <w:lang w:val="en-ZW" w:eastAsia="en-GB"/>
        </w:rPr>
        <w:t>(1) of Constitution provides that -</w:t>
      </w:r>
    </w:p>
    <w:p w14:paraId="193C2B6B" w14:textId="77777777" w:rsidR="0007684A" w:rsidRPr="00B20E47" w:rsidRDefault="0007684A" w:rsidP="00B20E47">
      <w:pPr>
        <w:spacing w:after="0" w:line="240" w:lineRule="auto"/>
        <w:ind w:left="720"/>
        <w:jc w:val="both"/>
        <w:rPr>
          <w:rFonts w:ascii="Bookman Old Style" w:eastAsia="Times New Roman" w:hAnsi="Bookman Old Style" w:cs="Arial"/>
          <w:color w:val="333333"/>
          <w:sz w:val="20"/>
          <w:szCs w:val="20"/>
          <w:lang w:val="en-ZW" w:eastAsia="en-GB"/>
        </w:rPr>
      </w:pPr>
    </w:p>
    <w:p w14:paraId="0D492AA6" w14:textId="42195B4A" w:rsidR="0007684A" w:rsidRPr="00B20E47" w:rsidRDefault="0007684A" w:rsidP="00B20E47">
      <w:pPr>
        <w:spacing w:after="0" w:line="240" w:lineRule="auto"/>
        <w:ind w:left="720"/>
        <w:jc w:val="both"/>
        <w:rPr>
          <w:rFonts w:ascii="Bookman Old Style" w:eastAsia="Times New Roman" w:hAnsi="Bookman Old Style" w:cs="Arial"/>
          <w:color w:val="333333"/>
          <w:sz w:val="20"/>
          <w:szCs w:val="20"/>
          <w:lang w:val="en-ZW" w:eastAsia="en-GB"/>
        </w:rPr>
      </w:pPr>
      <w:r w:rsidRPr="00B20E47">
        <w:rPr>
          <w:rFonts w:ascii="Bookman Old Style" w:eastAsia="Times New Roman" w:hAnsi="Bookman Old Style" w:cs="Arial"/>
          <w:color w:val="333333"/>
          <w:sz w:val="20"/>
          <w:szCs w:val="20"/>
          <w:lang w:val="en-ZW" w:eastAsia="en-GB"/>
        </w:rPr>
        <w:t>“If any person is charged with a criminal offence, then, unless the charge is withdrawn, the case shall be afforded a fair hearing within a reasonable time by an independent and impartial court established by law”,</w:t>
      </w:r>
    </w:p>
    <w:p w14:paraId="4A88643E" w14:textId="345A750C" w:rsidR="0007684A" w:rsidRPr="00B20E47" w:rsidRDefault="0007684A" w:rsidP="00B20E47">
      <w:pPr>
        <w:spacing w:after="0" w:line="240" w:lineRule="auto"/>
        <w:ind w:left="720"/>
        <w:jc w:val="both"/>
        <w:rPr>
          <w:rFonts w:ascii="Bookman Old Style" w:eastAsia="Times New Roman" w:hAnsi="Bookman Old Style" w:cs="Arial"/>
          <w:color w:val="333333"/>
          <w:sz w:val="20"/>
          <w:szCs w:val="20"/>
          <w:lang w:val="en-ZW" w:eastAsia="en-GB"/>
        </w:rPr>
      </w:pPr>
      <w:r w:rsidRPr="00B20E47">
        <w:rPr>
          <w:rFonts w:ascii="Bookman Old Style" w:eastAsia="Times New Roman" w:hAnsi="Bookman Old Style" w:cs="Arial"/>
          <w:color w:val="333333"/>
          <w:sz w:val="20"/>
          <w:szCs w:val="20"/>
          <w:lang w:val="en-ZW" w:eastAsia="en-GB"/>
        </w:rPr>
        <w:t xml:space="preserve"> </w:t>
      </w:r>
    </w:p>
    <w:p w14:paraId="79A8F6B3" w14:textId="59CADEEC" w:rsidR="0007684A" w:rsidRPr="00B20E47" w:rsidRDefault="0007684A" w:rsidP="00B20E47">
      <w:pPr>
        <w:spacing w:after="0" w:line="240" w:lineRule="auto"/>
        <w:jc w:val="both"/>
        <w:rPr>
          <w:rFonts w:ascii="Bookman Old Style" w:eastAsia="Times New Roman" w:hAnsi="Bookman Old Style" w:cs="Times New Roman"/>
          <w:sz w:val="20"/>
          <w:szCs w:val="20"/>
          <w:lang w:val="en-ZW" w:eastAsia="en-GB"/>
        </w:rPr>
      </w:pPr>
      <w:r w:rsidRPr="00B20E47">
        <w:rPr>
          <w:rFonts w:ascii="Bookman Old Style" w:eastAsia="Times New Roman" w:hAnsi="Bookman Old Style" w:cs="Arial"/>
          <w:color w:val="333333"/>
          <w:sz w:val="20"/>
          <w:szCs w:val="20"/>
          <w:lang w:val="en-ZW" w:eastAsia="en-GB"/>
        </w:rPr>
        <w:t xml:space="preserve">and in </w:t>
      </w:r>
      <w:r w:rsidR="00196003" w:rsidRPr="00B20E47">
        <w:rPr>
          <w:rFonts w:ascii="Bookman Old Style" w:eastAsia="Times New Roman" w:hAnsi="Bookman Old Style" w:cs="Arial"/>
          <w:color w:val="333333"/>
          <w:sz w:val="20"/>
          <w:szCs w:val="20"/>
          <w:lang w:val="en-ZW" w:eastAsia="en-GB"/>
        </w:rPr>
        <w:t xml:space="preserve">other </w:t>
      </w:r>
      <w:r w:rsidRPr="00B20E47">
        <w:rPr>
          <w:rFonts w:ascii="Bookman Old Style" w:eastAsia="Times New Roman" w:hAnsi="Bookman Old Style" w:cs="Arial"/>
          <w:color w:val="333333"/>
          <w:sz w:val="20"/>
          <w:szCs w:val="20"/>
          <w:lang w:val="en-ZW" w:eastAsia="en-GB"/>
        </w:rPr>
        <w:t>subsections</w:t>
      </w:r>
      <w:r w:rsidR="00196003" w:rsidRPr="00B20E47">
        <w:rPr>
          <w:rFonts w:ascii="Bookman Old Style" w:eastAsia="Times New Roman" w:hAnsi="Bookman Old Style" w:cs="Arial"/>
          <w:color w:val="333333"/>
          <w:sz w:val="20"/>
          <w:szCs w:val="20"/>
          <w:lang w:val="en-ZW" w:eastAsia="en-GB"/>
        </w:rPr>
        <w:t>, the section</w:t>
      </w:r>
      <w:r w:rsidRPr="00B20E47">
        <w:rPr>
          <w:rFonts w:ascii="Bookman Old Style" w:eastAsia="Times New Roman" w:hAnsi="Bookman Old Style" w:cs="Arial"/>
          <w:color w:val="333333"/>
          <w:sz w:val="20"/>
          <w:szCs w:val="20"/>
          <w:lang w:val="en-ZW" w:eastAsia="en-GB"/>
        </w:rPr>
        <w:t xml:space="preserve"> sets out specific rights associated with a fair trial.</w:t>
      </w:r>
    </w:p>
    <w:p w14:paraId="0F80CDED" w14:textId="620D1C19" w:rsidR="0007684A" w:rsidRPr="00B20E47" w:rsidRDefault="0007684A" w:rsidP="00B20E47">
      <w:pPr>
        <w:pStyle w:val="FootnoteText"/>
        <w:jc w:val="both"/>
        <w:rPr>
          <w:rFonts w:ascii="Bookman Old Style" w:hAnsi="Bookman Old Style"/>
        </w:rPr>
      </w:pPr>
    </w:p>
  </w:footnote>
  <w:footnote w:id="2">
    <w:p w14:paraId="1D481A40" w14:textId="63469081" w:rsidR="0007684A" w:rsidRPr="00B20E47" w:rsidRDefault="0007684A" w:rsidP="00B20E47">
      <w:pPr>
        <w:pStyle w:val="FootnoteText"/>
        <w:jc w:val="both"/>
        <w:rPr>
          <w:rFonts w:ascii="Bookman Old Style" w:hAnsi="Bookman Old Style"/>
        </w:rPr>
      </w:pPr>
      <w:r w:rsidRPr="00B20E47">
        <w:rPr>
          <w:rStyle w:val="FootnoteReference"/>
          <w:rFonts w:ascii="Bookman Old Style" w:hAnsi="Bookman Old Style"/>
        </w:rPr>
        <w:footnoteRef/>
      </w:r>
      <w:r w:rsidRPr="00B20E47">
        <w:rPr>
          <w:rFonts w:ascii="Bookman Old Style" w:hAnsi="Bookman Old Style"/>
        </w:rPr>
        <w:t xml:space="preserve"> [2018] </w:t>
      </w:r>
      <w:r w:rsidR="0041731D">
        <w:rPr>
          <w:rFonts w:ascii="Bookman Old Style" w:hAnsi="Bookman Old Style"/>
        </w:rPr>
        <w:t>A</w:t>
      </w:r>
      <w:r w:rsidRPr="00B20E47">
        <w:rPr>
          <w:rFonts w:ascii="Bookman Old Style" w:hAnsi="Bookman Old Style"/>
        </w:rPr>
        <w:t xml:space="preserve">ll SA 780 (GJ) </w:t>
      </w:r>
      <w:r w:rsidR="002B3077" w:rsidRPr="00B20E47">
        <w:rPr>
          <w:rFonts w:ascii="Bookman Old Style" w:hAnsi="Bookman Old Style"/>
          <w:color w:val="000000" w:themeColor="text1"/>
        </w:rPr>
        <w:t xml:space="preserve">at paras </w:t>
      </w:r>
      <w:r w:rsidRPr="00B20E47">
        <w:rPr>
          <w:rFonts w:ascii="Bookman Old Style" w:hAnsi="Bookman Old Style"/>
          <w:color w:val="000000" w:themeColor="text1"/>
        </w:rPr>
        <w:t>41-52</w:t>
      </w:r>
      <w:r w:rsidR="0041731D" w:rsidRPr="00B20E47">
        <w:rPr>
          <w:rFonts w:ascii="Bookman Old Style" w:hAnsi="Bookman Old Style"/>
          <w:color w:val="000000" w:themeColor="text1"/>
        </w:rPr>
        <w:t>.</w:t>
      </w:r>
    </w:p>
  </w:footnote>
  <w:footnote w:id="3">
    <w:p w14:paraId="5FA46F05" w14:textId="2421009D" w:rsidR="0007684A" w:rsidRPr="00B20E47" w:rsidRDefault="0007684A" w:rsidP="00B20E47">
      <w:pPr>
        <w:pStyle w:val="FootnoteText"/>
        <w:jc w:val="both"/>
        <w:rPr>
          <w:rFonts w:ascii="Bookman Old Style" w:hAnsi="Bookman Old Style"/>
        </w:rPr>
      </w:pPr>
      <w:r w:rsidRPr="00B20E47">
        <w:rPr>
          <w:rStyle w:val="FootnoteReference"/>
          <w:rFonts w:ascii="Bookman Old Style" w:hAnsi="Bookman Old Style"/>
        </w:rPr>
        <w:footnoteRef/>
      </w:r>
      <w:r w:rsidRPr="00B20E47">
        <w:rPr>
          <w:rFonts w:ascii="Bookman Old Style" w:hAnsi="Bookman Old Style"/>
        </w:rPr>
        <w:t xml:space="preserve"> P</w:t>
      </w:r>
      <w:r w:rsidR="002B3077">
        <w:rPr>
          <w:rFonts w:ascii="Bookman Old Style" w:hAnsi="Bookman Old Style"/>
        </w:rPr>
        <w:t>age</w:t>
      </w:r>
      <w:r w:rsidRPr="00B20E47">
        <w:rPr>
          <w:rFonts w:ascii="Bookman Old Style" w:hAnsi="Bookman Old Style"/>
        </w:rPr>
        <w:t xml:space="preserve"> 83 of record ff</w:t>
      </w:r>
      <w:r w:rsidR="00DA4648">
        <w:rPr>
          <w:rFonts w:ascii="Bookman Old Style" w:hAnsi="Bookman Old Style"/>
        </w:rPr>
        <w:t>.</w:t>
      </w:r>
    </w:p>
  </w:footnote>
  <w:footnote w:id="4">
    <w:p w14:paraId="4F61EBB5" w14:textId="1DD767C9" w:rsidR="002F7C41" w:rsidRPr="00B20E47" w:rsidRDefault="002F7C41" w:rsidP="00B20E47">
      <w:pPr>
        <w:pStyle w:val="FootnoteText"/>
        <w:jc w:val="both"/>
        <w:rPr>
          <w:rFonts w:ascii="Bookman Old Style" w:hAnsi="Bookman Old Style"/>
        </w:rPr>
      </w:pPr>
      <w:r w:rsidRPr="00B20E47">
        <w:rPr>
          <w:rStyle w:val="FootnoteReference"/>
          <w:rFonts w:ascii="Bookman Old Style" w:hAnsi="Bookman Old Style"/>
        </w:rPr>
        <w:footnoteRef/>
      </w:r>
      <w:r w:rsidRPr="00B20E47">
        <w:rPr>
          <w:rFonts w:ascii="Bookman Old Style" w:hAnsi="Bookman Old Style"/>
        </w:rPr>
        <w:t xml:space="preserve"> 1964 (1) SA 249 (C)</w:t>
      </w:r>
      <w:r w:rsidR="00DA4648">
        <w:rPr>
          <w:rFonts w:ascii="Bookman Old Style" w:hAnsi="Bookman Old Style"/>
        </w:rPr>
        <w:t>.</w:t>
      </w:r>
    </w:p>
  </w:footnote>
  <w:footnote w:id="5">
    <w:p w14:paraId="0651BED1" w14:textId="13CA2140" w:rsidR="00A25946" w:rsidRPr="00B20E47" w:rsidRDefault="00A25946" w:rsidP="00B20E47">
      <w:pPr>
        <w:pStyle w:val="FootnoteText"/>
        <w:jc w:val="both"/>
        <w:rPr>
          <w:rFonts w:ascii="Bookman Old Style" w:hAnsi="Bookman Old Style"/>
        </w:rPr>
      </w:pPr>
      <w:r w:rsidRPr="00B20E47">
        <w:rPr>
          <w:rStyle w:val="FootnoteReference"/>
          <w:rFonts w:ascii="Bookman Old Style" w:hAnsi="Bookman Old Style"/>
        </w:rPr>
        <w:footnoteRef/>
      </w:r>
      <w:r w:rsidRPr="00B20E47">
        <w:rPr>
          <w:rFonts w:ascii="Bookman Old Style" w:hAnsi="Bookman Old Style"/>
        </w:rPr>
        <w:t xml:space="preserve"> At 454A-D</w:t>
      </w:r>
      <w:r w:rsidR="00DA4648">
        <w:rPr>
          <w:rFonts w:ascii="Bookman Old Style" w:hAnsi="Bookman Old Style"/>
        </w:rPr>
        <w:t>.</w:t>
      </w:r>
    </w:p>
  </w:footnote>
  <w:footnote w:id="6">
    <w:p w14:paraId="1DF287A4" w14:textId="4C6A616D" w:rsidR="008272A6" w:rsidRPr="00B20E47" w:rsidRDefault="008272A6" w:rsidP="00B20E47">
      <w:pPr>
        <w:pStyle w:val="FootnoteText"/>
        <w:jc w:val="both"/>
        <w:rPr>
          <w:rFonts w:ascii="Bookman Old Style" w:hAnsi="Bookman Old Style"/>
        </w:rPr>
      </w:pPr>
      <w:r w:rsidRPr="00B20E47">
        <w:rPr>
          <w:rStyle w:val="FootnoteReference"/>
          <w:rFonts w:ascii="Bookman Old Style" w:hAnsi="Bookman Old Style"/>
        </w:rPr>
        <w:footnoteRef/>
      </w:r>
      <w:r w:rsidRPr="00B20E47">
        <w:rPr>
          <w:rFonts w:ascii="Bookman Old Style" w:hAnsi="Bookman Old Style"/>
        </w:rPr>
        <w:t xml:space="preserve"> (CC 317/2004) [2018]</w:t>
      </w:r>
      <w:r w:rsidR="00174A52" w:rsidRPr="00B20E47">
        <w:rPr>
          <w:rFonts w:ascii="Bookman Old Style" w:hAnsi="Bookman Old Style"/>
        </w:rPr>
        <w:t xml:space="preserve"> </w:t>
      </w:r>
      <w:r w:rsidRPr="00B20E47">
        <w:rPr>
          <w:rFonts w:ascii="Bookman Old Style" w:hAnsi="Bookman Old Style"/>
        </w:rPr>
        <w:t>ZAGPPHC 697</w:t>
      </w:r>
      <w:r w:rsidR="00DA4648">
        <w:rPr>
          <w:rFonts w:ascii="Bookman Old Style" w:hAnsi="Bookman Old Style"/>
        </w:rPr>
        <w:t>.</w:t>
      </w:r>
    </w:p>
  </w:footnote>
  <w:footnote w:id="7">
    <w:p w14:paraId="38D7F0FD" w14:textId="28286FE3" w:rsidR="003873E4" w:rsidRPr="00B20E47" w:rsidRDefault="003873E4" w:rsidP="00B20E47">
      <w:pPr>
        <w:pStyle w:val="FootnoteText"/>
        <w:jc w:val="both"/>
        <w:rPr>
          <w:rFonts w:ascii="Bookman Old Style" w:hAnsi="Bookman Old Style"/>
        </w:rPr>
      </w:pPr>
      <w:r w:rsidRPr="00B20E47">
        <w:rPr>
          <w:rStyle w:val="FootnoteReference"/>
          <w:rFonts w:ascii="Bookman Old Style" w:hAnsi="Bookman Old Style"/>
        </w:rPr>
        <w:footnoteRef/>
      </w:r>
      <w:r w:rsidRPr="00B20E47">
        <w:rPr>
          <w:rFonts w:ascii="Bookman Old Style" w:hAnsi="Bookman Old Style"/>
        </w:rPr>
        <w:t xml:space="preserve"> </w:t>
      </w:r>
      <w:r w:rsidR="009E4F3C" w:rsidRPr="00B20E47">
        <w:rPr>
          <w:rFonts w:ascii="Bookman Old Style" w:hAnsi="Bookman Old Style"/>
        </w:rPr>
        <w:t>Id Burchell and Milton p 393</w:t>
      </w:r>
      <w:r w:rsidR="00DA4648">
        <w:rPr>
          <w:rFonts w:ascii="Bookman Old Style" w:hAnsi="Bookman Old Style"/>
        </w:rPr>
        <w:t>.</w:t>
      </w:r>
    </w:p>
  </w:footnote>
  <w:footnote w:id="8">
    <w:p w14:paraId="06973A3E" w14:textId="32591069" w:rsidR="00174A52" w:rsidRPr="00B20E47" w:rsidRDefault="00174A52" w:rsidP="00B20E47">
      <w:pPr>
        <w:pStyle w:val="FootnoteText"/>
        <w:jc w:val="both"/>
        <w:rPr>
          <w:rFonts w:ascii="Bookman Old Style" w:hAnsi="Bookman Old Style"/>
        </w:rPr>
      </w:pPr>
      <w:r w:rsidRPr="00B20E47">
        <w:rPr>
          <w:rStyle w:val="FootnoteReference"/>
          <w:rFonts w:ascii="Bookman Old Style" w:hAnsi="Bookman Old Style"/>
        </w:rPr>
        <w:footnoteRef/>
      </w:r>
      <w:r w:rsidRPr="00B20E47">
        <w:rPr>
          <w:rFonts w:ascii="Bookman Old Style" w:hAnsi="Bookman Old Style"/>
        </w:rPr>
        <w:t xml:space="preserve"> 1989 (1) SA 687 (SA) at 705I – 706C</w:t>
      </w:r>
      <w:r w:rsidR="00DA4648">
        <w:rPr>
          <w:rFonts w:ascii="Bookman Old Style" w:hAnsi="Bookman Old Style"/>
        </w:rPr>
        <w:t>.</w:t>
      </w:r>
      <w:r w:rsidRPr="00B20E47">
        <w:rPr>
          <w:rFonts w:ascii="Bookman Old Style" w:hAnsi="Bookman Old Style"/>
        </w:rPr>
        <w:t xml:space="preserve"> </w:t>
      </w:r>
    </w:p>
  </w:footnote>
  <w:footnote w:id="9">
    <w:p w14:paraId="3E4C8B27" w14:textId="0A29E4E9" w:rsidR="00E12575" w:rsidRPr="00B20E47" w:rsidRDefault="00E12575" w:rsidP="00B20E47">
      <w:pPr>
        <w:pStyle w:val="FootnoteText"/>
        <w:jc w:val="both"/>
        <w:rPr>
          <w:rFonts w:ascii="Bookman Old Style" w:hAnsi="Bookman Old Style"/>
        </w:rPr>
      </w:pPr>
      <w:r w:rsidRPr="00B20E47">
        <w:rPr>
          <w:rStyle w:val="FootnoteReference"/>
          <w:rFonts w:ascii="Bookman Old Style" w:hAnsi="Bookman Old Style"/>
        </w:rPr>
        <w:footnoteRef/>
      </w:r>
      <w:r w:rsidRPr="00B20E47">
        <w:rPr>
          <w:rFonts w:ascii="Bookman Old Style" w:hAnsi="Bookman Old Style"/>
        </w:rPr>
        <w:t xml:space="preserve"> </w:t>
      </w:r>
      <w:r w:rsidR="00284E5A" w:rsidRPr="00B20E47">
        <w:rPr>
          <w:rFonts w:ascii="Bookman Old Style" w:hAnsi="Bookman Old Style"/>
        </w:rPr>
        <w:t>1963 (3) SA 462 (T)</w:t>
      </w:r>
      <w:r w:rsidR="00DA4648">
        <w:rPr>
          <w:rFonts w:ascii="Bookman Old Style" w:hAnsi="Bookman Old Style"/>
        </w:rPr>
        <w:t>.</w:t>
      </w:r>
    </w:p>
  </w:footnote>
  <w:footnote w:id="10">
    <w:p w14:paraId="754AB11D" w14:textId="043F847B" w:rsidR="008620E3" w:rsidRPr="00B20E47" w:rsidRDefault="008620E3" w:rsidP="00B20E47">
      <w:pPr>
        <w:pStyle w:val="FootnoteText"/>
        <w:jc w:val="both"/>
        <w:rPr>
          <w:rFonts w:ascii="Bookman Old Style" w:hAnsi="Bookman Old Style"/>
        </w:rPr>
      </w:pPr>
      <w:r w:rsidRPr="00B20E47">
        <w:rPr>
          <w:rStyle w:val="FootnoteReference"/>
          <w:rFonts w:ascii="Bookman Old Style" w:hAnsi="Bookman Old Style"/>
        </w:rPr>
        <w:footnoteRef/>
      </w:r>
      <w:r w:rsidRPr="00B20E47">
        <w:rPr>
          <w:rFonts w:ascii="Bookman Old Style" w:hAnsi="Bookman Old Style"/>
        </w:rPr>
        <w:t xml:space="preserve"> </w:t>
      </w:r>
      <w:r w:rsidR="00284E5A" w:rsidRPr="00B20E47">
        <w:rPr>
          <w:rFonts w:ascii="Bookman Old Style" w:hAnsi="Bookman Old Style"/>
        </w:rPr>
        <w:t>2003 (1) SACR 364 (WLD) at 381h-i</w:t>
      </w:r>
      <w:r w:rsidR="00DA4648">
        <w:rPr>
          <w:rFonts w:ascii="Bookman Old Style" w:hAnsi="Bookman Old Sty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9AD"/>
    <w:multiLevelType w:val="hybridMultilevel"/>
    <w:tmpl w:val="6BB4480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93615A8"/>
    <w:multiLevelType w:val="hybridMultilevel"/>
    <w:tmpl w:val="81B0C9D0"/>
    <w:lvl w:ilvl="0" w:tplc="1352AAA2">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CC01C4"/>
    <w:multiLevelType w:val="hybridMultilevel"/>
    <w:tmpl w:val="C0703F3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5D54532"/>
    <w:multiLevelType w:val="hybridMultilevel"/>
    <w:tmpl w:val="B7E8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846FB1"/>
    <w:multiLevelType w:val="hybridMultilevel"/>
    <w:tmpl w:val="6DEC93C8"/>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76A443EB"/>
    <w:multiLevelType w:val="hybridMultilevel"/>
    <w:tmpl w:val="7F9058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893766A"/>
    <w:multiLevelType w:val="hybridMultilevel"/>
    <w:tmpl w:val="6DE8E7E4"/>
    <w:lvl w:ilvl="0" w:tplc="47EA4E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E9"/>
    <w:rsid w:val="00004425"/>
    <w:rsid w:val="00020884"/>
    <w:rsid w:val="00033A21"/>
    <w:rsid w:val="00065E9C"/>
    <w:rsid w:val="0007684A"/>
    <w:rsid w:val="000861F9"/>
    <w:rsid w:val="00093A54"/>
    <w:rsid w:val="000A4665"/>
    <w:rsid w:val="000D6580"/>
    <w:rsid w:val="000F6BCD"/>
    <w:rsid w:val="0010031B"/>
    <w:rsid w:val="00101BB1"/>
    <w:rsid w:val="00146586"/>
    <w:rsid w:val="00151557"/>
    <w:rsid w:val="00161CEF"/>
    <w:rsid w:val="0016360C"/>
    <w:rsid w:val="00174A52"/>
    <w:rsid w:val="0018795F"/>
    <w:rsid w:val="00196003"/>
    <w:rsid w:val="001C14B1"/>
    <w:rsid w:val="001E677C"/>
    <w:rsid w:val="001F2A77"/>
    <w:rsid w:val="002178B3"/>
    <w:rsid w:val="00220240"/>
    <w:rsid w:val="00233343"/>
    <w:rsid w:val="0024769D"/>
    <w:rsid w:val="00257FEA"/>
    <w:rsid w:val="00284E5A"/>
    <w:rsid w:val="00284E7F"/>
    <w:rsid w:val="002B12CC"/>
    <w:rsid w:val="002B3077"/>
    <w:rsid w:val="002E6FE2"/>
    <w:rsid w:val="002F7C41"/>
    <w:rsid w:val="003040B5"/>
    <w:rsid w:val="0031175D"/>
    <w:rsid w:val="00372111"/>
    <w:rsid w:val="003873E4"/>
    <w:rsid w:val="003B6DD6"/>
    <w:rsid w:val="003D74BA"/>
    <w:rsid w:val="003E4A16"/>
    <w:rsid w:val="003F6EF9"/>
    <w:rsid w:val="0040050D"/>
    <w:rsid w:val="0041731D"/>
    <w:rsid w:val="00451B3A"/>
    <w:rsid w:val="0045775E"/>
    <w:rsid w:val="004669AB"/>
    <w:rsid w:val="00472BD4"/>
    <w:rsid w:val="00483D4E"/>
    <w:rsid w:val="00487F13"/>
    <w:rsid w:val="00496C8A"/>
    <w:rsid w:val="004B5359"/>
    <w:rsid w:val="004B6F92"/>
    <w:rsid w:val="004F6B77"/>
    <w:rsid w:val="0050020D"/>
    <w:rsid w:val="005232C5"/>
    <w:rsid w:val="00526C4F"/>
    <w:rsid w:val="00535164"/>
    <w:rsid w:val="00537E03"/>
    <w:rsid w:val="005810BF"/>
    <w:rsid w:val="00592994"/>
    <w:rsid w:val="005935E9"/>
    <w:rsid w:val="005D2A79"/>
    <w:rsid w:val="00627157"/>
    <w:rsid w:val="00627259"/>
    <w:rsid w:val="00644FC4"/>
    <w:rsid w:val="00683F14"/>
    <w:rsid w:val="0069334D"/>
    <w:rsid w:val="0070250A"/>
    <w:rsid w:val="00730302"/>
    <w:rsid w:val="00765BD9"/>
    <w:rsid w:val="00772883"/>
    <w:rsid w:val="007A559B"/>
    <w:rsid w:val="007B370A"/>
    <w:rsid w:val="007D2307"/>
    <w:rsid w:val="007E0252"/>
    <w:rsid w:val="007E0BEC"/>
    <w:rsid w:val="00804391"/>
    <w:rsid w:val="008272A6"/>
    <w:rsid w:val="00833FD8"/>
    <w:rsid w:val="00860EB5"/>
    <w:rsid w:val="00861008"/>
    <w:rsid w:val="008620E3"/>
    <w:rsid w:val="008900C8"/>
    <w:rsid w:val="008A7123"/>
    <w:rsid w:val="008D38EC"/>
    <w:rsid w:val="008F044B"/>
    <w:rsid w:val="00900B53"/>
    <w:rsid w:val="009213C2"/>
    <w:rsid w:val="00941786"/>
    <w:rsid w:val="00942B84"/>
    <w:rsid w:val="00951949"/>
    <w:rsid w:val="00982231"/>
    <w:rsid w:val="009E4F3C"/>
    <w:rsid w:val="00A246B6"/>
    <w:rsid w:val="00A25946"/>
    <w:rsid w:val="00AB283A"/>
    <w:rsid w:val="00AC0BB6"/>
    <w:rsid w:val="00B20E47"/>
    <w:rsid w:val="00B328A8"/>
    <w:rsid w:val="00B4098A"/>
    <w:rsid w:val="00B522ED"/>
    <w:rsid w:val="00B93B5E"/>
    <w:rsid w:val="00BE0ED0"/>
    <w:rsid w:val="00BE270B"/>
    <w:rsid w:val="00CB4825"/>
    <w:rsid w:val="00CF4B4A"/>
    <w:rsid w:val="00D308C9"/>
    <w:rsid w:val="00D361B9"/>
    <w:rsid w:val="00D64C6E"/>
    <w:rsid w:val="00DA1F0A"/>
    <w:rsid w:val="00DA4648"/>
    <w:rsid w:val="00DB3FBA"/>
    <w:rsid w:val="00DD726B"/>
    <w:rsid w:val="00DF32C0"/>
    <w:rsid w:val="00E12575"/>
    <w:rsid w:val="00E25274"/>
    <w:rsid w:val="00E6768C"/>
    <w:rsid w:val="00E82089"/>
    <w:rsid w:val="00E86CB7"/>
    <w:rsid w:val="00F01DE7"/>
    <w:rsid w:val="00F028AB"/>
    <w:rsid w:val="00F22FA5"/>
    <w:rsid w:val="00F93091"/>
    <w:rsid w:val="00FD48FC"/>
    <w:rsid w:val="00FD5F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EA98"/>
  <w15:chartTrackingRefBased/>
  <w15:docId w15:val="{04D7E663-4DF0-0F42-A4F4-5FFD50C1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35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0D"/>
    <w:pPr>
      <w:ind w:left="720"/>
      <w:contextualSpacing/>
    </w:pPr>
  </w:style>
  <w:style w:type="paragraph" w:styleId="FootnoteText">
    <w:name w:val="footnote text"/>
    <w:basedOn w:val="Normal"/>
    <w:link w:val="FootnoteTextChar"/>
    <w:uiPriority w:val="99"/>
    <w:semiHidden/>
    <w:unhideWhenUsed/>
    <w:rsid w:val="00860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EB5"/>
    <w:rPr>
      <w:sz w:val="20"/>
      <w:szCs w:val="20"/>
      <w:lang w:val="en-GB"/>
    </w:rPr>
  </w:style>
  <w:style w:type="character" w:styleId="FootnoteReference">
    <w:name w:val="footnote reference"/>
    <w:basedOn w:val="DefaultParagraphFont"/>
    <w:uiPriority w:val="99"/>
    <w:semiHidden/>
    <w:unhideWhenUsed/>
    <w:rsid w:val="00860EB5"/>
    <w:rPr>
      <w:vertAlign w:val="superscript"/>
    </w:rPr>
  </w:style>
  <w:style w:type="paragraph" w:styleId="Footer">
    <w:name w:val="footer"/>
    <w:basedOn w:val="Normal"/>
    <w:link w:val="FooterChar"/>
    <w:uiPriority w:val="99"/>
    <w:unhideWhenUsed/>
    <w:rsid w:val="00FD4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FC"/>
    <w:rPr>
      <w:sz w:val="22"/>
      <w:szCs w:val="22"/>
      <w:lang w:val="en-GB"/>
    </w:rPr>
  </w:style>
  <w:style w:type="character" w:styleId="PageNumber">
    <w:name w:val="page number"/>
    <w:basedOn w:val="DefaultParagraphFont"/>
    <w:uiPriority w:val="99"/>
    <w:semiHidden/>
    <w:unhideWhenUsed/>
    <w:rsid w:val="00FD48FC"/>
  </w:style>
  <w:style w:type="paragraph" w:styleId="BalloonText">
    <w:name w:val="Balloon Text"/>
    <w:basedOn w:val="Normal"/>
    <w:link w:val="BalloonTextChar"/>
    <w:uiPriority w:val="99"/>
    <w:semiHidden/>
    <w:unhideWhenUsed/>
    <w:rsid w:val="007B37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70A"/>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4022</Words>
  <Characters>22929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4</cp:revision>
  <dcterms:created xsi:type="dcterms:W3CDTF">2021-05-16T12:20:00Z</dcterms:created>
  <dcterms:modified xsi:type="dcterms:W3CDTF">2021-06-02T12:47:00Z</dcterms:modified>
</cp:coreProperties>
</file>